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524DB" w14:textId="77777777" w:rsidR="00A55E69" w:rsidRPr="00AF1555" w:rsidRDefault="00A55E69" w:rsidP="00A55E69">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75F3D067" w14:textId="77777777" w:rsidR="00A55E69" w:rsidRPr="00AF1555" w:rsidRDefault="00A55E69" w:rsidP="00A55E69">
      <w:pPr>
        <w:spacing w:after="0" w:line="240" w:lineRule="auto"/>
        <w:jc w:val="both"/>
        <w:rPr>
          <w:rFonts w:ascii="Verdana" w:eastAsia="Calibri" w:hAnsi="Verdana" w:cs="Arial"/>
          <w:bCs/>
          <w:color w:val="000000" w:themeColor="text1"/>
          <w:sz w:val="20"/>
          <w:szCs w:val="20"/>
          <w:lang w:val="es-ES"/>
        </w:rPr>
      </w:pPr>
    </w:p>
    <w:p w14:paraId="258F0085" w14:textId="77777777" w:rsidR="00A55E69" w:rsidRDefault="00A55E69" w:rsidP="00A55E6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7A13C6F4" w14:textId="77777777" w:rsidR="00A55E69" w:rsidRPr="0006328C" w:rsidRDefault="00A55E69" w:rsidP="00A55E69">
      <w:pPr>
        <w:spacing w:after="0" w:line="240" w:lineRule="auto"/>
        <w:jc w:val="both"/>
        <w:rPr>
          <w:rFonts w:ascii="Verdana" w:eastAsia="Calibri" w:hAnsi="Verdana" w:cs="Arial"/>
          <w:bCs/>
          <w:color w:val="000000" w:themeColor="text1"/>
          <w:sz w:val="20"/>
          <w:szCs w:val="20"/>
          <w:lang w:val="es-ES" w:eastAsia="es-ES_tradnl"/>
        </w:rPr>
      </w:pPr>
    </w:p>
    <w:p w14:paraId="63C47A45" w14:textId="77777777" w:rsidR="00A55E69" w:rsidRDefault="00A55E69" w:rsidP="00A55E6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3939E2F" w14:textId="77777777" w:rsidR="00A55E69" w:rsidRPr="0006328C" w:rsidRDefault="00A55E69" w:rsidP="00A55E6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512820E1" w14:textId="77777777" w:rsidR="00A55E69" w:rsidRPr="00EB0B5F" w:rsidRDefault="00A55E69" w:rsidP="00A55E69">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0B822D3C" w14:textId="77777777" w:rsidR="00A55E69" w:rsidRPr="00AF1555" w:rsidRDefault="00A55E69" w:rsidP="00A55E69">
      <w:pPr>
        <w:spacing w:after="0" w:line="240" w:lineRule="auto"/>
        <w:rPr>
          <w:rFonts w:ascii="Verdana" w:eastAsia="Geomanist Light" w:hAnsi="Verdana" w:cs="Arial"/>
          <w:color w:val="000000" w:themeColor="text1"/>
          <w:sz w:val="20"/>
          <w:szCs w:val="20"/>
          <w:lang w:val="es-ES_tradnl"/>
        </w:rPr>
      </w:pPr>
    </w:p>
    <w:p w14:paraId="1C0E13F1" w14:textId="77777777" w:rsidR="00A55E69" w:rsidRPr="00AF1555" w:rsidRDefault="00A55E69" w:rsidP="00A55E69">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631FC06B" w14:textId="77777777" w:rsidR="00A55E69" w:rsidRPr="00AF1555" w:rsidRDefault="00A55E69" w:rsidP="00A55E69">
      <w:pPr>
        <w:spacing w:after="0" w:line="240" w:lineRule="auto"/>
        <w:jc w:val="both"/>
        <w:rPr>
          <w:rFonts w:ascii="Verdana" w:eastAsia="Calibri" w:hAnsi="Verdana" w:cs="Arial"/>
          <w:b/>
          <w:sz w:val="20"/>
          <w:szCs w:val="20"/>
          <w:lang w:val="es-ES"/>
        </w:rPr>
      </w:pPr>
    </w:p>
    <w:p w14:paraId="5425A7BB" w14:textId="77777777" w:rsidR="00A55E69" w:rsidRPr="00EB0B5F" w:rsidRDefault="00A55E69" w:rsidP="00A55E69">
      <w:pPr>
        <w:spacing w:after="0" w:line="240" w:lineRule="auto"/>
        <w:jc w:val="both"/>
        <w:rPr>
          <w:rFonts w:ascii="Verdana" w:eastAsia="Calibri" w:hAnsi="Verdana" w:cs="Arial"/>
          <w:bCs/>
          <w:sz w:val="20"/>
          <w:szCs w:val="20"/>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43A08920" w14:textId="77777777" w:rsidR="00A55E69" w:rsidRPr="00F70F88" w:rsidRDefault="00A55E69" w:rsidP="00A55E69">
      <w:pPr>
        <w:spacing w:after="0" w:line="240" w:lineRule="auto"/>
        <w:jc w:val="both"/>
        <w:rPr>
          <w:rFonts w:ascii="Verdana" w:hAnsi="Verdana" w:cs="Arial"/>
          <w:color w:val="000000" w:themeColor="text1"/>
          <w:sz w:val="21"/>
          <w:szCs w:val="21"/>
        </w:rPr>
      </w:pPr>
    </w:p>
    <w:p w14:paraId="00B96273" w14:textId="77777777" w:rsidR="00A55E69" w:rsidRPr="009B46EA" w:rsidRDefault="00A55E69" w:rsidP="00A55E69">
      <w:pPr>
        <w:spacing w:after="0" w:line="240" w:lineRule="auto"/>
        <w:jc w:val="both"/>
        <w:rPr>
          <w:rFonts w:ascii="Verdana" w:eastAsia="Calibri" w:hAnsi="Verdana" w:cs="Arial"/>
          <w:b/>
          <w:color w:val="000000" w:themeColor="text1"/>
          <w:lang w:val="es-ES_tradnl"/>
        </w:rPr>
      </w:pPr>
      <w:bookmarkStart w:id="0" w:name="_Hlk109118876"/>
      <w:r>
        <w:rPr>
          <w:rFonts w:ascii="Verdana" w:eastAsia="Calibri" w:hAnsi="Verdana" w:cs="Arial"/>
          <w:b/>
          <w:color w:val="000000" w:themeColor="text1"/>
          <w:lang w:val="es-ES_tradnl"/>
        </w:rPr>
        <w:t>CONTRATOS ESTATALES</w:t>
      </w:r>
      <w:r w:rsidRPr="009B46EA">
        <w:rPr>
          <w:rFonts w:ascii="Verdana" w:eastAsia="Calibri" w:hAnsi="Verdana" w:cs="Arial"/>
          <w:b/>
          <w:color w:val="000000" w:themeColor="text1"/>
          <w:lang w:val="es-ES_tradnl"/>
        </w:rPr>
        <w:t xml:space="preserve"> –</w:t>
      </w:r>
      <w:bookmarkEnd w:id="0"/>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Régimen especial</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Obligaciones transversales – Manual de contratación – Límites</w:t>
      </w:r>
      <w:r w:rsidRPr="009B46EA">
        <w:rPr>
          <w:rFonts w:ascii="Verdana" w:eastAsia="Calibri" w:hAnsi="Verdana" w:cs="Arial"/>
          <w:b/>
          <w:color w:val="000000" w:themeColor="text1"/>
          <w:lang w:val="es-ES_tradnl"/>
        </w:rPr>
        <w:t xml:space="preserve"> </w:t>
      </w:r>
    </w:p>
    <w:p w14:paraId="630296BD" w14:textId="77777777" w:rsidR="00A55E69" w:rsidRPr="009B46EA" w:rsidRDefault="00A55E69" w:rsidP="00A55E69">
      <w:pPr>
        <w:spacing w:after="0" w:line="240" w:lineRule="auto"/>
        <w:jc w:val="both"/>
        <w:rPr>
          <w:rFonts w:ascii="Verdana" w:eastAsia="Calibri" w:hAnsi="Verdana" w:cs="Arial"/>
          <w:b/>
          <w:color w:val="000000" w:themeColor="text1"/>
          <w:lang w:val="es-ES_tradnl"/>
        </w:rPr>
      </w:pPr>
    </w:p>
    <w:p w14:paraId="755DBD01" w14:textId="77777777" w:rsidR="00A55E69" w:rsidRDefault="00A55E69" w:rsidP="00A55E69">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w:t>
      </w:r>
      <w:r w:rsidRPr="00F70F88">
        <w:rPr>
          <w:rFonts w:ascii="Verdana" w:hAnsi="Verdana" w:cs="Arial"/>
          <w:color w:val="000000" w:themeColor="text1"/>
          <w:sz w:val="20"/>
          <w:szCs w:val="20"/>
          <w:lang w:val="es-ES"/>
        </w:rPr>
        <w:t>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2828CDB2" w14:textId="77777777" w:rsidR="00A55E69" w:rsidRPr="00F70F88" w:rsidRDefault="00A55E69" w:rsidP="00A55E69">
      <w:pPr>
        <w:spacing w:after="0" w:line="240" w:lineRule="auto"/>
        <w:jc w:val="both"/>
        <w:rPr>
          <w:rFonts w:ascii="Verdana" w:hAnsi="Verdana" w:cs="Arial"/>
          <w:color w:val="000000" w:themeColor="text1"/>
          <w:sz w:val="20"/>
          <w:szCs w:val="20"/>
        </w:rPr>
      </w:pPr>
    </w:p>
    <w:p w14:paraId="4067E2BB" w14:textId="77777777" w:rsidR="00A55E69" w:rsidRPr="00F70F88" w:rsidRDefault="00A55E69" w:rsidP="00A55E69">
      <w:pPr>
        <w:spacing w:after="0" w:line="240" w:lineRule="auto"/>
        <w:jc w:val="both"/>
        <w:rPr>
          <w:rFonts w:ascii="Verdana" w:hAnsi="Verdana" w:cs="Arial"/>
          <w:color w:val="000000" w:themeColor="text1"/>
          <w:sz w:val="20"/>
          <w:szCs w:val="20"/>
          <w:lang w:val="es-ES_tradnl"/>
        </w:rPr>
      </w:pPr>
      <w:r w:rsidRPr="00F70F88">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F70F88">
        <w:rPr>
          <w:rFonts w:ascii="Verdana" w:hAnsi="Verdana" w:cs="Arial"/>
          <w:i/>
          <w:color w:val="000000" w:themeColor="text1"/>
          <w:sz w:val="20"/>
          <w:szCs w:val="20"/>
          <w:lang w:val="es-ES_tradnl"/>
        </w:rPr>
        <w:t>manual de contratación</w:t>
      </w:r>
      <w:r w:rsidRPr="00F70F88">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6C71FB32" w14:textId="77777777" w:rsidR="00A55E69" w:rsidRDefault="00A55E69" w:rsidP="00A55E69">
      <w:pPr>
        <w:spacing w:after="0" w:line="240" w:lineRule="auto"/>
        <w:jc w:val="both"/>
        <w:rPr>
          <w:rFonts w:ascii="Verdana" w:hAnsi="Verdana" w:cs="Arial"/>
          <w:color w:val="000000" w:themeColor="text1"/>
          <w:sz w:val="20"/>
          <w:szCs w:val="20"/>
          <w:lang w:val="es-ES_tradnl"/>
        </w:rPr>
      </w:pPr>
    </w:p>
    <w:p w14:paraId="6BBE9024" w14:textId="77777777" w:rsidR="00A55E69" w:rsidRPr="009B46EA" w:rsidRDefault="00A55E69" w:rsidP="00A55E69">
      <w:pPr>
        <w:spacing w:after="0" w:line="240" w:lineRule="auto"/>
        <w:jc w:val="both"/>
        <w:rPr>
          <w:rFonts w:ascii="Verdana" w:hAnsi="Verdana" w:cs="Arial"/>
          <w:color w:val="000000" w:themeColor="text1"/>
          <w:sz w:val="20"/>
          <w:szCs w:val="20"/>
          <w:lang w:val="es-ES"/>
        </w:rPr>
      </w:pPr>
      <w:r w:rsidRPr="7B0DCAD9">
        <w:rPr>
          <w:rFonts w:ascii="Verdana" w:hAnsi="Verdana" w:cs="Arial"/>
          <w:color w:val="000000" w:themeColor="text1"/>
          <w:sz w:val="20"/>
          <w:szCs w:val="20"/>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7B0DCAD9">
        <w:rPr>
          <w:rFonts w:ascii="Verdana" w:hAnsi="Verdana" w:cs="Arial"/>
          <w:color w:val="000000" w:themeColor="text1"/>
          <w:sz w:val="20"/>
          <w:szCs w:val="20"/>
          <w:lang w:val="es-ES"/>
        </w:rPr>
        <w:t>ii</w:t>
      </w:r>
      <w:proofErr w:type="spellEnd"/>
      <w:r w:rsidRPr="7B0DCAD9">
        <w:rPr>
          <w:rFonts w:ascii="Verdana" w:hAnsi="Verdana" w:cs="Arial"/>
          <w:color w:val="000000" w:themeColor="text1"/>
          <w:sz w:val="20"/>
          <w:szCs w:val="20"/>
          <w:lang w:val="es-ES"/>
        </w:rPr>
        <w:t xml:space="preserve">) sanciones, sin perjuicio de las que pueden pactar de acuerdo con las normas civiles y comerciales, </w:t>
      </w:r>
      <w:proofErr w:type="spellStart"/>
      <w:r w:rsidRPr="7B0DCAD9">
        <w:rPr>
          <w:rFonts w:ascii="Verdana" w:hAnsi="Verdana" w:cs="Arial"/>
          <w:color w:val="000000" w:themeColor="text1"/>
          <w:sz w:val="20"/>
          <w:szCs w:val="20"/>
          <w:lang w:val="es-ES"/>
        </w:rPr>
        <w:t>iii</w:t>
      </w:r>
      <w:proofErr w:type="spellEnd"/>
      <w:r w:rsidRPr="7B0DCAD9">
        <w:rPr>
          <w:rFonts w:ascii="Verdana" w:hAnsi="Verdana" w:cs="Arial"/>
          <w:color w:val="000000" w:themeColor="text1"/>
          <w:sz w:val="20"/>
          <w:szCs w:val="20"/>
          <w:lang w:val="es-ES"/>
        </w:rPr>
        <w:t xml:space="preserve">) procedimientos para su imposición, </w:t>
      </w:r>
      <w:proofErr w:type="spellStart"/>
      <w:r w:rsidRPr="7B0DCAD9">
        <w:rPr>
          <w:rFonts w:ascii="Verdana" w:hAnsi="Verdana" w:cs="Arial"/>
          <w:color w:val="000000" w:themeColor="text1"/>
          <w:sz w:val="20"/>
          <w:szCs w:val="20"/>
          <w:lang w:val="es-ES"/>
        </w:rPr>
        <w:t>iv</w:t>
      </w:r>
      <w:proofErr w:type="spellEnd"/>
      <w:r w:rsidRPr="7B0DCAD9">
        <w:rPr>
          <w:rFonts w:ascii="Verdana" w:hAnsi="Verdana" w:cs="Arial"/>
          <w:color w:val="000000" w:themeColor="text1"/>
          <w:sz w:val="20"/>
          <w:szCs w:val="20"/>
          <w:lang w:val="es-E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08ACB356" w14:textId="77777777" w:rsidR="00A55E69" w:rsidRPr="009B46EA" w:rsidRDefault="00A55E69" w:rsidP="00A55E69">
      <w:pPr>
        <w:spacing w:after="0" w:line="240" w:lineRule="auto"/>
        <w:jc w:val="both"/>
        <w:rPr>
          <w:rFonts w:ascii="Verdana" w:hAnsi="Verdana" w:cs="Arial"/>
          <w:color w:val="000000" w:themeColor="text1"/>
          <w:sz w:val="20"/>
          <w:szCs w:val="20"/>
          <w:lang w:val="es-ES_tradnl"/>
        </w:rPr>
      </w:pPr>
    </w:p>
    <w:p w14:paraId="6468A043" w14:textId="77777777" w:rsidR="00A55E69" w:rsidRPr="009B46EA" w:rsidRDefault="00A55E69" w:rsidP="00A55E69">
      <w:pPr>
        <w:pStyle w:val="Sinespaciado"/>
        <w:rPr>
          <w:rFonts w:ascii="Verdana" w:hAnsi="Verdana" w:cs="Arial"/>
          <w:color w:val="000000" w:themeColor="text1"/>
          <w:sz w:val="20"/>
          <w:szCs w:val="20"/>
          <w:lang w:val="es-ES_tradnl"/>
        </w:rPr>
      </w:pPr>
    </w:p>
    <w:p w14:paraId="1CD9291F" w14:textId="77777777" w:rsidR="00A55E69" w:rsidRDefault="00A55E69" w:rsidP="00A55E69">
      <w:pPr>
        <w:spacing w:after="0"/>
        <w:rPr>
          <w:rFonts w:ascii="Verdana" w:hAnsi="Verdana"/>
        </w:rPr>
      </w:pPr>
    </w:p>
    <w:p w14:paraId="520B4AA0" w14:textId="77777777" w:rsidR="00A55E69" w:rsidRDefault="00A55E69" w:rsidP="00A55E69">
      <w:pPr>
        <w:spacing w:after="0"/>
        <w:rPr>
          <w:rFonts w:ascii="Verdana" w:hAnsi="Verdana"/>
        </w:rPr>
      </w:pPr>
    </w:p>
    <w:p w14:paraId="163AB717" w14:textId="77777777" w:rsidR="00A55E69" w:rsidRDefault="00A55E69" w:rsidP="00A55E69">
      <w:pPr>
        <w:spacing w:after="0"/>
        <w:rPr>
          <w:rFonts w:ascii="Verdana" w:hAnsi="Verdana"/>
        </w:rPr>
      </w:pPr>
    </w:p>
    <w:p w14:paraId="658EB476" w14:textId="77777777" w:rsidR="00A55E69" w:rsidRDefault="00A55E69" w:rsidP="00A55E69">
      <w:pPr>
        <w:spacing w:after="0"/>
        <w:rPr>
          <w:rFonts w:ascii="Verdana" w:hAnsi="Verdana"/>
        </w:rPr>
      </w:pPr>
    </w:p>
    <w:p w14:paraId="2EADFB2B" w14:textId="77777777" w:rsidR="00A55E69" w:rsidRDefault="00A55E69" w:rsidP="00A55E69">
      <w:pPr>
        <w:spacing w:after="0"/>
        <w:rPr>
          <w:rFonts w:ascii="Verdana" w:hAnsi="Verdana"/>
        </w:rPr>
      </w:pPr>
    </w:p>
    <w:p w14:paraId="08CFDC7E" w14:textId="77777777" w:rsidR="001325D7" w:rsidRDefault="001325D7" w:rsidP="00A55E69">
      <w:pPr>
        <w:spacing w:after="0" w:line="240" w:lineRule="auto"/>
        <w:rPr>
          <w:rFonts w:ascii="Verdana" w:eastAsia="Geomanist Light" w:hAnsi="Verdana" w:cs="Arial"/>
        </w:rPr>
      </w:pPr>
    </w:p>
    <w:p w14:paraId="2C8C2C0F" w14:textId="77777777" w:rsidR="001325D7" w:rsidRDefault="001325D7" w:rsidP="00A55E69">
      <w:pPr>
        <w:spacing w:after="0" w:line="240" w:lineRule="auto"/>
        <w:rPr>
          <w:rFonts w:ascii="Verdana" w:eastAsia="Geomanist Light" w:hAnsi="Verdana" w:cs="Arial"/>
        </w:rPr>
      </w:pPr>
    </w:p>
    <w:p w14:paraId="63897477" w14:textId="294A903D" w:rsidR="00A55E69" w:rsidRPr="00960F72" w:rsidRDefault="00A55E69" w:rsidP="00A55E69">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r w:rsidR="008A3ED0" w:rsidRPr="008A3ED0">
        <w:rPr>
          <w:noProof/>
        </w:rPr>
        <w:t xml:space="preserve"> </w:t>
      </w:r>
    </w:p>
    <w:p w14:paraId="2B45DCE3" w14:textId="5F4005DD" w:rsidR="00A55E69" w:rsidRDefault="008A3ED0" w:rsidP="00A55E69">
      <w:pPr>
        <w:spacing w:after="0" w:line="240" w:lineRule="auto"/>
        <w:rPr>
          <w:rFonts w:ascii="Verdana" w:eastAsia="Calibri" w:hAnsi="Verdana" w:cs="Arial"/>
          <w:b/>
          <w:bCs/>
          <w:lang w:eastAsia="es-ES_tradnl"/>
        </w:rPr>
      </w:pPr>
      <w:r w:rsidRPr="008A3ED0">
        <w:rPr>
          <w:rFonts w:ascii="Verdana" w:eastAsia="Geomanist Light" w:hAnsi="Verdana" w:cs="Arial"/>
          <w:noProof/>
        </w:rPr>
        <w:drawing>
          <wp:anchor distT="0" distB="0" distL="114300" distR="114300" simplePos="0" relativeHeight="251658240" behindDoc="1" locked="0" layoutInCell="1" allowOverlap="1" wp14:anchorId="206AAA2D" wp14:editId="6015DF2C">
            <wp:simplePos x="0" y="0"/>
            <wp:positionH relativeFrom="column">
              <wp:posOffset>3380105</wp:posOffset>
            </wp:positionH>
            <wp:positionV relativeFrom="paragraph">
              <wp:posOffset>101600</wp:posOffset>
            </wp:positionV>
            <wp:extent cx="2806065" cy="954405"/>
            <wp:effectExtent l="0" t="0" r="0" b="0"/>
            <wp:wrapSquare wrapText="bothSides"/>
            <wp:docPr id="15830266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26695" name=""/>
                    <pic:cNvPicPr/>
                  </pic:nvPicPr>
                  <pic:blipFill>
                    <a:blip r:embed="rId10">
                      <a:extLst>
                        <a:ext uri="{28A0092B-C50C-407E-A947-70E740481C1C}">
                          <a14:useLocalDpi xmlns:a14="http://schemas.microsoft.com/office/drawing/2010/main" val="0"/>
                        </a:ext>
                      </a:extLst>
                    </a:blip>
                    <a:stretch>
                      <a:fillRect/>
                    </a:stretch>
                  </pic:blipFill>
                  <pic:spPr>
                    <a:xfrm>
                      <a:off x="0" y="0"/>
                      <a:ext cx="2806065" cy="954405"/>
                    </a:xfrm>
                    <a:prstGeom prst="rect">
                      <a:avLst/>
                    </a:prstGeom>
                  </pic:spPr>
                </pic:pic>
              </a:graphicData>
            </a:graphic>
            <wp14:sizeRelH relativeFrom="page">
              <wp14:pctWidth>0</wp14:pctWidth>
            </wp14:sizeRelH>
            <wp14:sizeRelV relativeFrom="page">
              <wp14:pctHeight>0</wp14:pctHeight>
            </wp14:sizeRelV>
          </wp:anchor>
        </w:drawing>
      </w:r>
    </w:p>
    <w:p w14:paraId="3237BA45" w14:textId="40471106" w:rsidR="00A55E69" w:rsidRDefault="00A55E69" w:rsidP="00A55E69">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1EF1BFB0" w14:textId="31072E2F" w:rsidR="00A55E69" w:rsidRPr="005E115F" w:rsidRDefault="00A55E69" w:rsidP="00A55E69">
      <w:pPr>
        <w:spacing w:after="0" w:line="240" w:lineRule="auto"/>
        <w:rPr>
          <w:rFonts w:ascii="Verdana" w:eastAsia="Calibri" w:hAnsi="Verdana" w:cs="Arial"/>
          <w:b/>
          <w:bCs/>
          <w:lang w:eastAsia="es-ES_tradnl"/>
        </w:rPr>
      </w:pPr>
      <w:r>
        <w:rPr>
          <w:rFonts w:ascii="Verdana" w:eastAsia="Calibri" w:hAnsi="Verdana" w:cs="Arial"/>
          <w:b/>
          <w:bCs/>
          <w:lang w:eastAsia="es-ES_tradnl"/>
        </w:rPr>
        <w:t>Juan Camilo Henao Carmona</w:t>
      </w:r>
    </w:p>
    <w:p w14:paraId="3B537584" w14:textId="77949317" w:rsidR="00A55E69" w:rsidRPr="005E115F" w:rsidRDefault="00A55E69" w:rsidP="00A55E69">
      <w:pPr>
        <w:spacing w:after="0" w:line="240" w:lineRule="auto"/>
        <w:rPr>
          <w:rFonts w:ascii="Verdana" w:eastAsia="Calibri" w:hAnsi="Verdana" w:cs="Arial"/>
          <w:lang w:eastAsia="es-ES_tradnl"/>
        </w:rPr>
      </w:pPr>
      <w:r>
        <w:rPr>
          <w:rFonts w:ascii="Verdana" w:eastAsia="Calibri" w:hAnsi="Verdana" w:cs="Arial"/>
          <w:lang w:eastAsia="es-ES_tradnl"/>
        </w:rPr>
        <w:t>Camilo030398@gmail.com</w:t>
      </w:r>
    </w:p>
    <w:p w14:paraId="0BD013BC" w14:textId="2646E3E1" w:rsidR="00A55E69" w:rsidRPr="005E115F" w:rsidRDefault="00A55E69" w:rsidP="00A55E69">
      <w:pPr>
        <w:spacing w:after="0" w:line="240" w:lineRule="auto"/>
        <w:rPr>
          <w:rFonts w:ascii="Verdana" w:eastAsia="Calibri" w:hAnsi="Verdana" w:cs="Arial"/>
          <w:lang w:eastAsia="es-ES_tradnl"/>
        </w:rPr>
      </w:pPr>
      <w:proofErr w:type="spellStart"/>
      <w:r>
        <w:rPr>
          <w:rFonts w:ascii="Verdana" w:hAnsi="Verdana"/>
        </w:rPr>
        <w:t>Calí</w:t>
      </w:r>
      <w:proofErr w:type="spellEnd"/>
      <w:r>
        <w:rPr>
          <w:rFonts w:ascii="Verdana" w:hAnsi="Verdana"/>
        </w:rPr>
        <w:t>, Valle del Cauca</w:t>
      </w:r>
    </w:p>
    <w:p w14:paraId="4891D16A" w14:textId="5E64F0CE" w:rsidR="00A55E69" w:rsidRPr="00514983" w:rsidRDefault="00A55E69" w:rsidP="00A55E69">
      <w:pPr>
        <w:spacing w:after="0" w:line="240" w:lineRule="auto"/>
        <w:rPr>
          <w:rFonts w:ascii="Verdana" w:eastAsia="Calibri" w:hAnsi="Verdana" w:cs="Arial"/>
          <w:lang w:eastAsia="es-ES_tradnl"/>
        </w:rPr>
      </w:pPr>
    </w:p>
    <w:p w14:paraId="1D1B993D" w14:textId="1EEC031C" w:rsidR="00A55E69" w:rsidRPr="00514983" w:rsidRDefault="00A55E69" w:rsidP="00A55E69">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55E69" w:rsidRPr="00960F72" w14:paraId="23977F07" w14:textId="77777777" w:rsidTr="00FC1D64">
        <w:trPr>
          <w:trHeight w:val="190"/>
        </w:trPr>
        <w:tc>
          <w:tcPr>
            <w:tcW w:w="2689" w:type="dxa"/>
          </w:tcPr>
          <w:p w14:paraId="46D288CF" w14:textId="77777777" w:rsidR="00A55E69" w:rsidRPr="00960F72" w:rsidRDefault="00A55E69" w:rsidP="00FC1D64">
            <w:pPr>
              <w:jc w:val="both"/>
              <w:rPr>
                <w:rFonts w:ascii="Verdana" w:eastAsia="Calibri" w:hAnsi="Verdana" w:cs="Arial"/>
                <w:b/>
                <w:bCs/>
                <w:lang w:eastAsia="es-ES_tradnl"/>
              </w:rPr>
            </w:pPr>
          </w:p>
        </w:tc>
        <w:tc>
          <w:tcPr>
            <w:tcW w:w="6100" w:type="dxa"/>
          </w:tcPr>
          <w:p w14:paraId="15D74A43" w14:textId="77777777" w:rsidR="00A55E69" w:rsidRPr="00960F72" w:rsidRDefault="00A55E69" w:rsidP="00FC1D64">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573</w:t>
            </w:r>
            <w:r w:rsidRPr="00960F72">
              <w:rPr>
                <w:rFonts w:ascii="Verdana" w:eastAsia="Calibri" w:hAnsi="Verdana" w:cs="Arial"/>
                <w:b/>
                <w:bCs/>
                <w:lang w:eastAsia="es-ES"/>
              </w:rPr>
              <w:t xml:space="preserve"> de 2025</w:t>
            </w:r>
          </w:p>
          <w:p w14:paraId="7F48B6BD" w14:textId="77777777" w:rsidR="00A55E69" w:rsidRPr="00960F72" w:rsidRDefault="00A55E69" w:rsidP="00FC1D64">
            <w:pPr>
              <w:jc w:val="both"/>
              <w:rPr>
                <w:rFonts w:ascii="Verdana" w:eastAsia="Calibri" w:hAnsi="Verdana" w:cs="Arial"/>
                <w:b/>
                <w:bCs/>
                <w:lang w:eastAsia="es-ES"/>
              </w:rPr>
            </w:pPr>
          </w:p>
        </w:tc>
      </w:tr>
      <w:tr w:rsidR="00A55E69" w:rsidRPr="00960F72" w14:paraId="443F5EDD" w14:textId="77777777" w:rsidTr="00FC1D64">
        <w:trPr>
          <w:trHeight w:val="884"/>
        </w:trPr>
        <w:tc>
          <w:tcPr>
            <w:tcW w:w="2689" w:type="dxa"/>
          </w:tcPr>
          <w:p w14:paraId="05F0E785" w14:textId="77777777" w:rsidR="00A55E69" w:rsidRPr="00960F72" w:rsidRDefault="00A55E69" w:rsidP="00FC1D64">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05EE80BC" w14:textId="77777777" w:rsidR="00A55E69" w:rsidRPr="00A11406" w:rsidRDefault="00A55E69" w:rsidP="00FC1D64">
            <w:pPr>
              <w:spacing w:line="276" w:lineRule="auto"/>
              <w:jc w:val="both"/>
              <w:rPr>
                <w:rFonts w:ascii="Verdana" w:eastAsia="Calibri" w:hAnsi="Verdana" w:cs="Arial"/>
                <w:lang w:val="es-ES" w:eastAsia="es-ES"/>
              </w:rPr>
            </w:pPr>
            <w:r w:rsidRPr="00F70F88">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F70F88">
              <w:rPr>
                <w:rFonts w:ascii="Verdana" w:eastAsia="Calibri" w:hAnsi="Verdana" w:cs="Arial"/>
                <w:lang w:val="es-ES" w:eastAsia="es-ES"/>
              </w:rPr>
              <w:t>ENTIDADES EXCEPTUADAS – Aplicación de normas de derecho público</w:t>
            </w:r>
            <w:r>
              <w:rPr>
                <w:rFonts w:ascii="Verdana" w:eastAsia="Calibri" w:hAnsi="Verdana" w:cs="Arial"/>
                <w:lang w:val="es-ES" w:eastAsia="es-ES"/>
              </w:rPr>
              <w:t xml:space="preserve"> / </w:t>
            </w:r>
            <w:r w:rsidRPr="00F70F88">
              <w:rPr>
                <w:rFonts w:ascii="Verdana" w:eastAsia="Calibri" w:hAnsi="Verdana" w:cs="Arial"/>
                <w:lang w:val="es-ES" w:eastAsia="es-ES"/>
              </w:rPr>
              <w:t>CONTRATOS ESTATALES – Régimen especial – Obligaciones transversales – Manual de contratación – Límites</w:t>
            </w:r>
            <w:r>
              <w:rPr>
                <w:rFonts w:ascii="Verdana" w:eastAsia="Calibri" w:hAnsi="Verdana" w:cs="Arial"/>
                <w:lang w:val="es-ES" w:eastAsia="es-ES"/>
              </w:rPr>
              <w:t xml:space="preserve">. </w:t>
            </w:r>
          </w:p>
          <w:p w14:paraId="29CD4E3E" w14:textId="77777777" w:rsidR="00A55E69" w:rsidRPr="001F1B6C" w:rsidRDefault="00A55E69" w:rsidP="00FC1D64">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A55E69" w:rsidRPr="00960F72" w14:paraId="3F434D00" w14:textId="77777777" w:rsidTr="00FC1D64">
        <w:tc>
          <w:tcPr>
            <w:tcW w:w="2689" w:type="dxa"/>
          </w:tcPr>
          <w:p w14:paraId="4E2722EB" w14:textId="77777777" w:rsidR="00A55E69" w:rsidRPr="00960F72" w:rsidRDefault="00A55E69" w:rsidP="00FC1D64">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4E737B05" w14:textId="77777777" w:rsidR="00A55E69" w:rsidRPr="00960F72" w:rsidRDefault="00A55E69" w:rsidP="00FC1D64">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0F485C">
              <w:rPr>
                <w:rFonts w:ascii="Verdana" w:eastAsia="Calibri" w:hAnsi="Verdana" w:cs="Arial"/>
                <w:lang w:eastAsia="es-ES_tradnl"/>
              </w:rPr>
              <w:t>1_2025_10_25_012013</w:t>
            </w:r>
          </w:p>
        </w:tc>
      </w:tr>
    </w:tbl>
    <w:p w14:paraId="13EDDF35" w14:textId="77777777" w:rsidR="00A55E69" w:rsidRPr="00960F72" w:rsidRDefault="00A55E69" w:rsidP="00A55E69">
      <w:pPr>
        <w:spacing w:after="0" w:line="240" w:lineRule="auto"/>
        <w:jc w:val="both"/>
        <w:rPr>
          <w:rFonts w:ascii="Verdana" w:eastAsia="Calibri" w:hAnsi="Verdana" w:cs="Arial"/>
          <w:lang w:eastAsia="es-ES_tradnl"/>
        </w:rPr>
      </w:pPr>
    </w:p>
    <w:p w14:paraId="27989E71" w14:textId="77777777" w:rsidR="00A55E69" w:rsidRPr="00960F72" w:rsidRDefault="00A55E69" w:rsidP="00A55E69">
      <w:pPr>
        <w:spacing w:after="0" w:line="276" w:lineRule="auto"/>
        <w:jc w:val="both"/>
        <w:rPr>
          <w:rFonts w:ascii="Verdana" w:eastAsia="Calibri" w:hAnsi="Verdana" w:cs="Arial"/>
          <w:lang w:eastAsia="es-ES"/>
        </w:rPr>
      </w:pPr>
      <w:r>
        <w:rPr>
          <w:rFonts w:ascii="Verdana" w:eastAsia="Calibri" w:hAnsi="Verdana" w:cs="Arial"/>
          <w:lang w:eastAsia="es-ES"/>
        </w:rPr>
        <w:t>Estimado señor Henao:</w:t>
      </w:r>
    </w:p>
    <w:p w14:paraId="250312A5" w14:textId="77777777" w:rsidR="00A55E69" w:rsidRPr="00960F72" w:rsidRDefault="00A55E69" w:rsidP="00A55E69">
      <w:pPr>
        <w:tabs>
          <w:tab w:val="left" w:pos="3768"/>
        </w:tabs>
        <w:spacing w:after="0" w:line="276" w:lineRule="auto"/>
        <w:jc w:val="both"/>
        <w:rPr>
          <w:rFonts w:ascii="Verdana" w:eastAsia="Calibri" w:hAnsi="Verdana" w:cs="Arial"/>
          <w:lang w:eastAsia="es-ES"/>
        </w:rPr>
      </w:pPr>
    </w:p>
    <w:p w14:paraId="01EF0343" w14:textId="77777777" w:rsidR="00A55E69" w:rsidRPr="00960F72" w:rsidRDefault="00A55E69" w:rsidP="00A55E69">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22 </w:t>
      </w:r>
      <w:r w:rsidRPr="00960F72">
        <w:rPr>
          <w:rFonts w:ascii="Verdana" w:eastAsia="Calibri" w:hAnsi="Verdana" w:cs="Arial"/>
          <w:lang w:eastAsia="es-ES"/>
        </w:rPr>
        <w:t xml:space="preserve">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495CC11C" w14:textId="77777777" w:rsidR="00A55E69" w:rsidRPr="00960F72" w:rsidRDefault="00A55E69" w:rsidP="00A55E69">
      <w:pPr>
        <w:spacing w:after="0" w:line="276" w:lineRule="auto"/>
        <w:jc w:val="both"/>
        <w:rPr>
          <w:rFonts w:ascii="Verdana" w:eastAsia="Calibri" w:hAnsi="Verdana" w:cs="Arial"/>
          <w:lang w:eastAsia="es-ES"/>
        </w:rPr>
      </w:pPr>
    </w:p>
    <w:p w14:paraId="0669299E" w14:textId="77777777" w:rsidR="00A55E69" w:rsidRDefault="00A55E69" w:rsidP="00A55E69">
      <w:pPr>
        <w:spacing w:after="0" w:line="276" w:lineRule="auto"/>
        <w:ind w:left="709" w:right="709"/>
        <w:jc w:val="both"/>
        <w:rPr>
          <w:rFonts w:ascii="Verdana" w:eastAsia="Calibri" w:hAnsi="Verdana" w:cs="Arial"/>
          <w:lang w:eastAsia="es-ES"/>
        </w:rPr>
      </w:pPr>
      <w:r>
        <w:rPr>
          <w:rFonts w:ascii="Verdana" w:eastAsia="Calibri" w:hAnsi="Verdana" w:cs="Arial"/>
          <w:sz w:val="20"/>
          <w:szCs w:val="20"/>
          <w:lang w:eastAsia="es-ES"/>
        </w:rPr>
        <w:t>“</w:t>
      </w:r>
      <w:r w:rsidRPr="002B60C3">
        <w:rPr>
          <w:rFonts w:ascii="Verdana" w:eastAsia="Calibri" w:hAnsi="Verdana" w:cs="Arial"/>
          <w:lang w:eastAsia="es-ES"/>
        </w:rPr>
        <w:t xml:space="preserve">Solicito amablemente concepto frente a lo siguiente: </w:t>
      </w:r>
      <w:proofErr w:type="gramStart"/>
      <w:r w:rsidRPr="002B60C3">
        <w:rPr>
          <w:rFonts w:ascii="Verdana" w:eastAsia="Calibri" w:hAnsi="Verdana" w:cs="Arial"/>
          <w:lang w:eastAsia="es-ES"/>
        </w:rPr>
        <w:t xml:space="preserve">En las entidades de régimen exceptuado, en </w:t>
      </w:r>
      <w:proofErr w:type="spellStart"/>
      <w:r w:rsidRPr="002B60C3">
        <w:rPr>
          <w:rFonts w:ascii="Verdana" w:eastAsia="Calibri" w:hAnsi="Verdana" w:cs="Arial"/>
          <w:lang w:eastAsia="es-ES"/>
        </w:rPr>
        <w:t>que</w:t>
      </w:r>
      <w:proofErr w:type="spellEnd"/>
      <w:r w:rsidRPr="002B60C3">
        <w:rPr>
          <w:rFonts w:ascii="Verdana" w:eastAsia="Calibri" w:hAnsi="Verdana" w:cs="Arial"/>
          <w:lang w:eastAsia="es-ES"/>
        </w:rPr>
        <w:t xml:space="preserve"> casos es obligatorio adelantar adquisiciones a través del EGCAP y que asuntos se pueden adquirir por manual de contratación?</w:t>
      </w:r>
      <w:proofErr w:type="gramEnd"/>
    </w:p>
    <w:p w14:paraId="0B6E3FBC" w14:textId="77777777" w:rsidR="00A55E69" w:rsidRPr="00755387" w:rsidRDefault="00A55E69" w:rsidP="00A55E69">
      <w:pPr>
        <w:spacing w:after="0" w:line="276" w:lineRule="auto"/>
        <w:ind w:right="709"/>
        <w:jc w:val="both"/>
        <w:rPr>
          <w:rFonts w:ascii="Verdana" w:eastAsia="Calibri" w:hAnsi="Verdana" w:cs="Arial"/>
          <w:lang w:eastAsia="es-ES"/>
        </w:rPr>
      </w:pPr>
    </w:p>
    <w:p w14:paraId="1F8FBEA7" w14:textId="77777777" w:rsidR="00A55E69" w:rsidRPr="00960F72" w:rsidRDefault="00A55E69" w:rsidP="00A55E69">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960F72">
        <w:rPr>
          <w:rFonts w:ascii="Verdana" w:eastAsia="Calibri" w:hAnsi="Verdana" w:cs="Arial"/>
          <w:lang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891DEB6" w14:textId="77777777" w:rsidR="00A55E69" w:rsidRPr="00960F72" w:rsidRDefault="00A55E69" w:rsidP="00A55E69">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F19E859" w14:textId="77777777" w:rsidR="00A55E69" w:rsidRPr="00960F72" w:rsidRDefault="00A55E69" w:rsidP="00A55E69">
      <w:pPr>
        <w:spacing w:after="0" w:line="276" w:lineRule="auto"/>
        <w:ind w:firstLine="709"/>
        <w:jc w:val="both"/>
        <w:rPr>
          <w:rFonts w:ascii="Verdana" w:eastAsia="Calibri" w:hAnsi="Verdana" w:cs="Arial"/>
          <w:lang w:eastAsia="es-ES"/>
        </w:rPr>
      </w:pPr>
    </w:p>
    <w:p w14:paraId="5FF37E50" w14:textId="77777777" w:rsidR="00A55E69" w:rsidRPr="00960F72" w:rsidRDefault="00A55E69" w:rsidP="00A55E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1B41B70E" w14:textId="77777777" w:rsidR="00A55E69" w:rsidRPr="00960F72" w:rsidRDefault="00A55E69" w:rsidP="00A55E69">
      <w:pPr>
        <w:tabs>
          <w:tab w:val="left" w:pos="426"/>
        </w:tabs>
        <w:spacing w:after="0" w:line="276" w:lineRule="auto"/>
        <w:jc w:val="both"/>
        <w:rPr>
          <w:rFonts w:ascii="Verdana" w:eastAsia="Century Gothic" w:hAnsi="Verdana" w:cs="Century Gothic"/>
        </w:rPr>
      </w:pPr>
    </w:p>
    <w:p w14:paraId="43184E75" w14:textId="181B7ECC" w:rsidR="00A55E69" w:rsidRPr="00BE7F01" w:rsidRDefault="00A55E69" w:rsidP="00A55E69">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FD01ED">
        <w:rPr>
          <w:rFonts w:ascii="Verdana" w:eastAsia="Century Gothic" w:hAnsi="Verdana" w:cs="Century Gothic"/>
        </w:rPr>
        <w:t>¿</w:t>
      </w:r>
      <w:r w:rsidR="00756973">
        <w:rPr>
          <w:rFonts w:ascii="Verdana" w:eastAsia="Century Gothic" w:hAnsi="Verdana" w:cs="Century Gothic"/>
        </w:rPr>
        <w:t>Frente a</w:t>
      </w:r>
      <w:r w:rsidRPr="00FD01ED">
        <w:rPr>
          <w:rFonts w:ascii="Verdana" w:eastAsia="Century Gothic" w:hAnsi="Verdana" w:cs="Century Gothic"/>
        </w:rPr>
        <w:t xml:space="preserve"> las entidades sometidas a régimen exceptuado, en qué casos resulta obligatorio adelantar las adquisiciones a través del E</w:t>
      </w:r>
      <w:r w:rsidR="00756973">
        <w:rPr>
          <w:rFonts w:ascii="Verdana" w:eastAsia="Century Gothic" w:hAnsi="Verdana" w:cs="Century Gothic"/>
        </w:rPr>
        <w:t xml:space="preserve">statuto </w:t>
      </w:r>
      <w:r w:rsidRPr="00FD01ED">
        <w:rPr>
          <w:rFonts w:ascii="Verdana" w:eastAsia="Century Gothic" w:hAnsi="Verdana" w:cs="Century Gothic"/>
        </w:rPr>
        <w:t>G</w:t>
      </w:r>
      <w:r w:rsidR="00756973">
        <w:rPr>
          <w:rFonts w:ascii="Verdana" w:eastAsia="Century Gothic" w:hAnsi="Verdana" w:cs="Century Gothic"/>
        </w:rPr>
        <w:t xml:space="preserve">eneral de </w:t>
      </w:r>
      <w:r w:rsidRPr="00FD01ED">
        <w:rPr>
          <w:rFonts w:ascii="Verdana" w:eastAsia="Century Gothic" w:hAnsi="Verdana" w:cs="Century Gothic"/>
        </w:rPr>
        <w:t>C</w:t>
      </w:r>
      <w:r w:rsidR="00756973">
        <w:rPr>
          <w:rFonts w:ascii="Verdana" w:eastAsia="Century Gothic" w:hAnsi="Verdana" w:cs="Century Gothic"/>
        </w:rPr>
        <w:t xml:space="preserve">ontratación de la </w:t>
      </w:r>
      <w:r w:rsidRPr="00FD01ED">
        <w:rPr>
          <w:rFonts w:ascii="Verdana" w:eastAsia="Century Gothic" w:hAnsi="Verdana" w:cs="Century Gothic"/>
        </w:rPr>
        <w:t>A</w:t>
      </w:r>
      <w:r w:rsidR="00756973">
        <w:rPr>
          <w:rFonts w:ascii="Verdana" w:eastAsia="Century Gothic" w:hAnsi="Verdana" w:cs="Century Gothic"/>
        </w:rPr>
        <w:t xml:space="preserve">dministración </w:t>
      </w:r>
      <w:r w:rsidRPr="00FD01ED">
        <w:rPr>
          <w:rFonts w:ascii="Verdana" w:eastAsia="Century Gothic" w:hAnsi="Verdana" w:cs="Century Gothic"/>
        </w:rPr>
        <w:t>P</w:t>
      </w:r>
      <w:r w:rsidR="00756973">
        <w:rPr>
          <w:rFonts w:ascii="Verdana" w:eastAsia="Century Gothic" w:hAnsi="Verdana" w:cs="Century Gothic"/>
        </w:rPr>
        <w:t>ública</w:t>
      </w:r>
      <w:r w:rsidRPr="00FD01ED">
        <w:rPr>
          <w:rFonts w:ascii="Verdana" w:eastAsia="Century Gothic" w:hAnsi="Verdana" w:cs="Century Gothic"/>
        </w:rPr>
        <w:t xml:space="preserve"> y cuáles pueden gestionarse mediante el manual de contratación institucional?</w:t>
      </w:r>
    </w:p>
    <w:p w14:paraId="1686A517" w14:textId="77777777" w:rsidR="00A55E69" w:rsidRPr="00960F72" w:rsidRDefault="00A55E69" w:rsidP="00A55E69">
      <w:pPr>
        <w:spacing w:after="0" w:line="276" w:lineRule="auto"/>
        <w:jc w:val="both"/>
        <w:rPr>
          <w:rFonts w:ascii="Verdana" w:eastAsia="Century Gothic" w:hAnsi="Verdana" w:cs="Century Gothic"/>
        </w:rPr>
      </w:pPr>
    </w:p>
    <w:p w14:paraId="46781AE1" w14:textId="77777777" w:rsidR="00A55E69" w:rsidRDefault="00A55E69" w:rsidP="00A55E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08ABF412" w14:textId="77777777" w:rsidR="00A55E69" w:rsidRPr="00027E7B" w:rsidRDefault="00A55E69" w:rsidP="00A55E69">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5E69" w:rsidRPr="00960F72" w14:paraId="0DA441BB" w14:textId="77777777" w:rsidTr="00FC1D64">
        <w:tc>
          <w:tcPr>
            <w:tcW w:w="8828" w:type="dxa"/>
          </w:tcPr>
          <w:p w14:paraId="47BF1135" w14:textId="7B15A400" w:rsidR="00A55E69" w:rsidRDefault="00A55E69" w:rsidP="00FC1D64">
            <w:pPr>
              <w:spacing w:after="120" w:line="276" w:lineRule="auto"/>
              <w:jc w:val="both"/>
              <w:rPr>
                <w:rFonts w:ascii="Verdana" w:hAnsi="Verdana" w:cs="Arial"/>
                <w:color w:val="000000" w:themeColor="text1"/>
              </w:rPr>
            </w:pPr>
            <w:r w:rsidRPr="00D32286">
              <w:rPr>
                <w:rFonts w:ascii="Verdana" w:eastAsia="Calibri" w:hAnsi="Verdana" w:cs="Arial"/>
                <w:color w:val="000000" w:themeColor="text1"/>
                <w:lang w:val="es-ES"/>
              </w:rPr>
              <w:t>Conforme a la interpretación general de las normas del sistema de compras públicas,</w:t>
            </w:r>
            <w:r>
              <w:rPr>
                <w:rFonts w:ascii="Verdana" w:eastAsia="Calibri" w:hAnsi="Verdana" w:cs="Arial"/>
                <w:color w:val="000000" w:themeColor="text1"/>
                <w:lang w:val="es-ES"/>
              </w:rPr>
              <w:t xml:space="preserve"> </w:t>
            </w:r>
            <w:r w:rsidRPr="00E33D48">
              <w:rPr>
                <w:rFonts w:ascii="Verdana" w:eastAsia="Calibri" w:hAnsi="Verdana" w:cs="Arial"/>
                <w:color w:val="000000" w:themeColor="text1"/>
                <w:lang w:val="es-ES"/>
              </w:rPr>
              <w:t xml:space="preserve">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00756973">
              <w:rPr>
                <w:rFonts w:ascii="Verdana" w:eastAsia="Calibri" w:hAnsi="Verdana" w:cs="Arial"/>
                <w:color w:val="000000" w:themeColor="text1"/>
                <w:lang w:val="es-ES"/>
              </w:rPr>
              <w:t xml:space="preserve"> </w:t>
            </w:r>
            <w:r w:rsidR="00DD5AAC">
              <w:rPr>
                <w:rFonts w:ascii="Verdana" w:eastAsia="Calibri" w:hAnsi="Verdana" w:cs="Arial"/>
                <w:color w:val="000000" w:themeColor="text1"/>
                <w:lang w:val="es-ES"/>
              </w:rPr>
              <w:t>y</w:t>
            </w:r>
            <w:r w:rsidR="00756973">
              <w:rPr>
                <w:rFonts w:ascii="Verdana" w:eastAsia="Calibri" w:hAnsi="Verdana" w:cs="Arial"/>
                <w:color w:val="000000" w:themeColor="text1"/>
                <w:lang w:val="es-ES"/>
              </w:rPr>
              <w:t xml:space="preserve"> aplicar </w:t>
            </w:r>
            <w:r w:rsidR="00DD5AAC">
              <w:rPr>
                <w:rFonts w:ascii="Verdana" w:eastAsia="Calibri" w:hAnsi="Verdana" w:cs="Arial"/>
                <w:color w:val="000000" w:themeColor="text1"/>
                <w:lang w:val="es-ES"/>
              </w:rPr>
              <w:t xml:space="preserve">los </w:t>
            </w:r>
            <w:r w:rsidR="00756973">
              <w:rPr>
                <w:rFonts w:ascii="Verdana" w:eastAsia="Calibri" w:hAnsi="Verdana" w:cs="Arial"/>
                <w:color w:val="000000" w:themeColor="text1"/>
                <w:lang w:val="es-ES"/>
              </w:rPr>
              <w:t>documentos tipo</w:t>
            </w:r>
            <w:r w:rsidR="00DD5AAC">
              <w:rPr>
                <w:rFonts w:ascii="Verdana" w:eastAsia="Calibri" w:hAnsi="Verdana" w:cs="Arial"/>
                <w:color w:val="000000" w:themeColor="text1"/>
                <w:lang w:val="es-ES"/>
              </w:rPr>
              <w:t xml:space="preserve"> expedidos por esta Agencia</w:t>
            </w:r>
            <w:r w:rsidR="00756973">
              <w:rPr>
                <w:rFonts w:ascii="Verdana" w:eastAsia="Calibri" w:hAnsi="Verdana" w:cs="Arial"/>
                <w:color w:val="000000" w:themeColor="text1"/>
                <w:lang w:val="es-ES"/>
              </w:rPr>
              <w:t xml:space="preserve"> en los supuestos que aplique de acuerdo con el artículo 56 </w:t>
            </w:r>
            <w:proofErr w:type="spellStart"/>
            <w:r w:rsidR="00DD5AAC" w:rsidRPr="00F86928">
              <w:rPr>
                <w:rFonts w:ascii="Verdana" w:eastAsia="Calibri" w:hAnsi="Verdana" w:cs="Arial"/>
                <w:i/>
                <w:iCs/>
                <w:color w:val="000000" w:themeColor="text1"/>
                <w:lang w:val="es-ES"/>
              </w:rPr>
              <w:t>ibídem</w:t>
            </w:r>
            <w:proofErr w:type="spellEnd"/>
            <w:r>
              <w:rPr>
                <w:rFonts w:ascii="Verdana" w:eastAsia="Calibri" w:hAnsi="Verdana" w:cs="Arial"/>
                <w:color w:val="000000" w:themeColor="text1"/>
                <w:lang w:val="es-ES"/>
              </w:rPr>
              <w:t>.</w:t>
            </w:r>
          </w:p>
          <w:p w14:paraId="080400B7" w14:textId="71DC15C6" w:rsidR="00A55E69" w:rsidRDefault="00A55E69" w:rsidP="00FC1D64">
            <w:pPr>
              <w:spacing w:after="120" w:line="276" w:lineRule="auto"/>
              <w:ind w:firstLine="709"/>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lastRenderedPageBreak/>
              <w:t xml:space="preserve">Adicionalmente, las entidades estatales que, por disposición legal, cuentan con un régimen especial, exceptuado del </w:t>
            </w:r>
            <w:r w:rsidR="00DD5AAC">
              <w:rPr>
                <w:rFonts w:ascii="Verdana" w:eastAsia="Calibri" w:hAnsi="Verdana" w:cs="Arial"/>
                <w:color w:val="000000" w:themeColor="text1"/>
                <w:lang w:val="es-ES_tradnl"/>
              </w:rPr>
              <w:t>EGCAP</w:t>
            </w:r>
            <w:r w:rsidRPr="00E33D48">
              <w:rPr>
                <w:rFonts w:ascii="Verdana" w:eastAsia="Calibri" w:hAnsi="Verdana" w:cs="Arial"/>
                <w:color w:val="000000" w:themeColor="text1"/>
                <w:lang w:val="es-ES_tradnl"/>
              </w:rPr>
              <w:t xml:space="preserve"> –Leyes 80 de 1993, 1150 de 2007 y normas complementarias– pueden expedir un reglamento interno de contratación –comúnmente denominado </w:t>
            </w:r>
            <w:r w:rsidRPr="00E33D48">
              <w:rPr>
                <w:rFonts w:ascii="Verdana" w:eastAsia="Calibri" w:hAnsi="Verdana" w:cs="Arial"/>
                <w:i/>
                <w:color w:val="000000" w:themeColor="text1"/>
                <w:lang w:val="es-ES_tradnl"/>
              </w:rPr>
              <w:t>manual de contratación</w:t>
            </w:r>
            <w:r w:rsidRPr="00E33D48">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2AA5A125" w14:textId="6A1E520E" w:rsidR="00A55E69" w:rsidRPr="009379B5" w:rsidRDefault="00A55E69" w:rsidP="00F86928">
            <w:pPr>
              <w:spacing w:after="120" w:line="276" w:lineRule="auto"/>
              <w:ind w:firstLine="709"/>
              <w:jc w:val="both"/>
              <w:rPr>
                <w:rFonts w:ascii="Verdana" w:hAnsi="Verdana"/>
              </w:rPr>
            </w:pPr>
            <w:r w:rsidRPr="009379B5">
              <w:rPr>
                <w:rFonts w:ascii="Verdana" w:hAnsi="Verdana"/>
              </w:rPr>
              <w:t xml:space="preserve">Ahora bien, la aplicación del EGCAP resulta obligatoria cuando la actividad contractual se enmarca dentro de los supuestos que el ordenamiento jurídico ha reservado al régimen general, como ocurre en los eventos en los cuales la propia ley impone procedimientos o modalidades de selección específicos, o cuando la contratación se realiza en coordinación con entidades sometidas al EGCAP, caso en el cual el marco normativo general debe prevalecer para asegurar la uniformidad y el cumplimiento del principio de transparencia. Asimismo, en los contratos o convenios que celebren con entidades públicas sometidas al régimen general, patrimonios autónomos o particulares, cuando la normativa prevé requisitos o procedimientos propios del EGCAP para el desarrollo de dichos negocios jurídicos, estos deberán ser aplicados por la entidad de régimen exceptuado, sin que sea posible desconocerlos en virtud de su normativa interna. </w:t>
            </w:r>
          </w:p>
          <w:p w14:paraId="2F23DB63" w14:textId="77777777" w:rsidR="00A55E69" w:rsidRPr="005069C4" w:rsidRDefault="00A55E69" w:rsidP="00FC1D64">
            <w:pPr>
              <w:spacing w:line="276" w:lineRule="auto"/>
              <w:ind w:firstLine="709"/>
              <w:jc w:val="both"/>
              <w:rPr>
                <w:rFonts w:ascii="Verdana" w:hAnsi="Verdana"/>
              </w:rPr>
            </w:pPr>
            <w:r w:rsidRPr="009379B5">
              <w:rPr>
                <w:rFonts w:ascii="Verdana" w:hAnsi="Verdana"/>
              </w:rPr>
              <w:t xml:space="preserve">En consecuencia, el uso del manual de contratación institucional procede únicamente cuando el contrato se regula plenamente por el régimen especial que le es aplicable a la entidad, y no existe una obligación legal de sujetarse al EGCAP ni se afecta una materia reservada al legislador. En todo caso, el análisis debe efectuarse en cada situación concreta, verificando la norma habilitante del régimen exceptuado, la naturaleza jurídica de la entidad contratante, el tipo de bien, obra o servicio requerido y las disposiciones vigentes que puedan incidir en la forma de adelantar la adquisición. La </w:t>
            </w:r>
            <w:r w:rsidRPr="009379B5">
              <w:rPr>
                <w:rFonts w:ascii="Verdana" w:hAnsi="Verdana"/>
              </w:rPr>
              <w:lastRenderedPageBreak/>
              <w:t>determinación final corresponde a la entidad estatal, dentro del marco de sus competencias, y cualquier controversia deberá ser dirimida por las autoridades judiciales, fiscales o disciplinarias competentes.</w:t>
            </w:r>
          </w:p>
        </w:tc>
      </w:tr>
    </w:tbl>
    <w:p w14:paraId="717A5176" w14:textId="77777777" w:rsidR="00A55E69" w:rsidRPr="00960F72" w:rsidRDefault="00A55E69" w:rsidP="00A55E69">
      <w:pPr>
        <w:tabs>
          <w:tab w:val="left" w:pos="142"/>
          <w:tab w:val="left" w:pos="284"/>
        </w:tabs>
        <w:spacing w:after="0" w:line="276" w:lineRule="auto"/>
        <w:jc w:val="both"/>
        <w:rPr>
          <w:rFonts w:ascii="Verdana" w:eastAsia="Century Gothic" w:hAnsi="Verdana" w:cs="Century Gothic"/>
          <w:b/>
          <w:bCs/>
        </w:rPr>
      </w:pPr>
    </w:p>
    <w:p w14:paraId="7C941459" w14:textId="77777777" w:rsidR="00A55E69" w:rsidRDefault="00A55E69" w:rsidP="00A55E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7DD9D88" w14:textId="77777777" w:rsidR="00A55E69" w:rsidRDefault="00A55E69" w:rsidP="00A55E69">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BF14657" w14:textId="77777777" w:rsidR="00A55E69" w:rsidRPr="0035328D" w:rsidRDefault="00A55E69" w:rsidP="00A55E69">
      <w:pPr>
        <w:spacing w:after="120" w:line="276" w:lineRule="auto"/>
        <w:jc w:val="both"/>
        <w:rPr>
          <w:rFonts w:ascii="Verdana" w:hAnsi="Verdana" w:cs="Arial"/>
          <w:lang w:val="es-ES"/>
        </w:rPr>
      </w:pPr>
      <w:r>
        <w:rPr>
          <w:rFonts w:ascii="Verdana" w:hAnsi="Verdana" w:cs="Arial"/>
          <w:lang w:val="es-ES"/>
        </w:rPr>
        <w:t>i. D</w:t>
      </w:r>
      <w:r w:rsidRPr="0035328D">
        <w:rPr>
          <w:rFonts w:ascii="Verdana" w:hAnsi="Verdana" w:cs="Arial"/>
          <w:lang w:val="es-ES"/>
        </w:rPr>
        <w:t xml:space="preserve">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14:paraId="222472F1" w14:textId="77777777" w:rsidR="00A55E69" w:rsidRPr="0035328D" w:rsidRDefault="00A55E69" w:rsidP="00A55E69">
      <w:pPr>
        <w:spacing w:after="120" w:line="276" w:lineRule="auto"/>
        <w:ind w:firstLine="708"/>
        <w:jc w:val="both"/>
        <w:rPr>
          <w:rFonts w:ascii="Verdana" w:hAnsi="Verdana" w:cs="Arial"/>
          <w:lang w:val="es-ES"/>
        </w:rPr>
      </w:pPr>
      <w:r w:rsidRPr="0035328D">
        <w:rPr>
          <w:rFonts w:ascii="Verdana" w:hAnsi="Verdana" w:cs="Arial"/>
          <w:lang w:val="es-ES"/>
        </w:rPr>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B5A3A6D" w14:textId="77777777" w:rsidR="00A55E69" w:rsidRDefault="00A55E69" w:rsidP="00A55E69">
      <w:pPr>
        <w:spacing w:after="120" w:line="276" w:lineRule="auto"/>
        <w:ind w:firstLine="708"/>
        <w:jc w:val="both"/>
        <w:rPr>
          <w:rFonts w:ascii="Verdana" w:hAnsi="Verdana" w:cs="Arial"/>
          <w:lang w:val="es-ES"/>
        </w:rPr>
      </w:pPr>
      <w:r w:rsidRPr="0035328D">
        <w:rPr>
          <w:rFonts w:ascii="Verdana" w:hAnsi="Verdana" w:cs="Arial"/>
          <w:lang w:val="es-ES"/>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w:t>
      </w:r>
      <w:r w:rsidRPr="0035328D">
        <w:rPr>
          <w:rFonts w:ascii="Verdana" w:hAnsi="Verdana" w:cs="Arial"/>
          <w:lang w:val="es-ES"/>
        </w:rPr>
        <w:lastRenderedPageBreak/>
        <w:t>debe armonizarse con el artículo 110 del Decreto 111 de 1996, modificado por el artículo 124 de la Ley 1957 de 2019</w:t>
      </w:r>
      <w:r w:rsidRPr="0035328D">
        <w:rPr>
          <w:rStyle w:val="Refdenotaalpie"/>
          <w:rFonts w:ascii="Verdana" w:hAnsi="Verdana" w:cs="Arial"/>
          <w:lang w:val="es-ES"/>
        </w:rPr>
        <w:footnoteReference w:id="2"/>
      </w:r>
      <w:r w:rsidRPr="0035328D">
        <w:rPr>
          <w:rFonts w:ascii="Verdana" w:hAnsi="Verdana" w:cs="Arial"/>
          <w:lang w:val="es-ES"/>
        </w:rPr>
        <w:t xml:space="preserve">. </w:t>
      </w:r>
    </w:p>
    <w:p w14:paraId="7F804E3F" w14:textId="77777777" w:rsidR="00A55E69" w:rsidRDefault="00A55E69" w:rsidP="00A55E69">
      <w:pPr>
        <w:spacing w:after="0" w:line="276" w:lineRule="auto"/>
        <w:ind w:firstLine="709"/>
        <w:jc w:val="both"/>
        <w:rPr>
          <w:rFonts w:ascii="Verdana" w:hAnsi="Verdana" w:cs="Arial"/>
          <w:bCs/>
          <w:lang w:val="es-MX"/>
        </w:rPr>
      </w:pPr>
      <w:r w:rsidRPr="00F34258">
        <w:rPr>
          <w:rFonts w:ascii="Verdana" w:hAnsi="Verdana" w:cs="Arial"/>
          <w:lang w:val="es-ES"/>
        </w:rPr>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norma que sustituye el derogado numeral 1 del artículo 24 de la Ley 80 de 1993 sobre el principio de transparencia</w:t>
      </w:r>
      <w:r w:rsidRPr="00F34258">
        <w:rPr>
          <w:rFonts w:ascii="Verdana" w:hAnsi="Verdana" w:cs="Arial"/>
          <w:bCs/>
          <w:vertAlign w:val="superscript"/>
          <w:lang w:val="es-MX"/>
        </w:rPr>
        <w:footnoteReference w:id="3"/>
      </w:r>
      <w:r w:rsidRPr="00F34258">
        <w:rPr>
          <w:rFonts w:ascii="Verdana" w:hAnsi="Verdana" w:cs="Arial"/>
          <w:bCs/>
          <w:lang w:val="es-MX"/>
        </w:rPr>
        <w:t xml:space="preserve">. En este contexto, salvo norma especial que ordene la celebración 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4"/>
      </w:r>
      <w:r w:rsidRPr="00F34258">
        <w:rPr>
          <w:rFonts w:ascii="Verdana" w:hAnsi="Verdana" w:cs="Arial"/>
          <w:bCs/>
          <w:lang w:val="es-MX"/>
        </w:rPr>
        <w:t>.</w:t>
      </w:r>
    </w:p>
    <w:p w14:paraId="7846C164" w14:textId="77777777" w:rsidR="00A55E69" w:rsidRDefault="00A55E69" w:rsidP="00A55E69">
      <w:pPr>
        <w:spacing w:after="0" w:line="276" w:lineRule="auto"/>
        <w:ind w:firstLine="709"/>
        <w:jc w:val="both"/>
        <w:rPr>
          <w:rFonts w:ascii="Verdana" w:hAnsi="Verdana" w:cs="Arial"/>
          <w:bCs/>
          <w:lang w:val="es-MX"/>
        </w:rPr>
      </w:pPr>
    </w:p>
    <w:p w14:paraId="4D7618EE" w14:textId="77777777" w:rsidR="00A55E69" w:rsidRPr="00AD2699" w:rsidRDefault="00A55E69" w:rsidP="00A55E69">
      <w:pPr>
        <w:spacing w:after="120" w:line="276" w:lineRule="auto"/>
        <w:jc w:val="both"/>
        <w:rPr>
          <w:rFonts w:ascii="Verdana" w:hAnsi="Verdana" w:cs="Arial"/>
          <w:bCs/>
          <w:lang w:val="es-MX"/>
        </w:rPr>
      </w:pPr>
      <w:proofErr w:type="spellStart"/>
      <w:r>
        <w:rPr>
          <w:rFonts w:ascii="Verdana" w:hAnsi="Verdana" w:cs="Arial"/>
          <w:bCs/>
        </w:rPr>
        <w:t>ii</w:t>
      </w:r>
      <w:proofErr w:type="spellEnd"/>
      <w:r>
        <w:rPr>
          <w:rFonts w:ascii="Verdana" w:hAnsi="Verdana" w:cs="Arial"/>
          <w:bCs/>
        </w:rPr>
        <w:t>. Pese a lo anterior, no resulta extraño que el sistema de compras públicas</w:t>
      </w:r>
      <w:r w:rsidRPr="00FB2E1F">
        <w:rPr>
          <w:rFonts w:ascii="Verdana" w:hAnsi="Verdana" w:cs="Arial"/>
          <w:bCs/>
        </w:rPr>
        <w:t xml:space="preserve"> se apoy</w:t>
      </w:r>
      <w:r>
        <w:rPr>
          <w:rFonts w:ascii="Verdana" w:hAnsi="Verdana" w:cs="Arial"/>
          <w:bCs/>
        </w:rPr>
        <w:t>e</w:t>
      </w:r>
      <w:r w:rsidRPr="00FB2E1F">
        <w:rPr>
          <w:rFonts w:ascii="Verdana" w:hAnsi="Verdana" w:cs="Arial"/>
          <w:bCs/>
        </w:rPr>
        <w:t xml:space="preserve"> en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46A74930" w14:textId="77777777" w:rsidR="00A55E69" w:rsidRPr="00FB2E1F" w:rsidRDefault="00A55E69" w:rsidP="00A55E69">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AAF9167" w14:textId="77777777" w:rsidR="00A55E69" w:rsidRDefault="00A55E69" w:rsidP="00A55E69">
      <w:pPr>
        <w:spacing w:after="0" w:line="276" w:lineRule="auto"/>
        <w:ind w:firstLine="709"/>
        <w:jc w:val="both"/>
        <w:rPr>
          <w:rFonts w:ascii="Verdana" w:hAnsi="Verdana" w:cs="Arial"/>
          <w:bCs/>
        </w:rPr>
      </w:pPr>
      <w:r w:rsidRPr="00FB2E1F">
        <w:rPr>
          <w:rFonts w:ascii="Verdana" w:hAnsi="Verdana" w:cs="Arial"/>
          <w:bC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FB2E1F">
        <w:rPr>
          <w:rFonts w:ascii="Verdana" w:hAnsi="Verdana" w:cs="Arial"/>
          <w:bCs/>
        </w:rPr>
        <w:t>ii</w:t>
      </w:r>
      <w:proofErr w:type="spellEnd"/>
      <w:r w:rsidRPr="00FB2E1F">
        <w:rPr>
          <w:rFonts w:ascii="Verdana" w:hAnsi="Verdana" w:cs="Arial"/>
          <w:bCs/>
        </w:rPr>
        <w:t xml:space="preserve">) flexibilizar el ejercicio de la función administrativa –como en los contratos del Banco de la República o los de ciencia y tecnología– o </w:t>
      </w:r>
      <w:proofErr w:type="spellStart"/>
      <w:r w:rsidRPr="00FB2E1F">
        <w:rPr>
          <w:rFonts w:ascii="Verdana" w:hAnsi="Verdana" w:cs="Arial"/>
          <w:bCs/>
        </w:rPr>
        <w:t>iii</w:t>
      </w:r>
      <w:proofErr w:type="spellEnd"/>
      <w:r w:rsidRPr="00FB2E1F">
        <w:rPr>
          <w:rFonts w:ascii="Verdana" w:hAnsi="Verdana" w:cs="Arial"/>
          <w:bCs/>
        </w:rPr>
        <w:t>) establecer un régimen especial sin excluir por completo la aplicación de la Ley 80 de 1993 –como ocurre en la operaciones del crédito público–</w:t>
      </w:r>
      <w:r w:rsidRPr="00FB2E1F">
        <w:rPr>
          <w:rFonts w:ascii="Verdana" w:hAnsi="Verdana" w:cs="Arial"/>
          <w:bCs/>
          <w:vertAlign w:val="superscript"/>
        </w:rPr>
        <w:footnoteReference w:id="5"/>
      </w:r>
      <w:r w:rsidRPr="00FB2E1F">
        <w:rPr>
          <w:rFonts w:ascii="Verdana" w:hAnsi="Verdana" w:cs="Arial"/>
          <w:bCs/>
        </w:rPr>
        <w:t xml:space="preserve">.  Para estos </w:t>
      </w:r>
      <w:r w:rsidRPr="00FB2E1F">
        <w:rPr>
          <w:rFonts w:ascii="Verdana" w:hAnsi="Verdana" w:cs="Arial"/>
          <w:bCs/>
        </w:rPr>
        <w:lastRenderedPageBreak/>
        <w:t xml:space="preserve">efectos, la doctrina ha identificado 171 entidades y contratos que manejan un régimen excepcional, los cuales se clasifican de acuerdo i) al sector económico, </w:t>
      </w:r>
      <w:proofErr w:type="spellStart"/>
      <w:r w:rsidRPr="00FB2E1F">
        <w:rPr>
          <w:rFonts w:ascii="Verdana" w:hAnsi="Verdana" w:cs="Arial"/>
          <w:bCs/>
        </w:rPr>
        <w:t>ii</w:t>
      </w:r>
      <w:proofErr w:type="spellEnd"/>
      <w:r w:rsidRPr="00FB2E1F">
        <w:rPr>
          <w:rFonts w:ascii="Verdana" w:hAnsi="Verdana" w:cs="Arial"/>
          <w:bCs/>
        </w:rPr>
        <w:t xml:space="preserve">) la asignación de un esquema legal especial, </w:t>
      </w:r>
      <w:proofErr w:type="spellStart"/>
      <w:r w:rsidRPr="00FB2E1F">
        <w:rPr>
          <w:rFonts w:ascii="Verdana" w:hAnsi="Verdana" w:cs="Arial"/>
          <w:bCs/>
        </w:rPr>
        <w:t>iii</w:t>
      </w:r>
      <w:proofErr w:type="spellEnd"/>
      <w:r w:rsidRPr="00FB2E1F">
        <w:rPr>
          <w:rFonts w:ascii="Verdana" w:hAnsi="Verdana" w:cs="Arial"/>
          <w:bCs/>
        </w:rPr>
        <w:t xml:space="preserve">) el objeto del contrato celebrado y </w:t>
      </w:r>
      <w:proofErr w:type="spellStart"/>
      <w:r w:rsidRPr="00FB2E1F">
        <w:rPr>
          <w:rFonts w:ascii="Verdana" w:hAnsi="Verdana" w:cs="Arial"/>
          <w:bCs/>
        </w:rPr>
        <w:t>iv</w:t>
      </w:r>
      <w:proofErr w:type="spellEnd"/>
      <w:r w:rsidRPr="00FB2E1F">
        <w:rPr>
          <w:rFonts w:ascii="Verdana" w:hAnsi="Verdana" w:cs="Arial"/>
          <w:bCs/>
        </w:rPr>
        <w:t>) la existencia de fondos que administran recursos públicos</w:t>
      </w:r>
      <w:r w:rsidRPr="00FB2E1F">
        <w:rPr>
          <w:rFonts w:ascii="Verdana" w:hAnsi="Verdana" w:cs="Arial"/>
          <w:bCs/>
          <w:vertAlign w:val="superscript"/>
        </w:rPr>
        <w:footnoteReference w:id="6"/>
      </w:r>
      <w:r w:rsidRPr="00FB2E1F">
        <w:rPr>
          <w:rFonts w:ascii="Verdana" w:hAnsi="Verdana" w:cs="Arial"/>
          <w:bCs/>
        </w:rPr>
        <w:t>.</w:t>
      </w:r>
    </w:p>
    <w:p w14:paraId="5C69E386" w14:textId="77777777" w:rsidR="00A55E69" w:rsidRDefault="00A55E69" w:rsidP="00A55E69">
      <w:pPr>
        <w:spacing w:after="0" w:line="276" w:lineRule="auto"/>
        <w:ind w:firstLine="709"/>
        <w:jc w:val="both"/>
        <w:rPr>
          <w:rFonts w:ascii="Verdana" w:hAnsi="Verdana" w:cs="Arial"/>
          <w:bCs/>
        </w:rPr>
      </w:pPr>
    </w:p>
    <w:p w14:paraId="654A73FA" w14:textId="77777777" w:rsidR="00A55E69" w:rsidRPr="00E33D48" w:rsidRDefault="00A55E69" w:rsidP="00A55E69">
      <w:pPr>
        <w:tabs>
          <w:tab w:val="left" w:pos="426"/>
        </w:tabs>
        <w:spacing w:line="276" w:lineRule="auto"/>
        <w:jc w:val="both"/>
        <w:rPr>
          <w:rFonts w:ascii="Verdana" w:eastAsia="Calibri" w:hAnsi="Verdana" w:cs="Arial"/>
          <w:b/>
          <w:bCs/>
          <w:color w:val="000000" w:themeColor="text1"/>
          <w:lang w:val="es-ES"/>
        </w:rPr>
      </w:pPr>
      <w:proofErr w:type="spellStart"/>
      <w:r w:rsidRPr="00E33D48">
        <w:rPr>
          <w:rFonts w:ascii="Verdana" w:hAnsi="Verdana" w:cs="Arial"/>
          <w:bCs/>
        </w:rPr>
        <w:t>iii</w:t>
      </w:r>
      <w:proofErr w:type="spellEnd"/>
      <w:r w:rsidRPr="00E33D48">
        <w:rPr>
          <w:rFonts w:ascii="Verdana" w:hAnsi="Verdana" w:cs="Arial"/>
          <w:bCs/>
        </w:rPr>
        <w:t xml:space="preserve">. </w:t>
      </w:r>
      <w:r w:rsidRPr="00E33D48">
        <w:rPr>
          <w:rFonts w:ascii="Verdana" w:eastAsia="Calibri" w:hAnsi="Verdana" w:cs="Arial"/>
          <w:color w:val="000000" w:themeColor="text1"/>
          <w:lang w:val="es-ES"/>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74503807" w14:textId="77777777" w:rsidR="00A55E69" w:rsidRPr="00E33D48" w:rsidRDefault="00A55E69" w:rsidP="00A55E69">
      <w:pPr>
        <w:spacing w:before="120" w:after="12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Colombia Compra Eficiente expidió la Guía para las entidades estatales con régimen especial de contratación, que las define como aquellas que contratan con un régimen distinto a las Leyes 80 de 1993 y 1150 de 2007</w:t>
      </w:r>
      <w:r w:rsidRPr="00E33D48">
        <w:rPr>
          <w:rStyle w:val="Refdenotaalpie"/>
          <w:rFonts w:ascii="Verdana" w:eastAsia="Calibri" w:hAnsi="Verdana" w:cs="Arial"/>
          <w:color w:val="000000" w:themeColor="text1"/>
          <w:lang w:val="es-ES"/>
        </w:rPr>
        <w:footnoteReference w:id="7"/>
      </w:r>
      <w:r w:rsidRPr="00E33D48">
        <w:rPr>
          <w:rFonts w:ascii="Verdana" w:eastAsia="Calibri" w:hAnsi="Verdana" w:cs="Arial"/>
          <w:color w:val="000000" w:themeColor="text1"/>
          <w:lang w:val="es-ES"/>
        </w:rPr>
        <w:t>.</w:t>
      </w:r>
    </w:p>
    <w:p w14:paraId="44824833" w14:textId="77777777" w:rsidR="00A55E69" w:rsidRDefault="00A55E69" w:rsidP="00A55E69">
      <w:pPr>
        <w:spacing w:after="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5518967B" w14:textId="77777777" w:rsidR="00A55E69" w:rsidRPr="00E33D48" w:rsidRDefault="00A55E69" w:rsidP="00A55E69">
      <w:pPr>
        <w:spacing w:after="0" w:line="276" w:lineRule="auto"/>
        <w:jc w:val="both"/>
        <w:rPr>
          <w:rFonts w:ascii="Verdana" w:eastAsia="Calibri" w:hAnsi="Verdana" w:cs="Arial"/>
          <w:color w:val="000000" w:themeColor="text1"/>
          <w:lang w:val="es-ES"/>
        </w:rPr>
      </w:pPr>
    </w:p>
    <w:p w14:paraId="2B51D13D" w14:textId="77777777" w:rsidR="00A55E69" w:rsidRPr="00F86928" w:rsidRDefault="00A55E69" w:rsidP="00A55E69">
      <w:pPr>
        <w:spacing w:line="240" w:lineRule="auto"/>
        <w:ind w:left="709" w:right="709"/>
        <w:jc w:val="both"/>
        <w:rPr>
          <w:rFonts w:ascii="Verdana" w:eastAsia="Calibri" w:hAnsi="Verdana" w:cs="Arial"/>
          <w:color w:val="000000" w:themeColor="text1"/>
          <w:sz w:val="20"/>
          <w:szCs w:val="20"/>
          <w:lang w:val="es-ES_tradnl"/>
        </w:rPr>
      </w:pPr>
      <w:r w:rsidRPr="00F86928">
        <w:rPr>
          <w:rFonts w:ascii="Verdana" w:eastAsia="Calibri" w:hAnsi="Verdana" w:cs="Arial"/>
          <w:color w:val="000000" w:themeColor="text1"/>
          <w:sz w:val="20"/>
          <w:szCs w:val="20"/>
          <w:lang w:val="es-ES_tradnl"/>
        </w:rPr>
        <w:lastRenderedPageBreak/>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7CD4E1DB" w14:textId="77777777" w:rsidR="00A55E69" w:rsidRPr="00F86928" w:rsidRDefault="00A55E69" w:rsidP="00A55E69">
      <w:pPr>
        <w:spacing w:line="240" w:lineRule="auto"/>
        <w:ind w:left="709" w:right="709"/>
        <w:jc w:val="both"/>
        <w:rPr>
          <w:rFonts w:ascii="Verdana" w:eastAsia="Calibri" w:hAnsi="Verdana" w:cs="Arial"/>
          <w:color w:val="000000" w:themeColor="text1"/>
          <w:sz w:val="20"/>
          <w:szCs w:val="20"/>
          <w:lang w:val="es-ES"/>
        </w:rPr>
      </w:pPr>
      <w:r w:rsidRPr="00F86928">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w:t>
      </w:r>
      <w:proofErr w:type="gramStart"/>
      <w:r w:rsidRPr="00F86928">
        <w:rPr>
          <w:rFonts w:ascii="Verdana" w:eastAsia="Calibri" w:hAnsi="Verdana" w:cs="Arial"/>
          <w:color w:val="000000" w:themeColor="text1"/>
          <w:sz w:val="20"/>
          <w:szCs w:val="20"/>
          <w:lang w:val="es-ES"/>
        </w:rPr>
        <w:t>interpretar</w:t>
      </w:r>
      <w:proofErr w:type="gramEnd"/>
      <w:r w:rsidRPr="00F86928">
        <w:rPr>
          <w:rFonts w:ascii="Verdana" w:eastAsia="Calibri" w:hAnsi="Verdana" w:cs="Arial"/>
          <w:color w:val="000000" w:themeColor="text1"/>
          <w:sz w:val="20"/>
          <w:szCs w:val="20"/>
          <w:lang w:val="es-ES"/>
        </w:rPr>
        <w:t xml:space="preserve"> pero también transforma parte de esas instituciones, porque se suma a ellas, lo que no siempre se logra conservando intacta la institución privada sino introduciéndole modificaciones. </w:t>
      </w:r>
    </w:p>
    <w:p w14:paraId="0DE98074" w14:textId="77777777" w:rsidR="00A55E69" w:rsidRPr="00F86928" w:rsidRDefault="00A55E69" w:rsidP="00A55E69">
      <w:pPr>
        <w:spacing w:after="0" w:line="240" w:lineRule="auto"/>
        <w:ind w:left="709" w:right="709"/>
        <w:jc w:val="both"/>
        <w:rPr>
          <w:rFonts w:ascii="Verdana" w:eastAsia="Calibri" w:hAnsi="Verdana" w:cs="Arial"/>
          <w:color w:val="000000" w:themeColor="text1"/>
          <w:sz w:val="20"/>
          <w:szCs w:val="20"/>
          <w:lang w:val="es-ES_tradnl"/>
        </w:rPr>
      </w:pPr>
      <w:r w:rsidRPr="00F86928">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F86928">
        <w:rPr>
          <w:rStyle w:val="Refdenotaalpie"/>
          <w:rFonts w:ascii="Verdana" w:eastAsia="Calibri" w:hAnsi="Verdana" w:cs="Arial"/>
          <w:color w:val="000000" w:themeColor="text1"/>
          <w:sz w:val="20"/>
          <w:szCs w:val="20"/>
          <w:lang w:val="es-ES_tradnl"/>
        </w:rPr>
        <w:footnoteReference w:id="8"/>
      </w:r>
      <w:r w:rsidRPr="00F86928">
        <w:rPr>
          <w:rFonts w:ascii="Verdana" w:eastAsia="Calibri" w:hAnsi="Verdana" w:cs="Arial"/>
          <w:color w:val="000000" w:themeColor="text1"/>
          <w:sz w:val="20"/>
          <w:szCs w:val="20"/>
          <w:lang w:val="es-ES_tradnl"/>
        </w:rPr>
        <w:t>.</w:t>
      </w:r>
    </w:p>
    <w:p w14:paraId="51F19936" w14:textId="77777777" w:rsidR="00A55E69" w:rsidRPr="00E33D48" w:rsidRDefault="00A55E69" w:rsidP="00A55E69">
      <w:pPr>
        <w:spacing w:after="0" w:line="276" w:lineRule="auto"/>
        <w:ind w:left="709" w:right="709"/>
        <w:jc w:val="both"/>
        <w:rPr>
          <w:rFonts w:ascii="Verdana" w:eastAsia="Calibri" w:hAnsi="Verdana" w:cs="Arial"/>
          <w:color w:val="000000" w:themeColor="text1"/>
          <w:lang w:val="es-ES_tradnl"/>
        </w:rPr>
      </w:pPr>
    </w:p>
    <w:p w14:paraId="3C8F99DD" w14:textId="77777777" w:rsidR="00A55E69" w:rsidRPr="00E33D48" w:rsidRDefault="00A55E69" w:rsidP="00A55E69">
      <w:pPr>
        <w:spacing w:line="276" w:lineRule="auto"/>
        <w:ind w:firstLine="708"/>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6C0E86AE" w14:textId="77777777" w:rsidR="00A55E69" w:rsidRPr="00E33D48" w:rsidRDefault="00A55E69" w:rsidP="00A55E69">
      <w:pPr>
        <w:spacing w:before="120" w:after="120" w:line="276" w:lineRule="auto"/>
        <w:ind w:firstLine="708"/>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As</w:t>
      </w:r>
      <w:r>
        <w:rPr>
          <w:rFonts w:ascii="Verdana" w:eastAsia="Calibri" w:hAnsi="Verdana" w:cs="Arial"/>
          <w:color w:val="000000" w:themeColor="text1"/>
          <w:lang w:val="es-ES"/>
        </w:rPr>
        <w:t>i</w:t>
      </w:r>
      <w:r w:rsidRPr="00E33D48">
        <w:rPr>
          <w:rFonts w:ascii="Verdana" w:eastAsia="Calibri" w:hAnsi="Verdana" w:cs="Arial"/>
          <w:color w:val="000000" w:themeColor="text1"/>
          <w:lang w:val="es-ES"/>
        </w:rPr>
        <w:t xml:space="preserve">mismo, estas entidades deben cumplir unas obligaciones transversales a la contratación pública, entre ellas la elaboración del Plan Anual de Adquisiciones, la publicación de sus procedimientos de selección a través de la herramienta SECOP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en la sección Régimen Especial</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hacer uso del clasificador </w:t>
      </w:r>
      <w:r w:rsidRPr="00E33D48">
        <w:rPr>
          <w:rFonts w:ascii="Verdana" w:eastAsia="Calibri" w:hAnsi="Verdana" w:cs="Arial"/>
          <w:color w:val="000000" w:themeColor="text1"/>
          <w:lang w:val="es-ES"/>
        </w:rPr>
        <w:lastRenderedPageBreak/>
        <w:t>de bienes y servicios de las Naciones Unidas, reportar inhabilidades e incompatibilidades de los proveedores de la entidad y analizar el sector económico de los oferentes, entre otras.</w:t>
      </w:r>
    </w:p>
    <w:p w14:paraId="0451A16C" w14:textId="77777777" w:rsidR="00A55E69" w:rsidRPr="00E33D48" w:rsidRDefault="00A55E69" w:rsidP="00A55E69">
      <w:pPr>
        <w:spacing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Además, debe tener</w:t>
      </w:r>
      <w:r>
        <w:rPr>
          <w:rFonts w:ascii="Verdana" w:eastAsia="Calibri" w:hAnsi="Verdana" w:cs="Arial"/>
          <w:color w:val="000000" w:themeColor="text1"/>
          <w:lang w:val="es-ES"/>
        </w:rPr>
        <w:t>se</w:t>
      </w:r>
      <w:r w:rsidRPr="00E33D48">
        <w:rPr>
          <w:rFonts w:ascii="Verdana" w:eastAsia="Calibri" w:hAnsi="Verdana" w:cs="Arial"/>
          <w:color w:val="000000" w:themeColor="text1"/>
          <w:lang w:val="es-ES"/>
        </w:rPr>
        <w:t xml:space="preserv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empresas sociales del Estado. De modo </w:t>
      </w:r>
      <w:proofErr w:type="gramStart"/>
      <w:r w:rsidRPr="00E33D48">
        <w:rPr>
          <w:rFonts w:ascii="Verdana" w:eastAsia="Calibri" w:hAnsi="Verdana" w:cs="Arial"/>
          <w:color w:val="000000" w:themeColor="text1"/>
          <w:lang w:val="es-ES"/>
        </w:rPr>
        <w:t>que</w:t>
      </w:r>
      <w:proofErr w:type="gramEnd"/>
      <w:r w:rsidRPr="00E33D48">
        <w:rPr>
          <w:rFonts w:ascii="Verdana" w:eastAsia="Calibri" w:hAnsi="Verdana" w:cs="Arial"/>
          <w:color w:val="000000" w:themeColor="text1"/>
          <w:lang w:val="es-ES"/>
        </w:rPr>
        <w:t xml:space="preserve"> si una Entidad sujeta al régimen especial requiere sancionar o dar por terminado el contrato, por regla general, debe acudir al juez competente.</w:t>
      </w:r>
    </w:p>
    <w:p w14:paraId="4AAA6867" w14:textId="0A346ADF" w:rsidR="00A55E69" w:rsidRPr="00E33D48" w:rsidRDefault="00A55E69" w:rsidP="00A55E69">
      <w:pPr>
        <w:spacing w:before="120"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002D7159">
        <w:rPr>
          <w:rFonts w:ascii="Verdana" w:eastAsia="Calibri" w:hAnsi="Verdana" w:cs="Arial"/>
          <w:color w:val="000000" w:themeColor="text1"/>
          <w:lang w:val="es-ES"/>
        </w:rPr>
        <w:t xml:space="preserve"> y de aplicar los documentos tipo expedidos por esta Agencia en los casos definidos en el artículo 56 ibidem</w:t>
      </w:r>
      <w:r w:rsidRPr="00E33D48">
        <w:rPr>
          <w:rStyle w:val="Refdenotaalpie"/>
          <w:rFonts w:ascii="Verdana" w:eastAsia="Calibri" w:hAnsi="Verdana" w:cs="Arial"/>
          <w:color w:val="000000" w:themeColor="text1"/>
          <w:lang w:val="es-ES"/>
        </w:rPr>
        <w:footnoteReference w:id="9"/>
      </w:r>
      <w:r w:rsidRPr="00E33D48">
        <w:rPr>
          <w:rFonts w:ascii="Verdana" w:eastAsia="Calibri" w:hAnsi="Verdana" w:cs="Arial"/>
          <w:color w:val="000000" w:themeColor="text1"/>
          <w:lang w:val="es-ES"/>
        </w:rPr>
        <w:t xml:space="preserve">. </w:t>
      </w:r>
    </w:p>
    <w:p w14:paraId="06740BCB" w14:textId="77777777" w:rsidR="00A55E69" w:rsidRDefault="00A55E69" w:rsidP="00A55E69">
      <w:pPr>
        <w:spacing w:before="120" w:line="276" w:lineRule="auto"/>
        <w:ind w:firstLine="709"/>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t>Adicionalmente, las entidades estatales que, por disposición legal, cuentan con un régimen especial</w:t>
      </w:r>
      <w:r w:rsidRPr="00E33D48">
        <w:rPr>
          <w:rStyle w:val="Refdenotaalpie"/>
          <w:rFonts w:ascii="Verdana" w:eastAsia="Calibri" w:hAnsi="Verdana" w:cs="Arial"/>
          <w:color w:val="000000" w:themeColor="text1"/>
          <w:lang w:val="es-ES_tradnl"/>
        </w:rPr>
        <w:footnoteReference w:id="10"/>
      </w:r>
      <w:r w:rsidRPr="00E33D48">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E33D48">
        <w:rPr>
          <w:rStyle w:val="Refdenotaalpie"/>
          <w:rFonts w:ascii="Verdana" w:eastAsia="Calibri" w:hAnsi="Verdana" w:cs="Arial"/>
          <w:color w:val="000000" w:themeColor="text1"/>
          <w:lang w:val="es-ES_tradnl"/>
        </w:rPr>
        <w:footnoteReference w:id="11"/>
      </w:r>
      <w:r w:rsidRPr="00E33D48">
        <w:rPr>
          <w:rFonts w:ascii="Verdana" w:eastAsia="Calibri" w:hAnsi="Verdana" w:cs="Arial"/>
          <w:color w:val="000000" w:themeColor="text1"/>
          <w:lang w:val="es-ES_tradnl"/>
        </w:rPr>
        <w:t xml:space="preserve">– pueden expedir un reglamento interno de </w:t>
      </w:r>
      <w:r w:rsidRPr="00E33D48">
        <w:rPr>
          <w:rFonts w:ascii="Verdana" w:eastAsia="Calibri" w:hAnsi="Verdana" w:cs="Arial"/>
          <w:color w:val="000000" w:themeColor="text1"/>
          <w:lang w:val="es-ES_tradnl"/>
        </w:rPr>
        <w:lastRenderedPageBreak/>
        <w:t xml:space="preserve">contratación –comúnmente denominado </w:t>
      </w:r>
      <w:r w:rsidRPr="00E33D48">
        <w:rPr>
          <w:rFonts w:ascii="Verdana" w:eastAsia="Calibri" w:hAnsi="Verdana" w:cs="Arial"/>
          <w:i/>
          <w:color w:val="000000" w:themeColor="text1"/>
          <w:lang w:val="es-ES_tradnl"/>
        </w:rPr>
        <w:t>manual de contratación</w:t>
      </w:r>
      <w:r w:rsidRPr="00E33D48">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2CF50C17" w14:textId="77777777" w:rsidR="00A55E69" w:rsidRDefault="00A55E69" w:rsidP="00A55E69">
      <w:pPr>
        <w:spacing w:before="120" w:after="0"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E33D48">
        <w:rPr>
          <w:rFonts w:ascii="Verdana" w:eastAsia="Calibri" w:hAnsi="Verdana" w:cs="Arial"/>
          <w:color w:val="000000" w:themeColor="text1"/>
          <w:lang w:val="es-ES"/>
        </w:rPr>
        <w:t>ii</w:t>
      </w:r>
      <w:proofErr w:type="spellEnd"/>
      <w:r w:rsidRPr="00E33D48">
        <w:rPr>
          <w:rFonts w:ascii="Verdana" w:eastAsia="Calibri" w:hAnsi="Verdana" w:cs="Arial"/>
          <w:color w:val="000000" w:themeColor="text1"/>
          <w:lang w:val="es-ES"/>
        </w:rPr>
        <w:t xml:space="preserve">) sanciones, sin perjuicio de las que pueden pactar de acuerdo con las normas civiles y comerciales, </w:t>
      </w:r>
      <w:proofErr w:type="spellStart"/>
      <w:r w:rsidRPr="00E33D48">
        <w:rPr>
          <w:rFonts w:ascii="Verdana" w:eastAsia="Calibri" w:hAnsi="Verdana" w:cs="Arial"/>
          <w:color w:val="000000" w:themeColor="text1"/>
          <w:lang w:val="es-ES"/>
        </w:rPr>
        <w:t>iii</w:t>
      </w:r>
      <w:proofErr w:type="spellEnd"/>
      <w:r w:rsidRPr="00E33D48">
        <w:rPr>
          <w:rFonts w:ascii="Verdana" w:eastAsia="Calibri" w:hAnsi="Verdana" w:cs="Arial"/>
          <w:color w:val="000000" w:themeColor="text1"/>
          <w:lang w:val="es-ES"/>
        </w:rPr>
        <w:t xml:space="preserve">) procedimientos para su imposición, </w:t>
      </w:r>
      <w:proofErr w:type="spellStart"/>
      <w:r w:rsidRPr="00E33D48">
        <w:rPr>
          <w:rFonts w:ascii="Verdana" w:eastAsia="Calibri" w:hAnsi="Verdana" w:cs="Arial"/>
          <w:color w:val="000000" w:themeColor="text1"/>
          <w:lang w:val="es-ES"/>
        </w:rPr>
        <w:t>iv</w:t>
      </w:r>
      <w:proofErr w:type="spellEnd"/>
      <w:r w:rsidRPr="00E33D48">
        <w:rPr>
          <w:rFonts w:ascii="Verdana" w:eastAsia="Calibri" w:hAnsi="Verdana" w:cs="Arial"/>
          <w:color w:val="000000" w:themeColor="text1"/>
          <w:lang w:val="es-E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00E33D48">
        <w:rPr>
          <w:rStyle w:val="Refdenotaalpie"/>
          <w:rFonts w:ascii="Verdana" w:eastAsia="Calibri" w:hAnsi="Verdana" w:cs="Arial"/>
          <w:color w:val="000000" w:themeColor="text1"/>
          <w:lang w:val="es-ES"/>
        </w:rPr>
        <w:footnoteReference w:id="12"/>
      </w:r>
      <w:r w:rsidRPr="00E33D48">
        <w:rPr>
          <w:rFonts w:ascii="Verdana" w:eastAsia="Calibri" w:hAnsi="Verdana" w:cs="Arial"/>
          <w:color w:val="000000" w:themeColor="text1"/>
          <w:lang w:val="es-ES"/>
        </w:rPr>
        <w:t>.</w:t>
      </w:r>
    </w:p>
    <w:p w14:paraId="4FDDA1AD" w14:textId="77777777" w:rsidR="00A55E69" w:rsidRDefault="00A55E69" w:rsidP="00A55E69">
      <w:pPr>
        <w:spacing w:after="0" w:line="276" w:lineRule="auto"/>
        <w:ind w:firstLine="709"/>
        <w:jc w:val="both"/>
        <w:rPr>
          <w:rFonts w:ascii="Verdana" w:eastAsia="Calibri" w:hAnsi="Verdana" w:cs="Arial"/>
          <w:color w:val="000000" w:themeColor="text1"/>
          <w:lang w:val="es-ES"/>
        </w:rPr>
      </w:pPr>
    </w:p>
    <w:p w14:paraId="04904317" w14:textId="77777777" w:rsidR="00A55E69" w:rsidRDefault="00A55E69" w:rsidP="00A55E69">
      <w:pPr>
        <w:spacing w:after="0" w:line="276" w:lineRule="auto"/>
        <w:jc w:val="both"/>
        <w:rPr>
          <w:rFonts w:ascii="Verdana" w:hAnsi="Verdana" w:cs="Arial"/>
          <w:bCs/>
        </w:rPr>
      </w:pPr>
      <w:proofErr w:type="spellStart"/>
      <w:r>
        <w:rPr>
          <w:rFonts w:ascii="Verdana" w:hAnsi="Verdana" w:cs="Arial"/>
          <w:bCs/>
        </w:rPr>
        <w:t>iv</w:t>
      </w:r>
      <w:proofErr w:type="spellEnd"/>
      <w:r>
        <w:rPr>
          <w:rFonts w:ascii="Verdana" w:hAnsi="Verdana" w:cs="Arial"/>
          <w:bCs/>
        </w:rPr>
        <w:t xml:space="preserve">. </w:t>
      </w:r>
      <w:r w:rsidRPr="00F00543">
        <w:rPr>
          <w:rFonts w:ascii="Verdana" w:hAnsi="Verdana" w:cs="Arial"/>
          <w:bCs/>
        </w:rPr>
        <w:t xml:space="preserve">Ahora bien, el fundamento del régimen exceptuado suele obedecer a razones constitucionales y de política pública orientadas a la eficiencia y al interés general. Entre los supuestos identificados por la doctrina se encuentran: la necesidad de facilitar condiciones de competencia económica, la flexibilidad en la ejecución de funciones administrativas altamente técnicas o sensibles, o el desarrollo de finalidades públicas específicas mediante gestión empresarial. En virtud de estas particularidades, sus procedimientos contractuales se rigen, en principio, por la normativa especial que les es propia y por el manual de contratación que la entidad expida en ejercicio de su potestad reglamentaria, el cual constituye un acto administrativo con vocación de permanencia. Dicho instrumento permite estructurar los procedimientos internos de selección, los requisitos de participación, los criterios de evaluación y la ejecución contractual, con el fin de garantizar objetividad, igualdad de oportunidades y protección al patrimonio público. </w:t>
      </w:r>
    </w:p>
    <w:p w14:paraId="2D6A89A5" w14:textId="77777777" w:rsidR="00A55E69" w:rsidRPr="00F00543" w:rsidRDefault="00A55E69" w:rsidP="00A55E69">
      <w:pPr>
        <w:spacing w:after="0" w:line="276" w:lineRule="auto"/>
        <w:jc w:val="both"/>
        <w:rPr>
          <w:rFonts w:ascii="Verdana" w:hAnsi="Verdana" w:cs="Arial"/>
          <w:bCs/>
        </w:rPr>
      </w:pPr>
    </w:p>
    <w:p w14:paraId="6B2F52EF" w14:textId="77777777" w:rsidR="00A55E69" w:rsidRPr="00F00543" w:rsidRDefault="00A55E69" w:rsidP="00A55E69">
      <w:pPr>
        <w:spacing w:after="0" w:line="276" w:lineRule="auto"/>
        <w:ind w:firstLine="708"/>
        <w:jc w:val="both"/>
        <w:rPr>
          <w:rFonts w:ascii="Verdana" w:hAnsi="Verdana" w:cs="Arial"/>
          <w:bCs/>
        </w:rPr>
      </w:pPr>
      <w:r>
        <w:rPr>
          <w:rFonts w:ascii="Verdana" w:hAnsi="Verdana" w:cs="Arial"/>
          <w:bCs/>
        </w:rPr>
        <w:t>Ahora bien</w:t>
      </w:r>
      <w:r w:rsidRPr="00F00543">
        <w:rPr>
          <w:rFonts w:ascii="Verdana" w:hAnsi="Verdana" w:cs="Arial"/>
          <w:bCs/>
        </w:rPr>
        <w:t xml:space="preserve">, existe un ámbito de aplicación obligatorio del EGCAP cuando la entidad exceptuada actúa en concurrencia con una entidad sometida al régimen general, en desarrollo de contratos o convenios interadministrativos o de cualquier otra naturaleza que involucren bienes, obras o servicios regulados por normativa de orden público contractual. En estos casos, la regulación general debe prevalecer para garantizar uniformidad procedimental y evitar la elusión del marco común de la contratación estatal. </w:t>
      </w:r>
    </w:p>
    <w:p w14:paraId="7E50A66E" w14:textId="77777777" w:rsidR="00A55E69" w:rsidRPr="00F00543" w:rsidRDefault="00A55E69" w:rsidP="00A55E69">
      <w:pPr>
        <w:spacing w:after="0" w:line="276" w:lineRule="auto"/>
        <w:jc w:val="both"/>
        <w:rPr>
          <w:rFonts w:ascii="Verdana" w:hAnsi="Verdana" w:cs="Arial"/>
          <w:bCs/>
        </w:rPr>
      </w:pPr>
    </w:p>
    <w:p w14:paraId="770DC7B0" w14:textId="77777777" w:rsidR="00A55E69" w:rsidRPr="00F00543" w:rsidRDefault="00A55E69" w:rsidP="00A55E69">
      <w:pPr>
        <w:spacing w:after="0" w:line="276" w:lineRule="auto"/>
        <w:ind w:firstLine="708"/>
        <w:jc w:val="both"/>
        <w:rPr>
          <w:rFonts w:ascii="Verdana" w:hAnsi="Verdana" w:cs="Arial"/>
          <w:bCs/>
        </w:rPr>
      </w:pPr>
      <w:r w:rsidRPr="00F00543">
        <w:rPr>
          <w:rFonts w:ascii="Verdana" w:hAnsi="Verdana" w:cs="Arial"/>
          <w:bCs/>
        </w:rPr>
        <w:t xml:space="preserve">Esto ha sido reforzado por el artículo 56 de la Ley 2195 de 2022, el cual tiene por objeto prevenir mecanismos que desconocieran los principios de transparencia y selección objetiva, asegurando que, frente a este tipo de relaciones contractuales, se aplique el régimen de la Ley 80 de 1993 y de la Ley 1150 de 2007, con independencia de que alguno de los sujetos intervinientes cuente con un régimen contractual especial. </w:t>
      </w:r>
    </w:p>
    <w:p w14:paraId="66B2A358" w14:textId="77777777" w:rsidR="00A55E69" w:rsidRPr="00F00543" w:rsidRDefault="00A55E69" w:rsidP="00A55E69">
      <w:pPr>
        <w:spacing w:after="0" w:line="276" w:lineRule="auto"/>
        <w:jc w:val="both"/>
        <w:rPr>
          <w:rFonts w:ascii="Verdana" w:hAnsi="Verdana" w:cs="Arial"/>
          <w:bCs/>
        </w:rPr>
      </w:pPr>
    </w:p>
    <w:p w14:paraId="6E316346" w14:textId="77777777" w:rsidR="00A55E69" w:rsidRPr="00F00543" w:rsidRDefault="00A55E69" w:rsidP="00A55E69">
      <w:pPr>
        <w:spacing w:after="0" w:line="276" w:lineRule="auto"/>
        <w:jc w:val="both"/>
        <w:rPr>
          <w:rFonts w:ascii="Verdana" w:hAnsi="Verdana" w:cs="Arial"/>
          <w:bCs/>
        </w:rPr>
      </w:pPr>
      <w:r w:rsidRPr="00F00543">
        <w:rPr>
          <w:rFonts w:ascii="Verdana" w:hAnsi="Verdana" w:cs="Arial"/>
          <w:bCs/>
        </w:rPr>
        <w:t>En consecuencia, resulta procedente afirmar que la utilización del manual de contratación institucional se circunscribe a aquellos supuestos en donde:</w:t>
      </w:r>
    </w:p>
    <w:p w14:paraId="77BA5B61" w14:textId="77777777" w:rsidR="00A55E69" w:rsidRPr="00F00543" w:rsidRDefault="00A55E69" w:rsidP="00A55E69">
      <w:pPr>
        <w:spacing w:after="0" w:line="276" w:lineRule="auto"/>
        <w:jc w:val="both"/>
        <w:rPr>
          <w:rFonts w:ascii="Verdana" w:hAnsi="Verdana" w:cs="Arial"/>
          <w:bCs/>
        </w:rPr>
      </w:pPr>
    </w:p>
    <w:p w14:paraId="43508842" w14:textId="77777777" w:rsidR="00A55E69" w:rsidRPr="00F00543" w:rsidRDefault="00A55E69" w:rsidP="00A55E69">
      <w:pPr>
        <w:spacing w:after="0" w:line="276" w:lineRule="auto"/>
        <w:jc w:val="both"/>
        <w:rPr>
          <w:rFonts w:ascii="Verdana" w:hAnsi="Verdana" w:cs="Arial"/>
          <w:bCs/>
        </w:rPr>
      </w:pPr>
      <w:r w:rsidRPr="00F00543">
        <w:rPr>
          <w:rFonts w:ascii="Verdana" w:hAnsi="Verdana" w:cs="Arial"/>
          <w:bCs/>
        </w:rPr>
        <w:t>i) La entidad actúa exclusivamente dentro del marco de su régimen contractual especial.</w:t>
      </w:r>
    </w:p>
    <w:p w14:paraId="038814BC" w14:textId="77777777" w:rsidR="00A55E69" w:rsidRPr="00F00543" w:rsidRDefault="00A55E69" w:rsidP="00A55E69">
      <w:pPr>
        <w:spacing w:after="0" w:line="276" w:lineRule="auto"/>
        <w:jc w:val="both"/>
        <w:rPr>
          <w:rFonts w:ascii="Verdana" w:hAnsi="Verdana" w:cs="Arial"/>
          <w:bCs/>
        </w:rPr>
      </w:pPr>
      <w:proofErr w:type="spellStart"/>
      <w:r w:rsidRPr="00F00543">
        <w:rPr>
          <w:rFonts w:ascii="Verdana" w:hAnsi="Verdana" w:cs="Arial"/>
          <w:bCs/>
        </w:rPr>
        <w:t>ii</w:t>
      </w:r>
      <w:proofErr w:type="spellEnd"/>
      <w:r w:rsidRPr="00F00543">
        <w:rPr>
          <w:rFonts w:ascii="Verdana" w:hAnsi="Verdana" w:cs="Arial"/>
          <w:bCs/>
        </w:rPr>
        <w:t>) No existe una disposición legal que remita al EGCAP o imponga la adopción de determinadas reglas propias de este.</w:t>
      </w:r>
    </w:p>
    <w:p w14:paraId="16903216" w14:textId="77777777" w:rsidR="00A55E69" w:rsidRPr="00F00543" w:rsidRDefault="00A55E69" w:rsidP="00A55E69">
      <w:pPr>
        <w:spacing w:after="0" w:line="276" w:lineRule="auto"/>
        <w:jc w:val="both"/>
        <w:rPr>
          <w:rFonts w:ascii="Verdana" w:hAnsi="Verdana" w:cs="Arial"/>
          <w:bCs/>
        </w:rPr>
      </w:pPr>
      <w:proofErr w:type="spellStart"/>
      <w:r w:rsidRPr="00F00543">
        <w:rPr>
          <w:rFonts w:ascii="Verdana" w:hAnsi="Verdana" w:cs="Arial"/>
          <w:bCs/>
        </w:rPr>
        <w:t>iii</w:t>
      </w:r>
      <w:proofErr w:type="spellEnd"/>
      <w:r w:rsidRPr="00F00543">
        <w:rPr>
          <w:rFonts w:ascii="Verdana" w:hAnsi="Verdana" w:cs="Arial"/>
          <w:bCs/>
        </w:rPr>
        <w:t>) No se afecta una materia reservada al legislador.</w:t>
      </w:r>
    </w:p>
    <w:p w14:paraId="34DE3BE7" w14:textId="77777777" w:rsidR="00A55E69" w:rsidRPr="00F00543" w:rsidRDefault="00A55E69" w:rsidP="00A55E69">
      <w:pPr>
        <w:spacing w:after="0" w:line="276" w:lineRule="auto"/>
        <w:jc w:val="both"/>
        <w:rPr>
          <w:rFonts w:ascii="Verdana" w:hAnsi="Verdana" w:cs="Arial"/>
          <w:bCs/>
        </w:rPr>
      </w:pPr>
      <w:proofErr w:type="spellStart"/>
      <w:r w:rsidRPr="00F00543">
        <w:rPr>
          <w:rFonts w:ascii="Verdana" w:hAnsi="Verdana" w:cs="Arial"/>
          <w:bCs/>
        </w:rPr>
        <w:t>iv</w:t>
      </w:r>
      <w:proofErr w:type="spellEnd"/>
      <w:r w:rsidRPr="00F00543">
        <w:rPr>
          <w:rFonts w:ascii="Verdana" w:hAnsi="Verdana" w:cs="Arial"/>
          <w:bCs/>
        </w:rPr>
        <w:t>) Se garantizan plenamente los principios que rigen la administración pública y la gestión fiscal.</w:t>
      </w:r>
    </w:p>
    <w:p w14:paraId="4CACD273" w14:textId="77777777" w:rsidR="00A55E69" w:rsidRPr="00F00543" w:rsidRDefault="00A55E69" w:rsidP="00A55E69">
      <w:pPr>
        <w:spacing w:after="0" w:line="276" w:lineRule="auto"/>
        <w:jc w:val="both"/>
        <w:rPr>
          <w:rFonts w:ascii="Verdana" w:hAnsi="Verdana" w:cs="Arial"/>
          <w:bCs/>
        </w:rPr>
      </w:pPr>
    </w:p>
    <w:p w14:paraId="1D127533" w14:textId="77777777" w:rsidR="00A55E69" w:rsidRPr="00F00543" w:rsidRDefault="00A55E69" w:rsidP="00A55E69">
      <w:pPr>
        <w:spacing w:after="0" w:line="276" w:lineRule="auto"/>
        <w:jc w:val="both"/>
        <w:rPr>
          <w:rFonts w:ascii="Verdana" w:hAnsi="Verdana" w:cs="Arial"/>
          <w:bCs/>
        </w:rPr>
      </w:pPr>
      <w:r w:rsidRPr="00F00543">
        <w:rPr>
          <w:rFonts w:ascii="Verdana" w:hAnsi="Verdana" w:cs="Arial"/>
          <w:bCs/>
        </w:rPr>
        <w:t>En contrapartida, la aplicación del EGCAP resulta obligatoria cuando:</w:t>
      </w:r>
    </w:p>
    <w:p w14:paraId="6826DCD3" w14:textId="77777777" w:rsidR="00A55E69" w:rsidRPr="00F00543" w:rsidRDefault="00A55E69" w:rsidP="00A55E69">
      <w:pPr>
        <w:spacing w:after="0" w:line="276" w:lineRule="auto"/>
        <w:jc w:val="both"/>
        <w:rPr>
          <w:rFonts w:ascii="Verdana" w:hAnsi="Verdana" w:cs="Arial"/>
          <w:bCs/>
        </w:rPr>
      </w:pPr>
    </w:p>
    <w:p w14:paraId="35F26671" w14:textId="77777777" w:rsidR="00A55E69" w:rsidRPr="00F00543" w:rsidRDefault="00A55E69" w:rsidP="00A55E69">
      <w:pPr>
        <w:spacing w:after="0" w:line="276" w:lineRule="auto"/>
        <w:jc w:val="both"/>
        <w:rPr>
          <w:rFonts w:ascii="Verdana" w:hAnsi="Verdana" w:cs="Arial"/>
          <w:bCs/>
        </w:rPr>
      </w:pPr>
      <w:r w:rsidRPr="00F00543">
        <w:rPr>
          <w:rFonts w:ascii="Verdana" w:hAnsi="Verdana" w:cs="Arial"/>
          <w:bCs/>
        </w:rPr>
        <w:t>a) La ley así lo dispone para el caso concreto.</w:t>
      </w:r>
    </w:p>
    <w:p w14:paraId="2F50C416" w14:textId="77777777" w:rsidR="00A55E69" w:rsidRPr="00F00543" w:rsidRDefault="00A55E69" w:rsidP="00A55E69">
      <w:pPr>
        <w:spacing w:after="0" w:line="276" w:lineRule="auto"/>
        <w:jc w:val="both"/>
        <w:rPr>
          <w:rFonts w:ascii="Verdana" w:hAnsi="Verdana" w:cs="Arial"/>
          <w:bCs/>
        </w:rPr>
      </w:pPr>
      <w:r w:rsidRPr="00F00543">
        <w:rPr>
          <w:rFonts w:ascii="Verdana" w:hAnsi="Verdana" w:cs="Arial"/>
          <w:bCs/>
        </w:rPr>
        <w:t>b) La entidad exceptuada actúa coordinadamente con sujetos sometidos al régimen general.</w:t>
      </w:r>
    </w:p>
    <w:p w14:paraId="487F3AF6" w14:textId="77777777" w:rsidR="00A55E69" w:rsidRPr="00F00543" w:rsidRDefault="00A55E69" w:rsidP="00A55E69">
      <w:pPr>
        <w:spacing w:after="0" w:line="276" w:lineRule="auto"/>
        <w:jc w:val="both"/>
        <w:rPr>
          <w:rFonts w:ascii="Verdana" w:hAnsi="Verdana" w:cs="Arial"/>
          <w:bCs/>
        </w:rPr>
      </w:pPr>
      <w:r w:rsidRPr="00F00543">
        <w:rPr>
          <w:rFonts w:ascii="Verdana" w:hAnsi="Verdana" w:cs="Arial"/>
          <w:bCs/>
        </w:rPr>
        <w:t>c) El objeto contractual requiere procedimientos o instrumentos previstos en el EGCAP que resultan de cumplimiento imperativo.</w:t>
      </w:r>
    </w:p>
    <w:p w14:paraId="5405C755" w14:textId="77777777" w:rsidR="00A55E69" w:rsidRPr="00F00543" w:rsidRDefault="00A55E69" w:rsidP="00A55E69">
      <w:pPr>
        <w:spacing w:after="0" w:line="276" w:lineRule="auto"/>
        <w:jc w:val="both"/>
        <w:rPr>
          <w:rFonts w:ascii="Verdana" w:hAnsi="Verdana" w:cs="Arial"/>
          <w:bCs/>
        </w:rPr>
      </w:pPr>
    </w:p>
    <w:p w14:paraId="7CBCEB28" w14:textId="69FD8DE6" w:rsidR="00A55E69" w:rsidRPr="007A47F9" w:rsidRDefault="00F508CE" w:rsidP="00A55E69">
      <w:pPr>
        <w:widowControl w:val="0"/>
        <w:autoSpaceDE w:val="0"/>
        <w:autoSpaceDN w:val="0"/>
        <w:spacing w:after="0" w:line="276" w:lineRule="auto"/>
        <w:jc w:val="both"/>
        <w:rPr>
          <w:rFonts w:ascii="Verdana" w:hAnsi="Verdana" w:cs="Arial"/>
          <w:lang w:eastAsia="es-ES"/>
        </w:rPr>
      </w:pPr>
      <w:r>
        <w:rPr>
          <w:rFonts w:ascii="Verdana" w:hAnsi="Verdana" w:cs="Arial"/>
          <w:lang w:eastAsia="es-ES"/>
        </w:rPr>
        <w:t>V</w:t>
      </w:r>
      <w:r w:rsidR="00A55E69">
        <w:rPr>
          <w:rFonts w:ascii="Verdana" w:hAnsi="Verdana" w:cs="Arial"/>
          <w:lang w:eastAsia="es-ES"/>
        </w:rPr>
        <w:t xml:space="preserve">. </w:t>
      </w:r>
      <w:r w:rsidR="00A55E69" w:rsidRPr="00301910">
        <w:rPr>
          <w:rFonts w:ascii="Verdana" w:hAnsi="Verdana" w:cs="Arial"/>
          <w:lang w:eastAsia="es-ES"/>
        </w:rPr>
        <w:t>Al margen de la explicación precedente</w:t>
      </w:r>
      <w:r w:rsidR="00A55E69">
        <w:rPr>
          <w:rFonts w:ascii="Verdana" w:hAnsi="Verdana" w:cs="Arial"/>
          <w:lang w:eastAsia="es-ES"/>
        </w:rPr>
        <w:t xml:space="preserve"> </w:t>
      </w:r>
      <w:r w:rsidR="00A55E69" w:rsidRPr="00301910">
        <w:rPr>
          <w:rFonts w:ascii="Verdana" w:hAnsi="Verdana" w:cs="Arial"/>
          <w:lang w:eastAsia="es-ES"/>
        </w:rPr>
        <w:t>debe advertirse que el análisis requerido</w:t>
      </w:r>
      <w:r w:rsidR="00A55E69">
        <w:rPr>
          <w:rFonts w:ascii="Verdana" w:hAnsi="Verdana" w:cs="Arial"/>
          <w:lang w:eastAsia="es-ES"/>
        </w:rPr>
        <w:t xml:space="preserve"> </w:t>
      </w:r>
      <w:r w:rsidR="00A55E69" w:rsidRPr="00301910">
        <w:rPr>
          <w:rFonts w:ascii="Verdana" w:hAnsi="Verdana" w:cs="Arial"/>
          <w:lang w:eastAsia="es-ES"/>
        </w:rPr>
        <w:t>para</w:t>
      </w:r>
      <w:r w:rsidR="00A55E69">
        <w:rPr>
          <w:rFonts w:ascii="Verdana" w:hAnsi="Verdana" w:cs="Arial"/>
          <w:lang w:eastAsia="es-ES"/>
        </w:rPr>
        <w:t xml:space="preserve"> resolver problemas específicos en torno a </w:t>
      </w:r>
      <w:r w:rsidR="00A55E69">
        <w:rPr>
          <w:rFonts w:ascii="Verdana" w:eastAsia="Calibri" w:hAnsi="Verdana" w:cs="Arial"/>
          <w:bCs/>
          <w:color w:val="000000" w:themeColor="text1"/>
        </w:rPr>
        <w:t>la contratación de las entidades estatales</w:t>
      </w:r>
      <w:r w:rsidR="00A55E69">
        <w:rPr>
          <w:rFonts w:ascii="Verdana" w:hAnsi="Verdana" w:cs="Arial"/>
          <w:lang w:eastAsia="es-ES"/>
        </w:rPr>
        <w:t xml:space="preserve"> </w:t>
      </w:r>
      <w:r w:rsidR="00A55E69" w:rsidRPr="00301910">
        <w:rPr>
          <w:rFonts w:ascii="Verdana" w:hAnsi="Verdana" w:cs="Arial"/>
          <w:lang w:eastAsia="es-ES"/>
        </w:rPr>
        <w:t>debe ser realizado por</w:t>
      </w:r>
      <w:r w:rsidR="00A55E69">
        <w:rPr>
          <w:rFonts w:ascii="Verdana" w:hAnsi="Verdana" w:cs="Arial"/>
          <w:lang w:eastAsia="es-ES"/>
        </w:rPr>
        <w:t xml:space="preserve"> </w:t>
      </w:r>
      <w:r w:rsidR="00A55E69" w:rsidRPr="00301910">
        <w:rPr>
          <w:rFonts w:ascii="Verdana" w:hAnsi="Verdana" w:cs="Arial"/>
          <w:lang w:eastAsia="es-ES"/>
        </w:rPr>
        <w:t>quienes tengan interés en ello, de acuerdo con lo explicado</w:t>
      </w:r>
      <w:r w:rsidR="00A55E69">
        <w:rPr>
          <w:rFonts w:ascii="Verdana" w:hAnsi="Verdana" w:cs="Arial"/>
          <w:lang w:eastAsia="es-ES"/>
        </w:rPr>
        <w:t xml:space="preserve"> </w:t>
      </w:r>
      <w:r w:rsidR="00A55E69" w:rsidRPr="00301910">
        <w:rPr>
          <w:rFonts w:ascii="Verdana" w:hAnsi="Verdana" w:cs="Arial"/>
          <w:lang w:eastAsia="es-ES"/>
        </w:rPr>
        <w:t>la aclaración preliminar del presente oficio. De esta manera, las afirmaciones aquí realizadas</w:t>
      </w:r>
      <w:r w:rsidR="00A55E69">
        <w:rPr>
          <w:rFonts w:ascii="Verdana" w:hAnsi="Verdana" w:cs="Arial"/>
          <w:lang w:eastAsia="es-ES"/>
        </w:rPr>
        <w:t xml:space="preserve"> </w:t>
      </w:r>
      <w:r w:rsidR="00A55E69" w:rsidRPr="00301910">
        <w:rPr>
          <w:rFonts w:ascii="Verdana" w:hAnsi="Verdana" w:cs="Arial"/>
          <w:lang w:eastAsia="es-ES"/>
        </w:rPr>
        <w:t>no</w:t>
      </w:r>
      <w:r w:rsidR="00A55E69">
        <w:rPr>
          <w:rFonts w:ascii="Verdana" w:hAnsi="Verdana" w:cs="Arial"/>
          <w:lang w:eastAsia="es-ES"/>
        </w:rPr>
        <w:t xml:space="preserve"> </w:t>
      </w:r>
      <w:r w:rsidR="00A55E69" w:rsidRPr="00301910">
        <w:rPr>
          <w:rFonts w:ascii="Verdana" w:hAnsi="Verdana" w:cs="Arial"/>
          <w:lang w:eastAsia="es-ES"/>
        </w:rPr>
        <w:t>pueden ser interpretadas como juicios de valor sobre circunstancias</w:t>
      </w:r>
      <w:r w:rsidR="00A55E69">
        <w:rPr>
          <w:rFonts w:ascii="Verdana" w:hAnsi="Verdana" w:cs="Arial"/>
          <w:lang w:eastAsia="es-ES"/>
        </w:rPr>
        <w:t xml:space="preserve"> </w:t>
      </w:r>
      <w:r w:rsidR="00A55E69" w:rsidRPr="00301910">
        <w:rPr>
          <w:rFonts w:ascii="Verdana" w:hAnsi="Verdana" w:cs="Arial"/>
          <w:lang w:eastAsia="es-ES"/>
        </w:rPr>
        <w:t>concretas</w:t>
      </w:r>
      <w:r w:rsidR="00A55E69">
        <w:rPr>
          <w:rFonts w:ascii="Verdana" w:hAnsi="Verdana" w:cs="Arial"/>
          <w:lang w:eastAsia="es-ES"/>
        </w:rPr>
        <w:t xml:space="preserve"> </w:t>
      </w:r>
      <w:r w:rsidR="00A55E69" w:rsidRPr="00301910">
        <w:rPr>
          <w:rFonts w:ascii="Verdana" w:hAnsi="Verdana" w:cs="Arial"/>
          <w:lang w:eastAsia="es-ES"/>
        </w:rPr>
        <w:t>relacionadas con los hechos que motivan la</w:t>
      </w:r>
      <w:r w:rsidR="00A55E69">
        <w:rPr>
          <w:rFonts w:ascii="Verdana" w:hAnsi="Verdana" w:cs="Arial"/>
          <w:lang w:eastAsia="es-ES"/>
        </w:rPr>
        <w:t xml:space="preserve"> </w:t>
      </w:r>
      <w:r w:rsidR="00A55E69" w:rsidRPr="00301910">
        <w:rPr>
          <w:rFonts w:ascii="Verdana" w:hAnsi="Verdana" w:cs="Arial"/>
          <w:lang w:eastAsia="es-ES"/>
        </w:rPr>
        <w:t>consulta.</w:t>
      </w:r>
      <w:r w:rsidR="00A55E69">
        <w:rPr>
          <w:rFonts w:ascii="Verdana" w:hAnsi="Verdana" w:cs="Arial"/>
          <w:lang w:eastAsia="es-ES"/>
        </w:rPr>
        <w:t xml:space="preserve"> </w:t>
      </w:r>
      <w:r w:rsidR="00A55E69" w:rsidRPr="00301910">
        <w:rPr>
          <w:rFonts w:ascii="Verdana" w:hAnsi="Verdana" w:cs="Arial"/>
          <w:lang w:eastAsia="es-ES"/>
        </w:rPr>
        <w:t>Por lo anterior, previo concepto de sus asesores, la solución de situaciones particulares corresponde a los interesados</w:t>
      </w:r>
      <w:r w:rsidR="00A55E69">
        <w:rPr>
          <w:rFonts w:ascii="Verdana" w:hAnsi="Verdana" w:cs="Arial"/>
          <w:lang w:eastAsia="es-ES"/>
        </w:rPr>
        <w:t xml:space="preserve"> </w:t>
      </w:r>
      <w:r w:rsidR="00A55E69" w:rsidRPr="00301910">
        <w:rPr>
          <w:rFonts w:ascii="Verdana" w:hAnsi="Verdana" w:cs="Arial"/>
          <w:lang w:eastAsia="es-ES"/>
        </w:rPr>
        <w:t>adoptar la decisión correspondiente y, en caso de conflicto, a las autoridades judiciales, fiscales y disciplinarias.</w:t>
      </w:r>
    </w:p>
    <w:p w14:paraId="76965138" w14:textId="77777777" w:rsidR="00A55E69" w:rsidRDefault="00A55E69" w:rsidP="00A55E69">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301910">
        <w:rPr>
          <w:rFonts w:ascii="Verdana" w:hAnsi="Verdana" w:cs="Arial"/>
          <w:lang w:eastAsia="es-ES"/>
        </w:rPr>
        <w:lastRenderedPageBreak/>
        <w:t xml:space="preserve">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7FB6BC90" w14:textId="77777777" w:rsidR="00A55E69" w:rsidRPr="00F23895" w:rsidRDefault="00A55E69" w:rsidP="00A55E69">
      <w:pPr>
        <w:spacing w:after="0" w:line="276" w:lineRule="auto"/>
        <w:ind w:firstLine="709"/>
        <w:jc w:val="both"/>
        <w:rPr>
          <w:rFonts w:ascii="Verdana" w:hAnsi="Verdana" w:cs="Arial"/>
          <w:lang w:eastAsia="es-ES"/>
        </w:rPr>
      </w:pPr>
    </w:p>
    <w:p w14:paraId="206CDDD2" w14:textId="77777777" w:rsidR="00A55E69" w:rsidRPr="00593A5F" w:rsidRDefault="00A55E69" w:rsidP="00A55E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B867E5C" w14:textId="77777777" w:rsidR="00A55E69" w:rsidRPr="00593A5F" w:rsidRDefault="00A55E69" w:rsidP="00A55E6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5E69" w:rsidRPr="002407CE" w14:paraId="6F07C327" w14:textId="77777777" w:rsidTr="00FC1D64">
        <w:trPr>
          <w:trHeight w:val="870"/>
          <w:jc w:val="center"/>
        </w:trPr>
        <w:tc>
          <w:tcPr>
            <w:tcW w:w="8647" w:type="dxa"/>
          </w:tcPr>
          <w:p w14:paraId="41AA4452" w14:textId="77777777" w:rsidR="00A55E69" w:rsidRPr="00B954AE" w:rsidRDefault="00A55E69" w:rsidP="00A55E6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150.</w:t>
            </w:r>
          </w:p>
          <w:p w14:paraId="3C0BE0C5" w14:textId="77777777" w:rsidR="00A55E69" w:rsidRPr="00666BC2" w:rsidRDefault="00A55E69" w:rsidP="00A55E6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32 y 40.</w:t>
            </w:r>
          </w:p>
          <w:p w14:paraId="2EBABD62" w14:textId="77777777" w:rsidR="00A55E69" w:rsidRPr="00666BC2" w:rsidRDefault="00A55E69" w:rsidP="00A55E6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y 13.</w:t>
            </w:r>
          </w:p>
          <w:p w14:paraId="4D002DF2" w14:textId="77777777" w:rsidR="00A55E69" w:rsidRPr="00B954AE" w:rsidRDefault="00A55E69" w:rsidP="00A55E6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56.</w:t>
            </w:r>
          </w:p>
          <w:p w14:paraId="1AEF727C" w14:textId="77777777" w:rsidR="00A55E69" w:rsidRPr="00666BC2" w:rsidRDefault="00A55E69" w:rsidP="00A55E6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111 de 1996, artículo 110. </w:t>
            </w:r>
          </w:p>
        </w:tc>
      </w:tr>
    </w:tbl>
    <w:p w14:paraId="17D6B3A5" w14:textId="77777777" w:rsidR="00A55E69" w:rsidRPr="002407CE" w:rsidRDefault="00A55E69" w:rsidP="00A55E69">
      <w:pPr>
        <w:widowControl w:val="0"/>
        <w:autoSpaceDE w:val="0"/>
        <w:autoSpaceDN w:val="0"/>
        <w:spacing w:after="0" w:line="276" w:lineRule="auto"/>
        <w:jc w:val="both"/>
        <w:rPr>
          <w:rFonts w:ascii="Verdana" w:hAnsi="Verdana" w:cs="Arial"/>
        </w:rPr>
      </w:pPr>
    </w:p>
    <w:p w14:paraId="22B679D0" w14:textId="77777777" w:rsidR="00A55E69" w:rsidRPr="00593A5F" w:rsidRDefault="00A55E69" w:rsidP="00A55E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D6BF53B" w14:textId="77777777" w:rsidR="00A55E69" w:rsidRPr="00593A5F" w:rsidRDefault="00A55E69" w:rsidP="00A55E69">
      <w:pPr>
        <w:widowControl w:val="0"/>
        <w:autoSpaceDE w:val="0"/>
        <w:autoSpaceDN w:val="0"/>
        <w:spacing w:after="0" w:line="276" w:lineRule="auto"/>
        <w:jc w:val="both"/>
        <w:rPr>
          <w:rFonts w:ascii="Verdana" w:hAnsi="Verdana" w:cs="Arial"/>
        </w:rPr>
      </w:pPr>
    </w:p>
    <w:p w14:paraId="41ABBC03" w14:textId="77777777" w:rsidR="00A55E69" w:rsidRPr="00ED0098" w:rsidRDefault="00A55E69" w:rsidP="00A55E69">
      <w:pPr>
        <w:widowControl w:val="0"/>
        <w:autoSpaceDE w:val="0"/>
        <w:autoSpaceDN w:val="0"/>
        <w:spacing w:after="0" w:line="276" w:lineRule="auto"/>
        <w:jc w:val="both"/>
        <w:rPr>
          <w:rStyle w:val="normaltextrun"/>
          <w:rFonts w:ascii="Verdana" w:hAnsi="Verdana" w:cs="Arial"/>
          <w:shd w:val="clear" w:color="auto" w:fill="FFFFFF"/>
        </w:rPr>
      </w:pPr>
      <w:r w:rsidRPr="002965A0">
        <w:rPr>
          <w:rStyle w:val="normaltextrun"/>
          <w:rFonts w:ascii="Verdana" w:hAnsi="Verdana" w:cs="Arial"/>
          <w:shd w:val="clear" w:color="auto" w:fill="FFFFFF"/>
          <w:lang w:val="es-ES"/>
        </w:rPr>
        <w:t>Esta Subdirección se ha</w:t>
      </w:r>
      <w:r>
        <w:rPr>
          <w:rStyle w:val="normaltextrun"/>
          <w:rFonts w:ascii="Verdana" w:hAnsi="Verdana" w:cs="Arial"/>
          <w:shd w:val="clear" w:color="auto" w:fill="FFFFFF"/>
          <w:lang w:val="es-ES"/>
        </w:rPr>
        <w:t xml:space="preserve"> </w:t>
      </w:r>
      <w:r w:rsidRPr="00F3026D">
        <w:rPr>
          <w:rStyle w:val="normaltextrun"/>
          <w:rFonts w:ascii="Verdana" w:hAnsi="Verdana" w:cs="Arial"/>
          <w:shd w:val="clear" w:color="auto" w:fill="FFFFFF"/>
          <w:lang w:val="es-ES"/>
        </w:rPr>
        <w:t>pronunciado sobre el alcance del artículo</w:t>
      </w:r>
      <w:r>
        <w:rPr>
          <w:rStyle w:val="normaltextrun"/>
          <w:rFonts w:ascii="Verdana" w:hAnsi="Verdana" w:cs="Arial"/>
          <w:shd w:val="clear" w:color="auto" w:fill="FFFFFF"/>
          <w:lang w:val="es-ES"/>
        </w:rPr>
        <w:t xml:space="preserve"> </w:t>
      </w:r>
      <w:r w:rsidRPr="00F3026D">
        <w:rPr>
          <w:rStyle w:val="normaltextrun"/>
          <w:rFonts w:ascii="Verdana" w:hAnsi="Verdana" w:cs="Arial"/>
          <w:shd w:val="clear" w:color="auto" w:fill="FFFFFF"/>
          <w:lang w:val="es-ES"/>
        </w:rPr>
        <w:t xml:space="preserve"> 56 de la Ley 2195 de 2022</w:t>
      </w:r>
      <w:r>
        <w:rPr>
          <w:rStyle w:val="normaltextrun"/>
          <w:rFonts w:ascii="Verdana" w:hAnsi="Verdana" w:cs="Arial"/>
          <w:shd w:val="clear" w:color="auto" w:fill="FFFFFF"/>
          <w:lang w:val="es-ES"/>
        </w:rPr>
        <w:t xml:space="preserve"> y el Régimen Especial de Contratación</w:t>
      </w:r>
      <w:r w:rsidRPr="00F3026D">
        <w:rPr>
          <w:rStyle w:val="normaltextrun"/>
          <w:rFonts w:ascii="Verdana" w:hAnsi="Verdana" w:cs="Arial"/>
          <w:shd w:val="clear" w:color="auto" w:fill="FFFFFF"/>
          <w:lang w:val="es-ES"/>
        </w:rPr>
        <w:t>, específicamente, a partir del Concepto C-066 del 28 de enero de 2022, cuya tesis se desarrolló y complementó los Conceptos C-320 del 20 de mayo de 2022, C-333 del 24 de mayo de 2022, C-404 del 26 de mayo de 2023, C-382 del 27 de mayo de 2022, C-388 del 15 de junio de 2022, C-423 del 5 de julio de 2022, C-435 del 6 de julio de 2023, C-453 del 15 de julio de 2022, C-494 del 26 de julio de 2022, C-483 del 5 de agosto de 2022, C-496 del 3 de agosto de 2022, C-556 del 3 de agosto de 2022 y C-532 del 22 de agosto de 2022, pronunciándose específicamente sobre las empresas de servicios públicos en los Conceptos C-341 del 27 de mayo de 2022, C-382 del 27 de mayo de 2022, C-449 del 25 de julio de 2022, C-453 del 14 de julio de 2022,  C-488 del 29 de julio de 2022, C-494 del 28 de julio de 2022 y C-501 del del 29 de julio de 2022 y C-056 del 26 de abril de 2023. El mismo tema ha sido estudiado por esta Subdirección en los Conceptos C-486 del 2 de septiembre de 2022, C-671 del 19 de octubre de 2022, C-576 del 25 de octubre de 2022, C-042 del 29 de marzo de 2023 y C-299 del 24 de julio de 2023, 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Estos y otros</w:t>
      </w:r>
      <w:r>
        <w:rPr>
          <w:rFonts w:ascii="Verdana" w:hAnsi="Verdana" w:cs="Arial"/>
          <w:shd w:val="clear" w:color="auto" w:fill="FFFFFF"/>
        </w:rPr>
        <w:t xml:space="preserve">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458A849" w14:textId="77777777" w:rsidR="00A55E69" w:rsidRDefault="00A55E69" w:rsidP="00A55E6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83CF9A0" w14:textId="77777777" w:rsidR="00A55E69" w:rsidRPr="00A1554D" w:rsidRDefault="00A55E69" w:rsidP="00A55E69">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B45DE2">
        <w:rPr>
          <w:rStyle w:val="normaltextrun"/>
          <w:rFonts w:ascii="Verdana" w:hAnsi="Verdana" w:cs="Arial"/>
          <w:color w:val="000000" w:themeColor="text1"/>
          <w:shd w:val="clear" w:color="auto" w:fill="FFFFFF"/>
          <w:lang w:val="es-ES"/>
        </w:rPr>
        <w:lastRenderedPageBreak/>
        <w:t xml:space="preserve">Te </w:t>
      </w:r>
      <w:r w:rsidRPr="00096788">
        <w:rPr>
          <w:rFonts w:ascii="Verdana" w:hAnsi="Verdana" w:cs="Arial"/>
          <w:color w:val="000000" w:themeColor="text1"/>
          <w:shd w:val="clear" w:color="auto" w:fill="FFFFFF"/>
        </w:rPr>
        <w:t>invitamos a consultar las versiones V</w:t>
      </w:r>
      <w:r>
        <w:rPr>
          <w:rFonts w:ascii="Verdana" w:hAnsi="Verdana" w:cs="Arial"/>
          <w:color w:val="000000" w:themeColor="text1"/>
          <w:shd w:val="clear" w:color="auto" w:fill="FFFFFF"/>
        </w:rPr>
        <w:t>II</w:t>
      </w:r>
      <w:r w:rsidRPr="00096788">
        <w:rPr>
          <w:rFonts w:ascii="Verdana" w:hAnsi="Verdana" w:cs="Arial"/>
          <w:color w:val="000000" w:themeColor="text1"/>
          <w:shd w:val="clear" w:color="auto" w:fill="FFFFFF"/>
        </w:rPr>
        <w:t xml:space="preserve"> y VI</w:t>
      </w:r>
      <w:r>
        <w:rPr>
          <w:rFonts w:ascii="Verdana" w:hAnsi="Verdana" w:cs="Arial"/>
          <w:color w:val="000000" w:themeColor="text1"/>
          <w:shd w:val="clear" w:color="auto" w:fill="FFFFFF"/>
        </w:rPr>
        <w:t>II</w:t>
      </w:r>
      <w:r w:rsidRPr="00096788">
        <w:rPr>
          <w:rFonts w:ascii="Verdana" w:hAnsi="Verdana" w:cs="Arial"/>
          <w:color w:val="000000" w:themeColor="text1"/>
          <w:shd w:val="clear" w:color="auto" w:fill="FFFFFF"/>
        </w:rPr>
        <w:t xml:space="preserve"> de 2024 del Boletín de Relatoría de la Subdirección de Gestión Contractual relacionados con las guías de Plan Anual de Adquisiciones y la </w:t>
      </w:r>
      <w:r>
        <w:rPr>
          <w:rFonts w:ascii="Verdana" w:hAnsi="Verdana" w:cs="Arial"/>
          <w:color w:val="000000" w:themeColor="text1"/>
          <w:shd w:val="clear" w:color="auto" w:fill="FFFFFF"/>
        </w:rPr>
        <w:t>m</w:t>
      </w:r>
      <w:r w:rsidRPr="00096788">
        <w:rPr>
          <w:rFonts w:ascii="Verdana" w:hAnsi="Verdana" w:cs="Arial"/>
          <w:color w:val="000000" w:themeColor="text1"/>
          <w:shd w:val="clear" w:color="auto" w:fill="FFFFFF"/>
        </w:rPr>
        <w:t>odalidad de selección de mínima cuantía, los cuales se pueden descargar en la página web de la Agencia:</w:t>
      </w:r>
      <w:r>
        <w:rPr>
          <w:rFonts w:ascii="Verdana" w:hAnsi="Verdana" w:cs="Arial"/>
          <w:color w:val="000000" w:themeColor="text1"/>
          <w:shd w:val="clear" w:color="auto" w:fill="FFFFFF"/>
        </w:rPr>
        <w:t xml:space="preserve"> </w:t>
      </w:r>
      <w:hyperlink r:id="rId12" w:history="1">
        <w:r w:rsidRPr="003D5B71">
          <w:rPr>
            <w:rStyle w:val="Hipervnculo"/>
            <w:rFonts w:ascii="Verdana" w:hAnsi="Verdana" w:cs="Arial"/>
            <w:shd w:val="clear" w:color="auto" w:fill="FFFFFF"/>
          </w:rPr>
          <w:t>https://www.colombiacompra.gov.co/sala-de-prensa/boletin-digital</w:t>
        </w:r>
      </w:hyperlink>
      <w:r>
        <w:rPr>
          <w:rFonts w:ascii="Verdana" w:hAnsi="Verdana" w:cs="Arial"/>
          <w:color w:val="000000" w:themeColor="text1"/>
          <w:shd w:val="clear" w:color="auto" w:fill="FFFFFF"/>
          <w:lang w:val="es-ES"/>
        </w:rPr>
        <w:t>.</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26412167" w14:textId="77777777" w:rsidR="00A55E69" w:rsidRPr="00242D53" w:rsidRDefault="00A55E69" w:rsidP="00A55E69">
      <w:pPr>
        <w:widowControl w:val="0"/>
        <w:autoSpaceDE w:val="0"/>
        <w:autoSpaceDN w:val="0"/>
        <w:spacing w:after="120" w:line="276" w:lineRule="auto"/>
        <w:jc w:val="both"/>
        <w:rPr>
          <w:rFonts w:ascii="Verdana" w:hAnsi="Verdana" w:cs="Arial"/>
          <w:lang w:val="es-MX"/>
        </w:rPr>
      </w:pPr>
    </w:p>
    <w:p w14:paraId="2BAB41B0" w14:textId="77777777" w:rsidR="00A55E69" w:rsidRPr="00593A5F" w:rsidRDefault="00A55E69" w:rsidP="00A55E6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6403CB89" w14:textId="77777777" w:rsidR="00A55E69" w:rsidRPr="001F1E9D" w:rsidRDefault="00A55E69" w:rsidP="00A55E69">
      <w:pPr>
        <w:widowControl w:val="0"/>
        <w:autoSpaceDE w:val="0"/>
        <w:autoSpaceDN w:val="0"/>
        <w:spacing w:after="0" w:line="276" w:lineRule="auto"/>
        <w:jc w:val="both"/>
        <w:rPr>
          <w:rFonts w:ascii="Verdana" w:hAnsi="Verdana" w:cs="Arial"/>
          <w:lang w:val="es-ES_tradnl"/>
        </w:rPr>
      </w:pPr>
    </w:p>
    <w:p w14:paraId="00A4355E" w14:textId="77777777" w:rsidR="00A55E69" w:rsidRPr="00593A5F" w:rsidRDefault="00A55E69" w:rsidP="00A55E6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6A00E85" w14:textId="4A4B63C8" w:rsidR="00A55E69" w:rsidRDefault="008A3ED0" w:rsidP="00A55E69">
      <w:pPr>
        <w:spacing w:after="0" w:line="276" w:lineRule="auto"/>
        <w:jc w:val="center"/>
        <w:rPr>
          <w:rFonts w:ascii="Verdana" w:hAnsi="Verdana"/>
          <w:lang w:val="es-ES_tradnl"/>
        </w:rPr>
      </w:pPr>
      <w:r>
        <w:rPr>
          <w:rFonts w:ascii="Verdana" w:hAnsi="Verdana"/>
          <w:noProof/>
          <w:lang w:val="es-ES_tradnl"/>
        </w:rPr>
        <w:drawing>
          <wp:inline distT="0" distB="0" distL="0" distR="0" wp14:anchorId="493FD69C" wp14:editId="62AF3690">
            <wp:extent cx="3639058" cy="1343212"/>
            <wp:effectExtent l="0" t="0" r="0" b="0"/>
            <wp:docPr id="63722881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228810"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5E69" w:rsidRPr="00D53651" w14:paraId="020463C9" w14:textId="77777777" w:rsidTr="00FC1D64">
        <w:trPr>
          <w:trHeight w:val="315"/>
        </w:trPr>
        <w:tc>
          <w:tcPr>
            <w:tcW w:w="893" w:type="dxa"/>
            <w:vAlign w:val="center"/>
            <w:hideMark/>
          </w:tcPr>
          <w:p w14:paraId="3559E713" w14:textId="77777777" w:rsidR="00A55E69" w:rsidRPr="00D53651" w:rsidRDefault="00A55E69" w:rsidP="00FC1D6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55029247" w14:textId="77777777" w:rsidR="00A55E69" w:rsidRPr="00D53651" w:rsidRDefault="00A55E69" w:rsidP="00FC1D64">
            <w:pPr>
              <w:spacing w:line="276" w:lineRule="auto"/>
              <w:jc w:val="both"/>
              <w:rPr>
                <w:rFonts w:ascii="Verdana" w:hAnsi="Verdana"/>
                <w:sz w:val="16"/>
                <w:szCs w:val="16"/>
              </w:rPr>
            </w:pPr>
            <w:r>
              <w:rPr>
                <w:rFonts w:ascii="Verdana" w:hAnsi="Verdana"/>
                <w:sz w:val="16"/>
                <w:szCs w:val="16"/>
              </w:rPr>
              <w:t>Gloria Elizabeth Arango Builes</w:t>
            </w:r>
          </w:p>
          <w:p w14:paraId="5EB2877B" w14:textId="77777777" w:rsidR="00A55E69" w:rsidRPr="00D53651" w:rsidRDefault="00A55E69" w:rsidP="00FC1D6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A55E69" w:rsidRPr="00D53651" w14:paraId="69035055" w14:textId="77777777" w:rsidTr="00FC1D64">
        <w:trPr>
          <w:trHeight w:val="330"/>
        </w:trPr>
        <w:tc>
          <w:tcPr>
            <w:tcW w:w="893" w:type="dxa"/>
            <w:vAlign w:val="center"/>
            <w:hideMark/>
          </w:tcPr>
          <w:p w14:paraId="7D74D149" w14:textId="77777777" w:rsidR="00A55E69" w:rsidRPr="00D53651" w:rsidRDefault="00A55E69" w:rsidP="00FC1D6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058DD15D" w14:textId="77777777" w:rsidR="00A55E69" w:rsidRPr="00D53651" w:rsidRDefault="00A55E69" w:rsidP="00FC1D64">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p>
          <w:p w14:paraId="2CA5A04C" w14:textId="77777777" w:rsidR="00A55E69" w:rsidRPr="00D53651" w:rsidRDefault="00A55E69" w:rsidP="00FC1D6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A55E69" w:rsidRPr="00D53651" w14:paraId="5E99A502" w14:textId="77777777" w:rsidTr="00FC1D64">
        <w:trPr>
          <w:trHeight w:val="300"/>
        </w:trPr>
        <w:tc>
          <w:tcPr>
            <w:tcW w:w="893" w:type="dxa"/>
            <w:vAlign w:val="center"/>
            <w:hideMark/>
          </w:tcPr>
          <w:p w14:paraId="3F2DCD15" w14:textId="77777777" w:rsidR="00A55E69" w:rsidRPr="00D53651" w:rsidRDefault="00A55E69" w:rsidP="00FC1D6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B21704D" w14:textId="77777777" w:rsidR="00A55E69" w:rsidRPr="00D53651" w:rsidRDefault="00A55E69" w:rsidP="00FC1D64">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CDE135D" w14:textId="77777777" w:rsidR="00A55E69" w:rsidRPr="00D53651" w:rsidRDefault="00A55E69" w:rsidP="00FC1D6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475C2FD8" w14:textId="77777777" w:rsidR="00A55E69" w:rsidRPr="000931E9" w:rsidRDefault="00A55E69" w:rsidP="00A55E69"/>
    <w:p w14:paraId="36A43D72" w14:textId="77777777" w:rsidR="00A55E69" w:rsidRPr="0044528D" w:rsidRDefault="00A55E69" w:rsidP="00A55E69">
      <w:pPr>
        <w:spacing w:after="0"/>
        <w:rPr>
          <w:rFonts w:ascii="Verdana" w:hAnsi="Verdana"/>
        </w:rPr>
      </w:pPr>
    </w:p>
    <w:p w14:paraId="55D61F4C" w14:textId="77777777" w:rsidR="00A55E69" w:rsidRPr="00FA01E0" w:rsidRDefault="00A55E69" w:rsidP="00A55E69">
      <w:pPr>
        <w:spacing w:after="0" w:line="276" w:lineRule="auto"/>
        <w:jc w:val="both"/>
        <w:rPr>
          <w:rFonts w:ascii="Verdana" w:eastAsia="Calibri" w:hAnsi="Verdana" w:cs="Arial"/>
          <w:lang w:val="es-ES"/>
        </w:rPr>
      </w:pPr>
    </w:p>
    <w:p w14:paraId="127B7B22" w14:textId="77777777" w:rsidR="00A55E69" w:rsidRPr="00514983" w:rsidRDefault="00A55E69" w:rsidP="00A55E69"/>
    <w:p w14:paraId="262F76A2" w14:textId="77777777" w:rsidR="00A55E69" w:rsidRPr="00FF4E35" w:rsidRDefault="00A55E69" w:rsidP="00A55E69"/>
    <w:p w14:paraId="0F293BF4" w14:textId="27F11D7C" w:rsidR="00127233" w:rsidRPr="00A55E69" w:rsidRDefault="00127233" w:rsidP="00A55E69"/>
    <w:sectPr w:rsidR="00127233" w:rsidRPr="00A55E69"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50A80" w14:textId="77777777" w:rsidR="006E2E70" w:rsidRDefault="006E2E70" w:rsidP="004A1847">
      <w:pPr>
        <w:spacing w:after="0" w:line="240" w:lineRule="auto"/>
      </w:pPr>
      <w:r>
        <w:separator/>
      </w:r>
    </w:p>
  </w:endnote>
  <w:endnote w:type="continuationSeparator" w:id="0">
    <w:p w14:paraId="655F4E6B" w14:textId="77777777" w:rsidR="006E2E70" w:rsidRDefault="006E2E70" w:rsidP="004A1847">
      <w:pPr>
        <w:spacing w:after="0" w:line="240" w:lineRule="auto"/>
      </w:pPr>
      <w:r>
        <w:continuationSeparator/>
      </w:r>
    </w:p>
  </w:endnote>
  <w:endnote w:type="continuationNotice" w:id="1">
    <w:p w14:paraId="69427A3F" w14:textId="77777777" w:rsidR="006E2E70" w:rsidRDefault="006E2E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89EE6" w14:textId="77777777" w:rsidR="006E2E70" w:rsidRDefault="006E2E70" w:rsidP="004A1847">
      <w:pPr>
        <w:spacing w:after="0" w:line="240" w:lineRule="auto"/>
      </w:pPr>
      <w:r>
        <w:separator/>
      </w:r>
    </w:p>
  </w:footnote>
  <w:footnote w:type="continuationSeparator" w:id="0">
    <w:p w14:paraId="26240BD1" w14:textId="77777777" w:rsidR="006E2E70" w:rsidRDefault="006E2E70" w:rsidP="004A1847">
      <w:pPr>
        <w:spacing w:after="0" w:line="240" w:lineRule="auto"/>
      </w:pPr>
      <w:r>
        <w:continuationSeparator/>
      </w:r>
    </w:p>
  </w:footnote>
  <w:footnote w:type="continuationNotice" w:id="1">
    <w:p w14:paraId="49DB8BB5" w14:textId="77777777" w:rsidR="006E2E70" w:rsidRDefault="006E2E70">
      <w:pPr>
        <w:spacing w:after="0" w:line="240" w:lineRule="auto"/>
      </w:pPr>
    </w:p>
  </w:footnote>
  <w:footnote w:id="2">
    <w:p w14:paraId="211AB663" w14:textId="77777777" w:rsidR="00A55E69" w:rsidRPr="001244F3" w:rsidRDefault="00A55E69" w:rsidP="00A55E69">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18D3C51D" w14:textId="77777777" w:rsidR="00A55E69" w:rsidRPr="001244F3" w:rsidRDefault="00A55E69" w:rsidP="00A55E69">
      <w:pPr>
        <w:pStyle w:val="Textonotapie"/>
        <w:ind w:firstLine="708"/>
        <w:jc w:val="both"/>
        <w:rPr>
          <w:rFonts w:ascii="Verdana" w:hAnsi="Verdana"/>
          <w:sz w:val="16"/>
          <w:szCs w:val="16"/>
        </w:rPr>
      </w:pPr>
      <w:r w:rsidRPr="001244F3">
        <w:rPr>
          <w:rFonts w:ascii="Verdana" w:hAnsi="Verdana"/>
          <w:sz w:val="16"/>
          <w:szCs w:val="16"/>
        </w:rPr>
        <w:t>[…]</w:t>
      </w:r>
    </w:p>
    <w:p w14:paraId="0F3DB883" w14:textId="77777777" w:rsidR="00A55E69" w:rsidRPr="001244F3" w:rsidRDefault="00A55E69" w:rsidP="00A55E69">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4DDC3E4C" w14:textId="77777777" w:rsidR="00A55E69" w:rsidRPr="001244F3" w:rsidRDefault="00A55E69" w:rsidP="00A55E69">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3">
    <w:p w14:paraId="154ED91B" w14:textId="77777777" w:rsidR="00A55E69" w:rsidRPr="001244F3" w:rsidRDefault="00A55E69" w:rsidP="00A55E69">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El inciso primero de norma disponía que, conforme al principio de transparencia, “</w:t>
      </w:r>
      <w:r w:rsidRPr="001244F3">
        <w:rPr>
          <w:rFonts w:ascii="Verdana" w:hAnsi="Verdana" w:cs="Arial"/>
          <w:i/>
          <w:iCs/>
          <w:sz w:val="16"/>
          <w:szCs w:val="16"/>
        </w:rPr>
        <w:t>La escogencia del contratista se efectuará siempre a través de licitación o concurso públicos</w:t>
      </w:r>
      <w:r w:rsidRPr="001244F3">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0CEB9F14" w14:textId="77777777" w:rsidR="00A55E69" w:rsidRPr="001244F3" w:rsidRDefault="00A55E69" w:rsidP="00A55E69">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w:t>
      </w:r>
      <w:r w:rsidRPr="001244F3">
        <w:rPr>
          <w:rFonts w:ascii="Verdana" w:hAnsi="Verdana" w:cs="Arial"/>
          <w:sz w:val="16"/>
          <w:szCs w:val="16"/>
        </w:rPr>
        <w:t xml:space="preserve">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w:t>
      </w:r>
      <w:r w:rsidRPr="001244F3">
        <w:rPr>
          <w:rFonts w:ascii="Verdana" w:hAnsi="Verdana" w:cs="Arial"/>
          <w:sz w:val="16"/>
          <w:szCs w:val="16"/>
        </w:rPr>
        <w:t>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1244F3">
        <w:rPr>
          <w:rFonts w:ascii="Verdana" w:hAnsi="Verdana" w:cs="Arial"/>
          <w:i/>
          <w:iCs/>
          <w:sz w:val="16"/>
          <w:szCs w:val="16"/>
        </w:rPr>
        <w:t>Presentación de la oferta de manera dinámica</w:t>
      </w:r>
      <w:r w:rsidRPr="001244F3">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46427392" w14:textId="77777777" w:rsidR="00A55E69" w:rsidRPr="001244F3" w:rsidRDefault="00A55E69" w:rsidP="00A55E69">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JOJOA BOLAÑOS, Alexander. Los regímenes exceptuados en los contratos estatales. Bogotá: Grupo Editorial Ibáñez, 2012. p. 89.</w:t>
      </w:r>
    </w:p>
  </w:footnote>
  <w:footnote w:id="6">
    <w:p w14:paraId="7E586F71" w14:textId="77777777" w:rsidR="00A55E69" w:rsidRPr="001244F3" w:rsidRDefault="00A55E69" w:rsidP="00A55E69">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BARRETO MORENO, Antonio Alejandro. El derecho de la compra pública: estudio jurídico de un mercado imperfecto. Bogotá: Legis, 2019. pp. 281 y ss.</w:t>
      </w:r>
    </w:p>
  </w:footnote>
  <w:footnote w:id="7">
    <w:p w14:paraId="21B8463A"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8">
    <w:p w14:paraId="356AE26F"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9">
    <w:p w14:paraId="607D7B1D"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w:t>
      </w:r>
      <w:r w:rsidRPr="001244F3">
        <w:rPr>
          <w:rFonts w:ascii="Verdana" w:hAnsi="Verdana" w:cs="Arial"/>
          <w:color w:val="000000" w:themeColor="text1"/>
          <w:sz w:val="16"/>
          <w:szCs w:val="16"/>
        </w:rPr>
        <w:t xml:space="preserve">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 w:id="10">
    <w:p w14:paraId="48E8E99E" w14:textId="77777777" w:rsidR="00A55E69" w:rsidRPr="001244F3" w:rsidRDefault="00A55E69" w:rsidP="00A55E69">
      <w:pPr>
        <w:pStyle w:val="Textonotapie"/>
        <w:ind w:firstLine="708"/>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 xml:space="preserve">Es el caso de: i) las empresas sociales del Estado (art. 195, </w:t>
      </w:r>
      <w:r w:rsidRPr="001244F3">
        <w:rPr>
          <w:rFonts w:ascii="Verdana" w:hAnsi="Verdana" w:cs="Arial"/>
          <w:color w:val="000000" w:themeColor="text1"/>
          <w:sz w:val="16"/>
          <w:szCs w:val="16"/>
          <w:lang w:val="es-ES"/>
        </w:rPr>
        <w:t>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1">
    <w:p w14:paraId="2A572353" w14:textId="77777777" w:rsidR="00A55E69" w:rsidRPr="001244F3" w:rsidRDefault="00A55E69" w:rsidP="00A55E69">
      <w:pPr>
        <w:pStyle w:val="Textonotapie"/>
        <w:ind w:firstLine="709"/>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2">
    <w:p w14:paraId="6BF2E138"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Así lo sostuvo el Consejo de Estado: </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5FB718C7"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 xml:space="preserve">Lo anterior explica por qué en el derecho privado las partes no pueden condicionar la existencia de un contrato, que por ley sea consensual, al hecho de que conste por escrito; ni uno que requiere escritura pública al hecho de que el acuerdo verbal sea suficiente. Esto significa </w:t>
      </w:r>
      <w:r w:rsidRPr="001244F3">
        <w:rPr>
          <w:rFonts w:ascii="Verdana" w:hAnsi="Verdana" w:cs="Arial"/>
          <w:color w:val="000000" w:themeColor="text1"/>
          <w:sz w:val="16"/>
          <w:szCs w:val="16"/>
        </w:rPr>
        <w:t>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0E3E78D1"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0DAD9A55"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58066F64" w14:textId="77777777" w:rsidR="00A55E69" w:rsidRPr="001244F3" w:rsidRDefault="00A55E69" w:rsidP="00A55E69">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 (Consejo de Estado. Sección Tercera. Subsección C. Sentencia del 8 de abril de 2014. </w:t>
      </w:r>
      <w:r w:rsidRPr="001244F3">
        <w:rPr>
          <w:rFonts w:ascii="Verdana" w:hAnsi="Verdana" w:cs="Arial"/>
          <w:color w:val="000000" w:themeColor="text1"/>
          <w:sz w:val="16"/>
          <w:szCs w:val="16"/>
        </w:rPr>
        <w:t xml:space="preserve">Exp. 25.801 C.P. Enrique Gil Botero).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48C"/>
    <w:rsid w:val="00061B2A"/>
    <w:rsid w:val="00082362"/>
    <w:rsid w:val="000A683E"/>
    <w:rsid w:val="000B19B9"/>
    <w:rsid w:val="000D0334"/>
    <w:rsid w:val="000D5DA7"/>
    <w:rsid w:val="000F6486"/>
    <w:rsid w:val="00116940"/>
    <w:rsid w:val="00125105"/>
    <w:rsid w:val="00127233"/>
    <w:rsid w:val="001325D7"/>
    <w:rsid w:val="0015699B"/>
    <w:rsid w:val="001A33BF"/>
    <w:rsid w:val="001C1546"/>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7159"/>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40A0"/>
    <w:rsid w:val="004A1847"/>
    <w:rsid w:val="004A305D"/>
    <w:rsid w:val="004F21C4"/>
    <w:rsid w:val="004F685F"/>
    <w:rsid w:val="005410DA"/>
    <w:rsid w:val="005566E8"/>
    <w:rsid w:val="00574867"/>
    <w:rsid w:val="00591460"/>
    <w:rsid w:val="005A65E0"/>
    <w:rsid w:val="005C3777"/>
    <w:rsid w:val="005C5CDC"/>
    <w:rsid w:val="005D476C"/>
    <w:rsid w:val="006200BF"/>
    <w:rsid w:val="006219F8"/>
    <w:rsid w:val="006302F7"/>
    <w:rsid w:val="00646B9F"/>
    <w:rsid w:val="00665D70"/>
    <w:rsid w:val="006900D9"/>
    <w:rsid w:val="006E2E70"/>
    <w:rsid w:val="00706C16"/>
    <w:rsid w:val="007340C3"/>
    <w:rsid w:val="0075235A"/>
    <w:rsid w:val="00756841"/>
    <w:rsid w:val="00756973"/>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3ED0"/>
    <w:rsid w:val="008A446D"/>
    <w:rsid w:val="008A7CB9"/>
    <w:rsid w:val="008B25F1"/>
    <w:rsid w:val="008D180B"/>
    <w:rsid w:val="008F0EA7"/>
    <w:rsid w:val="00923EEF"/>
    <w:rsid w:val="009419F9"/>
    <w:rsid w:val="0095685E"/>
    <w:rsid w:val="00961B09"/>
    <w:rsid w:val="00965334"/>
    <w:rsid w:val="0097093E"/>
    <w:rsid w:val="009A0DFA"/>
    <w:rsid w:val="009A1C6F"/>
    <w:rsid w:val="009A3998"/>
    <w:rsid w:val="009B2D26"/>
    <w:rsid w:val="009C71FA"/>
    <w:rsid w:val="009C72E7"/>
    <w:rsid w:val="009C7F7E"/>
    <w:rsid w:val="009D3058"/>
    <w:rsid w:val="009F3A13"/>
    <w:rsid w:val="00A120D6"/>
    <w:rsid w:val="00A122D3"/>
    <w:rsid w:val="00A14468"/>
    <w:rsid w:val="00A17F13"/>
    <w:rsid w:val="00A20739"/>
    <w:rsid w:val="00A23AF9"/>
    <w:rsid w:val="00A33C78"/>
    <w:rsid w:val="00A3517F"/>
    <w:rsid w:val="00A55E69"/>
    <w:rsid w:val="00AB0ADB"/>
    <w:rsid w:val="00B00C0E"/>
    <w:rsid w:val="00B01B1A"/>
    <w:rsid w:val="00B0381D"/>
    <w:rsid w:val="00B44A47"/>
    <w:rsid w:val="00B72CD3"/>
    <w:rsid w:val="00B72FFF"/>
    <w:rsid w:val="00BB701A"/>
    <w:rsid w:val="00BC3D36"/>
    <w:rsid w:val="00BD54A6"/>
    <w:rsid w:val="00BD7F72"/>
    <w:rsid w:val="00BF7425"/>
    <w:rsid w:val="00C004C2"/>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5AAC"/>
    <w:rsid w:val="00DF0BDF"/>
    <w:rsid w:val="00DF5254"/>
    <w:rsid w:val="00E02524"/>
    <w:rsid w:val="00E03B99"/>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08CE"/>
    <w:rsid w:val="00F5664F"/>
    <w:rsid w:val="00F666C4"/>
    <w:rsid w:val="00F76AFC"/>
    <w:rsid w:val="00F86928"/>
    <w:rsid w:val="00FA47C0"/>
    <w:rsid w:val="00FB5DD1"/>
    <w:rsid w:val="00FC2B5D"/>
    <w:rsid w:val="00FF1449"/>
    <w:rsid w:val="00FF7963"/>
    <w:rsid w:val="071B8F93"/>
    <w:rsid w:val="09908A09"/>
    <w:rsid w:val="0FF4CCA8"/>
    <w:rsid w:val="13CFC91B"/>
    <w:rsid w:val="19A2EC2C"/>
    <w:rsid w:val="2859CA1B"/>
    <w:rsid w:val="32A4F9CF"/>
    <w:rsid w:val="356CEDFD"/>
    <w:rsid w:val="69614A15"/>
    <w:rsid w:val="7B0DCAD9"/>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55E6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55E69"/>
    <w:rPr>
      <w:rFonts w:ascii="Geomanist Light" w:hAnsi="Geomanist Light"/>
      <w:lang w:val="es-ES"/>
    </w:rPr>
  </w:style>
  <w:style w:type="paragraph" w:styleId="Sinespaciado">
    <w:name w:val="No Spacing"/>
    <w:aliases w:val="No Indent"/>
    <w:uiPriority w:val="3"/>
    <w:qFormat/>
    <w:rsid w:val="00A55E69"/>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ala-de-prensa/boletin-digit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8021FD-2365-4ADB-B560-934B869359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16</Pages>
  <Words>5023</Words>
  <Characters>27729</Characters>
  <Application>Microsoft Office Word</Application>
  <DocSecurity>0</DocSecurity>
  <Lines>533</Lines>
  <Paragraphs>102</Paragraphs>
  <ScaleCrop>false</ScaleCrop>
  <Company/>
  <LinksUpToDate>false</LinksUpToDate>
  <CharactersWithSpaces>32650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2025-12-05T22:15:00Z</dcterms:created>
  <dcterms:modified xsi:type="dcterms:W3CDTF">2025-12-09T16:42:00Z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