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DF4B97" w14:textId="77777777" w:rsidR="005A7B67" w:rsidRPr="00F53403" w:rsidRDefault="005A7B67" w:rsidP="005A7B67">
      <w:pPr>
        <w:contextualSpacing/>
        <w:jc w:val="both"/>
        <w:rPr>
          <w:rFonts w:ascii="Verdana" w:eastAsia="Calibri" w:hAnsi="Verdana" w:cs="Arial"/>
          <w:b/>
          <w:bCs/>
          <w:lang w:val="es-ES" w:eastAsia="es-ES"/>
        </w:rPr>
      </w:pPr>
      <w:bookmarkStart w:id="0" w:name="_Hlk143780582"/>
      <w:r w:rsidRPr="00F53403">
        <w:rPr>
          <w:rFonts w:ascii="Verdana" w:eastAsia="Calibri" w:hAnsi="Verdana" w:cs="Arial"/>
          <w:b/>
          <w:bCs/>
          <w:lang w:val="es-ES" w:eastAsia="es-ES"/>
        </w:rPr>
        <w:t>CONVENIO INTERADMINISTRATIVO – Concepto – Régimen jurídico</w:t>
      </w:r>
    </w:p>
    <w:p w14:paraId="6D639F8B" w14:textId="77777777" w:rsidR="005A7B67" w:rsidRPr="00F53403" w:rsidRDefault="005A7B67" w:rsidP="005A7B67">
      <w:pPr>
        <w:contextualSpacing/>
        <w:jc w:val="both"/>
        <w:rPr>
          <w:rFonts w:ascii="Verdana" w:eastAsia="Calibri" w:hAnsi="Verdana" w:cs="Arial"/>
          <w:b/>
          <w:bCs/>
          <w:highlight w:val="yellow"/>
          <w:lang w:val="es-ES" w:eastAsia="es-ES"/>
        </w:rPr>
      </w:pPr>
    </w:p>
    <w:p w14:paraId="3FC23615" w14:textId="7FB89253" w:rsidR="005A7B67" w:rsidRPr="00F53403" w:rsidRDefault="00B1790D" w:rsidP="005A7B67">
      <w:pPr>
        <w:contextualSpacing/>
        <w:jc w:val="both"/>
        <w:rPr>
          <w:rFonts w:ascii="Verdana" w:eastAsia="Times New Roman" w:hAnsi="Verdana" w:cs="Arial"/>
          <w:sz w:val="20"/>
          <w:szCs w:val="20"/>
          <w:lang w:val="es-ES"/>
        </w:rPr>
      </w:pPr>
      <w:r>
        <w:rPr>
          <w:rFonts w:ascii="Verdana" w:eastAsia="Times New Roman" w:hAnsi="Verdana" w:cs="Arial"/>
          <w:sz w:val="20"/>
          <w:szCs w:val="20"/>
          <w:lang w:val="es-ES"/>
        </w:rPr>
        <w:t>E</w:t>
      </w:r>
      <w:r w:rsidRPr="00B1790D">
        <w:rPr>
          <w:rFonts w:ascii="Verdana" w:eastAsia="Times New Roman" w:hAnsi="Verdana" w:cs="Arial"/>
          <w:sz w:val="20"/>
          <w:szCs w:val="20"/>
          <w:lang w:val="es-ES"/>
        </w:rPr>
        <w:t>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 Estatales</w:t>
      </w:r>
    </w:p>
    <w:p w14:paraId="18A19B99" w14:textId="77777777" w:rsidR="005A7B67" w:rsidRPr="00F53403" w:rsidRDefault="005A7B67" w:rsidP="005A7B67">
      <w:pPr>
        <w:spacing w:after="0" w:line="240" w:lineRule="auto"/>
        <w:jc w:val="both"/>
        <w:rPr>
          <w:rFonts w:ascii="Verdana" w:eastAsia="Arial" w:hAnsi="Verdana" w:cs="Arial"/>
          <w:sz w:val="20"/>
          <w:szCs w:val="20"/>
          <w:highlight w:val="yellow"/>
          <w:lang w:val="es-ES_tradnl" w:eastAsia="es-ES" w:bidi="es-ES"/>
        </w:rPr>
      </w:pPr>
    </w:p>
    <w:p w14:paraId="0ADAF981" w14:textId="77777777" w:rsidR="005A7B67" w:rsidRDefault="005A7B67" w:rsidP="005A7B67">
      <w:pPr>
        <w:spacing w:line="240" w:lineRule="auto"/>
        <w:contextualSpacing/>
        <w:jc w:val="both"/>
        <w:rPr>
          <w:rFonts w:ascii="Verdana" w:eastAsia="Calibri" w:hAnsi="Verdana" w:cs="Arial"/>
          <w:b/>
          <w:bCs/>
          <w:lang w:val="es-ES" w:eastAsia="es-ES"/>
        </w:rPr>
      </w:pPr>
      <w:r w:rsidRPr="00F53403">
        <w:rPr>
          <w:rFonts w:ascii="Verdana" w:eastAsia="Calibri" w:hAnsi="Verdana" w:cs="Arial"/>
          <w:b/>
          <w:bCs/>
          <w:lang w:val="es-ES" w:eastAsia="es-ES"/>
        </w:rPr>
        <w:t>CONVENIO INTERADMINISTRATIVO – Publicidad – Entidad responsable</w:t>
      </w:r>
    </w:p>
    <w:p w14:paraId="0DA270D4" w14:textId="77777777" w:rsidR="005A7B67" w:rsidRPr="004612A0" w:rsidRDefault="005A7B67" w:rsidP="005A7B67">
      <w:pPr>
        <w:spacing w:line="240" w:lineRule="auto"/>
        <w:contextualSpacing/>
        <w:jc w:val="both"/>
        <w:rPr>
          <w:rFonts w:ascii="Verdana" w:eastAsia="Calibri" w:hAnsi="Verdana" w:cs="Arial"/>
          <w:b/>
          <w:bCs/>
          <w:lang w:val="es-ES" w:eastAsia="es-ES"/>
        </w:rPr>
      </w:pPr>
    </w:p>
    <w:p w14:paraId="661EB58A" w14:textId="77777777" w:rsidR="00B1790D" w:rsidRPr="00B1790D" w:rsidRDefault="00B1790D" w:rsidP="00B1790D">
      <w:pPr>
        <w:tabs>
          <w:tab w:val="left" w:pos="597"/>
        </w:tabs>
        <w:spacing w:after="120" w:line="276" w:lineRule="auto"/>
        <w:jc w:val="both"/>
        <w:rPr>
          <w:rFonts w:ascii="Verdana" w:eastAsia="Times New Roman" w:hAnsi="Verdana" w:cs="Arial"/>
          <w:sz w:val="20"/>
          <w:szCs w:val="20"/>
          <w:lang w:val="es-ES"/>
        </w:rPr>
      </w:pPr>
      <w:r w:rsidRPr="00B1790D">
        <w:rPr>
          <w:rFonts w:ascii="Verdana" w:eastAsia="Times New Roman" w:hAnsi="Verdana" w:cs="Arial"/>
          <w:sz w:val="20"/>
          <w:szCs w:val="20"/>
          <w:lang w:val="es-ES"/>
        </w:rPr>
        <w:t>Sobre la publicación del convenio interadministrativo, es importante precisar que el artículo 3 de la Ley 1150 de 2007 establece que el SECOP debe contener la información oficial de la contratación realizada con dineros públicos, y que dicha información debe ser difundida a través de canales electrónicos. Esta norma consagra un deber general de publicidad contractual que recae sobre todas las entidades estatales, sin distinción de su régimen jurídico, naturaleza o pertenencia a una rama del poder público. Asimismo, el SECOP se compone de las plataformas SECOP I y SECOP II, y resulta importante señalar que en el caso de las entidades estatales que aún publiquen su actividad contractual en el SECOP I, esta plataforma funciona como medio de publicidad, sin que exija la publicación inmediata de los documentos precontractuales y contractuales. En ese sentido, solo una de las Entidades Estatales que participan en el convenio interadministrativo podrá publicarlo para evitar duplicidad de la información en la plataforma.</w:t>
      </w:r>
    </w:p>
    <w:p w14:paraId="694ED336" w14:textId="77777777" w:rsidR="005A7B67" w:rsidRDefault="005A7B67" w:rsidP="00376726">
      <w:pPr>
        <w:spacing w:after="0" w:line="240" w:lineRule="auto"/>
        <w:rPr>
          <w:rFonts w:ascii="Verdana" w:hAnsi="Verdana"/>
        </w:rPr>
      </w:pPr>
    </w:p>
    <w:p w14:paraId="5D07BCB5" w14:textId="77777777" w:rsidR="005A7B67" w:rsidRDefault="005A7B67" w:rsidP="00376726">
      <w:pPr>
        <w:spacing w:after="0" w:line="240" w:lineRule="auto"/>
        <w:rPr>
          <w:rFonts w:ascii="Verdana" w:hAnsi="Verdana"/>
        </w:rPr>
      </w:pPr>
    </w:p>
    <w:p w14:paraId="4B6086B5" w14:textId="77777777" w:rsidR="00B1790D" w:rsidRDefault="00B1790D" w:rsidP="00376726">
      <w:pPr>
        <w:spacing w:after="0" w:line="240" w:lineRule="auto"/>
        <w:rPr>
          <w:rFonts w:ascii="Verdana" w:hAnsi="Verdana"/>
        </w:rPr>
      </w:pPr>
    </w:p>
    <w:p w14:paraId="54CED2F3" w14:textId="77777777" w:rsidR="00B1790D" w:rsidRDefault="00B1790D" w:rsidP="00376726">
      <w:pPr>
        <w:spacing w:after="0" w:line="240" w:lineRule="auto"/>
        <w:rPr>
          <w:rFonts w:ascii="Verdana" w:hAnsi="Verdana"/>
        </w:rPr>
      </w:pPr>
    </w:p>
    <w:p w14:paraId="41004C22" w14:textId="77777777" w:rsidR="00B1790D" w:rsidRDefault="00B1790D" w:rsidP="00376726">
      <w:pPr>
        <w:spacing w:after="0" w:line="240" w:lineRule="auto"/>
        <w:rPr>
          <w:rFonts w:ascii="Verdana" w:hAnsi="Verdana"/>
        </w:rPr>
      </w:pPr>
    </w:p>
    <w:p w14:paraId="0D9AF978" w14:textId="77777777" w:rsidR="00B1790D" w:rsidRDefault="00B1790D" w:rsidP="00376726">
      <w:pPr>
        <w:spacing w:after="0" w:line="240" w:lineRule="auto"/>
        <w:rPr>
          <w:rFonts w:ascii="Verdana" w:hAnsi="Verdana"/>
        </w:rPr>
      </w:pPr>
    </w:p>
    <w:p w14:paraId="71CB2D15" w14:textId="77777777" w:rsidR="00EF3522" w:rsidRDefault="00EF3522" w:rsidP="00376726">
      <w:pPr>
        <w:spacing w:after="0" w:line="240" w:lineRule="auto"/>
        <w:rPr>
          <w:rFonts w:ascii="Verdana" w:hAnsi="Verdana"/>
        </w:rPr>
      </w:pPr>
    </w:p>
    <w:p w14:paraId="40C34913" w14:textId="77777777" w:rsidR="00EF3522" w:rsidRDefault="00EF3522" w:rsidP="00376726">
      <w:pPr>
        <w:spacing w:after="0" w:line="240" w:lineRule="auto"/>
        <w:rPr>
          <w:rFonts w:ascii="Verdana" w:hAnsi="Verdana"/>
        </w:rPr>
      </w:pPr>
    </w:p>
    <w:p w14:paraId="42261E53" w14:textId="77777777" w:rsidR="00EF3522" w:rsidRDefault="00EF3522" w:rsidP="00376726">
      <w:pPr>
        <w:spacing w:after="0" w:line="240" w:lineRule="auto"/>
        <w:rPr>
          <w:rFonts w:ascii="Verdana" w:hAnsi="Verdana"/>
        </w:rPr>
      </w:pPr>
    </w:p>
    <w:p w14:paraId="29859DDF" w14:textId="77777777" w:rsidR="00EF3522" w:rsidRDefault="00EF3522" w:rsidP="00376726">
      <w:pPr>
        <w:spacing w:after="0" w:line="240" w:lineRule="auto"/>
        <w:rPr>
          <w:rFonts w:ascii="Verdana" w:hAnsi="Verdana"/>
        </w:rPr>
      </w:pPr>
    </w:p>
    <w:p w14:paraId="3772FD92" w14:textId="77777777" w:rsidR="00EF3522" w:rsidRDefault="00EF3522" w:rsidP="00376726">
      <w:pPr>
        <w:spacing w:after="0" w:line="240" w:lineRule="auto"/>
        <w:rPr>
          <w:rFonts w:ascii="Verdana" w:hAnsi="Verdana"/>
        </w:rPr>
      </w:pPr>
    </w:p>
    <w:p w14:paraId="4F48E29C" w14:textId="77777777" w:rsidR="00EF3522" w:rsidRDefault="00EF3522" w:rsidP="00376726">
      <w:pPr>
        <w:spacing w:after="0" w:line="240" w:lineRule="auto"/>
        <w:rPr>
          <w:rFonts w:ascii="Verdana" w:hAnsi="Verdana"/>
        </w:rPr>
      </w:pPr>
    </w:p>
    <w:p w14:paraId="03E7E38D" w14:textId="77777777" w:rsidR="00EF3522" w:rsidRDefault="00EF3522" w:rsidP="00376726">
      <w:pPr>
        <w:spacing w:after="0" w:line="240" w:lineRule="auto"/>
        <w:rPr>
          <w:rFonts w:ascii="Verdana" w:hAnsi="Verdana"/>
        </w:rPr>
      </w:pPr>
    </w:p>
    <w:p w14:paraId="1DAE76E6" w14:textId="77777777" w:rsidR="00EF3522" w:rsidRDefault="00EF3522" w:rsidP="00376726">
      <w:pPr>
        <w:spacing w:after="0" w:line="240" w:lineRule="auto"/>
        <w:rPr>
          <w:rFonts w:ascii="Verdana" w:hAnsi="Verdana"/>
        </w:rPr>
      </w:pPr>
    </w:p>
    <w:p w14:paraId="22B6720B" w14:textId="77777777" w:rsidR="00EF3522" w:rsidRDefault="00EF3522" w:rsidP="00376726">
      <w:pPr>
        <w:spacing w:after="0" w:line="240" w:lineRule="auto"/>
        <w:rPr>
          <w:rFonts w:ascii="Verdana" w:hAnsi="Verdana"/>
        </w:rPr>
      </w:pPr>
    </w:p>
    <w:p w14:paraId="660751CD" w14:textId="77777777" w:rsidR="00B1790D" w:rsidRDefault="00B1790D" w:rsidP="00376726">
      <w:pPr>
        <w:spacing w:after="0" w:line="240" w:lineRule="auto"/>
        <w:rPr>
          <w:rFonts w:ascii="Verdana" w:hAnsi="Verdana"/>
        </w:rPr>
      </w:pPr>
    </w:p>
    <w:p w14:paraId="63A00C2C" w14:textId="77777777" w:rsidR="00B1790D" w:rsidRDefault="00B1790D" w:rsidP="00376726">
      <w:pPr>
        <w:spacing w:after="0" w:line="240" w:lineRule="auto"/>
        <w:rPr>
          <w:rFonts w:ascii="Verdana" w:hAnsi="Verdana"/>
        </w:rPr>
      </w:pPr>
    </w:p>
    <w:p w14:paraId="12443EE0" w14:textId="1009A4E6" w:rsidR="00C15139" w:rsidRDefault="00C15139" w:rsidP="00376726">
      <w:pPr>
        <w:spacing w:after="0" w:line="240" w:lineRule="auto"/>
        <w:rPr>
          <w:rFonts w:ascii="Verdana" w:hAnsi="Verdana"/>
        </w:rPr>
      </w:pPr>
      <w:r w:rsidRPr="0024624F">
        <w:rPr>
          <w:rFonts w:ascii="Verdana" w:hAnsi="Verdana"/>
        </w:rPr>
        <w:lastRenderedPageBreak/>
        <w:t xml:space="preserve">Bogotá D.C., </w:t>
      </w:r>
      <w:r w:rsidR="005A7B67">
        <w:rPr>
          <w:rFonts w:ascii="Verdana" w:hAnsi="Verdana"/>
        </w:rPr>
        <w:t xml:space="preserve">10 </w:t>
      </w:r>
      <w:proofErr w:type="gramStart"/>
      <w:r w:rsidR="005A7B67">
        <w:rPr>
          <w:rFonts w:ascii="Verdana" w:hAnsi="Verdana"/>
        </w:rPr>
        <w:t>Diciembre</w:t>
      </w:r>
      <w:proofErr w:type="gramEnd"/>
      <w:r w:rsidR="005A7B67">
        <w:rPr>
          <w:rFonts w:ascii="Verdana" w:hAnsi="Verdana"/>
        </w:rPr>
        <w:t xml:space="preserve"> 2025</w:t>
      </w:r>
      <w:r w:rsidRPr="000E2B93">
        <w:rPr>
          <w:rFonts w:ascii="Verdana" w:hAnsi="Verdana"/>
        </w:rPr>
        <w:tab/>
      </w:r>
      <w:r w:rsidRPr="000E2B93">
        <w:rPr>
          <w:rFonts w:ascii="Verdana" w:hAnsi="Verdana"/>
        </w:rPr>
        <w:br/>
      </w:r>
      <w:r w:rsidRPr="0024624F">
        <w:rPr>
          <w:rFonts w:ascii="Verdana" w:hAnsi="Verdana"/>
        </w:rPr>
        <w:tab/>
      </w:r>
    </w:p>
    <w:p w14:paraId="6DE718DF" w14:textId="77777777" w:rsidR="00C64862" w:rsidRDefault="00C64862" w:rsidP="00376726">
      <w:pPr>
        <w:spacing w:after="0" w:line="240" w:lineRule="auto"/>
        <w:rPr>
          <w:rFonts w:ascii="Verdana" w:hAnsi="Verdana"/>
        </w:rPr>
      </w:pPr>
    </w:p>
    <w:p w14:paraId="27D16A17" w14:textId="77777777" w:rsidR="00C64862" w:rsidRPr="007F087B" w:rsidRDefault="00C64862" w:rsidP="00C64862">
      <w:pPr>
        <w:spacing w:after="0" w:line="240" w:lineRule="auto"/>
        <w:rPr>
          <w:rFonts w:ascii="Verdana" w:eastAsia="Calibri" w:hAnsi="Verdana" w:cs="Arial"/>
          <w:color w:val="000000" w:themeColor="text1"/>
          <w:lang w:eastAsia="es-ES"/>
        </w:rPr>
      </w:pPr>
      <w:r w:rsidRPr="007F087B">
        <w:rPr>
          <w:rFonts w:ascii="Verdana" w:eastAsia="Calibri" w:hAnsi="Verdana" w:cs="Arial"/>
          <w:color w:val="000000" w:themeColor="text1"/>
          <w:lang w:eastAsia="es-ES"/>
        </w:rPr>
        <w:t xml:space="preserve">Señor </w:t>
      </w:r>
    </w:p>
    <w:p w14:paraId="27DFC728" w14:textId="77777777" w:rsidR="00C64862" w:rsidRPr="007F087B" w:rsidRDefault="00C64862" w:rsidP="00C64862">
      <w:pPr>
        <w:spacing w:after="0" w:line="240" w:lineRule="auto"/>
        <w:rPr>
          <w:rFonts w:ascii="Verdana" w:eastAsia="Calibri" w:hAnsi="Verdana" w:cs="Arial"/>
          <w:b/>
          <w:bCs/>
          <w:color w:val="000000" w:themeColor="text1"/>
          <w:lang w:eastAsia="es-ES"/>
        </w:rPr>
      </w:pPr>
      <w:r w:rsidRPr="007F087B">
        <w:rPr>
          <w:rFonts w:ascii="Verdana" w:eastAsia="Calibri" w:hAnsi="Verdana" w:cs="Arial"/>
          <w:b/>
          <w:bCs/>
          <w:color w:val="000000" w:themeColor="text1"/>
          <w:lang w:eastAsia="es-ES"/>
        </w:rPr>
        <w:t xml:space="preserve">Hugo </w:t>
      </w:r>
      <w:proofErr w:type="spellStart"/>
      <w:r w:rsidRPr="007F087B">
        <w:rPr>
          <w:rFonts w:ascii="Verdana" w:eastAsia="Calibri" w:hAnsi="Verdana" w:cs="Arial"/>
          <w:b/>
          <w:bCs/>
          <w:color w:val="000000" w:themeColor="text1"/>
          <w:lang w:eastAsia="es-ES"/>
        </w:rPr>
        <w:t>Andres</w:t>
      </w:r>
      <w:proofErr w:type="spellEnd"/>
      <w:r w:rsidRPr="007F087B">
        <w:rPr>
          <w:rFonts w:ascii="Verdana" w:eastAsia="Calibri" w:hAnsi="Verdana" w:cs="Arial"/>
          <w:b/>
          <w:bCs/>
          <w:color w:val="000000" w:themeColor="text1"/>
          <w:lang w:eastAsia="es-ES"/>
        </w:rPr>
        <w:t xml:space="preserve"> Martínez Puentes </w:t>
      </w:r>
    </w:p>
    <w:p w14:paraId="4EE80061" w14:textId="77777777" w:rsidR="00C64862" w:rsidRPr="007F087B" w:rsidRDefault="00C64862" w:rsidP="00C64862">
      <w:pPr>
        <w:spacing w:after="0" w:line="240" w:lineRule="auto"/>
        <w:rPr>
          <w:rFonts w:ascii="Verdana" w:eastAsia="Calibri" w:hAnsi="Verdana" w:cs="Arial"/>
          <w:color w:val="000000" w:themeColor="text1"/>
          <w:lang w:eastAsia="es-ES"/>
        </w:rPr>
      </w:pPr>
      <w:hyperlink r:id="rId10" w:history="1">
        <w:r w:rsidRPr="00B22BDD">
          <w:rPr>
            <w:rStyle w:val="Hipervnculo"/>
            <w:rFonts w:ascii="Verdana" w:eastAsia="Calibri" w:hAnsi="Verdana" w:cs="Arial"/>
            <w:lang w:eastAsia="es-ES"/>
          </w:rPr>
          <w:t>iphonehamp@icloud.com</w:t>
        </w:r>
      </w:hyperlink>
      <w:r w:rsidRPr="00B22BDD">
        <w:rPr>
          <w:rFonts w:ascii="Verdana" w:eastAsia="Calibri" w:hAnsi="Verdana" w:cs="Arial"/>
          <w:color w:val="000000" w:themeColor="text1"/>
          <w:lang w:eastAsia="es-ES"/>
        </w:rPr>
        <w:t xml:space="preserve"> </w:t>
      </w:r>
    </w:p>
    <w:p w14:paraId="35636194" w14:textId="77777777" w:rsidR="00C64862" w:rsidRPr="007F087B" w:rsidRDefault="00C64862" w:rsidP="00C64862">
      <w:pPr>
        <w:spacing w:after="0" w:line="240" w:lineRule="auto"/>
        <w:rPr>
          <w:rFonts w:ascii="Verdana" w:eastAsia="Calibri" w:hAnsi="Verdana" w:cs="Arial"/>
          <w:color w:val="000000" w:themeColor="text1"/>
          <w:lang w:eastAsia="es-ES"/>
        </w:rPr>
      </w:pPr>
      <w:r w:rsidRPr="007F087B">
        <w:rPr>
          <w:rFonts w:ascii="Verdana" w:eastAsia="Calibri" w:hAnsi="Verdana" w:cs="Arial"/>
          <w:color w:val="000000" w:themeColor="text1"/>
          <w:lang w:eastAsia="es-ES"/>
        </w:rPr>
        <w:t>Ciudad</w:t>
      </w:r>
    </w:p>
    <w:p w14:paraId="40A34A86" w14:textId="77777777" w:rsidR="00C64862" w:rsidRDefault="00C64862" w:rsidP="00C64862">
      <w:pPr>
        <w:spacing w:after="0" w:line="240" w:lineRule="auto"/>
        <w:rPr>
          <w:rFonts w:ascii="Verdana" w:eastAsia="Calibri" w:hAnsi="Verdana" w:cs="Arial"/>
          <w:b/>
          <w:bCs/>
          <w:color w:val="000000" w:themeColor="text1"/>
          <w:lang w:eastAsia="es-ES"/>
        </w:rPr>
      </w:pPr>
    </w:p>
    <w:p w14:paraId="10FC9431" w14:textId="0F3D1FD1" w:rsidR="005A7B67" w:rsidRDefault="005A7B67" w:rsidP="005A7B67">
      <w:pPr>
        <w:spacing w:after="0" w:line="240" w:lineRule="auto"/>
        <w:jc w:val="right"/>
        <w:rPr>
          <w:rFonts w:ascii="Verdana" w:eastAsia="Calibri" w:hAnsi="Verdana" w:cs="Arial"/>
          <w:b/>
          <w:bCs/>
          <w:color w:val="000000" w:themeColor="text1"/>
          <w:lang w:eastAsia="es-ES"/>
        </w:rPr>
      </w:pPr>
      <w:r w:rsidRPr="005A7B67">
        <w:rPr>
          <w:rFonts w:ascii="Verdana" w:eastAsia="Calibri" w:hAnsi="Verdana" w:cs="Arial"/>
          <w:b/>
          <w:bCs/>
          <w:color w:val="000000" w:themeColor="text1"/>
          <w:lang w:eastAsia="es-ES"/>
        </w:rPr>
        <w:drawing>
          <wp:inline distT="0" distB="0" distL="0" distR="0" wp14:anchorId="36FA4900" wp14:editId="3ACF680E">
            <wp:extent cx="2370025" cy="769687"/>
            <wp:effectExtent l="0" t="0" r="0" b="0"/>
            <wp:docPr id="12821947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194797" name=""/>
                    <pic:cNvPicPr/>
                  </pic:nvPicPr>
                  <pic:blipFill>
                    <a:blip r:embed="rId11"/>
                    <a:stretch>
                      <a:fillRect/>
                    </a:stretch>
                  </pic:blipFill>
                  <pic:spPr>
                    <a:xfrm>
                      <a:off x="0" y="0"/>
                      <a:ext cx="2370025" cy="769687"/>
                    </a:xfrm>
                    <a:prstGeom prst="rect">
                      <a:avLst/>
                    </a:prstGeom>
                  </pic:spPr>
                </pic:pic>
              </a:graphicData>
            </a:graphic>
          </wp:inline>
        </w:drawing>
      </w:r>
    </w:p>
    <w:p w14:paraId="536ED5C3" w14:textId="77777777" w:rsidR="00C64862" w:rsidRPr="007F087B" w:rsidRDefault="00C64862" w:rsidP="00C64862">
      <w:pPr>
        <w:spacing w:after="0" w:line="240" w:lineRule="auto"/>
        <w:rPr>
          <w:rFonts w:ascii="Verdana" w:eastAsia="Calibri" w:hAnsi="Verdana" w:cs="Arial"/>
          <w:b/>
          <w:bCs/>
          <w:color w:val="000000" w:themeColor="text1"/>
          <w:lang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C64862" w:rsidRPr="00F53403" w14:paraId="6ECCF242" w14:textId="77777777" w:rsidTr="00906C2E">
        <w:trPr>
          <w:trHeight w:val="217"/>
        </w:trPr>
        <w:tc>
          <w:tcPr>
            <w:tcW w:w="2410" w:type="dxa"/>
          </w:tcPr>
          <w:p w14:paraId="5E0B86EF" w14:textId="77777777" w:rsidR="00C64862" w:rsidRPr="00F53403" w:rsidRDefault="00C64862" w:rsidP="00906C2E">
            <w:pPr>
              <w:ind w:left="-142"/>
              <w:jc w:val="both"/>
              <w:rPr>
                <w:rFonts w:ascii="Verdana" w:eastAsia="Calibri" w:hAnsi="Verdana" w:cs="Arial"/>
                <w:b/>
                <w:bCs/>
                <w:color w:val="000000" w:themeColor="text1"/>
                <w:lang w:val="es-ES" w:eastAsia="es-ES_tradnl"/>
              </w:rPr>
            </w:pPr>
          </w:p>
        </w:tc>
        <w:tc>
          <w:tcPr>
            <w:tcW w:w="6100" w:type="dxa"/>
          </w:tcPr>
          <w:p w14:paraId="7B446AA5" w14:textId="77777777" w:rsidR="00C64862" w:rsidRPr="00F53403" w:rsidRDefault="00C64862" w:rsidP="00906C2E">
            <w:pPr>
              <w:ind w:left="3"/>
              <w:jc w:val="both"/>
              <w:rPr>
                <w:rFonts w:ascii="Verdana" w:eastAsia="Calibri" w:hAnsi="Verdana" w:cs="Arial"/>
                <w:b/>
                <w:bCs/>
                <w:color w:val="000000" w:themeColor="text1"/>
                <w:lang w:val="es-ES" w:eastAsia="es-ES"/>
              </w:rPr>
            </w:pPr>
            <w:r w:rsidRPr="00F53403">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1575</w:t>
            </w:r>
            <w:r w:rsidRPr="00F53403">
              <w:rPr>
                <w:rFonts w:ascii="Verdana" w:eastAsia="Calibri" w:hAnsi="Verdana" w:cs="Arial"/>
                <w:b/>
                <w:bCs/>
                <w:color w:val="000000" w:themeColor="text1"/>
                <w:lang w:val="es-ES" w:eastAsia="es-ES"/>
              </w:rPr>
              <w:t xml:space="preserve"> de 2025</w:t>
            </w:r>
          </w:p>
          <w:p w14:paraId="0ABC2465" w14:textId="77777777" w:rsidR="00C64862" w:rsidRPr="00F53403" w:rsidRDefault="00C64862" w:rsidP="00906C2E">
            <w:pPr>
              <w:ind w:left="3"/>
              <w:jc w:val="both"/>
              <w:rPr>
                <w:rFonts w:ascii="Verdana" w:eastAsia="Calibri" w:hAnsi="Verdana" w:cs="Arial"/>
                <w:b/>
                <w:bCs/>
                <w:color w:val="000000" w:themeColor="text1"/>
                <w:lang w:val="es-ES" w:eastAsia="es-ES"/>
              </w:rPr>
            </w:pPr>
          </w:p>
        </w:tc>
      </w:tr>
      <w:tr w:rsidR="00C64862" w:rsidRPr="00F53403" w14:paraId="131E7870" w14:textId="77777777" w:rsidTr="00906C2E">
        <w:trPr>
          <w:trHeight w:val="300"/>
        </w:trPr>
        <w:tc>
          <w:tcPr>
            <w:tcW w:w="2410" w:type="dxa"/>
          </w:tcPr>
          <w:p w14:paraId="4776B753" w14:textId="77777777" w:rsidR="00C64862" w:rsidRPr="00F53403" w:rsidRDefault="00C64862" w:rsidP="00906C2E">
            <w:pPr>
              <w:ind w:left="424" w:firstLine="142"/>
              <w:jc w:val="both"/>
              <w:rPr>
                <w:rFonts w:ascii="Verdana" w:eastAsia="Calibri" w:hAnsi="Verdana" w:cs="Arial"/>
                <w:color w:val="000000" w:themeColor="text1"/>
                <w:lang w:val="es-ES" w:eastAsia="es-ES_tradnl"/>
              </w:rPr>
            </w:pPr>
            <w:r w:rsidRPr="00F53403">
              <w:rPr>
                <w:rFonts w:ascii="Verdana" w:eastAsia="Calibri" w:hAnsi="Verdana" w:cs="Arial"/>
                <w:b/>
                <w:color w:val="000000" w:themeColor="text1"/>
                <w:lang w:val="es-ES" w:eastAsia="es-ES_tradnl"/>
              </w:rPr>
              <w:t>Temas:</w:t>
            </w:r>
            <w:r w:rsidRPr="00F53403">
              <w:rPr>
                <w:rFonts w:ascii="Verdana" w:eastAsia="Calibri" w:hAnsi="Verdana" w:cs="Arial"/>
                <w:color w:val="000000" w:themeColor="text1"/>
                <w:lang w:val="es-ES" w:eastAsia="es-ES_tradnl"/>
              </w:rPr>
              <w:t xml:space="preserve">                  </w:t>
            </w:r>
          </w:p>
        </w:tc>
        <w:tc>
          <w:tcPr>
            <w:tcW w:w="6100" w:type="dxa"/>
          </w:tcPr>
          <w:p w14:paraId="3063D3FA" w14:textId="77777777" w:rsidR="00C64862" w:rsidRDefault="00C64862" w:rsidP="00906C2E">
            <w:pPr>
              <w:jc w:val="both"/>
              <w:rPr>
                <w:rFonts w:ascii="Verdana" w:eastAsia="Calibri" w:hAnsi="Verdana" w:cs="Arial"/>
                <w:lang w:val="es-ES" w:eastAsia="es-ES"/>
              </w:rPr>
            </w:pPr>
            <w:r w:rsidRPr="00F53403">
              <w:rPr>
                <w:rFonts w:ascii="Verdana" w:eastAsia="Calibri" w:hAnsi="Verdana" w:cs="Arial"/>
                <w:lang w:val="es-ES" w:eastAsia="es-ES"/>
              </w:rPr>
              <w:t>CONVENIO INTERADMINISTRATIVO – Concepto – Régimen jurídico / CONVENIO INTERADMINISTRATIVO – Publicidad – Entidad responsable</w:t>
            </w:r>
          </w:p>
          <w:p w14:paraId="00C7FC16" w14:textId="77777777" w:rsidR="00C64862" w:rsidRPr="00F53403" w:rsidRDefault="00C64862" w:rsidP="00906C2E">
            <w:pPr>
              <w:jc w:val="both"/>
              <w:rPr>
                <w:rFonts w:ascii="Verdana" w:eastAsia="Calibri" w:hAnsi="Verdana" w:cs="Arial"/>
                <w:color w:val="000000" w:themeColor="text1"/>
                <w:lang w:val="es-ES" w:eastAsia="es-ES"/>
              </w:rPr>
            </w:pPr>
          </w:p>
        </w:tc>
      </w:tr>
      <w:tr w:rsidR="00C64862" w:rsidRPr="00F53403" w14:paraId="62A55D97" w14:textId="77777777" w:rsidTr="00906C2E">
        <w:tc>
          <w:tcPr>
            <w:tcW w:w="2410" w:type="dxa"/>
          </w:tcPr>
          <w:p w14:paraId="12FF2D1E" w14:textId="77777777" w:rsidR="00C64862" w:rsidRPr="00F53403" w:rsidRDefault="00C64862" w:rsidP="00906C2E">
            <w:pPr>
              <w:ind w:left="561"/>
              <w:jc w:val="both"/>
              <w:rPr>
                <w:rFonts w:ascii="Verdana" w:eastAsia="Calibri" w:hAnsi="Verdana" w:cs="Arial"/>
                <w:b/>
                <w:color w:val="000000" w:themeColor="text1"/>
                <w:lang w:val="es-ES" w:eastAsia="es-ES_tradnl"/>
              </w:rPr>
            </w:pPr>
            <w:r w:rsidRPr="00F53403">
              <w:rPr>
                <w:rFonts w:ascii="Verdana" w:eastAsia="Calibri" w:hAnsi="Verdana" w:cs="Arial"/>
                <w:b/>
                <w:color w:val="000000" w:themeColor="text1"/>
                <w:lang w:val="es-ES" w:eastAsia="es-ES_tradnl"/>
              </w:rPr>
              <w:t>Radicación:</w:t>
            </w:r>
            <w:r w:rsidRPr="00F53403">
              <w:rPr>
                <w:rFonts w:ascii="Verdana" w:eastAsia="Calibri" w:hAnsi="Verdana" w:cs="Arial"/>
                <w:color w:val="000000" w:themeColor="text1"/>
                <w:lang w:val="es-ES" w:eastAsia="es-ES_tradnl"/>
              </w:rPr>
              <w:t xml:space="preserve">              </w:t>
            </w:r>
          </w:p>
        </w:tc>
        <w:tc>
          <w:tcPr>
            <w:tcW w:w="6100" w:type="dxa"/>
          </w:tcPr>
          <w:p w14:paraId="6272A15D" w14:textId="77777777" w:rsidR="00C64862" w:rsidRPr="00F53403" w:rsidRDefault="00C64862" w:rsidP="00906C2E">
            <w:pPr>
              <w:ind w:left="3"/>
              <w:jc w:val="both"/>
              <w:rPr>
                <w:rFonts w:ascii="Verdana" w:hAnsi="Verdana"/>
                <w:color w:val="000000"/>
                <w:lang w:val="es-ES"/>
              </w:rPr>
            </w:pPr>
            <w:r w:rsidRPr="00F53403">
              <w:rPr>
                <w:rFonts w:ascii="Verdana" w:eastAsia="Calibri" w:hAnsi="Verdana" w:cs="Arial"/>
                <w:color w:val="000000" w:themeColor="text1"/>
                <w:lang w:val="es-ES" w:eastAsia="es-ES"/>
              </w:rPr>
              <w:t xml:space="preserve">Respuesta a consulta con radicado No. </w:t>
            </w:r>
            <w:r>
              <w:rPr>
                <w:rFonts w:ascii="Verdana" w:eastAsia="Calibri" w:hAnsi="Verdana" w:cs="Arial"/>
                <w:color w:val="000000" w:themeColor="text1"/>
                <w:lang w:val="es-ES" w:eastAsia="es-ES"/>
              </w:rPr>
              <w:t>1</w:t>
            </w:r>
            <w:r w:rsidRPr="007F087B">
              <w:rPr>
                <w:rFonts w:ascii="Verdana" w:eastAsia="Calibri" w:hAnsi="Verdana" w:cs="Arial"/>
                <w:color w:val="000000" w:themeColor="text1"/>
                <w:lang w:eastAsia="es-ES"/>
              </w:rPr>
              <w:t>_2025_10_27_012043</w:t>
            </w:r>
          </w:p>
        </w:tc>
      </w:tr>
    </w:tbl>
    <w:p w14:paraId="7D04421E" w14:textId="77777777" w:rsidR="00C64862" w:rsidRPr="00F53403" w:rsidRDefault="00C64862" w:rsidP="00C64862">
      <w:pPr>
        <w:spacing w:after="0" w:line="240" w:lineRule="auto"/>
        <w:jc w:val="both"/>
        <w:rPr>
          <w:rFonts w:ascii="Verdana" w:eastAsia="Calibri" w:hAnsi="Verdana" w:cs="Arial"/>
          <w:color w:val="000000" w:themeColor="text1"/>
          <w:lang w:val="es-ES" w:eastAsia="es-ES"/>
        </w:rPr>
      </w:pPr>
    </w:p>
    <w:p w14:paraId="2769780E" w14:textId="77777777" w:rsidR="00C64862" w:rsidRPr="00F53403" w:rsidRDefault="00C64862" w:rsidP="00C64862">
      <w:pPr>
        <w:spacing w:after="0" w:line="240" w:lineRule="auto"/>
        <w:jc w:val="both"/>
        <w:rPr>
          <w:rFonts w:ascii="Verdana" w:eastAsia="Calibri" w:hAnsi="Verdana" w:cs="Arial"/>
          <w:color w:val="000000" w:themeColor="text1"/>
          <w:lang w:val="es-ES" w:eastAsia="es-ES"/>
        </w:rPr>
      </w:pPr>
    </w:p>
    <w:p w14:paraId="142F6E01" w14:textId="77777777" w:rsidR="00C64862" w:rsidRPr="00F53403" w:rsidRDefault="00C64862" w:rsidP="00C64862">
      <w:pPr>
        <w:spacing w:after="0" w:line="276" w:lineRule="auto"/>
        <w:jc w:val="both"/>
        <w:rPr>
          <w:rFonts w:ascii="Verdana" w:eastAsia="Calibri" w:hAnsi="Verdana" w:cs="Arial"/>
          <w:color w:val="000000" w:themeColor="text1"/>
          <w:lang w:val="es-ES" w:eastAsia="es-ES"/>
        </w:rPr>
      </w:pPr>
      <w:r w:rsidRPr="00F53403">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F53403">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 xml:space="preserve"> Martínez</w:t>
      </w:r>
      <w:r w:rsidRPr="00F53403">
        <w:rPr>
          <w:rFonts w:ascii="Verdana" w:eastAsia="Calibri" w:hAnsi="Verdana" w:cs="Arial"/>
          <w:color w:val="000000" w:themeColor="text1"/>
          <w:lang w:val="es-ES" w:eastAsia="es-ES"/>
        </w:rPr>
        <w:t xml:space="preserve">: </w:t>
      </w:r>
    </w:p>
    <w:p w14:paraId="7A9BE9B0" w14:textId="77777777" w:rsidR="00C64862" w:rsidRPr="00F53403" w:rsidRDefault="00C64862" w:rsidP="00C64862">
      <w:pPr>
        <w:tabs>
          <w:tab w:val="left" w:pos="3768"/>
        </w:tabs>
        <w:spacing w:after="0" w:line="276" w:lineRule="auto"/>
        <w:jc w:val="both"/>
        <w:rPr>
          <w:rFonts w:ascii="Verdana" w:eastAsia="Calibri" w:hAnsi="Verdana" w:cs="Arial"/>
          <w:color w:val="000000" w:themeColor="text1"/>
          <w:lang w:val="es-ES" w:eastAsia="es-ES"/>
        </w:rPr>
      </w:pPr>
      <w:r w:rsidRPr="00F53403">
        <w:rPr>
          <w:rFonts w:ascii="Verdana" w:eastAsia="Calibri" w:hAnsi="Verdana" w:cs="Arial"/>
          <w:color w:val="000000" w:themeColor="text1"/>
          <w:lang w:val="es-ES" w:eastAsia="es-ES"/>
        </w:rPr>
        <w:tab/>
      </w:r>
    </w:p>
    <w:p w14:paraId="4A60F029" w14:textId="77777777" w:rsidR="00C64862" w:rsidRPr="00F53403" w:rsidRDefault="00C64862" w:rsidP="00C64862">
      <w:pPr>
        <w:spacing w:after="0" w:line="276" w:lineRule="auto"/>
        <w:jc w:val="both"/>
        <w:rPr>
          <w:rFonts w:ascii="Verdana" w:eastAsia="Calibri" w:hAnsi="Verdana" w:cs="Arial"/>
          <w:color w:val="000000" w:themeColor="text1"/>
          <w:lang w:val="es-ES" w:eastAsia="es-ES"/>
        </w:rPr>
      </w:pPr>
      <w:r w:rsidRPr="00F53403">
        <w:rPr>
          <w:rFonts w:ascii="Verdana" w:eastAsia="Calibri" w:hAnsi="Verdana" w:cs="Arial"/>
          <w:color w:val="000000" w:themeColor="text1"/>
          <w:lang w:val="es-ES" w:eastAsia="es-ES"/>
        </w:rPr>
        <w:t>En ejercicio de la competencia otorgada por los artículos 3, numeral 5º, y 11, numeral 8º, del Decreto Ley 4170 de 2011,</w:t>
      </w:r>
      <w:r w:rsidRPr="00F53403">
        <w:rPr>
          <w:rFonts w:ascii="Verdana" w:eastAsia="Arial MT" w:hAnsi="Verdana" w:cs="Arial MT"/>
          <w:color w:val="000000" w:themeColor="text1"/>
          <w:lang w:val="es-ES" w:eastAsia="es-ES"/>
        </w:rPr>
        <w:t xml:space="preserve"> </w:t>
      </w:r>
      <w:r w:rsidRPr="00F53403">
        <w:rPr>
          <w:rFonts w:ascii="Verdana" w:hAnsi="Verdana" w:cs="Arial"/>
          <w:color w:val="000000" w:themeColor="text1"/>
          <w:lang w:val="es-ES"/>
        </w:rPr>
        <w:t xml:space="preserve">así como lo establecido en el artículo 4 de la Resolución 1707 de 2018 expedida por esta Entidad, </w:t>
      </w:r>
      <w:r w:rsidRPr="00F53403">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27</w:t>
      </w:r>
      <w:r w:rsidRPr="00F53403">
        <w:rPr>
          <w:rFonts w:ascii="Verdana" w:eastAsia="Calibri" w:hAnsi="Verdana" w:cs="Arial"/>
          <w:color w:val="000000" w:themeColor="text1"/>
          <w:lang w:val="es-ES" w:eastAsia="es-ES"/>
        </w:rPr>
        <w:t xml:space="preserve"> de octubre de 2025, en la cual manifiesta lo siguiente: </w:t>
      </w:r>
    </w:p>
    <w:p w14:paraId="03EA2C0A" w14:textId="77777777" w:rsidR="00C64862" w:rsidRPr="00F53403" w:rsidRDefault="00C64862" w:rsidP="00C64862">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49A838A0" w14:textId="722C556B" w:rsidR="00C64862" w:rsidRDefault="00C64862" w:rsidP="00C64862">
      <w:pPr>
        <w:spacing w:after="0" w:line="240" w:lineRule="auto"/>
        <w:ind w:left="709" w:right="709"/>
        <w:jc w:val="both"/>
        <w:rPr>
          <w:rFonts w:ascii="Verdana" w:eastAsia="Century Gothic" w:hAnsi="Verdana" w:cs="Century Gothic"/>
          <w:i/>
          <w:iCs/>
          <w:color w:val="000000" w:themeColor="text1"/>
          <w:sz w:val="20"/>
          <w:szCs w:val="20"/>
        </w:rPr>
      </w:pPr>
      <w:r w:rsidRPr="00F53403">
        <w:rPr>
          <w:rFonts w:ascii="Verdana" w:eastAsia="Century Gothic" w:hAnsi="Verdana" w:cs="Century Gothic"/>
          <w:i/>
          <w:iCs/>
          <w:color w:val="000000" w:themeColor="text1"/>
          <w:sz w:val="20"/>
          <w:szCs w:val="20"/>
          <w:lang w:val="es-ES"/>
        </w:rPr>
        <w:t>“</w:t>
      </w:r>
      <w:r w:rsidRPr="007F087B">
        <w:rPr>
          <w:rFonts w:ascii="Verdana" w:eastAsia="Century Gothic" w:hAnsi="Verdana" w:cs="Century Gothic"/>
          <w:i/>
          <w:iCs/>
          <w:color w:val="000000" w:themeColor="text1"/>
          <w:sz w:val="20"/>
          <w:szCs w:val="20"/>
        </w:rPr>
        <w:t xml:space="preserve">(…) 1.si el representante legal de la entidad quien firma los convenios interadministrativos que no es ordenador del gasto, </w:t>
      </w:r>
      <w:proofErr w:type="spellStart"/>
      <w:r w:rsidRPr="007F087B">
        <w:rPr>
          <w:rFonts w:ascii="Verdana" w:eastAsia="Century Gothic" w:hAnsi="Verdana" w:cs="Century Gothic"/>
          <w:i/>
          <w:iCs/>
          <w:color w:val="000000" w:themeColor="text1"/>
          <w:sz w:val="20"/>
          <w:szCs w:val="20"/>
        </w:rPr>
        <w:t>podria</w:t>
      </w:r>
      <w:proofErr w:type="spellEnd"/>
      <w:r w:rsidRPr="007F087B">
        <w:rPr>
          <w:rFonts w:ascii="Verdana" w:eastAsia="Century Gothic" w:hAnsi="Verdana" w:cs="Century Gothic"/>
          <w:i/>
          <w:iCs/>
          <w:color w:val="000000" w:themeColor="text1"/>
          <w:sz w:val="20"/>
          <w:szCs w:val="20"/>
        </w:rPr>
        <w:t xml:space="preserve"> el </w:t>
      </w:r>
      <w:proofErr w:type="spellStart"/>
      <w:r w:rsidRPr="007F087B">
        <w:rPr>
          <w:rFonts w:ascii="Verdana" w:eastAsia="Century Gothic" w:hAnsi="Verdana" w:cs="Century Gothic"/>
          <w:i/>
          <w:iCs/>
          <w:color w:val="000000" w:themeColor="text1"/>
          <w:sz w:val="20"/>
          <w:szCs w:val="20"/>
        </w:rPr>
        <w:t>obterner</w:t>
      </w:r>
      <w:proofErr w:type="spellEnd"/>
      <w:r w:rsidRPr="007F087B">
        <w:rPr>
          <w:rFonts w:ascii="Verdana" w:eastAsia="Century Gothic" w:hAnsi="Verdana" w:cs="Century Gothic"/>
          <w:i/>
          <w:iCs/>
          <w:color w:val="000000" w:themeColor="text1"/>
          <w:sz w:val="20"/>
          <w:szCs w:val="20"/>
        </w:rPr>
        <w:t xml:space="preserve"> usuario del </w:t>
      </w:r>
      <w:proofErr w:type="spellStart"/>
      <w:r w:rsidRPr="007F087B">
        <w:rPr>
          <w:rFonts w:ascii="Verdana" w:eastAsia="Century Gothic" w:hAnsi="Verdana" w:cs="Century Gothic"/>
          <w:i/>
          <w:iCs/>
          <w:color w:val="000000" w:themeColor="text1"/>
          <w:sz w:val="20"/>
          <w:szCs w:val="20"/>
        </w:rPr>
        <w:t>Secop</w:t>
      </w:r>
      <w:proofErr w:type="spellEnd"/>
      <w:r w:rsidRPr="007F087B">
        <w:rPr>
          <w:rFonts w:ascii="Verdana" w:eastAsia="Century Gothic" w:hAnsi="Verdana" w:cs="Century Gothic"/>
          <w:i/>
          <w:iCs/>
          <w:color w:val="000000" w:themeColor="text1"/>
          <w:sz w:val="20"/>
          <w:szCs w:val="20"/>
        </w:rPr>
        <w:t xml:space="preserve"> para realizar la </w:t>
      </w:r>
      <w:proofErr w:type="spellStart"/>
      <w:r w:rsidRPr="007F087B">
        <w:rPr>
          <w:rFonts w:ascii="Verdana" w:eastAsia="Century Gothic" w:hAnsi="Verdana" w:cs="Century Gothic"/>
          <w:i/>
          <w:iCs/>
          <w:color w:val="000000" w:themeColor="text1"/>
          <w:sz w:val="20"/>
          <w:szCs w:val="20"/>
        </w:rPr>
        <w:t>publicacion</w:t>
      </w:r>
      <w:proofErr w:type="spellEnd"/>
      <w:r w:rsidRPr="007F087B">
        <w:rPr>
          <w:rFonts w:ascii="Verdana" w:eastAsia="Century Gothic" w:hAnsi="Verdana" w:cs="Century Gothic"/>
          <w:i/>
          <w:iCs/>
          <w:color w:val="000000" w:themeColor="text1"/>
          <w:sz w:val="20"/>
          <w:szCs w:val="20"/>
        </w:rPr>
        <w:t xml:space="preserve"> de dichos convenios? (…)</w:t>
      </w:r>
    </w:p>
    <w:p w14:paraId="5591266B" w14:textId="77777777" w:rsidR="00C64862" w:rsidRDefault="00C64862" w:rsidP="00C64862">
      <w:pPr>
        <w:spacing w:after="0" w:line="240" w:lineRule="auto"/>
        <w:ind w:left="709" w:right="709"/>
        <w:jc w:val="both"/>
        <w:rPr>
          <w:rFonts w:ascii="Verdana" w:eastAsia="Century Gothic" w:hAnsi="Verdana" w:cs="Century Gothic"/>
          <w:i/>
          <w:iCs/>
          <w:color w:val="000000" w:themeColor="text1"/>
          <w:sz w:val="20"/>
          <w:szCs w:val="20"/>
        </w:rPr>
      </w:pPr>
    </w:p>
    <w:p w14:paraId="3C7BBDF9" w14:textId="77777777" w:rsidR="00C64862" w:rsidRPr="00F53403" w:rsidRDefault="00C64862" w:rsidP="00C64862">
      <w:pPr>
        <w:spacing w:after="0" w:line="240" w:lineRule="auto"/>
        <w:ind w:left="709" w:right="709"/>
        <w:jc w:val="both"/>
        <w:rPr>
          <w:rFonts w:ascii="Verdana" w:hAnsi="Verdana"/>
          <w:i/>
          <w:iCs/>
          <w:sz w:val="20"/>
          <w:szCs w:val="20"/>
          <w:lang w:val="es-ES"/>
        </w:rPr>
      </w:pPr>
      <w:r w:rsidRPr="007F087B">
        <w:rPr>
          <w:rFonts w:ascii="Verdana" w:hAnsi="Verdana"/>
          <w:i/>
          <w:iCs/>
          <w:sz w:val="20"/>
          <w:szCs w:val="20"/>
        </w:rPr>
        <w:t xml:space="preserve"> 2. con solo la </w:t>
      </w:r>
      <w:proofErr w:type="spellStart"/>
      <w:r w:rsidRPr="007F087B">
        <w:rPr>
          <w:rFonts w:ascii="Verdana" w:hAnsi="Verdana"/>
          <w:i/>
          <w:iCs/>
          <w:sz w:val="20"/>
          <w:szCs w:val="20"/>
        </w:rPr>
        <w:t>publicacion</w:t>
      </w:r>
      <w:proofErr w:type="spellEnd"/>
      <w:r w:rsidRPr="007F087B">
        <w:rPr>
          <w:rFonts w:ascii="Verdana" w:hAnsi="Verdana"/>
          <w:i/>
          <w:iCs/>
          <w:sz w:val="20"/>
          <w:szCs w:val="20"/>
        </w:rPr>
        <w:t xml:space="preserve"> de una de </w:t>
      </w:r>
      <w:proofErr w:type="gramStart"/>
      <w:r w:rsidRPr="007F087B">
        <w:rPr>
          <w:rFonts w:ascii="Verdana" w:hAnsi="Verdana"/>
          <w:i/>
          <w:iCs/>
          <w:sz w:val="20"/>
          <w:szCs w:val="20"/>
        </w:rPr>
        <w:t>la entidades</w:t>
      </w:r>
      <w:proofErr w:type="gramEnd"/>
      <w:r w:rsidRPr="007F087B">
        <w:rPr>
          <w:rFonts w:ascii="Verdana" w:hAnsi="Verdana"/>
          <w:i/>
          <w:iCs/>
          <w:sz w:val="20"/>
          <w:szCs w:val="20"/>
        </w:rPr>
        <w:t xml:space="preserve"> </w:t>
      </w:r>
      <w:proofErr w:type="spellStart"/>
      <w:r w:rsidRPr="007F087B">
        <w:rPr>
          <w:rFonts w:ascii="Verdana" w:hAnsi="Verdana"/>
          <w:i/>
          <w:iCs/>
          <w:sz w:val="20"/>
          <w:szCs w:val="20"/>
        </w:rPr>
        <w:t>publicas</w:t>
      </w:r>
      <w:proofErr w:type="spellEnd"/>
      <w:r w:rsidRPr="007F087B">
        <w:rPr>
          <w:rFonts w:ascii="Verdana" w:hAnsi="Verdana"/>
          <w:i/>
          <w:iCs/>
          <w:sz w:val="20"/>
          <w:szCs w:val="20"/>
        </w:rPr>
        <w:t xml:space="preserve"> y la </w:t>
      </w:r>
      <w:proofErr w:type="spellStart"/>
      <w:r w:rsidRPr="007F087B">
        <w:rPr>
          <w:rFonts w:ascii="Verdana" w:hAnsi="Verdana"/>
          <w:i/>
          <w:iCs/>
          <w:sz w:val="20"/>
          <w:szCs w:val="20"/>
        </w:rPr>
        <w:t>aceptacion</w:t>
      </w:r>
      <w:proofErr w:type="spellEnd"/>
      <w:r w:rsidRPr="007F087B">
        <w:rPr>
          <w:rFonts w:ascii="Verdana" w:hAnsi="Verdana"/>
          <w:i/>
          <w:iCs/>
          <w:sz w:val="20"/>
          <w:szCs w:val="20"/>
        </w:rPr>
        <w:t xml:space="preserve"> de la otra. Se </w:t>
      </w:r>
      <w:proofErr w:type="spellStart"/>
      <w:r w:rsidRPr="007F087B">
        <w:rPr>
          <w:rFonts w:ascii="Verdana" w:hAnsi="Verdana"/>
          <w:i/>
          <w:iCs/>
          <w:sz w:val="20"/>
          <w:szCs w:val="20"/>
        </w:rPr>
        <w:t>cumpliria</w:t>
      </w:r>
      <w:proofErr w:type="spellEnd"/>
      <w:r w:rsidRPr="007F087B">
        <w:rPr>
          <w:rFonts w:ascii="Verdana" w:hAnsi="Verdana"/>
          <w:i/>
          <w:iCs/>
          <w:sz w:val="20"/>
          <w:szCs w:val="20"/>
        </w:rPr>
        <w:t xml:space="preserve"> con </w:t>
      </w:r>
      <w:proofErr w:type="gramStart"/>
      <w:r w:rsidRPr="007F087B">
        <w:rPr>
          <w:rFonts w:ascii="Verdana" w:hAnsi="Verdana"/>
          <w:i/>
          <w:iCs/>
          <w:sz w:val="20"/>
          <w:szCs w:val="20"/>
        </w:rPr>
        <w:t>la proceso</w:t>
      </w:r>
      <w:proofErr w:type="gramEnd"/>
      <w:r w:rsidRPr="007F087B">
        <w:rPr>
          <w:rFonts w:ascii="Verdana" w:hAnsi="Verdana"/>
          <w:i/>
          <w:iCs/>
          <w:sz w:val="20"/>
          <w:szCs w:val="20"/>
        </w:rPr>
        <w:t xml:space="preserve"> de </w:t>
      </w:r>
      <w:proofErr w:type="spellStart"/>
      <w:r w:rsidRPr="007F087B">
        <w:rPr>
          <w:rFonts w:ascii="Verdana" w:hAnsi="Verdana"/>
          <w:i/>
          <w:iCs/>
          <w:sz w:val="20"/>
          <w:szCs w:val="20"/>
        </w:rPr>
        <w:t>publicacion</w:t>
      </w:r>
      <w:proofErr w:type="spellEnd"/>
      <w:r w:rsidRPr="007F087B">
        <w:rPr>
          <w:rFonts w:ascii="Verdana" w:hAnsi="Verdana"/>
          <w:i/>
          <w:iCs/>
          <w:sz w:val="20"/>
          <w:szCs w:val="20"/>
        </w:rPr>
        <w:t xml:space="preserve"> de convenios interadministrativos a costo </w:t>
      </w:r>
      <w:proofErr w:type="gramStart"/>
      <w:r w:rsidRPr="007F087B">
        <w:rPr>
          <w:rFonts w:ascii="Verdana" w:hAnsi="Verdana"/>
          <w:i/>
          <w:iCs/>
          <w:sz w:val="20"/>
          <w:szCs w:val="20"/>
        </w:rPr>
        <w:t>cero?.</w:t>
      </w:r>
      <w:proofErr w:type="gramEnd"/>
      <w:r w:rsidRPr="007F087B">
        <w:rPr>
          <w:rFonts w:ascii="Verdana" w:hAnsi="Verdana"/>
          <w:i/>
          <w:iCs/>
          <w:sz w:val="20"/>
          <w:szCs w:val="20"/>
        </w:rPr>
        <w:t xml:space="preserve"> (…)”</w:t>
      </w:r>
    </w:p>
    <w:p w14:paraId="7233D0E5" w14:textId="77777777" w:rsidR="00C64862" w:rsidRPr="00F53403" w:rsidRDefault="00C64862" w:rsidP="00C64862">
      <w:pPr>
        <w:spacing w:after="0" w:line="276" w:lineRule="auto"/>
        <w:ind w:right="709"/>
        <w:jc w:val="both"/>
        <w:rPr>
          <w:rFonts w:ascii="Verdana" w:eastAsia="Calibri" w:hAnsi="Verdana" w:cs="Arial"/>
          <w:lang w:val="es-ES"/>
        </w:rPr>
      </w:pPr>
    </w:p>
    <w:p w14:paraId="48E1E06B" w14:textId="771DD8AD" w:rsidR="00C64862" w:rsidRPr="00F53403" w:rsidRDefault="00C64862" w:rsidP="00C64862">
      <w:pPr>
        <w:spacing w:after="120" w:line="276" w:lineRule="auto"/>
        <w:ind w:firstLine="708"/>
        <w:jc w:val="both"/>
        <w:rPr>
          <w:rFonts w:ascii="Verdana" w:eastAsia="Calibri" w:hAnsi="Verdana" w:cs="Arial"/>
          <w:color w:val="000000" w:themeColor="text1"/>
          <w:lang w:val="es-ES" w:eastAsia="es-ES"/>
        </w:rPr>
      </w:pPr>
      <w:r w:rsidRPr="00F53403">
        <w:rPr>
          <w:rFonts w:ascii="Verdana" w:eastAsia="Calibri" w:hAnsi="Verdana" w:cs="Arial"/>
          <w:color w:val="000000" w:themeColor="text1"/>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B22BDD">
        <w:rPr>
          <w:rFonts w:ascii="Verdana" w:eastAsia="Calibri" w:hAnsi="Verdana" w:cs="Arial"/>
          <w:color w:val="000000" w:themeColor="text1"/>
          <w:lang w:val="es-ES" w:eastAsia="es-ES"/>
        </w:rPr>
        <w:t xml:space="preserve">la Agencia Nacional de Contratación Pública – </w:t>
      </w:r>
      <w:r w:rsidRPr="00F53403">
        <w:rPr>
          <w:rFonts w:ascii="Verdana" w:eastAsia="Calibri" w:hAnsi="Verdana" w:cs="Arial"/>
          <w:color w:val="000000" w:themeColor="text1"/>
          <w:lang w:val="es-ES" w:eastAsia="es-ES"/>
        </w:rPr>
        <w:t xml:space="preserve">Colombia Compra Eficiente como una autoridad para solucionar problemas jurídicos particulares de todos los partícipes del </w:t>
      </w:r>
      <w:r w:rsidR="001E68A8">
        <w:rPr>
          <w:rFonts w:ascii="Verdana" w:eastAsia="Calibri" w:hAnsi="Verdana" w:cs="Arial"/>
          <w:color w:val="000000" w:themeColor="text1"/>
          <w:lang w:val="es-ES" w:eastAsia="es-ES"/>
        </w:rPr>
        <w:t>S</w:t>
      </w:r>
      <w:r w:rsidRPr="00F53403">
        <w:rPr>
          <w:rFonts w:ascii="Verdana" w:eastAsia="Calibri" w:hAnsi="Verdana" w:cs="Arial"/>
          <w:color w:val="000000" w:themeColor="text1"/>
          <w:lang w:val="es-ES" w:eastAsia="es-ES"/>
        </w:rPr>
        <w:t xml:space="preserve">istema de </w:t>
      </w:r>
      <w:r w:rsidR="001E68A8">
        <w:rPr>
          <w:rFonts w:ascii="Verdana" w:eastAsia="Calibri" w:hAnsi="Verdana" w:cs="Arial"/>
          <w:color w:val="000000" w:themeColor="text1"/>
          <w:lang w:val="es-ES" w:eastAsia="es-ES"/>
        </w:rPr>
        <w:t>C</w:t>
      </w:r>
      <w:r w:rsidRPr="00F53403">
        <w:rPr>
          <w:rFonts w:ascii="Verdana" w:eastAsia="Calibri" w:hAnsi="Verdana" w:cs="Arial"/>
          <w:color w:val="000000" w:themeColor="text1"/>
          <w:lang w:val="es-ES" w:eastAsia="es-ES"/>
        </w:rPr>
        <w:t xml:space="preserve">ompra </w:t>
      </w:r>
      <w:r w:rsidR="001E68A8">
        <w:rPr>
          <w:rFonts w:ascii="Verdana" w:eastAsia="Calibri" w:hAnsi="Verdana" w:cs="Arial"/>
          <w:color w:val="000000" w:themeColor="text1"/>
          <w:lang w:val="es-ES" w:eastAsia="es-ES"/>
        </w:rPr>
        <w:t>P</w:t>
      </w:r>
      <w:r w:rsidRPr="00F53403">
        <w:rPr>
          <w:rFonts w:ascii="Verdana" w:eastAsia="Calibri" w:hAnsi="Verdana" w:cs="Arial"/>
          <w:color w:val="000000" w:themeColor="text1"/>
          <w:lang w:val="es-ES" w:eastAsia="es-ES"/>
        </w:rPr>
        <w:t xml:space="preserve">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53403">
        <w:rPr>
          <w:lang w:val="es-ES"/>
        </w:rPr>
        <w:tab/>
      </w:r>
    </w:p>
    <w:p w14:paraId="1C6B5332" w14:textId="77777777" w:rsidR="00C64862" w:rsidRPr="00F53403" w:rsidRDefault="00C64862" w:rsidP="00376726">
      <w:pPr>
        <w:spacing w:after="120" w:line="276" w:lineRule="auto"/>
        <w:ind w:firstLine="709"/>
        <w:jc w:val="both"/>
        <w:rPr>
          <w:rFonts w:ascii="Verdana" w:eastAsia="Calibri" w:hAnsi="Verdana" w:cs="Arial"/>
          <w:color w:val="000000" w:themeColor="text1"/>
          <w:lang w:val="es-ES" w:eastAsia="es-ES"/>
        </w:rPr>
      </w:pPr>
      <w:r w:rsidRPr="00F53403">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55EEF1BF" w14:textId="77777777" w:rsidR="00773F89" w:rsidRPr="00F53403" w:rsidRDefault="00773F89" w:rsidP="00376726">
      <w:pPr>
        <w:spacing w:after="0" w:line="276" w:lineRule="auto"/>
        <w:ind w:firstLine="708"/>
        <w:jc w:val="both"/>
        <w:rPr>
          <w:rFonts w:ascii="Verdana" w:eastAsia="Century Gothic" w:hAnsi="Verdana" w:cs="Century Gothic"/>
          <w:color w:val="000000" w:themeColor="text1"/>
          <w:lang w:val="es-ES"/>
        </w:rPr>
      </w:pPr>
      <w:r>
        <w:rPr>
          <w:rFonts w:ascii="Verdana" w:eastAsia="Century Gothic" w:hAnsi="Verdana" w:cs="Century Gothic"/>
          <w:color w:val="000000" w:themeColor="text1"/>
          <w:lang w:val="es-ES"/>
        </w:rPr>
        <w:t xml:space="preserve">En cuanto a las preguntas relacionadas con el Sistema Electrónico de Contratación Pública –SECOP - se adjunta al presente oficio la respuesta dada por la Subdirección de Información y Desarrollo tecnológico. </w:t>
      </w:r>
    </w:p>
    <w:p w14:paraId="5C637556" w14:textId="77777777" w:rsidR="00C64862" w:rsidRPr="00F53403" w:rsidRDefault="00C64862" w:rsidP="00C64862">
      <w:pPr>
        <w:spacing w:after="0" w:line="276" w:lineRule="auto"/>
        <w:ind w:firstLine="709"/>
        <w:jc w:val="both"/>
        <w:rPr>
          <w:rFonts w:ascii="Verdana" w:eastAsia="Calibri" w:hAnsi="Verdana" w:cs="Arial"/>
          <w:color w:val="000000" w:themeColor="text1"/>
          <w:lang w:val="es-ES" w:eastAsia="es-ES"/>
        </w:rPr>
      </w:pPr>
    </w:p>
    <w:p w14:paraId="6E994BB7" w14:textId="77777777" w:rsidR="00C64862" w:rsidRPr="00F53403" w:rsidRDefault="00C64862" w:rsidP="00376726">
      <w:pPr>
        <w:tabs>
          <w:tab w:val="left" w:pos="142"/>
          <w:tab w:val="left" w:pos="284"/>
        </w:tabs>
        <w:spacing w:after="0" w:line="276" w:lineRule="auto"/>
        <w:jc w:val="both"/>
        <w:rPr>
          <w:rFonts w:ascii="Verdana" w:eastAsia="Century Gothic" w:hAnsi="Verdana" w:cs="Century Gothic"/>
          <w:b/>
          <w:color w:val="000000" w:themeColor="text1"/>
          <w:lang w:val="es-ES"/>
        </w:rPr>
      </w:pPr>
      <w:r w:rsidRPr="00F53403">
        <w:rPr>
          <w:rFonts w:ascii="Verdana" w:eastAsia="Century Gothic" w:hAnsi="Verdana" w:cs="Century Gothic"/>
          <w:b/>
          <w:color w:val="000000" w:themeColor="text1"/>
          <w:lang w:val="es-ES"/>
        </w:rPr>
        <w:t>1. Problema planteado:</w:t>
      </w:r>
    </w:p>
    <w:p w14:paraId="09FAA5C4" w14:textId="77777777" w:rsidR="00C64862" w:rsidRPr="00F53403" w:rsidRDefault="00C64862" w:rsidP="00C64862">
      <w:pPr>
        <w:tabs>
          <w:tab w:val="left" w:pos="426"/>
        </w:tabs>
        <w:spacing w:after="0" w:line="276" w:lineRule="auto"/>
        <w:jc w:val="both"/>
        <w:rPr>
          <w:rFonts w:ascii="Verdana" w:eastAsia="Century Gothic" w:hAnsi="Verdana" w:cs="Century Gothic"/>
          <w:color w:val="000000" w:themeColor="text1"/>
          <w:lang w:val="es-ES"/>
        </w:rPr>
      </w:pPr>
    </w:p>
    <w:p w14:paraId="6FB61476" w14:textId="77777777" w:rsidR="00C64862" w:rsidRDefault="00C64862" w:rsidP="00C64862">
      <w:pPr>
        <w:spacing w:after="0" w:line="276" w:lineRule="auto"/>
        <w:jc w:val="both"/>
        <w:rPr>
          <w:rFonts w:ascii="Verdana" w:eastAsia="Century Gothic" w:hAnsi="Verdana" w:cs="Century Gothic"/>
          <w:color w:val="000000" w:themeColor="text1"/>
          <w:lang w:val="es-ES"/>
        </w:rPr>
      </w:pPr>
      <w:r w:rsidRPr="00F53403">
        <w:rPr>
          <w:rFonts w:ascii="Verdana" w:eastAsia="Century Gothic" w:hAnsi="Verdana" w:cs="Century Gothic"/>
          <w:color w:val="000000" w:themeColor="text1"/>
          <w:lang w:val="es-ES"/>
        </w:rPr>
        <w:t>De acuerdo con el contenido de su solicitud, esta Agencia resolverá el siguiente problema jurídico: ¿Quién debe publicar en un convenio interadministrativo donde participan varias entidades estatales?</w:t>
      </w:r>
      <w:r>
        <w:rPr>
          <w:rFonts w:ascii="Verdana" w:eastAsia="Century Gothic" w:hAnsi="Verdana" w:cs="Century Gothic"/>
          <w:color w:val="000000" w:themeColor="text1"/>
          <w:lang w:val="es-ES"/>
        </w:rPr>
        <w:t xml:space="preserve"> </w:t>
      </w:r>
    </w:p>
    <w:p w14:paraId="4AD12B29" w14:textId="77777777" w:rsidR="00C64862" w:rsidRPr="00F53403" w:rsidRDefault="00C64862" w:rsidP="00C64862">
      <w:pPr>
        <w:spacing w:after="0" w:line="276" w:lineRule="auto"/>
        <w:jc w:val="both"/>
        <w:rPr>
          <w:rFonts w:ascii="Verdana" w:eastAsia="Calibri" w:hAnsi="Verdana" w:cs="Arial"/>
          <w:color w:val="000000" w:themeColor="text1"/>
          <w:lang w:val="es-ES"/>
        </w:rPr>
      </w:pPr>
    </w:p>
    <w:p w14:paraId="55719830" w14:textId="77777777" w:rsidR="00C64862" w:rsidRPr="00F53403" w:rsidRDefault="00C64862" w:rsidP="00C64862">
      <w:pPr>
        <w:tabs>
          <w:tab w:val="left" w:pos="142"/>
          <w:tab w:val="left" w:pos="284"/>
        </w:tabs>
        <w:spacing w:after="0" w:line="276" w:lineRule="auto"/>
        <w:jc w:val="both"/>
        <w:rPr>
          <w:rFonts w:ascii="Verdana" w:eastAsia="Century Gothic" w:hAnsi="Verdana" w:cs="Century Gothic"/>
          <w:b/>
          <w:color w:val="000000" w:themeColor="text1"/>
          <w:lang w:val="es-ES"/>
        </w:rPr>
      </w:pPr>
      <w:r w:rsidRPr="00F53403">
        <w:rPr>
          <w:rFonts w:ascii="Verdana" w:eastAsia="Century Gothic" w:hAnsi="Verdana" w:cs="Century Gothic"/>
          <w:b/>
          <w:color w:val="000000" w:themeColor="text1"/>
          <w:lang w:val="es-ES"/>
        </w:rPr>
        <w:t>2. Respuesta:</w:t>
      </w:r>
    </w:p>
    <w:p w14:paraId="01E8508B" w14:textId="77777777" w:rsidR="00C64862" w:rsidRPr="00F53403" w:rsidRDefault="00C64862" w:rsidP="00C64862">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64862" w:rsidRPr="00F53403" w14:paraId="638E8EE1" w14:textId="77777777" w:rsidTr="00906C2E">
        <w:tc>
          <w:tcPr>
            <w:tcW w:w="8828" w:type="dxa"/>
          </w:tcPr>
          <w:p w14:paraId="48669593" w14:textId="77777777" w:rsidR="00C64862" w:rsidRPr="00F53403" w:rsidRDefault="00C64862" w:rsidP="00376726">
            <w:pPr>
              <w:tabs>
                <w:tab w:val="left" w:pos="597"/>
              </w:tabs>
              <w:spacing w:after="120" w:line="276" w:lineRule="auto"/>
              <w:jc w:val="both"/>
              <w:rPr>
                <w:rFonts w:ascii="Verdana" w:eastAsia="Calibri" w:hAnsi="Verdana" w:cs="Arial"/>
              </w:rPr>
            </w:pPr>
            <w:r>
              <w:rPr>
                <w:rFonts w:ascii="Verdana" w:hAnsi="Verdana"/>
                <w:lang w:val="es-MX"/>
              </w:rPr>
              <w:t>S</w:t>
            </w:r>
            <w:r w:rsidRPr="00F53403">
              <w:rPr>
                <w:rFonts w:ascii="Verdana" w:hAnsi="Verdana"/>
                <w:lang w:val="es-MX"/>
              </w:rPr>
              <w:t xml:space="preserve">obre la publicación del convenio interadministrativo, es importante precisar que </w:t>
            </w:r>
            <w:r w:rsidRPr="00F53403">
              <w:rPr>
                <w:rFonts w:ascii="Verdana" w:eastAsia="Calibri" w:hAnsi="Verdana" w:cs="Arial"/>
              </w:rPr>
              <w:t xml:space="preserve">el artículo 3 de la Ley 1150 de 2007 establece que el SECOP debe contener la información oficial de la contratación realizada con dineros públicos, y que dicha información debe ser difundida a través de canales electrónicos. Esta norma consagra un deber general de publicidad contractual que recae sobre </w:t>
            </w:r>
            <w:r w:rsidRPr="00F53403">
              <w:rPr>
                <w:rFonts w:ascii="Verdana" w:eastAsia="Calibri" w:hAnsi="Verdana" w:cs="Arial"/>
              </w:rPr>
              <w:lastRenderedPageBreak/>
              <w:t>todas las entidades estatales, sin distinción de su régimen jurídico, naturaleza o pertenencia a una rama del poder público. Asimismo, el SECOP se compone de las plataformas SECOP I y SECOP II, y resulta importante señalar que en el caso de las entidades estatales que aún publiquen su actividad contractual en el SECOP I, esta plataforma funciona como medio de publicidad, sin que exija la publicación inmediata de los documentos precontractuales y contractuales. En ese sentido, solo una de las Entidades Estatales que participan en el convenio interadministrativo podrá publicarlo para evitar duplicidad de la información en la plataforma.</w:t>
            </w:r>
          </w:p>
          <w:p w14:paraId="22850146" w14:textId="77777777" w:rsidR="00C64862" w:rsidRPr="00F53403" w:rsidRDefault="00C64862" w:rsidP="00906C2E">
            <w:pPr>
              <w:spacing w:after="120" w:line="276" w:lineRule="auto"/>
              <w:ind w:firstLine="708"/>
              <w:jc w:val="both"/>
              <w:rPr>
                <w:rFonts w:ascii="Verdana" w:eastAsia="Times New Roman" w:hAnsi="Verdana" w:cs="Arial"/>
                <w:bCs/>
                <w:lang w:val="es-ES" w:eastAsia="es-CO"/>
              </w:rPr>
            </w:pPr>
            <w:r w:rsidRPr="00F53403">
              <w:rPr>
                <w:rFonts w:ascii="Verdana" w:eastAsia="Arial" w:hAnsi="Verdana" w:cs="Arial"/>
                <w:color w:val="000000" w:themeColor="text1"/>
                <w:lang w:val="es-ES"/>
              </w:rPr>
              <w:t xml:space="preserve">Finalmente, es importante advertir que </w:t>
            </w:r>
            <w:r w:rsidRPr="00F53403">
              <w:rPr>
                <w:rFonts w:ascii="Verdana" w:eastAsia="Times New Roman" w:hAnsi="Verdana" w:cs="Arial"/>
                <w:lang w:val="es-ES"/>
              </w:rPr>
              <w:t xml:space="preserve">compete a cada Entidad Estatal que considera celebrar un contrato específico definir si cómo adelantará el procedimiento correspondiente. </w:t>
            </w:r>
            <w:r w:rsidRPr="00F53403">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tc>
      </w:tr>
    </w:tbl>
    <w:p w14:paraId="6F0C2D45" w14:textId="77777777" w:rsidR="00C64862" w:rsidRPr="00F53403" w:rsidRDefault="00C64862" w:rsidP="00C64862">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4131A09C" w14:textId="77777777" w:rsidR="00C64862" w:rsidRPr="00F53403" w:rsidRDefault="00C64862" w:rsidP="00C64862">
      <w:pPr>
        <w:tabs>
          <w:tab w:val="left" w:pos="142"/>
          <w:tab w:val="left" w:pos="284"/>
        </w:tabs>
        <w:spacing w:after="0" w:line="276" w:lineRule="auto"/>
        <w:jc w:val="both"/>
        <w:rPr>
          <w:rFonts w:ascii="Verdana" w:eastAsia="Century Gothic" w:hAnsi="Verdana" w:cs="Century Gothic"/>
          <w:b/>
          <w:color w:val="000000" w:themeColor="text1"/>
          <w:lang w:val="es-ES"/>
        </w:rPr>
      </w:pPr>
      <w:r w:rsidRPr="00F53403">
        <w:rPr>
          <w:rFonts w:ascii="Verdana" w:eastAsia="Century Gothic" w:hAnsi="Verdana" w:cs="Century Gothic"/>
          <w:b/>
          <w:color w:val="000000" w:themeColor="text1"/>
          <w:lang w:val="es-ES"/>
        </w:rPr>
        <w:t>3. Razones de la respuesta:</w:t>
      </w:r>
    </w:p>
    <w:p w14:paraId="27EB53EB" w14:textId="77777777" w:rsidR="00C64862" w:rsidRPr="00F53403" w:rsidRDefault="00C64862" w:rsidP="00C64862">
      <w:pPr>
        <w:spacing w:after="0" w:line="276" w:lineRule="auto"/>
        <w:jc w:val="both"/>
        <w:rPr>
          <w:rFonts w:ascii="Verdana" w:eastAsia="Calibri" w:hAnsi="Verdana" w:cs="Arial"/>
          <w:color w:val="000000" w:themeColor="text1"/>
          <w:lang w:val="es-ES"/>
        </w:rPr>
      </w:pPr>
    </w:p>
    <w:p w14:paraId="09FF30A5" w14:textId="77777777" w:rsidR="00C64862" w:rsidRPr="00F53403" w:rsidRDefault="00C64862" w:rsidP="00C64862">
      <w:pPr>
        <w:spacing w:after="120" w:line="276" w:lineRule="auto"/>
        <w:jc w:val="both"/>
        <w:rPr>
          <w:rFonts w:ascii="Verdana" w:hAnsi="Verdana" w:cs="Arial"/>
          <w:lang w:val="es-ES"/>
        </w:rPr>
      </w:pPr>
      <w:bookmarkStart w:id="1" w:name="_Hlk102983874"/>
      <w:bookmarkStart w:id="2" w:name="_Hlk102388095"/>
      <w:r w:rsidRPr="00F53403">
        <w:rPr>
          <w:rFonts w:ascii="Verdana" w:hAnsi="Verdana" w:cs="Arial"/>
          <w:lang w:val="es-ES"/>
        </w:rPr>
        <w:t xml:space="preserve">Aunque la ley no definió ni desarrolló </w:t>
      </w:r>
      <w:r w:rsidRPr="00F53403">
        <w:rPr>
          <w:rFonts w:ascii="Verdana" w:eastAsia="Calibri" w:hAnsi="Verdana" w:cs="Arial"/>
          <w:bCs/>
          <w:lang w:val="es-ES"/>
        </w:rPr>
        <w:t>la tipología de convenios o contratos interadministrativos</w:t>
      </w:r>
      <w:r w:rsidRPr="00F53403">
        <w:rPr>
          <w:rFonts w:ascii="Verdana" w:hAnsi="Verdana" w:cs="Arial"/>
          <w:lang w:val="es-ES"/>
        </w:rPr>
        <w:t>, el Decreto 1082 de 2015 califica a los convenios o contratos interadministrativos como aquella contratación entre entidades estatales</w:t>
      </w:r>
      <w:r w:rsidRPr="00F53403">
        <w:rPr>
          <w:rFonts w:ascii="Verdana" w:hAnsi="Verdana" w:cs="Arial"/>
          <w:vertAlign w:val="superscript"/>
          <w:lang w:val="es-ES"/>
        </w:rPr>
        <w:footnoteReference w:id="1"/>
      </w:r>
      <w:r w:rsidRPr="00F53403">
        <w:rPr>
          <w:rFonts w:ascii="Verdana" w:hAnsi="Verdana" w:cs="Arial"/>
          <w:lang w:val="es-ES"/>
        </w:rPr>
        <w:t xml:space="preserve">. </w:t>
      </w:r>
      <w:r>
        <w:rPr>
          <w:rFonts w:ascii="Verdana" w:hAnsi="Verdana" w:cs="Arial"/>
          <w:lang w:val="es-ES"/>
        </w:rPr>
        <w:t>Conforme a</w:t>
      </w:r>
      <w:r w:rsidRPr="00F53403">
        <w:rPr>
          <w:rFonts w:ascii="Verdana" w:hAnsi="Verdana" w:cs="Arial"/>
          <w:lang w:val="es-ES"/>
        </w:rPr>
        <w:t xml:space="preserve"> lo anterior, el contrato o el convenio interadministrativo es el acuerdo donde concurre la voluntad de dos o más personas jurídicas de derecho público con la finalidad de cumplir, en el marco de sus objetivos misionales y </w:t>
      </w:r>
      <w:r w:rsidRPr="00F53403">
        <w:rPr>
          <w:rFonts w:ascii="Verdana" w:hAnsi="Verdana" w:cs="Arial"/>
          <w:lang w:val="es-ES"/>
        </w:rPr>
        <w:lastRenderedPageBreak/>
        <w:t>sus competencias, con los fines del Estado. Es decir, los contratos o convenios interadministrativos están determinados por un criterio orgánico, pues es necesario que los extremos de la relación contractual sean Entidades</w:t>
      </w:r>
      <w:r w:rsidRPr="00F53403">
        <w:rPr>
          <w:rFonts w:ascii="Verdana" w:hAnsi="Verdana" w:cs="Arial"/>
          <w:spacing w:val="-6"/>
          <w:lang w:val="es-ES"/>
        </w:rPr>
        <w:t xml:space="preserve"> </w:t>
      </w:r>
      <w:r w:rsidRPr="00F53403">
        <w:rPr>
          <w:rFonts w:ascii="Verdana" w:hAnsi="Verdana" w:cs="Arial"/>
          <w:lang w:val="es-ES"/>
        </w:rPr>
        <w:t>Estatales.</w:t>
      </w:r>
    </w:p>
    <w:p w14:paraId="1DF9EE5A" w14:textId="77777777" w:rsidR="00C64862" w:rsidRPr="00F53403" w:rsidRDefault="00C64862" w:rsidP="00C64862">
      <w:pPr>
        <w:spacing w:after="120" w:line="276" w:lineRule="auto"/>
        <w:ind w:firstLine="708"/>
        <w:jc w:val="both"/>
        <w:rPr>
          <w:rFonts w:ascii="Verdana" w:hAnsi="Verdana" w:cs="Arial"/>
          <w:lang w:val="es-ES"/>
        </w:rPr>
      </w:pPr>
      <w:r w:rsidRPr="00F53403">
        <w:rPr>
          <w:rFonts w:ascii="Verdana" w:hAnsi="Verdana" w:cs="Arial"/>
          <w:lang w:val="es-ES"/>
        </w:rPr>
        <w:t>Si bien los contratos o convenios interadministrativos están previstos en la Ley 80 de 1993, en la Ley 1150 de 2007 y en el Decreto en el 1082 de 2015, no quiere decir que solo puedan celebrarse entre Entidades Estatales que apliquen el régimen de contratación allí previsto, pues una Entidad Estatal sometida a la Ley 80 de 1993 puede celebrar esta clase de convenios con una de régimen especial y no por ello dejará de ser un contrato o convenio interadministrativo.</w:t>
      </w:r>
    </w:p>
    <w:p w14:paraId="1839C651" w14:textId="77777777" w:rsidR="00C64862" w:rsidRPr="00F53403" w:rsidRDefault="00C64862" w:rsidP="00C64862">
      <w:pPr>
        <w:spacing w:after="120" w:line="276" w:lineRule="auto"/>
        <w:ind w:firstLine="708"/>
        <w:jc w:val="both"/>
        <w:rPr>
          <w:rFonts w:ascii="Verdana" w:hAnsi="Verdana"/>
        </w:rPr>
      </w:pPr>
      <w:r w:rsidRPr="00F53403">
        <w:rPr>
          <w:rFonts w:ascii="Verdana" w:hAnsi="Verdana"/>
        </w:rPr>
        <w:t>En concordancia con esto, la Corte Constitucional expresó en la Sentencia C-671 de</w:t>
      </w:r>
      <w:r w:rsidRPr="00F53403">
        <w:rPr>
          <w:rFonts w:ascii="Verdana" w:hAnsi="Verdana"/>
          <w:spacing w:val="1"/>
        </w:rPr>
        <w:t xml:space="preserve"> </w:t>
      </w:r>
      <w:r w:rsidRPr="00F53403">
        <w:rPr>
          <w:rFonts w:ascii="Verdana" w:hAnsi="Verdana"/>
        </w:rPr>
        <w:t xml:space="preserve">2015 que </w:t>
      </w:r>
      <w:r w:rsidRPr="00F53403">
        <w:rPr>
          <w:rFonts w:ascii="Verdana" w:hAnsi="Verdana"/>
          <w:i/>
          <w:iCs/>
        </w:rPr>
        <w:t xml:space="preserve">“Lo que hace interadministrativo a un contrato o convenio no es el </w:t>
      </w:r>
      <w:r w:rsidRPr="00F53403">
        <w:rPr>
          <w:rFonts w:ascii="Verdana" w:hAnsi="Verdana" w:cs="Arial"/>
          <w:i/>
          <w:iCs/>
          <w:lang w:val="es-ES"/>
        </w:rPr>
        <w:t>procedimiento</w:t>
      </w:r>
      <w:r w:rsidRPr="00F53403">
        <w:rPr>
          <w:rFonts w:ascii="Verdana" w:hAnsi="Verdana"/>
          <w:i/>
          <w:iCs/>
        </w:rPr>
        <w:t xml:space="preserve"> de</w:t>
      </w:r>
      <w:r w:rsidRPr="00F53403">
        <w:rPr>
          <w:rFonts w:ascii="Verdana" w:hAnsi="Verdana"/>
          <w:i/>
          <w:iCs/>
          <w:spacing w:val="1"/>
        </w:rPr>
        <w:t xml:space="preserve"> </w:t>
      </w:r>
      <w:r w:rsidRPr="00F53403">
        <w:rPr>
          <w:rFonts w:ascii="Verdana" w:hAnsi="Verdana"/>
          <w:i/>
          <w:iCs/>
        </w:rPr>
        <w:t>selección aplicable, sino la calidad de los sujetos contratantes, esto es que las dos partes de la</w:t>
      </w:r>
      <w:r w:rsidRPr="00F53403">
        <w:rPr>
          <w:rFonts w:ascii="Verdana" w:hAnsi="Verdana"/>
          <w:i/>
          <w:iCs/>
          <w:spacing w:val="1"/>
        </w:rPr>
        <w:t xml:space="preserve"> </w:t>
      </w:r>
      <w:r w:rsidRPr="00F53403">
        <w:rPr>
          <w:rFonts w:ascii="Verdana" w:hAnsi="Verdana"/>
          <w:i/>
          <w:iCs/>
        </w:rPr>
        <w:t>relación jurídica contractual formen parte de la administración pública”</w:t>
      </w:r>
      <w:r w:rsidRPr="00F53403">
        <w:rPr>
          <w:rFonts w:ascii="Verdana" w:hAnsi="Verdana"/>
        </w:rPr>
        <w:t>. Así las cosas, esta clase de acuerdos de voluntades se definen por un criterio orgánico, por lo que uno de sus elementos esenciales es que en los</w:t>
      </w:r>
      <w:r w:rsidRPr="00F53403">
        <w:rPr>
          <w:rFonts w:ascii="Verdana" w:hAnsi="Verdana"/>
          <w:spacing w:val="-14"/>
        </w:rPr>
        <w:t xml:space="preserve"> </w:t>
      </w:r>
      <w:r w:rsidRPr="00F53403">
        <w:rPr>
          <w:rFonts w:ascii="Verdana" w:hAnsi="Verdana"/>
        </w:rPr>
        <w:t>extremos</w:t>
      </w:r>
      <w:r w:rsidRPr="00F53403">
        <w:rPr>
          <w:rFonts w:ascii="Verdana" w:hAnsi="Verdana"/>
          <w:spacing w:val="-14"/>
        </w:rPr>
        <w:t xml:space="preserve"> </w:t>
      </w:r>
      <w:r w:rsidRPr="00F53403">
        <w:rPr>
          <w:rFonts w:ascii="Verdana" w:hAnsi="Verdana"/>
        </w:rPr>
        <w:t>de</w:t>
      </w:r>
      <w:r w:rsidRPr="00F53403">
        <w:rPr>
          <w:rFonts w:ascii="Verdana" w:hAnsi="Verdana"/>
          <w:spacing w:val="-15"/>
        </w:rPr>
        <w:t xml:space="preserve"> </w:t>
      </w:r>
      <w:r w:rsidRPr="00F53403">
        <w:rPr>
          <w:rFonts w:ascii="Verdana" w:hAnsi="Verdana"/>
        </w:rPr>
        <w:t>la</w:t>
      </w:r>
      <w:r w:rsidRPr="00F53403">
        <w:rPr>
          <w:rFonts w:ascii="Verdana" w:hAnsi="Verdana"/>
          <w:spacing w:val="-14"/>
        </w:rPr>
        <w:t xml:space="preserve"> </w:t>
      </w:r>
      <w:r w:rsidRPr="00F53403">
        <w:rPr>
          <w:rFonts w:ascii="Verdana" w:hAnsi="Verdana"/>
        </w:rPr>
        <w:t>relación</w:t>
      </w:r>
      <w:r w:rsidRPr="00F53403">
        <w:rPr>
          <w:rFonts w:ascii="Verdana" w:hAnsi="Verdana"/>
          <w:spacing w:val="-14"/>
        </w:rPr>
        <w:t xml:space="preserve"> </w:t>
      </w:r>
      <w:r w:rsidRPr="00F53403">
        <w:rPr>
          <w:rFonts w:ascii="Verdana" w:hAnsi="Verdana"/>
        </w:rPr>
        <w:t>jurídico</w:t>
      </w:r>
      <w:r w:rsidRPr="00F53403">
        <w:rPr>
          <w:rFonts w:ascii="Verdana" w:hAnsi="Verdana"/>
          <w:spacing w:val="-14"/>
        </w:rPr>
        <w:t xml:space="preserve"> </w:t>
      </w:r>
      <w:r w:rsidRPr="00F53403">
        <w:rPr>
          <w:rFonts w:ascii="Verdana" w:hAnsi="Verdana"/>
        </w:rPr>
        <w:t>negocial</w:t>
      </w:r>
      <w:r w:rsidRPr="00F53403">
        <w:rPr>
          <w:rFonts w:ascii="Verdana" w:hAnsi="Verdana"/>
          <w:spacing w:val="-14"/>
        </w:rPr>
        <w:t xml:space="preserve"> </w:t>
      </w:r>
      <w:r w:rsidRPr="00F53403">
        <w:rPr>
          <w:rFonts w:ascii="Verdana" w:hAnsi="Verdana"/>
        </w:rPr>
        <w:t>concurran</w:t>
      </w:r>
      <w:r w:rsidRPr="00F53403">
        <w:rPr>
          <w:rFonts w:ascii="Verdana" w:hAnsi="Verdana"/>
          <w:spacing w:val="-14"/>
        </w:rPr>
        <w:t xml:space="preserve"> </w:t>
      </w:r>
      <w:r w:rsidRPr="00F53403">
        <w:rPr>
          <w:rFonts w:ascii="Verdana" w:hAnsi="Verdana"/>
        </w:rPr>
        <w:t>personas</w:t>
      </w:r>
      <w:r w:rsidRPr="00F53403">
        <w:rPr>
          <w:rFonts w:ascii="Verdana" w:hAnsi="Verdana"/>
          <w:spacing w:val="-15"/>
        </w:rPr>
        <w:t xml:space="preserve"> </w:t>
      </w:r>
      <w:r w:rsidRPr="00F53403">
        <w:rPr>
          <w:rFonts w:ascii="Verdana" w:hAnsi="Verdana"/>
        </w:rPr>
        <w:t>de</w:t>
      </w:r>
      <w:r w:rsidRPr="00F53403">
        <w:rPr>
          <w:rFonts w:ascii="Verdana" w:hAnsi="Verdana"/>
          <w:spacing w:val="-14"/>
        </w:rPr>
        <w:t xml:space="preserve"> </w:t>
      </w:r>
      <w:r w:rsidRPr="00F53403">
        <w:rPr>
          <w:rFonts w:ascii="Verdana" w:hAnsi="Verdana"/>
        </w:rPr>
        <w:t>derecho</w:t>
      </w:r>
      <w:r w:rsidRPr="00F53403">
        <w:rPr>
          <w:rFonts w:ascii="Verdana" w:hAnsi="Verdana"/>
          <w:spacing w:val="-58"/>
        </w:rPr>
        <w:t xml:space="preserve"> </w:t>
      </w:r>
      <w:r w:rsidRPr="00F53403">
        <w:rPr>
          <w:rFonts w:ascii="Verdana" w:hAnsi="Verdana"/>
        </w:rPr>
        <w:t>público.</w:t>
      </w:r>
    </w:p>
    <w:p w14:paraId="7B79E02C" w14:textId="77777777" w:rsidR="00C64862" w:rsidRPr="00F53403" w:rsidRDefault="00C64862" w:rsidP="00C64862">
      <w:pPr>
        <w:spacing w:after="0" w:line="276" w:lineRule="auto"/>
        <w:ind w:firstLine="709"/>
        <w:jc w:val="both"/>
        <w:rPr>
          <w:rFonts w:ascii="Verdana" w:hAnsi="Verdana"/>
        </w:rPr>
      </w:pPr>
      <w:r w:rsidRPr="00F53403">
        <w:rPr>
          <w:rFonts w:ascii="Verdana" w:hAnsi="Verdana"/>
        </w:rPr>
        <w:t>Adicionalmente, el Consejo de Estado ha indicado, frente al convenio interadministrativo</w:t>
      </w:r>
      <w:r w:rsidRPr="00F53403">
        <w:rPr>
          <w:rFonts w:ascii="Verdana" w:hAnsi="Verdana"/>
          <w:spacing w:val="1"/>
        </w:rPr>
        <w:t xml:space="preserve"> </w:t>
      </w:r>
      <w:r w:rsidRPr="00F53403">
        <w:rPr>
          <w:rFonts w:ascii="Verdana" w:hAnsi="Verdana"/>
        </w:rPr>
        <w:t>y</w:t>
      </w:r>
      <w:r w:rsidRPr="00F53403">
        <w:rPr>
          <w:rFonts w:ascii="Verdana" w:hAnsi="Verdana"/>
          <w:spacing w:val="-2"/>
        </w:rPr>
        <w:t xml:space="preserve"> </w:t>
      </w:r>
      <w:r w:rsidRPr="00F53403">
        <w:rPr>
          <w:rFonts w:ascii="Verdana" w:hAnsi="Verdana"/>
        </w:rPr>
        <w:t>sus</w:t>
      </w:r>
      <w:r w:rsidRPr="00F53403">
        <w:rPr>
          <w:rFonts w:ascii="Verdana" w:hAnsi="Verdana"/>
          <w:spacing w:val="-1"/>
        </w:rPr>
        <w:t xml:space="preserve"> </w:t>
      </w:r>
      <w:r w:rsidRPr="00F53403">
        <w:rPr>
          <w:rFonts w:ascii="Verdana" w:hAnsi="Verdana"/>
        </w:rPr>
        <w:t>características,</w:t>
      </w:r>
      <w:r w:rsidRPr="00F53403">
        <w:rPr>
          <w:rFonts w:ascii="Verdana" w:hAnsi="Verdana"/>
          <w:spacing w:val="-13"/>
        </w:rPr>
        <w:t xml:space="preserve"> </w:t>
      </w:r>
      <w:r w:rsidRPr="00F53403">
        <w:rPr>
          <w:rFonts w:ascii="Verdana" w:hAnsi="Verdana"/>
        </w:rPr>
        <w:t>que:</w:t>
      </w:r>
    </w:p>
    <w:p w14:paraId="0D99F485" w14:textId="77777777" w:rsidR="00C64862" w:rsidRPr="00F53403" w:rsidRDefault="00C64862" w:rsidP="00C64862">
      <w:pPr>
        <w:spacing w:after="0"/>
        <w:ind w:left="826" w:right="1045"/>
        <w:jc w:val="both"/>
        <w:rPr>
          <w:rFonts w:ascii="Verdana" w:hAnsi="Verdana" w:cs="Arial"/>
          <w:color w:val="000000" w:themeColor="text1"/>
          <w:sz w:val="20"/>
          <w:szCs w:val="20"/>
          <w:lang w:val="es-ES" w:eastAsia="es-CO"/>
        </w:rPr>
      </w:pPr>
    </w:p>
    <w:p w14:paraId="66464198" w14:textId="77777777" w:rsidR="00C64862" w:rsidRPr="005D7F0F" w:rsidRDefault="00C64862" w:rsidP="00C64862">
      <w:pPr>
        <w:spacing w:after="0" w:line="240" w:lineRule="auto"/>
        <w:ind w:left="709" w:right="709"/>
        <w:jc w:val="both"/>
        <w:rPr>
          <w:rFonts w:ascii="Verdana" w:hAnsi="Verdana" w:cs="Arial"/>
          <w:sz w:val="20"/>
          <w:szCs w:val="20"/>
        </w:rPr>
      </w:pPr>
      <w:r w:rsidRPr="005D7F0F">
        <w:rPr>
          <w:rFonts w:ascii="Verdana" w:hAnsi="Verdana" w:cs="Arial"/>
          <w:sz w:val="20"/>
          <w:szCs w:val="20"/>
        </w:rPr>
        <w:t>“[…] se puede señalar que los convenios o contratos interadministrativos tienen como características principales las siguientes: (i) constituyen verdaderos contratos en los términos del Código de Comercio cuando su objeto lo constituyen obligaciones patrimoniales; (</w:t>
      </w:r>
      <w:proofErr w:type="spellStart"/>
      <w:r w:rsidRPr="005D7F0F">
        <w:rPr>
          <w:rFonts w:ascii="Verdana" w:hAnsi="Verdana" w:cs="Arial"/>
          <w:sz w:val="20"/>
          <w:szCs w:val="20"/>
        </w:rPr>
        <w:t>ii</w:t>
      </w:r>
      <w:proofErr w:type="spellEnd"/>
      <w:r w:rsidRPr="005D7F0F">
        <w:rPr>
          <w:rFonts w:ascii="Verdana" w:hAnsi="Verdana" w:cs="Arial"/>
          <w:sz w:val="20"/>
          <w:szCs w:val="20"/>
        </w:rPr>
        <w:t>) tienen como fuente la autonomía contractual; (</w:t>
      </w:r>
      <w:proofErr w:type="spellStart"/>
      <w:r w:rsidRPr="005D7F0F">
        <w:rPr>
          <w:rFonts w:ascii="Verdana" w:hAnsi="Verdana" w:cs="Arial"/>
          <w:sz w:val="20"/>
          <w:szCs w:val="20"/>
        </w:rPr>
        <w:t>iii</w:t>
      </w:r>
      <w:proofErr w:type="spellEnd"/>
      <w:r w:rsidRPr="005D7F0F">
        <w:rPr>
          <w:rFonts w:ascii="Verdana" w:hAnsi="Verdana" w:cs="Arial"/>
          <w:sz w:val="20"/>
          <w:szCs w:val="20"/>
        </w:rPr>
        <w:t>) son contratos nominados puesto que están mencionados en la ley; (</w:t>
      </w:r>
      <w:proofErr w:type="spellStart"/>
      <w:r w:rsidRPr="005D7F0F">
        <w:rPr>
          <w:rFonts w:ascii="Verdana" w:hAnsi="Verdana" w:cs="Arial"/>
          <w:sz w:val="20"/>
          <w:szCs w:val="20"/>
        </w:rPr>
        <w:t>iv</w:t>
      </w:r>
      <w:proofErr w:type="spellEnd"/>
      <w:r w:rsidRPr="005D7F0F">
        <w:rPr>
          <w:rFonts w:ascii="Verdana" w:hAnsi="Verdana" w:cs="Arial"/>
          <w:sz w:val="20"/>
          <w:szCs w:val="20"/>
        </w:rPr>
        <w:t>) son contratos 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encuentran sujetos en principio es la del Estatuto General de Contratación, en atención a que las partes que los celebran son entidades estatales y, por consiguiente, también se obligan a las disposiciones que resulten pertinentes del Código Civil y del Código de Comercio; (vi) dan lugar a la creación de obligaciones jurídicamente exigibles; (</w:t>
      </w:r>
      <w:proofErr w:type="spellStart"/>
      <w:r w:rsidRPr="005D7F0F">
        <w:rPr>
          <w:rFonts w:ascii="Verdana" w:hAnsi="Verdana" w:cs="Arial"/>
          <w:sz w:val="20"/>
          <w:szCs w:val="20"/>
        </w:rPr>
        <w:t>vii</w:t>
      </w:r>
      <w:proofErr w:type="spellEnd"/>
      <w:r w:rsidRPr="005D7F0F">
        <w:rPr>
          <w:rFonts w:ascii="Verdana" w:hAnsi="Verdana" w:cs="Arial"/>
          <w:sz w:val="20"/>
          <w:szCs w:val="20"/>
        </w:rPr>
        <w:t>) persiguen una finalidad común a través de la realización de intereses compartidos entre las entidades vinculadas; (</w:t>
      </w:r>
      <w:proofErr w:type="spellStart"/>
      <w:r w:rsidRPr="005D7F0F">
        <w:rPr>
          <w:rFonts w:ascii="Verdana" w:hAnsi="Verdana" w:cs="Arial"/>
          <w:sz w:val="20"/>
          <w:szCs w:val="20"/>
        </w:rPr>
        <w:t>viii</w:t>
      </w:r>
      <w:proofErr w:type="spellEnd"/>
      <w:r w:rsidRPr="005D7F0F">
        <w:rPr>
          <w:rFonts w:ascii="Verdana" w:hAnsi="Verdana" w:cs="Arial"/>
          <w:sz w:val="20"/>
          <w:szCs w:val="20"/>
        </w:rPr>
        <w:t xml:space="preserve">) la acción </w:t>
      </w:r>
      <w:r w:rsidRPr="005D7F0F">
        <w:rPr>
          <w:rFonts w:ascii="Verdana" w:hAnsi="Verdana" w:cs="Arial"/>
          <w:sz w:val="20"/>
          <w:szCs w:val="20"/>
        </w:rPr>
        <w:lastRenderedPageBreak/>
        <w:t>mediante la cual se deben ventilar las diferencias que sobre el particular surjan es la de controversias contractuales”</w:t>
      </w:r>
      <w:r w:rsidRPr="005D7F0F">
        <w:rPr>
          <w:rFonts w:ascii="Verdana" w:hAnsi="Verdana" w:cs="Arial"/>
          <w:sz w:val="20"/>
          <w:szCs w:val="20"/>
          <w:vertAlign w:val="superscript"/>
        </w:rPr>
        <w:footnoteReference w:id="2"/>
      </w:r>
      <w:r w:rsidRPr="005D7F0F">
        <w:rPr>
          <w:rFonts w:ascii="Verdana" w:hAnsi="Verdana" w:cs="Arial"/>
          <w:sz w:val="20"/>
          <w:szCs w:val="20"/>
        </w:rPr>
        <w:t>.</w:t>
      </w:r>
    </w:p>
    <w:p w14:paraId="304F55A9" w14:textId="77777777" w:rsidR="00C64862" w:rsidRPr="00F53403" w:rsidRDefault="00C64862" w:rsidP="00C64862">
      <w:pPr>
        <w:spacing w:after="0" w:line="276" w:lineRule="auto"/>
        <w:ind w:firstLine="708"/>
        <w:jc w:val="both"/>
        <w:rPr>
          <w:rFonts w:ascii="Verdana" w:hAnsi="Verdana" w:cs="Arial"/>
        </w:rPr>
      </w:pPr>
    </w:p>
    <w:p w14:paraId="6E960E62" w14:textId="77777777" w:rsidR="00C64862" w:rsidRPr="00F53403" w:rsidRDefault="00C64862" w:rsidP="00C64862">
      <w:pPr>
        <w:spacing w:after="120" w:line="276" w:lineRule="auto"/>
        <w:ind w:firstLine="708"/>
        <w:jc w:val="both"/>
        <w:rPr>
          <w:rFonts w:ascii="Verdana" w:hAnsi="Verdana" w:cs="Arial"/>
          <w:lang w:val="es-ES"/>
        </w:rPr>
      </w:pPr>
      <w:r w:rsidRPr="00F53403">
        <w:rPr>
          <w:rFonts w:ascii="Verdana" w:hAnsi="Verdana" w:cs="Arial"/>
          <w:lang w:val="es-ES"/>
        </w:rPr>
        <w:t>Adicionalmente, se deriva del criterio orgánico referido que 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F53403">
        <w:rPr>
          <w:rFonts w:ascii="Verdana" w:hAnsi="Verdana" w:cs="Arial"/>
          <w:vertAlign w:val="superscript"/>
          <w:lang w:val="es-ES"/>
        </w:rPr>
        <w:footnoteReference w:id="3"/>
      </w:r>
      <w:r w:rsidRPr="00F53403">
        <w:rPr>
          <w:rFonts w:ascii="Verdana" w:hAnsi="Verdana" w:cs="Arial"/>
          <w:lang w:val="es-ES"/>
        </w:rPr>
        <w:t>. Nótese que, en este caso, lo que cambia es la modalidad de selección y no la naturaleza de contrato</w:t>
      </w:r>
      <w:r w:rsidRPr="00F53403">
        <w:rPr>
          <w:rFonts w:ascii="Verdana" w:hAnsi="Verdana" w:cs="Arial"/>
          <w:spacing w:val="-18"/>
          <w:lang w:val="es-ES"/>
        </w:rPr>
        <w:t xml:space="preserve"> </w:t>
      </w:r>
      <w:r w:rsidRPr="00F53403">
        <w:rPr>
          <w:rFonts w:ascii="Verdana" w:hAnsi="Verdana" w:cs="Arial"/>
          <w:lang w:val="es-ES"/>
        </w:rPr>
        <w:t>interadministrativo.</w:t>
      </w:r>
    </w:p>
    <w:p w14:paraId="0DB2A537" w14:textId="77777777" w:rsidR="00C64862" w:rsidRPr="00F53403" w:rsidRDefault="00C64862" w:rsidP="00C64862">
      <w:pPr>
        <w:spacing w:after="120" w:line="276" w:lineRule="auto"/>
        <w:ind w:firstLine="708"/>
        <w:jc w:val="both"/>
        <w:rPr>
          <w:rFonts w:ascii="Verdana" w:hAnsi="Verdana"/>
        </w:rPr>
      </w:pPr>
      <w:r w:rsidRPr="00F53403">
        <w:rPr>
          <w:rFonts w:ascii="Verdana" w:hAnsi="Verdana"/>
          <w:lang w:val="es-MX"/>
        </w:rPr>
        <w:t>En</w:t>
      </w:r>
      <w:r w:rsidRPr="00F53403">
        <w:rPr>
          <w:rFonts w:ascii="Verdana" w:hAnsi="Verdana"/>
          <w:spacing w:val="1"/>
          <w:lang w:val="es-MX"/>
        </w:rPr>
        <w:t xml:space="preserve"> </w:t>
      </w:r>
      <w:r w:rsidRPr="00F53403">
        <w:rPr>
          <w:rFonts w:ascii="Verdana" w:hAnsi="Verdana"/>
          <w:lang w:val="es-MX"/>
        </w:rPr>
        <w:t>ese</w:t>
      </w:r>
      <w:r w:rsidRPr="00F53403">
        <w:rPr>
          <w:rFonts w:ascii="Verdana" w:hAnsi="Verdana"/>
          <w:spacing w:val="1"/>
          <w:lang w:val="es-MX"/>
        </w:rPr>
        <w:t xml:space="preserve"> </w:t>
      </w:r>
      <w:r w:rsidRPr="00F53403">
        <w:rPr>
          <w:rFonts w:ascii="Verdana" w:hAnsi="Verdana"/>
          <w:lang w:val="es-MX"/>
        </w:rPr>
        <w:t>orden,</w:t>
      </w:r>
      <w:r w:rsidRPr="00F53403">
        <w:rPr>
          <w:rFonts w:ascii="Verdana" w:hAnsi="Verdana"/>
          <w:spacing w:val="1"/>
          <w:lang w:val="es-MX"/>
        </w:rPr>
        <w:t xml:space="preserve"> </w:t>
      </w:r>
      <w:r w:rsidRPr="00F53403">
        <w:rPr>
          <w:rFonts w:ascii="Verdana" w:hAnsi="Verdana"/>
          <w:lang w:val="es-MX"/>
        </w:rPr>
        <w:t>la</w:t>
      </w:r>
      <w:r w:rsidRPr="00F53403">
        <w:rPr>
          <w:rFonts w:ascii="Verdana" w:hAnsi="Verdana"/>
          <w:spacing w:val="1"/>
          <w:lang w:val="es-MX"/>
        </w:rPr>
        <w:t xml:space="preserve"> </w:t>
      </w:r>
      <w:r w:rsidRPr="00F53403">
        <w:rPr>
          <w:rFonts w:ascii="Verdana" w:hAnsi="Verdana"/>
          <w:lang w:val="es-MX"/>
        </w:rPr>
        <w:t>ley</w:t>
      </w:r>
      <w:r w:rsidRPr="00F53403">
        <w:rPr>
          <w:rFonts w:ascii="Verdana" w:hAnsi="Verdana"/>
          <w:spacing w:val="1"/>
          <w:lang w:val="es-MX"/>
        </w:rPr>
        <w:t xml:space="preserve"> </w:t>
      </w:r>
      <w:r w:rsidRPr="00F53403">
        <w:rPr>
          <w:rFonts w:ascii="Verdana" w:hAnsi="Verdana"/>
          <w:lang w:val="es-MX"/>
        </w:rPr>
        <w:t>no</w:t>
      </w:r>
      <w:r w:rsidRPr="00F53403">
        <w:rPr>
          <w:rFonts w:ascii="Verdana" w:hAnsi="Verdana"/>
          <w:spacing w:val="1"/>
          <w:lang w:val="es-MX"/>
        </w:rPr>
        <w:t xml:space="preserve"> </w:t>
      </w:r>
      <w:r w:rsidRPr="00F53403">
        <w:rPr>
          <w:rFonts w:ascii="Verdana" w:hAnsi="Verdana"/>
          <w:lang w:val="es-MX"/>
        </w:rPr>
        <w:t>limitó</w:t>
      </w:r>
      <w:r w:rsidRPr="00F53403">
        <w:rPr>
          <w:rFonts w:ascii="Verdana" w:hAnsi="Verdana"/>
          <w:spacing w:val="1"/>
          <w:lang w:val="es-MX"/>
        </w:rPr>
        <w:t xml:space="preserve"> </w:t>
      </w:r>
      <w:r w:rsidRPr="00F53403">
        <w:rPr>
          <w:rFonts w:ascii="Verdana" w:hAnsi="Verdana"/>
          <w:lang w:val="es-MX"/>
        </w:rPr>
        <w:t>la</w:t>
      </w:r>
      <w:r w:rsidRPr="00F53403">
        <w:rPr>
          <w:rFonts w:ascii="Verdana" w:hAnsi="Verdana"/>
          <w:spacing w:val="1"/>
          <w:lang w:val="es-MX"/>
        </w:rPr>
        <w:t xml:space="preserve"> </w:t>
      </w:r>
      <w:r w:rsidRPr="00F53403">
        <w:rPr>
          <w:rFonts w:ascii="Verdana" w:hAnsi="Verdana"/>
          <w:lang w:val="es-MX"/>
        </w:rPr>
        <w:t>celebración</w:t>
      </w:r>
      <w:r w:rsidRPr="00F53403">
        <w:rPr>
          <w:rFonts w:ascii="Verdana" w:hAnsi="Verdana"/>
          <w:spacing w:val="1"/>
          <w:lang w:val="es-MX"/>
        </w:rPr>
        <w:t xml:space="preserve"> </w:t>
      </w:r>
      <w:r w:rsidRPr="00F53403">
        <w:rPr>
          <w:rFonts w:ascii="Verdana" w:hAnsi="Verdana"/>
          <w:lang w:val="es-MX"/>
        </w:rPr>
        <w:t>de</w:t>
      </w:r>
      <w:r w:rsidRPr="00F53403">
        <w:rPr>
          <w:rFonts w:ascii="Verdana" w:hAnsi="Verdana"/>
          <w:spacing w:val="1"/>
          <w:lang w:val="es-MX"/>
        </w:rPr>
        <w:t xml:space="preserve"> </w:t>
      </w:r>
      <w:r w:rsidRPr="00F53403">
        <w:rPr>
          <w:rFonts w:ascii="Verdana" w:hAnsi="Verdana"/>
          <w:lang w:val="es-MX"/>
        </w:rPr>
        <w:t>contratos</w:t>
      </w:r>
      <w:r w:rsidRPr="00F53403">
        <w:rPr>
          <w:rFonts w:ascii="Verdana" w:hAnsi="Verdana"/>
          <w:spacing w:val="1"/>
          <w:lang w:val="es-MX"/>
        </w:rPr>
        <w:t xml:space="preserve"> </w:t>
      </w:r>
      <w:r w:rsidRPr="00F53403">
        <w:rPr>
          <w:rFonts w:ascii="Verdana" w:hAnsi="Verdana"/>
          <w:lang w:val="es-MX"/>
        </w:rPr>
        <w:t>interadministrativos</w:t>
      </w:r>
      <w:r w:rsidRPr="00F53403">
        <w:rPr>
          <w:rFonts w:ascii="Verdana" w:hAnsi="Verdana"/>
          <w:spacing w:val="1"/>
          <w:lang w:val="es-MX"/>
        </w:rPr>
        <w:t xml:space="preserve"> </w:t>
      </w:r>
      <w:r w:rsidRPr="00F53403">
        <w:rPr>
          <w:rFonts w:ascii="Verdana" w:hAnsi="Verdana"/>
          <w:lang w:val="es-MX"/>
        </w:rPr>
        <w:t>a</w:t>
      </w:r>
      <w:r w:rsidRPr="00F53403">
        <w:rPr>
          <w:rFonts w:ascii="Verdana" w:hAnsi="Verdana"/>
          <w:spacing w:val="1"/>
          <w:lang w:val="es-MX"/>
        </w:rPr>
        <w:t xml:space="preserve"> </w:t>
      </w:r>
      <w:r w:rsidRPr="00F53403">
        <w:rPr>
          <w:rFonts w:ascii="Verdana" w:hAnsi="Verdana"/>
          <w:lang w:val="es-MX"/>
        </w:rPr>
        <w:t>la</w:t>
      </w:r>
      <w:r w:rsidRPr="00F53403">
        <w:rPr>
          <w:rFonts w:ascii="Verdana" w:hAnsi="Verdana"/>
          <w:spacing w:val="-59"/>
          <w:lang w:val="es-MX"/>
        </w:rPr>
        <w:t xml:space="preserve"> </w:t>
      </w:r>
      <w:r w:rsidRPr="00F53403">
        <w:rPr>
          <w:rFonts w:ascii="Verdana" w:hAnsi="Verdana"/>
          <w:lang w:val="es-MX"/>
        </w:rPr>
        <w:t>modalidad de selección de contratación directa, pues solo estableció, excepcionalmente, su</w:t>
      </w:r>
      <w:r w:rsidRPr="00F53403">
        <w:rPr>
          <w:rFonts w:ascii="Verdana" w:hAnsi="Verdana"/>
          <w:spacing w:val="1"/>
          <w:lang w:val="es-MX"/>
        </w:rPr>
        <w:t xml:space="preserve"> </w:t>
      </w:r>
      <w:r w:rsidRPr="00F53403">
        <w:rPr>
          <w:rFonts w:ascii="Verdana" w:hAnsi="Verdana"/>
          <w:lang w:val="es-MX"/>
        </w:rPr>
        <w:t>celebración</w:t>
      </w:r>
      <w:r w:rsidRPr="00F53403">
        <w:rPr>
          <w:rFonts w:ascii="Verdana" w:hAnsi="Verdana"/>
          <w:spacing w:val="-5"/>
          <w:lang w:val="es-MX"/>
        </w:rPr>
        <w:t xml:space="preserve"> </w:t>
      </w:r>
      <w:r w:rsidRPr="00F53403">
        <w:rPr>
          <w:rFonts w:ascii="Verdana" w:hAnsi="Verdana"/>
          <w:lang w:val="es-MX"/>
        </w:rPr>
        <w:t>de</w:t>
      </w:r>
      <w:r w:rsidRPr="00F53403">
        <w:rPr>
          <w:rFonts w:ascii="Verdana" w:hAnsi="Verdana"/>
          <w:spacing w:val="-5"/>
          <w:lang w:val="es-MX"/>
        </w:rPr>
        <w:t xml:space="preserve"> </w:t>
      </w:r>
      <w:r w:rsidRPr="00F53403">
        <w:rPr>
          <w:rFonts w:ascii="Verdana" w:hAnsi="Verdana"/>
          <w:lang w:val="es-MX"/>
        </w:rPr>
        <w:t>manera</w:t>
      </w:r>
      <w:r w:rsidRPr="00F53403">
        <w:rPr>
          <w:rFonts w:ascii="Verdana" w:hAnsi="Verdana"/>
          <w:spacing w:val="-5"/>
          <w:lang w:val="es-MX"/>
        </w:rPr>
        <w:t xml:space="preserve"> </w:t>
      </w:r>
      <w:r w:rsidRPr="00F53403">
        <w:rPr>
          <w:rFonts w:ascii="Verdana" w:hAnsi="Verdana"/>
          <w:lang w:val="es-MX"/>
        </w:rPr>
        <w:t>directa</w:t>
      </w:r>
      <w:r w:rsidRPr="00F53403">
        <w:rPr>
          <w:rFonts w:ascii="Verdana" w:hAnsi="Verdana"/>
          <w:spacing w:val="-5"/>
          <w:lang w:val="es-MX"/>
        </w:rPr>
        <w:t xml:space="preserve"> </w:t>
      </w:r>
      <w:r w:rsidRPr="00F53403">
        <w:rPr>
          <w:rFonts w:ascii="Verdana" w:hAnsi="Verdana"/>
          <w:lang w:val="es-MX"/>
        </w:rPr>
        <w:t>cuando</w:t>
      </w:r>
      <w:r w:rsidRPr="00F53403">
        <w:rPr>
          <w:rFonts w:ascii="Verdana" w:hAnsi="Verdana"/>
          <w:spacing w:val="-5"/>
          <w:lang w:val="es-MX"/>
        </w:rPr>
        <w:t xml:space="preserve"> </w:t>
      </w:r>
      <w:r w:rsidRPr="00F53403">
        <w:rPr>
          <w:rFonts w:ascii="Verdana" w:hAnsi="Verdana"/>
          <w:lang w:val="es-MX"/>
        </w:rPr>
        <w:t>dos</w:t>
      </w:r>
      <w:r w:rsidRPr="00F53403">
        <w:rPr>
          <w:rFonts w:ascii="Verdana" w:hAnsi="Verdana"/>
          <w:spacing w:val="-5"/>
          <w:lang w:val="es-MX"/>
        </w:rPr>
        <w:t xml:space="preserve"> </w:t>
      </w:r>
      <w:r w:rsidRPr="00F53403">
        <w:rPr>
          <w:rFonts w:ascii="Verdana" w:hAnsi="Verdana"/>
          <w:lang w:val="es-MX"/>
        </w:rPr>
        <w:t>o</w:t>
      </w:r>
      <w:r w:rsidRPr="00F53403">
        <w:rPr>
          <w:rFonts w:ascii="Verdana" w:hAnsi="Verdana"/>
          <w:spacing w:val="-4"/>
          <w:lang w:val="es-MX"/>
        </w:rPr>
        <w:t xml:space="preserve"> </w:t>
      </w:r>
      <w:r w:rsidRPr="00F53403">
        <w:rPr>
          <w:rFonts w:ascii="Verdana" w:hAnsi="Verdana"/>
          <w:lang w:val="es-MX"/>
        </w:rPr>
        <w:t>más</w:t>
      </w:r>
      <w:r w:rsidRPr="00F53403">
        <w:rPr>
          <w:rFonts w:ascii="Verdana" w:hAnsi="Verdana"/>
          <w:spacing w:val="-5"/>
          <w:lang w:val="es-MX"/>
        </w:rPr>
        <w:t xml:space="preserve"> </w:t>
      </w:r>
      <w:r w:rsidRPr="00F53403">
        <w:rPr>
          <w:rFonts w:ascii="Verdana" w:hAnsi="Verdana"/>
          <w:lang w:val="es-MX"/>
        </w:rPr>
        <w:t>entidades</w:t>
      </w:r>
      <w:r w:rsidRPr="00F53403">
        <w:rPr>
          <w:rFonts w:ascii="Verdana" w:hAnsi="Verdana"/>
          <w:spacing w:val="-5"/>
          <w:lang w:val="es-MX"/>
        </w:rPr>
        <w:t xml:space="preserve"> </w:t>
      </w:r>
      <w:r w:rsidRPr="00F53403">
        <w:rPr>
          <w:rFonts w:ascii="Verdana" w:hAnsi="Verdana"/>
          <w:lang w:val="es-MX"/>
        </w:rPr>
        <w:t>del</w:t>
      </w:r>
      <w:r w:rsidRPr="00F53403">
        <w:rPr>
          <w:rFonts w:ascii="Verdana" w:hAnsi="Verdana"/>
          <w:spacing w:val="-5"/>
          <w:lang w:val="es-MX"/>
        </w:rPr>
        <w:t xml:space="preserve"> </w:t>
      </w:r>
      <w:r w:rsidRPr="00F53403">
        <w:rPr>
          <w:rFonts w:ascii="Verdana" w:hAnsi="Verdana"/>
          <w:lang w:val="es-MX"/>
        </w:rPr>
        <w:t>Estado,</w:t>
      </w:r>
      <w:r w:rsidRPr="00F53403">
        <w:rPr>
          <w:rFonts w:ascii="Verdana" w:hAnsi="Verdana"/>
          <w:spacing w:val="-4"/>
          <w:lang w:val="es-MX"/>
        </w:rPr>
        <w:t xml:space="preserve"> </w:t>
      </w:r>
      <w:r w:rsidRPr="00F53403">
        <w:rPr>
          <w:rFonts w:ascii="Verdana" w:hAnsi="Verdana"/>
          <w:lang w:val="es-MX"/>
        </w:rPr>
        <w:t>con</w:t>
      </w:r>
      <w:r w:rsidRPr="00F53403">
        <w:rPr>
          <w:rFonts w:ascii="Verdana" w:hAnsi="Verdana"/>
          <w:spacing w:val="-5"/>
          <w:lang w:val="es-MX"/>
        </w:rPr>
        <w:t xml:space="preserve"> </w:t>
      </w:r>
      <w:r w:rsidRPr="00F53403">
        <w:rPr>
          <w:rFonts w:ascii="Verdana" w:hAnsi="Verdana"/>
          <w:lang w:val="es-MX"/>
        </w:rPr>
        <w:t>el</w:t>
      </w:r>
      <w:r w:rsidRPr="00F53403">
        <w:rPr>
          <w:rFonts w:ascii="Verdana" w:hAnsi="Verdana"/>
          <w:spacing w:val="-5"/>
          <w:lang w:val="es-MX"/>
        </w:rPr>
        <w:t xml:space="preserve"> </w:t>
      </w:r>
      <w:r w:rsidRPr="00F53403">
        <w:rPr>
          <w:rFonts w:ascii="Verdana" w:hAnsi="Verdana"/>
          <w:lang w:val="es-MX"/>
        </w:rPr>
        <w:t>fin</w:t>
      </w:r>
      <w:r w:rsidRPr="00F53403">
        <w:rPr>
          <w:rFonts w:ascii="Verdana" w:hAnsi="Verdana"/>
          <w:spacing w:val="-4"/>
          <w:lang w:val="es-MX"/>
        </w:rPr>
        <w:t xml:space="preserve"> </w:t>
      </w:r>
      <w:r w:rsidRPr="00F53403">
        <w:rPr>
          <w:rFonts w:ascii="Verdana" w:hAnsi="Verdana"/>
          <w:lang w:val="es-MX"/>
        </w:rPr>
        <w:t>de</w:t>
      </w:r>
      <w:r w:rsidRPr="00F53403">
        <w:rPr>
          <w:rFonts w:ascii="Verdana" w:hAnsi="Verdana"/>
          <w:spacing w:val="-5"/>
          <w:lang w:val="es-MX"/>
        </w:rPr>
        <w:t xml:space="preserve"> </w:t>
      </w:r>
      <w:r w:rsidRPr="00F53403">
        <w:rPr>
          <w:rFonts w:ascii="Verdana" w:hAnsi="Verdana"/>
          <w:lang w:val="es-MX"/>
        </w:rPr>
        <w:t>materializar funciones administrativas de interés común para ambas partes, celebran un negocio jurídico. No</w:t>
      </w:r>
      <w:r w:rsidRPr="00F53403">
        <w:rPr>
          <w:rFonts w:ascii="Verdana" w:hAnsi="Verdana"/>
          <w:spacing w:val="-59"/>
          <w:lang w:val="es-MX"/>
        </w:rPr>
        <w:t xml:space="preserve"> </w:t>
      </w:r>
      <w:r w:rsidRPr="00F53403">
        <w:rPr>
          <w:rFonts w:ascii="Verdana" w:hAnsi="Verdana"/>
          <w:lang w:val="es-MX"/>
        </w:rPr>
        <w:t>obstante, es posible que se celebren contratos interadministrativos en el marco de un proceso</w:t>
      </w:r>
      <w:r w:rsidRPr="00F53403">
        <w:rPr>
          <w:rFonts w:ascii="Verdana" w:hAnsi="Verdana"/>
          <w:spacing w:val="1"/>
          <w:lang w:val="es-MX"/>
        </w:rPr>
        <w:t xml:space="preserve"> </w:t>
      </w:r>
      <w:r w:rsidRPr="00F53403">
        <w:rPr>
          <w:rFonts w:ascii="Verdana" w:hAnsi="Verdana"/>
          <w:lang w:val="es-MX"/>
        </w:rPr>
        <w:t>donde sea posible la participación de los interesados en ofertar, es decir, a través de las otras</w:t>
      </w:r>
      <w:r w:rsidRPr="00F53403">
        <w:rPr>
          <w:rFonts w:ascii="Verdana" w:hAnsi="Verdana"/>
          <w:spacing w:val="1"/>
          <w:lang w:val="es-MX"/>
        </w:rPr>
        <w:t xml:space="preserve"> </w:t>
      </w:r>
      <w:r w:rsidRPr="00F53403">
        <w:rPr>
          <w:rFonts w:ascii="Verdana" w:hAnsi="Verdana"/>
          <w:spacing w:val="-1"/>
          <w:lang w:val="es-MX"/>
        </w:rPr>
        <w:t>modalidades</w:t>
      </w:r>
      <w:r w:rsidRPr="00F53403">
        <w:rPr>
          <w:rFonts w:ascii="Verdana" w:hAnsi="Verdana"/>
          <w:spacing w:val="-15"/>
          <w:lang w:val="es-MX"/>
        </w:rPr>
        <w:t xml:space="preserve"> </w:t>
      </w:r>
      <w:r w:rsidRPr="00F53403">
        <w:rPr>
          <w:rFonts w:ascii="Verdana" w:hAnsi="Verdana"/>
          <w:spacing w:val="-1"/>
          <w:lang w:val="es-MX"/>
        </w:rPr>
        <w:t>de</w:t>
      </w:r>
      <w:r w:rsidRPr="00F53403">
        <w:rPr>
          <w:rFonts w:ascii="Verdana" w:hAnsi="Verdana"/>
          <w:spacing w:val="-15"/>
          <w:lang w:val="es-MX"/>
        </w:rPr>
        <w:t xml:space="preserve"> </w:t>
      </w:r>
      <w:r w:rsidRPr="00F53403">
        <w:rPr>
          <w:rFonts w:ascii="Verdana" w:hAnsi="Verdana"/>
          <w:spacing w:val="-1"/>
          <w:lang w:val="es-MX"/>
        </w:rPr>
        <w:t>selección</w:t>
      </w:r>
      <w:r w:rsidRPr="00F53403">
        <w:rPr>
          <w:rFonts w:ascii="Verdana" w:hAnsi="Verdana"/>
          <w:spacing w:val="-15"/>
          <w:lang w:val="es-MX"/>
        </w:rPr>
        <w:t xml:space="preserve"> </w:t>
      </w:r>
      <w:r w:rsidRPr="00F53403">
        <w:rPr>
          <w:rFonts w:ascii="Verdana" w:hAnsi="Verdana"/>
          <w:spacing w:val="-1"/>
          <w:lang w:val="es-MX"/>
        </w:rPr>
        <w:t>previstas</w:t>
      </w:r>
      <w:r w:rsidRPr="00F53403">
        <w:rPr>
          <w:rFonts w:ascii="Verdana" w:hAnsi="Verdana"/>
          <w:spacing w:val="-15"/>
          <w:lang w:val="es-MX"/>
        </w:rPr>
        <w:t xml:space="preserve"> </w:t>
      </w:r>
      <w:r w:rsidRPr="00F53403">
        <w:rPr>
          <w:rFonts w:ascii="Verdana" w:hAnsi="Verdana"/>
          <w:spacing w:val="-1"/>
          <w:lang w:val="es-MX"/>
        </w:rPr>
        <w:t>en</w:t>
      </w:r>
      <w:r w:rsidRPr="00F53403">
        <w:rPr>
          <w:rFonts w:ascii="Verdana" w:hAnsi="Verdana"/>
          <w:spacing w:val="-15"/>
          <w:lang w:val="es-MX"/>
        </w:rPr>
        <w:t xml:space="preserve"> </w:t>
      </w:r>
      <w:r w:rsidRPr="00F53403">
        <w:rPr>
          <w:rFonts w:ascii="Verdana" w:hAnsi="Verdana"/>
          <w:spacing w:val="-1"/>
          <w:lang w:val="es-MX"/>
        </w:rPr>
        <w:t>la</w:t>
      </w:r>
      <w:r w:rsidRPr="00F53403">
        <w:rPr>
          <w:rFonts w:ascii="Verdana" w:hAnsi="Verdana"/>
          <w:spacing w:val="-14"/>
          <w:lang w:val="es-MX"/>
        </w:rPr>
        <w:t xml:space="preserve"> </w:t>
      </w:r>
      <w:r w:rsidRPr="00F53403">
        <w:rPr>
          <w:rFonts w:ascii="Verdana" w:hAnsi="Verdana"/>
          <w:spacing w:val="-1"/>
          <w:lang w:val="es-MX"/>
        </w:rPr>
        <w:t>Ley</w:t>
      </w:r>
      <w:r w:rsidRPr="00F53403">
        <w:rPr>
          <w:rFonts w:ascii="Verdana" w:hAnsi="Verdana"/>
          <w:spacing w:val="-15"/>
          <w:lang w:val="es-MX"/>
        </w:rPr>
        <w:t xml:space="preserve"> </w:t>
      </w:r>
      <w:r w:rsidRPr="00F53403">
        <w:rPr>
          <w:rFonts w:ascii="Verdana" w:hAnsi="Verdana"/>
          <w:spacing w:val="-1"/>
          <w:lang w:val="es-MX"/>
        </w:rPr>
        <w:t>1150</w:t>
      </w:r>
      <w:r w:rsidRPr="00F53403">
        <w:rPr>
          <w:rFonts w:ascii="Verdana" w:hAnsi="Verdana"/>
          <w:spacing w:val="-15"/>
          <w:lang w:val="es-MX"/>
        </w:rPr>
        <w:t xml:space="preserve"> </w:t>
      </w:r>
      <w:r w:rsidRPr="00F53403">
        <w:rPr>
          <w:rFonts w:ascii="Verdana" w:hAnsi="Verdana"/>
          <w:lang w:val="es-MX"/>
        </w:rPr>
        <w:t>de</w:t>
      </w:r>
      <w:r w:rsidRPr="00F53403">
        <w:rPr>
          <w:rFonts w:ascii="Verdana" w:hAnsi="Verdana"/>
          <w:spacing w:val="-15"/>
          <w:lang w:val="es-MX"/>
        </w:rPr>
        <w:t xml:space="preserve"> </w:t>
      </w:r>
      <w:r w:rsidRPr="00F53403">
        <w:rPr>
          <w:rFonts w:ascii="Verdana" w:hAnsi="Verdana"/>
          <w:lang w:val="es-MX"/>
        </w:rPr>
        <w:t>2007</w:t>
      </w:r>
      <w:r w:rsidRPr="00F53403">
        <w:rPr>
          <w:rFonts w:ascii="Verdana" w:hAnsi="Verdana"/>
          <w:spacing w:val="-15"/>
          <w:lang w:val="es-MX"/>
        </w:rPr>
        <w:t xml:space="preserve"> </w:t>
      </w:r>
      <w:r w:rsidRPr="00F53403">
        <w:rPr>
          <w:rFonts w:ascii="Verdana" w:hAnsi="Verdana"/>
          <w:lang w:val="es-MX"/>
        </w:rPr>
        <w:t>diferentes</w:t>
      </w:r>
      <w:r w:rsidRPr="00F53403">
        <w:rPr>
          <w:rFonts w:ascii="Verdana" w:hAnsi="Verdana"/>
          <w:spacing w:val="-14"/>
          <w:lang w:val="es-MX"/>
        </w:rPr>
        <w:t xml:space="preserve"> </w:t>
      </w:r>
      <w:r w:rsidRPr="00F53403">
        <w:rPr>
          <w:rFonts w:ascii="Verdana" w:hAnsi="Verdana"/>
          <w:lang w:val="es-MX"/>
        </w:rPr>
        <w:t>a</w:t>
      </w:r>
      <w:r w:rsidRPr="00F53403">
        <w:rPr>
          <w:rFonts w:ascii="Verdana" w:hAnsi="Verdana"/>
          <w:spacing w:val="-15"/>
          <w:lang w:val="es-MX"/>
        </w:rPr>
        <w:t xml:space="preserve"> </w:t>
      </w:r>
      <w:r w:rsidRPr="00F53403">
        <w:rPr>
          <w:rFonts w:ascii="Verdana" w:hAnsi="Verdana"/>
          <w:lang w:val="es-MX"/>
        </w:rPr>
        <w:t>la</w:t>
      </w:r>
      <w:r w:rsidRPr="00F53403">
        <w:rPr>
          <w:rFonts w:ascii="Verdana" w:hAnsi="Verdana"/>
          <w:spacing w:val="-15"/>
          <w:lang w:val="es-MX"/>
        </w:rPr>
        <w:t xml:space="preserve"> </w:t>
      </w:r>
      <w:r w:rsidRPr="00F53403">
        <w:rPr>
          <w:rFonts w:ascii="Verdana" w:hAnsi="Verdana"/>
          <w:lang w:val="es-MX"/>
        </w:rPr>
        <w:t>de</w:t>
      </w:r>
      <w:r w:rsidRPr="00F53403">
        <w:rPr>
          <w:rFonts w:ascii="Verdana" w:hAnsi="Verdana"/>
          <w:spacing w:val="-15"/>
          <w:lang w:val="es-MX"/>
        </w:rPr>
        <w:t xml:space="preserve"> </w:t>
      </w:r>
      <w:r w:rsidRPr="00F53403">
        <w:rPr>
          <w:rFonts w:ascii="Verdana" w:hAnsi="Verdana"/>
          <w:lang w:val="es-MX"/>
        </w:rPr>
        <w:t>contratación</w:t>
      </w:r>
      <w:r w:rsidRPr="00F53403">
        <w:rPr>
          <w:rFonts w:ascii="Verdana" w:hAnsi="Verdana"/>
          <w:spacing w:val="-15"/>
          <w:lang w:val="es-MX"/>
        </w:rPr>
        <w:t xml:space="preserve"> </w:t>
      </w:r>
      <w:r w:rsidRPr="00F53403">
        <w:rPr>
          <w:rFonts w:ascii="Verdana" w:hAnsi="Verdana"/>
          <w:lang w:val="es-MX"/>
        </w:rPr>
        <w:t>directa,</w:t>
      </w:r>
      <w:r w:rsidRPr="00F53403">
        <w:rPr>
          <w:rFonts w:ascii="Verdana" w:hAnsi="Verdana"/>
          <w:spacing w:val="-58"/>
          <w:lang w:val="es-MX"/>
        </w:rPr>
        <w:t xml:space="preserve"> </w:t>
      </w:r>
      <w:r w:rsidRPr="00F53403">
        <w:rPr>
          <w:rFonts w:ascii="Verdana" w:hAnsi="Verdana"/>
          <w:lang w:val="es-MX"/>
        </w:rPr>
        <w:t>pues, como se indicó, la existencia de un contrato interadministrativo no está determinada por la</w:t>
      </w:r>
      <w:r w:rsidRPr="00F53403">
        <w:rPr>
          <w:rFonts w:ascii="Verdana" w:hAnsi="Verdana"/>
          <w:spacing w:val="-59"/>
          <w:lang w:val="es-MX"/>
        </w:rPr>
        <w:t xml:space="preserve"> </w:t>
      </w:r>
      <w:r w:rsidRPr="00F53403">
        <w:rPr>
          <w:rFonts w:ascii="Verdana" w:hAnsi="Verdana"/>
          <w:lang w:val="es-MX"/>
        </w:rPr>
        <w:t>modalidad de selección sino, entre otras cosas, de la calidad de las partes que lo suscriben, es</w:t>
      </w:r>
      <w:r w:rsidRPr="00F53403">
        <w:rPr>
          <w:rFonts w:ascii="Verdana" w:hAnsi="Verdana"/>
          <w:spacing w:val="1"/>
          <w:lang w:val="es-MX"/>
        </w:rPr>
        <w:t xml:space="preserve"> </w:t>
      </w:r>
      <w:r w:rsidRPr="00F53403">
        <w:rPr>
          <w:rFonts w:ascii="Verdana" w:hAnsi="Verdana"/>
          <w:lang w:val="es-MX"/>
        </w:rPr>
        <w:t>decir,</w:t>
      </w:r>
      <w:r w:rsidRPr="00F53403">
        <w:rPr>
          <w:rFonts w:ascii="Verdana" w:hAnsi="Verdana"/>
          <w:spacing w:val="-2"/>
          <w:lang w:val="es-MX"/>
        </w:rPr>
        <w:t xml:space="preserve"> </w:t>
      </w:r>
      <w:r w:rsidRPr="00F53403">
        <w:rPr>
          <w:rFonts w:ascii="Verdana" w:hAnsi="Verdana"/>
          <w:lang w:val="es-MX"/>
        </w:rPr>
        <w:t>debe</w:t>
      </w:r>
      <w:r w:rsidRPr="00F53403">
        <w:rPr>
          <w:rFonts w:ascii="Verdana" w:hAnsi="Verdana"/>
          <w:spacing w:val="-1"/>
          <w:lang w:val="es-MX"/>
        </w:rPr>
        <w:t xml:space="preserve"> </w:t>
      </w:r>
      <w:r w:rsidRPr="00F53403">
        <w:rPr>
          <w:rFonts w:ascii="Verdana" w:hAnsi="Verdana"/>
          <w:lang w:val="es-MX"/>
        </w:rPr>
        <w:t>tratarse</w:t>
      </w:r>
      <w:r w:rsidRPr="00F53403">
        <w:rPr>
          <w:rFonts w:ascii="Verdana" w:hAnsi="Verdana"/>
          <w:spacing w:val="-2"/>
          <w:lang w:val="es-MX"/>
        </w:rPr>
        <w:t xml:space="preserve"> </w:t>
      </w:r>
      <w:r w:rsidRPr="00F53403">
        <w:rPr>
          <w:rFonts w:ascii="Verdana" w:hAnsi="Verdana"/>
          <w:lang w:val="es-MX"/>
        </w:rPr>
        <w:t>de</w:t>
      </w:r>
      <w:r w:rsidRPr="00F53403">
        <w:rPr>
          <w:rFonts w:ascii="Verdana" w:hAnsi="Verdana"/>
          <w:spacing w:val="-1"/>
          <w:lang w:val="es-MX"/>
        </w:rPr>
        <w:t xml:space="preserve"> </w:t>
      </w:r>
      <w:r w:rsidRPr="00F53403">
        <w:rPr>
          <w:rFonts w:ascii="Verdana" w:hAnsi="Verdana"/>
          <w:lang w:val="es-MX"/>
        </w:rPr>
        <w:t>entidades</w:t>
      </w:r>
      <w:r w:rsidRPr="00F53403">
        <w:rPr>
          <w:rFonts w:ascii="Verdana" w:hAnsi="Verdana"/>
          <w:spacing w:val="1"/>
          <w:lang w:val="es-MX"/>
        </w:rPr>
        <w:t xml:space="preserve"> </w:t>
      </w:r>
      <w:r w:rsidRPr="00F53403">
        <w:rPr>
          <w:rFonts w:ascii="Verdana" w:hAnsi="Verdana"/>
          <w:lang w:val="es-MX"/>
        </w:rPr>
        <w:t>públicas.</w:t>
      </w:r>
    </w:p>
    <w:p w14:paraId="1978D9C4" w14:textId="77777777" w:rsidR="00C64862" w:rsidRPr="00F53403" w:rsidRDefault="00C64862" w:rsidP="00C64862">
      <w:pPr>
        <w:spacing w:after="120" w:line="276" w:lineRule="auto"/>
        <w:ind w:firstLine="708"/>
        <w:jc w:val="both"/>
        <w:rPr>
          <w:rFonts w:ascii="Verdana" w:hAnsi="Verdana"/>
        </w:rPr>
      </w:pPr>
      <w:r w:rsidRPr="00F53403">
        <w:rPr>
          <w:rFonts w:ascii="Verdana" w:hAnsi="Verdana"/>
        </w:rPr>
        <w:t>En</w:t>
      </w:r>
      <w:r w:rsidRPr="00F53403">
        <w:rPr>
          <w:rFonts w:ascii="Verdana" w:hAnsi="Verdana"/>
          <w:spacing w:val="-11"/>
        </w:rPr>
        <w:t xml:space="preserve"> </w:t>
      </w:r>
      <w:r w:rsidRPr="00F53403">
        <w:rPr>
          <w:rFonts w:ascii="Verdana" w:hAnsi="Verdana"/>
        </w:rPr>
        <w:t>consideración</w:t>
      </w:r>
      <w:r w:rsidRPr="00F53403">
        <w:rPr>
          <w:rFonts w:ascii="Verdana" w:hAnsi="Verdana"/>
          <w:spacing w:val="-11"/>
        </w:rPr>
        <w:t xml:space="preserve"> </w:t>
      </w:r>
      <w:r w:rsidRPr="00F53403">
        <w:rPr>
          <w:rFonts w:ascii="Verdana" w:hAnsi="Verdana"/>
        </w:rPr>
        <w:t>a</w:t>
      </w:r>
      <w:r w:rsidRPr="00F53403">
        <w:rPr>
          <w:rFonts w:ascii="Verdana" w:hAnsi="Verdana"/>
          <w:spacing w:val="-11"/>
        </w:rPr>
        <w:t xml:space="preserve"> </w:t>
      </w:r>
      <w:r w:rsidRPr="00F53403">
        <w:rPr>
          <w:rFonts w:ascii="Verdana" w:hAnsi="Verdana"/>
        </w:rPr>
        <w:t>dicho</w:t>
      </w:r>
      <w:r w:rsidRPr="00F53403">
        <w:rPr>
          <w:rFonts w:ascii="Verdana" w:hAnsi="Verdana"/>
          <w:spacing w:val="-10"/>
        </w:rPr>
        <w:t xml:space="preserve"> </w:t>
      </w:r>
      <w:r w:rsidRPr="00F53403">
        <w:rPr>
          <w:rFonts w:ascii="Verdana" w:hAnsi="Verdana"/>
        </w:rPr>
        <w:t>criterio</w:t>
      </w:r>
      <w:r w:rsidRPr="00F53403">
        <w:rPr>
          <w:rFonts w:ascii="Verdana" w:hAnsi="Verdana"/>
          <w:spacing w:val="-11"/>
        </w:rPr>
        <w:t xml:space="preserve"> </w:t>
      </w:r>
      <w:r w:rsidRPr="00F53403">
        <w:rPr>
          <w:rFonts w:ascii="Verdana" w:hAnsi="Verdana"/>
        </w:rPr>
        <w:t>orgánico,</w:t>
      </w:r>
      <w:r w:rsidRPr="00F53403">
        <w:rPr>
          <w:rFonts w:ascii="Verdana" w:hAnsi="Verdana"/>
          <w:spacing w:val="-11"/>
        </w:rPr>
        <w:t xml:space="preserve"> </w:t>
      </w:r>
      <w:r w:rsidRPr="00F53403">
        <w:rPr>
          <w:rFonts w:ascii="Verdana" w:hAnsi="Verdana"/>
        </w:rPr>
        <w:t>esta</w:t>
      </w:r>
      <w:r w:rsidRPr="00F53403">
        <w:rPr>
          <w:rFonts w:ascii="Verdana" w:hAnsi="Verdana"/>
          <w:spacing w:val="-10"/>
        </w:rPr>
        <w:t xml:space="preserve"> </w:t>
      </w:r>
      <w:r w:rsidRPr="00F53403">
        <w:rPr>
          <w:rFonts w:ascii="Verdana" w:hAnsi="Verdana"/>
        </w:rPr>
        <w:t>Subdirección</w:t>
      </w:r>
      <w:r w:rsidRPr="00F53403">
        <w:rPr>
          <w:rFonts w:ascii="Verdana" w:hAnsi="Verdana"/>
          <w:spacing w:val="-9"/>
        </w:rPr>
        <w:t xml:space="preserve"> </w:t>
      </w:r>
      <w:r w:rsidRPr="00F53403">
        <w:rPr>
          <w:rFonts w:ascii="Verdana" w:hAnsi="Verdana"/>
        </w:rPr>
        <w:t>ha</w:t>
      </w:r>
      <w:r w:rsidRPr="00F53403">
        <w:rPr>
          <w:rFonts w:ascii="Verdana" w:hAnsi="Verdana"/>
          <w:spacing w:val="-11"/>
        </w:rPr>
        <w:t xml:space="preserve"> </w:t>
      </w:r>
      <w:r w:rsidRPr="00F53403">
        <w:rPr>
          <w:rFonts w:ascii="Verdana" w:hAnsi="Verdana"/>
        </w:rPr>
        <w:t>sostenido</w:t>
      </w:r>
      <w:r w:rsidRPr="00F53403">
        <w:rPr>
          <w:rFonts w:ascii="Verdana" w:hAnsi="Verdana"/>
          <w:spacing w:val="-10"/>
        </w:rPr>
        <w:t xml:space="preserve"> </w:t>
      </w:r>
      <w:r w:rsidRPr="00F53403">
        <w:rPr>
          <w:rFonts w:ascii="Verdana" w:hAnsi="Verdana"/>
        </w:rPr>
        <w:t>que,</w:t>
      </w:r>
      <w:r w:rsidRPr="00F53403">
        <w:rPr>
          <w:rFonts w:ascii="Verdana" w:hAnsi="Verdana"/>
          <w:spacing w:val="-11"/>
        </w:rPr>
        <w:t xml:space="preserve"> </w:t>
      </w:r>
      <w:r w:rsidRPr="00F53403">
        <w:rPr>
          <w:rFonts w:ascii="Verdana" w:hAnsi="Verdana"/>
        </w:rPr>
        <w:t>si</w:t>
      </w:r>
      <w:r w:rsidRPr="00F53403">
        <w:rPr>
          <w:rFonts w:ascii="Verdana" w:hAnsi="Verdana"/>
          <w:spacing w:val="-11"/>
        </w:rPr>
        <w:t xml:space="preserve"> </w:t>
      </w:r>
      <w:r w:rsidRPr="00F53403">
        <w:rPr>
          <w:rFonts w:ascii="Verdana" w:hAnsi="Verdana"/>
        </w:rPr>
        <w:t>bien</w:t>
      </w:r>
      <w:r w:rsidRPr="00F53403">
        <w:rPr>
          <w:rFonts w:ascii="Verdana" w:hAnsi="Verdana"/>
          <w:spacing w:val="-10"/>
        </w:rPr>
        <w:t xml:space="preserve"> </w:t>
      </w:r>
      <w:r w:rsidRPr="00F53403">
        <w:rPr>
          <w:rFonts w:ascii="Verdana" w:hAnsi="Verdana"/>
        </w:rPr>
        <w:t>los</w:t>
      </w:r>
      <w:r w:rsidRPr="00F53403">
        <w:rPr>
          <w:rFonts w:ascii="Verdana" w:hAnsi="Verdana"/>
          <w:spacing w:val="-59"/>
        </w:rPr>
        <w:t xml:space="preserve"> </w:t>
      </w:r>
      <w:r w:rsidRPr="00F53403">
        <w:rPr>
          <w:rFonts w:ascii="Verdana" w:hAnsi="Verdana"/>
        </w:rPr>
        <w:t>contratos o convenios interadministrativos están previstos en la Ley 80 de 1993, en la Ley 1150</w:t>
      </w:r>
      <w:r w:rsidRPr="00F53403">
        <w:rPr>
          <w:rFonts w:ascii="Verdana" w:hAnsi="Verdana"/>
          <w:spacing w:val="1"/>
        </w:rPr>
        <w:t xml:space="preserve"> </w:t>
      </w:r>
      <w:r w:rsidRPr="00F53403">
        <w:rPr>
          <w:rFonts w:ascii="Verdana" w:hAnsi="Verdana"/>
        </w:rPr>
        <w:t xml:space="preserve">de 2007 y en el Decreto en el 1082 de 2015, </w:t>
      </w:r>
      <w:r w:rsidRPr="00F53403">
        <w:rPr>
          <w:rFonts w:ascii="Verdana" w:hAnsi="Verdana"/>
          <w:lang w:val="es-MX"/>
        </w:rPr>
        <w:t>no</w:t>
      </w:r>
      <w:r w:rsidRPr="00F53403">
        <w:rPr>
          <w:rFonts w:ascii="Verdana" w:hAnsi="Verdana"/>
        </w:rPr>
        <w:t xml:space="preserve"> </w:t>
      </w:r>
      <w:r w:rsidRPr="00F53403">
        <w:rPr>
          <w:rFonts w:ascii="Verdana" w:hAnsi="Verdana"/>
        </w:rPr>
        <w:lastRenderedPageBreak/>
        <w:t>quiere decir que solo puedan celebrarse entre</w:t>
      </w:r>
      <w:r w:rsidRPr="00F53403">
        <w:rPr>
          <w:rFonts w:ascii="Verdana" w:hAnsi="Verdana"/>
          <w:spacing w:val="1"/>
        </w:rPr>
        <w:t xml:space="preserve"> </w:t>
      </w:r>
      <w:r w:rsidRPr="00F53403">
        <w:rPr>
          <w:rFonts w:ascii="Verdana" w:hAnsi="Verdana"/>
        </w:rPr>
        <w:t>entidades estatales que apliquen el régimen de contratación allí previsto, pues bien puede una</w:t>
      </w:r>
      <w:r w:rsidRPr="00F53403">
        <w:rPr>
          <w:rFonts w:ascii="Verdana" w:hAnsi="Verdana"/>
          <w:spacing w:val="1"/>
        </w:rPr>
        <w:t xml:space="preserve"> </w:t>
      </w:r>
      <w:r w:rsidRPr="00F53403">
        <w:rPr>
          <w:rFonts w:ascii="Verdana" w:hAnsi="Verdana"/>
        </w:rPr>
        <w:t>entidad estatal de Ley 80 de 1993 celebrar esta clase de convenios con una entidad estatal de</w:t>
      </w:r>
      <w:r w:rsidRPr="00F53403">
        <w:rPr>
          <w:rFonts w:ascii="Verdana" w:hAnsi="Verdana"/>
          <w:spacing w:val="1"/>
        </w:rPr>
        <w:t xml:space="preserve"> </w:t>
      </w:r>
      <w:r w:rsidRPr="00F53403">
        <w:rPr>
          <w:rFonts w:ascii="Verdana" w:hAnsi="Verdana"/>
        </w:rPr>
        <w:t>régimen especial y no por ello dejará de ser un contrato o convenio interadministrativo, caso en</w:t>
      </w:r>
      <w:r w:rsidRPr="00F53403">
        <w:rPr>
          <w:rFonts w:ascii="Verdana" w:hAnsi="Verdana"/>
          <w:spacing w:val="1"/>
        </w:rPr>
        <w:t xml:space="preserve"> </w:t>
      </w:r>
      <w:r w:rsidRPr="00F53403">
        <w:rPr>
          <w:rFonts w:ascii="Verdana" w:hAnsi="Verdana"/>
        </w:rPr>
        <w:t>el</w:t>
      </w:r>
      <w:r w:rsidRPr="00F53403">
        <w:rPr>
          <w:rFonts w:ascii="Verdana" w:hAnsi="Verdana"/>
          <w:spacing w:val="-2"/>
        </w:rPr>
        <w:t xml:space="preserve"> </w:t>
      </w:r>
      <w:r w:rsidRPr="00F53403">
        <w:rPr>
          <w:rFonts w:ascii="Verdana" w:hAnsi="Verdana"/>
        </w:rPr>
        <w:t>cual</w:t>
      </w:r>
      <w:r w:rsidRPr="00F53403">
        <w:rPr>
          <w:rFonts w:ascii="Verdana" w:hAnsi="Verdana"/>
          <w:spacing w:val="-1"/>
        </w:rPr>
        <w:t xml:space="preserve"> </w:t>
      </w:r>
      <w:r w:rsidRPr="00F53403">
        <w:rPr>
          <w:rFonts w:ascii="Verdana" w:hAnsi="Verdana"/>
        </w:rPr>
        <w:t>su</w:t>
      </w:r>
      <w:r w:rsidRPr="00F53403">
        <w:rPr>
          <w:rFonts w:ascii="Verdana" w:hAnsi="Verdana"/>
          <w:spacing w:val="-1"/>
        </w:rPr>
        <w:t xml:space="preserve"> </w:t>
      </w:r>
      <w:r w:rsidRPr="00F53403">
        <w:rPr>
          <w:rFonts w:ascii="Verdana" w:hAnsi="Verdana"/>
        </w:rPr>
        <w:t>ejecución</w:t>
      </w:r>
      <w:r w:rsidRPr="00F53403">
        <w:rPr>
          <w:rFonts w:ascii="Verdana" w:hAnsi="Verdana"/>
          <w:spacing w:val="-1"/>
        </w:rPr>
        <w:t xml:space="preserve"> </w:t>
      </w:r>
      <w:r w:rsidRPr="00F53403">
        <w:rPr>
          <w:rFonts w:ascii="Verdana" w:hAnsi="Verdana"/>
        </w:rPr>
        <w:t>estará</w:t>
      </w:r>
      <w:r w:rsidRPr="00F53403">
        <w:rPr>
          <w:rFonts w:ascii="Verdana" w:hAnsi="Verdana"/>
          <w:spacing w:val="-1"/>
        </w:rPr>
        <w:t xml:space="preserve"> </w:t>
      </w:r>
      <w:r w:rsidRPr="00F53403">
        <w:rPr>
          <w:rFonts w:ascii="Verdana" w:hAnsi="Verdana"/>
        </w:rPr>
        <w:t>sometida</w:t>
      </w:r>
      <w:r w:rsidRPr="00F53403">
        <w:rPr>
          <w:rFonts w:ascii="Verdana" w:hAnsi="Verdana"/>
          <w:spacing w:val="-1"/>
        </w:rPr>
        <w:t xml:space="preserve"> </w:t>
      </w:r>
      <w:r w:rsidRPr="00F53403">
        <w:rPr>
          <w:rFonts w:ascii="Verdana" w:hAnsi="Verdana"/>
        </w:rPr>
        <w:t>a</w:t>
      </w:r>
      <w:r w:rsidRPr="00F53403">
        <w:rPr>
          <w:rFonts w:ascii="Verdana" w:hAnsi="Verdana"/>
          <w:spacing w:val="-2"/>
        </w:rPr>
        <w:t xml:space="preserve"> </w:t>
      </w:r>
      <w:r w:rsidRPr="00F53403">
        <w:rPr>
          <w:rFonts w:ascii="Verdana" w:hAnsi="Verdana"/>
        </w:rPr>
        <w:t>la</w:t>
      </w:r>
      <w:r w:rsidRPr="00F53403">
        <w:rPr>
          <w:rFonts w:ascii="Verdana" w:hAnsi="Verdana"/>
          <w:spacing w:val="-1"/>
        </w:rPr>
        <w:t xml:space="preserve"> </w:t>
      </w:r>
      <w:r w:rsidRPr="00F53403">
        <w:rPr>
          <w:rFonts w:ascii="Verdana" w:hAnsi="Verdana"/>
        </w:rPr>
        <w:t>Ley</w:t>
      </w:r>
      <w:r w:rsidRPr="00F53403">
        <w:rPr>
          <w:rFonts w:ascii="Verdana" w:hAnsi="Verdana"/>
          <w:spacing w:val="-1"/>
        </w:rPr>
        <w:t xml:space="preserve"> </w:t>
      </w:r>
      <w:r w:rsidRPr="00F53403">
        <w:rPr>
          <w:rFonts w:ascii="Verdana" w:hAnsi="Verdana"/>
        </w:rPr>
        <w:t>80</w:t>
      </w:r>
      <w:r w:rsidRPr="00F53403">
        <w:rPr>
          <w:rFonts w:ascii="Verdana" w:hAnsi="Verdana"/>
          <w:spacing w:val="-1"/>
        </w:rPr>
        <w:t xml:space="preserve"> </w:t>
      </w:r>
      <w:r w:rsidRPr="00F53403">
        <w:rPr>
          <w:rFonts w:ascii="Verdana" w:hAnsi="Verdana"/>
        </w:rPr>
        <w:t>de</w:t>
      </w:r>
      <w:r w:rsidRPr="00F53403">
        <w:rPr>
          <w:rFonts w:ascii="Verdana" w:hAnsi="Verdana"/>
          <w:spacing w:val="-1"/>
        </w:rPr>
        <w:t xml:space="preserve"> </w:t>
      </w:r>
      <w:r w:rsidRPr="00F53403">
        <w:rPr>
          <w:rFonts w:ascii="Verdana" w:hAnsi="Verdana"/>
        </w:rPr>
        <w:t>1993</w:t>
      </w:r>
      <w:r w:rsidRPr="00F53403">
        <w:rPr>
          <w:rFonts w:ascii="Verdana" w:hAnsi="Verdana"/>
          <w:vertAlign w:val="superscript"/>
        </w:rPr>
        <w:footnoteReference w:id="4"/>
      </w:r>
      <w:r w:rsidRPr="00F53403">
        <w:rPr>
          <w:rFonts w:ascii="Verdana" w:hAnsi="Verdana"/>
        </w:rPr>
        <w:t>.</w:t>
      </w:r>
    </w:p>
    <w:p w14:paraId="4C47032D" w14:textId="77777777" w:rsidR="00C64862" w:rsidRPr="00F53403" w:rsidRDefault="00C64862" w:rsidP="00C64862">
      <w:pPr>
        <w:spacing w:after="120" w:line="276" w:lineRule="auto"/>
        <w:ind w:firstLine="708"/>
        <w:jc w:val="both"/>
        <w:rPr>
          <w:rFonts w:ascii="Verdana" w:hAnsi="Verdana"/>
        </w:rPr>
      </w:pPr>
      <w:r w:rsidRPr="00F53403">
        <w:rPr>
          <w:rFonts w:ascii="Verdana" w:hAnsi="Verdana"/>
          <w:lang w:val="es-MX"/>
        </w:rPr>
        <w:t>Además,</w:t>
      </w:r>
      <w:r w:rsidRPr="00F53403">
        <w:rPr>
          <w:rFonts w:ascii="Verdana" w:hAnsi="Verdana"/>
          <w:spacing w:val="1"/>
          <w:lang w:val="es-MX"/>
        </w:rPr>
        <w:t xml:space="preserve"> </w:t>
      </w:r>
      <w:r w:rsidRPr="00F53403">
        <w:rPr>
          <w:rFonts w:ascii="Verdana" w:hAnsi="Verdana"/>
          <w:lang w:val="es-MX"/>
        </w:rPr>
        <w:t>es</w:t>
      </w:r>
      <w:r w:rsidRPr="00F53403">
        <w:rPr>
          <w:rFonts w:ascii="Verdana" w:hAnsi="Verdana"/>
          <w:spacing w:val="1"/>
          <w:lang w:val="es-MX"/>
        </w:rPr>
        <w:t xml:space="preserve"> </w:t>
      </w:r>
      <w:r w:rsidRPr="00F53403">
        <w:rPr>
          <w:rFonts w:ascii="Verdana" w:hAnsi="Verdana"/>
          <w:lang w:val="es-MX"/>
        </w:rPr>
        <w:t>necesario</w:t>
      </w:r>
      <w:r w:rsidRPr="00F53403">
        <w:rPr>
          <w:rFonts w:ascii="Verdana" w:hAnsi="Verdana"/>
          <w:spacing w:val="1"/>
          <w:lang w:val="es-MX"/>
        </w:rPr>
        <w:t xml:space="preserve"> </w:t>
      </w:r>
      <w:r w:rsidRPr="00F53403">
        <w:rPr>
          <w:rFonts w:ascii="Verdana" w:hAnsi="Verdana"/>
          <w:lang w:val="es-MX"/>
        </w:rPr>
        <w:t>tener</w:t>
      </w:r>
      <w:r w:rsidRPr="00F53403">
        <w:rPr>
          <w:rFonts w:ascii="Verdana" w:hAnsi="Verdana"/>
          <w:spacing w:val="1"/>
          <w:lang w:val="es-MX"/>
        </w:rPr>
        <w:t xml:space="preserve"> </w:t>
      </w:r>
      <w:r w:rsidRPr="00F53403">
        <w:rPr>
          <w:rFonts w:ascii="Verdana" w:hAnsi="Verdana"/>
          <w:lang w:val="es-MX"/>
        </w:rPr>
        <w:t>en</w:t>
      </w:r>
      <w:r w:rsidRPr="00F53403">
        <w:rPr>
          <w:rFonts w:ascii="Verdana" w:hAnsi="Verdana"/>
          <w:spacing w:val="1"/>
          <w:lang w:val="es-MX"/>
        </w:rPr>
        <w:t xml:space="preserve"> </w:t>
      </w:r>
      <w:r w:rsidRPr="00F53403">
        <w:rPr>
          <w:rFonts w:ascii="Verdana" w:hAnsi="Verdana"/>
          <w:lang w:val="es-MX"/>
        </w:rPr>
        <w:t>cuenta</w:t>
      </w:r>
      <w:r w:rsidRPr="00F53403">
        <w:rPr>
          <w:rFonts w:ascii="Verdana" w:hAnsi="Verdana"/>
          <w:spacing w:val="1"/>
          <w:lang w:val="es-MX"/>
        </w:rPr>
        <w:t xml:space="preserve"> </w:t>
      </w:r>
      <w:r w:rsidRPr="00F53403">
        <w:rPr>
          <w:rFonts w:ascii="Verdana" w:hAnsi="Verdana"/>
          <w:lang w:val="es-MX"/>
        </w:rPr>
        <w:t>que,</w:t>
      </w:r>
      <w:r w:rsidRPr="00F53403">
        <w:rPr>
          <w:rFonts w:ascii="Verdana" w:hAnsi="Verdana"/>
          <w:spacing w:val="1"/>
          <w:lang w:val="es-MX"/>
        </w:rPr>
        <w:t xml:space="preserve"> </w:t>
      </w:r>
      <w:r w:rsidRPr="00F53403">
        <w:rPr>
          <w:rFonts w:ascii="Verdana" w:hAnsi="Verdana"/>
          <w:lang w:val="es-MX"/>
        </w:rPr>
        <w:t>para</w:t>
      </w:r>
      <w:r w:rsidRPr="00F53403">
        <w:rPr>
          <w:rFonts w:ascii="Verdana" w:hAnsi="Verdana"/>
          <w:spacing w:val="1"/>
          <w:lang w:val="es-MX"/>
        </w:rPr>
        <w:t xml:space="preserve"> </w:t>
      </w:r>
      <w:r w:rsidRPr="00F53403">
        <w:rPr>
          <w:rFonts w:ascii="Verdana" w:hAnsi="Verdana"/>
          <w:lang w:val="es-MX"/>
        </w:rPr>
        <w:t>que</w:t>
      </w:r>
      <w:r w:rsidRPr="00F53403">
        <w:rPr>
          <w:rFonts w:ascii="Verdana" w:hAnsi="Verdana"/>
          <w:spacing w:val="1"/>
          <w:lang w:val="es-MX"/>
        </w:rPr>
        <w:t xml:space="preserve"> </w:t>
      </w:r>
      <w:r w:rsidRPr="00F53403">
        <w:rPr>
          <w:rFonts w:ascii="Verdana" w:hAnsi="Verdana"/>
          <w:lang w:val="es-MX"/>
        </w:rPr>
        <w:t>un</w:t>
      </w:r>
      <w:r w:rsidRPr="00F53403">
        <w:rPr>
          <w:rFonts w:ascii="Verdana" w:hAnsi="Verdana"/>
          <w:spacing w:val="1"/>
          <w:lang w:val="es-MX"/>
        </w:rPr>
        <w:t xml:space="preserve"> </w:t>
      </w:r>
      <w:r w:rsidRPr="00F53403">
        <w:rPr>
          <w:rFonts w:ascii="Verdana" w:hAnsi="Verdana"/>
          <w:lang w:val="es-MX"/>
        </w:rPr>
        <w:t>contrato</w:t>
      </w:r>
      <w:r w:rsidRPr="00F53403">
        <w:rPr>
          <w:rFonts w:ascii="Verdana" w:hAnsi="Verdana"/>
          <w:spacing w:val="1"/>
          <w:lang w:val="es-MX"/>
        </w:rPr>
        <w:t xml:space="preserve"> </w:t>
      </w:r>
      <w:r w:rsidRPr="00F53403">
        <w:rPr>
          <w:rFonts w:ascii="Verdana" w:hAnsi="Verdana"/>
          <w:lang w:val="es-MX"/>
        </w:rPr>
        <w:t>o</w:t>
      </w:r>
      <w:r w:rsidRPr="00F53403">
        <w:rPr>
          <w:rFonts w:ascii="Verdana" w:hAnsi="Verdana"/>
          <w:spacing w:val="1"/>
          <w:lang w:val="es-MX"/>
        </w:rPr>
        <w:t xml:space="preserve"> </w:t>
      </w:r>
      <w:r w:rsidRPr="00F53403">
        <w:rPr>
          <w:rFonts w:ascii="Verdana" w:hAnsi="Verdana"/>
          <w:lang w:val="es-MX"/>
        </w:rPr>
        <w:t>convenio</w:t>
      </w:r>
      <w:r w:rsidRPr="00F53403">
        <w:rPr>
          <w:rFonts w:ascii="Verdana" w:hAnsi="Verdana"/>
          <w:spacing w:val="1"/>
          <w:lang w:val="es-MX"/>
        </w:rPr>
        <w:t xml:space="preserve"> </w:t>
      </w:r>
      <w:r w:rsidRPr="00F53403">
        <w:rPr>
          <w:rFonts w:ascii="Verdana" w:hAnsi="Verdana"/>
          <w:lang w:val="es-MX"/>
        </w:rPr>
        <w:t>interadministrativo</w:t>
      </w:r>
      <w:r w:rsidRPr="00F53403">
        <w:rPr>
          <w:rFonts w:ascii="Verdana" w:hAnsi="Verdana"/>
          <w:spacing w:val="-12"/>
          <w:lang w:val="es-MX"/>
        </w:rPr>
        <w:t xml:space="preserve"> </w:t>
      </w:r>
      <w:r w:rsidRPr="00F53403">
        <w:rPr>
          <w:rFonts w:ascii="Verdana" w:hAnsi="Verdana"/>
          <w:lang w:val="es-MX"/>
        </w:rPr>
        <w:t>exista,</w:t>
      </w:r>
      <w:r w:rsidRPr="00F53403">
        <w:rPr>
          <w:rFonts w:ascii="Verdana" w:hAnsi="Verdana"/>
          <w:spacing w:val="-13"/>
          <w:lang w:val="es-MX"/>
        </w:rPr>
        <w:t xml:space="preserve"> </w:t>
      </w:r>
      <w:r w:rsidRPr="00F53403">
        <w:rPr>
          <w:rFonts w:ascii="Verdana" w:hAnsi="Verdana"/>
          <w:lang w:val="es-MX"/>
        </w:rPr>
        <w:t>debe</w:t>
      </w:r>
      <w:r w:rsidRPr="00F53403">
        <w:rPr>
          <w:rFonts w:ascii="Verdana" w:hAnsi="Verdana"/>
          <w:spacing w:val="-13"/>
          <w:lang w:val="es-MX"/>
        </w:rPr>
        <w:t xml:space="preserve"> </w:t>
      </w:r>
      <w:r w:rsidRPr="00F53403">
        <w:rPr>
          <w:rFonts w:ascii="Verdana" w:hAnsi="Verdana"/>
          <w:lang w:val="es-MX"/>
        </w:rPr>
        <w:t>cumplir</w:t>
      </w:r>
      <w:r w:rsidRPr="00F53403">
        <w:rPr>
          <w:rFonts w:ascii="Verdana" w:hAnsi="Verdana"/>
          <w:spacing w:val="-12"/>
          <w:lang w:val="es-MX"/>
        </w:rPr>
        <w:t xml:space="preserve"> </w:t>
      </w:r>
      <w:r w:rsidRPr="00F53403">
        <w:rPr>
          <w:rFonts w:ascii="Verdana" w:hAnsi="Verdana"/>
          <w:lang w:val="es-MX"/>
        </w:rPr>
        <w:t>con</w:t>
      </w:r>
      <w:r w:rsidRPr="00F53403">
        <w:rPr>
          <w:rFonts w:ascii="Verdana" w:hAnsi="Verdana"/>
          <w:spacing w:val="-13"/>
          <w:lang w:val="es-MX"/>
        </w:rPr>
        <w:t xml:space="preserve"> </w:t>
      </w:r>
      <w:r w:rsidRPr="00F53403">
        <w:rPr>
          <w:rFonts w:ascii="Verdana" w:hAnsi="Verdana"/>
          <w:lang w:val="es-MX"/>
        </w:rPr>
        <w:t>los</w:t>
      </w:r>
      <w:r w:rsidRPr="00F53403">
        <w:rPr>
          <w:rFonts w:ascii="Verdana" w:hAnsi="Verdana"/>
          <w:spacing w:val="-13"/>
          <w:lang w:val="es-MX"/>
        </w:rPr>
        <w:t xml:space="preserve"> </w:t>
      </w:r>
      <w:r w:rsidRPr="00F53403">
        <w:rPr>
          <w:rFonts w:ascii="Verdana" w:hAnsi="Verdana"/>
          <w:lang w:val="es-MX"/>
        </w:rPr>
        <w:t>siguientes</w:t>
      </w:r>
      <w:r w:rsidRPr="00F53403">
        <w:rPr>
          <w:rFonts w:ascii="Verdana" w:hAnsi="Verdana"/>
          <w:spacing w:val="-12"/>
          <w:lang w:val="es-MX"/>
        </w:rPr>
        <w:t xml:space="preserve"> </w:t>
      </w:r>
      <w:r w:rsidRPr="00F53403">
        <w:rPr>
          <w:rFonts w:ascii="Verdana" w:hAnsi="Verdana"/>
          <w:lang w:val="es-MX"/>
        </w:rPr>
        <w:t>elementos:</w:t>
      </w:r>
      <w:r w:rsidRPr="00F53403">
        <w:rPr>
          <w:rFonts w:ascii="Verdana" w:hAnsi="Verdana"/>
          <w:spacing w:val="-13"/>
          <w:lang w:val="es-MX"/>
        </w:rPr>
        <w:t xml:space="preserve"> </w:t>
      </w:r>
      <w:r w:rsidRPr="00F53403">
        <w:rPr>
          <w:rFonts w:ascii="Verdana" w:hAnsi="Verdana"/>
          <w:lang w:val="es-MX"/>
        </w:rPr>
        <w:t>acuerdo</w:t>
      </w:r>
      <w:r w:rsidRPr="00F53403">
        <w:rPr>
          <w:rFonts w:ascii="Verdana" w:hAnsi="Verdana"/>
          <w:spacing w:val="-13"/>
          <w:lang w:val="es-MX"/>
        </w:rPr>
        <w:t xml:space="preserve"> </w:t>
      </w:r>
      <w:r w:rsidRPr="00F53403">
        <w:rPr>
          <w:rFonts w:ascii="Verdana" w:hAnsi="Verdana"/>
          <w:lang w:val="es-MX"/>
        </w:rPr>
        <w:t>sobre</w:t>
      </w:r>
      <w:r w:rsidRPr="00F53403">
        <w:rPr>
          <w:rFonts w:ascii="Verdana" w:hAnsi="Verdana"/>
          <w:spacing w:val="-12"/>
          <w:lang w:val="es-MX"/>
        </w:rPr>
        <w:t xml:space="preserve"> </w:t>
      </w:r>
      <w:r w:rsidRPr="00F53403">
        <w:rPr>
          <w:rFonts w:ascii="Verdana" w:hAnsi="Verdana"/>
          <w:lang w:val="es-MX"/>
        </w:rPr>
        <w:t>el</w:t>
      </w:r>
      <w:r w:rsidRPr="00F53403">
        <w:rPr>
          <w:rFonts w:ascii="Verdana" w:hAnsi="Verdana"/>
          <w:spacing w:val="-13"/>
          <w:lang w:val="es-MX"/>
        </w:rPr>
        <w:t xml:space="preserve"> </w:t>
      </w:r>
      <w:r w:rsidRPr="00F53403">
        <w:rPr>
          <w:rFonts w:ascii="Verdana" w:hAnsi="Verdana"/>
          <w:lang w:val="es-MX"/>
        </w:rPr>
        <w:t>objeto y la contraprestación, y que se</w:t>
      </w:r>
      <w:r w:rsidRPr="00F53403">
        <w:rPr>
          <w:rFonts w:ascii="Verdana" w:hAnsi="Verdana"/>
          <w:spacing w:val="-1"/>
          <w:lang w:val="es-MX"/>
        </w:rPr>
        <w:t xml:space="preserve"> </w:t>
      </w:r>
      <w:r w:rsidRPr="00F53403">
        <w:rPr>
          <w:rFonts w:ascii="Verdana" w:hAnsi="Verdana"/>
          <w:lang w:val="es-MX"/>
        </w:rPr>
        <w:t>eleve</w:t>
      </w:r>
      <w:r w:rsidRPr="00F53403">
        <w:rPr>
          <w:rFonts w:ascii="Verdana" w:hAnsi="Verdana"/>
          <w:spacing w:val="-1"/>
          <w:lang w:val="es-MX"/>
        </w:rPr>
        <w:t xml:space="preserve"> </w:t>
      </w:r>
      <w:r w:rsidRPr="00F53403">
        <w:rPr>
          <w:rFonts w:ascii="Verdana" w:hAnsi="Verdana"/>
          <w:lang w:val="es-MX"/>
        </w:rPr>
        <w:t>a</w:t>
      </w:r>
      <w:r w:rsidRPr="00F53403">
        <w:rPr>
          <w:rFonts w:ascii="Verdana" w:hAnsi="Verdana"/>
          <w:spacing w:val="-1"/>
          <w:lang w:val="es-MX"/>
        </w:rPr>
        <w:t xml:space="preserve"> </w:t>
      </w:r>
      <w:r w:rsidRPr="00F53403">
        <w:rPr>
          <w:rFonts w:ascii="Verdana" w:hAnsi="Verdana"/>
          <w:lang w:val="es-MX"/>
        </w:rPr>
        <w:t xml:space="preserve">escrito. </w:t>
      </w:r>
    </w:p>
    <w:p w14:paraId="5B51C06B" w14:textId="77777777" w:rsidR="00C64862" w:rsidRPr="00F53403" w:rsidRDefault="00C64862" w:rsidP="00C64862">
      <w:pPr>
        <w:spacing w:before="120" w:after="0" w:line="276" w:lineRule="auto"/>
        <w:ind w:firstLine="708"/>
        <w:jc w:val="both"/>
        <w:rPr>
          <w:rFonts w:ascii="Verdana" w:hAnsi="Verdana"/>
        </w:rPr>
      </w:pPr>
      <w:r w:rsidRPr="00F53403">
        <w:rPr>
          <w:rFonts w:ascii="Verdana" w:hAnsi="Verdana"/>
        </w:rPr>
        <w:t>Ahora</w:t>
      </w:r>
      <w:r w:rsidRPr="00F53403">
        <w:rPr>
          <w:rFonts w:ascii="Verdana" w:hAnsi="Verdana"/>
          <w:spacing w:val="1"/>
        </w:rPr>
        <w:t xml:space="preserve"> </w:t>
      </w:r>
      <w:r w:rsidRPr="00F53403">
        <w:rPr>
          <w:rFonts w:ascii="Verdana" w:hAnsi="Verdana"/>
        </w:rPr>
        <w:t>bien,</w:t>
      </w:r>
      <w:r w:rsidRPr="00F53403">
        <w:rPr>
          <w:rFonts w:ascii="Verdana" w:hAnsi="Verdana"/>
          <w:spacing w:val="1"/>
        </w:rPr>
        <w:t xml:space="preserve"> </w:t>
      </w:r>
      <w:r w:rsidRPr="00F53403">
        <w:rPr>
          <w:rFonts w:ascii="Verdana" w:hAnsi="Verdana"/>
        </w:rPr>
        <w:t>esta</w:t>
      </w:r>
      <w:r w:rsidRPr="00F53403">
        <w:rPr>
          <w:rFonts w:ascii="Verdana" w:hAnsi="Verdana"/>
          <w:spacing w:val="1"/>
        </w:rPr>
        <w:t xml:space="preserve"> </w:t>
      </w:r>
      <w:r w:rsidRPr="00F53403">
        <w:rPr>
          <w:rFonts w:ascii="Verdana" w:hAnsi="Verdana"/>
        </w:rPr>
        <w:t>Agencia,</w:t>
      </w:r>
      <w:r w:rsidRPr="00F53403">
        <w:rPr>
          <w:rFonts w:ascii="Verdana" w:hAnsi="Verdana"/>
          <w:spacing w:val="1"/>
        </w:rPr>
        <w:t xml:space="preserve"> </w:t>
      </w:r>
      <w:r w:rsidRPr="00F53403">
        <w:rPr>
          <w:rFonts w:ascii="Verdana" w:hAnsi="Verdana"/>
        </w:rPr>
        <w:t>en</w:t>
      </w:r>
      <w:r w:rsidRPr="00F53403">
        <w:rPr>
          <w:rFonts w:ascii="Verdana" w:hAnsi="Verdana"/>
          <w:spacing w:val="1"/>
        </w:rPr>
        <w:t xml:space="preserve"> </w:t>
      </w:r>
      <w:r w:rsidRPr="00F53403">
        <w:rPr>
          <w:rFonts w:ascii="Verdana" w:hAnsi="Verdana"/>
        </w:rPr>
        <w:t>múltiples</w:t>
      </w:r>
      <w:r w:rsidRPr="00F53403">
        <w:rPr>
          <w:rFonts w:ascii="Verdana" w:hAnsi="Verdana"/>
          <w:spacing w:val="1"/>
        </w:rPr>
        <w:t xml:space="preserve"> </w:t>
      </w:r>
      <w:r w:rsidRPr="00F53403">
        <w:rPr>
          <w:rFonts w:ascii="Verdana" w:hAnsi="Verdana"/>
        </w:rPr>
        <w:t>ocasiones,</w:t>
      </w:r>
      <w:r w:rsidRPr="00F53403">
        <w:rPr>
          <w:rFonts w:ascii="Verdana" w:hAnsi="Verdana"/>
          <w:spacing w:val="1"/>
        </w:rPr>
        <w:t xml:space="preserve"> </w:t>
      </w:r>
      <w:r w:rsidRPr="00F53403">
        <w:rPr>
          <w:rFonts w:ascii="Verdana" w:hAnsi="Verdana"/>
        </w:rPr>
        <w:t>ha</w:t>
      </w:r>
      <w:r w:rsidRPr="00F53403">
        <w:rPr>
          <w:rFonts w:ascii="Verdana" w:hAnsi="Verdana"/>
          <w:spacing w:val="1"/>
        </w:rPr>
        <w:t xml:space="preserve"> </w:t>
      </w:r>
      <w:r w:rsidRPr="00F53403">
        <w:rPr>
          <w:rFonts w:ascii="Verdana" w:hAnsi="Verdana"/>
        </w:rPr>
        <w:t>sostenido,</w:t>
      </w:r>
      <w:r w:rsidRPr="00F53403">
        <w:rPr>
          <w:rFonts w:ascii="Verdana" w:hAnsi="Verdana"/>
          <w:spacing w:val="1"/>
        </w:rPr>
        <w:t xml:space="preserve"> </w:t>
      </w:r>
      <w:r w:rsidRPr="00F53403">
        <w:rPr>
          <w:rFonts w:ascii="Verdana" w:hAnsi="Verdana"/>
        </w:rPr>
        <w:t>al</w:t>
      </w:r>
      <w:r w:rsidRPr="00F53403">
        <w:rPr>
          <w:rFonts w:ascii="Verdana" w:hAnsi="Verdana"/>
          <w:spacing w:val="1"/>
        </w:rPr>
        <w:t xml:space="preserve"> </w:t>
      </w:r>
      <w:r w:rsidRPr="00F53403">
        <w:rPr>
          <w:rFonts w:ascii="Verdana" w:hAnsi="Verdana"/>
        </w:rPr>
        <w:t>referirse</w:t>
      </w:r>
      <w:r w:rsidRPr="00F53403">
        <w:rPr>
          <w:rFonts w:ascii="Verdana" w:hAnsi="Verdana"/>
          <w:spacing w:val="1"/>
        </w:rPr>
        <w:t xml:space="preserve"> </w:t>
      </w:r>
      <w:r w:rsidRPr="00F53403">
        <w:rPr>
          <w:rFonts w:ascii="Verdana" w:hAnsi="Verdana"/>
        </w:rPr>
        <w:t>a</w:t>
      </w:r>
      <w:r w:rsidRPr="00F53403">
        <w:rPr>
          <w:rFonts w:ascii="Verdana" w:hAnsi="Verdana"/>
          <w:spacing w:val="1"/>
        </w:rPr>
        <w:t xml:space="preserve"> </w:t>
      </w:r>
      <w:r w:rsidRPr="00F53403">
        <w:rPr>
          <w:rFonts w:ascii="Verdana" w:hAnsi="Verdana"/>
        </w:rPr>
        <w:t>las</w:t>
      </w:r>
      <w:r w:rsidRPr="00F53403">
        <w:rPr>
          <w:rFonts w:ascii="Verdana" w:hAnsi="Verdana"/>
          <w:spacing w:val="1"/>
        </w:rPr>
        <w:t xml:space="preserve"> </w:t>
      </w:r>
      <w:r w:rsidRPr="00F53403">
        <w:rPr>
          <w:rFonts w:ascii="Verdana" w:hAnsi="Verdana"/>
        </w:rPr>
        <w:t>diferencias entre los contratos y convenios interadministrativos, que ambas figuras resultan ser</w:t>
      </w:r>
      <w:r w:rsidRPr="00F53403">
        <w:rPr>
          <w:rFonts w:ascii="Verdana" w:hAnsi="Verdana"/>
          <w:spacing w:val="1"/>
        </w:rPr>
        <w:t xml:space="preserve"> </w:t>
      </w:r>
      <w:r w:rsidRPr="00F53403">
        <w:rPr>
          <w:rFonts w:ascii="Verdana" w:hAnsi="Verdana"/>
        </w:rPr>
        <w:t>“equivalentes”, dado que en el régimen normativo de la contratación estatal no existen mayores</w:t>
      </w:r>
      <w:r w:rsidRPr="00F53403">
        <w:rPr>
          <w:rFonts w:ascii="Verdana" w:hAnsi="Verdana"/>
          <w:spacing w:val="1"/>
        </w:rPr>
        <w:t xml:space="preserve"> </w:t>
      </w:r>
      <w:r w:rsidRPr="00F53403">
        <w:rPr>
          <w:rFonts w:ascii="Verdana" w:hAnsi="Verdana"/>
        </w:rPr>
        <w:t>diferencias</w:t>
      </w:r>
      <w:r w:rsidRPr="00F53403">
        <w:rPr>
          <w:rFonts w:ascii="Verdana" w:hAnsi="Verdana"/>
          <w:spacing w:val="-6"/>
        </w:rPr>
        <w:t xml:space="preserve"> </w:t>
      </w:r>
      <w:r w:rsidRPr="00F53403">
        <w:rPr>
          <w:rFonts w:ascii="Verdana" w:hAnsi="Verdana"/>
        </w:rPr>
        <w:t>entre</w:t>
      </w:r>
      <w:r w:rsidRPr="00F53403">
        <w:rPr>
          <w:rFonts w:ascii="Verdana" w:hAnsi="Verdana"/>
          <w:spacing w:val="-6"/>
        </w:rPr>
        <w:t xml:space="preserve"> </w:t>
      </w:r>
      <w:r w:rsidRPr="00F53403">
        <w:rPr>
          <w:rFonts w:ascii="Verdana" w:hAnsi="Verdana"/>
        </w:rPr>
        <w:t>ellas.</w:t>
      </w:r>
      <w:r w:rsidRPr="00F53403">
        <w:rPr>
          <w:rFonts w:ascii="Verdana" w:hAnsi="Verdana"/>
          <w:spacing w:val="-6"/>
        </w:rPr>
        <w:t xml:space="preserve"> </w:t>
      </w:r>
      <w:r w:rsidRPr="00F53403">
        <w:rPr>
          <w:rFonts w:ascii="Verdana" w:hAnsi="Verdana"/>
        </w:rPr>
        <w:t>Así,</w:t>
      </w:r>
      <w:r w:rsidRPr="00F53403">
        <w:rPr>
          <w:rFonts w:ascii="Verdana" w:hAnsi="Verdana"/>
          <w:spacing w:val="-5"/>
        </w:rPr>
        <w:t xml:space="preserve"> </w:t>
      </w:r>
      <w:r w:rsidRPr="00F53403">
        <w:rPr>
          <w:rFonts w:ascii="Verdana" w:hAnsi="Verdana"/>
        </w:rPr>
        <w:t>por</w:t>
      </w:r>
      <w:r w:rsidRPr="00F53403">
        <w:rPr>
          <w:rFonts w:ascii="Verdana" w:hAnsi="Verdana"/>
          <w:spacing w:val="-6"/>
        </w:rPr>
        <w:t xml:space="preserve"> </w:t>
      </w:r>
      <w:r w:rsidRPr="00F53403">
        <w:rPr>
          <w:rFonts w:ascii="Verdana" w:hAnsi="Verdana"/>
        </w:rPr>
        <w:t>ejemplo,</w:t>
      </w:r>
      <w:r w:rsidRPr="00F53403">
        <w:rPr>
          <w:rFonts w:ascii="Verdana" w:hAnsi="Verdana"/>
          <w:spacing w:val="-6"/>
        </w:rPr>
        <w:t xml:space="preserve"> </w:t>
      </w:r>
      <w:r w:rsidRPr="00F53403">
        <w:rPr>
          <w:rFonts w:ascii="Verdana" w:hAnsi="Verdana"/>
        </w:rPr>
        <w:t>en</w:t>
      </w:r>
      <w:r w:rsidRPr="00F53403">
        <w:rPr>
          <w:rFonts w:ascii="Verdana" w:hAnsi="Verdana"/>
          <w:spacing w:val="-6"/>
        </w:rPr>
        <w:t xml:space="preserve"> </w:t>
      </w:r>
      <w:r w:rsidRPr="00F53403">
        <w:rPr>
          <w:rFonts w:ascii="Verdana" w:hAnsi="Verdana"/>
        </w:rPr>
        <w:t>el</w:t>
      </w:r>
      <w:r w:rsidRPr="00F53403">
        <w:rPr>
          <w:rFonts w:ascii="Verdana" w:hAnsi="Verdana"/>
          <w:spacing w:val="-6"/>
        </w:rPr>
        <w:t xml:space="preserve"> </w:t>
      </w:r>
      <w:r w:rsidRPr="00F53403">
        <w:rPr>
          <w:rFonts w:ascii="Verdana" w:hAnsi="Verdana"/>
        </w:rPr>
        <w:t>Concepto</w:t>
      </w:r>
      <w:r w:rsidRPr="00F53403">
        <w:rPr>
          <w:rFonts w:ascii="Verdana" w:hAnsi="Verdana"/>
          <w:spacing w:val="-6"/>
        </w:rPr>
        <w:t xml:space="preserve"> </w:t>
      </w:r>
      <w:r w:rsidRPr="00F53403">
        <w:rPr>
          <w:rFonts w:ascii="Verdana" w:hAnsi="Verdana"/>
        </w:rPr>
        <w:t>C-608</w:t>
      </w:r>
      <w:r w:rsidRPr="00F53403">
        <w:rPr>
          <w:rFonts w:ascii="Verdana" w:hAnsi="Verdana"/>
          <w:spacing w:val="-7"/>
        </w:rPr>
        <w:t xml:space="preserve"> </w:t>
      </w:r>
      <w:r w:rsidRPr="00F53403">
        <w:rPr>
          <w:rFonts w:ascii="Verdana" w:hAnsi="Verdana"/>
        </w:rPr>
        <w:t>del</w:t>
      </w:r>
      <w:r w:rsidRPr="00F53403">
        <w:rPr>
          <w:rFonts w:ascii="Verdana" w:hAnsi="Verdana"/>
          <w:spacing w:val="-6"/>
        </w:rPr>
        <w:t xml:space="preserve"> </w:t>
      </w:r>
      <w:r w:rsidRPr="00F53403">
        <w:rPr>
          <w:rFonts w:ascii="Verdana" w:hAnsi="Verdana"/>
        </w:rPr>
        <w:t>23</w:t>
      </w:r>
      <w:r w:rsidRPr="00F53403">
        <w:rPr>
          <w:rFonts w:ascii="Verdana" w:hAnsi="Verdana"/>
          <w:spacing w:val="-6"/>
        </w:rPr>
        <w:t xml:space="preserve"> </w:t>
      </w:r>
      <w:r w:rsidRPr="00F53403">
        <w:rPr>
          <w:rFonts w:ascii="Verdana" w:hAnsi="Verdana"/>
        </w:rPr>
        <w:t>de</w:t>
      </w:r>
      <w:r w:rsidRPr="00F53403">
        <w:rPr>
          <w:rFonts w:ascii="Verdana" w:hAnsi="Verdana"/>
          <w:spacing w:val="-6"/>
        </w:rPr>
        <w:t xml:space="preserve"> </w:t>
      </w:r>
      <w:r w:rsidRPr="00F53403">
        <w:rPr>
          <w:rFonts w:ascii="Verdana" w:hAnsi="Verdana"/>
        </w:rPr>
        <w:t>septiembre</w:t>
      </w:r>
      <w:r w:rsidRPr="00F53403">
        <w:rPr>
          <w:rFonts w:ascii="Verdana" w:hAnsi="Verdana"/>
          <w:spacing w:val="-6"/>
        </w:rPr>
        <w:t xml:space="preserve"> </w:t>
      </w:r>
      <w:r w:rsidRPr="00F53403">
        <w:rPr>
          <w:rFonts w:ascii="Verdana" w:hAnsi="Verdana"/>
        </w:rPr>
        <w:t>de</w:t>
      </w:r>
      <w:r w:rsidRPr="00F53403">
        <w:rPr>
          <w:rFonts w:ascii="Verdana" w:hAnsi="Verdana"/>
          <w:spacing w:val="-6"/>
        </w:rPr>
        <w:t xml:space="preserve"> </w:t>
      </w:r>
      <w:r w:rsidRPr="00F53403">
        <w:rPr>
          <w:rFonts w:ascii="Verdana" w:hAnsi="Verdana"/>
        </w:rPr>
        <w:t>2022,</w:t>
      </w:r>
      <w:r w:rsidRPr="00F53403">
        <w:rPr>
          <w:rFonts w:ascii="Verdana" w:hAnsi="Verdana"/>
          <w:spacing w:val="-6"/>
        </w:rPr>
        <w:t xml:space="preserve"> </w:t>
      </w:r>
      <w:r w:rsidRPr="00F53403">
        <w:rPr>
          <w:rFonts w:ascii="Verdana" w:hAnsi="Verdana"/>
        </w:rPr>
        <w:t>se expresó</w:t>
      </w:r>
      <w:r w:rsidRPr="00F53403">
        <w:rPr>
          <w:rFonts w:ascii="Verdana" w:hAnsi="Verdana"/>
          <w:spacing w:val="-2"/>
        </w:rPr>
        <w:t xml:space="preserve"> </w:t>
      </w:r>
      <w:r w:rsidRPr="00F53403">
        <w:rPr>
          <w:rFonts w:ascii="Verdana" w:hAnsi="Verdana"/>
        </w:rPr>
        <w:t>lo</w:t>
      </w:r>
      <w:r w:rsidRPr="00F53403">
        <w:rPr>
          <w:rFonts w:ascii="Verdana" w:hAnsi="Verdana"/>
          <w:spacing w:val="-1"/>
        </w:rPr>
        <w:t xml:space="preserve"> </w:t>
      </w:r>
      <w:r w:rsidRPr="00F53403">
        <w:rPr>
          <w:rFonts w:ascii="Verdana" w:hAnsi="Verdana"/>
        </w:rPr>
        <w:t>siguiente:</w:t>
      </w:r>
    </w:p>
    <w:p w14:paraId="6A4FB85D" w14:textId="77777777" w:rsidR="00C64862" w:rsidRPr="00F53403" w:rsidRDefault="00C64862" w:rsidP="00C64862">
      <w:pPr>
        <w:spacing w:after="0"/>
        <w:rPr>
          <w:rFonts w:ascii="Verdana" w:hAnsi="Verdana"/>
        </w:rPr>
      </w:pPr>
    </w:p>
    <w:p w14:paraId="0F60AC6B" w14:textId="77777777" w:rsidR="00C64862" w:rsidRDefault="00C64862" w:rsidP="00C64862">
      <w:pPr>
        <w:spacing w:after="0"/>
        <w:ind w:left="709" w:right="709"/>
        <w:jc w:val="both"/>
        <w:rPr>
          <w:rFonts w:ascii="Verdana" w:hAnsi="Verdana" w:cs="Arial"/>
          <w:color w:val="000000" w:themeColor="text1"/>
          <w:sz w:val="21"/>
          <w:szCs w:val="21"/>
          <w:lang w:val="es-ES" w:eastAsia="es-CO"/>
        </w:rPr>
      </w:pPr>
      <w:r w:rsidRPr="00F53403">
        <w:rPr>
          <w:rFonts w:ascii="Verdana" w:hAnsi="Verdana" w:cs="Arial"/>
          <w:color w:val="000000" w:themeColor="text1"/>
          <w:sz w:val="21"/>
          <w:szCs w:val="21"/>
          <w:lang w:val="es-ES" w:eastAsia="es-CO"/>
        </w:rPr>
        <w:t>“Es bueno destacar que el Decreto 1082 de 2015 dispone que los convenios o contratos interadministrativos, así denominados en su artículo 2.2.1.2.1.4.4, se contratan directamente, por lo que no hay lugar a dudas que representan lo mismo en la medida en que concurran entidades estatales en el acuerdo de voluntades. De este modo, es posible concluir que en la contratación estatal no existen mayores diferencias entre convenio y contrato y, dando aplicación al derecho privado y a la definición contenida en el Código Civil, puede afirmarse que se trata de figuras equivalentes”.</w:t>
      </w:r>
    </w:p>
    <w:p w14:paraId="0AC3362D" w14:textId="77777777" w:rsidR="00C64862" w:rsidRPr="0045322C" w:rsidRDefault="00C64862" w:rsidP="00C64862">
      <w:pPr>
        <w:spacing w:after="0" w:line="276" w:lineRule="auto"/>
        <w:ind w:left="709" w:right="709"/>
        <w:jc w:val="both"/>
        <w:rPr>
          <w:rFonts w:ascii="Verdana" w:hAnsi="Verdana" w:cs="Arial"/>
          <w:color w:val="000000" w:themeColor="text1"/>
          <w:lang w:val="es-ES" w:eastAsia="es-CO"/>
        </w:rPr>
      </w:pPr>
    </w:p>
    <w:p w14:paraId="7E0223C0" w14:textId="77777777" w:rsidR="00C64862" w:rsidRPr="0045322C" w:rsidRDefault="00C64862" w:rsidP="00C64862">
      <w:pPr>
        <w:spacing w:after="0" w:line="276" w:lineRule="auto"/>
        <w:ind w:right="49" w:firstLine="708"/>
        <w:jc w:val="both"/>
        <w:rPr>
          <w:rFonts w:ascii="Verdana" w:hAnsi="Verdana" w:cs="Arial"/>
          <w:color w:val="000000" w:themeColor="text1"/>
          <w:lang w:eastAsia="es-CO"/>
        </w:rPr>
      </w:pPr>
      <w:r w:rsidRPr="0045322C">
        <w:rPr>
          <w:rFonts w:ascii="Verdana" w:hAnsi="Verdana" w:cs="Arial"/>
          <w:color w:val="000000" w:themeColor="text1"/>
          <w:lang w:eastAsia="es-CO"/>
        </w:rPr>
        <w:t xml:space="preserve">Ahora, en cuento al principio de publicidad la ANCP-CCE le informa que, las Entidades Estatales que están sujetas al Estatuto General de Contratación de la Administración Pública – Ley 80 de 1993 deben publicar los documentos de sus procesos de contratación en el SECOP, el cual está compuesto por tres plataformas, a saber, el SECOP I, SECOP II y la Tienda Virtual del Estado Colombiano. Es importante reiterar que el SECOP II es la nueva versión del Sistema Electrónico para la Contratación Pública, es una plataforma </w:t>
      </w:r>
      <w:r w:rsidRPr="0045322C">
        <w:rPr>
          <w:rFonts w:ascii="Verdana" w:hAnsi="Verdana" w:cs="Arial"/>
          <w:color w:val="000000" w:themeColor="text1"/>
          <w:lang w:eastAsia="es-CO"/>
        </w:rPr>
        <w:lastRenderedPageBreak/>
        <w:t>transaccional que permite a Compradores y Proveedores realizar el proceso de contratación en línea.</w:t>
      </w:r>
    </w:p>
    <w:p w14:paraId="332280ED" w14:textId="77777777" w:rsidR="00C64862" w:rsidRPr="0045322C" w:rsidRDefault="00C64862" w:rsidP="00C64862">
      <w:pPr>
        <w:spacing w:after="0" w:line="276" w:lineRule="auto"/>
        <w:ind w:right="49"/>
        <w:jc w:val="both"/>
        <w:rPr>
          <w:rFonts w:ascii="Verdana" w:hAnsi="Verdana" w:cs="Arial"/>
          <w:color w:val="000000" w:themeColor="text1"/>
          <w:lang w:eastAsia="es-CO"/>
        </w:rPr>
      </w:pPr>
    </w:p>
    <w:p w14:paraId="4DB8C775" w14:textId="77777777" w:rsidR="00C64862" w:rsidRPr="0045322C" w:rsidRDefault="00C64862" w:rsidP="00C64862">
      <w:pPr>
        <w:spacing w:after="0" w:line="276" w:lineRule="auto"/>
        <w:ind w:right="49" w:firstLine="708"/>
        <w:jc w:val="both"/>
        <w:rPr>
          <w:rFonts w:ascii="Verdana" w:hAnsi="Verdana" w:cs="Arial"/>
          <w:color w:val="000000" w:themeColor="text1"/>
          <w:lang w:eastAsia="es-CO"/>
        </w:rPr>
      </w:pPr>
      <w:r w:rsidRPr="0045322C">
        <w:rPr>
          <w:rFonts w:ascii="Verdana" w:hAnsi="Verdana" w:cs="Arial"/>
          <w:color w:val="000000" w:themeColor="text1"/>
          <w:lang w:eastAsia="es-CO"/>
        </w:rPr>
        <w:t>En este sentido, para que una Entidad, obligada al uso del SECOP II, pueda celebrar un convenio interadministrativo con otra Entidad Estatal, bien sea que se encuentre obligada o no a utilizar la plataforma, es necesario que la entidad que ejecutará las principales obligaciones derivadas del convenio, esto es, aquella que tiene el rol asimilable al de contratista, se encuentre registrada en SECOP II y solicite la activación del perfil proveedor, es decir, que tenga un perfil mixto (comprador y proveedor).</w:t>
      </w:r>
    </w:p>
    <w:p w14:paraId="44C8B8A8" w14:textId="77777777" w:rsidR="00C64862" w:rsidRPr="0045322C" w:rsidRDefault="00C64862" w:rsidP="00C64862">
      <w:pPr>
        <w:spacing w:after="0" w:line="276" w:lineRule="auto"/>
        <w:ind w:right="49"/>
        <w:jc w:val="both"/>
        <w:rPr>
          <w:rFonts w:ascii="Verdana" w:hAnsi="Verdana" w:cs="Arial"/>
          <w:color w:val="000000" w:themeColor="text1"/>
          <w:lang w:eastAsia="es-CO"/>
        </w:rPr>
      </w:pPr>
    </w:p>
    <w:p w14:paraId="6360E71C" w14:textId="77777777" w:rsidR="00C64862" w:rsidRPr="0045322C" w:rsidRDefault="00C64862" w:rsidP="00C64862">
      <w:pPr>
        <w:spacing w:after="0" w:line="276" w:lineRule="auto"/>
        <w:ind w:right="49" w:firstLine="708"/>
        <w:jc w:val="both"/>
        <w:rPr>
          <w:rFonts w:ascii="Verdana" w:hAnsi="Verdana" w:cs="Arial"/>
          <w:color w:val="000000" w:themeColor="text1"/>
          <w:lang w:eastAsia="es-CO"/>
        </w:rPr>
      </w:pPr>
      <w:r w:rsidRPr="0045322C">
        <w:rPr>
          <w:rFonts w:ascii="Verdana" w:hAnsi="Verdana" w:cs="Arial"/>
          <w:color w:val="000000" w:themeColor="text1"/>
          <w:lang w:eastAsia="es-CO"/>
        </w:rPr>
        <w:t xml:space="preserve">Por consiguiente, SECOP II permite que, desde una única cuenta, una Entidad Estatal pueda actuar también como proveedor para los casos en que las entidades provean servicios a otras entidades o para el caso de celebrar convenios y/o contratos interadministrativos. Por lo tanto, la entidad encargada de adelantar el proceso es quien debe publicar y la otra, hará las veces como “proveedor”, independientemente si el objeto convencional o contractual sea de aunar esfuerzos. </w:t>
      </w:r>
    </w:p>
    <w:p w14:paraId="178F1476" w14:textId="77777777" w:rsidR="00C64862" w:rsidRPr="0045322C" w:rsidRDefault="00C64862" w:rsidP="00C64862">
      <w:pPr>
        <w:spacing w:after="0" w:line="276" w:lineRule="auto"/>
        <w:ind w:right="49"/>
        <w:jc w:val="both"/>
        <w:rPr>
          <w:rFonts w:ascii="Verdana" w:hAnsi="Verdana" w:cs="Arial"/>
          <w:color w:val="000000" w:themeColor="text1"/>
          <w:lang w:eastAsia="es-CO"/>
        </w:rPr>
      </w:pPr>
    </w:p>
    <w:p w14:paraId="6710ACEF" w14:textId="77777777" w:rsidR="00C64862" w:rsidRPr="0045322C" w:rsidRDefault="00C64862" w:rsidP="00C64862">
      <w:pPr>
        <w:spacing w:after="0" w:line="276" w:lineRule="auto"/>
        <w:ind w:right="49" w:firstLine="708"/>
        <w:jc w:val="both"/>
        <w:rPr>
          <w:rFonts w:ascii="Verdana" w:hAnsi="Verdana" w:cs="Arial"/>
          <w:color w:val="000000" w:themeColor="text1"/>
          <w:lang w:eastAsia="es-CO"/>
        </w:rPr>
      </w:pPr>
      <w:r w:rsidRPr="0045322C">
        <w:rPr>
          <w:rFonts w:ascii="Verdana" w:hAnsi="Verdana" w:cs="Arial"/>
          <w:color w:val="000000" w:themeColor="text1"/>
          <w:lang w:eastAsia="es-CO"/>
        </w:rPr>
        <w:t xml:space="preserve">Teniendo en cuenta lo anterior, las Entidades que actualmente tengan uso obligatorio del SECOP II, deberán adelantar los convenios interadministrativos, en esta plataforma. A su vez, las Entidades con las que pretendan iniciar la relación contractual independientemente de si están o no obligadas a hacer uso del SECOP II deben estar registradas y tener una cuenta activa en SECOP II. Lo anterior sin perjuicio de lo dispuesto en las Circulares Externas emitidas por la Agencia Nacional de Contratación Pública -Colombia Compra Eficiente-. </w:t>
      </w:r>
    </w:p>
    <w:p w14:paraId="05C74444" w14:textId="77777777" w:rsidR="00C64862" w:rsidRPr="0045322C" w:rsidRDefault="00C64862" w:rsidP="00C64862">
      <w:pPr>
        <w:spacing w:after="0" w:line="276" w:lineRule="auto"/>
        <w:ind w:right="49"/>
        <w:jc w:val="both"/>
        <w:rPr>
          <w:rFonts w:ascii="Verdana" w:hAnsi="Verdana" w:cs="Arial"/>
          <w:color w:val="000000" w:themeColor="text1"/>
          <w:lang w:eastAsia="es-CO"/>
        </w:rPr>
      </w:pPr>
    </w:p>
    <w:p w14:paraId="48928659" w14:textId="77777777" w:rsidR="00C64862" w:rsidRPr="0045322C" w:rsidRDefault="00C64862" w:rsidP="00C64862">
      <w:pPr>
        <w:spacing w:after="0" w:line="276" w:lineRule="auto"/>
        <w:ind w:right="49" w:firstLine="708"/>
        <w:jc w:val="both"/>
        <w:rPr>
          <w:rFonts w:ascii="Verdana" w:hAnsi="Verdana" w:cs="Arial"/>
          <w:color w:val="000000" w:themeColor="text1"/>
          <w:lang w:eastAsia="es-CO"/>
        </w:rPr>
      </w:pPr>
      <w:r w:rsidRPr="0045322C">
        <w:rPr>
          <w:rFonts w:ascii="Verdana" w:hAnsi="Verdana" w:cs="Arial"/>
          <w:color w:val="000000" w:themeColor="text1"/>
          <w:lang w:eastAsia="es-CO"/>
        </w:rPr>
        <w:t xml:space="preserve">De tal manera que, la Entidad que haga las veces de proveedor en el convenio interadministrativo debe tener una cuenta activa en SECOP II y adicional a ello solicitar a la mesa de servicio la activación del perfil proveedor; esto quiere decir que la Entidad tendrá un perfil mixto (Comprador y Proveedor) con el objetivo de celebrar y poder ser parte en los eventuales y futuros convenios interadministrativos que requiera adelantar, para el desarrollo de su función pública o para satisfacer una necesidad que ayude al cumplimiento y desarrollo de su actividad administrativa. En otras palabras, la Entidad Estatal </w:t>
      </w:r>
      <w:r w:rsidRPr="0045322C">
        <w:rPr>
          <w:rFonts w:ascii="Verdana" w:hAnsi="Verdana" w:cs="Arial"/>
          <w:color w:val="000000" w:themeColor="text1"/>
          <w:lang w:eastAsia="es-CO"/>
        </w:rPr>
        <w:lastRenderedPageBreak/>
        <w:t xml:space="preserve">responsable de realizar la publicación del convenio interadministrativo en el SECOP II, será la Entidad contratante. Si no es fácilmente determinable quien es la entidad contratante, la publicación la debe hacer la Entidad Estatal que adelantó el proceso de contratación. Por el contrario, si la Entidad Estatal que va a adelantar el convenio interadministrativo no se encuentra obligada al uso del SECOP II, deberá seguir publicando y gestionando estos procesos de contratación por SECOP I. </w:t>
      </w:r>
    </w:p>
    <w:p w14:paraId="3838CD2A" w14:textId="77777777" w:rsidR="00C64862" w:rsidRPr="0045322C" w:rsidRDefault="00C64862" w:rsidP="00C64862">
      <w:pPr>
        <w:spacing w:after="0" w:line="276" w:lineRule="auto"/>
        <w:ind w:right="49"/>
        <w:jc w:val="both"/>
        <w:rPr>
          <w:rFonts w:ascii="Verdana" w:hAnsi="Verdana" w:cs="Arial"/>
          <w:color w:val="000000" w:themeColor="text1"/>
          <w:lang w:eastAsia="es-CO"/>
        </w:rPr>
      </w:pPr>
    </w:p>
    <w:p w14:paraId="76238D03" w14:textId="77777777" w:rsidR="00C64862" w:rsidRPr="0045322C" w:rsidRDefault="00C64862" w:rsidP="00C64862">
      <w:pPr>
        <w:spacing w:after="0" w:line="276" w:lineRule="auto"/>
        <w:ind w:right="49" w:firstLine="708"/>
        <w:jc w:val="both"/>
        <w:rPr>
          <w:rFonts w:ascii="Verdana" w:hAnsi="Verdana" w:cs="Arial"/>
          <w:color w:val="000000" w:themeColor="text1"/>
          <w:lang w:val="es-ES" w:eastAsia="es-CO"/>
        </w:rPr>
      </w:pPr>
      <w:r w:rsidRPr="0045322C">
        <w:rPr>
          <w:rFonts w:ascii="Verdana" w:hAnsi="Verdana" w:cs="Arial"/>
          <w:color w:val="000000" w:themeColor="text1"/>
          <w:lang w:eastAsia="es-CO"/>
        </w:rPr>
        <w:t>De acuerdo con lo anterior, la ANCP-CCE ha puesto a disposición de las Entidades Estatales en el SECOP II dos módulos para la gestión de procesos de contratación a través de la modalidad de Contratación Directa, de acuerdo con las causales establecidas por el Estatuto General de Contratación para contratar directamente, entre las que se encuentran incluidos los convenios entre Entidades Estatales. Debido a que la plataforma está diseñada para tener dos roles en el proceso de compra pública, los cuales son: Entidad Estatal y Proveedor para que exista una transacción en SECOP II debe concurrir una operación entre estos dos tipos de cuentas, por lo cual, reiteramos que una de las dos Entidades Estatales debe hacerse responsable de la gestión del proceso de contratación en la plataforma y la otra de ser la parte proveedora.</w:t>
      </w:r>
    </w:p>
    <w:p w14:paraId="4CE5943D" w14:textId="77777777" w:rsidR="00C64862" w:rsidRPr="00F53403" w:rsidRDefault="00C64862" w:rsidP="00C64862">
      <w:pPr>
        <w:spacing w:after="0"/>
        <w:rPr>
          <w:rFonts w:ascii="Verdana" w:hAnsi="Verdana"/>
          <w:sz w:val="21"/>
          <w:szCs w:val="21"/>
        </w:rPr>
      </w:pPr>
    </w:p>
    <w:bookmarkEnd w:id="1"/>
    <w:bookmarkEnd w:id="2"/>
    <w:p w14:paraId="1E74D495" w14:textId="77777777" w:rsidR="00C64862" w:rsidRPr="00F53403" w:rsidRDefault="00C64862" w:rsidP="00C64862">
      <w:pPr>
        <w:tabs>
          <w:tab w:val="left" w:pos="142"/>
          <w:tab w:val="left" w:pos="284"/>
        </w:tabs>
        <w:spacing w:after="0" w:line="276" w:lineRule="auto"/>
        <w:jc w:val="both"/>
        <w:rPr>
          <w:rFonts w:ascii="Verdana" w:eastAsia="Century Gothic" w:hAnsi="Verdana" w:cs="Century Gothic"/>
          <w:b/>
          <w:color w:val="000000" w:themeColor="text1"/>
          <w:lang w:val="es-ES"/>
        </w:rPr>
      </w:pPr>
      <w:r w:rsidRPr="00F53403">
        <w:rPr>
          <w:rFonts w:ascii="Verdana" w:eastAsia="Century Gothic" w:hAnsi="Verdana" w:cs="Century Gothic"/>
          <w:b/>
          <w:color w:val="000000" w:themeColor="text1"/>
          <w:lang w:val="es-ES"/>
        </w:rPr>
        <w:t>4. Referencias normativas, jurisprudenciales y otras fuentes:</w:t>
      </w:r>
    </w:p>
    <w:p w14:paraId="030C2B9A" w14:textId="77777777" w:rsidR="00C64862" w:rsidRPr="00F53403" w:rsidRDefault="00C64862" w:rsidP="00C64862">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64862" w:rsidRPr="00F53403" w14:paraId="27C494AC" w14:textId="77777777" w:rsidTr="00906C2E">
        <w:trPr>
          <w:trHeight w:val="476"/>
        </w:trPr>
        <w:tc>
          <w:tcPr>
            <w:tcW w:w="8647" w:type="dxa"/>
          </w:tcPr>
          <w:p w14:paraId="04F173C3" w14:textId="77777777" w:rsidR="00C64862" w:rsidRPr="00F53403" w:rsidRDefault="00C64862" w:rsidP="00906C2E">
            <w:pPr>
              <w:numPr>
                <w:ilvl w:val="0"/>
                <w:numId w:val="16"/>
              </w:numPr>
              <w:spacing w:line="276" w:lineRule="auto"/>
              <w:contextualSpacing/>
              <w:jc w:val="both"/>
              <w:rPr>
                <w:rFonts w:ascii="Verdana" w:hAnsi="Verdana" w:cs="Arial"/>
                <w:lang w:val="es-ES"/>
              </w:rPr>
            </w:pPr>
            <w:r w:rsidRPr="00F53403">
              <w:rPr>
                <w:rFonts w:ascii="Verdana" w:hAnsi="Verdana" w:cs="Arial"/>
                <w:lang w:val="es-ES"/>
              </w:rPr>
              <w:t>Ley 80 de 1993, artículo 2 y 25.</w:t>
            </w:r>
          </w:p>
          <w:p w14:paraId="3DF2B7E4" w14:textId="77777777" w:rsidR="00C64862" w:rsidRPr="00F53403" w:rsidRDefault="00C64862" w:rsidP="00906C2E">
            <w:pPr>
              <w:widowControl w:val="0"/>
              <w:numPr>
                <w:ilvl w:val="0"/>
                <w:numId w:val="16"/>
              </w:numPr>
              <w:autoSpaceDE w:val="0"/>
              <w:autoSpaceDN w:val="0"/>
              <w:spacing w:line="276" w:lineRule="auto"/>
              <w:contextualSpacing/>
              <w:jc w:val="both"/>
              <w:rPr>
                <w:rFonts w:ascii="Verdana" w:eastAsia="Arial MT" w:hAnsi="Verdana" w:cs="Arial"/>
                <w:lang w:val="es-ES" w:eastAsia="es-ES" w:bidi="es-ES"/>
              </w:rPr>
            </w:pPr>
            <w:r w:rsidRPr="00F53403">
              <w:rPr>
                <w:rFonts w:ascii="Verdana" w:eastAsia="Times New Roman" w:hAnsi="Verdana" w:cs="Times New Roman"/>
                <w:lang w:val="es-ES" w:eastAsia="es-MX"/>
              </w:rPr>
              <w:t xml:space="preserve">Ley 1150 de 2007: </w:t>
            </w:r>
            <w:r w:rsidRPr="00F53403">
              <w:rPr>
                <w:rFonts w:ascii="Verdana" w:eastAsia="Arial MT" w:hAnsi="Verdana" w:cs="Arial"/>
                <w:lang w:val="es-ES" w:eastAsia="es-ES" w:bidi="es-ES"/>
              </w:rPr>
              <w:t xml:space="preserve">artículos 2 y 3. </w:t>
            </w:r>
          </w:p>
          <w:p w14:paraId="23856B34" w14:textId="77777777" w:rsidR="00C64862" w:rsidRPr="00F53403" w:rsidRDefault="00C64862" w:rsidP="00906C2E">
            <w:pPr>
              <w:widowControl w:val="0"/>
              <w:numPr>
                <w:ilvl w:val="0"/>
                <w:numId w:val="16"/>
              </w:numPr>
              <w:autoSpaceDE w:val="0"/>
              <w:autoSpaceDN w:val="0"/>
              <w:spacing w:line="276" w:lineRule="auto"/>
              <w:contextualSpacing/>
              <w:jc w:val="both"/>
              <w:rPr>
                <w:rFonts w:ascii="Verdana" w:eastAsia="Arial MT" w:hAnsi="Verdana" w:cs="Arial"/>
                <w:lang w:val="es-ES" w:eastAsia="es-ES" w:bidi="es-ES"/>
              </w:rPr>
            </w:pPr>
            <w:r w:rsidRPr="00F53403">
              <w:rPr>
                <w:rFonts w:ascii="Verdana" w:eastAsia="Arial MT" w:hAnsi="Verdana" w:cs="Arial"/>
                <w:lang w:val="es-ES" w:eastAsia="es-ES" w:bidi="es-ES"/>
              </w:rPr>
              <w:t>Ley 489 de 1998, artículo 95.</w:t>
            </w:r>
          </w:p>
          <w:p w14:paraId="506E7C16" w14:textId="77777777" w:rsidR="00C64862" w:rsidRPr="00F53403" w:rsidRDefault="00C64862" w:rsidP="00906C2E">
            <w:pPr>
              <w:widowControl w:val="0"/>
              <w:numPr>
                <w:ilvl w:val="0"/>
                <w:numId w:val="16"/>
              </w:numPr>
              <w:autoSpaceDE w:val="0"/>
              <w:autoSpaceDN w:val="0"/>
              <w:spacing w:line="276" w:lineRule="auto"/>
              <w:contextualSpacing/>
              <w:jc w:val="both"/>
              <w:rPr>
                <w:rFonts w:ascii="Verdana" w:hAnsi="Verdana" w:cs="Arial"/>
                <w:lang w:val="es-ES"/>
              </w:rPr>
            </w:pPr>
            <w:r w:rsidRPr="00F53403">
              <w:rPr>
                <w:rFonts w:ascii="Verdana" w:hAnsi="Verdana" w:cs="Arial"/>
                <w:lang w:val="es-ES"/>
              </w:rPr>
              <w:t>Decreto 1082 de 2015, artículos 2.2.1.1.2.1.1. y 2.2.1.1.1.6.1, 2.2.1.2.1.4.4.</w:t>
            </w:r>
          </w:p>
          <w:p w14:paraId="399B3BCC" w14:textId="77777777" w:rsidR="00C64862" w:rsidRPr="00F53403" w:rsidRDefault="00C64862" w:rsidP="00906C2E">
            <w:pPr>
              <w:widowControl w:val="0"/>
              <w:numPr>
                <w:ilvl w:val="0"/>
                <w:numId w:val="16"/>
              </w:numPr>
              <w:autoSpaceDE w:val="0"/>
              <w:autoSpaceDN w:val="0"/>
              <w:spacing w:line="276" w:lineRule="auto"/>
              <w:contextualSpacing/>
              <w:jc w:val="both"/>
              <w:rPr>
                <w:rFonts w:ascii="Verdana" w:hAnsi="Verdana" w:cs="Arial"/>
                <w:lang w:val="es-ES"/>
              </w:rPr>
            </w:pPr>
            <w:r w:rsidRPr="00F53403">
              <w:rPr>
                <w:rFonts w:ascii="Verdana" w:hAnsi="Verdana" w:cs="Arial"/>
              </w:rPr>
              <w:t xml:space="preserve">Consejo de Estado. Sección Tercera. Subsección B. Sentencia del 31 de agosto de 2011. </w:t>
            </w:r>
            <w:proofErr w:type="spellStart"/>
            <w:r w:rsidRPr="00F53403">
              <w:rPr>
                <w:rFonts w:ascii="Verdana" w:hAnsi="Verdana" w:cs="Arial"/>
              </w:rPr>
              <w:t>Exp</w:t>
            </w:r>
            <w:proofErr w:type="spellEnd"/>
            <w:r w:rsidRPr="00F53403">
              <w:rPr>
                <w:rFonts w:ascii="Verdana" w:hAnsi="Verdana" w:cs="Arial"/>
              </w:rPr>
              <w:t>. 18.080.</w:t>
            </w:r>
          </w:p>
          <w:p w14:paraId="1351D8DA" w14:textId="77777777" w:rsidR="00C64862" w:rsidRPr="00F53403" w:rsidRDefault="00C64862" w:rsidP="00906C2E">
            <w:pPr>
              <w:widowControl w:val="0"/>
              <w:numPr>
                <w:ilvl w:val="0"/>
                <w:numId w:val="16"/>
              </w:numPr>
              <w:autoSpaceDE w:val="0"/>
              <w:autoSpaceDN w:val="0"/>
              <w:spacing w:line="276" w:lineRule="auto"/>
              <w:contextualSpacing/>
              <w:jc w:val="both"/>
              <w:rPr>
                <w:rFonts w:ascii="Verdana" w:hAnsi="Verdana" w:cs="Arial"/>
                <w:lang w:val="es-ES"/>
              </w:rPr>
            </w:pPr>
            <w:r w:rsidRPr="00F53403">
              <w:rPr>
                <w:rFonts w:ascii="Verdana" w:hAnsi="Verdana" w:cs="Arial"/>
                <w:lang w:val="es-ES"/>
              </w:rPr>
              <w:t>Consejo de Estado. Sección Tercera. Sentencia del 23 de junio de 2010. Radicación No. 66001-23-31-000-1998-00261- 01(17.860). Consejero Ponente: Mauricio Fajardo Gómez.</w:t>
            </w:r>
          </w:p>
          <w:p w14:paraId="45F8F192" w14:textId="77777777" w:rsidR="00C64862" w:rsidRPr="00F53403" w:rsidRDefault="00C64862" w:rsidP="00906C2E">
            <w:pPr>
              <w:widowControl w:val="0"/>
              <w:numPr>
                <w:ilvl w:val="0"/>
                <w:numId w:val="16"/>
              </w:numPr>
              <w:tabs>
                <w:tab w:val="left" w:pos="8419"/>
              </w:tabs>
              <w:autoSpaceDE w:val="0"/>
              <w:autoSpaceDN w:val="0"/>
              <w:spacing w:line="276" w:lineRule="auto"/>
              <w:jc w:val="both"/>
              <w:rPr>
                <w:rFonts w:ascii="Verdana" w:hAnsi="Verdana" w:cs="Arial"/>
                <w:lang w:val="es-ES"/>
              </w:rPr>
            </w:pPr>
            <w:r w:rsidRPr="00F53403">
              <w:rPr>
                <w:rFonts w:ascii="Verdana" w:hAnsi="Verdana" w:cs="Arial"/>
                <w:lang w:val="es-ES"/>
              </w:rPr>
              <w:t xml:space="preserve">Colombia Compra Eficiente, Guía de Elaboración de Estudios de Sector - GEES del 24 de junio de 2022. Disponible en: </w:t>
            </w:r>
            <w:r w:rsidRPr="005D7F0F">
              <w:rPr>
                <w:rFonts w:ascii="Verdana" w:hAnsi="Verdana"/>
                <w:lang w:val="es-ES"/>
              </w:rPr>
              <w:t xml:space="preserve"> </w:t>
            </w:r>
            <w:r w:rsidRPr="00F53403">
              <w:rPr>
                <w:rFonts w:ascii="Verdana" w:hAnsi="Verdana" w:cs="Arial"/>
                <w:lang w:val="es-ES"/>
              </w:rPr>
              <w:t>chrome-extension://efaidnbmnnnibpcajpcglclefindmkaj/https://www.colombiacompra.gov.co/sites/cce_public/files/cce_documentos/cce-eicp-gi-</w:t>
            </w:r>
            <w:r w:rsidRPr="00F53403">
              <w:rPr>
                <w:rFonts w:ascii="Verdana" w:hAnsi="Verdana" w:cs="Arial"/>
                <w:lang w:val="es-ES"/>
              </w:rPr>
              <w:lastRenderedPageBreak/>
              <w:t>18._gees_v.2_2.pdf</w:t>
            </w:r>
          </w:p>
          <w:p w14:paraId="7A5847BA" w14:textId="77777777" w:rsidR="00C64862" w:rsidRPr="00F53403" w:rsidRDefault="00C64862" w:rsidP="00906C2E">
            <w:pPr>
              <w:widowControl w:val="0"/>
              <w:numPr>
                <w:ilvl w:val="0"/>
                <w:numId w:val="16"/>
              </w:numPr>
              <w:autoSpaceDE w:val="0"/>
              <w:autoSpaceDN w:val="0"/>
              <w:spacing w:line="276" w:lineRule="auto"/>
              <w:contextualSpacing/>
              <w:jc w:val="both"/>
              <w:rPr>
                <w:rFonts w:ascii="Verdana" w:eastAsia="Arial MT" w:hAnsi="Verdana" w:cs="Arial"/>
                <w:lang w:val="es-ES" w:eastAsia="es-ES" w:bidi="es-ES"/>
              </w:rPr>
            </w:pPr>
            <w:r w:rsidRPr="00F53403">
              <w:rPr>
                <w:rFonts w:ascii="Verdana" w:hAnsi="Verdana" w:cs="Arial"/>
                <w:lang w:val="es-ES"/>
              </w:rPr>
              <w:t>DEIK ACOSTAMADIEDO, Carolina, Guía de Contratación Estatal: Deber de planeación y modalidades de selección, Buenos Aires, 2015.</w:t>
            </w:r>
          </w:p>
        </w:tc>
      </w:tr>
    </w:tbl>
    <w:p w14:paraId="3B8845C1" w14:textId="77777777" w:rsidR="00C64862" w:rsidRPr="00F53403" w:rsidRDefault="00C64862" w:rsidP="00C64862">
      <w:pPr>
        <w:widowControl w:val="0"/>
        <w:autoSpaceDE w:val="0"/>
        <w:autoSpaceDN w:val="0"/>
        <w:spacing w:after="0" w:line="276" w:lineRule="auto"/>
        <w:jc w:val="both"/>
        <w:rPr>
          <w:rFonts w:ascii="Verdana" w:hAnsi="Verdana" w:cs="Arial"/>
          <w:color w:val="000000" w:themeColor="text1"/>
          <w:lang w:val="es-ES"/>
        </w:rPr>
      </w:pPr>
    </w:p>
    <w:p w14:paraId="75E8CA96" w14:textId="77777777" w:rsidR="00C64862" w:rsidRPr="00F53403" w:rsidRDefault="00C64862" w:rsidP="00C64862">
      <w:pPr>
        <w:tabs>
          <w:tab w:val="left" w:pos="142"/>
          <w:tab w:val="left" w:pos="284"/>
        </w:tabs>
        <w:spacing w:after="0" w:line="276" w:lineRule="auto"/>
        <w:jc w:val="both"/>
        <w:rPr>
          <w:rFonts w:ascii="Verdana" w:eastAsia="Century Gothic" w:hAnsi="Verdana" w:cs="Century Gothic"/>
          <w:b/>
          <w:color w:val="000000" w:themeColor="text1"/>
          <w:lang w:val="es-ES"/>
        </w:rPr>
      </w:pPr>
      <w:r w:rsidRPr="00F53403">
        <w:rPr>
          <w:rFonts w:ascii="Verdana" w:eastAsia="Century Gothic" w:hAnsi="Verdana" w:cs="Century Gothic"/>
          <w:b/>
          <w:color w:val="000000" w:themeColor="text1"/>
          <w:lang w:val="es-ES"/>
        </w:rPr>
        <w:t>5. Doctrina de la Agencia Nacional de Contratación Pública:</w:t>
      </w:r>
    </w:p>
    <w:p w14:paraId="7EB0D5A6" w14:textId="77777777" w:rsidR="00C64862" w:rsidRPr="00F53403" w:rsidRDefault="00C64862" w:rsidP="00C64862">
      <w:pPr>
        <w:widowControl w:val="0"/>
        <w:autoSpaceDE w:val="0"/>
        <w:autoSpaceDN w:val="0"/>
        <w:spacing w:after="0" w:line="276" w:lineRule="auto"/>
        <w:jc w:val="both"/>
        <w:rPr>
          <w:rFonts w:ascii="Verdana" w:hAnsi="Verdana" w:cs="Arial"/>
          <w:color w:val="000000" w:themeColor="text1"/>
          <w:lang w:val="es-ES"/>
        </w:rPr>
      </w:pPr>
    </w:p>
    <w:p w14:paraId="61013691" w14:textId="77777777" w:rsidR="00C64862" w:rsidRPr="00F53403" w:rsidRDefault="00C64862" w:rsidP="00C64862">
      <w:pPr>
        <w:spacing w:after="0" w:line="276" w:lineRule="auto"/>
        <w:jc w:val="both"/>
        <w:rPr>
          <w:rFonts w:ascii="Verdana" w:hAnsi="Verdana" w:cs="Arial"/>
          <w:color w:val="0000FF"/>
          <w:u w:val="single"/>
          <w:shd w:val="clear" w:color="auto" w:fill="FFFFFF"/>
          <w:lang w:val="es-ES"/>
        </w:rPr>
      </w:pPr>
      <w:r w:rsidRPr="00F53403">
        <w:rPr>
          <w:rFonts w:ascii="Verdana" w:eastAsia="Calibri" w:hAnsi="Verdana" w:cs="Arial"/>
          <w:lang w:val="es-ES"/>
        </w:rPr>
        <w:t xml:space="preserve">La Agencia Nacional de Contratación Pública – Colombia Compra Eficiente se ha referido </w:t>
      </w:r>
      <w:r w:rsidRPr="00F53403">
        <w:rPr>
          <w:rFonts w:ascii="Verdana" w:hAnsi="Verdana" w:cs="Arial"/>
          <w:shd w:val="clear" w:color="auto" w:fill="FFFFFF"/>
          <w:lang w:val="es-ES"/>
        </w:rPr>
        <w:t xml:space="preserve">sobre los convenios interadministrativos y </w:t>
      </w:r>
      <w:r>
        <w:rPr>
          <w:rFonts w:ascii="Verdana" w:hAnsi="Verdana" w:cs="Arial"/>
          <w:shd w:val="clear" w:color="auto" w:fill="FFFFFF"/>
          <w:lang w:val="es-ES"/>
        </w:rPr>
        <w:t>publicidad</w:t>
      </w:r>
      <w:r w:rsidRPr="00F53403">
        <w:rPr>
          <w:rFonts w:ascii="Verdana" w:hAnsi="Verdana" w:cs="Arial"/>
          <w:shd w:val="clear" w:color="auto" w:fill="FFFFFF"/>
          <w:lang w:val="es-ES"/>
        </w:rPr>
        <w:t xml:space="preserve"> en los conceptos con radicado </w:t>
      </w:r>
      <w:r w:rsidRPr="00F53403">
        <w:rPr>
          <w:rFonts w:ascii="Verdana" w:hAnsi="Verdana"/>
          <w:lang w:val="es-MX"/>
        </w:rPr>
        <w:t>4201913000004536 del 17 julio de 2019, 4201913000006540  del 21 de octubre de 019, C−023 del 13 de febrero de 2020, C−086 del 16 de marzo de 2020, C−101 del 16 de marzo de 2020, C−157 del</w:t>
      </w:r>
      <w:r w:rsidRPr="00F53403">
        <w:rPr>
          <w:rFonts w:ascii="Verdana" w:hAnsi="Verdana"/>
          <w:spacing w:val="1"/>
          <w:w w:val="95"/>
          <w:lang w:val="es-MX"/>
        </w:rPr>
        <w:t xml:space="preserve"> </w:t>
      </w:r>
      <w:r w:rsidRPr="00F53403">
        <w:rPr>
          <w:rFonts w:ascii="Verdana" w:hAnsi="Verdana"/>
          <w:lang w:val="es-MX"/>
        </w:rPr>
        <w:t>16 de marzo de 2020,</w:t>
      </w:r>
      <w:r w:rsidRPr="00F53403">
        <w:rPr>
          <w:rFonts w:ascii="Verdana" w:hAnsi="Verdana"/>
          <w:spacing w:val="13"/>
          <w:lang w:val="es-MX"/>
        </w:rPr>
        <w:t xml:space="preserve"> </w:t>
      </w:r>
      <w:r w:rsidRPr="00F53403">
        <w:rPr>
          <w:rFonts w:ascii="Verdana" w:hAnsi="Verdana"/>
          <w:lang w:val="es-MX"/>
        </w:rPr>
        <w:t>C−220</w:t>
      </w:r>
      <w:r w:rsidRPr="00F53403">
        <w:rPr>
          <w:rFonts w:ascii="Verdana" w:hAnsi="Verdana"/>
          <w:spacing w:val="14"/>
          <w:lang w:val="es-MX"/>
        </w:rPr>
        <w:t xml:space="preserve"> </w:t>
      </w:r>
      <w:r w:rsidRPr="00F53403">
        <w:rPr>
          <w:rFonts w:ascii="Verdana" w:hAnsi="Verdana"/>
          <w:lang w:val="es-MX"/>
        </w:rPr>
        <w:t>del</w:t>
      </w:r>
      <w:r w:rsidRPr="00F53403">
        <w:rPr>
          <w:rFonts w:ascii="Verdana" w:hAnsi="Verdana"/>
          <w:spacing w:val="13"/>
          <w:lang w:val="es-MX"/>
        </w:rPr>
        <w:t xml:space="preserve"> </w:t>
      </w:r>
      <w:r w:rsidRPr="00F53403">
        <w:rPr>
          <w:rFonts w:ascii="Verdana" w:hAnsi="Verdana"/>
          <w:lang w:val="es-MX"/>
        </w:rPr>
        <w:t>13 de abril de 2020,</w:t>
      </w:r>
      <w:r w:rsidRPr="00F53403">
        <w:rPr>
          <w:rFonts w:ascii="Verdana" w:hAnsi="Verdana"/>
          <w:spacing w:val="14"/>
          <w:lang w:val="es-MX"/>
        </w:rPr>
        <w:t xml:space="preserve"> </w:t>
      </w:r>
      <w:r w:rsidRPr="00F53403">
        <w:rPr>
          <w:rFonts w:ascii="Verdana" w:hAnsi="Verdana"/>
          <w:lang w:val="es-MX"/>
        </w:rPr>
        <w:t>C−227</w:t>
      </w:r>
      <w:r w:rsidRPr="00F53403">
        <w:rPr>
          <w:rFonts w:ascii="Verdana" w:hAnsi="Verdana"/>
          <w:spacing w:val="13"/>
          <w:lang w:val="es-MX"/>
        </w:rPr>
        <w:t xml:space="preserve"> </w:t>
      </w:r>
      <w:r w:rsidRPr="00F53403">
        <w:rPr>
          <w:rFonts w:ascii="Verdana" w:hAnsi="Verdana"/>
          <w:lang w:val="es-MX"/>
        </w:rPr>
        <w:t>del</w:t>
      </w:r>
      <w:r w:rsidRPr="00F53403">
        <w:rPr>
          <w:rFonts w:ascii="Verdana" w:hAnsi="Verdana"/>
          <w:spacing w:val="14"/>
          <w:lang w:val="es-MX"/>
        </w:rPr>
        <w:t xml:space="preserve"> </w:t>
      </w:r>
      <w:r w:rsidRPr="00F53403">
        <w:rPr>
          <w:rFonts w:ascii="Verdana" w:hAnsi="Verdana"/>
          <w:lang w:val="es-MX"/>
        </w:rPr>
        <w:t>07 de abril del 2020,</w:t>
      </w:r>
      <w:r w:rsidRPr="00F53403">
        <w:rPr>
          <w:rFonts w:ascii="Verdana" w:hAnsi="Verdana"/>
          <w:spacing w:val="14"/>
          <w:lang w:val="es-MX"/>
        </w:rPr>
        <w:t xml:space="preserve"> </w:t>
      </w:r>
      <w:r w:rsidRPr="00F53403">
        <w:rPr>
          <w:rFonts w:ascii="Verdana" w:hAnsi="Verdana"/>
          <w:lang w:val="es-MX"/>
        </w:rPr>
        <w:t>C-593</w:t>
      </w:r>
      <w:r w:rsidRPr="00F53403">
        <w:rPr>
          <w:rFonts w:ascii="Verdana" w:hAnsi="Verdana"/>
          <w:spacing w:val="13"/>
          <w:lang w:val="es-MX"/>
        </w:rPr>
        <w:t xml:space="preserve"> </w:t>
      </w:r>
      <w:r w:rsidRPr="00F53403">
        <w:rPr>
          <w:rFonts w:ascii="Verdana" w:hAnsi="Verdana"/>
          <w:lang w:val="es-MX"/>
        </w:rPr>
        <w:t>del</w:t>
      </w:r>
      <w:r w:rsidRPr="00F53403">
        <w:rPr>
          <w:rFonts w:ascii="Verdana" w:hAnsi="Verdana"/>
          <w:spacing w:val="14"/>
          <w:lang w:val="es-MX"/>
        </w:rPr>
        <w:t xml:space="preserve"> </w:t>
      </w:r>
      <w:r w:rsidRPr="00F53403">
        <w:rPr>
          <w:rFonts w:ascii="Verdana" w:hAnsi="Verdana"/>
          <w:lang w:val="es-MX"/>
        </w:rPr>
        <w:t>09 de octubre 2020,</w:t>
      </w:r>
      <w:r w:rsidRPr="00F53403">
        <w:rPr>
          <w:rFonts w:ascii="Verdana" w:hAnsi="Verdana"/>
          <w:spacing w:val="13"/>
          <w:lang w:val="es-MX"/>
        </w:rPr>
        <w:t xml:space="preserve"> </w:t>
      </w:r>
      <w:r w:rsidRPr="00F53403">
        <w:rPr>
          <w:rFonts w:ascii="Verdana" w:hAnsi="Verdana"/>
          <w:lang w:val="es-MX"/>
        </w:rPr>
        <w:t>C-637</w:t>
      </w:r>
      <w:r w:rsidRPr="00F53403">
        <w:rPr>
          <w:rFonts w:ascii="Verdana" w:hAnsi="Verdana"/>
          <w:spacing w:val="14"/>
          <w:lang w:val="es-MX"/>
        </w:rPr>
        <w:t xml:space="preserve"> </w:t>
      </w:r>
      <w:r w:rsidRPr="00F53403">
        <w:rPr>
          <w:rFonts w:ascii="Verdana" w:hAnsi="Verdana"/>
          <w:lang w:val="es-MX"/>
        </w:rPr>
        <w:t>del 28 de octubre de 2020,</w:t>
      </w:r>
      <w:r w:rsidRPr="00F53403">
        <w:rPr>
          <w:rFonts w:ascii="Verdana" w:hAnsi="Verdana"/>
          <w:spacing w:val="11"/>
          <w:lang w:val="es-MX"/>
        </w:rPr>
        <w:t xml:space="preserve"> </w:t>
      </w:r>
      <w:r w:rsidRPr="00F53403">
        <w:rPr>
          <w:rFonts w:ascii="Verdana" w:hAnsi="Verdana"/>
          <w:lang w:val="es-MX"/>
        </w:rPr>
        <w:t>C−680</w:t>
      </w:r>
      <w:r w:rsidRPr="00F53403">
        <w:rPr>
          <w:rFonts w:ascii="Verdana" w:hAnsi="Verdana"/>
          <w:spacing w:val="11"/>
          <w:lang w:val="es-MX"/>
        </w:rPr>
        <w:t xml:space="preserve"> </w:t>
      </w:r>
      <w:r w:rsidRPr="00F53403">
        <w:rPr>
          <w:rFonts w:ascii="Verdana" w:hAnsi="Verdana"/>
          <w:lang w:val="es-MX"/>
        </w:rPr>
        <w:t>del</w:t>
      </w:r>
      <w:r w:rsidRPr="00F53403">
        <w:rPr>
          <w:rFonts w:ascii="Verdana" w:hAnsi="Verdana"/>
          <w:spacing w:val="10"/>
          <w:lang w:val="es-MX"/>
        </w:rPr>
        <w:t xml:space="preserve"> </w:t>
      </w:r>
      <w:r w:rsidRPr="00F53403">
        <w:rPr>
          <w:rFonts w:ascii="Verdana" w:hAnsi="Verdana"/>
          <w:lang w:val="es-MX"/>
        </w:rPr>
        <w:t>18 de noviembre del 2020,</w:t>
      </w:r>
      <w:r w:rsidRPr="00F53403">
        <w:rPr>
          <w:rFonts w:ascii="Verdana" w:hAnsi="Verdana"/>
          <w:spacing w:val="11"/>
          <w:lang w:val="es-MX"/>
        </w:rPr>
        <w:t xml:space="preserve"> </w:t>
      </w:r>
      <w:r w:rsidRPr="00F53403">
        <w:rPr>
          <w:rFonts w:ascii="Verdana" w:hAnsi="Verdana"/>
          <w:lang w:val="es-MX"/>
        </w:rPr>
        <w:t>C−681</w:t>
      </w:r>
      <w:r w:rsidRPr="00F53403">
        <w:rPr>
          <w:rFonts w:ascii="Verdana" w:hAnsi="Verdana"/>
          <w:spacing w:val="12"/>
          <w:lang w:val="es-MX"/>
        </w:rPr>
        <w:t xml:space="preserve"> </w:t>
      </w:r>
      <w:r w:rsidRPr="00F53403">
        <w:rPr>
          <w:rFonts w:ascii="Verdana" w:hAnsi="Verdana"/>
          <w:lang w:val="es-MX"/>
        </w:rPr>
        <w:t>del</w:t>
      </w:r>
      <w:r w:rsidRPr="00F53403">
        <w:rPr>
          <w:rFonts w:ascii="Verdana" w:hAnsi="Verdana"/>
          <w:spacing w:val="10"/>
          <w:lang w:val="es-MX"/>
        </w:rPr>
        <w:t xml:space="preserve"> </w:t>
      </w:r>
      <w:r w:rsidRPr="00F53403">
        <w:rPr>
          <w:rFonts w:ascii="Verdana" w:hAnsi="Verdana"/>
          <w:lang w:val="es-MX"/>
        </w:rPr>
        <w:t>19 de noviembre de 2020,</w:t>
      </w:r>
      <w:r w:rsidRPr="00F53403">
        <w:rPr>
          <w:rFonts w:ascii="Verdana" w:hAnsi="Verdana"/>
          <w:spacing w:val="11"/>
          <w:lang w:val="es-MX"/>
        </w:rPr>
        <w:t xml:space="preserve"> </w:t>
      </w:r>
      <w:r w:rsidRPr="00F53403">
        <w:rPr>
          <w:rFonts w:ascii="Verdana" w:hAnsi="Verdana"/>
          <w:lang w:val="es-MX"/>
        </w:rPr>
        <w:t>C–691</w:t>
      </w:r>
      <w:r w:rsidRPr="00F53403">
        <w:rPr>
          <w:rFonts w:ascii="Verdana" w:hAnsi="Verdana"/>
          <w:spacing w:val="11"/>
          <w:lang w:val="es-MX"/>
        </w:rPr>
        <w:t xml:space="preserve"> </w:t>
      </w:r>
      <w:r w:rsidRPr="00F53403">
        <w:rPr>
          <w:rFonts w:ascii="Verdana" w:hAnsi="Verdana"/>
          <w:lang w:val="es-MX"/>
        </w:rPr>
        <w:t>del</w:t>
      </w:r>
      <w:r w:rsidRPr="00F53403">
        <w:rPr>
          <w:rFonts w:ascii="Verdana" w:hAnsi="Verdana"/>
          <w:spacing w:val="10"/>
          <w:lang w:val="es-MX"/>
        </w:rPr>
        <w:t xml:space="preserve"> </w:t>
      </w:r>
      <w:r w:rsidRPr="00F53403">
        <w:rPr>
          <w:rFonts w:ascii="Verdana" w:hAnsi="Verdana"/>
          <w:lang w:val="es-MX"/>
        </w:rPr>
        <w:t>27 de noviembre de 2020,</w:t>
      </w:r>
      <w:r w:rsidRPr="00F53403">
        <w:rPr>
          <w:rFonts w:ascii="Verdana" w:hAnsi="Verdana"/>
          <w:spacing w:val="11"/>
          <w:lang w:val="es-MX"/>
        </w:rPr>
        <w:t xml:space="preserve"> </w:t>
      </w:r>
      <w:r w:rsidRPr="00F53403">
        <w:rPr>
          <w:rFonts w:ascii="Verdana" w:hAnsi="Verdana"/>
          <w:lang w:val="es-MX"/>
        </w:rPr>
        <w:t>C-077</w:t>
      </w:r>
      <w:r w:rsidRPr="00F53403">
        <w:rPr>
          <w:rFonts w:ascii="Verdana" w:hAnsi="Verdana"/>
          <w:spacing w:val="11"/>
          <w:lang w:val="es-MX"/>
        </w:rPr>
        <w:t xml:space="preserve"> </w:t>
      </w:r>
      <w:r w:rsidRPr="00F53403">
        <w:rPr>
          <w:rFonts w:ascii="Verdana" w:hAnsi="Verdana"/>
          <w:lang w:val="es-MX"/>
        </w:rPr>
        <w:t>del 16 de marzo de 2021</w:t>
      </w:r>
      <w:r w:rsidRPr="00F53403">
        <w:rPr>
          <w:rFonts w:ascii="Verdana" w:hAnsi="Verdana"/>
          <w:spacing w:val="15"/>
          <w:lang w:val="es-MX"/>
        </w:rPr>
        <w:t xml:space="preserve">, </w:t>
      </w:r>
      <w:r w:rsidRPr="00F53403">
        <w:rPr>
          <w:rFonts w:ascii="Verdana" w:hAnsi="Verdana"/>
          <w:lang w:val="es-MX"/>
        </w:rPr>
        <w:t>C-173</w:t>
      </w:r>
      <w:r w:rsidRPr="00F53403">
        <w:rPr>
          <w:rFonts w:ascii="Verdana" w:hAnsi="Verdana"/>
          <w:spacing w:val="15"/>
          <w:lang w:val="es-MX"/>
        </w:rPr>
        <w:t xml:space="preserve"> </w:t>
      </w:r>
      <w:r w:rsidRPr="00F53403">
        <w:rPr>
          <w:rFonts w:ascii="Verdana" w:hAnsi="Verdana"/>
          <w:lang w:val="es-MX"/>
        </w:rPr>
        <w:t>del</w:t>
      </w:r>
      <w:r w:rsidRPr="00F53403">
        <w:rPr>
          <w:rFonts w:ascii="Verdana" w:hAnsi="Verdana"/>
          <w:spacing w:val="15"/>
          <w:lang w:val="es-MX"/>
        </w:rPr>
        <w:t xml:space="preserve"> </w:t>
      </w:r>
      <w:r w:rsidRPr="00F53403">
        <w:rPr>
          <w:rFonts w:ascii="Verdana" w:hAnsi="Verdana"/>
          <w:lang w:val="es-MX"/>
        </w:rPr>
        <w:t>19 de abril de 2021,</w:t>
      </w:r>
      <w:r w:rsidRPr="00F53403">
        <w:rPr>
          <w:rFonts w:ascii="Verdana" w:hAnsi="Verdana"/>
          <w:spacing w:val="16"/>
          <w:lang w:val="es-MX"/>
        </w:rPr>
        <w:t xml:space="preserve"> </w:t>
      </w:r>
      <w:r w:rsidRPr="00F53403">
        <w:rPr>
          <w:rFonts w:ascii="Verdana" w:hAnsi="Verdana"/>
          <w:lang w:val="es-MX"/>
        </w:rPr>
        <w:t>C-771</w:t>
      </w:r>
      <w:r w:rsidRPr="00F53403">
        <w:rPr>
          <w:rFonts w:ascii="Verdana" w:hAnsi="Verdana"/>
          <w:spacing w:val="15"/>
          <w:lang w:val="es-MX"/>
        </w:rPr>
        <w:t xml:space="preserve"> </w:t>
      </w:r>
      <w:r w:rsidRPr="00F53403">
        <w:rPr>
          <w:rFonts w:ascii="Verdana" w:hAnsi="Verdana"/>
          <w:lang w:val="es-MX"/>
        </w:rPr>
        <w:t>de</w:t>
      </w:r>
      <w:r w:rsidRPr="00F53403">
        <w:rPr>
          <w:rFonts w:ascii="Verdana" w:hAnsi="Verdana"/>
          <w:spacing w:val="15"/>
          <w:lang w:val="es-MX"/>
        </w:rPr>
        <w:t xml:space="preserve"> </w:t>
      </w:r>
      <w:r w:rsidRPr="00F53403">
        <w:rPr>
          <w:rFonts w:ascii="Verdana" w:hAnsi="Verdana"/>
          <w:lang w:val="es-MX"/>
        </w:rPr>
        <w:t>29</w:t>
      </w:r>
      <w:r w:rsidRPr="00F53403">
        <w:rPr>
          <w:rFonts w:ascii="Verdana" w:hAnsi="Verdana"/>
          <w:spacing w:val="15"/>
          <w:lang w:val="es-MX"/>
        </w:rPr>
        <w:t xml:space="preserve"> </w:t>
      </w:r>
      <w:r w:rsidRPr="00F53403">
        <w:rPr>
          <w:rFonts w:ascii="Verdana" w:hAnsi="Verdana"/>
          <w:lang w:val="es-MX"/>
        </w:rPr>
        <w:t>de</w:t>
      </w:r>
      <w:r w:rsidRPr="00F53403">
        <w:rPr>
          <w:rFonts w:ascii="Verdana" w:hAnsi="Verdana"/>
          <w:spacing w:val="15"/>
          <w:lang w:val="es-MX"/>
        </w:rPr>
        <w:t xml:space="preserve"> </w:t>
      </w:r>
      <w:r w:rsidRPr="00F53403">
        <w:rPr>
          <w:rFonts w:ascii="Verdana" w:hAnsi="Verdana"/>
          <w:lang w:val="es-MX"/>
        </w:rPr>
        <w:t>diciembre</w:t>
      </w:r>
      <w:r w:rsidRPr="00F53403">
        <w:rPr>
          <w:rFonts w:ascii="Verdana" w:hAnsi="Verdana"/>
          <w:spacing w:val="15"/>
          <w:lang w:val="es-MX"/>
        </w:rPr>
        <w:t xml:space="preserve"> </w:t>
      </w:r>
      <w:r w:rsidRPr="00F53403">
        <w:rPr>
          <w:rFonts w:ascii="Verdana" w:hAnsi="Verdana"/>
          <w:lang w:val="es-MX"/>
        </w:rPr>
        <w:t>de</w:t>
      </w:r>
      <w:r w:rsidRPr="00F53403">
        <w:rPr>
          <w:rFonts w:ascii="Verdana" w:hAnsi="Verdana"/>
          <w:spacing w:val="-59"/>
          <w:lang w:val="es-MX"/>
        </w:rPr>
        <w:t xml:space="preserve"> </w:t>
      </w:r>
      <w:r w:rsidRPr="00F53403">
        <w:rPr>
          <w:rFonts w:ascii="Verdana" w:hAnsi="Verdana"/>
          <w:lang w:val="es-MX"/>
        </w:rPr>
        <w:t>2022</w:t>
      </w:r>
      <w:r w:rsidRPr="00F53403">
        <w:rPr>
          <w:rFonts w:ascii="Verdana" w:hAnsi="Verdana" w:cs="Arial"/>
          <w:shd w:val="clear" w:color="auto" w:fill="FFFFFF"/>
          <w:lang w:val="es-ES"/>
        </w:rPr>
        <w:t>, C-046 del 14 de abril de 2023, C-155 del 19 de julio de 2024, entre otros. Estos</w:t>
      </w:r>
      <w:r w:rsidRPr="00F53403">
        <w:rPr>
          <w:rFonts w:ascii="Verdana" w:hAnsi="Verdana"/>
          <w:lang w:val="es-ES"/>
        </w:rPr>
        <w:t xml:space="preserve"> y otros se encuentran disponibles para consulta en el Sistema de relatoría de la Agencia, al cual se puede acceder a través del siguiente enlace:</w:t>
      </w:r>
      <w:r w:rsidRPr="00F53403">
        <w:rPr>
          <w:rFonts w:ascii="Verdana" w:hAnsi="Verdana" w:cs="Arial"/>
          <w:shd w:val="clear" w:color="auto" w:fill="FFFFFF"/>
          <w:lang w:val="es-ES"/>
        </w:rPr>
        <w:t xml:space="preserve"> </w:t>
      </w:r>
      <w:hyperlink r:id="rId12" w:history="1">
        <w:r w:rsidRPr="00AA0625">
          <w:rPr>
            <w:rFonts w:ascii="Verdana" w:hAnsi="Verdana" w:cs="Arial"/>
            <w:color w:val="0000FF"/>
            <w:u w:val="single"/>
            <w:shd w:val="clear" w:color="auto" w:fill="FFFFFF"/>
            <w:lang w:val="es-ES"/>
          </w:rPr>
          <w:t>https://relatoria.colombiacompra.gov.co/busqueda/conceptos</w:t>
        </w:r>
      </w:hyperlink>
    </w:p>
    <w:p w14:paraId="06973CDC" w14:textId="77777777" w:rsidR="00C64862" w:rsidRPr="00F53403" w:rsidRDefault="00C64862" w:rsidP="00C64862">
      <w:pPr>
        <w:spacing w:after="0" w:line="276" w:lineRule="auto"/>
        <w:jc w:val="both"/>
        <w:rPr>
          <w:rFonts w:ascii="Verdana" w:hAnsi="Verdana" w:cs="Arial"/>
          <w:shd w:val="clear" w:color="auto" w:fill="FFFFFF"/>
          <w:lang w:val="es-ES"/>
        </w:rPr>
      </w:pPr>
    </w:p>
    <w:p w14:paraId="730671C6" w14:textId="77777777" w:rsidR="00C64862" w:rsidRPr="00F53403" w:rsidRDefault="00C64862" w:rsidP="00C64862">
      <w:pPr>
        <w:spacing w:after="0" w:line="276" w:lineRule="auto"/>
        <w:jc w:val="both"/>
        <w:rPr>
          <w:rFonts w:ascii="Verdana" w:hAnsi="Verdana" w:cs="Arial"/>
          <w:shd w:val="clear" w:color="auto" w:fill="FFFFFF"/>
        </w:rPr>
      </w:pPr>
      <w:r w:rsidRPr="00F53403">
        <w:rPr>
          <w:rFonts w:ascii="Verdana" w:hAnsi="Verdana" w:cs="Arial"/>
          <w:shd w:val="clear" w:color="auto" w:fill="FFFFFF"/>
        </w:rPr>
        <w:t xml:space="preserve">Por último, lo invitamos a seguirnos en las redes sociales en las cuales se difunde información institucional: </w:t>
      </w:r>
    </w:p>
    <w:p w14:paraId="5947BF6D" w14:textId="77777777" w:rsidR="00C64862" w:rsidRPr="00F53403" w:rsidRDefault="00C64862" w:rsidP="00C64862">
      <w:pPr>
        <w:spacing w:after="0" w:line="276" w:lineRule="auto"/>
        <w:jc w:val="both"/>
        <w:rPr>
          <w:rFonts w:ascii="Verdana" w:hAnsi="Verdana" w:cs="Arial"/>
          <w:shd w:val="clear" w:color="auto" w:fill="FFFFFF"/>
        </w:rPr>
      </w:pPr>
    </w:p>
    <w:p w14:paraId="3087943C" w14:textId="77777777" w:rsidR="00C64862" w:rsidRPr="00F53403" w:rsidRDefault="00C64862" w:rsidP="00C64862">
      <w:pPr>
        <w:spacing w:after="0" w:line="276" w:lineRule="auto"/>
        <w:jc w:val="both"/>
        <w:rPr>
          <w:rFonts w:ascii="Verdana" w:hAnsi="Verdana" w:cs="Arial"/>
          <w:shd w:val="clear" w:color="auto" w:fill="FFFFFF"/>
        </w:rPr>
      </w:pPr>
      <w:r w:rsidRPr="00F53403">
        <w:rPr>
          <w:rFonts w:ascii="Verdana" w:hAnsi="Verdana" w:cs="Arial"/>
          <w:shd w:val="clear" w:color="auto" w:fill="FFFFFF"/>
        </w:rPr>
        <w:t xml:space="preserve">Twitter: </w:t>
      </w:r>
      <w:r w:rsidRPr="00F53403">
        <w:rPr>
          <w:rFonts w:ascii="Verdana" w:hAnsi="Verdana" w:cs="Arial"/>
          <w:u w:val="single"/>
          <w:shd w:val="clear" w:color="auto" w:fill="FFFFFF"/>
        </w:rPr>
        <w:t>@colombiacompra</w:t>
      </w:r>
      <w:r w:rsidRPr="00F53403">
        <w:rPr>
          <w:rFonts w:ascii="Verdana" w:hAnsi="Verdana" w:cs="Arial"/>
          <w:shd w:val="clear" w:color="auto" w:fill="FFFFFF"/>
        </w:rPr>
        <w:t xml:space="preserve"> </w:t>
      </w:r>
    </w:p>
    <w:p w14:paraId="5C4EA141" w14:textId="77777777" w:rsidR="00C64862" w:rsidRPr="00F53403" w:rsidRDefault="00C64862" w:rsidP="00C64862">
      <w:pPr>
        <w:spacing w:after="0" w:line="276" w:lineRule="auto"/>
        <w:jc w:val="both"/>
        <w:rPr>
          <w:rFonts w:ascii="Verdana" w:hAnsi="Verdana" w:cs="Arial"/>
          <w:shd w:val="clear" w:color="auto" w:fill="FFFFFF"/>
        </w:rPr>
      </w:pPr>
      <w:r w:rsidRPr="00F53403">
        <w:rPr>
          <w:rFonts w:ascii="Verdana" w:hAnsi="Verdana" w:cs="Arial"/>
          <w:shd w:val="clear" w:color="auto" w:fill="FFFFFF"/>
        </w:rPr>
        <w:t xml:space="preserve">Facebook: </w:t>
      </w:r>
      <w:proofErr w:type="spellStart"/>
      <w:r w:rsidRPr="00F53403">
        <w:rPr>
          <w:rFonts w:ascii="Verdana" w:hAnsi="Verdana" w:cs="Arial"/>
          <w:u w:val="single"/>
          <w:shd w:val="clear" w:color="auto" w:fill="FFFFFF"/>
        </w:rPr>
        <w:t>ColombiaCompraEficiente</w:t>
      </w:r>
      <w:proofErr w:type="spellEnd"/>
    </w:p>
    <w:p w14:paraId="4F8D2430" w14:textId="77777777" w:rsidR="00C64862" w:rsidRPr="00F53403" w:rsidRDefault="00C64862" w:rsidP="00C64862">
      <w:pPr>
        <w:spacing w:after="0" w:line="276" w:lineRule="auto"/>
        <w:jc w:val="both"/>
        <w:rPr>
          <w:rFonts w:ascii="Verdana" w:hAnsi="Verdana" w:cs="Arial"/>
          <w:shd w:val="clear" w:color="auto" w:fill="FFFFFF"/>
        </w:rPr>
      </w:pPr>
      <w:r w:rsidRPr="00F53403">
        <w:rPr>
          <w:rFonts w:ascii="Verdana" w:hAnsi="Verdana" w:cs="Arial"/>
          <w:shd w:val="clear" w:color="auto" w:fill="FFFFFF"/>
        </w:rPr>
        <w:t xml:space="preserve">LinkedIn: </w:t>
      </w:r>
      <w:r w:rsidRPr="00F53403">
        <w:rPr>
          <w:rFonts w:ascii="Verdana" w:hAnsi="Verdana" w:cs="Arial"/>
          <w:u w:val="single"/>
          <w:shd w:val="clear" w:color="auto" w:fill="FFFFFF"/>
        </w:rPr>
        <w:t>Agencia Nacional de Contratación Pública - Colombia Compra Eficiente</w:t>
      </w:r>
      <w:r w:rsidRPr="00F53403">
        <w:rPr>
          <w:rFonts w:ascii="Verdana" w:hAnsi="Verdana" w:cs="Arial"/>
          <w:shd w:val="clear" w:color="auto" w:fill="FFFFFF"/>
        </w:rPr>
        <w:t xml:space="preserve"> Instagram: </w:t>
      </w:r>
      <w:r w:rsidRPr="00F53403">
        <w:rPr>
          <w:rFonts w:ascii="Verdana" w:hAnsi="Verdana" w:cs="Arial"/>
          <w:u w:val="single"/>
          <w:shd w:val="clear" w:color="auto" w:fill="FFFFFF"/>
        </w:rPr>
        <w:t>@colombiacompraeficiente_cce</w:t>
      </w:r>
    </w:p>
    <w:p w14:paraId="74B21CA7" w14:textId="77777777" w:rsidR="00C64862" w:rsidRPr="00F53403" w:rsidRDefault="00C64862" w:rsidP="00C64862">
      <w:pPr>
        <w:widowControl w:val="0"/>
        <w:autoSpaceDE w:val="0"/>
        <w:autoSpaceDN w:val="0"/>
        <w:spacing w:after="0" w:line="276" w:lineRule="auto"/>
        <w:jc w:val="both"/>
        <w:rPr>
          <w:rFonts w:ascii="Verdana" w:hAnsi="Verdana" w:cs="Arial"/>
          <w:lang w:val="es-ES"/>
        </w:rPr>
      </w:pPr>
    </w:p>
    <w:p w14:paraId="70021CFD" w14:textId="77777777" w:rsidR="00C64862" w:rsidRPr="00F53403" w:rsidRDefault="00C64862" w:rsidP="00C64862">
      <w:pPr>
        <w:widowControl w:val="0"/>
        <w:autoSpaceDE w:val="0"/>
        <w:autoSpaceDN w:val="0"/>
        <w:spacing w:after="0" w:line="276" w:lineRule="auto"/>
        <w:jc w:val="both"/>
        <w:rPr>
          <w:rFonts w:ascii="Verdana" w:hAnsi="Verdana" w:cs="Arial"/>
          <w:lang w:val="es-ES"/>
        </w:rPr>
      </w:pPr>
      <w:r w:rsidRPr="00F53403">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C1F0C86" w14:textId="77777777" w:rsidR="00C64862" w:rsidRPr="00F53403" w:rsidRDefault="00C64862" w:rsidP="00C64862">
      <w:pPr>
        <w:widowControl w:val="0"/>
        <w:autoSpaceDE w:val="0"/>
        <w:autoSpaceDN w:val="0"/>
        <w:spacing w:after="0" w:line="276" w:lineRule="auto"/>
        <w:jc w:val="both"/>
        <w:rPr>
          <w:rFonts w:ascii="Verdana" w:hAnsi="Verdana" w:cs="Arial"/>
          <w:lang w:val="es-ES"/>
        </w:rPr>
      </w:pPr>
    </w:p>
    <w:p w14:paraId="6E3038D5" w14:textId="77777777" w:rsidR="00C64862" w:rsidRPr="00F53403" w:rsidRDefault="00C64862" w:rsidP="00C64862">
      <w:pPr>
        <w:spacing w:after="0" w:line="276" w:lineRule="auto"/>
        <w:rPr>
          <w:rFonts w:ascii="Verdana" w:hAnsi="Verdana" w:cs="Arial"/>
          <w:color w:val="000000" w:themeColor="text1"/>
          <w:lang w:val="es-ES" w:eastAsia="es-CO"/>
        </w:rPr>
      </w:pPr>
      <w:r w:rsidRPr="00F53403">
        <w:rPr>
          <w:rFonts w:ascii="Verdana" w:eastAsia="Times New Roman" w:hAnsi="Verdana" w:cs="Arial"/>
          <w:color w:val="000000" w:themeColor="text1"/>
          <w:lang w:val="es-ES" w:eastAsia="es-CO"/>
        </w:rPr>
        <w:t>Atentamente,</w:t>
      </w:r>
      <w:r w:rsidRPr="00F53403">
        <w:rPr>
          <w:rFonts w:ascii="Verdana" w:hAnsi="Verdana" w:cs="Arial"/>
          <w:color w:val="000000" w:themeColor="text1"/>
          <w:lang w:val="es-ES" w:eastAsia="es-CO"/>
        </w:rPr>
        <w:t xml:space="preserve"> </w:t>
      </w:r>
    </w:p>
    <w:p w14:paraId="4B014082" w14:textId="77777777" w:rsidR="00C64862" w:rsidRDefault="00C64862" w:rsidP="00C64862">
      <w:pPr>
        <w:spacing w:after="0" w:line="276" w:lineRule="auto"/>
        <w:jc w:val="center"/>
        <w:rPr>
          <w:rFonts w:ascii="Century Gothic" w:hAnsi="Century Gothic"/>
          <w:noProof/>
        </w:rPr>
      </w:pPr>
    </w:p>
    <w:p w14:paraId="0A14A242" w14:textId="1C192804" w:rsidR="00C64862" w:rsidRDefault="005A7B67" w:rsidP="00C64862">
      <w:pPr>
        <w:spacing w:after="0" w:line="276" w:lineRule="auto"/>
        <w:jc w:val="center"/>
        <w:rPr>
          <w:rFonts w:ascii="Century Gothic" w:hAnsi="Century Gothic"/>
          <w:noProof/>
          <w:lang w:val="es-ES"/>
        </w:rPr>
      </w:pPr>
      <w:r w:rsidRPr="002C3AD6">
        <w:rPr>
          <w:rFonts w:ascii="Century Gothic" w:hAnsi="Century Gothic"/>
          <w:noProof/>
        </w:rPr>
        <w:lastRenderedPageBreak/>
        <w:drawing>
          <wp:inline distT="0" distB="0" distL="0" distR="0" wp14:anchorId="0C20E9B0" wp14:editId="65B1BC4F">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p w14:paraId="54A16816" w14:textId="77777777" w:rsidR="00C64862" w:rsidRPr="00F53403" w:rsidRDefault="00C64862" w:rsidP="00C64862">
      <w:pPr>
        <w:spacing w:after="0" w:line="276" w:lineRule="auto"/>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64862" w:rsidRPr="0045322C" w14:paraId="38BE7147" w14:textId="77777777" w:rsidTr="00906C2E">
        <w:trPr>
          <w:trHeight w:val="315"/>
        </w:trPr>
        <w:tc>
          <w:tcPr>
            <w:tcW w:w="893" w:type="dxa"/>
            <w:vAlign w:val="center"/>
            <w:hideMark/>
          </w:tcPr>
          <w:p w14:paraId="4F22F0FA" w14:textId="77777777" w:rsidR="00C64862" w:rsidRPr="00F53403" w:rsidRDefault="00C64862" w:rsidP="00906C2E">
            <w:pPr>
              <w:spacing w:after="160" w:line="259" w:lineRule="auto"/>
              <w:contextualSpacing/>
              <w:rPr>
                <w:rFonts w:ascii="Verdana" w:hAnsi="Verdana" w:cs="Arial"/>
                <w:sz w:val="16"/>
                <w:szCs w:val="16"/>
                <w:lang w:val="es-ES" w:eastAsia="es-ES"/>
              </w:rPr>
            </w:pPr>
            <w:r w:rsidRPr="00F5340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A83909F" w14:textId="77777777" w:rsidR="00C64862" w:rsidRPr="00F53403" w:rsidRDefault="00C64862" w:rsidP="00906C2E">
            <w:pPr>
              <w:spacing w:after="160" w:line="259" w:lineRule="auto"/>
              <w:contextualSpacing/>
              <w:rPr>
                <w:rFonts w:ascii="Verdana" w:eastAsia="Arial" w:hAnsi="Verdana" w:cs="Arial"/>
                <w:color w:val="000000" w:themeColor="text1"/>
                <w:sz w:val="16"/>
                <w:szCs w:val="16"/>
                <w:lang w:val="es-ES"/>
              </w:rPr>
            </w:pPr>
            <w:r>
              <w:rPr>
                <w:rFonts w:ascii="Verdana" w:eastAsia="Arial" w:hAnsi="Verdana" w:cs="Arial"/>
                <w:color w:val="000000" w:themeColor="text1"/>
                <w:sz w:val="16"/>
                <w:szCs w:val="16"/>
                <w:lang w:val="es-ES"/>
              </w:rPr>
              <w:t>Diana Carolina Blanco Rodriguez</w:t>
            </w:r>
          </w:p>
          <w:p w14:paraId="744FE984" w14:textId="77777777" w:rsidR="00C64862" w:rsidRPr="00F53403" w:rsidRDefault="00C64862" w:rsidP="00906C2E">
            <w:pPr>
              <w:spacing w:after="160" w:line="259" w:lineRule="auto"/>
              <w:contextualSpacing/>
              <w:rPr>
                <w:rFonts w:ascii="Verdana" w:eastAsia="Arial" w:hAnsi="Verdana" w:cs="Arial"/>
                <w:sz w:val="16"/>
                <w:szCs w:val="16"/>
                <w:lang w:val="es-ES"/>
              </w:rPr>
            </w:pPr>
            <w:r>
              <w:rPr>
                <w:rFonts w:ascii="Verdana" w:hAnsi="Verdana" w:cs="Arial"/>
                <w:sz w:val="16"/>
                <w:szCs w:val="16"/>
                <w:lang w:val="es-ES"/>
              </w:rPr>
              <w:t>Contratista</w:t>
            </w:r>
            <w:r w:rsidRPr="00F53403">
              <w:rPr>
                <w:rFonts w:ascii="Verdana" w:hAnsi="Verdana" w:cs="Arial"/>
                <w:sz w:val="16"/>
                <w:szCs w:val="16"/>
                <w:lang w:val="es-ES"/>
              </w:rPr>
              <w:t xml:space="preserve"> </w:t>
            </w:r>
            <w:r w:rsidRPr="00F53403">
              <w:rPr>
                <w:rFonts w:ascii="Verdana" w:eastAsia="Arial" w:hAnsi="Verdana" w:cs="Arial"/>
                <w:color w:val="000000" w:themeColor="text1"/>
                <w:sz w:val="16"/>
                <w:szCs w:val="16"/>
                <w:lang w:val="es-ES"/>
              </w:rPr>
              <w:t xml:space="preserve">de la Subdirección </w:t>
            </w:r>
            <w:r w:rsidRPr="00F53403">
              <w:rPr>
                <w:rFonts w:ascii="Verdana" w:eastAsia="Arial" w:hAnsi="Verdana" w:cs="Arial"/>
                <w:sz w:val="16"/>
                <w:szCs w:val="16"/>
                <w:lang w:val="es-ES"/>
              </w:rPr>
              <w:t>de Gestión Contractual</w:t>
            </w:r>
          </w:p>
        </w:tc>
      </w:tr>
      <w:tr w:rsidR="00C64862" w:rsidRPr="00F53403" w14:paraId="7DE329CB" w14:textId="77777777" w:rsidTr="00906C2E">
        <w:trPr>
          <w:trHeight w:val="330"/>
        </w:trPr>
        <w:tc>
          <w:tcPr>
            <w:tcW w:w="893" w:type="dxa"/>
            <w:vAlign w:val="center"/>
            <w:hideMark/>
          </w:tcPr>
          <w:p w14:paraId="7D0C823D" w14:textId="77777777" w:rsidR="00C64862" w:rsidRPr="00F53403" w:rsidRDefault="00C64862" w:rsidP="00906C2E">
            <w:pPr>
              <w:spacing w:after="160" w:line="259" w:lineRule="auto"/>
              <w:contextualSpacing/>
              <w:rPr>
                <w:rFonts w:ascii="Verdana" w:hAnsi="Verdana" w:cs="Arial"/>
                <w:sz w:val="16"/>
                <w:szCs w:val="16"/>
                <w:lang w:val="es-ES" w:eastAsia="es-ES"/>
              </w:rPr>
            </w:pPr>
            <w:r w:rsidRPr="00F5340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3ED4902" w14:textId="77777777" w:rsidR="00C64862" w:rsidRPr="00F53403" w:rsidRDefault="00C64862" w:rsidP="00906C2E">
            <w:pPr>
              <w:spacing w:after="160" w:line="276" w:lineRule="auto"/>
              <w:contextualSpacing/>
              <w:textAlignment w:val="baseline"/>
              <w:rPr>
                <w:rFonts w:ascii="Verdana" w:eastAsia="Times New Roman" w:hAnsi="Verdana" w:cs="Arial"/>
                <w:sz w:val="16"/>
                <w:szCs w:val="16"/>
                <w:lang w:val="es-ES" w:eastAsia="es-ES_tradnl"/>
              </w:rPr>
            </w:pPr>
            <w:r w:rsidRPr="00F53403">
              <w:rPr>
                <w:rFonts w:ascii="Verdana" w:eastAsia="Times New Roman" w:hAnsi="Verdana" w:cs="Arial"/>
                <w:sz w:val="16"/>
                <w:szCs w:val="16"/>
                <w:lang w:val="es-ES" w:eastAsia="es-ES_tradnl"/>
              </w:rPr>
              <w:t>Diana Saavedra</w:t>
            </w:r>
            <w:r>
              <w:rPr>
                <w:rFonts w:ascii="Verdana" w:eastAsia="Times New Roman" w:hAnsi="Verdana" w:cs="Arial"/>
                <w:sz w:val="16"/>
                <w:szCs w:val="16"/>
                <w:lang w:val="es-ES" w:eastAsia="es-ES_tradnl"/>
              </w:rPr>
              <w:t xml:space="preserve"> Castañeda</w:t>
            </w:r>
          </w:p>
          <w:p w14:paraId="2116AC78" w14:textId="77777777" w:rsidR="00C64862" w:rsidRPr="00F53403" w:rsidRDefault="00C64862" w:rsidP="00906C2E">
            <w:pPr>
              <w:contextualSpacing/>
              <w:textAlignment w:val="baseline"/>
              <w:rPr>
                <w:rFonts w:ascii="Verdana" w:eastAsia="Times New Roman" w:hAnsi="Verdana" w:cs="Segoe UI"/>
                <w:sz w:val="16"/>
                <w:szCs w:val="16"/>
                <w:lang w:val="es-ES" w:eastAsia="es-CO"/>
              </w:rPr>
            </w:pPr>
            <w:r w:rsidRPr="00F53403">
              <w:rPr>
                <w:rFonts w:ascii="Verdana" w:eastAsia="Times New Roman" w:hAnsi="Verdana" w:cs="Arial"/>
                <w:sz w:val="16"/>
                <w:szCs w:val="16"/>
                <w:lang w:val="es-ES" w:eastAsia="es-CO"/>
              </w:rPr>
              <w:t>Contratista de la Subdirección de Gestión Contractual </w:t>
            </w:r>
          </w:p>
        </w:tc>
      </w:tr>
      <w:tr w:rsidR="00C64862" w:rsidRPr="00F53403" w14:paraId="4909EB76" w14:textId="77777777" w:rsidTr="00906C2E">
        <w:trPr>
          <w:trHeight w:val="300"/>
        </w:trPr>
        <w:tc>
          <w:tcPr>
            <w:tcW w:w="893" w:type="dxa"/>
            <w:vAlign w:val="center"/>
          </w:tcPr>
          <w:p w14:paraId="0EC7456A" w14:textId="77777777" w:rsidR="00C64862" w:rsidRDefault="00C64862" w:rsidP="00906C2E">
            <w:pPr>
              <w:spacing w:after="160" w:line="259" w:lineRule="auto"/>
              <w:contextualSpacing/>
              <w:rPr>
                <w:rFonts w:ascii="Verdana" w:hAnsi="Verdana" w:cs="Arial"/>
                <w:sz w:val="16"/>
                <w:szCs w:val="16"/>
                <w:lang w:val="es-ES" w:eastAsia="es-ES"/>
              </w:rPr>
            </w:pPr>
            <w:r w:rsidRPr="00F53403">
              <w:rPr>
                <w:rFonts w:ascii="Verdana" w:hAnsi="Verdana" w:cs="Arial"/>
                <w:sz w:val="16"/>
                <w:szCs w:val="16"/>
                <w:lang w:val="es-ES" w:eastAsia="es-ES"/>
              </w:rPr>
              <w:t>Aprobó:</w:t>
            </w:r>
          </w:p>
          <w:p w14:paraId="0DBE9FF2" w14:textId="77777777" w:rsidR="00C64862" w:rsidRPr="00F53403" w:rsidRDefault="00C64862" w:rsidP="00906C2E">
            <w:pPr>
              <w:spacing w:after="160" w:line="259" w:lineRule="auto"/>
              <w:contextualSpacing/>
              <w:rPr>
                <w:rFonts w:ascii="Verdana" w:hAnsi="Verdana" w:cs="Arial"/>
                <w:sz w:val="16"/>
                <w:szCs w:val="16"/>
                <w:lang w:val="es-ES" w:eastAsia="es-ES"/>
              </w:rPr>
            </w:pPr>
          </w:p>
        </w:tc>
        <w:tc>
          <w:tcPr>
            <w:tcW w:w="5628" w:type="dxa"/>
            <w:tcBorders>
              <w:top w:val="dotted" w:sz="4" w:space="0" w:color="7F7F7F" w:themeColor="text1" w:themeTint="80"/>
              <w:left w:val="nil"/>
              <w:bottom w:val="dotted" w:sz="4" w:space="0" w:color="7F7F7F" w:themeColor="text1" w:themeTint="80"/>
              <w:right w:val="nil"/>
            </w:tcBorders>
            <w:vAlign w:val="center"/>
          </w:tcPr>
          <w:p w14:paraId="650AAF60" w14:textId="77777777" w:rsidR="00C64862" w:rsidRPr="00F53403" w:rsidRDefault="00C64862" w:rsidP="00906C2E">
            <w:pPr>
              <w:spacing w:after="160" w:line="259" w:lineRule="auto"/>
              <w:contextualSpacing/>
              <w:rPr>
                <w:rFonts w:ascii="Verdana" w:eastAsia="Calibri" w:hAnsi="Verdana" w:cs="Arial"/>
                <w:sz w:val="16"/>
                <w:szCs w:val="16"/>
                <w:lang w:val="es-ES" w:eastAsia="es-ES"/>
              </w:rPr>
            </w:pPr>
            <w:r w:rsidRPr="00F53403">
              <w:rPr>
                <w:rFonts w:ascii="Verdana" w:eastAsia="Calibri" w:hAnsi="Verdana" w:cs="Arial"/>
                <w:sz w:val="16"/>
                <w:szCs w:val="16"/>
                <w:lang w:val="es-ES" w:eastAsia="es-ES"/>
              </w:rPr>
              <w:t xml:space="preserve">Carolina Quintero </w:t>
            </w:r>
            <w:proofErr w:type="spellStart"/>
            <w:r w:rsidRPr="00F53403">
              <w:rPr>
                <w:rFonts w:ascii="Verdana" w:eastAsia="Calibri" w:hAnsi="Verdana" w:cs="Arial"/>
                <w:sz w:val="16"/>
                <w:szCs w:val="16"/>
                <w:lang w:val="es-ES" w:eastAsia="es-ES"/>
              </w:rPr>
              <w:t>Gacharná</w:t>
            </w:r>
            <w:proofErr w:type="spellEnd"/>
          </w:p>
          <w:p w14:paraId="65F6D302" w14:textId="77777777" w:rsidR="00C64862" w:rsidRPr="00F53403" w:rsidRDefault="00C64862" w:rsidP="00906C2E">
            <w:pPr>
              <w:spacing w:after="160" w:line="259" w:lineRule="auto"/>
              <w:contextualSpacing/>
              <w:rPr>
                <w:rFonts w:ascii="Verdana" w:eastAsia="Calibri" w:hAnsi="Verdana" w:cs="Arial"/>
                <w:sz w:val="16"/>
                <w:szCs w:val="16"/>
                <w:lang w:val="es-ES" w:eastAsia="es-ES"/>
              </w:rPr>
            </w:pPr>
            <w:r w:rsidRPr="00F53403">
              <w:rPr>
                <w:rFonts w:ascii="Verdana" w:eastAsia="Calibri" w:hAnsi="Verdana" w:cs="Arial"/>
                <w:sz w:val="16"/>
                <w:szCs w:val="16"/>
                <w:lang w:val="es-ES" w:eastAsia="es-ES"/>
              </w:rPr>
              <w:t>Subdirectora de Gestión Contractual ANCP – CCE</w:t>
            </w:r>
          </w:p>
        </w:tc>
      </w:tr>
    </w:tbl>
    <w:p w14:paraId="1C9AF1C0" w14:textId="77777777" w:rsidR="00C64862" w:rsidRPr="0045322C" w:rsidRDefault="00C64862" w:rsidP="00C64862">
      <w:pPr>
        <w:spacing w:after="0" w:line="276" w:lineRule="auto"/>
        <w:ind w:left="142"/>
        <w:rPr>
          <w:rFonts w:ascii="Verdana" w:eastAsia="Arial" w:hAnsi="Verdana" w:cs="Arial"/>
          <w:sz w:val="16"/>
          <w:szCs w:val="16"/>
          <w:lang w:val="es-ES"/>
        </w:rPr>
      </w:pPr>
      <w:r w:rsidRPr="0045322C">
        <w:rPr>
          <w:rFonts w:ascii="Verdana" w:eastAsia="Arial" w:hAnsi="Verdana" w:cs="Arial"/>
          <w:sz w:val="16"/>
          <w:szCs w:val="16"/>
          <w:lang w:val="es-ES"/>
        </w:rPr>
        <w:t>Anexo:</w:t>
      </w:r>
      <w:r>
        <w:rPr>
          <w:rFonts w:ascii="Verdana" w:eastAsia="Arial" w:hAnsi="Verdana" w:cs="Arial"/>
          <w:sz w:val="16"/>
          <w:szCs w:val="16"/>
          <w:lang w:val="es-ES"/>
        </w:rPr>
        <w:t xml:space="preserve">    </w:t>
      </w:r>
      <w:r w:rsidRPr="0045322C">
        <w:rPr>
          <w:rFonts w:ascii="Verdana" w:eastAsia="Arial" w:hAnsi="Verdana" w:cs="Arial"/>
          <w:sz w:val="16"/>
          <w:szCs w:val="16"/>
          <w:lang w:val="es-ES"/>
        </w:rPr>
        <w:t xml:space="preserve"> Respuesta Subdirección de información y Desarrollo Tecnológico </w:t>
      </w:r>
    </w:p>
    <w:bookmarkEnd w:id="0"/>
    <w:p w14:paraId="58845AB4" w14:textId="77777777" w:rsidR="00C64862" w:rsidRPr="0024624F" w:rsidRDefault="00C64862" w:rsidP="00C15139">
      <w:pPr>
        <w:spacing w:after="0"/>
        <w:rPr>
          <w:rFonts w:ascii="Verdana" w:hAnsi="Verdana"/>
        </w:rPr>
      </w:pPr>
    </w:p>
    <w:sectPr w:rsidR="00C64862" w:rsidRPr="0024624F"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EC03A6" w14:textId="77777777" w:rsidR="007C41BF" w:rsidRDefault="007C41BF" w:rsidP="004A1847">
      <w:pPr>
        <w:spacing w:after="0" w:line="240" w:lineRule="auto"/>
      </w:pPr>
      <w:r>
        <w:separator/>
      </w:r>
    </w:p>
  </w:endnote>
  <w:endnote w:type="continuationSeparator" w:id="0">
    <w:p w14:paraId="07C062F3" w14:textId="77777777" w:rsidR="007C41BF" w:rsidRDefault="007C41B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1F783F" w14:textId="77777777" w:rsidR="007C41BF" w:rsidRDefault="007C41BF" w:rsidP="004A1847">
      <w:pPr>
        <w:spacing w:after="0" w:line="240" w:lineRule="auto"/>
      </w:pPr>
      <w:r>
        <w:separator/>
      </w:r>
    </w:p>
  </w:footnote>
  <w:footnote w:type="continuationSeparator" w:id="0">
    <w:p w14:paraId="5EEAAC08" w14:textId="77777777" w:rsidR="007C41BF" w:rsidRDefault="007C41BF" w:rsidP="004A1847">
      <w:pPr>
        <w:spacing w:after="0" w:line="240" w:lineRule="auto"/>
      </w:pPr>
      <w:r>
        <w:continuationSeparator/>
      </w:r>
    </w:p>
  </w:footnote>
  <w:footnote w:id="1">
    <w:p w14:paraId="1A5A2562" w14:textId="77777777" w:rsidR="00C64862" w:rsidRPr="00D42F08" w:rsidRDefault="00C64862" w:rsidP="00C64862">
      <w:pPr>
        <w:spacing w:after="0" w:line="240" w:lineRule="auto"/>
        <w:ind w:firstLine="709"/>
        <w:contextualSpacing/>
        <w:jc w:val="both"/>
        <w:rPr>
          <w:rFonts w:ascii="Verdana" w:hAnsi="Verdana" w:cs="Arial"/>
          <w:color w:val="000000" w:themeColor="text1"/>
          <w:sz w:val="16"/>
          <w:szCs w:val="16"/>
        </w:rPr>
      </w:pPr>
      <w:r w:rsidRPr="00D42F08">
        <w:rPr>
          <w:rStyle w:val="Refdenotaalpie"/>
          <w:rFonts w:ascii="Verdana" w:hAnsi="Verdana" w:cs="Arial"/>
          <w:color w:val="000000" w:themeColor="text1"/>
          <w:sz w:val="16"/>
          <w:szCs w:val="16"/>
        </w:rPr>
        <w:footnoteRef/>
      </w:r>
      <w:r w:rsidRPr="00D42F08">
        <w:rPr>
          <w:rFonts w:ascii="Verdana" w:hAnsi="Verdana" w:cs="Arial"/>
          <w:color w:val="000000" w:themeColor="text1"/>
          <w:sz w:val="16"/>
          <w:szCs w:val="16"/>
        </w:rPr>
        <w:t xml:space="preserve"> Decreto 1082 de 2015: “Artículo 2.2.1.2.1.4.4. Convenios o contratos interadministrativos. La modalidad de selección para la contratación entre Entidades Estatales es la contratación directa; </w:t>
      </w:r>
      <w:proofErr w:type="gramStart"/>
      <w:r w:rsidRPr="00D42F08">
        <w:rPr>
          <w:rFonts w:ascii="Verdana" w:hAnsi="Verdana" w:cs="Arial"/>
          <w:color w:val="000000" w:themeColor="text1"/>
          <w:sz w:val="16"/>
          <w:szCs w:val="16"/>
        </w:rPr>
        <w:t>y</w:t>
      </w:r>
      <w:proofErr w:type="gramEnd"/>
      <w:r w:rsidRPr="00D42F08">
        <w:rPr>
          <w:rFonts w:ascii="Verdana" w:hAnsi="Verdana" w:cs="Arial"/>
          <w:color w:val="000000" w:themeColor="text1"/>
          <w:sz w:val="16"/>
          <w:szCs w:val="16"/>
        </w:rPr>
        <w:t xml:space="preserve"> en consecuencia, le es aplicable lo establecido en el artículo 2.2.1.2.1.4.1 del presente decreto.</w:t>
      </w:r>
    </w:p>
    <w:p w14:paraId="0F58E7C9" w14:textId="77777777" w:rsidR="00C64862" w:rsidRPr="00D42F08" w:rsidRDefault="00C64862" w:rsidP="00C64862">
      <w:pPr>
        <w:spacing w:after="0" w:line="240" w:lineRule="auto"/>
        <w:ind w:firstLine="709"/>
        <w:contextualSpacing/>
        <w:jc w:val="both"/>
        <w:rPr>
          <w:rFonts w:ascii="Verdana" w:hAnsi="Verdana" w:cs="Arial"/>
          <w:color w:val="000000" w:themeColor="text1"/>
          <w:sz w:val="16"/>
          <w:szCs w:val="16"/>
        </w:rPr>
      </w:pPr>
      <w:r w:rsidRPr="00D42F08">
        <w:rPr>
          <w:rFonts w:ascii="Verdana" w:hAnsi="Verdana" w:cs="Arial"/>
          <w:color w:val="000000" w:themeColor="text1"/>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D42F08">
        <w:rPr>
          <w:rFonts w:ascii="Verdana" w:hAnsi="Verdana" w:cs="Arial"/>
          <w:color w:val="000000" w:themeColor="text1"/>
          <w:spacing w:val="-1"/>
          <w:sz w:val="16"/>
          <w:szCs w:val="16"/>
        </w:rPr>
        <w:t xml:space="preserve"> </w:t>
      </w:r>
      <w:r w:rsidRPr="00D42F08">
        <w:rPr>
          <w:rFonts w:ascii="Verdana" w:hAnsi="Verdana" w:cs="Arial"/>
          <w:color w:val="000000" w:themeColor="text1"/>
          <w:sz w:val="16"/>
          <w:szCs w:val="16"/>
        </w:rPr>
        <w:t>Estatales”.</w:t>
      </w:r>
    </w:p>
    <w:p w14:paraId="60C0D2EC" w14:textId="77777777" w:rsidR="00C64862" w:rsidRPr="00D42F08" w:rsidRDefault="00C64862" w:rsidP="00C64862">
      <w:pPr>
        <w:spacing w:after="0" w:line="240" w:lineRule="auto"/>
        <w:ind w:firstLine="709"/>
        <w:contextualSpacing/>
        <w:jc w:val="both"/>
        <w:rPr>
          <w:rFonts w:ascii="Verdana" w:hAnsi="Verdana" w:cs="Arial"/>
          <w:color w:val="000000" w:themeColor="text1"/>
          <w:sz w:val="16"/>
          <w:szCs w:val="16"/>
        </w:rPr>
      </w:pPr>
    </w:p>
  </w:footnote>
  <w:footnote w:id="2">
    <w:p w14:paraId="60689DD2" w14:textId="77777777" w:rsidR="00C64862" w:rsidRPr="00D42F08" w:rsidRDefault="00C64862" w:rsidP="00C64862">
      <w:pPr>
        <w:pStyle w:val="Textonotapie"/>
        <w:ind w:firstLine="708"/>
        <w:jc w:val="both"/>
        <w:rPr>
          <w:rFonts w:ascii="Verdana" w:hAnsi="Verdana"/>
          <w:sz w:val="16"/>
          <w:szCs w:val="16"/>
        </w:rPr>
      </w:pPr>
      <w:r w:rsidRPr="00D42F08">
        <w:rPr>
          <w:rStyle w:val="Refdenotaalpie"/>
          <w:rFonts w:ascii="Verdana" w:hAnsi="Verdana"/>
          <w:sz w:val="16"/>
          <w:szCs w:val="16"/>
        </w:rPr>
        <w:footnoteRef/>
      </w:r>
      <w:r w:rsidRPr="00D42F08">
        <w:rPr>
          <w:rFonts w:ascii="Verdana" w:hAnsi="Verdana"/>
          <w:sz w:val="16"/>
          <w:szCs w:val="16"/>
        </w:rPr>
        <w:t xml:space="preserve"> Consejo de Estado. Sección Tercera. Sentencia del 23 de junio de 2010. Radicación No. 66001-23-31-000-1998-00261-</w:t>
      </w:r>
      <w:r w:rsidRPr="00D42F08">
        <w:rPr>
          <w:rFonts w:ascii="Verdana" w:hAnsi="Verdana"/>
          <w:spacing w:val="1"/>
          <w:sz w:val="16"/>
          <w:szCs w:val="16"/>
        </w:rPr>
        <w:t xml:space="preserve"> </w:t>
      </w:r>
      <w:r w:rsidRPr="00D42F08">
        <w:rPr>
          <w:rFonts w:ascii="Verdana" w:hAnsi="Verdana"/>
          <w:sz w:val="16"/>
          <w:szCs w:val="16"/>
        </w:rPr>
        <w:t>01(17.860).</w:t>
      </w:r>
      <w:r w:rsidRPr="00D42F08">
        <w:rPr>
          <w:rFonts w:ascii="Verdana" w:hAnsi="Verdana"/>
          <w:spacing w:val="-2"/>
          <w:sz w:val="16"/>
          <w:szCs w:val="16"/>
        </w:rPr>
        <w:t xml:space="preserve"> </w:t>
      </w:r>
      <w:r w:rsidRPr="00D42F08">
        <w:rPr>
          <w:rFonts w:ascii="Verdana" w:hAnsi="Verdana"/>
          <w:sz w:val="16"/>
          <w:szCs w:val="16"/>
        </w:rPr>
        <w:t>Consejero</w:t>
      </w:r>
      <w:r w:rsidRPr="00D42F08">
        <w:rPr>
          <w:rFonts w:ascii="Verdana" w:hAnsi="Verdana"/>
          <w:spacing w:val="-1"/>
          <w:sz w:val="16"/>
          <w:szCs w:val="16"/>
        </w:rPr>
        <w:t xml:space="preserve"> </w:t>
      </w:r>
      <w:r w:rsidRPr="00D42F08">
        <w:rPr>
          <w:rFonts w:ascii="Verdana" w:hAnsi="Verdana"/>
          <w:sz w:val="16"/>
          <w:szCs w:val="16"/>
        </w:rPr>
        <w:t>Ponente:</w:t>
      </w:r>
      <w:r w:rsidRPr="00D42F08">
        <w:rPr>
          <w:rFonts w:ascii="Verdana" w:hAnsi="Verdana"/>
          <w:spacing w:val="-1"/>
          <w:sz w:val="16"/>
          <w:szCs w:val="16"/>
        </w:rPr>
        <w:t xml:space="preserve"> </w:t>
      </w:r>
      <w:r w:rsidRPr="00D42F08">
        <w:rPr>
          <w:rFonts w:ascii="Verdana" w:hAnsi="Verdana"/>
          <w:sz w:val="16"/>
          <w:szCs w:val="16"/>
        </w:rPr>
        <w:t>Mauricio</w:t>
      </w:r>
      <w:r w:rsidRPr="00D42F08">
        <w:rPr>
          <w:rFonts w:ascii="Verdana" w:hAnsi="Verdana"/>
          <w:spacing w:val="-2"/>
          <w:sz w:val="16"/>
          <w:szCs w:val="16"/>
        </w:rPr>
        <w:t xml:space="preserve"> </w:t>
      </w:r>
      <w:r w:rsidRPr="00D42F08">
        <w:rPr>
          <w:rFonts w:ascii="Verdana" w:hAnsi="Verdana"/>
          <w:sz w:val="16"/>
          <w:szCs w:val="16"/>
        </w:rPr>
        <w:t>Fajardo</w:t>
      </w:r>
      <w:r w:rsidRPr="00D42F08">
        <w:rPr>
          <w:rFonts w:ascii="Verdana" w:hAnsi="Verdana"/>
          <w:spacing w:val="-1"/>
          <w:sz w:val="16"/>
          <w:szCs w:val="16"/>
        </w:rPr>
        <w:t xml:space="preserve"> </w:t>
      </w:r>
      <w:r w:rsidRPr="00D42F08">
        <w:rPr>
          <w:rFonts w:ascii="Verdana" w:hAnsi="Verdana"/>
          <w:sz w:val="16"/>
          <w:szCs w:val="16"/>
        </w:rPr>
        <w:t>Gómez.</w:t>
      </w:r>
    </w:p>
    <w:p w14:paraId="287B6552" w14:textId="77777777" w:rsidR="00C64862" w:rsidRPr="00D42F08" w:rsidRDefault="00C64862" w:rsidP="00C64862">
      <w:pPr>
        <w:pStyle w:val="Textonotapie"/>
        <w:jc w:val="both"/>
        <w:rPr>
          <w:rFonts w:ascii="Verdana" w:hAnsi="Verdana"/>
          <w:sz w:val="16"/>
          <w:szCs w:val="16"/>
          <w:lang w:val="es-ES"/>
        </w:rPr>
      </w:pPr>
    </w:p>
  </w:footnote>
  <w:footnote w:id="3">
    <w:p w14:paraId="20EAC113" w14:textId="77777777" w:rsidR="00C64862" w:rsidRPr="00D42F08" w:rsidRDefault="00C64862" w:rsidP="00C64862">
      <w:pPr>
        <w:spacing w:after="0" w:line="240" w:lineRule="auto"/>
        <w:ind w:firstLine="709"/>
        <w:contextualSpacing/>
        <w:jc w:val="both"/>
        <w:rPr>
          <w:rFonts w:ascii="Verdana" w:hAnsi="Verdana" w:cs="Arial"/>
          <w:color w:val="000000" w:themeColor="text1"/>
          <w:sz w:val="16"/>
          <w:szCs w:val="16"/>
        </w:rPr>
      </w:pPr>
      <w:r w:rsidRPr="00D42F08">
        <w:rPr>
          <w:rStyle w:val="Refdenotaalpie"/>
          <w:rFonts w:ascii="Verdana" w:hAnsi="Verdana" w:cs="Arial"/>
          <w:color w:val="000000" w:themeColor="text1"/>
          <w:sz w:val="16"/>
          <w:szCs w:val="16"/>
        </w:rPr>
        <w:footnoteRef/>
      </w:r>
      <w:r w:rsidRPr="00D42F08">
        <w:rPr>
          <w:rFonts w:ascii="Verdana" w:hAnsi="Verdana" w:cs="Arial"/>
          <w:color w:val="000000" w:themeColor="text1"/>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D42F08">
        <w:rPr>
          <w:rFonts w:ascii="Verdana" w:hAnsi="Verdana" w:cs="Arial"/>
          <w:color w:val="000000" w:themeColor="text1"/>
          <w:spacing w:val="-6"/>
          <w:sz w:val="16"/>
          <w:szCs w:val="16"/>
        </w:rPr>
        <w:t xml:space="preserve"> </w:t>
      </w:r>
      <w:r w:rsidRPr="00D42F08">
        <w:rPr>
          <w:rFonts w:ascii="Verdana" w:hAnsi="Verdana" w:cs="Arial"/>
          <w:color w:val="000000" w:themeColor="text1"/>
          <w:sz w:val="16"/>
          <w:szCs w:val="16"/>
        </w:rPr>
        <w:t>artículo”.</w:t>
      </w:r>
    </w:p>
    <w:p w14:paraId="68FDB7E9" w14:textId="77777777" w:rsidR="00C64862" w:rsidRPr="00D42F08" w:rsidRDefault="00C64862" w:rsidP="00C64862">
      <w:pPr>
        <w:spacing w:after="0" w:line="240" w:lineRule="auto"/>
        <w:ind w:firstLine="709"/>
        <w:contextualSpacing/>
        <w:jc w:val="both"/>
        <w:rPr>
          <w:rFonts w:ascii="Verdana" w:hAnsi="Verdana" w:cs="Arial"/>
          <w:color w:val="000000" w:themeColor="text1"/>
          <w:sz w:val="16"/>
          <w:szCs w:val="16"/>
        </w:rPr>
      </w:pPr>
    </w:p>
  </w:footnote>
  <w:footnote w:id="4">
    <w:p w14:paraId="688566D2" w14:textId="77777777" w:rsidR="00C64862" w:rsidRPr="00D42F08" w:rsidRDefault="00C64862" w:rsidP="00C64862">
      <w:pPr>
        <w:pStyle w:val="Textonotapie"/>
        <w:ind w:firstLine="708"/>
        <w:jc w:val="both"/>
        <w:rPr>
          <w:rFonts w:ascii="Verdana" w:hAnsi="Verdana"/>
          <w:sz w:val="16"/>
          <w:szCs w:val="16"/>
          <w:lang w:val="es-ES"/>
        </w:rPr>
      </w:pPr>
      <w:r w:rsidRPr="00D42F08">
        <w:rPr>
          <w:rStyle w:val="Refdenotaalpie"/>
          <w:rFonts w:ascii="Verdana" w:hAnsi="Verdana"/>
          <w:sz w:val="16"/>
          <w:szCs w:val="16"/>
        </w:rPr>
        <w:footnoteRef/>
      </w:r>
      <w:r w:rsidRPr="00D42F08">
        <w:rPr>
          <w:rFonts w:ascii="Verdana" w:hAnsi="Verdana"/>
          <w:sz w:val="16"/>
          <w:szCs w:val="16"/>
        </w:rPr>
        <w:t xml:space="preserve"> Agencia Nacional de Contratación Pública–Colombia Compra Eficiente–. Concepto C-762 del 6 de enero de 2021.</w:t>
      </w:r>
      <w:r w:rsidRPr="00D42F08">
        <w:rPr>
          <w:rFonts w:ascii="Verdana" w:hAnsi="Verdana"/>
          <w:spacing w:val="1"/>
          <w:sz w:val="16"/>
          <w:szCs w:val="16"/>
        </w:rPr>
        <w:t xml:space="preserve"> </w:t>
      </w:r>
      <w:r w:rsidRPr="00D42F08">
        <w:rPr>
          <w:rFonts w:ascii="Verdana" w:hAnsi="Verdana"/>
          <w:sz w:val="16"/>
          <w:szCs w:val="16"/>
        </w:rPr>
        <w:t>Radicado</w:t>
      </w:r>
      <w:r w:rsidRPr="00D42F08">
        <w:rPr>
          <w:rFonts w:ascii="Verdana" w:hAnsi="Verdana"/>
          <w:spacing w:val="-2"/>
          <w:sz w:val="16"/>
          <w:szCs w:val="16"/>
        </w:rPr>
        <w:t xml:space="preserve"> </w:t>
      </w:r>
      <w:r w:rsidRPr="00D42F08">
        <w:rPr>
          <w:rFonts w:ascii="Verdana" w:hAnsi="Verdana"/>
          <w:sz w:val="16"/>
          <w:szCs w:val="16"/>
        </w:rPr>
        <w:t>No. RS20210106000041.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C5B51"/>
    <w:rsid w:val="000D0334"/>
    <w:rsid w:val="000D5DA7"/>
    <w:rsid w:val="000F6486"/>
    <w:rsid w:val="00116940"/>
    <w:rsid w:val="00125105"/>
    <w:rsid w:val="00127233"/>
    <w:rsid w:val="0015699B"/>
    <w:rsid w:val="001A33BF"/>
    <w:rsid w:val="001E4177"/>
    <w:rsid w:val="001E68A8"/>
    <w:rsid w:val="001F0B24"/>
    <w:rsid w:val="001F7DC6"/>
    <w:rsid w:val="0022400B"/>
    <w:rsid w:val="002421BB"/>
    <w:rsid w:val="00256EB0"/>
    <w:rsid w:val="0025796E"/>
    <w:rsid w:val="002707A2"/>
    <w:rsid w:val="002951A0"/>
    <w:rsid w:val="002962BC"/>
    <w:rsid w:val="002A093D"/>
    <w:rsid w:val="002A0DD0"/>
    <w:rsid w:val="002A49AC"/>
    <w:rsid w:val="002A64FD"/>
    <w:rsid w:val="002C1E5C"/>
    <w:rsid w:val="002C7A84"/>
    <w:rsid w:val="002E2BF8"/>
    <w:rsid w:val="002E4FD9"/>
    <w:rsid w:val="00305314"/>
    <w:rsid w:val="0030657A"/>
    <w:rsid w:val="00322A85"/>
    <w:rsid w:val="00324168"/>
    <w:rsid w:val="00330834"/>
    <w:rsid w:val="003448F4"/>
    <w:rsid w:val="00374F5E"/>
    <w:rsid w:val="00376726"/>
    <w:rsid w:val="00377E3E"/>
    <w:rsid w:val="003A779E"/>
    <w:rsid w:val="003D0F4D"/>
    <w:rsid w:val="003D5B0D"/>
    <w:rsid w:val="003E0499"/>
    <w:rsid w:val="003E4F80"/>
    <w:rsid w:val="003E6439"/>
    <w:rsid w:val="003F3941"/>
    <w:rsid w:val="00406575"/>
    <w:rsid w:val="00414C74"/>
    <w:rsid w:val="0042722E"/>
    <w:rsid w:val="0044528D"/>
    <w:rsid w:val="004476D2"/>
    <w:rsid w:val="00466E39"/>
    <w:rsid w:val="004A1847"/>
    <w:rsid w:val="004A305D"/>
    <w:rsid w:val="004F21C4"/>
    <w:rsid w:val="004F685F"/>
    <w:rsid w:val="00524D48"/>
    <w:rsid w:val="005566E8"/>
    <w:rsid w:val="00574867"/>
    <w:rsid w:val="00591460"/>
    <w:rsid w:val="00597C90"/>
    <w:rsid w:val="005A65E0"/>
    <w:rsid w:val="005A7B67"/>
    <w:rsid w:val="005C3777"/>
    <w:rsid w:val="005C5CDC"/>
    <w:rsid w:val="005D476C"/>
    <w:rsid w:val="006200BF"/>
    <w:rsid w:val="006219F8"/>
    <w:rsid w:val="006302F7"/>
    <w:rsid w:val="00646B9F"/>
    <w:rsid w:val="00665D70"/>
    <w:rsid w:val="006900D9"/>
    <w:rsid w:val="006C4154"/>
    <w:rsid w:val="00706C16"/>
    <w:rsid w:val="007340C3"/>
    <w:rsid w:val="0075235A"/>
    <w:rsid w:val="00756841"/>
    <w:rsid w:val="007649AB"/>
    <w:rsid w:val="00771D0C"/>
    <w:rsid w:val="00773F89"/>
    <w:rsid w:val="007833AC"/>
    <w:rsid w:val="007B268C"/>
    <w:rsid w:val="007B7171"/>
    <w:rsid w:val="007C0C0F"/>
    <w:rsid w:val="007C3DC2"/>
    <w:rsid w:val="007C41BF"/>
    <w:rsid w:val="007E523D"/>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1790D"/>
    <w:rsid w:val="00B22BDD"/>
    <w:rsid w:val="00B44A47"/>
    <w:rsid w:val="00B715CB"/>
    <w:rsid w:val="00B72CD3"/>
    <w:rsid w:val="00B72FFF"/>
    <w:rsid w:val="00BC3D36"/>
    <w:rsid w:val="00BD54A6"/>
    <w:rsid w:val="00BD7F72"/>
    <w:rsid w:val="00BE55B6"/>
    <w:rsid w:val="00BF19A9"/>
    <w:rsid w:val="00BF7425"/>
    <w:rsid w:val="00C04FB3"/>
    <w:rsid w:val="00C11D8B"/>
    <w:rsid w:val="00C15139"/>
    <w:rsid w:val="00C330EB"/>
    <w:rsid w:val="00C50D69"/>
    <w:rsid w:val="00C5365C"/>
    <w:rsid w:val="00C60D7E"/>
    <w:rsid w:val="00C64862"/>
    <w:rsid w:val="00C754BE"/>
    <w:rsid w:val="00C76B1C"/>
    <w:rsid w:val="00C82106"/>
    <w:rsid w:val="00C925AC"/>
    <w:rsid w:val="00CB6357"/>
    <w:rsid w:val="00CC1B26"/>
    <w:rsid w:val="00CE07E9"/>
    <w:rsid w:val="00D361FD"/>
    <w:rsid w:val="00D423A2"/>
    <w:rsid w:val="00D44E26"/>
    <w:rsid w:val="00D520D8"/>
    <w:rsid w:val="00D63AC2"/>
    <w:rsid w:val="00D7383B"/>
    <w:rsid w:val="00D74CF6"/>
    <w:rsid w:val="00D7788A"/>
    <w:rsid w:val="00DA231B"/>
    <w:rsid w:val="00DC2913"/>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F3522"/>
    <w:rsid w:val="00F23FEA"/>
    <w:rsid w:val="00F31EDC"/>
    <w:rsid w:val="00F462B3"/>
    <w:rsid w:val="00F5664F"/>
    <w:rsid w:val="00F666C4"/>
    <w:rsid w:val="00F76AFC"/>
    <w:rsid w:val="00FA15A6"/>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64862"/>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mailto:iphonehamp@icloud.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6D9A2CF1-720E-4718-8CB3-749AC14B0316}"/>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10</TotalTime>
  <Pages>11</Pages>
  <Words>3087</Words>
  <Characters>17106</Characters>
  <Application>Microsoft Office Word</Application>
  <DocSecurity>0</DocSecurity>
  <Lines>356</Lines>
  <Paragraphs>86</Paragraphs>
  <ScaleCrop>false</ScaleCrop>
  <Company/>
  <LinksUpToDate>false</LinksUpToDate>
  <CharactersWithSpaces>20107</CharactersWithSpaces>
  <SharedDoc>false</SharedDoc>
  <HLinks>
    <vt:vector size="12" baseType="variant">
      <vt:variant>
        <vt:i4>7471218</vt:i4>
      </vt:variant>
      <vt:variant>
        <vt:i4>3</vt:i4>
      </vt:variant>
      <vt:variant>
        <vt:i4>0</vt:i4>
      </vt:variant>
      <vt:variant>
        <vt:i4>5</vt:i4>
      </vt:variant>
      <vt:variant>
        <vt:lpwstr>https://relatoria.colombiacompra.gov.co/busqueda/conceptos</vt:lpwstr>
      </vt:variant>
      <vt:variant>
        <vt:lpwstr/>
      </vt:variant>
      <vt:variant>
        <vt:i4>3014672</vt:i4>
      </vt:variant>
      <vt:variant>
        <vt:i4>0</vt:i4>
      </vt:variant>
      <vt:variant>
        <vt:i4>0</vt:i4>
      </vt:variant>
      <vt:variant>
        <vt:i4>5</vt:i4>
      </vt:variant>
      <vt:variant>
        <vt:lpwstr>mailto:iphonehamp@icloud.com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Carolina Blanco Rodriguez</cp:lastModifiedBy>
  <cp:revision>5</cp:revision>
  <cp:lastPrinted>2023-01-10T21:18:00Z</cp:lastPrinted>
  <dcterms:created xsi:type="dcterms:W3CDTF">2025-12-10T20:28:00Z</dcterms:created>
  <dcterms:modified xsi:type="dcterms:W3CDTF">2025-12-17T03:08:00Z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