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1A8810" w14:textId="5572B330" w:rsidR="005B0144" w:rsidRPr="00535DFF" w:rsidRDefault="005B0144" w:rsidP="00535DFF">
      <w:pPr>
        <w:spacing w:after="0" w:line="240" w:lineRule="auto"/>
        <w:contextualSpacing/>
        <w:jc w:val="both"/>
        <w:rPr>
          <w:rFonts w:ascii="Verdana" w:eastAsia="Calibri" w:hAnsi="Verdana" w:cs="Arial"/>
          <w:b/>
          <w:bCs/>
          <w:color w:val="000000" w:themeColor="text1"/>
          <w:sz w:val="20"/>
          <w:szCs w:val="20"/>
          <w:lang w:val="es-ES" w:eastAsia="es-ES"/>
        </w:rPr>
      </w:pPr>
      <w:bookmarkStart w:id="0" w:name="_Hlk143780582"/>
      <w:r w:rsidRPr="00535DFF">
        <w:rPr>
          <w:rFonts w:ascii="Verdana" w:eastAsia="Calibri" w:hAnsi="Verdana" w:cs="Arial"/>
          <w:b/>
          <w:bCs/>
          <w:color w:val="000000" w:themeColor="text1"/>
          <w:sz w:val="20"/>
          <w:szCs w:val="20"/>
          <w:lang w:val="es-ES_tradnl" w:eastAsia="es-ES_tradnl"/>
        </w:rPr>
        <w:t xml:space="preserve">ACUERDOS COMERCIALES – </w:t>
      </w:r>
      <w:r w:rsidRPr="00535DFF">
        <w:rPr>
          <w:rFonts w:ascii="Verdana" w:eastAsia="Calibri" w:hAnsi="Verdana" w:cs="Arial"/>
          <w:b/>
          <w:bCs/>
          <w:color w:val="000000" w:themeColor="text1"/>
          <w:sz w:val="20"/>
          <w:szCs w:val="20"/>
          <w:lang w:val="es-ES" w:eastAsia="es-ES"/>
        </w:rPr>
        <w:t>Aplicabilidad –</w:t>
      </w:r>
    </w:p>
    <w:p w14:paraId="637DF2C8" w14:textId="77777777" w:rsidR="00535DFF" w:rsidRDefault="00535DFF" w:rsidP="00535DFF">
      <w:pPr>
        <w:contextualSpacing/>
        <w:jc w:val="both"/>
        <w:rPr>
          <w:rFonts w:ascii="Verdana" w:eastAsia="Times New Roman" w:hAnsi="Verdana" w:cs="Arial"/>
          <w:sz w:val="20"/>
          <w:szCs w:val="20"/>
          <w:lang w:eastAsia="es-ES"/>
        </w:rPr>
      </w:pPr>
    </w:p>
    <w:p w14:paraId="629C88BD" w14:textId="2F40C979" w:rsidR="005B0144" w:rsidRPr="00535DFF" w:rsidRDefault="005B0144" w:rsidP="00535DFF">
      <w:pPr>
        <w:spacing w:after="0" w:line="240" w:lineRule="auto"/>
        <w:contextualSpacing/>
        <w:jc w:val="both"/>
        <w:rPr>
          <w:rFonts w:ascii="Verdana" w:eastAsia="Times New Roman" w:hAnsi="Verdana" w:cs="Arial"/>
          <w:sz w:val="20"/>
          <w:szCs w:val="20"/>
          <w:lang w:eastAsia="es-ES"/>
        </w:rPr>
      </w:pPr>
      <w:r w:rsidRPr="00535DFF">
        <w:rPr>
          <w:rFonts w:ascii="Verdana" w:eastAsia="Times New Roman" w:hAnsi="Verdana" w:cs="Arial"/>
          <w:sz w:val="20"/>
          <w:szCs w:val="20"/>
          <w:lang w:eastAsia="es-ES"/>
        </w:rPr>
        <w:t>Las Entidades Estatales tienen la obligación de identificar los acuerdos comerciales aplicables a sus procesos de contratación, y de esta manera cumplir con las obligaciones internacionales en materia de compras y contratación pública. Para esto, deben tener en cuenta que los capítulos de compras públicas de cada acuerdo comercial señalan: (i) la cobertura específica, es decir, un listado de las entidades, los bienes y servicios cubiertos; (</w:t>
      </w:r>
      <w:proofErr w:type="spellStart"/>
      <w:r w:rsidRPr="00535DFF">
        <w:rPr>
          <w:rFonts w:ascii="Verdana" w:eastAsia="Times New Roman" w:hAnsi="Verdana" w:cs="Arial"/>
          <w:sz w:val="20"/>
          <w:szCs w:val="20"/>
          <w:lang w:eastAsia="es-ES"/>
        </w:rPr>
        <w:t>ii</w:t>
      </w:r>
      <w:proofErr w:type="spellEnd"/>
      <w:r w:rsidRPr="00535DFF">
        <w:rPr>
          <w:rFonts w:ascii="Verdana" w:eastAsia="Times New Roman" w:hAnsi="Verdana" w:cs="Arial"/>
          <w:sz w:val="20"/>
          <w:szCs w:val="20"/>
          <w:lang w:eastAsia="es-ES"/>
        </w:rPr>
        <w:t>) los valores a partir de los cuales el acuerdo comercial es aplicable al proceso de contratación (umbral), y (</w:t>
      </w:r>
      <w:proofErr w:type="spellStart"/>
      <w:r w:rsidRPr="00535DFF">
        <w:rPr>
          <w:rFonts w:ascii="Verdana" w:eastAsia="Times New Roman" w:hAnsi="Verdana" w:cs="Arial"/>
          <w:sz w:val="20"/>
          <w:szCs w:val="20"/>
          <w:lang w:eastAsia="es-ES"/>
        </w:rPr>
        <w:t>iii</w:t>
      </w:r>
      <w:proofErr w:type="spellEnd"/>
      <w:r w:rsidRPr="00535DFF">
        <w:rPr>
          <w:rFonts w:ascii="Verdana" w:eastAsia="Times New Roman" w:hAnsi="Verdana" w:cs="Arial"/>
          <w:sz w:val="20"/>
          <w:szCs w:val="20"/>
          <w:lang w:eastAsia="es-ES"/>
        </w:rPr>
        <w:t>) las excepciones a la aplicación del acuerdo comercial.</w:t>
      </w:r>
    </w:p>
    <w:p w14:paraId="7030D306" w14:textId="77777777" w:rsidR="00535DFF" w:rsidRDefault="00535DFF" w:rsidP="00535DFF">
      <w:pPr>
        <w:contextualSpacing/>
        <w:jc w:val="both"/>
        <w:rPr>
          <w:rFonts w:ascii="Verdana" w:eastAsia="Times New Roman" w:hAnsi="Verdana" w:cs="Arial"/>
          <w:iCs/>
          <w:sz w:val="20"/>
          <w:szCs w:val="20"/>
          <w:lang w:val="es-ES_tradnl" w:eastAsia="es-ES_tradnl"/>
        </w:rPr>
      </w:pPr>
    </w:p>
    <w:p w14:paraId="6117A186" w14:textId="19D7359F" w:rsidR="005B0144" w:rsidRPr="00535DFF" w:rsidRDefault="005B0144" w:rsidP="00535DFF">
      <w:pPr>
        <w:spacing w:after="0" w:line="240" w:lineRule="auto"/>
        <w:contextualSpacing/>
        <w:jc w:val="both"/>
        <w:rPr>
          <w:rFonts w:ascii="Verdana" w:eastAsia="Times New Roman" w:hAnsi="Verdana" w:cs="Arial"/>
          <w:iCs/>
          <w:sz w:val="20"/>
          <w:szCs w:val="20"/>
          <w:lang w:val="es-ES_tradnl" w:eastAsia="es-ES_tradnl"/>
        </w:rPr>
      </w:pPr>
      <w:r w:rsidRPr="00535DFF">
        <w:rPr>
          <w:rFonts w:ascii="Verdana" w:eastAsia="Times New Roman" w:hAnsi="Verdana" w:cs="Arial"/>
          <w:iCs/>
          <w:sz w:val="20"/>
          <w:szCs w:val="20"/>
          <w:lang w:val="es-ES_tradnl" w:eastAsia="es-ES_tradnl"/>
        </w:rPr>
        <w:t xml:space="preserve">Así, para determinar la cobertura y el umbral específico de un acuerdo comercial las Entidades Estatales deberán verificar, en primer lugar, el listado de entidades expresamente establecido en el texto del acuerdo, así como la metodología que disponga para determinar el umbral aplicable. Lo anterior, pues al artículo 2.2.1.2.4.1.1 del Decreto 1082 de 2015 señala expresamente que “las Entidades Estatales deben adelantar los Procesos de Contratación </w:t>
      </w:r>
      <w:r w:rsidRPr="00535DFF">
        <w:rPr>
          <w:rFonts w:ascii="Verdana" w:eastAsia="Times New Roman" w:hAnsi="Verdana" w:cs="Arial"/>
          <w:i/>
          <w:sz w:val="20"/>
          <w:szCs w:val="20"/>
          <w:lang w:val="es-ES_tradnl" w:eastAsia="es-ES_tradnl"/>
        </w:rPr>
        <w:t>de acuerdo con lo previsto en los Acuerdos Comerciales</w:t>
      </w:r>
      <w:r w:rsidRPr="00535DFF">
        <w:rPr>
          <w:rFonts w:ascii="Verdana" w:eastAsia="Times New Roman" w:hAnsi="Verdana" w:cs="Arial"/>
          <w:iCs/>
          <w:sz w:val="20"/>
          <w:szCs w:val="20"/>
          <w:lang w:val="es-ES_tradnl" w:eastAsia="es-ES_tradnl"/>
        </w:rPr>
        <w:t>, cuando estos les sean aplicables”. De esta manera, deberán verificar primero el texto del acuerdo y aplicar las reglas que allí se establezcan para determinar si es aplicable a la entidad y para la estimación del umbral.</w:t>
      </w:r>
    </w:p>
    <w:p w14:paraId="0E155E2D" w14:textId="77777777" w:rsidR="00535DFF" w:rsidRDefault="00535DFF" w:rsidP="00535DFF">
      <w:pPr>
        <w:contextualSpacing/>
        <w:jc w:val="both"/>
        <w:rPr>
          <w:rFonts w:ascii="Verdana" w:eastAsia="Calibri" w:hAnsi="Verdana" w:cs="Arial"/>
          <w:b/>
          <w:bCs/>
          <w:color w:val="000000" w:themeColor="text1"/>
          <w:sz w:val="20"/>
          <w:szCs w:val="20"/>
          <w:lang w:val="es-ES_tradnl" w:eastAsia="es-ES_tradnl"/>
        </w:rPr>
      </w:pPr>
    </w:p>
    <w:p w14:paraId="7FEC64BC" w14:textId="1C1C8B36" w:rsidR="005B0144" w:rsidRPr="00535DFF" w:rsidRDefault="005B0144" w:rsidP="00535DFF">
      <w:pPr>
        <w:spacing w:after="0" w:line="240" w:lineRule="auto"/>
        <w:contextualSpacing/>
        <w:jc w:val="both"/>
        <w:rPr>
          <w:rFonts w:ascii="Verdana" w:eastAsia="Calibri" w:hAnsi="Verdana" w:cs="Arial"/>
          <w:b/>
          <w:bCs/>
          <w:color w:val="000000" w:themeColor="text1"/>
          <w:sz w:val="20"/>
          <w:szCs w:val="20"/>
          <w:lang w:val="es-ES_tradnl" w:eastAsia="es-ES_tradnl"/>
        </w:rPr>
      </w:pPr>
      <w:r w:rsidRPr="00535DFF">
        <w:rPr>
          <w:rFonts w:ascii="Verdana" w:eastAsia="Calibri" w:hAnsi="Verdana" w:cs="Arial"/>
          <w:b/>
          <w:bCs/>
          <w:color w:val="000000" w:themeColor="text1"/>
          <w:sz w:val="20"/>
          <w:szCs w:val="20"/>
          <w:lang w:val="es-ES_tradnl" w:eastAsia="es-ES_tradnl"/>
        </w:rPr>
        <w:t>ACUERDOS COMERCIALES – Cobertura y umbral – Cálculo</w:t>
      </w:r>
    </w:p>
    <w:p w14:paraId="0AB75C95" w14:textId="77777777" w:rsidR="00535DFF" w:rsidRDefault="00535DFF" w:rsidP="00535DFF">
      <w:pPr>
        <w:contextualSpacing/>
        <w:jc w:val="both"/>
        <w:rPr>
          <w:rFonts w:ascii="Verdana" w:eastAsia="Calibri" w:hAnsi="Verdana" w:cs="Arial"/>
          <w:color w:val="000000" w:themeColor="text1"/>
          <w:sz w:val="20"/>
          <w:szCs w:val="20"/>
        </w:rPr>
      </w:pPr>
    </w:p>
    <w:p w14:paraId="4E507F67" w14:textId="2C7474F3" w:rsidR="00535DFF" w:rsidRPr="00535DFF" w:rsidRDefault="00535DFF" w:rsidP="00535DFF">
      <w:pPr>
        <w:spacing w:after="0" w:line="240" w:lineRule="auto"/>
        <w:contextualSpacing/>
        <w:jc w:val="both"/>
        <w:rPr>
          <w:rFonts w:ascii="Verdana" w:eastAsia="Times New Roman" w:hAnsi="Verdana" w:cs="Arial"/>
          <w:iCs/>
          <w:sz w:val="20"/>
          <w:szCs w:val="20"/>
          <w:lang w:val="es-ES_tradnl" w:eastAsia="es-ES_tradnl"/>
        </w:rPr>
      </w:pPr>
      <w:r w:rsidRPr="00535DFF">
        <w:rPr>
          <w:rFonts w:ascii="Verdana" w:eastAsia="Calibri" w:hAnsi="Verdana" w:cs="Arial"/>
          <w:color w:val="000000" w:themeColor="text1"/>
          <w:sz w:val="20"/>
          <w:szCs w:val="20"/>
        </w:rPr>
        <w:t>Con respecto a la primera pregunta planteada, las entidades deberán consultar primeramente el listado de entidades que incluye el texto del acuerdo comercial. Con el fin de facilitar la identificación de la cobertura del acuerdo, también se recomienda a las entidades tener en cuenta lo dispuesto en los Anexos No. 1, 2 y 3 del “Manual para el manejo de los acuerdos comerciales en procesos de contratación” de esta Agencia, el cual relaciona la cobertura de los distintos acuerdo según el nivel territorial de la entidad (nacional, departamental y municipal, respectivamente).</w:t>
      </w:r>
      <w:r w:rsidRPr="00535DFF">
        <w:rPr>
          <w:rFonts w:ascii="Verdana" w:eastAsia="Times New Roman" w:hAnsi="Verdana" w:cs="Arial"/>
          <w:iCs/>
          <w:sz w:val="20"/>
          <w:szCs w:val="20"/>
          <w:lang w:eastAsia="es-ES_tradnl"/>
        </w:rPr>
        <w:t xml:space="preserve"> </w:t>
      </w:r>
    </w:p>
    <w:p w14:paraId="727EA77D" w14:textId="04DA7728" w:rsidR="005B0144" w:rsidRPr="00535DFF" w:rsidRDefault="00535DFF" w:rsidP="00535DFF">
      <w:pPr>
        <w:spacing w:after="0" w:line="240" w:lineRule="auto"/>
        <w:contextualSpacing/>
        <w:rPr>
          <w:rFonts w:ascii="Verdana" w:hAnsi="Verdana"/>
          <w:sz w:val="20"/>
          <w:szCs w:val="20"/>
        </w:rPr>
      </w:pPr>
      <w:r w:rsidRPr="00535DFF">
        <w:rPr>
          <w:rFonts w:ascii="Verdana" w:hAnsi="Verdana"/>
          <w:sz w:val="20"/>
          <w:szCs w:val="20"/>
        </w:rPr>
        <w:t>[…]</w:t>
      </w:r>
    </w:p>
    <w:p w14:paraId="124F7166" w14:textId="4AE6EEE7" w:rsidR="00535DFF" w:rsidRPr="00535DFF" w:rsidRDefault="00535DFF" w:rsidP="00535DFF">
      <w:pPr>
        <w:spacing w:after="0" w:line="240" w:lineRule="auto"/>
        <w:contextualSpacing/>
        <w:jc w:val="both"/>
        <w:rPr>
          <w:rFonts w:ascii="Verdana" w:eastAsia="Times New Roman" w:hAnsi="Verdana" w:cs="Arial"/>
          <w:iCs/>
          <w:sz w:val="20"/>
          <w:szCs w:val="20"/>
          <w:lang w:val="es-ES_tradnl" w:eastAsia="es-ES_tradnl"/>
        </w:rPr>
      </w:pPr>
      <w:r w:rsidRPr="00535DFF">
        <w:rPr>
          <w:rFonts w:ascii="Verdana" w:eastAsia="Calibri" w:hAnsi="Verdana" w:cs="Arial"/>
          <w:color w:val="000000" w:themeColor="text1"/>
          <w:sz w:val="20"/>
          <w:szCs w:val="20"/>
        </w:rPr>
        <w:t xml:space="preserve">Por otra parte, con respecto a la </w:t>
      </w:r>
      <w:r w:rsidRPr="00535DFF">
        <w:rPr>
          <w:rFonts w:ascii="Verdana" w:eastAsia="Calibri" w:hAnsi="Verdana" w:cs="Arial"/>
          <w:i/>
          <w:iCs/>
          <w:color w:val="000000" w:themeColor="text1"/>
          <w:sz w:val="20"/>
          <w:szCs w:val="20"/>
        </w:rPr>
        <w:t>estimación del umbral</w:t>
      </w:r>
      <w:r w:rsidRPr="00535DFF">
        <w:rPr>
          <w:rFonts w:ascii="Verdana" w:eastAsia="Calibri" w:hAnsi="Verdana" w:cs="Arial"/>
          <w:color w:val="000000" w:themeColor="text1"/>
          <w:sz w:val="20"/>
          <w:szCs w:val="20"/>
        </w:rPr>
        <w:t xml:space="preserve">, es importante aclarar que los valores a partir de los cuales rigen los acuerdos comerciales para cada proceso de contratación son generalmente negociados en dólares de los Estados Unidos de América o en Derechos Especiales de Giro (DEG)— </w:t>
      </w:r>
      <w:proofErr w:type="spellStart"/>
      <w:r w:rsidRPr="00535DFF">
        <w:rPr>
          <w:rFonts w:ascii="Verdana" w:eastAsia="Calibri" w:hAnsi="Verdana" w:cs="Arial"/>
          <w:color w:val="000000" w:themeColor="text1"/>
          <w:sz w:val="20"/>
          <w:szCs w:val="20"/>
        </w:rPr>
        <w:t>Special</w:t>
      </w:r>
      <w:proofErr w:type="spellEnd"/>
      <w:r w:rsidRPr="00535DFF">
        <w:rPr>
          <w:rFonts w:ascii="Verdana" w:eastAsia="Calibri" w:hAnsi="Verdana" w:cs="Arial"/>
          <w:color w:val="000000" w:themeColor="text1"/>
          <w:sz w:val="20"/>
          <w:szCs w:val="20"/>
        </w:rPr>
        <w:t xml:space="preserve"> </w:t>
      </w:r>
      <w:proofErr w:type="spellStart"/>
      <w:r w:rsidRPr="00535DFF">
        <w:rPr>
          <w:rFonts w:ascii="Verdana" w:eastAsia="Calibri" w:hAnsi="Verdana" w:cs="Arial"/>
          <w:color w:val="000000" w:themeColor="text1"/>
          <w:sz w:val="20"/>
          <w:szCs w:val="20"/>
        </w:rPr>
        <w:t>Drawing</w:t>
      </w:r>
      <w:proofErr w:type="spellEnd"/>
      <w:r w:rsidRPr="00535DFF">
        <w:rPr>
          <w:rFonts w:ascii="Verdana" w:eastAsia="Calibri" w:hAnsi="Verdana" w:cs="Arial"/>
          <w:color w:val="000000" w:themeColor="text1"/>
          <w:sz w:val="20"/>
          <w:szCs w:val="20"/>
        </w:rPr>
        <w:t xml:space="preserve"> </w:t>
      </w:r>
      <w:proofErr w:type="spellStart"/>
      <w:r w:rsidRPr="00535DFF">
        <w:rPr>
          <w:rFonts w:ascii="Verdana" w:eastAsia="Calibri" w:hAnsi="Verdana" w:cs="Arial"/>
          <w:color w:val="000000" w:themeColor="text1"/>
          <w:sz w:val="20"/>
          <w:szCs w:val="20"/>
        </w:rPr>
        <w:t>Rights</w:t>
      </w:r>
      <w:proofErr w:type="spellEnd"/>
      <w:r w:rsidRPr="00535DFF">
        <w:rPr>
          <w:rFonts w:ascii="Verdana" w:eastAsia="Calibri" w:hAnsi="Verdana" w:cs="Arial"/>
          <w:color w:val="000000" w:themeColor="text1"/>
          <w:sz w:val="20"/>
          <w:szCs w:val="20"/>
        </w:rPr>
        <w:t>, SDR por sus siglas en inglés ―. El Ministerio de Comercio, Industria y Turismo (MinCIT) es el encargado de señalar, con la periodicidad definida en cada Acuerdo Comercial, el valor de conversión de estas monedas a pesos colombianos para determinar el umbral aplicable</w:t>
      </w:r>
      <w:r w:rsidRPr="00535DFF">
        <w:rPr>
          <w:rFonts w:ascii="Verdana" w:eastAsia="Times New Roman" w:hAnsi="Verdana" w:cs="Arial"/>
          <w:iCs/>
          <w:sz w:val="20"/>
          <w:szCs w:val="20"/>
          <w:lang w:val="es-ES_tradnl" w:eastAsia="es-ES_tradnl"/>
        </w:rPr>
        <w:t xml:space="preserve">. Las Entidades deberán hacer uso de esta información para verificar el valor del umbral y determinar si el acuerdo cubre el proceso de contratación. En este sentido, salvo que el acuerdo comercial así lo determine, </w:t>
      </w:r>
      <w:r w:rsidRPr="00535DFF">
        <w:rPr>
          <w:rFonts w:ascii="Verdana" w:eastAsia="Times New Roman" w:hAnsi="Verdana" w:cs="Arial"/>
          <w:i/>
          <w:sz w:val="20"/>
          <w:szCs w:val="20"/>
          <w:u w:val="single"/>
          <w:lang w:val="es-ES_tradnl" w:eastAsia="es-ES_tradnl"/>
        </w:rPr>
        <w:t xml:space="preserve">no </w:t>
      </w:r>
      <w:r w:rsidRPr="00535DFF">
        <w:rPr>
          <w:rFonts w:ascii="Verdana" w:eastAsia="Times New Roman" w:hAnsi="Verdana" w:cs="Arial"/>
          <w:iCs/>
          <w:sz w:val="20"/>
          <w:szCs w:val="20"/>
          <w:lang w:val="es-ES_tradnl" w:eastAsia="es-ES_tradnl"/>
        </w:rPr>
        <w:t xml:space="preserve">corresponde a cada entidad realizar la conversión del umbral establecido en DEG o en otra moneda a la moneda nacional según el valor de la TRM aplicable al día en que realice la consulta. Por el contrario, la entidad deberá considerar el umbral aplicable según las reglas, fórmulas y periodicidad que al respecto establezca cada acuerdo comercial. </w:t>
      </w:r>
    </w:p>
    <w:p w14:paraId="03CA1414" w14:textId="5CFD0A3D" w:rsidR="006667C3" w:rsidRPr="0044528D" w:rsidRDefault="006667C3" w:rsidP="006667C3">
      <w:pPr>
        <w:spacing w:after="0"/>
        <w:rPr>
          <w:rFonts w:ascii="Verdana" w:hAnsi="Verdana"/>
        </w:rPr>
      </w:pPr>
      <w:r w:rsidRPr="0044528D">
        <w:rPr>
          <w:rFonts w:ascii="Verdana" w:hAnsi="Verdana"/>
        </w:rPr>
        <w:lastRenderedPageBreak/>
        <w:t xml:space="preserve">Bogotá D.C., </w:t>
      </w:r>
      <w:r w:rsidR="005B0144">
        <w:rPr>
          <w:rFonts w:ascii="Verdana" w:hAnsi="Verdana"/>
        </w:rPr>
        <w:t>03 de diciembre de 2025</w:t>
      </w:r>
      <w:r w:rsidRPr="0044528D">
        <w:rPr>
          <w:rFonts w:ascii="Verdana" w:hAnsi="Verdana"/>
        </w:rPr>
        <w:tab/>
      </w:r>
    </w:p>
    <w:p w14:paraId="7A70FBFC" w14:textId="0CAABB52" w:rsidR="006667C3" w:rsidRPr="0044528D" w:rsidRDefault="005B0144" w:rsidP="006667C3">
      <w:pPr>
        <w:spacing w:after="0"/>
        <w:rPr>
          <w:rFonts w:ascii="Verdana" w:hAnsi="Verdana"/>
        </w:rPr>
      </w:pPr>
      <w:r>
        <w:rPr>
          <w:rFonts w:ascii="Verdana" w:eastAsia="Calibri" w:hAnsi="Verdana" w:cs="Arial"/>
          <w:noProof/>
          <w:lang w:val="es-ES" w:eastAsia="es-ES"/>
        </w:rPr>
        <w:drawing>
          <wp:anchor distT="0" distB="0" distL="114300" distR="114300" simplePos="0" relativeHeight="251660288" behindDoc="0" locked="0" layoutInCell="1" allowOverlap="1" wp14:anchorId="3D66C63A" wp14:editId="4AE94826">
            <wp:simplePos x="0" y="0"/>
            <wp:positionH relativeFrom="column">
              <wp:posOffset>3055620</wp:posOffset>
            </wp:positionH>
            <wp:positionV relativeFrom="page">
              <wp:posOffset>1870075</wp:posOffset>
            </wp:positionV>
            <wp:extent cx="2353310" cy="702945"/>
            <wp:effectExtent l="0" t="0" r="0" b="0"/>
            <wp:wrapSquare wrapText="bothSides"/>
            <wp:docPr id="9206056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605610" name="Picture 920605610"/>
                    <pic:cNvPicPr/>
                  </pic:nvPicPr>
                  <pic:blipFill>
                    <a:blip r:embed="rId10">
                      <a:extLst>
                        <a:ext uri="{28A0092B-C50C-407E-A947-70E740481C1C}">
                          <a14:useLocalDpi xmlns:a14="http://schemas.microsoft.com/office/drawing/2010/main" val="0"/>
                        </a:ext>
                      </a:extLst>
                    </a:blip>
                    <a:stretch>
                      <a:fillRect/>
                    </a:stretch>
                  </pic:blipFill>
                  <pic:spPr>
                    <a:xfrm>
                      <a:off x="0" y="0"/>
                      <a:ext cx="2353310" cy="702945"/>
                    </a:xfrm>
                    <a:prstGeom prst="rect">
                      <a:avLst/>
                    </a:prstGeom>
                  </pic:spPr>
                </pic:pic>
              </a:graphicData>
            </a:graphic>
            <wp14:sizeRelH relativeFrom="page">
              <wp14:pctWidth>0</wp14:pctWidth>
            </wp14:sizeRelH>
            <wp14:sizeRelV relativeFrom="page">
              <wp14:pctHeight>0</wp14:pctHeight>
            </wp14:sizeRelV>
          </wp:anchor>
        </w:drawing>
      </w:r>
    </w:p>
    <w:p w14:paraId="53B38266" w14:textId="3E23E72D" w:rsidR="006667C3" w:rsidRPr="00DC0AD3" w:rsidRDefault="006667C3" w:rsidP="006667C3">
      <w:pPr>
        <w:spacing w:after="0" w:line="240" w:lineRule="auto"/>
        <w:jc w:val="both"/>
        <w:rPr>
          <w:rFonts w:ascii="Verdana" w:eastAsia="Calibri" w:hAnsi="Verdana" w:cs="Arial"/>
          <w:lang w:val="es-ES" w:eastAsia="es-ES"/>
        </w:rPr>
      </w:pPr>
      <w:r w:rsidRPr="00DC0AD3">
        <w:rPr>
          <w:rFonts w:ascii="Verdana" w:eastAsia="Calibri" w:hAnsi="Verdana" w:cs="Arial"/>
          <w:lang w:val="es-ES" w:eastAsia="es-ES"/>
        </w:rPr>
        <w:t>Señor</w:t>
      </w:r>
      <w:r>
        <w:rPr>
          <w:rFonts w:ascii="Verdana" w:eastAsia="Calibri" w:hAnsi="Verdana" w:cs="Arial"/>
          <w:lang w:val="es-ES" w:eastAsia="es-ES"/>
        </w:rPr>
        <w:t>a</w:t>
      </w:r>
    </w:p>
    <w:p w14:paraId="289E6B82" w14:textId="77777777" w:rsidR="006667C3" w:rsidRPr="00DC0AD3" w:rsidRDefault="006667C3" w:rsidP="006667C3">
      <w:pPr>
        <w:spacing w:after="0" w:line="240" w:lineRule="auto"/>
        <w:rPr>
          <w:rFonts w:ascii="Verdana" w:eastAsia="Calibri" w:hAnsi="Verdana" w:cs="Arial"/>
          <w:b/>
          <w:lang w:val="es-ES_tradnl" w:eastAsia="es-ES_tradnl"/>
        </w:rPr>
      </w:pPr>
      <w:r w:rsidRPr="0033052E">
        <w:rPr>
          <w:rFonts w:ascii="Verdana" w:eastAsia="Calibri" w:hAnsi="Verdana" w:cs="Arial"/>
          <w:b/>
          <w:lang w:eastAsia="es-ES_tradnl"/>
        </w:rPr>
        <w:t>María Yenifer Prada Peña</w:t>
      </w:r>
    </w:p>
    <w:p w14:paraId="608F15A5" w14:textId="77777777" w:rsidR="006667C3" w:rsidRPr="0033052E" w:rsidRDefault="006667C3" w:rsidP="006667C3">
      <w:pPr>
        <w:spacing w:after="0" w:line="240" w:lineRule="auto"/>
        <w:rPr>
          <w:rFonts w:ascii="Verdana" w:eastAsia="Calibri" w:hAnsi="Verdana" w:cs="Arial"/>
          <w:color w:val="000000"/>
          <w:lang w:eastAsia="es-ES_tradnl"/>
        </w:rPr>
      </w:pPr>
      <w:hyperlink r:id="rId11" w:history="1">
        <w:r w:rsidRPr="0033052E">
          <w:rPr>
            <w:rStyle w:val="Hyperlink"/>
            <w:rFonts w:ascii="Verdana" w:eastAsia="Calibri" w:hAnsi="Verdana" w:cs="Arial"/>
            <w:lang w:eastAsia="es-ES_tradnl"/>
          </w:rPr>
          <w:t>ypradap@hotmail.com</w:t>
        </w:r>
      </w:hyperlink>
    </w:p>
    <w:p w14:paraId="6C3E365A" w14:textId="77777777" w:rsidR="006667C3" w:rsidRPr="0033052E" w:rsidRDefault="006667C3" w:rsidP="006667C3">
      <w:pPr>
        <w:spacing w:after="0" w:line="240" w:lineRule="auto"/>
        <w:rPr>
          <w:rFonts w:ascii="Verdana" w:eastAsia="Calibri" w:hAnsi="Verdana" w:cs="Arial"/>
          <w:color w:val="000000"/>
          <w:lang w:val="es-ES_tradnl" w:eastAsia="es-ES_tradnl"/>
        </w:rPr>
      </w:pPr>
      <w:r w:rsidRPr="0033052E">
        <w:rPr>
          <w:rFonts w:ascii="Verdana" w:eastAsia="Calibri" w:hAnsi="Verdana" w:cs="Arial"/>
          <w:color w:val="000000"/>
          <w:lang w:eastAsia="es-ES_tradnl"/>
        </w:rPr>
        <w:t>B</w:t>
      </w:r>
      <w:r>
        <w:rPr>
          <w:rFonts w:ascii="Verdana" w:eastAsia="Calibri" w:hAnsi="Verdana" w:cs="Arial"/>
          <w:color w:val="000000"/>
          <w:lang w:eastAsia="es-ES_tradnl"/>
        </w:rPr>
        <w:t>o</w:t>
      </w:r>
      <w:r w:rsidRPr="0033052E">
        <w:rPr>
          <w:rFonts w:ascii="Verdana" w:eastAsia="Calibri" w:hAnsi="Verdana" w:cs="Arial"/>
          <w:color w:val="000000"/>
          <w:lang w:eastAsia="es-ES_tradnl"/>
        </w:rPr>
        <w:t>gotá D.C.</w:t>
      </w:r>
    </w:p>
    <w:p w14:paraId="29B80B9D" w14:textId="77777777" w:rsidR="006667C3" w:rsidRPr="00DC0AD3" w:rsidRDefault="006667C3" w:rsidP="006667C3">
      <w:pPr>
        <w:spacing w:after="0" w:line="240" w:lineRule="auto"/>
        <w:rPr>
          <w:rFonts w:ascii="Verdana" w:eastAsia="Calibri" w:hAnsi="Verdana" w:cs="Arial"/>
          <w:b/>
          <w:bCs/>
          <w:color w:val="000000"/>
          <w:lang w:val="es-ES_tradnl" w:eastAsia="es-ES_tradnl"/>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667C3" w:rsidRPr="00DC0AD3" w14:paraId="3CD1F29F" w14:textId="77777777" w:rsidTr="005B0144">
        <w:trPr>
          <w:trHeight w:val="531"/>
        </w:trPr>
        <w:tc>
          <w:tcPr>
            <w:tcW w:w="2689" w:type="dxa"/>
          </w:tcPr>
          <w:p w14:paraId="14A255B0" w14:textId="77777777" w:rsidR="006667C3" w:rsidRPr="00DC0AD3" w:rsidRDefault="006667C3" w:rsidP="00AE6AF1">
            <w:pPr>
              <w:jc w:val="both"/>
              <w:rPr>
                <w:rFonts w:ascii="Verdana" w:eastAsia="Calibri" w:hAnsi="Verdana" w:cs="Arial"/>
                <w:b/>
                <w:bCs/>
                <w:color w:val="7030A0"/>
                <w:lang w:val="es-ES_tradnl" w:eastAsia="es-ES_tradnl"/>
              </w:rPr>
            </w:pPr>
          </w:p>
        </w:tc>
        <w:tc>
          <w:tcPr>
            <w:tcW w:w="6100" w:type="dxa"/>
          </w:tcPr>
          <w:p w14:paraId="32BDF7A3" w14:textId="6A51444F" w:rsidR="006667C3" w:rsidRPr="00DC0AD3" w:rsidRDefault="006667C3" w:rsidP="00AE6AF1">
            <w:pPr>
              <w:jc w:val="both"/>
              <w:rPr>
                <w:rFonts w:ascii="Verdana" w:eastAsia="Calibri" w:hAnsi="Verdana" w:cs="Arial"/>
                <w:b/>
                <w:bCs/>
                <w:color w:val="7030A0"/>
                <w:lang w:val="es-ES" w:eastAsia="es-ES"/>
              </w:rPr>
            </w:pPr>
            <w:r w:rsidRPr="00DC0AD3">
              <w:rPr>
                <w:rFonts w:ascii="Verdana" w:eastAsia="Calibri" w:hAnsi="Verdana" w:cs="Arial"/>
                <w:b/>
                <w:bCs/>
                <w:lang w:val="es-ES" w:eastAsia="es-ES"/>
              </w:rPr>
              <w:t>Concepto C-</w:t>
            </w:r>
            <w:r w:rsidR="00C4348D">
              <w:rPr>
                <w:rFonts w:ascii="Verdana" w:eastAsia="Calibri" w:hAnsi="Verdana" w:cs="Arial"/>
                <w:b/>
                <w:bCs/>
                <w:lang w:val="es-ES" w:eastAsia="es-ES"/>
              </w:rPr>
              <w:t>1577</w:t>
            </w:r>
            <w:r w:rsidRPr="00DC0AD3">
              <w:rPr>
                <w:rFonts w:ascii="Verdana" w:eastAsia="Calibri" w:hAnsi="Verdana" w:cs="Arial"/>
                <w:b/>
                <w:bCs/>
                <w:lang w:val="es-ES" w:eastAsia="es-ES"/>
              </w:rPr>
              <w:t xml:space="preserve"> de 2025</w:t>
            </w:r>
          </w:p>
        </w:tc>
      </w:tr>
      <w:tr w:rsidR="006667C3" w:rsidRPr="00DC0AD3" w14:paraId="09EE501E" w14:textId="77777777" w:rsidTr="00AE6AF1">
        <w:trPr>
          <w:trHeight w:val="884"/>
        </w:trPr>
        <w:tc>
          <w:tcPr>
            <w:tcW w:w="2689" w:type="dxa"/>
          </w:tcPr>
          <w:p w14:paraId="5D557F66" w14:textId="77777777" w:rsidR="006667C3" w:rsidRPr="00DC0AD3" w:rsidRDefault="006667C3" w:rsidP="00AE6AF1">
            <w:pPr>
              <w:jc w:val="both"/>
              <w:rPr>
                <w:rFonts w:ascii="Verdana" w:eastAsia="Calibri" w:hAnsi="Verdana" w:cs="Arial"/>
                <w:color w:val="000000"/>
                <w:lang w:val="es-ES_tradnl" w:eastAsia="es-ES_tradnl"/>
              </w:rPr>
            </w:pPr>
            <w:r w:rsidRPr="00DC0AD3">
              <w:rPr>
                <w:rFonts w:ascii="Verdana" w:eastAsia="Calibri" w:hAnsi="Verdana" w:cs="Arial"/>
                <w:b/>
                <w:color w:val="000000"/>
                <w:lang w:val="es-ES_tradnl" w:eastAsia="es-ES_tradnl"/>
              </w:rPr>
              <w:t>Temas:</w:t>
            </w:r>
            <w:r w:rsidRPr="00DC0AD3">
              <w:rPr>
                <w:rFonts w:ascii="Verdana" w:eastAsia="Calibri" w:hAnsi="Verdana" w:cs="Arial"/>
                <w:color w:val="000000"/>
                <w:lang w:val="es-ES_tradnl" w:eastAsia="es-ES_tradnl"/>
              </w:rPr>
              <w:t xml:space="preserve">                   </w:t>
            </w:r>
          </w:p>
        </w:tc>
        <w:tc>
          <w:tcPr>
            <w:tcW w:w="6100" w:type="dxa"/>
          </w:tcPr>
          <w:p w14:paraId="34054A64" w14:textId="377198E3" w:rsidR="006667C3" w:rsidRPr="00DC0AD3" w:rsidRDefault="006667C3" w:rsidP="00AE6AF1">
            <w:pPr>
              <w:spacing w:line="276" w:lineRule="auto"/>
              <w:jc w:val="both"/>
              <w:rPr>
                <w:rFonts w:ascii="Verdana" w:eastAsia="Calibri" w:hAnsi="Verdana" w:cs="Arial"/>
                <w:color w:val="000000" w:themeColor="text1"/>
                <w:lang w:val="es-ES_tradnl" w:eastAsia="es-ES_tradnl"/>
              </w:rPr>
            </w:pPr>
            <w:r w:rsidRPr="00DC0AD3">
              <w:rPr>
                <w:rFonts w:ascii="Verdana" w:eastAsia="Calibri" w:hAnsi="Verdana" w:cs="Arial"/>
                <w:color w:val="000000" w:themeColor="text1"/>
                <w:lang w:val="es-ES_tradnl" w:eastAsia="es-ES_tradnl"/>
              </w:rPr>
              <w:t xml:space="preserve">ACUERDOS COMERCIALES – </w:t>
            </w:r>
            <w:r w:rsidRPr="00DC0AD3">
              <w:rPr>
                <w:rFonts w:ascii="Verdana" w:eastAsia="Calibri" w:hAnsi="Verdana" w:cs="Arial"/>
                <w:color w:val="000000" w:themeColor="text1"/>
                <w:lang w:val="es-ES" w:eastAsia="es-ES"/>
              </w:rPr>
              <w:t>Aplicabilidad</w:t>
            </w:r>
            <w:r w:rsidRPr="00DC0AD3">
              <w:rPr>
                <w:rFonts w:ascii="Verdana" w:eastAsia="Calibri" w:hAnsi="Verdana" w:cs="Arial"/>
                <w:color w:val="000000" w:themeColor="text1"/>
                <w:lang w:val="es-ES_tradnl" w:eastAsia="es-ES_tradnl"/>
              </w:rPr>
              <w:t xml:space="preserve"> / </w:t>
            </w:r>
            <w:r w:rsidR="00A44DFE" w:rsidRPr="00DC0AD3">
              <w:rPr>
                <w:rFonts w:ascii="Verdana" w:eastAsia="Calibri" w:hAnsi="Verdana" w:cs="Arial"/>
                <w:color w:val="000000" w:themeColor="text1"/>
                <w:lang w:val="es-ES_tradnl" w:eastAsia="es-ES_tradnl"/>
              </w:rPr>
              <w:t>ACUERDOS COMERCIALES</w:t>
            </w:r>
            <w:r w:rsidR="00A44DFE">
              <w:rPr>
                <w:rFonts w:ascii="Verdana" w:eastAsia="Calibri" w:hAnsi="Verdana" w:cs="Arial"/>
                <w:color w:val="000000" w:themeColor="text1"/>
                <w:lang w:val="es-ES_tradnl" w:eastAsia="es-ES_tradnl"/>
              </w:rPr>
              <w:t xml:space="preserve"> </w:t>
            </w:r>
            <w:r w:rsidR="00A44DFE" w:rsidRPr="00DC0AD3">
              <w:rPr>
                <w:rFonts w:ascii="Verdana" w:eastAsia="Calibri" w:hAnsi="Verdana" w:cs="Arial"/>
                <w:color w:val="000000" w:themeColor="text1"/>
                <w:lang w:val="es-ES_tradnl" w:eastAsia="es-ES_tradnl"/>
              </w:rPr>
              <w:t>–</w:t>
            </w:r>
            <w:r w:rsidR="00A44DFE">
              <w:rPr>
                <w:rFonts w:ascii="Verdana" w:eastAsia="Calibri" w:hAnsi="Verdana" w:cs="Arial"/>
                <w:color w:val="000000" w:themeColor="text1"/>
                <w:lang w:val="es-ES_tradnl" w:eastAsia="es-ES_tradnl"/>
              </w:rPr>
              <w:t xml:space="preserve"> Cobertura y umbral </w:t>
            </w:r>
            <w:r w:rsidR="00A44DFE" w:rsidRPr="00DC0AD3">
              <w:rPr>
                <w:rFonts w:ascii="Verdana" w:eastAsia="Calibri" w:hAnsi="Verdana" w:cs="Arial"/>
                <w:color w:val="000000" w:themeColor="text1"/>
                <w:lang w:val="es-ES_tradnl" w:eastAsia="es-ES_tradnl"/>
              </w:rPr>
              <w:t>–</w:t>
            </w:r>
            <w:r w:rsidR="00A44DFE">
              <w:rPr>
                <w:rFonts w:ascii="Verdana" w:eastAsia="Calibri" w:hAnsi="Verdana" w:cs="Arial"/>
                <w:color w:val="000000" w:themeColor="text1"/>
                <w:lang w:val="es-ES_tradnl" w:eastAsia="es-ES_tradnl"/>
              </w:rPr>
              <w:t xml:space="preserve"> Cálculo</w:t>
            </w:r>
          </w:p>
          <w:p w14:paraId="4A03AC1A" w14:textId="77777777" w:rsidR="006667C3" w:rsidRPr="00DC0AD3" w:rsidRDefault="006667C3" w:rsidP="00AE6AF1">
            <w:pPr>
              <w:spacing w:line="276" w:lineRule="auto"/>
              <w:jc w:val="both"/>
              <w:rPr>
                <w:rFonts w:ascii="Verdana" w:eastAsia="Calibri" w:hAnsi="Verdana" w:cs="Arial"/>
                <w:lang w:val="es-ES" w:eastAsia="es-ES"/>
              </w:rPr>
            </w:pPr>
          </w:p>
        </w:tc>
      </w:tr>
      <w:tr w:rsidR="006667C3" w:rsidRPr="00DC0AD3" w14:paraId="042F8466" w14:textId="77777777" w:rsidTr="00AE6AF1">
        <w:tc>
          <w:tcPr>
            <w:tcW w:w="2689" w:type="dxa"/>
          </w:tcPr>
          <w:p w14:paraId="16844D3E" w14:textId="77777777" w:rsidR="006667C3" w:rsidRPr="00DC0AD3" w:rsidRDefault="006667C3" w:rsidP="00AE6AF1">
            <w:pPr>
              <w:jc w:val="both"/>
              <w:rPr>
                <w:rFonts w:ascii="Verdana" w:eastAsia="Calibri" w:hAnsi="Verdana" w:cs="Arial"/>
                <w:b/>
                <w:color w:val="000000" w:themeColor="text1"/>
                <w:lang w:val="es-ES_tradnl" w:eastAsia="es-ES_tradnl"/>
              </w:rPr>
            </w:pPr>
            <w:r w:rsidRPr="00DC0AD3">
              <w:rPr>
                <w:rFonts w:ascii="Verdana" w:eastAsia="Calibri" w:hAnsi="Verdana" w:cs="Arial"/>
                <w:b/>
                <w:color w:val="000000" w:themeColor="text1"/>
                <w:lang w:val="es-ES_tradnl" w:eastAsia="es-ES_tradnl"/>
              </w:rPr>
              <w:t>Radicación:</w:t>
            </w:r>
            <w:r w:rsidRPr="00DC0AD3">
              <w:rPr>
                <w:rFonts w:ascii="Verdana" w:eastAsia="Calibri" w:hAnsi="Verdana" w:cs="Arial"/>
                <w:color w:val="000000" w:themeColor="text1"/>
                <w:lang w:val="es-ES_tradnl" w:eastAsia="es-ES_tradnl"/>
              </w:rPr>
              <w:t xml:space="preserve">               </w:t>
            </w:r>
          </w:p>
        </w:tc>
        <w:tc>
          <w:tcPr>
            <w:tcW w:w="6100" w:type="dxa"/>
          </w:tcPr>
          <w:p w14:paraId="6C93FBCB" w14:textId="77777777" w:rsidR="006667C3" w:rsidRPr="00DC0AD3" w:rsidRDefault="006667C3" w:rsidP="00AE6AF1">
            <w:pPr>
              <w:jc w:val="both"/>
              <w:rPr>
                <w:rFonts w:ascii="Verdana" w:eastAsia="Calibri" w:hAnsi="Verdana" w:cs="Arial"/>
                <w:color w:val="000000" w:themeColor="text1"/>
                <w:lang w:val="es-ES_tradnl" w:eastAsia="es-ES_tradnl"/>
              </w:rPr>
            </w:pPr>
            <w:r w:rsidRPr="00DC0AD3">
              <w:rPr>
                <w:rFonts w:ascii="Verdana" w:eastAsia="Calibri" w:hAnsi="Verdana" w:cs="Arial"/>
                <w:color w:val="000000" w:themeColor="text1"/>
                <w:lang w:val="es-ES_tradnl" w:eastAsia="es-ES_tradnl"/>
              </w:rPr>
              <w:t xml:space="preserve">Respuesta a consulta con radicado No. </w:t>
            </w:r>
            <w:r w:rsidRPr="0033052E">
              <w:rPr>
                <w:rFonts w:ascii="Verdana" w:eastAsia="Calibri" w:hAnsi="Verdana" w:cs="Arial"/>
                <w:color w:val="000000" w:themeColor="text1"/>
                <w:lang w:eastAsia="es-ES_tradnl"/>
              </w:rPr>
              <w:t>1_2025_10_22_011820</w:t>
            </w:r>
          </w:p>
        </w:tc>
      </w:tr>
    </w:tbl>
    <w:p w14:paraId="2DF6F507" w14:textId="77777777" w:rsidR="006667C3" w:rsidRPr="00DC0AD3" w:rsidRDefault="006667C3" w:rsidP="006667C3">
      <w:pPr>
        <w:spacing w:after="0" w:line="240" w:lineRule="auto"/>
        <w:jc w:val="both"/>
        <w:rPr>
          <w:rFonts w:ascii="Verdana" w:eastAsia="Calibri" w:hAnsi="Verdana" w:cs="Arial"/>
          <w:color w:val="000000"/>
          <w:lang w:val="es-ES_tradnl" w:eastAsia="es-ES_tradnl"/>
        </w:rPr>
      </w:pPr>
    </w:p>
    <w:p w14:paraId="7622DB51" w14:textId="77777777" w:rsidR="006667C3" w:rsidRPr="00DC0AD3" w:rsidRDefault="006667C3" w:rsidP="006667C3">
      <w:pPr>
        <w:spacing w:after="0" w:line="240" w:lineRule="auto"/>
        <w:jc w:val="both"/>
        <w:rPr>
          <w:rFonts w:ascii="Verdana" w:eastAsia="Calibri" w:hAnsi="Verdana" w:cs="Arial"/>
          <w:color w:val="000000" w:themeColor="text1"/>
          <w:lang w:val="es-ES_tradnl" w:eastAsia="es-ES_tradnl"/>
        </w:rPr>
      </w:pPr>
    </w:p>
    <w:p w14:paraId="3244A119" w14:textId="77777777" w:rsidR="006667C3" w:rsidRPr="00DC0AD3" w:rsidRDefault="006667C3" w:rsidP="006667C3">
      <w:pPr>
        <w:spacing w:after="0" w:line="276" w:lineRule="auto"/>
        <w:jc w:val="both"/>
        <w:rPr>
          <w:rFonts w:ascii="Verdana" w:eastAsia="Calibri" w:hAnsi="Verdana" w:cs="Arial"/>
          <w:color w:val="000000" w:themeColor="text1"/>
          <w:lang w:val="es-ES" w:eastAsia="es-ES"/>
        </w:rPr>
      </w:pPr>
      <w:r w:rsidRPr="00DC0AD3">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DC0AD3">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r w:rsidRPr="00DC0AD3">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Prada</w:t>
      </w:r>
      <w:r w:rsidRPr="00DC0AD3">
        <w:rPr>
          <w:rFonts w:ascii="Verdana" w:eastAsia="Calibri" w:hAnsi="Verdana" w:cs="Arial"/>
          <w:color w:val="000000" w:themeColor="text1"/>
          <w:lang w:val="es-ES" w:eastAsia="es-ES"/>
        </w:rPr>
        <w:t xml:space="preserve">: </w:t>
      </w:r>
    </w:p>
    <w:p w14:paraId="0DE4FA80" w14:textId="77777777" w:rsidR="006667C3" w:rsidRPr="00DC0AD3" w:rsidRDefault="006667C3" w:rsidP="006667C3">
      <w:pPr>
        <w:tabs>
          <w:tab w:val="left" w:pos="3768"/>
        </w:tabs>
        <w:spacing w:after="0" w:line="276" w:lineRule="auto"/>
        <w:jc w:val="both"/>
        <w:rPr>
          <w:rFonts w:ascii="Verdana" w:eastAsia="Calibri" w:hAnsi="Verdana" w:cs="Arial"/>
          <w:color w:val="000000" w:themeColor="text1"/>
          <w:lang w:val="es-ES" w:eastAsia="es-ES"/>
        </w:rPr>
      </w:pPr>
      <w:r w:rsidRPr="00DC0AD3">
        <w:rPr>
          <w:rFonts w:ascii="Verdana" w:eastAsia="Calibri" w:hAnsi="Verdana" w:cs="Arial"/>
          <w:color w:val="000000" w:themeColor="text1"/>
          <w:lang w:val="es-ES" w:eastAsia="es-ES"/>
        </w:rPr>
        <w:tab/>
      </w:r>
    </w:p>
    <w:p w14:paraId="7414192F" w14:textId="77777777" w:rsidR="00AF04AA" w:rsidRDefault="006667C3" w:rsidP="006667C3">
      <w:pPr>
        <w:spacing w:after="0" w:line="276" w:lineRule="auto"/>
        <w:jc w:val="both"/>
        <w:rPr>
          <w:rFonts w:ascii="Verdana" w:eastAsia="Calibri" w:hAnsi="Verdana" w:cs="Arial"/>
          <w:color w:val="000000" w:themeColor="text1"/>
          <w:lang w:val="es-ES" w:eastAsia="es-ES"/>
        </w:rPr>
      </w:pPr>
      <w:r w:rsidRPr="00DC0AD3">
        <w:rPr>
          <w:rFonts w:ascii="Verdana" w:eastAsia="Calibri" w:hAnsi="Verdana" w:cs="Arial"/>
          <w:color w:val="000000" w:themeColor="text1"/>
          <w:lang w:val="es-ES" w:eastAsia="es-ES"/>
        </w:rPr>
        <w:t>En ejercicio de la competencia otorgada por los artículos 3, numeral 5º, y 11, numeral 8º, del Decreto Ley 4170 de 2011,</w:t>
      </w:r>
      <w:r w:rsidRPr="00DC0AD3">
        <w:rPr>
          <w:rFonts w:ascii="Verdana" w:eastAsia="Arial MT" w:hAnsi="Verdana" w:cs="Arial MT"/>
          <w:lang w:val="es-ES" w:eastAsia="es-ES"/>
        </w:rPr>
        <w:t xml:space="preserve"> </w:t>
      </w:r>
      <w:r w:rsidRPr="00DC0AD3">
        <w:rPr>
          <w:rFonts w:ascii="Verdana" w:hAnsi="Verdana" w:cs="Arial"/>
        </w:rPr>
        <w:t xml:space="preserve">así como lo establecido en el artículo 4 de la Resolución 1707 de 2018 expedida por esta Entidad, </w:t>
      </w:r>
      <w:r w:rsidRPr="00DC0AD3">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2</w:t>
      </w:r>
      <w:r w:rsidR="00B053B5">
        <w:rPr>
          <w:rFonts w:ascii="Verdana" w:eastAsia="Calibri" w:hAnsi="Verdana" w:cs="Arial"/>
          <w:color w:val="000000" w:themeColor="text1"/>
          <w:lang w:val="es-ES" w:eastAsia="es-ES"/>
        </w:rPr>
        <w:t xml:space="preserve">2 </w:t>
      </w:r>
      <w:r>
        <w:rPr>
          <w:rFonts w:ascii="Verdana" w:eastAsia="Calibri" w:hAnsi="Verdana" w:cs="Arial"/>
          <w:color w:val="000000" w:themeColor="text1"/>
          <w:lang w:val="es-ES" w:eastAsia="es-ES"/>
        </w:rPr>
        <w:t xml:space="preserve">de octubre </w:t>
      </w:r>
      <w:r w:rsidRPr="00DC0AD3">
        <w:rPr>
          <w:rFonts w:ascii="Verdana" w:eastAsia="Calibri" w:hAnsi="Verdana" w:cs="Arial"/>
          <w:color w:val="000000" w:themeColor="text1"/>
          <w:lang w:val="es-ES" w:eastAsia="es-ES"/>
        </w:rPr>
        <w:t>de 2025, en la cual manifiesta lo siguiente:</w:t>
      </w:r>
    </w:p>
    <w:p w14:paraId="246ABFBE" w14:textId="75590B51" w:rsidR="006667C3" w:rsidRPr="0027399F" w:rsidRDefault="006667C3" w:rsidP="006667C3">
      <w:pPr>
        <w:spacing w:after="0" w:line="276" w:lineRule="auto"/>
        <w:jc w:val="both"/>
        <w:rPr>
          <w:rFonts w:ascii="Verdana" w:eastAsia="Calibri" w:hAnsi="Verdana" w:cs="Arial"/>
          <w:color w:val="000000" w:themeColor="text1"/>
          <w:lang w:val="es-ES" w:eastAsia="es-ES"/>
        </w:rPr>
      </w:pPr>
      <w:r w:rsidRPr="00DC0AD3">
        <w:rPr>
          <w:rFonts w:ascii="Verdana" w:eastAsia="Calibri" w:hAnsi="Verdana" w:cs="Arial"/>
          <w:color w:val="000000" w:themeColor="text1"/>
          <w:lang w:val="es-ES" w:eastAsia="es-ES"/>
        </w:rPr>
        <w:t xml:space="preserve"> </w:t>
      </w:r>
    </w:p>
    <w:p w14:paraId="2E4A9B30" w14:textId="77777777" w:rsidR="006667C3" w:rsidRPr="0033052E" w:rsidRDefault="006667C3" w:rsidP="00AF04AA">
      <w:pPr>
        <w:spacing w:after="0" w:line="240" w:lineRule="auto"/>
        <w:ind w:left="709" w:right="709"/>
        <w:jc w:val="both"/>
        <w:rPr>
          <w:rFonts w:ascii="Verdana" w:eastAsia="Century Gothic" w:hAnsi="Verdana" w:cs="Century Gothic"/>
          <w:color w:val="000000" w:themeColor="text1"/>
          <w:sz w:val="20"/>
          <w:szCs w:val="20"/>
        </w:rPr>
      </w:pPr>
      <w:bookmarkStart w:id="1" w:name="_Hlk95313578"/>
      <w:r w:rsidRPr="00DC0AD3">
        <w:rPr>
          <w:rFonts w:ascii="Verdana" w:eastAsia="Century Gothic" w:hAnsi="Verdana" w:cs="Century Gothic"/>
          <w:color w:val="000000" w:themeColor="text1"/>
          <w:sz w:val="20"/>
          <w:szCs w:val="20"/>
          <w:lang w:val="es-ES"/>
        </w:rPr>
        <w:t>“</w:t>
      </w:r>
      <w:r w:rsidRPr="0033052E">
        <w:rPr>
          <w:rFonts w:ascii="Verdana" w:eastAsia="Century Gothic" w:hAnsi="Verdana" w:cs="Century Gothic"/>
          <w:color w:val="000000" w:themeColor="text1"/>
          <w:sz w:val="20"/>
          <w:szCs w:val="20"/>
        </w:rPr>
        <w:t>De acuerdo con los documentos "</w:t>
      </w:r>
      <w:r w:rsidRPr="0033052E">
        <w:rPr>
          <w:rFonts w:ascii="Verdana" w:eastAsia="Century Gothic" w:hAnsi="Verdana" w:cs="Century Gothic"/>
          <w:color w:val="000000" w:themeColor="text1"/>
          <w:sz w:val="20"/>
          <w:szCs w:val="20"/>
          <w:u w:val="single"/>
        </w:rPr>
        <w:t>cce manual_para_el_manejo_de_acuerdos_comerciales_vf</w:t>
      </w:r>
      <w:r w:rsidRPr="0033052E">
        <w:rPr>
          <w:rFonts w:ascii="Verdana" w:eastAsia="Century Gothic" w:hAnsi="Verdana" w:cs="Century Gothic"/>
          <w:color w:val="000000" w:themeColor="text1"/>
          <w:sz w:val="20"/>
          <w:szCs w:val="20"/>
        </w:rPr>
        <w:t>" y "</w:t>
      </w:r>
      <w:r w:rsidRPr="0033052E">
        <w:rPr>
          <w:rFonts w:ascii="Verdana" w:eastAsia="Century Gothic" w:hAnsi="Verdana" w:cs="Century Gothic"/>
          <w:color w:val="000000" w:themeColor="text1"/>
          <w:sz w:val="20"/>
          <w:szCs w:val="20"/>
          <w:u w:val="single"/>
        </w:rPr>
        <w:t>umbral_de_mipymes_2025_ y acuerdos comerciales</w:t>
      </w:r>
      <w:r w:rsidRPr="0033052E">
        <w:rPr>
          <w:rFonts w:ascii="Verdana" w:eastAsia="Century Gothic" w:hAnsi="Verdana" w:cs="Century Gothic"/>
          <w:color w:val="000000" w:themeColor="text1"/>
          <w:sz w:val="20"/>
          <w:szCs w:val="20"/>
        </w:rPr>
        <w:t>" </w:t>
      </w:r>
    </w:p>
    <w:p w14:paraId="7F305EFE" w14:textId="77777777" w:rsidR="006667C3" w:rsidRPr="0033052E" w:rsidRDefault="006667C3" w:rsidP="00AF04AA">
      <w:pPr>
        <w:spacing w:after="0" w:line="240" w:lineRule="auto"/>
        <w:ind w:left="709" w:right="709"/>
        <w:jc w:val="both"/>
        <w:rPr>
          <w:rFonts w:ascii="Verdana" w:eastAsia="Century Gothic" w:hAnsi="Verdana" w:cs="Century Gothic"/>
          <w:color w:val="000000" w:themeColor="text1"/>
          <w:sz w:val="20"/>
          <w:szCs w:val="20"/>
        </w:rPr>
      </w:pPr>
    </w:p>
    <w:p w14:paraId="7DB93F50" w14:textId="77777777" w:rsidR="006667C3" w:rsidRPr="0033052E" w:rsidRDefault="006667C3" w:rsidP="00AF04AA">
      <w:pPr>
        <w:spacing w:after="0" w:line="240" w:lineRule="auto"/>
        <w:ind w:left="720" w:right="709"/>
        <w:jc w:val="both"/>
        <w:rPr>
          <w:rFonts w:ascii="Verdana" w:eastAsia="Century Gothic" w:hAnsi="Verdana" w:cs="Century Gothic"/>
          <w:color w:val="000000" w:themeColor="text1"/>
          <w:sz w:val="20"/>
          <w:szCs w:val="20"/>
        </w:rPr>
      </w:pPr>
      <w:r>
        <w:rPr>
          <w:rFonts w:ascii="Verdana" w:eastAsia="Century Gothic" w:hAnsi="Verdana" w:cs="Century Gothic"/>
          <w:color w:val="000000" w:themeColor="text1"/>
          <w:sz w:val="20"/>
          <w:szCs w:val="20"/>
        </w:rPr>
        <w:t>1.</w:t>
      </w:r>
      <w:r w:rsidRPr="0033052E">
        <w:rPr>
          <w:rFonts w:ascii="Verdana" w:eastAsia="Century Gothic" w:hAnsi="Verdana" w:cs="Century Gothic"/>
          <w:color w:val="000000" w:themeColor="text1"/>
          <w:sz w:val="20"/>
          <w:szCs w:val="20"/>
        </w:rPr>
        <w:t>¿Podrían indicar qué entidades deben tomar el valor de los Acuerdos comerciales relacionados en la línea "Central Bienes y Servicios" y quienes en la línea "Sub-Central bienes y servicios? o como en el caso de Alianza Pacifico, ¿Qué entidades están en la Sección A, B o C?</w:t>
      </w:r>
    </w:p>
    <w:p w14:paraId="46BEE8CE" w14:textId="77777777" w:rsidR="006667C3" w:rsidRDefault="006667C3" w:rsidP="00AF04AA">
      <w:pPr>
        <w:spacing w:after="0" w:line="240" w:lineRule="auto"/>
        <w:ind w:left="709" w:right="709"/>
        <w:jc w:val="both"/>
        <w:rPr>
          <w:rStyle w:val="normaltextrun"/>
          <w:rFonts w:ascii="Verdana" w:hAnsi="Verdana" w:cs="Arial"/>
          <w:color w:val="000000" w:themeColor="text1"/>
          <w:sz w:val="20"/>
          <w:szCs w:val="20"/>
          <w:shd w:val="clear" w:color="auto" w:fill="FFFFFF"/>
          <w:lang w:val="es-ES"/>
        </w:rPr>
      </w:pPr>
      <w:r w:rsidRPr="00DC0AD3">
        <w:rPr>
          <w:rFonts w:ascii="Verdana" w:eastAsia="Century Gothic" w:hAnsi="Verdana" w:cs="Century Gothic"/>
          <w:color w:val="000000" w:themeColor="text1"/>
          <w:sz w:val="20"/>
          <w:szCs w:val="20"/>
        </w:rPr>
        <w:t xml:space="preserve"> </w:t>
      </w:r>
      <w:r w:rsidRPr="00DC0AD3">
        <w:rPr>
          <w:rStyle w:val="normaltextrun"/>
          <w:rFonts w:ascii="Verdana" w:hAnsi="Verdana" w:cs="Arial"/>
          <w:color w:val="000000" w:themeColor="text1"/>
          <w:sz w:val="20"/>
          <w:szCs w:val="20"/>
          <w:shd w:val="clear" w:color="auto" w:fill="FFFFFF"/>
          <w:lang w:val="es-ES"/>
        </w:rPr>
        <w:t>[…]</w:t>
      </w:r>
    </w:p>
    <w:p w14:paraId="24F613B5" w14:textId="77777777" w:rsidR="006667C3" w:rsidRPr="0033052E" w:rsidRDefault="006667C3" w:rsidP="00AF04AA">
      <w:pPr>
        <w:spacing w:after="0" w:line="240" w:lineRule="auto"/>
        <w:ind w:left="720" w:right="709"/>
        <w:jc w:val="both"/>
        <w:rPr>
          <w:rFonts w:ascii="Verdana" w:eastAsia="Century Gothic" w:hAnsi="Verdana" w:cs="Century Gothic"/>
          <w:color w:val="000000" w:themeColor="text1"/>
          <w:sz w:val="20"/>
          <w:szCs w:val="20"/>
        </w:rPr>
      </w:pPr>
      <w:r>
        <w:rPr>
          <w:rFonts w:ascii="Verdana" w:eastAsia="Century Gothic" w:hAnsi="Verdana" w:cs="Century Gothic"/>
          <w:color w:val="000000" w:themeColor="text1"/>
          <w:sz w:val="20"/>
          <w:szCs w:val="20"/>
        </w:rPr>
        <w:t xml:space="preserve">2. </w:t>
      </w:r>
      <w:r w:rsidRPr="0033052E">
        <w:rPr>
          <w:rFonts w:ascii="Verdana" w:eastAsia="Century Gothic" w:hAnsi="Verdana" w:cs="Century Gothic"/>
          <w:color w:val="000000" w:themeColor="text1"/>
          <w:sz w:val="20"/>
          <w:szCs w:val="20"/>
        </w:rPr>
        <w:t>En qué parte del documento "</w:t>
      </w:r>
      <w:r w:rsidRPr="0033052E">
        <w:rPr>
          <w:rFonts w:ascii="Verdana" w:eastAsia="Century Gothic" w:hAnsi="Verdana" w:cs="Century Gothic"/>
          <w:color w:val="000000" w:themeColor="text1"/>
          <w:sz w:val="20"/>
          <w:szCs w:val="20"/>
          <w:u w:val="single"/>
        </w:rPr>
        <w:t>cce manual_para_el_manejo_de_acuerdos_comerciales_vf"</w:t>
      </w:r>
      <w:r w:rsidRPr="0033052E">
        <w:rPr>
          <w:rFonts w:ascii="Verdana" w:eastAsia="Century Gothic" w:hAnsi="Verdana" w:cs="Century Gothic"/>
          <w:color w:val="000000" w:themeColor="text1"/>
          <w:sz w:val="20"/>
          <w:szCs w:val="20"/>
        </w:rPr>
        <w:t> se indica cuando tomar uno y cuando el otro?</w:t>
      </w:r>
    </w:p>
    <w:p w14:paraId="0F5EDDAD" w14:textId="77777777" w:rsidR="006667C3" w:rsidRPr="0033052E" w:rsidRDefault="006667C3" w:rsidP="00AF04AA">
      <w:pPr>
        <w:spacing w:after="0" w:line="240" w:lineRule="auto"/>
        <w:ind w:left="709" w:right="709"/>
        <w:jc w:val="both"/>
        <w:rPr>
          <w:rFonts w:ascii="Verdana" w:eastAsia="Century Gothic" w:hAnsi="Verdana" w:cs="Century Gothic"/>
          <w:color w:val="000000" w:themeColor="text1"/>
          <w:sz w:val="20"/>
          <w:szCs w:val="20"/>
        </w:rPr>
      </w:pPr>
    </w:p>
    <w:p w14:paraId="456ADDEF" w14:textId="77777777" w:rsidR="006667C3" w:rsidRPr="00DC0AD3" w:rsidRDefault="006667C3" w:rsidP="00AF04AA">
      <w:pPr>
        <w:spacing w:after="0" w:line="240" w:lineRule="auto"/>
        <w:ind w:left="720" w:right="709"/>
        <w:jc w:val="both"/>
        <w:rPr>
          <w:rFonts w:ascii="Verdana" w:eastAsia="Century Gothic" w:hAnsi="Verdana" w:cs="Century Gothic"/>
          <w:color w:val="000000" w:themeColor="text1"/>
          <w:sz w:val="20"/>
          <w:szCs w:val="20"/>
        </w:rPr>
      </w:pPr>
      <w:r>
        <w:rPr>
          <w:rFonts w:ascii="Verdana" w:eastAsia="Century Gothic" w:hAnsi="Verdana" w:cs="Century Gothic"/>
          <w:color w:val="000000" w:themeColor="text1"/>
          <w:sz w:val="20"/>
          <w:szCs w:val="20"/>
        </w:rPr>
        <w:t xml:space="preserve">3. </w:t>
      </w:r>
      <w:r w:rsidRPr="0033052E">
        <w:rPr>
          <w:rFonts w:ascii="Verdana" w:eastAsia="Century Gothic" w:hAnsi="Verdana" w:cs="Century Gothic"/>
          <w:color w:val="000000" w:themeColor="text1"/>
          <w:sz w:val="20"/>
          <w:szCs w:val="20"/>
        </w:rPr>
        <w:t>Porqué si en el documento "</w:t>
      </w:r>
      <w:r w:rsidRPr="0033052E">
        <w:rPr>
          <w:rFonts w:ascii="Verdana" w:eastAsia="Century Gothic" w:hAnsi="Verdana" w:cs="Century Gothic"/>
          <w:color w:val="000000" w:themeColor="text1"/>
          <w:sz w:val="20"/>
          <w:szCs w:val="20"/>
          <w:u w:val="single"/>
        </w:rPr>
        <w:t>cce manual_para_el_manejo_de_acuerdos_comerciales_vf"</w:t>
      </w:r>
      <w:r w:rsidRPr="0033052E">
        <w:rPr>
          <w:rFonts w:ascii="Verdana" w:eastAsia="Century Gothic" w:hAnsi="Verdana" w:cs="Century Gothic"/>
          <w:color w:val="000000" w:themeColor="text1"/>
          <w:sz w:val="20"/>
          <w:szCs w:val="20"/>
        </w:rPr>
        <w:t> aparece un valor en el acuerdo comercial, se relaciona otro valor en el documento "</w:t>
      </w:r>
      <w:r w:rsidRPr="0033052E">
        <w:rPr>
          <w:rFonts w:ascii="Verdana" w:eastAsia="Century Gothic" w:hAnsi="Verdana" w:cs="Century Gothic"/>
          <w:color w:val="000000" w:themeColor="text1"/>
          <w:sz w:val="20"/>
          <w:szCs w:val="20"/>
          <w:u w:val="single"/>
        </w:rPr>
        <w:t>umbral_de_mipymes_2025_ y acuerdos comerciales</w:t>
      </w:r>
      <w:r w:rsidRPr="0033052E">
        <w:rPr>
          <w:rFonts w:ascii="Verdana" w:eastAsia="Century Gothic" w:hAnsi="Verdana" w:cs="Century Gothic"/>
          <w:color w:val="000000" w:themeColor="text1"/>
          <w:sz w:val="20"/>
          <w:szCs w:val="20"/>
        </w:rPr>
        <w:t xml:space="preserve">"? </w:t>
      </w:r>
      <w:r>
        <w:rPr>
          <w:rFonts w:ascii="Verdana" w:eastAsia="Century Gothic" w:hAnsi="Verdana" w:cs="Century Gothic"/>
          <w:color w:val="000000" w:themeColor="text1"/>
          <w:sz w:val="20"/>
          <w:szCs w:val="20"/>
        </w:rPr>
        <w:t>[…]</w:t>
      </w:r>
      <w:r w:rsidRPr="00DC0AD3">
        <w:rPr>
          <w:rFonts w:ascii="Verdana" w:eastAsia="Century Gothic" w:hAnsi="Verdana" w:cs="Century Gothic"/>
          <w:color w:val="000000" w:themeColor="text1"/>
          <w:sz w:val="20"/>
          <w:szCs w:val="20"/>
          <w:lang w:val="es-ES"/>
        </w:rPr>
        <w:t>”</w:t>
      </w:r>
      <w:bookmarkEnd w:id="1"/>
      <w:r w:rsidRPr="00DC0AD3">
        <w:rPr>
          <w:rFonts w:ascii="Verdana" w:eastAsia="Century Gothic" w:hAnsi="Verdana" w:cs="Century Gothic"/>
          <w:color w:val="000000" w:themeColor="text1"/>
          <w:sz w:val="20"/>
          <w:szCs w:val="20"/>
          <w:lang w:val="es-ES"/>
        </w:rPr>
        <w:t>.</w:t>
      </w:r>
    </w:p>
    <w:p w14:paraId="2FD0FA7C" w14:textId="77777777" w:rsidR="006667C3" w:rsidRPr="00DC0AD3" w:rsidRDefault="006667C3" w:rsidP="006667C3">
      <w:pPr>
        <w:spacing w:after="0" w:line="240" w:lineRule="auto"/>
        <w:ind w:left="709" w:right="709"/>
        <w:jc w:val="both"/>
        <w:rPr>
          <w:rFonts w:ascii="Verdana" w:eastAsia="Century Gothic" w:hAnsi="Verdana" w:cs="Century Gothic"/>
          <w:color w:val="000000" w:themeColor="text1"/>
          <w:sz w:val="20"/>
          <w:szCs w:val="20"/>
          <w:lang w:val="es-ES"/>
        </w:rPr>
      </w:pPr>
    </w:p>
    <w:p w14:paraId="7F2626A8" w14:textId="77777777" w:rsidR="006667C3" w:rsidRPr="00DC0AD3" w:rsidRDefault="006667C3" w:rsidP="006667C3">
      <w:pPr>
        <w:spacing w:after="120" w:line="276" w:lineRule="auto"/>
        <w:ind w:firstLine="709"/>
        <w:jc w:val="both"/>
        <w:rPr>
          <w:rFonts w:ascii="Verdana" w:eastAsia="Calibri" w:hAnsi="Verdana" w:cs="Arial"/>
          <w:color w:val="000000"/>
          <w:szCs w:val="24"/>
          <w:lang w:val="es-ES_tradnl" w:eastAsia="es-ES_tradnl"/>
        </w:rPr>
      </w:pPr>
      <w:r w:rsidRPr="00DC0AD3">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C0AD3">
        <w:rPr>
          <w:rFonts w:ascii="Verdana" w:eastAsia="Calibri" w:hAnsi="Verdana" w:cs="Arial"/>
          <w:color w:val="000000"/>
          <w:szCs w:val="24"/>
          <w:lang w:val="es-ES_tradnl" w:eastAsia="es-ES_tradnl"/>
        </w:rPr>
        <w:tab/>
      </w:r>
    </w:p>
    <w:p w14:paraId="75A60366" w14:textId="77777777" w:rsidR="006667C3" w:rsidRPr="00DC0AD3" w:rsidRDefault="006667C3" w:rsidP="006667C3">
      <w:pPr>
        <w:spacing w:after="0" w:line="276" w:lineRule="auto"/>
        <w:ind w:firstLine="709"/>
        <w:jc w:val="both"/>
        <w:rPr>
          <w:rFonts w:ascii="Verdana" w:eastAsia="Calibri" w:hAnsi="Verdana" w:cs="Arial"/>
          <w:color w:val="000000"/>
          <w:lang w:val="es-ES" w:eastAsia="es-ES"/>
        </w:rPr>
      </w:pPr>
      <w:r w:rsidRPr="00DC0AD3">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lang w:val="es-ES" w:eastAsia="es-ES"/>
        </w:rPr>
        <w:t xml:space="preserve">el </w:t>
      </w:r>
      <w:r w:rsidRPr="00DC0AD3">
        <w:rPr>
          <w:rFonts w:ascii="Verdana" w:eastAsia="Calibri" w:hAnsi="Verdana" w:cs="Arial"/>
          <w:color w:val="000000"/>
          <w:lang w:val="es-ES" w:eastAsia="es-ES"/>
        </w:rPr>
        <w:t>problema</w:t>
      </w:r>
      <w:r w:rsidRPr="00DC0AD3">
        <w:rPr>
          <w:rFonts w:ascii="Verdana" w:eastAsia="Calibri" w:hAnsi="Verdana" w:cs="Arial"/>
          <w:color w:val="7030A0"/>
          <w:lang w:val="es-ES" w:eastAsia="es-ES"/>
        </w:rPr>
        <w:t xml:space="preserve"> </w:t>
      </w:r>
      <w:r w:rsidRPr="00DC0AD3">
        <w:rPr>
          <w:rFonts w:ascii="Verdana" w:eastAsia="Calibri" w:hAnsi="Verdana" w:cs="Arial"/>
          <w:color w:val="000000"/>
          <w:lang w:val="es-ES" w:eastAsia="es-ES"/>
        </w:rPr>
        <w:t>jurídico</w:t>
      </w:r>
      <w:r w:rsidRPr="00DC0AD3">
        <w:rPr>
          <w:rFonts w:ascii="Verdana" w:eastAsia="Calibri" w:hAnsi="Verdana" w:cs="Arial"/>
          <w:color w:val="7030A0"/>
          <w:lang w:val="es-ES" w:eastAsia="es-ES"/>
        </w:rPr>
        <w:t xml:space="preserve"> </w:t>
      </w:r>
      <w:r w:rsidRPr="00DC0AD3">
        <w:rPr>
          <w:rFonts w:ascii="Verdana" w:eastAsia="Calibri" w:hAnsi="Verdana" w:cs="Arial"/>
          <w:color w:val="000000"/>
          <w:lang w:val="es-ES" w:eastAsia="es-ES"/>
        </w:rPr>
        <w:t xml:space="preserve">de su consulta. </w:t>
      </w:r>
    </w:p>
    <w:p w14:paraId="7CDD505E" w14:textId="77777777" w:rsidR="006667C3" w:rsidRPr="00DC0AD3" w:rsidRDefault="006667C3" w:rsidP="006667C3">
      <w:pPr>
        <w:spacing w:after="0" w:line="276" w:lineRule="auto"/>
        <w:ind w:firstLine="709"/>
        <w:jc w:val="both"/>
        <w:rPr>
          <w:rFonts w:ascii="Verdana" w:eastAsia="Calibri" w:hAnsi="Verdana" w:cs="Arial"/>
          <w:color w:val="000000"/>
          <w:lang w:val="es-ES" w:eastAsia="es-ES"/>
        </w:rPr>
      </w:pPr>
    </w:p>
    <w:p w14:paraId="51613124" w14:textId="77777777" w:rsidR="006667C3" w:rsidRPr="00DC0AD3" w:rsidRDefault="006667C3" w:rsidP="006667C3">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C0AD3">
        <w:rPr>
          <w:rFonts w:ascii="Verdana" w:eastAsia="Century Gothic" w:hAnsi="Verdana" w:cs="Century Gothic"/>
          <w:b/>
          <w:bCs/>
        </w:rPr>
        <w:t>Problema planteado:</w:t>
      </w:r>
    </w:p>
    <w:p w14:paraId="18A709D2" w14:textId="77777777" w:rsidR="006667C3" w:rsidRPr="00DC0AD3" w:rsidRDefault="006667C3" w:rsidP="006667C3">
      <w:pPr>
        <w:tabs>
          <w:tab w:val="left" w:pos="426"/>
        </w:tabs>
        <w:spacing w:after="0" w:line="276" w:lineRule="auto"/>
        <w:jc w:val="both"/>
        <w:rPr>
          <w:rFonts w:ascii="Verdana" w:eastAsia="Century Gothic" w:hAnsi="Verdana" w:cs="Century Gothic"/>
          <w:lang w:val="es-ES"/>
        </w:rPr>
      </w:pPr>
    </w:p>
    <w:p w14:paraId="5B308BAA" w14:textId="416F4485" w:rsidR="006667C3" w:rsidRPr="00DC0AD3" w:rsidRDefault="006667C3" w:rsidP="006667C3">
      <w:pPr>
        <w:spacing w:after="0" w:line="276" w:lineRule="auto"/>
        <w:jc w:val="both"/>
        <w:rPr>
          <w:rFonts w:ascii="Verdana" w:eastAsia="Century Gothic" w:hAnsi="Verdana" w:cs="Century Gothic"/>
          <w:color w:val="7030A0"/>
        </w:rPr>
      </w:pPr>
      <w:r w:rsidRPr="00DC0AD3">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el siguiente </w:t>
      </w:r>
      <w:r w:rsidRPr="00DC0AD3">
        <w:rPr>
          <w:rFonts w:ascii="Verdana" w:eastAsia="Century Gothic" w:hAnsi="Verdana" w:cs="Century Gothic"/>
        </w:rPr>
        <w:t>problema jurídico: ¿</w:t>
      </w:r>
      <w:r>
        <w:rPr>
          <w:rFonts w:ascii="Verdana" w:eastAsia="Century Gothic" w:hAnsi="Verdana" w:cs="Century Gothic"/>
        </w:rPr>
        <w:t>cómo se determina la cobertura y el umbral para la aplicación de un acuerdo comercial?</w:t>
      </w:r>
      <w:r w:rsidRPr="00DC0AD3">
        <w:rPr>
          <w:rFonts w:ascii="Verdana" w:eastAsia="Century Gothic" w:hAnsi="Verdana" w:cs="Century Gothic"/>
          <w:color w:val="7030A0"/>
        </w:rPr>
        <w:t xml:space="preserve"> </w:t>
      </w:r>
    </w:p>
    <w:p w14:paraId="706AD272" w14:textId="77777777" w:rsidR="006667C3" w:rsidRPr="00DC0AD3" w:rsidRDefault="006667C3" w:rsidP="006667C3">
      <w:pPr>
        <w:spacing w:after="0" w:line="276" w:lineRule="auto"/>
        <w:jc w:val="both"/>
        <w:rPr>
          <w:rFonts w:ascii="Verdana" w:eastAsia="Calibri" w:hAnsi="Verdana" w:cs="Arial"/>
          <w:color w:val="7030A0"/>
          <w:lang w:val="es-ES"/>
        </w:rPr>
      </w:pPr>
    </w:p>
    <w:p w14:paraId="4D184983" w14:textId="77777777" w:rsidR="006667C3" w:rsidRPr="00DC0AD3" w:rsidRDefault="006667C3" w:rsidP="006667C3">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C0AD3">
        <w:rPr>
          <w:rFonts w:ascii="Verdana" w:eastAsia="Century Gothic" w:hAnsi="Verdana" w:cs="Century Gothic"/>
          <w:b/>
          <w:bCs/>
        </w:rPr>
        <w:t>Respuesta:</w:t>
      </w:r>
    </w:p>
    <w:p w14:paraId="37C90839" w14:textId="77777777" w:rsidR="006667C3" w:rsidRPr="00DC0AD3" w:rsidRDefault="006667C3" w:rsidP="006667C3">
      <w:pPr>
        <w:tabs>
          <w:tab w:val="left" w:pos="142"/>
          <w:tab w:val="left" w:pos="284"/>
        </w:tabs>
        <w:spacing w:after="0" w:line="276" w:lineRule="auto"/>
        <w:jc w:val="both"/>
        <w:rPr>
          <w:rFonts w:ascii="Verdana" w:eastAsia="Century Gothic" w:hAnsi="Verdana" w:cs="Century Gothic"/>
          <w:b/>
          <w:bCs/>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667C3" w:rsidRPr="00DC0AD3" w14:paraId="79CC3493" w14:textId="77777777" w:rsidTr="000363B3">
        <w:tc>
          <w:tcPr>
            <w:tcW w:w="8828" w:type="dxa"/>
          </w:tcPr>
          <w:p w14:paraId="364D402F" w14:textId="0899F32F" w:rsidR="006667C3" w:rsidRDefault="00B053B5" w:rsidP="00B053B5">
            <w:pPr>
              <w:spacing w:before="120" w:line="276" w:lineRule="auto"/>
              <w:jc w:val="both"/>
              <w:rPr>
                <w:rFonts w:ascii="Verdana" w:eastAsia="Times New Roman" w:hAnsi="Verdana" w:cs="Arial"/>
                <w:lang w:eastAsia="es-ES"/>
              </w:rPr>
            </w:pPr>
            <w:r>
              <w:rPr>
                <w:rFonts w:ascii="Verdana" w:eastAsia="Times New Roman" w:hAnsi="Verdana" w:cs="Arial"/>
                <w:lang w:eastAsia="es-ES"/>
              </w:rPr>
              <w:t>L</w:t>
            </w:r>
            <w:r w:rsidR="006667C3" w:rsidRPr="00DC0AD3">
              <w:rPr>
                <w:rFonts w:ascii="Verdana" w:eastAsia="Times New Roman" w:hAnsi="Verdana" w:cs="Arial"/>
                <w:lang w:eastAsia="es-ES"/>
              </w:rPr>
              <w:t xml:space="preserve">as Entidades Estatales tienen la obligación de identificar los acuerdos comerciales aplicables a sus procesos de contratación, y de esta manera cumplir con las obligaciones internacionales en materia de compras y contratación pública. Para esto, deben tener en cuenta que los capítulos de compras públicas de </w:t>
            </w:r>
            <w:r w:rsidR="006667C3">
              <w:rPr>
                <w:rFonts w:ascii="Verdana" w:eastAsia="Times New Roman" w:hAnsi="Verdana" w:cs="Arial"/>
                <w:lang w:eastAsia="es-ES"/>
              </w:rPr>
              <w:t>cada</w:t>
            </w:r>
            <w:r w:rsidR="006667C3" w:rsidRPr="00DC0AD3">
              <w:rPr>
                <w:rFonts w:ascii="Verdana" w:eastAsia="Times New Roman" w:hAnsi="Verdana" w:cs="Arial"/>
                <w:lang w:eastAsia="es-ES"/>
              </w:rPr>
              <w:t xml:space="preserve"> acuerdo comercial señalan: (i) la cobertura específica, es decir, un listado de las entidades, los bienes y servicios cubiertos; (</w:t>
            </w:r>
            <w:proofErr w:type="spellStart"/>
            <w:r w:rsidR="006667C3" w:rsidRPr="00DC0AD3">
              <w:rPr>
                <w:rFonts w:ascii="Verdana" w:eastAsia="Times New Roman" w:hAnsi="Verdana" w:cs="Arial"/>
                <w:lang w:eastAsia="es-ES"/>
              </w:rPr>
              <w:t>ii</w:t>
            </w:r>
            <w:proofErr w:type="spellEnd"/>
            <w:r w:rsidR="006667C3" w:rsidRPr="00DC0AD3">
              <w:rPr>
                <w:rFonts w:ascii="Verdana" w:eastAsia="Times New Roman" w:hAnsi="Verdana" w:cs="Arial"/>
                <w:lang w:eastAsia="es-ES"/>
              </w:rPr>
              <w:t xml:space="preserve">) los valores a partir de los cuales el acuerdo comercial es </w:t>
            </w:r>
            <w:r w:rsidR="006667C3" w:rsidRPr="00DC0AD3">
              <w:rPr>
                <w:rFonts w:ascii="Verdana" w:eastAsia="Times New Roman" w:hAnsi="Verdana" w:cs="Arial"/>
                <w:lang w:eastAsia="es-ES"/>
              </w:rPr>
              <w:lastRenderedPageBreak/>
              <w:t>aplicable al proceso de contratación</w:t>
            </w:r>
            <w:r w:rsidR="006667C3">
              <w:rPr>
                <w:rFonts w:ascii="Verdana" w:eastAsia="Times New Roman" w:hAnsi="Verdana" w:cs="Arial"/>
                <w:lang w:eastAsia="es-ES"/>
              </w:rPr>
              <w:t xml:space="preserve"> (umbral)</w:t>
            </w:r>
            <w:r w:rsidR="006667C3" w:rsidRPr="00DC0AD3">
              <w:rPr>
                <w:rFonts w:ascii="Verdana" w:eastAsia="Times New Roman" w:hAnsi="Verdana" w:cs="Arial"/>
                <w:lang w:eastAsia="es-ES"/>
              </w:rPr>
              <w:t>, y (</w:t>
            </w:r>
            <w:proofErr w:type="spellStart"/>
            <w:r w:rsidR="006667C3" w:rsidRPr="00DC0AD3">
              <w:rPr>
                <w:rFonts w:ascii="Verdana" w:eastAsia="Times New Roman" w:hAnsi="Verdana" w:cs="Arial"/>
                <w:lang w:eastAsia="es-ES"/>
              </w:rPr>
              <w:t>iii</w:t>
            </w:r>
            <w:proofErr w:type="spellEnd"/>
            <w:r w:rsidR="006667C3" w:rsidRPr="00DC0AD3">
              <w:rPr>
                <w:rFonts w:ascii="Verdana" w:eastAsia="Times New Roman" w:hAnsi="Verdana" w:cs="Arial"/>
                <w:lang w:eastAsia="es-ES"/>
              </w:rPr>
              <w:t>) las excepciones a la aplicación del acuerdo comercial.</w:t>
            </w:r>
          </w:p>
          <w:p w14:paraId="67D8C82C" w14:textId="77777777" w:rsidR="00512274" w:rsidRDefault="006667C3" w:rsidP="00512274">
            <w:pPr>
              <w:spacing w:before="120" w:line="276" w:lineRule="auto"/>
              <w:ind w:firstLine="708"/>
              <w:jc w:val="both"/>
              <w:rPr>
                <w:rFonts w:ascii="Verdana" w:eastAsia="Times New Roman" w:hAnsi="Verdana" w:cs="Arial"/>
                <w:iCs/>
                <w:szCs w:val="24"/>
                <w:lang w:val="es-ES_tradnl" w:eastAsia="es-ES_tradnl"/>
              </w:rPr>
            </w:pPr>
            <w:r>
              <w:rPr>
                <w:rFonts w:ascii="Verdana" w:eastAsia="Times New Roman" w:hAnsi="Verdana" w:cs="Arial"/>
                <w:iCs/>
                <w:szCs w:val="24"/>
                <w:lang w:val="es-ES_tradnl" w:eastAsia="es-ES_tradnl"/>
              </w:rPr>
              <w:t xml:space="preserve">Así, para determinar la cobertura y el umbral específico de un acuerdo comercial </w:t>
            </w:r>
            <w:r w:rsidRPr="00DC0AD3">
              <w:rPr>
                <w:rFonts w:ascii="Verdana" w:eastAsia="Times New Roman" w:hAnsi="Verdana" w:cs="Arial"/>
                <w:iCs/>
                <w:szCs w:val="24"/>
                <w:lang w:val="es-ES_tradnl" w:eastAsia="es-ES_tradnl"/>
              </w:rPr>
              <w:t>las Entidades Estatales deberán verificar, en primer lugar,</w:t>
            </w:r>
            <w:r>
              <w:rPr>
                <w:rFonts w:ascii="Verdana" w:eastAsia="Times New Roman" w:hAnsi="Verdana" w:cs="Arial"/>
                <w:iCs/>
                <w:szCs w:val="24"/>
                <w:lang w:val="es-ES_tradnl" w:eastAsia="es-ES_tradnl"/>
              </w:rPr>
              <w:t xml:space="preserve"> el listado de entidades expresamente establecido en el texto del acuerdo, así como la metodología que disponga para determinar el umbral aplicable</w:t>
            </w:r>
            <w:r w:rsidRPr="00DC0AD3">
              <w:rPr>
                <w:rFonts w:ascii="Verdana" w:eastAsia="Times New Roman" w:hAnsi="Verdana" w:cs="Arial"/>
                <w:iCs/>
                <w:szCs w:val="24"/>
                <w:lang w:val="es-ES_tradnl" w:eastAsia="es-ES_tradnl"/>
              </w:rPr>
              <w:t xml:space="preserve">. Lo anterior, pues al artículo 2.2.1.2.4.1.1 del Decreto 1082 de 2015 señala expresamente que “las Entidades Estatales deben adelantar los Procesos de Contratación </w:t>
            </w:r>
            <w:r w:rsidRPr="00AF7791">
              <w:rPr>
                <w:rFonts w:ascii="Verdana" w:eastAsia="Times New Roman" w:hAnsi="Verdana" w:cs="Arial"/>
                <w:i/>
                <w:szCs w:val="24"/>
                <w:lang w:val="es-ES_tradnl" w:eastAsia="es-ES_tradnl"/>
              </w:rPr>
              <w:t>de acuerdo con lo previsto en los Acuerdos Comerciales</w:t>
            </w:r>
            <w:r w:rsidRPr="00DC0AD3">
              <w:rPr>
                <w:rFonts w:ascii="Verdana" w:eastAsia="Times New Roman" w:hAnsi="Verdana" w:cs="Arial"/>
                <w:iCs/>
                <w:szCs w:val="24"/>
                <w:lang w:val="es-ES_tradnl" w:eastAsia="es-ES_tradnl"/>
              </w:rPr>
              <w:t xml:space="preserve">, cuando estos les sean aplicables”. De esta manera, deberán verificar primero el texto del acuerdo y aplicar las reglas que allí se establezcan para </w:t>
            </w:r>
            <w:r>
              <w:rPr>
                <w:rFonts w:ascii="Verdana" w:eastAsia="Times New Roman" w:hAnsi="Verdana" w:cs="Arial"/>
                <w:iCs/>
                <w:szCs w:val="24"/>
                <w:lang w:val="es-ES_tradnl" w:eastAsia="es-ES_tradnl"/>
              </w:rPr>
              <w:t xml:space="preserve">determinar si es aplicable a la entidad y para </w:t>
            </w:r>
            <w:r w:rsidRPr="00DC0AD3">
              <w:rPr>
                <w:rFonts w:ascii="Verdana" w:eastAsia="Times New Roman" w:hAnsi="Verdana" w:cs="Arial"/>
                <w:iCs/>
                <w:szCs w:val="24"/>
                <w:lang w:val="es-ES_tradnl" w:eastAsia="es-ES_tradnl"/>
              </w:rPr>
              <w:t>la estimación del umbral.</w:t>
            </w:r>
          </w:p>
          <w:p w14:paraId="4F1AC2D6" w14:textId="2634E7E5" w:rsidR="006667C3" w:rsidRPr="00512274" w:rsidRDefault="00512274" w:rsidP="00512274">
            <w:pPr>
              <w:spacing w:before="120" w:line="276" w:lineRule="auto"/>
              <w:ind w:firstLine="708"/>
              <w:jc w:val="both"/>
              <w:rPr>
                <w:rFonts w:ascii="Verdana" w:eastAsia="Times New Roman" w:hAnsi="Verdana" w:cs="Arial"/>
                <w:iCs/>
                <w:szCs w:val="24"/>
                <w:lang w:val="es-ES_tradnl" w:eastAsia="es-ES_tradnl"/>
              </w:rPr>
            </w:pPr>
            <w:r>
              <w:rPr>
                <w:rFonts w:ascii="Verdana" w:eastAsia="Calibri" w:hAnsi="Verdana" w:cs="Arial"/>
                <w:color w:val="000000" w:themeColor="text1"/>
              </w:rPr>
              <w:t>C</w:t>
            </w:r>
            <w:r w:rsidR="006667C3">
              <w:rPr>
                <w:rFonts w:ascii="Verdana" w:eastAsia="Calibri" w:hAnsi="Verdana" w:cs="Arial"/>
                <w:color w:val="000000" w:themeColor="text1"/>
              </w:rPr>
              <w:t>on respecto a la primera pregunta planteada, las entidades deberán consultar primeramente el listado de entidades que incluye el texto del acuerdo comercial. Con el fin de facilitar la identificación de la cobertura del acuerdo, también se recomienda a las entidades tener en cuenta lo dispuesto en los Anexos No. 1, 2 y 3 del “M</w:t>
            </w:r>
            <w:r w:rsidR="006667C3" w:rsidRPr="00BC14DB">
              <w:rPr>
                <w:rFonts w:ascii="Verdana" w:eastAsia="Calibri" w:hAnsi="Verdana" w:cs="Arial"/>
                <w:color w:val="000000" w:themeColor="text1"/>
              </w:rPr>
              <w:t>anual para el manejo de los acuerdos comerciales en procesos de contratación</w:t>
            </w:r>
            <w:r w:rsidR="006667C3">
              <w:rPr>
                <w:rFonts w:ascii="Verdana" w:eastAsia="Calibri" w:hAnsi="Verdana" w:cs="Arial"/>
                <w:color w:val="000000" w:themeColor="text1"/>
              </w:rPr>
              <w:t>” de esta Agencia, el cual relaciona la cobertura de los distintos acuerdo según el nivel territorial de la entidad (nacional, departamental y municipal, respectivamente).</w:t>
            </w:r>
            <w:r w:rsidR="006667C3">
              <w:rPr>
                <w:rFonts w:ascii="Verdana" w:eastAsia="Times New Roman" w:hAnsi="Verdana" w:cs="Arial"/>
                <w:iCs/>
                <w:szCs w:val="24"/>
                <w:lang w:eastAsia="es-ES_tradnl"/>
              </w:rPr>
              <w:t xml:space="preserve"> </w:t>
            </w:r>
          </w:p>
          <w:p w14:paraId="50B168E1" w14:textId="77777777" w:rsidR="006667C3" w:rsidRDefault="006667C3" w:rsidP="00AE6AF1">
            <w:pPr>
              <w:spacing w:before="120" w:line="276" w:lineRule="auto"/>
              <w:ind w:firstLine="708"/>
              <w:jc w:val="both"/>
              <w:rPr>
                <w:rFonts w:ascii="Verdana" w:eastAsia="Times New Roman" w:hAnsi="Verdana" w:cs="Arial"/>
                <w:iCs/>
                <w:szCs w:val="24"/>
                <w:lang w:eastAsia="es-ES_tradnl"/>
              </w:rPr>
            </w:pPr>
            <w:r>
              <w:rPr>
                <w:rFonts w:ascii="Verdana" w:eastAsia="Times New Roman" w:hAnsi="Verdana" w:cs="Arial"/>
                <w:iCs/>
                <w:szCs w:val="24"/>
                <w:lang w:eastAsia="es-ES_tradnl"/>
              </w:rPr>
              <w:t xml:space="preserve">En cualquier caso, es importante reiterar que los anexos referidos enlistan las entidades que ya </w:t>
            </w:r>
            <w:r w:rsidRPr="00E158F6">
              <w:rPr>
                <w:rFonts w:ascii="Verdana" w:eastAsia="Times New Roman" w:hAnsi="Verdana" w:cs="Arial"/>
                <w:iCs/>
                <w:szCs w:val="24"/>
                <w:lang w:eastAsia="es-ES_tradnl"/>
              </w:rPr>
              <w:t xml:space="preserve">se encuentran </w:t>
            </w:r>
            <w:r>
              <w:rPr>
                <w:rFonts w:ascii="Verdana" w:eastAsia="Times New Roman" w:hAnsi="Verdana" w:cs="Arial"/>
                <w:iCs/>
                <w:szCs w:val="24"/>
                <w:lang w:eastAsia="es-ES_tradnl"/>
              </w:rPr>
              <w:t xml:space="preserve">incluidas </w:t>
            </w:r>
            <w:r w:rsidRPr="00E158F6">
              <w:rPr>
                <w:rFonts w:ascii="Verdana" w:eastAsia="Times New Roman" w:hAnsi="Verdana" w:cs="Arial"/>
                <w:iCs/>
                <w:szCs w:val="24"/>
                <w:lang w:eastAsia="es-ES_tradnl"/>
              </w:rPr>
              <w:t xml:space="preserve">en el texto del Acuerdo Comercial </w:t>
            </w:r>
            <w:r>
              <w:rPr>
                <w:rFonts w:ascii="Verdana" w:eastAsia="Times New Roman" w:hAnsi="Verdana" w:cs="Arial"/>
                <w:iCs/>
                <w:szCs w:val="24"/>
                <w:lang w:eastAsia="es-ES_tradnl"/>
              </w:rPr>
              <w:t xml:space="preserve">de manera </w:t>
            </w:r>
            <w:r w:rsidRPr="00E158F6">
              <w:rPr>
                <w:rFonts w:ascii="Verdana" w:eastAsia="Times New Roman" w:hAnsi="Verdana" w:cs="Arial"/>
                <w:iCs/>
                <w:szCs w:val="24"/>
                <w:lang w:eastAsia="es-ES_tradnl"/>
              </w:rPr>
              <w:t>textual</w:t>
            </w:r>
            <w:r>
              <w:rPr>
                <w:rFonts w:ascii="Verdana" w:eastAsia="Times New Roman" w:hAnsi="Verdana" w:cs="Arial"/>
                <w:iCs/>
                <w:szCs w:val="24"/>
                <w:lang w:eastAsia="es-ES_tradnl"/>
              </w:rPr>
              <w:t xml:space="preserve">, </w:t>
            </w:r>
            <w:r w:rsidRPr="00E158F6">
              <w:rPr>
                <w:rFonts w:ascii="Verdana" w:eastAsia="Times New Roman" w:hAnsi="Verdana" w:cs="Arial"/>
                <w:iCs/>
                <w:szCs w:val="24"/>
                <w:lang w:eastAsia="es-ES_tradnl"/>
              </w:rPr>
              <w:t>bien sea por nombre o por la categoría a la que pertenecen.</w:t>
            </w:r>
            <w:r>
              <w:rPr>
                <w:rFonts w:ascii="Verdana" w:eastAsia="Times New Roman" w:hAnsi="Verdana" w:cs="Arial"/>
                <w:iCs/>
                <w:szCs w:val="24"/>
                <w:lang w:eastAsia="es-ES_tradnl"/>
              </w:rPr>
              <w:t xml:space="preserve"> En este sentido, el manual compila e identifica las entidades que están cubiertas por cada acuerdo comercial según el orden al cual pertenece. Finalmente, s</w:t>
            </w:r>
            <w:r w:rsidRPr="00FC37F6">
              <w:rPr>
                <w:rFonts w:ascii="Verdana" w:eastAsia="Times New Roman" w:hAnsi="Verdana" w:cs="Arial"/>
                <w:iCs/>
                <w:szCs w:val="24"/>
                <w:lang w:eastAsia="es-ES_tradnl"/>
              </w:rPr>
              <w:t xml:space="preserve">in perjuicio de las particularidades de la cobertura dispuesta por cada Acuerdo Comercial, por regla general, las entidades del </w:t>
            </w:r>
            <w:r>
              <w:rPr>
                <w:rFonts w:ascii="Verdana" w:eastAsia="Times New Roman" w:hAnsi="Verdana" w:cs="Arial"/>
                <w:iCs/>
                <w:szCs w:val="24"/>
                <w:lang w:eastAsia="es-ES_tradnl"/>
              </w:rPr>
              <w:t>“</w:t>
            </w:r>
            <w:r w:rsidRPr="00FC37F6">
              <w:rPr>
                <w:rFonts w:ascii="Verdana" w:eastAsia="Times New Roman" w:hAnsi="Verdana" w:cs="Arial"/>
                <w:iCs/>
                <w:szCs w:val="24"/>
                <w:lang w:eastAsia="es-ES_tradnl"/>
              </w:rPr>
              <w:t>nivel central</w:t>
            </w:r>
            <w:r>
              <w:rPr>
                <w:rFonts w:ascii="Verdana" w:eastAsia="Times New Roman" w:hAnsi="Verdana" w:cs="Arial"/>
                <w:iCs/>
                <w:szCs w:val="24"/>
                <w:lang w:eastAsia="es-ES_tradnl"/>
              </w:rPr>
              <w:t>”</w:t>
            </w:r>
            <w:r w:rsidRPr="00FC37F6">
              <w:rPr>
                <w:rFonts w:ascii="Verdana" w:eastAsia="Times New Roman" w:hAnsi="Verdana" w:cs="Arial"/>
                <w:iCs/>
                <w:szCs w:val="24"/>
                <w:lang w:eastAsia="es-ES_tradnl"/>
              </w:rPr>
              <w:t xml:space="preserve"> corresponde</w:t>
            </w:r>
            <w:r>
              <w:rPr>
                <w:rFonts w:ascii="Verdana" w:eastAsia="Times New Roman" w:hAnsi="Verdana" w:cs="Arial"/>
                <w:iCs/>
                <w:szCs w:val="24"/>
                <w:lang w:eastAsia="es-ES_tradnl"/>
              </w:rPr>
              <w:t>rán</w:t>
            </w:r>
            <w:r w:rsidRPr="00FC37F6">
              <w:rPr>
                <w:rFonts w:ascii="Verdana" w:eastAsia="Times New Roman" w:hAnsi="Verdana" w:cs="Arial"/>
                <w:iCs/>
                <w:szCs w:val="24"/>
                <w:lang w:eastAsia="es-ES_tradnl"/>
              </w:rPr>
              <w:t xml:space="preserve"> a las entidades del sector nacional</w:t>
            </w:r>
            <w:r>
              <w:rPr>
                <w:rFonts w:ascii="Verdana" w:eastAsia="Times New Roman" w:hAnsi="Verdana" w:cs="Arial"/>
                <w:iCs/>
                <w:szCs w:val="24"/>
                <w:lang w:eastAsia="es-ES_tradnl"/>
              </w:rPr>
              <w:t xml:space="preserve"> o federal (como es el caso de los ministerios)</w:t>
            </w:r>
            <w:r w:rsidRPr="00FC37F6">
              <w:rPr>
                <w:rFonts w:ascii="Verdana" w:eastAsia="Times New Roman" w:hAnsi="Verdana" w:cs="Arial"/>
                <w:iCs/>
                <w:szCs w:val="24"/>
                <w:lang w:eastAsia="es-ES_tradnl"/>
              </w:rPr>
              <w:t xml:space="preserve"> y las entidades del </w:t>
            </w:r>
            <w:r>
              <w:rPr>
                <w:rFonts w:ascii="Verdana" w:eastAsia="Times New Roman" w:hAnsi="Verdana" w:cs="Arial"/>
                <w:iCs/>
                <w:szCs w:val="24"/>
                <w:lang w:eastAsia="es-ES_tradnl"/>
              </w:rPr>
              <w:t>“</w:t>
            </w:r>
            <w:r w:rsidRPr="00FC37F6">
              <w:rPr>
                <w:rFonts w:ascii="Verdana" w:eastAsia="Times New Roman" w:hAnsi="Verdana" w:cs="Arial"/>
                <w:iCs/>
                <w:szCs w:val="24"/>
                <w:lang w:eastAsia="es-ES_tradnl"/>
              </w:rPr>
              <w:t>nivel subcentral</w:t>
            </w:r>
            <w:r>
              <w:rPr>
                <w:rFonts w:ascii="Verdana" w:eastAsia="Times New Roman" w:hAnsi="Verdana" w:cs="Arial"/>
                <w:iCs/>
                <w:szCs w:val="24"/>
                <w:lang w:eastAsia="es-ES_tradnl"/>
              </w:rPr>
              <w:t>”</w:t>
            </w:r>
            <w:r w:rsidRPr="00FC37F6">
              <w:rPr>
                <w:rFonts w:ascii="Verdana" w:eastAsia="Times New Roman" w:hAnsi="Verdana" w:cs="Arial"/>
                <w:iCs/>
                <w:szCs w:val="24"/>
                <w:lang w:eastAsia="es-ES_tradnl"/>
              </w:rPr>
              <w:t xml:space="preserve"> corresponden a las entidades del sector territorial</w:t>
            </w:r>
            <w:r>
              <w:rPr>
                <w:rFonts w:ascii="Verdana" w:eastAsia="Times New Roman" w:hAnsi="Verdana" w:cs="Arial"/>
                <w:iCs/>
                <w:szCs w:val="24"/>
                <w:lang w:eastAsia="es-ES_tradnl"/>
              </w:rPr>
              <w:t xml:space="preserve"> o “sub-federal” (</w:t>
            </w:r>
            <w:r w:rsidRPr="008433D5">
              <w:rPr>
                <w:rFonts w:ascii="Verdana" w:eastAsia="Times New Roman" w:hAnsi="Verdana" w:cs="Arial"/>
                <w:iCs/>
                <w:szCs w:val="24"/>
                <w:lang w:eastAsia="es-ES_tradnl"/>
              </w:rPr>
              <w:t>por ejemplo los Municipios, Provincias, Departamentos o Regiones</w:t>
            </w:r>
            <w:r>
              <w:rPr>
                <w:rFonts w:ascii="Verdana" w:eastAsia="Times New Roman" w:hAnsi="Verdana" w:cs="Arial"/>
                <w:iCs/>
                <w:szCs w:val="24"/>
                <w:lang w:eastAsia="es-ES_tradnl"/>
              </w:rPr>
              <w:t>)</w:t>
            </w:r>
            <w:r>
              <w:rPr>
                <w:rStyle w:val="FootnoteReference"/>
                <w:rFonts w:ascii="Verdana" w:eastAsia="Times New Roman" w:hAnsi="Verdana" w:cs="Arial"/>
                <w:iCs/>
                <w:szCs w:val="24"/>
                <w:lang w:eastAsia="es-ES_tradnl"/>
              </w:rPr>
              <w:footnoteReference w:id="2"/>
            </w:r>
            <w:r>
              <w:rPr>
                <w:rFonts w:ascii="Verdana" w:eastAsia="Times New Roman" w:hAnsi="Verdana" w:cs="Arial"/>
                <w:iCs/>
                <w:szCs w:val="24"/>
                <w:lang w:eastAsia="es-ES_tradnl"/>
              </w:rPr>
              <w:t>.</w:t>
            </w:r>
          </w:p>
          <w:p w14:paraId="4111511C" w14:textId="77777777" w:rsidR="006667C3" w:rsidRDefault="006667C3" w:rsidP="00AE6AF1">
            <w:pPr>
              <w:spacing w:before="120" w:line="276" w:lineRule="auto"/>
              <w:ind w:firstLine="708"/>
              <w:jc w:val="both"/>
              <w:rPr>
                <w:rFonts w:ascii="Verdana" w:eastAsia="Times New Roman" w:hAnsi="Verdana" w:cs="Arial"/>
                <w:iCs/>
                <w:szCs w:val="24"/>
                <w:lang w:val="es-ES_tradnl" w:eastAsia="es-ES_tradnl"/>
              </w:rPr>
            </w:pPr>
            <w:r>
              <w:rPr>
                <w:rFonts w:ascii="Verdana" w:eastAsia="Calibri" w:hAnsi="Verdana" w:cs="Arial"/>
                <w:color w:val="000000" w:themeColor="text1"/>
              </w:rPr>
              <w:lastRenderedPageBreak/>
              <w:t xml:space="preserve">Por otra parte, con respecto a la </w:t>
            </w:r>
            <w:r w:rsidRPr="00D06139">
              <w:rPr>
                <w:rFonts w:ascii="Verdana" w:eastAsia="Calibri" w:hAnsi="Verdana" w:cs="Arial"/>
                <w:i/>
                <w:iCs/>
                <w:color w:val="000000" w:themeColor="text1"/>
              </w:rPr>
              <w:t>estimación del umbral</w:t>
            </w:r>
            <w:r w:rsidRPr="00DC0AD3">
              <w:rPr>
                <w:rFonts w:ascii="Verdana" w:eastAsia="Calibri" w:hAnsi="Verdana" w:cs="Arial"/>
                <w:color w:val="000000" w:themeColor="text1"/>
              </w:rPr>
              <w:t xml:space="preserve">, es importante aclarar que los valores a partir de los cuales rigen los acuerdos comerciales para cada proceso de contratación son generalmente negociados en dólares de los Estados Unidos de América o en Derechos Especiales de Giro (DEG)— </w:t>
            </w:r>
            <w:proofErr w:type="spellStart"/>
            <w:r w:rsidRPr="00DC0AD3">
              <w:rPr>
                <w:rFonts w:ascii="Verdana" w:eastAsia="Calibri" w:hAnsi="Verdana" w:cs="Arial"/>
                <w:color w:val="000000" w:themeColor="text1"/>
              </w:rPr>
              <w:t>Special</w:t>
            </w:r>
            <w:proofErr w:type="spellEnd"/>
            <w:r w:rsidRPr="00DC0AD3">
              <w:rPr>
                <w:rFonts w:ascii="Verdana" w:eastAsia="Calibri" w:hAnsi="Verdana" w:cs="Arial"/>
                <w:color w:val="000000" w:themeColor="text1"/>
              </w:rPr>
              <w:t xml:space="preserve"> </w:t>
            </w:r>
            <w:proofErr w:type="spellStart"/>
            <w:r w:rsidRPr="00DC0AD3">
              <w:rPr>
                <w:rFonts w:ascii="Verdana" w:eastAsia="Calibri" w:hAnsi="Verdana" w:cs="Arial"/>
                <w:color w:val="000000" w:themeColor="text1"/>
              </w:rPr>
              <w:t>Drawing</w:t>
            </w:r>
            <w:proofErr w:type="spellEnd"/>
            <w:r w:rsidRPr="00DC0AD3">
              <w:rPr>
                <w:rFonts w:ascii="Verdana" w:eastAsia="Calibri" w:hAnsi="Verdana" w:cs="Arial"/>
                <w:color w:val="000000" w:themeColor="text1"/>
              </w:rPr>
              <w:t xml:space="preserve"> </w:t>
            </w:r>
            <w:proofErr w:type="spellStart"/>
            <w:r w:rsidRPr="00DC0AD3">
              <w:rPr>
                <w:rFonts w:ascii="Verdana" w:eastAsia="Calibri" w:hAnsi="Verdana" w:cs="Arial"/>
                <w:color w:val="000000" w:themeColor="text1"/>
              </w:rPr>
              <w:t>Rights</w:t>
            </w:r>
            <w:proofErr w:type="spellEnd"/>
            <w:r w:rsidRPr="00DC0AD3">
              <w:rPr>
                <w:rFonts w:ascii="Verdana" w:eastAsia="Calibri" w:hAnsi="Verdana" w:cs="Arial"/>
                <w:color w:val="000000" w:themeColor="text1"/>
              </w:rPr>
              <w:t>, SDR por sus siglas en inglés ―. El Ministerio de Comercio, Industria y Turismo (MinCIT) es el encargado de señalar, con la periodicidad definida en cada Acuerdo Comercial, el valor de conversión de estas monedas a pesos colombianos para determinar el umbral aplicable</w:t>
            </w:r>
            <w:r w:rsidRPr="00DC0AD3">
              <w:rPr>
                <w:rFonts w:ascii="Verdana" w:eastAsia="Times New Roman" w:hAnsi="Verdana"/>
                <w:iCs/>
                <w:szCs w:val="24"/>
                <w:vertAlign w:val="superscript"/>
                <w:lang w:val="es-ES_tradnl" w:eastAsia="es-ES_tradnl"/>
              </w:rPr>
              <w:footnoteReference w:id="3"/>
            </w:r>
            <w:r w:rsidRPr="00DC0AD3">
              <w:rPr>
                <w:rFonts w:ascii="Verdana" w:eastAsia="Times New Roman" w:hAnsi="Verdana" w:cs="Arial"/>
                <w:iCs/>
                <w:szCs w:val="24"/>
                <w:lang w:val="es-ES_tradnl" w:eastAsia="es-ES_tradnl"/>
              </w:rPr>
              <w:t xml:space="preserve">. Las Entidades deberán hacer uso de esta información para verificar el valor del umbral y determinar si el acuerdo cubre el proceso de contratación. </w:t>
            </w:r>
            <w:r>
              <w:rPr>
                <w:rFonts w:ascii="Verdana" w:eastAsia="Times New Roman" w:hAnsi="Verdana" w:cs="Arial"/>
                <w:iCs/>
                <w:szCs w:val="24"/>
                <w:lang w:val="es-ES_tradnl" w:eastAsia="es-ES_tradnl"/>
              </w:rPr>
              <w:t>En este sentido, salvo que el acuerdo comercial así lo determine</w:t>
            </w:r>
            <w:r>
              <w:rPr>
                <w:rStyle w:val="FootnoteReference"/>
                <w:rFonts w:ascii="Verdana" w:eastAsia="Times New Roman" w:hAnsi="Verdana" w:cs="Arial"/>
                <w:iCs/>
                <w:szCs w:val="24"/>
                <w:lang w:val="es-ES_tradnl" w:eastAsia="es-ES_tradnl"/>
              </w:rPr>
              <w:footnoteReference w:id="4"/>
            </w:r>
            <w:r>
              <w:rPr>
                <w:rFonts w:ascii="Verdana" w:eastAsia="Times New Roman" w:hAnsi="Verdana" w:cs="Arial"/>
                <w:iCs/>
                <w:szCs w:val="24"/>
                <w:lang w:val="es-ES_tradnl" w:eastAsia="es-ES_tradnl"/>
              </w:rPr>
              <w:t xml:space="preserve">, </w:t>
            </w:r>
            <w:r w:rsidRPr="00D06139">
              <w:rPr>
                <w:rFonts w:ascii="Verdana" w:eastAsia="Times New Roman" w:hAnsi="Verdana" w:cs="Arial"/>
                <w:i/>
                <w:szCs w:val="24"/>
                <w:u w:val="single"/>
                <w:lang w:val="es-ES_tradnl" w:eastAsia="es-ES_tradnl"/>
              </w:rPr>
              <w:t xml:space="preserve">no </w:t>
            </w:r>
            <w:r>
              <w:rPr>
                <w:rFonts w:ascii="Verdana" w:eastAsia="Times New Roman" w:hAnsi="Verdana" w:cs="Arial"/>
                <w:iCs/>
                <w:szCs w:val="24"/>
                <w:lang w:val="es-ES_tradnl" w:eastAsia="es-ES_tradnl"/>
              </w:rPr>
              <w:t xml:space="preserve">corresponde a cada entidad realizar la conversión del umbral establecido en DEG o en otra moneda a la moneda nacional según el valor de la TRM aplicable al día en que realice la consulta. Por el contrario, la entidad deberá considerar el umbral aplicable según las reglas, fórmulas y periodicidad que al respecto establezca cada acuerdo comercial. </w:t>
            </w:r>
          </w:p>
          <w:p w14:paraId="5061830D" w14:textId="42B4F770" w:rsidR="006667C3" w:rsidRDefault="006667C3" w:rsidP="00AE6AF1">
            <w:pPr>
              <w:spacing w:before="120" w:line="276" w:lineRule="auto"/>
              <w:ind w:firstLine="708"/>
              <w:jc w:val="both"/>
              <w:rPr>
                <w:rFonts w:ascii="Verdana" w:eastAsia="Calibri" w:hAnsi="Verdana" w:cs="Arial"/>
                <w:color w:val="000000" w:themeColor="text1"/>
              </w:rPr>
            </w:pPr>
            <w:r>
              <w:rPr>
                <w:rFonts w:ascii="Verdana" w:eastAsia="Times New Roman" w:hAnsi="Verdana" w:cs="Arial"/>
                <w:iCs/>
                <w:szCs w:val="24"/>
                <w:lang w:val="es-ES_tradnl" w:eastAsia="es-ES_tradnl"/>
              </w:rPr>
              <w:t>Al respecto, el Manual expedido por esta Agencia aclara que l</w:t>
            </w:r>
            <w:r w:rsidRPr="004C7D8C">
              <w:rPr>
                <w:rFonts w:ascii="Verdana" w:eastAsia="Times New Roman" w:hAnsi="Verdana" w:cs="Arial"/>
                <w:iCs/>
                <w:szCs w:val="24"/>
                <w:lang w:eastAsia="es-ES_tradnl"/>
              </w:rPr>
              <w:t>os valores</w:t>
            </w:r>
            <w:r>
              <w:rPr>
                <w:rFonts w:ascii="Verdana" w:eastAsia="Times New Roman" w:hAnsi="Verdana" w:cs="Arial"/>
                <w:iCs/>
                <w:szCs w:val="24"/>
                <w:lang w:eastAsia="es-ES_tradnl"/>
              </w:rPr>
              <w:t xml:space="preserve"> de los umbrales aplicables a las distintas entidades que se encuentran</w:t>
            </w:r>
            <w:r w:rsidRPr="004C7D8C">
              <w:rPr>
                <w:rFonts w:ascii="Verdana" w:eastAsia="Times New Roman" w:hAnsi="Verdana" w:cs="Arial"/>
                <w:iCs/>
                <w:szCs w:val="24"/>
                <w:lang w:eastAsia="es-ES_tradnl"/>
              </w:rPr>
              <w:t xml:space="preserve"> incluidos en </w:t>
            </w:r>
            <w:r>
              <w:rPr>
                <w:rFonts w:ascii="Verdana" w:eastAsia="Times New Roman" w:hAnsi="Verdana" w:cs="Arial"/>
                <w:iCs/>
                <w:szCs w:val="24"/>
                <w:lang w:eastAsia="es-ES_tradnl"/>
              </w:rPr>
              <w:t xml:space="preserve">los Anexos No. 1, 2 y 3 </w:t>
            </w:r>
            <w:r w:rsidRPr="004C7D8C">
              <w:rPr>
                <w:rFonts w:ascii="Verdana" w:eastAsia="Times New Roman" w:hAnsi="Verdana" w:cs="Arial"/>
                <w:iCs/>
                <w:szCs w:val="24"/>
                <w:lang w:eastAsia="es-ES_tradnl"/>
              </w:rPr>
              <w:t xml:space="preserve">corresponden a los umbrales inicialmente pactados en el Acuerdo Comercial. </w:t>
            </w:r>
            <w:r>
              <w:rPr>
                <w:rFonts w:ascii="Verdana" w:eastAsia="Times New Roman" w:hAnsi="Verdana" w:cs="Arial"/>
                <w:iCs/>
                <w:szCs w:val="24"/>
                <w:lang w:eastAsia="es-ES_tradnl"/>
              </w:rPr>
              <w:t>Sin embargo, resalta que e</w:t>
            </w:r>
            <w:r w:rsidRPr="004C7D8C">
              <w:rPr>
                <w:rFonts w:ascii="Verdana" w:eastAsia="Times New Roman" w:hAnsi="Verdana" w:cs="Arial"/>
                <w:iCs/>
                <w:szCs w:val="24"/>
                <w:lang w:eastAsia="es-ES_tradnl"/>
              </w:rPr>
              <w:t xml:space="preserve">stos valores se actualizan </w:t>
            </w:r>
            <w:r w:rsidRPr="00FC37F6">
              <w:rPr>
                <w:rFonts w:ascii="Verdana" w:eastAsia="Times New Roman" w:hAnsi="Verdana" w:cs="Arial"/>
                <w:i/>
                <w:szCs w:val="24"/>
                <w:u w:val="single"/>
                <w:lang w:eastAsia="es-ES_tradnl"/>
              </w:rPr>
              <w:t>cada dos años</w:t>
            </w:r>
            <w:r w:rsidRPr="004C7D8C">
              <w:rPr>
                <w:rFonts w:ascii="Verdana" w:eastAsia="Times New Roman" w:hAnsi="Verdana" w:cs="Arial"/>
                <w:iCs/>
                <w:szCs w:val="24"/>
                <w:lang w:eastAsia="es-ES_tradnl"/>
              </w:rPr>
              <w:t xml:space="preserve"> a valores en pesos colombianos teniendo en cuenta las fórmulas y TRM, según lo previsto en cada Acuerdo Comercial.</w:t>
            </w:r>
            <w:r>
              <w:rPr>
                <w:rFonts w:ascii="Verdana" w:eastAsia="Times New Roman" w:hAnsi="Verdana" w:cs="Arial"/>
                <w:iCs/>
                <w:szCs w:val="24"/>
                <w:lang w:val="es-ES_tradnl" w:eastAsia="es-ES_tradnl"/>
              </w:rPr>
              <w:t xml:space="preserve"> Con el fin de facilitar el cumplimiento de este deber, esta Agencia y el </w:t>
            </w:r>
            <w:r w:rsidRPr="00DC0AD3">
              <w:rPr>
                <w:rFonts w:ascii="Verdana" w:eastAsia="Calibri" w:hAnsi="Verdana" w:cs="Arial"/>
                <w:color w:val="000000" w:themeColor="text1"/>
              </w:rPr>
              <w:t>Ministerio de Comercio, Industria y Turismo (MinCIT)</w:t>
            </w:r>
            <w:r>
              <w:rPr>
                <w:rFonts w:ascii="Verdana" w:eastAsia="Calibri" w:hAnsi="Verdana" w:cs="Arial"/>
                <w:color w:val="000000" w:themeColor="text1"/>
              </w:rPr>
              <w:t xml:space="preserve"> elaboran y publican periódicamente un documento en el cual especifican el </w:t>
            </w:r>
            <w:r w:rsidRPr="004C7D8C">
              <w:rPr>
                <w:rFonts w:ascii="Verdana" w:eastAsia="Calibri" w:hAnsi="Verdana" w:cs="Arial"/>
                <w:color w:val="000000" w:themeColor="text1"/>
              </w:rPr>
              <w:t>valor de los umbrales</w:t>
            </w:r>
            <w:r>
              <w:rPr>
                <w:rFonts w:ascii="Verdana" w:eastAsia="Calibri" w:hAnsi="Verdana" w:cs="Arial"/>
                <w:color w:val="000000" w:themeColor="text1"/>
              </w:rPr>
              <w:t xml:space="preserve"> y la vigencia en la cual son aplicables. De esta forma, el documento mencionado en su consulta señala que los umbrales allí establecidos</w:t>
            </w:r>
            <w:r w:rsidRPr="004C7D8C">
              <w:rPr>
                <w:rFonts w:ascii="Verdana" w:eastAsia="Calibri" w:hAnsi="Verdana" w:cs="Arial"/>
                <w:color w:val="000000" w:themeColor="text1"/>
              </w:rPr>
              <w:t xml:space="preserve"> tendrá</w:t>
            </w:r>
            <w:r>
              <w:rPr>
                <w:rFonts w:ascii="Verdana" w:eastAsia="Calibri" w:hAnsi="Verdana" w:cs="Arial"/>
                <w:color w:val="000000" w:themeColor="text1"/>
              </w:rPr>
              <w:t>n</w:t>
            </w:r>
            <w:r w:rsidRPr="004C7D8C">
              <w:rPr>
                <w:rFonts w:ascii="Verdana" w:eastAsia="Calibri" w:hAnsi="Verdana" w:cs="Arial"/>
                <w:color w:val="000000" w:themeColor="text1"/>
              </w:rPr>
              <w:t xml:space="preserve"> vigencia del 1 de enero del 2024 hasta el 31 de diciembre de 2025 para los Acuerdos Comerciales suscritos con: (i) Canadá, (</w:t>
            </w:r>
            <w:proofErr w:type="spellStart"/>
            <w:r w:rsidRPr="004C7D8C">
              <w:rPr>
                <w:rFonts w:ascii="Verdana" w:eastAsia="Calibri" w:hAnsi="Verdana" w:cs="Arial"/>
                <w:color w:val="000000" w:themeColor="text1"/>
              </w:rPr>
              <w:t>ii</w:t>
            </w:r>
            <w:proofErr w:type="spellEnd"/>
            <w:r w:rsidRPr="004C7D8C">
              <w:rPr>
                <w:rFonts w:ascii="Verdana" w:eastAsia="Calibri" w:hAnsi="Verdana" w:cs="Arial"/>
                <w:color w:val="000000" w:themeColor="text1"/>
              </w:rPr>
              <w:t>) Reino Unido de Gran Bretaña e Irlanda del Norte, (</w:t>
            </w:r>
            <w:proofErr w:type="spellStart"/>
            <w:r w:rsidRPr="004C7D8C">
              <w:rPr>
                <w:rFonts w:ascii="Verdana" w:eastAsia="Calibri" w:hAnsi="Verdana" w:cs="Arial"/>
                <w:color w:val="000000" w:themeColor="text1"/>
              </w:rPr>
              <w:t>iii</w:t>
            </w:r>
            <w:proofErr w:type="spellEnd"/>
            <w:r w:rsidRPr="004C7D8C">
              <w:rPr>
                <w:rFonts w:ascii="Verdana" w:eastAsia="Calibri" w:hAnsi="Verdana" w:cs="Arial"/>
                <w:color w:val="000000" w:themeColor="text1"/>
              </w:rPr>
              <w:t>) Estados Unidos, (</w:t>
            </w:r>
            <w:proofErr w:type="spellStart"/>
            <w:r w:rsidRPr="004C7D8C">
              <w:rPr>
                <w:rFonts w:ascii="Verdana" w:eastAsia="Calibri" w:hAnsi="Verdana" w:cs="Arial"/>
                <w:color w:val="000000" w:themeColor="text1"/>
              </w:rPr>
              <w:t>iv</w:t>
            </w:r>
            <w:proofErr w:type="spellEnd"/>
            <w:r w:rsidRPr="004C7D8C">
              <w:rPr>
                <w:rFonts w:ascii="Verdana" w:eastAsia="Calibri" w:hAnsi="Verdana" w:cs="Arial"/>
                <w:color w:val="000000" w:themeColor="text1"/>
              </w:rPr>
              <w:t>) Chile, (v) Costa Rica, (vi) Alianza del Pacífico y (</w:t>
            </w:r>
            <w:proofErr w:type="spellStart"/>
            <w:r w:rsidRPr="004C7D8C">
              <w:rPr>
                <w:rFonts w:ascii="Verdana" w:eastAsia="Calibri" w:hAnsi="Verdana" w:cs="Arial"/>
                <w:color w:val="000000" w:themeColor="text1"/>
              </w:rPr>
              <w:t>vii</w:t>
            </w:r>
            <w:proofErr w:type="spellEnd"/>
            <w:r w:rsidRPr="004C7D8C">
              <w:rPr>
                <w:rFonts w:ascii="Verdana" w:eastAsia="Calibri" w:hAnsi="Verdana" w:cs="Arial"/>
                <w:color w:val="000000" w:themeColor="text1"/>
              </w:rPr>
              <w:t>) Corea</w:t>
            </w:r>
            <w:r>
              <w:rPr>
                <w:rFonts w:ascii="Verdana" w:eastAsia="Calibri" w:hAnsi="Verdana" w:cs="Arial"/>
                <w:color w:val="000000" w:themeColor="text1"/>
              </w:rPr>
              <w:t>.</w:t>
            </w:r>
          </w:p>
          <w:p w14:paraId="47ED686F" w14:textId="6C7975F2" w:rsidR="006667C3" w:rsidRPr="00DC0AD3" w:rsidRDefault="006667C3" w:rsidP="00AE6AF1">
            <w:pPr>
              <w:spacing w:line="276" w:lineRule="auto"/>
              <w:ind w:firstLine="708"/>
              <w:jc w:val="both"/>
              <w:rPr>
                <w:rFonts w:ascii="Verdana" w:eastAsia="Calibri" w:hAnsi="Verdana" w:cs="Arial"/>
                <w:color w:val="000000" w:themeColor="text1"/>
              </w:rPr>
            </w:pPr>
            <w:r>
              <w:rPr>
                <w:rFonts w:ascii="Verdana" w:eastAsia="Calibri" w:hAnsi="Verdana" w:cs="Arial"/>
                <w:color w:val="000000" w:themeColor="text1"/>
              </w:rPr>
              <w:lastRenderedPageBreak/>
              <w:t xml:space="preserve">Por esta razón, las entidades no deberían calcular el umbral aplicable </w:t>
            </w:r>
            <w:r w:rsidR="009A08D5">
              <w:rPr>
                <w:rFonts w:ascii="Verdana" w:eastAsia="Calibri" w:hAnsi="Verdana" w:cs="Arial"/>
                <w:color w:val="000000" w:themeColor="text1"/>
              </w:rPr>
              <w:t>mediante una</w:t>
            </w:r>
            <w:r>
              <w:rPr>
                <w:rFonts w:ascii="Verdana" w:eastAsia="Calibri" w:hAnsi="Verdana" w:cs="Arial"/>
                <w:color w:val="000000" w:themeColor="text1"/>
              </w:rPr>
              <w:t xml:space="preserve"> metodología distinta a la prevista en el texto del acuerdo comercial. En este sentido, cada entidad debe consultar lo dispuesto en el acuerdo específico</w:t>
            </w:r>
            <w:r w:rsidRPr="00A1131D">
              <w:rPr>
                <w:rFonts w:ascii="Verdana" w:eastAsia="Calibri" w:hAnsi="Verdana" w:cs="Arial"/>
                <w:color w:val="000000" w:themeColor="text1"/>
              </w:rPr>
              <w:t xml:space="preserve"> </w:t>
            </w:r>
            <w:r>
              <w:rPr>
                <w:rFonts w:ascii="Verdana" w:eastAsia="Calibri" w:hAnsi="Verdana" w:cs="Arial"/>
                <w:color w:val="000000" w:themeColor="text1"/>
              </w:rPr>
              <w:t xml:space="preserve">para determinar el umbral aplicable, así como la metodología para su conversión a pesos colombianos. En el caso referido en su consulta esta labor es realizada por el Ministerio, el cual publica el valor para cada vigencia, en cumplimiento de las reglas dispuestas en el texto de este acuerdo comercial. </w:t>
            </w:r>
          </w:p>
        </w:tc>
      </w:tr>
    </w:tbl>
    <w:p w14:paraId="2A09EBD5" w14:textId="77777777" w:rsidR="006667C3" w:rsidRPr="00DC0AD3" w:rsidRDefault="006667C3" w:rsidP="006667C3">
      <w:pPr>
        <w:tabs>
          <w:tab w:val="left" w:pos="142"/>
          <w:tab w:val="left" w:pos="284"/>
        </w:tabs>
        <w:spacing w:after="0" w:line="276" w:lineRule="auto"/>
        <w:jc w:val="both"/>
        <w:rPr>
          <w:rFonts w:ascii="Verdana" w:eastAsia="Century Gothic" w:hAnsi="Verdana" w:cs="Century Gothic"/>
          <w:b/>
          <w:bCs/>
          <w:lang w:val="es-ES"/>
        </w:rPr>
      </w:pPr>
    </w:p>
    <w:p w14:paraId="59A90ABE" w14:textId="77777777" w:rsidR="006667C3" w:rsidRPr="00DC0AD3" w:rsidRDefault="006667C3" w:rsidP="006667C3">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C0AD3">
        <w:rPr>
          <w:rFonts w:ascii="Verdana" w:eastAsia="Century Gothic" w:hAnsi="Verdana" w:cs="Century Gothic"/>
          <w:b/>
          <w:bCs/>
        </w:rPr>
        <w:t>Razones de la respuesta:</w:t>
      </w:r>
    </w:p>
    <w:p w14:paraId="450DF5FD" w14:textId="77777777" w:rsidR="006667C3" w:rsidRPr="00DC0AD3" w:rsidRDefault="006667C3" w:rsidP="006667C3">
      <w:pPr>
        <w:spacing w:after="0" w:line="276" w:lineRule="auto"/>
        <w:jc w:val="both"/>
        <w:rPr>
          <w:rFonts w:ascii="Verdana" w:eastAsia="Calibri" w:hAnsi="Verdana" w:cs="Arial"/>
          <w:color w:val="7030A0"/>
          <w:lang w:val="es-ES"/>
        </w:rPr>
      </w:pPr>
    </w:p>
    <w:p w14:paraId="43A2B204" w14:textId="77777777" w:rsidR="006667C3" w:rsidRPr="00DC0AD3" w:rsidRDefault="006667C3" w:rsidP="006667C3">
      <w:pPr>
        <w:spacing w:after="0" w:line="276" w:lineRule="auto"/>
        <w:jc w:val="both"/>
        <w:rPr>
          <w:rFonts w:ascii="Verdana" w:eastAsia="Calibri" w:hAnsi="Verdana" w:cs="Arial"/>
          <w:lang w:val="es-ES"/>
        </w:rPr>
      </w:pPr>
      <w:r w:rsidRPr="00DC0AD3">
        <w:rPr>
          <w:rFonts w:ascii="Verdana" w:eastAsia="Calibri" w:hAnsi="Verdana" w:cs="Arial"/>
          <w:lang w:val="es-ES"/>
        </w:rPr>
        <w:t xml:space="preserve">Lo anterior se sustenta en las siguientes consideraciones: </w:t>
      </w:r>
    </w:p>
    <w:p w14:paraId="53942BC1" w14:textId="77777777" w:rsidR="006667C3" w:rsidRPr="00DC0AD3" w:rsidRDefault="006667C3" w:rsidP="006667C3">
      <w:pPr>
        <w:spacing w:before="120" w:after="0" w:line="276" w:lineRule="auto"/>
        <w:jc w:val="both"/>
        <w:rPr>
          <w:rFonts w:ascii="Verdana" w:eastAsia="Calibri" w:hAnsi="Verdana" w:cs="Arial"/>
          <w:bCs/>
          <w:color w:val="000000" w:themeColor="text1"/>
          <w:lang w:val="es-ES_tradnl"/>
        </w:rPr>
      </w:pPr>
      <w:r w:rsidRPr="00DC0AD3">
        <w:rPr>
          <w:rFonts w:ascii="Verdana" w:eastAsia="Calibri" w:hAnsi="Verdana" w:cs="Arial"/>
          <w:bCs/>
          <w:color w:val="000000" w:themeColor="text1"/>
          <w:lang w:val="es-ES_tradnl"/>
        </w:rPr>
        <w:t>Los acuerdos comerciales son tratados internacionales celebrados entre Estados e incorporados a los ordenamientos nacionales, cuyo contenido establece derechos y obligaciones en distintas materias, incluyendo las compras públicas. En el caso colombiano, cada acuerdo comercial debe ser aprobado y posteriormente incorporado al ordenamiento jurídico por una ley de la República</w:t>
      </w:r>
      <w:r w:rsidRPr="00DC0AD3">
        <w:rPr>
          <w:rStyle w:val="FootnoteReference"/>
          <w:rFonts w:ascii="Verdana" w:eastAsia="Calibri" w:hAnsi="Verdana" w:cs="Arial"/>
          <w:bCs/>
          <w:color w:val="000000" w:themeColor="text1"/>
          <w:sz w:val="18"/>
          <w:szCs w:val="18"/>
          <w:lang w:val="es-ES_tradnl"/>
        </w:rPr>
        <w:footnoteReference w:id="5"/>
      </w:r>
      <w:r w:rsidRPr="00DC0AD3">
        <w:rPr>
          <w:rFonts w:ascii="Verdana" w:eastAsia="Calibri" w:hAnsi="Verdana" w:cs="Arial"/>
          <w:bCs/>
          <w:color w:val="000000" w:themeColor="text1"/>
          <w:sz w:val="18"/>
          <w:szCs w:val="18"/>
          <w:lang w:val="es-ES_tradnl"/>
        </w:rPr>
        <w:t>.</w:t>
      </w:r>
    </w:p>
    <w:p w14:paraId="765F5EF4" w14:textId="77777777" w:rsidR="006667C3" w:rsidRPr="00DC0AD3" w:rsidRDefault="006667C3" w:rsidP="006667C3">
      <w:pPr>
        <w:spacing w:before="120" w:after="0" w:line="276" w:lineRule="auto"/>
        <w:ind w:firstLine="708"/>
        <w:jc w:val="both"/>
        <w:rPr>
          <w:rFonts w:ascii="Verdana" w:eastAsia="Calibri" w:hAnsi="Verdana" w:cs="Arial"/>
          <w:bCs/>
          <w:color w:val="000000" w:themeColor="text1"/>
          <w:lang w:val="es-ES_tradnl"/>
        </w:rPr>
      </w:pPr>
      <w:r w:rsidRPr="00DC0AD3">
        <w:rPr>
          <w:rFonts w:ascii="Verdana" w:eastAsia="Calibri" w:hAnsi="Verdana" w:cs="Arial"/>
          <w:bCs/>
          <w:color w:val="000000" w:themeColor="text1"/>
          <w:lang w:val="es-ES_tradnl"/>
        </w:rPr>
        <w:t>Dado que los acuerdos comerciales se encuentran incorporados a la legislación interna, las Entidades Estatales deben aplicar las normas de contratación, como el Estatuto General de Contratación de la Administración Pública –Ley 80 de 1993, Ley 1150 de 2007 y demás normas complementarias–, con la debida observancia de las obligaciones internacionales incluidas en los acuerdos suscritos por Colombia, so pena de incurrir en responsabilidad por el incumplimiento de dichas obligaciones.</w:t>
      </w:r>
    </w:p>
    <w:p w14:paraId="43CAC0A9" w14:textId="77777777" w:rsidR="006667C3" w:rsidRPr="00DC0AD3" w:rsidRDefault="006667C3" w:rsidP="006667C3">
      <w:pPr>
        <w:spacing w:before="120" w:after="0" w:line="276" w:lineRule="auto"/>
        <w:ind w:firstLine="708"/>
        <w:jc w:val="both"/>
        <w:rPr>
          <w:rFonts w:ascii="Verdana" w:eastAsia="Times New Roman" w:hAnsi="Verdana" w:cs="Arial"/>
          <w:lang w:eastAsia="es-ES"/>
        </w:rPr>
      </w:pPr>
      <w:r w:rsidRPr="00DC0AD3">
        <w:rPr>
          <w:rFonts w:ascii="Verdana" w:eastAsia="Times New Roman" w:hAnsi="Verdana" w:cs="Arial"/>
          <w:lang w:eastAsia="es-ES"/>
        </w:rPr>
        <w:t xml:space="preserve">En consecuencia, las Entidades Estatales tienen la obligación de identificar los acuerdos comerciales aplicables a sus procesos de contratación, y de esta manera cumplir con las obligaciones internacionales en materia de compras y contratación pública. Para esto, las Entidades Estatales deben tener en cuenta </w:t>
      </w:r>
      <w:r w:rsidRPr="00DC0AD3">
        <w:rPr>
          <w:rFonts w:ascii="Verdana" w:eastAsia="Times New Roman" w:hAnsi="Verdana" w:cs="Arial"/>
          <w:lang w:eastAsia="es-ES"/>
        </w:rPr>
        <w:lastRenderedPageBreak/>
        <w:t xml:space="preserve">que los capítulos de compras públicas de </w:t>
      </w:r>
      <w:r>
        <w:rPr>
          <w:rFonts w:ascii="Verdana" w:eastAsia="Times New Roman" w:hAnsi="Verdana" w:cs="Arial"/>
          <w:lang w:eastAsia="es-ES"/>
        </w:rPr>
        <w:t>cada</w:t>
      </w:r>
      <w:r w:rsidRPr="00DC0AD3">
        <w:rPr>
          <w:rFonts w:ascii="Verdana" w:eastAsia="Times New Roman" w:hAnsi="Verdana" w:cs="Arial"/>
          <w:lang w:eastAsia="es-ES"/>
        </w:rPr>
        <w:t xml:space="preserve"> acuerdo comercial señalan: (i) la cobertura específica, es decir, un listado de las entidades, los bienes y servicios cubiertos; (</w:t>
      </w:r>
      <w:proofErr w:type="spellStart"/>
      <w:r w:rsidRPr="00DC0AD3">
        <w:rPr>
          <w:rFonts w:ascii="Verdana" w:eastAsia="Times New Roman" w:hAnsi="Verdana" w:cs="Arial"/>
          <w:lang w:eastAsia="es-ES"/>
        </w:rPr>
        <w:t>ii</w:t>
      </w:r>
      <w:proofErr w:type="spellEnd"/>
      <w:r w:rsidRPr="00DC0AD3">
        <w:rPr>
          <w:rFonts w:ascii="Verdana" w:eastAsia="Times New Roman" w:hAnsi="Verdana" w:cs="Arial"/>
          <w:lang w:eastAsia="es-ES"/>
        </w:rPr>
        <w:t>) los valores a partir de los cuales el acuerdo comercial es aplicable al proceso de contratación</w:t>
      </w:r>
      <w:r>
        <w:rPr>
          <w:rFonts w:ascii="Verdana" w:eastAsia="Times New Roman" w:hAnsi="Verdana" w:cs="Arial"/>
          <w:lang w:eastAsia="es-ES"/>
        </w:rPr>
        <w:t xml:space="preserve"> (umbral)</w:t>
      </w:r>
      <w:r w:rsidRPr="00DC0AD3">
        <w:rPr>
          <w:rFonts w:ascii="Verdana" w:eastAsia="Times New Roman" w:hAnsi="Verdana" w:cs="Arial"/>
          <w:lang w:eastAsia="es-ES"/>
        </w:rPr>
        <w:t>, y (</w:t>
      </w:r>
      <w:proofErr w:type="spellStart"/>
      <w:r w:rsidRPr="00DC0AD3">
        <w:rPr>
          <w:rFonts w:ascii="Verdana" w:eastAsia="Times New Roman" w:hAnsi="Verdana" w:cs="Arial"/>
          <w:lang w:eastAsia="es-ES"/>
        </w:rPr>
        <w:t>iii</w:t>
      </w:r>
      <w:proofErr w:type="spellEnd"/>
      <w:r w:rsidRPr="00DC0AD3">
        <w:rPr>
          <w:rFonts w:ascii="Verdana" w:eastAsia="Times New Roman" w:hAnsi="Verdana" w:cs="Arial"/>
          <w:lang w:eastAsia="es-ES"/>
        </w:rPr>
        <w:t>) las excepciones a la aplicación del acuerdo comercial.</w:t>
      </w:r>
    </w:p>
    <w:p w14:paraId="544DDD59" w14:textId="77777777" w:rsidR="006667C3" w:rsidRPr="00DC0AD3" w:rsidRDefault="006667C3" w:rsidP="006667C3">
      <w:pPr>
        <w:spacing w:before="120" w:after="0" w:line="276" w:lineRule="auto"/>
        <w:ind w:firstLine="708"/>
        <w:jc w:val="both"/>
        <w:rPr>
          <w:rFonts w:ascii="Verdana" w:eastAsia="Calibri" w:hAnsi="Verdana" w:cs="Arial"/>
          <w:bCs/>
          <w:color w:val="000000" w:themeColor="text1"/>
          <w:lang w:val="es-ES_tradnl"/>
        </w:rPr>
      </w:pPr>
      <w:r w:rsidRPr="00DC0AD3">
        <w:rPr>
          <w:rFonts w:ascii="Verdana" w:eastAsia="Times New Roman" w:hAnsi="Verdana" w:cs="Arial"/>
          <w:iCs/>
          <w:szCs w:val="24"/>
          <w:lang w:val="es-ES_tradnl" w:eastAsia="es-ES_tradnl"/>
        </w:rPr>
        <w:t xml:space="preserve">La Agencia Nacional de Contratación Pública – Colombia Compra Eficiente expidió en 2024 el “Manual para el manejo de los Acuerdos Comerciales en Procesos de Contratación”, con el fin de brindar lineamientos para que las Entidades Estatales cumplan de manera sencilla con las obligaciones internacionales adquiridas por el Estado. Este Manual es una herramienta orientadora para que identifiquen si un proceso de contratación está cubierto por un acuerdo. </w:t>
      </w:r>
    </w:p>
    <w:p w14:paraId="4A3183E3" w14:textId="77777777" w:rsidR="006667C3" w:rsidRDefault="006667C3" w:rsidP="006667C3">
      <w:pPr>
        <w:spacing w:before="120" w:after="0" w:line="276" w:lineRule="auto"/>
        <w:ind w:firstLine="708"/>
        <w:jc w:val="both"/>
        <w:rPr>
          <w:rFonts w:ascii="Verdana" w:eastAsia="Calibri" w:hAnsi="Verdana" w:cs="Arial"/>
          <w:color w:val="000000" w:themeColor="text1"/>
        </w:rPr>
      </w:pPr>
      <w:r w:rsidRPr="00DC0AD3">
        <w:rPr>
          <w:rFonts w:ascii="Verdana" w:eastAsia="Calibri" w:hAnsi="Verdana" w:cs="Arial"/>
          <w:color w:val="000000" w:themeColor="text1"/>
        </w:rPr>
        <w:t xml:space="preserve"> Para determinar lo anterior, el Manual recomienda: (i) verificar si el tratado se encuentra vigente, (</w:t>
      </w:r>
      <w:proofErr w:type="spellStart"/>
      <w:r w:rsidRPr="00DC0AD3">
        <w:rPr>
          <w:rFonts w:ascii="Verdana" w:eastAsia="Calibri" w:hAnsi="Verdana" w:cs="Arial"/>
          <w:color w:val="000000" w:themeColor="text1"/>
        </w:rPr>
        <w:t>ii</w:t>
      </w:r>
      <w:proofErr w:type="spellEnd"/>
      <w:r w:rsidRPr="00DC0AD3">
        <w:rPr>
          <w:rFonts w:ascii="Verdana" w:eastAsia="Calibri" w:hAnsi="Verdana" w:cs="Arial"/>
          <w:color w:val="000000" w:themeColor="text1"/>
        </w:rPr>
        <w:t>) si la Entidad está incluida en el</w:t>
      </w:r>
      <w:r>
        <w:rPr>
          <w:rFonts w:ascii="Verdana" w:eastAsia="Calibri" w:hAnsi="Verdana" w:cs="Arial"/>
          <w:color w:val="000000" w:themeColor="text1"/>
        </w:rPr>
        <w:t xml:space="preserve"> texto del</w:t>
      </w:r>
      <w:r w:rsidRPr="00DC0AD3">
        <w:rPr>
          <w:rFonts w:ascii="Verdana" w:eastAsia="Calibri" w:hAnsi="Verdana" w:cs="Arial"/>
          <w:color w:val="000000" w:themeColor="text1"/>
        </w:rPr>
        <w:t xml:space="preserve"> acuerdo, (</w:t>
      </w:r>
      <w:proofErr w:type="spellStart"/>
      <w:r w:rsidRPr="00DC0AD3">
        <w:rPr>
          <w:rFonts w:ascii="Verdana" w:eastAsia="Calibri" w:hAnsi="Verdana" w:cs="Arial"/>
          <w:color w:val="000000" w:themeColor="text1"/>
        </w:rPr>
        <w:t>iii</w:t>
      </w:r>
      <w:proofErr w:type="spellEnd"/>
      <w:r w:rsidRPr="00DC0AD3">
        <w:rPr>
          <w:rFonts w:ascii="Verdana" w:eastAsia="Calibri" w:hAnsi="Verdana" w:cs="Arial"/>
          <w:color w:val="000000" w:themeColor="text1"/>
        </w:rPr>
        <w:t>) identificar si el presupuesto oficial estimado del Proceso de Contratación es igual o superior al valor a partir del cual el acuerdo comercial es aplicable, y (</w:t>
      </w:r>
      <w:proofErr w:type="spellStart"/>
      <w:r w:rsidRPr="00DC0AD3">
        <w:rPr>
          <w:rFonts w:ascii="Verdana" w:eastAsia="Calibri" w:hAnsi="Verdana" w:cs="Arial"/>
          <w:color w:val="000000" w:themeColor="text1"/>
        </w:rPr>
        <w:t>iv</w:t>
      </w:r>
      <w:proofErr w:type="spellEnd"/>
      <w:r w:rsidRPr="00DC0AD3">
        <w:rPr>
          <w:rFonts w:ascii="Verdana" w:eastAsia="Calibri" w:hAnsi="Verdana" w:cs="Arial"/>
          <w:color w:val="000000" w:themeColor="text1"/>
        </w:rPr>
        <w:t>) determinar si hay excepciones que excluyan su aplicación</w:t>
      </w:r>
      <w:r w:rsidRPr="00DC0AD3">
        <w:rPr>
          <w:rStyle w:val="FootnoteReference"/>
          <w:rFonts w:ascii="Verdana" w:eastAsia="Calibri" w:hAnsi="Verdana" w:cs="Arial"/>
          <w:color w:val="000000" w:themeColor="text1"/>
        </w:rPr>
        <w:footnoteReference w:id="6"/>
      </w:r>
      <w:r w:rsidRPr="00DC0AD3">
        <w:rPr>
          <w:rFonts w:ascii="Verdana" w:eastAsia="Calibri" w:hAnsi="Verdana" w:cs="Arial"/>
          <w:color w:val="000000" w:themeColor="text1"/>
        </w:rPr>
        <w:t xml:space="preserve">. El Manual sugiere que las Entidades Estatales verifiquen el cumplimiento de estos criterios de manera sucesiva. De esta forma, una vez determinen que el acuerdo se encuentra vigente y que se trata de una Entidad cobijada, deberán confirmar que el presupuesto oficial estimado del proceso de contratación que van a adelantar es igual o superior al umbral señalado por el acuerdo. </w:t>
      </w:r>
    </w:p>
    <w:p w14:paraId="689D6C29" w14:textId="46DA6216" w:rsidR="006667C3" w:rsidRPr="00AF7791" w:rsidRDefault="006667C3" w:rsidP="006667C3">
      <w:pPr>
        <w:spacing w:before="120" w:after="0" w:line="276" w:lineRule="auto"/>
        <w:ind w:firstLine="708"/>
        <w:jc w:val="both"/>
        <w:rPr>
          <w:rFonts w:ascii="Verdana" w:eastAsia="Times New Roman" w:hAnsi="Verdana" w:cs="Arial"/>
          <w:iCs/>
          <w:szCs w:val="24"/>
          <w:lang w:val="es-ES_tradnl" w:eastAsia="es-ES_tradnl"/>
        </w:rPr>
      </w:pPr>
      <w:r>
        <w:rPr>
          <w:rFonts w:ascii="Verdana" w:eastAsia="Times New Roman" w:hAnsi="Verdana" w:cs="Arial"/>
          <w:iCs/>
          <w:szCs w:val="24"/>
          <w:lang w:val="es-ES_tradnl" w:eastAsia="es-ES_tradnl"/>
        </w:rPr>
        <w:t xml:space="preserve">Así, para determinar la cobertura y el umbral específico de un acuerdo comercial </w:t>
      </w:r>
      <w:r w:rsidRPr="00DC0AD3">
        <w:rPr>
          <w:rFonts w:ascii="Verdana" w:eastAsia="Times New Roman" w:hAnsi="Verdana" w:cs="Arial"/>
          <w:iCs/>
          <w:szCs w:val="24"/>
          <w:lang w:val="es-ES_tradnl" w:eastAsia="es-ES_tradnl"/>
        </w:rPr>
        <w:t>las Entidades Estatales deberán verificar, en primer lugar,</w:t>
      </w:r>
      <w:r>
        <w:rPr>
          <w:rFonts w:ascii="Verdana" w:eastAsia="Times New Roman" w:hAnsi="Verdana" w:cs="Arial"/>
          <w:iCs/>
          <w:szCs w:val="24"/>
          <w:lang w:val="es-ES_tradnl" w:eastAsia="es-ES_tradnl"/>
        </w:rPr>
        <w:t xml:space="preserve"> el listado de entidades expresamente establecidos en el texto del acuerdo, así como la metodología que disponga para determinar el umbral aplicable</w:t>
      </w:r>
      <w:r w:rsidRPr="00DC0AD3">
        <w:rPr>
          <w:rFonts w:ascii="Verdana" w:eastAsia="Times New Roman" w:hAnsi="Verdana" w:cs="Arial"/>
          <w:iCs/>
          <w:szCs w:val="24"/>
          <w:lang w:val="es-ES_tradnl" w:eastAsia="es-ES_tradnl"/>
        </w:rPr>
        <w:t xml:space="preserve">. Lo anterior, pues al artículo 2.2.1.2.4.1.1 del Decreto 1082 de 2015 señala expresamente que “las Entidades Estatales deben adelantar los Procesos de Contratación </w:t>
      </w:r>
      <w:r w:rsidRPr="00AF7791">
        <w:rPr>
          <w:rFonts w:ascii="Verdana" w:eastAsia="Times New Roman" w:hAnsi="Verdana" w:cs="Arial"/>
          <w:i/>
          <w:szCs w:val="24"/>
          <w:lang w:val="es-ES_tradnl" w:eastAsia="es-ES_tradnl"/>
        </w:rPr>
        <w:t>de acuerdo con lo previsto en los Acuerdos Comerciales</w:t>
      </w:r>
      <w:r w:rsidRPr="00DC0AD3">
        <w:rPr>
          <w:rFonts w:ascii="Verdana" w:eastAsia="Times New Roman" w:hAnsi="Verdana" w:cs="Arial"/>
          <w:iCs/>
          <w:szCs w:val="24"/>
          <w:lang w:val="es-ES_tradnl" w:eastAsia="es-ES_tradnl"/>
        </w:rPr>
        <w:t xml:space="preserve">, cuando estos les sean aplicables”. De esta manera, deberán verificar primero el texto del acuerdo y aplicar las reglas que allí se establezcan para </w:t>
      </w:r>
      <w:r>
        <w:rPr>
          <w:rFonts w:ascii="Verdana" w:eastAsia="Times New Roman" w:hAnsi="Verdana" w:cs="Arial"/>
          <w:iCs/>
          <w:szCs w:val="24"/>
          <w:lang w:val="es-ES_tradnl" w:eastAsia="es-ES_tradnl"/>
        </w:rPr>
        <w:t xml:space="preserve">determinar la entidad y para </w:t>
      </w:r>
      <w:r w:rsidR="00095D4B">
        <w:rPr>
          <w:rFonts w:ascii="Verdana" w:eastAsia="Times New Roman" w:hAnsi="Verdana" w:cs="Arial"/>
          <w:iCs/>
          <w:szCs w:val="24"/>
          <w:lang w:val="es-ES_tradnl" w:eastAsia="es-ES_tradnl"/>
        </w:rPr>
        <w:t xml:space="preserve">estimar </w:t>
      </w:r>
      <w:r w:rsidRPr="00DC0AD3">
        <w:rPr>
          <w:rFonts w:ascii="Verdana" w:eastAsia="Times New Roman" w:hAnsi="Verdana" w:cs="Arial"/>
          <w:iCs/>
          <w:szCs w:val="24"/>
          <w:lang w:val="es-ES_tradnl" w:eastAsia="es-ES_tradnl"/>
        </w:rPr>
        <w:t>el umbral.</w:t>
      </w:r>
    </w:p>
    <w:p w14:paraId="7A4B52C8" w14:textId="6EF77615" w:rsidR="006667C3" w:rsidRPr="00DC0AD3" w:rsidRDefault="006667C3" w:rsidP="006667C3">
      <w:pPr>
        <w:spacing w:before="120" w:after="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lastRenderedPageBreak/>
        <w:t>Así, con respecto a la primera pregunta planteada, las entidades deberán consultar primer</w:t>
      </w:r>
      <w:r w:rsidR="006F7FFB">
        <w:rPr>
          <w:rFonts w:ascii="Verdana" w:eastAsia="Calibri" w:hAnsi="Verdana" w:cs="Arial"/>
          <w:color w:val="000000" w:themeColor="text1"/>
        </w:rPr>
        <w:t>o</w:t>
      </w:r>
      <w:r>
        <w:rPr>
          <w:rFonts w:ascii="Verdana" w:eastAsia="Calibri" w:hAnsi="Verdana" w:cs="Arial"/>
          <w:color w:val="000000" w:themeColor="text1"/>
        </w:rPr>
        <w:t xml:space="preserve"> el listado de entidades que incluye el texto del acuerdo comercial. Con el fin de facilitar la identificación de la cobertura del acuerdo, también se recomienda a las entidades tener en cuenta lo dispuesto en los Anexos No. 1, 2 y 3 del “M</w:t>
      </w:r>
      <w:r w:rsidRPr="00BC14DB">
        <w:rPr>
          <w:rFonts w:ascii="Verdana" w:eastAsia="Calibri" w:hAnsi="Verdana" w:cs="Arial"/>
          <w:color w:val="000000" w:themeColor="text1"/>
        </w:rPr>
        <w:t>anual para el manejo de los acuerdos comerciales en procesos de contratación</w:t>
      </w:r>
      <w:r>
        <w:rPr>
          <w:rFonts w:ascii="Verdana" w:eastAsia="Calibri" w:hAnsi="Verdana" w:cs="Arial"/>
          <w:color w:val="000000" w:themeColor="text1"/>
        </w:rPr>
        <w:t>” de esta Agencia, el cual relaciona la cobertura de los distintos acuerdo según el nivel territorial de la entidad.</w:t>
      </w:r>
    </w:p>
    <w:p w14:paraId="36B3C675" w14:textId="77777777" w:rsidR="006667C3" w:rsidRDefault="006667C3" w:rsidP="006667C3">
      <w:pPr>
        <w:spacing w:before="120" w:after="0" w:line="276" w:lineRule="auto"/>
        <w:ind w:firstLine="708"/>
        <w:jc w:val="both"/>
        <w:rPr>
          <w:rFonts w:ascii="Verdana" w:eastAsia="Times New Roman" w:hAnsi="Verdana" w:cs="Arial"/>
          <w:iCs/>
          <w:szCs w:val="24"/>
          <w:lang w:eastAsia="es-ES_tradnl"/>
        </w:rPr>
      </w:pPr>
      <w:r>
        <w:rPr>
          <w:rFonts w:ascii="Verdana" w:eastAsia="Times New Roman" w:hAnsi="Verdana" w:cs="Arial"/>
          <w:iCs/>
          <w:szCs w:val="24"/>
          <w:lang w:val="es-ES_tradnl" w:eastAsia="es-ES_tradnl"/>
        </w:rPr>
        <w:t xml:space="preserve">En este sentido, el Anexo No. 1 es una guía para las entidades del orden nacional. Aunque </w:t>
      </w:r>
      <w:r>
        <w:rPr>
          <w:rFonts w:ascii="Verdana" w:eastAsia="Times New Roman" w:hAnsi="Verdana" w:cs="Arial"/>
          <w:iCs/>
          <w:szCs w:val="24"/>
          <w:lang w:eastAsia="es-ES_tradnl"/>
        </w:rPr>
        <w:t>l</w:t>
      </w:r>
      <w:r w:rsidRPr="00E158F6">
        <w:rPr>
          <w:rFonts w:ascii="Verdana" w:eastAsia="Times New Roman" w:hAnsi="Verdana" w:cs="Arial"/>
          <w:iCs/>
          <w:szCs w:val="24"/>
          <w:lang w:eastAsia="es-ES_tradnl"/>
        </w:rPr>
        <w:t>a mayoría de las Entidades Estatales del nivel nacional están obligadas por los Acuerdos Comerciales</w:t>
      </w:r>
      <w:r>
        <w:rPr>
          <w:rFonts w:ascii="Verdana" w:eastAsia="Times New Roman" w:hAnsi="Verdana" w:cs="Arial"/>
          <w:iCs/>
          <w:szCs w:val="24"/>
          <w:lang w:eastAsia="es-ES_tradnl"/>
        </w:rPr>
        <w:t>, el anexo</w:t>
      </w:r>
      <w:r w:rsidRPr="00E158F6">
        <w:rPr>
          <w:rFonts w:ascii="Verdana" w:eastAsia="Times New Roman" w:hAnsi="Verdana" w:cs="Arial"/>
          <w:iCs/>
          <w:szCs w:val="24"/>
          <w:lang w:eastAsia="es-ES_tradnl"/>
        </w:rPr>
        <w:t xml:space="preserve"> contiene (i) la lista de las Entidades Estatales obligadas por cada Acuerdo Comercial; (</w:t>
      </w:r>
      <w:proofErr w:type="spellStart"/>
      <w:r w:rsidRPr="00E158F6">
        <w:rPr>
          <w:rFonts w:ascii="Verdana" w:eastAsia="Times New Roman" w:hAnsi="Verdana" w:cs="Arial"/>
          <w:iCs/>
          <w:szCs w:val="24"/>
          <w:lang w:eastAsia="es-ES_tradnl"/>
        </w:rPr>
        <w:t>ii</w:t>
      </w:r>
      <w:proofErr w:type="spellEnd"/>
      <w:r w:rsidRPr="00E158F6">
        <w:rPr>
          <w:rFonts w:ascii="Verdana" w:eastAsia="Times New Roman" w:hAnsi="Verdana" w:cs="Arial"/>
          <w:iCs/>
          <w:szCs w:val="24"/>
          <w:lang w:eastAsia="es-ES_tradnl"/>
        </w:rPr>
        <w:t>) la lista de las Entidades Estatales especiales para las cuales el umbral para el Proceso de Contratación, a partir del cual el Acuerdo Comercial es aplicable, es diferente; (</w:t>
      </w:r>
      <w:proofErr w:type="spellStart"/>
      <w:r w:rsidRPr="00E158F6">
        <w:rPr>
          <w:rFonts w:ascii="Verdana" w:eastAsia="Times New Roman" w:hAnsi="Verdana" w:cs="Arial"/>
          <w:iCs/>
          <w:szCs w:val="24"/>
          <w:lang w:eastAsia="es-ES_tradnl"/>
        </w:rPr>
        <w:t>iii</w:t>
      </w:r>
      <w:proofErr w:type="spellEnd"/>
      <w:r w:rsidRPr="00E158F6">
        <w:rPr>
          <w:rFonts w:ascii="Verdana" w:eastAsia="Times New Roman" w:hAnsi="Verdana" w:cs="Arial"/>
          <w:iCs/>
          <w:szCs w:val="24"/>
          <w:lang w:eastAsia="es-ES_tradnl"/>
        </w:rPr>
        <w:t>) la tabla de los umbrales desde los cuales el Acuerdo Comercial es aplicable a los Procesos de Contratación, para las Entidades Estatales y las Entidades Estatales especiales y; (</w:t>
      </w:r>
      <w:proofErr w:type="spellStart"/>
      <w:r w:rsidRPr="00E158F6">
        <w:rPr>
          <w:rFonts w:ascii="Verdana" w:eastAsia="Times New Roman" w:hAnsi="Verdana" w:cs="Arial"/>
          <w:iCs/>
          <w:szCs w:val="24"/>
          <w:lang w:eastAsia="es-ES_tradnl"/>
        </w:rPr>
        <w:t>iv</w:t>
      </w:r>
      <w:proofErr w:type="spellEnd"/>
      <w:r w:rsidRPr="00E158F6">
        <w:rPr>
          <w:rFonts w:ascii="Verdana" w:eastAsia="Times New Roman" w:hAnsi="Verdana" w:cs="Arial"/>
          <w:iCs/>
          <w:szCs w:val="24"/>
          <w:lang w:eastAsia="es-ES_tradnl"/>
        </w:rPr>
        <w:t>) las excepciones a la aplicación de los Acuerdos Comerciales para las Entidades Estatales del nivel nacional.</w:t>
      </w:r>
      <w:r w:rsidRPr="00E158F6">
        <w:t xml:space="preserve"> </w:t>
      </w:r>
      <w:r w:rsidRPr="00E158F6">
        <w:rPr>
          <w:rFonts w:ascii="Verdana" w:eastAsia="Times New Roman" w:hAnsi="Verdana" w:cs="Arial"/>
          <w:iCs/>
          <w:szCs w:val="24"/>
          <w:lang w:eastAsia="es-ES_tradnl"/>
        </w:rPr>
        <w:t>En los Acuerdos Comerciales se incluye un listado de Entidades Estatales cubiertas, de acuerdo con su naturaleza jurídica o denominación</w:t>
      </w:r>
      <w:r>
        <w:rPr>
          <w:rStyle w:val="FootnoteReference"/>
          <w:rFonts w:ascii="Verdana" w:eastAsia="Times New Roman" w:hAnsi="Verdana" w:cs="Arial"/>
          <w:iCs/>
          <w:szCs w:val="24"/>
          <w:lang w:eastAsia="es-ES_tradnl"/>
        </w:rPr>
        <w:footnoteReference w:id="7"/>
      </w:r>
      <w:r w:rsidRPr="00E158F6">
        <w:rPr>
          <w:rFonts w:ascii="Verdana" w:eastAsia="Times New Roman" w:hAnsi="Verdana" w:cs="Arial"/>
          <w:iCs/>
          <w:szCs w:val="24"/>
          <w:lang w:eastAsia="es-ES_tradnl"/>
        </w:rPr>
        <w:t>. Por tanto, puede ocurrir que una misma Entidad se encuentre cubierta dentro de más de una categoría del Acuerdo Comercial. Por lo anterior, la Entidad Estatal debe hacer un análisis caso a caso.</w:t>
      </w:r>
    </w:p>
    <w:p w14:paraId="29D13D76" w14:textId="5FBCF305" w:rsidR="006667C3" w:rsidRDefault="006667C3" w:rsidP="006667C3">
      <w:pPr>
        <w:spacing w:before="120" w:after="0" w:line="276" w:lineRule="auto"/>
        <w:ind w:firstLine="708"/>
        <w:jc w:val="both"/>
        <w:rPr>
          <w:rFonts w:ascii="Verdana" w:eastAsia="Times New Roman" w:hAnsi="Verdana" w:cs="Arial"/>
          <w:iCs/>
          <w:szCs w:val="24"/>
          <w:lang w:eastAsia="es-ES_tradnl"/>
        </w:rPr>
      </w:pPr>
      <w:r>
        <w:rPr>
          <w:rFonts w:ascii="Verdana" w:eastAsia="Times New Roman" w:hAnsi="Verdana" w:cs="Arial"/>
          <w:iCs/>
          <w:szCs w:val="24"/>
          <w:lang w:eastAsia="es-ES_tradnl"/>
        </w:rPr>
        <w:t>El Anexo No.</w:t>
      </w:r>
      <w:r w:rsidR="008A0A14">
        <w:rPr>
          <w:rFonts w:ascii="Verdana" w:eastAsia="Times New Roman" w:hAnsi="Verdana" w:cs="Arial"/>
          <w:iCs/>
          <w:szCs w:val="24"/>
          <w:lang w:eastAsia="es-ES_tradnl"/>
        </w:rPr>
        <w:t xml:space="preserve"> </w:t>
      </w:r>
      <w:r>
        <w:rPr>
          <w:rFonts w:ascii="Verdana" w:eastAsia="Times New Roman" w:hAnsi="Verdana" w:cs="Arial"/>
          <w:iCs/>
          <w:szCs w:val="24"/>
          <w:lang w:eastAsia="es-ES_tradnl"/>
        </w:rPr>
        <w:t>2 del Manual hace lo propio con respecto a la a</w:t>
      </w:r>
      <w:r w:rsidRPr="00D06139">
        <w:rPr>
          <w:rFonts w:ascii="Verdana" w:eastAsia="Times New Roman" w:hAnsi="Verdana" w:cs="Arial"/>
          <w:iCs/>
          <w:szCs w:val="24"/>
          <w:lang w:eastAsia="es-ES_tradnl"/>
        </w:rPr>
        <w:t>plicación de los Acuerdos Comerciales para Entidades Estatales del nivel departamental</w:t>
      </w:r>
      <w:r>
        <w:rPr>
          <w:rFonts w:ascii="Verdana" w:eastAsia="Times New Roman" w:hAnsi="Verdana" w:cs="Arial"/>
          <w:iCs/>
          <w:szCs w:val="24"/>
          <w:lang w:eastAsia="es-ES_tradnl"/>
        </w:rPr>
        <w:t xml:space="preserve">, con este fin permite </w:t>
      </w:r>
      <w:r w:rsidRPr="00D06139">
        <w:rPr>
          <w:rFonts w:ascii="Verdana" w:eastAsia="Times New Roman" w:hAnsi="Verdana" w:cs="Arial"/>
          <w:iCs/>
          <w:szCs w:val="24"/>
          <w:lang w:eastAsia="es-ES_tradnl"/>
        </w:rPr>
        <w:t xml:space="preserve">verificar: (a) cuáles Entidades Estatales están incluidas en cada uno de los Acuerdos Comerciales; (b) el valor a partir del cual los Procesos de Contratación están cubiertos por los Acuerdos Comerciales y; (c) la existencia de excepciones a la cobertura del Acuerdo Comercial. </w:t>
      </w:r>
      <w:r>
        <w:rPr>
          <w:rFonts w:ascii="Verdana" w:eastAsia="Times New Roman" w:hAnsi="Verdana" w:cs="Arial"/>
          <w:iCs/>
          <w:szCs w:val="24"/>
          <w:lang w:eastAsia="es-ES_tradnl"/>
        </w:rPr>
        <w:t>De manera similar, el Anexo No. 3 establece los lineamientos para determinar la a</w:t>
      </w:r>
      <w:r w:rsidRPr="00D06139">
        <w:rPr>
          <w:rFonts w:ascii="Verdana" w:eastAsia="Times New Roman" w:hAnsi="Verdana" w:cs="Arial"/>
          <w:iCs/>
          <w:szCs w:val="24"/>
          <w:lang w:eastAsia="es-ES_tradnl"/>
        </w:rPr>
        <w:t>plicación de los Acuerdos Comerciales para Entidades Estatales del nivel municipal</w:t>
      </w:r>
      <w:r>
        <w:rPr>
          <w:rFonts w:ascii="Verdana" w:eastAsia="Times New Roman" w:hAnsi="Verdana" w:cs="Arial"/>
          <w:iCs/>
          <w:szCs w:val="24"/>
          <w:lang w:eastAsia="es-ES_tradnl"/>
        </w:rPr>
        <w:t xml:space="preserve">, señalando cuáles de estas están incluidas en los acuerdos, los umbrales de aplicación y las excepciones aplicables. </w:t>
      </w:r>
    </w:p>
    <w:p w14:paraId="5B2FB23B" w14:textId="724C25A6" w:rsidR="006667C3" w:rsidRPr="00C67A9B" w:rsidRDefault="006667C3" w:rsidP="006667C3">
      <w:pPr>
        <w:spacing w:before="120" w:after="0" w:line="276" w:lineRule="auto"/>
        <w:ind w:firstLine="708"/>
        <w:jc w:val="both"/>
        <w:rPr>
          <w:rFonts w:ascii="Verdana" w:eastAsia="Times New Roman" w:hAnsi="Verdana" w:cs="Arial"/>
          <w:iCs/>
          <w:szCs w:val="24"/>
          <w:lang w:val="es-ES_tradnl" w:eastAsia="es-ES_tradnl"/>
        </w:rPr>
      </w:pPr>
      <w:r>
        <w:rPr>
          <w:rFonts w:ascii="Verdana" w:eastAsia="Times New Roman" w:hAnsi="Verdana" w:cs="Arial"/>
          <w:iCs/>
          <w:szCs w:val="24"/>
          <w:lang w:eastAsia="es-ES_tradnl"/>
        </w:rPr>
        <w:lastRenderedPageBreak/>
        <w:t xml:space="preserve">En cualquier caso, es importante reiterar que los anexos referidos enlistan las entidades que ya </w:t>
      </w:r>
      <w:r w:rsidRPr="00E158F6">
        <w:rPr>
          <w:rFonts w:ascii="Verdana" w:eastAsia="Times New Roman" w:hAnsi="Verdana" w:cs="Arial"/>
          <w:iCs/>
          <w:szCs w:val="24"/>
          <w:lang w:eastAsia="es-ES_tradnl"/>
        </w:rPr>
        <w:t xml:space="preserve">se encuentran </w:t>
      </w:r>
      <w:r>
        <w:rPr>
          <w:rFonts w:ascii="Verdana" w:eastAsia="Times New Roman" w:hAnsi="Verdana" w:cs="Arial"/>
          <w:iCs/>
          <w:szCs w:val="24"/>
          <w:lang w:eastAsia="es-ES_tradnl"/>
        </w:rPr>
        <w:t xml:space="preserve">incluidas </w:t>
      </w:r>
      <w:r w:rsidRPr="00E158F6">
        <w:rPr>
          <w:rFonts w:ascii="Verdana" w:eastAsia="Times New Roman" w:hAnsi="Verdana" w:cs="Arial"/>
          <w:iCs/>
          <w:szCs w:val="24"/>
          <w:lang w:eastAsia="es-ES_tradnl"/>
        </w:rPr>
        <w:t xml:space="preserve">en el Acuerdo Comercial </w:t>
      </w:r>
      <w:r>
        <w:rPr>
          <w:rFonts w:ascii="Verdana" w:eastAsia="Times New Roman" w:hAnsi="Verdana" w:cs="Arial"/>
          <w:iCs/>
          <w:szCs w:val="24"/>
          <w:lang w:eastAsia="es-ES_tradnl"/>
        </w:rPr>
        <w:t xml:space="preserve">de manera </w:t>
      </w:r>
      <w:r w:rsidRPr="00E158F6">
        <w:rPr>
          <w:rFonts w:ascii="Verdana" w:eastAsia="Times New Roman" w:hAnsi="Verdana" w:cs="Arial"/>
          <w:iCs/>
          <w:szCs w:val="24"/>
          <w:lang w:eastAsia="es-ES_tradnl"/>
        </w:rPr>
        <w:t>textual</w:t>
      </w:r>
      <w:r>
        <w:rPr>
          <w:rFonts w:ascii="Verdana" w:eastAsia="Times New Roman" w:hAnsi="Verdana" w:cs="Arial"/>
          <w:iCs/>
          <w:szCs w:val="24"/>
          <w:lang w:eastAsia="es-ES_tradnl"/>
        </w:rPr>
        <w:t xml:space="preserve">, </w:t>
      </w:r>
      <w:r w:rsidRPr="00E158F6">
        <w:rPr>
          <w:rFonts w:ascii="Verdana" w:eastAsia="Times New Roman" w:hAnsi="Verdana" w:cs="Arial"/>
          <w:iCs/>
          <w:szCs w:val="24"/>
          <w:lang w:eastAsia="es-ES_tradnl"/>
        </w:rPr>
        <w:t>bien sea por nombre o por la categoría a la que pertenecen.</w:t>
      </w:r>
      <w:r>
        <w:rPr>
          <w:rFonts w:ascii="Verdana" w:eastAsia="Times New Roman" w:hAnsi="Verdana" w:cs="Arial"/>
          <w:iCs/>
          <w:szCs w:val="24"/>
          <w:lang w:eastAsia="es-ES_tradnl"/>
        </w:rPr>
        <w:t xml:space="preserve"> En este sentido, el </w:t>
      </w:r>
      <w:r w:rsidR="00E15186">
        <w:rPr>
          <w:rFonts w:ascii="Verdana" w:eastAsia="Times New Roman" w:hAnsi="Verdana" w:cs="Arial"/>
          <w:iCs/>
          <w:szCs w:val="24"/>
          <w:lang w:eastAsia="es-ES_tradnl"/>
        </w:rPr>
        <w:t>M</w:t>
      </w:r>
      <w:r>
        <w:rPr>
          <w:rFonts w:ascii="Verdana" w:eastAsia="Times New Roman" w:hAnsi="Verdana" w:cs="Arial"/>
          <w:iCs/>
          <w:szCs w:val="24"/>
          <w:lang w:eastAsia="es-ES_tradnl"/>
        </w:rPr>
        <w:t>anual compila e identifica las entidades que están cubiertas por cada acuerdo comercial según el orden (nacional o territorial) al cual pertenece. Finalmente, s</w:t>
      </w:r>
      <w:r w:rsidRPr="00FC37F6">
        <w:rPr>
          <w:rFonts w:ascii="Verdana" w:eastAsia="Times New Roman" w:hAnsi="Verdana" w:cs="Arial"/>
          <w:iCs/>
          <w:szCs w:val="24"/>
          <w:lang w:eastAsia="es-ES_tradnl"/>
        </w:rPr>
        <w:t xml:space="preserve">in perjuicio de las particularidades de la cobertura dispuesta por cada Acuerdo Comercial, por regla general, las entidades del </w:t>
      </w:r>
      <w:r>
        <w:rPr>
          <w:rFonts w:ascii="Verdana" w:eastAsia="Times New Roman" w:hAnsi="Verdana" w:cs="Arial"/>
          <w:iCs/>
          <w:szCs w:val="24"/>
          <w:lang w:eastAsia="es-ES_tradnl"/>
        </w:rPr>
        <w:t>“</w:t>
      </w:r>
      <w:r w:rsidRPr="00FC37F6">
        <w:rPr>
          <w:rFonts w:ascii="Verdana" w:eastAsia="Times New Roman" w:hAnsi="Verdana" w:cs="Arial"/>
          <w:iCs/>
          <w:szCs w:val="24"/>
          <w:lang w:eastAsia="es-ES_tradnl"/>
        </w:rPr>
        <w:t>nivel central</w:t>
      </w:r>
      <w:r>
        <w:rPr>
          <w:rFonts w:ascii="Verdana" w:eastAsia="Times New Roman" w:hAnsi="Verdana" w:cs="Arial"/>
          <w:iCs/>
          <w:szCs w:val="24"/>
          <w:lang w:eastAsia="es-ES_tradnl"/>
        </w:rPr>
        <w:t>”</w:t>
      </w:r>
      <w:r w:rsidRPr="00FC37F6">
        <w:rPr>
          <w:rFonts w:ascii="Verdana" w:eastAsia="Times New Roman" w:hAnsi="Verdana" w:cs="Arial"/>
          <w:iCs/>
          <w:szCs w:val="24"/>
          <w:lang w:eastAsia="es-ES_tradnl"/>
        </w:rPr>
        <w:t xml:space="preserve"> corresponde</w:t>
      </w:r>
      <w:r>
        <w:rPr>
          <w:rFonts w:ascii="Verdana" w:eastAsia="Times New Roman" w:hAnsi="Verdana" w:cs="Arial"/>
          <w:iCs/>
          <w:szCs w:val="24"/>
          <w:lang w:eastAsia="es-ES_tradnl"/>
        </w:rPr>
        <w:t>rán</w:t>
      </w:r>
      <w:r w:rsidRPr="00FC37F6">
        <w:rPr>
          <w:rFonts w:ascii="Verdana" w:eastAsia="Times New Roman" w:hAnsi="Verdana" w:cs="Arial"/>
          <w:iCs/>
          <w:szCs w:val="24"/>
          <w:lang w:eastAsia="es-ES_tradnl"/>
        </w:rPr>
        <w:t xml:space="preserve"> a las entidades del sector nacional</w:t>
      </w:r>
      <w:r>
        <w:rPr>
          <w:rFonts w:ascii="Verdana" w:eastAsia="Times New Roman" w:hAnsi="Verdana" w:cs="Arial"/>
          <w:iCs/>
          <w:szCs w:val="24"/>
          <w:lang w:eastAsia="es-ES_tradnl"/>
        </w:rPr>
        <w:t xml:space="preserve"> o federal (como es el caso de los ministerios)</w:t>
      </w:r>
      <w:r w:rsidRPr="00FC37F6">
        <w:rPr>
          <w:rFonts w:ascii="Verdana" w:eastAsia="Times New Roman" w:hAnsi="Verdana" w:cs="Arial"/>
          <w:iCs/>
          <w:szCs w:val="24"/>
          <w:lang w:eastAsia="es-ES_tradnl"/>
        </w:rPr>
        <w:t xml:space="preserve"> y las entidades del </w:t>
      </w:r>
      <w:r>
        <w:rPr>
          <w:rFonts w:ascii="Verdana" w:eastAsia="Times New Roman" w:hAnsi="Verdana" w:cs="Arial"/>
          <w:iCs/>
          <w:szCs w:val="24"/>
          <w:lang w:eastAsia="es-ES_tradnl"/>
        </w:rPr>
        <w:t>“</w:t>
      </w:r>
      <w:r w:rsidRPr="00FC37F6">
        <w:rPr>
          <w:rFonts w:ascii="Verdana" w:eastAsia="Times New Roman" w:hAnsi="Verdana" w:cs="Arial"/>
          <w:iCs/>
          <w:szCs w:val="24"/>
          <w:lang w:eastAsia="es-ES_tradnl"/>
        </w:rPr>
        <w:t>nivel subcentral</w:t>
      </w:r>
      <w:r>
        <w:rPr>
          <w:rFonts w:ascii="Verdana" w:eastAsia="Times New Roman" w:hAnsi="Verdana" w:cs="Arial"/>
          <w:iCs/>
          <w:szCs w:val="24"/>
          <w:lang w:eastAsia="es-ES_tradnl"/>
        </w:rPr>
        <w:t>”</w:t>
      </w:r>
      <w:r w:rsidRPr="00FC37F6">
        <w:rPr>
          <w:rFonts w:ascii="Verdana" w:eastAsia="Times New Roman" w:hAnsi="Verdana" w:cs="Arial"/>
          <w:iCs/>
          <w:szCs w:val="24"/>
          <w:lang w:eastAsia="es-ES_tradnl"/>
        </w:rPr>
        <w:t xml:space="preserve"> corresponden a las entidades del sector territorial</w:t>
      </w:r>
      <w:r>
        <w:rPr>
          <w:rFonts w:ascii="Verdana" w:eastAsia="Times New Roman" w:hAnsi="Verdana" w:cs="Arial"/>
          <w:iCs/>
          <w:szCs w:val="24"/>
          <w:lang w:eastAsia="es-ES_tradnl"/>
        </w:rPr>
        <w:t xml:space="preserve"> o “sub-federal” (</w:t>
      </w:r>
      <w:r w:rsidRPr="008433D5">
        <w:rPr>
          <w:rFonts w:ascii="Verdana" w:eastAsia="Times New Roman" w:hAnsi="Verdana" w:cs="Arial"/>
          <w:iCs/>
          <w:szCs w:val="24"/>
          <w:lang w:eastAsia="es-ES_tradnl"/>
        </w:rPr>
        <w:t>por ejemplo los Municipios, Provincias, Departamentos o Regiones</w:t>
      </w:r>
      <w:r>
        <w:rPr>
          <w:rFonts w:ascii="Verdana" w:eastAsia="Times New Roman" w:hAnsi="Verdana" w:cs="Arial"/>
          <w:iCs/>
          <w:szCs w:val="24"/>
          <w:lang w:eastAsia="es-ES_tradnl"/>
        </w:rPr>
        <w:t>)</w:t>
      </w:r>
      <w:r>
        <w:rPr>
          <w:rStyle w:val="FootnoteReference"/>
          <w:rFonts w:ascii="Verdana" w:eastAsia="Times New Roman" w:hAnsi="Verdana" w:cs="Arial"/>
          <w:iCs/>
          <w:szCs w:val="24"/>
          <w:lang w:eastAsia="es-ES_tradnl"/>
        </w:rPr>
        <w:footnoteReference w:id="8"/>
      </w:r>
      <w:r>
        <w:rPr>
          <w:rFonts w:ascii="Verdana" w:eastAsia="Times New Roman" w:hAnsi="Verdana" w:cs="Arial"/>
          <w:iCs/>
          <w:szCs w:val="24"/>
          <w:lang w:eastAsia="es-ES_tradnl"/>
        </w:rPr>
        <w:t>.</w:t>
      </w:r>
    </w:p>
    <w:p w14:paraId="4FD55D85" w14:textId="76FA9993" w:rsidR="006667C3" w:rsidRDefault="006667C3" w:rsidP="006667C3">
      <w:pPr>
        <w:spacing w:before="120" w:after="0" w:line="276" w:lineRule="auto"/>
        <w:ind w:firstLine="708"/>
        <w:jc w:val="both"/>
        <w:rPr>
          <w:rFonts w:ascii="Verdana" w:eastAsia="Times New Roman" w:hAnsi="Verdana" w:cs="Arial"/>
          <w:iCs/>
          <w:szCs w:val="24"/>
          <w:lang w:val="es-ES_tradnl" w:eastAsia="es-ES_tradnl"/>
        </w:rPr>
      </w:pPr>
      <w:r>
        <w:rPr>
          <w:rFonts w:ascii="Verdana" w:eastAsia="Calibri" w:hAnsi="Verdana" w:cs="Arial"/>
          <w:color w:val="000000" w:themeColor="text1"/>
        </w:rPr>
        <w:t xml:space="preserve">Por otra parte, con respecto a la </w:t>
      </w:r>
      <w:r w:rsidRPr="00D06139">
        <w:rPr>
          <w:rFonts w:ascii="Verdana" w:eastAsia="Calibri" w:hAnsi="Verdana" w:cs="Arial"/>
          <w:i/>
          <w:iCs/>
          <w:color w:val="000000" w:themeColor="text1"/>
        </w:rPr>
        <w:t>estimación del umbral</w:t>
      </w:r>
      <w:r w:rsidRPr="00DC0AD3">
        <w:rPr>
          <w:rFonts w:ascii="Verdana" w:eastAsia="Calibri" w:hAnsi="Verdana" w:cs="Arial"/>
          <w:color w:val="000000" w:themeColor="text1"/>
        </w:rPr>
        <w:t xml:space="preserve">, es importante aclarar que los valores a partir de los cuales rigen los </w:t>
      </w:r>
      <w:r w:rsidR="00562FDB">
        <w:rPr>
          <w:rFonts w:ascii="Verdana" w:eastAsia="Calibri" w:hAnsi="Verdana" w:cs="Arial"/>
          <w:color w:val="000000" w:themeColor="text1"/>
        </w:rPr>
        <w:t>A</w:t>
      </w:r>
      <w:r w:rsidRPr="00DC0AD3">
        <w:rPr>
          <w:rFonts w:ascii="Verdana" w:eastAsia="Calibri" w:hAnsi="Verdana" w:cs="Arial"/>
          <w:color w:val="000000" w:themeColor="text1"/>
        </w:rPr>
        <w:t xml:space="preserve">cuerdos </w:t>
      </w:r>
      <w:r w:rsidR="00562FDB">
        <w:rPr>
          <w:rFonts w:ascii="Verdana" w:eastAsia="Calibri" w:hAnsi="Verdana" w:cs="Arial"/>
          <w:color w:val="000000" w:themeColor="text1"/>
        </w:rPr>
        <w:t>C</w:t>
      </w:r>
      <w:r w:rsidRPr="00DC0AD3">
        <w:rPr>
          <w:rFonts w:ascii="Verdana" w:eastAsia="Calibri" w:hAnsi="Verdana" w:cs="Arial"/>
          <w:color w:val="000000" w:themeColor="text1"/>
        </w:rPr>
        <w:t xml:space="preserve">omerciales para cada proceso de contratación son generalmente negociados en dólares de los Estados Unidos de América o en Derechos Especiales de Giro (DEG)— </w:t>
      </w:r>
      <w:proofErr w:type="spellStart"/>
      <w:r w:rsidRPr="00DC0AD3">
        <w:rPr>
          <w:rFonts w:ascii="Verdana" w:eastAsia="Calibri" w:hAnsi="Verdana" w:cs="Arial"/>
          <w:color w:val="000000" w:themeColor="text1"/>
        </w:rPr>
        <w:t>Special</w:t>
      </w:r>
      <w:proofErr w:type="spellEnd"/>
      <w:r w:rsidRPr="00DC0AD3">
        <w:rPr>
          <w:rFonts w:ascii="Verdana" w:eastAsia="Calibri" w:hAnsi="Verdana" w:cs="Arial"/>
          <w:color w:val="000000" w:themeColor="text1"/>
        </w:rPr>
        <w:t xml:space="preserve"> </w:t>
      </w:r>
      <w:proofErr w:type="spellStart"/>
      <w:r w:rsidRPr="00DC0AD3">
        <w:rPr>
          <w:rFonts w:ascii="Verdana" w:eastAsia="Calibri" w:hAnsi="Verdana" w:cs="Arial"/>
          <w:color w:val="000000" w:themeColor="text1"/>
        </w:rPr>
        <w:t>Drawing</w:t>
      </w:r>
      <w:proofErr w:type="spellEnd"/>
      <w:r w:rsidRPr="00DC0AD3">
        <w:rPr>
          <w:rFonts w:ascii="Verdana" w:eastAsia="Calibri" w:hAnsi="Verdana" w:cs="Arial"/>
          <w:color w:val="000000" w:themeColor="text1"/>
        </w:rPr>
        <w:t xml:space="preserve"> </w:t>
      </w:r>
      <w:proofErr w:type="spellStart"/>
      <w:r w:rsidRPr="00DC0AD3">
        <w:rPr>
          <w:rFonts w:ascii="Verdana" w:eastAsia="Calibri" w:hAnsi="Verdana" w:cs="Arial"/>
          <w:color w:val="000000" w:themeColor="text1"/>
        </w:rPr>
        <w:t>Rights</w:t>
      </w:r>
      <w:proofErr w:type="spellEnd"/>
      <w:r w:rsidRPr="00DC0AD3">
        <w:rPr>
          <w:rFonts w:ascii="Verdana" w:eastAsia="Calibri" w:hAnsi="Verdana" w:cs="Arial"/>
          <w:color w:val="000000" w:themeColor="text1"/>
        </w:rPr>
        <w:t>, SDR por sus siglas en inglés ―. El Ministerio de Comercio, Industria y Turismo (M</w:t>
      </w:r>
      <w:r w:rsidR="000C54C8">
        <w:rPr>
          <w:rFonts w:ascii="Verdana" w:eastAsia="Calibri" w:hAnsi="Verdana" w:cs="Arial"/>
          <w:color w:val="000000" w:themeColor="text1"/>
        </w:rPr>
        <w:t>IN</w:t>
      </w:r>
      <w:r w:rsidRPr="00DC0AD3">
        <w:rPr>
          <w:rFonts w:ascii="Verdana" w:eastAsia="Calibri" w:hAnsi="Verdana" w:cs="Arial"/>
          <w:color w:val="000000" w:themeColor="text1"/>
        </w:rPr>
        <w:t>CIT) es el encargado de señalar, con la periodicidad definida en cada Acuerdo Comercial, el valor de conversión de estas monedas a pesos colombianos para determinar el umbral aplicable</w:t>
      </w:r>
      <w:r w:rsidRPr="00DC0AD3">
        <w:rPr>
          <w:rFonts w:ascii="Verdana" w:eastAsia="Times New Roman" w:hAnsi="Verdana"/>
          <w:iCs/>
          <w:szCs w:val="24"/>
          <w:vertAlign w:val="superscript"/>
          <w:lang w:val="es-ES_tradnl" w:eastAsia="es-ES_tradnl"/>
        </w:rPr>
        <w:footnoteReference w:id="9"/>
      </w:r>
      <w:r w:rsidRPr="00DC0AD3">
        <w:rPr>
          <w:rFonts w:ascii="Verdana" w:eastAsia="Times New Roman" w:hAnsi="Verdana" w:cs="Arial"/>
          <w:iCs/>
          <w:szCs w:val="24"/>
          <w:lang w:val="es-ES_tradnl" w:eastAsia="es-ES_tradnl"/>
        </w:rPr>
        <w:t xml:space="preserve">. Las Entidades deberán hacer uso de esta información para verificar el valor del umbral y determinar si el acuerdo cubre el proceso de contratación. </w:t>
      </w:r>
      <w:r>
        <w:rPr>
          <w:rFonts w:ascii="Verdana" w:eastAsia="Times New Roman" w:hAnsi="Verdana" w:cs="Arial"/>
          <w:iCs/>
          <w:szCs w:val="24"/>
          <w:lang w:val="es-ES_tradnl" w:eastAsia="es-ES_tradnl"/>
        </w:rPr>
        <w:t xml:space="preserve">En este sentido, salvo que el </w:t>
      </w:r>
      <w:r w:rsidR="0044672F">
        <w:rPr>
          <w:rFonts w:ascii="Verdana" w:eastAsia="Times New Roman" w:hAnsi="Verdana" w:cs="Arial"/>
          <w:iCs/>
          <w:szCs w:val="24"/>
          <w:lang w:val="es-ES_tradnl" w:eastAsia="es-ES_tradnl"/>
        </w:rPr>
        <w:t>A</w:t>
      </w:r>
      <w:r>
        <w:rPr>
          <w:rFonts w:ascii="Verdana" w:eastAsia="Times New Roman" w:hAnsi="Verdana" w:cs="Arial"/>
          <w:iCs/>
          <w:szCs w:val="24"/>
          <w:lang w:val="es-ES_tradnl" w:eastAsia="es-ES_tradnl"/>
        </w:rPr>
        <w:t xml:space="preserve">cuerdo </w:t>
      </w:r>
      <w:r w:rsidR="0044672F">
        <w:rPr>
          <w:rFonts w:ascii="Verdana" w:eastAsia="Times New Roman" w:hAnsi="Verdana" w:cs="Arial"/>
          <w:iCs/>
          <w:szCs w:val="24"/>
          <w:lang w:val="es-ES_tradnl" w:eastAsia="es-ES_tradnl"/>
        </w:rPr>
        <w:t>C</w:t>
      </w:r>
      <w:r>
        <w:rPr>
          <w:rFonts w:ascii="Verdana" w:eastAsia="Times New Roman" w:hAnsi="Verdana" w:cs="Arial"/>
          <w:iCs/>
          <w:szCs w:val="24"/>
          <w:lang w:val="es-ES_tradnl" w:eastAsia="es-ES_tradnl"/>
        </w:rPr>
        <w:t>omercial así lo determine</w:t>
      </w:r>
      <w:r>
        <w:rPr>
          <w:rStyle w:val="FootnoteReference"/>
          <w:rFonts w:ascii="Verdana" w:eastAsia="Times New Roman" w:hAnsi="Verdana" w:cs="Arial"/>
          <w:iCs/>
          <w:szCs w:val="24"/>
          <w:lang w:val="es-ES_tradnl" w:eastAsia="es-ES_tradnl"/>
        </w:rPr>
        <w:footnoteReference w:id="10"/>
      </w:r>
      <w:r>
        <w:rPr>
          <w:rFonts w:ascii="Verdana" w:eastAsia="Times New Roman" w:hAnsi="Verdana" w:cs="Arial"/>
          <w:iCs/>
          <w:szCs w:val="24"/>
          <w:lang w:val="es-ES_tradnl" w:eastAsia="es-ES_tradnl"/>
        </w:rPr>
        <w:t xml:space="preserve">, </w:t>
      </w:r>
      <w:r w:rsidRPr="00D06139">
        <w:rPr>
          <w:rFonts w:ascii="Verdana" w:eastAsia="Times New Roman" w:hAnsi="Verdana" w:cs="Arial"/>
          <w:i/>
          <w:szCs w:val="24"/>
          <w:u w:val="single"/>
          <w:lang w:val="es-ES_tradnl" w:eastAsia="es-ES_tradnl"/>
        </w:rPr>
        <w:t xml:space="preserve">no </w:t>
      </w:r>
      <w:r>
        <w:rPr>
          <w:rFonts w:ascii="Verdana" w:eastAsia="Times New Roman" w:hAnsi="Verdana" w:cs="Arial"/>
          <w:iCs/>
          <w:szCs w:val="24"/>
          <w:lang w:val="es-ES_tradnl" w:eastAsia="es-ES_tradnl"/>
        </w:rPr>
        <w:t xml:space="preserve">corresponde a cada entidad realizar la conversión del umbral establecido en DEG a la moneda nacional según el valor de la TRM aplicable al día en que realice la consulta. Por el contrario, la entidad deberá considerar el umbral aplicable según las reglas, fórmulas y periodicidad que al respecto establezca cada acuerdo comercial. </w:t>
      </w:r>
    </w:p>
    <w:p w14:paraId="47719A39" w14:textId="442A01B0" w:rsidR="006667C3" w:rsidRDefault="006667C3" w:rsidP="006667C3">
      <w:pPr>
        <w:spacing w:before="120" w:after="0" w:line="276" w:lineRule="auto"/>
        <w:ind w:firstLine="708"/>
        <w:jc w:val="both"/>
        <w:rPr>
          <w:rFonts w:ascii="Verdana" w:eastAsia="Calibri" w:hAnsi="Verdana" w:cs="Arial"/>
          <w:color w:val="000000" w:themeColor="text1"/>
        </w:rPr>
      </w:pPr>
      <w:r>
        <w:rPr>
          <w:rFonts w:ascii="Verdana" w:eastAsia="Times New Roman" w:hAnsi="Verdana" w:cs="Arial"/>
          <w:iCs/>
          <w:szCs w:val="24"/>
          <w:lang w:val="es-ES_tradnl" w:eastAsia="es-ES_tradnl"/>
        </w:rPr>
        <w:t>Al respecto, el Manual expedido por esta Agencia aclara que l</w:t>
      </w:r>
      <w:r w:rsidRPr="004C7D8C">
        <w:rPr>
          <w:rFonts w:ascii="Verdana" w:eastAsia="Times New Roman" w:hAnsi="Verdana" w:cs="Arial"/>
          <w:iCs/>
          <w:szCs w:val="24"/>
          <w:lang w:eastAsia="es-ES_tradnl"/>
        </w:rPr>
        <w:t>os valores</w:t>
      </w:r>
      <w:r>
        <w:rPr>
          <w:rFonts w:ascii="Verdana" w:eastAsia="Times New Roman" w:hAnsi="Verdana" w:cs="Arial"/>
          <w:iCs/>
          <w:szCs w:val="24"/>
          <w:lang w:eastAsia="es-ES_tradnl"/>
        </w:rPr>
        <w:t xml:space="preserve"> de los umbrales aplicables a las distintas entidades que se encuentran</w:t>
      </w:r>
      <w:r w:rsidRPr="004C7D8C">
        <w:rPr>
          <w:rFonts w:ascii="Verdana" w:eastAsia="Times New Roman" w:hAnsi="Verdana" w:cs="Arial"/>
          <w:iCs/>
          <w:szCs w:val="24"/>
          <w:lang w:eastAsia="es-ES_tradnl"/>
        </w:rPr>
        <w:t xml:space="preserve"> incluidos </w:t>
      </w:r>
      <w:r w:rsidRPr="004C7D8C">
        <w:rPr>
          <w:rFonts w:ascii="Verdana" w:eastAsia="Times New Roman" w:hAnsi="Verdana" w:cs="Arial"/>
          <w:iCs/>
          <w:szCs w:val="24"/>
          <w:lang w:eastAsia="es-ES_tradnl"/>
        </w:rPr>
        <w:lastRenderedPageBreak/>
        <w:t xml:space="preserve">en </w:t>
      </w:r>
      <w:r>
        <w:rPr>
          <w:rFonts w:ascii="Verdana" w:eastAsia="Times New Roman" w:hAnsi="Verdana" w:cs="Arial"/>
          <w:iCs/>
          <w:szCs w:val="24"/>
          <w:lang w:eastAsia="es-ES_tradnl"/>
        </w:rPr>
        <w:t xml:space="preserve">los Anexos No. 1, 2 y 3 </w:t>
      </w:r>
      <w:r w:rsidRPr="004C7D8C">
        <w:rPr>
          <w:rFonts w:ascii="Verdana" w:eastAsia="Times New Roman" w:hAnsi="Verdana" w:cs="Arial"/>
          <w:iCs/>
          <w:szCs w:val="24"/>
          <w:lang w:eastAsia="es-ES_tradnl"/>
        </w:rPr>
        <w:t xml:space="preserve">corresponden a los inicialmente pactados en el Acuerdo Comercial. </w:t>
      </w:r>
      <w:r>
        <w:rPr>
          <w:rFonts w:ascii="Verdana" w:eastAsia="Times New Roman" w:hAnsi="Verdana" w:cs="Arial"/>
          <w:iCs/>
          <w:szCs w:val="24"/>
          <w:lang w:eastAsia="es-ES_tradnl"/>
        </w:rPr>
        <w:t>Sin embargo, resalta que e</w:t>
      </w:r>
      <w:r w:rsidRPr="004C7D8C">
        <w:rPr>
          <w:rFonts w:ascii="Verdana" w:eastAsia="Times New Roman" w:hAnsi="Verdana" w:cs="Arial"/>
          <w:iCs/>
          <w:szCs w:val="24"/>
          <w:lang w:eastAsia="es-ES_tradnl"/>
        </w:rPr>
        <w:t xml:space="preserve">stos valores se actualizan </w:t>
      </w:r>
      <w:r w:rsidRPr="00FC37F6">
        <w:rPr>
          <w:rFonts w:ascii="Verdana" w:eastAsia="Times New Roman" w:hAnsi="Verdana" w:cs="Arial"/>
          <w:i/>
          <w:szCs w:val="24"/>
          <w:u w:val="single"/>
          <w:lang w:eastAsia="es-ES_tradnl"/>
        </w:rPr>
        <w:t>cada dos años</w:t>
      </w:r>
      <w:r w:rsidRPr="004C7D8C">
        <w:rPr>
          <w:rFonts w:ascii="Verdana" w:eastAsia="Times New Roman" w:hAnsi="Verdana" w:cs="Arial"/>
          <w:iCs/>
          <w:szCs w:val="24"/>
          <w:lang w:eastAsia="es-ES_tradnl"/>
        </w:rPr>
        <w:t xml:space="preserve"> a valores en pesos colombianos teniendo en cuenta las fórmulas y TRM, según lo previsto en cada Acuerdo Comercial. Por tanto, es labor de las Entidades Estatales verificar el valor actual a partir del cual es aplicable el Acuerdo Comercial.</w:t>
      </w:r>
      <w:r>
        <w:rPr>
          <w:rFonts w:ascii="Verdana" w:eastAsia="Times New Roman" w:hAnsi="Verdana" w:cs="Arial"/>
          <w:iCs/>
          <w:szCs w:val="24"/>
          <w:lang w:val="es-ES_tradnl" w:eastAsia="es-ES_tradnl"/>
        </w:rPr>
        <w:t xml:space="preserve"> Con el fin de facilitar el cumplimiento de este deber, esta Agencia y el </w:t>
      </w:r>
      <w:r w:rsidRPr="00DC0AD3">
        <w:rPr>
          <w:rFonts w:ascii="Verdana" w:eastAsia="Calibri" w:hAnsi="Verdana" w:cs="Arial"/>
          <w:color w:val="000000" w:themeColor="text1"/>
        </w:rPr>
        <w:t>Ministerio de Comercio, Industria y Turismo (M</w:t>
      </w:r>
      <w:r w:rsidR="00F66C00">
        <w:rPr>
          <w:rFonts w:ascii="Verdana" w:eastAsia="Calibri" w:hAnsi="Verdana" w:cs="Arial"/>
          <w:color w:val="000000" w:themeColor="text1"/>
        </w:rPr>
        <w:t>IN</w:t>
      </w:r>
      <w:r w:rsidRPr="00DC0AD3">
        <w:rPr>
          <w:rFonts w:ascii="Verdana" w:eastAsia="Calibri" w:hAnsi="Verdana" w:cs="Arial"/>
          <w:color w:val="000000" w:themeColor="text1"/>
        </w:rPr>
        <w:t>CIT)</w:t>
      </w:r>
      <w:r>
        <w:rPr>
          <w:rFonts w:ascii="Verdana" w:eastAsia="Calibri" w:hAnsi="Verdana" w:cs="Arial"/>
          <w:color w:val="000000" w:themeColor="text1"/>
        </w:rPr>
        <w:t xml:space="preserve"> elaboran y publican periódicamente un documento en el cual especifican el </w:t>
      </w:r>
      <w:r w:rsidRPr="004C7D8C">
        <w:rPr>
          <w:rFonts w:ascii="Verdana" w:eastAsia="Calibri" w:hAnsi="Verdana" w:cs="Arial"/>
          <w:color w:val="000000" w:themeColor="text1"/>
        </w:rPr>
        <w:t>valor de los umbrales</w:t>
      </w:r>
      <w:r>
        <w:rPr>
          <w:rFonts w:ascii="Verdana" w:eastAsia="Calibri" w:hAnsi="Verdana" w:cs="Arial"/>
          <w:color w:val="000000" w:themeColor="text1"/>
        </w:rPr>
        <w:t xml:space="preserve"> y la vigencia en la cual son aplicables. De esta forma, el documento mencionado en su consulta señala que los umbrales allí establecidos</w:t>
      </w:r>
      <w:r w:rsidRPr="004C7D8C">
        <w:rPr>
          <w:rFonts w:ascii="Verdana" w:eastAsia="Calibri" w:hAnsi="Verdana" w:cs="Arial"/>
          <w:color w:val="000000" w:themeColor="text1"/>
        </w:rPr>
        <w:t xml:space="preserve"> tendrá</w:t>
      </w:r>
      <w:r>
        <w:rPr>
          <w:rFonts w:ascii="Verdana" w:eastAsia="Calibri" w:hAnsi="Verdana" w:cs="Arial"/>
          <w:color w:val="000000" w:themeColor="text1"/>
        </w:rPr>
        <w:t>n</w:t>
      </w:r>
      <w:r w:rsidRPr="004C7D8C">
        <w:rPr>
          <w:rFonts w:ascii="Verdana" w:eastAsia="Calibri" w:hAnsi="Verdana" w:cs="Arial"/>
          <w:color w:val="000000" w:themeColor="text1"/>
        </w:rPr>
        <w:t xml:space="preserve"> vigencia del 1 de enero del 2024 hasta el 31 de diciembre de 2025 para los Acuerdos Comerciales suscritos con: (i) Canadá, (</w:t>
      </w:r>
      <w:proofErr w:type="spellStart"/>
      <w:r w:rsidRPr="004C7D8C">
        <w:rPr>
          <w:rFonts w:ascii="Verdana" w:eastAsia="Calibri" w:hAnsi="Verdana" w:cs="Arial"/>
          <w:color w:val="000000" w:themeColor="text1"/>
        </w:rPr>
        <w:t>ii</w:t>
      </w:r>
      <w:proofErr w:type="spellEnd"/>
      <w:r w:rsidRPr="004C7D8C">
        <w:rPr>
          <w:rFonts w:ascii="Verdana" w:eastAsia="Calibri" w:hAnsi="Verdana" w:cs="Arial"/>
          <w:color w:val="000000" w:themeColor="text1"/>
        </w:rPr>
        <w:t>) Reino Unido de Gran Bretaña e Irlanda del Norte, (</w:t>
      </w:r>
      <w:proofErr w:type="spellStart"/>
      <w:r w:rsidRPr="004C7D8C">
        <w:rPr>
          <w:rFonts w:ascii="Verdana" w:eastAsia="Calibri" w:hAnsi="Verdana" w:cs="Arial"/>
          <w:color w:val="000000" w:themeColor="text1"/>
        </w:rPr>
        <w:t>iii</w:t>
      </w:r>
      <w:proofErr w:type="spellEnd"/>
      <w:r w:rsidRPr="004C7D8C">
        <w:rPr>
          <w:rFonts w:ascii="Verdana" w:eastAsia="Calibri" w:hAnsi="Verdana" w:cs="Arial"/>
          <w:color w:val="000000" w:themeColor="text1"/>
        </w:rPr>
        <w:t>) Estados Unidos, (</w:t>
      </w:r>
      <w:proofErr w:type="spellStart"/>
      <w:r w:rsidRPr="004C7D8C">
        <w:rPr>
          <w:rFonts w:ascii="Verdana" w:eastAsia="Calibri" w:hAnsi="Verdana" w:cs="Arial"/>
          <w:color w:val="000000" w:themeColor="text1"/>
        </w:rPr>
        <w:t>iv</w:t>
      </w:r>
      <w:proofErr w:type="spellEnd"/>
      <w:r w:rsidRPr="004C7D8C">
        <w:rPr>
          <w:rFonts w:ascii="Verdana" w:eastAsia="Calibri" w:hAnsi="Verdana" w:cs="Arial"/>
          <w:color w:val="000000" w:themeColor="text1"/>
        </w:rPr>
        <w:t>) Chile, (v) Costa Rica, (vi) Alianza del Pacífico y (</w:t>
      </w:r>
      <w:proofErr w:type="spellStart"/>
      <w:r w:rsidRPr="004C7D8C">
        <w:rPr>
          <w:rFonts w:ascii="Verdana" w:eastAsia="Calibri" w:hAnsi="Verdana" w:cs="Arial"/>
          <w:color w:val="000000" w:themeColor="text1"/>
        </w:rPr>
        <w:t>vii</w:t>
      </w:r>
      <w:proofErr w:type="spellEnd"/>
      <w:r w:rsidRPr="004C7D8C">
        <w:rPr>
          <w:rFonts w:ascii="Verdana" w:eastAsia="Calibri" w:hAnsi="Verdana" w:cs="Arial"/>
          <w:color w:val="000000" w:themeColor="text1"/>
        </w:rPr>
        <w:t>) Corea</w:t>
      </w:r>
      <w:r>
        <w:rPr>
          <w:rFonts w:ascii="Verdana" w:eastAsia="Calibri" w:hAnsi="Verdana" w:cs="Arial"/>
          <w:color w:val="000000" w:themeColor="text1"/>
        </w:rPr>
        <w:t>. Adicionalmente, dispone que, s</w:t>
      </w:r>
      <w:r w:rsidRPr="00FC37F6">
        <w:rPr>
          <w:rFonts w:ascii="Verdana" w:eastAsia="Calibri" w:hAnsi="Verdana" w:cs="Arial"/>
          <w:color w:val="000000" w:themeColor="text1"/>
        </w:rPr>
        <w:t>egún el MINCIT</w:t>
      </w:r>
      <w:r>
        <w:rPr>
          <w:rFonts w:ascii="Verdana" w:eastAsia="Calibri" w:hAnsi="Verdana" w:cs="Arial"/>
          <w:color w:val="000000" w:themeColor="text1"/>
        </w:rPr>
        <w:t>,</w:t>
      </w:r>
      <w:r w:rsidRPr="00FC37F6">
        <w:rPr>
          <w:rFonts w:ascii="Verdana" w:eastAsia="Calibri" w:hAnsi="Verdana" w:cs="Arial"/>
          <w:color w:val="000000" w:themeColor="text1"/>
        </w:rPr>
        <w:t xml:space="preserve"> el valor de los umbrales tendrá vigencia del 1 de enero del 2025 hasta el 31 de diciembre de 202</w:t>
      </w:r>
      <w:r>
        <w:rPr>
          <w:rFonts w:ascii="Verdana" w:eastAsia="Calibri" w:hAnsi="Verdana" w:cs="Arial"/>
          <w:color w:val="000000" w:themeColor="text1"/>
        </w:rPr>
        <w:t>6</w:t>
      </w:r>
      <w:r w:rsidRPr="00FC37F6">
        <w:rPr>
          <w:rFonts w:ascii="Verdana" w:eastAsia="Calibri" w:hAnsi="Verdana" w:cs="Arial"/>
          <w:color w:val="000000" w:themeColor="text1"/>
        </w:rPr>
        <w:t xml:space="preserve"> para los Acuerdos Comerciales suscritos con: (i) México, (</w:t>
      </w:r>
      <w:proofErr w:type="spellStart"/>
      <w:r w:rsidRPr="00FC37F6">
        <w:rPr>
          <w:rFonts w:ascii="Verdana" w:eastAsia="Calibri" w:hAnsi="Verdana" w:cs="Arial"/>
          <w:color w:val="000000" w:themeColor="text1"/>
        </w:rPr>
        <w:t>iii</w:t>
      </w:r>
      <w:proofErr w:type="spellEnd"/>
      <w:r w:rsidRPr="00FC37F6">
        <w:rPr>
          <w:rFonts w:ascii="Verdana" w:eastAsia="Calibri" w:hAnsi="Verdana" w:cs="Arial"/>
          <w:color w:val="000000" w:themeColor="text1"/>
        </w:rPr>
        <w:t>) países de la Unión Europea, y (</w:t>
      </w:r>
      <w:proofErr w:type="spellStart"/>
      <w:r w:rsidRPr="00FC37F6">
        <w:rPr>
          <w:rFonts w:ascii="Verdana" w:eastAsia="Calibri" w:hAnsi="Verdana" w:cs="Arial"/>
          <w:color w:val="000000" w:themeColor="text1"/>
        </w:rPr>
        <w:t>iii</w:t>
      </w:r>
      <w:proofErr w:type="spellEnd"/>
      <w:r w:rsidRPr="00FC37F6">
        <w:rPr>
          <w:rFonts w:ascii="Verdana" w:eastAsia="Calibri" w:hAnsi="Verdana" w:cs="Arial"/>
          <w:color w:val="000000" w:themeColor="text1"/>
        </w:rPr>
        <w:t>) países EFTA (Suiza, Noruega, Liechtenstein e Islandia)</w:t>
      </w:r>
      <w:r>
        <w:rPr>
          <w:rFonts w:ascii="Verdana" w:eastAsia="Calibri" w:hAnsi="Verdana" w:cs="Arial"/>
          <w:color w:val="000000" w:themeColor="text1"/>
        </w:rPr>
        <w:t>.</w:t>
      </w:r>
    </w:p>
    <w:p w14:paraId="6C364D8D" w14:textId="02DB79CC" w:rsidR="006667C3" w:rsidRDefault="006667C3" w:rsidP="006667C3">
      <w:pPr>
        <w:spacing w:before="120" w:after="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Por lo anterior, siguiendo el ejemplo planteado en su consulta, el umbral señalado en el Manual en términos de DEG para Chile, Perú y México</w:t>
      </w:r>
      <w:r w:rsidR="00935CB8">
        <w:rPr>
          <w:rFonts w:ascii="Verdana" w:eastAsia="Calibri" w:hAnsi="Verdana" w:cs="Arial"/>
          <w:color w:val="000000" w:themeColor="text1"/>
        </w:rPr>
        <w:t>,</w:t>
      </w:r>
      <w:r>
        <w:rPr>
          <w:rFonts w:ascii="Verdana" w:eastAsia="Calibri" w:hAnsi="Verdana" w:cs="Arial"/>
          <w:color w:val="000000" w:themeColor="text1"/>
        </w:rPr>
        <w:t xml:space="preserve"> con respecto al Acuerdo Marco de la Alianza del Pacífico</w:t>
      </w:r>
      <w:r w:rsidR="00935CB8">
        <w:rPr>
          <w:rFonts w:ascii="Verdana" w:eastAsia="Calibri" w:hAnsi="Verdana" w:cs="Arial"/>
          <w:color w:val="000000" w:themeColor="text1"/>
        </w:rPr>
        <w:t>,</w:t>
      </w:r>
      <w:r>
        <w:rPr>
          <w:rFonts w:ascii="Verdana" w:eastAsia="Calibri" w:hAnsi="Verdana" w:cs="Arial"/>
          <w:color w:val="000000" w:themeColor="text1"/>
        </w:rPr>
        <w:t xml:space="preserve"> corresponde al inicialmente establecido en el texto del </w:t>
      </w:r>
      <w:r w:rsidR="00935CB8">
        <w:rPr>
          <w:rFonts w:ascii="Verdana" w:eastAsia="Calibri" w:hAnsi="Verdana" w:cs="Arial"/>
          <w:color w:val="000000" w:themeColor="text1"/>
        </w:rPr>
        <w:t>A</w:t>
      </w:r>
      <w:r>
        <w:rPr>
          <w:rFonts w:ascii="Verdana" w:eastAsia="Calibri" w:hAnsi="Verdana" w:cs="Arial"/>
          <w:color w:val="000000" w:themeColor="text1"/>
        </w:rPr>
        <w:t xml:space="preserve">cuerdo </w:t>
      </w:r>
      <w:r w:rsidR="00935CB8">
        <w:rPr>
          <w:rFonts w:ascii="Verdana" w:eastAsia="Calibri" w:hAnsi="Verdana" w:cs="Arial"/>
          <w:color w:val="000000" w:themeColor="text1"/>
        </w:rPr>
        <w:t>C</w:t>
      </w:r>
      <w:r>
        <w:rPr>
          <w:rFonts w:ascii="Verdana" w:eastAsia="Calibri" w:hAnsi="Verdana" w:cs="Arial"/>
          <w:color w:val="000000" w:themeColor="text1"/>
        </w:rPr>
        <w:t xml:space="preserve">omercial. Sin embargo, el documento publicado por esta Agencia y el MINCIT señala </w:t>
      </w:r>
      <w:r w:rsidRPr="00DC0AD3">
        <w:rPr>
          <w:rFonts w:ascii="Verdana" w:eastAsia="Calibri" w:hAnsi="Verdana" w:cs="Arial"/>
          <w:color w:val="000000" w:themeColor="text1"/>
        </w:rPr>
        <w:t xml:space="preserve">el valor </w:t>
      </w:r>
      <w:r>
        <w:rPr>
          <w:rFonts w:ascii="Verdana" w:eastAsia="Calibri" w:hAnsi="Verdana" w:cs="Arial"/>
          <w:color w:val="000000" w:themeColor="text1"/>
        </w:rPr>
        <w:t xml:space="preserve">convertido </w:t>
      </w:r>
      <w:r w:rsidRPr="00DC0AD3">
        <w:rPr>
          <w:rFonts w:ascii="Verdana" w:eastAsia="Calibri" w:hAnsi="Verdana" w:cs="Arial"/>
          <w:color w:val="000000" w:themeColor="text1"/>
        </w:rPr>
        <w:t xml:space="preserve">a pesos colombianos </w:t>
      </w:r>
      <w:r>
        <w:rPr>
          <w:rFonts w:ascii="Verdana" w:eastAsia="Calibri" w:hAnsi="Verdana" w:cs="Arial"/>
          <w:color w:val="000000" w:themeColor="text1"/>
        </w:rPr>
        <w:t>que rige por el periodo de tiempo allí establecido</w:t>
      </w:r>
      <w:r w:rsidR="00B557B5">
        <w:rPr>
          <w:rFonts w:ascii="Verdana" w:eastAsia="Calibri" w:hAnsi="Verdana" w:cs="Arial"/>
          <w:color w:val="000000" w:themeColor="text1"/>
        </w:rPr>
        <w:t>,</w:t>
      </w:r>
      <w:r>
        <w:rPr>
          <w:rFonts w:ascii="Verdana" w:eastAsia="Calibri" w:hAnsi="Verdana" w:cs="Arial"/>
          <w:color w:val="000000" w:themeColor="text1"/>
        </w:rPr>
        <w:t xml:space="preserve"> según lo dispuesto en la </w:t>
      </w:r>
      <w:r w:rsidRPr="00A1131D">
        <w:rPr>
          <w:rFonts w:ascii="Verdana" w:eastAsia="Calibri" w:hAnsi="Verdana" w:cs="Arial"/>
          <w:color w:val="000000" w:themeColor="text1"/>
        </w:rPr>
        <w:t>Sección I: Valor de los Umbrales</w:t>
      </w:r>
      <w:r>
        <w:rPr>
          <w:rFonts w:ascii="Verdana" w:eastAsia="Times New Roman" w:hAnsi="Verdana" w:cs="Arial"/>
          <w:iCs/>
          <w:szCs w:val="24"/>
          <w:lang w:val="es-ES_tradnl" w:eastAsia="es-ES_tradnl"/>
        </w:rPr>
        <w:t xml:space="preserve"> del </w:t>
      </w:r>
      <w:r w:rsidRPr="00A1131D">
        <w:rPr>
          <w:rFonts w:ascii="Verdana" w:eastAsia="Calibri" w:hAnsi="Verdana" w:cs="Arial"/>
          <w:color w:val="000000" w:themeColor="text1"/>
        </w:rPr>
        <w:t xml:space="preserve">Capítulo 8 </w:t>
      </w:r>
      <w:r>
        <w:rPr>
          <w:rFonts w:ascii="Verdana" w:eastAsia="Calibri" w:hAnsi="Verdana" w:cs="Arial"/>
          <w:color w:val="000000" w:themeColor="text1"/>
        </w:rPr>
        <w:t xml:space="preserve">sobre </w:t>
      </w:r>
      <w:r w:rsidRPr="00A1131D">
        <w:rPr>
          <w:rFonts w:ascii="Verdana" w:eastAsia="Calibri" w:hAnsi="Verdana" w:cs="Arial"/>
          <w:color w:val="000000" w:themeColor="text1"/>
        </w:rPr>
        <w:t>Contratación Pública</w:t>
      </w:r>
      <w:r>
        <w:rPr>
          <w:rFonts w:ascii="Verdana" w:eastAsia="Calibri" w:hAnsi="Verdana" w:cs="Arial"/>
          <w:color w:val="000000" w:themeColor="text1"/>
        </w:rPr>
        <w:t xml:space="preserve"> del texto del Acuerdo Marco. Sobre el cálculo del valor de los umbrales, el Acuerdo Marco de la Alianza del Pacífico señala que:</w:t>
      </w:r>
    </w:p>
    <w:p w14:paraId="7A4A1A0C" w14:textId="77777777" w:rsidR="006667C3" w:rsidRDefault="006667C3" w:rsidP="006667C3">
      <w:pPr>
        <w:spacing w:after="0" w:line="276" w:lineRule="auto"/>
        <w:ind w:firstLine="708"/>
        <w:jc w:val="both"/>
        <w:rPr>
          <w:rFonts w:ascii="Verdana" w:eastAsia="Calibri" w:hAnsi="Verdana" w:cs="Arial"/>
          <w:color w:val="000000" w:themeColor="text1"/>
        </w:rPr>
      </w:pPr>
    </w:p>
    <w:p w14:paraId="07D63A12" w14:textId="77777777" w:rsidR="006667C3" w:rsidRPr="00E01E73" w:rsidRDefault="006667C3" w:rsidP="006667C3">
      <w:pPr>
        <w:spacing w:after="0" w:line="240" w:lineRule="auto"/>
        <w:ind w:left="709" w:right="709"/>
        <w:jc w:val="both"/>
        <w:rPr>
          <w:rFonts w:ascii="Verdana" w:eastAsia="Calibri" w:hAnsi="Verdana" w:cs="Arial"/>
          <w:color w:val="000000" w:themeColor="text1"/>
          <w:sz w:val="21"/>
          <w:szCs w:val="21"/>
        </w:rPr>
      </w:pPr>
      <w:r>
        <w:rPr>
          <w:rFonts w:ascii="Verdana" w:eastAsia="Calibri" w:hAnsi="Verdana" w:cs="Arial"/>
          <w:color w:val="000000" w:themeColor="text1"/>
          <w:sz w:val="21"/>
          <w:szCs w:val="21"/>
        </w:rPr>
        <w:t>“</w:t>
      </w:r>
      <w:r w:rsidRPr="00E01E73">
        <w:rPr>
          <w:rFonts w:ascii="Verdana" w:eastAsia="Calibri" w:hAnsi="Verdana" w:cs="Arial"/>
          <w:color w:val="000000" w:themeColor="text1"/>
          <w:sz w:val="21"/>
          <w:szCs w:val="21"/>
        </w:rPr>
        <w:t xml:space="preserve">1.Para el caso de los umbrales expresados en DEG, Colombia calculará y convertirá el valor a su respectiva moneda nacional utilizando las tasas de conversión de los valores diarios de la respectiva moneda nacional en términos de DEG, publicados mensualmente por el FMI en las “Estadísticas Financieras Internacionales”, sobre un </w:t>
      </w:r>
      <w:r w:rsidRPr="00E01E73">
        <w:rPr>
          <w:rFonts w:ascii="Verdana" w:eastAsia="Calibri" w:hAnsi="Verdana" w:cs="Arial"/>
          <w:i/>
          <w:iCs/>
          <w:color w:val="000000" w:themeColor="text1"/>
          <w:sz w:val="21"/>
          <w:szCs w:val="21"/>
          <w:u w:val="single"/>
        </w:rPr>
        <w:t>período de dos años</w:t>
      </w:r>
      <w:r w:rsidRPr="00E01E73">
        <w:rPr>
          <w:rFonts w:ascii="Verdana" w:eastAsia="Calibri" w:hAnsi="Verdana" w:cs="Arial"/>
          <w:color w:val="000000" w:themeColor="text1"/>
          <w:sz w:val="21"/>
          <w:szCs w:val="21"/>
        </w:rPr>
        <w:t xml:space="preserve"> anterior al 1 de octubre o del 1 de noviembre del año previo a que los umbrales se hagan efectivos, que será a partir del 1 de enero del año siguiente. </w:t>
      </w:r>
    </w:p>
    <w:p w14:paraId="407E73D2" w14:textId="77777777" w:rsidR="006667C3" w:rsidRPr="00E01E73" w:rsidRDefault="006667C3" w:rsidP="006667C3">
      <w:pPr>
        <w:spacing w:after="0" w:line="240" w:lineRule="auto"/>
        <w:ind w:left="709" w:right="709"/>
        <w:jc w:val="both"/>
        <w:rPr>
          <w:rFonts w:ascii="Verdana" w:eastAsia="Calibri" w:hAnsi="Verdana" w:cs="Arial"/>
          <w:color w:val="000000" w:themeColor="text1"/>
          <w:sz w:val="21"/>
          <w:szCs w:val="21"/>
        </w:rPr>
      </w:pPr>
      <w:r w:rsidRPr="00E01E73">
        <w:rPr>
          <w:rFonts w:ascii="Verdana" w:eastAsia="Calibri" w:hAnsi="Verdana" w:cs="Arial"/>
          <w:color w:val="000000" w:themeColor="text1"/>
          <w:sz w:val="21"/>
          <w:szCs w:val="21"/>
        </w:rPr>
        <w:t xml:space="preserve">2. Para el caso de los umbrales para servicios de construcción que se establecen con México, estos serán ajustados de conformidad con el </w:t>
      </w:r>
      <w:r w:rsidRPr="00E01E73">
        <w:rPr>
          <w:rFonts w:ascii="Verdana" w:eastAsia="Calibri" w:hAnsi="Verdana" w:cs="Arial"/>
          <w:color w:val="000000" w:themeColor="text1"/>
          <w:sz w:val="21"/>
          <w:szCs w:val="21"/>
        </w:rPr>
        <w:lastRenderedPageBreak/>
        <w:t xml:space="preserve">Tratado de Libre Comercio entre los Estados Unidos Mexicanos y la República de Colombia. </w:t>
      </w:r>
    </w:p>
    <w:p w14:paraId="4E2E0A5E" w14:textId="77777777" w:rsidR="006667C3" w:rsidRDefault="006667C3" w:rsidP="006667C3">
      <w:pPr>
        <w:spacing w:after="0" w:line="240" w:lineRule="auto"/>
        <w:ind w:left="709" w:right="709"/>
        <w:jc w:val="both"/>
        <w:rPr>
          <w:rFonts w:ascii="Verdana" w:eastAsia="Calibri" w:hAnsi="Verdana" w:cs="Arial"/>
          <w:color w:val="000000" w:themeColor="text1"/>
          <w:sz w:val="21"/>
          <w:szCs w:val="21"/>
        </w:rPr>
      </w:pPr>
      <w:r w:rsidRPr="00E01E73">
        <w:rPr>
          <w:rFonts w:ascii="Verdana" w:eastAsia="Calibri" w:hAnsi="Verdana" w:cs="Arial"/>
          <w:color w:val="000000" w:themeColor="text1"/>
          <w:sz w:val="21"/>
          <w:szCs w:val="21"/>
        </w:rPr>
        <w:t xml:space="preserve">3. Colombia notificará a las otras Partes en su respectiva moneda nacional sobre el valor de los nuevos umbrales calculados a más tardar un mes antes de que dichos umbrales surtan efecto. Los umbrales expresados en la respectiva moneda nacional serán fijados para un período de </w:t>
      </w:r>
      <w:r w:rsidRPr="00E01E73">
        <w:rPr>
          <w:rFonts w:ascii="Verdana" w:eastAsia="Calibri" w:hAnsi="Verdana" w:cs="Arial"/>
          <w:i/>
          <w:iCs/>
          <w:color w:val="000000" w:themeColor="text1"/>
          <w:sz w:val="21"/>
          <w:szCs w:val="21"/>
          <w:u w:val="single"/>
        </w:rPr>
        <w:t>dos años</w:t>
      </w:r>
      <w:r w:rsidRPr="00E01E73">
        <w:rPr>
          <w:rFonts w:ascii="Verdana" w:eastAsia="Calibri" w:hAnsi="Verdana" w:cs="Arial"/>
          <w:color w:val="000000" w:themeColor="text1"/>
          <w:sz w:val="21"/>
          <w:szCs w:val="21"/>
        </w:rPr>
        <w:t>, es decir, años calendario</w:t>
      </w:r>
      <w:r>
        <w:rPr>
          <w:rFonts w:ascii="Verdana" w:eastAsia="Calibri" w:hAnsi="Verdana" w:cs="Arial"/>
          <w:color w:val="000000" w:themeColor="text1"/>
          <w:sz w:val="21"/>
          <w:szCs w:val="21"/>
        </w:rPr>
        <w:t>”</w:t>
      </w:r>
      <w:r w:rsidRPr="00E01E73">
        <w:rPr>
          <w:rFonts w:ascii="Verdana" w:eastAsia="Calibri" w:hAnsi="Verdana" w:cs="Arial"/>
          <w:color w:val="000000" w:themeColor="text1"/>
          <w:sz w:val="21"/>
          <w:szCs w:val="21"/>
        </w:rPr>
        <w:t>.</w:t>
      </w:r>
      <w:r>
        <w:rPr>
          <w:rStyle w:val="FootnoteReference"/>
          <w:rFonts w:ascii="Verdana" w:eastAsia="Calibri" w:hAnsi="Verdana" w:cs="Arial"/>
          <w:color w:val="000000" w:themeColor="text1"/>
          <w:sz w:val="21"/>
          <w:szCs w:val="21"/>
        </w:rPr>
        <w:footnoteReference w:id="11"/>
      </w:r>
    </w:p>
    <w:p w14:paraId="57509223" w14:textId="77777777" w:rsidR="006667C3" w:rsidRPr="00E01E73" w:rsidRDefault="006667C3" w:rsidP="006667C3">
      <w:pPr>
        <w:spacing w:after="0" w:line="240" w:lineRule="auto"/>
        <w:ind w:left="709" w:right="709"/>
        <w:jc w:val="both"/>
        <w:rPr>
          <w:rFonts w:ascii="Verdana" w:eastAsia="Calibri" w:hAnsi="Verdana" w:cs="Arial"/>
          <w:color w:val="000000" w:themeColor="text1"/>
          <w:sz w:val="21"/>
          <w:szCs w:val="21"/>
        </w:rPr>
      </w:pPr>
    </w:p>
    <w:p w14:paraId="49032853" w14:textId="5D89598C" w:rsidR="006667C3" w:rsidRPr="00C67A9B" w:rsidRDefault="006667C3" w:rsidP="006667C3">
      <w:pPr>
        <w:spacing w:after="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Por esta razón, las entidades no deberían calcular el umbral aplicable a este acuerdo </w:t>
      </w:r>
      <w:r w:rsidR="0035638E">
        <w:rPr>
          <w:rFonts w:ascii="Verdana" w:eastAsia="Calibri" w:hAnsi="Verdana" w:cs="Arial"/>
          <w:color w:val="000000" w:themeColor="text1"/>
        </w:rPr>
        <w:t>con una</w:t>
      </w:r>
      <w:r>
        <w:rPr>
          <w:rFonts w:ascii="Verdana" w:eastAsia="Calibri" w:hAnsi="Verdana" w:cs="Arial"/>
          <w:color w:val="000000" w:themeColor="text1"/>
        </w:rPr>
        <w:t xml:space="preserve"> metodología distinta a la prevista en su texto, como sería, por ejemplo, que cada una realice la conversión del valor dispuesto en DEG a la a la moneda nacional según la TRM </w:t>
      </w:r>
      <w:r w:rsidR="001078AE">
        <w:rPr>
          <w:rFonts w:ascii="Verdana" w:eastAsia="Calibri" w:hAnsi="Verdana" w:cs="Arial"/>
          <w:color w:val="000000" w:themeColor="text1"/>
        </w:rPr>
        <w:t xml:space="preserve">de un </w:t>
      </w:r>
      <w:r>
        <w:rPr>
          <w:rFonts w:ascii="Verdana" w:eastAsia="Calibri" w:hAnsi="Verdana" w:cs="Arial"/>
          <w:color w:val="000000" w:themeColor="text1"/>
        </w:rPr>
        <w:t xml:space="preserve">día determinado. En este sentido, cada entidad debe consultar el texto del </w:t>
      </w:r>
      <w:r w:rsidR="000C3A4F">
        <w:rPr>
          <w:rFonts w:ascii="Verdana" w:eastAsia="Calibri" w:hAnsi="Verdana" w:cs="Arial"/>
          <w:color w:val="000000" w:themeColor="text1"/>
        </w:rPr>
        <w:t>A</w:t>
      </w:r>
      <w:r>
        <w:rPr>
          <w:rFonts w:ascii="Verdana" w:eastAsia="Calibri" w:hAnsi="Verdana" w:cs="Arial"/>
          <w:color w:val="000000" w:themeColor="text1"/>
        </w:rPr>
        <w:t xml:space="preserve">cuerdo </w:t>
      </w:r>
      <w:r w:rsidR="000C3A4F">
        <w:rPr>
          <w:rFonts w:ascii="Verdana" w:eastAsia="Calibri" w:hAnsi="Verdana" w:cs="Arial"/>
          <w:color w:val="000000" w:themeColor="text1"/>
        </w:rPr>
        <w:t>C</w:t>
      </w:r>
      <w:r>
        <w:rPr>
          <w:rFonts w:ascii="Verdana" w:eastAsia="Calibri" w:hAnsi="Verdana" w:cs="Arial"/>
          <w:color w:val="000000" w:themeColor="text1"/>
        </w:rPr>
        <w:t>omercial específico</w:t>
      </w:r>
      <w:r w:rsidRPr="00A1131D">
        <w:rPr>
          <w:rFonts w:ascii="Verdana" w:eastAsia="Calibri" w:hAnsi="Verdana" w:cs="Arial"/>
          <w:color w:val="000000" w:themeColor="text1"/>
        </w:rPr>
        <w:t xml:space="preserve"> </w:t>
      </w:r>
      <w:r>
        <w:rPr>
          <w:rFonts w:ascii="Verdana" w:eastAsia="Calibri" w:hAnsi="Verdana" w:cs="Arial"/>
          <w:color w:val="000000" w:themeColor="text1"/>
        </w:rPr>
        <w:t xml:space="preserve">para determinar el umbral aplicable, así como la metodología para su conversión a pesos colombianos. En el caso referido esta labor es realizada por el Ministerio, el cual publica el valor para cada vigencia, en cumplimiento de las reglas dispuestas en el texto del </w:t>
      </w:r>
      <w:r w:rsidR="00ED49DC">
        <w:rPr>
          <w:rFonts w:ascii="Verdana" w:eastAsia="Calibri" w:hAnsi="Verdana" w:cs="Arial"/>
          <w:color w:val="000000" w:themeColor="text1"/>
        </w:rPr>
        <w:t>A</w:t>
      </w:r>
      <w:r>
        <w:rPr>
          <w:rFonts w:ascii="Verdana" w:eastAsia="Calibri" w:hAnsi="Verdana" w:cs="Arial"/>
          <w:color w:val="000000" w:themeColor="text1"/>
        </w:rPr>
        <w:t xml:space="preserve">cuerdo </w:t>
      </w:r>
      <w:r w:rsidR="00ED49DC">
        <w:rPr>
          <w:rFonts w:ascii="Verdana" w:eastAsia="Calibri" w:hAnsi="Verdana" w:cs="Arial"/>
          <w:color w:val="000000" w:themeColor="text1"/>
        </w:rPr>
        <w:t>C</w:t>
      </w:r>
      <w:r>
        <w:rPr>
          <w:rFonts w:ascii="Verdana" w:eastAsia="Calibri" w:hAnsi="Verdana" w:cs="Arial"/>
          <w:color w:val="000000" w:themeColor="text1"/>
        </w:rPr>
        <w:t xml:space="preserve">omercial. </w:t>
      </w:r>
    </w:p>
    <w:p w14:paraId="192EC94D" w14:textId="77777777" w:rsidR="006667C3" w:rsidRPr="00DC0AD3" w:rsidRDefault="006667C3" w:rsidP="006667C3">
      <w:pPr>
        <w:spacing w:before="120" w:after="0" w:line="276" w:lineRule="auto"/>
        <w:ind w:firstLine="708"/>
        <w:jc w:val="both"/>
        <w:rPr>
          <w:rFonts w:ascii="Verdana" w:eastAsia="Times New Roman" w:hAnsi="Verdana" w:cs="Arial"/>
          <w:iCs/>
          <w:szCs w:val="24"/>
          <w:lang w:val="es-ES_tradnl" w:eastAsia="es-ES_tradnl"/>
        </w:rPr>
      </w:pPr>
      <w:r>
        <w:rPr>
          <w:rFonts w:ascii="Verdana" w:eastAsia="Times New Roman" w:hAnsi="Verdana" w:cs="Arial"/>
          <w:iCs/>
          <w:szCs w:val="24"/>
          <w:lang w:eastAsia="es-ES_tradnl"/>
        </w:rPr>
        <w:t xml:space="preserve">Finalmente, es importante aclarar que el Manual elaborado por </w:t>
      </w:r>
      <w:r w:rsidRPr="00E158F6">
        <w:rPr>
          <w:rFonts w:ascii="Verdana" w:eastAsia="Times New Roman" w:hAnsi="Verdana" w:cs="Arial"/>
          <w:iCs/>
          <w:szCs w:val="24"/>
          <w:lang w:eastAsia="es-ES_tradnl"/>
        </w:rPr>
        <w:t xml:space="preserve">Colombia Compra Eficiente </w:t>
      </w:r>
      <w:r>
        <w:rPr>
          <w:rFonts w:ascii="Verdana" w:eastAsia="Times New Roman" w:hAnsi="Verdana" w:cs="Arial"/>
          <w:iCs/>
          <w:szCs w:val="24"/>
          <w:lang w:eastAsia="es-ES_tradnl"/>
        </w:rPr>
        <w:t>se encuentra a</w:t>
      </w:r>
      <w:r w:rsidRPr="00E158F6">
        <w:rPr>
          <w:rFonts w:ascii="Verdana" w:eastAsia="Times New Roman" w:hAnsi="Verdana" w:cs="Arial"/>
          <w:iCs/>
          <w:szCs w:val="24"/>
          <w:lang w:eastAsia="es-ES_tradnl"/>
        </w:rPr>
        <w:t xml:space="preserve"> disposición de los partícipes del Sistema de Compra Pública como una herramienta orientadora, </w:t>
      </w:r>
      <w:r>
        <w:rPr>
          <w:rFonts w:ascii="Verdana" w:eastAsia="Times New Roman" w:hAnsi="Verdana" w:cs="Arial"/>
          <w:iCs/>
          <w:szCs w:val="24"/>
          <w:lang w:eastAsia="es-ES_tradnl"/>
        </w:rPr>
        <w:t xml:space="preserve">por lo que </w:t>
      </w:r>
      <w:r w:rsidRPr="00E158F6">
        <w:rPr>
          <w:rFonts w:ascii="Verdana" w:eastAsia="Times New Roman" w:hAnsi="Verdana" w:cs="Arial"/>
          <w:iCs/>
          <w:szCs w:val="24"/>
          <w:lang w:eastAsia="es-ES_tradnl"/>
        </w:rPr>
        <w:t xml:space="preserve">cada Entidad Estatal es responsable de revisar el texto de los Acuerdos Comerciales y sus Anexos. En consecuencia, corresponde a estas el deber de determinar </w:t>
      </w:r>
      <w:r>
        <w:rPr>
          <w:rFonts w:ascii="Verdana" w:eastAsia="Times New Roman" w:hAnsi="Verdana" w:cs="Arial"/>
          <w:iCs/>
          <w:szCs w:val="24"/>
          <w:lang w:eastAsia="es-ES_tradnl"/>
        </w:rPr>
        <w:t xml:space="preserve">la cobertura y el umbral del acuerdo con el fin de establecer </w:t>
      </w:r>
      <w:r w:rsidRPr="00E158F6">
        <w:rPr>
          <w:rFonts w:ascii="Verdana" w:eastAsia="Times New Roman" w:hAnsi="Verdana" w:cs="Arial"/>
          <w:iCs/>
          <w:szCs w:val="24"/>
          <w:lang w:eastAsia="es-ES_tradnl"/>
        </w:rPr>
        <w:t xml:space="preserve">si es aplicable a los Procesos de Contratación que adelanta. En estos términos, el Manual es un documento meramente ilustrativo sin ningún valor jurídico vinculante. </w:t>
      </w:r>
    </w:p>
    <w:p w14:paraId="32ED5DF3" w14:textId="77777777" w:rsidR="006667C3" w:rsidRPr="00593A5F" w:rsidRDefault="006667C3" w:rsidP="006667C3">
      <w:pPr>
        <w:widowControl w:val="0"/>
        <w:autoSpaceDE w:val="0"/>
        <w:autoSpaceDN w:val="0"/>
        <w:spacing w:after="0" w:line="276" w:lineRule="auto"/>
        <w:jc w:val="both"/>
        <w:rPr>
          <w:rFonts w:ascii="Verdana" w:hAnsi="Verdana" w:cs="Arial"/>
        </w:rPr>
      </w:pPr>
    </w:p>
    <w:p w14:paraId="5739F7FC" w14:textId="77777777" w:rsidR="006667C3" w:rsidRPr="00593A5F" w:rsidRDefault="006667C3" w:rsidP="006667C3">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65EB6E0A" w14:textId="77777777" w:rsidR="006667C3" w:rsidRPr="00593A5F" w:rsidRDefault="006667C3" w:rsidP="006667C3">
      <w:pPr>
        <w:widowControl w:val="0"/>
        <w:autoSpaceDE w:val="0"/>
        <w:autoSpaceDN w:val="0"/>
        <w:spacing w:after="0" w:line="276" w:lineRule="auto"/>
        <w:jc w:val="both"/>
        <w:rPr>
          <w:rFonts w:ascii="Verdana" w:hAnsi="Verdana" w:cs="Arial"/>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667C3" w:rsidRPr="00593A5F" w14:paraId="588F057F" w14:textId="77777777" w:rsidTr="00AE6AF1">
        <w:trPr>
          <w:trHeight w:val="870"/>
        </w:trPr>
        <w:tc>
          <w:tcPr>
            <w:tcW w:w="8647" w:type="dxa"/>
          </w:tcPr>
          <w:p w14:paraId="13E95A44" w14:textId="77777777" w:rsidR="006667C3" w:rsidRDefault="006667C3" w:rsidP="00AE6AF1">
            <w:pPr>
              <w:pStyle w:val="ListParagraph"/>
              <w:widowControl w:val="0"/>
              <w:numPr>
                <w:ilvl w:val="0"/>
                <w:numId w:val="17"/>
              </w:numPr>
              <w:tabs>
                <w:tab w:val="left" w:pos="8419"/>
              </w:tabs>
              <w:autoSpaceDE w:val="0"/>
              <w:autoSpaceDN w:val="0"/>
              <w:spacing w:after="160" w:line="276" w:lineRule="auto"/>
              <w:contextualSpacing w:val="0"/>
              <w:jc w:val="both"/>
              <w:rPr>
                <w:rFonts w:ascii="Verdana" w:hAnsi="Verdana" w:cs="Arial"/>
                <w:lang w:val="es-CO"/>
              </w:rPr>
            </w:pPr>
            <w:r w:rsidRPr="00FD7132">
              <w:rPr>
                <w:rFonts w:ascii="Verdana" w:hAnsi="Verdana" w:cs="Arial"/>
                <w:lang w:val="es-CO"/>
              </w:rPr>
              <w:t>Constitución Política: artículos 189 y 150</w:t>
            </w:r>
          </w:p>
          <w:p w14:paraId="7A389401" w14:textId="77777777" w:rsidR="006667C3" w:rsidRDefault="006667C3" w:rsidP="00AE6AF1">
            <w:pPr>
              <w:pStyle w:val="ListParagraph"/>
              <w:widowControl w:val="0"/>
              <w:numPr>
                <w:ilvl w:val="0"/>
                <w:numId w:val="17"/>
              </w:numPr>
              <w:autoSpaceDE w:val="0"/>
              <w:autoSpaceDN w:val="0"/>
              <w:spacing w:line="276" w:lineRule="auto"/>
              <w:jc w:val="both"/>
              <w:rPr>
                <w:rFonts w:ascii="Verdana" w:hAnsi="Verdana" w:cs="Arial"/>
              </w:rPr>
            </w:pPr>
            <w:r w:rsidRPr="00EB1CF7">
              <w:rPr>
                <w:rFonts w:ascii="Verdana" w:hAnsi="Verdana" w:cs="Arial"/>
              </w:rPr>
              <w:t xml:space="preserve">Ley </w:t>
            </w:r>
            <w:r>
              <w:rPr>
                <w:rFonts w:ascii="Verdana" w:hAnsi="Verdana" w:cs="Arial"/>
              </w:rPr>
              <w:t>80 de 1993</w:t>
            </w:r>
            <w:r w:rsidRPr="00EB1CF7">
              <w:rPr>
                <w:rFonts w:ascii="Verdana" w:hAnsi="Verdana" w:cs="Arial"/>
              </w:rPr>
              <w:t xml:space="preserve">: artículo </w:t>
            </w:r>
            <w:r>
              <w:rPr>
                <w:rFonts w:ascii="Verdana" w:hAnsi="Verdana" w:cs="Arial"/>
              </w:rPr>
              <w:t>30, numeral 6</w:t>
            </w:r>
          </w:p>
          <w:p w14:paraId="6792D822" w14:textId="77777777" w:rsidR="006667C3" w:rsidRPr="00BD6CC2" w:rsidRDefault="006667C3" w:rsidP="00AE6AF1">
            <w:pPr>
              <w:pStyle w:val="ListParagraph"/>
              <w:widowControl w:val="0"/>
              <w:autoSpaceDE w:val="0"/>
              <w:autoSpaceDN w:val="0"/>
              <w:spacing w:line="276" w:lineRule="auto"/>
              <w:jc w:val="both"/>
              <w:rPr>
                <w:rFonts w:ascii="Verdana" w:hAnsi="Verdana" w:cs="Arial"/>
              </w:rPr>
            </w:pPr>
          </w:p>
          <w:p w14:paraId="077A6E3E" w14:textId="77777777" w:rsidR="006667C3" w:rsidRPr="007079D3" w:rsidRDefault="006667C3" w:rsidP="00AE6AF1">
            <w:pPr>
              <w:pStyle w:val="ListParagraph"/>
              <w:widowControl w:val="0"/>
              <w:numPr>
                <w:ilvl w:val="0"/>
                <w:numId w:val="17"/>
              </w:numPr>
              <w:tabs>
                <w:tab w:val="left" w:pos="8419"/>
              </w:tabs>
              <w:autoSpaceDE w:val="0"/>
              <w:autoSpaceDN w:val="0"/>
              <w:spacing w:after="160" w:line="276" w:lineRule="auto"/>
              <w:contextualSpacing w:val="0"/>
              <w:jc w:val="both"/>
              <w:rPr>
                <w:rFonts w:ascii="Verdana" w:hAnsi="Verdana" w:cs="Arial"/>
                <w:lang w:val="es-CO"/>
              </w:rPr>
            </w:pPr>
            <w:r w:rsidRPr="00FD7132">
              <w:rPr>
                <w:rFonts w:ascii="Verdana" w:hAnsi="Verdana" w:cs="Arial"/>
                <w:lang w:val="es-CO"/>
              </w:rPr>
              <w:t>Decreto 1082 de 2015: artículos  2.2.1.2.4.1.1, 2.2.1.2.4.1.2    2.2.1.2.4.2.2, 2.2.1.2.4.2.3, 2.2.1.2.4.2.4, 2.2.1.1.1.4.1,</w:t>
            </w:r>
            <w:r w:rsidRPr="00F978BE">
              <w:rPr>
                <w:rFonts w:ascii="Verdana" w:hAnsi="Verdana" w:cs="Arial"/>
                <w:bCs/>
                <w:lang w:val="es-CO"/>
              </w:rPr>
              <w:t xml:space="preserve"> </w:t>
            </w:r>
            <w:r w:rsidRPr="00F978BE">
              <w:rPr>
                <w:rFonts w:ascii="Verdana" w:hAnsi="Verdana" w:cs="Arial"/>
                <w:bCs/>
                <w:lang w:val="es-CO"/>
              </w:rPr>
              <w:lastRenderedPageBreak/>
              <w:t>2.2.1.2.1.2.1</w:t>
            </w:r>
            <w:r>
              <w:rPr>
                <w:rFonts w:ascii="Verdana" w:hAnsi="Verdana" w:cs="Arial"/>
                <w:bCs/>
                <w:lang w:val="es-CO"/>
              </w:rPr>
              <w:t>,</w:t>
            </w:r>
            <w:r w:rsidRPr="00FD7132">
              <w:rPr>
                <w:rFonts w:ascii="Verdana" w:hAnsi="Verdana" w:cs="Arial"/>
                <w:lang w:val="es-CO"/>
              </w:rPr>
              <w:t xml:space="preserve"> 2.2.1.1.1.6.1, y 2.2.1.2.4.2.19</w:t>
            </w:r>
          </w:p>
          <w:p w14:paraId="7EE3E47C" w14:textId="77777777" w:rsidR="006667C3" w:rsidRPr="006420EE" w:rsidRDefault="006667C3" w:rsidP="00AE6AF1">
            <w:pPr>
              <w:pStyle w:val="ListParagraph"/>
              <w:widowControl w:val="0"/>
              <w:numPr>
                <w:ilvl w:val="0"/>
                <w:numId w:val="17"/>
              </w:numPr>
              <w:tabs>
                <w:tab w:val="left" w:pos="8419"/>
              </w:tabs>
              <w:autoSpaceDE w:val="0"/>
              <w:autoSpaceDN w:val="0"/>
              <w:spacing w:after="160" w:line="276" w:lineRule="auto"/>
              <w:contextualSpacing w:val="0"/>
              <w:jc w:val="both"/>
              <w:rPr>
                <w:rStyle w:val="Hyperlink"/>
                <w:rFonts w:ascii="Verdana" w:eastAsia="Arial" w:hAnsi="Verdana" w:cs="Arial"/>
                <w:color w:val="000000"/>
                <w:u w:val="none"/>
                <w:lang w:eastAsia="es-ES"/>
              </w:rPr>
            </w:pPr>
            <w:r w:rsidRPr="00FD7132">
              <w:rPr>
                <w:rFonts w:ascii="Verdana" w:hAnsi="Verdana" w:cs="Arial"/>
                <w:lang w:val="es-CO"/>
              </w:rPr>
              <w:t xml:space="preserve">Manual para el manejo de los Acuerdos Comerciales en procesos de contratación. Disponible en: </w:t>
            </w:r>
            <w:hyperlink r:id="rId12" w:history="1">
              <w:r w:rsidRPr="00711F02">
                <w:rPr>
                  <w:rStyle w:val="Hyperlink"/>
                  <w:rFonts w:ascii="Verdana" w:hAnsi="Verdana" w:cs="Arial"/>
                  <w:shd w:val="clear" w:color="auto" w:fill="FFFFFF"/>
                </w:rPr>
                <w:t>https://www.colombiacompra.gov.co/sites/cce_public/files/cce_documents/manual_para_el_manejo_de_acuerdos_comerciales_vf.pdf</w:t>
              </w:r>
            </w:hyperlink>
          </w:p>
          <w:p w14:paraId="07C17072" w14:textId="77777777" w:rsidR="006667C3" w:rsidRPr="006420EE" w:rsidRDefault="006667C3" w:rsidP="00AE6AF1">
            <w:pPr>
              <w:pStyle w:val="ListParagraph"/>
              <w:widowControl w:val="0"/>
              <w:numPr>
                <w:ilvl w:val="0"/>
                <w:numId w:val="17"/>
              </w:numPr>
              <w:tabs>
                <w:tab w:val="left" w:pos="8419"/>
              </w:tabs>
              <w:autoSpaceDE w:val="0"/>
              <w:autoSpaceDN w:val="0"/>
              <w:spacing w:after="160" w:line="276" w:lineRule="auto"/>
              <w:contextualSpacing w:val="0"/>
              <w:jc w:val="both"/>
              <w:rPr>
                <w:rFonts w:ascii="Verdana" w:eastAsia="Arial" w:hAnsi="Verdana" w:cs="Arial"/>
                <w:color w:val="000000"/>
                <w:lang w:eastAsia="es-ES"/>
              </w:rPr>
            </w:pPr>
            <w:r w:rsidRPr="006420EE">
              <w:rPr>
                <w:rFonts w:ascii="Verdana" w:eastAsia="Times New Roman" w:hAnsi="Verdana" w:cs="Arial"/>
                <w:iCs/>
                <w:szCs w:val="24"/>
                <w:lang w:eastAsia="es-ES_tradnl"/>
              </w:rPr>
              <w:t xml:space="preserve">Colombia Compra Eficiente pone a disposición de los partícipes del Sistema de Compra Pública en su página web los valores a partir de los cuales los Acuerdos Comerciales son aplicables a los Procesos de </w:t>
            </w:r>
            <w:r w:rsidRPr="006420EE">
              <w:rPr>
                <w:rFonts w:ascii="Verdana" w:eastAsia="Times New Roman" w:hAnsi="Verdana" w:cs="Arial"/>
                <w:iCs/>
                <w:lang w:eastAsia="es-ES_tradnl"/>
              </w:rPr>
              <w:t xml:space="preserve">Contratación. Estos valores se encuentran en el siguiente enlace: </w:t>
            </w:r>
            <w:hyperlink r:id="rId13" w:history="1">
              <w:r w:rsidRPr="006420EE">
                <w:rPr>
                  <w:rStyle w:val="Hyperlink"/>
                  <w:rFonts w:ascii="Verdana" w:eastAsia="Times New Roman" w:hAnsi="Verdana" w:cs="Arial"/>
                  <w:iCs/>
                  <w:lang w:eastAsia="es-ES_tradnl"/>
                </w:rPr>
                <w:t>https://colombiacompra.gov.co/compradores/acuerdos-comerciales-y-tratonacional-por-reciprocidad</w:t>
              </w:r>
            </w:hyperlink>
            <w:r w:rsidRPr="006420EE">
              <w:rPr>
                <w:rFonts w:ascii="Verdana" w:eastAsia="Times New Roman" w:hAnsi="Verdana" w:cs="Arial"/>
                <w:iCs/>
                <w:lang w:eastAsia="es-ES_tradnl"/>
              </w:rPr>
              <w:t xml:space="preserve"> </w:t>
            </w:r>
          </w:p>
          <w:p w14:paraId="23038195" w14:textId="77777777" w:rsidR="006667C3" w:rsidRPr="006420EE" w:rsidRDefault="006667C3" w:rsidP="00AE6AF1">
            <w:pPr>
              <w:pStyle w:val="ListParagraph"/>
              <w:widowControl w:val="0"/>
              <w:numPr>
                <w:ilvl w:val="0"/>
                <w:numId w:val="17"/>
              </w:numPr>
              <w:tabs>
                <w:tab w:val="left" w:pos="8419"/>
              </w:tabs>
              <w:autoSpaceDE w:val="0"/>
              <w:autoSpaceDN w:val="0"/>
              <w:spacing w:after="160" w:line="276" w:lineRule="auto"/>
              <w:contextualSpacing w:val="0"/>
              <w:jc w:val="both"/>
              <w:rPr>
                <w:rFonts w:ascii="Verdana" w:eastAsia="Arial" w:hAnsi="Verdana" w:cs="Arial"/>
                <w:color w:val="000000"/>
                <w:lang w:eastAsia="es-ES"/>
              </w:rPr>
            </w:pPr>
            <w:r w:rsidRPr="006420EE">
              <w:rPr>
                <w:rFonts w:ascii="Verdana" w:hAnsi="Verdana"/>
                <w:lang w:val="es-CO"/>
              </w:rPr>
              <w:t>Guía de contrataciones públicas en la alianza del pacífico”</w:t>
            </w:r>
            <w:r w:rsidRPr="006420EE">
              <w:rPr>
                <w:rFonts w:ascii="Verdana" w:hAnsi="Verdana"/>
              </w:rPr>
              <w:t xml:space="preserve">, disponible en: </w:t>
            </w:r>
            <w:hyperlink r:id="rId14" w:history="1">
              <w:r w:rsidRPr="006420EE">
                <w:rPr>
                  <w:rStyle w:val="Hyperlink"/>
                  <w:rFonts w:ascii="Verdana" w:hAnsi="Verdana"/>
                </w:rPr>
                <w:t>https://alianzapacifico.net/wp-content/uploads/GuiaComprasPublicas_consolidada_5dic.pdf</w:t>
              </w:r>
            </w:hyperlink>
            <w:r w:rsidRPr="006420EE">
              <w:rPr>
                <w:rFonts w:ascii="Verdana" w:hAnsi="Verdana"/>
              </w:rPr>
              <w:t xml:space="preserve"> </w:t>
            </w:r>
          </w:p>
        </w:tc>
      </w:tr>
    </w:tbl>
    <w:p w14:paraId="01D2C736" w14:textId="77777777" w:rsidR="006667C3" w:rsidRPr="00593A5F" w:rsidRDefault="006667C3" w:rsidP="006667C3">
      <w:pPr>
        <w:widowControl w:val="0"/>
        <w:autoSpaceDE w:val="0"/>
        <w:autoSpaceDN w:val="0"/>
        <w:spacing w:after="0" w:line="276" w:lineRule="auto"/>
        <w:jc w:val="both"/>
        <w:rPr>
          <w:rFonts w:ascii="Verdana" w:hAnsi="Verdana" w:cs="Arial"/>
        </w:rPr>
      </w:pPr>
    </w:p>
    <w:p w14:paraId="0E310F94" w14:textId="77777777" w:rsidR="006667C3" w:rsidRPr="00593A5F" w:rsidRDefault="006667C3" w:rsidP="006667C3">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B2F53A6" w14:textId="77777777" w:rsidR="006667C3" w:rsidRPr="00593A5F" w:rsidRDefault="006667C3" w:rsidP="006667C3">
      <w:pPr>
        <w:widowControl w:val="0"/>
        <w:autoSpaceDE w:val="0"/>
        <w:autoSpaceDN w:val="0"/>
        <w:spacing w:after="0" w:line="276" w:lineRule="auto"/>
        <w:jc w:val="both"/>
        <w:rPr>
          <w:rFonts w:ascii="Verdana" w:hAnsi="Verdana" w:cs="Arial"/>
        </w:rPr>
      </w:pPr>
    </w:p>
    <w:p w14:paraId="31A8B83C" w14:textId="77777777" w:rsidR="006667C3" w:rsidRDefault="006667C3" w:rsidP="006667C3">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6420EE">
        <w:rPr>
          <w:rFonts w:ascii="Verdana" w:eastAsia="Century Gothic" w:hAnsi="Verdana" w:cs="Century Gothic"/>
        </w:rPr>
        <w:t>La Agencia Nacional de Contratación Pública</w:t>
      </w:r>
      <w:r w:rsidRPr="00242856">
        <w:rPr>
          <w:rFonts w:ascii="Verdana" w:hAnsi="Verdana" w:cs="Arial"/>
          <w:lang w:val="es-ES"/>
        </w:rPr>
        <w:t xml:space="preserve"> se ha pronunciado </w:t>
      </w:r>
      <w:r>
        <w:rPr>
          <w:rFonts w:ascii="Verdana" w:hAnsi="Verdana" w:cs="Arial"/>
          <w:lang w:val="es-ES"/>
        </w:rPr>
        <w:t xml:space="preserve">sobre </w:t>
      </w:r>
      <w:r>
        <w:rPr>
          <w:rFonts w:ascii="Verdana" w:eastAsia="Calibri" w:hAnsi="Verdana" w:cs="Arial"/>
          <w:bCs/>
          <w:color w:val="000000" w:themeColor="text1"/>
          <w:lang w:val="es-ES_tradnl"/>
        </w:rPr>
        <w:t>la aplicación de acuerdos comerciales en los procesos de contratación pública</w:t>
      </w:r>
      <w:r w:rsidRPr="00242856">
        <w:rPr>
          <w:rFonts w:ascii="Verdana" w:hAnsi="Verdana" w:cs="Arial"/>
          <w:lang w:val="es-ES"/>
        </w:rPr>
        <w:t xml:space="preserve"> en los conceptos </w:t>
      </w:r>
      <w:r>
        <w:rPr>
          <w:rFonts w:ascii="Verdana" w:eastAsia="Calibri" w:hAnsi="Verdana" w:cs="Arial"/>
          <w:bCs/>
          <w:color w:val="000000" w:themeColor="text1"/>
          <w:lang w:val="es-ES_tradnl"/>
        </w:rPr>
        <w:t xml:space="preserve">Los conceptos </w:t>
      </w:r>
      <w:r w:rsidRPr="00276D7E">
        <w:rPr>
          <w:rFonts w:ascii="Verdana" w:eastAsia="Times New Roman" w:hAnsi="Verdana" w:cs="Arial"/>
          <w:lang w:eastAsia="es-ES_tradnl"/>
        </w:rPr>
        <w:t xml:space="preserve">No. 2201913000006925 del 17 de septiembre de 2019, 2201913000008236 del 6 de noviembre de 2019, 2201913000008425 del 13 de noviembre de 2019, C–360 del 16 de julio de 2020, C–417 del 16 de julio de 2020, C–611 del 2 de octubre de 2020, C–613 del 26 de octubre de 2020, C–694 del 26 de noviembre de 2020, C–755 del 6 de enero de 2021, C-285 del 11 de </w:t>
      </w:r>
      <w:r w:rsidRPr="004F6CE4">
        <w:rPr>
          <w:rFonts w:ascii="Verdana" w:eastAsia="Times New Roman" w:hAnsi="Verdana" w:cs="Arial"/>
          <w:lang w:eastAsia="es-ES_tradnl"/>
        </w:rPr>
        <w:t>junio de 2021, C-238</w:t>
      </w:r>
      <w:r w:rsidRPr="00276D7E">
        <w:rPr>
          <w:rFonts w:ascii="Verdana" w:eastAsia="Times New Roman" w:hAnsi="Verdana" w:cs="Arial"/>
          <w:lang w:eastAsia="es-ES_tradnl"/>
        </w:rPr>
        <w:t xml:space="preserve"> del 05 de julio del 2023</w:t>
      </w:r>
      <w:r>
        <w:rPr>
          <w:rFonts w:ascii="Verdana" w:eastAsia="Times New Roman" w:hAnsi="Verdana" w:cs="Arial"/>
          <w:lang w:eastAsia="es-ES_tradnl"/>
        </w:rPr>
        <w:t xml:space="preserve">, C-454 de 19 de septiembre de 2024 y </w:t>
      </w:r>
      <w:r w:rsidRPr="006420EE">
        <w:rPr>
          <w:rFonts w:ascii="Verdana" w:eastAsia="Calibri" w:hAnsi="Verdana" w:cs="Arial"/>
          <w:lang w:val="es-ES" w:eastAsia="es-ES"/>
        </w:rPr>
        <w:t>C-137 de 2025</w:t>
      </w:r>
      <w:r>
        <w:rPr>
          <w:rFonts w:ascii="Verdana" w:eastAsia="Calibri" w:hAnsi="Verdana" w:cs="Arial"/>
          <w:bCs/>
          <w:color w:val="000000" w:themeColor="text1"/>
          <w:lang w:val="es-ES_tradnl"/>
        </w:rPr>
        <w:t xml:space="preserve">. </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puede acceder a través del siguiente enlace:</w:t>
      </w:r>
      <w:r w:rsidRPr="00A1554D">
        <w:rPr>
          <w:rStyle w:val="normaltextrun"/>
          <w:rFonts w:ascii="Verdana" w:hAnsi="Verdana" w:cs="Arial"/>
          <w:shd w:val="clear" w:color="auto" w:fill="FFFFFF"/>
          <w:lang w:val="es-ES"/>
        </w:rPr>
        <w:t xml:space="preserve"> </w:t>
      </w:r>
      <w:hyperlink r:id="rId15" w:history="1">
        <w:r w:rsidRPr="00A1554D">
          <w:rPr>
            <w:rStyle w:val="Hyperlink"/>
            <w:rFonts w:ascii="Verdana" w:hAnsi="Verdana" w:cs="Arial"/>
            <w:shd w:val="clear" w:color="auto" w:fill="FFFFFF"/>
            <w:lang w:val="es-ES"/>
          </w:rPr>
          <w:t>https://relatoria.colombiacompra.gov.co/busqueda/conceptos</w:t>
        </w:r>
      </w:hyperlink>
      <w:r w:rsidRPr="004F6CE4">
        <w:rPr>
          <w:rStyle w:val="normaltextrun"/>
          <w:rFonts w:ascii="Verdana" w:hAnsi="Verdana" w:cs="Arial"/>
          <w:color w:val="000000" w:themeColor="text1"/>
          <w:shd w:val="clear" w:color="auto" w:fill="FFFFFF"/>
          <w:lang w:val="es-ES"/>
        </w:rPr>
        <w:t xml:space="preserve">. </w:t>
      </w:r>
    </w:p>
    <w:p w14:paraId="30B0A0BA" w14:textId="77777777" w:rsidR="006667C3" w:rsidRDefault="006667C3" w:rsidP="006667C3">
      <w:pPr>
        <w:spacing w:after="0" w:line="240" w:lineRule="auto"/>
        <w:rPr>
          <w:rFonts w:ascii="Verdana" w:eastAsia="Times New Roman" w:hAnsi="Verdana" w:cs="Arial"/>
          <w:sz w:val="24"/>
          <w:szCs w:val="24"/>
          <w:lang w:eastAsia="es-ES"/>
        </w:rPr>
      </w:pPr>
    </w:p>
    <w:p w14:paraId="0312CBA0" w14:textId="77777777" w:rsidR="006667C3" w:rsidRPr="002069C6" w:rsidRDefault="006667C3" w:rsidP="006667C3">
      <w:pPr>
        <w:spacing w:after="0" w:line="276" w:lineRule="auto"/>
        <w:jc w:val="both"/>
        <w:rPr>
          <w:rFonts w:ascii="Verdana" w:hAnsi="Verdana"/>
          <w:lang w:val="es-ES"/>
        </w:rPr>
      </w:pPr>
      <w:r w:rsidRPr="002069C6">
        <w:rPr>
          <w:rFonts w:ascii="Verdana" w:hAnsi="Verdana"/>
          <w:lang w:val="es-ES"/>
        </w:rPr>
        <w:t xml:space="preserve">Por último, lo invitamos a seguirnos en las redes sociales en las cuales se difunde información institucional: </w:t>
      </w:r>
    </w:p>
    <w:p w14:paraId="031A7A9E" w14:textId="77777777" w:rsidR="006667C3" w:rsidRPr="002069C6" w:rsidRDefault="006667C3" w:rsidP="006667C3">
      <w:pPr>
        <w:spacing w:after="0" w:line="276" w:lineRule="auto"/>
        <w:jc w:val="both"/>
        <w:rPr>
          <w:rFonts w:ascii="Verdana" w:hAnsi="Verdana"/>
          <w:lang w:val="es-ES"/>
        </w:rPr>
      </w:pPr>
    </w:p>
    <w:p w14:paraId="29DEA970" w14:textId="77777777" w:rsidR="006667C3" w:rsidRPr="002069C6" w:rsidRDefault="006667C3" w:rsidP="006667C3">
      <w:pPr>
        <w:spacing w:after="0" w:line="276" w:lineRule="auto"/>
        <w:jc w:val="both"/>
        <w:rPr>
          <w:rFonts w:ascii="Verdana" w:hAnsi="Verdana"/>
          <w:lang w:val="es-ES"/>
        </w:rPr>
      </w:pPr>
      <w:r w:rsidRPr="002069C6">
        <w:rPr>
          <w:rFonts w:ascii="Verdana" w:hAnsi="Verdana"/>
          <w:lang w:val="es-ES"/>
        </w:rPr>
        <w:t xml:space="preserve">Twitter: </w:t>
      </w:r>
      <w:r w:rsidRPr="002069C6">
        <w:rPr>
          <w:rStyle w:val="Hyperlink"/>
          <w:rFonts w:ascii="Verdana" w:hAnsi="Verdana" w:cs="Arial"/>
          <w:shd w:val="clear" w:color="auto" w:fill="FFFFFF"/>
          <w:lang w:val="es-ES"/>
        </w:rPr>
        <w:t>@colombiacompra</w:t>
      </w:r>
      <w:r w:rsidRPr="002069C6">
        <w:rPr>
          <w:rFonts w:ascii="Verdana" w:hAnsi="Verdana"/>
          <w:color w:val="4472C4" w:themeColor="accent1"/>
          <w:lang w:val="es-ES"/>
        </w:rPr>
        <w:t xml:space="preserve"> </w:t>
      </w:r>
    </w:p>
    <w:p w14:paraId="5E16F457" w14:textId="77777777" w:rsidR="006667C3" w:rsidRPr="002069C6" w:rsidRDefault="006667C3" w:rsidP="006667C3">
      <w:pPr>
        <w:spacing w:after="0" w:line="276" w:lineRule="auto"/>
        <w:jc w:val="both"/>
        <w:rPr>
          <w:rFonts w:ascii="Verdana" w:hAnsi="Verdana"/>
          <w:lang w:val="es-ES"/>
        </w:rPr>
      </w:pPr>
      <w:r w:rsidRPr="002069C6">
        <w:rPr>
          <w:rFonts w:ascii="Verdana" w:hAnsi="Verdana"/>
          <w:lang w:val="es-ES"/>
        </w:rPr>
        <w:lastRenderedPageBreak/>
        <w:t xml:space="preserve">Facebook: </w:t>
      </w:r>
      <w:proofErr w:type="spellStart"/>
      <w:r w:rsidRPr="002069C6">
        <w:rPr>
          <w:rStyle w:val="Hyperlink"/>
          <w:rFonts w:ascii="Verdana" w:hAnsi="Verdana" w:cs="Arial"/>
          <w:shd w:val="clear" w:color="auto" w:fill="FFFFFF"/>
          <w:lang w:val="es-ES"/>
        </w:rPr>
        <w:t>ColombiaCompraEficiente</w:t>
      </w:r>
      <w:proofErr w:type="spellEnd"/>
    </w:p>
    <w:p w14:paraId="31A88AD1" w14:textId="77777777" w:rsidR="006667C3" w:rsidRPr="002069C6" w:rsidRDefault="006667C3" w:rsidP="006667C3">
      <w:pPr>
        <w:spacing w:after="0" w:line="276" w:lineRule="auto"/>
        <w:jc w:val="both"/>
        <w:rPr>
          <w:rFonts w:ascii="Verdana" w:hAnsi="Verdana"/>
          <w:lang w:val="es-ES"/>
        </w:rPr>
      </w:pPr>
      <w:r w:rsidRPr="002069C6">
        <w:rPr>
          <w:rFonts w:ascii="Verdana" w:hAnsi="Verdana"/>
          <w:lang w:val="es-ES"/>
        </w:rPr>
        <w:t xml:space="preserve">LinkedIn: </w:t>
      </w:r>
      <w:r w:rsidRPr="002069C6">
        <w:rPr>
          <w:rStyle w:val="Hyperlink"/>
          <w:rFonts w:ascii="Verdana" w:hAnsi="Verdana" w:cs="Arial"/>
          <w:shd w:val="clear" w:color="auto" w:fill="FFFFFF"/>
          <w:lang w:val="es-ES"/>
        </w:rPr>
        <w:t xml:space="preserve">Agencia Nacional de Contratación Pública - Colombia Compra Eficiente </w:t>
      </w:r>
      <w:r w:rsidRPr="002069C6">
        <w:rPr>
          <w:rFonts w:ascii="Verdana" w:hAnsi="Verdana"/>
          <w:lang w:val="es-ES"/>
        </w:rPr>
        <w:t xml:space="preserve">Instagram: </w:t>
      </w:r>
      <w:r w:rsidRPr="002069C6">
        <w:rPr>
          <w:rStyle w:val="Hyperlink"/>
          <w:rFonts w:ascii="Verdana" w:hAnsi="Verdana" w:cs="Arial"/>
          <w:shd w:val="clear" w:color="auto" w:fill="FFFFFF"/>
          <w:lang w:val="es-ES"/>
        </w:rPr>
        <w:t>@colombiacompraeficiente_cce</w:t>
      </w:r>
    </w:p>
    <w:p w14:paraId="29E24C45" w14:textId="77777777" w:rsidR="006667C3" w:rsidRPr="002069C6" w:rsidRDefault="006667C3" w:rsidP="006667C3">
      <w:pPr>
        <w:widowControl w:val="0"/>
        <w:autoSpaceDE w:val="0"/>
        <w:autoSpaceDN w:val="0"/>
        <w:spacing w:after="0" w:line="276" w:lineRule="auto"/>
        <w:jc w:val="both"/>
        <w:rPr>
          <w:rFonts w:ascii="Verdana" w:hAnsi="Verdana" w:cs="Arial"/>
          <w:color w:val="000000" w:themeColor="text1"/>
          <w:lang w:val="es-ES"/>
        </w:rPr>
      </w:pPr>
    </w:p>
    <w:p w14:paraId="6994AC76" w14:textId="77777777" w:rsidR="006667C3" w:rsidRPr="002069C6" w:rsidRDefault="006667C3" w:rsidP="006667C3">
      <w:pPr>
        <w:widowControl w:val="0"/>
        <w:autoSpaceDE w:val="0"/>
        <w:autoSpaceDN w:val="0"/>
        <w:spacing w:after="0" w:line="276" w:lineRule="auto"/>
        <w:jc w:val="both"/>
        <w:rPr>
          <w:rFonts w:ascii="Verdana" w:hAnsi="Verdana" w:cs="Arial"/>
          <w:color w:val="000000" w:themeColor="text1"/>
          <w:lang w:val="es-ES"/>
        </w:rPr>
      </w:pPr>
      <w:r w:rsidRPr="002069C6">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7A909F4" w14:textId="27013A36" w:rsidR="006667C3" w:rsidRPr="002069C6" w:rsidRDefault="006667C3" w:rsidP="006667C3">
      <w:pPr>
        <w:widowControl w:val="0"/>
        <w:autoSpaceDE w:val="0"/>
        <w:autoSpaceDN w:val="0"/>
        <w:spacing w:after="0" w:line="276" w:lineRule="auto"/>
        <w:jc w:val="both"/>
        <w:rPr>
          <w:rFonts w:ascii="Verdana" w:hAnsi="Verdana" w:cs="Arial"/>
          <w:color w:val="000000" w:themeColor="text1"/>
          <w:lang w:val="es-ES"/>
        </w:rPr>
      </w:pPr>
    </w:p>
    <w:p w14:paraId="7AEF9C5F" w14:textId="3E813A37" w:rsidR="006667C3" w:rsidRPr="002069C6" w:rsidRDefault="006667C3" w:rsidP="006667C3">
      <w:pPr>
        <w:spacing w:after="0" w:line="276" w:lineRule="auto"/>
        <w:rPr>
          <w:rFonts w:ascii="Verdana" w:hAnsi="Verdana" w:cs="Arial"/>
          <w:color w:val="000000" w:themeColor="text1"/>
          <w:lang w:val="es-ES" w:eastAsia="es-CO"/>
        </w:rPr>
      </w:pPr>
      <w:r w:rsidRPr="002069C6">
        <w:rPr>
          <w:rFonts w:ascii="Verdana" w:eastAsia="Times New Roman" w:hAnsi="Verdana" w:cs="Arial"/>
          <w:color w:val="000000" w:themeColor="text1"/>
          <w:lang w:val="es-ES" w:eastAsia="es-CO"/>
        </w:rPr>
        <w:t>Atentamente,</w:t>
      </w:r>
      <w:r w:rsidRPr="002069C6">
        <w:rPr>
          <w:rFonts w:ascii="Verdana" w:hAnsi="Verdana" w:cs="Arial"/>
          <w:color w:val="000000" w:themeColor="text1"/>
          <w:lang w:val="es-ES" w:eastAsia="es-CO"/>
        </w:rPr>
        <w:t xml:space="preserve"> </w:t>
      </w:r>
    </w:p>
    <w:p w14:paraId="554ED455" w14:textId="7522FA50" w:rsidR="006667C3" w:rsidRPr="00FE5A24" w:rsidRDefault="00EF5F0A" w:rsidP="006667C3">
      <w:pPr>
        <w:spacing w:line="276" w:lineRule="auto"/>
        <w:jc w:val="center"/>
        <w:rPr>
          <w:rFonts w:ascii="Verdana" w:hAnsi="Verdana" w:cs="Arial"/>
          <w:color w:val="000000" w:themeColor="text1"/>
          <w:lang w:val="es-ES_tradnl" w:eastAsia="es-CO"/>
        </w:rPr>
      </w:pPr>
      <w:r w:rsidRPr="002C3AD6">
        <w:rPr>
          <w:rFonts w:ascii="Century Gothic" w:hAnsi="Century Gothic"/>
          <w:noProof/>
        </w:rPr>
        <w:drawing>
          <wp:anchor distT="0" distB="0" distL="114300" distR="114300" simplePos="0" relativeHeight="251659264" behindDoc="0" locked="0" layoutInCell="1" allowOverlap="1" wp14:anchorId="61967FD2" wp14:editId="2A6D8216">
            <wp:simplePos x="0" y="0"/>
            <wp:positionH relativeFrom="column">
              <wp:posOffset>991235</wp:posOffset>
            </wp:positionH>
            <wp:positionV relativeFrom="paragraph">
              <wp:posOffset>51435</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667C3" w:rsidRPr="003751C7" w14:paraId="182968F0" w14:textId="77777777" w:rsidTr="00AE6AF1">
        <w:trPr>
          <w:trHeight w:val="315"/>
        </w:trPr>
        <w:tc>
          <w:tcPr>
            <w:tcW w:w="893" w:type="dxa"/>
            <w:vAlign w:val="center"/>
            <w:hideMark/>
          </w:tcPr>
          <w:p w14:paraId="4C34A967" w14:textId="77777777" w:rsidR="006667C3" w:rsidRPr="003751C7" w:rsidRDefault="006667C3" w:rsidP="00AE6AF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B53BD2C" w14:textId="77777777" w:rsidR="006667C3" w:rsidRPr="00FF1EF8" w:rsidRDefault="006667C3" w:rsidP="00AE6AF1">
            <w:pPr>
              <w:contextualSpacing/>
              <w:rPr>
                <w:rFonts w:ascii="Verdana" w:eastAsia="Arial" w:hAnsi="Verdana" w:cs="Arial"/>
                <w:color w:val="000000" w:themeColor="text1"/>
                <w:sz w:val="16"/>
                <w:szCs w:val="16"/>
              </w:rPr>
            </w:pPr>
            <w:r w:rsidRPr="00FF1EF8">
              <w:rPr>
                <w:rFonts w:ascii="Verdana" w:eastAsia="Arial" w:hAnsi="Verdana" w:cs="Arial"/>
                <w:color w:val="000000" w:themeColor="text1"/>
                <w:sz w:val="16"/>
                <w:szCs w:val="16"/>
              </w:rPr>
              <w:t>Anamaría Bonilla Prieto</w:t>
            </w:r>
          </w:p>
          <w:p w14:paraId="768CF1E9" w14:textId="77777777" w:rsidR="006667C3" w:rsidRPr="003751C7" w:rsidRDefault="006667C3" w:rsidP="00AE6AF1">
            <w:pPr>
              <w:contextualSpacing/>
              <w:rPr>
                <w:rFonts w:ascii="Verdana" w:eastAsia="Arial" w:hAnsi="Verdana" w:cs="Arial"/>
                <w:sz w:val="16"/>
                <w:szCs w:val="16"/>
              </w:rPr>
            </w:pPr>
            <w:r w:rsidRPr="00FF1EF8">
              <w:rPr>
                <w:rStyle w:val="normaltextrun"/>
                <w:rFonts w:ascii="Verdana" w:eastAsia="Arial" w:hAnsi="Verdana" w:cs="Arial"/>
                <w:color w:val="000000" w:themeColor="text1"/>
                <w:sz w:val="16"/>
                <w:szCs w:val="16"/>
              </w:rPr>
              <w:t xml:space="preserve">Contratista de la Subdirección </w:t>
            </w:r>
            <w:r w:rsidRPr="003751C7">
              <w:rPr>
                <w:rStyle w:val="normaltextrun"/>
                <w:rFonts w:ascii="Verdana" w:eastAsia="Arial" w:hAnsi="Verdana" w:cs="Arial"/>
                <w:sz w:val="16"/>
                <w:szCs w:val="16"/>
              </w:rPr>
              <w:t>de Gestión Contractual</w:t>
            </w:r>
          </w:p>
        </w:tc>
      </w:tr>
      <w:tr w:rsidR="006667C3" w:rsidRPr="003751C7" w14:paraId="22000B6E" w14:textId="77777777" w:rsidTr="00AE6AF1">
        <w:trPr>
          <w:trHeight w:val="330"/>
        </w:trPr>
        <w:tc>
          <w:tcPr>
            <w:tcW w:w="893" w:type="dxa"/>
            <w:vAlign w:val="center"/>
            <w:hideMark/>
          </w:tcPr>
          <w:p w14:paraId="07AB8B3E" w14:textId="77777777" w:rsidR="006667C3" w:rsidRPr="003751C7" w:rsidRDefault="006667C3" w:rsidP="00AE6AF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B098B02" w14:textId="77777777" w:rsidR="006667C3" w:rsidRPr="003C29CC" w:rsidRDefault="006667C3" w:rsidP="00AE6AF1">
            <w:pPr>
              <w:contextualSpacing/>
              <w:rPr>
                <w:rFonts w:ascii="Verdana" w:eastAsia="Arial" w:hAnsi="Verdana" w:cs="Arial"/>
                <w:color w:val="000000" w:themeColor="text1"/>
                <w:sz w:val="16"/>
                <w:szCs w:val="16"/>
              </w:rPr>
            </w:pPr>
            <w:r w:rsidRPr="003C29CC">
              <w:rPr>
                <w:rFonts w:ascii="Verdana" w:eastAsia="Arial" w:hAnsi="Verdana" w:cs="Arial"/>
                <w:color w:val="000000" w:themeColor="text1"/>
                <w:sz w:val="16"/>
                <w:szCs w:val="16"/>
              </w:rPr>
              <w:t>Alejandro Sarmiento Cantillo</w:t>
            </w:r>
          </w:p>
          <w:p w14:paraId="1826C27E" w14:textId="77777777" w:rsidR="006667C3" w:rsidRPr="003C29CC" w:rsidRDefault="006667C3" w:rsidP="00AE6AF1">
            <w:pPr>
              <w:contextualSpacing/>
              <w:rPr>
                <w:rFonts w:ascii="Verdana" w:hAnsi="Verdana" w:cs="Segoe UI"/>
                <w:sz w:val="16"/>
                <w:szCs w:val="16"/>
                <w:lang w:val="es-ES"/>
              </w:rPr>
            </w:pPr>
            <w:r w:rsidRPr="003C29CC">
              <w:rPr>
                <w:rFonts w:ascii="Verdana" w:eastAsia="Arial" w:hAnsi="Verdana" w:cs="Arial"/>
                <w:color w:val="000000" w:themeColor="text1"/>
                <w:sz w:val="16"/>
                <w:szCs w:val="16"/>
              </w:rPr>
              <w:t>Gestor T1 – 15 de la Subdirección de Gestión Contractual</w:t>
            </w:r>
            <w:r w:rsidRPr="003C29CC">
              <w:rPr>
                <w:rFonts w:ascii="Verdana" w:hAnsi="Verdana" w:cs="Segoe UI"/>
                <w:sz w:val="16"/>
                <w:szCs w:val="16"/>
                <w:lang w:val="es-ES"/>
              </w:rPr>
              <w:t> </w:t>
            </w:r>
          </w:p>
        </w:tc>
      </w:tr>
      <w:tr w:rsidR="006667C3" w:rsidRPr="003751C7" w14:paraId="1E7E59DF" w14:textId="77777777" w:rsidTr="00AE6AF1">
        <w:trPr>
          <w:trHeight w:val="300"/>
        </w:trPr>
        <w:tc>
          <w:tcPr>
            <w:tcW w:w="893" w:type="dxa"/>
            <w:vAlign w:val="center"/>
          </w:tcPr>
          <w:p w14:paraId="76C34284" w14:textId="77777777" w:rsidR="006667C3" w:rsidRPr="003751C7" w:rsidRDefault="006667C3" w:rsidP="00AE6AF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BDBADB3" w14:textId="77777777" w:rsidR="006667C3" w:rsidRPr="003751C7" w:rsidRDefault="006667C3" w:rsidP="00AE6AF1">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75A38DA8" w14:textId="77777777" w:rsidR="006667C3" w:rsidRPr="003751C7" w:rsidRDefault="006667C3" w:rsidP="00AE6AF1">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704A92F4" w14:textId="77777777" w:rsidR="006667C3" w:rsidRPr="00B6005B" w:rsidRDefault="006667C3" w:rsidP="006667C3"/>
    <w:p w14:paraId="77F49DC3" w14:textId="77777777" w:rsidR="006667C3" w:rsidRPr="00593A5F" w:rsidRDefault="006667C3" w:rsidP="006667C3">
      <w:pPr>
        <w:spacing w:after="0" w:line="240" w:lineRule="auto"/>
        <w:rPr>
          <w:rFonts w:ascii="Verdana" w:eastAsia="Times New Roman" w:hAnsi="Verdana" w:cs="Arial"/>
          <w:sz w:val="24"/>
          <w:szCs w:val="24"/>
          <w:lang w:eastAsia="es-ES"/>
        </w:rPr>
      </w:pPr>
    </w:p>
    <w:p w14:paraId="7E553D3E" w14:textId="77777777" w:rsidR="006667C3" w:rsidRPr="0044528D" w:rsidRDefault="006667C3" w:rsidP="006667C3">
      <w:pPr>
        <w:spacing w:after="0"/>
        <w:jc w:val="both"/>
        <w:rPr>
          <w:rStyle w:val="Hyperlink"/>
          <w:rFonts w:ascii="Verdana" w:hAnsi="Verdana"/>
        </w:rPr>
      </w:pPr>
    </w:p>
    <w:p w14:paraId="271B7A06" w14:textId="77777777" w:rsidR="006667C3" w:rsidRPr="0044528D" w:rsidRDefault="006667C3" w:rsidP="006667C3">
      <w:pPr>
        <w:spacing w:after="0"/>
        <w:jc w:val="both"/>
        <w:rPr>
          <w:rStyle w:val="Hyperlink"/>
          <w:rFonts w:ascii="Verdana" w:hAnsi="Verdana"/>
        </w:rPr>
      </w:pPr>
    </w:p>
    <w:p w14:paraId="6424ED74" w14:textId="77777777" w:rsidR="006667C3" w:rsidRPr="0044528D" w:rsidRDefault="006667C3" w:rsidP="006667C3">
      <w:pPr>
        <w:spacing w:after="0"/>
        <w:jc w:val="both"/>
        <w:rPr>
          <w:rStyle w:val="Hyperlink"/>
          <w:rFonts w:ascii="Verdana" w:hAnsi="Verdana"/>
        </w:rPr>
      </w:pPr>
    </w:p>
    <w:p w14:paraId="77B65A99" w14:textId="77777777" w:rsidR="006667C3" w:rsidRPr="0044528D" w:rsidRDefault="006667C3" w:rsidP="006667C3">
      <w:pPr>
        <w:spacing w:after="0"/>
        <w:jc w:val="both"/>
        <w:rPr>
          <w:rStyle w:val="Hyperlink"/>
          <w:rFonts w:ascii="Verdana" w:hAnsi="Verdana"/>
        </w:rPr>
      </w:pPr>
    </w:p>
    <w:bookmarkEnd w:id="0"/>
    <w:p w14:paraId="29BE8928" w14:textId="77777777" w:rsidR="006667C3" w:rsidRDefault="006667C3" w:rsidP="006667C3">
      <w:pPr>
        <w:spacing w:after="0" w:line="276" w:lineRule="auto"/>
        <w:ind w:firstLine="709"/>
        <w:jc w:val="both"/>
        <w:rPr>
          <w:rFonts w:ascii="Verdana" w:eastAsia="Calibri" w:hAnsi="Verdana" w:cs="Arial"/>
          <w:color w:val="000000"/>
          <w:lang w:val="es-ES" w:eastAsia="es-ES"/>
        </w:rPr>
      </w:pPr>
    </w:p>
    <w:p w14:paraId="0F293BF4" w14:textId="0B3F4D25" w:rsidR="00127233" w:rsidRPr="006667C3" w:rsidRDefault="00127233" w:rsidP="006667C3"/>
    <w:sectPr w:rsidR="00127233" w:rsidRPr="006667C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3C0BAD" w14:textId="77777777" w:rsidR="00CD23C5" w:rsidRDefault="00CD23C5" w:rsidP="004A1847">
      <w:pPr>
        <w:spacing w:after="0" w:line="240" w:lineRule="auto"/>
      </w:pPr>
      <w:r>
        <w:separator/>
      </w:r>
    </w:p>
  </w:endnote>
  <w:endnote w:type="continuationSeparator" w:id="0">
    <w:p w14:paraId="20721ECE" w14:textId="77777777" w:rsidR="00CD23C5" w:rsidRDefault="00CD23C5" w:rsidP="004A1847">
      <w:pPr>
        <w:spacing w:after="0" w:line="240" w:lineRule="auto"/>
      </w:pPr>
      <w:r>
        <w:continuationSeparator/>
      </w:r>
    </w:p>
  </w:endnote>
  <w:endnote w:type="continuationNotice" w:id="1">
    <w:p w14:paraId="0FAE4BD6" w14:textId="77777777" w:rsidR="00CD23C5" w:rsidRDefault="00CD23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055310" w14:textId="77777777" w:rsidR="00CD23C5" w:rsidRDefault="00CD23C5" w:rsidP="004A1847">
      <w:pPr>
        <w:spacing w:after="0" w:line="240" w:lineRule="auto"/>
      </w:pPr>
      <w:r>
        <w:separator/>
      </w:r>
    </w:p>
  </w:footnote>
  <w:footnote w:type="continuationSeparator" w:id="0">
    <w:p w14:paraId="0ABC7433" w14:textId="77777777" w:rsidR="00CD23C5" w:rsidRDefault="00CD23C5" w:rsidP="004A1847">
      <w:pPr>
        <w:spacing w:after="0" w:line="240" w:lineRule="auto"/>
      </w:pPr>
      <w:r>
        <w:continuationSeparator/>
      </w:r>
    </w:p>
  </w:footnote>
  <w:footnote w:type="continuationNotice" w:id="1">
    <w:p w14:paraId="10221ACD" w14:textId="77777777" w:rsidR="00CD23C5" w:rsidRDefault="00CD23C5">
      <w:pPr>
        <w:spacing w:after="0" w:line="240" w:lineRule="auto"/>
      </w:pPr>
    </w:p>
  </w:footnote>
  <w:footnote w:id="2">
    <w:p w14:paraId="3CA62F2F" w14:textId="77777777" w:rsidR="006667C3" w:rsidRPr="008433D5" w:rsidRDefault="006667C3" w:rsidP="006667C3">
      <w:pPr>
        <w:pStyle w:val="FootnoteText"/>
        <w:ind w:firstLine="708"/>
        <w:jc w:val="both"/>
        <w:rPr>
          <w:rFonts w:ascii="Verdana" w:hAnsi="Verdana"/>
          <w:sz w:val="16"/>
          <w:szCs w:val="16"/>
          <w:lang w:val="es-ES"/>
        </w:rPr>
      </w:pPr>
      <w:r w:rsidRPr="008433D5">
        <w:rPr>
          <w:rStyle w:val="FootnoteReference"/>
          <w:rFonts w:ascii="Verdana" w:hAnsi="Verdana"/>
          <w:sz w:val="16"/>
          <w:szCs w:val="16"/>
        </w:rPr>
        <w:footnoteRef/>
      </w:r>
      <w:r w:rsidRPr="008433D5">
        <w:rPr>
          <w:rFonts w:ascii="Verdana" w:hAnsi="Verdana"/>
          <w:sz w:val="16"/>
          <w:szCs w:val="16"/>
        </w:rPr>
        <w:t xml:space="preserve"> </w:t>
      </w:r>
      <w:r w:rsidRPr="008433D5">
        <w:rPr>
          <w:rFonts w:ascii="Verdana" w:hAnsi="Verdana"/>
          <w:sz w:val="16"/>
          <w:szCs w:val="16"/>
          <w:lang w:val="es-ES"/>
        </w:rPr>
        <w:t xml:space="preserve">De esta forma se establece en la “Nota 7” del documento de umbrales aplicables para la vigencia 2024 y 2025 publicado por esta Agencia y el MINCIT disponible en: </w:t>
      </w:r>
      <w:hyperlink r:id="rId1" w:history="1">
        <w:r w:rsidRPr="008433D5">
          <w:rPr>
            <w:rStyle w:val="Hyperlink"/>
            <w:rFonts w:ascii="Verdana" w:hAnsi="Verdana"/>
            <w:sz w:val="16"/>
            <w:szCs w:val="16"/>
            <w:lang w:val="es-ES"/>
          </w:rPr>
          <w:t>https://www.colombiacompra.gov.co/wp-content/uploads/2024/08/umbral_de_mipymes_2025_oali.pdf</w:t>
        </w:r>
      </w:hyperlink>
      <w:r w:rsidRPr="008433D5">
        <w:rPr>
          <w:rFonts w:ascii="Verdana" w:hAnsi="Verdana"/>
          <w:sz w:val="16"/>
          <w:szCs w:val="16"/>
          <w:lang w:val="es-ES"/>
        </w:rPr>
        <w:t>. Esta interpretación se reitera en la “</w:t>
      </w:r>
      <w:r w:rsidRPr="008433D5">
        <w:rPr>
          <w:rFonts w:ascii="Verdana" w:hAnsi="Verdana"/>
          <w:sz w:val="16"/>
          <w:szCs w:val="16"/>
          <w:lang w:val="es-CO"/>
        </w:rPr>
        <w:t>Guía de contrataciones públicas en la alianza del pacífico”</w:t>
      </w:r>
      <w:r w:rsidRPr="008433D5">
        <w:rPr>
          <w:rFonts w:ascii="Verdana" w:hAnsi="Verdana"/>
          <w:sz w:val="16"/>
          <w:szCs w:val="16"/>
          <w:lang w:val="es-ES"/>
        </w:rPr>
        <w:t xml:space="preserve">, disponible en: </w:t>
      </w:r>
      <w:hyperlink r:id="rId2" w:history="1">
        <w:r w:rsidRPr="008433D5">
          <w:rPr>
            <w:rStyle w:val="Hyperlink"/>
            <w:rFonts w:ascii="Verdana" w:hAnsi="Verdana"/>
            <w:sz w:val="16"/>
            <w:szCs w:val="16"/>
            <w:lang w:val="es-ES"/>
          </w:rPr>
          <w:t>https://alianzapacifico.net/wp-content/uploads/GuiaComprasPublicas_consolidada_5dic.pdf</w:t>
        </w:r>
      </w:hyperlink>
      <w:r w:rsidRPr="008433D5">
        <w:rPr>
          <w:rFonts w:ascii="Verdana" w:hAnsi="Verdana"/>
          <w:sz w:val="16"/>
          <w:szCs w:val="16"/>
          <w:lang w:val="es-ES"/>
        </w:rPr>
        <w:t xml:space="preserve"> </w:t>
      </w:r>
    </w:p>
  </w:footnote>
  <w:footnote w:id="3">
    <w:p w14:paraId="4E6CDF90" w14:textId="77777777" w:rsidR="006667C3" w:rsidRPr="001632C2" w:rsidRDefault="006667C3" w:rsidP="006667C3">
      <w:pPr>
        <w:pStyle w:val="FootnoteText"/>
        <w:ind w:firstLine="708"/>
        <w:jc w:val="both"/>
        <w:rPr>
          <w:rFonts w:ascii="Verdana" w:hAnsi="Verdana"/>
          <w:sz w:val="15"/>
          <w:szCs w:val="15"/>
        </w:rPr>
      </w:pPr>
      <w:r w:rsidRPr="001632C2">
        <w:rPr>
          <w:rStyle w:val="FootnoteReference"/>
          <w:rFonts w:ascii="Verdana" w:hAnsi="Verdana"/>
          <w:sz w:val="15"/>
          <w:szCs w:val="15"/>
        </w:rPr>
        <w:footnoteRef/>
      </w:r>
      <w:r w:rsidRPr="001632C2">
        <w:rPr>
          <w:rFonts w:ascii="Verdana" w:hAnsi="Verdana"/>
          <w:sz w:val="15"/>
          <w:szCs w:val="15"/>
        </w:rPr>
        <w:t xml:space="preserve"> </w:t>
      </w:r>
      <w:r w:rsidRPr="001632C2">
        <w:rPr>
          <w:rFonts w:ascii="Verdana" w:eastAsia="Calibri" w:hAnsi="Verdana" w:cs="Arial"/>
          <w:sz w:val="15"/>
          <w:szCs w:val="15"/>
          <w:lang w:val="es-ES_tradnl"/>
        </w:rPr>
        <w:t>Con el fin de facilitar la aplicación de los acuerdos, el Ministerio y la Agencia Nacional de Contratación Pública – Colombia Compra Eficiente publican el valor equivalente de estos umbrales en el documento “Valores a partir de los cuales son aplicables los Acuerdos Comerciales (Umbrales)”.</w:t>
      </w:r>
    </w:p>
  </w:footnote>
  <w:footnote w:id="4">
    <w:p w14:paraId="41C967B6" w14:textId="77777777" w:rsidR="006667C3" w:rsidRPr="00FC37F6" w:rsidRDefault="006667C3" w:rsidP="006667C3">
      <w:pPr>
        <w:pStyle w:val="FootnoteText"/>
        <w:ind w:firstLine="708"/>
        <w:rPr>
          <w:lang w:val="es-ES"/>
        </w:rPr>
      </w:pPr>
      <w:r>
        <w:rPr>
          <w:rStyle w:val="FootnoteReference"/>
        </w:rPr>
        <w:footnoteRef/>
      </w:r>
      <w:r>
        <w:t xml:space="preserve"> </w:t>
      </w:r>
      <w:r w:rsidRPr="00FC37F6">
        <w:rPr>
          <w:rFonts w:ascii="Verdana" w:eastAsia="Calibri" w:hAnsi="Verdana" w:cs="Arial"/>
          <w:sz w:val="15"/>
          <w:szCs w:val="15"/>
          <w:lang w:val="es-ES_tradnl"/>
        </w:rPr>
        <w:t>Por ejemplo, para el acuerdo comercial vigente con Israel los umbrales establecidos en DEG se calcularán y convertirán a pesos colombianos utilizando la Tasa Representativa del Mercado (TRM) del Banco de la República de Colombia del día anterior a la fecha de publicación del aviso de convocatoria del respectivo proceso de compra.</w:t>
      </w:r>
      <w:r w:rsidRPr="00FC37F6">
        <w:rPr>
          <w:lang w:val="es-CO"/>
        </w:rPr>
        <w:t xml:space="preserve"> </w:t>
      </w:r>
    </w:p>
  </w:footnote>
  <w:footnote w:id="5">
    <w:p w14:paraId="669C8722" w14:textId="77777777" w:rsidR="006667C3" w:rsidRPr="001632C2" w:rsidRDefault="006667C3" w:rsidP="006667C3">
      <w:pPr>
        <w:pStyle w:val="FootnoteText"/>
        <w:ind w:firstLine="709"/>
        <w:jc w:val="both"/>
        <w:rPr>
          <w:rFonts w:ascii="Verdana" w:hAnsi="Verdana" w:cs="Arial"/>
          <w:sz w:val="15"/>
          <w:szCs w:val="15"/>
        </w:rPr>
      </w:pPr>
      <w:r w:rsidRPr="001632C2">
        <w:rPr>
          <w:rStyle w:val="FootnoteReference"/>
          <w:rFonts w:ascii="Verdana" w:hAnsi="Verdana" w:cs="Arial"/>
          <w:sz w:val="15"/>
          <w:szCs w:val="15"/>
        </w:rPr>
        <w:footnoteRef/>
      </w:r>
      <w:r w:rsidRPr="001632C2">
        <w:rPr>
          <w:rFonts w:ascii="Verdana" w:hAnsi="Verdana" w:cs="Arial"/>
          <w:sz w:val="15"/>
          <w:szCs w:val="15"/>
        </w:rPr>
        <w:t xml:space="preserve"> La Constitución Política, en el artículo 189, numeral 2, dispone que el Presidente de la República debe: “Dirigir las relaciones internacionales. Nombrar a los agentes diplomáticos y consulares, recibir a los agentes respectivos y celebrar con otros Estados y entidades de derecho internacional tratados o convenios que se someterán a la aprobación del Congreso”. Así́ mismo, en el artículo 150, numeral 16, establece que el Congreso de la Republica debe: “Aprobar o improbar los tratados que el Gobierno celebre con otros Estados o con entidades de derecho internacional. Por medio de dichos tratados podrá́ el Estado, sobre bases de equidad, reciprocidad y conveniencia nacional, transferir parcialmente determinadas atribuciones a organismos internacionales, que tengan por objeto promover o consolidar la integración económica con otros Estados”.</w:t>
      </w:r>
    </w:p>
  </w:footnote>
  <w:footnote w:id="6">
    <w:p w14:paraId="1DF91146" w14:textId="77777777" w:rsidR="006667C3" w:rsidRPr="001632C2" w:rsidRDefault="006667C3" w:rsidP="006667C3">
      <w:pPr>
        <w:pStyle w:val="FootnoteText"/>
        <w:ind w:firstLine="708"/>
        <w:jc w:val="both"/>
        <w:rPr>
          <w:rFonts w:ascii="Verdana" w:hAnsi="Verdana"/>
          <w:sz w:val="15"/>
          <w:szCs w:val="15"/>
          <w:lang w:val="es-ES"/>
        </w:rPr>
      </w:pPr>
      <w:r w:rsidRPr="001632C2">
        <w:rPr>
          <w:rStyle w:val="FootnoteReference"/>
          <w:rFonts w:ascii="Verdana" w:hAnsi="Verdana"/>
          <w:sz w:val="15"/>
          <w:szCs w:val="15"/>
        </w:rPr>
        <w:footnoteRef/>
      </w:r>
      <w:r w:rsidRPr="001632C2">
        <w:rPr>
          <w:rFonts w:ascii="Verdana" w:hAnsi="Verdana"/>
          <w:sz w:val="15"/>
          <w:szCs w:val="15"/>
        </w:rPr>
        <w:t xml:space="preserve"> </w:t>
      </w:r>
      <w:r w:rsidRPr="001632C2">
        <w:rPr>
          <w:rFonts w:ascii="Verdana" w:eastAsia="Calibri" w:hAnsi="Verdana" w:cs="Arial"/>
          <w:sz w:val="15"/>
          <w:szCs w:val="15"/>
          <w:lang w:val="es-ES_tradnl"/>
        </w:rPr>
        <w:t>Manual para el manejo de los Acuerdos Comerciales en procesos de contratación. Pág. 10.</w:t>
      </w:r>
    </w:p>
  </w:footnote>
  <w:footnote w:id="7">
    <w:p w14:paraId="77186FCF" w14:textId="77777777" w:rsidR="006667C3" w:rsidRPr="00E158F6" w:rsidRDefault="006667C3" w:rsidP="006667C3">
      <w:pPr>
        <w:pStyle w:val="FootnoteText"/>
        <w:ind w:firstLine="708"/>
        <w:jc w:val="both"/>
        <w:rPr>
          <w:rFonts w:ascii="Verdana" w:hAnsi="Verdana"/>
          <w:sz w:val="16"/>
          <w:szCs w:val="16"/>
          <w:lang w:val="es-ES"/>
        </w:rPr>
      </w:pPr>
      <w:r w:rsidRPr="00E158F6">
        <w:rPr>
          <w:rStyle w:val="FootnoteReference"/>
          <w:rFonts w:ascii="Verdana" w:hAnsi="Verdana"/>
          <w:sz w:val="16"/>
          <w:szCs w:val="16"/>
        </w:rPr>
        <w:footnoteRef/>
      </w:r>
      <w:r w:rsidRPr="00E158F6">
        <w:rPr>
          <w:rFonts w:ascii="Verdana" w:hAnsi="Verdana"/>
          <w:sz w:val="16"/>
          <w:szCs w:val="16"/>
        </w:rPr>
        <w:t xml:space="preserve"> </w:t>
      </w:r>
      <w:r w:rsidRPr="00E158F6">
        <w:rPr>
          <w:rFonts w:ascii="Verdana" w:hAnsi="Verdana"/>
          <w:sz w:val="16"/>
          <w:szCs w:val="16"/>
          <w:lang w:val="es-ES"/>
        </w:rPr>
        <w:t>Listado disponible en el “M</w:t>
      </w:r>
      <w:r w:rsidRPr="00E158F6">
        <w:rPr>
          <w:rFonts w:ascii="Verdana" w:hAnsi="Verdana"/>
          <w:sz w:val="16"/>
          <w:szCs w:val="16"/>
          <w:lang w:val="es-CO"/>
        </w:rPr>
        <w:t xml:space="preserve">anual para el manejo de los acuerdos comerciales en procesos de contratación” de 2024, páginas 18 en adelante. Disponible en: </w:t>
      </w:r>
      <w:hyperlink r:id="rId3" w:history="1">
        <w:r w:rsidRPr="00E158F6">
          <w:rPr>
            <w:rStyle w:val="Hyperlink"/>
            <w:rFonts w:ascii="Verdana" w:hAnsi="Verdana"/>
            <w:sz w:val="16"/>
            <w:szCs w:val="16"/>
            <w:lang w:val="es-CO"/>
          </w:rPr>
          <w:t>https://www.colombiacompra.gov.co/wp-content/uploads/2024/08/manual_para_el_manejo_de_acuerdos_comerciales_vf.pdf</w:t>
        </w:r>
      </w:hyperlink>
      <w:r w:rsidRPr="00E158F6">
        <w:rPr>
          <w:rFonts w:ascii="Verdana" w:hAnsi="Verdana"/>
          <w:sz w:val="16"/>
          <w:szCs w:val="16"/>
          <w:lang w:val="es-CO"/>
        </w:rPr>
        <w:t xml:space="preserve"> </w:t>
      </w:r>
    </w:p>
  </w:footnote>
  <w:footnote w:id="8">
    <w:p w14:paraId="7F86600A" w14:textId="77777777" w:rsidR="006667C3" w:rsidRPr="008433D5" w:rsidRDefault="006667C3" w:rsidP="006667C3">
      <w:pPr>
        <w:pStyle w:val="FootnoteText"/>
        <w:ind w:firstLine="708"/>
        <w:jc w:val="both"/>
        <w:rPr>
          <w:rFonts w:ascii="Verdana" w:hAnsi="Verdana"/>
          <w:sz w:val="16"/>
          <w:szCs w:val="16"/>
          <w:lang w:val="es-ES"/>
        </w:rPr>
      </w:pPr>
      <w:r w:rsidRPr="008433D5">
        <w:rPr>
          <w:rStyle w:val="FootnoteReference"/>
          <w:rFonts w:ascii="Verdana" w:hAnsi="Verdana"/>
          <w:sz w:val="16"/>
          <w:szCs w:val="16"/>
        </w:rPr>
        <w:footnoteRef/>
      </w:r>
      <w:r w:rsidRPr="008433D5">
        <w:rPr>
          <w:rFonts w:ascii="Verdana" w:hAnsi="Verdana"/>
          <w:sz w:val="16"/>
          <w:szCs w:val="16"/>
        </w:rPr>
        <w:t xml:space="preserve"> </w:t>
      </w:r>
      <w:r w:rsidRPr="008433D5">
        <w:rPr>
          <w:rFonts w:ascii="Verdana" w:hAnsi="Verdana"/>
          <w:sz w:val="16"/>
          <w:szCs w:val="16"/>
          <w:lang w:val="es-ES"/>
        </w:rPr>
        <w:t xml:space="preserve">De esta forma se establece en la “Nota 7” del documento de umbrales aplicables para la vigencia 2024 y 2025 publicado por esta Agencia y el MINCIT disponible en: </w:t>
      </w:r>
      <w:hyperlink r:id="rId4" w:history="1">
        <w:r w:rsidRPr="008433D5">
          <w:rPr>
            <w:rStyle w:val="Hyperlink"/>
            <w:rFonts w:ascii="Verdana" w:hAnsi="Verdana"/>
            <w:sz w:val="16"/>
            <w:szCs w:val="16"/>
            <w:lang w:val="es-ES"/>
          </w:rPr>
          <w:t>https://www.colombiacompra.gov.co/wp-content/uploads/2024/08/umbral_de_mipymes_2025_oali.pdf</w:t>
        </w:r>
      </w:hyperlink>
      <w:r w:rsidRPr="008433D5">
        <w:rPr>
          <w:rFonts w:ascii="Verdana" w:hAnsi="Verdana"/>
          <w:sz w:val="16"/>
          <w:szCs w:val="16"/>
          <w:lang w:val="es-ES"/>
        </w:rPr>
        <w:t>. Esta interpretación se reitera en la “</w:t>
      </w:r>
      <w:r w:rsidRPr="008433D5">
        <w:rPr>
          <w:rFonts w:ascii="Verdana" w:hAnsi="Verdana"/>
          <w:sz w:val="16"/>
          <w:szCs w:val="16"/>
          <w:lang w:val="es-CO"/>
        </w:rPr>
        <w:t>Guía de contrataciones públicas en la alianza del pacífico”</w:t>
      </w:r>
      <w:r w:rsidRPr="008433D5">
        <w:rPr>
          <w:rFonts w:ascii="Verdana" w:hAnsi="Verdana"/>
          <w:sz w:val="16"/>
          <w:szCs w:val="16"/>
          <w:lang w:val="es-ES"/>
        </w:rPr>
        <w:t xml:space="preserve">, disponible en: </w:t>
      </w:r>
      <w:hyperlink r:id="rId5" w:history="1">
        <w:r w:rsidRPr="008433D5">
          <w:rPr>
            <w:rStyle w:val="Hyperlink"/>
            <w:rFonts w:ascii="Verdana" w:hAnsi="Verdana"/>
            <w:sz w:val="16"/>
            <w:szCs w:val="16"/>
            <w:lang w:val="es-ES"/>
          </w:rPr>
          <w:t>https://alianzapacifico.net/wp-content/uploads/GuiaComprasPublicas_consolidada_5dic.pdf</w:t>
        </w:r>
      </w:hyperlink>
      <w:r w:rsidRPr="008433D5">
        <w:rPr>
          <w:rFonts w:ascii="Verdana" w:hAnsi="Verdana"/>
          <w:sz w:val="16"/>
          <w:szCs w:val="16"/>
          <w:lang w:val="es-ES"/>
        </w:rPr>
        <w:t xml:space="preserve"> </w:t>
      </w:r>
    </w:p>
  </w:footnote>
  <w:footnote w:id="9">
    <w:p w14:paraId="611F6BF9" w14:textId="77777777" w:rsidR="006667C3" w:rsidRPr="001632C2" w:rsidRDefault="006667C3" w:rsidP="006667C3">
      <w:pPr>
        <w:pStyle w:val="FootnoteText"/>
        <w:ind w:firstLine="708"/>
        <w:jc w:val="both"/>
        <w:rPr>
          <w:rFonts w:ascii="Verdana" w:hAnsi="Verdana"/>
          <w:sz w:val="15"/>
          <w:szCs w:val="15"/>
        </w:rPr>
      </w:pPr>
      <w:r w:rsidRPr="001632C2">
        <w:rPr>
          <w:rStyle w:val="FootnoteReference"/>
          <w:rFonts w:ascii="Verdana" w:hAnsi="Verdana"/>
          <w:sz w:val="15"/>
          <w:szCs w:val="15"/>
        </w:rPr>
        <w:footnoteRef/>
      </w:r>
      <w:r w:rsidRPr="001632C2">
        <w:rPr>
          <w:rFonts w:ascii="Verdana" w:hAnsi="Verdana"/>
          <w:sz w:val="15"/>
          <w:szCs w:val="15"/>
        </w:rPr>
        <w:t xml:space="preserve"> </w:t>
      </w:r>
      <w:r w:rsidRPr="001632C2">
        <w:rPr>
          <w:rFonts w:ascii="Verdana" w:eastAsia="Calibri" w:hAnsi="Verdana" w:cs="Arial"/>
          <w:sz w:val="15"/>
          <w:szCs w:val="15"/>
          <w:lang w:val="es-ES_tradnl"/>
        </w:rPr>
        <w:t>Con el fin de facilitar la aplicación de los acuerdos, el Ministerio y la Agencia Nacional de Contratación Pública – Colombia Compra Eficiente publican el valor equivalente de estos umbrales en el documento “Valores a partir de los cuales son aplicables los Acuerdos Comerciales (Umbrales)”.</w:t>
      </w:r>
    </w:p>
  </w:footnote>
  <w:footnote w:id="10">
    <w:p w14:paraId="0D7E118B" w14:textId="77777777" w:rsidR="006667C3" w:rsidRPr="00FC37F6" w:rsidRDefault="006667C3" w:rsidP="006667C3">
      <w:pPr>
        <w:pStyle w:val="FootnoteText"/>
        <w:ind w:firstLine="708"/>
        <w:rPr>
          <w:lang w:val="es-ES"/>
        </w:rPr>
      </w:pPr>
      <w:r>
        <w:rPr>
          <w:rStyle w:val="FootnoteReference"/>
        </w:rPr>
        <w:footnoteRef/>
      </w:r>
      <w:r>
        <w:t xml:space="preserve"> </w:t>
      </w:r>
      <w:r w:rsidRPr="00FC37F6">
        <w:rPr>
          <w:rFonts w:ascii="Verdana" w:eastAsia="Calibri" w:hAnsi="Verdana" w:cs="Arial"/>
          <w:sz w:val="15"/>
          <w:szCs w:val="15"/>
          <w:lang w:val="es-ES_tradnl"/>
        </w:rPr>
        <w:t>Por ejemplo, para el acuerdo comercial vigente con Israel los umbrales establecidos en DEG se calcularán y convertirán a pesos colombianos utilizando la Tasa Representativa del Mercado (TRM) del Banco de la República de Colombia del día anterior a la fecha de publicación del aviso de convocatoria del respectivo proceso de compra.</w:t>
      </w:r>
      <w:r w:rsidRPr="00FC37F6">
        <w:rPr>
          <w:lang w:val="es-CO"/>
        </w:rPr>
        <w:t xml:space="preserve"> </w:t>
      </w:r>
    </w:p>
  </w:footnote>
  <w:footnote w:id="11">
    <w:p w14:paraId="3873AC0E" w14:textId="77777777" w:rsidR="006667C3" w:rsidRPr="00E01E73" w:rsidRDefault="006667C3" w:rsidP="006667C3">
      <w:pPr>
        <w:pStyle w:val="FootnoteText"/>
        <w:ind w:firstLine="708"/>
        <w:jc w:val="both"/>
        <w:rPr>
          <w:rFonts w:ascii="Verdana" w:hAnsi="Verdana"/>
          <w:sz w:val="16"/>
          <w:szCs w:val="16"/>
          <w:lang w:val="es-ES"/>
        </w:rPr>
      </w:pPr>
      <w:r w:rsidRPr="00E01E73">
        <w:rPr>
          <w:rStyle w:val="FootnoteReference"/>
          <w:rFonts w:ascii="Verdana" w:hAnsi="Verdana"/>
          <w:sz w:val="16"/>
          <w:szCs w:val="16"/>
        </w:rPr>
        <w:footnoteRef/>
      </w:r>
      <w:r w:rsidRPr="00E01E73">
        <w:rPr>
          <w:rFonts w:ascii="Verdana" w:hAnsi="Verdana"/>
          <w:sz w:val="16"/>
          <w:szCs w:val="16"/>
        </w:rPr>
        <w:t xml:space="preserve"> </w:t>
      </w:r>
      <w:r w:rsidRPr="00E01E73">
        <w:rPr>
          <w:rFonts w:ascii="Verdana" w:hAnsi="Verdana"/>
          <w:sz w:val="16"/>
          <w:szCs w:val="16"/>
          <w:lang w:val="es-ES"/>
        </w:rPr>
        <w:t>Estas reglas se encuentran explicadas en la “</w:t>
      </w:r>
      <w:r>
        <w:rPr>
          <w:rFonts w:ascii="Verdana" w:hAnsi="Verdana"/>
          <w:sz w:val="16"/>
          <w:szCs w:val="16"/>
          <w:lang w:val="es-CO"/>
        </w:rPr>
        <w:t>G</w:t>
      </w:r>
      <w:r w:rsidRPr="00E01E73">
        <w:rPr>
          <w:rFonts w:ascii="Verdana" w:hAnsi="Verdana"/>
          <w:sz w:val="16"/>
          <w:szCs w:val="16"/>
          <w:lang w:val="es-CO"/>
        </w:rPr>
        <w:t>uía de contrataciones públicas en la alianza del pacífico”</w:t>
      </w:r>
      <w:r w:rsidRPr="00E01E73">
        <w:rPr>
          <w:rFonts w:ascii="Verdana" w:hAnsi="Verdana"/>
          <w:sz w:val="16"/>
          <w:szCs w:val="16"/>
          <w:lang w:val="es-ES"/>
        </w:rPr>
        <w:t xml:space="preserve">, disponible en: </w:t>
      </w:r>
      <w:hyperlink r:id="rId6" w:history="1">
        <w:r w:rsidRPr="00E01E73">
          <w:rPr>
            <w:rStyle w:val="Hyperlink"/>
            <w:rFonts w:ascii="Verdana" w:hAnsi="Verdana"/>
            <w:sz w:val="16"/>
            <w:szCs w:val="16"/>
            <w:lang w:val="es-ES"/>
          </w:rPr>
          <w:t>https://alianzapacifico.net/wp-content/uploads/GuiaComprasPublicas_consolidada_5dic.pdf</w:t>
        </w:r>
      </w:hyperlink>
      <w:r w:rsidRPr="00E01E73">
        <w:rPr>
          <w:rFonts w:ascii="Verdana" w:hAnsi="Verdana"/>
          <w:sz w:val="16"/>
          <w:szCs w:val="16"/>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33" type="#_x0000_t75" style="width:14.95pt;height:14.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36D7"/>
    <w:rsid w:val="000363B3"/>
    <w:rsid w:val="00046945"/>
    <w:rsid w:val="00061B2A"/>
    <w:rsid w:val="00082362"/>
    <w:rsid w:val="00086C6A"/>
    <w:rsid w:val="00095D4B"/>
    <w:rsid w:val="000A683E"/>
    <w:rsid w:val="000B19B9"/>
    <w:rsid w:val="000C3A4F"/>
    <w:rsid w:val="000C54C8"/>
    <w:rsid w:val="000D0334"/>
    <w:rsid w:val="000D5DA7"/>
    <w:rsid w:val="000F6486"/>
    <w:rsid w:val="001078AE"/>
    <w:rsid w:val="00116940"/>
    <w:rsid w:val="00125105"/>
    <w:rsid w:val="00127233"/>
    <w:rsid w:val="0015699B"/>
    <w:rsid w:val="00166043"/>
    <w:rsid w:val="00174D6B"/>
    <w:rsid w:val="001A33BF"/>
    <w:rsid w:val="001E4177"/>
    <w:rsid w:val="001F0B24"/>
    <w:rsid w:val="001F7DC6"/>
    <w:rsid w:val="0022400B"/>
    <w:rsid w:val="00231A1A"/>
    <w:rsid w:val="002421BB"/>
    <w:rsid w:val="0025796E"/>
    <w:rsid w:val="00265FD7"/>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638E"/>
    <w:rsid w:val="00374F5E"/>
    <w:rsid w:val="00377E3E"/>
    <w:rsid w:val="003A779E"/>
    <w:rsid w:val="003D0D90"/>
    <w:rsid w:val="003D0F4D"/>
    <w:rsid w:val="003D5B0D"/>
    <w:rsid w:val="003E0499"/>
    <w:rsid w:val="003E4584"/>
    <w:rsid w:val="003E4F80"/>
    <w:rsid w:val="003E6439"/>
    <w:rsid w:val="003F2D51"/>
    <w:rsid w:val="003F3941"/>
    <w:rsid w:val="003F687F"/>
    <w:rsid w:val="00406575"/>
    <w:rsid w:val="00414C74"/>
    <w:rsid w:val="0042722E"/>
    <w:rsid w:val="0044528D"/>
    <w:rsid w:val="0044672F"/>
    <w:rsid w:val="00466E39"/>
    <w:rsid w:val="004A1847"/>
    <w:rsid w:val="004A305D"/>
    <w:rsid w:val="004C3E72"/>
    <w:rsid w:val="004D23A6"/>
    <w:rsid w:val="004E4E8D"/>
    <w:rsid w:val="004F21C4"/>
    <w:rsid w:val="004F685F"/>
    <w:rsid w:val="004F739D"/>
    <w:rsid w:val="00502AAF"/>
    <w:rsid w:val="00512274"/>
    <w:rsid w:val="00535DFF"/>
    <w:rsid w:val="0053676C"/>
    <w:rsid w:val="0054442F"/>
    <w:rsid w:val="005458C1"/>
    <w:rsid w:val="005566E8"/>
    <w:rsid w:val="00562FDB"/>
    <w:rsid w:val="00574867"/>
    <w:rsid w:val="00591460"/>
    <w:rsid w:val="005A65E0"/>
    <w:rsid w:val="005B0144"/>
    <w:rsid w:val="005B3123"/>
    <w:rsid w:val="005C3777"/>
    <w:rsid w:val="005C5CDC"/>
    <w:rsid w:val="005D3677"/>
    <w:rsid w:val="005D476C"/>
    <w:rsid w:val="006200BF"/>
    <w:rsid w:val="006219F8"/>
    <w:rsid w:val="00626865"/>
    <w:rsid w:val="006302F7"/>
    <w:rsid w:val="00646B9F"/>
    <w:rsid w:val="006565CC"/>
    <w:rsid w:val="00657D0A"/>
    <w:rsid w:val="00665D70"/>
    <w:rsid w:val="006667C3"/>
    <w:rsid w:val="006900D9"/>
    <w:rsid w:val="00697CE2"/>
    <w:rsid w:val="006F7FFB"/>
    <w:rsid w:val="00702C8B"/>
    <w:rsid w:val="00706C16"/>
    <w:rsid w:val="00712A9B"/>
    <w:rsid w:val="007170C4"/>
    <w:rsid w:val="007340C3"/>
    <w:rsid w:val="00736610"/>
    <w:rsid w:val="0075235A"/>
    <w:rsid w:val="00756841"/>
    <w:rsid w:val="007649AB"/>
    <w:rsid w:val="00771D0C"/>
    <w:rsid w:val="007830A5"/>
    <w:rsid w:val="007833AC"/>
    <w:rsid w:val="0079576A"/>
    <w:rsid w:val="007B268C"/>
    <w:rsid w:val="007B7171"/>
    <w:rsid w:val="007C0C0F"/>
    <w:rsid w:val="007C3DC2"/>
    <w:rsid w:val="007E5497"/>
    <w:rsid w:val="007F55BE"/>
    <w:rsid w:val="00806F5F"/>
    <w:rsid w:val="00820278"/>
    <w:rsid w:val="00823C4D"/>
    <w:rsid w:val="008258C9"/>
    <w:rsid w:val="00844AE9"/>
    <w:rsid w:val="008567F4"/>
    <w:rsid w:val="008650FD"/>
    <w:rsid w:val="008662F6"/>
    <w:rsid w:val="00867F95"/>
    <w:rsid w:val="008843B6"/>
    <w:rsid w:val="00884715"/>
    <w:rsid w:val="00891928"/>
    <w:rsid w:val="008A0A14"/>
    <w:rsid w:val="008A446D"/>
    <w:rsid w:val="008B25F1"/>
    <w:rsid w:val="008D180B"/>
    <w:rsid w:val="008D735D"/>
    <w:rsid w:val="008F0EA7"/>
    <w:rsid w:val="00923EEF"/>
    <w:rsid w:val="00935CB8"/>
    <w:rsid w:val="009419F9"/>
    <w:rsid w:val="0095685E"/>
    <w:rsid w:val="00961B09"/>
    <w:rsid w:val="00965334"/>
    <w:rsid w:val="0097093E"/>
    <w:rsid w:val="00992BC2"/>
    <w:rsid w:val="009A08D5"/>
    <w:rsid w:val="009A0DFA"/>
    <w:rsid w:val="009A1C6F"/>
    <w:rsid w:val="009B2D26"/>
    <w:rsid w:val="009C71FA"/>
    <w:rsid w:val="009C72E7"/>
    <w:rsid w:val="009C7F7E"/>
    <w:rsid w:val="009D3058"/>
    <w:rsid w:val="009F3A13"/>
    <w:rsid w:val="00A122D3"/>
    <w:rsid w:val="00A14468"/>
    <w:rsid w:val="00A17F13"/>
    <w:rsid w:val="00A20739"/>
    <w:rsid w:val="00A234F6"/>
    <w:rsid w:val="00A23AF9"/>
    <w:rsid w:val="00A31371"/>
    <w:rsid w:val="00A33C78"/>
    <w:rsid w:val="00A37E0E"/>
    <w:rsid w:val="00A44DFE"/>
    <w:rsid w:val="00A90200"/>
    <w:rsid w:val="00AB0ADB"/>
    <w:rsid w:val="00AC3549"/>
    <w:rsid w:val="00AD101B"/>
    <w:rsid w:val="00AE6AF1"/>
    <w:rsid w:val="00AF04AA"/>
    <w:rsid w:val="00AF6E08"/>
    <w:rsid w:val="00AF7676"/>
    <w:rsid w:val="00B00C0E"/>
    <w:rsid w:val="00B01B1A"/>
    <w:rsid w:val="00B0381D"/>
    <w:rsid w:val="00B053B5"/>
    <w:rsid w:val="00B176FE"/>
    <w:rsid w:val="00B37251"/>
    <w:rsid w:val="00B44A47"/>
    <w:rsid w:val="00B47491"/>
    <w:rsid w:val="00B557B5"/>
    <w:rsid w:val="00B72CD3"/>
    <w:rsid w:val="00B72FFF"/>
    <w:rsid w:val="00BC3D36"/>
    <w:rsid w:val="00BD26D3"/>
    <w:rsid w:val="00BD54A6"/>
    <w:rsid w:val="00BD7F72"/>
    <w:rsid w:val="00BF7425"/>
    <w:rsid w:val="00C04FB3"/>
    <w:rsid w:val="00C11D8B"/>
    <w:rsid w:val="00C15139"/>
    <w:rsid w:val="00C330EB"/>
    <w:rsid w:val="00C4348D"/>
    <w:rsid w:val="00C50D69"/>
    <w:rsid w:val="00C5365C"/>
    <w:rsid w:val="00C60A5E"/>
    <w:rsid w:val="00C74C63"/>
    <w:rsid w:val="00C754BE"/>
    <w:rsid w:val="00C76B1C"/>
    <w:rsid w:val="00C925AC"/>
    <w:rsid w:val="00CB6357"/>
    <w:rsid w:val="00CC1B26"/>
    <w:rsid w:val="00CC3D11"/>
    <w:rsid w:val="00CD23C5"/>
    <w:rsid w:val="00D14B8C"/>
    <w:rsid w:val="00D3010C"/>
    <w:rsid w:val="00D361FD"/>
    <w:rsid w:val="00D423A2"/>
    <w:rsid w:val="00D44E26"/>
    <w:rsid w:val="00D520D8"/>
    <w:rsid w:val="00D63AC2"/>
    <w:rsid w:val="00D7383B"/>
    <w:rsid w:val="00D7788A"/>
    <w:rsid w:val="00D9538A"/>
    <w:rsid w:val="00DA231B"/>
    <w:rsid w:val="00DC049E"/>
    <w:rsid w:val="00DC2AB7"/>
    <w:rsid w:val="00DC39FC"/>
    <w:rsid w:val="00DF5254"/>
    <w:rsid w:val="00E020BC"/>
    <w:rsid w:val="00E02524"/>
    <w:rsid w:val="00E15186"/>
    <w:rsid w:val="00E16408"/>
    <w:rsid w:val="00E20894"/>
    <w:rsid w:val="00E245AB"/>
    <w:rsid w:val="00E2764C"/>
    <w:rsid w:val="00E27F2E"/>
    <w:rsid w:val="00E50AFE"/>
    <w:rsid w:val="00E53CD0"/>
    <w:rsid w:val="00E75C92"/>
    <w:rsid w:val="00E771DC"/>
    <w:rsid w:val="00E8772A"/>
    <w:rsid w:val="00E90F6B"/>
    <w:rsid w:val="00E91DA1"/>
    <w:rsid w:val="00E92C27"/>
    <w:rsid w:val="00EA0E3D"/>
    <w:rsid w:val="00EB60AE"/>
    <w:rsid w:val="00EC38A7"/>
    <w:rsid w:val="00ED49DC"/>
    <w:rsid w:val="00EE1AA8"/>
    <w:rsid w:val="00EF5F0A"/>
    <w:rsid w:val="00F23FEA"/>
    <w:rsid w:val="00F319A3"/>
    <w:rsid w:val="00F31EDC"/>
    <w:rsid w:val="00F462B3"/>
    <w:rsid w:val="00F5664F"/>
    <w:rsid w:val="00F666C4"/>
    <w:rsid w:val="00F66C00"/>
    <w:rsid w:val="00F76AFC"/>
    <w:rsid w:val="00F83126"/>
    <w:rsid w:val="00F90F15"/>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803E7602-216E-1A47-A75C-409DF32F3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6667C3"/>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6667C3"/>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lombiacompra.gov.co/compradores/acuerdos-comerciales-y-tratonacional-por-reciprocidad"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manual_para_el_manejo_de_acuerdos_comerciales_vf.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pradap@hotmail.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alianzapacifico.net/wp-content/uploads/GuiaComprasPublicas_consolidada_5dic.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08/manual_para_el_manejo_de_acuerdos_comerciales_vf.pdf" TargetMode="External"/><Relationship Id="rId2" Type="http://schemas.openxmlformats.org/officeDocument/2006/relationships/hyperlink" Target="https://alianzapacifico.net/wp-content/uploads/GuiaComprasPublicas_consolidada_5dic.pdf" TargetMode="External"/><Relationship Id="rId1" Type="http://schemas.openxmlformats.org/officeDocument/2006/relationships/hyperlink" Target="https://www.colombiacompra.gov.co/wp-content/uploads/2024/08/umbral_de_mipymes_2025_oali.pdf" TargetMode="External"/><Relationship Id="rId6" Type="http://schemas.openxmlformats.org/officeDocument/2006/relationships/hyperlink" Target="https://alianzapacifico.net/wp-content/uploads/GuiaComprasPublicas_consolidada_5dic.pdf" TargetMode="External"/><Relationship Id="rId5" Type="http://schemas.openxmlformats.org/officeDocument/2006/relationships/hyperlink" Target="https://alianzapacifico.net/wp-content/uploads/GuiaComprasPublicas_consolidada_5dic.pdf" TargetMode="External"/><Relationship Id="rId4" Type="http://schemas.openxmlformats.org/officeDocument/2006/relationships/hyperlink" Target="https://www.colombiacompra.gov.co/wp-content/uploads/2024/08/umbral_de_mipymes_2025_oali.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7E4AC9AB-28C6-45EB-B657-49E24C165584}"/>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13</Pages>
  <Words>4088</Words>
  <Characters>23304</Characters>
  <Application>Microsoft Office Word</Application>
  <DocSecurity>0</DocSecurity>
  <Lines>194</Lines>
  <Paragraphs>54</Paragraphs>
  <ScaleCrop>false</ScaleCrop>
  <Company/>
  <LinksUpToDate>false</LinksUpToDate>
  <CharactersWithSpaces>27338</CharactersWithSpaces>
  <SharedDoc>false</SharedDoc>
  <HLinks>
    <vt:vector size="66" baseType="variant">
      <vt:variant>
        <vt:i4>7471218</vt:i4>
      </vt:variant>
      <vt:variant>
        <vt:i4>12</vt:i4>
      </vt:variant>
      <vt:variant>
        <vt:i4>0</vt:i4>
      </vt:variant>
      <vt:variant>
        <vt:i4>5</vt:i4>
      </vt:variant>
      <vt:variant>
        <vt:lpwstr>https://relatoria.colombiacompra.gov.co/busqueda/conceptos</vt:lpwstr>
      </vt:variant>
      <vt:variant>
        <vt:lpwstr/>
      </vt:variant>
      <vt:variant>
        <vt:i4>6684784</vt:i4>
      </vt:variant>
      <vt:variant>
        <vt:i4>9</vt:i4>
      </vt:variant>
      <vt:variant>
        <vt:i4>0</vt:i4>
      </vt:variant>
      <vt:variant>
        <vt:i4>5</vt:i4>
      </vt:variant>
      <vt:variant>
        <vt:lpwstr>https://alianzapacifico.net/wp-content/uploads/GuiaComprasPublicas_consolidada_5dic.pdf</vt:lpwstr>
      </vt:variant>
      <vt:variant>
        <vt:lpwstr/>
      </vt:variant>
      <vt:variant>
        <vt:i4>8126580</vt:i4>
      </vt:variant>
      <vt:variant>
        <vt:i4>6</vt:i4>
      </vt:variant>
      <vt:variant>
        <vt:i4>0</vt:i4>
      </vt:variant>
      <vt:variant>
        <vt:i4>5</vt:i4>
      </vt:variant>
      <vt:variant>
        <vt:lpwstr>https://colombiacompra.gov.co/compradores/acuerdos-comerciales-y-tratonacional-por-reciprocidad</vt:lpwstr>
      </vt:variant>
      <vt:variant>
        <vt:lpwstr/>
      </vt:variant>
      <vt:variant>
        <vt:i4>7667778</vt:i4>
      </vt:variant>
      <vt:variant>
        <vt:i4>3</vt:i4>
      </vt:variant>
      <vt:variant>
        <vt:i4>0</vt:i4>
      </vt:variant>
      <vt:variant>
        <vt:i4>5</vt:i4>
      </vt:variant>
      <vt:variant>
        <vt:lpwstr>https://www.colombiacompra.gov.co/sites/cce_public/files/cce_documents/manual_para_el_manejo_de_acuerdos_comerciales_vf.pdf</vt:lpwstr>
      </vt:variant>
      <vt:variant>
        <vt:lpwstr/>
      </vt:variant>
      <vt:variant>
        <vt:i4>6422608</vt:i4>
      </vt:variant>
      <vt:variant>
        <vt:i4>0</vt:i4>
      </vt:variant>
      <vt:variant>
        <vt:i4>0</vt:i4>
      </vt:variant>
      <vt:variant>
        <vt:i4>5</vt:i4>
      </vt:variant>
      <vt:variant>
        <vt:lpwstr>mailto:ypradap@hotmail.com</vt:lpwstr>
      </vt:variant>
      <vt:variant>
        <vt:lpwstr/>
      </vt:variant>
      <vt:variant>
        <vt:i4>6684784</vt:i4>
      </vt:variant>
      <vt:variant>
        <vt:i4>15</vt:i4>
      </vt:variant>
      <vt:variant>
        <vt:i4>0</vt:i4>
      </vt:variant>
      <vt:variant>
        <vt:i4>5</vt:i4>
      </vt:variant>
      <vt:variant>
        <vt:lpwstr>https://alianzapacifico.net/wp-content/uploads/GuiaComprasPublicas_consolidada_5dic.pdf</vt:lpwstr>
      </vt:variant>
      <vt:variant>
        <vt:lpwstr/>
      </vt:variant>
      <vt:variant>
        <vt:i4>6684784</vt:i4>
      </vt:variant>
      <vt:variant>
        <vt:i4>12</vt:i4>
      </vt:variant>
      <vt:variant>
        <vt:i4>0</vt:i4>
      </vt:variant>
      <vt:variant>
        <vt:i4>5</vt:i4>
      </vt:variant>
      <vt:variant>
        <vt:lpwstr>https://alianzapacifico.net/wp-content/uploads/GuiaComprasPublicas_consolidada_5dic.pdf</vt:lpwstr>
      </vt:variant>
      <vt:variant>
        <vt:lpwstr/>
      </vt:variant>
      <vt:variant>
        <vt:i4>1441878</vt:i4>
      </vt:variant>
      <vt:variant>
        <vt:i4>9</vt:i4>
      </vt:variant>
      <vt:variant>
        <vt:i4>0</vt:i4>
      </vt:variant>
      <vt:variant>
        <vt:i4>5</vt:i4>
      </vt:variant>
      <vt:variant>
        <vt:lpwstr>https://www.colombiacompra.gov.co/wp-content/uploads/2024/08/umbral_de_mipymes_2025_oali.pdf</vt:lpwstr>
      </vt:variant>
      <vt:variant>
        <vt:lpwstr/>
      </vt:variant>
      <vt:variant>
        <vt:i4>6815760</vt:i4>
      </vt:variant>
      <vt:variant>
        <vt:i4>6</vt:i4>
      </vt:variant>
      <vt:variant>
        <vt:i4>0</vt:i4>
      </vt:variant>
      <vt:variant>
        <vt:i4>5</vt:i4>
      </vt:variant>
      <vt:variant>
        <vt:lpwstr>https://www.colombiacompra.gov.co/wp-content/uploads/2024/08/manual_para_el_manejo_de_acuerdos_comerciales_vf.pdf</vt:lpwstr>
      </vt:variant>
      <vt:variant>
        <vt:lpwstr/>
      </vt:variant>
      <vt:variant>
        <vt:i4>6684784</vt:i4>
      </vt:variant>
      <vt:variant>
        <vt:i4>3</vt:i4>
      </vt:variant>
      <vt:variant>
        <vt:i4>0</vt:i4>
      </vt:variant>
      <vt:variant>
        <vt:i4>5</vt:i4>
      </vt:variant>
      <vt:variant>
        <vt:lpwstr>https://alianzapacifico.net/wp-content/uploads/GuiaComprasPublicas_consolidada_5dic.pdf</vt:lpwstr>
      </vt:variant>
      <vt:variant>
        <vt:lpwstr/>
      </vt:variant>
      <vt:variant>
        <vt:i4>1441878</vt:i4>
      </vt:variant>
      <vt:variant>
        <vt:i4>0</vt:i4>
      </vt:variant>
      <vt:variant>
        <vt:i4>0</vt:i4>
      </vt:variant>
      <vt:variant>
        <vt:i4>5</vt:i4>
      </vt:variant>
      <vt:variant>
        <vt:lpwstr>https://www.colombiacompra.gov.co/wp-content/uploads/2024/08/umbral_de_mipymes_2025_oali.pdf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5</cp:revision>
  <cp:lastPrinted>2023-01-10T21:18:00Z</cp:lastPrinted>
  <dcterms:created xsi:type="dcterms:W3CDTF">2025-12-04T21:06:00Z</dcterms:created>
  <dcterms:modified xsi:type="dcterms:W3CDTF">2025-12-04T21:17:00Z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