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620024" w14:textId="34FA7D9D" w:rsidR="00E177AC" w:rsidRPr="00E177AC" w:rsidRDefault="00E177AC" w:rsidP="00E177AC">
      <w:pPr>
        <w:jc w:val="both"/>
        <w:rPr>
          <w:rFonts w:ascii="Verdana" w:hAnsi="Verdana" w:cs="Arial"/>
          <w:b/>
          <w:color w:val="000000" w:themeColor="text1"/>
          <w:lang w:val="es-ES_tradnl"/>
        </w:rPr>
      </w:pPr>
      <w:bookmarkStart w:id="0" w:name="_Hlk143780582"/>
      <w:r w:rsidRPr="00E177AC">
        <w:rPr>
          <w:rFonts w:ascii="Verdana" w:hAnsi="Verdana" w:cs="Arial"/>
          <w:b/>
          <w:color w:val="000000" w:themeColor="text1"/>
          <w:lang w:val="es-ES_tradnl"/>
        </w:rPr>
        <w:t xml:space="preserve">LEY DE GARANTÍAS ELECTORALES ‒ Finalidad </w:t>
      </w:r>
    </w:p>
    <w:p w14:paraId="08B1B38D" w14:textId="0829B2CA" w:rsidR="00E177AC" w:rsidRDefault="00E177AC" w:rsidP="00E177AC">
      <w:pPr>
        <w:jc w:val="both"/>
        <w:rPr>
          <w:rFonts w:ascii="Verdana" w:hAnsi="Verdana" w:cs="Arial"/>
          <w:bCs/>
          <w:color w:val="000000" w:themeColor="text1"/>
          <w:lang w:val="es-ES_tradnl"/>
        </w:rPr>
      </w:pPr>
      <w:r>
        <w:rPr>
          <w:rFonts w:ascii="Verdana" w:eastAsia="Times New Roman" w:hAnsi="Verdana" w:cs="Arial"/>
          <w:lang w:val="es-MX" w:eastAsia="es-CO"/>
        </w:rPr>
        <w:t>L</w:t>
      </w:r>
      <w:r w:rsidRPr="006018C8">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7BFB80AA" w14:textId="496A7756" w:rsidR="00E177AC" w:rsidRDefault="00E177AC" w:rsidP="00E177AC">
      <w:pPr>
        <w:jc w:val="both"/>
        <w:rPr>
          <w:rFonts w:ascii="Verdana" w:hAnsi="Verdana" w:cs="Arial"/>
          <w:b/>
          <w:color w:val="000000" w:themeColor="text1"/>
          <w:lang w:val="es-ES_tradnl"/>
        </w:rPr>
      </w:pPr>
      <w:r w:rsidRPr="00E177AC">
        <w:rPr>
          <w:rFonts w:ascii="Verdana" w:hAnsi="Verdana" w:cs="Arial"/>
          <w:b/>
          <w:color w:val="000000" w:themeColor="text1"/>
          <w:lang w:val="es-ES_tradnl"/>
        </w:rPr>
        <w:t xml:space="preserve">LEY DE GARANTÍAS ELECTORALES ‒ Tipos de restricciones </w:t>
      </w:r>
    </w:p>
    <w:p w14:paraId="1470F0F7" w14:textId="53CF5EC9" w:rsidR="00E177AC" w:rsidRPr="00E177AC" w:rsidRDefault="00E177AC" w:rsidP="00E177AC">
      <w:pPr>
        <w:jc w:val="both"/>
        <w:rPr>
          <w:rFonts w:ascii="Verdana" w:hAnsi="Verdana" w:cs="Arial"/>
          <w:b/>
          <w:color w:val="000000" w:themeColor="text1"/>
          <w:lang w:val="es-ES_tradnl"/>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Fonts w:ascii="Verdana" w:eastAsia="Times New Roman" w:hAnsi="Verdana" w:cs="Open Sans"/>
          <w:lang w:eastAsia="es-CO"/>
        </w:rPr>
        <w:t>.</w:t>
      </w:r>
    </w:p>
    <w:p w14:paraId="53803FA5" w14:textId="55743855" w:rsidR="00E177AC" w:rsidRDefault="00E177AC" w:rsidP="00E177AC">
      <w:pPr>
        <w:jc w:val="both"/>
        <w:rPr>
          <w:rFonts w:ascii="Verdana" w:hAnsi="Verdana" w:cs="Arial"/>
          <w:b/>
          <w:bCs/>
          <w:color w:val="000000" w:themeColor="text1"/>
          <w:lang w:val="es-ES_tradnl"/>
        </w:rPr>
      </w:pPr>
      <w:r w:rsidRPr="00E177AC">
        <w:rPr>
          <w:rFonts w:ascii="Verdana" w:eastAsia="Calibri" w:hAnsi="Verdana" w:cs="Arial"/>
          <w:b/>
          <w:bCs/>
          <w:lang w:val="es-ES" w:eastAsia="es-ES"/>
        </w:rPr>
        <w:t xml:space="preserve">LEY DE GARANTÍAS ELECTORALES - Contratación </w:t>
      </w:r>
      <w:r w:rsidRPr="00E177AC">
        <w:rPr>
          <w:rFonts w:ascii="Verdana" w:eastAsia="Arial" w:hAnsi="Verdana" w:cs="Arial"/>
          <w:b/>
          <w:bCs/>
          <w:color w:val="000000" w:themeColor="text1"/>
        </w:rPr>
        <w:t>Plan de Salud Pública de Intervenciones Colectivas</w:t>
      </w:r>
      <w:r w:rsidRPr="00E177AC">
        <w:rPr>
          <w:rFonts w:ascii="Verdana" w:eastAsia="Calibri" w:hAnsi="Verdana" w:cs="Arial"/>
          <w:b/>
          <w:bCs/>
          <w:lang w:val="es-ES" w:eastAsia="es-ES"/>
        </w:rPr>
        <w:t xml:space="preserve"> -PIC-</w:t>
      </w:r>
      <w:r w:rsidRPr="00E177AC">
        <w:rPr>
          <w:rFonts w:ascii="Verdana" w:hAnsi="Verdana" w:cs="Arial"/>
          <w:b/>
          <w:bCs/>
          <w:color w:val="000000" w:themeColor="text1"/>
          <w:lang w:val="es-ES_tradnl"/>
        </w:rPr>
        <w:t xml:space="preserve"> </w:t>
      </w:r>
    </w:p>
    <w:p w14:paraId="53AA0DC4" w14:textId="77777777" w:rsidR="00E177AC" w:rsidRPr="00FF007A" w:rsidRDefault="00E177AC" w:rsidP="00E177AC">
      <w:pPr>
        <w:spacing w:before="120" w:after="120" w:line="276" w:lineRule="auto"/>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el tema de su consulta, mediante la Resolución 04 del 12 de </w:t>
      </w:r>
      <w:r>
        <w:rPr>
          <w:rFonts w:ascii="Verdana" w:eastAsia="Arial" w:hAnsi="Verdana" w:cs="Arial"/>
          <w:bCs/>
          <w:color w:val="000000" w:themeColor="text1"/>
        </w:rPr>
        <w:t>e</w:t>
      </w:r>
      <w:r w:rsidRPr="00FF007A">
        <w:rPr>
          <w:rFonts w:ascii="Verdana" w:eastAsia="Arial" w:hAnsi="Verdana" w:cs="Arial"/>
          <w:bCs/>
          <w:color w:val="000000" w:themeColor="text1"/>
        </w:rPr>
        <w:t>nero de 2018, el Ministerio de Salud y Protección Social dio “instrucciones para la ejecución de las acciones en salud pública en el marco de la Ley de Garantías electorales”. Respecto de la ejecución del Plan de Intervenciones Colectivas (PIC), el Ministerio enfatizó que las entidades deben garantizar los tr</w:t>
      </w:r>
      <w:r>
        <w:rPr>
          <w:rFonts w:ascii="Verdana" w:eastAsia="Arial" w:hAnsi="Verdana" w:cs="Arial"/>
          <w:bCs/>
          <w:color w:val="000000" w:themeColor="text1"/>
        </w:rPr>
        <w:t>á</w:t>
      </w:r>
      <w:r w:rsidRPr="00FF007A">
        <w:rPr>
          <w:rFonts w:ascii="Verdana" w:eastAsia="Arial" w:hAnsi="Verdana" w:cs="Arial"/>
          <w:bCs/>
          <w:color w:val="000000" w:themeColor="text1"/>
        </w:rPr>
        <w:t xml:space="preserve">mites contractuales y la planeación para la continuidad del programa. Además, señaló que durante el periodo de prohibición del artículo 33 de la Ley 996 de 2005 “se exceptúan las acciones que la entidad territorial requiera contratar como entidad sanitaria” con el fin de no paralizar su funcionamiento o interrumpir la prestación de los servicios públicos de carácter esencial, con lo cual resalto la excepción aplicable a estas entidades. Sobre esto último, estableció como criterios para determinar la aplicación de la excepción en materia de salud: i) que la </w:t>
      </w:r>
      <w:r w:rsidRPr="00FF007A">
        <w:rPr>
          <w:rFonts w:ascii="Verdana" w:eastAsia="Arial" w:hAnsi="Verdana" w:cs="Arial"/>
          <w:bCs/>
          <w:color w:val="000000" w:themeColor="text1"/>
        </w:rPr>
        <w:lastRenderedPageBreak/>
        <w:t xml:space="preserve">contratación sea necesaria para solventar las eventuales situaciones de urgencia en salud, y ii) que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 </w:t>
      </w:r>
    </w:p>
    <w:p w14:paraId="7669C5F8" w14:textId="42BCAF73" w:rsidR="00E177AC" w:rsidRDefault="00E177AC" w:rsidP="00E177AC">
      <w:pPr>
        <w:jc w:val="both"/>
        <w:rPr>
          <w:rFonts w:ascii="Verdana" w:eastAsia="Calibri" w:hAnsi="Verdana" w:cs="Arial"/>
          <w:b/>
          <w:bCs/>
          <w:color w:val="000000" w:themeColor="text1"/>
          <w:lang w:val="es-ES" w:eastAsia="es-ES"/>
        </w:rPr>
      </w:pPr>
      <w:r w:rsidRPr="00E177AC">
        <w:rPr>
          <w:rFonts w:ascii="Verdana" w:eastAsia="Calibri" w:hAnsi="Verdana" w:cs="Arial"/>
          <w:b/>
          <w:bCs/>
          <w:color w:val="000000" w:themeColor="text1"/>
          <w:lang w:val="es-ES" w:eastAsia="es-ES"/>
        </w:rPr>
        <w:t>CONTRATACIÓN DIRECTA – Pluralidad de oferentes – Ausencia – Proveedor exclusivo – Alcance</w:t>
      </w:r>
    </w:p>
    <w:p w14:paraId="69280735" w14:textId="39B1D2B0" w:rsidR="00E177AC" w:rsidRDefault="00E177AC" w:rsidP="00E177AC">
      <w:pPr>
        <w:spacing w:after="120" w:line="276" w:lineRule="auto"/>
        <w:jc w:val="both"/>
        <w:rPr>
          <w:rFonts w:ascii="Verdana" w:eastAsia="Calibri" w:hAnsi="Verdana" w:cs="Arial"/>
          <w:color w:val="000000" w:themeColor="text1"/>
        </w:rPr>
      </w:pPr>
      <w:r w:rsidRPr="009A68AF">
        <w:rPr>
          <w:rFonts w:ascii="Verdana" w:eastAsia="Calibri" w:hAnsi="Verdana" w:cs="Arial"/>
          <w:color w:val="000000" w:themeColor="text1"/>
        </w:rPr>
        <w:t xml:space="preserve">La norma consagra dos (2) hipótesis. </w:t>
      </w:r>
      <w:r w:rsidRPr="009A68AF">
        <w:rPr>
          <w:rFonts w:ascii="Verdana" w:eastAsia="Calibri" w:hAnsi="Verdana" w:cs="Arial"/>
          <w:i/>
          <w:iCs/>
          <w:color w:val="000000" w:themeColor="text1"/>
        </w:rPr>
        <w:t>En primer lugar</w:t>
      </w:r>
      <w:r w:rsidRPr="009A68AF">
        <w:rPr>
          <w:rFonts w:ascii="Verdana" w:eastAsia="Calibri" w:hAnsi="Verdana" w:cs="Arial"/>
          <w:color w:val="000000" w:themeColor="text1"/>
        </w:rPr>
        <w:t xml:space="preserve">, no existe pluralidad de oferentes cuando solo una persona puede proveer el bien o servicio por ser titular de los derechos de propiedad industrial o de los derechos de autor. De esta manera, no basta con que sea la única persona capaz de ejecutar el contrato, pues la misma se debe justificar una situación de derecho que impida que otra lo haga de forma igual o similar. Para los proponentes, cada bien o servicio tiene características únicas frente a los de la competencia; sin embargo, desde el punto de vista del contratante, no existe mayor diferenciación entre los bienes y servicios cuando ninguno de los aspirantes tiene la titularidad de un derecho industrial o de autor. </w:t>
      </w:r>
    </w:p>
    <w:p w14:paraId="75EC7F94" w14:textId="2B37FB0D" w:rsidR="002D74F2" w:rsidRDefault="002D74F2" w:rsidP="00E177AC">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w:t>
      </w:r>
    </w:p>
    <w:p w14:paraId="29CD82C8" w14:textId="77777777" w:rsidR="002D74F2" w:rsidRPr="009A68AF" w:rsidRDefault="002D74F2" w:rsidP="002D74F2">
      <w:pPr>
        <w:ind w:right="49"/>
        <w:jc w:val="both"/>
        <w:rPr>
          <w:rFonts w:ascii="Verdana" w:eastAsia="Calibri" w:hAnsi="Verdana" w:cs="Arial"/>
          <w:color w:val="000000" w:themeColor="text1"/>
        </w:rPr>
      </w:pPr>
      <w:r w:rsidRPr="009A68AF">
        <w:rPr>
          <w:rFonts w:ascii="Verdana" w:eastAsia="Calibri" w:hAnsi="Verdana" w:cs="Arial"/>
          <w:i/>
          <w:iCs/>
          <w:color w:val="000000" w:themeColor="text1"/>
        </w:rPr>
        <w:t>En segundo lugar</w:t>
      </w:r>
      <w:r w:rsidRPr="009A68AF">
        <w:rPr>
          <w:rFonts w:ascii="Verdana" w:eastAsia="Calibri" w:hAnsi="Verdana" w:cs="Arial"/>
          <w:color w:val="000000" w:themeColor="text1"/>
        </w:rPr>
        <w:t xml:space="preserve">, el artículo 2.2.1.2.1.4.8 del Decreto 1082 de 2015 dispone que tampoco existe pluralidad de oferentes cuando existe una sola persona que puede celebrar el contrato por ser proveedor exclusivo en el territorio nacional. A modo de ejemplo, esta causal se comprende en el marco de los contratos de colaboración empresarial –agencia, distribución, franquicia concesión comercial, etc.– que celebran los productores extranjeros con los proveedores nacionales, los cuales contienen usualmente cláusulas de exclusividad como elemento accidental del negocio. </w:t>
      </w:r>
    </w:p>
    <w:p w14:paraId="1DA6DD85" w14:textId="77777777" w:rsidR="002D74F2" w:rsidRPr="009A68AF" w:rsidRDefault="002D74F2" w:rsidP="00E177AC">
      <w:pPr>
        <w:spacing w:after="120" w:line="276" w:lineRule="auto"/>
        <w:jc w:val="both"/>
        <w:rPr>
          <w:rFonts w:ascii="Verdana" w:eastAsia="Calibri" w:hAnsi="Verdana" w:cs="Arial"/>
          <w:color w:val="000000" w:themeColor="text1"/>
        </w:rPr>
      </w:pPr>
    </w:p>
    <w:p w14:paraId="5BA3A4DC" w14:textId="77777777" w:rsidR="00E177AC" w:rsidRPr="00E177AC" w:rsidRDefault="00E177AC" w:rsidP="00E177AC">
      <w:pPr>
        <w:jc w:val="both"/>
        <w:rPr>
          <w:rFonts w:ascii="Verdana" w:hAnsi="Verdana" w:cs="Arial"/>
          <w:b/>
          <w:bCs/>
          <w:color w:val="000000" w:themeColor="text1"/>
          <w:lang w:val="es-ES_tradnl"/>
        </w:rPr>
      </w:pPr>
    </w:p>
    <w:p w14:paraId="4AADF6AA" w14:textId="77777777" w:rsidR="00E177AC" w:rsidRDefault="00E177AC" w:rsidP="00C15139">
      <w:pPr>
        <w:spacing w:after="0"/>
        <w:rPr>
          <w:rFonts w:ascii="Verdana" w:hAnsi="Verdana"/>
        </w:rPr>
      </w:pPr>
    </w:p>
    <w:p w14:paraId="42319C4A" w14:textId="77777777" w:rsidR="00E177AC" w:rsidRDefault="00E177AC" w:rsidP="00C15139">
      <w:pPr>
        <w:spacing w:after="0"/>
        <w:rPr>
          <w:rFonts w:ascii="Verdana" w:hAnsi="Verdana"/>
        </w:rPr>
      </w:pPr>
    </w:p>
    <w:p w14:paraId="7F606271" w14:textId="77777777" w:rsidR="00E177AC" w:rsidRDefault="00E177AC" w:rsidP="00C15139">
      <w:pPr>
        <w:spacing w:after="0"/>
        <w:rPr>
          <w:rFonts w:ascii="Verdana" w:hAnsi="Verdana"/>
        </w:rPr>
      </w:pPr>
    </w:p>
    <w:p w14:paraId="2F8E5354" w14:textId="77777777" w:rsidR="00E177AC" w:rsidRDefault="00E177AC" w:rsidP="00C15139">
      <w:pPr>
        <w:spacing w:after="0"/>
        <w:rPr>
          <w:rFonts w:ascii="Verdana" w:hAnsi="Verdana"/>
        </w:rPr>
      </w:pPr>
    </w:p>
    <w:p w14:paraId="0D079D63" w14:textId="77777777" w:rsidR="00E177AC" w:rsidRDefault="00E177AC" w:rsidP="00C15139">
      <w:pPr>
        <w:spacing w:after="0"/>
        <w:rPr>
          <w:rFonts w:ascii="Verdana" w:hAnsi="Verdana"/>
        </w:rPr>
      </w:pPr>
    </w:p>
    <w:p w14:paraId="06D0C7CC" w14:textId="77777777" w:rsidR="00E177AC" w:rsidRDefault="00E177AC" w:rsidP="00C15139">
      <w:pPr>
        <w:spacing w:after="0"/>
        <w:rPr>
          <w:rFonts w:ascii="Verdana" w:hAnsi="Verdana"/>
        </w:rPr>
      </w:pPr>
    </w:p>
    <w:p w14:paraId="1468C46D" w14:textId="52A64342" w:rsidR="00C15139" w:rsidRPr="0024624F" w:rsidRDefault="00D22E25" w:rsidP="00C15139">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7AB27CDD" wp14:editId="37CC5B19">
            <wp:simplePos x="0" y="0"/>
            <wp:positionH relativeFrom="column">
              <wp:posOffset>2865365</wp:posOffset>
            </wp:positionH>
            <wp:positionV relativeFrom="paragraph">
              <wp:posOffset>2540</wp:posOffset>
            </wp:positionV>
            <wp:extent cx="2508250" cy="762000"/>
            <wp:effectExtent l="0" t="0" r="635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508250" cy="762000"/>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05 Diciembre 2025</w:t>
      </w:r>
      <w:r w:rsidR="00C15139" w:rsidRPr="000E2B93">
        <w:rPr>
          <w:rFonts w:ascii="Verdana" w:hAnsi="Verdana"/>
        </w:rPr>
        <w:tab/>
      </w:r>
      <w:r w:rsidR="00C15139" w:rsidRPr="000E2B93">
        <w:rPr>
          <w:rFonts w:ascii="Verdana" w:hAnsi="Verdana"/>
        </w:rPr>
        <w:br/>
      </w:r>
      <w:r w:rsidR="00C15139" w:rsidRPr="0024624F">
        <w:rPr>
          <w:rFonts w:ascii="Verdana" w:hAnsi="Verdana"/>
        </w:rPr>
        <w:tab/>
      </w:r>
    </w:p>
    <w:bookmarkEnd w:id="0"/>
    <w:p w14:paraId="2EC2B05A" w14:textId="77777777" w:rsidR="008A1CF6" w:rsidRPr="0051487B" w:rsidRDefault="008A1CF6" w:rsidP="008A1CF6">
      <w:pPr>
        <w:spacing w:after="0" w:line="240" w:lineRule="auto"/>
        <w:jc w:val="both"/>
        <w:rPr>
          <w:rFonts w:ascii="Verdana" w:eastAsia="Calibri" w:hAnsi="Verdana" w:cs="Arial"/>
          <w:lang w:val="de-DE" w:eastAsia="es-ES"/>
        </w:rPr>
      </w:pPr>
      <w:r w:rsidRPr="0051487B">
        <w:rPr>
          <w:rFonts w:ascii="Verdana" w:eastAsia="Calibri" w:hAnsi="Verdana" w:cs="Arial"/>
          <w:lang w:val="de-DE" w:eastAsia="es-ES"/>
        </w:rPr>
        <w:t>Señor</w:t>
      </w:r>
    </w:p>
    <w:p w14:paraId="7DF4318D" w14:textId="77777777" w:rsidR="008A1CF6" w:rsidRPr="0051487B" w:rsidRDefault="008A1CF6" w:rsidP="008A1CF6">
      <w:pPr>
        <w:spacing w:after="0" w:line="240" w:lineRule="auto"/>
        <w:rPr>
          <w:rFonts w:ascii="Verdana" w:eastAsia="Calibri" w:hAnsi="Verdana" w:cs="Arial"/>
          <w:b/>
          <w:lang w:val="de-DE" w:eastAsia="es-ES"/>
        </w:rPr>
      </w:pPr>
      <w:r>
        <w:rPr>
          <w:rFonts w:ascii="Verdana" w:eastAsia="Calibri" w:hAnsi="Verdana" w:cs="Arial"/>
          <w:b/>
          <w:lang w:val="de-DE" w:eastAsia="es-ES"/>
        </w:rPr>
        <w:t>Juan Andrés Ospina Vázquez</w:t>
      </w:r>
    </w:p>
    <w:p w14:paraId="1C1DEBA8" w14:textId="77777777" w:rsidR="008A1CF6" w:rsidRPr="0051487B" w:rsidRDefault="00E96CFA" w:rsidP="008A1CF6">
      <w:pPr>
        <w:spacing w:after="0" w:line="240" w:lineRule="auto"/>
        <w:rPr>
          <w:rFonts w:ascii="Verdana" w:hAnsi="Verdana" w:cs="ArialMT"/>
          <w:lang w:val="de-DE"/>
        </w:rPr>
      </w:pPr>
      <w:hyperlink r:id="rId11" w:history="1">
        <w:r w:rsidR="008A1CF6" w:rsidRPr="00522872">
          <w:rPr>
            <w:rStyle w:val="Hipervnculo"/>
            <w:rFonts w:ascii="Verdana" w:hAnsi="Verdana" w:cs="ArialMT"/>
            <w:lang w:val="de-DE"/>
          </w:rPr>
          <w:t>juanandvas03@gmail.com</w:t>
        </w:r>
      </w:hyperlink>
      <w:r w:rsidR="008A1CF6">
        <w:rPr>
          <w:rFonts w:ascii="Verdana" w:hAnsi="Verdana" w:cs="ArialMT"/>
          <w:lang w:val="de-DE"/>
        </w:rPr>
        <w:t xml:space="preserve"> </w:t>
      </w:r>
      <w:r w:rsidR="008A1CF6" w:rsidRPr="0051487B">
        <w:rPr>
          <w:rFonts w:ascii="Verdana" w:hAnsi="Verdana" w:cs="ArialMT"/>
          <w:lang w:val="de-DE"/>
        </w:rPr>
        <w:t xml:space="preserve">   </w:t>
      </w:r>
    </w:p>
    <w:p w14:paraId="42E64234" w14:textId="77777777" w:rsidR="008A1CF6" w:rsidRPr="00C53B42" w:rsidRDefault="008A1CF6" w:rsidP="008A1CF6">
      <w:pPr>
        <w:spacing w:after="0" w:line="240" w:lineRule="auto"/>
        <w:rPr>
          <w:rFonts w:ascii="Verdana" w:hAnsi="Verdana" w:cs="ArialMT"/>
        </w:rPr>
      </w:pPr>
      <w:r w:rsidRPr="00F60CF2">
        <w:rPr>
          <w:rFonts w:ascii="Verdana" w:eastAsia="Calibri" w:hAnsi="Verdana" w:cs="Arial"/>
          <w:lang w:val="es-ES" w:eastAsia="es-ES"/>
        </w:rPr>
        <w:t>Bogotá D.C.</w:t>
      </w:r>
    </w:p>
    <w:p w14:paraId="1686AB3F" w14:textId="77777777" w:rsidR="008A1CF6" w:rsidRPr="00C53B42" w:rsidRDefault="008A1CF6" w:rsidP="008A1CF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8A1CF6" w:rsidRPr="00C53B42" w14:paraId="2D60C160" w14:textId="77777777" w:rsidTr="00BC31DC">
        <w:trPr>
          <w:trHeight w:val="218"/>
        </w:trPr>
        <w:tc>
          <w:tcPr>
            <w:tcW w:w="2175" w:type="dxa"/>
          </w:tcPr>
          <w:p w14:paraId="47644802" w14:textId="77777777" w:rsidR="008A1CF6" w:rsidRPr="00C53B42" w:rsidRDefault="008A1CF6" w:rsidP="00BC31DC">
            <w:pPr>
              <w:jc w:val="both"/>
              <w:rPr>
                <w:rFonts w:ascii="Verdana" w:eastAsia="Calibri" w:hAnsi="Verdana" w:cs="Arial"/>
                <w:b/>
                <w:bCs/>
                <w:color w:val="7030A0"/>
                <w:lang w:val="es-ES_tradnl" w:eastAsia="es-ES_tradnl"/>
              </w:rPr>
            </w:pPr>
          </w:p>
        </w:tc>
        <w:tc>
          <w:tcPr>
            <w:tcW w:w="6614" w:type="dxa"/>
            <w:hideMark/>
          </w:tcPr>
          <w:p w14:paraId="6D2B5070" w14:textId="77777777" w:rsidR="008A1CF6" w:rsidRDefault="008A1CF6" w:rsidP="00BC31DC">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1578</w:t>
            </w:r>
            <w:r w:rsidRPr="00C53B42">
              <w:rPr>
                <w:rFonts w:ascii="Verdana" w:eastAsia="Calibri" w:hAnsi="Verdana" w:cs="Arial"/>
                <w:b/>
                <w:bCs/>
                <w:lang w:val="es-ES" w:eastAsia="es-ES"/>
              </w:rPr>
              <w:t xml:space="preserve"> de 2025</w:t>
            </w:r>
          </w:p>
          <w:p w14:paraId="31B9BF1E" w14:textId="77777777" w:rsidR="008A1CF6" w:rsidRPr="00C53B42" w:rsidRDefault="008A1CF6" w:rsidP="00BC31DC">
            <w:pPr>
              <w:jc w:val="both"/>
              <w:rPr>
                <w:rFonts w:ascii="Verdana" w:eastAsia="Calibri" w:hAnsi="Verdana" w:cs="Arial"/>
                <w:b/>
                <w:bCs/>
                <w:lang w:val="es-ES" w:eastAsia="es-ES"/>
              </w:rPr>
            </w:pPr>
          </w:p>
          <w:p w14:paraId="3DE5A110" w14:textId="77777777" w:rsidR="008A1CF6" w:rsidRPr="00C53B42" w:rsidRDefault="008A1CF6" w:rsidP="00BC31DC">
            <w:pPr>
              <w:jc w:val="both"/>
              <w:rPr>
                <w:rFonts w:ascii="Verdana" w:eastAsia="Calibri" w:hAnsi="Verdana" w:cs="Arial"/>
                <w:b/>
                <w:bCs/>
                <w:lang w:val="es-ES" w:eastAsia="es-ES"/>
              </w:rPr>
            </w:pPr>
          </w:p>
        </w:tc>
      </w:tr>
      <w:tr w:rsidR="008A1CF6" w:rsidRPr="00C53B42" w14:paraId="5C21B6DD" w14:textId="77777777" w:rsidTr="00BC31DC">
        <w:trPr>
          <w:trHeight w:val="884"/>
        </w:trPr>
        <w:tc>
          <w:tcPr>
            <w:tcW w:w="2175" w:type="dxa"/>
            <w:hideMark/>
          </w:tcPr>
          <w:p w14:paraId="73E73C30" w14:textId="77777777" w:rsidR="008A1CF6" w:rsidRPr="00C53B42" w:rsidRDefault="008A1CF6" w:rsidP="00BC31DC">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08FD061C" w14:textId="77777777" w:rsidR="008A1CF6" w:rsidRPr="000D3AA5" w:rsidRDefault="008A1CF6" w:rsidP="00BC31DC">
            <w:pPr>
              <w:jc w:val="both"/>
              <w:rPr>
                <w:rFonts w:ascii="Verdana" w:hAnsi="Verdana" w:cs="Arial"/>
                <w:bCs/>
                <w:color w:val="000000" w:themeColor="text1"/>
                <w:lang w:val="es-ES_tradnl"/>
              </w:rPr>
            </w:pPr>
            <w:r w:rsidRPr="000D3AA5">
              <w:rPr>
                <w:rFonts w:ascii="Verdana" w:hAnsi="Verdana" w:cs="Arial"/>
                <w:bCs/>
                <w:color w:val="000000" w:themeColor="text1"/>
                <w:lang w:val="es-ES_tradnl"/>
              </w:rPr>
              <w:t xml:space="preserve">LEY DE GARANTÍAS ELECTORALES ‒ Finalidad / LEY DE GARANTÍAS ELECTORALES ‒ Tipos de restricciones / </w:t>
            </w:r>
            <w:r w:rsidRPr="000D3AA5">
              <w:rPr>
                <w:rFonts w:ascii="Verdana" w:eastAsia="Calibri" w:hAnsi="Verdana" w:cs="Arial"/>
                <w:lang w:val="es-ES" w:eastAsia="es-ES"/>
              </w:rPr>
              <w:t xml:space="preserve">LEY DE GARANTÍAS ELECTORALES - Contratación </w:t>
            </w:r>
            <w:r w:rsidRPr="000D3AA5">
              <w:rPr>
                <w:rFonts w:ascii="Verdana" w:eastAsia="Arial" w:hAnsi="Verdana" w:cs="Arial"/>
                <w:bCs/>
                <w:color w:val="000000" w:themeColor="text1"/>
              </w:rPr>
              <w:t>Plan de Salud Pública de Intervenciones Colectivas</w:t>
            </w:r>
            <w:r w:rsidRPr="000D3AA5">
              <w:rPr>
                <w:rFonts w:ascii="Verdana" w:eastAsia="Calibri" w:hAnsi="Verdana" w:cs="Arial"/>
                <w:lang w:val="es-ES" w:eastAsia="es-ES"/>
              </w:rPr>
              <w:t xml:space="preserve"> -PIC-</w:t>
            </w:r>
            <w:r w:rsidRPr="000D3AA5">
              <w:rPr>
                <w:rFonts w:ascii="Verdana" w:hAnsi="Verdana" w:cs="Arial"/>
                <w:bCs/>
                <w:color w:val="000000" w:themeColor="text1"/>
                <w:lang w:val="es-ES_tradnl"/>
              </w:rPr>
              <w:t xml:space="preserve"> / </w:t>
            </w:r>
            <w:r w:rsidRPr="000D3AA5">
              <w:rPr>
                <w:rFonts w:ascii="Verdana" w:eastAsia="Calibri" w:hAnsi="Verdana" w:cs="Arial"/>
                <w:color w:val="000000" w:themeColor="text1"/>
                <w:lang w:val="es-ES" w:eastAsia="es-ES"/>
              </w:rPr>
              <w:t>CONTRATACIÓN DIRECTA – Pluralidad de oferentes – Ausencia – Proveedor exclusivo – Alcance</w:t>
            </w:r>
          </w:p>
          <w:p w14:paraId="6DE01FA2" w14:textId="77777777" w:rsidR="008A1CF6" w:rsidRDefault="008A1CF6" w:rsidP="00BC31DC">
            <w:pPr>
              <w:jc w:val="both"/>
              <w:rPr>
                <w:rFonts w:ascii="Verdana" w:hAnsi="Verdana" w:cs="Arial"/>
                <w:bCs/>
                <w:color w:val="000000" w:themeColor="text1"/>
                <w:lang w:val="es-ES_tradnl"/>
              </w:rPr>
            </w:pPr>
          </w:p>
          <w:p w14:paraId="4A2A8449" w14:textId="77777777" w:rsidR="008A1CF6" w:rsidRPr="00C53B42" w:rsidRDefault="008A1CF6" w:rsidP="00BC31DC">
            <w:pPr>
              <w:jc w:val="both"/>
              <w:rPr>
                <w:rFonts w:ascii="Verdana" w:eastAsia="Calibri" w:hAnsi="Verdana" w:cs="Arial"/>
                <w:lang w:val="es-ES" w:eastAsia="es-ES"/>
              </w:rPr>
            </w:pPr>
          </w:p>
        </w:tc>
      </w:tr>
      <w:tr w:rsidR="008A1CF6" w14:paraId="6B927F1E" w14:textId="77777777" w:rsidTr="00BC31DC">
        <w:trPr>
          <w:trHeight w:val="360"/>
        </w:trPr>
        <w:tc>
          <w:tcPr>
            <w:tcW w:w="2175" w:type="dxa"/>
            <w:hideMark/>
          </w:tcPr>
          <w:p w14:paraId="14712E07" w14:textId="77777777" w:rsidR="008A1CF6" w:rsidRPr="00C53B42" w:rsidRDefault="008A1CF6" w:rsidP="00BC31DC">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54FF920A" w14:textId="77777777" w:rsidR="008A1CF6" w:rsidRPr="00C53B42" w:rsidRDefault="008A1CF6" w:rsidP="00BC31DC">
            <w:pPr>
              <w:jc w:val="both"/>
              <w:rPr>
                <w:rFonts w:ascii="Verdana" w:eastAsia="Calibri" w:hAnsi="Verdana" w:cs="Arial"/>
                <w:lang w:val="es-ES_tradnl" w:eastAsia="es-ES_tradnl"/>
              </w:rPr>
            </w:pPr>
            <w:r w:rsidRPr="00C53B42">
              <w:rPr>
                <w:rFonts w:ascii="Verdana" w:eastAsia="Calibri" w:hAnsi="Verdana" w:cs="Arial"/>
                <w:lang w:val="es-ES_tradnl" w:eastAsia="es-ES_tradnl"/>
              </w:rPr>
              <w:t>Respuesta a consulta con radicado No.</w:t>
            </w:r>
            <w:r>
              <w:rPr>
                <w:rFonts w:ascii="Verdana" w:eastAsia="Calibri" w:hAnsi="Verdana" w:cs="Arial"/>
                <w:lang w:val="es-ES_tradnl" w:eastAsia="es-ES_tradnl"/>
              </w:rPr>
              <w:t xml:space="preserve"> </w:t>
            </w:r>
            <w:r w:rsidRPr="00960B20">
              <w:rPr>
                <w:rFonts w:ascii="Verdana" w:eastAsia="Calibri" w:hAnsi="Verdana" w:cs="Arial"/>
                <w:lang w:val="es-ES_tradnl" w:eastAsia="es-ES_tradnl"/>
              </w:rPr>
              <w:t>1_2025_10_27_012060</w:t>
            </w:r>
          </w:p>
        </w:tc>
      </w:tr>
    </w:tbl>
    <w:p w14:paraId="6E239AE8" w14:textId="77777777" w:rsidR="008A1CF6" w:rsidRDefault="008A1CF6" w:rsidP="008A1CF6">
      <w:pPr>
        <w:spacing w:after="0" w:line="240" w:lineRule="auto"/>
        <w:jc w:val="both"/>
        <w:rPr>
          <w:rFonts w:ascii="Verdana" w:eastAsia="Calibri" w:hAnsi="Verdana" w:cs="Arial"/>
          <w:color w:val="000000"/>
          <w:lang w:val="es-ES_tradnl" w:eastAsia="es-ES_tradnl"/>
        </w:rPr>
      </w:pPr>
    </w:p>
    <w:p w14:paraId="66FA9D9B" w14:textId="77777777" w:rsidR="008A1CF6" w:rsidRDefault="008A1CF6" w:rsidP="008A1CF6">
      <w:pPr>
        <w:spacing w:after="0" w:line="240" w:lineRule="auto"/>
        <w:jc w:val="both"/>
        <w:rPr>
          <w:rFonts w:ascii="Verdana" w:eastAsia="Calibri" w:hAnsi="Verdana" w:cs="Arial"/>
          <w:color w:val="000000"/>
          <w:lang w:val="es-ES_tradnl" w:eastAsia="es-ES_tradnl"/>
        </w:rPr>
      </w:pPr>
    </w:p>
    <w:p w14:paraId="377D2FBB" w14:textId="77777777" w:rsidR="008A1CF6" w:rsidRDefault="008A1CF6" w:rsidP="008A1CF6">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Ospina,</w:t>
      </w:r>
    </w:p>
    <w:p w14:paraId="589CEC67" w14:textId="77777777" w:rsidR="008A1CF6" w:rsidRDefault="008A1CF6" w:rsidP="008A1CF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7261299" w14:textId="77777777" w:rsidR="008A1CF6" w:rsidRDefault="008A1CF6" w:rsidP="008A1CF6">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del 27 de octubre de 2025, en la cual manifiesta lo siguiente: </w:t>
      </w:r>
    </w:p>
    <w:p w14:paraId="2AA42FA1" w14:textId="77777777" w:rsidR="008A1CF6" w:rsidRDefault="008A1CF6" w:rsidP="008A1CF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7C4083B" w14:textId="77777777" w:rsidR="008A1CF6" w:rsidRPr="00960B20" w:rsidRDefault="008A1CF6" w:rsidP="008A1CF6">
      <w:pPr>
        <w:autoSpaceDE w:val="0"/>
        <w:autoSpaceDN w:val="0"/>
        <w:adjustRightInd w:val="0"/>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 xml:space="preserve">“[…] </w:t>
      </w:r>
      <w:r w:rsidRPr="00960B20">
        <w:rPr>
          <w:rFonts w:ascii="Verdana" w:eastAsia="Century Gothic" w:hAnsi="Verdana" w:cs="Century Gothic"/>
          <w:sz w:val="20"/>
          <w:szCs w:val="20"/>
          <w:lang w:val="es-ES"/>
        </w:rPr>
        <w:t>PRIMERO. Solicito, de manera respetuosa, que se me informe si resulta válido y procedente llevar a cabo la contratación del Plan de Intervenciones Colectivas (PIC) a través de un contrato de prestación de servicios en salud, mediante la modalidad de contratación directa.</w:t>
      </w:r>
    </w:p>
    <w:p w14:paraId="367CA9FC" w14:textId="77777777" w:rsidR="008A1CF6" w:rsidRPr="00960B20" w:rsidRDefault="008A1CF6" w:rsidP="008A1CF6">
      <w:pPr>
        <w:autoSpaceDE w:val="0"/>
        <w:autoSpaceDN w:val="0"/>
        <w:adjustRightInd w:val="0"/>
        <w:spacing w:after="0" w:line="240" w:lineRule="auto"/>
        <w:ind w:left="709" w:right="709"/>
        <w:jc w:val="both"/>
        <w:rPr>
          <w:rFonts w:ascii="Verdana" w:eastAsia="Century Gothic" w:hAnsi="Verdana" w:cs="Century Gothic"/>
          <w:sz w:val="20"/>
          <w:szCs w:val="20"/>
          <w:lang w:val="es-ES"/>
        </w:rPr>
      </w:pPr>
      <w:r w:rsidRPr="00960B20">
        <w:rPr>
          <w:rFonts w:ascii="Verdana" w:hAnsi="Verdana"/>
          <w:sz w:val="20"/>
          <w:szCs w:val="20"/>
        </w:rPr>
        <w:t>SEGUNDO. Solicito, igualmente, que se me informe si, en el caso de los municipios de sexta categoría, donde únicamente exista una entidad pública o mixta del sector salud, se podría realizar una contratación directa durante el mes de enero de 2026, antes de la suspensión general de la contratación directa, en virtud de la modalidad de contratación directa bajo la causal de ausencia de pluralidad de oferentes contemplada en el artículo 2 numeral 4 literal g) del artículo Ley 1150 de 2007. […]”</w:t>
      </w:r>
    </w:p>
    <w:p w14:paraId="6791E769" w14:textId="77777777" w:rsidR="008A1CF6" w:rsidRPr="00924340" w:rsidRDefault="008A1CF6" w:rsidP="008A1CF6">
      <w:pPr>
        <w:autoSpaceDE w:val="0"/>
        <w:autoSpaceDN w:val="0"/>
        <w:adjustRightInd w:val="0"/>
        <w:spacing w:after="0" w:line="276" w:lineRule="auto"/>
        <w:ind w:left="851" w:right="616"/>
        <w:jc w:val="both"/>
        <w:rPr>
          <w:rFonts w:ascii="Verdana" w:eastAsia="Century Gothic" w:hAnsi="Verdana" w:cs="Century Gothic"/>
          <w:b/>
        </w:rPr>
      </w:pPr>
    </w:p>
    <w:p w14:paraId="63679031" w14:textId="77777777" w:rsidR="008A1CF6" w:rsidRDefault="008A1CF6" w:rsidP="008A1CF6">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17139AF8" w14:textId="77777777" w:rsidR="008A1CF6" w:rsidRDefault="008A1CF6" w:rsidP="008A1CF6">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del caso en concreto planteado, pero señalando algunas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662CD689" w14:textId="77777777" w:rsidR="008A1CF6" w:rsidRDefault="008A1CF6" w:rsidP="008A1CF6">
      <w:pPr>
        <w:spacing w:after="0" w:line="276" w:lineRule="auto"/>
        <w:ind w:firstLine="709"/>
        <w:jc w:val="both"/>
        <w:rPr>
          <w:rFonts w:ascii="Verdana" w:eastAsia="Calibri" w:hAnsi="Verdana" w:cs="Arial"/>
          <w:color w:val="000000"/>
          <w:lang w:val="es-ES" w:eastAsia="es-ES"/>
        </w:rPr>
      </w:pPr>
    </w:p>
    <w:p w14:paraId="612F39AF" w14:textId="77777777" w:rsidR="008A1CF6" w:rsidRDefault="008A1CF6" w:rsidP="008A1CF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6BC4C856" w14:textId="77777777" w:rsidR="008A1CF6" w:rsidRDefault="008A1CF6" w:rsidP="008A1CF6">
      <w:pPr>
        <w:tabs>
          <w:tab w:val="left" w:pos="426"/>
        </w:tabs>
        <w:spacing w:after="0" w:line="276" w:lineRule="auto"/>
        <w:jc w:val="both"/>
        <w:rPr>
          <w:rFonts w:ascii="Verdana" w:eastAsia="Century Gothic" w:hAnsi="Verdana" w:cs="Century Gothic"/>
          <w:lang w:val="es-ES"/>
        </w:rPr>
      </w:pPr>
    </w:p>
    <w:p w14:paraId="77467C4E" w14:textId="2E169C91" w:rsidR="008A1CF6" w:rsidRPr="00FC6F34" w:rsidRDefault="008A1CF6" w:rsidP="008A1CF6">
      <w:pPr>
        <w:spacing w:after="0" w:line="276" w:lineRule="auto"/>
        <w:jc w:val="both"/>
        <w:rPr>
          <w:rFonts w:ascii="Verdana" w:eastAsia="Century Gothic" w:hAnsi="Verdana" w:cs="Century Gothic"/>
          <w:color w:val="000000" w:themeColor="text1"/>
          <w:lang w:val="es-ES"/>
        </w:rPr>
      </w:pPr>
      <w:r>
        <w:rPr>
          <w:rFonts w:ascii="Verdana" w:eastAsia="Century Gothic" w:hAnsi="Verdana" w:cs="Century Gothic"/>
        </w:rPr>
        <w:t xml:space="preserve">De acuerdo con el contenido de su solicitud, esta Agencia resolverá los siguientes problemas jurídicos: i) </w:t>
      </w:r>
      <w:r w:rsidRPr="00FC6F34">
        <w:rPr>
          <w:rFonts w:ascii="Verdana" w:eastAsia="Century Gothic" w:hAnsi="Verdana" w:cs="Century Gothic"/>
          <w:color w:val="000000" w:themeColor="text1"/>
          <w:lang w:val="es-ES"/>
        </w:rPr>
        <w:t>¿</w:t>
      </w:r>
      <w:r w:rsidRPr="00982071">
        <w:rPr>
          <w:rFonts w:ascii="Verdana" w:eastAsia="Century Gothic" w:hAnsi="Verdana" w:cs="Century Gothic"/>
          <w:color w:val="000000" w:themeColor="text1"/>
          <w:lang w:val="es-ES"/>
        </w:rPr>
        <w:t xml:space="preserve">Cuál es el marco jurídico para la </w:t>
      </w:r>
      <w:r>
        <w:rPr>
          <w:rFonts w:ascii="Verdana" w:eastAsia="Century Gothic" w:hAnsi="Verdana" w:cs="Century Gothic"/>
          <w:color w:val="000000" w:themeColor="text1"/>
          <w:lang w:val="es-ES"/>
        </w:rPr>
        <w:t xml:space="preserve">contratación </w:t>
      </w:r>
      <w:r w:rsidRPr="00982071">
        <w:rPr>
          <w:rFonts w:ascii="Verdana" w:eastAsia="Century Gothic" w:hAnsi="Verdana" w:cs="Century Gothic"/>
          <w:color w:val="000000" w:themeColor="text1"/>
          <w:lang w:val="es-ES"/>
        </w:rPr>
        <w:t>del Plan de Intervenciones Colectivas</w:t>
      </w:r>
      <w:r>
        <w:rPr>
          <w:rFonts w:ascii="Verdana" w:eastAsia="Century Gothic" w:hAnsi="Verdana" w:cs="Century Gothic"/>
          <w:color w:val="000000" w:themeColor="text1"/>
          <w:lang w:val="es-ES"/>
        </w:rPr>
        <w:t xml:space="preserve"> (PIC) </w:t>
      </w:r>
      <w:r w:rsidRPr="0076257C">
        <w:rPr>
          <w:rFonts w:ascii="Verdana" w:eastAsia="Century Gothic" w:hAnsi="Verdana" w:cs="Century Gothic"/>
          <w:color w:val="000000" w:themeColor="text1"/>
          <w:lang w:val="es-ES"/>
        </w:rPr>
        <w:t>en vigencia de la Ley de Garantías</w:t>
      </w:r>
      <w:r w:rsidR="005E4FAA">
        <w:rPr>
          <w:rFonts w:ascii="Verdana" w:eastAsia="Century Gothic" w:hAnsi="Verdana" w:cs="Century Gothic"/>
          <w:color w:val="000000" w:themeColor="text1"/>
          <w:lang w:val="es-ES"/>
        </w:rPr>
        <w:t xml:space="preserve"> Electorales</w:t>
      </w:r>
      <w:r w:rsidRPr="00982071">
        <w:rPr>
          <w:rFonts w:ascii="Verdana" w:eastAsia="Century Gothic" w:hAnsi="Verdana" w:cs="Century Gothic"/>
          <w:color w:val="000000" w:themeColor="text1"/>
          <w:lang w:val="es-ES"/>
        </w:rPr>
        <w:t>?</w:t>
      </w:r>
      <w:r>
        <w:rPr>
          <w:rFonts w:ascii="Verdana" w:eastAsia="Century Gothic" w:hAnsi="Verdana" w:cs="Century Gothic"/>
          <w:color w:val="000000" w:themeColor="text1"/>
          <w:lang w:val="es-ES"/>
        </w:rPr>
        <w:t xml:space="preserve"> Y ii) ¿Cuándo aplica la causal de contratación directa establecida en el artículo 2, numeral 4, literal g) de la Ley 1150 de 2007?</w:t>
      </w:r>
    </w:p>
    <w:p w14:paraId="51AC856A" w14:textId="77777777" w:rsidR="008A1CF6" w:rsidRDefault="008A1CF6" w:rsidP="008A1CF6">
      <w:pPr>
        <w:spacing w:after="0" w:line="276" w:lineRule="auto"/>
        <w:jc w:val="both"/>
        <w:rPr>
          <w:rFonts w:ascii="Verdana" w:eastAsia="Calibri" w:hAnsi="Verdana" w:cs="Arial"/>
          <w:color w:val="7030A0"/>
          <w:lang w:val="es-ES"/>
        </w:rPr>
      </w:pPr>
    </w:p>
    <w:p w14:paraId="628705A1" w14:textId="77777777" w:rsidR="008A1CF6" w:rsidRDefault="008A1CF6" w:rsidP="008A1CF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70EFCE52" w14:textId="77777777" w:rsidR="008A1CF6" w:rsidRDefault="008A1CF6" w:rsidP="008A1CF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A1CF6" w:rsidRPr="00DE5508" w14:paraId="4360F73C" w14:textId="77777777" w:rsidTr="00BC31DC">
        <w:tc>
          <w:tcPr>
            <w:tcW w:w="8828" w:type="dxa"/>
            <w:tcBorders>
              <w:top w:val="dotted" w:sz="4" w:space="0" w:color="auto"/>
              <w:left w:val="dotted" w:sz="4" w:space="0" w:color="auto"/>
              <w:bottom w:val="dotted" w:sz="4" w:space="0" w:color="auto"/>
              <w:right w:val="dotted" w:sz="4" w:space="0" w:color="auto"/>
            </w:tcBorders>
          </w:tcPr>
          <w:p w14:paraId="3ACB2204" w14:textId="77777777" w:rsidR="008A1CF6" w:rsidRPr="000D3AA5" w:rsidRDefault="008A1CF6" w:rsidP="008A1CF6">
            <w:pPr>
              <w:pStyle w:val="Prrafodelista"/>
              <w:numPr>
                <w:ilvl w:val="0"/>
                <w:numId w:val="20"/>
              </w:numPr>
              <w:spacing w:after="120" w:line="276" w:lineRule="auto"/>
              <w:ind w:left="31" w:firstLine="142"/>
              <w:jc w:val="both"/>
              <w:rPr>
                <w:rFonts w:ascii="Verdana" w:eastAsia="Arial" w:hAnsi="Verdana" w:cs="Arial"/>
                <w:bCs/>
                <w:color w:val="000000" w:themeColor="text1"/>
              </w:rPr>
            </w:pPr>
            <w:r>
              <w:rPr>
                <w:rFonts w:ascii="Verdana" w:eastAsia="Arial" w:hAnsi="Verdana" w:cs="Arial"/>
                <w:bCs/>
                <w:color w:val="000000" w:themeColor="text1"/>
              </w:rPr>
              <w:t>L</w:t>
            </w:r>
            <w:r w:rsidRPr="000D3AA5">
              <w:rPr>
                <w:rFonts w:ascii="Verdana" w:eastAsia="Arial" w:hAnsi="Verdana" w:cs="Arial"/>
                <w:bCs/>
                <w:color w:val="000000" w:themeColor="text1"/>
              </w:rPr>
              <w:t xml:space="preserve">as entidades que requieran adelantar procesos de contratación directa durante el periodo de garantías electorales deberán analizar, primero, si se configuran los supuestos establecidos en </w:t>
            </w:r>
            <w:r w:rsidRPr="000D3AA5">
              <w:rPr>
                <w:rFonts w:ascii="Verdana" w:eastAsia="Arial" w:hAnsi="Verdana" w:cs="Arial"/>
                <w:bCs/>
                <w:i/>
                <w:iCs/>
                <w:color w:val="000000" w:themeColor="text1"/>
              </w:rPr>
              <w:t>el artículo 33</w:t>
            </w:r>
            <w:r w:rsidRPr="000D3AA5">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 Plan de Salud Pública de Intervenciones Colectivas -PIC- se realiza con ocasión a una “emergencia </w:t>
            </w:r>
            <w:r w:rsidRPr="000D3AA5">
              <w:rPr>
                <w:rFonts w:ascii="Verdana" w:eastAsia="Arial" w:hAnsi="Verdana" w:cs="Arial"/>
                <w:bCs/>
                <w:color w:val="000000" w:themeColor="text1"/>
              </w:rPr>
              <w:lastRenderedPageBreak/>
              <w:t>sanitaria” o si es llevada a cabo por “entidades sanitarias u hospitalarias”. De ser así, la entidad previo análisis de las excepciones podrá proceder en tal sentido y contratar directamente a pesar de que haya iniciado el periodo de garantías electorales correspondiente al artículo 33 de la Ley 996 de 2005.</w:t>
            </w:r>
          </w:p>
          <w:p w14:paraId="1DE4C19B" w14:textId="77777777" w:rsidR="008A1CF6" w:rsidRPr="00FF007A" w:rsidRDefault="008A1CF6" w:rsidP="00BC31DC">
            <w:pPr>
              <w:spacing w:before="120" w:after="120" w:line="276" w:lineRule="auto"/>
              <w:jc w:val="both"/>
              <w:rPr>
                <w:rFonts w:ascii="Verdana" w:eastAsia="Arial" w:hAnsi="Verdana" w:cs="Arial"/>
                <w:bCs/>
                <w:color w:val="000000" w:themeColor="text1"/>
              </w:rPr>
            </w:pPr>
            <w:r w:rsidRPr="00FF007A">
              <w:rPr>
                <w:rFonts w:ascii="Verdana" w:eastAsia="Arial" w:hAnsi="Verdana" w:cs="Arial"/>
                <w:bCs/>
                <w:color w:val="000000" w:themeColor="text1"/>
              </w:rPr>
              <w:tab/>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es necesario verificar si la contratación del PIC es llevada a cabo por “Alcaldes, Gobernadores, Secretarios, Gerentes y Directores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contratación </w:t>
            </w:r>
            <w:r>
              <w:rPr>
                <w:rFonts w:ascii="Verdana" w:eastAsia="Arial" w:hAnsi="Verdana" w:cs="Arial"/>
                <w:bCs/>
                <w:color w:val="000000" w:themeColor="text1"/>
              </w:rPr>
              <w:t xml:space="preserve">de convenios </w:t>
            </w:r>
            <w:r w:rsidRPr="00FF007A">
              <w:rPr>
                <w:rFonts w:ascii="Verdana" w:eastAsia="Arial" w:hAnsi="Verdana" w:cs="Arial"/>
                <w:bCs/>
                <w:color w:val="000000" w:themeColor="text1"/>
              </w:rPr>
              <w:t xml:space="preserve">en los cuatro meses anteriores a cualquier contienda electoral. Es importante resaltar que para esta prohibición la norma no contempló ninguna excepción, de modo que aplicará aunque se trate de entidades sanitarias u hospitalarias. </w:t>
            </w:r>
          </w:p>
          <w:p w14:paraId="6BE41C17" w14:textId="77777777" w:rsidR="008A1CF6" w:rsidRPr="00FF007A" w:rsidRDefault="008A1CF6" w:rsidP="00BC31DC">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el tema de su consulta, mediante la Resolución 04 del 12 de </w:t>
            </w:r>
            <w:r>
              <w:rPr>
                <w:rFonts w:ascii="Verdana" w:eastAsia="Arial" w:hAnsi="Verdana" w:cs="Arial"/>
                <w:bCs/>
                <w:color w:val="000000" w:themeColor="text1"/>
              </w:rPr>
              <w:t>e</w:t>
            </w:r>
            <w:r w:rsidRPr="00FF007A">
              <w:rPr>
                <w:rFonts w:ascii="Verdana" w:eastAsia="Arial" w:hAnsi="Verdana" w:cs="Arial"/>
                <w:bCs/>
                <w:color w:val="000000" w:themeColor="text1"/>
              </w:rPr>
              <w:t>nero de 2018, el Ministerio de Salud y Protección Social dio “instrucciones para la ejecución de las acciones en salud pública en el marco de la Ley de Garantías electorales”. Respecto de la ejecución del Plan de Intervenciones Colectivas (PIC), el Ministerio enfatizó que las entidades deben garantizar los tr</w:t>
            </w:r>
            <w:r>
              <w:rPr>
                <w:rFonts w:ascii="Verdana" w:eastAsia="Arial" w:hAnsi="Verdana" w:cs="Arial"/>
                <w:bCs/>
                <w:color w:val="000000" w:themeColor="text1"/>
              </w:rPr>
              <w:t>á</w:t>
            </w:r>
            <w:r w:rsidRPr="00FF007A">
              <w:rPr>
                <w:rFonts w:ascii="Verdana" w:eastAsia="Arial" w:hAnsi="Verdana" w:cs="Arial"/>
                <w:bCs/>
                <w:color w:val="000000" w:themeColor="text1"/>
              </w:rPr>
              <w:t xml:space="preserve">mites contractuales y la planeación para la continuidad del programa. Además, señaló que durante el periodo de prohibición del artículo 33 de la Ley 996 de 2005 “se exceptúan las acciones que la entidad territorial requiera contratar como entidad sanitaria” con el fin de no paralizar su funcionamiento o interrumpir la prestación de los servicios públicos de carácter esencial, con lo cual resalto la excepción aplicable a estas entidades. Sobre esto último, estableció como criterios para determinar la aplicación de la excepción en materia de salud: i) que la contratación sea necesaria para solventar las eventuales situaciones de urgencia en salud, y ii) que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 </w:t>
            </w:r>
          </w:p>
          <w:p w14:paraId="291694D2" w14:textId="77777777" w:rsidR="008A1CF6" w:rsidRPr="00FF007A" w:rsidRDefault="008A1CF6" w:rsidP="00BC31DC">
            <w:pPr>
              <w:spacing w:before="120" w:after="120" w:line="276" w:lineRule="auto"/>
              <w:ind w:firstLine="709"/>
              <w:jc w:val="both"/>
              <w:rPr>
                <w:rFonts w:ascii="Verdana" w:eastAsia="Times New Roman" w:hAnsi="Verdana" w:cs="Arial"/>
                <w:bCs/>
                <w:lang w:eastAsia="es-CO"/>
              </w:rPr>
            </w:pPr>
            <w:r w:rsidRPr="00FF007A">
              <w:rPr>
                <w:rFonts w:ascii="Verdana" w:eastAsia="Arial" w:hAnsi="Verdana" w:cs="Arial"/>
                <w:bCs/>
                <w:color w:val="000000" w:themeColor="text1"/>
              </w:rPr>
              <w:t xml:space="preserve">Esto último es acorde con </w:t>
            </w:r>
            <w:r w:rsidRPr="00FF007A">
              <w:rPr>
                <w:rFonts w:ascii="Verdana" w:eastAsia="Times New Roman" w:hAnsi="Verdana" w:cs="Arial"/>
                <w:bCs/>
                <w:lang w:eastAsia="es-CO"/>
              </w:rPr>
              <w:t xml:space="preserve">lo manifestado por esta Agencia, en el sentido de que las prórrogas, modificaciones o adiciones de los contratos suscritos antes de la entrada en vigencia de las prohibiciones del artículo 33 y el </w:t>
            </w:r>
            <w:r w:rsidRPr="00FF007A">
              <w:rPr>
                <w:rFonts w:ascii="Verdana" w:eastAsia="Times New Roman" w:hAnsi="Verdana" w:cs="Arial"/>
                <w:bCs/>
                <w:lang w:eastAsia="es-CO"/>
              </w:rPr>
              <w:lastRenderedPageBreak/>
              <w:t>parágrafo del artículo 38, así como la cesión de los mismos, pueden tener lugar en el período de aplicación de la Ley de Garantías Electorales, sin que ello haga nugatoria la restricción de la contratación directa y siempre que cumplan los principios de planeación, transparencia y responsabilidad</w:t>
            </w:r>
            <w:r w:rsidRPr="00FF007A">
              <w:rPr>
                <w:rFonts w:ascii="Verdana" w:eastAsia="Times New Roman" w:hAnsi="Verdana" w:cs="Arial"/>
                <w:bCs/>
                <w:vertAlign w:val="superscript"/>
                <w:lang w:eastAsia="es-CO"/>
              </w:rPr>
              <w:footnoteReference w:id="2"/>
            </w:r>
            <w:r w:rsidRPr="00FF007A">
              <w:rPr>
                <w:rFonts w:ascii="Verdana" w:eastAsia="Times New Roman" w:hAnsi="Verdana" w:cs="Arial"/>
                <w:bCs/>
                <w:lang w:eastAsia="es-CO"/>
              </w:rPr>
              <w:t>. A</w:t>
            </w:r>
            <w:r>
              <w:rPr>
                <w:rFonts w:ascii="Verdana" w:eastAsia="Times New Roman" w:hAnsi="Verdana" w:cs="Arial"/>
                <w:bCs/>
                <w:lang w:eastAsia="es-CO"/>
              </w:rPr>
              <w:t>dicionalmente</w:t>
            </w:r>
            <w:r w:rsidRPr="00FF007A" w:rsidDel="003E56B9">
              <w:rPr>
                <w:rFonts w:ascii="Verdana" w:eastAsia="Times New Roman" w:hAnsi="Verdana" w:cs="Arial"/>
                <w:bCs/>
                <w:lang w:eastAsia="es-CO"/>
              </w:rPr>
              <w:t xml:space="preserve"> </w:t>
            </w:r>
            <w:r w:rsidRPr="00FF007A">
              <w:rPr>
                <w:rFonts w:ascii="Verdana" w:eastAsia="Times New Roman" w:hAnsi="Verdana" w:cs="Arial"/>
                <w:bCs/>
                <w:lang w:eastAsia="es-CO"/>
              </w:rPr>
              <w:t xml:space="preserve">es posible que </w:t>
            </w:r>
            <w:r>
              <w:rPr>
                <w:rFonts w:ascii="Verdana" w:eastAsia="Times New Roman" w:hAnsi="Verdana" w:cs="Arial"/>
                <w:bCs/>
                <w:lang w:eastAsia="es-CO"/>
              </w:rPr>
              <w:t xml:space="preserve">los </w:t>
            </w:r>
            <w:r w:rsidRPr="00FF007A">
              <w:rPr>
                <w:rFonts w:ascii="Verdana" w:eastAsia="Times New Roman" w:hAnsi="Verdana" w:cs="Arial"/>
                <w:bCs/>
                <w:lang w:eastAsia="es-CO"/>
              </w:rPr>
              <w:t xml:space="preserve">contratos celebrados previamente se continúen ejecutando con normalidad y, en consecuencia, se realicen los pagos en las condiciones pactadas. </w:t>
            </w:r>
          </w:p>
          <w:p w14:paraId="5A6FFDD6" w14:textId="64C1B4D3" w:rsidR="005E4FAA" w:rsidRDefault="008A1CF6" w:rsidP="00BC31DC">
            <w:pPr>
              <w:spacing w:before="120" w:line="276" w:lineRule="auto"/>
              <w:ind w:firstLine="709"/>
              <w:jc w:val="both"/>
              <w:rPr>
                <w:rFonts w:ascii="Verdana" w:eastAsia="Arial" w:hAnsi="Verdana" w:cs="Arial"/>
                <w:bCs/>
                <w:color w:val="000000" w:themeColor="text1"/>
              </w:rPr>
            </w:pPr>
            <w:r w:rsidRPr="00FF007A">
              <w:rPr>
                <w:rFonts w:ascii="Verdana" w:eastAsia="Times New Roman" w:hAnsi="Verdana" w:cs="Arial"/>
                <w:bCs/>
                <w:lang w:eastAsia="es-CO"/>
              </w:rPr>
              <w:t xml:space="preserve">Con respecto a la prohibición del parágrafo del artículo 38, es importante resaltar que el Ministerio de Salud y Protección Social </w:t>
            </w:r>
            <w:r w:rsidRPr="00FF007A">
              <w:rPr>
                <w:rFonts w:ascii="Verdana" w:eastAsia="Arial" w:hAnsi="Verdana" w:cs="Arial"/>
                <w:bCs/>
                <w:color w:val="000000" w:themeColor="text1"/>
              </w:rPr>
              <w:t>dispuso que, con el fin de garantizar la continuidad de las intervenciones de promoción de salud y prevención, “se debe acudir a las demás modalidades de contratación autorizadas por la ley de manera que no se afecte la ejecución de las intervenciones colectivas a cargo de las entidades territoriales”</w:t>
            </w:r>
            <w:r w:rsidRPr="00FF007A">
              <w:rPr>
                <w:rStyle w:val="Refdenotaalpie"/>
                <w:rFonts w:ascii="Verdana" w:eastAsia="Arial" w:hAnsi="Verdana" w:cs="Arial"/>
                <w:bCs/>
                <w:color w:val="000000" w:themeColor="text1"/>
              </w:rPr>
              <w:footnoteReference w:id="3"/>
            </w:r>
            <w:r w:rsidRPr="00FF007A">
              <w:rPr>
                <w:rFonts w:ascii="Verdana" w:eastAsia="Arial" w:hAnsi="Verdana" w:cs="Arial"/>
                <w:bCs/>
                <w:color w:val="000000" w:themeColor="text1"/>
              </w:rPr>
              <w:t>. Lo anterior, considerando que esta prohibición no fijó excepción alguna para su aplicación.</w:t>
            </w:r>
          </w:p>
          <w:p w14:paraId="74E0BBEC" w14:textId="77777777" w:rsidR="008A1CF6" w:rsidRDefault="008A1CF6" w:rsidP="00B92E7C">
            <w:pPr>
              <w:spacing w:before="120" w:line="276" w:lineRule="auto"/>
              <w:ind w:firstLine="709"/>
              <w:jc w:val="both"/>
              <w:rPr>
                <w:rFonts w:ascii="Verdana" w:eastAsia="Calibri" w:hAnsi="Verdana" w:cs="Arial"/>
              </w:rPr>
            </w:pPr>
            <w:r w:rsidRPr="000D3AA5">
              <w:rPr>
                <w:rFonts w:ascii="Verdana" w:eastAsia="Calibri" w:hAnsi="Verdana" w:cs="Arial"/>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6C963CAD" w14:textId="77777777" w:rsidR="008A1CF6" w:rsidRDefault="008A1CF6" w:rsidP="00BC31DC">
            <w:pPr>
              <w:spacing w:line="276" w:lineRule="auto"/>
              <w:jc w:val="both"/>
              <w:rPr>
                <w:rFonts w:ascii="Verdana" w:hAnsi="Verdana"/>
              </w:rPr>
            </w:pPr>
          </w:p>
          <w:p w14:paraId="2C0A22DB" w14:textId="10F003E1" w:rsidR="008A1CF6" w:rsidRPr="00B92E7C" w:rsidRDefault="008A1CF6" w:rsidP="00B92E7C">
            <w:pPr>
              <w:pStyle w:val="Prrafodelista"/>
              <w:numPr>
                <w:ilvl w:val="0"/>
                <w:numId w:val="20"/>
              </w:numPr>
              <w:spacing w:line="276" w:lineRule="auto"/>
              <w:ind w:left="31" w:hanging="11"/>
              <w:jc w:val="both"/>
              <w:rPr>
                <w:rFonts w:ascii="Verdana" w:eastAsia="Calibri" w:hAnsi="Verdana" w:cs="Arial"/>
                <w:color w:val="000000" w:themeColor="text1"/>
              </w:rPr>
            </w:pPr>
            <w:r>
              <w:rPr>
                <w:rFonts w:ascii="Verdana" w:eastAsia="Calibri" w:hAnsi="Verdana" w:cs="Arial"/>
                <w:color w:val="000000" w:themeColor="text1"/>
              </w:rPr>
              <w:t>L</w:t>
            </w:r>
            <w:r w:rsidRPr="00370FA2">
              <w:rPr>
                <w:rFonts w:ascii="Verdana" w:eastAsia="Calibri" w:hAnsi="Verdana" w:cs="Arial"/>
                <w:color w:val="000000" w:themeColor="text1"/>
              </w:rPr>
              <w:t>a norma vigente para interpretar el alcance de la causal de contratación directa dispuesta en el artículo 2, numeral 4, literal g), de la Ley 1150 de 2007 está compilada en el artículo 2.2.1.2.1.4.8 del Decreto 1082 de 2015, el cual dispone lo siguiente:</w:t>
            </w:r>
            <w:r w:rsidR="005E4FAA" w:rsidRPr="005E4FAA">
              <w:rPr>
                <w:rFonts w:ascii="Verdana" w:eastAsia="Calibri" w:hAnsi="Verdana" w:cs="Arial"/>
                <w:color w:val="000000" w:themeColor="text1"/>
              </w:rPr>
              <w:t xml:space="preserve"> </w:t>
            </w:r>
            <w:r w:rsidRPr="00B92E7C">
              <w:rPr>
                <w:rFonts w:ascii="Verdana" w:eastAsia="Calibri" w:hAnsi="Verdana" w:cs="Arial"/>
                <w:color w:val="000000" w:themeColor="text1"/>
              </w:rPr>
              <w:t xml:space="preserve">“Artículo 2.2.1.2.1.4.8. Contratación directa cuando no exista pluralidad de oferentes. Se considera que no existe pluralidad de oferentes cuando existe solamente una persona que puede proveer el bien o el servicio por ser titular de los derechos de propiedad industrial o de los derechos de autor, o por ser proveedor exclusivo en el </w:t>
            </w:r>
            <w:r w:rsidRPr="00B92E7C">
              <w:rPr>
                <w:rFonts w:ascii="Verdana" w:eastAsia="Calibri" w:hAnsi="Verdana" w:cs="Arial"/>
                <w:color w:val="000000" w:themeColor="text1"/>
              </w:rPr>
              <w:lastRenderedPageBreak/>
              <w:t>territorio nacional. Estas circunstancias deben constar en el estudio previo que soporta la contratación.”</w:t>
            </w:r>
          </w:p>
          <w:p w14:paraId="1BE7F3F1" w14:textId="77777777" w:rsidR="008A1CF6" w:rsidRDefault="008A1CF6" w:rsidP="00BC31DC">
            <w:pPr>
              <w:spacing w:after="120" w:line="276" w:lineRule="auto"/>
              <w:ind w:firstLine="708"/>
              <w:jc w:val="both"/>
              <w:rPr>
                <w:rFonts w:ascii="Verdana" w:eastAsia="Calibri" w:hAnsi="Verdana" w:cs="Arial"/>
                <w:color w:val="000000" w:themeColor="text1"/>
              </w:rPr>
            </w:pPr>
            <w:r w:rsidRPr="009A68AF">
              <w:rPr>
                <w:rFonts w:ascii="Verdana" w:eastAsia="Calibri" w:hAnsi="Verdana" w:cs="Arial"/>
                <w:color w:val="000000" w:themeColor="text1"/>
              </w:rPr>
              <w:t xml:space="preserve">La norma consagra dos (2) hipótesis. </w:t>
            </w:r>
            <w:r w:rsidRPr="009A68AF">
              <w:rPr>
                <w:rFonts w:ascii="Verdana" w:eastAsia="Calibri" w:hAnsi="Verdana" w:cs="Arial"/>
                <w:i/>
                <w:iCs/>
                <w:color w:val="000000" w:themeColor="text1"/>
              </w:rPr>
              <w:t>En primer lugar</w:t>
            </w:r>
            <w:r w:rsidRPr="009A68AF">
              <w:rPr>
                <w:rFonts w:ascii="Verdana" w:eastAsia="Calibri" w:hAnsi="Verdana" w:cs="Arial"/>
                <w:color w:val="000000" w:themeColor="text1"/>
              </w:rPr>
              <w:t xml:space="preserve">, no existe pluralidad de oferentes cuando solo una persona puede proveer el bien o servicio por ser titular de los derechos de propiedad industrial o de los derechos de autor. De esta manera, no basta con que sea la única persona capaz de ejecutar el contrato, pues la misma se debe justificar una situación de derecho que impida que otra lo haga de forma igual o similar. Para los proponentes, cada bien o servicio tiene características únicas frente a los de la competencia; sin embargo, desde el punto de vista del contratante, no existe mayor diferenciación entre los bienes y servicios cuando ninguno de los aspirantes tiene la titularidad de un derecho industrial o de autor. </w:t>
            </w:r>
          </w:p>
          <w:p w14:paraId="2C8629DC" w14:textId="77777777" w:rsidR="008A1CF6" w:rsidRPr="009A68AF" w:rsidRDefault="008A1CF6" w:rsidP="00BC31DC">
            <w:pPr>
              <w:spacing w:line="276" w:lineRule="auto"/>
              <w:ind w:firstLine="708"/>
              <w:jc w:val="both"/>
              <w:rPr>
                <w:rFonts w:ascii="Verdana" w:eastAsia="Calibri" w:hAnsi="Verdana" w:cs="Arial"/>
                <w:color w:val="000000" w:themeColor="text1"/>
              </w:rPr>
            </w:pPr>
            <w:r w:rsidRPr="009A68AF">
              <w:rPr>
                <w:rFonts w:ascii="Verdana" w:eastAsia="Calibri" w:hAnsi="Verdana" w:cs="Arial"/>
                <w:i/>
                <w:iCs/>
                <w:color w:val="000000" w:themeColor="text1"/>
              </w:rPr>
              <w:t>En segundo lugar</w:t>
            </w:r>
            <w:r w:rsidRPr="009A68AF">
              <w:rPr>
                <w:rFonts w:ascii="Verdana" w:eastAsia="Calibri" w:hAnsi="Verdana" w:cs="Arial"/>
                <w:color w:val="000000" w:themeColor="text1"/>
              </w:rPr>
              <w:t xml:space="preserve">, el artículo 2.2.1.2.1.4.8 del Decreto 1082 de 2015 dispone que tampoco existe pluralidad de oferentes cuando existe una sola persona que puede celebrar el contrato por ser proveedor exclusivo en el territorio nacional. A modo de ejemplo, esta causal se comprende en el marco de los contratos de colaboración empresarial –agencia, distribución, franquicia concesión comercial, etc.– que celebran los productores extranjeros con los proveedores nacionales, los cuales contienen usualmente cláusulas de exclusividad como elemento accidental del negocio. </w:t>
            </w:r>
          </w:p>
          <w:p w14:paraId="3200B770" w14:textId="77777777" w:rsidR="008A1CF6" w:rsidRPr="009A68AF" w:rsidRDefault="008A1CF6" w:rsidP="00BC31DC">
            <w:pPr>
              <w:spacing w:line="276" w:lineRule="auto"/>
              <w:ind w:firstLine="708"/>
              <w:jc w:val="both"/>
              <w:rPr>
                <w:rFonts w:ascii="Verdana" w:eastAsia="Calibri" w:hAnsi="Verdana" w:cs="Arial"/>
                <w:color w:val="000000" w:themeColor="text1"/>
              </w:rPr>
            </w:pPr>
            <w:r w:rsidRPr="009A68AF">
              <w:rPr>
                <w:rFonts w:ascii="Verdana" w:eastAsia="Calibri" w:hAnsi="Verdana" w:cs="Arial"/>
                <w:color w:val="000000" w:themeColor="text1"/>
              </w:rPr>
              <w:t>Fuera de estas dos (2) situaciones, no es posible aplicar el artículo 2, numeral 4, literal g), de la Ley 1150 de 2007, ya que las normas citadas integran una causal de contratación directa que excepciona los mecanismos de selección objetiva por convocatoria pública definidos en el Estatuto General de Contratación de la Administración Pública, por lo que se interpretan restrictivamente, es decir, conforme al tenor literal de las normas.</w:t>
            </w:r>
          </w:p>
          <w:p w14:paraId="608A0759" w14:textId="77777777" w:rsidR="008A1CF6" w:rsidRPr="009A68AF" w:rsidRDefault="008A1CF6" w:rsidP="00BC31DC">
            <w:pPr>
              <w:spacing w:after="120" w:line="276" w:lineRule="auto"/>
              <w:ind w:firstLine="708"/>
              <w:jc w:val="both"/>
              <w:rPr>
                <w:rFonts w:ascii="Verdana" w:eastAsia="Calibri" w:hAnsi="Verdana" w:cs="Arial"/>
                <w:color w:val="000000" w:themeColor="text1"/>
              </w:rPr>
            </w:pPr>
          </w:p>
          <w:p w14:paraId="2A48BBFF" w14:textId="77777777" w:rsidR="008A1CF6" w:rsidRPr="00370FA2" w:rsidRDefault="008A1CF6" w:rsidP="00BC31DC">
            <w:pPr>
              <w:pStyle w:val="Prrafodelista"/>
              <w:spacing w:line="276" w:lineRule="auto"/>
              <w:ind w:left="751"/>
              <w:jc w:val="both"/>
              <w:rPr>
                <w:rFonts w:ascii="Verdana" w:hAnsi="Verdana"/>
              </w:rPr>
            </w:pPr>
          </w:p>
        </w:tc>
      </w:tr>
    </w:tbl>
    <w:p w14:paraId="79F98B37" w14:textId="77777777" w:rsidR="008A1CF6" w:rsidRPr="00DE5508" w:rsidRDefault="008A1CF6" w:rsidP="008A1CF6">
      <w:pPr>
        <w:tabs>
          <w:tab w:val="left" w:pos="142"/>
          <w:tab w:val="left" w:pos="284"/>
        </w:tabs>
        <w:spacing w:after="0" w:line="276" w:lineRule="auto"/>
        <w:jc w:val="both"/>
        <w:rPr>
          <w:rFonts w:ascii="Verdana" w:eastAsia="Century Gothic" w:hAnsi="Verdana" w:cs="Century Gothic"/>
          <w:b/>
          <w:bCs/>
          <w:lang w:val="es-ES"/>
        </w:rPr>
      </w:pPr>
    </w:p>
    <w:p w14:paraId="755EB5B0" w14:textId="77777777" w:rsidR="008A1CF6" w:rsidRDefault="008A1CF6" w:rsidP="008A1CF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4D6D12C1" w14:textId="77777777" w:rsidR="008A1CF6" w:rsidRDefault="008A1CF6" w:rsidP="008A1CF6">
      <w:pPr>
        <w:spacing w:after="0" w:line="276" w:lineRule="auto"/>
        <w:jc w:val="both"/>
        <w:rPr>
          <w:rFonts w:ascii="Verdana" w:eastAsia="Calibri" w:hAnsi="Verdana" w:cs="Arial"/>
          <w:color w:val="7030A0"/>
          <w:lang w:val="es-ES"/>
        </w:rPr>
      </w:pPr>
    </w:p>
    <w:p w14:paraId="6C754CA7" w14:textId="77777777" w:rsidR="008A1CF6" w:rsidRDefault="008A1CF6" w:rsidP="008A1CF6">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6B0A9B00" w14:textId="77777777" w:rsidR="008A1CF6" w:rsidRDefault="008A1CF6" w:rsidP="008A1CF6">
      <w:pPr>
        <w:widowControl w:val="0"/>
        <w:autoSpaceDE w:val="0"/>
        <w:autoSpaceDN w:val="0"/>
        <w:spacing w:after="0" w:line="276" w:lineRule="auto"/>
        <w:ind w:right="176"/>
        <w:jc w:val="both"/>
        <w:rPr>
          <w:rFonts w:ascii="Verdana" w:eastAsia="Calibri" w:hAnsi="Verdana" w:cs="Arial"/>
          <w:lang w:val="es-ES"/>
        </w:rPr>
      </w:pPr>
    </w:p>
    <w:p w14:paraId="10E9446A" w14:textId="77777777" w:rsidR="008A1CF6" w:rsidRPr="006018C8" w:rsidRDefault="008A1CF6" w:rsidP="008A1CF6">
      <w:pPr>
        <w:pStyle w:val="Prrafodelista"/>
        <w:numPr>
          <w:ilvl w:val="0"/>
          <w:numId w:val="19"/>
        </w:numPr>
        <w:tabs>
          <w:tab w:val="left" w:pos="426"/>
        </w:tabs>
        <w:spacing w:after="120" w:line="276" w:lineRule="auto"/>
        <w:ind w:left="0" w:firstLine="0"/>
        <w:jc w:val="both"/>
        <w:rPr>
          <w:rFonts w:ascii="Verdana" w:eastAsia="Calibri" w:hAnsi="Verdana" w:cs="Arial"/>
          <w:lang w:val="es-ES_tradnl"/>
        </w:rPr>
      </w:pPr>
      <w:r w:rsidRPr="006018C8">
        <w:rPr>
          <w:rFonts w:ascii="Verdana" w:eastAsia="Times New Roman" w:hAnsi="Verdana" w:cs="Arial"/>
          <w:lang w:val="es-MX" w:eastAsia="es-CO"/>
        </w:rPr>
        <w:t xml:space="preserve">Para empezar, la Ley 996 de 2005, conocida como “Ley de Garantías Electorales”, se suma al andamiaje de orden constitucional y legal que se ha </w:t>
      </w:r>
      <w:r w:rsidRPr="006018C8">
        <w:rPr>
          <w:rFonts w:ascii="Verdana" w:eastAsia="Times New Roman" w:hAnsi="Verdana" w:cs="Arial"/>
          <w:lang w:val="es-MX" w:eastAsia="es-CO"/>
        </w:rPr>
        <w:lastRenderedPageBreak/>
        <w:t>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vertAlign w:val="superscript"/>
          <w:lang w:eastAsia="es-CO"/>
        </w:rPr>
        <w:footnoteReference w:id="4"/>
      </w:r>
      <w:r w:rsidRPr="006018C8">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6018C8">
        <w:rPr>
          <w:rFonts w:ascii="Verdana" w:eastAsia="Calibri" w:hAnsi="Verdana" w:cs="Arial"/>
          <w:lang w:val="es-ES_tradnl"/>
        </w:rPr>
        <w:t xml:space="preserve"> </w:t>
      </w:r>
    </w:p>
    <w:p w14:paraId="5FF26242" w14:textId="77777777" w:rsidR="008A1CF6" w:rsidRPr="006B14B5" w:rsidRDefault="008A1CF6" w:rsidP="008A1CF6">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70B07051" w14:textId="77777777" w:rsidR="008A1CF6" w:rsidRPr="00E2397D" w:rsidRDefault="008A1CF6" w:rsidP="008A1CF6">
      <w:pPr>
        <w:spacing w:after="0" w:line="276" w:lineRule="auto"/>
        <w:ind w:right="709"/>
        <w:contextualSpacing/>
        <w:jc w:val="both"/>
        <w:rPr>
          <w:rFonts w:ascii="Verdana" w:eastAsia="Times New Roman" w:hAnsi="Verdana" w:cs="Arial"/>
          <w:lang w:val="es-ES" w:eastAsia="es-CO"/>
        </w:rPr>
      </w:pPr>
    </w:p>
    <w:p w14:paraId="3BD1B44F" w14:textId="77777777" w:rsidR="008A1CF6" w:rsidRPr="00E2397D" w:rsidRDefault="008A1CF6" w:rsidP="008A1CF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76FF0F4A" w14:textId="77777777" w:rsidR="008A1CF6" w:rsidRPr="00E2397D" w:rsidRDefault="008A1CF6" w:rsidP="008A1CF6">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31FA8CDC" w14:textId="77777777" w:rsidR="008A1CF6" w:rsidRPr="00E2397D" w:rsidRDefault="008A1CF6" w:rsidP="008A1CF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5"/>
      </w:r>
    </w:p>
    <w:p w14:paraId="73FA9AE0" w14:textId="77777777" w:rsidR="008A1CF6" w:rsidRPr="00E2397D" w:rsidRDefault="008A1CF6" w:rsidP="008A1CF6">
      <w:pPr>
        <w:spacing w:after="0" w:line="276" w:lineRule="auto"/>
        <w:ind w:firstLine="709"/>
        <w:jc w:val="both"/>
        <w:rPr>
          <w:rFonts w:ascii="Verdana" w:eastAsia="Times New Roman" w:hAnsi="Verdana" w:cs="Arial"/>
          <w:lang w:val="es-MX" w:eastAsia="es-CO"/>
        </w:rPr>
      </w:pPr>
    </w:p>
    <w:p w14:paraId="70148419" w14:textId="77777777" w:rsidR="008A1CF6" w:rsidRPr="00E2397D" w:rsidRDefault="008A1CF6" w:rsidP="008A1CF6">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5E1CB5AE" w14:textId="77777777" w:rsidR="008A1CF6" w:rsidRPr="00886C02" w:rsidRDefault="008A1CF6" w:rsidP="008A1CF6">
      <w:pPr>
        <w:spacing w:after="0" w:line="276" w:lineRule="auto"/>
        <w:ind w:firstLine="709"/>
        <w:jc w:val="both"/>
        <w:rPr>
          <w:rFonts w:ascii="Verdana" w:eastAsia="Times New Roman" w:hAnsi="Verdana" w:cs="Arial"/>
          <w:lang w:val="es-MX" w:eastAsia="es-CO"/>
        </w:rPr>
      </w:pPr>
    </w:p>
    <w:p w14:paraId="0E72C522" w14:textId="77777777" w:rsidR="008A1CF6" w:rsidRPr="00E2397D" w:rsidRDefault="008A1CF6" w:rsidP="008A1CF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lastRenderedPageBreak/>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401528F" w14:textId="77777777" w:rsidR="008A1CF6" w:rsidRPr="00E2397D" w:rsidRDefault="008A1CF6" w:rsidP="008A1CF6">
      <w:pPr>
        <w:spacing w:after="0" w:line="240" w:lineRule="auto"/>
        <w:ind w:right="709"/>
        <w:contextualSpacing/>
        <w:jc w:val="both"/>
        <w:rPr>
          <w:rFonts w:ascii="Verdana" w:eastAsia="Times New Roman" w:hAnsi="Verdana" w:cs="Arial"/>
          <w:lang w:val="es-MX" w:eastAsia="es-CO"/>
        </w:rPr>
      </w:pPr>
    </w:p>
    <w:p w14:paraId="21C93468" w14:textId="77777777" w:rsidR="008A1CF6" w:rsidRPr="00E2397D" w:rsidRDefault="008A1CF6" w:rsidP="008A1CF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8"/>
      </w:r>
      <w:r w:rsidRPr="00E2397D">
        <w:rPr>
          <w:rFonts w:ascii="Verdana" w:eastAsia="Times New Roman" w:hAnsi="Verdana" w:cs="Arial"/>
          <w:sz w:val="20"/>
          <w:szCs w:val="20"/>
          <w:lang w:val="es-MX" w:eastAsia="es-CO"/>
        </w:rPr>
        <w:t>.</w:t>
      </w:r>
    </w:p>
    <w:p w14:paraId="3EEC484E" w14:textId="77777777" w:rsidR="008A1CF6" w:rsidRPr="00E2397D" w:rsidRDefault="008A1CF6" w:rsidP="008A1CF6">
      <w:pPr>
        <w:spacing w:after="0" w:line="276" w:lineRule="auto"/>
        <w:jc w:val="both"/>
        <w:rPr>
          <w:rFonts w:ascii="Verdana" w:eastAsia="Calibri" w:hAnsi="Verdana" w:cs="Arial"/>
          <w:bCs/>
          <w:lang w:val="es-ES_tradnl"/>
        </w:rPr>
      </w:pPr>
    </w:p>
    <w:p w14:paraId="099EBFF7" w14:textId="77777777" w:rsidR="008A1CF6" w:rsidRPr="00B3605D" w:rsidRDefault="008A1CF6" w:rsidP="008A1CF6">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2A37223A" w14:textId="77777777" w:rsidR="008A1CF6" w:rsidRDefault="008A1CF6" w:rsidP="008A1CF6">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2028C717" w14:textId="77777777" w:rsidR="008A1CF6" w:rsidRDefault="008A1CF6" w:rsidP="008A1CF6">
      <w:pPr>
        <w:spacing w:after="0" w:line="276" w:lineRule="auto"/>
        <w:ind w:firstLine="709"/>
        <w:jc w:val="both"/>
        <w:rPr>
          <w:rFonts w:ascii="Verdana" w:eastAsia="Arial" w:hAnsi="Verdana" w:cs="Arial"/>
          <w:lang w:val="es-ES" w:eastAsia="es-ES" w:bidi="es-ES"/>
        </w:rPr>
      </w:pPr>
    </w:p>
    <w:p w14:paraId="576A83C9" w14:textId="77777777" w:rsidR="008A1CF6" w:rsidRPr="00F2587B" w:rsidRDefault="008A1CF6" w:rsidP="008A1CF6">
      <w:pPr>
        <w:pStyle w:val="Prrafodelista"/>
        <w:numPr>
          <w:ilvl w:val="0"/>
          <w:numId w:val="18"/>
        </w:numPr>
        <w:spacing w:after="0" w:line="276" w:lineRule="auto"/>
        <w:jc w:val="both"/>
        <w:rPr>
          <w:rFonts w:ascii="Verdana" w:eastAsia="Arial" w:hAnsi="Verdana" w:cs="Arial"/>
          <w:i/>
          <w:lang w:eastAsia="es-ES" w:bidi="es-ES"/>
        </w:rPr>
      </w:pPr>
      <w:r w:rsidRPr="00F2587B">
        <w:rPr>
          <w:rFonts w:ascii="Verdana" w:eastAsia="Arial" w:hAnsi="Verdana" w:cs="Arial"/>
          <w:i/>
          <w:lang w:eastAsia="es-ES" w:bidi="es-ES"/>
        </w:rPr>
        <w:lastRenderedPageBreak/>
        <w:t xml:space="preserve">Restricciones elecciones presidenciales </w:t>
      </w:r>
    </w:p>
    <w:p w14:paraId="2C4EAC55" w14:textId="77777777" w:rsidR="008A1CF6" w:rsidRPr="00A545DE" w:rsidRDefault="008A1CF6" w:rsidP="008A1CF6">
      <w:pPr>
        <w:pStyle w:val="Prrafodelista"/>
        <w:spacing w:after="0" w:line="276" w:lineRule="auto"/>
        <w:ind w:left="1080"/>
        <w:jc w:val="both"/>
        <w:rPr>
          <w:rFonts w:ascii="Verdana" w:eastAsia="Arial" w:hAnsi="Verdana" w:cs="Arial"/>
          <w:lang w:eastAsia="es-ES" w:bidi="es-ES"/>
        </w:rPr>
      </w:pPr>
    </w:p>
    <w:p w14:paraId="61360B73" w14:textId="77777777" w:rsidR="008A1CF6" w:rsidRPr="00FC54ED" w:rsidRDefault="008A1CF6" w:rsidP="008A1CF6">
      <w:pPr>
        <w:spacing w:after="0" w:line="240" w:lineRule="auto"/>
        <w:ind w:left="709" w:right="703"/>
        <w:jc w:val="both"/>
        <w:rPr>
          <w:rFonts w:ascii="Verdana" w:eastAsia="Times New Roman" w:hAnsi="Verdana" w:cs="Open Sans"/>
          <w:sz w:val="20"/>
          <w:szCs w:val="20"/>
          <w:lang w:eastAsia="es-CO"/>
        </w:rPr>
      </w:pPr>
      <w:bookmarkStart w:id="1" w:name="33"/>
      <w:r>
        <w:rPr>
          <w:rFonts w:ascii="Verdana" w:eastAsia="Times New Roman" w:hAnsi="Verdana" w:cs="Open Sans"/>
          <w:b/>
          <w:bCs/>
          <w:sz w:val="20"/>
          <w:szCs w:val="20"/>
          <w:lang w:eastAsia="es-CO"/>
        </w:rPr>
        <w:t>“</w:t>
      </w:r>
      <w:r w:rsidRPr="00FC54ED">
        <w:rPr>
          <w:rFonts w:ascii="Verdana" w:eastAsia="Times New Roman" w:hAnsi="Verdana" w:cs="Open Sans"/>
          <w:b/>
          <w:bCs/>
          <w:sz w:val="20"/>
          <w:szCs w:val="20"/>
          <w:lang w:eastAsia="es-CO"/>
        </w:rPr>
        <w:t>ARTÍCULO 33. RESTRICCIONES A LA CONTRATACIÓN PÚBLICA.</w:t>
      </w:r>
      <w:bookmarkEnd w:id="1"/>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71621B0F" w14:textId="77777777" w:rsidR="008A1CF6" w:rsidRPr="00FC54ED" w:rsidRDefault="008A1CF6" w:rsidP="008A1CF6">
      <w:pPr>
        <w:spacing w:after="0" w:line="240" w:lineRule="auto"/>
        <w:ind w:left="709" w:right="703"/>
        <w:jc w:val="both"/>
        <w:rPr>
          <w:rFonts w:ascii="Verdana" w:eastAsia="Times New Roman" w:hAnsi="Verdana" w:cs="Open Sans"/>
          <w:sz w:val="20"/>
          <w:szCs w:val="20"/>
          <w:lang w:eastAsia="es-CO"/>
        </w:rPr>
      </w:pPr>
    </w:p>
    <w:p w14:paraId="5BB4F7F2" w14:textId="77777777" w:rsidR="008A1CF6" w:rsidRPr="00B3605D" w:rsidRDefault="008A1CF6" w:rsidP="008A1CF6">
      <w:pPr>
        <w:spacing w:after="0" w:line="240" w:lineRule="auto"/>
        <w:ind w:left="709" w:right="703"/>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4898F586" w14:textId="77777777" w:rsidR="008A1CF6" w:rsidRDefault="008A1CF6" w:rsidP="008A1CF6">
      <w:pPr>
        <w:spacing w:after="0" w:line="276" w:lineRule="auto"/>
        <w:ind w:right="618" w:firstLine="708"/>
        <w:jc w:val="both"/>
        <w:rPr>
          <w:rFonts w:ascii="Verdana" w:eastAsia="Times New Roman" w:hAnsi="Verdana" w:cs="Open Sans"/>
          <w:lang w:eastAsia="es-CO"/>
        </w:rPr>
      </w:pPr>
    </w:p>
    <w:p w14:paraId="2F100420" w14:textId="77777777" w:rsidR="008A1CF6" w:rsidRDefault="008A1CF6" w:rsidP="008A1CF6">
      <w:pPr>
        <w:spacing w:after="120" w:line="276" w:lineRule="auto"/>
        <w:ind w:firstLine="709"/>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9"/>
      </w:r>
      <w:r>
        <w:rPr>
          <w:rFonts w:ascii="Verdana" w:eastAsia="Times New Roman" w:hAnsi="Verdana" w:cs="Open Sans"/>
          <w:lang w:eastAsia="es-CO"/>
        </w:rPr>
        <w:t>.</w:t>
      </w:r>
    </w:p>
    <w:p w14:paraId="147B0F6D" w14:textId="77777777" w:rsidR="008A1CF6" w:rsidRDefault="008A1CF6" w:rsidP="008A1CF6">
      <w:pPr>
        <w:spacing w:after="120" w:line="276" w:lineRule="auto"/>
        <w:ind w:firstLine="709"/>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500B8D3B" w14:textId="77777777" w:rsidR="008A1CF6" w:rsidRDefault="008A1CF6" w:rsidP="008A1CF6">
      <w:pPr>
        <w:spacing w:after="120" w:line="276" w:lineRule="auto"/>
        <w:ind w:firstLine="709"/>
        <w:jc w:val="both"/>
        <w:rPr>
          <w:rFonts w:ascii="Verdana" w:hAnsi="Verdana"/>
          <w:iCs/>
        </w:rPr>
      </w:pPr>
      <w:r>
        <w:rPr>
          <w:rFonts w:ascii="Verdana" w:eastAsia="Times New Roman" w:hAnsi="Verdana" w:cs="Open Sans"/>
          <w:lang w:eastAsia="es-CO"/>
        </w:rPr>
        <w:t>Ahora bien</w:t>
      </w:r>
      <w:r w:rsidRPr="006A640E">
        <w:rPr>
          <w:rFonts w:ascii="Verdana" w:hAnsi="Verdana"/>
        </w:rPr>
        <w:t>,</w:t>
      </w:r>
      <w:r>
        <w:rPr>
          <w:rFonts w:ascii="Verdana" w:hAnsi="Verdana"/>
        </w:rPr>
        <w:t xml:space="preserve"> el ordenamiento jurídico contempla una serie de</w:t>
      </w:r>
      <w:r w:rsidRPr="006A640E">
        <w:rPr>
          <w:rFonts w:ascii="Verdana" w:hAnsi="Verdana"/>
        </w:rPr>
        <w:t xml:space="preserve"> excepciones a la restricción </w:t>
      </w:r>
      <w:r>
        <w:rPr>
          <w:rFonts w:ascii="Verdana" w:hAnsi="Verdana"/>
        </w:rPr>
        <w:t>de contratación directa</w:t>
      </w:r>
      <w:r w:rsidRPr="006A640E">
        <w:rPr>
          <w:rFonts w:ascii="Verdana" w:hAnsi="Verdana"/>
        </w:rPr>
        <w:t xml:space="preserve"> prevista en la Ley de Garantías</w:t>
      </w:r>
      <w:r>
        <w:rPr>
          <w:rFonts w:ascii="Verdana" w:hAnsi="Verdana"/>
        </w:rPr>
        <w:t xml:space="preserve"> </w:t>
      </w:r>
      <w:r>
        <w:rPr>
          <w:rFonts w:ascii="Verdana" w:hAnsi="Verdana"/>
        </w:rPr>
        <w:lastRenderedPageBreak/>
        <w:t>Electorales</w:t>
      </w:r>
      <w:r w:rsidRPr="006A640E">
        <w:rPr>
          <w:rFonts w:ascii="Verdana" w:hAnsi="Verdana"/>
        </w:rPr>
        <w:t>, con fundamento en las cuales podrán las entidades públicas adelantar procedimientos de selección directa en períodos previos a la contienda electoral por la Presidencia</w:t>
      </w:r>
      <w:r>
        <w:rPr>
          <w:rFonts w:ascii="Verdana" w:hAnsi="Verdana"/>
        </w:rPr>
        <w:t>. Estas excepciones</w:t>
      </w:r>
      <w:r w:rsidRPr="006A640E">
        <w:rPr>
          <w:rFonts w:ascii="Verdana" w:hAnsi="Verdana"/>
        </w:rPr>
        <w:t xml:space="preserve">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w:t>
      </w:r>
      <w:r w:rsidRPr="005A1342">
        <w:rPr>
          <w:rFonts w:ascii="Verdana" w:hAnsi="Verdana"/>
          <w:iCs/>
        </w:rPr>
        <w:t>los que deban realizar las entidades sanitarias y hospitalarias.</w:t>
      </w:r>
    </w:p>
    <w:p w14:paraId="6635F8F5" w14:textId="77777777" w:rsidR="008A1CF6" w:rsidRDefault="008A1CF6" w:rsidP="008A1CF6">
      <w:pPr>
        <w:spacing w:after="120" w:line="276" w:lineRule="auto"/>
        <w:ind w:firstLine="709"/>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3F9CB7C1" w14:textId="77777777" w:rsidR="008A1CF6" w:rsidRPr="00F2587B" w:rsidRDefault="008A1CF6" w:rsidP="008A1CF6">
      <w:pPr>
        <w:pStyle w:val="Prrafodelista"/>
        <w:numPr>
          <w:ilvl w:val="0"/>
          <w:numId w:val="18"/>
        </w:numPr>
        <w:spacing w:after="0" w:line="276" w:lineRule="auto"/>
        <w:contextualSpacing w:val="0"/>
        <w:jc w:val="both"/>
        <w:rPr>
          <w:rFonts w:ascii="Verdana" w:eastAsia="Times New Roman" w:hAnsi="Verdana" w:cs="Open Sans"/>
          <w:i/>
          <w:lang w:eastAsia="es-CO"/>
        </w:rPr>
      </w:pPr>
      <w:r w:rsidRPr="00F2587B">
        <w:rPr>
          <w:rFonts w:ascii="Verdana" w:eastAsia="Times New Roman" w:hAnsi="Verdana" w:cs="Open Sans"/>
          <w:i/>
          <w:lang w:eastAsia="es-CO"/>
        </w:rPr>
        <w:t xml:space="preserve">Restricciones demás elecciones </w:t>
      </w:r>
    </w:p>
    <w:p w14:paraId="7A423E67" w14:textId="77777777" w:rsidR="008A1CF6" w:rsidRDefault="008A1CF6" w:rsidP="008A1CF6">
      <w:pPr>
        <w:spacing w:after="0" w:line="276" w:lineRule="auto"/>
        <w:jc w:val="both"/>
        <w:rPr>
          <w:rFonts w:ascii="Verdana" w:eastAsia="Times New Roman" w:hAnsi="Verdana" w:cs="Open Sans"/>
          <w:lang w:eastAsia="es-CO"/>
        </w:rPr>
      </w:pPr>
    </w:p>
    <w:p w14:paraId="5A60E6B5" w14:textId="77777777" w:rsidR="008A1CF6" w:rsidRPr="00D61E29" w:rsidRDefault="008A1CF6" w:rsidP="008A1CF6">
      <w:pPr>
        <w:spacing w:after="0" w:line="276" w:lineRule="auto"/>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527FA02B" w14:textId="77777777" w:rsidR="008A1CF6" w:rsidRDefault="008A1CF6" w:rsidP="008A1CF6">
      <w:pPr>
        <w:pStyle w:val="NormalWeb"/>
        <w:spacing w:before="0" w:beforeAutospacing="0" w:after="0" w:afterAutospacing="0" w:line="276" w:lineRule="auto"/>
        <w:ind w:left="709" w:right="616"/>
        <w:jc w:val="both"/>
        <w:rPr>
          <w:rStyle w:val="baj"/>
          <w:rFonts w:ascii="Verdana" w:eastAsiaTheme="minorHAnsi" w:hAnsi="Verdana" w:cs="Open Sans"/>
          <w:b/>
          <w:sz w:val="20"/>
          <w:szCs w:val="20"/>
          <w:lang w:eastAsia="en-US"/>
        </w:rPr>
      </w:pPr>
    </w:p>
    <w:p w14:paraId="0530797A" w14:textId="77777777" w:rsidR="008A1CF6" w:rsidRPr="00D61E29" w:rsidRDefault="008A1CF6" w:rsidP="008A1CF6">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2FB0E75B" w14:textId="77777777" w:rsidR="008A1CF6" w:rsidRPr="00D61E29" w:rsidRDefault="008A1CF6" w:rsidP="008A1CF6">
      <w:pPr>
        <w:pStyle w:val="NormalWeb"/>
        <w:spacing w:before="0" w:beforeAutospacing="0" w:after="0" w:afterAutospacing="0"/>
        <w:ind w:left="709" w:right="709"/>
        <w:jc w:val="both"/>
        <w:rPr>
          <w:rFonts w:ascii="Verdana" w:hAnsi="Verdana" w:cs="Open Sans"/>
          <w:sz w:val="20"/>
          <w:szCs w:val="20"/>
        </w:rPr>
      </w:pPr>
    </w:p>
    <w:p w14:paraId="30A86414" w14:textId="77777777" w:rsidR="008A1CF6" w:rsidRPr="00D61E29" w:rsidRDefault="008A1CF6" w:rsidP="008A1CF6">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 xml:space="preserve">Tampoco podrán inaugurar obras públicas o dar inicio a programas de carácter social en reuniones o eventos en los que participen candidatos a la Presidencia y Vicepresidencia de la República, el Congreso de la República, gobernaciones departamentales, asambleas departamentales, </w:t>
      </w:r>
      <w:r w:rsidRPr="00D61E29">
        <w:rPr>
          <w:rFonts w:ascii="Verdana" w:hAnsi="Verdana" w:cs="Open Sans"/>
          <w:sz w:val="20"/>
          <w:szCs w:val="20"/>
        </w:rPr>
        <w:lastRenderedPageBreak/>
        <w:t>alcaldías y concejos municipales o distritales. Tampoco podrán hacerlo cuando participen voceros de los candidatos.</w:t>
      </w:r>
    </w:p>
    <w:p w14:paraId="47141AD2" w14:textId="77777777" w:rsidR="008A1CF6" w:rsidRDefault="008A1CF6" w:rsidP="008A1CF6">
      <w:pPr>
        <w:pStyle w:val="NormalWeb"/>
        <w:spacing w:before="0" w:beforeAutospacing="0" w:after="0" w:afterAutospacing="0"/>
        <w:ind w:left="709" w:right="709"/>
        <w:jc w:val="both"/>
        <w:rPr>
          <w:rFonts w:ascii="Verdana" w:hAnsi="Verdana" w:cs="Open Sans"/>
          <w:sz w:val="20"/>
          <w:szCs w:val="20"/>
        </w:rPr>
      </w:pPr>
    </w:p>
    <w:p w14:paraId="6955D609" w14:textId="77777777" w:rsidR="008A1CF6" w:rsidRPr="00D61E29" w:rsidRDefault="008A1CF6" w:rsidP="008A1CF6">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1D00F8C1" w14:textId="77777777" w:rsidR="008A1CF6" w:rsidRDefault="008A1CF6" w:rsidP="008A1CF6">
      <w:pPr>
        <w:pStyle w:val="NormalWeb"/>
        <w:spacing w:before="0" w:beforeAutospacing="0" w:after="0" w:afterAutospacing="0"/>
        <w:ind w:left="709" w:right="709"/>
        <w:jc w:val="both"/>
        <w:rPr>
          <w:rFonts w:ascii="Verdana" w:hAnsi="Verdana" w:cs="Open Sans"/>
          <w:sz w:val="20"/>
          <w:szCs w:val="20"/>
        </w:rPr>
      </w:pPr>
    </w:p>
    <w:p w14:paraId="4953C3A7" w14:textId="77777777" w:rsidR="008A1CF6" w:rsidRPr="00D61E29" w:rsidRDefault="008A1CF6" w:rsidP="008A1CF6">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r>
        <w:rPr>
          <w:rFonts w:ascii="Verdana" w:hAnsi="Verdana" w:cs="Open Sans"/>
          <w:sz w:val="20"/>
          <w:szCs w:val="20"/>
        </w:rPr>
        <w:t>”</w:t>
      </w:r>
      <w:r w:rsidRPr="00D61E29">
        <w:rPr>
          <w:rFonts w:ascii="Verdana" w:hAnsi="Verdana" w:cs="Open Sans"/>
          <w:sz w:val="20"/>
          <w:szCs w:val="20"/>
        </w:rPr>
        <w:t>.</w:t>
      </w:r>
    </w:p>
    <w:p w14:paraId="2D85B8B5" w14:textId="77777777" w:rsidR="008A1CF6" w:rsidRDefault="008A1CF6" w:rsidP="008A1CF6">
      <w:pPr>
        <w:widowControl w:val="0"/>
        <w:autoSpaceDE w:val="0"/>
        <w:autoSpaceDN w:val="0"/>
        <w:spacing w:after="0" w:line="276" w:lineRule="auto"/>
        <w:ind w:right="113"/>
        <w:contextualSpacing/>
        <w:jc w:val="both"/>
      </w:pPr>
    </w:p>
    <w:p w14:paraId="7E0BC5D3" w14:textId="77777777" w:rsidR="008A1CF6" w:rsidRPr="00775AB1" w:rsidRDefault="008A1CF6" w:rsidP="008A1CF6">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r w:rsidRPr="00E2397D">
        <w:rPr>
          <w:rFonts w:ascii="Verdana" w:eastAsia="Times New Roman" w:hAnsi="Verdana" w:cs="Arial"/>
          <w:lang w:eastAsia="es-CO"/>
        </w:rPr>
        <w:t xml:space="preserve">e observa entonces </w:t>
      </w:r>
      <w:bookmarkStart w:id="2"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2"/>
    </w:p>
    <w:p w14:paraId="24B13A32" w14:textId="77777777" w:rsidR="008A1CF6" w:rsidRPr="00D61E29" w:rsidRDefault="008A1CF6" w:rsidP="008A1CF6">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3E126475" w14:textId="77777777" w:rsidR="008A1CF6" w:rsidRPr="00D61E29" w:rsidRDefault="008A1CF6" w:rsidP="008A1CF6">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62A4C39A" w14:textId="77777777" w:rsidR="008A1CF6" w:rsidRPr="00D61E29" w:rsidRDefault="008A1CF6" w:rsidP="008A1CF6">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w:t>
      </w:r>
      <w:r w:rsidRPr="00D61E29">
        <w:rPr>
          <w:rFonts w:ascii="Verdana" w:eastAsia="Arial" w:hAnsi="Verdana" w:cs="Arial"/>
          <w:sz w:val="20"/>
          <w:szCs w:val="20"/>
          <w:lang w:eastAsia="es-ES" w:bidi="es-ES"/>
        </w:rPr>
        <w:lastRenderedPageBreak/>
        <w:t>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D61E29">
        <w:rPr>
          <w:rFonts w:ascii="Verdana" w:eastAsia="Arial" w:hAnsi="Verdana" w:cs="Arial"/>
          <w:sz w:val="20"/>
          <w:szCs w:val="20"/>
          <w:vertAlign w:val="superscript"/>
          <w:lang w:eastAsia="es-ES" w:bidi="es-ES"/>
        </w:rPr>
        <w:footnoteReference w:id="10"/>
      </w:r>
    </w:p>
    <w:p w14:paraId="65F0E8BF" w14:textId="77777777" w:rsidR="008A1CF6" w:rsidRPr="00D61E29" w:rsidRDefault="008A1CF6" w:rsidP="008A1CF6">
      <w:pPr>
        <w:widowControl w:val="0"/>
        <w:autoSpaceDE w:val="0"/>
        <w:autoSpaceDN w:val="0"/>
        <w:spacing w:after="0" w:line="276" w:lineRule="auto"/>
        <w:ind w:left="709" w:right="709"/>
        <w:jc w:val="both"/>
        <w:rPr>
          <w:rFonts w:ascii="Verdana" w:eastAsia="Arial" w:hAnsi="Verdana" w:cs="Arial"/>
          <w:sz w:val="20"/>
          <w:szCs w:val="20"/>
          <w:lang w:eastAsia="es-ES" w:bidi="es-ES"/>
        </w:rPr>
      </w:pPr>
    </w:p>
    <w:p w14:paraId="661DE69D" w14:textId="62D194B8" w:rsidR="008A1CF6" w:rsidRPr="00947721" w:rsidRDefault="008A1CF6" w:rsidP="00B92E7C">
      <w:pPr>
        <w:autoSpaceDE w:val="0"/>
        <w:autoSpaceDN w:val="0"/>
        <w:adjustRightInd w:val="0"/>
        <w:spacing w:after="120" w:line="276" w:lineRule="auto"/>
        <w:ind w:firstLine="708"/>
        <w:jc w:val="both"/>
        <w:rPr>
          <w:rFonts w:ascii="Verdana" w:hAnsi="Verdana" w:cs="BCDHEE+Verdana"/>
          <w:color w:val="000000"/>
        </w:rPr>
      </w:pPr>
      <w:r w:rsidRPr="00947721">
        <w:rPr>
          <w:rFonts w:ascii="Verdana" w:hAnsi="Verdana" w:cs="BCDHEE+Verdana"/>
          <w:color w:val="000000"/>
        </w:rPr>
        <w:t xml:space="preserve">Finalmente, sobre las fechas en que aplica la Ley de </w:t>
      </w:r>
      <w:r w:rsidR="00E75C6D" w:rsidRPr="00E75C6D">
        <w:rPr>
          <w:rFonts w:ascii="Verdana" w:hAnsi="Verdana" w:cs="BCDHEE+Verdana"/>
          <w:color w:val="000000"/>
        </w:rPr>
        <w:t>Garantías Elecotrales</w:t>
      </w:r>
      <w:r w:rsidRPr="00947721">
        <w:rPr>
          <w:rFonts w:ascii="Verdana" w:hAnsi="Verdana" w:cs="BCDHEE+Verdana"/>
          <w:color w:val="000000"/>
        </w:rPr>
        <w:t>, se debe tener en cuenta que el Consejo Nacional Electoral mediante Resolución No. 2581 del 5 de marzo de 2025 fijó el calendario electoral para las elecciones al Congreso de la República que serán el 8 de marzo de 2026</w:t>
      </w:r>
      <w:r>
        <w:rPr>
          <w:rFonts w:ascii="Verdana" w:hAnsi="Verdana" w:cs="BCDHEE+Verdana"/>
          <w:color w:val="000000"/>
        </w:rPr>
        <w:t>. E</w:t>
      </w:r>
      <w:r w:rsidRPr="00947721">
        <w:rPr>
          <w:rFonts w:ascii="Verdana" w:hAnsi="Verdana" w:cs="BCDHEE+Verdana"/>
          <w:color w:val="000000"/>
        </w:rPr>
        <w:t>n esa medida, de acuerdo con el artículo 38 de la Ley 996 de 2005, la restricción inici</w:t>
      </w:r>
      <w:r>
        <w:rPr>
          <w:rFonts w:ascii="Verdana" w:hAnsi="Verdana" w:cs="BCDHEE+Verdana"/>
          <w:color w:val="000000"/>
        </w:rPr>
        <w:t>ó</w:t>
      </w:r>
      <w:r w:rsidRPr="00947721">
        <w:rPr>
          <w:rFonts w:ascii="Verdana" w:hAnsi="Verdana" w:cs="BCDHEE+Verdana"/>
          <w:color w:val="000000"/>
        </w:rPr>
        <w:t xml:space="preserve"> el 8 de noviembre de 2025, es decir, </w:t>
      </w:r>
      <w:r>
        <w:rPr>
          <w:rFonts w:ascii="Verdana" w:hAnsi="Verdana" w:cs="BCDHEE+Verdana"/>
          <w:color w:val="000000"/>
        </w:rPr>
        <w:t>cuatro (</w:t>
      </w:r>
      <w:r w:rsidRPr="00947721">
        <w:rPr>
          <w:rFonts w:ascii="Verdana" w:hAnsi="Verdana" w:cs="BCDHEE+Verdana"/>
          <w:color w:val="000000"/>
        </w:rPr>
        <w:t>4</w:t>
      </w:r>
      <w:r>
        <w:rPr>
          <w:rFonts w:ascii="Verdana" w:hAnsi="Verdana" w:cs="BCDHEE+Verdana"/>
          <w:color w:val="000000"/>
        </w:rPr>
        <w:t>)</w:t>
      </w:r>
      <w:r w:rsidRPr="00947721">
        <w:rPr>
          <w:rFonts w:ascii="Verdana" w:hAnsi="Verdana" w:cs="BCDHEE+Verdana"/>
          <w:color w:val="000000"/>
        </w:rPr>
        <w:t xml:space="preserve">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2424FF36" w14:textId="77777777" w:rsidR="008A1CF6" w:rsidRPr="00B92E7C" w:rsidRDefault="008A1CF6" w:rsidP="008A1CF6">
      <w:pPr>
        <w:spacing w:after="120" w:line="276" w:lineRule="auto"/>
        <w:ind w:firstLine="708"/>
        <w:jc w:val="both"/>
        <w:rPr>
          <w:rFonts w:ascii="Verdana" w:hAnsi="Verdana" w:cs="BCDHEE+Verdana"/>
          <w:color w:val="000000"/>
        </w:rPr>
      </w:pPr>
      <w:r w:rsidRPr="00DE5508">
        <w:rPr>
          <w:rFonts w:ascii="Verdana" w:hAnsi="Verdana" w:cs="BCDHEE+Verdana"/>
          <w:color w:val="000000"/>
        </w:rPr>
        <w:t xml:space="preserve">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Pr>
          <w:rFonts w:ascii="Verdana" w:hAnsi="Verdana" w:cs="BCDHEE+Verdana"/>
          <w:color w:val="000000"/>
        </w:rPr>
        <w:t>cuatro (</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anteriores a la elección presidencial, es decir desde el 31 de enero de 2026 y hasta el momento de la celebración de la segunda vuelta, si fuere el caso, queda prohibida la contratación directa por parte de todos los entes del Estado</w:t>
      </w:r>
      <w:r w:rsidRPr="00B92E7C">
        <w:rPr>
          <w:rFonts w:ascii="Verdana" w:hAnsi="Verdana" w:cs="BCDHEE+Verdana"/>
          <w:color w:val="000000"/>
        </w:rPr>
        <w:t>.</w:t>
      </w:r>
    </w:p>
    <w:p w14:paraId="3A5F7CDB" w14:textId="77777777" w:rsidR="008A1CF6" w:rsidRPr="00FF007A" w:rsidRDefault="008A1CF6" w:rsidP="008A1CF6">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w:t>
      </w:r>
      <w:r w:rsidRPr="00FF007A">
        <w:rPr>
          <w:rFonts w:ascii="Verdana" w:eastAsia="Arial" w:hAnsi="Verdana" w:cs="Arial"/>
          <w:bCs/>
          <w:color w:val="000000" w:themeColor="text1"/>
        </w:rPr>
        <w:lastRenderedPageBreak/>
        <w:t>caso, será relevante determinar si la contratación del</w:t>
      </w:r>
      <w:r>
        <w:rPr>
          <w:rFonts w:ascii="Verdana" w:eastAsia="Arial" w:hAnsi="Verdana" w:cs="Arial"/>
          <w:bCs/>
          <w:color w:val="000000" w:themeColor="text1"/>
        </w:rPr>
        <w:t xml:space="preserve"> Plan de Salud Pública de Intervenciones Colectivas</w:t>
      </w:r>
      <w:r>
        <w:rPr>
          <w:rStyle w:val="Refdenotaalpie"/>
          <w:rFonts w:ascii="Verdana" w:eastAsia="Arial" w:hAnsi="Verdana" w:cs="Arial"/>
          <w:bCs/>
          <w:color w:val="000000" w:themeColor="text1"/>
        </w:rPr>
        <w:footnoteReference w:id="11"/>
      </w:r>
      <w:r>
        <w:rPr>
          <w:rFonts w:ascii="Verdana" w:eastAsia="Arial" w:hAnsi="Verdana" w:cs="Arial"/>
          <w:bCs/>
          <w:color w:val="000000" w:themeColor="text1"/>
        </w:rPr>
        <w:t xml:space="preserve"> -</w:t>
      </w:r>
      <w:r w:rsidRPr="00FF007A">
        <w:rPr>
          <w:rFonts w:ascii="Verdana" w:eastAsia="Arial" w:hAnsi="Verdana" w:cs="Arial"/>
          <w:bCs/>
          <w:color w:val="000000" w:themeColor="text1"/>
        </w:rPr>
        <w:t>PIC</w:t>
      </w:r>
      <w:r>
        <w:rPr>
          <w:rStyle w:val="Refdenotaalpie"/>
          <w:rFonts w:ascii="Verdana" w:eastAsia="Arial" w:hAnsi="Verdana" w:cs="Arial"/>
          <w:bCs/>
          <w:color w:val="000000" w:themeColor="text1"/>
        </w:rPr>
        <w:footnoteReference w:id="12"/>
      </w:r>
      <w:r>
        <w:rPr>
          <w:rFonts w:ascii="Verdana" w:eastAsia="Arial" w:hAnsi="Verdana" w:cs="Arial"/>
          <w:bCs/>
          <w:color w:val="000000" w:themeColor="text1"/>
        </w:rPr>
        <w:t>-</w:t>
      </w:r>
      <w:r w:rsidRPr="00FF007A">
        <w:rPr>
          <w:rFonts w:ascii="Verdana" w:eastAsia="Arial" w:hAnsi="Verdana" w:cs="Arial"/>
          <w:bCs/>
          <w:color w:val="000000" w:themeColor="text1"/>
        </w:rPr>
        <w:t xml:space="preserve"> se realiza con ocasión a una “emergencia </w:t>
      </w:r>
      <w:r w:rsidRPr="00FF007A">
        <w:rPr>
          <w:rFonts w:ascii="Verdana" w:eastAsia="Arial" w:hAnsi="Verdana" w:cs="Arial"/>
          <w:bCs/>
          <w:color w:val="000000" w:themeColor="text1"/>
        </w:rPr>
        <w:lastRenderedPageBreak/>
        <w:t xml:space="preserve">sanitaria” o si es llevada a cabo por “entidades sanitarias u hospitalarias”. De ser así, la entidad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p>
    <w:p w14:paraId="7C45A6E9" w14:textId="77777777" w:rsidR="008A1CF6" w:rsidRPr="00FF007A" w:rsidRDefault="008A1CF6" w:rsidP="008A1CF6">
      <w:pPr>
        <w:spacing w:before="120" w:after="120" w:line="276" w:lineRule="auto"/>
        <w:jc w:val="both"/>
        <w:rPr>
          <w:rFonts w:ascii="Verdana" w:eastAsia="Arial" w:hAnsi="Verdana" w:cs="Arial"/>
          <w:bCs/>
          <w:color w:val="000000" w:themeColor="text1"/>
        </w:rPr>
      </w:pPr>
      <w:r w:rsidRPr="00FF007A">
        <w:rPr>
          <w:rFonts w:ascii="Verdana" w:eastAsia="Arial" w:hAnsi="Verdana" w:cs="Arial"/>
          <w:bCs/>
          <w:color w:val="000000" w:themeColor="text1"/>
        </w:rPr>
        <w:tab/>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es necesario verificar si la contratación del PIC es llevada a cabo por “Alcaldes, Gobernadores, Secretarios, Gerentes y Directores de las entidades del orden municipal, departamental o distrital”; así como determinar si lo que pretende adelantar es </w:t>
      </w:r>
      <w:r w:rsidRPr="00FF007A">
        <w:rPr>
          <w:rFonts w:ascii="Verdana" w:eastAsia="Arial" w:hAnsi="Verdana" w:cs="Arial"/>
          <w:bCs/>
          <w:color w:val="000000" w:themeColor="text1"/>
        </w:rPr>
        <w:lastRenderedPageBreak/>
        <w:t xml:space="preserve">un convenio interadministrativo para la ejecución de recursos públicos. Cuando este sea el caso, operará la restricción señalada en el parágrafo y estará prohibido llevar a cabo la contratación </w:t>
      </w:r>
      <w:r>
        <w:rPr>
          <w:rFonts w:ascii="Verdana" w:eastAsia="Arial" w:hAnsi="Verdana" w:cs="Arial"/>
          <w:bCs/>
          <w:color w:val="000000" w:themeColor="text1"/>
        </w:rPr>
        <w:t xml:space="preserve">de convenios </w:t>
      </w:r>
      <w:r w:rsidRPr="00FF007A">
        <w:rPr>
          <w:rFonts w:ascii="Verdana" w:eastAsia="Arial" w:hAnsi="Verdana" w:cs="Arial"/>
          <w:bCs/>
          <w:color w:val="000000" w:themeColor="text1"/>
        </w:rPr>
        <w:t xml:space="preserve">en los cuatro meses anteriores a cualquier contienda electoral. Es importante resaltar que para esta prohibición la norma no contempló ninguna excepción, de modo que aplicará aunque se trate de entidades sanitarias u hospitalarias. </w:t>
      </w:r>
    </w:p>
    <w:p w14:paraId="1721322E" w14:textId="77777777" w:rsidR="008A1CF6" w:rsidRPr="00FF007A" w:rsidRDefault="008A1CF6" w:rsidP="008A1CF6">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el tema de su consulta, mediante la Resolución 04 del 12 de </w:t>
      </w:r>
      <w:r>
        <w:rPr>
          <w:rFonts w:ascii="Verdana" w:eastAsia="Arial" w:hAnsi="Verdana" w:cs="Arial"/>
          <w:bCs/>
          <w:color w:val="000000" w:themeColor="text1"/>
        </w:rPr>
        <w:t>e</w:t>
      </w:r>
      <w:r w:rsidRPr="00FF007A">
        <w:rPr>
          <w:rFonts w:ascii="Verdana" w:eastAsia="Arial" w:hAnsi="Verdana" w:cs="Arial"/>
          <w:bCs/>
          <w:color w:val="000000" w:themeColor="text1"/>
        </w:rPr>
        <w:t>nero de 2018, el Ministerio de Salud y Protección Social dio “instrucciones para la ejecución de las acciones en salud pública en el marco de la Ley de Garantías electorales”. Respecto de la ejecución del Plan de Intervenciones Colectivas (PIC), el Ministerio enfatizó que las entidades deben garantizar los tr</w:t>
      </w:r>
      <w:r>
        <w:rPr>
          <w:rFonts w:ascii="Verdana" w:eastAsia="Arial" w:hAnsi="Verdana" w:cs="Arial"/>
          <w:bCs/>
          <w:color w:val="000000" w:themeColor="text1"/>
        </w:rPr>
        <w:t>á</w:t>
      </w:r>
      <w:r w:rsidRPr="00FF007A">
        <w:rPr>
          <w:rFonts w:ascii="Verdana" w:eastAsia="Arial" w:hAnsi="Verdana" w:cs="Arial"/>
          <w:bCs/>
          <w:color w:val="000000" w:themeColor="text1"/>
        </w:rPr>
        <w:t xml:space="preserve">mites contractuales y la planeación para la continuidad del programa. Además, señaló que durante el periodo de prohibición del artículo 33 de la Ley 996 de 2005 “se exceptúan las acciones que la entidad territorial requiera contratar como entidad sanitaria” con el fin de no paralizar su funcionamiento o interrumpir la prestación de los servicios públicos de carácter esencial, con lo cual resalto la excepción aplicable a estas entidades. Sobre esto último, estableció como criterios para determinar la aplicación de la excepción en materia de salud: i) que la contratación sea necesaria para solventar las eventuales situaciones de urgencia en salud, y ii) que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 </w:t>
      </w:r>
    </w:p>
    <w:p w14:paraId="6F8EDA29" w14:textId="77777777" w:rsidR="008A1CF6" w:rsidRPr="00FF007A" w:rsidRDefault="008A1CF6" w:rsidP="008A1CF6">
      <w:pPr>
        <w:spacing w:before="120" w:after="120" w:line="276" w:lineRule="auto"/>
        <w:ind w:firstLine="709"/>
        <w:jc w:val="both"/>
        <w:rPr>
          <w:rFonts w:ascii="Verdana" w:eastAsia="Times New Roman" w:hAnsi="Verdana" w:cs="Arial"/>
          <w:bCs/>
          <w:lang w:eastAsia="es-CO"/>
        </w:rPr>
      </w:pPr>
      <w:r w:rsidRPr="00FF007A">
        <w:rPr>
          <w:rFonts w:ascii="Verdana" w:eastAsia="Arial" w:hAnsi="Verdana" w:cs="Arial"/>
          <w:bCs/>
          <w:color w:val="000000" w:themeColor="text1"/>
        </w:rPr>
        <w:t xml:space="preserve">Esto último es acorde con </w:t>
      </w:r>
      <w:r w:rsidRPr="00FF007A">
        <w:rPr>
          <w:rFonts w:ascii="Verdana" w:eastAsia="Times New Roman" w:hAnsi="Verdana" w:cs="Arial"/>
          <w:bCs/>
          <w:lang w:eastAsia="es-CO"/>
        </w:rPr>
        <w:t>lo manifestado por esta Agencia, en el sentido de que las prórrogas, modificaciones o adiciones de los contratos suscritos antes de la entrada en vigencia de las prohibiciones del artículo 33 y el parágrafo del artículo 38, así como la cesión de los mismos, pueden tener lugar en el período de aplicación de la Ley de Garantías Electorales, sin que ello haga nugatoria la restricción de la contratación directa y siempre que cumplan los principios de planeación, transparencia y responsabilidad</w:t>
      </w:r>
      <w:r w:rsidRPr="00FF007A">
        <w:rPr>
          <w:rFonts w:ascii="Verdana" w:eastAsia="Times New Roman" w:hAnsi="Verdana" w:cs="Arial"/>
          <w:bCs/>
          <w:vertAlign w:val="superscript"/>
          <w:lang w:eastAsia="es-CO"/>
        </w:rPr>
        <w:footnoteReference w:id="13"/>
      </w:r>
      <w:r w:rsidRPr="00FF007A">
        <w:rPr>
          <w:rFonts w:ascii="Verdana" w:eastAsia="Times New Roman" w:hAnsi="Verdana" w:cs="Arial"/>
          <w:bCs/>
          <w:lang w:eastAsia="es-CO"/>
        </w:rPr>
        <w:t>. A</w:t>
      </w:r>
      <w:r>
        <w:rPr>
          <w:rFonts w:ascii="Verdana" w:eastAsia="Times New Roman" w:hAnsi="Verdana" w:cs="Arial"/>
          <w:bCs/>
          <w:lang w:eastAsia="es-CO"/>
        </w:rPr>
        <w:t>dicionalmente</w:t>
      </w:r>
      <w:r w:rsidRPr="00FF007A" w:rsidDel="003E56B9">
        <w:rPr>
          <w:rFonts w:ascii="Verdana" w:eastAsia="Times New Roman" w:hAnsi="Verdana" w:cs="Arial"/>
          <w:bCs/>
          <w:lang w:eastAsia="es-CO"/>
        </w:rPr>
        <w:t xml:space="preserve"> </w:t>
      </w:r>
      <w:r w:rsidRPr="00FF007A">
        <w:rPr>
          <w:rFonts w:ascii="Verdana" w:eastAsia="Times New Roman" w:hAnsi="Verdana" w:cs="Arial"/>
          <w:bCs/>
          <w:lang w:eastAsia="es-CO"/>
        </w:rPr>
        <w:t xml:space="preserve">es posible que </w:t>
      </w:r>
      <w:r>
        <w:rPr>
          <w:rFonts w:ascii="Verdana" w:eastAsia="Times New Roman" w:hAnsi="Verdana" w:cs="Arial"/>
          <w:bCs/>
          <w:lang w:eastAsia="es-CO"/>
        </w:rPr>
        <w:t xml:space="preserve">los </w:t>
      </w:r>
      <w:r w:rsidRPr="00FF007A">
        <w:rPr>
          <w:rFonts w:ascii="Verdana" w:eastAsia="Times New Roman" w:hAnsi="Verdana" w:cs="Arial"/>
          <w:bCs/>
          <w:lang w:eastAsia="es-CO"/>
        </w:rPr>
        <w:lastRenderedPageBreak/>
        <w:t xml:space="preserve">contratos celebrados previamente se continúen ejecutando con normalidad y, en consecuencia, se realicen los pagos en las condiciones pactadas. </w:t>
      </w:r>
    </w:p>
    <w:p w14:paraId="565453B9" w14:textId="77777777" w:rsidR="008A1CF6" w:rsidRDefault="008A1CF6" w:rsidP="008A1CF6">
      <w:pPr>
        <w:spacing w:before="120" w:after="0" w:line="276" w:lineRule="auto"/>
        <w:ind w:firstLine="709"/>
        <w:jc w:val="both"/>
        <w:rPr>
          <w:rFonts w:ascii="Verdana" w:eastAsia="Arial" w:hAnsi="Verdana" w:cs="Arial"/>
          <w:bCs/>
          <w:color w:val="000000" w:themeColor="text1"/>
        </w:rPr>
      </w:pPr>
      <w:r w:rsidRPr="00FF007A">
        <w:rPr>
          <w:rFonts w:ascii="Verdana" w:eastAsia="Times New Roman" w:hAnsi="Verdana" w:cs="Arial"/>
          <w:bCs/>
          <w:lang w:eastAsia="es-CO"/>
        </w:rPr>
        <w:t xml:space="preserve">Con respecto a la prohibición del parágrafo del artículo 38, es importante resaltar que el Ministerio de Salud y Protección Social </w:t>
      </w:r>
      <w:r w:rsidRPr="00FF007A">
        <w:rPr>
          <w:rFonts w:ascii="Verdana" w:eastAsia="Arial" w:hAnsi="Verdana" w:cs="Arial"/>
          <w:bCs/>
          <w:color w:val="000000" w:themeColor="text1"/>
        </w:rPr>
        <w:t>dispuso que, con el fin de garantizar la continuidad de las intervenciones de promoción de salud y prevención, “se debe acudir a las demás modalidades de contratación autorizadas por la ley de manera que no se afecte la ejecución de las intervenciones colectivas a cargo de las entidades territoriales”</w:t>
      </w:r>
      <w:r w:rsidRPr="00FF007A">
        <w:rPr>
          <w:rStyle w:val="Refdenotaalpie"/>
          <w:rFonts w:ascii="Verdana" w:eastAsia="Arial" w:hAnsi="Verdana" w:cs="Arial"/>
          <w:bCs/>
          <w:color w:val="000000" w:themeColor="text1"/>
        </w:rPr>
        <w:footnoteReference w:id="14"/>
      </w:r>
      <w:r w:rsidRPr="00FF007A">
        <w:rPr>
          <w:rFonts w:ascii="Verdana" w:eastAsia="Arial" w:hAnsi="Verdana" w:cs="Arial"/>
          <w:bCs/>
          <w:color w:val="000000" w:themeColor="text1"/>
        </w:rPr>
        <w:t xml:space="preserve">. Lo anterior, considerando que esta prohibición no fijó excepción alguna para su aplicación. </w:t>
      </w:r>
    </w:p>
    <w:p w14:paraId="7C1CD1B8" w14:textId="77777777" w:rsidR="008A1CF6" w:rsidRDefault="008A1CF6" w:rsidP="008A1CF6">
      <w:pPr>
        <w:spacing w:before="120" w:after="0" w:line="276" w:lineRule="auto"/>
        <w:ind w:firstLine="709"/>
        <w:jc w:val="both"/>
        <w:rPr>
          <w:rFonts w:ascii="Verdana" w:eastAsia="Arial" w:hAnsi="Verdana" w:cs="Arial"/>
          <w:bCs/>
          <w:color w:val="000000" w:themeColor="text1"/>
        </w:rPr>
      </w:pPr>
      <w:r w:rsidRPr="00FF007A">
        <w:rPr>
          <w:rFonts w:ascii="Verdana" w:eastAsia="Calibri" w:hAnsi="Verdana" w:cs="Arial"/>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78A68729" w14:textId="77777777" w:rsidR="008A1CF6" w:rsidRPr="006018C8" w:rsidRDefault="008A1CF6" w:rsidP="008A1CF6">
      <w:pPr>
        <w:spacing w:before="120" w:after="0" w:line="276" w:lineRule="auto"/>
        <w:ind w:firstLine="709"/>
        <w:jc w:val="both"/>
        <w:rPr>
          <w:rFonts w:ascii="Verdana" w:eastAsia="Arial" w:hAnsi="Verdana" w:cs="Arial"/>
          <w:bCs/>
          <w:color w:val="000000" w:themeColor="text1"/>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c</w:t>
      </w:r>
      <w:r>
        <w:rPr>
          <w:rFonts w:ascii="Verdana" w:hAnsi="Verdana" w:cs="Arial"/>
          <w:lang w:eastAsia="es-CO"/>
        </w:rPr>
        <w:t>elebración de convenios</w:t>
      </w:r>
      <w:r w:rsidRPr="00FF007A">
        <w:rPr>
          <w:rFonts w:ascii="Verdana" w:hAnsi="Verdana" w:cs="Arial"/>
          <w:lang w:eastAsia="es-CO"/>
        </w:rPr>
        <w:t xml:space="preserve"> interadministrativ</w:t>
      </w:r>
      <w:r>
        <w:rPr>
          <w:rFonts w:ascii="Verdana" w:hAnsi="Verdana" w:cs="Arial"/>
          <w:lang w:eastAsia="es-CO"/>
        </w:rPr>
        <w:t>os</w:t>
      </w:r>
      <w:r w:rsidRPr="00FF007A">
        <w:rPr>
          <w:rFonts w:ascii="Verdana" w:hAnsi="Verdana" w:cs="Arial"/>
          <w:lang w:eastAsia="es-CO"/>
        </w:rPr>
        <w:t>, es decir, aquellas que no se encuentren restringidas por el artículo 33 o el parágrafo del artículo 38 de la Ley 996 de 2005.</w:t>
      </w:r>
    </w:p>
    <w:p w14:paraId="279C31E6" w14:textId="77777777" w:rsidR="008A1CF6" w:rsidRDefault="008A1CF6" w:rsidP="008A1CF6">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w:t>
      </w:r>
      <w:r>
        <w:rPr>
          <w:rFonts w:ascii="Verdana" w:hAnsi="Verdana"/>
        </w:rPr>
        <w:lastRenderedPageBreak/>
        <w:t xml:space="preserve">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E32FDBA" w14:textId="77777777" w:rsidR="008A1CF6" w:rsidRDefault="008A1CF6" w:rsidP="008A1CF6">
      <w:pPr>
        <w:spacing w:line="276" w:lineRule="auto"/>
        <w:jc w:val="both"/>
        <w:rPr>
          <w:rFonts w:ascii="Verdana" w:hAnsi="Verdana"/>
        </w:rPr>
      </w:pPr>
    </w:p>
    <w:p w14:paraId="753C92BF" w14:textId="77777777" w:rsidR="008A1CF6" w:rsidRPr="009A68AF" w:rsidRDefault="008A1CF6" w:rsidP="008A1CF6">
      <w:pPr>
        <w:spacing w:line="276" w:lineRule="auto"/>
        <w:jc w:val="both"/>
        <w:rPr>
          <w:rFonts w:ascii="Verdana" w:eastAsia="Calibri" w:hAnsi="Verdana" w:cs="Arial"/>
          <w:color w:val="000000" w:themeColor="text1"/>
        </w:rPr>
      </w:pPr>
      <w:r w:rsidRPr="009A68AF">
        <w:rPr>
          <w:rFonts w:ascii="Verdana" w:hAnsi="Verdana"/>
        </w:rPr>
        <w:t xml:space="preserve">ii. </w:t>
      </w:r>
      <w:r w:rsidRPr="009A68AF">
        <w:rPr>
          <w:rFonts w:ascii="Verdana" w:eastAsia="Calibri" w:hAnsi="Verdana" w:cs="Arial"/>
          <w:color w:val="000000" w:themeColor="text1"/>
        </w:rPr>
        <w:t>En la actualidad, la norma vigente para interpretar el alcance de la causal de contratación directa dispuesta en el artículo 2, numeral 4, literal g), de la Ley 1150 de 2007 está compilada en el artículo 2.2.1.2.1.4.8 del Decreto 1082 de 2015, el cual dispone lo siguiente:</w:t>
      </w:r>
    </w:p>
    <w:p w14:paraId="2FD6A2D9" w14:textId="77777777" w:rsidR="008A1CF6" w:rsidRPr="009A68AF" w:rsidRDefault="008A1CF6" w:rsidP="008A1CF6">
      <w:pPr>
        <w:ind w:left="1560" w:right="709"/>
        <w:jc w:val="both"/>
        <w:rPr>
          <w:rFonts w:ascii="Verdana" w:eastAsia="Calibri" w:hAnsi="Verdana" w:cs="Arial"/>
          <w:color w:val="000000" w:themeColor="text1"/>
          <w:sz w:val="20"/>
          <w:szCs w:val="20"/>
        </w:rPr>
      </w:pPr>
      <w:r w:rsidRPr="009A68AF">
        <w:rPr>
          <w:rFonts w:ascii="Verdana" w:eastAsia="Calibri" w:hAnsi="Verdana" w:cs="Arial"/>
          <w:color w:val="000000" w:themeColor="text1"/>
          <w:sz w:val="20"/>
          <w:szCs w:val="20"/>
        </w:rPr>
        <w:t>“Artículo 2.2.1.2.1.4.8. Contratación directa cuando no exista pluralidad de oferentes. Se considera que no existe pluralidad de oferentes cuando existe solamente una persona que puede proveer el bien o el servicio por ser titular de los derechos de propiedad industrial o de los derechos de autor, o por ser proveedor exclusivo en el territorio nacional. Estas circunstancias deben constar en el estudio previo que soporta la contratación.”</w:t>
      </w:r>
    </w:p>
    <w:p w14:paraId="5832233E" w14:textId="77777777" w:rsidR="008A1CF6" w:rsidRPr="009A68AF" w:rsidRDefault="008A1CF6" w:rsidP="008A1CF6">
      <w:pPr>
        <w:spacing w:after="120" w:line="276" w:lineRule="auto"/>
        <w:ind w:firstLine="708"/>
        <w:jc w:val="both"/>
        <w:rPr>
          <w:rFonts w:ascii="Verdana" w:eastAsia="Calibri" w:hAnsi="Verdana" w:cs="Arial"/>
          <w:color w:val="000000" w:themeColor="text1"/>
        </w:rPr>
      </w:pPr>
      <w:bookmarkStart w:id="3" w:name="_Hlk45532127"/>
      <w:r w:rsidRPr="009A68AF">
        <w:rPr>
          <w:rFonts w:ascii="Verdana" w:eastAsia="Calibri" w:hAnsi="Verdana" w:cs="Arial"/>
          <w:color w:val="000000" w:themeColor="text1"/>
        </w:rPr>
        <w:t xml:space="preserve">La norma consagra dos (2) hipótesis. </w:t>
      </w:r>
      <w:r w:rsidRPr="009A68AF">
        <w:rPr>
          <w:rFonts w:ascii="Verdana" w:eastAsia="Calibri" w:hAnsi="Verdana" w:cs="Arial"/>
          <w:i/>
          <w:iCs/>
          <w:color w:val="000000" w:themeColor="text1"/>
        </w:rPr>
        <w:t>En primer lugar</w:t>
      </w:r>
      <w:r w:rsidRPr="009A68AF">
        <w:rPr>
          <w:rFonts w:ascii="Verdana" w:eastAsia="Calibri" w:hAnsi="Verdana" w:cs="Arial"/>
          <w:color w:val="000000" w:themeColor="text1"/>
        </w:rPr>
        <w:t xml:space="preserve">, </w:t>
      </w:r>
      <w:bookmarkStart w:id="4" w:name="_Hlk45627093"/>
      <w:r w:rsidRPr="009A68AF">
        <w:rPr>
          <w:rFonts w:ascii="Verdana" w:eastAsia="Calibri" w:hAnsi="Verdana" w:cs="Arial"/>
          <w:color w:val="000000" w:themeColor="text1"/>
        </w:rPr>
        <w:t xml:space="preserve">no existe pluralidad de oferentes cuando solo una persona puede proveer el bien o servicio por ser titular de los derechos de propiedad industrial o de los derechos de autor. De esta manera, no basta con que sea la única persona capaz de ejecutar el contrato, pues la misma se debe justificar una situación de derecho que impida que otra lo haga de forma igual o similar. Para los proponentes, cada bien o servicio tiene características únicas frente a los de la competencia; sin embargo, desde el punto de vista del contratante, no existe mayor diferenciación entre los bienes y servicios cuando ninguno de los aspirantes tiene la titularidad de un derecho industrial o de autor. </w:t>
      </w:r>
    </w:p>
    <w:p w14:paraId="167ED525" w14:textId="77777777" w:rsidR="008A1CF6" w:rsidRPr="009A68AF" w:rsidRDefault="008A1CF6" w:rsidP="008A1CF6">
      <w:pPr>
        <w:spacing w:line="276" w:lineRule="auto"/>
        <w:ind w:firstLine="708"/>
        <w:jc w:val="both"/>
        <w:rPr>
          <w:rFonts w:ascii="Verdana" w:eastAsia="Calibri" w:hAnsi="Verdana" w:cs="Arial"/>
          <w:color w:val="000000" w:themeColor="text1"/>
        </w:rPr>
      </w:pPr>
      <w:bookmarkStart w:id="5" w:name="_Hlk45635593"/>
      <w:r w:rsidRPr="009A68AF">
        <w:rPr>
          <w:rFonts w:ascii="Verdana" w:eastAsia="Calibri" w:hAnsi="Verdana" w:cs="Arial"/>
          <w:color w:val="000000" w:themeColor="text1"/>
        </w:rPr>
        <w:t xml:space="preserve">Por ello, en la medida que la prestación no esté cubierta por derechos de la naturaleza anteriormente señalada, posibilita que la entidad satisfaga sus necesidades con equivalentes o sustitutos, ya que la presión de la competencia aumenta la oferta y disminuye los costos de adquisición. Para la doctrina, en ausencia de una barrera de entrada –como la que se concreta con los derechos de propiedad industrial o de autor– es necesario aplicar el principio de </w:t>
      </w:r>
      <w:r w:rsidRPr="009A68AF">
        <w:rPr>
          <w:rFonts w:ascii="Verdana" w:eastAsia="Calibri" w:hAnsi="Verdana" w:cs="Arial"/>
          <w:color w:val="000000" w:themeColor="text1"/>
        </w:rPr>
        <w:lastRenderedPageBreak/>
        <w:t>concurrencia</w:t>
      </w:r>
      <w:bookmarkEnd w:id="4"/>
      <w:bookmarkEnd w:id="5"/>
      <w:r w:rsidRPr="009A68AF">
        <w:rPr>
          <w:rFonts w:ascii="Verdana" w:eastAsia="Calibri" w:hAnsi="Verdana" w:cs="Arial"/>
          <w:color w:val="000000" w:themeColor="text1"/>
        </w:rPr>
        <w:t>.</w:t>
      </w:r>
      <w:bookmarkEnd w:id="3"/>
      <w:r w:rsidRPr="009A68AF">
        <w:rPr>
          <w:rFonts w:ascii="Verdana" w:eastAsia="Calibri" w:hAnsi="Verdana" w:cs="Arial"/>
          <w:color w:val="000000" w:themeColor="text1"/>
        </w:rPr>
        <w:t xml:space="preserve"> Por ello, explica que es posible la contratación directa con el oferente que es titular de una marca o privilegio, agregando que:</w:t>
      </w:r>
    </w:p>
    <w:p w14:paraId="1AC3BB32" w14:textId="77777777" w:rsidR="008A1CF6" w:rsidRPr="009A68AF" w:rsidRDefault="008A1CF6" w:rsidP="008A1CF6">
      <w:pPr>
        <w:ind w:left="1276" w:right="709"/>
        <w:jc w:val="both"/>
        <w:rPr>
          <w:rFonts w:ascii="Verdana" w:eastAsia="Calibri" w:hAnsi="Verdana" w:cs="Arial"/>
          <w:color w:val="000000" w:themeColor="text1"/>
          <w:sz w:val="20"/>
          <w:szCs w:val="20"/>
        </w:rPr>
      </w:pPr>
      <w:r w:rsidRPr="009A68AF">
        <w:rPr>
          <w:rFonts w:ascii="Verdana" w:eastAsia="Calibri" w:hAnsi="Verdana" w:cs="Arial"/>
          <w:color w:val="000000" w:themeColor="text1"/>
          <w:sz w:val="20"/>
          <w:szCs w:val="20"/>
        </w:rPr>
        <w:t>“La tutela de la propiedad intelectual del oferente o de un privilegio otorgado en modo expreso, vuelven imposible proceder por licitación, ya que solamente la persona, entidad o empresa que posee el privilegio de invención de invención o fabricación, podría presentarse formulando ofertas. Desde luego no habría pluralidad de concurrentes, ni puja que hiciera posible el cumplimiento de las finalidades básicas perseguidas por la licitación</w:t>
      </w:r>
      <w:r w:rsidRPr="009A68AF">
        <w:rPr>
          <w:rStyle w:val="Refdenotaalpie"/>
          <w:rFonts w:ascii="Verdana" w:eastAsia="Calibri" w:hAnsi="Verdana" w:cs="Arial"/>
          <w:color w:val="000000" w:themeColor="text1"/>
          <w:sz w:val="20"/>
          <w:szCs w:val="20"/>
        </w:rPr>
        <w:footnoteReference w:id="15"/>
      </w:r>
      <w:r w:rsidRPr="009A68AF">
        <w:rPr>
          <w:rFonts w:ascii="Verdana" w:eastAsia="Calibri" w:hAnsi="Verdana" w:cs="Arial"/>
          <w:color w:val="000000" w:themeColor="text1"/>
          <w:sz w:val="20"/>
          <w:szCs w:val="20"/>
        </w:rPr>
        <w:t>.”</w:t>
      </w:r>
    </w:p>
    <w:p w14:paraId="61F11CF7" w14:textId="77777777" w:rsidR="008A1CF6" w:rsidRPr="009A68AF" w:rsidRDefault="008A1CF6" w:rsidP="00F60CF2">
      <w:pPr>
        <w:ind w:right="49" w:firstLine="708"/>
        <w:jc w:val="both"/>
        <w:rPr>
          <w:rFonts w:ascii="Verdana" w:eastAsia="Calibri" w:hAnsi="Verdana" w:cs="Arial"/>
          <w:color w:val="000000" w:themeColor="text1"/>
        </w:rPr>
      </w:pPr>
      <w:bookmarkStart w:id="6" w:name="_Hlk45532434"/>
      <w:r w:rsidRPr="009A68AF">
        <w:rPr>
          <w:rFonts w:ascii="Verdana" w:eastAsia="Calibri" w:hAnsi="Verdana" w:cs="Arial"/>
          <w:i/>
          <w:iCs/>
          <w:color w:val="000000" w:themeColor="text1"/>
        </w:rPr>
        <w:t>En segundo lugar</w:t>
      </w:r>
      <w:r w:rsidRPr="009A68AF">
        <w:rPr>
          <w:rFonts w:ascii="Verdana" w:eastAsia="Calibri" w:hAnsi="Verdana" w:cs="Arial"/>
          <w:color w:val="000000" w:themeColor="text1"/>
        </w:rPr>
        <w:t xml:space="preserve">, </w:t>
      </w:r>
      <w:bookmarkStart w:id="7" w:name="_Hlk45635630"/>
      <w:bookmarkStart w:id="8" w:name="_Hlk45627184"/>
      <w:r w:rsidRPr="009A68AF">
        <w:rPr>
          <w:rFonts w:ascii="Verdana" w:eastAsia="Calibri" w:hAnsi="Verdana" w:cs="Arial"/>
          <w:color w:val="000000" w:themeColor="text1"/>
        </w:rPr>
        <w:t>el artículo 2.2.1.2.1.4.8 del Decreto 1082 de 2015 dispone que tampoco existe pluralidad de oferentes cuando existe una sola persona que puede celebrar el contrato por ser proveedor exclusivo en el territorio nacional. A modo de ejemplo, esta causal se comprende en el marco de los contratos de colaboración empresarial –agencia, distribución, franquicia concesión comercial, etc.– que celebran los productores extranjeros con los proveedores nacionales, los cuales contienen usualmente cláusulas de exclusividad como elemento accidental del negocio</w:t>
      </w:r>
      <w:bookmarkEnd w:id="7"/>
      <w:r w:rsidRPr="009A68AF">
        <w:rPr>
          <w:rFonts w:ascii="Verdana" w:eastAsia="Calibri" w:hAnsi="Verdana" w:cs="Arial"/>
          <w:color w:val="000000" w:themeColor="text1"/>
        </w:rPr>
        <w:t xml:space="preserve">. </w:t>
      </w:r>
      <w:bookmarkStart w:id="9" w:name="_Hlk45635661"/>
    </w:p>
    <w:p w14:paraId="79F12B95" w14:textId="77777777" w:rsidR="008A1CF6" w:rsidRPr="009A68AF" w:rsidRDefault="008A1CF6" w:rsidP="00F60CF2">
      <w:pPr>
        <w:ind w:right="49" w:firstLine="708"/>
        <w:jc w:val="both"/>
        <w:rPr>
          <w:rFonts w:ascii="Verdana" w:eastAsia="Calibri" w:hAnsi="Verdana" w:cs="Arial"/>
          <w:color w:val="000000" w:themeColor="text1"/>
        </w:rPr>
      </w:pPr>
      <w:r w:rsidRPr="009A68AF">
        <w:rPr>
          <w:rFonts w:ascii="Verdana" w:eastAsia="Calibri" w:hAnsi="Verdana" w:cs="Arial"/>
          <w:color w:val="000000" w:themeColor="text1"/>
        </w:rPr>
        <w:t>Al igual que la hipótesis precedente, la presencia de un proveedor exclusivo supone una barrera de entrada para otros posibles oferentes, por lo que no es posible aplicar el principio de concurrencia. Sin embargo, para aplicar la causal de contratación directa, la exclusividad del proveedor debe cubrir el territorio nacional, pues –por ejemplo– si se limita a un municipio o un departamento, es posible encontrar proveedores de bienes y servicios similares o sustitutos en otros lugares del país, por lo que es necesario aplicar procedimientos de selección que permitan la pluralidad de oferentes</w:t>
      </w:r>
      <w:bookmarkEnd w:id="9"/>
      <w:r w:rsidRPr="009A68AF">
        <w:rPr>
          <w:rFonts w:ascii="Verdana" w:eastAsia="Calibri" w:hAnsi="Verdana" w:cs="Arial"/>
          <w:color w:val="000000" w:themeColor="text1"/>
        </w:rPr>
        <w:t>.</w:t>
      </w:r>
      <w:bookmarkEnd w:id="8"/>
      <w:r w:rsidRPr="009A68AF">
        <w:rPr>
          <w:rFonts w:ascii="Verdana" w:eastAsia="Calibri" w:hAnsi="Verdana" w:cs="Arial"/>
          <w:color w:val="000000" w:themeColor="text1"/>
        </w:rPr>
        <w:t xml:space="preserve"> </w:t>
      </w:r>
      <w:bookmarkEnd w:id="6"/>
      <w:r w:rsidRPr="009A68AF">
        <w:rPr>
          <w:rFonts w:ascii="Verdana" w:eastAsia="Calibri" w:hAnsi="Verdana" w:cs="Arial"/>
          <w:color w:val="000000" w:themeColor="text1"/>
        </w:rPr>
        <w:t xml:space="preserve"> </w:t>
      </w:r>
      <w:bookmarkStart w:id="10" w:name="_Hlk45532582"/>
      <w:bookmarkStart w:id="11" w:name="_Hlk45531535"/>
    </w:p>
    <w:p w14:paraId="3421FCFF" w14:textId="77777777" w:rsidR="008A1CF6" w:rsidRPr="009A68AF" w:rsidRDefault="008A1CF6" w:rsidP="00F60CF2">
      <w:pPr>
        <w:ind w:right="49" w:firstLine="708"/>
        <w:jc w:val="both"/>
        <w:rPr>
          <w:rFonts w:ascii="Verdana" w:eastAsia="Calibri" w:hAnsi="Verdana" w:cs="Arial"/>
          <w:color w:val="000000" w:themeColor="text1"/>
        </w:rPr>
      </w:pPr>
      <w:r w:rsidRPr="009A68AF">
        <w:rPr>
          <w:rFonts w:ascii="Verdana" w:eastAsia="Calibri" w:hAnsi="Verdana" w:cs="Arial"/>
          <w:color w:val="000000" w:themeColor="text1"/>
        </w:rPr>
        <w:t xml:space="preserve">Fuera de estas dos (2) situaciones, no es posible aplicar </w:t>
      </w:r>
      <w:bookmarkStart w:id="12" w:name="_Hlk45529265"/>
      <w:r w:rsidRPr="009A68AF">
        <w:rPr>
          <w:rFonts w:ascii="Verdana" w:eastAsia="Calibri" w:hAnsi="Verdana" w:cs="Arial"/>
          <w:color w:val="000000" w:themeColor="text1"/>
        </w:rPr>
        <w:t>el artículo 2, numeral 4, literal g), de la Ley 1150 de 2007</w:t>
      </w:r>
      <w:bookmarkEnd w:id="12"/>
      <w:r w:rsidRPr="009A68AF">
        <w:rPr>
          <w:rFonts w:ascii="Verdana" w:eastAsia="Calibri" w:hAnsi="Verdana" w:cs="Arial"/>
          <w:color w:val="000000" w:themeColor="text1"/>
        </w:rPr>
        <w:t xml:space="preserve">, ya que las normas citadas integran una causal de contratación directa que excepciona los mecanismos de selección objetiva por convocatoria pública definidos en el Estatuto General de </w:t>
      </w:r>
      <w:r w:rsidRPr="009A68AF">
        <w:rPr>
          <w:rFonts w:ascii="Verdana" w:eastAsia="Calibri" w:hAnsi="Verdana" w:cs="Arial"/>
          <w:color w:val="000000" w:themeColor="text1"/>
        </w:rPr>
        <w:lastRenderedPageBreak/>
        <w:t>Contratación de la Administración Pública, por lo que se interpretan restrictivamente, es decir, conforme al tenor literal de las normas</w:t>
      </w:r>
      <w:bookmarkEnd w:id="10"/>
      <w:r w:rsidRPr="009A68AF">
        <w:rPr>
          <w:rFonts w:ascii="Verdana" w:eastAsia="Calibri" w:hAnsi="Verdana" w:cs="Arial"/>
          <w:color w:val="000000" w:themeColor="text1"/>
        </w:rPr>
        <w:t>.</w:t>
      </w:r>
    </w:p>
    <w:bookmarkEnd w:id="11"/>
    <w:p w14:paraId="16F3A4DF" w14:textId="77777777" w:rsidR="008A1CF6" w:rsidRPr="00E61635" w:rsidRDefault="008A1CF6" w:rsidP="008A1CF6">
      <w:pPr>
        <w:widowControl w:val="0"/>
        <w:autoSpaceDE w:val="0"/>
        <w:autoSpaceDN w:val="0"/>
        <w:spacing w:after="0" w:line="276" w:lineRule="auto"/>
        <w:ind w:right="176" w:firstLine="708"/>
        <w:jc w:val="both"/>
        <w:rPr>
          <w:rFonts w:ascii="Verdana" w:hAnsi="Verdana"/>
        </w:rPr>
      </w:pPr>
    </w:p>
    <w:p w14:paraId="1C08B783" w14:textId="77777777" w:rsidR="008A1CF6" w:rsidRDefault="008A1CF6" w:rsidP="008A1CF6">
      <w:pPr>
        <w:widowControl w:val="0"/>
        <w:autoSpaceDE w:val="0"/>
        <w:autoSpaceDN w:val="0"/>
        <w:spacing w:after="0" w:line="276" w:lineRule="auto"/>
        <w:jc w:val="both"/>
        <w:rPr>
          <w:rFonts w:ascii="Verdana" w:hAnsi="Verdana" w:cs="Arial"/>
        </w:rPr>
      </w:pPr>
    </w:p>
    <w:p w14:paraId="1574CE6C" w14:textId="77777777" w:rsidR="008A1CF6" w:rsidRDefault="008A1CF6" w:rsidP="008A1CF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3D1FB0B1" w14:textId="77777777" w:rsidR="008A1CF6" w:rsidRDefault="008A1CF6" w:rsidP="008A1CF6">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8A1CF6" w14:paraId="35497298" w14:textId="77777777" w:rsidTr="00BC31DC">
        <w:trPr>
          <w:trHeight w:val="870"/>
        </w:trPr>
        <w:tc>
          <w:tcPr>
            <w:tcW w:w="8647" w:type="dxa"/>
            <w:tcBorders>
              <w:top w:val="dotted" w:sz="4" w:space="0" w:color="auto"/>
              <w:left w:val="dotted" w:sz="4" w:space="0" w:color="auto"/>
              <w:bottom w:val="dotted" w:sz="4" w:space="0" w:color="auto"/>
              <w:right w:val="dotted" w:sz="4" w:space="0" w:color="auto"/>
            </w:tcBorders>
            <w:hideMark/>
          </w:tcPr>
          <w:p w14:paraId="03CA5DA2" w14:textId="77777777" w:rsidR="008A1CF6" w:rsidRPr="000D3AA5" w:rsidRDefault="008A1CF6" w:rsidP="008A1CF6">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0D3AA5">
              <w:rPr>
                <w:rFonts w:ascii="Verdana" w:eastAsia="Arial MT" w:hAnsi="Verdana" w:cs="Arial"/>
                <w:bCs/>
                <w:lang w:val="es-ES" w:eastAsia="es-ES" w:bidi="es-ES"/>
              </w:rPr>
              <w:t>Ley 996 de 2005: artículos 33 y 38 parágrafo.</w:t>
            </w:r>
          </w:p>
          <w:p w14:paraId="0576AF7A" w14:textId="77777777" w:rsidR="008A1CF6" w:rsidRPr="000D3AA5" w:rsidRDefault="008A1CF6" w:rsidP="008A1CF6">
            <w:pPr>
              <w:pStyle w:val="Prrafodelista"/>
              <w:widowControl w:val="0"/>
              <w:numPr>
                <w:ilvl w:val="0"/>
                <w:numId w:val="17"/>
              </w:numPr>
              <w:tabs>
                <w:tab w:val="left" w:pos="8419"/>
              </w:tabs>
              <w:autoSpaceDE w:val="0"/>
              <w:autoSpaceDN w:val="0"/>
              <w:spacing w:after="120" w:line="276" w:lineRule="auto"/>
              <w:contextualSpacing w:val="0"/>
              <w:jc w:val="both"/>
              <w:rPr>
                <w:rFonts w:ascii="Verdana" w:eastAsia="Calibri" w:hAnsi="Verdana" w:cs="Arial"/>
                <w:color w:val="000000"/>
              </w:rPr>
            </w:pPr>
            <w:r w:rsidRPr="000D3AA5">
              <w:rPr>
                <w:rFonts w:ascii="Verdana" w:eastAsia="Calibri" w:hAnsi="Verdana" w:cs="Arial"/>
                <w:color w:val="000000"/>
              </w:rPr>
              <w:t>Ley 1150 de 2007, artículo 2, numeral 4, literal g)</w:t>
            </w:r>
          </w:p>
          <w:p w14:paraId="35368176" w14:textId="77777777" w:rsidR="008A1CF6" w:rsidRPr="000D3AA5" w:rsidRDefault="008A1CF6" w:rsidP="008A1CF6">
            <w:pPr>
              <w:pStyle w:val="Prrafodelista"/>
              <w:widowControl w:val="0"/>
              <w:numPr>
                <w:ilvl w:val="0"/>
                <w:numId w:val="17"/>
              </w:numPr>
              <w:tabs>
                <w:tab w:val="left" w:pos="8419"/>
              </w:tabs>
              <w:autoSpaceDE w:val="0"/>
              <w:autoSpaceDN w:val="0"/>
              <w:spacing w:after="120" w:line="276" w:lineRule="auto"/>
              <w:contextualSpacing w:val="0"/>
              <w:jc w:val="both"/>
              <w:rPr>
                <w:rFonts w:ascii="Verdana" w:eastAsia="Calibri" w:hAnsi="Verdana" w:cs="Arial"/>
                <w:color w:val="000000"/>
              </w:rPr>
            </w:pPr>
            <w:r w:rsidRPr="000D3AA5">
              <w:rPr>
                <w:rFonts w:ascii="Verdana" w:eastAsia="Calibri" w:hAnsi="Verdana" w:cs="Arial"/>
                <w:color w:val="000000"/>
              </w:rPr>
              <w:t xml:space="preserve">Decreto 1082 de 2015, Artículo </w:t>
            </w:r>
            <w:r w:rsidRPr="000D3AA5">
              <w:rPr>
                <w:rFonts w:ascii="Verdana" w:eastAsia="Calibri" w:hAnsi="Verdana" w:cs="Arial"/>
                <w:color w:val="000000" w:themeColor="text1"/>
              </w:rPr>
              <w:t xml:space="preserve">2.2.1.2.1.4.8 </w:t>
            </w:r>
          </w:p>
          <w:p w14:paraId="071150CE" w14:textId="77777777" w:rsidR="008A1CF6" w:rsidRPr="000D3AA5" w:rsidRDefault="008A1CF6" w:rsidP="008A1C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0D3AA5">
              <w:rPr>
                <w:rFonts w:ascii="Verdana" w:eastAsia="Arial MT" w:hAnsi="Verdana" w:cs="Arial"/>
                <w:lang w:eastAsia="es-ES" w:bidi="es-ES"/>
              </w:rPr>
              <w:t xml:space="preserve">Resolución 1597 de 2025. Artículo 10 y 12. </w:t>
            </w:r>
          </w:p>
          <w:p w14:paraId="3E55A682" w14:textId="77777777" w:rsidR="008A1CF6" w:rsidRPr="000D3AA5" w:rsidRDefault="008A1CF6" w:rsidP="008A1C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0D3AA5">
              <w:rPr>
                <w:rFonts w:ascii="Verdana" w:eastAsia="Arial MT" w:hAnsi="Verdana" w:cs="Arial"/>
                <w:lang w:eastAsia="es-ES" w:bidi="es-ES"/>
              </w:rPr>
              <w:t>Consejo de Estado. Sala de lo Contencioso Administrativo. Sección Primera. Sentencia de 3 de marzo de 2005, Radicado: 25001-23-15-000-2004-00823-01 (PI). C.P: Camilo Arciniegas Andrade.</w:t>
            </w:r>
          </w:p>
          <w:p w14:paraId="76E1A17D" w14:textId="77777777" w:rsidR="008A1CF6" w:rsidRDefault="008A1CF6" w:rsidP="008A1C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0D3AA5">
              <w:rPr>
                <w:rFonts w:ascii="Verdana" w:eastAsia="Arial MT" w:hAnsi="Verdana" w:cs="Arial"/>
                <w:lang w:eastAsia="es-ES" w:bidi="es-ES"/>
              </w:rPr>
              <w:t xml:space="preserve">Consejo de Estado, Sala de Consulta y Servicio Civil de fecha 24 de julio de 2013. Radicado: Radicado: 11001-03-06-000-2013-00407-00 (2166). C.P: Álvaro Namén Vargas.  </w:t>
            </w:r>
          </w:p>
          <w:p w14:paraId="48FD3790" w14:textId="77777777" w:rsidR="008A1CF6" w:rsidRPr="000D3AA5" w:rsidRDefault="008A1CF6" w:rsidP="008A1C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0D3AA5">
              <w:rPr>
                <w:rFonts w:ascii="Verdana" w:eastAsia="Arial MT" w:hAnsi="Verdana" w:cs="Arial"/>
                <w:lang w:eastAsia="es-ES" w:bidi="es-ES"/>
              </w:rPr>
              <w:t>Consejo de Estado. Sala de Consulta y Servicio Civil. Concepto del 17 de febrero de 2015. Radicación No. 11001-03-06-000-2015-00164-00 (2269) C.P: William Zambrano Cetina.</w:t>
            </w:r>
          </w:p>
        </w:tc>
      </w:tr>
    </w:tbl>
    <w:p w14:paraId="5DBDFE8B" w14:textId="77777777" w:rsidR="008A1CF6" w:rsidRDefault="008A1CF6" w:rsidP="008A1CF6">
      <w:pPr>
        <w:widowControl w:val="0"/>
        <w:autoSpaceDE w:val="0"/>
        <w:autoSpaceDN w:val="0"/>
        <w:spacing w:after="0" w:line="276" w:lineRule="auto"/>
        <w:jc w:val="both"/>
        <w:rPr>
          <w:rFonts w:ascii="Verdana" w:hAnsi="Verdana" w:cs="Arial"/>
        </w:rPr>
      </w:pPr>
    </w:p>
    <w:p w14:paraId="5CDB05B8" w14:textId="77777777" w:rsidR="008A1CF6" w:rsidRDefault="008A1CF6" w:rsidP="008A1CF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59773AE9" w14:textId="77777777" w:rsidR="008A1CF6" w:rsidRDefault="008A1CF6" w:rsidP="008A1CF6">
      <w:pPr>
        <w:widowControl w:val="0"/>
        <w:autoSpaceDE w:val="0"/>
        <w:autoSpaceDN w:val="0"/>
        <w:spacing w:after="0" w:line="276" w:lineRule="auto"/>
        <w:jc w:val="both"/>
        <w:rPr>
          <w:rFonts w:ascii="Verdana" w:hAnsi="Verdana" w:cs="Arial"/>
        </w:rPr>
      </w:pPr>
    </w:p>
    <w:p w14:paraId="4E1BD908" w14:textId="77777777" w:rsidR="008A1CF6" w:rsidRDefault="008A1CF6" w:rsidP="008A1CF6">
      <w:pPr>
        <w:widowControl w:val="0"/>
        <w:autoSpaceDE w:val="0"/>
        <w:autoSpaceDN w:val="0"/>
        <w:spacing w:after="0" w:line="276" w:lineRule="auto"/>
        <w:jc w:val="both"/>
        <w:rPr>
          <w:rStyle w:val="normaltextrun"/>
          <w:rFonts w:ascii="Verdana" w:hAnsi="Verdana" w:cs="Arial"/>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w:t>
      </w:r>
      <w:r>
        <w:rPr>
          <w:rFonts w:ascii="Verdana" w:hAnsi="Verdana" w:cs="Arial"/>
          <w:shd w:val="clear" w:color="auto" w:fill="FFFFFF"/>
          <w:lang w:val="es-ES"/>
        </w:rPr>
        <w:t xml:space="preserve">C-1179 del 8 de abril de 2022, </w:t>
      </w:r>
      <w:r w:rsidRPr="00CF7C16">
        <w:rPr>
          <w:rFonts w:ascii="Verdana" w:hAnsi="Verdana" w:cs="Arial"/>
          <w:shd w:val="clear" w:color="auto" w:fill="FFFFFF"/>
          <w:lang w:val="es-ES"/>
        </w:rPr>
        <w:t xml:space="preserve">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 C-1124 del 18 de septiembre de 2025, </w:t>
      </w:r>
      <w:r w:rsidRPr="00CF7C16">
        <w:rPr>
          <w:rFonts w:ascii="Verdana" w:hAnsi="Verdana" w:cs="Arial"/>
          <w:shd w:val="clear" w:color="auto" w:fill="FFFFFF"/>
          <w:lang w:val="es-ES"/>
        </w:rPr>
        <w:t xml:space="preserve"> entre otros.</w:t>
      </w:r>
      <w:r>
        <w:rPr>
          <w:rStyle w:val="normaltextrun"/>
          <w:rFonts w:ascii="Verdana" w:hAnsi="Verdana" w:cs="Arial"/>
          <w:shd w:val="clear" w:color="auto" w:fill="FFFFFF"/>
          <w:lang w:val="es-ES"/>
        </w:rPr>
        <w:t xml:space="preserve"> </w:t>
      </w:r>
    </w:p>
    <w:p w14:paraId="1D61E053" w14:textId="77777777" w:rsidR="008A1CF6" w:rsidRDefault="008A1CF6" w:rsidP="008A1CF6">
      <w:pPr>
        <w:widowControl w:val="0"/>
        <w:autoSpaceDE w:val="0"/>
        <w:autoSpaceDN w:val="0"/>
        <w:spacing w:after="0" w:line="276" w:lineRule="auto"/>
        <w:jc w:val="both"/>
        <w:rPr>
          <w:rStyle w:val="normaltextrun"/>
          <w:rFonts w:ascii="Verdana" w:hAnsi="Verdana" w:cs="Arial"/>
          <w:shd w:val="clear" w:color="auto" w:fill="FFFFFF"/>
          <w:lang w:val="es-ES"/>
        </w:rPr>
      </w:pPr>
    </w:p>
    <w:p w14:paraId="4EE79084" w14:textId="77777777" w:rsidR="008A1CF6" w:rsidRDefault="008A1CF6" w:rsidP="008A1CF6">
      <w:pPr>
        <w:widowControl w:val="0"/>
        <w:autoSpaceDE w:val="0"/>
        <w:autoSpaceDN w:val="0"/>
        <w:spacing w:after="0" w:line="276" w:lineRule="auto"/>
        <w:jc w:val="both"/>
        <w:rPr>
          <w:rStyle w:val="normaltextrun"/>
          <w:rFonts w:ascii="Verdana" w:hAnsi="Verdana" w:cs="Arial"/>
          <w:shd w:val="clear" w:color="auto" w:fill="FFFFFF"/>
          <w:lang w:val="es-ES"/>
        </w:rPr>
      </w:pPr>
      <w:r>
        <w:rPr>
          <w:rStyle w:val="normaltextrun"/>
          <w:rFonts w:ascii="Verdana" w:hAnsi="Verdana" w:cs="Arial"/>
          <w:shd w:val="clear" w:color="auto" w:fill="FFFFFF"/>
          <w:lang w:val="es-ES"/>
        </w:rPr>
        <w:t xml:space="preserve">Sobre la causal de contratación directa por ausencia de pluralidad de oferentes, esta Subdirección se ha pronunciado en los conceptos C-321 de 2024, C, 567 de 2024, C-383 de 2025 </w:t>
      </w:r>
    </w:p>
    <w:p w14:paraId="249FF2EB" w14:textId="77777777" w:rsidR="008A1CF6" w:rsidRDefault="008A1CF6" w:rsidP="008A1CF6">
      <w:pPr>
        <w:widowControl w:val="0"/>
        <w:autoSpaceDE w:val="0"/>
        <w:autoSpaceDN w:val="0"/>
        <w:spacing w:after="0" w:line="276" w:lineRule="auto"/>
        <w:jc w:val="both"/>
        <w:rPr>
          <w:rStyle w:val="normaltextrun"/>
          <w:rFonts w:ascii="Verdana" w:hAnsi="Verdana" w:cs="Arial"/>
          <w:shd w:val="clear" w:color="auto" w:fill="FFFFFF"/>
          <w:lang w:val="es-ES"/>
        </w:rPr>
      </w:pPr>
    </w:p>
    <w:p w14:paraId="2736E87B" w14:textId="77777777" w:rsidR="008A1CF6" w:rsidRPr="00FE3C84" w:rsidRDefault="008A1CF6" w:rsidP="008A1CF6">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Es</w:t>
      </w:r>
      <w:r>
        <w:rPr>
          <w:rFonts w:ascii="Verdana" w:hAnsi="Verdana"/>
        </w:rPr>
        <w:t xml:space="preserve">tos y otros conceptos se encuentran disponibles para consulta en el Sistema </w:t>
      </w:r>
      <w:r>
        <w:rPr>
          <w:rFonts w:ascii="Verdana" w:hAnsi="Verdana"/>
        </w:rPr>
        <w:lastRenderedPageBreak/>
        <w:t>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008178A0" w14:textId="77777777" w:rsidR="008A1CF6" w:rsidRDefault="008A1CF6" w:rsidP="008A1CF6">
      <w:pPr>
        <w:spacing w:after="0" w:line="276" w:lineRule="auto"/>
        <w:jc w:val="both"/>
        <w:rPr>
          <w:rFonts w:ascii="Verdana" w:hAnsi="Verdana"/>
        </w:rPr>
      </w:pPr>
    </w:p>
    <w:p w14:paraId="01FD3F9C" w14:textId="77777777" w:rsidR="008A1CF6" w:rsidRDefault="008A1CF6" w:rsidP="008A1CF6">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6B7E00F6" w14:textId="77777777" w:rsidR="008A1CF6" w:rsidRDefault="008A1CF6" w:rsidP="008A1CF6">
      <w:pPr>
        <w:spacing w:after="0" w:line="276" w:lineRule="auto"/>
        <w:jc w:val="both"/>
        <w:rPr>
          <w:rFonts w:ascii="Verdana" w:hAnsi="Verdana"/>
        </w:rPr>
      </w:pPr>
    </w:p>
    <w:p w14:paraId="5BF7D908" w14:textId="77777777" w:rsidR="008A1CF6" w:rsidRDefault="008A1CF6" w:rsidP="008A1CF6">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4E4DFC92" w14:textId="77777777" w:rsidR="008A1CF6" w:rsidRDefault="008A1CF6" w:rsidP="008A1CF6">
      <w:pPr>
        <w:spacing w:after="0" w:line="276" w:lineRule="auto"/>
        <w:jc w:val="both"/>
        <w:rPr>
          <w:rFonts w:ascii="Verdana" w:hAnsi="Verdana"/>
        </w:rPr>
      </w:pPr>
      <w:r>
        <w:rPr>
          <w:rFonts w:ascii="Verdana" w:hAnsi="Verdana"/>
        </w:rPr>
        <w:t xml:space="preserve">Facebook: </w:t>
      </w:r>
      <w:r>
        <w:rPr>
          <w:rStyle w:val="Hipervnculo"/>
          <w:rFonts w:ascii="Verdana" w:hAnsi="Verdana"/>
          <w:color w:val="4472C4" w:themeColor="accent1"/>
        </w:rPr>
        <w:t>ColombiaCompraEficiente</w:t>
      </w:r>
    </w:p>
    <w:p w14:paraId="20DF3FC3" w14:textId="77777777" w:rsidR="008A1CF6" w:rsidRDefault="008A1CF6" w:rsidP="008A1CF6">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2F9DE3B3" w14:textId="77777777" w:rsidR="008A1CF6" w:rsidRDefault="008A1CF6" w:rsidP="008A1CF6">
      <w:pPr>
        <w:widowControl w:val="0"/>
        <w:autoSpaceDE w:val="0"/>
        <w:autoSpaceDN w:val="0"/>
        <w:spacing w:after="0" w:line="276" w:lineRule="auto"/>
        <w:jc w:val="both"/>
        <w:rPr>
          <w:rFonts w:ascii="Verdana" w:hAnsi="Verdana" w:cs="Arial"/>
        </w:rPr>
      </w:pPr>
    </w:p>
    <w:p w14:paraId="573504EB" w14:textId="77777777" w:rsidR="008A1CF6" w:rsidRDefault="008A1CF6" w:rsidP="008A1CF6">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280AA2BC" w14:textId="77777777" w:rsidR="008A1CF6" w:rsidRDefault="008A1CF6" w:rsidP="008A1CF6">
      <w:pPr>
        <w:widowControl w:val="0"/>
        <w:autoSpaceDE w:val="0"/>
        <w:autoSpaceDN w:val="0"/>
        <w:spacing w:after="0" w:line="276" w:lineRule="auto"/>
        <w:jc w:val="both"/>
        <w:rPr>
          <w:rFonts w:ascii="Verdana" w:hAnsi="Verdana" w:cs="Arial"/>
        </w:rPr>
      </w:pPr>
    </w:p>
    <w:p w14:paraId="3B11C756" w14:textId="77777777" w:rsidR="008A1CF6" w:rsidRDefault="008A1CF6" w:rsidP="008A1CF6">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3418FB32" w14:textId="64FB0CC9" w:rsidR="008A1CF6" w:rsidRDefault="00E177AC" w:rsidP="008A1CF6">
      <w:pPr>
        <w:spacing w:after="0" w:line="276" w:lineRule="auto"/>
        <w:jc w:val="center"/>
      </w:pPr>
      <w:r>
        <w:rPr>
          <w:noProof/>
        </w:rPr>
        <w:drawing>
          <wp:inline distT="0" distB="0" distL="0" distR="0" wp14:anchorId="0E2677C7" wp14:editId="74CDD153">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A1CF6" w14:paraId="4C13A760" w14:textId="77777777" w:rsidTr="00BC31DC">
        <w:trPr>
          <w:trHeight w:val="315"/>
        </w:trPr>
        <w:tc>
          <w:tcPr>
            <w:tcW w:w="893" w:type="dxa"/>
            <w:vAlign w:val="center"/>
            <w:hideMark/>
          </w:tcPr>
          <w:p w14:paraId="3D69758C" w14:textId="77777777" w:rsidR="008A1CF6" w:rsidRDefault="008A1CF6" w:rsidP="00BC31DC">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1CF412C" w14:textId="77777777" w:rsidR="008A1CF6" w:rsidRDefault="008A1CF6" w:rsidP="00BC31DC">
            <w:pPr>
              <w:spacing w:after="255"/>
              <w:contextualSpacing/>
              <w:rPr>
                <w:rFonts w:ascii="Verdana" w:eastAsia="Arial" w:hAnsi="Verdana" w:cs="Arial"/>
                <w:sz w:val="16"/>
                <w:szCs w:val="16"/>
              </w:rPr>
            </w:pPr>
            <w:r>
              <w:rPr>
                <w:rStyle w:val="normaltextrun"/>
                <w:rFonts w:ascii="Verdana" w:hAnsi="Verdana"/>
                <w:sz w:val="16"/>
                <w:szCs w:val="16"/>
              </w:rPr>
              <w:t>Catalina Cubides Estupiñan</w:t>
            </w:r>
          </w:p>
          <w:p w14:paraId="5703E922" w14:textId="77777777" w:rsidR="008A1CF6" w:rsidRDefault="008A1CF6" w:rsidP="00BC31DC">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8A1CF6" w14:paraId="4C7D2C68" w14:textId="77777777" w:rsidTr="00BC31DC">
        <w:trPr>
          <w:trHeight w:val="330"/>
        </w:trPr>
        <w:tc>
          <w:tcPr>
            <w:tcW w:w="893" w:type="dxa"/>
            <w:vAlign w:val="center"/>
            <w:hideMark/>
          </w:tcPr>
          <w:p w14:paraId="2908E88A" w14:textId="77777777" w:rsidR="008A1CF6" w:rsidRDefault="008A1CF6" w:rsidP="00BC31DC">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5CDC7BB" w14:textId="77777777" w:rsidR="008A1CF6" w:rsidRDefault="008A1CF6" w:rsidP="00BC31DC">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Lucia Saavedra Castañeda</w:t>
            </w:r>
          </w:p>
          <w:p w14:paraId="5274235B" w14:textId="77777777" w:rsidR="008A1CF6" w:rsidRDefault="008A1CF6" w:rsidP="00BC31DC">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8A1CF6" w14:paraId="5B5BF684" w14:textId="77777777" w:rsidTr="00BC31DC">
        <w:trPr>
          <w:trHeight w:val="300"/>
        </w:trPr>
        <w:tc>
          <w:tcPr>
            <w:tcW w:w="893" w:type="dxa"/>
            <w:vAlign w:val="center"/>
            <w:hideMark/>
          </w:tcPr>
          <w:p w14:paraId="791D5D28" w14:textId="77777777" w:rsidR="008A1CF6" w:rsidRDefault="008A1CF6" w:rsidP="00BC31DC">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68BBD64" w14:textId="77777777" w:rsidR="008A1CF6" w:rsidRDefault="008A1CF6" w:rsidP="00BC31DC">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Carolina Quintero Gacharná</w:t>
            </w:r>
          </w:p>
          <w:p w14:paraId="69ED9AE3" w14:textId="77777777" w:rsidR="008A1CF6" w:rsidRDefault="008A1CF6" w:rsidP="00BC31DC">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Contractual ANCP – CCE </w:t>
            </w:r>
          </w:p>
        </w:tc>
      </w:tr>
    </w:tbl>
    <w:p w14:paraId="720D100D" w14:textId="77777777" w:rsidR="008A1CF6" w:rsidRPr="001249F1" w:rsidRDefault="008A1CF6" w:rsidP="008A1CF6"/>
    <w:p w14:paraId="7A2DA45A" w14:textId="77777777" w:rsidR="008A1CF6" w:rsidRPr="0044528D" w:rsidRDefault="008A1CF6" w:rsidP="008A1CF6">
      <w:pPr>
        <w:spacing w:after="0"/>
        <w:rPr>
          <w:rFonts w:ascii="Verdana" w:eastAsia="Times New Roman" w:hAnsi="Verdana" w:cs="Segoe UI"/>
          <w:b/>
          <w:bCs/>
          <w:color w:val="46589C"/>
          <w:lang w:val="es-ES" w:eastAsia="es-CO"/>
        </w:rPr>
      </w:pPr>
    </w:p>
    <w:p w14:paraId="4407049C" w14:textId="77777777" w:rsidR="008A1CF6" w:rsidRPr="00046945" w:rsidRDefault="008A1CF6" w:rsidP="008A1CF6">
      <w:pPr>
        <w:spacing w:after="0"/>
        <w:rPr>
          <w:rFonts w:ascii="Verdana" w:eastAsia="Times New Roman" w:hAnsi="Verdana" w:cs="Segoe UI"/>
          <w:sz w:val="18"/>
          <w:szCs w:val="18"/>
          <w:lang w:eastAsia="es-CO"/>
        </w:rPr>
      </w:pPr>
    </w:p>
    <w:p w14:paraId="5C48AE82" w14:textId="77777777" w:rsidR="008A1CF6" w:rsidRPr="0044528D" w:rsidRDefault="008A1CF6" w:rsidP="008A1CF6">
      <w:pPr>
        <w:spacing w:after="0"/>
        <w:rPr>
          <w:rFonts w:ascii="Verdana" w:hAnsi="Verdana"/>
        </w:rPr>
      </w:pPr>
    </w:p>
    <w:p w14:paraId="6B5BA942" w14:textId="77777777" w:rsidR="008A1CF6" w:rsidRPr="0015699B" w:rsidRDefault="008A1CF6" w:rsidP="008A1CF6">
      <w:pPr>
        <w:spacing w:after="0"/>
        <w:rPr>
          <w:rFonts w:ascii="Verdana" w:eastAsia="Times New Roman" w:hAnsi="Verdana" w:cs="Segoe UI"/>
          <w:lang w:eastAsia="es-CO"/>
        </w:rPr>
      </w:pPr>
    </w:p>
    <w:p w14:paraId="0F293BF4" w14:textId="190B29EF" w:rsidR="00127233" w:rsidRPr="0015699B" w:rsidRDefault="00127233" w:rsidP="008A1CF6">
      <w:pPr>
        <w:spacing w:after="0"/>
        <w:rPr>
          <w:rFonts w:ascii="Verdana" w:eastAsia="Times New Roman" w:hAnsi="Verdana" w:cs="Segoe UI"/>
          <w:lang w:eastAsia="es-CO"/>
        </w:rPr>
      </w:pPr>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AA4164" w14:textId="77777777" w:rsidR="00E96CFA" w:rsidRDefault="00E96CFA" w:rsidP="004A1847">
      <w:pPr>
        <w:spacing w:after="0" w:line="240" w:lineRule="auto"/>
      </w:pPr>
      <w:r>
        <w:separator/>
      </w:r>
    </w:p>
  </w:endnote>
  <w:endnote w:type="continuationSeparator" w:id="0">
    <w:p w14:paraId="32FB0B37" w14:textId="77777777" w:rsidR="00E96CFA" w:rsidRDefault="00E96CFA" w:rsidP="004A1847">
      <w:pPr>
        <w:spacing w:after="0" w:line="240" w:lineRule="auto"/>
      </w:pPr>
      <w:r>
        <w:continuationSeparator/>
      </w:r>
    </w:p>
  </w:endnote>
  <w:endnote w:type="continuationNotice" w:id="1">
    <w:p w14:paraId="25FBCDA7" w14:textId="77777777" w:rsidR="00E96CFA" w:rsidRDefault="00E96C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CDHEE+Verdana">
    <w:altName w:val="Verdana"/>
    <w:charset w:val="00"/>
    <w:family w:val="swiss"/>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9F3EF1" w14:textId="77777777" w:rsidR="00E96CFA" w:rsidRDefault="00E96CFA" w:rsidP="004A1847">
      <w:pPr>
        <w:spacing w:after="0" w:line="240" w:lineRule="auto"/>
      </w:pPr>
      <w:r>
        <w:separator/>
      </w:r>
    </w:p>
  </w:footnote>
  <w:footnote w:type="continuationSeparator" w:id="0">
    <w:p w14:paraId="1C2FE71D" w14:textId="77777777" w:rsidR="00E96CFA" w:rsidRDefault="00E96CFA" w:rsidP="004A1847">
      <w:pPr>
        <w:spacing w:after="0" w:line="240" w:lineRule="auto"/>
      </w:pPr>
      <w:r>
        <w:continuationSeparator/>
      </w:r>
    </w:p>
  </w:footnote>
  <w:footnote w:type="continuationNotice" w:id="1">
    <w:p w14:paraId="4FE34320" w14:textId="77777777" w:rsidR="00E96CFA" w:rsidRDefault="00E96CFA">
      <w:pPr>
        <w:spacing w:after="0" w:line="240" w:lineRule="auto"/>
      </w:pPr>
    </w:p>
  </w:footnote>
  <w:footnote w:id="2">
    <w:p w14:paraId="0FC45C85" w14:textId="77777777" w:rsidR="008A1CF6" w:rsidRDefault="008A1CF6" w:rsidP="008A1CF6">
      <w:pPr>
        <w:pStyle w:val="Textonotapie"/>
        <w:ind w:firstLine="708"/>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7B1E222B" w14:textId="77777777" w:rsidR="008A1CF6" w:rsidRPr="00FF007A" w:rsidRDefault="008A1CF6" w:rsidP="008A1CF6">
      <w:pPr>
        <w:pStyle w:val="Textonotapie"/>
        <w:ind w:firstLine="708"/>
        <w:contextualSpacing/>
        <w:jc w:val="both"/>
        <w:rPr>
          <w:rFonts w:ascii="Verdana" w:hAnsi="Verdana" w:cs="Arial"/>
          <w:sz w:val="16"/>
          <w:szCs w:val="16"/>
          <w:lang w:val="es-CO"/>
        </w:rPr>
      </w:pPr>
    </w:p>
  </w:footnote>
  <w:footnote w:id="3">
    <w:p w14:paraId="4E11D33E" w14:textId="77777777" w:rsidR="008A1CF6" w:rsidRPr="00FF007A" w:rsidRDefault="008A1CF6" w:rsidP="008A1CF6">
      <w:pPr>
        <w:pStyle w:val="Textonotapie"/>
        <w:ind w:firstLine="708"/>
        <w:contextualSpacing/>
        <w:rPr>
          <w:rFonts w:ascii="Verdana" w:hAnsi="Verdana"/>
          <w:sz w:val="16"/>
          <w:szCs w:val="16"/>
          <w:lang w:val="es-CO"/>
        </w:rPr>
      </w:pPr>
      <w:r w:rsidRPr="00FF007A">
        <w:rPr>
          <w:rStyle w:val="Refdenotaalpie"/>
          <w:rFonts w:ascii="Verdana" w:hAnsi="Verdana"/>
          <w:sz w:val="16"/>
          <w:szCs w:val="16"/>
          <w:lang w:val="es-CO"/>
        </w:rPr>
        <w:footnoteRef/>
      </w:r>
      <w:r w:rsidRPr="00FF007A">
        <w:rPr>
          <w:rFonts w:ascii="Verdana" w:hAnsi="Verdana"/>
          <w:sz w:val="16"/>
          <w:szCs w:val="16"/>
          <w:lang w:val="es-CO"/>
        </w:rPr>
        <w:t xml:space="preserve"> </w:t>
      </w:r>
      <w:r w:rsidRPr="00FF007A">
        <w:rPr>
          <w:rFonts w:ascii="Verdana" w:hAnsi="Verdana" w:cs="Arial"/>
          <w:sz w:val="16"/>
          <w:szCs w:val="16"/>
          <w:lang w:val="es-CO"/>
        </w:rPr>
        <w:t>M</w:t>
      </w:r>
      <w:r w:rsidRPr="00FF007A">
        <w:rPr>
          <w:rFonts w:ascii="Verdana" w:hAnsi="Verdana"/>
          <w:sz w:val="16"/>
          <w:szCs w:val="16"/>
          <w:lang w:val="es-CO"/>
        </w:rPr>
        <w:t>i</w:t>
      </w:r>
      <w:r w:rsidRPr="00FF007A">
        <w:rPr>
          <w:rFonts w:ascii="Verdana" w:hAnsi="Verdana" w:cs="Arial"/>
          <w:sz w:val="16"/>
          <w:szCs w:val="16"/>
          <w:lang w:val="es-CO"/>
        </w:rPr>
        <w:t>nisterio de Salud y Protección Social. Resolución</w:t>
      </w:r>
      <w:r>
        <w:rPr>
          <w:rFonts w:ascii="Verdana" w:hAnsi="Verdana" w:cs="Arial"/>
          <w:sz w:val="16"/>
          <w:szCs w:val="16"/>
          <w:lang w:val="es-CO"/>
        </w:rPr>
        <w:t xml:space="preserve"> </w:t>
      </w:r>
      <w:r w:rsidRPr="00FF007A">
        <w:rPr>
          <w:rFonts w:ascii="Verdana" w:hAnsi="Verdana" w:cs="Arial"/>
          <w:sz w:val="16"/>
          <w:szCs w:val="16"/>
          <w:lang w:val="es-CO"/>
        </w:rPr>
        <w:t>04 del 12 de Enero de 2018.</w:t>
      </w:r>
    </w:p>
  </w:footnote>
  <w:footnote w:id="4">
    <w:p w14:paraId="1CE1C2AC" w14:textId="77777777" w:rsidR="008A1CF6" w:rsidRPr="00C05384" w:rsidRDefault="008A1CF6" w:rsidP="008A1CF6">
      <w:pPr>
        <w:pStyle w:val="Textonotapie"/>
        <w:contextualSpacing/>
        <w:jc w:val="both"/>
        <w:rPr>
          <w:rFonts w:ascii="Verdana" w:hAnsi="Verdana" w:cs="Arial"/>
          <w:sz w:val="16"/>
          <w:szCs w:val="16"/>
        </w:rPr>
      </w:pPr>
      <w:r>
        <w:rPr>
          <w:rFonts w:ascii="Verdana" w:hAnsi="Verdana" w:cs="Arial"/>
          <w:sz w:val="16"/>
          <w:szCs w:val="16"/>
        </w:rPr>
        <w:tab/>
      </w: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footnote>
  <w:footnote w:id="5">
    <w:p w14:paraId="1BF60F76" w14:textId="77777777" w:rsidR="008A1CF6" w:rsidRPr="00C05384" w:rsidRDefault="008A1CF6" w:rsidP="008A1CF6">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Monroy Cabra.</w:t>
      </w:r>
    </w:p>
  </w:footnote>
  <w:footnote w:id="6">
    <w:p w14:paraId="49BBE693" w14:textId="77777777" w:rsidR="008A1CF6" w:rsidRPr="00C05384" w:rsidRDefault="008A1CF6" w:rsidP="008A1CF6">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7">
    <w:p w14:paraId="488984E5" w14:textId="77777777" w:rsidR="008A1CF6" w:rsidRPr="00C05384" w:rsidRDefault="008A1CF6" w:rsidP="008A1CF6">
      <w:pPr>
        <w:pStyle w:val="Textonotapie"/>
        <w:ind w:firstLine="709"/>
        <w:contextualSpacing/>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8">
    <w:p w14:paraId="5EBC29D2" w14:textId="77777777" w:rsidR="008A1CF6" w:rsidRPr="00C05384" w:rsidRDefault="008A1CF6" w:rsidP="008A1CF6">
      <w:pPr>
        <w:pStyle w:val="Textonotapie"/>
        <w:ind w:firstLine="709"/>
        <w:contextualSpacing/>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Namén Vargas.  </w:t>
      </w:r>
    </w:p>
  </w:footnote>
  <w:footnote w:id="9">
    <w:p w14:paraId="739D34F4" w14:textId="77777777" w:rsidR="008A1CF6" w:rsidRPr="00C05384" w:rsidRDefault="008A1CF6" w:rsidP="008A1CF6">
      <w:pPr>
        <w:pStyle w:val="Textonotapie"/>
        <w:ind w:firstLine="709"/>
        <w:contextualSpacing/>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 w:id="10">
    <w:p w14:paraId="71056268" w14:textId="77777777" w:rsidR="008A1CF6" w:rsidRPr="00C05384" w:rsidRDefault="008A1CF6" w:rsidP="008A1CF6">
      <w:pPr>
        <w:spacing w:after="0" w:line="240" w:lineRule="auto"/>
        <w:ind w:left="100" w:right="244" w:firstLine="709"/>
        <w:contextualSpacing/>
        <w:jc w:val="both"/>
        <w:rPr>
          <w:rFonts w:ascii="Verdana" w:hAnsi="Verdana" w:cs="Arial"/>
          <w:sz w:val="16"/>
          <w:szCs w:val="16"/>
          <w:lang w:val="es-ES"/>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769D3407" w14:textId="77777777" w:rsidR="008A1CF6" w:rsidRPr="008A6D54" w:rsidRDefault="008A1CF6" w:rsidP="008A1CF6">
      <w:pPr>
        <w:pStyle w:val="Textonotapie"/>
        <w:ind w:firstLine="709"/>
        <w:jc w:val="both"/>
        <w:rPr>
          <w:rFonts w:ascii="Verdana" w:hAnsi="Verdana"/>
          <w:color w:val="000000" w:themeColor="text1"/>
          <w:sz w:val="16"/>
          <w:szCs w:val="16"/>
          <w:lang w:val="es-CO"/>
        </w:rPr>
      </w:pPr>
      <w:r w:rsidRPr="008A6D54">
        <w:rPr>
          <w:rStyle w:val="Refdenotaalpie"/>
          <w:rFonts w:ascii="Verdana" w:hAnsi="Verdana"/>
          <w:color w:val="000000" w:themeColor="text1"/>
          <w:sz w:val="16"/>
          <w:szCs w:val="16"/>
        </w:rPr>
        <w:footnoteRef/>
      </w:r>
      <w:r w:rsidRPr="008A6D54">
        <w:rPr>
          <w:rFonts w:ascii="Verdana" w:hAnsi="Verdana"/>
          <w:color w:val="000000" w:themeColor="text1"/>
          <w:sz w:val="16"/>
          <w:szCs w:val="16"/>
        </w:rPr>
        <w:t xml:space="preserve"> </w:t>
      </w:r>
      <w:r>
        <w:rPr>
          <w:rFonts w:ascii="Verdana" w:hAnsi="Verdana"/>
          <w:color w:val="000000" w:themeColor="text1"/>
          <w:sz w:val="16"/>
          <w:szCs w:val="16"/>
        </w:rPr>
        <w:t xml:space="preserve">Resolución 1597 de 2025. </w:t>
      </w:r>
      <w:r w:rsidRPr="008A6D54">
        <w:rPr>
          <w:rFonts w:ascii="Verdana" w:hAnsi="Verdana"/>
          <w:b/>
          <w:bCs/>
          <w:color w:val="000000" w:themeColor="text1"/>
          <w:sz w:val="16"/>
          <w:szCs w:val="16"/>
          <w:lang w:val="es-CO"/>
        </w:rPr>
        <w:t>Artículo</w:t>
      </w:r>
      <w:r w:rsidRPr="008A6D54">
        <w:rPr>
          <w:rFonts w:ascii="Verdana" w:hAnsi="Verdana"/>
          <w:color w:val="000000" w:themeColor="text1"/>
          <w:sz w:val="16"/>
          <w:szCs w:val="16"/>
          <w:lang w:val="es-CO"/>
        </w:rPr>
        <w:t> </w:t>
      </w:r>
      <w:r w:rsidRPr="008A6D54">
        <w:rPr>
          <w:rFonts w:ascii="Verdana" w:hAnsi="Verdana"/>
          <w:b/>
          <w:bCs/>
          <w:color w:val="000000" w:themeColor="text1"/>
          <w:sz w:val="16"/>
          <w:szCs w:val="16"/>
          <w:lang w:val="es-CO"/>
        </w:rPr>
        <w:t>10. </w:t>
      </w:r>
      <w:r w:rsidRPr="008A6D54">
        <w:rPr>
          <w:rFonts w:ascii="Verdana" w:hAnsi="Verdana"/>
          <w:b/>
          <w:bCs/>
          <w:i/>
          <w:iCs/>
          <w:color w:val="000000" w:themeColor="text1"/>
          <w:sz w:val="16"/>
          <w:szCs w:val="16"/>
          <w:lang w:val="es-CO"/>
        </w:rPr>
        <w:t>Definición</w:t>
      </w:r>
      <w:r w:rsidRPr="008A6D54">
        <w:rPr>
          <w:rFonts w:ascii="Verdana" w:hAnsi="Verdana"/>
          <w:b/>
          <w:bCs/>
          <w:color w:val="000000" w:themeColor="text1"/>
          <w:sz w:val="16"/>
          <w:szCs w:val="16"/>
          <w:lang w:val="es-CO"/>
        </w:rPr>
        <w:t>.</w:t>
      </w:r>
      <w:r w:rsidRPr="008A6D54">
        <w:rPr>
          <w:rFonts w:ascii="Verdana" w:hAnsi="Verdana"/>
          <w:color w:val="000000" w:themeColor="text1"/>
          <w:sz w:val="16"/>
          <w:szCs w:val="16"/>
          <w:lang w:val="es-CO"/>
        </w:rPr>
        <w:t> Conjunto de intervenciones, procedimientos o actividades de carácter gratuito, dirigidas a la población y materializadas a través de los entornos de vida cotidiana en función de las características, necesidades y potencialidades de salud en cada territorio y microterritorio.</w:t>
      </w:r>
    </w:p>
    <w:p w14:paraId="07E1E150" w14:textId="77777777" w:rsidR="008A1CF6" w:rsidRPr="008A6D54" w:rsidRDefault="008A1CF6" w:rsidP="008A1CF6">
      <w:pPr>
        <w:pStyle w:val="Textonotapie"/>
        <w:ind w:firstLine="709"/>
        <w:jc w:val="both"/>
        <w:rPr>
          <w:rFonts w:ascii="Verdana" w:hAnsi="Verdana"/>
          <w:color w:val="000000" w:themeColor="text1"/>
          <w:sz w:val="16"/>
          <w:szCs w:val="16"/>
          <w:lang w:val="es-CO"/>
        </w:rPr>
      </w:pPr>
      <w:r w:rsidRPr="008A6D54">
        <w:rPr>
          <w:rFonts w:ascii="Verdana" w:hAnsi="Verdana"/>
          <w:b/>
          <w:bCs/>
          <w:color w:val="000000" w:themeColor="text1"/>
          <w:sz w:val="16"/>
          <w:szCs w:val="16"/>
          <w:lang w:val="es-CO"/>
        </w:rPr>
        <w:t>Parágrafo.</w:t>
      </w:r>
      <w:r w:rsidRPr="008A6D54">
        <w:rPr>
          <w:rFonts w:ascii="Verdana" w:hAnsi="Verdana"/>
          <w:color w:val="000000" w:themeColor="text1"/>
          <w:sz w:val="16"/>
          <w:szCs w:val="16"/>
          <w:lang w:val="es-CO"/>
        </w:rPr>
        <w:t> Las intervenciones colectivas corresponden a las señaladas en el numeral 3.2 del Capítulo 3 del Anexo I </w:t>
      </w:r>
      <w:r w:rsidRPr="008A6D54">
        <w:rPr>
          <w:rFonts w:ascii="Verdana" w:hAnsi="Verdana"/>
          <w:i/>
          <w:iCs/>
          <w:color w:val="000000" w:themeColor="text1"/>
          <w:sz w:val="16"/>
          <w:szCs w:val="16"/>
          <w:lang w:val="es-CO"/>
        </w:rPr>
        <w:t>“LINEAMIENTO TÉCNICO Y OPERATIVO RUTA INTEGRAL DE ATENCIÓN PARA LA PROMOCIÓN Y MANTENIMIENTO DE LA SALUD”</w:t>
      </w:r>
      <w:r w:rsidRPr="008A6D54">
        <w:rPr>
          <w:rFonts w:ascii="Verdana" w:hAnsi="Verdana"/>
          <w:color w:val="000000" w:themeColor="text1"/>
          <w:sz w:val="16"/>
          <w:szCs w:val="16"/>
          <w:lang w:val="es-CO"/>
        </w:rPr>
        <w:t> de la Resolución </w:t>
      </w:r>
      <w:hyperlink r:id="rId1" w:history="1">
        <w:r w:rsidRPr="008A6D54">
          <w:rPr>
            <w:rStyle w:val="Hipervnculo"/>
            <w:rFonts w:ascii="Verdana" w:hAnsi="Verdana"/>
            <w:color w:val="000000" w:themeColor="text1"/>
            <w:sz w:val="16"/>
            <w:szCs w:val="16"/>
            <w:lang w:val="es-CO"/>
          </w:rPr>
          <w:t>3280</w:t>
        </w:r>
      </w:hyperlink>
      <w:r w:rsidRPr="008A6D54">
        <w:rPr>
          <w:rFonts w:ascii="Verdana" w:hAnsi="Verdana"/>
          <w:color w:val="000000" w:themeColor="text1"/>
          <w:sz w:val="16"/>
          <w:szCs w:val="16"/>
          <w:lang w:val="es-CO"/>
        </w:rPr>
        <w:t> de 2018 o la norma que la modifique o sustituya.</w:t>
      </w:r>
    </w:p>
    <w:p w14:paraId="7F8D7BC5" w14:textId="77777777" w:rsidR="008A1CF6" w:rsidRPr="008A6D54" w:rsidRDefault="008A1CF6" w:rsidP="008A1CF6">
      <w:pPr>
        <w:pStyle w:val="Textonotapie"/>
        <w:rPr>
          <w:lang w:val="es-ES"/>
        </w:rPr>
      </w:pPr>
    </w:p>
  </w:footnote>
  <w:footnote w:id="12">
    <w:p w14:paraId="71D2403B" w14:textId="77777777" w:rsidR="008A1CF6" w:rsidRPr="008A6D54" w:rsidRDefault="008A1CF6" w:rsidP="008A1CF6">
      <w:pPr>
        <w:pStyle w:val="Textonotapie"/>
        <w:ind w:firstLine="709"/>
        <w:jc w:val="both"/>
        <w:rPr>
          <w:rFonts w:ascii="Verdana" w:hAnsi="Verdana"/>
          <w:sz w:val="16"/>
          <w:szCs w:val="16"/>
          <w:lang w:val="es-CO"/>
        </w:rPr>
      </w:pPr>
      <w:r w:rsidRPr="008A6D54">
        <w:rPr>
          <w:rStyle w:val="Refdenotaalpie"/>
          <w:rFonts w:ascii="Verdana" w:hAnsi="Verdana"/>
          <w:sz w:val="16"/>
          <w:szCs w:val="16"/>
        </w:rPr>
        <w:footnoteRef/>
      </w:r>
      <w:r w:rsidRPr="008A6D54">
        <w:rPr>
          <w:rFonts w:ascii="Verdana" w:hAnsi="Verdana"/>
          <w:sz w:val="16"/>
          <w:szCs w:val="16"/>
        </w:rPr>
        <w:t xml:space="preserve"> </w:t>
      </w:r>
      <w:r>
        <w:rPr>
          <w:rFonts w:ascii="Verdana" w:hAnsi="Verdana"/>
          <w:color w:val="000000" w:themeColor="text1"/>
          <w:sz w:val="16"/>
          <w:szCs w:val="16"/>
        </w:rPr>
        <w:t xml:space="preserve">Resolución 1597 de 2025. </w:t>
      </w:r>
      <w:r w:rsidRPr="008A6D54">
        <w:rPr>
          <w:rFonts w:ascii="Verdana" w:hAnsi="Verdana"/>
          <w:b/>
          <w:bCs/>
          <w:sz w:val="16"/>
          <w:szCs w:val="16"/>
          <w:lang w:val="es-CO"/>
        </w:rPr>
        <w:t>Artículo</w:t>
      </w:r>
      <w:r w:rsidRPr="008A6D54">
        <w:rPr>
          <w:rFonts w:ascii="Verdana" w:hAnsi="Verdana"/>
          <w:sz w:val="16"/>
          <w:szCs w:val="16"/>
          <w:lang w:val="es-CO"/>
        </w:rPr>
        <w:t> </w:t>
      </w:r>
      <w:r w:rsidRPr="008A6D54">
        <w:rPr>
          <w:rFonts w:ascii="Verdana" w:hAnsi="Verdana"/>
          <w:b/>
          <w:bCs/>
          <w:sz w:val="16"/>
          <w:szCs w:val="16"/>
          <w:lang w:val="es-CO"/>
        </w:rPr>
        <w:t>12. </w:t>
      </w:r>
      <w:r w:rsidRPr="008A6D54">
        <w:rPr>
          <w:rFonts w:ascii="Verdana" w:hAnsi="Verdana"/>
          <w:b/>
          <w:bCs/>
          <w:i/>
          <w:iCs/>
          <w:sz w:val="16"/>
          <w:szCs w:val="16"/>
          <w:lang w:val="es-CO"/>
        </w:rPr>
        <w:t>Implementación del Plan de Salud Pública de Intervenciones Colectivas.</w:t>
      </w:r>
      <w:r w:rsidRPr="008A6D54">
        <w:rPr>
          <w:rFonts w:ascii="Verdana" w:hAnsi="Verdana"/>
          <w:sz w:val="16"/>
          <w:szCs w:val="16"/>
          <w:lang w:val="es-CO"/>
        </w:rPr>
        <w:t> Las Entidades Territoriales de los órdenes departamental, distrital y municipal, o las entidades que hagan sus veces, implementarán el plan de Salud Pública de Intervenciones Colectivas, conforme con lo siguiente:</w:t>
      </w:r>
    </w:p>
    <w:p w14:paraId="29F70774" w14:textId="77777777" w:rsidR="008A1CF6" w:rsidRPr="008A6D54" w:rsidRDefault="008A1CF6" w:rsidP="008A1CF6">
      <w:pPr>
        <w:pStyle w:val="Textonotapie"/>
        <w:ind w:firstLine="709"/>
        <w:jc w:val="both"/>
        <w:rPr>
          <w:rFonts w:ascii="Verdana" w:hAnsi="Verdana"/>
          <w:sz w:val="16"/>
          <w:szCs w:val="16"/>
          <w:lang w:val="es-CO"/>
        </w:rPr>
      </w:pPr>
      <w:r w:rsidRPr="008A6D54">
        <w:rPr>
          <w:rFonts w:ascii="Verdana" w:hAnsi="Verdana"/>
          <w:sz w:val="16"/>
          <w:szCs w:val="16"/>
          <w:lang w:val="es-CO"/>
        </w:rPr>
        <w:t>12.1. Las Entidades Territoriales de los órdenes departamental y distrital contratarán el Plan de Salud Pública de Intervenciones Colectivas (PIC), con las Empresas Sociales del Estado o las Entidades que hagan sus veces ubicadas en el departamento o distrito respectivamente, garantizando en su implementación la territorialización y permanencia de las acciones. </w:t>
      </w:r>
    </w:p>
    <w:p w14:paraId="04E5B5E6" w14:textId="77777777" w:rsidR="008A1CF6" w:rsidRPr="008A6D54" w:rsidRDefault="008A1CF6" w:rsidP="008A1CF6">
      <w:pPr>
        <w:pStyle w:val="Textonotapie"/>
        <w:ind w:firstLine="709"/>
        <w:jc w:val="both"/>
        <w:rPr>
          <w:rFonts w:ascii="Verdana" w:hAnsi="Verdana"/>
          <w:sz w:val="16"/>
          <w:szCs w:val="16"/>
          <w:lang w:val="es-CO"/>
        </w:rPr>
      </w:pPr>
      <w:r w:rsidRPr="008A6D54">
        <w:rPr>
          <w:rFonts w:ascii="Verdana" w:hAnsi="Verdana"/>
          <w:sz w:val="16"/>
          <w:szCs w:val="16"/>
          <w:lang w:val="es-CO"/>
        </w:rPr>
        <w:t>12.2. Las Entidades Territoriales del orden municipal contratarán el Plan de Salud Pública de Intervenciones Colectivas (PIC), con las Empresas Sociales del Estado o las Entidades que hagan sus veces de carácter territorial municipal ubicadas en el ámbito de su jurisdicción, garantizando en su implementación la territorialización y permanencia de las acciones. </w:t>
      </w:r>
    </w:p>
    <w:p w14:paraId="7B7FFA57" w14:textId="77777777" w:rsidR="008A1CF6" w:rsidRPr="008A6D54" w:rsidRDefault="008A1CF6" w:rsidP="008A1CF6">
      <w:pPr>
        <w:pStyle w:val="Textonotapie"/>
        <w:ind w:firstLine="709"/>
        <w:jc w:val="both"/>
        <w:rPr>
          <w:rFonts w:ascii="Verdana" w:hAnsi="Verdana"/>
          <w:sz w:val="16"/>
          <w:szCs w:val="16"/>
          <w:lang w:val="es-CO"/>
        </w:rPr>
      </w:pPr>
      <w:r w:rsidRPr="008A6D54">
        <w:rPr>
          <w:rFonts w:ascii="Verdana" w:hAnsi="Verdana"/>
          <w:sz w:val="16"/>
          <w:szCs w:val="16"/>
          <w:lang w:val="es-CO"/>
        </w:rPr>
        <w:t>12.3. El plan de Salud Pública de Intervenciones Colectivas será implementado a través de Equipos Básicos de Salud, que desarrollarán las acciones colectivas establecidas en la normativa vigente, en los diferentes entornos de la vida cotidiana.</w:t>
      </w:r>
    </w:p>
    <w:p w14:paraId="77B3C7E0" w14:textId="77777777" w:rsidR="008A1CF6" w:rsidRPr="008A6D54" w:rsidRDefault="008A1CF6" w:rsidP="008A1CF6">
      <w:pPr>
        <w:pStyle w:val="Textonotapie"/>
        <w:ind w:firstLine="709"/>
        <w:jc w:val="both"/>
        <w:rPr>
          <w:rFonts w:ascii="Verdana" w:hAnsi="Verdana"/>
          <w:sz w:val="16"/>
          <w:szCs w:val="16"/>
          <w:lang w:val="es-CO"/>
        </w:rPr>
      </w:pPr>
      <w:r w:rsidRPr="008A6D54">
        <w:rPr>
          <w:rFonts w:ascii="Verdana" w:hAnsi="Verdana"/>
          <w:sz w:val="16"/>
          <w:szCs w:val="16"/>
          <w:lang w:val="es-CO"/>
        </w:rPr>
        <w:t>12.4. En el nivel municipal se implementará un único plan de Salud Pública de Intervenciones Colectivas, a través del cual se garantice la concurrencia técnica, administrativa y financiera entre las Entidades Territoriales de los órdenes departamental y municipal.</w:t>
      </w:r>
    </w:p>
    <w:p w14:paraId="4707C859" w14:textId="77777777" w:rsidR="008A1CF6" w:rsidRPr="008A6D54" w:rsidRDefault="008A1CF6" w:rsidP="008A1CF6">
      <w:pPr>
        <w:pStyle w:val="Textonotapie"/>
        <w:ind w:firstLine="709"/>
        <w:jc w:val="both"/>
        <w:rPr>
          <w:rFonts w:ascii="Verdana" w:hAnsi="Verdana"/>
          <w:sz w:val="16"/>
          <w:szCs w:val="16"/>
          <w:lang w:val="es-CO"/>
        </w:rPr>
      </w:pPr>
      <w:r w:rsidRPr="008A6D54">
        <w:rPr>
          <w:rFonts w:ascii="Verdana" w:hAnsi="Verdana"/>
          <w:sz w:val="16"/>
          <w:szCs w:val="16"/>
          <w:lang w:val="es-CO"/>
        </w:rPr>
        <w:t xml:space="preserve">12.5. Las entidades territoriales departamentales, distritales y municipales y las Empresas Sociales del Estado, ubicadas en el departamento, distrito o municipio, suscribirán un convenio o contrato para la implementación del Plan de Salud Pública de Intervenciones Colectivas y suscribirán el acta de inicio a más tardar el 1° de abril de cada vigencia, garantizando su operación y continuidad hasta el 31 de marzo de la siguiente vigencia, en el marco de los principios de continuidad y disponibilidad establecidos en la Ley </w:t>
      </w:r>
      <w:r w:rsidRPr="008A6D54">
        <w:rPr>
          <w:rFonts w:ascii="Verdana" w:hAnsi="Verdana"/>
          <w:color w:val="000000" w:themeColor="text1"/>
          <w:sz w:val="16"/>
          <w:szCs w:val="16"/>
          <w:lang w:val="es-CO"/>
        </w:rPr>
        <w:t>número </w:t>
      </w:r>
      <w:hyperlink r:id="rId2" w:history="1">
        <w:r w:rsidRPr="008A6D54">
          <w:rPr>
            <w:rStyle w:val="Hipervnculo"/>
            <w:rFonts w:ascii="Verdana" w:hAnsi="Verdana"/>
            <w:color w:val="000000" w:themeColor="text1"/>
            <w:sz w:val="16"/>
            <w:szCs w:val="16"/>
            <w:lang w:val="es-CO"/>
          </w:rPr>
          <w:t>1751</w:t>
        </w:r>
      </w:hyperlink>
      <w:r w:rsidRPr="008A6D54">
        <w:rPr>
          <w:rFonts w:ascii="Verdana" w:hAnsi="Verdana"/>
          <w:color w:val="000000" w:themeColor="text1"/>
          <w:sz w:val="16"/>
          <w:szCs w:val="16"/>
          <w:lang w:val="es-CO"/>
        </w:rPr>
        <w:t> de 2</w:t>
      </w:r>
      <w:r w:rsidRPr="008A6D54">
        <w:rPr>
          <w:rFonts w:ascii="Verdana" w:hAnsi="Verdana"/>
          <w:sz w:val="16"/>
          <w:szCs w:val="16"/>
          <w:lang w:val="es-CO"/>
        </w:rPr>
        <w:t>015 o la norma que la modifique, asegurando la ejecución de la totalidad de recursos asignados.</w:t>
      </w:r>
    </w:p>
    <w:p w14:paraId="109DCE6F" w14:textId="77777777" w:rsidR="008A1CF6" w:rsidRPr="008A6D54" w:rsidRDefault="008A1CF6" w:rsidP="008A1CF6">
      <w:pPr>
        <w:pStyle w:val="Textonotapie"/>
        <w:ind w:firstLine="709"/>
        <w:jc w:val="both"/>
        <w:rPr>
          <w:rFonts w:ascii="Verdana" w:hAnsi="Verdana"/>
          <w:sz w:val="16"/>
          <w:szCs w:val="16"/>
          <w:lang w:val="es-CO"/>
        </w:rPr>
      </w:pPr>
      <w:r w:rsidRPr="008A6D54">
        <w:rPr>
          <w:rFonts w:ascii="Verdana" w:hAnsi="Verdana"/>
          <w:sz w:val="16"/>
          <w:szCs w:val="16"/>
          <w:lang w:val="es-CO"/>
        </w:rPr>
        <w:t>12.6. Las Empresas Sociales del Estado o las entidades que hagan sus veces, con las cuales las entidades territoriales contraten el Plan de Salud Pública de Intervenciones Colectivas (PIC), implementarán, en coordinación con las entidades territoriales de los órdenes departamental, distrital y municipal, un plan de fortalecimiento institucional para garantizar la adecuada y efectiva ejecución del PIC, conforme a las directrices que para tal efecto emita el Ministerio de Salud y Protección Social.</w:t>
      </w:r>
    </w:p>
    <w:p w14:paraId="11053279" w14:textId="77777777" w:rsidR="008A1CF6" w:rsidRPr="008A6D54" w:rsidRDefault="008A1CF6" w:rsidP="008A1CF6">
      <w:pPr>
        <w:pStyle w:val="Textonotapie"/>
        <w:ind w:firstLine="709"/>
        <w:jc w:val="both"/>
        <w:rPr>
          <w:rFonts w:ascii="Verdana" w:hAnsi="Verdana"/>
          <w:sz w:val="16"/>
          <w:szCs w:val="16"/>
          <w:lang w:val="es-CO"/>
        </w:rPr>
      </w:pPr>
      <w:r w:rsidRPr="008A6D54">
        <w:rPr>
          <w:rFonts w:ascii="Verdana" w:hAnsi="Verdana"/>
          <w:sz w:val="16"/>
          <w:szCs w:val="16"/>
          <w:lang w:val="es-CO"/>
        </w:rPr>
        <w:t>12.7. En los municipios que no cuenten con Empresas Sociales del Estado o la entidad que haga sus veces en el ámbito de su jurisdicción, el municipio ejecutará de manera directa las intervenciones colectivas que no requieran para su ejecución un servicio habilitado y contratarán con la Empresa Social del Estado del municipio más cercano, aquellas intervenciones colectivas que deben prestarse a través de servicios habilitados.</w:t>
      </w:r>
    </w:p>
    <w:p w14:paraId="0F6DFDA3" w14:textId="77777777" w:rsidR="008A1CF6" w:rsidRPr="008A6D54" w:rsidRDefault="008A1CF6" w:rsidP="008A1CF6">
      <w:pPr>
        <w:pStyle w:val="Textonotapie"/>
        <w:ind w:firstLine="709"/>
        <w:jc w:val="both"/>
        <w:rPr>
          <w:rFonts w:ascii="Verdana" w:hAnsi="Verdana"/>
          <w:sz w:val="16"/>
          <w:szCs w:val="16"/>
          <w:lang w:val="es-CO"/>
        </w:rPr>
      </w:pPr>
      <w:r w:rsidRPr="008A6D54">
        <w:rPr>
          <w:rFonts w:ascii="Verdana" w:hAnsi="Verdana"/>
          <w:sz w:val="16"/>
          <w:szCs w:val="16"/>
          <w:lang w:val="es-CO"/>
        </w:rPr>
        <w:t>12.8. Las entidades territoriales de los órdenes departamental, distrital y municipal implementarán mecanismos de coordinación con las instituciones prestadoras de servicios de salud, públicas, privadas y mixtas, las entidades promotoras de salud o quien haga sus veces, las demás entidades del sector público, el sector privado y la sociedad en general, con el fin de fortalecer la capacidad resolutiva de las acciones desarrolladas desde el plan de intervenciones colectivas en complementariedad con las intervenciones individuales del plan de beneficios en salud para la integralidad y continuidad de la atención, en el marco de los principios de concurrencia y complementariedad.</w:t>
      </w:r>
    </w:p>
    <w:p w14:paraId="09A81A1B" w14:textId="77777777" w:rsidR="008A1CF6" w:rsidRPr="008A6D54" w:rsidRDefault="008A1CF6" w:rsidP="008A1CF6">
      <w:pPr>
        <w:pStyle w:val="Textonotapie"/>
        <w:ind w:firstLine="709"/>
        <w:jc w:val="both"/>
        <w:rPr>
          <w:rFonts w:ascii="Verdana" w:hAnsi="Verdana"/>
          <w:sz w:val="16"/>
          <w:szCs w:val="16"/>
          <w:lang w:val="es-CO"/>
        </w:rPr>
      </w:pPr>
      <w:r w:rsidRPr="008A6D54">
        <w:rPr>
          <w:rFonts w:ascii="Verdana" w:hAnsi="Verdana"/>
          <w:sz w:val="16"/>
          <w:szCs w:val="16"/>
          <w:lang w:val="es-CO"/>
        </w:rPr>
        <w:t>12.9. En caso de que la Empresa Social del Estado o la entidad que haga sus veces desista del proceso de contratación del Plan de Salud Pública de Intervenciones Colectivas (PIC), deberá manifestarlo por escrito en un plazo de máximo quince (15) días calendario siguientes a la propuesta de contratación de la entidad territorial o la entidad que haga sus veces. En todo caso deberá evidenciarse la gestión adelantada por la entidad territorial para la contratación del PIC con la ESE, o la entidad que haga sus veces.</w:t>
      </w:r>
    </w:p>
    <w:p w14:paraId="10FE20A7" w14:textId="77777777" w:rsidR="008A1CF6" w:rsidRPr="008A6D54" w:rsidRDefault="008A1CF6" w:rsidP="008A1CF6">
      <w:pPr>
        <w:pStyle w:val="Textonotapie"/>
        <w:ind w:firstLine="709"/>
        <w:jc w:val="both"/>
        <w:rPr>
          <w:rFonts w:ascii="Verdana" w:hAnsi="Verdana"/>
          <w:sz w:val="16"/>
          <w:szCs w:val="16"/>
          <w:lang w:val="es-CO"/>
        </w:rPr>
      </w:pPr>
      <w:r w:rsidRPr="008A6D54">
        <w:rPr>
          <w:rFonts w:ascii="Verdana" w:hAnsi="Verdana"/>
          <w:sz w:val="16"/>
          <w:szCs w:val="16"/>
          <w:lang w:val="es-CO"/>
        </w:rPr>
        <w:t>12.10. En los municipios donde la única Empresa Social del Estado o la entidad que haga sus veces, haya desistido por escrito de la contratación del Plan de Salud Pública de Intervenciones Colectivas (PIC), este podrá ser contratado excepcionalmente con la ESE o quien haga sus veces, del municipio más cercano.</w:t>
      </w:r>
    </w:p>
    <w:p w14:paraId="00376BE8" w14:textId="77777777" w:rsidR="008A1CF6" w:rsidRPr="008A6D54" w:rsidRDefault="008A1CF6" w:rsidP="008A1CF6">
      <w:pPr>
        <w:pStyle w:val="Textonotapie"/>
        <w:ind w:firstLine="709"/>
        <w:jc w:val="both"/>
        <w:rPr>
          <w:rFonts w:ascii="Verdana" w:hAnsi="Verdana"/>
          <w:sz w:val="16"/>
          <w:szCs w:val="16"/>
          <w:lang w:val="es-CO"/>
        </w:rPr>
      </w:pPr>
      <w:r w:rsidRPr="008A6D54">
        <w:rPr>
          <w:rFonts w:ascii="Verdana" w:hAnsi="Verdana"/>
          <w:sz w:val="16"/>
          <w:szCs w:val="16"/>
          <w:lang w:val="es-CO"/>
        </w:rPr>
        <w:t>12.11. De no contar la Empresa Social del Estado o la entidad que haga sus veces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estas intervenciones serán implementadas directamente por la Entidad Territorial de los órdenes departamental, distrital o municipal, de acuerdo con sus competencias legales.</w:t>
      </w:r>
    </w:p>
    <w:p w14:paraId="69335076" w14:textId="77777777" w:rsidR="008A1CF6" w:rsidRPr="008A6D54" w:rsidRDefault="008A1CF6" w:rsidP="008A1CF6">
      <w:pPr>
        <w:pStyle w:val="Textonotapie"/>
        <w:ind w:firstLine="709"/>
        <w:jc w:val="both"/>
        <w:rPr>
          <w:rFonts w:ascii="Verdana" w:hAnsi="Verdana"/>
          <w:sz w:val="16"/>
          <w:szCs w:val="16"/>
          <w:lang w:val="es-CO"/>
        </w:rPr>
      </w:pPr>
      <w:r w:rsidRPr="008A6D54">
        <w:rPr>
          <w:rFonts w:ascii="Verdana" w:hAnsi="Verdana"/>
          <w:sz w:val="16"/>
          <w:szCs w:val="16"/>
          <w:lang w:val="es-CO"/>
        </w:rPr>
        <w:t>12.12. Excepcionalmente, cuando la entidad territorial de los órdenes departamental, distrital o municipal no cuente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 estas intervenciones podrán ser contratadas a través de universidades, organizaciones no gubernamentales (ONG) o instituciones de naturaleza privada cuyo objeto social esté relacionado, previa verificación del cumplimiento de las condiciones establecidas, conforme con las disposiciones aplicables a la contratación estatal.</w:t>
      </w:r>
    </w:p>
    <w:p w14:paraId="70A2AD03" w14:textId="77777777" w:rsidR="008A1CF6" w:rsidRPr="008A6D54" w:rsidRDefault="008A1CF6" w:rsidP="008A1CF6">
      <w:pPr>
        <w:pStyle w:val="Textonotapie"/>
        <w:ind w:firstLine="709"/>
        <w:jc w:val="both"/>
        <w:rPr>
          <w:rFonts w:ascii="Verdana" w:hAnsi="Verdana"/>
          <w:sz w:val="16"/>
          <w:szCs w:val="16"/>
          <w:lang w:val="es-CO"/>
        </w:rPr>
      </w:pPr>
      <w:r w:rsidRPr="008A6D54">
        <w:rPr>
          <w:rFonts w:ascii="Verdana" w:hAnsi="Verdana"/>
          <w:sz w:val="16"/>
          <w:szCs w:val="16"/>
          <w:lang w:val="es-CO"/>
        </w:rPr>
        <w:t xml:space="preserve">12.13. Las entidades territoriales de los órdenes departamental, distrital y municipal que celebren acuerdos de voluntades para las intervenciones colectivas deberán dar cumplimiento a lo establecido en el Decreto </w:t>
      </w:r>
      <w:r w:rsidRPr="008A6D54">
        <w:rPr>
          <w:rFonts w:ascii="Verdana" w:hAnsi="Verdana"/>
          <w:color w:val="000000" w:themeColor="text1"/>
          <w:sz w:val="16"/>
          <w:szCs w:val="16"/>
          <w:lang w:val="es-CO"/>
        </w:rPr>
        <w:t>número </w:t>
      </w:r>
      <w:hyperlink r:id="rId3" w:history="1">
        <w:r w:rsidRPr="008A6D54">
          <w:rPr>
            <w:rStyle w:val="Hipervnculo"/>
            <w:rFonts w:ascii="Verdana" w:hAnsi="Verdana"/>
            <w:color w:val="000000" w:themeColor="text1"/>
            <w:sz w:val="16"/>
            <w:szCs w:val="16"/>
            <w:lang w:val="es-CO"/>
          </w:rPr>
          <w:t>441</w:t>
        </w:r>
      </w:hyperlink>
      <w:r w:rsidRPr="008A6D54">
        <w:rPr>
          <w:rFonts w:ascii="Verdana" w:hAnsi="Verdana"/>
          <w:color w:val="000000" w:themeColor="text1"/>
          <w:sz w:val="16"/>
          <w:szCs w:val="16"/>
          <w:lang w:val="es-CO"/>
        </w:rPr>
        <w:t> de 20</w:t>
      </w:r>
      <w:r w:rsidRPr="008A6D54">
        <w:rPr>
          <w:rFonts w:ascii="Verdana" w:hAnsi="Verdana"/>
          <w:sz w:val="16"/>
          <w:szCs w:val="16"/>
          <w:lang w:val="es-CO"/>
        </w:rPr>
        <w:t>22 y Resolución número 2336 de 2023 o las normas que lo modifiquen o deroguen. </w:t>
      </w:r>
    </w:p>
    <w:p w14:paraId="2BD434C4" w14:textId="77777777" w:rsidR="008A1CF6" w:rsidRPr="008A6D54" w:rsidRDefault="008A1CF6" w:rsidP="008A1CF6">
      <w:pPr>
        <w:pStyle w:val="Textonotapie"/>
        <w:ind w:firstLine="709"/>
        <w:jc w:val="both"/>
        <w:rPr>
          <w:rFonts w:ascii="Verdana" w:hAnsi="Verdana"/>
          <w:sz w:val="16"/>
          <w:szCs w:val="16"/>
          <w:lang w:val="es-CO"/>
        </w:rPr>
      </w:pPr>
      <w:r w:rsidRPr="008A6D54">
        <w:rPr>
          <w:rFonts w:ascii="Verdana" w:hAnsi="Verdana"/>
          <w:sz w:val="16"/>
          <w:szCs w:val="16"/>
          <w:lang w:val="es-CO"/>
        </w:rPr>
        <w:t>12.14. Con el fin de fortalecer el abordaje comunitario en salud sexual y reproductiva, consumo de sustancias psicoactivas y otras prioridades en salud pública con poblaciones de especial interés, las entidades que implementen el Plan de Salud Pública de Intervenciones Colectivas podrán contratar actividades específicas con organizaciones de base comunitaria, sin ánimo de lucro, de acuerdo con la normativa vigente y los lineamientos que para tal efecto expida el Ministerio de Salud y Protección Social.</w:t>
      </w:r>
    </w:p>
    <w:p w14:paraId="06F9139B" w14:textId="77777777" w:rsidR="008A1CF6" w:rsidRPr="008A6D54" w:rsidRDefault="008A1CF6" w:rsidP="008A1CF6">
      <w:pPr>
        <w:pStyle w:val="Textonotapie"/>
        <w:ind w:firstLine="709"/>
        <w:jc w:val="both"/>
        <w:rPr>
          <w:rFonts w:ascii="Verdana" w:hAnsi="Verdana"/>
          <w:sz w:val="16"/>
          <w:szCs w:val="16"/>
          <w:lang w:val="es-CO"/>
        </w:rPr>
      </w:pPr>
      <w:r w:rsidRPr="008A6D54">
        <w:rPr>
          <w:rFonts w:ascii="Verdana" w:hAnsi="Verdana"/>
          <w:sz w:val="16"/>
          <w:szCs w:val="16"/>
          <w:lang w:val="es-CO"/>
        </w:rPr>
        <w:t>12.15. En ningún caso se podrán subcontratar las intervenciones colectivas del Plan de Salud Pública de Intervenciones Colectivas, salvo las actividades de apoyo, tales como adquisición de insumos, material didáctico que se pueda requerir para la ejecución directa del objeto, servicio de transporte y demás aspectos logísticos.</w:t>
      </w:r>
    </w:p>
    <w:p w14:paraId="1C71D0F7" w14:textId="77777777" w:rsidR="008A1CF6" w:rsidRPr="008A6D54" w:rsidRDefault="008A1CF6" w:rsidP="008A1CF6">
      <w:pPr>
        <w:pStyle w:val="Textonotapie"/>
        <w:ind w:firstLine="709"/>
        <w:jc w:val="both"/>
        <w:rPr>
          <w:rFonts w:ascii="Verdana" w:hAnsi="Verdana"/>
          <w:sz w:val="16"/>
          <w:szCs w:val="16"/>
          <w:lang w:val="es-CO"/>
        </w:rPr>
      </w:pPr>
      <w:r w:rsidRPr="008A6D54">
        <w:rPr>
          <w:rFonts w:ascii="Verdana" w:hAnsi="Verdana"/>
          <w:sz w:val="16"/>
          <w:szCs w:val="16"/>
          <w:lang w:val="es-CO"/>
        </w:rPr>
        <w:t>12.16. Se podrán realizar alianzas entre dos o más municipios para la contratación de intervenciones colectivas en el marco de estrategias conjuntas de salud pública, que tengan un alcance regional y subregional o que permitan optimizar esfuerzos y recursos.</w:t>
      </w:r>
    </w:p>
    <w:p w14:paraId="556A5B49" w14:textId="77777777" w:rsidR="008A1CF6" w:rsidRPr="008A6D54" w:rsidRDefault="008A1CF6" w:rsidP="008A1CF6">
      <w:pPr>
        <w:pStyle w:val="Textonotapie"/>
        <w:ind w:firstLine="709"/>
        <w:jc w:val="both"/>
        <w:rPr>
          <w:rFonts w:ascii="Verdana" w:hAnsi="Verdana"/>
          <w:sz w:val="16"/>
          <w:szCs w:val="16"/>
          <w:lang w:val="es-CO"/>
        </w:rPr>
      </w:pPr>
      <w:r w:rsidRPr="008A6D54">
        <w:rPr>
          <w:rFonts w:ascii="Verdana" w:hAnsi="Verdana"/>
          <w:b/>
          <w:bCs/>
          <w:sz w:val="16"/>
          <w:szCs w:val="16"/>
          <w:lang w:val="es-CO"/>
        </w:rPr>
        <w:t>Parágrafo.</w:t>
      </w:r>
      <w:r w:rsidRPr="008A6D54">
        <w:rPr>
          <w:rFonts w:ascii="Verdana" w:hAnsi="Verdana"/>
          <w:sz w:val="16"/>
          <w:szCs w:val="16"/>
          <w:lang w:val="es-CO"/>
        </w:rPr>
        <w:t> Este Ministerio reglamentará las condiciones que deben cumplir las organizaciones de base comunitaria, sin ánimo de lucro, para el desarrollo de las actividades de abordaje comunitario.</w:t>
      </w:r>
    </w:p>
    <w:p w14:paraId="6C3CEB44" w14:textId="77777777" w:rsidR="008A1CF6" w:rsidRPr="008A6D54" w:rsidRDefault="008A1CF6" w:rsidP="008A1CF6">
      <w:pPr>
        <w:pStyle w:val="Textonotapie"/>
        <w:rPr>
          <w:lang w:val="es-ES"/>
        </w:rPr>
      </w:pPr>
    </w:p>
  </w:footnote>
  <w:footnote w:id="13">
    <w:p w14:paraId="781A712F" w14:textId="77777777" w:rsidR="008A1CF6" w:rsidRDefault="008A1CF6" w:rsidP="008A1CF6">
      <w:pPr>
        <w:pStyle w:val="Textonotapie"/>
        <w:ind w:firstLine="708"/>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2974FE0E" w14:textId="77777777" w:rsidR="008A1CF6" w:rsidRPr="00FF007A" w:rsidRDefault="008A1CF6" w:rsidP="008A1CF6">
      <w:pPr>
        <w:pStyle w:val="Textonotapie"/>
        <w:ind w:firstLine="708"/>
        <w:contextualSpacing/>
        <w:jc w:val="both"/>
        <w:rPr>
          <w:rFonts w:ascii="Verdana" w:hAnsi="Verdana" w:cs="Arial"/>
          <w:sz w:val="16"/>
          <w:szCs w:val="16"/>
          <w:lang w:val="es-CO"/>
        </w:rPr>
      </w:pPr>
    </w:p>
  </w:footnote>
  <w:footnote w:id="14">
    <w:p w14:paraId="08431ACF" w14:textId="77777777" w:rsidR="008A1CF6" w:rsidRPr="00FF007A" w:rsidRDefault="008A1CF6" w:rsidP="008A1CF6">
      <w:pPr>
        <w:pStyle w:val="Textonotapie"/>
        <w:ind w:firstLine="708"/>
        <w:contextualSpacing/>
        <w:rPr>
          <w:rFonts w:ascii="Verdana" w:hAnsi="Verdana"/>
          <w:sz w:val="16"/>
          <w:szCs w:val="16"/>
          <w:lang w:val="es-CO"/>
        </w:rPr>
      </w:pPr>
      <w:r w:rsidRPr="00FF007A">
        <w:rPr>
          <w:rStyle w:val="Refdenotaalpie"/>
          <w:rFonts w:ascii="Verdana" w:hAnsi="Verdana"/>
          <w:sz w:val="16"/>
          <w:szCs w:val="16"/>
          <w:lang w:val="es-CO"/>
        </w:rPr>
        <w:footnoteRef/>
      </w:r>
      <w:r w:rsidRPr="00FF007A">
        <w:rPr>
          <w:rFonts w:ascii="Verdana" w:hAnsi="Verdana"/>
          <w:sz w:val="16"/>
          <w:szCs w:val="16"/>
          <w:lang w:val="es-CO"/>
        </w:rPr>
        <w:t xml:space="preserve"> </w:t>
      </w:r>
      <w:r w:rsidRPr="00FF007A">
        <w:rPr>
          <w:rFonts w:ascii="Verdana" w:hAnsi="Verdana" w:cs="Arial"/>
          <w:sz w:val="16"/>
          <w:szCs w:val="16"/>
          <w:lang w:val="es-CO"/>
        </w:rPr>
        <w:t>M</w:t>
      </w:r>
      <w:r w:rsidRPr="00FF007A">
        <w:rPr>
          <w:rFonts w:ascii="Verdana" w:hAnsi="Verdana"/>
          <w:sz w:val="16"/>
          <w:szCs w:val="16"/>
          <w:lang w:val="es-CO"/>
        </w:rPr>
        <w:t>i</w:t>
      </w:r>
      <w:r w:rsidRPr="00FF007A">
        <w:rPr>
          <w:rFonts w:ascii="Verdana" w:hAnsi="Verdana" w:cs="Arial"/>
          <w:sz w:val="16"/>
          <w:szCs w:val="16"/>
          <w:lang w:val="es-CO"/>
        </w:rPr>
        <w:t>nisterio de Salud y Protección Social. Resolución</w:t>
      </w:r>
      <w:r>
        <w:rPr>
          <w:rFonts w:ascii="Verdana" w:hAnsi="Verdana" w:cs="Arial"/>
          <w:sz w:val="16"/>
          <w:szCs w:val="16"/>
          <w:lang w:val="es-CO"/>
        </w:rPr>
        <w:t xml:space="preserve"> </w:t>
      </w:r>
      <w:r w:rsidRPr="00FF007A">
        <w:rPr>
          <w:rFonts w:ascii="Verdana" w:hAnsi="Verdana" w:cs="Arial"/>
          <w:sz w:val="16"/>
          <w:szCs w:val="16"/>
          <w:lang w:val="es-CO"/>
        </w:rPr>
        <w:t>04 del 12 de Enero de 2018.</w:t>
      </w:r>
    </w:p>
  </w:footnote>
  <w:footnote w:id="15">
    <w:p w14:paraId="116821C3" w14:textId="77777777" w:rsidR="008A1CF6" w:rsidRPr="00CB56F1" w:rsidRDefault="008A1CF6" w:rsidP="008A1CF6">
      <w:pPr>
        <w:pStyle w:val="Textonotapie"/>
        <w:ind w:firstLine="708"/>
        <w:jc w:val="both"/>
        <w:rPr>
          <w:rFonts w:ascii="Century Gothic" w:hAnsi="Century Gothic" w:cs="Arial"/>
          <w:sz w:val="19"/>
          <w:szCs w:val="19"/>
        </w:rPr>
      </w:pPr>
      <w:r w:rsidRPr="00CB56F1">
        <w:rPr>
          <w:rStyle w:val="Refdenotaalpie"/>
          <w:rFonts w:ascii="Century Gothic" w:hAnsi="Century Gothic" w:cs="Arial"/>
          <w:sz w:val="19"/>
          <w:szCs w:val="19"/>
        </w:rPr>
        <w:footnoteRef/>
      </w:r>
      <w:r w:rsidRPr="00CB56F1">
        <w:rPr>
          <w:rFonts w:ascii="Century Gothic" w:hAnsi="Century Gothic" w:cs="Arial"/>
          <w:sz w:val="19"/>
          <w:szCs w:val="19"/>
        </w:rPr>
        <w:t xml:space="preserve"> DROMI, José Roberto. La licitación pública. Buenos Aires: Ciudad Argentina, 1980. pp. 173-174. Para el autor, la aplicación de la causal supone que: i) las prestaciones están amparadas legalmente por un derecho de marca; ii) la necesidad no puede satisfacerse con equivalentes no sujetos a privilegio, pues de los contrario la causal es inaplicable; iii) la necesidad solo pueda satisfacerla el titular de estos derechos, excluyendo que otros aspirantes en condiciones similares también puedan hacerlo; y iv) la existencia de informes técnicos que acrediten la imposibilidad de sustitutos convenientes (Ibidem., p. 174).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82"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C516F2"/>
    <w:multiLevelType w:val="hybridMultilevel"/>
    <w:tmpl w:val="44CCD6CC"/>
    <w:lvl w:ilvl="0" w:tplc="88909504">
      <w:start w:val="1"/>
      <w:numFmt w:val="lowerRoman"/>
      <w:lvlText w:val="%1."/>
      <w:lvlJc w:val="left"/>
      <w:pPr>
        <w:ind w:left="751" w:hanging="720"/>
      </w:pPr>
      <w:rPr>
        <w:rFonts w:hint="default"/>
      </w:rPr>
    </w:lvl>
    <w:lvl w:ilvl="1" w:tplc="240A0019" w:tentative="1">
      <w:start w:val="1"/>
      <w:numFmt w:val="lowerLetter"/>
      <w:lvlText w:val="%2."/>
      <w:lvlJc w:val="left"/>
      <w:pPr>
        <w:ind w:left="1111" w:hanging="360"/>
      </w:pPr>
    </w:lvl>
    <w:lvl w:ilvl="2" w:tplc="240A001B" w:tentative="1">
      <w:start w:val="1"/>
      <w:numFmt w:val="lowerRoman"/>
      <w:lvlText w:val="%3."/>
      <w:lvlJc w:val="right"/>
      <w:pPr>
        <w:ind w:left="1831" w:hanging="180"/>
      </w:pPr>
    </w:lvl>
    <w:lvl w:ilvl="3" w:tplc="240A000F" w:tentative="1">
      <w:start w:val="1"/>
      <w:numFmt w:val="decimal"/>
      <w:lvlText w:val="%4."/>
      <w:lvlJc w:val="left"/>
      <w:pPr>
        <w:ind w:left="2551" w:hanging="360"/>
      </w:pPr>
    </w:lvl>
    <w:lvl w:ilvl="4" w:tplc="240A0019" w:tentative="1">
      <w:start w:val="1"/>
      <w:numFmt w:val="lowerLetter"/>
      <w:lvlText w:val="%5."/>
      <w:lvlJc w:val="left"/>
      <w:pPr>
        <w:ind w:left="3271" w:hanging="360"/>
      </w:pPr>
    </w:lvl>
    <w:lvl w:ilvl="5" w:tplc="240A001B" w:tentative="1">
      <w:start w:val="1"/>
      <w:numFmt w:val="lowerRoman"/>
      <w:lvlText w:val="%6."/>
      <w:lvlJc w:val="right"/>
      <w:pPr>
        <w:ind w:left="3991" w:hanging="180"/>
      </w:pPr>
    </w:lvl>
    <w:lvl w:ilvl="6" w:tplc="240A000F" w:tentative="1">
      <w:start w:val="1"/>
      <w:numFmt w:val="decimal"/>
      <w:lvlText w:val="%7."/>
      <w:lvlJc w:val="left"/>
      <w:pPr>
        <w:ind w:left="4711" w:hanging="360"/>
      </w:pPr>
    </w:lvl>
    <w:lvl w:ilvl="7" w:tplc="240A0019" w:tentative="1">
      <w:start w:val="1"/>
      <w:numFmt w:val="lowerLetter"/>
      <w:lvlText w:val="%8."/>
      <w:lvlJc w:val="left"/>
      <w:pPr>
        <w:ind w:left="5431" w:hanging="360"/>
      </w:pPr>
    </w:lvl>
    <w:lvl w:ilvl="8" w:tplc="240A001B" w:tentative="1">
      <w:start w:val="1"/>
      <w:numFmt w:val="lowerRoman"/>
      <w:lvlText w:val="%9."/>
      <w:lvlJc w:val="right"/>
      <w:pPr>
        <w:ind w:left="6151"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9F363F9"/>
    <w:multiLevelType w:val="hybridMultilevel"/>
    <w:tmpl w:val="965A7E98"/>
    <w:lvl w:ilvl="0" w:tplc="FD66BB4A">
      <w:start w:val="1"/>
      <w:numFmt w:val="lowerRoman"/>
      <w:lvlText w:val="%1."/>
      <w:lvlJc w:val="left"/>
      <w:pPr>
        <w:ind w:left="1080" w:hanging="720"/>
      </w:pPr>
      <w:rPr>
        <w:rFonts w:eastAsia="Times New Roman"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2"/>
  </w:num>
  <w:num w:numId="3">
    <w:abstractNumId w:val="5"/>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6"/>
  </w:num>
  <w:num w:numId="7">
    <w:abstractNumId w:val="7"/>
  </w:num>
  <w:num w:numId="8">
    <w:abstractNumId w:val="15"/>
  </w:num>
  <w:num w:numId="9">
    <w:abstractNumId w:val="9"/>
  </w:num>
  <w:num w:numId="10">
    <w:abstractNumId w:val="14"/>
  </w:num>
  <w:num w:numId="11">
    <w:abstractNumId w:val="10"/>
  </w:num>
  <w:num w:numId="12">
    <w:abstractNumId w:val="1"/>
  </w:num>
  <w:num w:numId="13">
    <w:abstractNumId w:val="4"/>
  </w:num>
  <w:num w:numId="14">
    <w:abstractNumId w:val="17"/>
  </w:num>
  <w:num w:numId="15">
    <w:abstractNumId w:val="12"/>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11"/>
  </w:num>
  <w:num w:numId="19">
    <w:abstractNumId w:val="13"/>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74F2"/>
    <w:rsid w:val="002E2BF8"/>
    <w:rsid w:val="002E4FD9"/>
    <w:rsid w:val="00300D62"/>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1587"/>
    <w:rsid w:val="00466E39"/>
    <w:rsid w:val="004A1847"/>
    <w:rsid w:val="004A305D"/>
    <w:rsid w:val="004F21C4"/>
    <w:rsid w:val="004F685F"/>
    <w:rsid w:val="005566E8"/>
    <w:rsid w:val="00574867"/>
    <w:rsid w:val="00591460"/>
    <w:rsid w:val="005A65E0"/>
    <w:rsid w:val="005C3777"/>
    <w:rsid w:val="005C5CDC"/>
    <w:rsid w:val="005D476C"/>
    <w:rsid w:val="005E4FAA"/>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1CF6"/>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6630F"/>
    <w:rsid w:val="00B72CD3"/>
    <w:rsid w:val="00B72FFF"/>
    <w:rsid w:val="00B92E7C"/>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22E25"/>
    <w:rsid w:val="00D361FD"/>
    <w:rsid w:val="00D423A2"/>
    <w:rsid w:val="00D44E26"/>
    <w:rsid w:val="00D520D8"/>
    <w:rsid w:val="00D63AC2"/>
    <w:rsid w:val="00D7383B"/>
    <w:rsid w:val="00D7788A"/>
    <w:rsid w:val="00DA231B"/>
    <w:rsid w:val="00DC39FC"/>
    <w:rsid w:val="00DF5254"/>
    <w:rsid w:val="00E02524"/>
    <w:rsid w:val="00E16408"/>
    <w:rsid w:val="00E177AC"/>
    <w:rsid w:val="00E20894"/>
    <w:rsid w:val="00E245AB"/>
    <w:rsid w:val="00E2764C"/>
    <w:rsid w:val="00E27F2E"/>
    <w:rsid w:val="00E50AFE"/>
    <w:rsid w:val="00E75C6D"/>
    <w:rsid w:val="00E75C92"/>
    <w:rsid w:val="00E771DC"/>
    <w:rsid w:val="00E8772A"/>
    <w:rsid w:val="00E90F6B"/>
    <w:rsid w:val="00E92C27"/>
    <w:rsid w:val="00E96CFA"/>
    <w:rsid w:val="00EA0E3D"/>
    <w:rsid w:val="00EC38A7"/>
    <w:rsid w:val="00EE1AA8"/>
    <w:rsid w:val="00F23FEA"/>
    <w:rsid w:val="00F31EDC"/>
    <w:rsid w:val="00F462B3"/>
    <w:rsid w:val="00F5664F"/>
    <w:rsid w:val="00F60CF2"/>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A1CF6"/>
    <w:rPr>
      <w:rFonts w:ascii="Geomanist Light" w:hAnsi="Geomanist Light"/>
      <w:lang w:val="es-ES"/>
    </w:rPr>
  </w:style>
  <w:style w:type="paragraph" w:customStyle="1" w:styleId="Appelnotedebasde">
    <w:name w:val="Appel note de bas de..."/>
    <w:basedOn w:val="Normal"/>
    <w:link w:val="Refdenotaalpie"/>
    <w:uiPriority w:val="99"/>
    <w:rsid w:val="008A1CF6"/>
    <w:pPr>
      <w:spacing w:line="240" w:lineRule="exact"/>
    </w:pPr>
    <w:rPr>
      <w:vertAlign w:val="superscript"/>
    </w:rPr>
  </w:style>
  <w:style w:type="character" w:customStyle="1" w:styleId="baj">
    <w:name w:val="b_aj"/>
    <w:basedOn w:val="Fuentedeprrafopredeter"/>
    <w:rsid w:val="008A1C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anandvas03@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www.alcaldiabogota.gov.co/sisjur/normas/Norma1.jsp?dt=S&amp;i=122202" TargetMode="External"/><Relationship Id="rId2" Type="http://schemas.openxmlformats.org/officeDocument/2006/relationships/hyperlink" Target="https://www.alcaldiabogota.gov.co/sisjur/normas/Norma1.jsp?dt=S&amp;i=60733" TargetMode="External"/><Relationship Id="rId1" Type="http://schemas.openxmlformats.org/officeDocument/2006/relationships/hyperlink" Target="https://www.alcaldiabogota.gov.co/sisjur/normas/Norma1.jsp?dt=S&amp;i=804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2.xml><?xml version="1.0" encoding="utf-8"?>
<ds:datastoreItem xmlns:ds="http://schemas.openxmlformats.org/officeDocument/2006/customXml" ds:itemID="{36275507-288D-4D6F-894A-E48011FA321A}"/>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866</TotalTime>
  <Pages>21</Pages>
  <Words>6483</Words>
  <Characters>35657</Characters>
  <Application>Microsoft Office Word</Application>
  <DocSecurity>0</DocSecurity>
  <Lines>297</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2025-12-06T00:10:00Z</dcterms:created>
  <dcterms:modified xsi:type="dcterms:W3CDTF">2025-12-23T11:54:00Z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