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32C18" w14:textId="63444884" w:rsidR="00DA63DC" w:rsidRPr="008E5CDD" w:rsidRDefault="00DA63DC" w:rsidP="000D3C8D">
      <w:pPr>
        <w:spacing w:after="0" w:line="240" w:lineRule="auto"/>
        <w:jc w:val="both"/>
        <w:rPr>
          <w:rFonts w:ascii="Verdana" w:eastAsia="Calibri" w:hAnsi="Verdana" w:cs="Arial"/>
          <w:b/>
          <w:bCs/>
          <w:color w:val="000000" w:themeColor="text1"/>
          <w:lang w:val="es-ES"/>
        </w:rPr>
      </w:pPr>
      <w:bookmarkStart w:id="0" w:name="_Hlk186494164"/>
      <w:r w:rsidRPr="008E5CDD">
        <w:rPr>
          <w:rFonts w:ascii="Verdana" w:eastAsia="Calibri" w:hAnsi="Verdana" w:cs="Arial"/>
          <w:b/>
          <w:bCs/>
          <w:color w:val="000000" w:themeColor="text1"/>
          <w:lang w:val="es-ES"/>
        </w:rPr>
        <w:t>CONTRATO DE OBRA PÚBLICA – Tipología – Confección de obra material –Arrendamiento</w:t>
      </w:r>
    </w:p>
    <w:p w14:paraId="75AD00F3" w14:textId="77777777" w:rsidR="000D3C8D" w:rsidRPr="000D3C8D" w:rsidRDefault="000D3C8D" w:rsidP="000D3C8D">
      <w:pPr>
        <w:spacing w:after="0" w:line="240" w:lineRule="auto"/>
        <w:jc w:val="both"/>
        <w:rPr>
          <w:rFonts w:ascii="Verdana" w:eastAsia="Calibri" w:hAnsi="Verdana" w:cs="Arial"/>
          <w:b/>
          <w:bCs/>
          <w:color w:val="000000" w:themeColor="text1"/>
          <w:sz w:val="20"/>
          <w:szCs w:val="20"/>
        </w:rPr>
      </w:pPr>
    </w:p>
    <w:p w14:paraId="47704744" w14:textId="72932DAE" w:rsidR="00DA63DC" w:rsidRDefault="00DA63DC" w:rsidP="000D3C8D">
      <w:pPr>
        <w:spacing w:after="0" w:line="240" w:lineRule="auto"/>
        <w:jc w:val="both"/>
        <w:rPr>
          <w:rFonts w:ascii="Verdana" w:eastAsia="Calibri" w:hAnsi="Verdana" w:cs="Arial"/>
          <w:color w:val="000000" w:themeColor="text1"/>
          <w:sz w:val="20"/>
          <w:szCs w:val="20"/>
          <w:lang w:val="es-ES_tradnl"/>
        </w:rPr>
      </w:pPr>
      <w:r w:rsidRPr="000D3C8D">
        <w:rPr>
          <w:rFonts w:ascii="Verdana" w:eastAsia="Calibri" w:hAnsi="Verdana" w:cs="Arial"/>
          <w:color w:val="000000" w:themeColor="text1"/>
          <w:sz w:val="20"/>
          <w:szCs w:val="20"/>
          <w:lang w:val="es-ES_tradnl"/>
        </w:rPr>
        <w:t xml:space="preserve">La obra pública es una tipología de los contratos estatales, entendidos estos últimos como los actos jurídicos generadores de obligaciones que han sido celebrados por alguna de las entidades estatales enlistadas en el artículo 2 de la Ley 80 de 1993. Lo anterior resulta de especial relevancia, en la medida en que dicho tipo contractual se diferencia de la definición y regulación prevista en el derecho privado para el contrato de confección de obra material regulado en el Código Civil. […] [E]n el derecho privado brilla por la ausencia una definición del contrato de obra. El artículo 2053 del Código Civil lo tipifica como una de las clases de arrendamiento, y establece reglas para diferenciarlo de la compraventa, para lo cual dispone que </w:t>
      </w:r>
      <w:r w:rsidR="00F34245">
        <w:rPr>
          <w:rFonts w:ascii="Verdana" w:eastAsia="Calibri" w:hAnsi="Verdana" w:cs="Arial"/>
          <w:color w:val="000000" w:themeColor="text1"/>
          <w:sz w:val="20"/>
          <w:szCs w:val="20"/>
          <w:lang w:val="es-ES_tradnl"/>
        </w:rPr>
        <w:t>“</w:t>
      </w:r>
      <w:r w:rsidRPr="000D3C8D">
        <w:rPr>
          <w:rFonts w:ascii="Verdana" w:eastAsia="Calibri" w:hAnsi="Verdana" w:cs="Arial"/>
          <w:color w:val="000000" w:themeColor="text1"/>
          <w:sz w:val="20"/>
          <w:szCs w:val="20"/>
          <w:lang w:val="es-ES_tradnl"/>
        </w:rPr>
        <w:t>Si al artífice suministra la materia para la confección de una obra material, el contrato es de venta; pero no se perfecciona sino por la aprobación del que ordenó la obra</w:t>
      </w:r>
      <w:r w:rsidR="00F34245">
        <w:rPr>
          <w:rFonts w:ascii="Verdana" w:eastAsia="Calibri" w:hAnsi="Verdana" w:cs="Arial"/>
          <w:color w:val="000000" w:themeColor="text1"/>
          <w:sz w:val="20"/>
          <w:szCs w:val="20"/>
          <w:lang w:val="es-ES_tradnl"/>
        </w:rPr>
        <w:t>”</w:t>
      </w:r>
      <w:r w:rsidRPr="000D3C8D">
        <w:rPr>
          <w:rFonts w:ascii="Verdana" w:eastAsia="Calibri" w:hAnsi="Verdana" w:cs="Arial"/>
          <w:color w:val="000000" w:themeColor="text1"/>
          <w:sz w:val="20"/>
          <w:szCs w:val="20"/>
          <w:lang w:val="es-ES_tradnl"/>
        </w:rPr>
        <w:t xml:space="preserve">. Por el contrario, </w:t>
      </w:r>
      <w:r w:rsidR="00D727D4" w:rsidRPr="000D3C8D">
        <w:rPr>
          <w:rFonts w:ascii="Verdana" w:eastAsia="Calibri" w:hAnsi="Verdana" w:cs="Arial"/>
          <w:color w:val="000000" w:themeColor="text1"/>
          <w:sz w:val="20"/>
          <w:szCs w:val="20"/>
          <w:lang w:val="es-ES_tradnl"/>
        </w:rPr>
        <w:t>“</w:t>
      </w:r>
      <w:r w:rsidRPr="000D3C8D">
        <w:rPr>
          <w:rFonts w:ascii="Verdana" w:eastAsia="Calibri" w:hAnsi="Verdana" w:cs="Arial"/>
          <w:color w:val="000000" w:themeColor="text1"/>
          <w:sz w:val="20"/>
          <w:szCs w:val="20"/>
          <w:lang w:val="es-ES_tradnl"/>
        </w:rPr>
        <w:t>Si la materia es suministrada por la persona que encargó la obra, el contrato es de arrendamiento</w:t>
      </w:r>
      <w:r w:rsidR="00D727D4" w:rsidRPr="000D3C8D">
        <w:rPr>
          <w:rFonts w:ascii="Verdana" w:eastAsia="Calibri" w:hAnsi="Verdana" w:cs="Arial"/>
          <w:color w:val="000000" w:themeColor="text1"/>
          <w:sz w:val="20"/>
          <w:szCs w:val="20"/>
          <w:lang w:val="es-ES_tradnl"/>
        </w:rPr>
        <w:t>”</w:t>
      </w:r>
      <w:r w:rsidRPr="000D3C8D">
        <w:rPr>
          <w:rFonts w:ascii="Verdana" w:eastAsia="Calibri" w:hAnsi="Verdana" w:cs="Arial"/>
          <w:color w:val="000000" w:themeColor="text1"/>
          <w:sz w:val="20"/>
          <w:szCs w:val="20"/>
          <w:lang w:val="es-ES_tradnl"/>
        </w:rPr>
        <w:t xml:space="preserve">; pero </w:t>
      </w:r>
      <w:r w:rsidR="00D727D4" w:rsidRPr="000D3C8D">
        <w:rPr>
          <w:rFonts w:ascii="Verdana" w:eastAsia="Calibri" w:hAnsi="Verdana" w:cs="Arial"/>
          <w:color w:val="000000" w:themeColor="text1"/>
          <w:sz w:val="20"/>
          <w:szCs w:val="20"/>
          <w:lang w:val="es-ES_tradnl"/>
        </w:rPr>
        <w:t>“</w:t>
      </w:r>
      <w:r w:rsidRPr="000D3C8D">
        <w:rPr>
          <w:rFonts w:ascii="Verdana" w:eastAsia="Calibri" w:hAnsi="Verdana" w:cs="Arial"/>
          <w:color w:val="000000" w:themeColor="text1"/>
          <w:sz w:val="20"/>
          <w:szCs w:val="20"/>
          <w:lang w:val="es-ES_tradnl"/>
        </w:rPr>
        <w:t>Si la materia principal es suministrada por el que ha ordenado la obra, poniendo el artífice lo demás, el contrato es de arrendamiento; en el caso contrario, de venta</w:t>
      </w:r>
      <w:r w:rsidR="00D727D4" w:rsidRPr="000D3C8D">
        <w:rPr>
          <w:rFonts w:ascii="Verdana" w:eastAsia="Calibri" w:hAnsi="Verdana" w:cs="Arial"/>
          <w:color w:val="000000" w:themeColor="text1"/>
          <w:sz w:val="20"/>
          <w:szCs w:val="20"/>
          <w:lang w:val="es-ES_tradnl"/>
        </w:rPr>
        <w:t>”</w:t>
      </w:r>
      <w:r w:rsidRPr="000D3C8D">
        <w:rPr>
          <w:rFonts w:ascii="Verdana" w:eastAsia="Calibri" w:hAnsi="Verdana" w:cs="Arial"/>
          <w:color w:val="000000" w:themeColor="text1"/>
          <w:sz w:val="20"/>
          <w:szCs w:val="20"/>
          <w:lang w:val="es-ES_tradnl"/>
        </w:rPr>
        <w:t>. En todo caso, en la medida en que los artículos 2060 y 2061 del Código disponen reglas especiales para los contratos de construcción y de arquitectura, es claro que la realización de trabajos materiales recae tanto sobre bienes muebles como inmuebles.</w:t>
      </w:r>
    </w:p>
    <w:p w14:paraId="6B5C93C7" w14:textId="77777777" w:rsidR="000D3C8D" w:rsidRPr="000D3C8D" w:rsidRDefault="000D3C8D" w:rsidP="000D3C8D">
      <w:pPr>
        <w:spacing w:after="0" w:line="240" w:lineRule="auto"/>
        <w:jc w:val="both"/>
        <w:rPr>
          <w:rFonts w:ascii="Verdana" w:eastAsia="Calibri" w:hAnsi="Verdana" w:cs="Arial"/>
          <w:color w:val="000000" w:themeColor="text1"/>
          <w:sz w:val="20"/>
          <w:szCs w:val="20"/>
          <w:lang w:val="es-ES_tradnl"/>
        </w:rPr>
      </w:pPr>
    </w:p>
    <w:p w14:paraId="52EDE2E6" w14:textId="4151B0E0" w:rsidR="00DA63DC" w:rsidRPr="008E5CDD" w:rsidRDefault="00DA63DC" w:rsidP="000D3C8D">
      <w:pPr>
        <w:spacing w:after="0" w:line="240" w:lineRule="auto"/>
        <w:jc w:val="both"/>
        <w:rPr>
          <w:rFonts w:ascii="Verdana" w:eastAsia="Calibri" w:hAnsi="Verdana" w:cs="Arial"/>
          <w:b/>
          <w:bCs/>
          <w:color w:val="000000" w:themeColor="text1"/>
          <w:lang w:val="es-ES_tradnl"/>
        </w:rPr>
      </w:pPr>
      <w:bookmarkStart w:id="1" w:name="_Hlk81428782"/>
      <w:r w:rsidRPr="008E5CDD">
        <w:rPr>
          <w:rFonts w:ascii="Verdana" w:eastAsia="Calibri" w:hAnsi="Verdana" w:cs="Arial"/>
          <w:b/>
          <w:bCs/>
          <w:color w:val="000000" w:themeColor="text1"/>
          <w:lang w:val="es-ES_tradnl"/>
        </w:rPr>
        <w:t xml:space="preserve">CONTRATO DE OBRA PÚBLICA </w:t>
      </w:r>
      <w:bookmarkEnd w:id="1"/>
      <w:r w:rsidRPr="008E5CDD">
        <w:rPr>
          <w:rFonts w:ascii="Verdana" w:eastAsia="Calibri" w:hAnsi="Verdana" w:cs="Arial"/>
          <w:b/>
          <w:bCs/>
          <w:color w:val="000000" w:themeColor="text1"/>
          <w:lang w:val="es-ES_tradnl"/>
        </w:rPr>
        <w:t xml:space="preserve">– Definición – Bienes inmuebles </w:t>
      </w:r>
    </w:p>
    <w:p w14:paraId="21EBDEAF" w14:textId="77777777" w:rsidR="000D3C8D" w:rsidRPr="000D3C8D" w:rsidRDefault="000D3C8D" w:rsidP="000D3C8D">
      <w:pPr>
        <w:spacing w:after="0" w:line="240" w:lineRule="auto"/>
        <w:jc w:val="both"/>
        <w:rPr>
          <w:rFonts w:ascii="Verdana" w:eastAsia="Calibri" w:hAnsi="Verdana" w:cs="Arial"/>
          <w:b/>
          <w:bCs/>
          <w:color w:val="000000" w:themeColor="text1"/>
          <w:sz w:val="20"/>
          <w:szCs w:val="20"/>
          <w:lang w:val="es-ES_tradnl"/>
        </w:rPr>
      </w:pPr>
    </w:p>
    <w:p w14:paraId="5E7F5601" w14:textId="4AB8E1C2" w:rsidR="00DA63DC" w:rsidRDefault="00DA63DC" w:rsidP="000D3C8D">
      <w:pPr>
        <w:spacing w:after="0" w:line="240" w:lineRule="auto"/>
        <w:jc w:val="both"/>
        <w:rPr>
          <w:rFonts w:ascii="Verdana" w:eastAsia="Calibri" w:hAnsi="Verdana" w:cs="Arial"/>
          <w:color w:val="000000" w:themeColor="text1"/>
          <w:sz w:val="20"/>
          <w:szCs w:val="20"/>
          <w:lang w:val="es-ES_tradnl"/>
        </w:rPr>
      </w:pPr>
      <w:r w:rsidRPr="000D3C8D">
        <w:rPr>
          <w:rFonts w:ascii="Verdana" w:eastAsia="Calibri" w:hAnsi="Verdana" w:cs="Arial"/>
          <w:color w:val="000000" w:themeColor="text1"/>
          <w:sz w:val="20"/>
          <w:szCs w:val="20"/>
          <w:lang w:val="es-ES_tradnl"/>
        </w:rPr>
        <w:t xml:space="preserve">El numeral 1 del artículo 32 de la Ley 80 de 1993 opta por un </w:t>
      </w:r>
      <w:r w:rsidRPr="000D3C8D">
        <w:rPr>
          <w:rFonts w:ascii="Verdana" w:eastAsia="Calibri" w:hAnsi="Verdana" w:cs="Arial"/>
          <w:i/>
          <w:iCs/>
          <w:color w:val="000000" w:themeColor="text1"/>
          <w:sz w:val="20"/>
          <w:szCs w:val="20"/>
          <w:lang w:val="es-ES_tradnl"/>
        </w:rPr>
        <w:t>sentido restringido</w:t>
      </w:r>
      <w:r w:rsidRPr="000D3C8D">
        <w:rPr>
          <w:rFonts w:ascii="Verdana" w:eastAsia="Calibri" w:hAnsi="Verdana" w:cs="Arial"/>
          <w:color w:val="000000" w:themeColor="text1"/>
          <w:sz w:val="20"/>
          <w:szCs w:val="20"/>
          <w:lang w:val="es-ES_tradnl"/>
        </w:rPr>
        <w:t xml:space="preserve">, al disponer que </w:t>
      </w:r>
      <w:r w:rsidR="00D727D4" w:rsidRPr="000D3C8D">
        <w:rPr>
          <w:rFonts w:ascii="Verdana" w:eastAsia="Calibri" w:hAnsi="Verdana" w:cs="Arial"/>
          <w:color w:val="000000" w:themeColor="text1"/>
          <w:sz w:val="20"/>
          <w:szCs w:val="20"/>
          <w:lang w:val="es-ES_tradnl"/>
        </w:rPr>
        <w:t>“</w:t>
      </w:r>
      <w:r w:rsidRPr="000D3C8D">
        <w:rPr>
          <w:rFonts w:ascii="Verdana" w:eastAsia="Calibri" w:hAnsi="Verdana" w:cs="Arial"/>
          <w:color w:val="000000" w:themeColor="text1"/>
          <w:sz w:val="20"/>
          <w:szCs w:val="20"/>
          <w:lang w:val="es-ES_tradnl"/>
        </w:rPr>
        <w:t>Son contratos de obra los que celebren las entidades estatales para la construcción, mantenimiento, instalación y, en general, para la realización de cualquier otro trabajo material sobre bienes inmuebles, cualquiera que sea la modalidad de ejecución y pago</w:t>
      </w:r>
      <w:r w:rsidR="00D727D4" w:rsidRPr="000D3C8D">
        <w:rPr>
          <w:rFonts w:ascii="Verdana" w:eastAsia="Calibri" w:hAnsi="Verdana" w:cs="Arial"/>
          <w:color w:val="000000" w:themeColor="text1"/>
          <w:sz w:val="20"/>
          <w:szCs w:val="20"/>
          <w:lang w:val="es-ES_tradnl"/>
        </w:rPr>
        <w:t>”</w:t>
      </w:r>
      <w:r w:rsidRPr="000D3C8D">
        <w:rPr>
          <w:rFonts w:ascii="Verdana" w:eastAsia="Calibri" w:hAnsi="Verdana" w:cs="Arial"/>
          <w:color w:val="000000" w:themeColor="text1"/>
          <w:sz w:val="20"/>
          <w:szCs w:val="20"/>
          <w:lang w:val="es-ES_tradnl"/>
        </w:rPr>
        <w:t>, de manera que este tipo de contrato no aplica a los trabajos materiales realizados sobre bienes muebles. 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p>
    <w:p w14:paraId="0A8722C4" w14:textId="77777777" w:rsidR="000D3C8D" w:rsidRPr="000D3C8D" w:rsidRDefault="000D3C8D" w:rsidP="000D3C8D">
      <w:pPr>
        <w:spacing w:after="0" w:line="240" w:lineRule="auto"/>
        <w:jc w:val="both"/>
        <w:rPr>
          <w:rFonts w:ascii="Verdana" w:eastAsia="Calibri" w:hAnsi="Verdana" w:cs="Arial"/>
          <w:color w:val="000000" w:themeColor="text1"/>
          <w:sz w:val="20"/>
          <w:szCs w:val="20"/>
          <w:lang w:val="es-ES_tradnl"/>
        </w:rPr>
      </w:pPr>
    </w:p>
    <w:p w14:paraId="3EBE5A9A" w14:textId="36D8E71E" w:rsidR="00DA63DC" w:rsidRPr="008E5CDD" w:rsidRDefault="00DA63DC" w:rsidP="000D3C8D">
      <w:pPr>
        <w:spacing w:after="0" w:line="240" w:lineRule="auto"/>
        <w:jc w:val="both"/>
        <w:rPr>
          <w:rFonts w:ascii="Verdana" w:eastAsia="Calibri" w:hAnsi="Verdana" w:cs="Arial"/>
          <w:b/>
          <w:bCs/>
          <w:color w:val="000000" w:themeColor="text1"/>
          <w:lang w:val="es-ES_tradnl"/>
        </w:rPr>
      </w:pPr>
      <w:r w:rsidRPr="008E5CDD">
        <w:rPr>
          <w:rFonts w:ascii="Verdana" w:eastAsia="Calibri" w:hAnsi="Verdana" w:cs="Arial"/>
          <w:b/>
          <w:bCs/>
          <w:color w:val="000000" w:themeColor="text1"/>
          <w:lang w:val="es-ES_tradnl"/>
        </w:rPr>
        <w:t xml:space="preserve">CONTRATO DE OBRA PÚBLICA – Tipos de inmuebles – Por adhesión – Por destinación </w:t>
      </w:r>
    </w:p>
    <w:p w14:paraId="206B8892" w14:textId="77777777" w:rsidR="000D3C8D" w:rsidRPr="000D3C8D" w:rsidRDefault="000D3C8D" w:rsidP="000D3C8D">
      <w:pPr>
        <w:spacing w:after="0" w:line="240" w:lineRule="auto"/>
        <w:jc w:val="both"/>
        <w:rPr>
          <w:rFonts w:ascii="Verdana" w:eastAsia="Calibri" w:hAnsi="Verdana" w:cs="Arial"/>
          <w:b/>
          <w:bCs/>
          <w:color w:val="000000" w:themeColor="text1"/>
          <w:sz w:val="20"/>
          <w:szCs w:val="20"/>
          <w:lang w:val="es-ES_tradnl"/>
        </w:rPr>
      </w:pPr>
    </w:p>
    <w:p w14:paraId="3D1EE145" w14:textId="6197A642" w:rsidR="00DA63DC" w:rsidRDefault="00DA63DC" w:rsidP="000D3C8D">
      <w:pPr>
        <w:spacing w:after="0" w:line="240" w:lineRule="auto"/>
        <w:jc w:val="both"/>
        <w:rPr>
          <w:rFonts w:ascii="Verdana" w:eastAsia="Calibri" w:hAnsi="Verdana" w:cs="Arial"/>
          <w:color w:val="000000" w:themeColor="text1"/>
          <w:sz w:val="20"/>
          <w:szCs w:val="20"/>
          <w:lang w:val="es-ES_tradnl"/>
        </w:rPr>
      </w:pPr>
      <w:r w:rsidRPr="000D3C8D">
        <w:rPr>
          <w:rFonts w:ascii="Verdana" w:eastAsia="Calibri" w:hAnsi="Verdana" w:cs="Arial"/>
          <w:color w:val="000000" w:themeColor="text1"/>
          <w:sz w:val="20"/>
          <w:szCs w:val="20"/>
          <w:lang w:val="es-ES_tradnl"/>
        </w:rPr>
        <w:t xml:space="preserve">[E]l artículo 656 dispone que </w:t>
      </w:r>
      <w:r w:rsidR="00B54794" w:rsidRPr="000D3C8D">
        <w:rPr>
          <w:rFonts w:ascii="Verdana" w:eastAsia="Calibri" w:hAnsi="Verdana" w:cs="Arial"/>
          <w:color w:val="000000" w:themeColor="text1"/>
          <w:sz w:val="20"/>
          <w:szCs w:val="20"/>
          <w:lang w:val="es-ES_tradnl"/>
        </w:rPr>
        <w:t>“</w:t>
      </w:r>
      <w:r w:rsidRPr="000D3C8D">
        <w:rPr>
          <w:rFonts w:ascii="Verdana" w:eastAsia="Calibri" w:hAnsi="Verdana" w:cs="Arial"/>
          <w:color w:val="000000" w:themeColor="text1"/>
          <w:sz w:val="20"/>
          <w:szCs w:val="20"/>
          <w:lang w:val="es-ES_tradnl"/>
        </w:rPr>
        <w:t>inmuebles o fincas o bienes raíces son las cosas que no pueden transportarse de un lugar a otro; como las tierras y minas, y las que adhieren permanentemente a ellas, como los edificios, los árboles</w:t>
      </w:r>
      <w:r w:rsidR="00B54794" w:rsidRPr="000D3C8D">
        <w:rPr>
          <w:rFonts w:ascii="Verdana" w:eastAsia="Calibri" w:hAnsi="Verdana" w:cs="Arial"/>
          <w:color w:val="000000" w:themeColor="text1"/>
          <w:sz w:val="20"/>
          <w:szCs w:val="20"/>
          <w:lang w:val="es-ES_tradnl"/>
        </w:rPr>
        <w:t>”</w:t>
      </w:r>
      <w:r w:rsidRPr="000D3C8D">
        <w:rPr>
          <w:rFonts w:ascii="Verdana" w:eastAsia="Calibri" w:hAnsi="Verdana" w:cs="Arial"/>
          <w:color w:val="000000" w:themeColor="text1"/>
          <w:sz w:val="20"/>
          <w:szCs w:val="20"/>
          <w:lang w:val="es-ES_tradnl"/>
        </w:rPr>
        <w:t xml:space="preserve">. En concordancia, el artículo 657 prescribe lo siguiente: </w:t>
      </w:r>
      <w:r w:rsidR="00B54794" w:rsidRPr="000D3C8D">
        <w:rPr>
          <w:rFonts w:ascii="Verdana" w:eastAsia="Calibri" w:hAnsi="Verdana" w:cs="Arial"/>
          <w:color w:val="000000" w:themeColor="text1"/>
          <w:sz w:val="20"/>
          <w:szCs w:val="20"/>
          <w:lang w:val="es-ES_tradnl"/>
        </w:rPr>
        <w:t>“</w:t>
      </w:r>
      <w:r w:rsidRPr="000D3C8D">
        <w:rPr>
          <w:rFonts w:ascii="Verdana" w:eastAsia="Calibri" w:hAnsi="Verdana" w:cs="Arial"/>
          <w:color w:val="000000" w:themeColor="text1"/>
          <w:sz w:val="20"/>
          <w:szCs w:val="20"/>
          <w:lang w:val="es-ES_tradnl"/>
        </w:rPr>
        <w:t>Las plantas son inmuebles, mientras adhieren al suelo por sus raíces, a menos que estén en macetas o cajones que puedan transportarse de un lugar a otro</w:t>
      </w:r>
      <w:r w:rsidR="00B54794" w:rsidRPr="000D3C8D">
        <w:rPr>
          <w:rFonts w:ascii="Verdana" w:eastAsia="Calibri" w:hAnsi="Verdana" w:cs="Arial"/>
          <w:color w:val="000000" w:themeColor="text1"/>
          <w:sz w:val="20"/>
          <w:szCs w:val="20"/>
          <w:lang w:val="es-ES_tradnl"/>
        </w:rPr>
        <w:t>”</w:t>
      </w:r>
      <w:r w:rsidRPr="000D3C8D">
        <w:rPr>
          <w:rFonts w:ascii="Verdana" w:eastAsia="Calibri" w:hAnsi="Verdana" w:cs="Arial"/>
          <w:color w:val="000000" w:themeColor="text1"/>
          <w:sz w:val="20"/>
          <w:szCs w:val="20"/>
          <w:lang w:val="es-ES_tradnl"/>
        </w:rPr>
        <w:t xml:space="preserve">. Estos bienes se denominan inmuebles por adhesión y la doctrina los caracteriza como </w:t>
      </w:r>
      <w:r w:rsidR="00B54794" w:rsidRPr="000D3C8D">
        <w:rPr>
          <w:rFonts w:ascii="Verdana" w:eastAsia="Calibri" w:hAnsi="Verdana" w:cs="Arial"/>
          <w:color w:val="000000" w:themeColor="text1"/>
          <w:sz w:val="20"/>
          <w:szCs w:val="20"/>
          <w:lang w:val="es-ES_tradnl"/>
        </w:rPr>
        <w:t>“</w:t>
      </w:r>
      <w:r w:rsidRPr="000D3C8D">
        <w:rPr>
          <w:rFonts w:ascii="Verdana" w:eastAsia="Calibri" w:hAnsi="Verdana" w:cs="Arial"/>
          <w:color w:val="000000" w:themeColor="text1"/>
          <w:sz w:val="20"/>
          <w:szCs w:val="20"/>
          <w:lang w:val="es-ES_tradnl"/>
        </w:rPr>
        <w:t xml:space="preserve">[…] bienes muebles por naturaleza, adheridos permanente y </w:t>
      </w:r>
      <w:r w:rsidRPr="000D3C8D">
        <w:rPr>
          <w:rFonts w:ascii="Verdana" w:eastAsia="Calibri" w:hAnsi="Verdana" w:cs="Arial"/>
          <w:color w:val="000000" w:themeColor="text1"/>
          <w:sz w:val="20"/>
          <w:szCs w:val="20"/>
          <w:lang w:val="es-ES_tradnl"/>
        </w:rPr>
        <w:lastRenderedPageBreak/>
        <w:t>materialmente a un inmueble, incorporados por el propietario o por una persona distinta de él, que por una ficción jurídica del legislador se transforman en bienes inmuebles</w:t>
      </w:r>
      <w:r w:rsidR="00B54794" w:rsidRPr="000D3C8D">
        <w:rPr>
          <w:rFonts w:ascii="Verdana" w:eastAsia="Calibri" w:hAnsi="Verdana" w:cs="Arial"/>
          <w:color w:val="000000" w:themeColor="text1"/>
          <w:sz w:val="20"/>
          <w:szCs w:val="20"/>
          <w:lang w:val="es-ES_tradnl"/>
        </w:rPr>
        <w:t>”</w:t>
      </w:r>
      <w:r w:rsidRPr="000D3C8D">
        <w:rPr>
          <w:rFonts w:ascii="Verdana" w:eastAsia="Calibri" w:hAnsi="Verdana" w:cs="Arial"/>
          <w:color w:val="000000" w:themeColor="text1"/>
          <w:sz w:val="20"/>
          <w:szCs w:val="20"/>
          <w:lang w:val="es-ES_tradnl"/>
        </w:rPr>
        <w:t xml:space="preserve">. […] Por otra parte, el artículo 658 del Código Civil crea la categoría de </w:t>
      </w:r>
      <w:r w:rsidRPr="000D3C8D">
        <w:rPr>
          <w:rFonts w:ascii="Verdana" w:eastAsia="Calibri" w:hAnsi="Verdana" w:cs="Arial"/>
          <w:i/>
          <w:iCs/>
          <w:color w:val="000000" w:themeColor="text1"/>
          <w:sz w:val="20"/>
          <w:szCs w:val="20"/>
          <w:lang w:val="es-ES_tradnl"/>
        </w:rPr>
        <w:t>inmuebles por destinación</w:t>
      </w:r>
      <w:r w:rsidRPr="000D3C8D">
        <w:rPr>
          <w:rFonts w:ascii="Verdana" w:eastAsia="Calibri" w:hAnsi="Verdana" w:cs="Arial"/>
          <w:color w:val="000000" w:themeColor="text1"/>
          <w:sz w:val="20"/>
          <w:szCs w:val="20"/>
          <w:lang w:val="es-ES_tradnl"/>
        </w:rPr>
        <w:t xml:space="preserve">, disponiendo que </w:t>
      </w:r>
      <w:r w:rsidR="00B54794" w:rsidRPr="000D3C8D">
        <w:rPr>
          <w:rFonts w:ascii="Verdana" w:eastAsia="Calibri" w:hAnsi="Verdana" w:cs="Arial"/>
          <w:color w:val="000000" w:themeColor="text1"/>
          <w:sz w:val="20"/>
          <w:szCs w:val="20"/>
          <w:lang w:val="es-ES_tradnl"/>
        </w:rPr>
        <w:t>“</w:t>
      </w:r>
      <w:r w:rsidRPr="000D3C8D">
        <w:rPr>
          <w:rFonts w:ascii="Verdana" w:eastAsia="Calibri" w:hAnsi="Verdana" w:cs="Arial"/>
          <w:color w:val="000000" w:themeColor="text1"/>
          <w:sz w:val="20"/>
          <w:szCs w:val="20"/>
          <w:lang w:val="es-ES_tradnl"/>
        </w:rPr>
        <w:t>Se reputan inmuebles, aunque por su naturaleza no lo sean, las cosas que están permanentemente destinadas al uso, cultivo y beneficio de un inmueble, sin embargo de que puedan separarse sin detrimento</w:t>
      </w:r>
      <w:r w:rsidR="00B54794" w:rsidRPr="000D3C8D">
        <w:rPr>
          <w:rFonts w:ascii="Verdana" w:eastAsia="Calibri" w:hAnsi="Verdana" w:cs="Arial"/>
          <w:color w:val="000000" w:themeColor="text1"/>
          <w:sz w:val="20"/>
          <w:szCs w:val="20"/>
          <w:lang w:val="es-ES_tradnl"/>
        </w:rPr>
        <w:t>”</w:t>
      </w:r>
      <w:r w:rsidRPr="000D3C8D">
        <w:rPr>
          <w:rFonts w:ascii="Verdana" w:eastAsia="Calibri" w:hAnsi="Verdana" w:cs="Arial"/>
          <w:color w:val="000000" w:themeColor="text1"/>
          <w:sz w:val="20"/>
          <w:szCs w:val="20"/>
          <w:lang w:val="es-ES_tradnl"/>
        </w:rPr>
        <w:t>.</w:t>
      </w:r>
      <w:r w:rsidRPr="000D3C8D">
        <w:rPr>
          <w:rFonts w:ascii="Verdana" w:hAnsi="Verdana" w:cs="Arial"/>
          <w:sz w:val="20"/>
          <w:szCs w:val="20"/>
        </w:rPr>
        <w:t xml:space="preserve"> […] </w:t>
      </w:r>
      <w:r w:rsidRPr="000D3C8D">
        <w:rPr>
          <w:rFonts w:ascii="Verdana" w:eastAsia="Calibri" w:hAnsi="Verdana" w:cs="Arial"/>
          <w:color w:val="000000" w:themeColor="text1"/>
          <w:sz w:val="20"/>
          <w:szCs w:val="20"/>
          <w:lang w:val="es-ES_tradnl"/>
        </w:rPr>
        <w:t xml:space="preserve">Así las cosas, para que clasifiquen dentro de esta categoría se requiere que los muebles sirvan para prestar un servicio útil al inmueble por naturaleza, que el servicio sea permanente, además de que ambos sean del mismo propietario. En esta medida: </w:t>
      </w:r>
      <w:r w:rsidR="00B54794" w:rsidRPr="000D3C8D">
        <w:rPr>
          <w:rFonts w:ascii="Verdana" w:eastAsia="Calibri" w:hAnsi="Verdana" w:cs="Arial"/>
          <w:color w:val="000000" w:themeColor="text1"/>
          <w:sz w:val="20"/>
          <w:szCs w:val="20"/>
          <w:lang w:val="es-ES_tradnl"/>
        </w:rPr>
        <w:t>“</w:t>
      </w:r>
      <w:r w:rsidRPr="000D3C8D">
        <w:rPr>
          <w:rFonts w:ascii="Verdana" w:eastAsia="Calibri" w:hAnsi="Verdana" w:cs="Arial"/>
          <w:color w:val="000000" w:themeColor="text1"/>
          <w:sz w:val="20"/>
          <w:szCs w:val="20"/>
          <w:lang w:val="es-ES_tradnl"/>
        </w:rPr>
        <w:t xml:space="preserve">Por excepción al criterio extraído de la naturaleza física de las cosas, los redactores del Código Civil han considerado como inmuebles las cosas trasladables: las clasifican entre los inmuebles </w:t>
      </w:r>
      <w:proofErr w:type="gramStart"/>
      <w:r w:rsidRPr="000D3C8D">
        <w:rPr>
          <w:rFonts w:ascii="Verdana" w:eastAsia="Calibri" w:hAnsi="Verdana" w:cs="Arial"/>
          <w:color w:val="000000" w:themeColor="text1"/>
          <w:sz w:val="20"/>
          <w:szCs w:val="20"/>
          <w:lang w:val="es-ES_tradnl"/>
        </w:rPr>
        <w:t>en razón de</w:t>
      </w:r>
      <w:proofErr w:type="gramEnd"/>
      <w:r w:rsidRPr="000D3C8D">
        <w:rPr>
          <w:rFonts w:ascii="Verdana" w:eastAsia="Calibri" w:hAnsi="Verdana" w:cs="Arial"/>
          <w:color w:val="000000" w:themeColor="text1"/>
          <w:sz w:val="20"/>
          <w:szCs w:val="20"/>
          <w:lang w:val="es-ES_tradnl"/>
        </w:rPr>
        <w:t xml:space="preserve"> su destino, porque están afectadas a un inmueble por naturaleza. No han querido que estos muebles, unidos o afectados al inmueble, sigan un régimen jurídico distinto del inmueble mismo […] El inmueble y todo lo destinado a él forman un conjunto, una suerte de universalidad: el legislador ha querido someter esa unidad económica al mismo régimen</w:t>
      </w:r>
      <w:r w:rsidR="00B54794" w:rsidRPr="000D3C8D">
        <w:rPr>
          <w:rFonts w:ascii="Verdana" w:eastAsia="Calibri" w:hAnsi="Verdana" w:cs="Arial"/>
          <w:color w:val="000000" w:themeColor="text1"/>
          <w:sz w:val="20"/>
          <w:szCs w:val="20"/>
          <w:lang w:val="es-ES_tradnl"/>
        </w:rPr>
        <w:t>”</w:t>
      </w:r>
      <w:r w:rsidRPr="000D3C8D">
        <w:rPr>
          <w:rFonts w:ascii="Verdana" w:eastAsia="Calibri" w:hAnsi="Verdana" w:cs="Arial"/>
          <w:color w:val="000000" w:themeColor="text1"/>
          <w:sz w:val="20"/>
          <w:szCs w:val="20"/>
          <w:lang w:val="es-ES_tradnl"/>
        </w:rPr>
        <w:t xml:space="preserve"> términos del Estatuto General de Contratación de la Administración Pública. […] En ese sentido, la naturaleza inmueble del bien sobre el que se realizan el mantenimiento es determinante para saber si está ante un contrato de obra pública, ya que de este tipo contractual se encuentran excluidos trabajos materiales realizados sobre bienes muebles, por lo que estos corresponderían a un tipo contractual diferente.</w:t>
      </w:r>
    </w:p>
    <w:p w14:paraId="6D12F0DC" w14:textId="77777777" w:rsidR="000D3C8D" w:rsidRPr="000D3C8D" w:rsidRDefault="000D3C8D" w:rsidP="000D3C8D">
      <w:pPr>
        <w:spacing w:after="0" w:line="240" w:lineRule="auto"/>
        <w:jc w:val="both"/>
        <w:rPr>
          <w:rFonts w:ascii="Verdana" w:eastAsia="Calibri" w:hAnsi="Verdana" w:cs="Arial"/>
          <w:color w:val="000000" w:themeColor="text1"/>
          <w:sz w:val="20"/>
          <w:szCs w:val="20"/>
          <w:lang w:val="es-ES_tradnl"/>
        </w:rPr>
      </w:pPr>
    </w:p>
    <w:p w14:paraId="77CF1CFB" w14:textId="77777777" w:rsidR="000D3C8D" w:rsidRPr="000D3C8D" w:rsidRDefault="00DA63DC" w:rsidP="000D3C8D">
      <w:pPr>
        <w:spacing w:after="0" w:line="240" w:lineRule="auto"/>
        <w:jc w:val="both"/>
        <w:rPr>
          <w:rFonts w:ascii="Verdana" w:eastAsia="Calibri" w:hAnsi="Verdana" w:cs="Arial"/>
          <w:b/>
          <w:bCs/>
          <w:color w:val="000000" w:themeColor="text1"/>
          <w:lang w:val="es-ES_tradnl"/>
        </w:rPr>
      </w:pPr>
      <w:r w:rsidRPr="000D3C8D">
        <w:rPr>
          <w:rFonts w:ascii="Verdana" w:eastAsia="Calibri" w:hAnsi="Verdana" w:cs="Arial"/>
          <w:b/>
          <w:bCs/>
          <w:color w:val="000000" w:themeColor="text1"/>
          <w:lang w:val="es-ES_tradnl"/>
        </w:rPr>
        <w:t>INSTALACIÓN – Obra – Contrato mixto – Prestación principal</w:t>
      </w:r>
    </w:p>
    <w:p w14:paraId="0DA17D3D" w14:textId="0AAF07E9" w:rsidR="00DA63DC" w:rsidRPr="000D3C8D" w:rsidRDefault="00DA63DC" w:rsidP="000D3C8D">
      <w:pPr>
        <w:spacing w:after="0" w:line="240" w:lineRule="auto"/>
        <w:jc w:val="both"/>
        <w:rPr>
          <w:rFonts w:ascii="Verdana" w:eastAsia="Calibri" w:hAnsi="Verdana" w:cs="Arial"/>
          <w:b/>
          <w:bCs/>
          <w:color w:val="000000" w:themeColor="text1"/>
          <w:sz w:val="20"/>
          <w:szCs w:val="20"/>
          <w:lang w:val="es-ES_tradnl"/>
        </w:rPr>
      </w:pPr>
      <w:r w:rsidRPr="000D3C8D">
        <w:rPr>
          <w:rFonts w:ascii="Verdana" w:eastAsia="Calibri" w:hAnsi="Verdana" w:cs="Arial"/>
          <w:b/>
          <w:bCs/>
          <w:color w:val="000000" w:themeColor="text1"/>
          <w:sz w:val="20"/>
          <w:szCs w:val="20"/>
          <w:lang w:val="es-ES_tradnl"/>
        </w:rPr>
        <w:t xml:space="preserve"> </w:t>
      </w:r>
    </w:p>
    <w:p w14:paraId="645063DE" w14:textId="5210D3BF" w:rsidR="00B93538" w:rsidRPr="000D3C8D" w:rsidRDefault="00DA63DC" w:rsidP="000D3C8D">
      <w:pPr>
        <w:spacing w:after="0" w:line="240" w:lineRule="auto"/>
        <w:jc w:val="both"/>
        <w:rPr>
          <w:rFonts w:ascii="Verdana" w:eastAsia="Calibri" w:hAnsi="Verdana" w:cs="Arial"/>
          <w:color w:val="000000" w:themeColor="text1"/>
          <w:sz w:val="20"/>
          <w:szCs w:val="20"/>
          <w:lang w:val="es-ES_tradnl"/>
        </w:rPr>
      </w:pPr>
      <w:r w:rsidRPr="000D3C8D">
        <w:rPr>
          <w:rFonts w:ascii="Verdana" w:eastAsia="Calibri" w:hAnsi="Verdana" w:cs="Arial"/>
          <w:color w:val="000000" w:themeColor="text1"/>
          <w:sz w:val="20"/>
          <w:szCs w:val="20"/>
          <w:lang w:val="es-ES_tradnl"/>
        </w:rPr>
        <w:t xml:space="preserve">La obligación de instalar un bien mueble en un inmueble –convirtiendo a aquel en un inmueble por adhesión o por destinación– </w:t>
      </w:r>
      <w:r w:rsidRPr="000D3C8D">
        <w:rPr>
          <w:rFonts w:ascii="Verdana" w:eastAsia="Calibri" w:hAnsi="Verdana" w:cs="Arial"/>
          <w:i/>
          <w:iCs/>
          <w:color w:val="000000" w:themeColor="text1"/>
          <w:sz w:val="20"/>
          <w:szCs w:val="20"/>
          <w:lang w:val="es-ES_tradnl"/>
        </w:rPr>
        <w:t>no</w:t>
      </w:r>
      <w:r w:rsidRPr="000D3C8D">
        <w:rPr>
          <w:rFonts w:ascii="Verdana" w:eastAsia="Calibri" w:hAnsi="Verdana" w:cs="Arial"/>
          <w:color w:val="000000" w:themeColor="text1"/>
          <w:sz w:val="20"/>
          <w:szCs w:val="20"/>
          <w:lang w:val="es-ES_tradnl"/>
        </w:rPr>
        <w:t xml:space="preserve"> es privativa del contrato de obra pública, pues puede estar presente también en un contrato de suministro, de compraventa o en un contrato mixto (atípico). Lo que determinará cuál es la tipología contractual o la existencia del contrato mixto será la valoración de los siguientes elementos: i) la definición de cuál es la prestación principal del contrato –para lo cual un criterio puede ser cuál es la prestación que tiene el mayor valor–, </w:t>
      </w:r>
      <w:proofErr w:type="spellStart"/>
      <w:r w:rsidRPr="000D3C8D">
        <w:rPr>
          <w:rFonts w:ascii="Verdana" w:eastAsia="Calibri" w:hAnsi="Verdana" w:cs="Arial"/>
          <w:color w:val="000000" w:themeColor="text1"/>
          <w:sz w:val="20"/>
          <w:szCs w:val="20"/>
          <w:lang w:val="es-ES_tradnl"/>
        </w:rPr>
        <w:t>ii</w:t>
      </w:r>
      <w:proofErr w:type="spellEnd"/>
      <w:r w:rsidRPr="000D3C8D">
        <w:rPr>
          <w:rFonts w:ascii="Verdana" w:eastAsia="Calibri" w:hAnsi="Verdana" w:cs="Arial"/>
          <w:color w:val="000000" w:themeColor="text1"/>
          <w:sz w:val="20"/>
          <w:szCs w:val="20"/>
          <w:lang w:val="es-ES_tradnl"/>
        </w:rPr>
        <w:t xml:space="preserve">) la finalidad de las partes y </w:t>
      </w:r>
      <w:proofErr w:type="spellStart"/>
      <w:r w:rsidRPr="000D3C8D">
        <w:rPr>
          <w:rFonts w:ascii="Verdana" w:eastAsia="Calibri" w:hAnsi="Verdana" w:cs="Arial"/>
          <w:color w:val="000000" w:themeColor="text1"/>
          <w:sz w:val="20"/>
          <w:szCs w:val="20"/>
          <w:lang w:val="es-ES_tradnl"/>
        </w:rPr>
        <w:t>iii</w:t>
      </w:r>
      <w:proofErr w:type="spellEnd"/>
      <w:r w:rsidRPr="000D3C8D">
        <w:rPr>
          <w:rFonts w:ascii="Verdana" w:eastAsia="Calibri" w:hAnsi="Verdana" w:cs="Arial"/>
          <w:color w:val="000000" w:themeColor="text1"/>
          <w:sz w:val="20"/>
          <w:szCs w:val="20"/>
          <w:lang w:val="es-ES_tradnl"/>
        </w:rPr>
        <w:t xml:space="preserve">) si se trata de prestaciones mixtas, </w:t>
      </w:r>
      <w:r w:rsidR="00E16333">
        <w:rPr>
          <w:rFonts w:ascii="Verdana" w:eastAsia="Calibri" w:hAnsi="Verdana" w:cs="Arial"/>
          <w:color w:val="000000" w:themeColor="text1"/>
          <w:sz w:val="20"/>
          <w:szCs w:val="20"/>
          <w:lang w:val="es-ES_tradnl"/>
        </w:rPr>
        <w:t>“</w:t>
      </w:r>
      <w:r w:rsidRPr="000D3C8D">
        <w:rPr>
          <w:rFonts w:ascii="Verdana" w:eastAsia="Calibri" w:hAnsi="Verdana" w:cs="Arial"/>
          <w:color w:val="000000" w:themeColor="text1"/>
          <w:sz w:val="20"/>
          <w:szCs w:val="20"/>
          <w:lang w:val="es-ES_tradnl"/>
        </w:rPr>
        <w:t>que las prestaciones correspondientes que pretendan fusionarse se encuentren directamente vinculadas entre sí, de tal manera que mantengan relaciones de complemento y que permitan predicar su tratamiento solo como una unidad funcional dirigida a la satisfacción de la necesidad de la entidad</w:t>
      </w:r>
      <w:r w:rsidR="00E16333">
        <w:rPr>
          <w:rFonts w:ascii="Verdana" w:eastAsia="Calibri" w:hAnsi="Verdana" w:cs="Arial"/>
          <w:color w:val="000000" w:themeColor="text1"/>
          <w:sz w:val="20"/>
          <w:szCs w:val="20"/>
          <w:lang w:val="es-ES_tradnl"/>
        </w:rPr>
        <w:t>”</w:t>
      </w:r>
      <w:r w:rsidRPr="000D3C8D">
        <w:rPr>
          <w:rFonts w:ascii="Verdana" w:eastAsia="Calibri" w:hAnsi="Verdana" w:cs="Arial"/>
          <w:color w:val="000000" w:themeColor="text1"/>
          <w:sz w:val="20"/>
          <w:szCs w:val="20"/>
          <w:lang w:val="es-ES_tradnl"/>
        </w:rPr>
        <w:t>. Este es un análisis que, por tanto, debe realizarse en cada caso, considerando los datos técnicos y económicos del objeto contractual</w:t>
      </w:r>
      <w:r w:rsidR="008E5CDD">
        <w:rPr>
          <w:rFonts w:ascii="Verdana" w:eastAsia="Calibri" w:hAnsi="Verdana" w:cs="Arial"/>
          <w:color w:val="000000" w:themeColor="text1"/>
          <w:sz w:val="20"/>
          <w:szCs w:val="20"/>
          <w:lang w:val="es-ES_tradnl"/>
        </w:rPr>
        <w:t>.</w:t>
      </w:r>
    </w:p>
    <w:p w14:paraId="51AD8C71" w14:textId="77777777" w:rsidR="00DA63DC" w:rsidRDefault="00DA63DC" w:rsidP="00DA63DC">
      <w:pPr>
        <w:jc w:val="both"/>
        <w:rPr>
          <w:rFonts w:ascii="Arial" w:eastAsia="Calibri" w:hAnsi="Arial" w:cs="Arial"/>
          <w:color w:val="000000" w:themeColor="text1"/>
          <w:sz w:val="20"/>
          <w:szCs w:val="20"/>
          <w:lang w:val="es-ES_tradnl"/>
        </w:rPr>
      </w:pPr>
    </w:p>
    <w:p w14:paraId="5921EF2C" w14:textId="77777777" w:rsidR="009E39ED" w:rsidRDefault="009E39ED" w:rsidP="00291670">
      <w:pPr>
        <w:spacing w:after="0" w:line="240" w:lineRule="auto"/>
        <w:rPr>
          <w:rFonts w:ascii="Verdana" w:eastAsia="Geomanist Light" w:hAnsi="Verdana" w:cs="Arial"/>
          <w:color w:val="000000" w:themeColor="text1"/>
        </w:rPr>
      </w:pPr>
    </w:p>
    <w:p w14:paraId="2EA41E1E" w14:textId="77777777" w:rsidR="009E39ED" w:rsidRDefault="009E39ED" w:rsidP="00291670">
      <w:pPr>
        <w:spacing w:after="0" w:line="240" w:lineRule="auto"/>
        <w:rPr>
          <w:rFonts w:ascii="Verdana" w:eastAsia="Geomanist Light" w:hAnsi="Verdana" w:cs="Arial"/>
          <w:color w:val="000000" w:themeColor="text1"/>
        </w:rPr>
      </w:pPr>
    </w:p>
    <w:p w14:paraId="2841D74D" w14:textId="77777777" w:rsidR="000D3C8D" w:rsidRDefault="000D3C8D" w:rsidP="00291670">
      <w:pPr>
        <w:spacing w:after="0" w:line="240" w:lineRule="auto"/>
        <w:rPr>
          <w:rFonts w:ascii="Verdana" w:eastAsia="Geomanist Light" w:hAnsi="Verdana" w:cs="Arial"/>
          <w:color w:val="000000" w:themeColor="text1"/>
        </w:rPr>
      </w:pPr>
    </w:p>
    <w:p w14:paraId="2DB75652" w14:textId="77777777" w:rsidR="000D3C8D" w:rsidRDefault="000D3C8D" w:rsidP="00291670">
      <w:pPr>
        <w:spacing w:after="0" w:line="240" w:lineRule="auto"/>
        <w:rPr>
          <w:rFonts w:ascii="Verdana" w:eastAsia="Geomanist Light" w:hAnsi="Verdana" w:cs="Arial"/>
          <w:color w:val="000000" w:themeColor="text1"/>
        </w:rPr>
      </w:pPr>
    </w:p>
    <w:p w14:paraId="14938113" w14:textId="77777777" w:rsidR="000D3C8D" w:rsidRDefault="000D3C8D" w:rsidP="00291670">
      <w:pPr>
        <w:spacing w:after="0" w:line="240" w:lineRule="auto"/>
        <w:rPr>
          <w:rFonts w:ascii="Verdana" w:eastAsia="Geomanist Light" w:hAnsi="Verdana" w:cs="Arial"/>
          <w:color w:val="000000" w:themeColor="text1"/>
        </w:rPr>
      </w:pPr>
    </w:p>
    <w:p w14:paraId="0D2EAD8D" w14:textId="77777777" w:rsidR="000D3C8D" w:rsidRDefault="000D3C8D" w:rsidP="00291670">
      <w:pPr>
        <w:spacing w:after="0" w:line="240" w:lineRule="auto"/>
        <w:rPr>
          <w:rFonts w:ascii="Verdana" w:eastAsia="Geomanist Light" w:hAnsi="Verdana" w:cs="Arial"/>
          <w:color w:val="000000" w:themeColor="text1"/>
        </w:rPr>
      </w:pPr>
    </w:p>
    <w:p w14:paraId="5CC18F49" w14:textId="77777777" w:rsidR="000D3C8D" w:rsidRDefault="000D3C8D" w:rsidP="00291670">
      <w:pPr>
        <w:spacing w:after="0" w:line="240" w:lineRule="auto"/>
        <w:rPr>
          <w:rFonts w:ascii="Verdana" w:eastAsia="Geomanist Light" w:hAnsi="Verdana" w:cs="Arial"/>
          <w:color w:val="000000" w:themeColor="text1"/>
        </w:rPr>
      </w:pPr>
    </w:p>
    <w:p w14:paraId="69B6DC85" w14:textId="77777777" w:rsidR="000D3C8D" w:rsidRDefault="000D3C8D" w:rsidP="00291670">
      <w:pPr>
        <w:spacing w:after="0" w:line="240" w:lineRule="auto"/>
        <w:rPr>
          <w:rFonts w:ascii="Verdana" w:eastAsia="Geomanist Light" w:hAnsi="Verdana" w:cs="Arial"/>
          <w:color w:val="000000" w:themeColor="text1"/>
        </w:rPr>
      </w:pPr>
    </w:p>
    <w:p w14:paraId="1B86E22A" w14:textId="413291EA" w:rsidR="00291670" w:rsidRDefault="00291670" w:rsidP="00291670">
      <w:pPr>
        <w:spacing w:after="0" w:line="240" w:lineRule="auto"/>
        <w:rPr>
          <w:rFonts w:ascii="Verdana" w:eastAsia="Geomanist Light" w:hAnsi="Verdana" w:cs="Arial"/>
          <w:color w:val="201F1E"/>
        </w:rPr>
      </w:pPr>
      <w:r>
        <w:rPr>
          <w:rFonts w:ascii="Verdana" w:eastAsia="Geomanist Light" w:hAnsi="Verdana" w:cs="Arial"/>
          <w:color w:val="000000" w:themeColor="text1"/>
        </w:rPr>
        <w:t>Bogotá D.C., </w:t>
      </w:r>
      <w:r w:rsidR="00997483">
        <w:rPr>
          <w:rFonts w:ascii="Verdana" w:eastAsia="Geomanist Light" w:hAnsi="Verdana" w:cs="Arial"/>
          <w:color w:val="201F1E"/>
        </w:rPr>
        <w:t>4 de diciembre de 2025</w:t>
      </w:r>
    </w:p>
    <w:p w14:paraId="14B81CA0" w14:textId="3AB6E0EE" w:rsidR="00291670" w:rsidRDefault="00291670" w:rsidP="00997483">
      <w:pPr>
        <w:spacing w:after="0" w:line="240" w:lineRule="auto"/>
        <w:jc w:val="right"/>
        <w:rPr>
          <w:rFonts w:ascii="Verdana" w:eastAsia="Calibri" w:hAnsi="Verdana" w:cs="Arial"/>
          <w:color w:val="000000"/>
        </w:rPr>
      </w:pPr>
    </w:p>
    <w:p w14:paraId="762ED70D" w14:textId="14DFDF22" w:rsidR="00291670" w:rsidRDefault="008E5CDD" w:rsidP="00291670">
      <w:pPr>
        <w:spacing w:after="0" w:line="240" w:lineRule="auto"/>
        <w:jc w:val="both"/>
        <w:rPr>
          <w:rFonts w:ascii="Verdana" w:eastAsia="Calibri" w:hAnsi="Verdana" w:cs="Arial"/>
          <w:lang w:eastAsia="es-ES"/>
        </w:rPr>
      </w:pPr>
      <w:r w:rsidRPr="00997483">
        <w:rPr>
          <w:rFonts w:ascii="Verdana" w:eastAsia="Calibri" w:hAnsi="Verdana" w:cs="Arial"/>
          <w:noProof/>
          <w:color w:val="000000"/>
        </w:rPr>
        <w:drawing>
          <wp:anchor distT="0" distB="0" distL="114300" distR="114300" simplePos="0" relativeHeight="251658240" behindDoc="0" locked="0" layoutInCell="1" allowOverlap="1" wp14:anchorId="19E370EF" wp14:editId="6B7FD891">
            <wp:simplePos x="0" y="0"/>
            <wp:positionH relativeFrom="margin">
              <wp:align>right</wp:align>
            </wp:positionH>
            <wp:positionV relativeFrom="paragraph">
              <wp:posOffset>9525</wp:posOffset>
            </wp:positionV>
            <wp:extent cx="2552065" cy="659130"/>
            <wp:effectExtent l="0" t="0" r="635" b="7620"/>
            <wp:wrapSquare wrapText="bothSides"/>
            <wp:docPr id="128608717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52065" cy="6591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91670">
        <w:rPr>
          <w:rFonts w:ascii="Verdana" w:eastAsia="Calibri" w:hAnsi="Verdana" w:cs="Arial"/>
          <w:lang w:eastAsia="es-ES"/>
        </w:rPr>
        <w:t>Señor</w:t>
      </w:r>
    </w:p>
    <w:p w14:paraId="7DFCFF03" w14:textId="77777777" w:rsidR="00291670" w:rsidRDefault="00291670" w:rsidP="00291670">
      <w:pPr>
        <w:spacing w:after="0" w:line="240" w:lineRule="auto"/>
        <w:rPr>
          <w:rFonts w:ascii="Verdana" w:eastAsia="Calibri" w:hAnsi="Verdana" w:cs="Arial"/>
          <w:b/>
          <w:lang w:eastAsia="es-ES"/>
        </w:rPr>
      </w:pPr>
      <w:r>
        <w:rPr>
          <w:rFonts w:ascii="Verdana" w:eastAsia="Calibri" w:hAnsi="Verdana" w:cs="Arial"/>
          <w:b/>
          <w:lang w:eastAsia="es-ES"/>
        </w:rPr>
        <w:t xml:space="preserve">José Manuel Ramírez rincón </w:t>
      </w:r>
    </w:p>
    <w:p w14:paraId="6DD00881" w14:textId="77777777" w:rsidR="00291670" w:rsidRDefault="00291670" w:rsidP="00291670">
      <w:pPr>
        <w:spacing w:after="0" w:line="240" w:lineRule="auto"/>
        <w:rPr>
          <w:rFonts w:ascii="Verdana" w:hAnsi="Verdana"/>
        </w:rPr>
      </w:pPr>
      <w:hyperlink r:id="rId12" w:history="1">
        <w:r>
          <w:rPr>
            <w:rStyle w:val="Hipervnculo"/>
            <w:rFonts w:ascii="Verdana" w:hAnsi="Verdana"/>
          </w:rPr>
          <w:t>joserami144@gmail.com</w:t>
        </w:r>
      </w:hyperlink>
      <w:r>
        <w:rPr>
          <w:rFonts w:ascii="Verdana" w:hAnsi="Verdana"/>
        </w:rPr>
        <w:t xml:space="preserve"> </w:t>
      </w:r>
    </w:p>
    <w:p w14:paraId="60E324CA" w14:textId="77777777" w:rsidR="00291670" w:rsidRDefault="00291670" w:rsidP="00291670">
      <w:pPr>
        <w:spacing w:after="0" w:line="240" w:lineRule="auto"/>
        <w:rPr>
          <w:rFonts w:ascii="Verdana" w:hAnsi="Verdana"/>
        </w:rPr>
      </w:pPr>
      <w:r>
        <w:rPr>
          <w:rFonts w:ascii="Verdana" w:hAnsi="Verdana"/>
        </w:rPr>
        <w:t xml:space="preserve">Bogotá </w:t>
      </w:r>
    </w:p>
    <w:p w14:paraId="050730D4" w14:textId="77777777" w:rsidR="00291670" w:rsidRDefault="00291670" w:rsidP="00291670">
      <w:pPr>
        <w:spacing w:after="0" w:line="240" w:lineRule="auto"/>
        <w:rPr>
          <w:rFonts w:ascii="Verdana" w:eastAsia="Calibri" w:hAnsi="Verdana" w:cs="Arial"/>
          <w:lang w:eastAsia="es-ES"/>
        </w:rPr>
      </w:pPr>
    </w:p>
    <w:p w14:paraId="7FE8E784" w14:textId="77777777" w:rsidR="00291670" w:rsidRDefault="00291670" w:rsidP="00291670">
      <w:pPr>
        <w:spacing w:after="0" w:line="240" w:lineRule="auto"/>
        <w:rPr>
          <w:rFonts w:ascii="Verdana" w:eastAsia="Calibri" w:hAnsi="Verdana" w:cs="Arial"/>
          <w:b/>
          <w:bCs/>
          <w:color w:val="000000"/>
          <w:lang w:eastAsia="es-ES_tradnl"/>
        </w:rPr>
      </w:pPr>
    </w:p>
    <w:p w14:paraId="25069D21" w14:textId="77777777" w:rsidR="00291670" w:rsidRDefault="00291670" w:rsidP="00291670">
      <w:pPr>
        <w:spacing w:after="0" w:line="240" w:lineRule="auto"/>
        <w:jc w:val="center"/>
        <w:rPr>
          <w:rFonts w:ascii="Verdana" w:eastAsia="Calibri" w:hAnsi="Verdana" w:cs="Arial"/>
          <w:b/>
          <w:bCs/>
          <w:lang w:eastAsia="es-ES"/>
        </w:rPr>
      </w:pPr>
      <w:r>
        <w:rPr>
          <w:rFonts w:ascii="Verdana" w:eastAsia="Calibri" w:hAnsi="Verdana" w:cs="Arial"/>
          <w:b/>
          <w:bCs/>
          <w:lang w:eastAsia="es-ES"/>
        </w:rPr>
        <w:t>Concepto C – 1580 de 2025</w:t>
      </w:r>
    </w:p>
    <w:p w14:paraId="09C6BD4E" w14:textId="77777777" w:rsidR="00291670" w:rsidRDefault="00291670" w:rsidP="00291670">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91670" w14:paraId="5E81320F" w14:textId="77777777">
        <w:trPr>
          <w:trHeight w:val="884"/>
        </w:trPr>
        <w:tc>
          <w:tcPr>
            <w:tcW w:w="2689" w:type="dxa"/>
            <w:hideMark/>
          </w:tcPr>
          <w:p w14:paraId="2859034C" w14:textId="77777777" w:rsidR="00291670" w:rsidRDefault="00291670">
            <w:pPr>
              <w:jc w:val="both"/>
              <w:rPr>
                <w:rFonts w:ascii="Verdana" w:eastAsia="Calibri" w:hAnsi="Verdana" w:cs="Arial"/>
                <w:color w:val="000000"/>
                <w:lang w:eastAsia="es-ES_tradnl"/>
              </w:rPr>
            </w:pPr>
            <w:r>
              <w:rPr>
                <w:rFonts w:ascii="Verdana" w:eastAsia="Calibri" w:hAnsi="Verdana" w:cs="Arial"/>
                <w:b/>
                <w:color w:val="000000"/>
                <w:lang w:eastAsia="es-ES_tradnl"/>
              </w:rPr>
              <w:t>Temas:</w:t>
            </w:r>
            <w:r>
              <w:rPr>
                <w:rFonts w:ascii="Verdana" w:eastAsia="Calibri" w:hAnsi="Verdana" w:cs="Arial"/>
                <w:color w:val="000000"/>
                <w:lang w:eastAsia="es-ES_tradnl"/>
              </w:rPr>
              <w:t xml:space="preserve">                   </w:t>
            </w:r>
          </w:p>
        </w:tc>
        <w:tc>
          <w:tcPr>
            <w:tcW w:w="6100" w:type="dxa"/>
          </w:tcPr>
          <w:p w14:paraId="79E049A8" w14:textId="77777777" w:rsidR="00291670" w:rsidRDefault="00291670">
            <w:pPr>
              <w:spacing w:line="276" w:lineRule="auto"/>
              <w:jc w:val="both"/>
              <w:rPr>
                <w:rFonts w:ascii="Verdana" w:eastAsia="Times New Roman" w:hAnsi="Verdana"/>
                <w:shd w:val="clear" w:color="auto" w:fill="FFFFFF"/>
                <w:lang w:eastAsia="es-ES_tradnl"/>
              </w:rPr>
            </w:pPr>
            <w:r>
              <w:rPr>
                <w:rFonts w:ascii="Verdana" w:eastAsia="Times New Roman" w:hAnsi="Verdana"/>
                <w:lang w:val="es-ES_tradnl" w:eastAsia="es-ES_tradnl"/>
              </w:rPr>
              <w:t xml:space="preserve">CONTRATO DE OBRA PÚBLICA – Tipología – Confección de obra material –Arrendamiento / CONTRATO DE OBRA PÚBLICA – Definición – Bienes inmuebles / CONTRATO DE OBRA PÚBLICA – Tipos de inmuebles – Por adhesión – Por destinación / INSTALACIÓN – Obra – Contrato mixto – Prestación principal </w:t>
            </w:r>
          </w:p>
          <w:p w14:paraId="2C76A413" w14:textId="77777777" w:rsidR="00291670" w:rsidRDefault="00291670">
            <w:pPr>
              <w:jc w:val="both"/>
              <w:rPr>
                <w:rFonts w:ascii="Verdana" w:eastAsia="Calibri" w:hAnsi="Verdana" w:cs="Arial"/>
                <w:lang w:eastAsia="es-ES"/>
              </w:rPr>
            </w:pPr>
          </w:p>
        </w:tc>
      </w:tr>
      <w:tr w:rsidR="00291670" w14:paraId="564B9559" w14:textId="77777777">
        <w:tc>
          <w:tcPr>
            <w:tcW w:w="2689" w:type="dxa"/>
            <w:hideMark/>
          </w:tcPr>
          <w:p w14:paraId="1D6A5C64" w14:textId="77777777" w:rsidR="00291670" w:rsidRDefault="00291670">
            <w:pPr>
              <w:jc w:val="both"/>
              <w:rPr>
                <w:rFonts w:ascii="Verdana" w:eastAsia="Calibri" w:hAnsi="Verdana" w:cs="Arial"/>
                <w:b/>
                <w:lang w:eastAsia="es-ES_tradnl"/>
              </w:rPr>
            </w:pPr>
            <w:r>
              <w:rPr>
                <w:rFonts w:ascii="Verdana" w:eastAsia="Calibri" w:hAnsi="Verdana" w:cs="Arial"/>
                <w:b/>
                <w:lang w:eastAsia="es-ES_tradnl"/>
              </w:rPr>
              <w:t>Radicación:</w:t>
            </w:r>
            <w:r>
              <w:rPr>
                <w:rFonts w:ascii="Verdana" w:eastAsia="Calibri" w:hAnsi="Verdana" w:cs="Arial"/>
                <w:lang w:eastAsia="es-ES_tradnl"/>
              </w:rPr>
              <w:t xml:space="preserve">               </w:t>
            </w:r>
          </w:p>
        </w:tc>
        <w:tc>
          <w:tcPr>
            <w:tcW w:w="6100" w:type="dxa"/>
            <w:hideMark/>
          </w:tcPr>
          <w:p w14:paraId="1467343C" w14:textId="77777777" w:rsidR="00291670" w:rsidRDefault="00291670">
            <w:pPr>
              <w:jc w:val="both"/>
              <w:rPr>
                <w:rFonts w:ascii="Verdana" w:eastAsia="Calibri" w:hAnsi="Verdana" w:cs="Arial"/>
                <w:lang w:eastAsia="es-ES_tradnl"/>
              </w:rPr>
            </w:pPr>
            <w:r>
              <w:rPr>
                <w:rFonts w:ascii="Verdana" w:eastAsia="Calibri" w:hAnsi="Verdana" w:cs="Arial"/>
                <w:lang w:eastAsia="es-ES_tradnl"/>
              </w:rPr>
              <w:t>Respuesta a la consulta con radicado No. 1_2025_10_27_012067</w:t>
            </w:r>
          </w:p>
        </w:tc>
      </w:tr>
    </w:tbl>
    <w:p w14:paraId="2CAD4FF9" w14:textId="77777777" w:rsidR="00291670" w:rsidRDefault="00291670" w:rsidP="00291670">
      <w:pPr>
        <w:spacing w:after="0" w:line="240" w:lineRule="auto"/>
        <w:jc w:val="both"/>
        <w:rPr>
          <w:rFonts w:ascii="Verdana" w:eastAsia="Calibri" w:hAnsi="Verdana" w:cs="Arial"/>
          <w:color w:val="000000"/>
          <w:lang w:eastAsia="es-ES_tradnl"/>
        </w:rPr>
      </w:pPr>
    </w:p>
    <w:p w14:paraId="0FE1D8BB" w14:textId="77777777" w:rsidR="00291670" w:rsidRDefault="00291670" w:rsidP="00291670">
      <w:pPr>
        <w:spacing w:after="0" w:line="240" w:lineRule="auto"/>
        <w:jc w:val="both"/>
        <w:rPr>
          <w:rFonts w:ascii="Verdana" w:eastAsia="Calibri" w:hAnsi="Verdana" w:cs="Arial"/>
          <w:color w:val="000000"/>
          <w:lang w:eastAsia="es-ES_tradnl"/>
        </w:rPr>
      </w:pPr>
    </w:p>
    <w:p w14:paraId="6644262B" w14:textId="77777777" w:rsidR="00291670" w:rsidRDefault="00291670" w:rsidP="00291670">
      <w:pPr>
        <w:spacing w:after="0" w:line="276" w:lineRule="auto"/>
        <w:jc w:val="both"/>
        <w:rPr>
          <w:rFonts w:ascii="Verdana" w:eastAsia="Calibri" w:hAnsi="Verdana" w:cs="Arial"/>
          <w:lang w:eastAsia="es-ES"/>
        </w:rPr>
      </w:pPr>
      <w:r>
        <w:rPr>
          <w:rFonts w:ascii="Verdana" w:eastAsia="Calibri" w:hAnsi="Verdana" w:cs="Arial"/>
          <w:lang w:eastAsia="es-ES"/>
        </w:rPr>
        <w:t xml:space="preserve">Estimado señor Ramírez: </w:t>
      </w:r>
    </w:p>
    <w:p w14:paraId="5F792E37" w14:textId="77777777" w:rsidR="00291670" w:rsidRDefault="00291670" w:rsidP="00291670">
      <w:pPr>
        <w:tabs>
          <w:tab w:val="left" w:pos="3768"/>
        </w:tabs>
        <w:spacing w:after="0" w:line="276" w:lineRule="auto"/>
        <w:jc w:val="both"/>
        <w:rPr>
          <w:rFonts w:ascii="Verdana" w:eastAsia="Calibri" w:hAnsi="Verdana" w:cs="Arial"/>
          <w:color w:val="000000" w:themeColor="text1"/>
          <w:lang w:eastAsia="es-ES"/>
        </w:rPr>
      </w:pPr>
      <w:r>
        <w:rPr>
          <w:rFonts w:ascii="Verdana" w:eastAsia="Calibri" w:hAnsi="Verdana" w:cs="Arial"/>
          <w:color w:val="000000" w:themeColor="text1"/>
          <w:lang w:eastAsia="es-ES"/>
        </w:rPr>
        <w:tab/>
      </w:r>
    </w:p>
    <w:p w14:paraId="46EED1B7" w14:textId="77777777" w:rsidR="00291670" w:rsidRDefault="00291670" w:rsidP="00291670">
      <w:pPr>
        <w:spacing w:after="0" w:line="276" w:lineRule="auto"/>
        <w:jc w:val="both"/>
        <w:rPr>
          <w:rFonts w:ascii="Verdana" w:eastAsia="Calibri" w:hAnsi="Verdana" w:cs="Arial"/>
          <w:i/>
          <w:iCs/>
          <w:lang w:eastAsia="es-ES"/>
        </w:rPr>
      </w:pPr>
      <w:r>
        <w:rPr>
          <w:rFonts w:ascii="Verdana" w:eastAsia="Calibri" w:hAnsi="Verdana" w:cs="Arial"/>
          <w:color w:val="000000" w:themeColor="text1"/>
          <w:lang w:eastAsia="es-ES"/>
        </w:rPr>
        <w:t>En ejercicio de la competencia otorgada por los artículos 3, numeral 5º, y 11, numeral 8º, del Decreto Ley 4170 de 2011,</w:t>
      </w:r>
      <w:r>
        <w:rPr>
          <w:rFonts w:ascii="Verdana" w:eastAsia="Arial MT" w:hAnsi="Verdana" w:cs="Arial MT"/>
          <w:lang w:eastAsia="es-ES"/>
        </w:rPr>
        <w:t xml:space="preserve"> </w:t>
      </w:r>
      <w:r>
        <w:rPr>
          <w:rFonts w:ascii="Verdana" w:hAnsi="Verdana" w:cs="Arial"/>
          <w:lang w:val="es-ES_tradnl"/>
        </w:rPr>
        <w:t>así como lo establecido en</w:t>
      </w:r>
      <w:r>
        <w:rPr>
          <w:rFonts w:ascii="Verdana" w:hAnsi="Verdana" w:cs="Arial"/>
        </w:rPr>
        <w:t xml:space="preserve"> la Resolución 469 de 2025 expedida por esta Entidad, </w:t>
      </w:r>
      <w:r>
        <w:rPr>
          <w:rFonts w:ascii="Verdana" w:eastAsia="Calibri" w:hAnsi="Verdana" w:cs="Arial"/>
          <w:color w:val="000000" w:themeColor="text1"/>
          <w:lang w:eastAsia="es-ES"/>
        </w:rPr>
        <w:t>la Agencia Nacional de Contratación Pública – Colombia Compra Eficiente responde su solicitud de concepto del 27 de octubre de 2025,</w:t>
      </w:r>
      <w:r>
        <w:rPr>
          <w:rFonts w:ascii="Verdana" w:eastAsia="Calibri" w:hAnsi="Verdana" w:cs="Arial"/>
          <w:lang w:eastAsia="es-ES"/>
        </w:rPr>
        <w:t xml:space="preserve"> en la cual consulta sobre lo siguiente:</w:t>
      </w:r>
      <w:r>
        <w:rPr>
          <w:rFonts w:ascii="Verdana" w:eastAsia="Calibri" w:hAnsi="Verdana" w:cs="Arial"/>
          <w:i/>
          <w:iCs/>
          <w:lang w:eastAsia="es-ES"/>
        </w:rPr>
        <w:t xml:space="preserve"> </w:t>
      </w:r>
      <w:bookmarkStart w:id="2" w:name="_Hlk95313578"/>
    </w:p>
    <w:p w14:paraId="52F03C3C" w14:textId="77777777" w:rsidR="00291670" w:rsidRDefault="00291670" w:rsidP="00291670">
      <w:pPr>
        <w:spacing w:after="0" w:line="276" w:lineRule="auto"/>
        <w:jc w:val="both"/>
        <w:rPr>
          <w:rFonts w:ascii="Verdana" w:eastAsia="Calibri" w:hAnsi="Verdana" w:cs="Arial"/>
          <w:i/>
          <w:iCs/>
          <w:lang w:eastAsia="es-ES"/>
        </w:rPr>
      </w:pPr>
    </w:p>
    <w:p w14:paraId="6543B312" w14:textId="759D339D" w:rsidR="00291670" w:rsidRDefault="00291670" w:rsidP="00291670">
      <w:pPr>
        <w:spacing w:after="0" w:line="240" w:lineRule="auto"/>
        <w:ind w:left="709" w:right="709"/>
        <w:jc w:val="both"/>
        <w:rPr>
          <w:rFonts w:ascii="Verdana" w:eastAsia="Arial" w:hAnsi="Verdana" w:cs="Arial"/>
          <w:i/>
          <w:color w:val="000000"/>
          <w:sz w:val="20"/>
          <w:szCs w:val="20"/>
        </w:rPr>
      </w:pPr>
      <w:r>
        <w:rPr>
          <w:rFonts w:ascii="Verdana" w:eastAsia="Arial" w:hAnsi="Verdana" w:cs="Arial"/>
          <w:i/>
          <w:color w:val="000000"/>
          <w:sz w:val="20"/>
          <w:szCs w:val="20"/>
        </w:rPr>
        <w:t>“</w:t>
      </w:r>
      <w:bookmarkEnd w:id="2"/>
      <w:r>
        <w:rPr>
          <w:rFonts w:ascii="Verdana" w:eastAsia="Arial" w:hAnsi="Verdana" w:cs="Arial"/>
          <w:i/>
          <w:color w:val="000000"/>
          <w:sz w:val="20"/>
          <w:szCs w:val="20"/>
        </w:rPr>
        <w:t>Solicito respetuosamente se resuelva la siguiente consulta: ¿</w:t>
      </w:r>
      <w:proofErr w:type="gramStart"/>
      <w:r>
        <w:rPr>
          <w:rFonts w:ascii="Verdana" w:eastAsia="Arial" w:hAnsi="Verdana" w:cs="Arial"/>
          <w:i/>
          <w:color w:val="000000"/>
          <w:sz w:val="20"/>
          <w:szCs w:val="20"/>
        </w:rPr>
        <w:t>De acuerdo al</w:t>
      </w:r>
      <w:proofErr w:type="gramEnd"/>
      <w:r>
        <w:rPr>
          <w:rFonts w:ascii="Verdana" w:eastAsia="Arial" w:hAnsi="Verdana" w:cs="Arial"/>
          <w:i/>
          <w:color w:val="000000"/>
          <w:sz w:val="20"/>
          <w:szCs w:val="20"/>
        </w:rPr>
        <w:t xml:space="preserve"> artículo 32 numeral 1 de la ley 80 de 1993 puede considerarse que el SUMINISTRO E INSTALACIÓN de aires acondicionados es un contrato de obra </w:t>
      </w:r>
      <w:r w:rsidR="00F34245">
        <w:rPr>
          <w:rFonts w:ascii="Verdana" w:eastAsia="Arial" w:hAnsi="Verdana" w:cs="Arial"/>
          <w:i/>
          <w:color w:val="000000"/>
          <w:sz w:val="20"/>
          <w:szCs w:val="20"/>
        </w:rPr>
        <w:t>pública</w:t>
      </w:r>
      <w:r>
        <w:rPr>
          <w:rFonts w:ascii="Verdana" w:eastAsia="Arial" w:hAnsi="Verdana" w:cs="Arial"/>
          <w:i/>
          <w:color w:val="000000"/>
          <w:sz w:val="20"/>
          <w:szCs w:val="20"/>
        </w:rPr>
        <w:t>?”</w:t>
      </w:r>
    </w:p>
    <w:p w14:paraId="71399B3E" w14:textId="77777777" w:rsidR="00291670" w:rsidRDefault="00291670" w:rsidP="00291670">
      <w:pPr>
        <w:spacing w:after="0" w:line="240" w:lineRule="auto"/>
        <w:ind w:left="709" w:right="709"/>
        <w:jc w:val="both"/>
      </w:pPr>
    </w:p>
    <w:p w14:paraId="4A059455" w14:textId="77777777" w:rsidR="00291670" w:rsidRDefault="00291670" w:rsidP="00291670">
      <w:pPr>
        <w:spacing w:after="120" w:line="276" w:lineRule="auto"/>
        <w:ind w:firstLine="709"/>
        <w:jc w:val="both"/>
        <w:rPr>
          <w:rFonts w:ascii="Verdana" w:eastAsia="Calibri" w:hAnsi="Verdana" w:cs="Arial"/>
          <w:color w:val="000000"/>
          <w:lang w:eastAsia="es-ES"/>
        </w:rPr>
      </w:pPr>
      <w:r>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Pr>
          <w:rFonts w:ascii="Verdana" w:eastAsia="Calibri" w:hAnsi="Verdana" w:cs="Arial"/>
          <w:color w:val="000000"/>
          <w:lang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eastAsia="es-ES_tradnl"/>
        </w:rPr>
        <w:tab/>
      </w:r>
    </w:p>
    <w:p w14:paraId="53184FA1" w14:textId="77777777" w:rsidR="00291670" w:rsidRDefault="00291670" w:rsidP="00291670">
      <w:pPr>
        <w:spacing w:after="0" w:line="276" w:lineRule="auto"/>
        <w:ind w:firstLine="709"/>
        <w:jc w:val="both"/>
        <w:rPr>
          <w:rFonts w:ascii="Verdana" w:eastAsia="Calibri" w:hAnsi="Verdana" w:cs="Arial"/>
          <w:color w:val="000000"/>
          <w:lang w:eastAsia="es-ES"/>
        </w:rPr>
      </w:pPr>
      <w:r>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Pr>
          <w:rFonts w:ascii="Verdana" w:eastAsia="Calibri" w:hAnsi="Verdana" w:cs="Arial"/>
          <w:color w:val="7030A0"/>
          <w:lang w:eastAsia="es-ES"/>
        </w:rPr>
        <w:t xml:space="preserve"> </w:t>
      </w:r>
      <w:r>
        <w:rPr>
          <w:rFonts w:ascii="Verdana" w:eastAsia="Calibri" w:hAnsi="Verdana" w:cs="Arial"/>
          <w:color w:val="000000"/>
          <w:lang w:eastAsia="es-ES"/>
        </w:rPr>
        <w:t>problemas</w:t>
      </w:r>
      <w:r>
        <w:rPr>
          <w:rFonts w:ascii="Verdana" w:eastAsia="Calibri" w:hAnsi="Verdana" w:cs="Arial"/>
          <w:color w:val="7030A0"/>
          <w:lang w:eastAsia="es-ES"/>
        </w:rPr>
        <w:t xml:space="preserve"> </w:t>
      </w:r>
      <w:r>
        <w:rPr>
          <w:rFonts w:ascii="Verdana" w:eastAsia="Calibri" w:hAnsi="Verdana" w:cs="Arial"/>
          <w:color w:val="000000"/>
          <w:lang w:eastAsia="es-ES"/>
        </w:rPr>
        <w:t>jurídicos</w:t>
      </w:r>
      <w:r>
        <w:rPr>
          <w:rFonts w:ascii="Verdana" w:eastAsia="Calibri" w:hAnsi="Verdana" w:cs="Arial"/>
          <w:color w:val="7030A0"/>
          <w:lang w:eastAsia="es-ES"/>
        </w:rPr>
        <w:t xml:space="preserve"> </w:t>
      </w:r>
      <w:r>
        <w:rPr>
          <w:rFonts w:ascii="Verdana" w:eastAsia="Calibri" w:hAnsi="Verdana" w:cs="Arial"/>
          <w:color w:val="000000"/>
          <w:lang w:eastAsia="es-ES"/>
        </w:rPr>
        <w:t xml:space="preserve">de su consulta. </w:t>
      </w:r>
    </w:p>
    <w:p w14:paraId="66B3A9A7" w14:textId="77777777" w:rsidR="00291670" w:rsidRDefault="00291670" w:rsidP="00291670">
      <w:pPr>
        <w:spacing w:after="0" w:line="276" w:lineRule="auto"/>
        <w:ind w:firstLine="709"/>
        <w:jc w:val="both"/>
        <w:rPr>
          <w:rFonts w:ascii="Verdana" w:eastAsia="Calibri" w:hAnsi="Verdana" w:cs="Arial"/>
          <w:color w:val="000000"/>
          <w:lang w:eastAsia="es-ES"/>
        </w:rPr>
      </w:pPr>
    </w:p>
    <w:p w14:paraId="15806787" w14:textId="77777777" w:rsidR="00291670" w:rsidRDefault="00291670" w:rsidP="00291670">
      <w:pPr>
        <w:numPr>
          <w:ilvl w:val="0"/>
          <w:numId w:val="37"/>
        </w:num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Problemas planteados:</w:t>
      </w:r>
    </w:p>
    <w:p w14:paraId="7A10632E" w14:textId="77777777" w:rsidR="00291670" w:rsidRDefault="00291670" w:rsidP="00291670">
      <w:pPr>
        <w:tabs>
          <w:tab w:val="left" w:pos="426"/>
        </w:tabs>
        <w:spacing w:after="0" w:line="276" w:lineRule="auto"/>
        <w:jc w:val="both"/>
        <w:rPr>
          <w:rFonts w:ascii="Verdana" w:eastAsia="Century Gothic" w:hAnsi="Verdana" w:cs="Century Gothic"/>
        </w:rPr>
      </w:pPr>
    </w:p>
    <w:p w14:paraId="61B9E44E" w14:textId="77777777" w:rsidR="00291670" w:rsidRDefault="00291670" w:rsidP="00291670">
      <w:pPr>
        <w:spacing w:after="0" w:line="276" w:lineRule="auto"/>
        <w:jc w:val="both"/>
        <w:rPr>
          <w:rFonts w:ascii="Verdana" w:eastAsia="Century Gothic" w:hAnsi="Verdana" w:cs="Century Gothic"/>
        </w:rPr>
      </w:pPr>
      <w:r>
        <w:rPr>
          <w:rFonts w:ascii="Verdana" w:eastAsia="Century Gothic" w:hAnsi="Verdana" w:cs="Century Gothic"/>
        </w:rPr>
        <w:t>De acuerdo con el contenido de su solicitud, esta Agencia resolverá el siguiente problema jurídico: ¿De acuerdo con el artículo 32 numeral 1 de la Ley 80 de 1993 puede considerarse que el suministro e instalación de aires acondicionados es un contrato de obra pública?</w:t>
      </w:r>
    </w:p>
    <w:p w14:paraId="33786345" w14:textId="77777777" w:rsidR="00291670" w:rsidRDefault="00291670" w:rsidP="00291670">
      <w:pPr>
        <w:spacing w:after="0" w:line="276" w:lineRule="auto"/>
        <w:jc w:val="both"/>
        <w:rPr>
          <w:rFonts w:ascii="Verdana" w:eastAsia="Calibri" w:hAnsi="Verdana" w:cs="Arial"/>
          <w:color w:val="7030A0"/>
        </w:rPr>
      </w:pPr>
    </w:p>
    <w:p w14:paraId="2C852D3A" w14:textId="77777777" w:rsidR="00291670" w:rsidRDefault="00291670" w:rsidP="00291670">
      <w:pPr>
        <w:numPr>
          <w:ilvl w:val="0"/>
          <w:numId w:val="37"/>
        </w:num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Respuestas:</w:t>
      </w:r>
    </w:p>
    <w:p w14:paraId="0C24D7C6" w14:textId="77777777" w:rsidR="00291670" w:rsidRDefault="00291670" w:rsidP="00291670">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91670" w14:paraId="61D022C2" w14:textId="77777777">
        <w:trPr>
          <w:jc w:val="center"/>
        </w:trPr>
        <w:tc>
          <w:tcPr>
            <w:tcW w:w="8828" w:type="dxa"/>
            <w:tcBorders>
              <w:top w:val="dotted" w:sz="4" w:space="0" w:color="auto"/>
              <w:left w:val="dotted" w:sz="4" w:space="0" w:color="auto"/>
              <w:bottom w:val="dotted" w:sz="4" w:space="0" w:color="auto"/>
              <w:right w:val="dotted" w:sz="4" w:space="0" w:color="auto"/>
            </w:tcBorders>
            <w:hideMark/>
          </w:tcPr>
          <w:p w14:paraId="7C768844" w14:textId="77777777" w:rsidR="00291670" w:rsidRDefault="00291670">
            <w:pPr>
              <w:spacing w:after="120" w:line="276" w:lineRule="auto"/>
              <w:jc w:val="both"/>
              <w:rPr>
                <w:rFonts w:ascii="Verdana" w:hAnsi="Verdana" w:cs="Arial"/>
                <w:lang w:eastAsia="es-ES_tradnl"/>
              </w:rPr>
            </w:pPr>
            <w:bookmarkStart w:id="3" w:name="_Hlk171694685"/>
            <w:r>
              <w:rPr>
                <w:rFonts w:ascii="Verdana" w:hAnsi="Verdana" w:cs="Arial"/>
                <w:lang w:eastAsia="es-ES_tradnl"/>
              </w:rPr>
              <w:t xml:space="preserve">No es posible afirmar de manera categórica que el suministro e instalación de bienes mueble como los aires acondicionados en un inmueble deba clasificarse, en todos los casos, como un contrato de obra pública. Para establecer la naturaleza jurídica de este tipo de contratos, la entidad estatal debe analizar las circunstancias particulares de cada caso y considerar los criterios fijados que permitan identificar la prestación principal, la finalidad de las partes y la relación de conexidad de las prestaciones.  </w:t>
            </w:r>
          </w:p>
          <w:p w14:paraId="6A568187" w14:textId="77777777" w:rsidR="00291670" w:rsidRDefault="00291670">
            <w:pPr>
              <w:spacing w:after="120" w:line="276" w:lineRule="auto"/>
              <w:ind w:firstLine="709"/>
              <w:jc w:val="both"/>
              <w:rPr>
                <w:rFonts w:ascii="Verdana" w:hAnsi="Verdana" w:cs="Arial"/>
                <w:lang w:val="es-ES_tradnl"/>
              </w:rPr>
            </w:pPr>
            <w:r>
              <w:rPr>
                <w:rFonts w:ascii="Verdana" w:hAnsi="Verdana" w:cs="Arial"/>
                <w:lang w:eastAsia="es-ES_tradnl"/>
              </w:rPr>
              <w:t>Atendiendo a lo señalado por l</w:t>
            </w:r>
            <w:r>
              <w:rPr>
                <w:rFonts w:ascii="Verdana" w:hAnsi="Verdana" w:cs="Arial"/>
                <w:lang w:val="es-ES_tradnl"/>
              </w:rPr>
              <w:t>a Sala de Consulta y Servicio Civil del Consejo de Estado,</w:t>
            </w:r>
            <w:r>
              <w:rPr>
                <w:rFonts w:ascii="Verdana" w:eastAsia="Calibri" w:hAnsi="Verdana"/>
                <w:color w:val="000000" w:themeColor="text1"/>
              </w:rPr>
              <w:t xml:space="preserve"> adhiriéndose al método de absorción para efectos de integrar el régimen jurídico aplicable,</w:t>
            </w:r>
            <w:r>
              <w:rPr>
                <w:rFonts w:ascii="Verdana" w:hAnsi="Verdana" w:cs="Arial"/>
                <w:lang w:val="es-ES_tradnl"/>
              </w:rPr>
              <w:t xml:space="preserve"> se considera que en el caso referido es fundamental determinar la prestación principal para establecer dicho </w:t>
            </w:r>
            <w:r>
              <w:rPr>
                <w:rFonts w:ascii="Verdana" w:hAnsi="Verdana" w:cs="Arial"/>
                <w:lang w:eastAsia="es-ES_tradnl"/>
              </w:rPr>
              <w:t>régimen</w:t>
            </w:r>
            <w:r>
              <w:rPr>
                <w:rFonts w:ascii="Verdana" w:hAnsi="Verdana" w:cs="Arial"/>
                <w:lang w:val="es-ES_tradnl"/>
              </w:rPr>
              <w:t xml:space="preserve">, </w:t>
            </w:r>
            <w:r>
              <w:rPr>
                <w:rFonts w:ascii="Verdana" w:hAnsi="Verdana" w:cs="Arial"/>
                <w:lang w:eastAsia="es-ES_tradnl"/>
              </w:rPr>
              <w:lastRenderedPageBreak/>
              <w:t xml:space="preserve">teniendo en cuenta que la tipología contractual </w:t>
            </w:r>
            <w:r>
              <w:rPr>
                <w:rFonts w:ascii="Verdana" w:hAnsi="Verdana" w:cs="Arial"/>
                <w:lang w:val="es-ES" w:eastAsia="es-ES_tradnl"/>
              </w:rPr>
              <w:t xml:space="preserve">es importante para definir aspectos como la modalidad de selección que debe utilizar la entidad y los requisitos habilitantes o ponderables que deben incorporar en el pliego de condiciones para la selección objetiva de la mejor oferta. </w:t>
            </w:r>
          </w:p>
          <w:p w14:paraId="13B3F661" w14:textId="77777777" w:rsidR="00291670" w:rsidRDefault="00291670">
            <w:pPr>
              <w:spacing w:after="120" w:line="276" w:lineRule="auto"/>
              <w:ind w:firstLine="709"/>
              <w:jc w:val="both"/>
              <w:rPr>
                <w:rFonts w:ascii="Verdana" w:hAnsi="Verdana" w:cs="Arial"/>
                <w:lang w:eastAsia="es-ES_tradnl"/>
              </w:rPr>
            </w:pPr>
            <w:r>
              <w:rPr>
                <w:rFonts w:ascii="Verdana" w:hAnsi="Verdana" w:cs="Arial"/>
                <w:lang w:eastAsia="es-ES_tradnl"/>
              </w:rPr>
              <w:t xml:space="preserve">Para tales efectos, la entidad estatal podría determinar </w:t>
            </w:r>
            <w:r>
              <w:rPr>
                <w:rFonts w:ascii="Verdana" w:eastAsia="Calibri" w:hAnsi="Verdana" w:cs="Arial"/>
                <w:color w:val="000000" w:themeColor="text1"/>
                <w:lang w:val="es-ES_tradnl"/>
              </w:rPr>
              <w:t>el régimen del contrato típico al que pertenece</w:t>
            </w:r>
            <w:r>
              <w:rPr>
                <w:rFonts w:ascii="Verdana" w:hAnsi="Verdana" w:cs="Arial"/>
                <w:lang w:eastAsia="es-ES_tradnl"/>
              </w:rPr>
              <w:t xml:space="preserve"> atendiendo a cuál de las obligaciones - suministro o instalación -, absorbe a la otra, bien sea por su relevancia funcional o por su peso económico. Así, para establecer si un contrato debe ser considerado de obra, la entidad debe verificar si la obligación predominante consiste en la ejecución de actividades materiales que intervengan el bien inmueble al que se incorporara el aire acondicionado. </w:t>
            </w:r>
          </w:p>
          <w:p w14:paraId="79FFB503" w14:textId="77777777" w:rsidR="00291670" w:rsidRDefault="00291670">
            <w:pPr>
              <w:spacing w:after="120" w:line="276" w:lineRule="auto"/>
              <w:ind w:firstLine="709"/>
              <w:jc w:val="both"/>
              <w:rPr>
                <w:rFonts w:ascii="Verdana" w:hAnsi="Verdana" w:cs="Arial"/>
                <w:lang w:eastAsia="es-ES_tradnl"/>
              </w:rPr>
            </w:pPr>
            <w:r>
              <w:rPr>
                <w:rFonts w:ascii="Verdana" w:hAnsi="Verdana" w:cs="Arial"/>
                <w:lang w:eastAsia="es-ES_tradnl"/>
              </w:rPr>
              <w:t xml:space="preserve">En esta línea, uno de los criterios que podrían ser utilizados consiste en identificar el porcentaje del presupuesto destinado a las actividades de instalación e intervención del inmueble respecto del valor total del contrato. Otro criterio también está relacionado con la complejidad técnica y física de las labores de instalación. De esta manera, si por ejemplo, el valor de las actividades de instalación supera significativamente, más del 50 % del presupuesto, o si dichas actividades constituyen la esencia del negocio jurídico, o confluyen ambos criterios, podría concluirse que se trata de un contrato de obra y no de un simple contrato de suministro. </w:t>
            </w:r>
          </w:p>
        </w:tc>
      </w:tr>
    </w:tbl>
    <w:p w14:paraId="08D25142" w14:textId="77777777" w:rsidR="00291670" w:rsidRDefault="00291670" w:rsidP="00291670">
      <w:pPr>
        <w:tabs>
          <w:tab w:val="left" w:pos="142"/>
          <w:tab w:val="left" w:pos="284"/>
        </w:tabs>
        <w:spacing w:after="0" w:line="276" w:lineRule="auto"/>
        <w:jc w:val="both"/>
        <w:rPr>
          <w:rFonts w:ascii="Verdana" w:eastAsia="Century Gothic" w:hAnsi="Verdana" w:cs="Century Gothic"/>
          <w:b/>
          <w:bCs/>
        </w:rPr>
      </w:pPr>
    </w:p>
    <w:bookmarkEnd w:id="3"/>
    <w:p w14:paraId="07841038" w14:textId="77777777" w:rsidR="00291670" w:rsidRDefault="00291670" w:rsidP="00291670">
      <w:pPr>
        <w:numPr>
          <w:ilvl w:val="0"/>
          <w:numId w:val="37"/>
        </w:num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Razones de las respuestas:</w:t>
      </w:r>
    </w:p>
    <w:p w14:paraId="706EF381" w14:textId="77777777" w:rsidR="00291670" w:rsidRDefault="00291670" w:rsidP="00291670">
      <w:pPr>
        <w:spacing w:after="0" w:line="276" w:lineRule="auto"/>
        <w:jc w:val="both"/>
        <w:rPr>
          <w:rFonts w:ascii="Verdana" w:eastAsia="Calibri" w:hAnsi="Verdana" w:cs="Arial"/>
          <w:color w:val="7030A0"/>
        </w:rPr>
      </w:pPr>
    </w:p>
    <w:p w14:paraId="6B80A0C9" w14:textId="77777777" w:rsidR="00291670" w:rsidRDefault="00291670" w:rsidP="00291670">
      <w:pPr>
        <w:spacing w:after="0" w:line="276" w:lineRule="auto"/>
        <w:jc w:val="both"/>
        <w:rPr>
          <w:rFonts w:ascii="Verdana" w:eastAsia="Calibri" w:hAnsi="Verdana" w:cs="Arial"/>
        </w:rPr>
      </w:pPr>
      <w:r>
        <w:rPr>
          <w:rFonts w:ascii="Verdana" w:eastAsia="Calibri" w:hAnsi="Verdana" w:cs="Arial"/>
        </w:rPr>
        <w:t>Lo anterior se sustenta en las siguientes consideraciones:</w:t>
      </w:r>
    </w:p>
    <w:p w14:paraId="40A521DA" w14:textId="77777777" w:rsidR="00291670" w:rsidRDefault="00291670" w:rsidP="00291670">
      <w:pPr>
        <w:spacing w:after="0" w:line="276" w:lineRule="auto"/>
        <w:jc w:val="both"/>
        <w:rPr>
          <w:rFonts w:ascii="Verdana" w:eastAsia="Calibri" w:hAnsi="Verdana" w:cs="Arial"/>
        </w:rPr>
      </w:pPr>
    </w:p>
    <w:p w14:paraId="1A107227" w14:textId="77777777" w:rsidR="00291670" w:rsidRDefault="00291670" w:rsidP="00291670">
      <w:pPr>
        <w:widowControl w:val="0"/>
        <w:autoSpaceDE w:val="0"/>
        <w:autoSpaceDN w:val="0"/>
        <w:spacing w:line="276" w:lineRule="auto"/>
        <w:jc w:val="both"/>
        <w:rPr>
          <w:rFonts w:ascii="Verdana" w:eastAsia="Calibri" w:hAnsi="Verdana" w:cs="Arial"/>
          <w:color w:val="000000"/>
          <w:lang w:val="es-ES_tradnl" w:eastAsia="es-ES" w:bidi="es-ES"/>
        </w:rPr>
      </w:pPr>
      <w:r>
        <w:rPr>
          <w:rFonts w:ascii="Verdana" w:eastAsia="Calibri" w:hAnsi="Verdana" w:cs="Arial"/>
          <w:color w:val="000000"/>
          <w:lang w:val="es-ES_tradnl" w:eastAsia="es-ES" w:bidi="es-ES"/>
        </w:rPr>
        <w:t xml:space="preserve">i. La obra pública es una tipología de los contratos estatales, entendidos estos últimos como los actos jurídicos generadores de obligaciones que han sido celebrados por alguna de las entidades estatales enlistadas en el artículo 2 de la Ley 80 de 1993.  Lo anterior resulta de especial relevancia, en la medida en que dicho tipo contractual se diferencia de la definición y regulación prevista en el derecho privado para el contrato de confección de obra material regulado en el Código Civil.   </w:t>
      </w:r>
    </w:p>
    <w:p w14:paraId="03F8005D" w14:textId="77777777" w:rsidR="00291670" w:rsidRDefault="00291670" w:rsidP="00291670">
      <w:pPr>
        <w:widowControl w:val="0"/>
        <w:autoSpaceDE w:val="0"/>
        <w:autoSpaceDN w:val="0"/>
        <w:spacing w:before="120" w:line="276" w:lineRule="auto"/>
        <w:ind w:firstLine="708"/>
        <w:jc w:val="both"/>
        <w:rPr>
          <w:rFonts w:ascii="Verdana" w:eastAsia="Calibri" w:hAnsi="Verdana" w:cs="Arial"/>
          <w:color w:val="000000"/>
          <w:lang w:val="es-ES_tradnl" w:eastAsia="es-ES" w:bidi="es-ES"/>
        </w:rPr>
      </w:pPr>
      <w:r>
        <w:rPr>
          <w:rFonts w:ascii="Verdana" w:eastAsia="Calibri" w:hAnsi="Verdana" w:cs="Arial"/>
          <w:color w:val="000000"/>
          <w:lang w:val="es-ES_tradnl" w:eastAsia="es-ES" w:bidi="es-ES"/>
        </w:rPr>
        <w:t xml:space="preserve">En efecto, </w:t>
      </w:r>
      <w:bookmarkStart w:id="4" w:name="_Hlk81432298"/>
      <w:r>
        <w:rPr>
          <w:rFonts w:ascii="Verdana" w:eastAsia="Calibri" w:hAnsi="Verdana" w:cs="Arial"/>
          <w:color w:val="000000"/>
          <w:lang w:val="es-ES_tradnl" w:eastAsia="es-ES" w:bidi="es-ES"/>
        </w:rPr>
        <w:t xml:space="preserve">en el derecho privado brilla por la ausencia una definición del contrato de obra. El artículo 2053 del Código Civil lo tipifica como una de las </w:t>
      </w:r>
      <w:r>
        <w:rPr>
          <w:rFonts w:ascii="Verdana" w:eastAsia="Calibri" w:hAnsi="Verdana" w:cs="Arial"/>
          <w:color w:val="000000"/>
          <w:lang w:val="es-ES_tradnl" w:eastAsia="es-ES" w:bidi="es-ES"/>
        </w:rPr>
        <w:lastRenderedPageBreak/>
        <w:t xml:space="preserve">clases de arrendamiento, y establece reglas para diferenciarlo de la compraventa, para lo cual dispone que “Si al artífice suministra la materia para la confección de una obra material, el contrato es de venta; pero no se perfecciona sino por la aprobación del que ordenó la obra”. Por el contrario, “Si la materia es suministrada por la persona que encargó la obra, el contrato es de arrendamiento”; pero “Si la materia principal es suministrada por el que ha ordenado la obra, poniendo el artífice lo demás, el contrato es de arrendamiento; en el caso contrario, de venta”. En todo caso, en la medida en que los artículos 2060 y 2061 del Código disponen reglas especiales para los contratos de construcción y de arquitectura, es claro que la realización de trabajos materiales recae tanto sobre bienes muebles como inmuebles. </w:t>
      </w:r>
      <w:bookmarkEnd w:id="4"/>
      <w:r>
        <w:rPr>
          <w:rFonts w:ascii="Verdana" w:eastAsia="Calibri" w:hAnsi="Verdana" w:cs="Arial"/>
          <w:color w:val="000000"/>
          <w:lang w:val="es-ES_tradnl" w:eastAsia="es-ES" w:bidi="es-ES"/>
        </w:rPr>
        <w:t>Así, la doctrina considera que:</w:t>
      </w:r>
    </w:p>
    <w:p w14:paraId="5C329A1E" w14:textId="77777777" w:rsidR="00291670" w:rsidRDefault="00291670" w:rsidP="00291670">
      <w:pPr>
        <w:widowControl w:val="0"/>
        <w:autoSpaceDE w:val="0"/>
        <w:autoSpaceDN w:val="0"/>
        <w:spacing w:after="0" w:line="240" w:lineRule="auto"/>
        <w:ind w:left="709" w:right="709"/>
        <w:jc w:val="both"/>
        <w:rPr>
          <w:rFonts w:ascii="Verdana" w:eastAsia="Calibri" w:hAnsi="Verdana" w:cs="Arial"/>
          <w:color w:val="000000"/>
          <w:sz w:val="20"/>
          <w:szCs w:val="20"/>
          <w:lang w:val="es-ES_tradnl" w:eastAsia="es-ES" w:bidi="es-ES"/>
        </w:rPr>
      </w:pPr>
      <w:r>
        <w:rPr>
          <w:rFonts w:ascii="Verdana" w:eastAsia="Calibri" w:hAnsi="Verdana" w:cs="Arial"/>
          <w:color w:val="000000"/>
          <w:sz w:val="20"/>
          <w:szCs w:val="20"/>
          <w:lang w:val="es-ES_tradnl" w:eastAsia="es-ES" w:bidi="es-ES"/>
        </w:rPr>
        <w:t>“Puede definirse el arrendamiento de obra o contrato de confección de obra material como aquél por el cual una persona llamada artífice, se obliga, mediante cierto precio, a ejecutar una obra material. Los elementos de este contrato, fuera del consentimiento indispensable en todo contrato, son la ejecución de la obra y el precio.</w:t>
      </w:r>
    </w:p>
    <w:p w14:paraId="1C4F62CB" w14:textId="77777777" w:rsidR="00291670" w:rsidRDefault="00291670" w:rsidP="00291670">
      <w:pPr>
        <w:widowControl w:val="0"/>
        <w:autoSpaceDE w:val="0"/>
        <w:autoSpaceDN w:val="0"/>
        <w:spacing w:after="0" w:line="240" w:lineRule="auto"/>
        <w:ind w:left="709" w:right="709"/>
        <w:jc w:val="both"/>
        <w:rPr>
          <w:rFonts w:ascii="Verdana" w:eastAsia="Calibri" w:hAnsi="Verdana" w:cs="Arial"/>
          <w:color w:val="000000"/>
          <w:sz w:val="20"/>
          <w:szCs w:val="20"/>
          <w:lang w:val="es-ES_tradnl" w:eastAsia="es-ES" w:bidi="es-ES"/>
        </w:rPr>
      </w:pPr>
    </w:p>
    <w:p w14:paraId="2C8DBCD2" w14:textId="77777777" w:rsidR="00291670" w:rsidRDefault="00291670" w:rsidP="00291670">
      <w:pPr>
        <w:widowControl w:val="0"/>
        <w:autoSpaceDE w:val="0"/>
        <w:autoSpaceDN w:val="0"/>
        <w:spacing w:after="0" w:line="240" w:lineRule="auto"/>
        <w:ind w:left="709" w:right="709"/>
        <w:jc w:val="both"/>
        <w:rPr>
          <w:rFonts w:ascii="Verdana" w:eastAsia="Calibri" w:hAnsi="Verdana" w:cs="Arial"/>
          <w:color w:val="000000"/>
          <w:sz w:val="20"/>
          <w:szCs w:val="20"/>
          <w:lang w:val="es-ES_tradnl" w:eastAsia="es-ES" w:bidi="es-ES"/>
        </w:rPr>
      </w:pPr>
      <w:r>
        <w:rPr>
          <w:rFonts w:ascii="Verdana" w:eastAsia="Calibri" w:hAnsi="Verdana" w:cs="Arial"/>
          <w:color w:val="000000"/>
          <w:sz w:val="20"/>
          <w:szCs w:val="20"/>
          <w:lang w:val="es-ES_tradnl" w:eastAsia="es-ES" w:bidi="es-ES"/>
        </w:rPr>
        <w:t>Así como en el arrendamiento de cosas, el arrendador es obligado a suministrar el goce de la cosa, en el arrendamiento de obras es obligado a la ejecución de una obra material; mediante este contrato, el arrendador va a poner su trabajo al servicio de otro para transformar una sustancia en una obra nueva, que puede ser mueble o inmueble; cabe dentro de este contrato los más variados trabajos: el del sastre, del carpintero, del arquitecto, del ingeniero, etc. Lo que caracteriza entonces este contrato es que se haga una obra nueva con una sustancia mediante la transformación de ella por el trabajo del hombre”</w:t>
      </w:r>
      <w:r>
        <w:rPr>
          <w:vertAlign w:val="superscript"/>
        </w:rPr>
        <w:footnoteReference w:id="2"/>
      </w:r>
      <w:r>
        <w:rPr>
          <w:rFonts w:ascii="Verdana" w:eastAsia="Calibri" w:hAnsi="Verdana" w:cs="Arial"/>
          <w:color w:val="000000"/>
          <w:sz w:val="20"/>
          <w:szCs w:val="20"/>
          <w:lang w:val="es-ES_tradnl" w:eastAsia="es-ES" w:bidi="es-ES"/>
        </w:rPr>
        <w:t xml:space="preserve">.  </w:t>
      </w:r>
    </w:p>
    <w:p w14:paraId="54918B2C" w14:textId="77777777" w:rsidR="00291670" w:rsidRDefault="00291670" w:rsidP="00291670">
      <w:pPr>
        <w:widowControl w:val="0"/>
        <w:autoSpaceDE w:val="0"/>
        <w:autoSpaceDN w:val="0"/>
        <w:spacing w:after="0" w:line="240" w:lineRule="auto"/>
        <w:ind w:left="709" w:right="709"/>
        <w:jc w:val="both"/>
        <w:rPr>
          <w:rFonts w:ascii="Verdana" w:eastAsia="Calibri" w:hAnsi="Verdana" w:cs="Arial"/>
          <w:color w:val="000000"/>
          <w:sz w:val="20"/>
          <w:szCs w:val="20"/>
          <w:lang w:val="es-ES_tradnl" w:eastAsia="es-ES" w:bidi="es-ES"/>
        </w:rPr>
      </w:pPr>
      <w:r>
        <w:rPr>
          <w:rFonts w:ascii="Verdana" w:eastAsia="Calibri" w:hAnsi="Verdana" w:cs="Arial"/>
          <w:color w:val="000000"/>
          <w:sz w:val="20"/>
          <w:szCs w:val="20"/>
          <w:lang w:val="es-ES_tradnl" w:eastAsia="es-ES" w:bidi="es-ES"/>
        </w:rPr>
        <w:t xml:space="preserve">    </w:t>
      </w:r>
    </w:p>
    <w:p w14:paraId="6E94EA61" w14:textId="77777777" w:rsidR="00291670" w:rsidRDefault="00291670" w:rsidP="00291670">
      <w:pPr>
        <w:widowControl w:val="0"/>
        <w:autoSpaceDE w:val="0"/>
        <w:autoSpaceDN w:val="0"/>
        <w:spacing w:line="276" w:lineRule="auto"/>
        <w:ind w:firstLine="708"/>
        <w:jc w:val="both"/>
        <w:rPr>
          <w:rFonts w:ascii="Verdana" w:eastAsia="Calibri" w:hAnsi="Verdana" w:cs="Arial"/>
          <w:color w:val="000000"/>
          <w:lang w:val="es-ES_tradnl" w:eastAsia="es-ES" w:bidi="es-ES"/>
        </w:rPr>
      </w:pPr>
      <w:bookmarkStart w:id="5" w:name="_Hlk35420344"/>
      <w:r>
        <w:rPr>
          <w:rFonts w:ascii="Verdana" w:eastAsia="Calibri" w:hAnsi="Verdana" w:cs="Arial"/>
          <w:color w:val="000000"/>
          <w:lang w:val="es-ES_tradnl" w:eastAsia="es-ES" w:bidi="es-ES"/>
        </w:rPr>
        <w:t xml:space="preserve">En </w:t>
      </w:r>
      <w:r>
        <w:rPr>
          <w:rFonts w:ascii="Verdana" w:eastAsia="Calibri" w:hAnsi="Verdana" w:cs="Arial"/>
          <w:i/>
          <w:iCs/>
          <w:color w:val="000000"/>
          <w:lang w:val="es-ES_tradnl" w:eastAsia="es-ES" w:bidi="es-ES"/>
        </w:rPr>
        <w:t>sentido amplio</w:t>
      </w:r>
      <w:r>
        <w:rPr>
          <w:rFonts w:ascii="Verdana" w:eastAsia="Calibri" w:hAnsi="Verdana" w:cs="Arial"/>
          <w:color w:val="000000"/>
          <w:lang w:val="es-ES_tradnl" w:eastAsia="es-ES" w:bidi="es-ES"/>
        </w:rPr>
        <w:t xml:space="preserve">, dado que la “obra” es un bien que crea la actividad humana, el hecho de que sea “pública” significa que es todo trabajo material en cuya creación o realización interviene el Estado. No obstante, </w:t>
      </w:r>
      <w:bookmarkStart w:id="6" w:name="_Hlk81428563"/>
      <w:r>
        <w:rPr>
          <w:rFonts w:ascii="Verdana" w:eastAsia="Calibri" w:hAnsi="Verdana" w:cs="Arial"/>
          <w:color w:val="000000"/>
          <w:lang w:val="es-ES_tradnl" w:eastAsia="es-ES" w:bidi="es-ES"/>
        </w:rPr>
        <w:t xml:space="preserve">el numeral 1 del artículo 32 de la Ley 80 de 1993 opta por un </w:t>
      </w:r>
      <w:r>
        <w:rPr>
          <w:rFonts w:ascii="Verdana" w:eastAsia="Calibri" w:hAnsi="Verdana" w:cs="Arial"/>
          <w:i/>
          <w:iCs/>
          <w:color w:val="000000"/>
          <w:lang w:val="es-ES_tradnl" w:eastAsia="es-ES" w:bidi="es-ES"/>
        </w:rPr>
        <w:t>sentido restringido</w:t>
      </w:r>
      <w:r>
        <w:rPr>
          <w:rFonts w:ascii="Verdana" w:eastAsia="Calibri" w:hAnsi="Verdana" w:cs="Arial"/>
          <w:color w:val="000000"/>
          <w:lang w:val="es-ES_tradnl" w:eastAsia="es-ES" w:bidi="es-ES"/>
        </w:rPr>
        <w:t xml:space="preserve">, al disponer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 Por lo anterior, el </w:t>
      </w:r>
      <w:r>
        <w:rPr>
          <w:rFonts w:ascii="Verdana" w:eastAsia="Calibri" w:hAnsi="Verdana" w:cs="Arial"/>
          <w:color w:val="000000"/>
          <w:lang w:val="es-ES_tradnl" w:eastAsia="es-ES" w:bidi="es-ES"/>
        </w:rPr>
        <w:lastRenderedPageBreak/>
        <w:t>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bookmarkEnd w:id="5"/>
      <w:bookmarkEnd w:id="6"/>
      <w:r>
        <w:rPr>
          <w:rFonts w:ascii="Verdana" w:eastAsia="Calibri" w:hAnsi="Verdana" w:cs="Arial"/>
          <w:color w:val="000000"/>
          <w:vertAlign w:val="superscript"/>
          <w:lang w:val="es-ES_tradnl" w:eastAsia="es-ES" w:bidi="es-ES"/>
        </w:rPr>
        <w:footnoteReference w:id="3"/>
      </w:r>
      <w:r>
        <w:rPr>
          <w:rFonts w:ascii="Verdana" w:eastAsia="Calibri" w:hAnsi="Verdana" w:cs="Arial"/>
          <w:color w:val="000000"/>
          <w:lang w:val="es-ES_tradnl" w:eastAsia="es-ES" w:bidi="es-ES"/>
        </w:rPr>
        <w:t>. De esta manera:</w:t>
      </w:r>
    </w:p>
    <w:p w14:paraId="61F06B72" w14:textId="77777777" w:rsidR="00291670" w:rsidRDefault="00291670" w:rsidP="00291670">
      <w:pPr>
        <w:widowControl w:val="0"/>
        <w:autoSpaceDE w:val="0"/>
        <w:autoSpaceDN w:val="0"/>
        <w:spacing w:after="0" w:line="276" w:lineRule="auto"/>
        <w:ind w:firstLine="709"/>
        <w:jc w:val="both"/>
        <w:rPr>
          <w:rFonts w:ascii="Verdana" w:eastAsia="Calibri" w:hAnsi="Verdana" w:cs="Arial"/>
          <w:color w:val="000000"/>
          <w:lang w:val="es-ES_tradnl" w:eastAsia="es-ES" w:bidi="es-ES"/>
        </w:rPr>
      </w:pPr>
    </w:p>
    <w:p w14:paraId="5F56D6F1" w14:textId="77777777" w:rsidR="00291670" w:rsidRDefault="00291670" w:rsidP="00291670">
      <w:pPr>
        <w:widowControl w:val="0"/>
        <w:autoSpaceDE w:val="0"/>
        <w:autoSpaceDN w:val="0"/>
        <w:spacing w:after="0" w:line="240" w:lineRule="auto"/>
        <w:ind w:left="709" w:right="709"/>
        <w:jc w:val="both"/>
        <w:rPr>
          <w:rFonts w:ascii="Verdana" w:eastAsia="Calibri" w:hAnsi="Verdana" w:cs="Arial"/>
          <w:color w:val="000000"/>
          <w:sz w:val="20"/>
          <w:szCs w:val="20"/>
          <w:lang w:val="es-ES_tradnl" w:eastAsia="es-ES" w:bidi="es-ES"/>
        </w:rPr>
      </w:pPr>
      <w:r>
        <w:rPr>
          <w:rFonts w:ascii="Verdana" w:eastAsia="Calibri" w:hAnsi="Verdana" w:cs="Arial"/>
          <w:color w:val="000000"/>
          <w:sz w:val="20"/>
          <w:szCs w:val="20"/>
          <w:lang w:val="es-ES_tradnl" w:eastAsia="es-ES" w:bidi="es-ES"/>
        </w:rPr>
        <w:t xml:space="preserve">“[…] el legislador limitó la naturaleza de los contratos de obra a las actividades de trabajos materiales exclusivamente sobre bienes inmuebles, independientemente de su modalidad de ejecución y pago. De esta forma, acogió la posición de una parte de la doctrina y del derecho comparado, que vinculan la tipificación del contrato de obra a aquellas actividades realizadas sobre bienes inmuebles. </w:t>
      </w:r>
    </w:p>
    <w:p w14:paraId="2180D649" w14:textId="77777777" w:rsidR="00291670" w:rsidRDefault="00291670" w:rsidP="00291670">
      <w:pPr>
        <w:widowControl w:val="0"/>
        <w:autoSpaceDE w:val="0"/>
        <w:autoSpaceDN w:val="0"/>
        <w:spacing w:before="120" w:after="0" w:line="240" w:lineRule="auto"/>
        <w:ind w:left="709" w:right="709"/>
        <w:jc w:val="both"/>
        <w:rPr>
          <w:rFonts w:ascii="Verdana" w:eastAsia="Calibri" w:hAnsi="Verdana" w:cs="Arial"/>
          <w:color w:val="000000"/>
          <w:sz w:val="20"/>
          <w:szCs w:val="20"/>
          <w:lang w:val="es-ES_tradnl" w:eastAsia="es-ES" w:bidi="es-ES"/>
        </w:rPr>
      </w:pPr>
      <w:r>
        <w:rPr>
          <w:rFonts w:ascii="Verdana" w:eastAsia="Calibri" w:hAnsi="Verdana" w:cs="Arial"/>
          <w:color w:val="000000"/>
          <w:sz w:val="20"/>
          <w:szCs w:val="20"/>
          <w:lang w:val="es-ES_tradnl" w:eastAsia="es-ES" w:bidi="es-ES"/>
        </w:rPr>
        <w:t>La ejecución de obras sobre otro tipo de bienes, no estarán regulados por el contrato estatal de obra y podrán corresponder a una prestación de servicios general, o a cualquier otra modalidad típica o atípica, nominada o innominada que pueda celebrarse entre la entidad estatal y un contratista, en los términos de la autonomía de la voluntad de las partes, de acuerdo con lo previsto en los artículos 32 y 40 de la ley 80 de 1993”</w:t>
      </w:r>
      <w:r>
        <w:rPr>
          <w:vertAlign w:val="superscript"/>
        </w:rPr>
        <w:footnoteReference w:id="4"/>
      </w:r>
      <w:r>
        <w:rPr>
          <w:rFonts w:ascii="Verdana" w:eastAsia="Calibri" w:hAnsi="Verdana" w:cs="Arial"/>
          <w:color w:val="000000"/>
          <w:sz w:val="20"/>
          <w:szCs w:val="20"/>
          <w:lang w:val="es-ES_tradnl" w:eastAsia="es-ES" w:bidi="es-ES"/>
        </w:rPr>
        <w:t>.</w:t>
      </w:r>
    </w:p>
    <w:p w14:paraId="66A97639" w14:textId="77777777" w:rsidR="00291670" w:rsidRDefault="00291670" w:rsidP="00291670">
      <w:pPr>
        <w:widowControl w:val="0"/>
        <w:autoSpaceDE w:val="0"/>
        <w:autoSpaceDN w:val="0"/>
        <w:spacing w:after="0" w:line="276" w:lineRule="auto"/>
        <w:ind w:left="709" w:right="709"/>
        <w:jc w:val="both"/>
        <w:rPr>
          <w:rFonts w:ascii="Verdana" w:eastAsia="Calibri" w:hAnsi="Verdana" w:cs="Arial"/>
          <w:color w:val="000000"/>
          <w:sz w:val="21"/>
          <w:szCs w:val="21"/>
          <w:lang w:val="es-ES_tradnl" w:eastAsia="es-ES" w:bidi="es-ES"/>
        </w:rPr>
      </w:pPr>
    </w:p>
    <w:p w14:paraId="0E296265" w14:textId="77777777" w:rsidR="00291670" w:rsidRDefault="00291670" w:rsidP="00291670">
      <w:pPr>
        <w:widowControl w:val="0"/>
        <w:autoSpaceDE w:val="0"/>
        <w:autoSpaceDN w:val="0"/>
        <w:spacing w:after="120" w:line="276" w:lineRule="auto"/>
        <w:ind w:firstLine="708"/>
        <w:jc w:val="both"/>
        <w:rPr>
          <w:rFonts w:ascii="Verdana" w:eastAsia="Calibri" w:hAnsi="Verdana" w:cs="Arial"/>
          <w:color w:val="000000"/>
          <w:lang w:val="es-ES_tradnl" w:eastAsia="es-ES" w:bidi="es-ES"/>
        </w:rPr>
      </w:pPr>
      <w:r>
        <w:rPr>
          <w:rFonts w:ascii="Verdana" w:eastAsia="Calibri" w:hAnsi="Verdana" w:cs="Arial"/>
          <w:color w:val="000000"/>
          <w:lang w:val="es-ES_tradnl" w:eastAsia="es-ES" w:bidi="es-ES"/>
        </w:rPr>
        <w:t>En la disposición citada, el contrato de obra pública no se limita a la construcción de inmuebles, pues la definición se extiende a las actividades de mantenimiento e instalación, lo cual supone un bien preexistente. Para la Real Academia Española “construir” significa fabricar, erigir, edificar y hacer de nueva planta una cosa; en tanto que “mantener” significa conservar una cosa en su ser, darle vigor y permanencia; y, finalmente, “instalar” es poner o colocar algo en su lugar debido. Igualmente, el concepto se extiende a cualquier trabajo material realizado sobre bienes inmuebles, tales como la reforma y la demolición.</w:t>
      </w:r>
    </w:p>
    <w:p w14:paraId="64B06F91" w14:textId="77777777" w:rsidR="00291670" w:rsidRDefault="00291670" w:rsidP="00291670">
      <w:pPr>
        <w:widowControl w:val="0"/>
        <w:autoSpaceDE w:val="0"/>
        <w:autoSpaceDN w:val="0"/>
        <w:spacing w:after="120" w:line="276" w:lineRule="auto"/>
        <w:ind w:firstLine="708"/>
        <w:jc w:val="both"/>
        <w:rPr>
          <w:rFonts w:ascii="Verdana" w:eastAsia="Calibri" w:hAnsi="Verdana" w:cs="Arial"/>
          <w:color w:val="000000"/>
          <w:lang w:val="es-ES_tradnl" w:eastAsia="es-ES" w:bidi="es-ES"/>
        </w:rPr>
      </w:pPr>
      <w:r>
        <w:rPr>
          <w:rFonts w:ascii="Verdana" w:eastAsia="Calibri" w:hAnsi="Verdana" w:cs="Arial"/>
          <w:color w:val="000000"/>
          <w:lang w:val="es-ES_tradnl" w:eastAsia="es-ES" w:bidi="es-ES"/>
        </w:rPr>
        <w:t xml:space="preserve">Respecto a la referencia a los bienes inmuebles, se debe considerar la definición de los artículos 656 y 658 del Código Civil, que incluye en esa categoría tanto a los inmuebles por adhesión como por destinación. De esta manera, la referencia contenida en el numeral 1 del artículo 32 la Ley 80 de 1993 a </w:t>
      </w:r>
      <w:r>
        <w:rPr>
          <w:rFonts w:ascii="Verdana" w:eastAsia="Calibri" w:hAnsi="Verdana" w:cs="Arial"/>
          <w:color w:val="000000"/>
          <w:lang w:val="es-ES_tradnl" w:eastAsia="es-ES" w:bidi="es-ES"/>
        </w:rPr>
        <w:lastRenderedPageBreak/>
        <w:t xml:space="preserve">inmuebles debe entenderse que se extiende a los inmuebles anteriormente mencionados, razón por la cual la tipicidad del contrato de obra incluye cualquier clase de trabajo sobre inmuebles por adhesión o por destinación. </w:t>
      </w:r>
    </w:p>
    <w:p w14:paraId="5FB4F453" w14:textId="77777777" w:rsidR="00291670" w:rsidRDefault="00291670" w:rsidP="00291670">
      <w:pPr>
        <w:widowControl w:val="0"/>
        <w:autoSpaceDE w:val="0"/>
        <w:autoSpaceDN w:val="0"/>
        <w:spacing w:after="120" w:line="276" w:lineRule="auto"/>
        <w:ind w:firstLine="708"/>
        <w:jc w:val="both"/>
        <w:rPr>
          <w:rFonts w:ascii="Verdana" w:eastAsia="Calibri" w:hAnsi="Verdana" w:cs="Arial"/>
          <w:color w:val="000000"/>
          <w:lang w:val="es-ES_tradnl" w:eastAsia="es-ES" w:bidi="es-ES"/>
        </w:rPr>
      </w:pPr>
      <w:r>
        <w:rPr>
          <w:rFonts w:ascii="Verdana" w:eastAsia="Calibri" w:hAnsi="Verdana" w:cs="Arial"/>
          <w:color w:val="000000"/>
          <w:lang w:val="es-ES_tradnl" w:eastAsia="es-ES" w:bidi="es-ES"/>
        </w:rPr>
        <w:t xml:space="preserve">Teniendo en cuenta la remisión de los artículos 13, 32 y 40 del Estatuto General de Contratación al Código Civil, </w:t>
      </w:r>
      <w:bookmarkStart w:id="7" w:name="_Hlk81428905"/>
      <w:r>
        <w:rPr>
          <w:rFonts w:ascii="Verdana" w:eastAsia="Calibri" w:hAnsi="Verdana" w:cs="Arial"/>
          <w:color w:val="000000"/>
          <w:lang w:val="es-ES_tradnl" w:eastAsia="es-ES" w:bidi="es-ES"/>
        </w:rPr>
        <w:t xml:space="preserve">el artículo 656 dispone que “inmuebles o fincas o bienes raíces son las cosas que no pueden transportarse de un lugar a otro; como las tierras y minas, y las que adhieren permanentemente a ellas, como los edificios, los árboles”. En concordancia, el artículo 657 prescribe lo siguiente: “Las plantas son inmuebles, mientras adhieren al suelo por sus raíces, a menos que estén en macetas o cajones que puedan transportarse de un lugar a otro”. Estos bienes se denominan </w:t>
      </w:r>
      <w:r>
        <w:rPr>
          <w:rFonts w:ascii="Verdana" w:eastAsia="Calibri" w:hAnsi="Verdana" w:cs="Arial"/>
          <w:i/>
          <w:iCs/>
          <w:color w:val="000000"/>
          <w:lang w:val="es-ES_tradnl" w:eastAsia="es-ES" w:bidi="es-ES"/>
        </w:rPr>
        <w:t>inmuebles por adhesión</w:t>
      </w:r>
      <w:r>
        <w:rPr>
          <w:rFonts w:ascii="Verdana" w:eastAsia="Calibri" w:hAnsi="Verdana" w:cs="Arial"/>
          <w:color w:val="000000"/>
          <w:lang w:val="es-ES_tradnl" w:eastAsia="es-ES" w:bidi="es-ES"/>
        </w:rPr>
        <w:t xml:space="preserve"> y la doctrina los caracteriza como “[…] bienes muebles por naturaleza, adheridos permanente y materialmente a un inmueble, incorporados por el propietario o por una persona distinta de él, que por una ficción jurídica del legislador se transforman en bienes inmuebles”</w:t>
      </w:r>
      <w:r>
        <w:rPr>
          <w:vertAlign w:val="superscript"/>
        </w:rPr>
        <w:footnoteReference w:id="5"/>
      </w:r>
      <w:r>
        <w:rPr>
          <w:rFonts w:ascii="Verdana" w:eastAsia="Calibri" w:hAnsi="Verdana" w:cs="Arial"/>
          <w:color w:val="000000"/>
          <w:lang w:val="es-ES_tradnl" w:eastAsia="es-ES" w:bidi="es-ES"/>
        </w:rPr>
        <w:t xml:space="preserve">.   </w:t>
      </w:r>
    </w:p>
    <w:p w14:paraId="3C0E0E83" w14:textId="77777777" w:rsidR="00291670" w:rsidRDefault="00291670" w:rsidP="00291670">
      <w:pPr>
        <w:widowControl w:val="0"/>
        <w:autoSpaceDE w:val="0"/>
        <w:autoSpaceDN w:val="0"/>
        <w:spacing w:after="120" w:line="276" w:lineRule="auto"/>
        <w:ind w:firstLine="708"/>
        <w:jc w:val="both"/>
        <w:rPr>
          <w:rFonts w:ascii="Verdana" w:eastAsia="Calibri" w:hAnsi="Verdana" w:cs="Arial"/>
          <w:color w:val="000000"/>
          <w:lang w:val="es-ES" w:eastAsia="es-ES" w:bidi="es-ES"/>
        </w:rPr>
      </w:pPr>
      <w:bookmarkStart w:id="9" w:name="_Hlk81428960"/>
      <w:bookmarkEnd w:id="7"/>
      <w:r>
        <w:rPr>
          <w:rFonts w:ascii="Verdana" w:eastAsia="Calibri" w:hAnsi="Verdana" w:cs="Arial"/>
          <w:color w:val="000000" w:themeColor="text1"/>
          <w:lang w:val="es-ES" w:eastAsia="es-ES" w:bidi="es-ES"/>
        </w:rPr>
        <w:t xml:space="preserve">Por otra parte, el artículo 658 del Código Civil crea la categoría de </w:t>
      </w:r>
      <w:r>
        <w:rPr>
          <w:rFonts w:ascii="Verdana" w:eastAsia="Calibri" w:hAnsi="Verdana" w:cs="Arial"/>
          <w:i/>
          <w:color w:val="000000" w:themeColor="text1"/>
          <w:lang w:val="es-ES" w:eastAsia="es-ES" w:bidi="es-ES"/>
        </w:rPr>
        <w:t>inmuebles por destinación</w:t>
      </w:r>
      <w:r>
        <w:rPr>
          <w:rFonts w:ascii="Verdana" w:eastAsia="Calibri" w:hAnsi="Verdana" w:cs="Arial"/>
          <w:color w:val="000000" w:themeColor="text1"/>
          <w:lang w:val="es-ES" w:eastAsia="es-ES" w:bidi="es-ES"/>
        </w:rPr>
        <w:t>, disponiendo que “Se reputan inmuebles, aunque por su naturaleza no lo sean, las cosas que están permanentemente destinadas al uso, cultivo y beneficio de un inmueble, sin embargo de que puedan separarse sin detrimento”.</w:t>
      </w:r>
      <w:bookmarkEnd w:id="9"/>
      <w:r>
        <w:rPr>
          <w:rFonts w:ascii="Verdana" w:eastAsia="Calibri" w:hAnsi="Verdana" w:cs="Arial"/>
          <w:color w:val="000000" w:themeColor="text1"/>
          <w:lang w:val="es-ES" w:eastAsia="es-ES" w:bidi="es-ES"/>
        </w:rPr>
        <w:t xml:space="preserve"> El mismo artículo crea una lista enunciativa de estos bienes, dentro de los cuales se encuentran: i) las losas de un pavimento; </w:t>
      </w:r>
      <w:proofErr w:type="spellStart"/>
      <w:r>
        <w:rPr>
          <w:rFonts w:ascii="Verdana" w:eastAsia="Calibri" w:hAnsi="Verdana" w:cs="Arial"/>
          <w:color w:val="000000" w:themeColor="text1"/>
          <w:lang w:val="es-ES" w:eastAsia="es-ES" w:bidi="es-ES"/>
        </w:rPr>
        <w:t>ii</w:t>
      </w:r>
      <w:proofErr w:type="spellEnd"/>
      <w:r>
        <w:rPr>
          <w:rFonts w:ascii="Verdana" w:eastAsia="Calibri" w:hAnsi="Verdana" w:cs="Arial"/>
          <w:color w:val="000000" w:themeColor="text1"/>
          <w:lang w:val="es-ES" w:eastAsia="es-ES" w:bidi="es-ES"/>
        </w:rPr>
        <w:t xml:space="preserve">) los tubos de las cañerías; </w:t>
      </w:r>
      <w:proofErr w:type="spellStart"/>
      <w:r>
        <w:rPr>
          <w:rFonts w:ascii="Verdana" w:eastAsia="Calibri" w:hAnsi="Verdana" w:cs="Arial"/>
          <w:color w:val="000000" w:themeColor="text1"/>
          <w:lang w:val="es-ES" w:eastAsia="es-ES" w:bidi="es-ES"/>
        </w:rPr>
        <w:t>iii</w:t>
      </w:r>
      <w:proofErr w:type="spellEnd"/>
      <w:r>
        <w:rPr>
          <w:rFonts w:ascii="Verdana" w:eastAsia="Calibri" w:hAnsi="Verdana" w:cs="Arial"/>
          <w:color w:val="000000" w:themeColor="text1"/>
          <w:lang w:val="es-ES" w:eastAsia="es-ES" w:bidi="es-ES"/>
        </w:rPr>
        <w:t xml:space="preserve">) los utensilios de labranza o minería, y los animales actualmente destinados al cultivo o beneficio de una finca, con tal que hayan sido puestos en ella por el dueño de la finca; </w:t>
      </w:r>
      <w:proofErr w:type="spellStart"/>
      <w:r>
        <w:rPr>
          <w:rFonts w:ascii="Verdana" w:eastAsia="Calibri" w:hAnsi="Verdana" w:cs="Arial"/>
          <w:color w:val="000000" w:themeColor="text1"/>
          <w:lang w:val="es-ES" w:eastAsia="es-ES" w:bidi="es-ES"/>
        </w:rPr>
        <w:t>iv</w:t>
      </w:r>
      <w:proofErr w:type="spellEnd"/>
      <w:r>
        <w:rPr>
          <w:rFonts w:ascii="Verdana" w:eastAsia="Calibri" w:hAnsi="Verdana" w:cs="Arial"/>
          <w:color w:val="000000" w:themeColor="text1"/>
          <w:lang w:val="es-ES" w:eastAsia="es-ES" w:bidi="es-ES"/>
        </w:rPr>
        <w:t xml:space="preserve">) los abonos existentes en ella y destinados por el dueño de la finca a mejorarla; v) las prensas, calderas, cubas, alambiques, toneles y máquinas, que forman parte de un establecimiento industrial adherente al suelo y pertenecen al dueño de éste; y vi) los animales que se guardan en conejeras, pajareras, estanques, colmenas y cualesquiera otros vivares, con tal que éstos adhieran al suelo, o sean parte del suelo mismo o de un edificio. </w:t>
      </w:r>
    </w:p>
    <w:p w14:paraId="024F82D2" w14:textId="77777777" w:rsidR="00291670" w:rsidRDefault="00291670" w:rsidP="00291670">
      <w:pPr>
        <w:widowControl w:val="0"/>
        <w:autoSpaceDE w:val="0"/>
        <w:autoSpaceDN w:val="0"/>
        <w:spacing w:after="120" w:line="276" w:lineRule="auto"/>
        <w:ind w:firstLine="708"/>
        <w:jc w:val="both"/>
        <w:rPr>
          <w:rFonts w:ascii="Verdana" w:eastAsia="Calibri" w:hAnsi="Verdana" w:cs="Arial"/>
          <w:color w:val="000000"/>
          <w:lang w:val="es-ES" w:eastAsia="es-ES" w:bidi="es-ES"/>
        </w:rPr>
      </w:pPr>
      <w:bookmarkStart w:id="10" w:name="_Hlk81429063"/>
      <w:r>
        <w:rPr>
          <w:rFonts w:ascii="Verdana" w:eastAsia="Calibri" w:hAnsi="Verdana" w:cs="Arial"/>
          <w:color w:val="000000"/>
          <w:lang w:val="es-ES" w:eastAsia="es-ES" w:bidi="es-ES"/>
        </w:rPr>
        <w:t xml:space="preserve">Así las cosas, para que clasifiquen dentro de esta categoría se requiere que los muebles sirvan para prestar un servicio útil al inmueble por naturaleza, que el servicio sea permanente, además de que ambos sean del mismo </w:t>
      </w:r>
      <w:r>
        <w:rPr>
          <w:rFonts w:ascii="Verdana" w:eastAsia="Calibri" w:hAnsi="Verdana" w:cs="Arial"/>
          <w:color w:val="000000"/>
          <w:lang w:val="es-ES" w:eastAsia="es-ES" w:bidi="es-ES"/>
        </w:rPr>
        <w:lastRenderedPageBreak/>
        <w:t xml:space="preserve">propietario. En esta medida: “Por excepción al criterio extraído de la naturaleza física de las cosas, los redactores del Código Civil han considerado como inmuebles las cosas trasladables: las clasifican entre los inmuebles </w:t>
      </w:r>
      <w:proofErr w:type="gramStart"/>
      <w:r>
        <w:rPr>
          <w:rFonts w:ascii="Verdana" w:eastAsia="Calibri" w:hAnsi="Verdana" w:cs="Arial"/>
          <w:color w:val="000000"/>
          <w:lang w:val="es-ES" w:eastAsia="es-ES" w:bidi="es-ES"/>
        </w:rPr>
        <w:t>en razón de</w:t>
      </w:r>
      <w:proofErr w:type="gramEnd"/>
      <w:r>
        <w:rPr>
          <w:rFonts w:ascii="Verdana" w:eastAsia="Calibri" w:hAnsi="Verdana" w:cs="Arial"/>
          <w:color w:val="000000"/>
          <w:lang w:val="es-ES" w:eastAsia="es-ES" w:bidi="es-ES"/>
        </w:rPr>
        <w:t xml:space="preserve"> su destino, porque están afectadas a un inmueble por naturaleza. No han querido que estos muebles, unidos o afectados al inmueble, sigan un régimen jurídico distinto del inmueble mismo […] El inmueble y todo lo destinado a él forman un conjunto, una suerte de universalidad: el legislador ha querido someter esa unidad económica al mismo régimen”</w:t>
      </w:r>
      <w:bookmarkEnd w:id="10"/>
      <w:r>
        <w:rPr>
          <w:rFonts w:ascii="Verdana" w:eastAsia="Calibri" w:hAnsi="Verdana" w:cs="Arial"/>
          <w:color w:val="000000"/>
          <w:vertAlign w:val="superscript"/>
          <w:lang w:val="es-ES" w:eastAsia="es-ES" w:bidi="es-ES"/>
        </w:rPr>
        <w:footnoteReference w:id="6"/>
      </w:r>
      <w:r>
        <w:rPr>
          <w:rFonts w:ascii="Verdana" w:eastAsia="Calibri" w:hAnsi="Verdana" w:cs="Arial"/>
          <w:color w:val="000000"/>
          <w:lang w:val="es-ES" w:eastAsia="es-ES" w:bidi="es-ES"/>
        </w:rPr>
        <w:t xml:space="preserve">.  </w:t>
      </w:r>
    </w:p>
    <w:p w14:paraId="3F5A73DA" w14:textId="77777777" w:rsidR="00291670" w:rsidRDefault="00291670" w:rsidP="00291670">
      <w:pPr>
        <w:widowControl w:val="0"/>
        <w:autoSpaceDE w:val="0"/>
        <w:autoSpaceDN w:val="0"/>
        <w:spacing w:after="120" w:line="276" w:lineRule="auto"/>
        <w:ind w:firstLine="708"/>
        <w:jc w:val="both"/>
        <w:rPr>
          <w:rFonts w:ascii="Verdana" w:eastAsia="Calibri" w:hAnsi="Verdana" w:cs="Arial"/>
          <w:color w:val="000000"/>
          <w:lang w:val="es-ES" w:eastAsia="es-ES" w:bidi="es-ES"/>
        </w:rPr>
      </w:pPr>
      <w:r>
        <w:rPr>
          <w:rFonts w:ascii="Verdana" w:eastAsia="Calibri" w:hAnsi="Verdana" w:cs="Arial"/>
          <w:color w:val="000000" w:themeColor="text1"/>
          <w:lang w:val="es-ES" w:eastAsia="es-ES" w:bidi="es-ES"/>
        </w:rPr>
        <w:t xml:space="preserve">Las diferencias entre ambos tipos de bienes se derivan de que: i) mientras la incorporación de los </w:t>
      </w:r>
      <w:r>
        <w:rPr>
          <w:rFonts w:ascii="Verdana" w:eastAsia="Calibri" w:hAnsi="Verdana" w:cs="Arial"/>
          <w:i/>
          <w:color w:val="000000" w:themeColor="text1"/>
          <w:lang w:val="es-ES" w:eastAsia="es-ES" w:bidi="es-ES"/>
        </w:rPr>
        <w:t>inmuebles por adhesión</w:t>
      </w:r>
      <w:r>
        <w:rPr>
          <w:rFonts w:ascii="Verdana" w:eastAsia="Calibri" w:hAnsi="Verdana" w:cs="Arial"/>
          <w:color w:val="000000" w:themeColor="text1"/>
          <w:lang w:val="es-ES" w:eastAsia="es-ES" w:bidi="es-ES"/>
        </w:rPr>
        <w:t xml:space="preserve"> es material, la de los </w:t>
      </w:r>
      <w:r>
        <w:rPr>
          <w:rFonts w:ascii="Verdana" w:eastAsia="Calibri" w:hAnsi="Verdana" w:cs="Arial"/>
          <w:i/>
          <w:color w:val="000000" w:themeColor="text1"/>
          <w:lang w:val="es-ES" w:eastAsia="es-ES" w:bidi="es-ES"/>
        </w:rPr>
        <w:t xml:space="preserve">inmuebles por destinación </w:t>
      </w:r>
      <w:r>
        <w:rPr>
          <w:rFonts w:ascii="Verdana" w:eastAsia="Calibri" w:hAnsi="Verdana" w:cs="Arial"/>
          <w:color w:val="000000" w:themeColor="text1"/>
          <w:lang w:val="es-ES" w:eastAsia="es-ES" w:bidi="es-ES"/>
        </w:rPr>
        <w:t xml:space="preserve">es intelectual; </w:t>
      </w:r>
      <w:proofErr w:type="spellStart"/>
      <w:r>
        <w:rPr>
          <w:rFonts w:ascii="Verdana" w:eastAsia="Calibri" w:hAnsi="Verdana" w:cs="Arial"/>
          <w:color w:val="000000" w:themeColor="text1"/>
          <w:lang w:val="es-ES" w:eastAsia="es-ES" w:bidi="es-ES"/>
        </w:rPr>
        <w:t>ii</w:t>
      </w:r>
      <w:proofErr w:type="spellEnd"/>
      <w:r>
        <w:rPr>
          <w:rFonts w:ascii="Verdana" w:eastAsia="Calibri" w:hAnsi="Verdana" w:cs="Arial"/>
          <w:color w:val="000000" w:themeColor="text1"/>
          <w:lang w:val="es-ES" w:eastAsia="es-ES" w:bidi="es-ES"/>
        </w:rPr>
        <w:t xml:space="preserve">) mientras los primeros son incorporados por el dueño o por terceras personas, en los segundos es necesaria la identidad del propietario; finalmente, </w:t>
      </w:r>
      <w:proofErr w:type="spellStart"/>
      <w:r>
        <w:rPr>
          <w:rFonts w:ascii="Verdana" w:eastAsia="Calibri" w:hAnsi="Verdana" w:cs="Arial"/>
          <w:color w:val="000000" w:themeColor="text1"/>
          <w:lang w:val="es-ES" w:eastAsia="es-ES" w:bidi="es-ES"/>
        </w:rPr>
        <w:t>iii</w:t>
      </w:r>
      <w:proofErr w:type="spellEnd"/>
      <w:r>
        <w:rPr>
          <w:rFonts w:ascii="Verdana" w:eastAsia="Calibri" w:hAnsi="Verdana" w:cs="Arial"/>
          <w:color w:val="000000" w:themeColor="text1"/>
          <w:lang w:val="es-ES" w:eastAsia="es-ES" w:bidi="es-ES"/>
        </w:rPr>
        <w:t xml:space="preserve">) mientras que aquellos pierden individualidad por la incorporación al inmueble, no sucede lo mismo con los segundos, los cuales conservan su autonomía pese a estar destinados al cultivo de aquel. De esta manera, la distinción del Código Civil entre bienes muebles e inmuebles influye en la identificación de una actividad material como parte de un contrato de obra pública en los </w:t>
      </w:r>
      <w:bookmarkStart w:id="11" w:name="_Hlk81429290"/>
      <w:r>
        <w:rPr>
          <w:rFonts w:ascii="Verdana" w:eastAsia="Calibri" w:hAnsi="Verdana" w:cs="Arial"/>
          <w:color w:val="000000" w:themeColor="text1"/>
          <w:lang w:val="es-ES" w:eastAsia="es-ES" w:bidi="es-ES"/>
        </w:rPr>
        <w:t xml:space="preserve">términos del Estatuto General de Contratación de la Administración Pública. </w:t>
      </w:r>
    </w:p>
    <w:p w14:paraId="0C1B4991" w14:textId="77777777" w:rsidR="00291670" w:rsidRDefault="00291670" w:rsidP="00291670">
      <w:pPr>
        <w:widowControl w:val="0"/>
        <w:autoSpaceDE w:val="0"/>
        <w:autoSpaceDN w:val="0"/>
        <w:spacing w:after="120" w:line="276" w:lineRule="auto"/>
        <w:ind w:firstLine="709"/>
        <w:jc w:val="both"/>
        <w:rPr>
          <w:rFonts w:ascii="Verdana" w:eastAsia="Calibri" w:hAnsi="Verdana" w:cs="Arial"/>
          <w:color w:val="000000"/>
          <w:lang w:val="es-ES_tradnl" w:eastAsia="es-ES" w:bidi="es-ES"/>
        </w:rPr>
      </w:pPr>
      <w:r>
        <w:rPr>
          <w:rFonts w:ascii="Verdana" w:eastAsia="Calibri" w:hAnsi="Verdana" w:cs="Arial"/>
          <w:color w:val="000000"/>
          <w:lang w:val="es-ES_tradnl" w:eastAsia="es-ES" w:bidi="es-ES"/>
        </w:rPr>
        <w:t xml:space="preserve">En ese sentido, la naturaleza inmueble del bien sobre el que se realizan el mantenimiento es determinante para saber si está ante un contrato de obra pública, ya que de este tipo contractual se encuentran excluidos trabajos materiales realizados sobre bienes muebles, por lo que estos corresponderían a un tipo contractual diferente. </w:t>
      </w:r>
      <w:bookmarkEnd w:id="11"/>
      <w:r>
        <w:rPr>
          <w:rFonts w:ascii="Verdana" w:eastAsia="Calibri" w:hAnsi="Verdana" w:cs="Arial"/>
          <w:color w:val="000000"/>
          <w:lang w:val="es-ES_tradnl" w:eastAsia="es-ES" w:bidi="es-ES"/>
        </w:rPr>
        <w:t xml:space="preserve">Esto supone que, en caso de que las prestaciones a realizarse impliquen el desarrollo de actividades materiales sobre bienes muebles, no resulta jurídicamente valido acudir al contrato de obra pública, debiendo la entidad acudir al régimen contractual de algún otro tipo contractual en el que se subsuma la actividad a contratar, como, por ejemplo, el contrato de prestación de servicios, o a cualquier otra modalidad típica o atípica, nominada o innominada que pueda celebrarse entre la entidad estatal y un contratista, en los términos de la autonomía de la voluntad de las partes, de acuerdo con lo previsto en los artículos 32 y 40 de la Ley 80 de 1993. </w:t>
      </w:r>
    </w:p>
    <w:p w14:paraId="0DE20237" w14:textId="77777777" w:rsidR="00291670" w:rsidRDefault="00291670" w:rsidP="00291670">
      <w:pPr>
        <w:spacing w:after="120" w:line="276" w:lineRule="auto"/>
        <w:jc w:val="both"/>
        <w:rPr>
          <w:rFonts w:ascii="Verdana" w:hAnsi="Verdana" w:cs="Arial"/>
          <w:lang w:val="es-ES"/>
        </w:rPr>
      </w:pPr>
      <w:proofErr w:type="spellStart"/>
      <w:r>
        <w:rPr>
          <w:rFonts w:ascii="Verdana" w:hAnsi="Verdana" w:cs="Arial"/>
          <w:lang w:val="es-ES"/>
        </w:rPr>
        <w:lastRenderedPageBreak/>
        <w:t>ii</w:t>
      </w:r>
      <w:proofErr w:type="spellEnd"/>
      <w:r>
        <w:rPr>
          <w:rFonts w:ascii="Verdana" w:hAnsi="Verdana" w:cs="Arial"/>
          <w:lang w:val="es-ES"/>
        </w:rPr>
        <w:t xml:space="preserve">. Ahora bien, teniendo en cuenta que el objeto de la consulta incluye la actividad de instalación, la cual, como se indicó, es constitutiva del objeto de contrato de obra pública, es importante hacer algunas precisiones en torno al alcance de este concepto. Como lo ha indicado la Sala de Consulta y Servicio Civil del Consejo de Estado, dentro del contrato de obra pública se considera incluido “[…], todo trabajo que tiene por objeto, crear, construir, conservar o modificar bienes inmuebles incorporándose a dicho concepto trabajos como la construcción, </w:t>
      </w:r>
      <w:r>
        <w:rPr>
          <w:rFonts w:ascii="Verdana" w:hAnsi="Verdana" w:cs="Arial"/>
          <w:i/>
          <w:lang w:val="es-ES"/>
        </w:rPr>
        <w:t>instalación</w:t>
      </w:r>
      <w:r>
        <w:rPr>
          <w:rFonts w:ascii="Verdana" w:hAnsi="Verdana" w:cs="Arial"/>
          <w:lang w:val="es-ES"/>
        </w:rPr>
        <w:t xml:space="preserve">, conservación, mantenimiento, reparación y demolición de los bienes inmuebles, así como la construcción, </w:t>
      </w:r>
      <w:r>
        <w:rPr>
          <w:rFonts w:ascii="Verdana" w:hAnsi="Verdana" w:cs="Arial"/>
          <w:i/>
          <w:lang w:val="es-ES"/>
        </w:rPr>
        <w:t>instalación</w:t>
      </w:r>
      <w:r>
        <w:rPr>
          <w:rFonts w:ascii="Verdana" w:hAnsi="Verdana" w:cs="Arial"/>
          <w:lang w:val="es-ES"/>
        </w:rPr>
        <w:t>, conservación, mantenimiento, reparación y demolición de aquellos bienes destinados a un servicio público o al uso común”</w:t>
      </w:r>
      <w:r>
        <w:rPr>
          <w:vertAlign w:val="superscript"/>
        </w:rPr>
        <w:footnoteReference w:id="7"/>
      </w:r>
      <w:r>
        <w:rPr>
          <w:rFonts w:ascii="Verdana" w:hAnsi="Verdana" w:cs="Arial"/>
          <w:lang w:val="es-ES"/>
        </w:rPr>
        <w:t xml:space="preserve"> (énfasis fuera de texto).</w:t>
      </w:r>
    </w:p>
    <w:p w14:paraId="327BB6D9" w14:textId="77777777" w:rsidR="00291670" w:rsidRDefault="00291670" w:rsidP="00291670">
      <w:pPr>
        <w:spacing w:after="120" w:line="276" w:lineRule="auto"/>
        <w:ind w:firstLine="709"/>
        <w:jc w:val="both"/>
        <w:rPr>
          <w:rFonts w:ascii="Verdana" w:hAnsi="Verdana" w:cs="Arial"/>
          <w:lang w:val="es-ES_tradnl"/>
        </w:rPr>
      </w:pPr>
      <w:r>
        <w:rPr>
          <w:rFonts w:ascii="Verdana" w:hAnsi="Verdana" w:cs="Arial"/>
          <w:lang w:val="es-ES_tradnl"/>
        </w:rPr>
        <w:t>Según el Diccionario de la Lengua Española, “instalar” es “Poner o colocar en el lugar debido a alguien o algo”, así como “Colocar en un lugar o edificio los enseres y servicios que en él se hayan de utilizar; como en una fábrica, los conductos de agua, aparatos para la luz, etc.”</w:t>
      </w:r>
      <w:r>
        <w:rPr>
          <w:vertAlign w:val="superscript"/>
        </w:rPr>
        <w:footnoteReference w:id="8"/>
      </w:r>
      <w:r>
        <w:rPr>
          <w:rFonts w:ascii="Verdana" w:hAnsi="Verdana" w:cs="Arial"/>
          <w:lang w:val="es-ES_tradnl"/>
        </w:rPr>
        <w:t>. Por tanto, la instalación de cosas –como redes, equipos u otros elementos– en los bienes inmuebles es, en principio, una actividad que ingresa dentro de los contratos de obra celebrados por las entidades estatales, pues comporta la realización de un trabajo material.</w:t>
      </w:r>
    </w:p>
    <w:p w14:paraId="4F226585" w14:textId="77777777" w:rsidR="00291670" w:rsidRDefault="00291670" w:rsidP="00291670">
      <w:pPr>
        <w:spacing w:after="120" w:line="276" w:lineRule="auto"/>
        <w:ind w:firstLine="709"/>
        <w:jc w:val="both"/>
        <w:rPr>
          <w:rFonts w:ascii="Verdana" w:hAnsi="Verdana" w:cs="Arial"/>
          <w:lang w:val="es-ES_tradnl"/>
        </w:rPr>
      </w:pPr>
      <w:r>
        <w:rPr>
          <w:rFonts w:ascii="Verdana" w:hAnsi="Verdana" w:cs="Arial"/>
          <w:lang w:val="es-ES_tradnl"/>
        </w:rPr>
        <w:t xml:space="preserve">Sin embargo, esto no quiere decir que </w:t>
      </w:r>
      <w:r>
        <w:rPr>
          <w:rFonts w:ascii="Verdana" w:hAnsi="Verdana" w:cs="Arial"/>
          <w:i/>
          <w:iCs/>
          <w:lang w:val="es-ES_tradnl"/>
        </w:rPr>
        <w:t>toda</w:t>
      </w:r>
      <w:r>
        <w:rPr>
          <w:rFonts w:ascii="Verdana" w:hAnsi="Verdana" w:cs="Arial"/>
          <w:lang w:val="es-ES_tradnl"/>
        </w:rPr>
        <w:t xml:space="preserve"> instalación que se pacte, como obligación a cargo del contratista, permita clasificar el negocio jurídico como un contrato de obra pública. Así lo reconoció también la Sala de Consulta y Servicio Civil en el concepto al que se hizo referencia con anterioridad, indicando que “En la práctica se encuentran contratos para el suministro de equipos que involucran prestaciones adicionales relacionadas con su instalación, servicios de mantenimiento, y de capacitación tendientes a la entrega para la puesta en funcionamiento por parte de la entidad estatal”</w:t>
      </w:r>
      <w:r>
        <w:rPr>
          <w:vertAlign w:val="superscript"/>
        </w:rPr>
        <w:footnoteReference w:id="9"/>
      </w:r>
      <w:r>
        <w:rPr>
          <w:rFonts w:ascii="Verdana" w:hAnsi="Verdana" w:cs="Arial"/>
          <w:lang w:val="es-ES_tradnl"/>
        </w:rPr>
        <w:t>, agregando que “En el caso citado, no existe un contrato de compraventa o suministro de bienes muebles, un contrato de obra y un contrato de prestación de servicios. Se trata de un solo contrato con una prestación principal y unas accesorias relacionadas directamente con el primero”</w:t>
      </w:r>
      <w:r>
        <w:rPr>
          <w:vertAlign w:val="superscript"/>
        </w:rPr>
        <w:footnoteReference w:id="10"/>
      </w:r>
      <w:r>
        <w:rPr>
          <w:rFonts w:ascii="Verdana" w:hAnsi="Verdana" w:cs="Arial"/>
          <w:lang w:val="es-ES_tradnl"/>
        </w:rPr>
        <w:t>.</w:t>
      </w:r>
    </w:p>
    <w:p w14:paraId="759D6C1D" w14:textId="77777777" w:rsidR="00291670" w:rsidRDefault="00291670" w:rsidP="00291670">
      <w:pPr>
        <w:spacing w:after="120" w:line="276" w:lineRule="auto"/>
        <w:ind w:firstLine="709"/>
        <w:jc w:val="both"/>
        <w:rPr>
          <w:rFonts w:ascii="Verdana" w:hAnsi="Verdana" w:cs="Arial"/>
          <w:lang w:val="es-ES_tradnl"/>
        </w:rPr>
      </w:pPr>
      <w:r>
        <w:rPr>
          <w:rFonts w:ascii="Verdana" w:hAnsi="Verdana" w:cs="Arial"/>
          <w:lang w:val="es-ES_tradnl"/>
        </w:rPr>
        <w:lastRenderedPageBreak/>
        <w:t>En otras palabras, para la Sala, es posible que las entidades públicas, en ejercicio de su autonomía de la voluntad, celebren contratos estatales que involucren prestaciones mixtas, también denominados “contratos mixtos” –modalidad de contratos atípicos–, siempre que “las prestaciones correspondientes que pretendan fusionarse se encuentren directamente vinculadas entre sí, de tal manera que mantengan relaciones de complemento y que permitan predicar su tratamiento solo como una unidad funcional dirigida a la satisfacción de la necesidad de la entidad”</w:t>
      </w:r>
      <w:r>
        <w:rPr>
          <w:vertAlign w:val="superscript"/>
        </w:rPr>
        <w:footnoteReference w:id="11"/>
      </w:r>
      <w:r>
        <w:rPr>
          <w:rFonts w:ascii="Verdana" w:hAnsi="Verdana" w:cs="Arial"/>
          <w:lang w:val="es-ES_tradnl"/>
        </w:rPr>
        <w:t xml:space="preserve">. </w:t>
      </w:r>
    </w:p>
    <w:p w14:paraId="33499BB5" w14:textId="77777777" w:rsidR="00291670" w:rsidRDefault="00291670" w:rsidP="00291670">
      <w:pPr>
        <w:spacing w:after="120" w:line="276" w:lineRule="auto"/>
        <w:ind w:firstLine="709"/>
        <w:jc w:val="both"/>
        <w:rPr>
          <w:rFonts w:ascii="Verdana" w:hAnsi="Verdana" w:cs="Arial"/>
          <w:lang w:val="es-ES_tradnl"/>
        </w:rPr>
      </w:pPr>
      <w:r>
        <w:rPr>
          <w:rFonts w:ascii="Verdana" w:hAnsi="Verdana" w:cs="Arial"/>
          <w:lang w:val="es-ES_tradnl"/>
        </w:rPr>
        <w:t xml:space="preserve">La Agencia Nacional de Contratación Pública – Colombia Compra Eficiente comparte la tesis de la Sala de Consulta y Servicio Civil, pues considera que aquella se sustenta en dos argumentos: primero, en que el artículo 32 de la Ley 80 de 1993 no establece un listado taxativo de contratos estatales, sino que afirma que también lo son los “derivados del ejercicio de la autonomía de la voluntad”; y segundo, en que el artículo 40 ratifica lo anterior, al señalar que “Las entidades podrán celebrar los contratos y acuerdos que permitan la autonomía de la voluntad y requieran el cumplimiento de los fines estatales”. En consecuencia, las entidades estatales pueden celebrar contratos atípicos mixtos, respetando los límites del principio de legalidad, una de cuyas expresiones es la tipificación de los contratos estatales. </w:t>
      </w:r>
    </w:p>
    <w:p w14:paraId="29E73C4E" w14:textId="77777777" w:rsidR="00291670" w:rsidRDefault="00291670" w:rsidP="00291670">
      <w:pPr>
        <w:spacing w:after="120" w:line="276" w:lineRule="auto"/>
        <w:ind w:firstLine="709"/>
        <w:jc w:val="both"/>
        <w:rPr>
          <w:rFonts w:ascii="Verdana" w:hAnsi="Verdana" w:cs="Arial"/>
        </w:rPr>
      </w:pPr>
      <w:r>
        <w:rPr>
          <w:rFonts w:ascii="Verdana" w:hAnsi="Verdana" w:cs="Arial"/>
          <w:lang w:val="es-ES_tradnl"/>
        </w:rPr>
        <w:t xml:space="preserve">Expresado de otro modo, cuando el legislador haya establecido el contenido de un contrato, para tipificarlo y predicar, a partir de esta calificación, consecuencias jurídicas como la modalidad de selección aplicable, requisitos habilitantes o gravámenes tributarios, prevalece la caracterización establecida en la ley, en lugar de la definición convencional estipulada entre las partes. Sin embargo, esto no se opone, como se ha dicho, a que las entidades estatales y los particulares celebren contratos que mezclen elementos de distintas tipologías contractuales, como, por ejemplo, el suministro o la compraventa con la instalación, o el diseño con la construcción. En estos casos se perfeccionan contratos mixtos, denominados por la Sala de Consulta y Servicio Civil, “contratos atípicos con tipicidad social”, porque en ellos se “conjugan los </w:t>
      </w:r>
      <w:r>
        <w:rPr>
          <w:rFonts w:ascii="Verdana" w:hAnsi="Verdana" w:cs="Arial"/>
          <w:lang w:val="es-ES_tradnl"/>
        </w:rPr>
        <w:lastRenderedPageBreak/>
        <w:t>elementos de diversos contratos típicos en un solo contrato el cual tomará la denominación de contrato mixto”</w:t>
      </w:r>
      <w:r>
        <w:rPr>
          <w:vertAlign w:val="superscript"/>
        </w:rPr>
        <w:footnoteReference w:id="12"/>
      </w:r>
      <w:r>
        <w:rPr>
          <w:rFonts w:ascii="Verdana" w:hAnsi="Verdana" w:cs="Arial"/>
          <w:lang w:val="es-ES_tradnl"/>
        </w:rPr>
        <w:t>.</w:t>
      </w:r>
    </w:p>
    <w:p w14:paraId="2701561A" w14:textId="77777777" w:rsidR="00291670" w:rsidRDefault="00291670" w:rsidP="00291670">
      <w:pPr>
        <w:spacing w:after="120" w:line="276" w:lineRule="auto"/>
        <w:ind w:firstLine="709"/>
        <w:jc w:val="both"/>
        <w:rPr>
          <w:rFonts w:ascii="Verdana" w:hAnsi="Verdana" w:cs="Arial"/>
          <w:lang w:val="es-ES_tradnl"/>
        </w:rPr>
      </w:pPr>
      <w:r>
        <w:rPr>
          <w:rFonts w:ascii="Verdana" w:hAnsi="Verdana" w:cs="Arial"/>
          <w:lang w:val="es-ES_tradnl"/>
        </w:rPr>
        <w:t>Esta idea, de cualquier manera, no deja de generar interrogantes en el caso concreto. ¿Cómo se puede determinar en un caso concreto si el contrato es típico o mixto? Por ejemplo, para el supuesto de la instalación de equipos de aire acondicionado o mobiliario, ¿cómo se sabe si el contrato es o no uno de obra pública, teniendo en cuenta que el artículo 32, numeral 1, de la Ley 80 de 1993, dispone que la “instalación” de elementos sobre bienes inmuebles es constitutivo de esta tipología contractual? La Sala de Consulta y Servicio Civil del Consejo de Estado sugiere el siguiente criterio hermenéutico: “Ante la ausencia y vacío legislativo, para la Sala un criterio de interpretación que ayude a dilucidar esta situación será el de atender al carácter de la prestación principal. El objeto principal, a su vez, podría determinarse en función de cuál es la prestación que tenga el mayor de los valores estimados”</w:t>
      </w:r>
      <w:r>
        <w:rPr>
          <w:vertAlign w:val="superscript"/>
        </w:rPr>
        <w:footnoteReference w:id="13"/>
      </w:r>
      <w:r>
        <w:rPr>
          <w:rFonts w:ascii="Verdana" w:hAnsi="Verdana" w:cs="Arial"/>
          <w:lang w:val="es-ES_tradnl"/>
        </w:rPr>
        <w:t xml:space="preserve">. </w:t>
      </w:r>
    </w:p>
    <w:p w14:paraId="7950EE25" w14:textId="77777777" w:rsidR="00291670" w:rsidRDefault="00291670" w:rsidP="00291670">
      <w:pPr>
        <w:spacing w:after="120" w:line="276" w:lineRule="auto"/>
        <w:ind w:firstLine="708"/>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En similar sentido, de acuerdo con la jurisprudencia de la Sala de Casación Civil de la Corte Suprema de Justicia, el régimen contractual de los </w:t>
      </w:r>
      <w:r>
        <w:rPr>
          <w:rFonts w:ascii="Verdana" w:eastAsia="Calibri" w:hAnsi="Verdana" w:cs="Arial"/>
          <w:i/>
          <w:iCs/>
          <w:color w:val="000000" w:themeColor="text1"/>
          <w:lang w:val="es-ES_tradnl"/>
        </w:rPr>
        <w:t>contratos mixtos</w:t>
      </w:r>
      <w:r>
        <w:rPr>
          <w:rFonts w:ascii="Verdana" w:eastAsia="Calibri" w:hAnsi="Verdana" w:cs="Arial"/>
          <w:color w:val="000000" w:themeColor="text1"/>
          <w:lang w:val="es-ES_tradnl"/>
        </w:rPr>
        <w:t xml:space="preserve"> se ha determinado por el método de absorción. Conforme a este criterio, debe identificarse el objeto principal de la prestación para aplicar el régimen del contrato típico al que pertenece, es decir, las reglas que disciplinan el acuerdo en su conjunto se someten al contrato nominado del objeto principal. Por ello, “en el contrato mixto habría siempre un elemento prevalente que absorbe los elementos secundarios; esta circunstancia permitiría regular el contrato entero con las normas del contrato nominado correspondiente, el que estaría dotado de una fuerza de expansión respecto de las figuras contractuales que estén provistas de una función económica análoga”</w:t>
      </w:r>
      <w:r>
        <w:rPr>
          <w:vertAlign w:val="superscript"/>
        </w:rPr>
        <w:footnoteReference w:id="14"/>
      </w:r>
      <w:r>
        <w:rPr>
          <w:rFonts w:ascii="Verdana" w:eastAsia="Calibri" w:hAnsi="Verdana" w:cs="Arial"/>
          <w:color w:val="000000" w:themeColor="text1"/>
          <w:lang w:val="es-ES_tradnl"/>
        </w:rPr>
        <w:t xml:space="preserve">. </w:t>
      </w:r>
    </w:p>
    <w:p w14:paraId="30CD0551" w14:textId="77777777" w:rsidR="00291670" w:rsidRDefault="00291670" w:rsidP="00291670">
      <w:pPr>
        <w:spacing w:after="120" w:line="276" w:lineRule="auto"/>
        <w:ind w:firstLine="708"/>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lastRenderedPageBreak/>
        <w:t>La jurisprudencia citada también explica los métodos de analogía y combinación. El primero alude a que el contrato atípico se rige por las normas que disciplinan la figura contractual típica más parecida. El segundo, por su parte, considera que, si un contrato comprende prestaciones de diferentes tipologías, deben aplicarse las normas correspondientes a cada figura. Para la Corte Suprema de Justicia, los criterios de absorción y combinación se reducen a la analogía</w:t>
      </w:r>
      <w:r>
        <w:rPr>
          <w:vertAlign w:val="superscript"/>
        </w:rPr>
        <w:footnoteReference w:id="15"/>
      </w:r>
      <w:r>
        <w:rPr>
          <w:rFonts w:ascii="Verdana" w:eastAsia="Calibri" w:hAnsi="Verdana" w:cs="Arial"/>
          <w:color w:val="000000" w:themeColor="text1"/>
          <w:lang w:val="es-ES_tradnl"/>
        </w:rPr>
        <w:t>. En todo caso, la doctrina advierte que:</w:t>
      </w:r>
    </w:p>
    <w:p w14:paraId="4451C247" w14:textId="77777777" w:rsidR="00291670" w:rsidRDefault="00291670" w:rsidP="00291670">
      <w:pPr>
        <w:tabs>
          <w:tab w:val="left" w:pos="2208"/>
        </w:tabs>
        <w:spacing w:after="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ab/>
      </w:r>
    </w:p>
    <w:p w14:paraId="0F96ED12" w14:textId="77777777" w:rsidR="00291670" w:rsidRDefault="00291670" w:rsidP="00291670">
      <w:pPr>
        <w:spacing w:after="0" w:line="240" w:lineRule="auto"/>
        <w:ind w:left="709" w:right="709"/>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 “la afinidad con otros tipos no excluye una relevancia original y autónoma del contrato”. Por tanto, se hace necesario auscultar también el interés y la intención de las partes en el contrato atípico.</w:t>
      </w:r>
      <w:r>
        <w:rPr>
          <w:rFonts w:ascii="Verdana" w:hAnsi="Verdana" w:cs="Arial"/>
          <w:sz w:val="20"/>
          <w:szCs w:val="20"/>
        </w:rPr>
        <w:t xml:space="preserve"> </w:t>
      </w:r>
      <w:r>
        <w:rPr>
          <w:rFonts w:ascii="Verdana" w:eastAsia="Calibri" w:hAnsi="Verdana" w:cs="Arial"/>
          <w:color w:val="000000" w:themeColor="text1"/>
          <w:sz w:val="20"/>
          <w:szCs w:val="20"/>
        </w:rPr>
        <w:t>En últimas es la autonomía negocial la que da origen a los contratos innominados. La creación de un nuevo tipo contractual no es sino una adecuación progresiva del fenómeno de la autonomía negocial a los intereses específicos de los sujetos. La creación de un nuevo tipo contractual no es sino la adecuación progresiva del fenómeno de la autonomía negocial a los intereses específicos de los sujetos</w:t>
      </w:r>
      <w:r>
        <w:rPr>
          <w:vertAlign w:val="superscript"/>
        </w:rPr>
        <w:footnoteReference w:id="16"/>
      </w:r>
      <w:r>
        <w:rPr>
          <w:rFonts w:ascii="Verdana" w:eastAsia="Calibri" w:hAnsi="Verdana" w:cs="Arial"/>
          <w:color w:val="000000" w:themeColor="text1"/>
          <w:sz w:val="20"/>
          <w:szCs w:val="20"/>
        </w:rPr>
        <w:t>.</w:t>
      </w:r>
    </w:p>
    <w:p w14:paraId="2C1185C3" w14:textId="77777777" w:rsidR="00291670" w:rsidRDefault="00291670" w:rsidP="00291670">
      <w:pPr>
        <w:spacing w:after="0" w:line="240" w:lineRule="auto"/>
        <w:ind w:left="709" w:right="709"/>
        <w:jc w:val="both"/>
        <w:rPr>
          <w:rFonts w:ascii="Verdana" w:eastAsia="Calibri" w:hAnsi="Verdana" w:cs="Arial"/>
          <w:color w:val="000000" w:themeColor="text1"/>
          <w:sz w:val="20"/>
          <w:szCs w:val="20"/>
        </w:rPr>
      </w:pPr>
    </w:p>
    <w:p w14:paraId="3745427D" w14:textId="77777777" w:rsidR="00291670" w:rsidRDefault="00291670" w:rsidP="00291670">
      <w:pPr>
        <w:spacing w:after="120" w:line="276" w:lineRule="auto"/>
        <w:ind w:firstLine="709"/>
        <w:jc w:val="both"/>
        <w:rPr>
          <w:rFonts w:ascii="Verdana" w:hAnsi="Verdana" w:cs="Arial"/>
          <w:lang w:val="es-ES"/>
        </w:rPr>
      </w:pPr>
      <w:r>
        <w:rPr>
          <w:rFonts w:ascii="Verdana" w:hAnsi="Verdana" w:cs="Arial"/>
          <w:lang w:val="es-ES"/>
        </w:rPr>
        <w:t xml:space="preserve">Con fundamento en lo anterior, puede decirse que la obligación de instalar un bien mueble en un inmueble –convirtiendo a aquel en un inmueble por adhesión o por destinación– </w:t>
      </w:r>
      <w:r>
        <w:rPr>
          <w:rFonts w:ascii="Verdana" w:hAnsi="Verdana" w:cs="Arial"/>
          <w:i/>
          <w:lang w:val="es-ES"/>
        </w:rPr>
        <w:t>no</w:t>
      </w:r>
      <w:r>
        <w:rPr>
          <w:rFonts w:ascii="Verdana" w:hAnsi="Verdana" w:cs="Arial"/>
          <w:lang w:val="es-ES"/>
        </w:rPr>
        <w:t xml:space="preserve"> es privativa del contrato de obra pública, pues puede estar presente también en un contrato de suministro, de compraventa o en un contrato mixto (atípico). Lo que determinará cuál es la tipología contractual o la existencia del contrato mixto será la valoración de los siguientes elementos: i) la definición de cuál es la prestación principal del contrato, </w:t>
      </w:r>
      <w:proofErr w:type="spellStart"/>
      <w:r>
        <w:rPr>
          <w:rFonts w:ascii="Verdana" w:hAnsi="Verdana" w:cs="Arial"/>
          <w:lang w:val="es-ES"/>
        </w:rPr>
        <w:t>ii</w:t>
      </w:r>
      <w:proofErr w:type="spellEnd"/>
      <w:r>
        <w:rPr>
          <w:rFonts w:ascii="Verdana" w:hAnsi="Verdana" w:cs="Arial"/>
          <w:lang w:val="es-ES"/>
        </w:rPr>
        <w:t xml:space="preserve">) la finalidad de las partes y </w:t>
      </w:r>
      <w:proofErr w:type="spellStart"/>
      <w:r>
        <w:rPr>
          <w:rFonts w:ascii="Verdana" w:hAnsi="Verdana" w:cs="Arial"/>
          <w:lang w:val="es-ES"/>
        </w:rPr>
        <w:t>iii</w:t>
      </w:r>
      <w:proofErr w:type="spellEnd"/>
      <w:r>
        <w:rPr>
          <w:rFonts w:ascii="Verdana" w:hAnsi="Verdana" w:cs="Arial"/>
          <w:lang w:val="es-ES"/>
        </w:rPr>
        <w:t xml:space="preserve">) si se trata de prestaciones mixtas, “que las prestaciones correspondientes que pretendan fusionarse se encuentren </w:t>
      </w:r>
      <w:r>
        <w:rPr>
          <w:rFonts w:ascii="Verdana" w:hAnsi="Verdana" w:cs="Arial"/>
          <w:lang w:val="es-ES"/>
        </w:rPr>
        <w:lastRenderedPageBreak/>
        <w:t>directamente vinculadas entre sí, de tal manera que mantengan relaciones de complemento y que permitan predicar su tratamiento solo como una unidad funcional dirigida a la satisfacción de la necesidad de la entidad”</w:t>
      </w:r>
      <w:r>
        <w:rPr>
          <w:vertAlign w:val="superscript"/>
        </w:rPr>
        <w:footnoteReference w:id="17"/>
      </w:r>
      <w:r>
        <w:rPr>
          <w:rFonts w:ascii="Verdana" w:hAnsi="Verdana" w:cs="Arial"/>
          <w:lang w:val="es-ES"/>
        </w:rPr>
        <w:t>. Este es un análisis que, por tanto, debe realizarse en cada caso concreto, considerando los datos técnicos y económicos del objeto contractual.</w:t>
      </w:r>
    </w:p>
    <w:p w14:paraId="7714752C" w14:textId="77777777" w:rsidR="00291670" w:rsidRDefault="00291670" w:rsidP="00291670">
      <w:pPr>
        <w:spacing w:after="120" w:line="276" w:lineRule="auto"/>
        <w:ind w:firstLine="709"/>
        <w:jc w:val="both"/>
        <w:rPr>
          <w:rFonts w:ascii="Verdana" w:hAnsi="Verdana" w:cs="Arial"/>
          <w:lang w:eastAsia="es-ES_tradnl"/>
        </w:rPr>
      </w:pPr>
      <w:r>
        <w:rPr>
          <w:rFonts w:ascii="Verdana" w:hAnsi="Verdana" w:cs="Arial"/>
          <w:lang w:val="es-ES" w:eastAsia="es-ES_tradnl"/>
        </w:rPr>
        <w:t xml:space="preserve">En este contexto, </w:t>
      </w:r>
      <w:r>
        <w:rPr>
          <w:rFonts w:ascii="Verdana" w:hAnsi="Verdana" w:cs="Arial"/>
          <w:lang w:eastAsia="es-ES_tradnl"/>
        </w:rPr>
        <w:t xml:space="preserve">no es posible afirmar de manera categórica que el suministro e instalación de bienes mueble como los aires acondicionados en un inmueble deba clasificarse, en todos los casos, como un contrato de obra. Para establecer la naturaleza jurídica de este tipo de contratos, la entidad estatal debe analizar las circunstancias particulares de cada caso y considerar los criterios fijados que permitan identificar la prestación principal, la finalidad de las partes y la relación de conexidad de las prestaciones.  </w:t>
      </w:r>
    </w:p>
    <w:p w14:paraId="66E008ED" w14:textId="77777777" w:rsidR="00291670" w:rsidRDefault="00291670" w:rsidP="00291670">
      <w:pPr>
        <w:spacing w:after="120" w:line="276" w:lineRule="auto"/>
        <w:ind w:firstLine="709"/>
        <w:jc w:val="both"/>
        <w:rPr>
          <w:rFonts w:ascii="Verdana" w:hAnsi="Verdana" w:cs="Arial"/>
          <w:lang w:val="es-ES_tradnl"/>
        </w:rPr>
      </w:pPr>
      <w:r>
        <w:rPr>
          <w:rFonts w:ascii="Verdana" w:hAnsi="Verdana" w:cs="Arial"/>
          <w:lang w:eastAsia="es-ES_tradnl"/>
        </w:rPr>
        <w:t>Atendiendo a lo señalado por l</w:t>
      </w:r>
      <w:r>
        <w:rPr>
          <w:rFonts w:ascii="Verdana" w:hAnsi="Verdana" w:cs="Arial"/>
          <w:lang w:val="es-ES_tradnl"/>
        </w:rPr>
        <w:t>a Sala de Consulta y Servicio Civil del Consejo de Estado,</w:t>
      </w:r>
      <w:r>
        <w:rPr>
          <w:rFonts w:ascii="Verdana" w:eastAsia="Calibri" w:hAnsi="Verdana"/>
          <w:color w:val="000000" w:themeColor="text1"/>
        </w:rPr>
        <w:t xml:space="preserve"> adhiriéndose al método de absorción para efectos de integrar el régimen jurídico aplicable,</w:t>
      </w:r>
      <w:r>
        <w:rPr>
          <w:rFonts w:ascii="Verdana" w:hAnsi="Verdana" w:cs="Arial"/>
          <w:lang w:val="es-ES_tradnl"/>
        </w:rPr>
        <w:t xml:space="preserve"> se considera que en el caso referido es fundamental determinar la prestación principal para establecer dicho </w:t>
      </w:r>
      <w:r>
        <w:rPr>
          <w:rFonts w:ascii="Verdana" w:hAnsi="Verdana" w:cs="Arial"/>
          <w:lang w:eastAsia="es-ES_tradnl"/>
        </w:rPr>
        <w:t>régimen</w:t>
      </w:r>
      <w:r>
        <w:rPr>
          <w:rFonts w:ascii="Verdana" w:hAnsi="Verdana" w:cs="Arial"/>
          <w:lang w:val="es-ES_tradnl"/>
        </w:rPr>
        <w:t xml:space="preserve">, </w:t>
      </w:r>
      <w:r>
        <w:rPr>
          <w:rFonts w:ascii="Verdana" w:hAnsi="Verdana" w:cs="Arial"/>
          <w:lang w:eastAsia="es-ES_tradnl"/>
        </w:rPr>
        <w:t xml:space="preserve">teniendo en cuenta que la tipología contractual </w:t>
      </w:r>
      <w:r>
        <w:rPr>
          <w:rFonts w:ascii="Verdana" w:hAnsi="Verdana" w:cs="Arial"/>
          <w:lang w:val="es-ES" w:eastAsia="es-ES_tradnl"/>
        </w:rPr>
        <w:t xml:space="preserve">es importante para definir aspectos como la modalidad de selección que debe utilizar la entidad y los requisitos habilitantes o ponderables que deben incorporar en el pliego de condiciones para la selección objetiva de la mejor oferta. </w:t>
      </w:r>
    </w:p>
    <w:p w14:paraId="3BC35453" w14:textId="77777777" w:rsidR="00291670" w:rsidRDefault="00291670" w:rsidP="00291670">
      <w:pPr>
        <w:spacing w:after="120" w:line="276" w:lineRule="auto"/>
        <w:ind w:firstLine="709"/>
        <w:jc w:val="both"/>
        <w:rPr>
          <w:rFonts w:ascii="Verdana" w:hAnsi="Verdana" w:cs="Arial"/>
          <w:lang w:eastAsia="es-ES_tradnl"/>
        </w:rPr>
      </w:pPr>
      <w:r>
        <w:rPr>
          <w:rFonts w:ascii="Verdana" w:hAnsi="Verdana" w:cs="Arial"/>
          <w:lang w:eastAsia="es-ES_tradnl"/>
        </w:rPr>
        <w:t xml:space="preserve">Para tales efectos, la entidad estatal podría determinar </w:t>
      </w:r>
      <w:r>
        <w:rPr>
          <w:rFonts w:ascii="Verdana" w:eastAsia="Calibri" w:hAnsi="Verdana" w:cs="Arial"/>
          <w:color w:val="000000" w:themeColor="text1"/>
          <w:lang w:val="es-ES_tradnl"/>
        </w:rPr>
        <w:t>el régimen del contrato típico al que pertenece</w:t>
      </w:r>
      <w:r>
        <w:rPr>
          <w:rFonts w:ascii="Verdana" w:hAnsi="Verdana" w:cs="Arial"/>
          <w:lang w:eastAsia="es-ES_tradnl"/>
        </w:rPr>
        <w:t xml:space="preserve"> atendiendo a cuál de las obligaciones - suministro o instalación -, absorbe a la otra, bien sea por su relevancia funcional o por su peso económico. Así, para establecer si un contrato debe ser considerado de obra, la entidad debe verificar si la obligación predominante consiste en la ejecución de actividades materiales que intervengan el bien inmueble al que se incorporara el aire acondicionado. </w:t>
      </w:r>
    </w:p>
    <w:p w14:paraId="4F86C107" w14:textId="77777777" w:rsidR="00291670" w:rsidRDefault="00291670" w:rsidP="00291670">
      <w:pPr>
        <w:spacing w:after="120" w:line="276" w:lineRule="auto"/>
        <w:ind w:firstLine="709"/>
        <w:jc w:val="both"/>
        <w:rPr>
          <w:rFonts w:ascii="Verdana" w:hAnsi="Verdana" w:cs="Arial"/>
          <w:lang w:eastAsia="es-ES_tradnl"/>
        </w:rPr>
      </w:pPr>
      <w:r>
        <w:rPr>
          <w:rFonts w:ascii="Verdana" w:hAnsi="Verdana" w:cs="Arial"/>
          <w:lang w:eastAsia="es-ES_tradnl"/>
        </w:rPr>
        <w:t xml:space="preserve">En esta línea, uno de los criterios que podrían ser utilizados consiste en identificar el porcentaje del presupuesto destinado a las actividades de instalación e intervención del inmueble respecto del valor total del contrato. Otro criterio también está relacionado con la complejidad técnica y física de las labores de instalación. De esta manera, si por ejemplo, el valor de las actividades </w:t>
      </w:r>
      <w:r>
        <w:rPr>
          <w:rFonts w:ascii="Verdana" w:hAnsi="Verdana" w:cs="Arial"/>
          <w:lang w:eastAsia="es-ES_tradnl"/>
        </w:rPr>
        <w:lastRenderedPageBreak/>
        <w:t xml:space="preserve">de instalación supera significativamente, más del 50 % del presupuesto, o si dichas actividades constituyen la esencia del negocio jurídico, o confluyen ambos criterios, podría concluirse que se trata de un contrato de obra y no de un simple contrato de suministro. </w:t>
      </w:r>
    </w:p>
    <w:p w14:paraId="7FA81151" w14:textId="39BC7D7D" w:rsidR="00291670" w:rsidRDefault="00291670" w:rsidP="00291670">
      <w:pPr>
        <w:spacing w:after="120" w:line="276" w:lineRule="auto"/>
        <w:ind w:firstLine="709"/>
        <w:jc w:val="both"/>
        <w:rPr>
          <w:rFonts w:ascii="Verdana" w:hAnsi="Verdana" w:cs="Arial"/>
          <w:lang w:eastAsia="es-ES_tradnl"/>
        </w:rPr>
      </w:pPr>
      <w:r>
        <w:rPr>
          <w:rFonts w:ascii="Verdana" w:hAnsi="Verdana" w:cs="Arial"/>
          <w:lang w:eastAsia="es-ES_tradnl"/>
        </w:rPr>
        <w:t>En contraste, si las labores de instalación son secundarias o accesorias, en su valor económico o en su complejidad técnica, y el elemento central del negocio jurídico es la entrega de los bienes muebles, la naturaleza del contrato correspondería a la de suministro. Esto podría sucede</w:t>
      </w:r>
      <w:r w:rsidR="00F34245">
        <w:rPr>
          <w:rFonts w:ascii="Verdana" w:hAnsi="Verdana" w:cs="Arial"/>
          <w:lang w:eastAsia="es-ES_tradnl"/>
        </w:rPr>
        <w:t>r</w:t>
      </w:r>
      <w:r>
        <w:rPr>
          <w:rFonts w:ascii="Verdana" w:hAnsi="Verdana" w:cs="Arial"/>
          <w:lang w:eastAsia="es-ES_tradnl"/>
        </w:rPr>
        <w:t xml:space="preserve"> cuando la instalación se limita a ajustes menores, sin afectar la estructura o funcionamiento del inmueble.</w:t>
      </w:r>
    </w:p>
    <w:p w14:paraId="6DAD4037" w14:textId="77777777" w:rsidR="00291670" w:rsidRDefault="00291670" w:rsidP="00291670">
      <w:pPr>
        <w:spacing w:after="120" w:line="276" w:lineRule="auto"/>
        <w:ind w:firstLine="709"/>
        <w:jc w:val="both"/>
        <w:rPr>
          <w:rFonts w:ascii="Verdana" w:hAnsi="Verdana" w:cs="Arial"/>
          <w:lang w:eastAsia="es-ES_tradnl"/>
        </w:rPr>
      </w:pPr>
      <w:r>
        <w:rPr>
          <w:rFonts w:ascii="Verdana" w:hAnsi="Verdana" w:cs="Arial"/>
          <w:lang w:eastAsia="es-ES_tradnl"/>
        </w:rPr>
        <w:t>En este análisis, es de especial relevancia que la entidad estatal analice escenarios en los cuales, aunque el valor de los bienes objeto de suministro supere el de las actividades de instalación, el alcance de las obras necesarias para adecuar o intervenir el inmueble es tan significativo que la esencia del contrato deja de ser la provisión de los bienes y pasa a ser la ejecución de la obra misma. A modo de ilustración, si la instalación de equipos exige intervenciones intramurales que afecten paredes, redes eléctricas, sistemas hidráulicos o elementos estructurales del inmueble, podría sostenerse que la naturaleza del contrato es la de obra, ya que la actividad principal consiste en transformar y adecuar el inmueble para permitir el funcionamiento adecuado de los bienes instalados. En estos casos, el criterio determinante no es únicamente el componente presupuestal, sino la finalidad del contrato y el grado de intervención en el inmueble.</w:t>
      </w:r>
    </w:p>
    <w:p w14:paraId="2A857E7C" w14:textId="77777777" w:rsidR="00291670" w:rsidRDefault="00291670" w:rsidP="00291670">
      <w:pPr>
        <w:spacing w:after="120" w:line="276" w:lineRule="auto"/>
        <w:ind w:firstLine="709"/>
        <w:jc w:val="both"/>
        <w:rPr>
          <w:rFonts w:ascii="Verdana" w:hAnsi="Verdana" w:cs="Arial"/>
          <w:lang w:eastAsia="es-ES_tradnl"/>
        </w:rPr>
      </w:pPr>
      <w:r>
        <w:rPr>
          <w:rFonts w:ascii="Verdana" w:hAnsi="Verdana" w:cs="Arial"/>
          <w:lang w:eastAsia="es-ES_tradnl"/>
        </w:rPr>
        <w:t>En este contexto, a juicio de esta Agencia, es importante que la entidad realice una valoración integral de las actividades y obligaciones del contrato teniendo en cuenta los distintos criterios expuestos para para determinar el régimen contractual aplicable al contrato. En todo caso, la aplicación de los criterios para calificar el contrato no puede utilizarse con el fin de evitar las cargas tributarias que correspondan por ley, teniendo en cuenta que algunas tipologías contractuales generan obligaciones específicas en materia de impuestos u otros gravámenes. Es decir, la aplicación de estos criterios no puede ser alterada para evitar las cargas tributarias asociadas a un contrato de obra, presentándolo como un contrato de suministro cuando, en realidad, la prestación predominante evidencia que su verdadera naturaleza es la de un contrato de obra.</w:t>
      </w:r>
    </w:p>
    <w:p w14:paraId="5E52224D" w14:textId="77777777" w:rsidR="00291670" w:rsidRDefault="00291670" w:rsidP="00291670">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lastRenderedPageBreak/>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FFADA36" w14:textId="77777777" w:rsidR="00291670" w:rsidRDefault="00291670" w:rsidP="00291670">
      <w:pPr>
        <w:spacing w:after="12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5921539" w14:textId="77777777" w:rsidR="00291670" w:rsidRDefault="00291670" w:rsidP="00291670">
      <w:pPr>
        <w:widowControl w:val="0"/>
        <w:autoSpaceDE w:val="0"/>
        <w:autoSpaceDN w:val="0"/>
        <w:spacing w:after="0" w:line="276" w:lineRule="auto"/>
        <w:ind w:firstLine="709"/>
        <w:jc w:val="both"/>
        <w:rPr>
          <w:rFonts w:ascii="Verdana" w:eastAsia="Arial" w:hAnsi="Verdana" w:cs="Arial"/>
          <w:lang w:val="es-ES"/>
        </w:rPr>
      </w:pPr>
    </w:p>
    <w:p w14:paraId="7044E9BF" w14:textId="77777777" w:rsidR="00291670" w:rsidRDefault="00291670" w:rsidP="00291670">
      <w:pPr>
        <w:numPr>
          <w:ilvl w:val="0"/>
          <w:numId w:val="37"/>
        </w:num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Referencias normativas y jurisprudenciales:</w:t>
      </w:r>
    </w:p>
    <w:p w14:paraId="1EC82D83" w14:textId="77777777" w:rsidR="00291670" w:rsidRDefault="00291670" w:rsidP="00291670">
      <w:pPr>
        <w:widowControl w:val="0"/>
        <w:autoSpaceDE w:val="0"/>
        <w:autoSpaceDN w:val="0"/>
        <w:spacing w:after="0" w:line="276" w:lineRule="auto"/>
        <w:jc w:val="both"/>
        <w:rPr>
          <w:rFonts w:ascii="Verdana" w:hAnsi="Verdana" w:cs="Arial"/>
        </w:rPr>
      </w:pPr>
    </w:p>
    <w:tbl>
      <w:tblPr>
        <w:tblStyle w:val="Tablaconcuadrcula"/>
        <w:tblW w:w="864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291670" w14:paraId="52147D45" w14:textId="77777777">
        <w:trPr>
          <w:trHeight w:val="410"/>
          <w:jc w:val="center"/>
        </w:trPr>
        <w:tc>
          <w:tcPr>
            <w:tcW w:w="8647" w:type="dxa"/>
            <w:tcBorders>
              <w:top w:val="dotted" w:sz="4" w:space="0" w:color="auto"/>
              <w:left w:val="dotted" w:sz="4" w:space="0" w:color="auto"/>
              <w:bottom w:val="dotted" w:sz="4" w:space="0" w:color="auto"/>
              <w:right w:val="dotted" w:sz="4" w:space="0" w:color="auto"/>
            </w:tcBorders>
            <w:hideMark/>
          </w:tcPr>
          <w:p w14:paraId="0086CE70" w14:textId="77777777" w:rsidR="00291670" w:rsidRDefault="00291670" w:rsidP="00291670">
            <w:pPr>
              <w:numPr>
                <w:ilvl w:val="0"/>
                <w:numId w:val="38"/>
              </w:numPr>
              <w:spacing w:line="276" w:lineRule="auto"/>
              <w:ind w:left="360"/>
              <w:contextualSpacing/>
              <w:jc w:val="both"/>
              <w:rPr>
                <w:rFonts w:ascii="Verdana" w:hAnsi="Verdana" w:cs="Arial"/>
                <w:sz w:val="24"/>
                <w:lang w:val="es-ES"/>
              </w:rPr>
            </w:pPr>
            <w:r>
              <w:rPr>
                <w:rFonts w:ascii="Verdana" w:hAnsi="Verdana" w:cs="Arial"/>
                <w:lang w:val="es-ES"/>
              </w:rPr>
              <w:t>Ley 80 de 1993, artículos 2, 13, 32 y 40</w:t>
            </w:r>
          </w:p>
          <w:p w14:paraId="4EAA5BFA" w14:textId="77777777" w:rsidR="00291670" w:rsidRDefault="00291670" w:rsidP="00291670">
            <w:pPr>
              <w:numPr>
                <w:ilvl w:val="0"/>
                <w:numId w:val="38"/>
              </w:numPr>
              <w:spacing w:line="276" w:lineRule="auto"/>
              <w:ind w:left="360"/>
              <w:contextualSpacing/>
              <w:jc w:val="both"/>
              <w:rPr>
                <w:rFonts w:ascii="Verdana" w:hAnsi="Verdana" w:cs="Arial"/>
                <w:sz w:val="24"/>
                <w:lang w:val="es-ES"/>
              </w:rPr>
            </w:pPr>
            <w:r>
              <w:rPr>
                <w:rFonts w:ascii="Verdana" w:hAnsi="Verdana" w:cs="Arial"/>
                <w:lang w:val="es-ES"/>
              </w:rPr>
              <w:t>Código Civil: 656, 658 y 2053</w:t>
            </w:r>
          </w:p>
          <w:p w14:paraId="789775FC" w14:textId="77777777" w:rsidR="00291670" w:rsidRDefault="00291670" w:rsidP="00291670">
            <w:pPr>
              <w:numPr>
                <w:ilvl w:val="0"/>
                <w:numId w:val="38"/>
              </w:numPr>
              <w:spacing w:line="276" w:lineRule="auto"/>
              <w:ind w:left="360"/>
              <w:contextualSpacing/>
              <w:jc w:val="both"/>
              <w:rPr>
                <w:rFonts w:ascii="Verdana" w:hAnsi="Verdana" w:cs="Arial"/>
                <w:lang w:val="es-ES"/>
              </w:rPr>
            </w:pPr>
            <w:r>
              <w:rPr>
                <w:rFonts w:ascii="Verdana" w:hAnsi="Verdana" w:cs="Arial"/>
              </w:rPr>
              <w:t>Consejo de Estado. Sala de Consulta y Servicio Civil. Concepto del 5 de septiembre de 2018. Consejero Ponente: Edgar González López. Radicación interna: 2386.</w:t>
            </w:r>
          </w:p>
          <w:p w14:paraId="65964CFD" w14:textId="77777777" w:rsidR="00291670" w:rsidRDefault="00291670" w:rsidP="00291670">
            <w:pPr>
              <w:widowControl w:val="0"/>
              <w:numPr>
                <w:ilvl w:val="0"/>
                <w:numId w:val="39"/>
              </w:numPr>
              <w:autoSpaceDE w:val="0"/>
              <w:autoSpaceDN w:val="0"/>
              <w:spacing w:line="276" w:lineRule="auto"/>
              <w:ind w:left="318" w:hanging="284"/>
              <w:jc w:val="both"/>
              <w:rPr>
                <w:rFonts w:ascii="Verdana" w:hAnsi="Verdana" w:cs="Arial"/>
                <w:lang w:val="es-ES"/>
              </w:rPr>
            </w:pPr>
            <w:r>
              <w:rPr>
                <w:rFonts w:ascii="Verdana" w:hAnsi="Verdana" w:cs="Arial"/>
              </w:rPr>
              <w:t>CORTE SUPREMA DE JUSTICIA. Sala de Casación Civil. Sentencia del 5 de diciembre de 1956. M.P. Pablo Emilio Manotas</w:t>
            </w:r>
          </w:p>
        </w:tc>
      </w:tr>
    </w:tbl>
    <w:p w14:paraId="7716A777" w14:textId="77777777" w:rsidR="00291670" w:rsidRDefault="00291670" w:rsidP="00291670">
      <w:pPr>
        <w:widowControl w:val="0"/>
        <w:autoSpaceDE w:val="0"/>
        <w:autoSpaceDN w:val="0"/>
        <w:spacing w:after="0" w:line="276" w:lineRule="auto"/>
        <w:jc w:val="both"/>
        <w:rPr>
          <w:rFonts w:ascii="Verdana" w:hAnsi="Verdana" w:cs="Arial"/>
        </w:rPr>
      </w:pPr>
    </w:p>
    <w:p w14:paraId="3B23738C" w14:textId="77777777" w:rsidR="00291670" w:rsidRDefault="00291670" w:rsidP="00291670">
      <w:pPr>
        <w:numPr>
          <w:ilvl w:val="0"/>
          <w:numId w:val="37"/>
        </w:num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5A148A50" w14:textId="77777777" w:rsidR="00291670" w:rsidRDefault="00291670" w:rsidP="00291670">
      <w:pPr>
        <w:widowControl w:val="0"/>
        <w:autoSpaceDE w:val="0"/>
        <w:autoSpaceDN w:val="0"/>
        <w:spacing w:after="0" w:line="276" w:lineRule="auto"/>
        <w:jc w:val="both"/>
        <w:rPr>
          <w:rFonts w:ascii="Verdana" w:hAnsi="Verdana" w:cs="Arial"/>
        </w:rPr>
      </w:pPr>
    </w:p>
    <w:p w14:paraId="610B11B3" w14:textId="77777777" w:rsidR="00291670" w:rsidRDefault="00291670" w:rsidP="00291670">
      <w:pPr>
        <w:widowControl w:val="0"/>
        <w:autoSpaceDE w:val="0"/>
        <w:autoSpaceDN w:val="0"/>
        <w:spacing w:after="0" w:line="276" w:lineRule="auto"/>
        <w:jc w:val="both"/>
        <w:rPr>
          <w:rFonts w:ascii="Verdana" w:hAnsi="Verdana" w:cs="Arial"/>
          <w:shd w:val="clear" w:color="auto" w:fill="FFFFFF"/>
        </w:rPr>
      </w:pPr>
      <w:r>
        <w:rPr>
          <w:rFonts w:ascii="Verdana" w:hAnsi="Verdana" w:cs="Arial"/>
          <w:color w:val="000000" w:themeColor="text1"/>
          <w:shd w:val="clear" w:color="auto" w:fill="FFFFFF"/>
          <w:lang w:val="es-ES"/>
        </w:rPr>
        <w:t>La Agencia Nacional de Contratación Pública – Colombia Compra Eficiente se ha referido</w:t>
      </w:r>
      <w:r>
        <w:rPr>
          <w:rFonts w:ascii="Verdana" w:eastAsia="Calibri" w:hAnsi="Verdana" w:cs="Arial"/>
          <w:lang w:val="es-ES" w:eastAsia="es-ES_tradnl"/>
        </w:rPr>
        <w:t xml:space="preserve"> a los contratos Mixtos y objetos sociales con prestaciones mixtas en los conceptos </w:t>
      </w:r>
      <w:r>
        <w:rPr>
          <w:rFonts w:ascii="Verdana" w:eastAsia="Calibri" w:hAnsi="Verdana"/>
          <w:bCs/>
          <w:lang w:val="es-ES"/>
        </w:rPr>
        <w:t xml:space="preserve">con radicados 2201913000009572 y 2201913000009588 del 24 de </w:t>
      </w:r>
      <w:r>
        <w:rPr>
          <w:rFonts w:ascii="Verdana" w:eastAsia="Calibri" w:hAnsi="Verdana"/>
          <w:bCs/>
          <w:lang w:val="es-ES"/>
        </w:rPr>
        <w:lastRenderedPageBreak/>
        <w:t xml:space="preserve">diciembre de 2019, C-694 del 29 de diciembre de 2021, C-440 del 2 de septiembre de 2021, </w:t>
      </w:r>
      <w:r>
        <w:rPr>
          <w:rFonts w:ascii="Verdana" w:hAnsi="Verdana"/>
          <w:lang w:val="es-ES"/>
        </w:rPr>
        <w:t>C–933 de 2022</w:t>
      </w:r>
      <w:r>
        <w:rPr>
          <w:rFonts w:ascii="Verdana" w:hAnsi="Verdana" w:cs="Arial"/>
          <w:color w:val="000000" w:themeColor="text1"/>
          <w:shd w:val="clear" w:color="auto" w:fill="FFFFFF"/>
          <w:lang w:val="es-ES"/>
        </w:rPr>
        <w:t>, C</w:t>
      </w:r>
      <w:r>
        <w:rPr>
          <w:rFonts w:ascii="Verdana" w:hAnsi="Verdana"/>
          <w:lang w:val="es-ES"/>
        </w:rPr>
        <w:t>–</w:t>
      </w:r>
      <w:r>
        <w:rPr>
          <w:rFonts w:ascii="Verdana" w:hAnsi="Verdana" w:cs="Arial"/>
          <w:color w:val="000000" w:themeColor="text1"/>
          <w:shd w:val="clear" w:color="auto" w:fill="FFFFFF"/>
          <w:lang w:val="es-ES"/>
        </w:rPr>
        <w:t>484 del 09 de octubre de 2024 y C-864 del 11 de agosto de 2025.</w:t>
      </w:r>
      <w:r>
        <w:rPr>
          <w:rFonts w:ascii="Verdana" w:hAnsi="Verdana" w:cs="Arial"/>
          <w:shd w:val="clear" w:color="auto" w:fill="FFFFFF"/>
          <w:lang w:val="es-ES"/>
        </w:rPr>
        <w:t xml:space="preserve"> </w:t>
      </w:r>
      <w:r>
        <w:rPr>
          <w:rFonts w:ascii="Verdana" w:hAnsi="Verdana" w:cs="Arial"/>
          <w:shd w:val="clear" w:color="auto" w:fill="FFFFFF"/>
        </w:rPr>
        <w:t>Es</w:t>
      </w:r>
      <w:r>
        <w:rPr>
          <w:rFonts w:ascii="Verdana" w:hAnsi="Verdana"/>
        </w:rPr>
        <w:t>te y otros conceptos se encuentran disponibles para consulta en el Sistema de relatoría de la Agencia, al cual se puede acceder a través del siguiente enlace:</w:t>
      </w:r>
      <w:r>
        <w:rPr>
          <w:rFonts w:ascii="Verdana" w:hAnsi="Verdana" w:cs="Arial"/>
          <w:shd w:val="clear" w:color="auto" w:fill="FFFFFF"/>
        </w:rPr>
        <w:t xml:space="preserve"> </w:t>
      </w:r>
      <w:hyperlink r:id="rId13" w:history="1">
        <w:r>
          <w:rPr>
            <w:rStyle w:val="Hipervnculo"/>
            <w:rFonts w:ascii="Verdana" w:hAnsi="Verdana" w:cs="Arial"/>
            <w:shd w:val="clear" w:color="auto" w:fill="FFFFFF"/>
          </w:rPr>
          <w:t>https://relatoria.colombiacompra.gov.co/</w:t>
        </w:r>
      </w:hyperlink>
      <w:r>
        <w:rPr>
          <w:rFonts w:ascii="Verdana" w:hAnsi="Verdana" w:cs="Arial"/>
          <w:shd w:val="clear" w:color="auto" w:fill="FFFFFF"/>
        </w:rPr>
        <w:t xml:space="preserve"> </w:t>
      </w:r>
    </w:p>
    <w:p w14:paraId="00B2FCCA" w14:textId="77777777" w:rsidR="00291670" w:rsidRDefault="00291670" w:rsidP="00291670">
      <w:pPr>
        <w:widowControl w:val="0"/>
        <w:autoSpaceDE w:val="0"/>
        <w:autoSpaceDN w:val="0"/>
        <w:spacing w:after="0" w:line="276" w:lineRule="auto"/>
        <w:jc w:val="both"/>
        <w:rPr>
          <w:rFonts w:ascii="Verdana" w:hAnsi="Verdana" w:cs="Arial"/>
          <w:shd w:val="clear" w:color="auto" w:fill="FFFFFF"/>
        </w:rPr>
      </w:pPr>
    </w:p>
    <w:p w14:paraId="6D986F0D" w14:textId="77777777" w:rsidR="00291670" w:rsidRDefault="00291670" w:rsidP="00291670">
      <w:pPr>
        <w:shd w:val="clear" w:color="auto" w:fill="FFFFFF"/>
        <w:spacing w:after="0" w:line="276" w:lineRule="auto"/>
        <w:jc w:val="both"/>
        <w:rPr>
          <w:rFonts w:ascii="Verdana" w:hAnsi="Verdana" w:cs="Times New Roman"/>
          <w:color w:val="467886"/>
          <w:u w:val="single"/>
        </w:rPr>
      </w:pPr>
      <w:r>
        <w:rPr>
          <w:rFonts w:ascii="Verdana" w:eastAsia="Calibri" w:hAnsi="Verdana" w:cs="Times New Roman"/>
          <w:color w:val="000000"/>
        </w:rPr>
        <w:t>Te informamos que ya se encuentra disponible la </w:t>
      </w:r>
      <w:r>
        <w:rPr>
          <w:rFonts w:ascii="Verdana" w:eastAsia="Calibri" w:hAnsi="Verdana" w:cs="Times New Roman"/>
          <w:b/>
          <w:bCs/>
          <w:color w:val="000000"/>
        </w:rPr>
        <w:t>Guía de lineamientos de transparencia y selección objetiva para el departamento de La Guajira – Objetivo sexto constitucional de la Sentencia T-302 del 2017. </w:t>
      </w:r>
      <w:r>
        <w:rPr>
          <w:rFonts w:ascii="Verdana" w:eastAsia="Calibri" w:hAnsi="Verdana" w:cs="Times New Roman"/>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Pr>
          <w:rFonts w:ascii="Verdana" w:eastAsia="Calibri" w:hAnsi="Verdana" w:cs="Times New Roman"/>
          <w:color w:val="000000"/>
        </w:rPr>
        <w:t>Wayúu</w:t>
      </w:r>
      <w:proofErr w:type="spellEnd"/>
      <w:r>
        <w:rPr>
          <w:rFonts w:ascii="Verdana" w:eastAsia="Calibri" w:hAnsi="Verdana" w:cs="Times New Roman"/>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Pr>
            <w:rStyle w:val="Hipervnculo"/>
            <w:rFonts w:ascii="Verdana" w:eastAsia="Calibri" w:hAnsi="Verdana" w:cs="Times New Roman"/>
          </w:rPr>
          <w:t>Guía de lineamientos de transparencia y selección objetiva para el departamento de La Guajira – Objetivo sexto constitucional de la Sentencia T-302 del 2017</w:t>
        </w:r>
      </w:hyperlink>
      <w:r>
        <w:rPr>
          <w:rFonts w:ascii="Verdana" w:eastAsia="Calibri" w:hAnsi="Verdana" w:cs="Times New Roman"/>
          <w:color w:val="000000"/>
          <w:u w:val="single"/>
        </w:rPr>
        <w:t>.</w:t>
      </w:r>
    </w:p>
    <w:p w14:paraId="0BE9433B" w14:textId="77777777" w:rsidR="00291670" w:rsidRDefault="00291670" w:rsidP="00291670">
      <w:pPr>
        <w:widowControl w:val="0"/>
        <w:autoSpaceDE w:val="0"/>
        <w:autoSpaceDN w:val="0"/>
        <w:spacing w:after="0" w:line="276" w:lineRule="auto"/>
        <w:jc w:val="both"/>
        <w:rPr>
          <w:rFonts w:ascii="Verdana" w:eastAsia="Calibri" w:hAnsi="Verdana" w:cs="Arial"/>
          <w:color w:val="000000" w:themeColor="text1"/>
          <w:shd w:val="clear" w:color="auto" w:fill="FFFFFF"/>
          <w:lang w:val="es-ES_tradnl"/>
        </w:rPr>
      </w:pPr>
      <w:r>
        <w:rPr>
          <w:rFonts w:ascii="Verdana" w:eastAsia="Calibri" w:hAnsi="Verdana" w:cs="Arial"/>
          <w:color w:val="000000" w:themeColor="text1"/>
          <w:shd w:val="clear" w:color="auto" w:fill="FFFFFF"/>
          <w:lang w:val="es-ES_tradnl"/>
        </w:rPr>
        <w:t xml:space="preserve"> </w:t>
      </w:r>
    </w:p>
    <w:p w14:paraId="0EC4F70B" w14:textId="77777777" w:rsidR="00291670" w:rsidRDefault="00291670" w:rsidP="00291670">
      <w:pPr>
        <w:spacing w:after="0" w:line="254" w:lineRule="auto"/>
        <w:jc w:val="both"/>
        <w:rPr>
          <w:rFonts w:ascii="Verdana" w:eastAsia="Calibri" w:hAnsi="Verdana"/>
        </w:rPr>
      </w:pPr>
      <w:r>
        <w:rPr>
          <w:rFonts w:ascii="Verdana" w:eastAsia="Calibri" w:hAnsi="Verdana" w:cs="Times New Roman"/>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54614D9" w14:textId="77777777" w:rsidR="00291670" w:rsidRDefault="00291670" w:rsidP="00291670">
      <w:pPr>
        <w:spacing w:after="0" w:line="254" w:lineRule="auto"/>
        <w:jc w:val="both"/>
        <w:rPr>
          <w:rFonts w:ascii="Verdana" w:eastAsia="Calibri" w:hAnsi="Verdana" w:cs="Times New Roman"/>
        </w:rPr>
      </w:pPr>
    </w:p>
    <w:p w14:paraId="5C9A96FB" w14:textId="77777777" w:rsidR="00291670" w:rsidRDefault="00291670" w:rsidP="00291670">
      <w:pPr>
        <w:numPr>
          <w:ilvl w:val="0"/>
          <w:numId w:val="40"/>
        </w:numPr>
        <w:spacing w:after="0" w:line="240" w:lineRule="auto"/>
        <w:contextualSpacing/>
        <w:jc w:val="both"/>
        <w:rPr>
          <w:rFonts w:ascii="Verdana" w:eastAsia="Verdana" w:hAnsi="Verdana" w:cs="Verdana"/>
          <w:color w:val="4472C4" w:themeColor="accent1"/>
          <w:u w:val="single"/>
          <w:lang w:val="es-MX"/>
        </w:rPr>
      </w:pPr>
      <w:r>
        <w:rPr>
          <w:rFonts w:ascii="Verdana" w:eastAsia="Verdana" w:hAnsi="Verdana" w:cs="Verdana"/>
          <w:lang w:val="es-MX"/>
        </w:rPr>
        <w:t xml:space="preserve">Línea nacional gratuita o servicio a la ciudadanía (Mesa de servicio): </w:t>
      </w:r>
      <w:r>
        <w:rPr>
          <w:rFonts w:ascii="Verdana" w:eastAsia="Calibri" w:hAnsi="Verdana" w:cs="Times New Roman"/>
          <w:color w:val="0000FF"/>
          <w:u w:val="single"/>
          <w:lang w:val="es-ES"/>
        </w:rPr>
        <w:t>01800 0520808</w:t>
      </w:r>
    </w:p>
    <w:p w14:paraId="319F0655" w14:textId="77777777" w:rsidR="00291670" w:rsidRDefault="00291670" w:rsidP="00291670">
      <w:pPr>
        <w:numPr>
          <w:ilvl w:val="0"/>
          <w:numId w:val="40"/>
        </w:numPr>
        <w:spacing w:after="0" w:line="254" w:lineRule="auto"/>
        <w:contextualSpacing/>
        <w:rPr>
          <w:rFonts w:ascii="Verdana" w:eastAsia="Verdana" w:hAnsi="Verdana" w:cs="Verdana"/>
          <w:color w:val="4472C4" w:themeColor="accent1"/>
          <w:u w:val="single"/>
          <w:lang w:val="es-MX"/>
        </w:rPr>
      </w:pPr>
      <w:r>
        <w:rPr>
          <w:rFonts w:ascii="Verdana" w:eastAsia="Verdana" w:hAnsi="Verdana" w:cs="Verdana"/>
          <w:lang w:val="es-MX"/>
        </w:rPr>
        <w:t>Línea en Bogotá (Mesa de servicio</w:t>
      </w:r>
      <w:proofErr w:type="gramStart"/>
      <w:r>
        <w:rPr>
          <w:rFonts w:ascii="Verdana" w:eastAsia="Verdana" w:hAnsi="Verdana" w:cs="Verdana"/>
          <w:lang w:val="es-MX"/>
        </w:rPr>
        <w:t>):</w:t>
      </w:r>
      <w:r>
        <w:rPr>
          <w:rFonts w:ascii="Verdana" w:eastAsia="Calibri" w:hAnsi="Verdana" w:cs="Times New Roman"/>
          <w:color w:val="0000FF"/>
          <w:u w:val="single"/>
          <w:lang w:val="es-ES"/>
        </w:rPr>
        <w:t>+</w:t>
      </w:r>
      <w:proofErr w:type="gramEnd"/>
      <w:r>
        <w:rPr>
          <w:rFonts w:ascii="Verdana" w:eastAsia="Calibri" w:hAnsi="Verdana" w:cs="Times New Roman"/>
          <w:color w:val="0000FF"/>
          <w:u w:val="single"/>
          <w:lang w:val="es-ES"/>
        </w:rPr>
        <w:t>57 601 7456788</w:t>
      </w:r>
    </w:p>
    <w:p w14:paraId="3CC2BAFA" w14:textId="77777777" w:rsidR="00291670" w:rsidRDefault="00291670" w:rsidP="00291670">
      <w:pPr>
        <w:numPr>
          <w:ilvl w:val="0"/>
          <w:numId w:val="40"/>
        </w:numPr>
        <w:spacing w:after="0" w:line="254" w:lineRule="auto"/>
        <w:contextualSpacing/>
        <w:rPr>
          <w:rFonts w:ascii="Verdana" w:eastAsia="Verdana" w:hAnsi="Verdana" w:cs="Verdana"/>
          <w:color w:val="0000FF"/>
          <w:u w:val="single"/>
          <w:lang w:val="es-MX"/>
        </w:rPr>
      </w:pPr>
      <w:r>
        <w:rPr>
          <w:rFonts w:ascii="Verdana" w:eastAsia="Verdana" w:hAnsi="Verdana" w:cs="Verdana"/>
          <w:lang w:val="es-MX"/>
        </w:rPr>
        <w:t xml:space="preserve">Correo de radicación de correspondencia: </w:t>
      </w:r>
      <w:hyperlink r:id="rId15" w:history="1">
        <w:r>
          <w:rPr>
            <w:rStyle w:val="Hipervnculo"/>
            <w:rFonts w:ascii="Verdana" w:eastAsia="Verdana" w:hAnsi="Verdana" w:cs="Verdana"/>
            <w:lang w:val="es-MX"/>
          </w:rPr>
          <w:t>ventanilladeradicacion@colombiacompra.gov.co</w:t>
        </w:r>
      </w:hyperlink>
    </w:p>
    <w:p w14:paraId="158BE955" w14:textId="77777777" w:rsidR="00291670" w:rsidRDefault="00291670" w:rsidP="00291670">
      <w:pPr>
        <w:numPr>
          <w:ilvl w:val="0"/>
          <w:numId w:val="40"/>
        </w:numPr>
        <w:spacing w:after="0" w:line="254" w:lineRule="auto"/>
        <w:contextualSpacing/>
        <w:rPr>
          <w:rFonts w:ascii="Verdana" w:eastAsia="Verdana" w:hAnsi="Verdana" w:cs="Verdana"/>
          <w:color w:val="0000FF"/>
          <w:u w:val="single"/>
          <w:lang w:val="es-MX"/>
        </w:rPr>
      </w:pPr>
      <w:r>
        <w:rPr>
          <w:rFonts w:ascii="Verdana" w:eastAsia="Verdana" w:hAnsi="Verdana" w:cs="Verdana"/>
          <w:lang w:val="es-ES"/>
        </w:rPr>
        <w:t xml:space="preserve">Formulario web para PQRSD: </w:t>
      </w:r>
      <w:hyperlink r:id="rId16" w:history="1">
        <w:r>
          <w:rPr>
            <w:rStyle w:val="Hipervnculo"/>
            <w:rFonts w:ascii="Verdana" w:eastAsia="Verdana" w:hAnsi="Verdana" w:cs="Verdana"/>
            <w:lang w:val="es-MX"/>
          </w:rPr>
          <w:t>https://www.colombiacompra.gov.co/pqrsd/informacion-importante-antes-de-formular-una-pqrsd</w:t>
        </w:r>
      </w:hyperlink>
    </w:p>
    <w:p w14:paraId="3383138F" w14:textId="77777777" w:rsidR="00291670" w:rsidRDefault="00291670" w:rsidP="00291670">
      <w:pPr>
        <w:spacing w:after="0" w:line="240" w:lineRule="auto"/>
        <w:ind w:left="720"/>
        <w:jc w:val="both"/>
        <w:rPr>
          <w:rFonts w:ascii="Verdana" w:hAnsi="Verdana"/>
        </w:rPr>
      </w:pPr>
    </w:p>
    <w:p w14:paraId="469218D6" w14:textId="1D9541DB" w:rsidR="00291670" w:rsidRDefault="00291670" w:rsidP="00291670">
      <w:pPr>
        <w:spacing w:after="0" w:line="240" w:lineRule="auto"/>
        <w:rPr>
          <w:rFonts w:ascii="Verdana" w:eastAsia="Calibri" w:hAnsi="Verdana" w:cs="Times New Roman"/>
        </w:rPr>
      </w:pPr>
      <w:r>
        <w:rPr>
          <w:rFonts w:ascii="Verdana" w:eastAsia="Calibri" w:hAnsi="Verdana" w:cs="Times New Roman"/>
        </w:rPr>
        <w:t xml:space="preserve">Evalúa el servicio que ofrece la Agencia por el canal de atención de PQRSD en el siguiente </w:t>
      </w:r>
      <w:proofErr w:type="spellStart"/>
      <w:r>
        <w:rPr>
          <w:rFonts w:ascii="Verdana" w:eastAsia="Calibri" w:hAnsi="Verdana" w:cs="Times New Roman"/>
        </w:rPr>
        <w:t>enlace:</w:t>
      </w:r>
      <w:hyperlink r:id="rId17" w:tgtFrame="_blank" w:tooltip="https://forms.office.com/r/pphywvs2sz" w:history="1">
        <w:r>
          <w:rPr>
            <w:rStyle w:val="Hipervnculo"/>
            <w:rFonts w:ascii="Verdana" w:eastAsia="Calibri" w:hAnsi="Verdana" w:cs="Times New Roman"/>
          </w:rPr>
          <w:t>https</w:t>
        </w:r>
        <w:proofErr w:type="spellEnd"/>
        <w:r>
          <w:rPr>
            <w:rStyle w:val="Hipervnculo"/>
            <w:rFonts w:ascii="Verdana" w:eastAsia="Calibri" w:hAnsi="Verdana" w:cs="Times New Roman"/>
          </w:rPr>
          <w:t>://forms.office.com/r/pPHyWVs2SZ</w:t>
        </w:r>
      </w:hyperlink>
      <w:r>
        <w:rPr>
          <w:rFonts w:ascii="Verdana" w:eastAsia="Calibri" w:hAnsi="Verdana" w:cs="Times New Roman"/>
        </w:rPr>
        <w:t xml:space="preserve"> .¡Ayúdanos a mejorar porque el compromiso es de todos!</w:t>
      </w:r>
    </w:p>
    <w:p w14:paraId="6DCF92F2" w14:textId="77777777" w:rsidR="00291670" w:rsidRDefault="00291670" w:rsidP="00291670">
      <w:pPr>
        <w:spacing w:after="0" w:line="240" w:lineRule="auto"/>
        <w:rPr>
          <w:rFonts w:ascii="Verdana" w:eastAsia="Calibri" w:hAnsi="Verdana" w:cs="Times New Roman"/>
        </w:rPr>
      </w:pPr>
    </w:p>
    <w:p w14:paraId="4F453983" w14:textId="77777777" w:rsidR="00291670" w:rsidRDefault="00291670" w:rsidP="00291670">
      <w:pPr>
        <w:spacing w:after="0" w:line="240" w:lineRule="auto"/>
        <w:jc w:val="both"/>
        <w:rPr>
          <w:rFonts w:ascii="Verdana" w:eastAsia="Calibri" w:hAnsi="Verdana" w:cs="Times New Roman"/>
        </w:rPr>
      </w:pPr>
      <w:r>
        <w:rPr>
          <w:rFonts w:ascii="Verdana" w:eastAsia="Calibri" w:hAnsi="Verdana" w:cs="Times New Roman"/>
        </w:rPr>
        <w:lastRenderedPageBreak/>
        <w:t xml:space="preserve">Por último, lo invitamos a seguirnos en las redes sociales en las cuales se difunde información institucional: </w:t>
      </w:r>
    </w:p>
    <w:p w14:paraId="2DBC2A23" w14:textId="77777777" w:rsidR="00291670" w:rsidRDefault="00291670" w:rsidP="00291670">
      <w:pPr>
        <w:spacing w:after="0" w:line="240" w:lineRule="auto"/>
        <w:jc w:val="both"/>
        <w:rPr>
          <w:rFonts w:ascii="Verdana" w:eastAsia="Calibri" w:hAnsi="Verdana" w:cs="Times New Roman"/>
        </w:rPr>
      </w:pPr>
    </w:p>
    <w:p w14:paraId="26A9487F" w14:textId="77777777" w:rsidR="00291670" w:rsidRDefault="00291670" w:rsidP="00291670">
      <w:pPr>
        <w:spacing w:after="0" w:line="240" w:lineRule="auto"/>
        <w:jc w:val="both"/>
        <w:rPr>
          <w:rFonts w:ascii="Verdana" w:eastAsia="Calibri" w:hAnsi="Verdana" w:cs="Times New Roman"/>
        </w:rPr>
      </w:pPr>
      <w:r>
        <w:rPr>
          <w:rFonts w:ascii="Verdana" w:eastAsia="Calibri" w:hAnsi="Verdana" w:cs="Times New Roman"/>
        </w:rPr>
        <w:t xml:space="preserve">Twitter: </w:t>
      </w:r>
      <w:r>
        <w:rPr>
          <w:rFonts w:ascii="Verdana" w:eastAsia="Calibri" w:hAnsi="Verdana" w:cs="Times New Roman"/>
          <w:color w:val="0000FF"/>
          <w:u w:val="single"/>
        </w:rPr>
        <w:t>@colombiacompra</w:t>
      </w:r>
      <w:r>
        <w:rPr>
          <w:rFonts w:ascii="Verdana" w:eastAsia="Calibri" w:hAnsi="Verdana" w:cs="Times New Roman"/>
        </w:rPr>
        <w:t xml:space="preserve"> </w:t>
      </w:r>
    </w:p>
    <w:p w14:paraId="474F0A6D" w14:textId="77777777" w:rsidR="00291670" w:rsidRDefault="00291670" w:rsidP="00291670">
      <w:pPr>
        <w:spacing w:after="0" w:line="240" w:lineRule="auto"/>
        <w:jc w:val="both"/>
        <w:rPr>
          <w:rFonts w:ascii="Verdana" w:eastAsia="Calibri" w:hAnsi="Verdana" w:cs="Times New Roman"/>
        </w:rPr>
      </w:pPr>
      <w:r>
        <w:rPr>
          <w:rFonts w:ascii="Verdana" w:eastAsia="Calibri" w:hAnsi="Verdana" w:cs="Times New Roman"/>
        </w:rPr>
        <w:t xml:space="preserve">Facebook: </w:t>
      </w:r>
      <w:proofErr w:type="spellStart"/>
      <w:r>
        <w:rPr>
          <w:rFonts w:ascii="Verdana" w:eastAsia="Calibri" w:hAnsi="Verdana" w:cs="Times New Roman"/>
          <w:color w:val="0000FF"/>
          <w:u w:val="single"/>
        </w:rPr>
        <w:t>ColombiaCompraEficiente</w:t>
      </w:r>
      <w:proofErr w:type="spellEnd"/>
    </w:p>
    <w:p w14:paraId="3E4FCCB7" w14:textId="77777777" w:rsidR="00291670" w:rsidRDefault="00291670" w:rsidP="00291670">
      <w:pPr>
        <w:spacing w:after="0" w:line="240" w:lineRule="auto"/>
        <w:jc w:val="both"/>
        <w:rPr>
          <w:rFonts w:ascii="Verdana" w:eastAsia="Calibri" w:hAnsi="Verdana" w:cs="Times New Roman"/>
        </w:rPr>
      </w:pPr>
      <w:r>
        <w:rPr>
          <w:rFonts w:ascii="Verdana" w:eastAsia="Calibri" w:hAnsi="Verdana" w:cs="Times New Roman"/>
        </w:rPr>
        <w:t xml:space="preserve">LinkedIn: </w:t>
      </w:r>
      <w:r>
        <w:rPr>
          <w:rFonts w:ascii="Verdana" w:eastAsia="Calibri" w:hAnsi="Verdana" w:cs="Times New Roman"/>
          <w:color w:val="0000FF"/>
          <w:u w:val="single"/>
        </w:rPr>
        <w:t>Agencia Nacional de Contratación Pública - Colombia Compra Eficiente</w:t>
      </w:r>
      <w:r>
        <w:rPr>
          <w:rFonts w:ascii="Verdana" w:eastAsia="Calibri" w:hAnsi="Verdana" w:cs="Times New Roman"/>
        </w:rPr>
        <w:t xml:space="preserve"> Instagram: </w:t>
      </w:r>
      <w:r>
        <w:rPr>
          <w:rFonts w:ascii="Verdana" w:eastAsia="Calibri" w:hAnsi="Verdana" w:cs="Times New Roman"/>
          <w:color w:val="0000FF"/>
          <w:u w:val="single"/>
        </w:rPr>
        <w:t>@colombiacompraeficiente_cce</w:t>
      </w:r>
    </w:p>
    <w:p w14:paraId="166D6F82" w14:textId="77777777" w:rsidR="00291670" w:rsidRDefault="00291670" w:rsidP="00291670">
      <w:pPr>
        <w:widowControl w:val="0"/>
        <w:autoSpaceDE w:val="0"/>
        <w:autoSpaceDN w:val="0"/>
        <w:spacing w:after="120" w:line="276" w:lineRule="auto"/>
        <w:jc w:val="both"/>
        <w:rPr>
          <w:rFonts w:ascii="Verdana" w:eastAsia="Calibri" w:hAnsi="Verdana" w:cs="Arial"/>
          <w:color w:val="FF0000"/>
          <w:shd w:val="clear" w:color="auto" w:fill="FFFFFF"/>
          <w:lang w:val="es-ES_tradnl"/>
        </w:rPr>
      </w:pPr>
      <w:r>
        <w:rPr>
          <w:rFonts w:ascii="Verdana" w:eastAsia="Calibri" w:hAnsi="Verdana" w:cs="Arial"/>
          <w:color w:val="FF0000"/>
          <w:shd w:val="clear" w:color="auto" w:fill="FFFFFF"/>
          <w:lang w:val="es-ES_tradnl"/>
        </w:rPr>
        <w:t xml:space="preserve">        </w:t>
      </w:r>
    </w:p>
    <w:p w14:paraId="7F5B9EB2" w14:textId="77777777" w:rsidR="00291670" w:rsidRDefault="00291670" w:rsidP="00291670">
      <w:pPr>
        <w:widowControl w:val="0"/>
        <w:autoSpaceDE w:val="0"/>
        <w:autoSpaceDN w:val="0"/>
        <w:spacing w:after="0" w:line="276" w:lineRule="auto"/>
        <w:jc w:val="both"/>
        <w:rPr>
          <w:rFonts w:ascii="Verdana" w:eastAsia="Calibri" w:hAnsi="Verdana" w:cs="Arial"/>
          <w:lang w:val="es-ES_tradnl"/>
        </w:rPr>
      </w:pPr>
      <w:r>
        <w:rPr>
          <w:rFonts w:ascii="Verdana" w:eastAsia="Calibri"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78E41603" w14:textId="77777777" w:rsidR="00291670" w:rsidRDefault="00291670" w:rsidP="00291670">
      <w:pPr>
        <w:widowControl w:val="0"/>
        <w:autoSpaceDE w:val="0"/>
        <w:autoSpaceDN w:val="0"/>
        <w:spacing w:after="0" w:line="276" w:lineRule="auto"/>
        <w:jc w:val="both"/>
        <w:rPr>
          <w:rFonts w:ascii="Verdana" w:eastAsia="Calibri" w:hAnsi="Verdana" w:cs="Arial"/>
          <w:lang w:val="es-ES_tradnl"/>
        </w:rPr>
      </w:pPr>
    </w:p>
    <w:p w14:paraId="612D5AF6" w14:textId="77777777" w:rsidR="00291670" w:rsidRDefault="00291670" w:rsidP="00291670">
      <w:pPr>
        <w:spacing w:after="0" w:line="240" w:lineRule="auto"/>
        <w:rPr>
          <w:rFonts w:ascii="Verdana" w:eastAsia="Calibri" w:hAnsi="Verdana" w:cs="Arial"/>
          <w:lang w:val="es-ES_tradnl" w:eastAsia="es-CO"/>
        </w:rPr>
      </w:pPr>
      <w:r>
        <w:rPr>
          <w:rFonts w:ascii="Verdana" w:eastAsia="Times New Roman" w:hAnsi="Verdana" w:cs="Arial"/>
          <w:lang w:val="es-ES_tradnl" w:eastAsia="es-CO"/>
        </w:rPr>
        <w:t>Atentamente,</w:t>
      </w:r>
      <w:r>
        <w:rPr>
          <w:rFonts w:ascii="Verdana" w:eastAsia="Calibri" w:hAnsi="Verdana" w:cs="Arial"/>
          <w:lang w:val="es-ES_tradnl" w:eastAsia="es-CO"/>
        </w:rPr>
        <w:t xml:space="preserve"> </w:t>
      </w:r>
    </w:p>
    <w:p w14:paraId="24078289" w14:textId="2E7B9047" w:rsidR="00291670" w:rsidRDefault="0008076A" w:rsidP="00291670">
      <w:pPr>
        <w:spacing w:line="276" w:lineRule="auto"/>
        <w:jc w:val="center"/>
        <w:rPr>
          <w:rFonts w:ascii="Verdana" w:eastAsia="Calibri" w:hAnsi="Verdana" w:cs="Arial"/>
          <w:color w:val="000000"/>
          <w:lang w:val="es-ES_tradnl" w:eastAsia="es-CO"/>
        </w:rPr>
      </w:pPr>
      <w:r w:rsidRPr="002C3AD6">
        <w:rPr>
          <w:rFonts w:ascii="Century Gothic" w:hAnsi="Century Gothic"/>
          <w:noProof/>
        </w:rPr>
        <w:drawing>
          <wp:inline distT="0" distB="0" distL="0" distR="0" wp14:anchorId="555ACD7B" wp14:editId="1789D1C9">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318444"/>
                    </a:xfrm>
                    <a:prstGeom prst="rect">
                      <a:avLst/>
                    </a:prstGeom>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291670" w14:paraId="7F31E0AF" w14:textId="77777777">
        <w:trPr>
          <w:trHeight w:val="315"/>
        </w:trPr>
        <w:tc>
          <w:tcPr>
            <w:tcW w:w="893" w:type="dxa"/>
            <w:vAlign w:val="center"/>
            <w:hideMark/>
          </w:tcPr>
          <w:p w14:paraId="4F277C37" w14:textId="77777777" w:rsidR="00291670" w:rsidRDefault="00291670">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8D51788" w14:textId="77777777" w:rsidR="00291670" w:rsidRDefault="00291670">
            <w:pPr>
              <w:spacing w:after="255" w:line="254" w:lineRule="auto"/>
              <w:contextualSpacing/>
              <w:rPr>
                <w:rFonts w:ascii="Verdana" w:eastAsia="Calibri" w:hAnsi="Verdana" w:cs="Times New Roman"/>
                <w:sz w:val="16"/>
                <w:szCs w:val="16"/>
              </w:rPr>
            </w:pPr>
            <w:r>
              <w:rPr>
                <w:rFonts w:ascii="Verdana" w:eastAsia="Calibri" w:hAnsi="Verdana" w:cs="Times New Roman"/>
                <w:sz w:val="16"/>
                <w:szCs w:val="16"/>
              </w:rPr>
              <w:t>Tatiana Baquero Iguarán</w:t>
            </w:r>
          </w:p>
          <w:p w14:paraId="61F4962B" w14:textId="77777777" w:rsidR="00291670" w:rsidRDefault="00291670">
            <w:pPr>
              <w:spacing w:after="255" w:line="254" w:lineRule="auto"/>
              <w:contextualSpacing/>
              <w:rPr>
                <w:rFonts w:ascii="Verdana" w:hAnsi="Verdana"/>
                <w:sz w:val="16"/>
                <w:szCs w:val="16"/>
              </w:rPr>
            </w:pPr>
            <w:r>
              <w:rPr>
                <w:rFonts w:ascii="Verdana" w:eastAsia="Calibri" w:hAnsi="Verdana" w:cs="Times New Roman"/>
                <w:sz w:val="16"/>
                <w:szCs w:val="16"/>
              </w:rPr>
              <w:t>Contratista de la Subdirección de Gestión Contractual</w:t>
            </w:r>
          </w:p>
        </w:tc>
      </w:tr>
      <w:tr w:rsidR="00291670" w14:paraId="008D0E6D" w14:textId="77777777">
        <w:trPr>
          <w:trHeight w:val="330"/>
        </w:trPr>
        <w:tc>
          <w:tcPr>
            <w:tcW w:w="893" w:type="dxa"/>
            <w:vAlign w:val="center"/>
            <w:hideMark/>
          </w:tcPr>
          <w:p w14:paraId="37859D73" w14:textId="77777777" w:rsidR="00291670" w:rsidRDefault="00291670">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BF612A1" w14:textId="77777777" w:rsidR="00291670" w:rsidRDefault="00291670">
            <w:pPr>
              <w:spacing w:before="100" w:beforeAutospacing="1" w:after="100" w:afterAutospacing="1" w:line="254" w:lineRule="auto"/>
              <w:contextualSpacing/>
              <w:textAlignment w:val="baseline"/>
              <w:rPr>
                <w:rFonts w:ascii="Verdana" w:eastAsia="Times New Roman" w:hAnsi="Verdana"/>
                <w:sz w:val="16"/>
                <w:szCs w:val="16"/>
                <w:lang w:eastAsia="es-ES_tradnl"/>
              </w:rPr>
            </w:pPr>
            <w:r>
              <w:rPr>
                <w:rFonts w:ascii="Verdana" w:eastAsia="Times New Roman" w:hAnsi="Verdana"/>
                <w:sz w:val="16"/>
                <w:szCs w:val="16"/>
                <w:lang w:eastAsia="es-ES_tradnl"/>
              </w:rPr>
              <w:t>Alejandro Sarmiento Cantillo</w:t>
            </w:r>
          </w:p>
          <w:p w14:paraId="4A3579C3" w14:textId="77777777" w:rsidR="00291670" w:rsidRDefault="00291670">
            <w:pPr>
              <w:spacing w:after="255" w:line="254" w:lineRule="auto"/>
              <w:contextualSpacing/>
              <w:textAlignment w:val="baseline"/>
              <w:rPr>
                <w:rFonts w:ascii="Verdana" w:eastAsia="Times New Roman" w:hAnsi="Verdana" w:cs="Segoe UI"/>
                <w:sz w:val="16"/>
                <w:szCs w:val="16"/>
                <w:lang w:eastAsia="es-ES_tradnl"/>
              </w:rPr>
            </w:pPr>
            <w:r>
              <w:rPr>
                <w:rFonts w:ascii="Verdana" w:eastAsia="Times New Roman" w:hAnsi="Verdana"/>
                <w:sz w:val="16"/>
                <w:szCs w:val="16"/>
                <w:lang w:eastAsia="es-ES_tradnl"/>
              </w:rPr>
              <w:t>Gestor T1 ‒ 15 de la Subdirección de Gestión Contractual </w:t>
            </w:r>
          </w:p>
        </w:tc>
      </w:tr>
      <w:tr w:rsidR="00291670" w14:paraId="4492192D" w14:textId="77777777">
        <w:trPr>
          <w:trHeight w:val="300"/>
        </w:trPr>
        <w:tc>
          <w:tcPr>
            <w:tcW w:w="893" w:type="dxa"/>
            <w:vAlign w:val="center"/>
            <w:hideMark/>
          </w:tcPr>
          <w:p w14:paraId="3E6F243E" w14:textId="77777777" w:rsidR="00291670" w:rsidRDefault="00291670">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8CE44A7" w14:textId="77777777" w:rsidR="00291670" w:rsidRDefault="00291670">
            <w:pPr>
              <w:spacing w:after="255" w:line="254" w:lineRule="auto"/>
              <w:contextualSpacing/>
              <w:rPr>
                <w:rFonts w:ascii="Verdana" w:eastAsia="Calibri" w:hAnsi="Verdana"/>
                <w:sz w:val="16"/>
                <w:szCs w:val="16"/>
                <w:lang w:val="pt-BR" w:eastAsia="es-ES"/>
              </w:rPr>
            </w:pPr>
            <w:r>
              <w:rPr>
                <w:rFonts w:ascii="Verdana" w:eastAsia="Calibri" w:hAnsi="Verdana"/>
                <w:sz w:val="16"/>
                <w:szCs w:val="16"/>
                <w:lang w:val="pt-BR" w:eastAsia="es-ES"/>
              </w:rPr>
              <w:t xml:space="preserve">Carolina Quintero </w:t>
            </w:r>
            <w:proofErr w:type="spellStart"/>
            <w:r>
              <w:rPr>
                <w:rFonts w:ascii="Verdana" w:eastAsia="Calibri" w:hAnsi="Verdana"/>
                <w:sz w:val="16"/>
                <w:szCs w:val="16"/>
                <w:lang w:val="pt-BR" w:eastAsia="es-ES"/>
              </w:rPr>
              <w:t>Gacharná</w:t>
            </w:r>
            <w:proofErr w:type="spellEnd"/>
          </w:p>
          <w:p w14:paraId="2C2C8FB7" w14:textId="77777777" w:rsidR="00291670" w:rsidRDefault="00291670">
            <w:pPr>
              <w:spacing w:after="255" w:line="254" w:lineRule="auto"/>
              <w:contextualSpacing/>
              <w:rPr>
                <w:rFonts w:ascii="Verdana" w:eastAsia="Calibri" w:hAnsi="Verdana"/>
                <w:sz w:val="16"/>
                <w:szCs w:val="16"/>
                <w:lang w:val="pt-BR" w:eastAsia="es-ES"/>
              </w:rPr>
            </w:pPr>
            <w:r>
              <w:rPr>
                <w:rFonts w:ascii="Verdana" w:eastAsia="Calibri" w:hAnsi="Verdana"/>
                <w:sz w:val="16"/>
                <w:szCs w:val="16"/>
                <w:lang w:eastAsia="es-ES"/>
              </w:rPr>
              <w:t>Subdirectora</w:t>
            </w:r>
            <w:r>
              <w:rPr>
                <w:rFonts w:ascii="Verdana" w:eastAsia="Calibri" w:hAnsi="Verdana"/>
                <w:sz w:val="16"/>
                <w:szCs w:val="16"/>
                <w:lang w:val="pt-BR" w:eastAsia="es-ES"/>
              </w:rPr>
              <w:t xml:space="preserve"> de Gestión Contratual ANCP – CCE</w:t>
            </w:r>
          </w:p>
        </w:tc>
      </w:tr>
    </w:tbl>
    <w:p w14:paraId="33DCA7F1" w14:textId="77777777" w:rsidR="00291670" w:rsidRDefault="00291670" w:rsidP="00291670">
      <w:pPr>
        <w:spacing w:after="0" w:line="240" w:lineRule="auto"/>
        <w:rPr>
          <w:rFonts w:ascii="Verdana" w:eastAsia="Times New Roman" w:hAnsi="Verdana" w:cs="Arial"/>
          <w:sz w:val="24"/>
          <w:szCs w:val="24"/>
          <w:lang w:eastAsia="es-ES"/>
        </w:rPr>
      </w:pPr>
    </w:p>
    <w:p w14:paraId="3323A52A" w14:textId="77777777" w:rsidR="00291670" w:rsidRDefault="00291670" w:rsidP="00291670"/>
    <w:p w14:paraId="79840336" w14:textId="77777777" w:rsidR="00291670" w:rsidRDefault="00291670" w:rsidP="00291670">
      <w:pPr>
        <w:spacing w:after="0" w:line="240" w:lineRule="auto"/>
        <w:rPr>
          <w:rFonts w:ascii="Verdana" w:eastAsia="Calibri" w:hAnsi="Verdana" w:cs="Arial"/>
          <w:b/>
          <w:bCs/>
          <w:lang w:val="es-ES" w:eastAsia="es-ES"/>
        </w:rPr>
      </w:pPr>
    </w:p>
    <w:p w14:paraId="587C2F58" w14:textId="77777777" w:rsidR="00291670" w:rsidRDefault="00291670" w:rsidP="00291670"/>
    <w:bookmarkEnd w:id="0"/>
    <w:p w14:paraId="16161317" w14:textId="77777777" w:rsidR="00DA63DC" w:rsidRPr="00DA63DC" w:rsidRDefault="00DA63DC" w:rsidP="00DA63DC">
      <w:pPr>
        <w:jc w:val="both"/>
        <w:rPr>
          <w:rFonts w:ascii="Arial" w:eastAsia="Calibri" w:hAnsi="Arial" w:cs="Arial"/>
          <w:color w:val="000000" w:themeColor="text1"/>
          <w:sz w:val="20"/>
          <w:szCs w:val="20"/>
          <w:lang w:val="es-ES_tradnl"/>
        </w:rPr>
      </w:pPr>
    </w:p>
    <w:sectPr w:rsidR="00DA63DC" w:rsidRPr="00DA63DC" w:rsidSect="00C44B4C">
      <w:headerReference w:type="default" r:id="rId19"/>
      <w:footerReference w:type="default" r:id="rId20"/>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13BC9E" w14:textId="77777777" w:rsidR="00973C50" w:rsidRPr="009B7987" w:rsidRDefault="00973C50" w:rsidP="00B30448">
      <w:pPr>
        <w:spacing w:after="0" w:line="240" w:lineRule="auto"/>
      </w:pPr>
      <w:r w:rsidRPr="009B7987">
        <w:separator/>
      </w:r>
    </w:p>
  </w:endnote>
  <w:endnote w:type="continuationSeparator" w:id="0">
    <w:p w14:paraId="2C1D2EF0" w14:textId="77777777" w:rsidR="00973C50" w:rsidRPr="009B7987" w:rsidRDefault="00973C50" w:rsidP="00B30448">
      <w:pPr>
        <w:spacing w:after="0" w:line="240" w:lineRule="auto"/>
      </w:pPr>
      <w:r w:rsidRPr="009B7987">
        <w:continuationSeparator/>
      </w:r>
    </w:p>
  </w:endnote>
  <w:endnote w:type="continuationNotice" w:id="1">
    <w:p w14:paraId="3AD72768" w14:textId="77777777" w:rsidR="00973C50" w:rsidRPr="009B7987" w:rsidRDefault="00973C5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81CA54" w14:textId="77777777" w:rsidR="00973C50" w:rsidRPr="009B7987" w:rsidRDefault="00973C50" w:rsidP="00B30448">
      <w:pPr>
        <w:spacing w:after="0" w:line="240" w:lineRule="auto"/>
      </w:pPr>
      <w:r w:rsidRPr="009B7987">
        <w:separator/>
      </w:r>
    </w:p>
  </w:footnote>
  <w:footnote w:type="continuationSeparator" w:id="0">
    <w:p w14:paraId="59C32F9D" w14:textId="77777777" w:rsidR="00973C50" w:rsidRPr="009B7987" w:rsidRDefault="00973C50" w:rsidP="00B30448">
      <w:pPr>
        <w:spacing w:after="0" w:line="240" w:lineRule="auto"/>
      </w:pPr>
      <w:r w:rsidRPr="009B7987">
        <w:continuationSeparator/>
      </w:r>
    </w:p>
  </w:footnote>
  <w:footnote w:type="continuationNotice" w:id="1">
    <w:p w14:paraId="060202BC" w14:textId="77777777" w:rsidR="00973C50" w:rsidRPr="009B7987" w:rsidRDefault="00973C50">
      <w:pPr>
        <w:spacing w:after="0" w:line="240" w:lineRule="auto"/>
      </w:pPr>
    </w:p>
  </w:footnote>
  <w:footnote w:id="2">
    <w:p w14:paraId="2F311F35" w14:textId="77777777" w:rsidR="00291670" w:rsidRDefault="00291670" w:rsidP="00291670">
      <w:pPr>
        <w:pStyle w:val="Textonotapie"/>
        <w:ind w:firstLine="709"/>
        <w:jc w:val="both"/>
        <w:rPr>
          <w:rFonts w:ascii="Verdana" w:hAnsi="Verdana" w:cs="Arial"/>
          <w:color w:val="000000"/>
          <w:sz w:val="16"/>
          <w:szCs w:val="16"/>
        </w:rPr>
      </w:pPr>
      <w:r>
        <w:rPr>
          <w:rStyle w:val="Refdenotaalpie"/>
          <w:rFonts w:ascii="Verdana" w:hAnsi="Verdana" w:cs="Arial"/>
          <w:color w:val="000000"/>
          <w:sz w:val="16"/>
          <w:szCs w:val="16"/>
        </w:rPr>
        <w:footnoteRef/>
      </w:r>
      <w:r>
        <w:rPr>
          <w:rFonts w:ascii="Verdana" w:hAnsi="Verdana" w:cs="Arial"/>
          <w:color w:val="000000"/>
          <w:sz w:val="16"/>
          <w:szCs w:val="16"/>
        </w:rPr>
        <w:t xml:space="preserve"> ALESSANDRI RODRÍGUEZ, Arturo. De los contratos. Santiago de Chile: Editorial Jurídica EDIAR-CONOCSUR LTDA, 1988. p. 182. </w:t>
      </w:r>
    </w:p>
  </w:footnote>
  <w:footnote w:id="3">
    <w:p w14:paraId="0A86FEBC" w14:textId="77777777" w:rsidR="00291670" w:rsidRDefault="00291670" w:rsidP="00291670">
      <w:pPr>
        <w:pStyle w:val="Textonotapie"/>
        <w:ind w:firstLine="709"/>
        <w:jc w:val="both"/>
        <w:rPr>
          <w:rFonts w:ascii="Verdana" w:hAnsi="Verdana" w:cs="Arial"/>
          <w:color w:val="000000"/>
          <w:sz w:val="16"/>
          <w:szCs w:val="16"/>
        </w:rPr>
      </w:pPr>
      <w:r>
        <w:rPr>
          <w:rStyle w:val="Refdenotaalpie"/>
          <w:rFonts w:ascii="Verdana" w:hAnsi="Verdana" w:cs="Arial"/>
          <w:color w:val="000000"/>
          <w:sz w:val="16"/>
          <w:szCs w:val="16"/>
        </w:rPr>
        <w:footnoteRef/>
      </w:r>
      <w:r>
        <w:rPr>
          <w:rFonts w:ascii="Verdana" w:hAnsi="Verdana" w:cs="Arial"/>
          <w:color w:val="000000"/>
          <w:sz w:val="16"/>
          <w:szCs w:val="16"/>
        </w:rPr>
        <w:t xml:space="preserve"> OSPINA MENA, Jesús Marino. Régimen de la Contratación Estatal. Un salto a la contratación liquida. Bogotá: Dike, 2020. p. 168.</w:t>
      </w:r>
    </w:p>
  </w:footnote>
  <w:footnote w:id="4">
    <w:p w14:paraId="77E73AE6" w14:textId="77777777" w:rsidR="00291670" w:rsidRDefault="00291670" w:rsidP="00291670">
      <w:pPr>
        <w:pStyle w:val="Textonotapie"/>
        <w:ind w:firstLine="709"/>
        <w:jc w:val="both"/>
        <w:rPr>
          <w:rFonts w:ascii="Verdana" w:hAnsi="Verdana" w:cs="Arial"/>
          <w:color w:val="000000"/>
          <w:sz w:val="16"/>
          <w:szCs w:val="16"/>
        </w:rPr>
      </w:pPr>
      <w:r>
        <w:rPr>
          <w:rStyle w:val="Refdenotaalpie"/>
          <w:rFonts w:ascii="Verdana" w:hAnsi="Verdana" w:cs="Arial"/>
          <w:color w:val="000000"/>
          <w:sz w:val="16"/>
          <w:szCs w:val="16"/>
        </w:rPr>
        <w:footnoteRef/>
      </w:r>
      <w:r>
        <w:rPr>
          <w:rFonts w:ascii="Verdana" w:hAnsi="Verdana" w:cs="Arial"/>
          <w:color w:val="000000"/>
          <w:sz w:val="16"/>
          <w:szCs w:val="16"/>
        </w:rPr>
        <w:t xml:space="preserve"> CONSEJO DE ESTADO. Sala de Consulta y Servicio Civil. Concepto del 5 de septiembre de 2018. Rad. 2.386. C.P. Edgar González López.</w:t>
      </w:r>
    </w:p>
    <w:p w14:paraId="7CCB8A21" w14:textId="77777777" w:rsidR="00291670" w:rsidRDefault="00291670" w:rsidP="00291670">
      <w:pPr>
        <w:pStyle w:val="Textonotapie"/>
        <w:ind w:firstLine="709"/>
        <w:jc w:val="both"/>
        <w:rPr>
          <w:rFonts w:ascii="Verdana" w:hAnsi="Verdana" w:cs="Arial"/>
          <w:color w:val="000000"/>
          <w:sz w:val="16"/>
          <w:szCs w:val="16"/>
        </w:rPr>
      </w:pPr>
    </w:p>
  </w:footnote>
  <w:footnote w:id="5">
    <w:p w14:paraId="277F0881" w14:textId="77777777" w:rsidR="00291670" w:rsidRDefault="00291670" w:rsidP="00291670">
      <w:pPr>
        <w:pStyle w:val="Textonotapie"/>
        <w:ind w:firstLine="709"/>
        <w:jc w:val="both"/>
        <w:rPr>
          <w:rFonts w:ascii="Verdana" w:hAnsi="Verdana" w:cs="Arial"/>
          <w:color w:val="000000"/>
          <w:sz w:val="16"/>
          <w:szCs w:val="16"/>
        </w:rPr>
      </w:pPr>
      <w:r>
        <w:rPr>
          <w:rStyle w:val="Refdenotaalpie"/>
          <w:rFonts w:ascii="Verdana" w:hAnsi="Verdana" w:cs="Arial"/>
          <w:color w:val="000000"/>
          <w:sz w:val="16"/>
          <w:szCs w:val="16"/>
        </w:rPr>
        <w:footnoteRef/>
      </w:r>
      <w:r>
        <w:rPr>
          <w:rFonts w:ascii="Verdana" w:hAnsi="Verdana" w:cs="Arial"/>
          <w:color w:val="000000"/>
          <w:sz w:val="16"/>
          <w:szCs w:val="16"/>
        </w:rPr>
        <w:t xml:space="preserve"> </w:t>
      </w:r>
      <w:bookmarkStart w:id="8" w:name="_Hlk35341897"/>
      <w:r>
        <w:rPr>
          <w:rFonts w:ascii="Verdana" w:hAnsi="Verdana" w:cs="Arial"/>
          <w:color w:val="000000"/>
          <w:sz w:val="16"/>
          <w:szCs w:val="16"/>
        </w:rPr>
        <w:t>VELÁSQUEZ JARAMILLO, Luis Guillermo. Bienes. Duodécima edición. Bogotá: Temis, 2010. p. 22</w:t>
      </w:r>
      <w:bookmarkEnd w:id="8"/>
      <w:r>
        <w:rPr>
          <w:rFonts w:ascii="Verdana" w:hAnsi="Verdana" w:cs="Arial"/>
          <w:color w:val="000000"/>
          <w:sz w:val="16"/>
          <w:szCs w:val="16"/>
        </w:rPr>
        <w:t>.</w:t>
      </w:r>
    </w:p>
    <w:p w14:paraId="4F7601B9" w14:textId="77777777" w:rsidR="00291670" w:rsidRDefault="00291670" w:rsidP="00291670">
      <w:pPr>
        <w:pStyle w:val="Textonotapie"/>
        <w:ind w:firstLine="709"/>
        <w:jc w:val="both"/>
        <w:rPr>
          <w:rFonts w:ascii="Verdana" w:hAnsi="Verdana" w:cs="Arial"/>
          <w:color w:val="000000"/>
          <w:sz w:val="16"/>
          <w:szCs w:val="16"/>
        </w:rPr>
      </w:pPr>
    </w:p>
  </w:footnote>
  <w:footnote w:id="6">
    <w:p w14:paraId="7D2CED45" w14:textId="77777777" w:rsidR="00291670" w:rsidRDefault="00291670" w:rsidP="00291670">
      <w:pPr>
        <w:pStyle w:val="Textonotapie"/>
        <w:ind w:firstLine="709"/>
        <w:jc w:val="both"/>
        <w:rPr>
          <w:rFonts w:ascii="Verdana" w:hAnsi="Verdana" w:cs="Arial"/>
          <w:color w:val="000000"/>
          <w:sz w:val="16"/>
          <w:szCs w:val="16"/>
        </w:rPr>
      </w:pPr>
      <w:r>
        <w:rPr>
          <w:rStyle w:val="Refdenotaalpie"/>
          <w:rFonts w:ascii="Verdana" w:hAnsi="Verdana" w:cs="Arial"/>
          <w:color w:val="000000"/>
          <w:sz w:val="16"/>
          <w:szCs w:val="16"/>
        </w:rPr>
        <w:footnoteRef/>
      </w:r>
      <w:r>
        <w:rPr>
          <w:rFonts w:ascii="Verdana" w:hAnsi="Verdana" w:cs="Arial"/>
          <w:color w:val="000000"/>
          <w:sz w:val="16"/>
          <w:szCs w:val="16"/>
        </w:rPr>
        <w:t xml:space="preserve"> MAZEUD, Henri, MAZEUD, León y MAZEUD, Jean. Lecciones de derecho civil. Parte Primera. Volumen I. Buenos Aires: EJEA, 1976. p. 305-306.</w:t>
      </w:r>
    </w:p>
    <w:p w14:paraId="3F9772D1" w14:textId="77777777" w:rsidR="00291670" w:rsidRDefault="00291670" w:rsidP="00291670">
      <w:pPr>
        <w:pStyle w:val="Textonotapie"/>
        <w:ind w:firstLine="709"/>
        <w:jc w:val="both"/>
        <w:rPr>
          <w:rFonts w:ascii="Verdana" w:hAnsi="Verdana" w:cs="Arial"/>
          <w:color w:val="000000"/>
          <w:sz w:val="16"/>
          <w:szCs w:val="16"/>
        </w:rPr>
      </w:pPr>
    </w:p>
  </w:footnote>
  <w:footnote w:id="7">
    <w:p w14:paraId="301C946B" w14:textId="77777777" w:rsidR="00291670" w:rsidRDefault="00291670" w:rsidP="00291670">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5 de septiembre de 2018. Consejero Ponente: Edgar González López. Radicación interna: 2386.</w:t>
      </w:r>
    </w:p>
  </w:footnote>
  <w:footnote w:id="8">
    <w:p w14:paraId="53769434" w14:textId="77777777" w:rsidR="00291670" w:rsidRDefault="00291670" w:rsidP="00291670">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En: https://dle.rae.es/instalar?m=form</w:t>
      </w:r>
    </w:p>
  </w:footnote>
  <w:footnote w:id="9">
    <w:p w14:paraId="072065BC" w14:textId="77777777" w:rsidR="00291670" w:rsidRDefault="00291670" w:rsidP="00291670">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Ibíd. </w:t>
      </w:r>
    </w:p>
  </w:footnote>
  <w:footnote w:id="10">
    <w:p w14:paraId="00EBA4C8" w14:textId="77777777" w:rsidR="00291670" w:rsidRDefault="00291670" w:rsidP="00291670">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Ibíd.</w:t>
      </w:r>
    </w:p>
  </w:footnote>
  <w:footnote w:id="11">
    <w:p w14:paraId="6B1D4B12" w14:textId="77777777" w:rsidR="00291670" w:rsidRDefault="00291670" w:rsidP="00291670">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lang w:val="es-ES"/>
        </w:rPr>
        <w:t>Ibíd.</w:t>
      </w:r>
    </w:p>
  </w:footnote>
  <w:footnote w:id="12">
    <w:p w14:paraId="5DD5D724" w14:textId="77777777" w:rsidR="00291670" w:rsidRDefault="00291670" w:rsidP="00291670">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Ibíd. En similar sentido, </w:t>
      </w:r>
      <w:r>
        <w:rPr>
          <w:rFonts w:ascii="Verdana" w:hAnsi="Verdana" w:cs="Arial"/>
          <w:sz w:val="16"/>
          <w:szCs w:val="16"/>
        </w:rPr>
        <w:t>SUÁREZ BELTRÁN, Gonzalo. Estudios de derecho público contractual: Bogotá: Legis, 2014. p. 238. Al respecto, también se considera que «Esta clase de contratos está constituida por aquellas figuras cuyos elementos son conocidos (elementos legales); dispuestos, sin embargo, en combinaciones diferentes a las que se pueden apreciar en los contratos típicos y que, además, han sido tomadas de más de un tipo de contrato. Estos elementos pueden encontrarse en una relación de coordinación o de subordinación» (Cfr. ARRUBLA PAUCAR, Jaime Alberto. Contratos mercantiles: contratos atípicos. Octava edición. Bogotá: Legis, 2015. p. 36).</w:t>
      </w:r>
    </w:p>
  </w:footnote>
  <w:footnote w:id="13">
    <w:p w14:paraId="6FAB7124" w14:textId="77777777" w:rsidR="00291670" w:rsidRDefault="00291670" w:rsidP="00291670">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5 de septiembre de 2018. Consejero Ponente: Edgar González López. Radicación interna: 2386.</w:t>
      </w:r>
    </w:p>
    <w:p w14:paraId="1F2075F4" w14:textId="77777777" w:rsidR="00291670" w:rsidRDefault="00291670" w:rsidP="00291670">
      <w:pPr>
        <w:pStyle w:val="Textonotapie"/>
        <w:ind w:firstLine="709"/>
        <w:jc w:val="both"/>
        <w:rPr>
          <w:rFonts w:ascii="Verdana" w:hAnsi="Verdana" w:cs="Arial"/>
          <w:sz w:val="16"/>
          <w:szCs w:val="16"/>
          <w:lang w:val="es-ES"/>
        </w:rPr>
      </w:pPr>
    </w:p>
  </w:footnote>
  <w:footnote w:id="14">
    <w:p w14:paraId="3B59DF7E" w14:textId="77777777" w:rsidR="00291670" w:rsidRDefault="00291670" w:rsidP="00291670">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CORTE SUPREMA DE JUSTICIA. Sala de Casación Civil. Sentencia del 5 de diciembre de 1956. M.P. Pablo Emilio Manotas. Decisión publicada en el Gaceta Judicial LXXXIV, No. 2177-2180. p. 317. Este criterio se adoptó explícitamente en el derogado artículo 3.3.1.1 del Decreto 734 de 2012. Concretamente, el inciso cuarto disponía que «En el caso de que el objeto contractual incluya los servicios de consultoría y otras obligaciones principales, como por ejemplo en el caso de ejecución de proyectos que incluyen diseño y construcción de la obra, la escogencia del contratista deberá adelantarse mediante licitación pública y selección abreviada, según corresponda de conformidad con lo señalado en la ley y en el presente decreto, sin perjuicio de lo previsto para la mínima cuantía. En todo caso, el equipo de profesionales y expertos propuestos deberá ser aprobado por la entidad».</w:t>
      </w:r>
    </w:p>
  </w:footnote>
  <w:footnote w:id="15">
    <w:p w14:paraId="01DFB40D" w14:textId="77777777" w:rsidR="00291670" w:rsidRDefault="00291670" w:rsidP="00291670">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Por ello, explica que «[…] todos estos criterios de interpretación no son, en último análisis más que especificaciones del principio de la analogía, inspiradas en las peculiaridades de cada materia. De aquí, también, que el criterio de interpretación más serio, respecto del contrato innominado mixto, es, además de la aplicación directa de las reglas generales sobre los contratos, el de la aplicación analógica de las singulares relativas al contrato nominado dado, que se manifiesten como las más adecuadas al contrato mixto que se debe interpretar, y si éstas no existen, entonces recurrir a las de la analogía iuris» (</w:t>
      </w:r>
      <w:r>
        <w:rPr>
          <w:rFonts w:ascii="Verdana" w:hAnsi="Verdana" w:cs="Arial"/>
          <w:i/>
          <w:iCs/>
          <w:sz w:val="16"/>
          <w:szCs w:val="16"/>
        </w:rPr>
        <w:t>ibidem</w:t>
      </w:r>
      <w:r>
        <w:rPr>
          <w:rFonts w:ascii="Verdana" w:hAnsi="Verdana" w:cs="Arial"/>
          <w:sz w:val="16"/>
          <w:szCs w:val="16"/>
        </w:rPr>
        <w:t>).</w:t>
      </w:r>
    </w:p>
    <w:p w14:paraId="7E0B10F0" w14:textId="77777777" w:rsidR="00291670" w:rsidRDefault="00291670" w:rsidP="00291670">
      <w:pPr>
        <w:pStyle w:val="Textonotapie"/>
        <w:ind w:firstLine="709"/>
        <w:jc w:val="both"/>
        <w:rPr>
          <w:rFonts w:ascii="Verdana" w:hAnsi="Verdana" w:cs="Arial"/>
          <w:sz w:val="16"/>
          <w:szCs w:val="16"/>
        </w:rPr>
      </w:pPr>
    </w:p>
  </w:footnote>
  <w:footnote w:id="16">
    <w:p w14:paraId="0995CC91" w14:textId="77777777" w:rsidR="00291670" w:rsidRDefault="00291670" w:rsidP="00291670">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RENGIFO GARCÍA, Ernesto. Interpretación del contrato atípico a la luz de la jurisprudencia colombiana. En: Los contratos en el derecho privado. Bogotá: Legis – Universidad del Rosario, 2009. p. 48. </w:t>
      </w:r>
    </w:p>
    <w:p w14:paraId="52D58727" w14:textId="77777777" w:rsidR="00291670" w:rsidRDefault="00291670" w:rsidP="00291670">
      <w:pPr>
        <w:pStyle w:val="Textonotapie"/>
        <w:ind w:firstLine="709"/>
        <w:jc w:val="both"/>
        <w:rPr>
          <w:rFonts w:ascii="Verdana" w:hAnsi="Verdana" w:cs="Arial"/>
          <w:sz w:val="16"/>
          <w:szCs w:val="16"/>
        </w:rPr>
      </w:pPr>
    </w:p>
  </w:footnote>
  <w:footnote w:id="17">
    <w:p w14:paraId="64AED103" w14:textId="77777777" w:rsidR="00291670" w:rsidRDefault="00291670" w:rsidP="00291670">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5 de septiembre de 2018. Consejero Ponente: Edgar González López. Radicación interna: 2386.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5"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7"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8" w15:restartNumberingAfterBreak="0">
    <w:nsid w:val="2BC96B99"/>
    <w:multiLevelType w:val="multilevel"/>
    <w:tmpl w:val="2F16E6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0"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4"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9"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D0E478B"/>
    <w:multiLevelType w:val="hybridMultilevel"/>
    <w:tmpl w:val="869EF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2"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B3B25D2"/>
    <w:multiLevelType w:val="multilevel"/>
    <w:tmpl w:val="57FA6DF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5B5505CE"/>
    <w:multiLevelType w:val="multilevel"/>
    <w:tmpl w:val="CEA8B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03F1D1B"/>
    <w:multiLevelType w:val="hybridMultilevel"/>
    <w:tmpl w:val="D012F2B4"/>
    <w:lvl w:ilvl="0" w:tplc="88466D3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8"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9" w15:restartNumberingAfterBreak="0">
    <w:nsid w:val="661C105F"/>
    <w:multiLevelType w:val="hybridMultilevel"/>
    <w:tmpl w:val="FF761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700542C4"/>
    <w:multiLevelType w:val="hybridMultilevel"/>
    <w:tmpl w:val="232828B0"/>
    <w:lvl w:ilvl="0" w:tplc="FFFFFFFF">
      <w:start w:val="1"/>
      <w:numFmt w:val="decimal"/>
      <w:lvlText w:val="%1."/>
      <w:lvlJc w:val="left"/>
      <w:pPr>
        <w:ind w:left="2061"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 w15:restartNumberingAfterBreak="0">
    <w:nsid w:val="70D60AF4"/>
    <w:multiLevelType w:val="hybridMultilevel"/>
    <w:tmpl w:val="623869D6"/>
    <w:lvl w:ilvl="0" w:tplc="1E18C3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7B7F0FB5"/>
    <w:multiLevelType w:val="hybridMultilevel"/>
    <w:tmpl w:val="3586D1F0"/>
    <w:lvl w:ilvl="0" w:tplc="15C0C8A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35"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12"/>
  </w:num>
  <w:num w:numId="3" w16cid:durableId="679089576">
    <w:abstractNumId w:val="16"/>
  </w:num>
  <w:num w:numId="4" w16cid:durableId="893472101">
    <w:abstractNumId w:val="7"/>
  </w:num>
  <w:num w:numId="5" w16cid:durableId="1982299905">
    <w:abstractNumId w:val="35"/>
  </w:num>
  <w:num w:numId="6" w16cid:durableId="130758360">
    <w:abstractNumId w:val="19"/>
  </w:num>
  <w:num w:numId="7" w16cid:durableId="262541512">
    <w:abstractNumId w:val="32"/>
  </w:num>
  <w:num w:numId="8" w16cid:durableId="1947226218">
    <w:abstractNumId w:val="15"/>
  </w:num>
  <w:num w:numId="9" w16cid:durableId="1180706126">
    <w:abstractNumId w:val="18"/>
  </w:num>
  <w:num w:numId="10" w16cid:durableId="2097506960">
    <w:abstractNumId w:val="26"/>
  </w:num>
  <w:num w:numId="11" w16cid:durableId="1977490869">
    <w:abstractNumId w:val="22"/>
  </w:num>
  <w:num w:numId="12" w16cid:durableId="158663248">
    <w:abstractNumId w:val="21"/>
  </w:num>
  <w:num w:numId="13" w16cid:durableId="2024085788">
    <w:abstractNumId w:val="2"/>
  </w:num>
  <w:num w:numId="14" w16cid:durableId="1885099950">
    <w:abstractNumId w:val="14"/>
  </w:num>
  <w:num w:numId="15" w16cid:durableId="32047459">
    <w:abstractNumId w:val="9"/>
  </w:num>
  <w:num w:numId="16" w16cid:durableId="1192261824">
    <w:abstractNumId w:val="10"/>
  </w:num>
  <w:num w:numId="17" w16cid:durableId="375933272">
    <w:abstractNumId w:val="17"/>
  </w:num>
  <w:num w:numId="18" w16cid:durableId="610939998">
    <w:abstractNumId w:val="27"/>
  </w:num>
  <w:num w:numId="19" w16cid:durableId="1910656144">
    <w:abstractNumId w:val="3"/>
  </w:num>
  <w:num w:numId="20" w16cid:durableId="947545103">
    <w:abstractNumId w:val="13"/>
  </w:num>
  <w:num w:numId="21" w16cid:durableId="1851335222">
    <w:abstractNumId w:val="34"/>
  </w:num>
  <w:num w:numId="22" w16cid:durableId="578707994">
    <w:abstractNumId w:val="4"/>
  </w:num>
  <w:num w:numId="23" w16cid:durableId="876742304">
    <w:abstractNumId w:val="11"/>
  </w:num>
  <w:num w:numId="24" w16cid:durableId="1994095851">
    <w:abstractNumId w:val="5"/>
  </w:num>
  <w:num w:numId="25" w16cid:durableId="1567109325">
    <w:abstractNumId w:val="29"/>
  </w:num>
  <w:num w:numId="26" w16cid:durableId="1116487847">
    <w:abstractNumId w:val="20"/>
  </w:num>
  <w:num w:numId="27" w16cid:durableId="611326471">
    <w:abstractNumId w:val="30"/>
    <w:lvlOverride w:ilvl="0">
      <w:startOverride w:val="1"/>
    </w:lvlOverride>
    <w:lvlOverride w:ilvl="1"/>
    <w:lvlOverride w:ilvl="2"/>
    <w:lvlOverride w:ilvl="3"/>
    <w:lvlOverride w:ilvl="4"/>
    <w:lvlOverride w:ilvl="5"/>
    <w:lvlOverride w:ilvl="6"/>
    <w:lvlOverride w:ilvl="7"/>
    <w:lvlOverride w:ilvl="8"/>
  </w:num>
  <w:num w:numId="28" w16cid:durableId="883785195">
    <w:abstractNumId w:val="1"/>
  </w:num>
  <w:num w:numId="29" w16cid:durableId="2116288898">
    <w:abstractNumId w:val="33"/>
  </w:num>
  <w:num w:numId="30" w16cid:durableId="363991975">
    <w:abstractNumId w:val="31"/>
  </w:num>
  <w:num w:numId="31" w16cid:durableId="1509440290">
    <w:abstractNumId w:val="25"/>
  </w:num>
  <w:num w:numId="32" w16cid:durableId="1601723362">
    <w:abstractNumId w:val="6"/>
  </w:num>
  <w:num w:numId="33" w16cid:durableId="431320769">
    <w:abstractNumId w:val="8"/>
  </w:num>
  <w:num w:numId="34" w16cid:durableId="59640200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332217889">
    <w:abstractNumId w:val="24"/>
  </w:num>
  <w:num w:numId="36" w16cid:durableId="390349800">
    <w:abstractNumId w:val="28"/>
  </w:num>
  <w:num w:numId="37" w16cid:durableId="1006447112">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46952079">
    <w:abstractNumId w:val="6"/>
  </w:num>
  <w:num w:numId="39" w16cid:durableId="2111657886">
    <w:abstractNumId w:val="16"/>
  </w:num>
  <w:num w:numId="40" w16cid:durableId="203037600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39"/>
    <w:rsid w:val="00002920"/>
    <w:rsid w:val="00002D55"/>
    <w:rsid w:val="0000399A"/>
    <w:rsid w:val="00005225"/>
    <w:rsid w:val="000054DB"/>
    <w:rsid w:val="0000587D"/>
    <w:rsid w:val="000059AE"/>
    <w:rsid w:val="00005BB0"/>
    <w:rsid w:val="00006F59"/>
    <w:rsid w:val="00007086"/>
    <w:rsid w:val="00007382"/>
    <w:rsid w:val="00007576"/>
    <w:rsid w:val="000079B8"/>
    <w:rsid w:val="0001025F"/>
    <w:rsid w:val="0001155E"/>
    <w:rsid w:val="00011613"/>
    <w:rsid w:val="00011D3C"/>
    <w:rsid w:val="0001222D"/>
    <w:rsid w:val="00012679"/>
    <w:rsid w:val="00012EDA"/>
    <w:rsid w:val="00013B3F"/>
    <w:rsid w:val="00014981"/>
    <w:rsid w:val="00014B0D"/>
    <w:rsid w:val="00016280"/>
    <w:rsid w:val="0001672C"/>
    <w:rsid w:val="00016F04"/>
    <w:rsid w:val="00017870"/>
    <w:rsid w:val="0002029B"/>
    <w:rsid w:val="00021068"/>
    <w:rsid w:val="00021595"/>
    <w:rsid w:val="000219D1"/>
    <w:rsid w:val="00021C3A"/>
    <w:rsid w:val="0002202D"/>
    <w:rsid w:val="00022C23"/>
    <w:rsid w:val="00023DF7"/>
    <w:rsid w:val="000267DD"/>
    <w:rsid w:val="000273EA"/>
    <w:rsid w:val="00027B63"/>
    <w:rsid w:val="00027CA9"/>
    <w:rsid w:val="00030B3D"/>
    <w:rsid w:val="00030BC5"/>
    <w:rsid w:val="00030BFB"/>
    <w:rsid w:val="00031DA1"/>
    <w:rsid w:val="00031EAF"/>
    <w:rsid w:val="0003209C"/>
    <w:rsid w:val="00033390"/>
    <w:rsid w:val="0003424A"/>
    <w:rsid w:val="000361EA"/>
    <w:rsid w:val="000369C0"/>
    <w:rsid w:val="0003731A"/>
    <w:rsid w:val="00037A8B"/>
    <w:rsid w:val="00040372"/>
    <w:rsid w:val="000408AD"/>
    <w:rsid w:val="00041469"/>
    <w:rsid w:val="0004180C"/>
    <w:rsid w:val="000419D7"/>
    <w:rsid w:val="00042DD7"/>
    <w:rsid w:val="00043EE5"/>
    <w:rsid w:val="000442CC"/>
    <w:rsid w:val="000442DE"/>
    <w:rsid w:val="00044B24"/>
    <w:rsid w:val="0004508D"/>
    <w:rsid w:val="00045B37"/>
    <w:rsid w:val="0004709D"/>
    <w:rsid w:val="000504AA"/>
    <w:rsid w:val="0005086B"/>
    <w:rsid w:val="00050C95"/>
    <w:rsid w:val="00050CAD"/>
    <w:rsid w:val="0005142D"/>
    <w:rsid w:val="00051A3C"/>
    <w:rsid w:val="00051BE4"/>
    <w:rsid w:val="00051E96"/>
    <w:rsid w:val="000526A8"/>
    <w:rsid w:val="00052EF1"/>
    <w:rsid w:val="0005420B"/>
    <w:rsid w:val="000551CB"/>
    <w:rsid w:val="0005620B"/>
    <w:rsid w:val="00057392"/>
    <w:rsid w:val="000577A2"/>
    <w:rsid w:val="000577D3"/>
    <w:rsid w:val="00057963"/>
    <w:rsid w:val="000579AB"/>
    <w:rsid w:val="00060AE4"/>
    <w:rsid w:val="000622B9"/>
    <w:rsid w:val="000631E9"/>
    <w:rsid w:val="00063B4B"/>
    <w:rsid w:val="00064721"/>
    <w:rsid w:val="00064D60"/>
    <w:rsid w:val="00064E9F"/>
    <w:rsid w:val="00065973"/>
    <w:rsid w:val="00065C6D"/>
    <w:rsid w:val="000665D3"/>
    <w:rsid w:val="00066646"/>
    <w:rsid w:val="00066C7A"/>
    <w:rsid w:val="00066CF1"/>
    <w:rsid w:val="0007144A"/>
    <w:rsid w:val="000716AB"/>
    <w:rsid w:val="00071AB8"/>
    <w:rsid w:val="0007243A"/>
    <w:rsid w:val="0007288A"/>
    <w:rsid w:val="000756F1"/>
    <w:rsid w:val="000762C0"/>
    <w:rsid w:val="00076737"/>
    <w:rsid w:val="00076C2B"/>
    <w:rsid w:val="00076C73"/>
    <w:rsid w:val="00076F81"/>
    <w:rsid w:val="000772B1"/>
    <w:rsid w:val="000779DE"/>
    <w:rsid w:val="000800B6"/>
    <w:rsid w:val="0008076A"/>
    <w:rsid w:val="00081B03"/>
    <w:rsid w:val="00083AEF"/>
    <w:rsid w:val="000847A0"/>
    <w:rsid w:val="00084BFD"/>
    <w:rsid w:val="00087073"/>
    <w:rsid w:val="0008739A"/>
    <w:rsid w:val="000875BD"/>
    <w:rsid w:val="000878E7"/>
    <w:rsid w:val="00087A3B"/>
    <w:rsid w:val="00087C01"/>
    <w:rsid w:val="000903E4"/>
    <w:rsid w:val="000906E3"/>
    <w:rsid w:val="00091D73"/>
    <w:rsid w:val="000933B5"/>
    <w:rsid w:val="000933BC"/>
    <w:rsid w:val="00093544"/>
    <w:rsid w:val="00093D95"/>
    <w:rsid w:val="00094663"/>
    <w:rsid w:val="00095410"/>
    <w:rsid w:val="00095E48"/>
    <w:rsid w:val="00096637"/>
    <w:rsid w:val="0009726B"/>
    <w:rsid w:val="00097285"/>
    <w:rsid w:val="000975EA"/>
    <w:rsid w:val="000A021A"/>
    <w:rsid w:val="000A0ACF"/>
    <w:rsid w:val="000A1828"/>
    <w:rsid w:val="000A1D06"/>
    <w:rsid w:val="000A1F38"/>
    <w:rsid w:val="000A2030"/>
    <w:rsid w:val="000A301A"/>
    <w:rsid w:val="000A37F5"/>
    <w:rsid w:val="000A413A"/>
    <w:rsid w:val="000A4F1E"/>
    <w:rsid w:val="000A5881"/>
    <w:rsid w:val="000A66A1"/>
    <w:rsid w:val="000A69FB"/>
    <w:rsid w:val="000B1087"/>
    <w:rsid w:val="000B199A"/>
    <w:rsid w:val="000B1FF7"/>
    <w:rsid w:val="000B2529"/>
    <w:rsid w:val="000B2B7C"/>
    <w:rsid w:val="000B377E"/>
    <w:rsid w:val="000B381D"/>
    <w:rsid w:val="000B3DD4"/>
    <w:rsid w:val="000B4024"/>
    <w:rsid w:val="000B44BA"/>
    <w:rsid w:val="000B4C9C"/>
    <w:rsid w:val="000B5311"/>
    <w:rsid w:val="000B5313"/>
    <w:rsid w:val="000B5C65"/>
    <w:rsid w:val="000B5F1D"/>
    <w:rsid w:val="000B6BE9"/>
    <w:rsid w:val="000C02AD"/>
    <w:rsid w:val="000C060A"/>
    <w:rsid w:val="000C07B0"/>
    <w:rsid w:val="000C09DF"/>
    <w:rsid w:val="000C0AA8"/>
    <w:rsid w:val="000C18BD"/>
    <w:rsid w:val="000C1FC8"/>
    <w:rsid w:val="000C36E1"/>
    <w:rsid w:val="000C42A9"/>
    <w:rsid w:val="000C42C6"/>
    <w:rsid w:val="000C4874"/>
    <w:rsid w:val="000C50D6"/>
    <w:rsid w:val="000C557B"/>
    <w:rsid w:val="000C5A85"/>
    <w:rsid w:val="000C5F29"/>
    <w:rsid w:val="000C5F48"/>
    <w:rsid w:val="000C66BF"/>
    <w:rsid w:val="000C7B0A"/>
    <w:rsid w:val="000C7D5F"/>
    <w:rsid w:val="000C7FF8"/>
    <w:rsid w:val="000D0372"/>
    <w:rsid w:val="000D0ADE"/>
    <w:rsid w:val="000D16F5"/>
    <w:rsid w:val="000D1A8F"/>
    <w:rsid w:val="000D2914"/>
    <w:rsid w:val="000D2E60"/>
    <w:rsid w:val="000D2F50"/>
    <w:rsid w:val="000D3275"/>
    <w:rsid w:val="000D3A1B"/>
    <w:rsid w:val="000D3B86"/>
    <w:rsid w:val="000D3C8D"/>
    <w:rsid w:val="000D4E64"/>
    <w:rsid w:val="000D5008"/>
    <w:rsid w:val="000D570C"/>
    <w:rsid w:val="000D5A0F"/>
    <w:rsid w:val="000D5B1E"/>
    <w:rsid w:val="000D5D9B"/>
    <w:rsid w:val="000D5E3F"/>
    <w:rsid w:val="000D6532"/>
    <w:rsid w:val="000D6E33"/>
    <w:rsid w:val="000D7976"/>
    <w:rsid w:val="000E0622"/>
    <w:rsid w:val="000E07AA"/>
    <w:rsid w:val="000E1D6F"/>
    <w:rsid w:val="000E2A37"/>
    <w:rsid w:val="000E2D0D"/>
    <w:rsid w:val="000E3381"/>
    <w:rsid w:val="000E3744"/>
    <w:rsid w:val="000E3CD9"/>
    <w:rsid w:val="000E481D"/>
    <w:rsid w:val="000E4DBF"/>
    <w:rsid w:val="000E4DF2"/>
    <w:rsid w:val="000E5844"/>
    <w:rsid w:val="000E7349"/>
    <w:rsid w:val="000E762D"/>
    <w:rsid w:val="000E77CC"/>
    <w:rsid w:val="000F0144"/>
    <w:rsid w:val="000F0807"/>
    <w:rsid w:val="000F080D"/>
    <w:rsid w:val="000F0B3C"/>
    <w:rsid w:val="000F13D5"/>
    <w:rsid w:val="000F175F"/>
    <w:rsid w:val="000F1AD8"/>
    <w:rsid w:val="000F2F4C"/>
    <w:rsid w:val="000F38D9"/>
    <w:rsid w:val="000F3CED"/>
    <w:rsid w:val="000F414C"/>
    <w:rsid w:val="000F64FC"/>
    <w:rsid w:val="000F696E"/>
    <w:rsid w:val="000F6C10"/>
    <w:rsid w:val="000F718E"/>
    <w:rsid w:val="001001F2"/>
    <w:rsid w:val="00100207"/>
    <w:rsid w:val="001003C6"/>
    <w:rsid w:val="00100682"/>
    <w:rsid w:val="001010D3"/>
    <w:rsid w:val="0010144A"/>
    <w:rsid w:val="00101C11"/>
    <w:rsid w:val="00102F4F"/>
    <w:rsid w:val="001034DD"/>
    <w:rsid w:val="00104425"/>
    <w:rsid w:val="00104B4C"/>
    <w:rsid w:val="00105135"/>
    <w:rsid w:val="001055A2"/>
    <w:rsid w:val="0010682A"/>
    <w:rsid w:val="00106C4C"/>
    <w:rsid w:val="00107DEF"/>
    <w:rsid w:val="0011037E"/>
    <w:rsid w:val="00110404"/>
    <w:rsid w:val="001109E8"/>
    <w:rsid w:val="00110BA5"/>
    <w:rsid w:val="00110F73"/>
    <w:rsid w:val="00111E35"/>
    <w:rsid w:val="001128B4"/>
    <w:rsid w:val="00112EBD"/>
    <w:rsid w:val="001132C2"/>
    <w:rsid w:val="0011382D"/>
    <w:rsid w:val="00113AF2"/>
    <w:rsid w:val="00113C17"/>
    <w:rsid w:val="00113FDD"/>
    <w:rsid w:val="00114051"/>
    <w:rsid w:val="00114973"/>
    <w:rsid w:val="00114CFF"/>
    <w:rsid w:val="00114FDF"/>
    <w:rsid w:val="00115C47"/>
    <w:rsid w:val="0011650B"/>
    <w:rsid w:val="00116616"/>
    <w:rsid w:val="00116FC5"/>
    <w:rsid w:val="00117163"/>
    <w:rsid w:val="00117BBD"/>
    <w:rsid w:val="001202DF"/>
    <w:rsid w:val="00120F1B"/>
    <w:rsid w:val="001213E7"/>
    <w:rsid w:val="001224BA"/>
    <w:rsid w:val="001238BC"/>
    <w:rsid w:val="00124518"/>
    <w:rsid w:val="001248AB"/>
    <w:rsid w:val="00124981"/>
    <w:rsid w:val="00124B2E"/>
    <w:rsid w:val="001256A1"/>
    <w:rsid w:val="00125D81"/>
    <w:rsid w:val="00126301"/>
    <w:rsid w:val="0012661F"/>
    <w:rsid w:val="00126966"/>
    <w:rsid w:val="001269B0"/>
    <w:rsid w:val="00126B24"/>
    <w:rsid w:val="00127234"/>
    <w:rsid w:val="001276C4"/>
    <w:rsid w:val="00127C04"/>
    <w:rsid w:val="00127C68"/>
    <w:rsid w:val="00127D5B"/>
    <w:rsid w:val="00131373"/>
    <w:rsid w:val="001314A0"/>
    <w:rsid w:val="00131A1F"/>
    <w:rsid w:val="00131A66"/>
    <w:rsid w:val="00131F9C"/>
    <w:rsid w:val="00132336"/>
    <w:rsid w:val="00132425"/>
    <w:rsid w:val="0013280A"/>
    <w:rsid w:val="0013343F"/>
    <w:rsid w:val="001344F9"/>
    <w:rsid w:val="00134F37"/>
    <w:rsid w:val="00135F76"/>
    <w:rsid w:val="001360E9"/>
    <w:rsid w:val="001360F4"/>
    <w:rsid w:val="001363C7"/>
    <w:rsid w:val="00136A27"/>
    <w:rsid w:val="00136E87"/>
    <w:rsid w:val="00140793"/>
    <w:rsid w:val="0014203B"/>
    <w:rsid w:val="001422BD"/>
    <w:rsid w:val="0014286D"/>
    <w:rsid w:val="00143B8E"/>
    <w:rsid w:val="00143CD6"/>
    <w:rsid w:val="00143F21"/>
    <w:rsid w:val="0014420C"/>
    <w:rsid w:val="001446C3"/>
    <w:rsid w:val="00144AA2"/>
    <w:rsid w:val="001461A7"/>
    <w:rsid w:val="00146946"/>
    <w:rsid w:val="00146E7C"/>
    <w:rsid w:val="00147F8C"/>
    <w:rsid w:val="00150492"/>
    <w:rsid w:val="001513CE"/>
    <w:rsid w:val="00151465"/>
    <w:rsid w:val="00151AD8"/>
    <w:rsid w:val="00151E77"/>
    <w:rsid w:val="00152B1C"/>
    <w:rsid w:val="00153287"/>
    <w:rsid w:val="001533E6"/>
    <w:rsid w:val="001538BE"/>
    <w:rsid w:val="00153C33"/>
    <w:rsid w:val="00155198"/>
    <w:rsid w:val="00155A26"/>
    <w:rsid w:val="00155EF1"/>
    <w:rsid w:val="00156192"/>
    <w:rsid w:val="00156E57"/>
    <w:rsid w:val="0015710D"/>
    <w:rsid w:val="00157338"/>
    <w:rsid w:val="00157CE5"/>
    <w:rsid w:val="00157DEB"/>
    <w:rsid w:val="001610BC"/>
    <w:rsid w:val="00161847"/>
    <w:rsid w:val="00161E13"/>
    <w:rsid w:val="001629D8"/>
    <w:rsid w:val="00162B2A"/>
    <w:rsid w:val="00162B8D"/>
    <w:rsid w:val="00162F9F"/>
    <w:rsid w:val="00164803"/>
    <w:rsid w:val="00164AE0"/>
    <w:rsid w:val="00165BF5"/>
    <w:rsid w:val="00165DC6"/>
    <w:rsid w:val="00165F2E"/>
    <w:rsid w:val="0016646A"/>
    <w:rsid w:val="0016793B"/>
    <w:rsid w:val="00167C43"/>
    <w:rsid w:val="001706C9"/>
    <w:rsid w:val="001708AA"/>
    <w:rsid w:val="0017120C"/>
    <w:rsid w:val="0017150D"/>
    <w:rsid w:val="001727D7"/>
    <w:rsid w:val="00172834"/>
    <w:rsid w:val="00172C96"/>
    <w:rsid w:val="00172DDC"/>
    <w:rsid w:val="00172F3A"/>
    <w:rsid w:val="00173477"/>
    <w:rsid w:val="0017414F"/>
    <w:rsid w:val="0017432C"/>
    <w:rsid w:val="00174636"/>
    <w:rsid w:val="00174735"/>
    <w:rsid w:val="0017481D"/>
    <w:rsid w:val="00174B1B"/>
    <w:rsid w:val="00174BD8"/>
    <w:rsid w:val="00174D51"/>
    <w:rsid w:val="001750BC"/>
    <w:rsid w:val="001757B3"/>
    <w:rsid w:val="001765BB"/>
    <w:rsid w:val="0017667E"/>
    <w:rsid w:val="001766D3"/>
    <w:rsid w:val="00176AE8"/>
    <w:rsid w:val="00176E76"/>
    <w:rsid w:val="00177570"/>
    <w:rsid w:val="00177E95"/>
    <w:rsid w:val="0018007F"/>
    <w:rsid w:val="001811FC"/>
    <w:rsid w:val="001821FA"/>
    <w:rsid w:val="00182338"/>
    <w:rsid w:val="00182348"/>
    <w:rsid w:val="001839D5"/>
    <w:rsid w:val="00183F50"/>
    <w:rsid w:val="0018402A"/>
    <w:rsid w:val="00184BD9"/>
    <w:rsid w:val="00184ED6"/>
    <w:rsid w:val="00184F13"/>
    <w:rsid w:val="00184FD9"/>
    <w:rsid w:val="00185361"/>
    <w:rsid w:val="00186037"/>
    <w:rsid w:val="00186AE4"/>
    <w:rsid w:val="00186D14"/>
    <w:rsid w:val="001876D8"/>
    <w:rsid w:val="00190325"/>
    <w:rsid w:val="00190391"/>
    <w:rsid w:val="0019151E"/>
    <w:rsid w:val="00191593"/>
    <w:rsid w:val="001918F1"/>
    <w:rsid w:val="0019196E"/>
    <w:rsid w:val="00191FF5"/>
    <w:rsid w:val="001926D7"/>
    <w:rsid w:val="00192CCE"/>
    <w:rsid w:val="0019385B"/>
    <w:rsid w:val="00193F1C"/>
    <w:rsid w:val="001948F5"/>
    <w:rsid w:val="00194958"/>
    <w:rsid w:val="00196359"/>
    <w:rsid w:val="00196D8D"/>
    <w:rsid w:val="00196E44"/>
    <w:rsid w:val="00197205"/>
    <w:rsid w:val="00197632"/>
    <w:rsid w:val="0019793F"/>
    <w:rsid w:val="00197A9D"/>
    <w:rsid w:val="001A08E7"/>
    <w:rsid w:val="001A17D7"/>
    <w:rsid w:val="001A1846"/>
    <w:rsid w:val="001A1A67"/>
    <w:rsid w:val="001A1FDD"/>
    <w:rsid w:val="001A2D8F"/>
    <w:rsid w:val="001A393B"/>
    <w:rsid w:val="001A3963"/>
    <w:rsid w:val="001A3D89"/>
    <w:rsid w:val="001A3E0A"/>
    <w:rsid w:val="001A5458"/>
    <w:rsid w:val="001A545B"/>
    <w:rsid w:val="001A54DA"/>
    <w:rsid w:val="001A5E69"/>
    <w:rsid w:val="001A6861"/>
    <w:rsid w:val="001A6FEC"/>
    <w:rsid w:val="001A78AA"/>
    <w:rsid w:val="001B08B5"/>
    <w:rsid w:val="001B143B"/>
    <w:rsid w:val="001B1532"/>
    <w:rsid w:val="001B15D3"/>
    <w:rsid w:val="001B1777"/>
    <w:rsid w:val="001B19C5"/>
    <w:rsid w:val="001B1B6D"/>
    <w:rsid w:val="001B1C93"/>
    <w:rsid w:val="001B21CA"/>
    <w:rsid w:val="001B28D5"/>
    <w:rsid w:val="001B28E4"/>
    <w:rsid w:val="001B35D4"/>
    <w:rsid w:val="001B4446"/>
    <w:rsid w:val="001B5A00"/>
    <w:rsid w:val="001B5F59"/>
    <w:rsid w:val="001B63A7"/>
    <w:rsid w:val="001B6810"/>
    <w:rsid w:val="001B6E89"/>
    <w:rsid w:val="001B791C"/>
    <w:rsid w:val="001B7D70"/>
    <w:rsid w:val="001C0125"/>
    <w:rsid w:val="001C1074"/>
    <w:rsid w:val="001C21C8"/>
    <w:rsid w:val="001C25F5"/>
    <w:rsid w:val="001C34D0"/>
    <w:rsid w:val="001C4249"/>
    <w:rsid w:val="001C46E3"/>
    <w:rsid w:val="001C4F27"/>
    <w:rsid w:val="001C6573"/>
    <w:rsid w:val="001C7D03"/>
    <w:rsid w:val="001D00BE"/>
    <w:rsid w:val="001D079B"/>
    <w:rsid w:val="001D0D32"/>
    <w:rsid w:val="001D17C9"/>
    <w:rsid w:val="001D1AB9"/>
    <w:rsid w:val="001D1F20"/>
    <w:rsid w:val="001D3795"/>
    <w:rsid w:val="001D38B1"/>
    <w:rsid w:val="001D392C"/>
    <w:rsid w:val="001D3E7C"/>
    <w:rsid w:val="001D4006"/>
    <w:rsid w:val="001D54BD"/>
    <w:rsid w:val="001D5C72"/>
    <w:rsid w:val="001D626E"/>
    <w:rsid w:val="001D6F5D"/>
    <w:rsid w:val="001D733B"/>
    <w:rsid w:val="001D73CF"/>
    <w:rsid w:val="001D7E8C"/>
    <w:rsid w:val="001E0902"/>
    <w:rsid w:val="001E1801"/>
    <w:rsid w:val="001E1B8B"/>
    <w:rsid w:val="001E1C73"/>
    <w:rsid w:val="001E1E05"/>
    <w:rsid w:val="001E2254"/>
    <w:rsid w:val="001E22D2"/>
    <w:rsid w:val="001E2343"/>
    <w:rsid w:val="001E3A17"/>
    <w:rsid w:val="001E3FCB"/>
    <w:rsid w:val="001E50C0"/>
    <w:rsid w:val="001E52DF"/>
    <w:rsid w:val="001E5500"/>
    <w:rsid w:val="001E6BCB"/>
    <w:rsid w:val="001E783B"/>
    <w:rsid w:val="001E7FBC"/>
    <w:rsid w:val="001F0822"/>
    <w:rsid w:val="001F08CB"/>
    <w:rsid w:val="001F105B"/>
    <w:rsid w:val="001F15F6"/>
    <w:rsid w:val="001F179C"/>
    <w:rsid w:val="001F24B7"/>
    <w:rsid w:val="001F2649"/>
    <w:rsid w:val="001F2E4E"/>
    <w:rsid w:val="001F3496"/>
    <w:rsid w:val="001F41CA"/>
    <w:rsid w:val="001F4355"/>
    <w:rsid w:val="001F4819"/>
    <w:rsid w:val="001F48BD"/>
    <w:rsid w:val="001F4B69"/>
    <w:rsid w:val="001F5034"/>
    <w:rsid w:val="001F61DE"/>
    <w:rsid w:val="001F63AA"/>
    <w:rsid w:val="001F69C8"/>
    <w:rsid w:val="001F7054"/>
    <w:rsid w:val="001F71FD"/>
    <w:rsid w:val="001F77E5"/>
    <w:rsid w:val="001F7DB7"/>
    <w:rsid w:val="002000AA"/>
    <w:rsid w:val="002009B7"/>
    <w:rsid w:val="00201502"/>
    <w:rsid w:val="0020302A"/>
    <w:rsid w:val="002032A0"/>
    <w:rsid w:val="00203532"/>
    <w:rsid w:val="00203AE0"/>
    <w:rsid w:val="00204106"/>
    <w:rsid w:val="00204109"/>
    <w:rsid w:val="0020503A"/>
    <w:rsid w:val="00205041"/>
    <w:rsid w:val="0020524C"/>
    <w:rsid w:val="002059E3"/>
    <w:rsid w:val="002100FF"/>
    <w:rsid w:val="00210543"/>
    <w:rsid w:val="00210B9B"/>
    <w:rsid w:val="002118D1"/>
    <w:rsid w:val="00211DCE"/>
    <w:rsid w:val="00212390"/>
    <w:rsid w:val="00212897"/>
    <w:rsid w:val="0021386A"/>
    <w:rsid w:val="00213C44"/>
    <w:rsid w:val="002147EE"/>
    <w:rsid w:val="00214D99"/>
    <w:rsid w:val="00215516"/>
    <w:rsid w:val="002158DC"/>
    <w:rsid w:val="002159D5"/>
    <w:rsid w:val="00215B4B"/>
    <w:rsid w:val="00215B64"/>
    <w:rsid w:val="00215C05"/>
    <w:rsid w:val="002161E3"/>
    <w:rsid w:val="00216DF5"/>
    <w:rsid w:val="00216EFA"/>
    <w:rsid w:val="0021798E"/>
    <w:rsid w:val="00217CA1"/>
    <w:rsid w:val="00217DEE"/>
    <w:rsid w:val="002203BF"/>
    <w:rsid w:val="00220C4C"/>
    <w:rsid w:val="00220E0F"/>
    <w:rsid w:val="00220E95"/>
    <w:rsid w:val="002217FE"/>
    <w:rsid w:val="0022180C"/>
    <w:rsid w:val="00221C72"/>
    <w:rsid w:val="002223E1"/>
    <w:rsid w:val="002225AB"/>
    <w:rsid w:val="00222955"/>
    <w:rsid w:val="002231B0"/>
    <w:rsid w:val="002250D1"/>
    <w:rsid w:val="002267D2"/>
    <w:rsid w:val="00227D33"/>
    <w:rsid w:val="00230839"/>
    <w:rsid w:val="00230EE8"/>
    <w:rsid w:val="00231179"/>
    <w:rsid w:val="00231ADB"/>
    <w:rsid w:val="00232178"/>
    <w:rsid w:val="00232248"/>
    <w:rsid w:val="00232D12"/>
    <w:rsid w:val="00233236"/>
    <w:rsid w:val="00233616"/>
    <w:rsid w:val="00233975"/>
    <w:rsid w:val="00233B8C"/>
    <w:rsid w:val="002353E3"/>
    <w:rsid w:val="00235CC0"/>
    <w:rsid w:val="00235F30"/>
    <w:rsid w:val="00236287"/>
    <w:rsid w:val="002363FF"/>
    <w:rsid w:val="00236D10"/>
    <w:rsid w:val="002407CE"/>
    <w:rsid w:val="00242325"/>
    <w:rsid w:val="00243A38"/>
    <w:rsid w:val="002441FF"/>
    <w:rsid w:val="0024474F"/>
    <w:rsid w:val="00244761"/>
    <w:rsid w:val="002450F2"/>
    <w:rsid w:val="00245B7F"/>
    <w:rsid w:val="002469C2"/>
    <w:rsid w:val="00247BDE"/>
    <w:rsid w:val="00247DE2"/>
    <w:rsid w:val="00247E6C"/>
    <w:rsid w:val="002505DE"/>
    <w:rsid w:val="002514FA"/>
    <w:rsid w:val="00251DAF"/>
    <w:rsid w:val="00252503"/>
    <w:rsid w:val="002529A0"/>
    <w:rsid w:val="00252ED7"/>
    <w:rsid w:val="0025393C"/>
    <w:rsid w:val="002549E7"/>
    <w:rsid w:val="00254A7A"/>
    <w:rsid w:val="00254EA4"/>
    <w:rsid w:val="0025509C"/>
    <w:rsid w:val="002552F8"/>
    <w:rsid w:val="0025575F"/>
    <w:rsid w:val="0025695E"/>
    <w:rsid w:val="002571E3"/>
    <w:rsid w:val="002573DA"/>
    <w:rsid w:val="00260496"/>
    <w:rsid w:val="00260542"/>
    <w:rsid w:val="00260BAD"/>
    <w:rsid w:val="0026224C"/>
    <w:rsid w:val="002624B6"/>
    <w:rsid w:val="002635FD"/>
    <w:rsid w:val="00264C7C"/>
    <w:rsid w:val="0026650F"/>
    <w:rsid w:val="00266DC3"/>
    <w:rsid w:val="00267736"/>
    <w:rsid w:val="0027029D"/>
    <w:rsid w:val="00270443"/>
    <w:rsid w:val="00270EE2"/>
    <w:rsid w:val="0027138C"/>
    <w:rsid w:val="0027165A"/>
    <w:rsid w:val="00272787"/>
    <w:rsid w:val="00272826"/>
    <w:rsid w:val="00272A7B"/>
    <w:rsid w:val="00272C44"/>
    <w:rsid w:val="00272F05"/>
    <w:rsid w:val="00273527"/>
    <w:rsid w:val="00273F6B"/>
    <w:rsid w:val="002747EF"/>
    <w:rsid w:val="00274B06"/>
    <w:rsid w:val="002751D6"/>
    <w:rsid w:val="002754D3"/>
    <w:rsid w:val="00275F9A"/>
    <w:rsid w:val="00276261"/>
    <w:rsid w:val="00276944"/>
    <w:rsid w:val="00276964"/>
    <w:rsid w:val="002769AE"/>
    <w:rsid w:val="00276CA7"/>
    <w:rsid w:val="0028032E"/>
    <w:rsid w:val="0028146C"/>
    <w:rsid w:val="002816DD"/>
    <w:rsid w:val="002817A6"/>
    <w:rsid w:val="002821E8"/>
    <w:rsid w:val="00282F1D"/>
    <w:rsid w:val="00283215"/>
    <w:rsid w:val="002833F3"/>
    <w:rsid w:val="0028391C"/>
    <w:rsid w:val="00284203"/>
    <w:rsid w:val="00284719"/>
    <w:rsid w:val="00285007"/>
    <w:rsid w:val="00285237"/>
    <w:rsid w:val="00285E3F"/>
    <w:rsid w:val="0028610D"/>
    <w:rsid w:val="002862CC"/>
    <w:rsid w:val="00286BFE"/>
    <w:rsid w:val="00286C81"/>
    <w:rsid w:val="0028703E"/>
    <w:rsid w:val="0028709F"/>
    <w:rsid w:val="0028717B"/>
    <w:rsid w:val="00287524"/>
    <w:rsid w:val="00290119"/>
    <w:rsid w:val="0029040D"/>
    <w:rsid w:val="002908F8"/>
    <w:rsid w:val="00290A53"/>
    <w:rsid w:val="00290B64"/>
    <w:rsid w:val="00291670"/>
    <w:rsid w:val="00291CB7"/>
    <w:rsid w:val="0029280F"/>
    <w:rsid w:val="00292E91"/>
    <w:rsid w:val="002930AD"/>
    <w:rsid w:val="00293254"/>
    <w:rsid w:val="00295002"/>
    <w:rsid w:val="0029568E"/>
    <w:rsid w:val="00295E8C"/>
    <w:rsid w:val="002971C7"/>
    <w:rsid w:val="002971F2"/>
    <w:rsid w:val="00297785"/>
    <w:rsid w:val="00297CAE"/>
    <w:rsid w:val="00297E05"/>
    <w:rsid w:val="002A0444"/>
    <w:rsid w:val="002A0F8D"/>
    <w:rsid w:val="002A1311"/>
    <w:rsid w:val="002A1377"/>
    <w:rsid w:val="002A211A"/>
    <w:rsid w:val="002A222A"/>
    <w:rsid w:val="002A264B"/>
    <w:rsid w:val="002A4A82"/>
    <w:rsid w:val="002A4B33"/>
    <w:rsid w:val="002A4C00"/>
    <w:rsid w:val="002A5311"/>
    <w:rsid w:val="002A5863"/>
    <w:rsid w:val="002A6E9B"/>
    <w:rsid w:val="002A6FBB"/>
    <w:rsid w:val="002B05D1"/>
    <w:rsid w:val="002B1933"/>
    <w:rsid w:val="002B20BD"/>
    <w:rsid w:val="002B2611"/>
    <w:rsid w:val="002B27D8"/>
    <w:rsid w:val="002B35B9"/>
    <w:rsid w:val="002B38D2"/>
    <w:rsid w:val="002B3A46"/>
    <w:rsid w:val="002B3F1C"/>
    <w:rsid w:val="002B401B"/>
    <w:rsid w:val="002B4ED9"/>
    <w:rsid w:val="002B4EF4"/>
    <w:rsid w:val="002B51BB"/>
    <w:rsid w:val="002B58C5"/>
    <w:rsid w:val="002B6CA2"/>
    <w:rsid w:val="002B6E44"/>
    <w:rsid w:val="002B6E8A"/>
    <w:rsid w:val="002B726F"/>
    <w:rsid w:val="002B744E"/>
    <w:rsid w:val="002B7909"/>
    <w:rsid w:val="002C000B"/>
    <w:rsid w:val="002C016F"/>
    <w:rsid w:val="002C09A8"/>
    <w:rsid w:val="002C103C"/>
    <w:rsid w:val="002C1109"/>
    <w:rsid w:val="002C12C7"/>
    <w:rsid w:val="002C1E93"/>
    <w:rsid w:val="002C29EB"/>
    <w:rsid w:val="002C30F0"/>
    <w:rsid w:val="002C3303"/>
    <w:rsid w:val="002C401A"/>
    <w:rsid w:val="002C479B"/>
    <w:rsid w:val="002C4EC8"/>
    <w:rsid w:val="002C532B"/>
    <w:rsid w:val="002C6AF5"/>
    <w:rsid w:val="002C6D15"/>
    <w:rsid w:val="002C72F4"/>
    <w:rsid w:val="002C7E5B"/>
    <w:rsid w:val="002D0907"/>
    <w:rsid w:val="002D0E9E"/>
    <w:rsid w:val="002D1381"/>
    <w:rsid w:val="002D2D68"/>
    <w:rsid w:val="002D2F69"/>
    <w:rsid w:val="002D3016"/>
    <w:rsid w:val="002D3067"/>
    <w:rsid w:val="002D38D9"/>
    <w:rsid w:val="002D3CE3"/>
    <w:rsid w:val="002D4298"/>
    <w:rsid w:val="002D47E8"/>
    <w:rsid w:val="002D4FCC"/>
    <w:rsid w:val="002D571C"/>
    <w:rsid w:val="002D5FD5"/>
    <w:rsid w:val="002D68F4"/>
    <w:rsid w:val="002D7395"/>
    <w:rsid w:val="002D7417"/>
    <w:rsid w:val="002D782B"/>
    <w:rsid w:val="002E0D9C"/>
    <w:rsid w:val="002E1247"/>
    <w:rsid w:val="002E26E8"/>
    <w:rsid w:val="002E33FF"/>
    <w:rsid w:val="002E3DD8"/>
    <w:rsid w:val="002E3ED8"/>
    <w:rsid w:val="002E5A01"/>
    <w:rsid w:val="002E5EA3"/>
    <w:rsid w:val="002E717C"/>
    <w:rsid w:val="002E7533"/>
    <w:rsid w:val="002E7A61"/>
    <w:rsid w:val="002F00B8"/>
    <w:rsid w:val="002F0106"/>
    <w:rsid w:val="002F03C8"/>
    <w:rsid w:val="002F188D"/>
    <w:rsid w:val="002F18A5"/>
    <w:rsid w:val="002F26F3"/>
    <w:rsid w:val="002F317F"/>
    <w:rsid w:val="002F51A2"/>
    <w:rsid w:val="002F5BA8"/>
    <w:rsid w:val="002F5E95"/>
    <w:rsid w:val="002F5F68"/>
    <w:rsid w:val="002F63CA"/>
    <w:rsid w:val="002F67B4"/>
    <w:rsid w:val="002F6F73"/>
    <w:rsid w:val="002F7AA9"/>
    <w:rsid w:val="003004E3"/>
    <w:rsid w:val="00300FF1"/>
    <w:rsid w:val="00301C0D"/>
    <w:rsid w:val="00301D7B"/>
    <w:rsid w:val="00301E19"/>
    <w:rsid w:val="003023DE"/>
    <w:rsid w:val="00303DC4"/>
    <w:rsid w:val="00304676"/>
    <w:rsid w:val="003051A7"/>
    <w:rsid w:val="00306BE7"/>
    <w:rsid w:val="003110A2"/>
    <w:rsid w:val="00311655"/>
    <w:rsid w:val="00311B66"/>
    <w:rsid w:val="00311F29"/>
    <w:rsid w:val="00312518"/>
    <w:rsid w:val="00314036"/>
    <w:rsid w:val="00314347"/>
    <w:rsid w:val="00314C4F"/>
    <w:rsid w:val="00314FAF"/>
    <w:rsid w:val="003162A5"/>
    <w:rsid w:val="00316591"/>
    <w:rsid w:val="00320553"/>
    <w:rsid w:val="00320C6D"/>
    <w:rsid w:val="003213A8"/>
    <w:rsid w:val="00321FA8"/>
    <w:rsid w:val="00321FFD"/>
    <w:rsid w:val="003225AD"/>
    <w:rsid w:val="00322A74"/>
    <w:rsid w:val="00322E18"/>
    <w:rsid w:val="00322F43"/>
    <w:rsid w:val="00323BBB"/>
    <w:rsid w:val="00323C3D"/>
    <w:rsid w:val="00323D1D"/>
    <w:rsid w:val="00323F8A"/>
    <w:rsid w:val="00324752"/>
    <w:rsid w:val="00324D73"/>
    <w:rsid w:val="00325575"/>
    <w:rsid w:val="00326011"/>
    <w:rsid w:val="0032643D"/>
    <w:rsid w:val="003268D0"/>
    <w:rsid w:val="00326D02"/>
    <w:rsid w:val="00327069"/>
    <w:rsid w:val="00327812"/>
    <w:rsid w:val="00327AFB"/>
    <w:rsid w:val="00327BAD"/>
    <w:rsid w:val="00327BAF"/>
    <w:rsid w:val="00327D10"/>
    <w:rsid w:val="00331894"/>
    <w:rsid w:val="00332CB8"/>
    <w:rsid w:val="00333428"/>
    <w:rsid w:val="003350B6"/>
    <w:rsid w:val="0033595E"/>
    <w:rsid w:val="0033601B"/>
    <w:rsid w:val="003364B6"/>
    <w:rsid w:val="0033764C"/>
    <w:rsid w:val="00337DF3"/>
    <w:rsid w:val="00337F8E"/>
    <w:rsid w:val="00340039"/>
    <w:rsid w:val="003400D3"/>
    <w:rsid w:val="0034024F"/>
    <w:rsid w:val="00340A77"/>
    <w:rsid w:val="00340D39"/>
    <w:rsid w:val="00340DFB"/>
    <w:rsid w:val="00341941"/>
    <w:rsid w:val="0034207A"/>
    <w:rsid w:val="0034278F"/>
    <w:rsid w:val="0034281F"/>
    <w:rsid w:val="00343B47"/>
    <w:rsid w:val="0034404F"/>
    <w:rsid w:val="00344ACC"/>
    <w:rsid w:val="00345CE6"/>
    <w:rsid w:val="00345F01"/>
    <w:rsid w:val="0034654F"/>
    <w:rsid w:val="00346B28"/>
    <w:rsid w:val="00347685"/>
    <w:rsid w:val="003509A5"/>
    <w:rsid w:val="003515FD"/>
    <w:rsid w:val="0035178C"/>
    <w:rsid w:val="003518A4"/>
    <w:rsid w:val="00351E21"/>
    <w:rsid w:val="00352327"/>
    <w:rsid w:val="003526A9"/>
    <w:rsid w:val="00354062"/>
    <w:rsid w:val="00354405"/>
    <w:rsid w:val="00354AED"/>
    <w:rsid w:val="00355A76"/>
    <w:rsid w:val="00355DEC"/>
    <w:rsid w:val="0035635F"/>
    <w:rsid w:val="00356BF0"/>
    <w:rsid w:val="00356E0F"/>
    <w:rsid w:val="0035700C"/>
    <w:rsid w:val="003575A9"/>
    <w:rsid w:val="0036027B"/>
    <w:rsid w:val="003607EE"/>
    <w:rsid w:val="00360BC8"/>
    <w:rsid w:val="00360E35"/>
    <w:rsid w:val="00361106"/>
    <w:rsid w:val="003617AE"/>
    <w:rsid w:val="0036215C"/>
    <w:rsid w:val="003630F7"/>
    <w:rsid w:val="0036332B"/>
    <w:rsid w:val="00363589"/>
    <w:rsid w:val="00363636"/>
    <w:rsid w:val="003651AC"/>
    <w:rsid w:val="003653AA"/>
    <w:rsid w:val="00366120"/>
    <w:rsid w:val="003661FF"/>
    <w:rsid w:val="003665A5"/>
    <w:rsid w:val="00366A0C"/>
    <w:rsid w:val="00367238"/>
    <w:rsid w:val="00367462"/>
    <w:rsid w:val="003677D5"/>
    <w:rsid w:val="0037034B"/>
    <w:rsid w:val="00370507"/>
    <w:rsid w:val="00370682"/>
    <w:rsid w:val="00370F0B"/>
    <w:rsid w:val="003718D8"/>
    <w:rsid w:val="00372A01"/>
    <w:rsid w:val="003733DF"/>
    <w:rsid w:val="00373865"/>
    <w:rsid w:val="003739DA"/>
    <w:rsid w:val="00373CE8"/>
    <w:rsid w:val="00374DB0"/>
    <w:rsid w:val="00374F6C"/>
    <w:rsid w:val="003751C7"/>
    <w:rsid w:val="00375C84"/>
    <w:rsid w:val="00376524"/>
    <w:rsid w:val="00376E3B"/>
    <w:rsid w:val="003776FE"/>
    <w:rsid w:val="00377A56"/>
    <w:rsid w:val="00380424"/>
    <w:rsid w:val="00380868"/>
    <w:rsid w:val="00380B9B"/>
    <w:rsid w:val="003818B3"/>
    <w:rsid w:val="003819F5"/>
    <w:rsid w:val="00381A52"/>
    <w:rsid w:val="00381B57"/>
    <w:rsid w:val="00381D47"/>
    <w:rsid w:val="003821CC"/>
    <w:rsid w:val="00382210"/>
    <w:rsid w:val="003835F0"/>
    <w:rsid w:val="00383CC1"/>
    <w:rsid w:val="003853B1"/>
    <w:rsid w:val="003853ED"/>
    <w:rsid w:val="0038628F"/>
    <w:rsid w:val="00386421"/>
    <w:rsid w:val="0038704C"/>
    <w:rsid w:val="003874D7"/>
    <w:rsid w:val="00387AA1"/>
    <w:rsid w:val="0039082A"/>
    <w:rsid w:val="0039101F"/>
    <w:rsid w:val="00392EDB"/>
    <w:rsid w:val="00392FAE"/>
    <w:rsid w:val="003931AA"/>
    <w:rsid w:val="00393EEE"/>
    <w:rsid w:val="003941C0"/>
    <w:rsid w:val="00394737"/>
    <w:rsid w:val="00394D45"/>
    <w:rsid w:val="00395132"/>
    <w:rsid w:val="00395D99"/>
    <w:rsid w:val="003968DF"/>
    <w:rsid w:val="003976C3"/>
    <w:rsid w:val="00397A03"/>
    <w:rsid w:val="00397A64"/>
    <w:rsid w:val="003A099A"/>
    <w:rsid w:val="003A1372"/>
    <w:rsid w:val="003A1D46"/>
    <w:rsid w:val="003A1E38"/>
    <w:rsid w:val="003A2447"/>
    <w:rsid w:val="003A2B82"/>
    <w:rsid w:val="003A36D3"/>
    <w:rsid w:val="003A3927"/>
    <w:rsid w:val="003A3D2E"/>
    <w:rsid w:val="003A3FF7"/>
    <w:rsid w:val="003A43D1"/>
    <w:rsid w:val="003A6A51"/>
    <w:rsid w:val="003A6E29"/>
    <w:rsid w:val="003A7FEA"/>
    <w:rsid w:val="003B0BDB"/>
    <w:rsid w:val="003B0E88"/>
    <w:rsid w:val="003B106E"/>
    <w:rsid w:val="003B153F"/>
    <w:rsid w:val="003B17B0"/>
    <w:rsid w:val="003B1844"/>
    <w:rsid w:val="003B1A5C"/>
    <w:rsid w:val="003B211E"/>
    <w:rsid w:val="003B24EA"/>
    <w:rsid w:val="003B2DA7"/>
    <w:rsid w:val="003B3AB7"/>
    <w:rsid w:val="003B3ABC"/>
    <w:rsid w:val="003B3CDD"/>
    <w:rsid w:val="003B3CFF"/>
    <w:rsid w:val="003B3D8E"/>
    <w:rsid w:val="003B3FED"/>
    <w:rsid w:val="003B3FF1"/>
    <w:rsid w:val="003B4217"/>
    <w:rsid w:val="003B59A1"/>
    <w:rsid w:val="003B6D11"/>
    <w:rsid w:val="003B74F1"/>
    <w:rsid w:val="003B7541"/>
    <w:rsid w:val="003B7966"/>
    <w:rsid w:val="003B7F07"/>
    <w:rsid w:val="003B7FCE"/>
    <w:rsid w:val="003C0600"/>
    <w:rsid w:val="003C0C21"/>
    <w:rsid w:val="003C0F87"/>
    <w:rsid w:val="003C141E"/>
    <w:rsid w:val="003C17C5"/>
    <w:rsid w:val="003C1B83"/>
    <w:rsid w:val="003C2008"/>
    <w:rsid w:val="003C210E"/>
    <w:rsid w:val="003C21B3"/>
    <w:rsid w:val="003C30AD"/>
    <w:rsid w:val="003C3503"/>
    <w:rsid w:val="003C3B99"/>
    <w:rsid w:val="003C40DE"/>
    <w:rsid w:val="003C4851"/>
    <w:rsid w:val="003C4C96"/>
    <w:rsid w:val="003C55E0"/>
    <w:rsid w:val="003C5E39"/>
    <w:rsid w:val="003C683A"/>
    <w:rsid w:val="003D0079"/>
    <w:rsid w:val="003D017D"/>
    <w:rsid w:val="003D04D6"/>
    <w:rsid w:val="003D10EC"/>
    <w:rsid w:val="003D28A0"/>
    <w:rsid w:val="003D28DE"/>
    <w:rsid w:val="003D29B9"/>
    <w:rsid w:val="003D3500"/>
    <w:rsid w:val="003D37B6"/>
    <w:rsid w:val="003D3C68"/>
    <w:rsid w:val="003D450D"/>
    <w:rsid w:val="003D4D72"/>
    <w:rsid w:val="003D503A"/>
    <w:rsid w:val="003D6505"/>
    <w:rsid w:val="003D71A6"/>
    <w:rsid w:val="003D7709"/>
    <w:rsid w:val="003E004C"/>
    <w:rsid w:val="003E0294"/>
    <w:rsid w:val="003E0BAF"/>
    <w:rsid w:val="003E0E25"/>
    <w:rsid w:val="003E1409"/>
    <w:rsid w:val="003E16F2"/>
    <w:rsid w:val="003E2195"/>
    <w:rsid w:val="003E36A5"/>
    <w:rsid w:val="003E4A52"/>
    <w:rsid w:val="003E5CBA"/>
    <w:rsid w:val="003E78A9"/>
    <w:rsid w:val="003E7912"/>
    <w:rsid w:val="003E7CA1"/>
    <w:rsid w:val="003F04E6"/>
    <w:rsid w:val="003F2CDD"/>
    <w:rsid w:val="003F430F"/>
    <w:rsid w:val="003F45D7"/>
    <w:rsid w:val="003F5660"/>
    <w:rsid w:val="003F5717"/>
    <w:rsid w:val="003F5A39"/>
    <w:rsid w:val="003F5B56"/>
    <w:rsid w:val="003F5B9F"/>
    <w:rsid w:val="003F5C1A"/>
    <w:rsid w:val="003F6A6A"/>
    <w:rsid w:val="003F738D"/>
    <w:rsid w:val="003F7554"/>
    <w:rsid w:val="003F7845"/>
    <w:rsid w:val="003F7FA1"/>
    <w:rsid w:val="003F7FA4"/>
    <w:rsid w:val="00400003"/>
    <w:rsid w:val="004006EA"/>
    <w:rsid w:val="004008DE"/>
    <w:rsid w:val="00400B4E"/>
    <w:rsid w:val="0040130D"/>
    <w:rsid w:val="00402967"/>
    <w:rsid w:val="00402E56"/>
    <w:rsid w:val="00403634"/>
    <w:rsid w:val="00403A99"/>
    <w:rsid w:val="00404592"/>
    <w:rsid w:val="00404B58"/>
    <w:rsid w:val="0040544F"/>
    <w:rsid w:val="00405537"/>
    <w:rsid w:val="0040625C"/>
    <w:rsid w:val="004069D2"/>
    <w:rsid w:val="004076FF"/>
    <w:rsid w:val="004109CC"/>
    <w:rsid w:val="00411B17"/>
    <w:rsid w:val="00411FFF"/>
    <w:rsid w:val="0041222D"/>
    <w:rsid w:val="004124F2"/>
    <w:rsid w:val="00412E6F"/>
    <w:rsid w:val="004134BE"/>
    <w:rsid w:val="00413C5C"/>
    <w:rsid w:val="0041413F"/>
    <w:rsid w:val="0041567A"/>
    <w:rsid w:val="00415BAB"/>
    <w:rsid w:val="00415BCF"/>
    <w:rsid w:val="00416297"/>
    <w:rsid w:val="00417083"/>
    <w:rsid w:val="00417E36"/>
    <w:rsid w:val="0042057C"/>
    <w:rsid w:val="00420BDF"/>
    <w:rsid w:val="00421608"/>
    <w:rsid w:val="0042188F"/>
    <w:rsid w:val="004218E5"/>
    <w:rsid w:val="00421C23"/>
    <w:rsid w:val="0042261E"/>
    <w:rsid w:val="00422749"/>
    <w:rsid w:val="004228F2"/>
    <w:rsid w:val="004233DC"/>
    <w:rsid w:val="00424888"/>
    <w:rsid w:val="004255D9"/>
    <w:rsid w:val="00425763"/>
    <w:rsid w:val="00425C3C"/>
    <w:rsid w:val="00427D1B"/>
    <w:rsid w:val="00427E40"/>
    <w:rsid w:val="004306AB"/>
    <w:rsid w:val="0043159D"/>
    <w:rsid w:val="0043171D"/>
    <w:rsid w:val="00432B10"/>
    <w:rsid w:val="00432F78"/>
    <w:rsid w:val="004334A2"/>
    <w:rsid w:val="004335BC"/>
    <w:rsid w:val="004339E6"/>
    <w:rsid w:val="00434723"/>
    <w:rsid w:val="00434729"/>
    <w:rsid w:val="0043617B"/>
    <w:rsid w:val="00437D17"/>
    <w:rsid w:val="00437D2F"/>
    <w:rsid w:val="0044046D"/>
    <w:rsid w:val="004410D3"/>
    <w:rsid w:val="00441A5B"/>
    <w:rsid w:val="00441DAF"/>
    <w:rsid w:val="0044270D"/>
    <w:rsid w:val="00442E8C"/>
    <w:rsid w:val="0044312A"/>
    <w:rsid w:val="00443310"/>
    <w:rsid w:val="004435D5"/>
    <w:rsid w:val="00443A34"/>
    <w:rsid w:val="00443D38"/>
    <w:rsid w:val="00443EFC"/>
    <w:rsid w:val="00444140"/>
    <w:rsid w:val="00444BF5"/>
    <w:rsid w:val="00444F43"/>
    <w:rsid w:val="00447B4D"/>
    <w:rsid w:val="00447C0A"/>
    <w:rsid w:val="00447C23"/>
    <w:rsid w:val="00450744"/>
    <w:rsid w:val="00450BE7"/>
    <w:rsid w:val="00450FE8"/>
    <w:rsid w:val="004518D0"/>
    <w:rsid w:val="0045213A"/>
    <w:rsid w:val="0045230E"/>
    <w:rsid w:val="004528FA"/>
    <w:rsid w:val="00452D67"/>
    <w:rsid w:val="00452E53"/>
    <w:rsid w:val="0045418C"/>
    <w:rsid w:val="004542C6"/>
    <w:rsid w:val="00454EDC"/>
    <w:rsid w:val="00455B00"/>
    <w:rsid w:val="00455B97"/>
    <w:rsid w:val="00456635"/>
    <w:rsid w:val="00456BFD"/>
    <w:rsid w:val="004575D5"/>
    <w:rsid w:val="00457657"/>
    <w:rsid w:val="004600BF"/>
    <w:rsid w:val="004607D0"/>
    <w:rsid w:val="00460CE3"/>
    <w:rsid w:val="00460F25"/>
    <w:rsid w:val="004612A4"/>
    <w:rsid w:val="0046153C"/>
    <w:rsid w:val="004624D2"/>
    <w:rsid w:val="004625C8"/>
    <w:rsid w:val="004626A2"/>
    <w:rsid w:val="00462DCE"/>
    <w:rsid w:val="0046442A"/>
    <w:rsid w:val="00464BF1"/>
    <w:rsid w:val="00464DA5"/>
    <w:rsid w:val="00465D73"/>
    <w:rsid w:val="00466078"/>
    <w:rsid w:val="0046626B"/>
    <w:rsid w:val="004676E4"/>
    <w:rsid w:val="00467AFF"/>
    <w:rsid w:val="00470183"/>
    <w:rsid w:val="004708C9"/>
    <w:rsid w:val="00470C48"/>
    <w:rsid w:val="0047139F"/>
    <w:rsid w:val="00471429"/>
    <w:rsid w:val="004722B1"/>
    <w:rsid w:val="004733B7"/>
    <w:rsid w:val="0047388C"/>
    <w:rsid w:val="00473A47"/>
    <w:rsid w:val="00473A4F"/>
    <w:rsid w:val="00473C0A"/>
    <w:rsid w:val="00473EEF"/>
    <w:rsid w:val="00474415"/>
    <w:rsid w:val="00474BC1"/>
    <w:rsid w:val="004763EC"/>
    <w:rsid w:val="0047722F"/>
    <w:rsid w:val="00477459"/>
    <w:rsid w:val="00477CC9"/>
    <w:rsid w:val="0048026E"/>
    <w:rsid w:val="00480303"/>
    <w:rsid w:val="004807A9"/>
    <w:rsid w:val="00480A8A"/>
    <w:rsid w:val="00480F76"/>
    <w:rsid w:val="004810A5"/>
    <w:rsid w:val="004810E0"/>
    <w:rsid w:val="00481318"/>
    <w:rsid w:val="00481363"/>
    <w:rsid w:val="004813EE"/>
    <w:rsid w:val="00481835"/>
    <w:rsid w:val="00482CDC"/>
    <w:rsid w:val="00482FB0"/>
    <w:rsid w:val="00483B03"/>
    <w:rsid w:val="0048444C"/>
    <w:rsid w:val="00484EF6"/>
    <w:rsid w:val="00485058"/>
    <w:rsid w:val="00485702"/>
    <w:rsid w:val="004867EC"/>
    <w:rsid w:val="00486A37"/>
    <w:rsid w:val="00486BB5"/>
    <w:rsid w:val="00487662"/>
    <w:rsid w:val="004876C6"/>
    <w:rsid w:val="00487D7B"/>
    <w:rsid w:val="00487F9E"/>
    <w:rsid w:val="00490A79"/>
    <w:rsid w:val="00490F7A"/>
    <w:rsid w:val="00490FD5"/>
    <w:rsid w:val="00491241"/>
    <w:rsid w:val="00491813"/>
    <w:rsid w:val="00493278"/>
    <w:rsid w:val="00493855"/>
    <w:rsid w:val="004951D8"/>
    <w:rsid w:val="004952C1"/>
    <w:rsid w:val="00496BAD"/>
    <w:rsid w:val="00497575"/>
    <w:rsid w:val="004A006F"/>
    <w:rsid w:val="004A078B"/>
    <w:rsid w:val="004A12C0"/>
    <w:rsid w:val="004A169A"/>
    <w:rsid w:val="004A180B"/>
    <w:rsid w:val="004A18C9"/>
    <w:rsid w:val="004A191A"/>
    <w:rsid w:val="004A1A70"/>
    <w:rsid w:val="004A4027"/>
    <w:rsid w:val="004A419E"/>
    <w:rsid w:val="004A4688"/>
    <w:rsid w:val="004A6463"/>
    <w:rsid w:val="004A6B58"/>
    <w:rsid w:val="004A6BA2"/>
    <w:rsid w:val="004B06C3"/>
    <w:rsid w:val="004B0917"/>
    <w:rsid w:val="004B0B09"/>
    <w:rsid w:val="004B140F"/>
    <w:rsid w:val="004B14EB"/>
    <w:rsid w:val="004B21CF"/>
    <w:rsid w:val="004B2DE3"/>
    <w:rsid w:val="004B3FEA"/>
    <w:rsid w:val="004B4E68"/>
    <w:rsid w:val="004B53F1"/>
    <w:rsid w:val="004B5D6E"/>
    <w:rsid w:val="004B60BA"/>
    <w:rsid w:val="004B6946"/>
    <w:rsid w:val="004B6D89"/>
    <w:rsid w:val="004B6E81"/>
    <w:rsid w:val="004C0FFE"/>
    <w:rsid w:val="004C136D"/>
    <w:rsid w:val="004C1619"/>
    <w:rsid w:val="004C177F"/>
    <w:rsid w:val="004C19E4"/>
    <w:rsid w:val="004C1B59"/>
    <w:rsid w:val="004C2776"/>
    <w:rsid w:val="004C3C25"/>
    <w:rsid w:val="004C3CBC"/>
    <w:rsid w:val="004C3EEA"/>
    <w:rsid w:val="004C4EA2"/>
    <w:rsid w:val="004C5846"/>
    <w:rsid w:val="004C596B"/>
    <w:rsid w:val="004C5E41"/>
    <w:rsid w:val="004C60E7"/>
    <w:rsid w:val="004C664D"/>
    <w:rsid w:val="004C6E0B"/>
    <w:rsid w:val="004C7BDE"/>
    <w:rsid w:val="004D0090"/>
    <w:rsid w:val="004D020F"/>
    <w:rsid w:val="004D03D1"/>
    <w:rsid w:val="004D10B0"/>
    <w:rsid w:val="004D11AF"/>
    <w:rsid w:val="004D2E58"/>
    <w:rsid w:val="004D37D9"/>
    <w:rsid w:val="004D41A2"/>
    <w:rsid w:val="004D4E55"/>
    <w:rsid w:val="004D502C"/>
    <w:rsid w:val="004D5FB2"/>
    <w:rsid w:val="004D60A3"/>
    <w:rsid w:val="004D6DC3"/>
    <w:rsid w:val="004D71CA"/>
    <w:rsid w:val="004E016A"/>
    <w:rsid w:val="004E0461"/>
    <w:rsid w:val="004E1CC8"/>
    <w:rsid w:val="004E29B1"/>
    <w:rsid w:val="004E3F87"/>
    <w:rsid w:val="004E461B"/>
    <w:rsid w:val="004E477D"/>
    <w:rsid w:val="004E5890"/>
    <w:rsid w:val="004E79EF"/>
    <w:rsid w:val="004E7B33"/>
    <w:rsid w:val="004F0368"/>
    <w:rsid w:val="004F0D19"/>
    <w:rsid w:val="004F121B"/>
    <w:rsid w:val="004F140F"/>
    <w:rsid w:val="004F185F"/>
    <w:rsid w:val="004F2811"/>
    <w:rsid w:val="004F3326"/>
    <w:rsid w:val="004F51F8"/>
    <w:rsid w:val="004F590E"/>
    <w:rsid w:val="004F5966"/>
    <w:rsid w:val="004F5E69"/>
    <w:rsid w:val="004F6026"/>
    <w:rsid w:val="004F60F4"/>
    <w:rsid w:val="004F62E8"/>
    <w:rsid w:val="004F67C3"/>
    <w:rsid w:val="004F6C17"/>
    <w:rsid w:val="004F7390"/>
    <w:rsid w:val="004F78F8"/>
    <w:rsid w:val="005001A5"/>
    <w:rsid w:val="00500CCD"/>
    <w:rsid w:val="005019AA"/>
    <w:rsid w:val="00502008"/>
    <w:rsid w:val="005032E9"/>
    <w:rsid w:val="00503C3B"/>
    <w:rsid w:val="00503CE7"/>
    <w:rsid w:val="005040C9"/>
    <w:rsid w:val="005042DB"/>
    <w:rsid w:val="0050458E"/>
    <w:rsid w:val="00505928"/>
    <w:rsid w:val="00505CD6"/>
    <w:rsid w:val="005069B2"/>
    <w:rsid w:val="0050741A"/>
    <w:rsid w:val="00510452"/>
    <w:rsid w:val="005107BD"/>
    <w:rsid w:val="005108EC"/>
    <w:rsid w:val="00511DC3"/>
    <w:rsid w:val="00511F8F"/>
    <w:rsid w:val="0051215A"/>
    <w:rsid w:val="00512A7E"/>
    <w:rsid w:val="00513291"/>
    <w:rsid w:val="00513C86"/>
    <w:rsid w:val="00513EA4"/>
    <w:rsid w:val="005147DA"/>
    <w:rsid w:val="00514FBF"/>
    <w:rsid w:val="00514FCB"/>
    <w:rsid w:val="005153AC"/>
    <w:rsid w:val="005153C3"/>
    <w:rsid w:val="00515745"/>
    <w:rsid w:val="00515862"/>
    <w:rsid w:val="005165FE"/>
    <w:rsid w:val="0051690E"/>
    <w:rsid w:val="00516942"/>
    <w:rsid w:val="00516DC0"/>
    <w:rsid w:val="00516DC5"/>
    <w:rsid w:val="00520BBA"/>
    <w:rsid w:val="005225AC"/>
    <w:rsid w:val="005226FA"/>
    <w:rsid w:val="005233F3"/>
    <w:rsid w:val="0052365C"/>
    <w:rsid w:val="005245D2"/>
    <w:rsid w:val="0052488B"/>
    <w:rsid w:val="00524C98"/>
    <w:rsid w:val="00524C9C"/>
    <w:rsid w:val="00524EDD"/>
    <w:rsid w:val="00524FEB"/>
    <w:rsid w:val="00525B59"/>
    <w:rsid w:val="005269C4"/>
    <w:rsid w:val="00526A20"/>
    <w:rsid w:val="00531966"/>
    <w:rsid w:val="00532472"/>
    <w:rsid w:val="005325C9"/>
    <w:rsid w:val="005329DA"/>
    <w:rsid w:val="0053322F"/>
    <w:rsid w:val="00533BC1"/>
    <w:rsid w:val="00533DBF"/>
    <w:rsid w:val="00534940"/>
    <w:rsid w:val="00535673"/>
    <w:rsid w:val="00535784"/>
    <w:rsid w:val="00535D6B"/>
    <w:rsid w:val="00536442"/>
    <w:rsid w:val="00536AE0"/>
    <w:rsid w:val="00536D99"/>
    <w:rsid w:val="005374FE"/>
    <w:rsid w:val="005378BC"/>
    <w:rsid w:val="0054053D"/>
    <w:rsid w:val="0054126C"/>
    <w:rsid w:val="00541368"/>
    <w:rsid w:val="005415DD"/>
    <w:rsid w:val="00541D12"/>
    <w:rsid w:val="005423F3"/>
    <w:rsid w:val="005426DB"/>
    <w:rsid w:val="005442F1"/>
    <w:rsid w:val="005449DD"/>
    <w:rsid w:val="00544A24"/>
    <w:rsid w:val="0054583C"/>
    <w:rsid w:val="00546227"/>
    <w:rsid w:val="005468E2"/>
    <w:rsid w:val="00546D83"/>
    <w:rsid w:val="00550113"/>
    <w:rsid w:val="0055019B"/>
    <w:rsid w:val="005504BE"/>
    <w:rsid w:val="0055082B"/>
    <w:rsid w:val="0055093A"/>
    <w:rsid w:val="00550F00"/>
    <w:rsid w:val="00551BC9"/>
    <w:rsid w:val="00551BDF"/>
    <w:rsid w:val="00551ED7"/>
    <w:rsid w:val="0055211C"/>
    <w:rsid w:val="0055263A"/>
    <w:rsid w:val="005526EE"/>
    <w:rsid w:val="00552B57"/>
    <w:rsid w:val="00552E53"/>
    <w:rsid w:val="00553E34"/>
    <w:rsid w:val="005547B7"/>
    <w:rsid w:val="005551E9"/>
    <w:rsid w:val="0055680D"/>
    <w:rsid w:val="00557670"/>
    <w:rsid w:val="00557C2D"/>
    <w:rsid w:val="00560094"/>
    <w:rsid w:val="00560C62"/>
    <w:rsid w:val="00560F4A"/>
    <w:rsid w:val="00562A61"/>
    <w:rsid w:val="00562E78"/>
    <w:rsid w:val="005638A2"/>
    <w:rsid w:val="00564E45"/>
    <w:rsid w:val="005652D5"/>
    <w:rsid w:val="00565E52"/>
    <w:rsid w:val="00567227"/>
    <w:rsid w:val="00567CD0"/>
    <w:rsid w:val="00570C7B"/>
    <w:rsid w:val="00571C77"/>
    <w:rsid w:val="0057273D"/>
    <w:rsid w:val="00572D5B"/>
    <w:rsid w:val="00574614"/>
    <w:rsid w:val="00574A70"/>
    <w:rsid w:val="00574D35"/>
    <w:rsid w:val="00574F5B"/>
    <w:rsid w:val="00575C75"/>
    <w:rsid w:val="005762CA"/>
    <w:rsid w:val="005770CF"/>
    <w:rsid w:val="00577904"/>
    <w:rsid w:val="00577922"/>
    <w:rsid w:val="00577AC3"/>
    <w:rsid w:val="00580577"/>
    <w:rsid w:val="005815A8"/>
    <w:rsid w:val="005818BD"/>
    <w:rsid w:val="00581915"/>
    <w:rsid w:val="0058307E"/>
    <w:rsid w:val="00583431"/>
    <w:rsid w:val="005846C0"/>
    <w:rsid w:val="00584D04"/>
    <w:rsid w:val="005853F5"/>
    <w:rsid w:val="0058567E"/>
    <w:rsid w:val="00585DE1"/>
    <w:rsid w:val="0058659E"/>
    <w:rsid w:val="00586613"/>
    <w:rsid w:val="005869EE"/>
    <w:rsid w:val="005872B7"/>
    <w:rsid w:val="005872DD"/>
    <w:rsid w:val="00587CF2"/>
    <w:rsid w:val="00587D3A"/>
    <w:rsid w:val="00590346"/>
    <w:rsid w:val="00590BA2"/>
    <w:rsid w:val="00590CA7"/>
    <w:rsid w:val="00590E93"/>
    <w:rsid w:val="005915E1"/>
    <w:rsid w:val="00591C75"/>
    <w:rsid w:val="00592D10"/>
    <w:rsid w:val="0059388B"/>
    <w:rsid w:val="00593A5F"/>
    <w:rsid w:val="0059404E"/>
    <w:rsid w:val="00594269"/>
    <w:rsid w:val="00595539"/>
    <w:rsid w:val="00596CF5"/>
    <w:rsid w:val="00597108"/>
    <w:rsid w:val="005976DB"/>
    <w:rsid w:val="005A2126"/>
    <w:rsid w:val="005A3E82"/>
    <w:rsid w:val="005A4287"/>
    <w:rsid w:val="005A482E"/>
    <w:rsid w:val="005A4DB0"/>
    <w:rsid w:val="005A5095"/>
    <w:rsid w:val="005A5597"/>
    <w:rsid w:val="005A57BF"/>
    <w:rsid w:val="005A6AC2"/>
    <w:rsid w:val="005A7A65"/>
    <w:rsid w:val="005A7B26"/>
    <w:rsid w:val="005A7B8E"/>
    <w:rsid w:val="005B012B"/>
    <w:rsid w:val="005B0C87"/>
    <w:rsid w:val="005B0FE9"/>
    <w:rsid w:val="005B2195"/>
    <w:rsid w:val="005B26C7"/>
    <w:rsid w:val="005B2D65"/>
    <w:rsid w:val="005B3877"/>
    <w:rsid w:val="005B3AC8"/>
    <w:rsid w:val="005B3CC1"/>
    <w:rsid w:val="005B4002"/>
    <w:rsid w:val="005B45AB"/>
    <w:rsid w:val="005B4D8F"/>
    <w:rsid w:val="005B6551"/>
    <w:rsid w:val="005B71A8"/>
    <w:rsid w:val="005B744B"/>
    <w:rsid w:val="005C0377"/>
    <w:rsid w:val="005C066B"/>
    <w:rsid w:val="005C0A6F"/>
    <w:rsid w:val="005C0FA7"/>
    <w:rsid w:val="005C155F"/>
    <w:rsid w:val="005C1C0E"/>
    <w:rsid w:val="005C36E2"/>
    <w:rsid w:val="005C3E9E"/>
    <w:rsid w:val="005C400C"/>
    <w:rsid w:val="005C410C"/>
    <w:rsid w:val="005C4BF1"/>
    <w:rsid w:val="005C4BF2"/>
    <w:rsid w:val="005C52D4"/>
    <w:rsid w:val="005C5BED"/>
    <w:rsid w:val="005C5D86"/>
    <w:rsid w:val="005C6167"/>
    <w:rsid w:val="005C6ADB"/>
    <w:rsid w:val="005C6EE2"/>
    <w:rsid w:val="005C7A07"/>
    <w:rsid w:val="005C7DDC"/>
    <w:rsid w:val="005C7F7C"/>
    <w:rsid w:val="005D0BAD"/>
    <w:rsid w:val="005D0C0A"/>
    <w:rsid w:val="005D107D"/>
    <w:rsid w:val="005D123A"/>
    <w:rsid w:val="005D2506"/>
    <w:rsid w:val="005D2BB5"/>
    <w:rsid w:val="005D3677"/>
    <w:rsid w:val="005D4E4C"/>
    <w:rsid w:val="005D5B5E"/>
    <w:rsid w:val="005D5C85"/>
    <w:rsid w:val="005D5CA0"/>
    <w:rsid w:val="005D69AB"/>
    <w:rsid w:val="005D72FC"/>
    <w:rsid w:val="005D7DFC"/>
    <w:rsid w:val="005E035A"/>
    <w:rsid w:val="005E0464"/>
    <w:rsid w:val="005E0681"/>
    <w:rsid w:val="005E11CE"/>
    <w:rsid w:val="005E1218"/>
    <w:rsid w:val="005E18EC"/>
    <w:rsid w:val="005E1A55"/>
    <w:rsid w:val="005E1B6B"/>
    <w:rsid w:val="005E1F61"/>
    <w:rsid w:val="005E2281"/>
    <w:rsid w:val="005E236C"/>
    <w:rsid w:val="005E2D9E"/>
    <w:rsid w:val="005E2FAE"/>
    <w:rsid w:val="005E32C9"/>
    <w:rsid w:val="005E351B"/>
    <w:rsid w:val="005E38A8"/>
    <w:rsid w:val="005E39F9"/>
    <w:rsid w:val="005E3D9B"/>
    <w:rsid w:val="005E4828"/>
    <w:rsid w:val="005E4887"/>
    <w:rsid w:val="005E5016"/>
    <w:rsid w:val="005E5231"/>
    <w:rsid w:val="005E55BB"/>
    <w:rsid w:val="005E5D11"/>
    <w:rsid w:val="005E667C"/>
    <w:rsid w:val="005E6A1D"/>
    <w:rsid w:val="005E6F12"/>
    <w:rsid w:val="005E733E"/>
    <w:rsid w:val="005E7428"/>
    <w:rsid w:val="005F0694"/>
    <w:rsid w:val="005F06E1"/>
    <w:rsid w:val="005F077C"/>
    <w:rsid w:val="005F0B88"/>
    <w:rsid w:val="005F1735"/>
    <w:rsid w:val="005F187E"/>
    <w:rsid w:val="005F252A"/>
    <w:rsid w:val="005F28DC"/>
    <w:rsid w:val="005F3CE8"/>
    <w:rsid w:val="005F4F41"/>
    <w:rsid w:val="005F566D"/>
    <w:rsid w:val="005F5A85"/>
    <w:rsid w:val="005F648F"/>
    <w:rsid w:val="005F68C3"/>
    <w:rsid w:val="005F79CF"/>
    <w:rsid w:val="005F7D87"/>
    <w:rsid w:val="00601794"/>
    <w:rsid w:val="00601E94"/>
    <w:rsid w:val="006021B1"/>
    <w:rsid w:val="006037C5"/>
    <w:rsid w:val="006040CE"/>
    <w:rsid w:val="0060467D"/>
    <w:rsid w:val="00604DF3"/>
    <w:rsid w:val="0060585E"/>
    <w:rsid w:val="00605B9D"/>
    <w:rsid w:val="00606213"/>
    <w:rsid w:val="00606B57"/>
    <w:rsid w:val="00606B85"/>
    <w:rsid w:val="00607390"/>
    <w:rsid w:val="006076D8"/>
    <w:rsid w:val="00607E6D"/>
    <w:rsid w:val="006101CD"/>
    <w:rsid w:val="0061061D"/>
    <w:rsid w:val="00611816"/>
    <w:rsid w:val="00611A3B"/>
    <w:rsid w:val="006120CA"/>
    <w:rsid w:val="00612389"/>
    <w:rsid w:val="00612570"/>
    <w:rsid w:val="006127BD"/>
    <w:rsid w:val="00612871"/>
    <w:rsid w:val="00612929"/>
    <w:rsid w:val="00612A44"/>
    <w:rsid w:val="00612A8E"/>
    <w:rsid w:val="00613098"/>
    <w:rsid w:val="006134D9"/>
    <w:rsid w:val="006135DA"/>
    <w:rsid w:val="00613BDC"/>
    <w:rsid w:val="00614921"/>
    <w:rsid w:val="00615564"/>
    <w:rsid w:val="006155E2"/>
    <w:rsid w:val="00615F26"/>
    <w:rsid w:val="00616CCC"/>
    <w:rsid w:val="00617A81"/>
    <w:rsid w:val="00617C11"/>
    <w:rsid w:val="00617DEC"/>
    <w:rsid w:val="00620573"/>
    <w:rsid w:val="00620579"/>
    <w:rsid w:val="006208AA"/>
    <w:rsid w:val="0062128D"/>
    <w:rsid w:val="00621C96"/>
    <w:rsid w:val="0062228D"/>
    <w:rsid w:val="006224D1"/>
    <w:rsid w:val="0062258F"/>
    <w:rsid w:val="00622732"/>
    <w:rsid w:val="00622E6D"/>
    <w:rsid w:val="00623BC7"/>
    <w:rsid w:val="00623E70"/>
    <w:rsid w:val="006241D0"/>
    <w:rsid w:val="00624425"/>
    <w:rsid w:val="00624665"/>
    <w:rsid w:val="00625434"/>
    <w:rsid w:val="0062576B"/>
    <w:rsid w:val="00625C5F"/>
    <w:rsid w:val="00626032"/>
    <w:rsid w:val="00627643"/>
    <w:rsid w:val="00627788"/>
    <w:rsid w:val="006300CD"/>
    <w:rsid w:val="0063017E"/>
    <w:rsid w:val="00630723"/>
    <w:rsid w:val="00630EAE"/>
    <w:rsid w:val="006312D0"/>
    <w:rsid w:val="00631866"/>
    <w:rsid w:val="006318A4"/>
    <w:rsid w:val="00631A11"/>
    <w:rsid w:val="00631D4F"/>
    <w:rsid w:val="006321B6"/>
    <w:rsid w:val="006327C6"/>
    <w:rsid w:val="00633496"/>
    <w:rsid w:val="006338D2"/>
    <w:rsid w:val="00633F92"/>
    <w:rsid w:val="0063435E"/>
    <w:rsid w:val="00634CB2"/>
    <w:rsid w:val="006357E2"/>
    <w:rsid w:val="00635FD8"/>
    <w:rsid w:val="006364C2"/>
    <w:rsid w:val="00636651"/>
    <w:rsid w:val="006368E4"/>
    <w:rsid w:val="00636F7B"/>
    <w:rsid w:val="00640140"/>
    <w:rsid w:val="0064019C"/>
    <w:rsid w:val="00640288"/>
    <w:rsid w:val="006405AC"/>
    <w:rsid w:val="0064099D"/>
    <w:rsid w:val="006412CD"/>
    <w:rsid w:val="006413D8"/>
    <w:rsid w:val="00641610"/>
    <w:rsid w:val="00641B7B"/>
    <w:rsid w:val="00641C55"/>
    <w:rsid w:val="00642405"/>
    <w:rsid w:val="00642645"/>
    <w:rsid w:val="006437E8"/>
    <w:rsid w:val="006438E0"/>
    <w:rsid w:val="00644BED"/>
    <w:rsid w:val="006455CB"/>
    <w:rsid w:val="00646FD5"/>
    <w:rsid w:val="006471DC"/>
    <w:rsid w:val="006472F8"/>
    <w:rsid w:val="00647680"/>
    <w:rsid w:val="00647743"/>
    <w:rsid w:val="006510C0"/>
    <w:rsid w:val="00651DA0"/>
    <w:rsid w:val="00652092"/>
    <w:rsid w:val="00652472"/>
    <w:rsid w:val="00652F31"/>
    <w:rsid w:val="006535E5"/>
    <w:rsid w:val="0065394E"/>
    <w:rsid w:val="00653B38"/>
    <w:rsid w:val="00654D37"/>
    <w:rsid w:val="00656385"/>
    <w:rsid w:val="00656F19"/>
    <w:rsid w:val="00657BB7"/>
    <w:rsid w:val="00660299"/>
    <w:rsid w:val="00660552"/>
    <w:rsid w:val="0066090C"/>
    <w:rsid w:val="00660DBE"/>
    <w:rsid w:val="00661113"/>
    <w:rsid w:val="0066127D"/>
    <w:rsid w:val="00661AB0"/>
    <w:rsid w:val="006623A4"/>
    <w:rsid w:val="006627B5"/>
    <w:rsid w:val="00662E8E"/>
    <w:rsid w:val="0066351C"/>
    <w:rsid w:val="006635BF"/>
    <w:rsid w:val="00664498"/>
    <w:rsid w:val="00664693"/>
    <w:rsid w:val="00664DC0"/>
    <w:rsid w:val="006651CC"/>
    <w:rsid w:val="0066582B"/>
    <w:rsid w:val="006658DA"/>
    <w:rsid w:val="00665CA1"/>
    <w:rsid w:val="00667421"/>
    <w:rsid w:val="0066780E"/>
    <w:rsid w:val="00667A31"/>
    <w:rsid w:val="00670702"/>
    <w:rsid w:val="006708EB"/>
    <w:rsid w:val="0067147C"/>
    <w:rsid w:val="00671A65"/>
    <w:rsid w:val="00672895"/>
    <w:rsid w:val="00672A8A"/>
    <w:rsid w:val="00673524"/>
    <w:rsid w:val="00673F50"/>
    <w:rsid w:val="00674EEA"/>
    <w:rsid w:val="0067549D"/>
    <w:rsid w:val="006759B0"/>
    <w:rsid w:val="00677012"/>
    <w:rsid w:val="006771EA"/>
    <w:rsid w:val="00677CBF"/>
    <w:rsid w:val="00680407"/>
    <w:rsid w:val="00680D0E"/>
    <w:rsid w:val="00680F00"/>
    <w:rsid w:val="006821FD"/>
    <w:rsid w:val="006825A6"/>
    <w:rsid w:val="006825B4"/>
    <w:rsid w:val="006829BA"/>
    <w:rsid w:val="00682AF2"/>
    <w:rsid w:val="00682E8A"/>
    <w:rsid w:val="00682FB7"/>
    <w:rsid w:val="006837DE"/>
    <w:rsid w:val="00683CE0"/>
    <w:rsid w:val="0068537F"/>
    <w:rsid w:val="00686104"/>
    <w:rsid w:val="00686334"/>
    <w:rsid w:val="00686C3A"/>
    <w:rsid w:val="00686EEB"/>
    <w:rsid w:val="00687628"/>
    <w:rsid w:val="00687CFE"/>
    <w:rsid w:val="0069035A"/>
    <w:rsid w:val="00690EB8"/>
    <w:rsid w:val="0069109D"/>
    <w:rsid w:val="006915E5"/>
    <w:rsid w:val="00692401"/>
    <w:rsid w:val="00693B7A"/>
    <w:rsid w:val="006941CC"/>
    <w:rsid w:val="006942BA"/>
    <w:rsid w:val="006945D4"/>
    <w:rsid w:val="00694EC0"/>
    <w:rsid w:val="00695852"/>
    <w:rsid w:val="00695F56"/>
    <w:rsid w:val="0069758B"/>
    <w:rsid w:val="00697F88"/>
    <w:rsid w:val="006A0A70"/>
    <w:rsid w:val="006A0B6C"/>
    <w:rsid w:val="006A1692"/>
    <w:rsid w:val="006A16E1"/>
    <w:rsid w:val="006A179F"/>
    <w:rsid w:val="006A188D"/>
    <w:rsid w:val="006A26B6"/>
    <w:rsid w:val="006A3293"/>
    <w:rsid w:val="006A36DF"/>
    <w:rsid w:val="006A3C8A"/>
    <w:rsid w:val="006A3D94"/>
    <w:rsid w:val="006A3E61"/>
    <w:rsid w:val="006A5213"/>
    <w:rsid w:val="006A5866"/>
    <w:rsid w:val="006A6003"/>
    <w:rsid w:val="006A6737"/>
    <w:rsid w:val="006A7AAD"/>
    <w:rsid w:val="006B0AE6"/>
    <w:rsid w:val="006B1E08"/>
    <w:rsid w:val="006B2099"/>
    <w:rsid w:val="006B26B1"/>
    <w:rsid w:val="006B2E45"/>
    <w:rsid w:val="006B341B"/>
    <w:rsid w:val="006B3875"/>
    <w:rsid w:val="006B425B"/>
    <w:rsid w:val="006B545C"/>
    <w:rsid w:val="006B5AC8"/>
    <w:rsid w:val="006B5D32"/>
    <w:rsid w:val="006B758B"/>
    <w:rsid w:val="006B7BF8"/>
    <w:rsid w:val="006C0E54"/>
    <w:rsid w:val="006C0F11"/>
    <w:rsid w:val="006C23E1"/>
    <w:rsid w:val="006C25D5"/>
    <w:rsid w:val="006C25F9"/>
    <w:rsid w:val="006C262B"/>
    <w:rsid w:val="006C2866"/>
    <w:rsid w:val="006C2AEE"/>
    <w:rsid w:val="006C31C6"/>
    <w:rsid w:val="006C3A2D"/>
    <w:rsid w:val="006C4666"/>
    <w:rsid w:val="006C49BF"/>
    <w:rsid w:val="006C63D7"/>
    <w:rsid w:val="006C6894"/>
    <w:rsid w:val="006C69D9"/>
    <w:rsid w:val="006C7535"/>
    <w:rsid w:val="006C76A6"/>
    <w:rsid w:val="006C796D"/>
    <w:rsid w:val="006D0525"/>
    <w:rsid w:val="006D08DC"/>
    <w:rsid w:val="006D09D1"/>
    <w:rsid w:val="006D23FF"/>
    <w:rsid w:val="006D2F09"/>
    <w:rsid w:val="006D2FD2"/>
    <w:rsid w:val="006D33E6"/>
    <w:rsid w:val="006D3783"/>
    <w:rsid w:val="006D3DC0"/>
    <w:rsid w:val="006D40C4"/>
    <w:rsid w:val="006D4162"/>
    <w:rsid w:val="006D453E"/>
    <w:rsid w:val="006D4BA8"/>
    <w:rsid w:val="006D5303"/>
    <w:rsid w:val="006D5E84"/>
    <w:rsid w:val="006D7A4C"/>
    <w:rsid w:val="006D7C99"/>
    <w:rsid w:val="006E0443"/>
    <w:rsid w:val="006E0C50"/>
    <w:rsid w:val="006E0DCF"/>
    <w:rsid w:val="006E14D6"/>
    <w:rsid w:val="006E1647"/>
    <w:rsid w:val="006E1BA2"/>
    <w:rsid w:val="006E2298"/>
    <w:rsid w:val="006E2F3A"/>
    <w:rsid w:val="006E310A"/>
    <w:rsid w:val="006E3C3E"/>
    <w:rsid w:val="006E3FBD"/>
    <w:rsid w:val="006E40C7"/>
    <w:rsid w:val="006E429F"/>
    <w:rsid w:val="006E47E0"/>
    <w:rsid w:val="006E50AE"/>
    <w:rsid w:val="006E50E4"/>
    <w:rsid w:val="006E6F30"/>
    <w:rsid w:val="006E6FE9"/>
    <w:rsid w:val="006E7082"/>
    <w:rsid w:val="006E709F"/>
    <w:rsid w:val="006E7F73"/>
    <w:rsid w:val="006F030F"/>
    <w:rsid w:val="006F193C"/>
    <w:rsid w:val="006F1B58"/>
    <w:rsid w:val="006F27DC"/>
    <w:rsid w:val="006F2B89"/>
    <w:rsid w:val="006F36F1"/>
    <w:rsid w:val="006F3B81"/>
    <w:rsid w:val="006F4A0F"/>
    <w:rsid w:val="006F4D59"/>
    <w:rsid w:val="006F4F79"/>
    <w:rsid w:val="006F4F80"/>
    <w:rsid w:val="006F5532"/>
    <w:rsid w:val="006F5ADA"/>
    <w:rsid w:val="006F62CC"/>
    <w:rsid w:val="006F644B"/>
    <w:rsid w:val="006F66C1"/>
    <w:rsid w:val="006F681D"/>
    <w:rsid w:val="006F731E"/>
    <w:rsid w:val="006F78E9"/>
    <w:rsid w:val="0070235F"/>
    <w:rsid w:val="00702BC3"/>
    <w:rsid w:val="00702EA5"/>
    <w:rsid w:val="00702FF3"/>
    <w:rsid w:val="007032AC"/>
    <w:rsid w:val="00703496"/>
    <w:rsid w:val="007036FE"/>
    <w:rsid w:val="00703AB1"/>
    <w:rsid w:val="00704614"/>
    <w:rsid w:val="00704C5F"/>
    <w:rsid w:val="00704DEB"/>
    <w:rsid w:val="00704FA9"/>
    <w:rsid w:val="00705623"/>
    <w:rsid w:val="00705B37"/>
    <w:rsid w:val="00706460"/>
    <w:rsid w:val="0070658A"/>
    <w:rsid w:val="00706B65"/>
    <w:rsid w:val="007071AF"/>
    <w:rsid w:val="00707C1A"/>
    <w:rsid w:val="00710023"/>
    <w:rsid w:val="00710207"/>
    <w:rsid w:val="0071023D"/>
    <w:rsid w:val="007103CD"/>
    <w:rsid w:val="007104CB"/>
    <w:rsid w:val="00710530"/>
    <w:rsid w:val="007107BD"/>
    <w:rsid w:val="00711E77"/>
    <w:rsid w:val="00712912"/>
    <w:rsid w:val="00713AAC"/>
    <w:rsid w:val="007141DC"/>
    <w:rsid w:val="00714B04"/>
    <w:rsid w:val="00714F75"/>
    <w:rsid w:val="007155CE"/>
    <w:rsid w:val="007168A0"/>
    <w:rsid w:val="00716BC6"/>
    <w:rsid w:val="00716C95"/>
    <w:rsid w:val="00717762"/>
    <w:rsid w:val="00717F1A"/>
    <w:rsid w:val="007204DA"/>
    <w:rsid w:val="00721A63"/>
    <w:rsid w:val="00721DED"/>
    <w:rsid w:val="00721FF9"/>
    <w:rsid w:val="0072229E"/>
    <w:rsid w:val="00722F53"/>
    <w:rsid w:val="0072337E"/>
    <w:rsid w:val="00723696"/>
    <w:rsid w:val="0072442F"/>
    <w:rsid w:val="00725189"/>
    <w:rsid w:val="0072541E"/>
    <w:rsid w:val="00725735"/>
    <w:rsid w:val="0072630D"/>
    <w:rsid w:val="00726A2A"/>
    <w:rsid w:val="00726CD3"/>
    <w:rsid w:val="007271E9"/>
    <w:rsid w:val="007273BC"/>
    <w:rsid w:val="007275FD"/>
    <w:rsid w:val="007276E5"/>
    <w:rsid w:val="00730943"/>
    <w:rsid w:val="00731D5E"/>
    <w:rsid w:val="00732492"/>
    <w:rsid w:val="00733E5A"/>
    <w:rsid w:val="00733F25"/>
    <w:rsid w:val="00736395"/>
    <w:rsid w:val="00736459"/>
    <w:rsid w:val="0073685F"/>
    <w:rsid w:val="00737821"/>
    <w:rsid w:val="0074058F"/>
    <w:rsid w:val="00740E86"/>
    <w:rsid w:val="00741175"/>
    <w:rsid w:val="007419FB"/>
    <w:rsid w:val="00741F36"/>
    <w:rsid w:val="00742606"/>
    <w:rsid w:val="007441FF"/>
    <w:rsid w:val="00744EE8"/>
    <w:rsid w:val="00744F42"/>
    <w:rsid w:val="007459F5"/>
    <w:rsid w:val="00746713"/>
    <w:rsid w:val="007467E4"/>
    <w:rsid w:val="00746B08"/>
    <w:rsid w:val="00747569"/>
    <w:rsid w:val="00750238"/>
    <w:rsid w:val="0075023C"/>
    <w:rsid w:val="007518E3"/>
    <w:rsid w:val="007518E9"/>
    <w:rsid w:val="00752247"/>
    <w:rsid w:val="007523E7"/>
    <w:rsid w:val="007524C4"/>
    <w:rsid w:val="007531CA"/>
    <w:rsid w:val="00754252"/>
    <w:rsid w:val="007549AE"/>
    <w:rsid w:val="007577B1"/>
    <w:rsid w:val="00757CB3"/>
    <w:rsid w:val="00757D87"/>
    <w:rsid w:val="00760EED"/>
    <w:rsid w:val="0076109F"/>
    <w:rsid w:val="00761399"/>
    <w:rsid w:val="00761615"/>
    <w:rsid w:val="007616DA"/>
    <w:rsid w:val="007619CE"/>
    <w:rsid w:val="00761F4F"/>
    <w:rsid w:val="007620DC"/>
    <w:rsid w:val="00762102"/>
    <w:rsid w:val="0076255D"/>
    <w:rsid w:val="007625F6"/>
    <w:rsid w:val="00762B8B"/>
    <w:rsid w:val="0076325B"/>
    <w:rsid w:val="00764533"/>
    <w:rsid w:val="00764AF9"/>
    <w:rsid w:val="007650AD"/>
    <w:rsid w:val="007658DC"/>
    <w:rsid w:val="00765D18"/>
    <w:rsid w:val="0076640B"/>
    <w:rsid w:val="007673DE"/>
    <w:rsid w:val="00770C54"/>
    <w:rsid w:val="00771344"/>
    <w:rsid w:val="0077213A"/>
    <w:rsid w:val="00772613"/>
    <w:rsid w:val="00772B41"/>
    <w:rsid w:val="00772CED"/>
    <w:rsid w:val="00772E13"/>
    <w:rsid w:val="00773EA1"/>
    <w:rsid w:val="00775215"/>
    <w:rsid w:val="00775748"/>
    <w:rsid w:val="00776ACC"/>
    <w:rsid w:val="00777AE2"/>
    <w:rsid w:val="00777C71"/>
    <w:rsid w:val="00777D6B"/>
    <w:rsid w:val="00777F20"/>
    <w:rsid w:val="0078080B"/>
    <w:rsid w:val="00781148"/>
    <w:rsid w:val="0078120F"/>
    <w:rsid w:val="00781F98"/>
    <w:rsid w:val="0078265B"/>
    <w:rsid w:val="00782AFE"/>
    <w:rsid w:val="00782E10"/>
    <w:rsid w:val="00784318"/>
    <w:rsid w:val="00784926"/>
    <w:rsid w:val="00784DB8"/>
    <w:rsid w:val="00784FDD"/>
    <w:rsid w:val="0078508F"/>
    <w:rsid w:val="00786448"/>
    <w:rsid w:val="007875D7"/>
    <w:rsid w:val="00787782"/>
    <w:rsid w:val="0079015D"/>
    <w:rsid w:val="007906B2"/>
    <w:rsid w:val="0079134E"/>
    <w:rsid w:val="007925F0"/>
    <w:rsid w:val="0079278E"/>
    <w:rsid w:val="00792DCA"/>
    <w:rsid w:val="00792E3C"/>
    <w:rsid w:val="007930C1"/>
    <w:rsid w:val="0079315D"/>
    <w:rsid w:val="00793B45"/>
    <w:rsid w:val="0079477A"/>
    <w:rsid w:val="00795706"/>
    <w:rsid w:val="007960E3"/>
    <w:rsid w:val="00796D3A"/>
    <w:rsid w:val="00796F7C"/>
    <w:rsid w:val="00797131"/>
    <w:rsid w:val="00797254"/>
    <w:rsid w:val="00797430"/>
    <w:rsid w:val="00797AF4"/>
    <w:rsid w:val="007A0F8D"/>
    <w:rsid w:val="007A1078"/>
    <w:rsid w:val="007A180A"/>
    <w:rsid w:val="007A2304"/>
    <w:rsid w:val="007A257D"/>
    <w:rsid w:val="007A2CB0"/>
    <w:rsid w:val="007A343D"/>
    <w:rsid w:val="007A38CE"/>
    <w:rsid w:val="007A3F1C"/>
    <w:rsid w:val="007A46E6"/>
    <w:rsid w:val="007A48D8"/>
    <w:rsid w:val="007A5ACE"/>
    <w:rsid w:val="007A5C5C"/>
    <w:rsid w:val="007A6528"/>
    <w:rsid w:val="007A7B48"/>
    <w:rsid w:val="007A7FD7"/>
    <w:rsid w:val="007B1565"/>
    <w:rsid w:val="007B18C6"/>
    <w:rsid w:val="007B20C2"/>
    <w:rsid w:val="007B25D5"/>
    <w:rsid w:val="007B27E4"/>
    <w:rsid w:val="007B2910"/>
    <w:rsid w:val="007B301D"/>
    <w:rsid w:val="007B3264"/>
    <w:rsid w:val="007B35F6"/>
    <w:rsid w:val="007B3F87"/>
    <w:rsid w:val="007B404F"/>
    <w:rsid w:val="007B44A6"/>
    <w:rsid w:val="007B494E"/>
    <w:rsid w:val="007B4C5E"/>
    <w:rsid w:val="007B4D1F"/>
    <w:rsid w:val="007B7462"/>
    <w:rsid w:val="007B770B"/>
    <w:rsid w:val="007B7B52"/>
    <w:rsid w:val="007C02A3"/>
    <w:rsid w:val="007C0C55"/>
    <w:rsid w:val="007C1507"/>
    <w:rsid w:val="007C2F60"/>
    <w:rsid w:val="007C3757"/>
    <w:rsid w:val="007C4D8D"/>
    <w:rsid w:val="007C5144"/>
    <w:rsid w:val="007C5613"/>
    <w:rsid w:val="007C6138"/>
    <w:rsid w:val="007C6153"/>
    <w:rsid w:val="007C6849"/>
    <w:rsid w:val="007C6BC6"/>
    <w:rsid w:val="007C6C12"/>
    <w:rsid w:val="007C73B2"/>
    <w:rsid w:val="007D0435"/>
    <w:rsid w:val="007D0D3E"/>
    <w:rsid w:val="007D116E"/>
    <w:rsid w:val="007D1B24"/>
    <w:rsid w:val="007D267F"/>
    <w:rsid w:val="007D3341"/>
    <w:rsid w:val="007D3A3E"/>
    <w:rsid w:val="007D400A"/>
    <w:rsid w:val="007D4B0E"/>
    <w:rsid w:val="007D4DD2"/>
    <w:rsid w:val="007D5D0F"/>
    <w:rsid w:val="007D6342"/>
    <w:rsid w:val="007D6EA8"/>
    <w:rsid w:val="007D7AF1"/>
    <w:rsid w:val="007D7B3C"/>
    <w:rsid w:val="007E05DB"/>
    <w:rsid w:val="007E1247"/>
    <w:rsid w:val="007E1A44"/>
    <w:rsid w:val="007E2419"/>
    <w:rsid w:val="007E3FF5"/>
    <w:rsid w:val="007E4219"/>
    <w:rsid w:val="007E560D"/>
    <w:rsid w:val="007E577E"/>
    <w:rsid w:val="007E635E"/>
    <w:rsid w:val="007E6A9C"/>
    <w:rsid w:val="007E6C0C"/>
    <w:rsid w:val="007E7300"/>
    <w:rsid w:val="007E767B"/>
    <w:rsid w:val="007E7B54"/>
    <w:rsid w:val="007F005B"/>
    <w:rsid w:val="007F038C"/>
    <w:rsid w:val="007F0428"/>
    <w:rsid w:val="007F0F24"/>
    <w:rsid w:val="007F1755"/>
    <w:rsid w:val="007F222B"/>
    <w:rsid w:val="007F2CBC"/>
    <w:rsid w:val="007F3092"/>
    <w:rsid w:val="007F30F9"/>
    <w:rsid w:val="007F39B8"/>
    <w:rsid w:val="007F3C03"/>
    <w:rsid w:val="007F3E3F"/>
    <w:rsid w:val="007F45DF"/>
    <w:rsid w:val="007F4A6F"/>
    <w:rsid w:val="007F4FBC"/>
    <w:rsid w:val="007F5975"/>
    <w:rsid w:val="007F5AB9"/>
    <w:rsid w:val="007F6497"/>
    <w:rsid w:val="007F6836"/>
    <w:rsid w:val="007F7DF2"/>
    <w:rsid w:val="008005E6"/>
    <w:rsid w:val="00800A35"/>
    <w:rsid w:val="00800D91"/>
    <w:rsid w:val="008015F2"/>
    <w:rsid w:val="00801A0E"/>
    <w:rsid w:val="00803362"/>
    <w:rsid w:val="00803C65"/>
    <w:rsid w:val="00804BC0"/>
    <w:rsid w:val="00804E3C"/>
    <w:rsid w:val="00804E4C"/>
    <w:rsid w:val="0080662C"/>
    <w:rsid w:val="008070B2"/>
    <w:rsid w:val="00807D79"/>
    <w:rsid w:val="00810102"/>
    <w:rsid w:val="008102BC"/>
    <w:rsid w:val="008116F3"/>
    <w:rsid w:val="008117C4"/>
    <w:rsid w:val="0081222E"/>
    <w:rsid w:val="00812461"/>
    <w:rsid w:val="008127E0"/>
    <w:rsid w:val="00812810"/>
    <w:rsid w:val="00812D4B"/>
    <w:rsid w:val="0081398E"/>
    <w:rsid w:val="00813F02"/>
    <w:rsid w:val="008149D8"/>
    <w:rsid w:val="00815714"/>
    <w:rsid w:val="00815A2A"/>
    <w:rsid w:val="00817161"/>
    <w:rsid w:val="0081724D"/>
    <w:rsid w:val="0081788A"/>
    <w:rsid w:val="00817927"/>
    <w:rsid w:val="00817CFC"/>
    <w:rsid w:val="00817E82"/>
    <w:rsid w:val="00820A3F"/>
    <w:rsid w:val="00821D81"/>
    <w:rsid w:val="00822A52"/>
    <w:rsid w:val="00823654"/>
    <w:rsid w:val="008237F3"/>
    <w:rsid w:val="00823A90"/>
    <w:rsid w:val="008247C9"/>
    <w:rsid w:val="00825C68"/>
    <w:rsid w:val="0082757E"/>
    <w:rsid w:val="0082769C"/>
    <w:rsid w:val="00827B6C"/>
    <w:rsid w:val="00827D77"/>
    <w:rsid w:val="00830259"/>
    <w:rsid w:val="00830561"/>
    <w:rsid w:val="00831115"/>
    <w:rsid w:val="0083249C"/>
    <w:rsid w:val="00832D42"/>
    <w:rsid w:val="008333A9"/>
    <w:rsid w:val="00833419"/>
    <w:rsid w:val="008342A5"/>
    <w:rsid w:val="00834B7C"/>
    <w:rsid w:val="00834BE2"/>
    <w:rsid w:val="00834EA4"/>
    <w:rsid w:val="00835049"/>
    <w:rsid w:val="00835248"/>
    <w:rsid w:val="008354B9"/>
    <w:rsid w:val="00835DCB"/>
    <w:rsid w:val="00836090"/>
    <w:rsid w:val="00836921"/>
    <w:rsid w:val="00837237"/>
    <w:rsid w:val="008376C0"/>
    <w:rsid w:val="00837E7E"/>
    <w:rsid w:val="0084035D"/>
    <w:rsid w:val="008405F6"/>
    <w:rsid w:val="008405F9"/>
    <w:rsid w:val="0084060B"/>
    <w:rsid w:val="0084139B"/>
    <w:rsid w:val="0084143B"/>
    <w:rsid w:val="008417D4"/>
    <w:rsid w:val="00842547"/>
    <w:rsid w:val="00842610"/>
    <w:rsid w:val="008427D3"/>
    <w:rsid w:val="008429CF"/>
    <w:rsid w:val="008431FD"/>
    <w:rsid w:val="0084324C"/>
    <w:rsid w:val="0084389E"/>
    <w:rsid w:val="00843B9B"/>
    <w:rsid w:val="008451F8"/>
    <w:rsid w:val="008457D2"/>
    <w:rsid w:val="00846212"/>
    <w:rsid w:val="008468E0"/>
    <w:rsid w:val="0084767E"/>
    <w:rsid w:val="0084790F"/>
    <w:rsid w:val="00847BE7"/>
    <w:rsid w:val="00847D23"/>
    <w:rsid w:val="00850EAB"/>
    <w:rsid w:val="00851C80"/>
    <w:rsid w:val="00851D70"/>
    <w:rsid w:val="008529B3"/>
    <w:rsid w:val="00852ADD"/>
    <w:rsid w:val="0085368F"/>
    <w:rsid w:val="00853883"/>
    <w:rsid w:val="00853EB9"/>
    <w:rsid w:val="00854CF7"/>
    <w:rsid w:val="00854DA7"/>
    <w:rsid w:val="008557A0"/>
    <w:rsid w:val="00856607"/>
    <w:rsid w:val="008604A8"/>
    <w:rsid w:val="00860ADD"/>
    <w:rsid w:val="008616A2"/>
    <w:rsid w:val="00861C6C"/>
    <w:rsid w:val="008636AC"/>
    <w:rsid w:val="00863862"/>
    <w:rsid w:val="00863AAD"/>
    <w:rsid w:val="00864644"/>
    <w:rsid w:val="008658DE"/>
    <w:rsid w:val="00866296"/>
    <w:rsid w:val="008665C7"/>
    <w:rsid w:val="008707A3"/>
    <w:rsid w:val="00870A36"/>
    <w:rsid w:val="008711AE"/>
    <w:rsid w:val="00871A36"/>
    <w:rsid w:val="00872DF4"/>
    <w:rsid w:val="00872F21"/>
    <w:rsid w:val="00873736"/>
    <w:rsid w:val="0087378E"/>
    <w:rsid w:val="008737DF"/>
    <w:rsid w:val="008755E7"/>
    <w:rsid w:val="00875A46"/>
    <w:rsid w:val="00875E16"/>
    <w:rsid w:val="00876380"/>
    <w:rsid w:val="00877D03"/>
    <w:rsid w:val="00877E96"/>
    <w:rsid w:val="0088023D"/>
    <w:rsid w:val="008803CE"/>
    <w:rsid w:val="008816E6"/>
    <w:rsid w:val="00882077"/>
    <w:rsid w:val="008820D9"/>
    <w:rsid w:val="00883613"/>
    <w:rsid w:val="00883894"/>
    <w:rsid w:val="0088557F"/>
    <w:rsid w:val="00886393"/>
    <w:rsid w:val="00886579"/>
    <w:rsid w:val="00886F19"/>
    <w:rsid w:val="00887865"/>
    <w:rsid w:val="00887B37"/>
    <w:rsid w:val="00890598"/>
    <w:rsid w:val="0089065A"/>
    <w:rsid w:val="00890DEB"/>
    <w:rsid w:val="0089177A"/>
    <w:rsid w:val="00891D7A"/>
    <w:rsid w:val="00891DFC"/>
    <w:rsid w:val="00892B98"/>
    <w:rsid w:val="008945D2"/>
    <w:rsid w:val="008949A3"/>
    <w:rsid w:val="008959FC"/>
    <w:rsid w:val="0089605E"/>
    <w:rsid w:val="00896668"/>
    <w:rsid w:val="00896E9A"/>
    <w:rsid w:val="008A0CCC"/>
    <w:rsid w:val="008A1D0E"/>
    <w:rsid w:val="008A25EA"/>
    <w:rsid w:val="008A276E"/>
    <w:rsid w:val="008A31C7"/>
    <w:rsid w:val="008A3215"/>
    <w:rsid w:val="008A3630"/>
    <w:rsid w:val="008A3946"/>
    <w:rsid w:val="008A3E8B"/>
    <w:rsid w:val="008A47BE"/>
    <w:rsid w:val="008A4AEC"/>
    <w:rsid w:val="008A5609"/>
    <w:rsid w:val="008A5697"/>
    <w:rsid w:val="008A6DD5"/>
    <w:rsid w:val="008A6DF0"/>
    <w:rsid w:val="008A6FA0"/>
    <w:rsid w:val="008B05E6"/>
    <w:rsid w:val="008B105C"/>
    <w:rsid w:val="008B15CE"/>
    <w:rsid w:val="008B1C8F"/>
    <w:rsid w:val="008B21F8"/>
    <w:rsid w:val="008B2570"/>
    <w:rsid w:val="008B2B19"/>
    <w:rsid w:val="008B2F40"/>
    <w:rsid w:val="008B2FCD"/>
    <w:rsid w:val="008B2FED"/>
    <w:rsid w:val="008B3627"/>
    <w:rsid w:val="008B3EAD"/>
    <w:rsid w:val="008B49B6"/>
    <w:rsid w:val="008B56A0"/>
    <w:rsid w:val="008B5AA1"/>
    <w:rsid w:val="008B5E61"/>
    <w:rsid w:val="008B64CE"/>
    <w:rsid w:val="008B68B4"/>
    <w:rsid w:val="008B756F"/>
    <w:rsid w:val="008B7914"/>
    <w:rsid w:val="008C0BF4"/>
    <w:rsid w:val="008C0D0C"/>
    <w:rsid w:val="008C127A"/>
    <w:rsid w:val="008C18BD"/>
    <w:rsid w:val="008C1932"/>
    <w:rsid w:val="008C1CC8"/>
    <w:rsid w:val="008C2C7F"/>
    <w:rsid w:val="008C2F0D"/>
    <w:rsid w:val="008C364D"/>
    <w:rsid w:val="008C3CDD"/>
    <w:rsid w:val="008C41C2"/>
    <w:rsid w:val="008C500C"/>
    <w:rsid w:val="008C5D2A"/>
    <w:rsid w:val="008C6754"/>
    <w:rsid w:val="008C6C16"/>
    <w:rsid w:val="008C74FB"/>
    <w:rsid w:val="008C7AF4"/>
    <w:rsid w:val="008C7D00"/>
    <w:rsid w:val="008C7DA4"/>
    <w:rsid w:val="008C7F6E"/>
    <w:rsid w:val="008D0210"/>
    <w:rsid w:val="008D033E"/>
    <w:rsid w:val="008D0851"/>
    <w:rsid w:val="008D0DEF"/>
    <w:rsid w:val="008D0FCD"/>
    <w:rsid w:val="008D1074"/>
    <w:rsid w:val="008D1079"/>
    <w:rsid w:val="008D2643"/>
    <w:rsid w:val="008D280F"/>
    <w:rsid w:val="008D318B"/>
    <w:rsid w:val="008D3994"/>
    <w:rsid w:val="008D3C3D"/>
    <w:rsid w:val="008D478E"/>
    <w:rsid w:val="008D4DB6"/>
    <w:rsid w:val="008D534E"/>
    <w:rsid w:val="008D619B"/>
    <w:rsid w:val="008D6E81"/>
    <w:rsid w:val="008D7739"/>
    <w:rsid w:val="008D7A64"/>
    <w:rsid w:val="008D7A92"/>
    <w:rsid w:val="008E0302"/>
    <w:rsid w:val="008E03F3"/>
    <w:rsid w:val="008E1267"/>
    <w:rsid w:val="008E19FD"/>
    <w:rsid w:val="008E22F8"/>
    <w:rsid w:val="008E25EC"/>
    <w:rsid w:val="008E39D8"/>
    <w:rsid w:val="008E5CDD"/>
    <w:rsid w:val="008E5D73"/>
    <w:rsid w:val="008E606F"/>
    <w:rsid w:val="008E6AD9"/>
    <w:rsid w:val="008F022A"/>
    <w:rsid w:val="008F06FD"/>
    <w:rsid w:val="008F1172"/>
    <w:rsid w:val="008F27E3"/>
    <w:rsid w:val="008F3485"/>
    <w:rsid w:val="008F3AC3"/>
    <w:rsid w:val="008F42C1"/>
    <w:rsid w:val="008F51FF"/>
    <w:rsid w:val="008F52FC"/>
    <w:rsid w:val="008F5DEF"/>
    <w:rsid w:val="008F61F2"/>
    <w:rsid w:val="008F636D"/>
    <w:rsid w:val="008F79C0"/>
    <w:rsid w:val="008F7C0A"/>
    <w:rsid w:val="00901DBB"/>
    <w:rsid w:val="009026CB"/>
    <w:rsid w:val="00902876"/>
    <w:rsid w:val="00902B63"/>
    <w:rsid w:val="009036E9"/>
    <w:rsid w:val="009038F6"/>
    <w:rsid w:val="00903FB2"/>
    <w:rsid w:val="00904038"/>
    <w:rsid w:val="009041AF"/>
    <w:rsid w:val="009042AA"/>
    <w:rsid w:val="009049AB"/>
    <w:rsid w:val="009050B7"/>
    <w:rsid w:val="0090510D"/>
    <w:rsid w:val="00905130"/>
    <w:rsid w:val="009053BD"/>
    <w:rsid w:val="00905728"/>
    <w:rsid w:val="009061B8"/>
    <w:rsid w:val="009064BF"/>
    <w:rsid w:val="009069B8"/>
    <w:rsid w:val="009130CC"/>
    <w:rsid w:val="009133EC"/>
    <w:rsid w:val="00913AF7"/>
    <w:rsid w:val="00913B37"/>
    <w:rsid w:val="00914683"/>
    <w:rsid w:val="00914861"/>
    <w:rsid w:val="009148D8"/>
    <w:rsid w:val="00914993"/>
    <w:rsid w:val="00914B5F"/>
    <w:rsid w:val="00914E71"/>
    <w:rsid w:val="0091504C"/>
    <w:rsid w:val="00915897"/>
    <w:rsid w:val="00915B44"/>
    <w:rsid w:val="00915CD5"/>
    <w:rsid w:val="00916093"/>
    <w:rsid w:val="009160E3"/>
    <w:rsid w:val="0091639C"/>
    <w:rsid w:val="00916E99"/>
    <w:rsid w:val="0092002E"/>
    <w:rsid w:val="0092050A"/>
    <w:rsid w:val="00920EC6"/>
    <w:rsid w:val="0092101E"/>
    <w:rsid w:val="0092383B"/>
    <w:rsid w:val="00923A97"/>
    <w:rsid w:val="00923DCE"/>
    <w:rsid w:val="00924119"/>
    <w:rsid w:val="009243F2"/>
    <w:rsid w:val="00925120"/>
    <w:rsid w:val="009255FA"/>
    <w:rsid w:val="009262E4"/>
    <w:rsid w:val="009266D2"/>
    <w:rsid w:val="00927D4E"/>
    <w:rsid w:val="00927E9F"/>
    <w:rsid w:val="00927F89"/>
    <w:rsid w:val="00930AC2"/>
    <w:rsid w:val="00930D2A"/>
    <w:rsid w:val="009312BF"/>
    <w:rsid w:val="00931680"/>
    <w:rsid w:val="00931B84"/>
    <w:rsid w:val="009322B2"/>
    <w:rsid w:val="009328DA"/>
    <w:rsid w:val="00932E7E"/>
    <w:rsid w:val="0093442D"/>
    <w:rsid w:val="00934CD2"/>
    <w:rsid w:val="00935A35"/>
    <w:rsid w:val="0093604F"/>
    <w:rsid w:val="009375E5"/>
    <w:rsid w:val="0093768E"/>
    <w:rsid w:val="00937BC5"/>
    <w:rsid w:val="00937D30"/>
    <w:rsid w:val="00941848"/>
    <w:rsid w:val="0094337A"/>
    <w:rsid w:val="009437F2"/>
    <w:rsid w:val="009442E8"/>
    <w:rsid w:val="00944BA7"/>
    <w:rsid w:val="00944D63"/>
    <w:rsid w:val="0094636D"/>
    <w:rsid w:val="0094644D"/>
    <w:rsid w:val="00947222"/>
    <w:rsid w:val="0094759C"/>
    <w:rsid w:val="009503FE"/>
    <w:rsid w:val="00950448"/>
    <w:rsid w:val="009506AA"/>
    <w:rsid w:val="009507D4"/>
    <w:rsid w:val="00950ACD"/>
    <w:rsid w:val="00950E37"/>
    <w:rsid w:val="00951666"/>
    <w:rsid w:val="0095182F"/>
    <w:rsid w:val="00952524"/>
    <w:rsid w:val="0095270E"/>
    <w:rsid w:val="0095278F"/>
    <w:rsid w:val="009537A4"/>
    <w:rsid w:val="00953D2D"/>
    <w:rsid w:val="00953EAF"/>
    <w:rsid w:val="0095426C"/>
    <w:rsid w:val="00954900"/>
    <w:rsid w:val="00955EE9"/>
    <w:rsid w:val="009562AE"/>
    <w:rsid w:val="0095654A"/>
    <w:rsid w:val="00956BF5"/>
    <w:rsid w:val="009570CF"/>
    <w:rsid w:val="009571C2"/>
    <w:rsid w:val="009575C3"/>
    <w:rsid w:val="0095770C"/>
    <w:rsid w:val="009579AF"/>
    <w:rsid w:val="00957CC8"/>
    <w:rsid w:val="00957EE7"/>
    <w:rsid w:val="0096086A"/>
    <w:rsid w:val="00961453"/>
    <w:rsid w:val="009616D4"/>
    <w:rsid w:val="0096182D"/>
    <w:rsid w:val="00962150"/>
    <w:rsid w:val="00962CCD"/>
    <w:rsid w:val="00964166"/>
    <w:rsid w:val="009645AD"/>
    <w:rsid w:val="0096475C"/>
    <w:rsid w:val="0096546E"/>
    <w:rsid w:val="0096562A"/>
    <w:rsid w:val="00965865"/>
    <w:rsid w:val="00966096"/>
    <w:rsid w:val="00966A13"/>
    <w:rsid w:val="00967473"/>
    <w:rsid w:val="00967730"/>
    <w:rsid w:val="00970D56"/>
    <w:rsid w:val="00970E50"/>
    <w:rsid w:val="00971074"/>
    <w:rsid w:val="009725B2"/>
    <w:rsid w:val="00973C50"/>
    <w:rsid w:val="009747AA"/>
    <w:rsid w:val="00974AD1"/>
    <w:rsid w:val="00974B99"/>
    <w:rsid w:val="00974BCB"/>
    <w:rsid w:val="0097529C"/>
    <w:rsid w:val="00975361"/>
    <w:rsid w:val="009758CD"/>
    <w:rsid w:val="00975AEF"/>
    <w:rsid w:val="00975BF2"/>
    <w:rsid w:val="0097616C"/>
    <w:rsid w:val="009763E4"/>
    <w:rsid w:val="0097649D"/>
    <w:rsid w:val="0097654D"/>
    <w:rsid w:val="009766B7"/>
    <w:rsid w:val="00977C23"/>
    <w:rsid w:val="00980A22"/>
    <w:rsid w:val="00980D85"/>
    <w:rsid w:val="00981E09"/>
    <w:rsid w:val="00983094"/>
    <w:rsid w:val="00983599"/>
    <w:rsid w:val="009843DE"/>
    <w:rsid w:val="0098544F"/>
    <w:rsid w:val="00985B04"/>
    <w:rsid w:val="0098661B"/>
    <w:rsid w:val="00986A6D"/>
    <w:rsid w:val="00986BEF"/>
    <w:rsid w:val="00986E8F"/>
    <w:rsid w:val="00987298"/>
    <w:rsid w:val="00987B34"/>
    <w:rsid w:val="00987C73"/>
    <w:rsid w:val="00990769"/>
    <w:rsid w:val="00991DF8"/>
    <w:rsid w:val="00992499"/>
    <w:rsid w:val="00992986"/>
    <w:rsid w:val="009936E2"/>
    <w:rsid w:val="00994B55"/>
    <w:rsid w:val="009958FF"/>
    <w:rsid w:val="00995D86"/>
    <w:rsid w:val="00995FB2"/>
    <w:rsid w:val="00997483"/>
    <w:rsid w:val="0099781E"/>
    <w:rsid w:val="00997A68"/>
    <w:rsid w:val="009A0071"/>
    <w:rsid w:val="009A00EA"/>
    <w:rsid w:val="009A0587"/>
    <w:rsid w:val="009A0DA2"/>
    <w:rsid w:val="009A1CC7"/>
    <w:rsid w:val="009A1F6B"/>
    <w:rsid w:val="009A2616"/>
    <w:rsid w:val="009A2C4C"/>
    <w:rsid w:val="009A2DD8"/>
    <w:rsid w:val="009A30DE"/>
    <w:rsid w:val="009A3D29"/>
    <w:rsid w:val="009A509F"/>
    <w:rsid w:val="009A5453"/>
    <w:rsid w:val="009A5FAD"/>
    <w:rsid w:val="009A6A7B"/>
    <w:rsid w:val="009A748F"/>
    <w:rsid w:val="009A7532"/>
    <w:rsid w:val="009A7883"/>
    <w:rsid w:val="009B0596"/>
    <w:rsid w:val="009B0999"/>
    <w:rsid w:val="009B1D50"/>
    <w:rsid w:val="009B237F"/>
    <w:rsid w:val="009B2760"/>
    <w:rsid w:val="009B308D"/>
    <w:rsid w:val="009B38D5"/>
    <w:rsid w:val="009B3B62"/>
    <w:rsid w:val="009B3C8D"/>
    <w:rsid w:val="009B4E85"/>
    <w:rsid w:val="009B4FFB"/>
    <w:rsid w:val="009B53C7"/>
    <w:rsid w:val="009B7489"/>
    <w:rsid w:val="009B7987"/>
    <w:rsid w:val="009B7B0A"/>
    <w:rsid w:val="009C07C9"/>
    <w:rsid w:val="009C08D7"/>
    <w:rsid w:val="009C0DC5"/>
    <w:rsid w:val="009C1866"/>
    <w:rsid w:val="009C1FDE"/>
    <w:rsid w:val="009C23FE"/>
    <w:rsid w:val="009C24C8"/>
    <w:rsid w:val="009C375C"/>
    <w:rsid w:val="009C43FC"/>
    <w:rsid w:val="009C4E0D"/>
    <w:rsid w:val="009C4F1B"/>
    <w:rsid w:val="009C503B"/>
    <w:rsid w:val="009C5793"/>
    <w:rsid w:val="009C5816"/>
    <w:rsid w:val="009C61EA"/>
    <w:rsid w:val="009C63EC"/>
    <w:rsid w:val="009C7DAC"/>
    <w:rsid w:val="009D077D"/>
    <w:rsid w:val="009D0883"/>
    <w:rsid w:val="009D08A6"/>
    <w:rsid w:val="009D1915"/>
    <w:rsid w:val="009D1B69"/>
    <w:rsid w:val="009D1EB3"/>
    <w:rsid w:val="009D25DE"/>
    <w:rsid w:val="009D2ABF"/>
    <w:rsid w:val="009D3AD2"/>
    <w:rsid w:val="009D3E06"/>
    <w:rsid w:val="009D5843"/>
    <w:rsid w:val="009D638D"/>
    <w:rsid w:val="009D6393"/>
    <w:rsid w:val="009D6B6C"/>
    <w:rsid w:val="009E0885"/>
    <w:rsid w:val="009E0A6F"/>
    <w:rsid w:val="009E0B57"/>
    <w:rsid w:val="009E1CC8"/>
    <w:rsid w:val="009E2827"/>
    <w:rsid w:val="009E2863"/>
    <w:rsid w:val="009E30D2"/>
    <w:rsid w:val="009E39ED"/>
    <w:rsid w:val="009E4885"/>
    <w:rsid w:val="009E508B"/>
    <w:rsid w:val="009E5FBE"/>
    <w:rsid w:val="009E6A00"/>
    <w:rsid w:val="009F0086"/>
    <w:rsid w:val="009F03AB"/>
    <w:rsid w:val="009F0619"/>
    <w:rsid w:val="009F068A"/>
    <w:rsid w:val="009F08C5"/>
    <w:rsid w:val="009F0A85"/>
    <w:rsid w:val="009F1260"/>
    <w:rsid w:val="009F15CA"/>
    <w:rsid w:val="009F1B71"/>
    <w:rsid w:val="009F220A"/>
    <w:rsid w:val="009F36D6"/>
    <w:rsid w:val="009F6575"/>
    <w:rsid w:val="009F7ADC"/>
    <w:rsid w:val="00A0002A"/>
    <w:rsid w:val="00A0236D"/>
    <w:rsid w:val="00A02985"/>
    <w:rsid w:val="00A02B2B"/>
    <w:rsid w:val="00A02E10"/>
    <w:rsid w:val="00A02FA8"/>
    <w:rsid w:val="00A03F1A"/>
    <w:rsid w:val="00A03F74"/>
    <w:rsid w:val="00A03F88"/>
    <w:rsid w:val="00A046BF"/>
    <w:rsid w:val="00A05312"/>
    <w:rsid w:val="00A05B25"/>
    <w:rsid w:val="00A05C04"/>
    <w:rsid w:val="00A05EC0"/>
    <w:rsid w:val="00A06254"/>
    <w:rsid w:val="00A06842"/>
    <w:rsid w:val="00A07459"/>
    <w:rsid w:val="00A07D78"/>
    <w:rsid w:val="00A07DB6"/>
    <w:rsid w:val="00A10972"/>
    <w:rsid w:val="00A11406"/>
    <w:rsid w:val="00A11A5E"/>
    <w:rsid w:val="00A13205"/>
    <w:rsid w:val="00A132A1"/>
    <w:rsid w:val="00A13422"/>
    <w:rsid w:val="00A14D26"/>
    <w:rsid w:val="00A15132"/>
    <w:rsid w:val="00A1554D"/>
    <w:rsid w:val="00A15792"/>
    <w:rsid w:val="00A158E3"/>
    <w:rsid w:val="00A1591A"/>
    <w:rsid w:val="00A172E0"/>
    <w:rsid w:val="00A17527"/>
    <w:rsid w:val="00A211C5"/>
    <w:rsid w:val="00A221A3"/>
    <w:rsid w:val="00A223D5"/>
    <w:rsid w:val="00A235E4"/>
    <w:rsid w:val="00A23F41"/>
    <w:rsid w:val="00A25547"/>
    <w:rsid w:val="00A255D4"/>
    <w:rsid w:val="00A25F76"/>
    <w:rsid w:val="00A3003E"/>
    <w:rsid w:val="00A31E14"/>
    <w:rsid w:val="00A3325E"/>
    <w:rsid w:val="00A34276"/>
    <w:rsid w:val="00A34524"/>
    <w:rsid w:val="00A345B6"/>
    <w:rsid w:val="00A3502D"/>
    <w:rsid w:val="00A357A4"/>
    <w:rsid w:val="00A35AF5"/>
    <w:rsid w:val="00A35CDF"/>
    <w:rsid w:val="00A36453"/>
    <w:rsid w:val="00A36B05"/>
    <w:rsid w:val="00A37970"/>
    <w:rsid w:val="00A37A68"/>
    <w:rsid w:val="00A37B0C"/>
    <w:rsid w:val="00A37CE6"/>
    <w:rsid w:val="00A37D1C"/>
    <w:rsid w:val="00A37E4D"/>
    <w:rsid w:val="00A37FFE"/>
    <w:rsid w:val="00A404BE"/>
    <w:rsid w:val="00A40ECF"/>
    <w:rsid w:val="00A411C9"/>
    <w:rsid w:val="00A41FEF"/>
    <w:rsid w:val="00A42476"/>
    <w:rsid w:val="00A433CA"/>
    <w:rsid w:val="00A43A1A"/>
    <w:rsid w:val="00A43D48"/>
    <w:rsid w:val="00A43F3C"/>
    <w:rsid w:val="00A447A5"/>
    <w:rsid w:val="00A44ACD"/>
    <w:rsid w:val="00A45B83"/>
    <w:rsid w:val="00A4646E"/>
    <w:rsid w:val="00A468FD"/>
    <w:rsid w:val="00A46921"/>
    <w:rsid w:val="00A47249"/>
    <w:rsid w:val="00A47E3B"/>
    <w:rsid w:val="00A501C7"/>
    <w:rsid w:val="00A5058A"/>
    <w:rsid w:val="00A50905"/>
    <w:rsid w:val="00A513FD"/>
    <w:rsid w:val="00A517D0"/>
    <w:rsid w:val="00A5254B"/>
    <w:rsid w:val="00A52BC1"/>
    <w:rsid w:val="00A52D47"/>
    <w:rsid w:val="00A5347F"/>
    <w:rsid w:val="00A534A0"/>
    <w:rsid w:val="00A537EA"/>
    <w:rsid w:val="00A539AD"/>
    <w:rsid w:val="00A53E3E"/>
    <w:rsid w:val="00A540B2"/>
    <w:rsid w:val="00A5414D"/>
    <w:rsid w:val="00A54A3E"/>
    <w:rsid w:val="00A553C0"/>
    <w:rsid w:val="00A556B7"/>
    <w:rsid w:val="00A564A6"/>
    <w:rsid w:val="00A56819"/>
    <w:rsid w:val="00A568AC"/>
    <w:rsid w:val="00A57B07"/>
    <w:rsid w:val="00A6025F"/>
    <w:rsid w:val="00A60E9C"/>
    <w:rsid w:val="00A61196"/>
    <w:rsid w:val="00A6131E"/>
    <w:rsid w:val="00A616AF"/>
    <w:rsid w:val="00A61879"/>
    <w:rsid w:val="00A628B4"/>
    <w:rsid w:val="00A6295C"/>
    <w:rsid w:val="00A62E6A"/>
    <w:rsid w:val="00A63E4E"/>
    <w:rsid w:val="00A6444F"/>
    <w:rsid w:val="00A652FF"/>
    <w:rsid w:val="00A65A0D"/>
    <w:rsid w:val="00A65C27"/>
    <w:rsid w:val="00A65F3C"/>
    <w:rsid w:val="00A661FD"/>
    <w:rsid w:val="00A66FB3"/>
    <w:rsid w:val="00A67DF5"/>
    <w:rsid w:val="00A709A3"/>
    <w:rsid w:val="00A71216"/>
    <w:rsid w:val="00A714A3"/>
    <w:rsid w:val="00A71B8B"/>
    <w:rsid w:val="00A74456"/>
    <w:rsid w:val="00A75089"/>
    <w:rsid w:val="00A75EDC"/>
    <w:rsid w:val="00A80404"/>
    <w:rsid w:val="00A80548"/>
    <w:rsid w:val="00A8085F"/>
    <w:rsid w:val="00A80A3D"/>
    <w:rsid w:val="00A817A8"/>
    <w:rsid w:val="00A81E50"/>
    <w:rsid w:val="00A81F1C"/>
    <w:rsid w:val="00A82241"/>
    <w:rsid w:val="00A82602"/>
    <w:rsid w:val="00A82DA0"/>
    <w:rsid w:val="00A83E49"/>
    <w:rsid w:val="00A8401C"/>
    <w:rsid w:val="00A8415A"/>
    <w:rsid w:val="00A841A6"/>
    <w:rsid w:val="00A84221"/>
    <w:rsid w:val="00A843CA"/>
    <w:rsid w:val="00A84B7A"/>
    <w:rsid w:val="00A85063"/>
    <w:rsid w:val="00A85367"/>
    <w:rsid w:val="00A86359"/>
    <w:rsid w:val="00A865DC"/>
    <w:rsid w:val="00A86FBC"/>
    <w:rsid w:val="00A879C5"/>
    <w:rsid w:val="00A902AD"/>
    <w:rsid w:val="00A90302"/>
    <w:rsid w:val="00A9099E"/>
    <w:rsid w:val="00A91FB7"/>
    <w:rsid w:val="00A9298F"/>
    <w:rsid w:val="00A9301E"/>
    <w:rsid w:val="00A93E3A"/>
    <w:rsid w:val="00A95186"/>
    <w:rsid w:val="00A951AD"/>
    <w:rsid w:val="00A961BD"/>
    <w:rsid w:val="00A9652F"/>
    <w:rsid w:val="00A973B1"/>
    <w:rsid w:val="00AA027E"/>
    <w:rsid w:val="00AA1224"/>
    <w:rsid w:val="00AA14F2"/>
    <w:rsid w:val="00AA180B"/>
    <w:rsid w:val="00AA1D43"/>
    <w:rsid w:val="00AA2358"/>
    <w:rsid w:val="00AA2469"/>
    <w:rsid w:val="00AA2CD7"/>
    <w:rsid w:val="00AA2F52"/>
    <w:rsid w:val="00AA2FA4"/>
    <w:rsid w:val="00AA3301"/>
    <w:rsid w:val="00AA3360"/>
    <w:rsid w:val="00AA386B"/>
    <w:rsid w:val="00AA4C2E"/>
    <w:rsid w:val="00AA6384"/>
    <w:rsid w:val="00AA6615"/>
    <w:rsid w:val="00AA6B93"/>
    <w:rsid w:val="00AA7A06"/>
    <w:rsid w:val="00AA7A7F"/>
    <w:rsid w:val="00AA7F56"/>
    <w:rsid w:val="00AB1984"/>
    <w:rsid w:val="00AB1CBB"/>
    <w:rsid w:val="00AB215B"/>
    <w:rsid w:val="00AB266D"/>
    <w:rsid w:val="00AB2E7D"/>
    <w:rsid w:val="00AB3146"/>
    <w:rsid w:val="00AB333E"/>
    <w:rsid w:val="00AB37DB"/>
    <w:rsid w:val="00AB3ECC"/>
    <w:rsid w:val="00AB54B5"/>
    <w:rsid w:val="00AB5A73"/>
    <w:rsid w:val="00AB5F48"/>
    <w:rsid w:val="00AB7156"/>
    <w:rsid w:val="00AB716D"/>
    <w:rsid w:val="00AB72BB"/>
    <w:rsid w:val="00AB7472"/>
    <w:rsid w:val="00AB7BF3"/>
    <w:rsid w:val="00AC09D5"/>
    <w:rsid w:val="00AC0C0D"/>
    <w:rsid w:val="00AC0D8E"/>
    <w:rsid w:val="00AC175B"/>
    <w:rsid w:val="00AC1AA3"/>
    <w:rsid w:val="00AC1F8E"/>
    <w:rsid w:val="00AC22C1"/>
    <w:rsid w:val="00AC275A"/>
    <w:rsid w:val="00AC374B"/>
    <w:rsid w:val="00AC3798"/>
    <w:rsid w:val="00AC3ED5"/>
    <w:rsid w:val="00AC3FBA"/>
    <w:rsid w:val="00AC4CB3"/>
    <w:rsid w:val="00AC4D7C"/>
    <w:rsid w:val="00AC53B0"/>
    <w:rsid w:val="00AC6EF2"/>
    <w:rsid w:val="00AC71A6"/>
    <w:rsid w:val="00AC742F"/>
    <w:rsid w:val="00AC7664"/>
    <w:rsid w:val="00AC774F"/>
    <w:rsid w:val="00AC780D"/>
    <w:rsid w:val="00AC787B"/>
    <w:rsid w:val="00AC78A0"/>
    <w:rsid w:val="00AC7956"/>
    <w:rsid w:val="00AC7E18"/>
    <w:rsid w:val="00AD1B79"/>
    <w:rsid w:val="00AD3208"/>
    <w:rsid w:val="00AD3C00"/>
    <w:rsid w:val="00AD50F8"/>
    <w:rsid w:val="00AD719F"/>
    <w:rsid w:val="00AD7447"/>
    <w:rsid w:val="00AD752A"/>
    <w:rsid w:val="00AD7D36"/>
    <w:rsid w:val="00AE0A0E"/>
    <w:rsid w:val="00AE0DED"/>
    <w:rsid w:val="00AE1D05"/>
    <w:rsid w:val="00AE2780"/>
    <w:rsid w:val="00AE284A"/>
    <w:rsid w:val="00AE307E"/>
    <w:rsid w:val="00AE3450"/>
    <w:rsid w:val="00AE392E"/>
    <w:rsid w:val="00AE3BA4"/>
    <w:rsid w:val="00AE3E11"/>
    <w:rsid w:val="00AE40B3"/>
    <w:rsid w:val="00AE4BAB"/>
    <w:rsid w:val="00AE4BDC"/>
    <w:rsid w:val="00AE4CFD"/>
    <w:rsid w:val="00AE4EA6"/>
    <w:rsid w:val="00AE51FF"/>
    <w:rsid w:val="00AE55AD"/>
    <w:rsid w:val="00AE5D8F"/>
    <w:rsid w:val="00AE67D5"/>
    <w:rsid w:val="00AE78ED"/>
    <w:rsid w:val="00AE7AC2"/>
    <w:rsid w:val="00AE7EC9"/>
    <w:rsid w:val="00AF1117"/>
    <w:rsid w:val="00AF1555"/>
    <w:rsid w:val="00AF174E"/>
    <w:rsid w:val="00AF18BA"/>
    <w:rsid w:val="00AF1CA5"/>
    <w:rsid w:val="00AF228C"/>
    <w:rsid w:val="00AF2DB9"/>
    <w:rsid w:val="00AF3928"/>
    <w:rsid w:val="00AF3B55"/>
    <w:rsid w:val="00AF3D62"/>
    <w:rsid w:val="00AF4146"/>
    <w:rsid w:val="00AF56FE"/>
    <w:rsid w:val="00AF62A7"/>
    <w:rsid w:val="00AF6AC5"/>
    <w:rsid w:val="00AF7809"/>
    <w:rsid w:val="00AF7922"/>
    <w:rsid w:val="00AF7CA7"/>
    <w:rsid w:val="00AF7DEB"/>
    <w:rsid w:val="00AF7F7B"/>
    <w:rsid w:val="00B00BDE"/>
    <w:rsid w:val="00B0104B"/>
    <w:rsid w:val="00B021E0"/>
    <w:rsid w:val="00B03A30"/>
    <w:rsid w:val="00B03A35"/>
    <w:rsid w:val="00B04F99"/>
    <w:rsid w:val="00B057B6"/>
    <w:rsid w:val="00B05A7C"/>
    <w:rsid w:val="00B06361"/>
    <w:rsid w:val="00B0651D"/>
    <w:rsid w:val="00B06955"/>
    <w:rsid w:val="00B07BEA"/>
    <w:rsid w:val="00B07F41"/>
    <w:rsid w:val="00B102F9"/>
    <w:rsid w:val="00B11C80"/>
    <w:rsid w:val="00B11F33"/>
    <w:rsid w:val="00B12152"/>
    <w:rsid w:val="00B12DCA"/>
    <w:rsid w:val="00B13ECB"/>
    <w:rsid w:val="00B150AA"/>
    <w:rsid w:val="00B1524F"/>
    <w:rsid w:val="00B15A54"/>
    <w:rsid w:val="00B15ECF"/>
    <w:rsid w:val="00B16081"/>
    <w:rsid w:val="00B169CD"/>
    <w:rsid w:val="00B16C0A"/>
    <w:rsid w:val="00B17F60"/>
    <w:rsid w:val="00B2039A"/>
    <w:rsid w:val="00B20AC8"/>
    <w:rsid w:val="00B215D5"/>
    <w:rsid w:val="00B21D55"/>
    <w:rsid w:val="00B225CB"/>
    <w:rsid w:val="00B22870"/>
    <w:rsid w:val="00B22A22"/>
    <w:rsid w:val="00B22AA6"/>
    <w:rsid w:val="00B22AEA"/>
    <w:rsid w:val="00B237C4"/>
    <w:rsid w:val="00B23D1A"/>
    <w:rsid w:val="00B23F4C"/>
    <w:rsid w:val="00B24233"/>
    <w:rsid w:val="00B246DD"/>
    <w:rsid w:val="00B248D8"/>
    <w:rsid w:val="00B24BA7"/>
    <w:rsid w:val="00B25A6F"/>
    <w:rsid w:val="00B25CD9"/>
    <w:rsid w:val="00B25E8C"/>
    <w:rsid w:val="00B268D0"/>
    <w:rsid w:val="00B269D3"/>
    <w:rsid w:val="00B27886"/>
    <w:rsid w:val="00B27F44"/>
    <w:rsid w:val="00B301ED"/>
    <w:rsid w:val="00B30448"/>
    <w:rsid w:val="00B3048B"/>
    <w:rsid w:val="00B30C49"/>
    <w:rsid w:val="00B30D75"/>
    <w:rsid w:val="00B30DAD"/>
    <w:rsid w:val="00B31315"/>
    <w:rsid w:val="00B3260E"/>
    <w:rsid w:val="00B32C4B"/>
    <w:rsid w:val="00B3407E"/>
    <w:rsid w:val="00B34C84"/>
    <w:rsid w:val="00B34D6A"/>
    <w:rsid w:val="00B35021"/>
    <w:rsid w:val="00B35749"/>
    <w:rsid w:val="00B35EF5"/>
    <w:rsid w:val="00B3677F"/>
    <w:rsid w:val="00B36872"/>
    <w:rsid w:val="00B3704D"/>
    <w:rsid w:val="00B37071"/>
    <w:rsid w:val="00B376FB"/>
    <w:rsid w:val="00B40162"/>
    <w:rsid w:val="00B4054D"/>
    <w:rsid w:val="00B40903"/>
    <w:rsid w:val="00B40FDB"/>
    <w:rsid w:val="00B41C6D"/>
    <w:rsid w:val="00B420B2"/>
    <w:rsid w:val="00B42800"/>
    <w:rsid w:val="00B42832"/>
    <w:rsid w:val="00B42863"/>
    <w:rsid w:val="00B430F6"/>
    <w:rsid w:val="00B43511"/>
    <w:rsid w:val="00B43CE6"/>
    <w:rsid w:val="00B45528"/>
    <w:rsid w:val="00B46212"/>
    <w:rsid w:val="00B46B6E"/>
    <w:rsid w:val="00B478FA"/>
    <w:rsid w:val="00B50156"/>
    <w:rsid w:val="00B501E8"/>
    <w:rsid w:val="00B502A3"/>
    <w:rsid w:val="00B506D4"/>
    <w:rsid w:val="00B507AA"/>
    <w:rsid w:val="00B50953"/>
    <w:rsid w:val="00B509AE"/>
    <w:rsid w:val="00B50E13"/>
    <w:rsid w:val="00B51581"/>
    <w:rsid w:val="00B518AD"/>
    <w:rsid w:val="00B51BB6"/>
    <w:rsid w:val="00B52056"/>
    <w:rsid w:val="00B52B0E"/>
    <w:rsid w:val="00B52D81"/>
    <w:rsid w:val="00B5355B"/>
    <w:rsid w:val="00B5402E"/>
    <w:rsid w:val="00B540E8"/>
    <w:rsid w:val="00B54681"/>
    <w:rsid w:val="00B54794"/>
    <w:rsid w:val="00B55852"/>
    <w:rsid w:val="00B560A9"/>
    <w:rsid w:val="00B56866"/>
    <w:rsid w:val="00B56CC4"/>
    <w:rsid w:val="00B57177"/>
    <w:rsid w:val="00B604BB"/>
    <w:rsid w:val="00B6062A"/>
    <w:rsid w:val="00B60A96"/>
    <w:rsid w:val="00B60DD7"/>
    <w:rsid w:val="00B60EB6"/>
    <w:rsid w:val="00B60EE5"/>
    <w:rsid w:val="00B616A5"/>
    <w:rsid w:val="00B628BE"/>
    <w:rsid w:val="00B62B67"/>
    <w:rsid w:val="00B637FB"/>
    <w:rsid w:val="00B6386F"/>
    <w:rsid w:val="00B65295"/>
    <w:rsid w:val="00B65D9B"/>
    <w:rsid w:val="00B66E51"/>
    <w:rsid w:val="00B66E68"/>
    <w:rsid w:val="00B67346"/>
    <w:rsid w:val="00B6793A"/>
    <w:rsid w:val="00B67AC3"/>
    <w:rsid w:val="00B70658"/>
    <w:rsid w:val="00B70880"/>
    <w:rsid w:val="00B71422"/>
    <w:rsid w:val="00B71486"/>
    <w:rsid w:val="00B71607"/>
    <w:rsid w:val="00B71EF7"/>
    <w:rsid w:val="00B72361"/>
    <w:rsid w:val="00B74AB0"/>
    <w:rsid w:val="00B75345"/>
    <w:rsid w:val="00B76327"/>
    <w:rsid w:val="00B76400"/>
    <w:rsid w:val="00B76C94"/>
    <w:rsid w:val="00B76D4E"/>
    <w:rsid w:val="00B76D6E"/>
    <w:rsid w:val="00B771A8"/>
    <w:rsid w:val="00B771AA"/>
    <w:rsid w:val="00B772D0"/>
    <w:rsid w:val="00B80A99"/>
    <w:rsid w:val="00B80C8A"/>
    <w:rsid w:val="00B80F4E"/>
    <w:rsid w:val="00B814CF"/>
    <w:rsid w:val="00B81A33"/>
    <w:rsid w:val="00B8256C"/>
    <w:rsid w:val="00B82B2D"/>
    <w:rsid w:val="00B83117"/>
    <w:rsid w:val="00B8319C"/>
    <w:rsid w:val="00B83F77"/>
    <w:rsid w:val="00B90351"/>
    <w:rsid w:val="00B906F2"/>
    <w:rsid w:val="00B90D9B"/>
    <w:rsid w:val="00B91259"/>
    <w:rsid w:val="00B91B81"/>
    <w:rsid w:val="00B91FF0"/>
    <w:rsid w:val="00B926A8"/>
    <w:rsid w:val="00B92FFF"/>
    <w:rsid w:val="00B93325"/>
    <w:rsid w:val="00B93538"/>
    <w:rsid w:val="00B936F8"/>
    <w:rsid w:val="00B939D6"/>
    <w:rsid w:val="00B9456E"/>
    <w:rsid w:val="00B9492E"/>
    <w:rsid w:val="00B960DB"/>
    <w:rsid w:val="00B96799"/>
    <w:rsid w:val="00B96DE5"/>
    <w:rsid w:val="00B97A76"/>
    <w:rsid w:val="00BA0166"/>
    <w:rsid w:val="00BA02B6"/>
    <w:rsid w:val="00BA0584"/>
    <w:rsid w:val="00BA0755"/>
    <w:rsid w:val="00BA1E9D"/>
    <w:rsid w:val="00BA249D"/>
    <w:rsid w:val="00BA3C66"/>
    <w:rsid w:val="00BA4D00"/>
    <w:rsid w:val="00BA4F9B"/>
    <w:rsid w:val="00BA5665"/>
    <w:rsid w:val="00BA6825"/>
    <w:rsid w:val="00BA72D9"/>
    <w:rsid w:val="00BB0A80"/>
    <w:rsid w:val="00BB0AB5"/>
    <w:rsid w:val="00BB195B"/>
    <w:rsid w:val="00BB1BBA"/>
    <w:rsid w:val="00BB204A"/>
    <w:rsid w:val="00BB2BD1"/>
    <w:rsid w:val="00BB31DF"/>
    <w:rsid w:val="00BB33E9"/>
    <w:rsid w:val="00BB34B7"/>
    <w:rsid w:val="00BB3BE4"/>
    <w:rsid w:val="00BB44DB"/>
    <w:rsid w:val="00BB57D3"/>
    <w:rsid w:val="00BB58EE"/>
    <w:rsid w:val="00BB64EC"/>
    <w:rsid w:val="00BB726C"/>
    <w:rsid w:val="00BB7589"/>
    <w:rsid w:val="00BB7668"/>
    <w:rsid w:val="00BB7E42"/>
    <w:rsid w:val="00BC077E"/>
    <w:rsid w:val="00BC0DE5"/>
    <w:rsid w:val="00BC0E57"/>
    <w:rsid w:val="00BC148E"/>
    <w:rsid w:val="00BC1F5F"/>
    <w:rsid w:val="00BC21BE"/>
    <w:rsid w:val="00BC2465"/>
    <w:rsid w:val="00BC3E36"/>
    <w:rsid w:val="00BC4B2D"/>
    <w:rsid w:val="00BC4CE8"/>
    <w:rsid w:val="00BC4D54"/>
    <w:rsid w:val="00BC5BDF"/>
    <w:rsid w:val="00BC6E2F"/>
    <w:rsid w:val="00BC6EAF"/>
    <w:rsid w:val="00BC728A"/>
    <w:rsid w:val="00BC7632"/>
    <w:rsid w:val="00BC77A4"/>
    <w:rsid w:val="00BC7C9E"/>
    <w:rsid w:val="00BD1E79"/>
    <w:rsid w:val="00BD236D"/>
    <w:rsid w:val="00BD23A5"/>
    <w:rsid w:val="00BD2937"/>
    <w:rsid w:val="00BD2AFC"/>
    <w:rsid w:val="00BD2CD4"/>
    <w:rsid w:val="00BD3143"/>
    <w:rsid w:val="00BD330C"/>
    <w:rsid w:val="00BD359B"/>
    <w:rsid w:val="00BD3663"/>
    <w:rsid w:val="00BD367F"/>
    <w:rsid w:val="00BD46DF"/>
    <w:rsid w:val="00BD4871"/>
    <w:rsid w:val="00BD48A9"/>
    <w:rsid w:val="00BD4B47"/>
    <w:rsid w:val="00BD5712"/>
    <w:rsid w:val="00BD581A"/>
    <w:rsid w:val="00BD5C02"/>
    <w:rsid w:val="00BD658C"/>
    <w:rsid w:val="00BD678A"/>
    <w:rsid w:val="00BD6819"/>
    <w:rsid w:val="00BD7EC6"/>
    <w:rsid w:val="00BE063A"/>
    <w:rsid w:val="00BE0FF2"/>
    <w:rsid w:val="00BE1345"/>
    <w:rsid w:val="00BE18BC"/>
    <w:rsid w:val="00BE2147"/>
    <w:rsid w:val="00BE239E"/>
    <w:rsid w:val="00BE3B83"/>
    <w:rsid w:val="00BE3C67"/>
    <w:rsid w:val="00BE3CF7"/>
    <w:rsid w:val="00BE42FC"/>
    <w:rsid w:val="00BE6085"/>
    <w:rsid w:val="00BE63FB"/>
    <w:rsid w:val="00BE66FC"/>
    <w:rsid w:val="00BE6F25"/>
    <w:rsid w:val="00BE73FA"/>
    <w:rsid w:val="00BF00D1"/>
    <w:rsid w:val="00BF0353"/>
    <w:rsid w:val="00BF090A"/>
    <w:rsid w:val="00BF0918"/>
    <w:rsid w:val="00BF2001"/>
    <w:rsid w:val="00BF2575"/>
    <w:rsid w:val="00BF31A0"/>
    <w:rsid w:val="00BF323A"/>
    <w:rsid w:val="00BF36C0"/>
    <w:rsid w:val="00BF3F0A"/>
    <w:rsid w:val="00BF4E35"/>
    <w:rsid w:val="00BF5FB3"/>
    <w:rsid w:val="00BF6F82"/>
    <w:rsid w:val="00BF7B9B"/>
    <w:rsid w:val="00C001B9"/>
    <w:rsid w:val="00C0083F"/>
    <w:rsid w:val="00C00976"/>
    <w:rsid w:val="00C020CD"/>
    <w:rsid w:val="00C02715"/>
    <w:rsid w:val="00C02DDE"/>
    <w:rsid w:val="00C0362D"/>
    <w:rsid w:val="00C0367B"/>
    <w:rsid w:val="00C04E51"/>
    <w:rsid w:val="00C05074"/>
    <w:rsid w:val="00C05472"/>
    <w:rsid w:val="00C05AF9"/>
    <w:rsid w:val="00C0606E"/>
    <w:rsid w:val="00C060A3"/>
    <w:rsid w:val="00C060B0"/>
    <w:rsid w:val="00C06D2C"/>
    <w:rsid w:val="00C072F0"/>
    <w:rsid w:val="00C07344"/>
    <w:rsid w:val="00C079A3"/>
    <w:rsid w:val="00C07C1F"/>
    <w:rsid w:val="00C07C79"/>
    <w:rsid w:val="00C11A79"/>
    <w:rsid w:val="00C1211E"/>
    <w:rsid w:val="00C12F80"/>
    <w:rsid w:val="00C13607"/>
    <w:rsid w:val="00C137B1"/>
    <w:rsid w:val="00C13811"/>
    <w:rsid w:val="00C13B43"/>
    <w:rsid w:val="00C15E81"/>
    <w:rsid w:val="00C174C9"/>
    <w:rsid w:val="00C17B6E"/>
    <w:rsid w:val="00C200BA"/>
    <w:rsid w:val="00C20748"/>
    <w:rsid w:val="00C20754"/>
    <w:rsid w:val="00C21378"/>
    <w:rsid w:val="00C220A5"/>
    <w:rsid w:val="00C22307"/>
    <w:rsid w:val="00C2299F"/>
    <w:rsid w:val="00C22BB2"/>
    <w:rsid w:val="00C22EAF"/>
    <w:rsid w:val="00C23150"/>
    <w:rsid w:val="00C24580"/>
    <w:rsid w:val="00C24908"/>
    <w:rsid w:val="00C250E8"/>
    <w:rsid w:val="00C25150"/>
    <w:rsid w:val="00C2515F"/>
    <w:rsid w:val="00C25B30"/>
    <w:rsid w:val="00C25DCF"/>
    <w:rsid w:val="00C26AEA"/>
    <w:rsid w:val="00C276EC"/>
    <w:rsid w:val="00C27C0A"/>
    <w:rsid w:val="00C305D9"/>
    <w:rsid w:val="00C31AD4"/>
    <w:rsid w:val="00C31C63"/>
    <w:rsid w:val="00C31C8C"/>
    <w:rsid w:val="00C31CD9"/>
    <w:rsid w:val="00C32481"/>
    <w:rsid w:val="00C32B39"/>
    <w:rsid w:val="00C32BCB"/>
    <w:rsid w:val="00C3394C"/>
    <w:rsid w:val="00C34581"/>
    <w:rsid w:val="00C34AD7"/>
    <w:rsid w:val="00C3516D"/>
    <w:rsid w:val="00C351E4"/>
    <w:rsid w:val="00C353D8"/>
    <w:rsid w:val="00C361A6"/>
    <w:rsid w:val="00C365C5"/>
    <w:rsid w:val="00C3670F"/>
    <w:rsid w:val="00C36E1A"/>
    <w:rsid w:val="00C371DF"/>
    <w:rsid w:val="00C37818"/>
    <w:rsid w:val="00C37C94"/>
    <w:rsid w:val="00C37EFC"/>
    <w:rsid w:val="00C37FF9"/>
    <w:rsid w:val="00C40126"/>
    <w:rsid w:val="00C4055E"/>
    <w:rsid w:val="00C41099"/>
    <w:rsid w:val="00C41425"/>
    <w:rsid w:val="00C41B4A"/>
    <w:rsid w:val="00C4213A"/>
    <w:rsid w:val="00C42C11"/>
    <w:rsid w:val="00C43344"/>
    <w:rsid w:val="00C43ADB"/>
    <w:rsid w:val="00C44949"/>
    <w:rsid w:val="00C44A87"/>
    <w:rsid w:val="00C44B4C"/>
    <w:rsid w:val="00C450E3"/>
    <w:rsid w:val="00C456CC"/>
    <w:rsid w:val="00C45830"/>
    <w:rsid w:val="00C45C56"/>
    <w:rsid w:val="00C45CCD"/>
    <w:rsid w:val="00C46734"/>
    <w:rsid w:val="00C50112"/>
    <w:rsid w:val="00C5105D"/>
    <w:rsid w:val="00C511F0"/>
    <w:rsid w:val="00C513C7"/>
    <w:rsid w:val="00C51639"/>
    <w:rsid w:val="00C53220"/>
    <w:rsid w:val="00C533A0"/>
    <w:rsid w:val="00C537E7"/>
    <w:rsid w:val="00C53AFE"/>
    <w:rsid w:val="00C53E9D"/>
    <w:rsid w:val="00C5426B"/>
    <w:rsid w:val="00C54C18"/>
    <w:rsid w:val="00C573DA"/>
    <w:rsid w:val="00C5772E"/>
    <w:rsid w:val="00C5781B"/>
    <w:rsid w:val="00C61117"/>
    <w:rsid w:val="00C616B4"/>
    <w:rsid w:val="00C621A7"/>
    <w:rsid w:val="00C62AA0"/>
    <w:rsid w:val="00C62BF2"/>
    <w:rsid w:val="00C62D1B"/>
    <w:rsid w:val="00C638A6"/>
    <w:rsid w:val="00C63FB9"/>
    <w:rsid w:val="00C64266"/>
    <w:rsid w:val="00C647DF"/>
    <w:rsid w:val="00C64F8E"/>
    <w:rsid w:val="00C65383"/>
    <w:rsid w:val="00C66306"/>
    <w:rsid w:val="00C66CE8"/>
    <w:rsid w:val="00C70074"/>
    <w:rsid w:val="00C70D51"/>
    <w:rsid w:val="00C70DF4"/>
    <w:rsid w:val="00C71252"/>
    <w:rsid w:val="00C7277F"/>
    <w:rsid w:val="00C73C07"/>
    <w:rsid w:val="00C74930"/>
    <w:rsid w:val="00C74B47"/>
    <w:rsid w:val="00C74D80"/>
    <w:rsid w:val="00C754BD"/>
    <w:rsid w:val="00C75D3A"/>
    <w:rsid w:val="00C75E10"/>
    <w:rsid w:val="00C769A9"/>
    <w:rsid w:val="00C774C9"/>
    <w:rsid w:val="00C77F1B"/>
    <w:rsid w:val="00C80987"/>
    <w:rsid w:val="00C80A3F"/>
    <w:rsid w:val="00C8180E"/>
    <w:rsid w:val="00C818A9"/>
    <w:rsid w:val="00C82436"/>
    <w:rsid w:val="00C82933"/>
    <w:rsid w:val="00C82BE2"/>
    <w:rsid w:val="00C833CC"/>
    <w:rsid w:val="00C84BBF"/>
    <w:rsid w:val="00C84BE9"/>
    <w:rsid w:val="00C85D38"/>
    <w:rsid w:val="00C85DEF"/>
    <w:rsid w:val="00C85E40"/>
    <w:rsid w:val="00C86D76"/>
    <w:rsid w:val="00C87A64"/>
    <w:rsid w:val="00C910F8"/>
    <w:rsid w:val="00C91106"/>
    <w:rsid w:val="00C9117B"/>
    <w:rsid w:val="00C91D19"/>
    <w:rsid w:val="00C93B58"/>
    <w:rsid w:val="00C93C2F"/>
    <w:rsid w:val="00C9437C"/>
    <w:rsid w:val="00C946E4"/>
    <w:rsid w:val="00C946FF"/>
    <w:rsid w:val="00C94A14"/>
    <w:rsid w:val="00C94CDA"/>
    <w:rsid w:val="00C95BED"/>
    <w:rsid w:val="00C96725"/>
    <w:rsid w:val="00C97A66"/>
    <w:rsid w:val="00CA007B"/>
    <w:rsid w:val="00CA01BB"/>
    <w:rsid w:val="00CA0AA4"/>
    <w:rsid w:val="00CA15B0"/>
    <w:rsid w:val="00CA1C71"/>
    <w:rsid w:val="00CA1D4C"/>
    <w:rsid w:val="00CA1D50"/>
    <w:rsid w:val="00CA1DAB"/>
    <w:rsid w:val="00CA20E0"/>
    <w:rsid w:val="00CA2598"/>
    <w:rsid w:val="00CA3347"/>
    <w:rsid w:val="00CA523D"/>
    <w:rsid w:val="00CA5DA9"/>
    <w:rsid w:val="00CA6E3E"/>
    <w:rsid w:val="00CA6FDA"/>
    <w:rsid w:val="00CA77CF"/>
    <w:rsid w:val="00CA7B58"/>
    <w:rsid w:val="00CB0836"/>
    <w:rsid w:val="00CB0CB9"/>
    <w:rsid w:val="00CB1413"/>
    <w:rsid w:val="00CB18D4"/>
    <w:rsid w:val="00CB2518"/>
    <w:rsid w:val="00CB3920"/>
    <w:rsid w:val="00CB49CB"/>
    <w:rsid w:val="00CB4C4C"/>
    <w:rsid w:val="00CB6413"/>
    <w:rsid w:val="00CB696F"/>
    <w:rsid w:val="00CB6A00"/>
    <w:rsid w:val="00CB7097"/>
    <w:rsid w:val="00CB77F4"/>
    <w:rsid w:val="00CB780D"/>
    <w:rsid w:val="00CC0F1C"/>
    <w:rsid w:val="00CC1983"/>
    <w:rsid w:val="00CC259D"/>
    <w:rsid w:val="00CC299A"/>
    <w:rsid w:val="00CC3039"/>
    <w:rsid w:val="00CC32B7"/>
    <w:rsid w:val="00CC36DE"/>
    <w:rsid w:val="00CC4498"/>
    <w:rsid w:val="00CC4ACB"/>
    <w:rsid w:val="00CC4D38"/>
    <w:rsid w:val="00CC4F99"/>
    <w:rsid w:val="00CC5CDC"/>
    <w:rsid w:val="00CC5FC3"/>
    <w:rsid w:val="00CC6369"/>
    <w:rsid w:val="00CC6576"/>
    <w:rsid w:val="00CC65D6"/>
    <w:rsid w:val="00CC69E2"/>
    <w:rsid w:val="00CC73F3"/>
    <w:rsid w:val="00CC7B85"/>
    <w:rsid w:val="00CD081C"/>
    <w:rsid w:val="00CD14DA"/>
    <w:rsid w:val="00CD1B5A"/>
    <w:rsid w:val="00CD1E9C"/>
    <w:rsid w:val="00CD2777"/>
    <w:rsid w:val="00CD27DB"/>
    <w:rsid w:val="00CD2E70"/>
    <w:rsid w:val="00CD386B"/>
    <w:rsid w:val="00CD3D06"/>
    <w:rsid w:val="00CD4A09"/>
    <w:rsid w:val="00CD4C67"/>
    <w:rsid w:val="00CD4C7B"/>
    <w:rsid w:val="00CD5397"/>
    <w:rsid w:val="00CD5E93"/>
    <w:rsid w:val="00CE0C7A"/>
    <w:rsid w:val="00CE15AE"/>
    <w:rsid w:val="00CE1CFC"/>
    <w:rsid w:val="00CE235A"/>
    <w:rsid w:val="00CE37A3"/>
    <w:rsid w:val="00CE3814"/>
    <w:rsid w:val="00CE4AC7"/>
    <w:rsid w:val="00CE56B7"/>
    <w:rsid w:val="00CE6660"/>
    <w:rsid w:val="00CE6855"/>
    <w:rsid w:val="00CE6B6F"/>
    <w:rsid w:val="00CE7033"/>
    <w:rsid w:val="00CE7075"/>
    <w:rsid w:val="00CE770A"/>
    <w:rsid w:val="00CF02A6"/>
    <w:rsid w:val="00CF05A6"/>
    <w:rsid w:val="00CF06CF"/>
    <w:rsid w:val="00CF101C"/>
    <w:rsid w:val="00CF15C5"/>
    <w:rsid w:val="00CF2DC1"/>
    <w:rsid w:val="00CF2EE2"/>
    <w:rsid w:val="00CF3948"/>
    <w:rsid w:val="00CF3ACF"/>
    <w:rsid w:val="00CF441D"/>
    <w:rsid w:val="00CF4FCF"/>
    <w:rsid w:val="00CF4FDC"/>
    <w:rsid w:val="00CF53F2"/>
    <w:rsid w:val="00CF56AF"/>
    <w:rsid w:val="00CF5BE0"/>
    <w:rsid w:val="00CF5BF1"/>
    <w:rsid w:val="00CF6001"/>
    <w:rsid w:val="00CF6120"/>
    <w:rsid w:val="00CF61CB"/>
    <w:rsid w:val="00CF666F"/>
    <w:rsid w:val="00CF686F"/>
    <w:rsid w:val="00CF6CA7"/>
    <w:rsid w:val="00CF6E7D"/>
    <w:rsid w:val="00D00175"/>
    <w:rsid w:val="00D00223"/>
    <w:rsid w:val="00D0045E"/>
    <w:rsid w:val="00D007F4"/>
    <w:rsid w:val="00D008D8"/>
    <w:rsid w:val="00D00DBF"/>
    <w:rsid w:val="00D0149B"/>
    <w:rsid w:val="00D01F5D"/>
    <w:rsid w:val="00D01FA9"/>
    <w:rsid w:val="00D03DBE"/>
    <w:rsid w:val="00D03EED"/>
    <w:rsid w:val="00D0597D"/>
    <w:rsid w:val="00D06274"/>
    <w:rsid w:val="00D066D8"/>
    <w:rsid w:val="00D07FB9"/>
    <w:rsid w:val="00D11949"/>
    <w:rsid w:val="00D11A69"/>
    <w:rsid w:val="00D12C98"/>
    <w:rsid w:val="00D12FFC"/>
    <w:rsid w:val="00D13CA3"/>
    <w:rsid w:val="00D1484F"/>
    <w:rsid w:val="00D14BA0"/>
    <w:rsid w:val="00D14D7B"/>
    <w:rsid w:val="00D1516D"/>
    <w:rsid w:val="00D158B0"/>
    <w:rsid w:val="00D1707A"/>
    <w:rsid w:val="00D17CC2"/>
    <w:rsid w:val="00D20EED"/>
    <w:rsid w:val="00D21435"/>
    <w:rsid w:val="00D2242C"/>
    <w:rsid w:val="00D224FA"/>
    <w:rsid w:val="00D23033"/>
    <w:rsid w:val="00D2402F"/>
    <w:rsid w:val="00D245C2"/>
    <w:rsid w:val="00D2464E"/>
    <w:rsid w:val="00D25660"/>
    <w:rsid w:val="00D2569B"/>
    <w:rsid w:val="00D258EB"/>
    <w:rsid w:val="00D25AEB"/>
    <w:rsid w:val="00D271CD"/>
    <w:rsid w:val="00D278A0"/>
    <w:rsid w:val="00D3064E"/>
    <w:rsid w:val="00D30E00"/>
    <w:rsid w:val="00D315CC"/>
    <w:rsid w:val="00D31DDA"/>
    <w:rsid w:val="00D32067"/>
    <w:rsid w:val="00D327A3"/>
    <w:rsid w:val="00D34C82"/>
    <w:rsid w:val="00D36550"/>
    <w:rsid w:val="00D379EC"/>
    <w:rsid w:val="00D37C94"/>
    <w:rsid w:val="00D40D88"/>
    <w:rsid w:val="00D41E42"/>
    <w:rsid w:val="00D41F6B"/>
    <w:rsid w:val="00D42380"/>
    <w:rsid w:val="00D42C9B"/>
    <w:rsid w:val="00D4348D"/>
    <w:rsid w:val="00D436D7"/>
    <w:rsid w:val="00D44E42"/>
    <w:rsid w:val="00D44FC3"/>
    <w:rsid w:val="00D450E2"/>
    <w:rsid w:val="00D453D7"/>
    <w:rsid w:val="00D4552D"/>
    <w:rsid w:val="00D45DE4"/>
    <w:rsid w:val="00D462D6"/>
    <w:rsid w:val="00D474AB"/>
    <w:rsid w:val="00D4754E"/>
    <w:rsid w:val="00D50460"/>
    <w:rsid w:val="00D50961"/>
    <w:rsid w:val="00D50A02"/>
    <w:rsid w:val="00D512A1"/>
    <w:rsid w:val="00D518D6"/>
    <w:rsid w:val="00D52AB4"/>
    <w:rsid w:val="00D52F26"/>
    <w:rsid w:val="00D531F5"/>
    <w:rsid w:val="00D538C1"/>
    <w:rsid w:val="00D538D5"/>
    <w:rsid w:val="00D53B5C"/>
    <w:rsid w:val="00D54640"/>
    <w:rsid w:val="00D55455"/>
    <w:rsid w:val="00D559B5"/>
    <w:rsid w:val="00D56420"/>
    <w:rsid w:val="00D5658A"/>
    <w:rsid w:val="00D56A94"/>
    <w:rsid w:val="00D56C0C"/>
    <w:rsid w:val="00D56F9E"/>
    <w:rsid w:val="00D570B4"/>
    <w:rsid w:val="00D5798B"/>
    <w:rsid w:val="00D60736"/>
    <w:rsid w:val="00D6170E"/>
    <w:rsid w:val="00D61972"/>
    <w:rsid w:val="00D61B58"/>
    <w:rsid w:val="00D6307D"/>
    <w:rsid w:val="00D6362B"/>
    <w:rsid w:val="00D63632"/>
    <w:rsid w:val="00D63732"/>
    <w:rsid w:val="00D63925"/>
    <w:rsid w:val="00D6405D"/>
    <w:rsid w:val="00D6568E"/>
    <w:rsid w:val="00D65893"/>
    <w:rsid w:val="00D658EC"/>
    <w:rsid w:val="00D65B42"/>
    <w:rsid w:val="00D6684E"/>
    <w:rsid w:val="00D6742A"/>
    <w:rsid w:val="00D67B9B"/>
    <w:rsid w:val="00D71733"/>
    <w:rsid w:val="00D718AC"/>
    <w:rsid w:val="00D719A3"/>
    <w:rsid w:val="00D71E7A"/>
    <w:rsid w:val="00D727D4"/>
    <w:rsid w:val="00D729C3"/>
    <w:rsid w:val="00D72DE7"/>
    <w:rsid w:val="00D7302F"/>
    <w:rsid w:val="00D73BB2"/>
    <w:rsid w:val="00D74575"/>
    <w:rsid w:val="00D74D14"/>
    <w:rsid w:val="00D74F3B"/>
    <w:rsid w:val="00D752E7"/>
    <w:rsid w:val="00D7574B"/>
    <w:rsid w:val="00D75843"/>
    <w:rsid w:val="00D75E82"/>
    <w:rsid w:val="00D76270"/>
    <w:rsid w:val="00D767C6"/>
    <w:rsid w:val="00D769C5"/>
    <w:rsid w:val="00D76E76"/>
    <w:rsid w:val="00D77891"/>
    <w:rsid w:val="00D77B63"/>
    <w:rsid w:val="00D80631"/>
    <w:rsid w:val="00D818EC"/>
    <w:rsid w:val="00D81A20"/>
    <w:rsid w:val="00D81F55"/>
    <w:rsid w:val="00D8321A"/>
    <w:rsid w:val="00D83F57"/>
    <w:rsid w:val="00D84A86"/>
    <w:rsid w:val="00D85152"/>
    <w:rsid w:val="00D85F2C"/>
    <w:rsid w:val="00D861BD"/>
    <w:rsid w:val="00D86D55"/>
    <w:rsid w:val="00D8789C"/>
    <w:rsid w:val="00D8789D"/>
    <w:rsid w:val="00D87B3F"/>
    <w:rsid w:val="00D9003D"/>
    <w:rsid w:val="00D90558"/>
    <w:rsid w:val="00D9082F"/>
    <w:rsid w:val="00D90C79"/>
    <w:rsid w:val="00D914EB"/>
    <w:rsid w:val="00D91B36"/>
    <w:rsid w:val="00D9305B"/>
    <w:rsid w:val="00D94085"/>
    <w:rsid w:val="00D944D2"/>
    <w:rsid w:val="00D949A0"/>
    <w:rsid w:val="00D96D4F"/>
    <w:rsid w:val="00DA1806"/>
    <w:rsid w:val="00DA1BD1"/>
    <w:rsid w:val="00DA212B"/>
    <w:rsid w:val="00DA3A76"/>
    <w:rsid w:val="00DA5048"/>
    <w:rsid w:val="00DA5713"/>
    <w:rsid w:val="00DA5EB9"/>
    <w:rsid w:val="00DA63DC"/>
    <w:rsid w:val="00DA6856"/>
    <w:rsid w:val="00DA6D6D"/>
    <w:rsid w:val="00DA71F7"/>
    <w:rsid w:val="00DA73C1"/>
    <w:rsid w:val="00DA7457"/>
    <w:rsid w:val="00DA770D"/>
    <w:rsid w:val="00DA77A8"/>
    <w:rsid w:val="00DA7851"/>
    <w:rsid w:val="00DA7DC1"/>
    <w:rsid w:val="00DB00EE"/>
    <w:rsid w:val="00DB0132"/>
    <w:rsid w:val="00DB2754"/>
    <w:rsid w:val="00DB2D88"/>
    <w:rsid w:val="00DB3687"/>
    <w:rsid w:val="00DB38D1"/>
    <w:rsid w:val="00DB41CB"/>
    <w:rsid w:val="00DB5114"/>
    <w:rsid w:val="00DB681B"/>
    <w:rsid w:val="00DB7E24"/>
    <w:rsid w:val="00DC0445"/>
    <w:rsid w:val="00DC115F"/>
    <w:rsid w:val="00DC19CF"/>
    <w:rsid w:val="00DC2082"/>
    <w:rsid w:val="00DC225F"/>
    <w:rsid w:val="00DC2883"/>
    <w:rsid w:val="00DC2C2D"/>
    <w:rsid w:val="00DC2C48"/>
    <w:rsid w:val="00DC46B5"/>
    <w:rsid w:val="00DC4B28"/>
    <w:rsid w:val="00DC4B5D"/>
    <w:rsid w:val="00DC525E"/>
    <w:rsid w:val="00DC535C"/>
    <w:rsid w:val="00DC5DCB"/>
    <w:rsid w:val="00DC6C0D"/>
    <w:rsid w:val="00DC75E7"/>
    <w:rsid w:val="00DD074A"/>
    <w:rsid w:val="00DD0D70"/>
    <w:rsid w:val="00DD1941"/>
    <w:rsid w:val="00DD26A5"/>
    <w:rsid w:val="00DD2812"/>
    <w:rsid w:val="00DD34F2"/>
    <w:rsid w:val="00DD3C6B"/>
    <w:rsid w:val="00DD54ED"/>
    <w:rsid w:val="00DD63BD"/>
    <w:rsid w:val="00DD697F"/>
    <w:rsid w:val="00DD699C"/>
    <w:rsid w:val="00DD739F"/>
    <w:rsid w:val="00DD7631"/>
    <w:rsid w:val="00DD7762"/>
    <w:rsid w:val="00DD781E"/>
    <w:rsid w:val="00DD7A2C"/>
    <w:rsid w:val="00DD7F63"/>
    <w:rsid w:val="00DE0A1B"/>
    <w:rsid w:val="00DE1238"/>
    <w:rsid w:val="00DE1966"/>
    <w:rsid w:val="00DE1FFE"/>
    <w:rsid w:val="00DE2F9E"/>
    <w:rsid w:val="00DE31B1"/>
    <w:rsid w:val="00DE32E7"/>
    <w:rsid w:val="00DE3374"/>
    <w:rsid w:val="00DE3BB8"/>
    <w:rsid w:val="00DE40EB"/>
    <w:rsid w:val="00DE5117"/>
    <w:rsid w:val="00DE51F6"/>
    <w:rsid w:val="00DE5648"/>
    <w:rsid w:val="00DE568A"/>
    <w:rsid w:val="00DE56B7"/>
    <w:rsid w:val="00DE595E"/>
    <w:rsid w:val="00DE5CD9"/>
    <w:rsid w:val="00DE6A70"/>
    <w:rsid w:val="00DE70B5"/>
    <w:rsid w:val="00DE7113"/>
    <w:rsid w:val="00DF00F9"/>
    <w:rsid w:val="00DF0576"/>
    <w:rsid w:val="00DF13A0"/>
    <w:rsid w:val="00DF1981"/>
    <w:rsid w:val="00DF1D07"/>
    <w:rsid w:val="00DF1E89"/>
    <w:rsid w:val="00DF2144"/>
    <w:rsid w:val="00DF24D9"/>
    <w:rsid w:val="00DF2EA5"/>
    <w:rsid w:val="00DF310B"/>
    <w:rsid w:val="00DF3E47"/>
    <w:rsid w:val="00DF56E8"/>
    <w:rsid w:val="00DF5C01"/>
    <w:rsid w:val="00DF6655"/>
    <w:rsid w:val="00DF6EB6"/>
    <w:rsid w:val="00DF7133"/>
    <w:rsid w:val="00DF722A"/>
    <w:rsid w:val="00DF764C"/>
    <w:rsid w:val="00DF7FBF"/>
    <w:rsid w:val="00E00108"/>
    <w:rsid w:val="00E00BB4"/>
    <w:rsid w:val="00E00CAA"/>
    <w:rsid w:val="00E01441"/>
    <w:rsid w:val="00E01682"/>
    <w:rsid w:val="00E01D4A"/>
    <w:rsid w:val="00E02F4B"/>
    <w:rsid w:val="00E03D04"/>
    <w:rsid w:val="00E04332"/>
    <w:rsid w:val="00E043BB"/>
    <w:rsid w:val="00E047A0"/>
    <w:rsid w:val="00E04ECF"/>
    <w:rsid w:val="00E0502A"/>
    <w:rsid w:val="00E0584C"/>
    <w:rsid w:val="00E05902"/>
    <w:rsid w:val="00E067C4"/>
    <w:rsid w:val="00E06A36"/>
    <w:rsid w:val="00E074C9"/>
    <w:rsid w:val="00E07EAD"/>
    <w:rsid w:val="00E1198B"/>
    <w:rsid w:val="00E125FB"/>
    <w:rsid w:val="00E126B2"/>
    <w:rsid w:val="00E127E3"/>
    <w:rsid w:val="00E13E8F"/>
    <w:rsid w:val="00E14818"/>
    <w:rsid w:val="00E148E8"/>
    <w:rsid w:val="00E1610C"/>
    <w:rsid w:val="00E162BD"/>
    <w:rsid w:val="00E16333"/>
    <w:rsid w:val="00E16660"/>
    <w:rsid w:val="00E16C78"/>
    <w:rsid w:val="00E16D73"/>
    <w:rsid w:val="00E17296"/>
    <w:rsid w:val="00E17833"/>
    <w:rsid w:val="00E17981"/>
    <w:rsid w:val="00E17CD2"/>
    <w:rsid w:val="00E17E36"/>
    <w:rsid w:val="00E201F2"/>
    <w:rsid w:val="00E206D8"/>
    <w:rsid w:val="00E20A87"/>
    <w:rsid w:val="00E2113A"/>
    <w:rsid w:val="00E21C65"/>
    <w:rsid w:val="00E2307E"/>
    <w:rsid w:val="00E2352B"/>
    <w:rsid w:val="00E23E84"/>
    <w:rsid w:val="00E23F9B"/>
    <w:rsid w:val="00E24D23"/>
    <w:rsid w:val="00E26285"/>
    <w:rsid w:val="00E26649"/>
    <w:rsid w:val="00E2703D"/>
    <w:rsid w:val="00E271F9"/>
    <w:rsid w:val="00E27F0A"/>
    <w:rsid w:val="00E30712"/>
    <w:rsid w:val="00E309B0"/>
    <w:rsid w:val="00E30E67"/>
    <w:rsid w:val="00E32143"/>
    <w:rsid w:val="00E325F3"/>
    <w:rsid w:val="00E326E9"/>
    <w:rsid w:val="00E32B61"/>
    <w:rsid w:val="00E33106"/>
    <w:rsid w:val="00E345C2"/>
    <w:rsid w:val="00E34D99"/>
    <w:rsid w:val="00E352C3"/>
    <w:rsid w:val="00E35476"/>
    <w:rsid w:val="00E355C0"/>
    <w:rsid w:val="00E359A5"/>
    <w:rsid w:val="00E35C28"/>
    <w:rsid w:val="00E372F7"/>
    <w:rsid w:val="00E37431"/>
    <w:rsid w:val="00E37DC0"/>
    <w:rsid w:val="00E37E0A"/>
    <w:rsid w:val="00E37EC6"/>
    <w:rsid w:val="00E40432"/>
    <w:rsid w:val="00E40850"/>
    <w:rsid w:val="00E40D52"/>
    <w:rsid w:val="00E41187"/>
    <w:rsid w:val="00E411B3"/>
    <w:rsid w:val="00E41585"/>
    <w:rsid w:val="00E41F94"/>
    <w:rsid w:val="00E421ED"/>
    <w:rsid w:val="00E4220D"/>
    <w:rsid w:val="00E4231E"/>
    <w:rsid w:val="00E4279A"/>
    <w:rsid w:val="00E429ED"/>
    <w:rsid w:val="00E43894"/>
    <w:rsid w:val="00E44AC7"/>
    <w:rsid w:val="00E4565D"/>
    <w:rsid w:val="00E45B2D"/>
    <w:rsid w:val="00E468F2"/>
    <w:rsid w:val="00E47A20"/>
    <w:rsid w:val="00E5084C"/>
    <w:rsid w:val="00E50871"/>
    <w:rsid w:val="00E50AD9"/>
    <w:rsid w:val="00E50B4C"/>
    <w:rsid w:val="00E512FE"/>
    <w:rsid w:val="00E52063"/>
    <w:rsid w:val="00E528BE"/>
    <w:rsid w:val="00E53533"/>
    <w:rsid w:val="00E537ED"/>
    <w:rsid w:val="00E5384D"/>
    <w:rsid w:val="00E53F2E"/>
    <w:rsid w:val="00E54004"/>
    <w:rsid w:val="00E546C9"/>
    <w:rsid w:val="00E54BB9"/>
    <w:rsid w:val="00E54D3F"/>
    <w:rsid w:val="00E55F1F"/>
    <w:rsid w:val="00E56735"/>
    <w:rsid w:val="00E56866"/>
    <w:rsid w:val="00E56904"/>
    <w:rsid w:val="00E57DFD"/>
    <w:rsid w:val="00E60423"/>
    <w:rsid w:val="00E60545"/>
    <w:rsid w:val="00E607E5"/>
    <w:rsid w:val="00E60A16"/>
    <w:rsid w:val="00E610CB"/>
    <w:rsid w:val="00E6125B"/>
    <w:rsid w:val="00E6170A"/>
    <w:rsid w:val="00E62617"/>
    <w:rsid w:val="00E62816"/>
    <w:rsid w:val="00E62ADF"/>
    <w:rsid w:val="00E62FA7"/>
    <w:rsid w:val="00E637A3"/>
    <w:rsid w:val="00E659FD"/>
    <w:rsid w:val="00E65B0C"/>
    <w:rsid w:val="00E66B16"/>
    <w:rsid w:val="00E66BA2"/>
    <w:rsid w:val="00E677DB"/>
    <w:rsid w:val="00E700F8"/>
    <w:rsid w:val="00E71C2D"/>
    <w:rsid w:val="00E7266C"/>
    <w:rsid w:val="00E72BB6"/>
    <w:rsid w:val="00E72CD0"/>
    <w:rsid w:val="00E730AC"/>
    <w:rsid w:val="00E7310C"/>
    <w:rsid w:val="00E733ED"/>
    <w:rsid w:val="00E734CE"/>
    <w:rsid w:val="00E73D33"/>
    <w:rsid w:val="00E750CB"/>
    <w:rsid w:val="00E778DC"/>
    <w:rsid w:val="00E80336"/>
    <w:rsid w:val="00E80D00"/>
    <w:rsid w:val="00E815CE"/>
    <w:rsid w:val="00E81611"/>
    <w:rsid w:val="00E81800"/>
    <w:rsid w:val="00E81863"/>
    <w:rsid w:val="00E81C42"/>
    <w:rsid w:val="00E81C5C"/>
    <w:rsid w:val="00E81FDB"/>
    <w:rsid w:val="00E82064"/>
    <w:rsid w:val="00E82B6E"/>
    <w:rsid w:val="00E82DC6"/>
    <w:rsid w:val="00E8347E"/>
    <w:rsid w:val="00E835C5"/>
    <w:rsid w:val="00E83ACD"/>
    <w:rsid w:val="00E83CF9"/>
    <w:rsid w:val="00E83D4B"/>
    <w:rsid w:val="00E848F0"/>
    <w:rsid w:val="00E84D1C"/>
    <w:rsid w:val="00E84D9C"/>
    <w:rsid w:val="00E85069"/>
    <w:rsid w:val="00E8628F"/>
    <w:rsid w:val="00E86888"/>
    <w:rsid w:val="00E92C96"/>
    <w:rsid w:val="00E942B8"/>
    <w:rsid w:val="00E944ED"/>
    <w:rsid w:val="00E945AF"/>
    <w:rsid w:val="00E94A0B"/>
    <w:rsid w:val="00E94A2C"/>
    <w:rsid w:val="00E9544C"/>
    <w:rsid w:val="00E95799"/>
    <w:rsid w:val="00E95D0B"/>
    <w:rsid w:val="00E95D93"/>
    <w:rsid w:val="00E9683D"/>
    <w:rsid w:val="00E970B7"/>
    <w:rsid w:val="00E97AD1"/>
    <w:rsid w:val="00E97D95"/>
    <w:rsid w:val="00EA0035"/>
    <w:rsid w:val="00EA010D"/>
    <w:rsid w:val="00EA04C5"/>
    <w:rsid w:val="00EA0507"/>
    <w:rsid w:val="00EA0BB5"/>
    <w:rsid w:val="00EA1A8A"/>
    <w:rsid w:val="00EA21FA"/>
    <w:rsid w:val="00EA25EB"/>
    <w:rsid w:val="00EA26D5"/>
    <w:rsid w:val="00EA2775"/>
    <w:rsid w:val="00EA305D"/>
    <w:rsid w:val="00EA3106"/>
    <w:rsid w:val="00EA3874"/>
    <w:rsid w:val="00EA5AB6"/>
    <w:rsid w:val="00EA5FB0"/>
    <w:rsid w:val="00EA612E"/>
    <w:rsid w:val="00EA7522"/>
    <w:rsid w:val="00EA761C"/>
    <w:rsid w:val="00EA7D7F"/>
    <w:rsid w:val="00EA7E73"/>
    <w:rsid w:val="00EB0810"/>
    <w:rsid w:val="00EB0B5F"/>
    <w:rsid w:val="00EB100A"/>
    <w:rsid w:val="00EB1B7C"/>
    <w:rsid w:val="00EB1CF7"/>
    <w:rsid w:val="00EB25C2"/>
    <w:rsid w:val="00EB26A5"/>
    <w:rsid w:val="00EB2B6F"/>
    <w:rsid w:val="00EB2CAD"/>
    <w:rsid w:val="00EB2FA2"/>
    <w:rsid w:val="00EB3272"/>
    <w:rsid w:val="00EB37B2"/>
    <w:rsid w:val="00EB3FF9"/>
    <w:rsid w:val="00EB4044"/>
    <w:rsid w:val="00EB516F"/>
    <w:rsid w:val="00EB5F0B"/>
    <w:rsid w:val="00EB7352"/>
    <w:rsid w:val="00EB769A"/>
    <w:rsid w:val="00EC11E4"/>
    <w:rsid w:val="00EC14E1"/>
    <w:rsid w:val="00EC19F3"/>
    <w:rsid w:val="00EC2A3F"/>
    <w:rsid w:val="00EC2E64"/>
    <w:rsid w:val="00EC3A35"/>
    <w:rsid w:val="00EC3C52"/>
    <w:rsid w:val="00EC3E5B"/>
    <w:rsid w:val="00EC3E69"/>
    <w:rsid w:val="00EC41A7"/>
    <w:rsid w:val="00EC4257"/>
    <w:rsid w:val="00EC5554"/>
    <w:rsid w:val="00EC572B"/>
    <w:rsid w:val="00EC5B8E"/>
    <w:rsid w:val="00EC7356"/>
    <w:rsid w:val="00EC75F6"/>
    <w:rsid w:val="00ED0065"/>
    <w:rsid w:val="00ED02D1"/>
    <w:rsid w:val="00ED17B5"/>
    <w:rsid w:val="00ED1BA0"/>
    <w:rsid w:val="00ED1D2D"/>
    <w:rsid w:val="00ED353D"/>
    <w:rsid w:val="00ED588C"/>
    <w:rsid w:val="00ED6E7A"/>
    <w:rsid w:val="00ED6EA1"/>
    <w:rsid w:val="00ED7A7F"/>
    <w:rsid w:val="00EE060B"/>
    <w:rsid w:val="00EE07AC"/>
    <w:rsid w:val="00EE0891"/>
    <w:rsid w:val="00EE1062"/>
    <w:rsid w:val="00EE17F2"/>
    <w:rsid w:val="00EE188A"/>
    <w:rsid w:val="00EE1B01"/>
    <w:rsid w:val="00EE1C62"/>
    <w:rsid w:val="00EE1DB8"/>
    <w:rsid w:val="00EE2746"/>
    <w:rsid w:val="00EE322F"/>
    <w:rsid w:val="00EE3256"/>
    <w:rsid w:val="00EE4397"/>
    <w:rsid w:val="00EE4759"/>
    <w:rsid w:val="00EE4C20"/>
    <w:rsid w:val="00EE4F2D"/>
    <w:rsid w:val="00EE524C"/>
    <w:rsid w:val="00EE6755"/>
    <w:rsid w:val="00EE6832"/>
    <w:rsid w:val="00EE78D6"/>
    <w:rsid w:val="00EF03DC"/>
    <w:rsid w:val="00EF0437"/>
    <w:rsid w:val="00EF0BFE"/>
    <w:rsid w:val="00EF1580"/>
    <w:rsid w:val="00EF1A16"/>
    <w:rsid w:val="00EF1DE8"/>
    <w:rsid w:val="00EF2AC7"/>
    <w:rsid w:val="00EF3397"/>
    <w:rsid w:val="00EF3722"/>
    <w:rsid w:val="00EF40BF"/>
    <w:rsid w:val="00EF4557"/>
    <w:rsid w:val="00EF493F"/>
    <w:rsid w:val="00EF5947"/>
    <w:rsid w:val="00EF5E22"/>
    <w:rsid w:val="00EF60AA"/>
    <w:rsid w:val="00EF60CA"/>
    <w:rsid w:val="00EF63C1"/>
    <w:rsid w:val="00EF6557"/>
    <w:rsid w:val="00EF69B7"/>
    <w:rsid w:val="00EF6C2B"/>
    <w:rsid w:val="00F00059"/>
    <w:rsid w:val="00F008BD"/>
    <w:rsid w:val="00F021A9"/>
    <w:rsid w:val="00F02C54"/>
    <w:rsid w:val="00F02CD0"/>
    <w:rsid w:val="00F02D03"/>
    <w:rsid w:val="00F035DB"/>
    <w:rsid w:val="00F0448C"/>
    <w:rsid w:val="00F0553C"/>
    <w:rsid w:val="00F06BA7"/>
    <w:rsid w:val="00F06C50"/>
    <w:rsid w:val="00F071BA"/>
    <w:rsid w:val="00F1284F"/>
    <w:rsid w:val="00F136A4"/>
    <w:rsid w:val="00F1377B"/>
    <w:rsid w:val="00F13C5E"/>
    <w:rsid w:val="00F14108"/>
    <w:rsid w:val="00F148D5"/>
    <w:rsid w:val="00F1601A"/>
    <w:rsid w:val="00F160BF"/>
    <w:rsid w:val="00F16173"/>
    <w:rsid w:val="00F1675C"/>
    <w:rsid w:val="00F16A3C"/>
    <w:rsid w:val="00F17428"/>
    <w:rsid w:val="00F1765A"/>
    <w:rsid w:val="00F20046"/>
    <w:rsid w:val="00F20CC1"/>
    <w:rsid w:val="00F20D22"/>
    <w:rsid w:val="00F21A58"/>
    <w:rsid w:val="00F2302A"/>
    <w:rsid w:val="00F23048"/>
    <w:rsid w:val="00F239CD"/>
    <w:rsid w:val="00F23DCC"/>
    <w:rsid w:val="00F24294"/>
    <w:rsid w:val="00F2477C"/>
    <w:rsid w:val="00F24E5D"/>
    <w:rsid w:val="00F24EBB"/>
    <w:rsid w:val="00F27696"/>
    <w:rsid w:val="00F2777F"/>
    <w:rsid w:val="00F27F06"/>
    <w:rsid w:val="00F314E8"/>
    <w:rsid w:val="00F316A2"/>
    <w:rsid w:val="00F323A2"/>
    <w:rsid w:val="00F323BF"/>
    <w:rsid w:val="00F332D4"/>
    <w:rsid w:val="00F33B57"/>
    <w:rsid w:val="00F33CA8"/>
    <w:rsid w:val="00F33D5C"/>
    <w:rsid w:val="00F34245"/>
    <w:rsid w:val="00F356D6"/>
    <w:rsid w:val="00F372DB"/>
    <w:rsid w:val="00F3785D"/>
    <w:rsid w:val="00F378BE"/>
    <w:rsid w:val="00F37D37"/>
    <w:rsid w:val="00F400E3"/>
    <w:rsid w:val="00F4021A"/>
    <w:rsid w:val="00F40876"/>
    <w:rsid w:val="00F4363B"/>
    <w:rsid w:val="00F44642"/>
    <w:rsid w:val="00F454A2"/>
    <w:rsid w:val="00F45E89"/>
    <w:rsid w:val="00F47845"/>
    <w:rsid w:val="00F47B6C"/>
    <w:rsid w:val="00F50039"/>
    <w:rsid w:val="00F50675"/>
    <w:rsid w:val="00F5071D"/>
    <w:rsid w:val="00F50901"/>
    <w:rsid w:val="00F50BD6"/>
    <w:rsid w:val="00F50E16"/>
    <w:rsid w:val="00F513B2"/>
    <w:rsid w:val="00F51520"/>
    <w:rsid w:val="00F52140"/>
    <w:rsid w:val="00F521E4"/>
    <w:rsid w:val="00F52CCE"/>
    <w:rsid w:val="00F53151"/>
    <w:rsid w:val="00F535A9"/>
    <w:rsid w:val="00F53F92"/>
    <w:rsid w:val="00F5480F"/>
    <w:rsid w:val="00F54AA5"/>
    <w:rsid w:val="00F552F7"/>
    <w:rsid w:val="00F553A7"/>
    <w:rsid w:val="00F554EB"/>
    <w:rsid w:val="00F555B7"/>
    <w:rsid w:val="00F5562D"/>
    <w:rsid w:val="00F55BC7"/>
    <w:rsid w:val="00F566EA"/>
    <w:rsid w:val="00F567A4"/>
    <w:rsid w:val="00F5715A"/>
    <w:rsid w:val="00F578EB"/>
    <w:rsid w:val="00F605BE"/>
    <w:rsid w:val="00F60AF6"/>
    <w:rsid w:val="00F60DDC"/>
    <w:rsid w:val="00F610A9"/>
    <w:rsid w:val="00F617BE"/>
    <w:rsid w:val="00F61C7A"/>
    <w:rsid w:val="00F625F7"/>
    <w:rsid w:val="00F64702"/>
    <w:rsid w:val="00F64D5A"/>
    <w:rsid w:val="00F65399"/>
    <w:rsid w:val="00F65B68"/>
    <w:rsid w:val="00F65C22"/>
    <w:rsid w:val="00F65EC9"/>
    <w:rsid w:val="00F66CB1"/>
    <w:rsid w:val="00F672BD"/>
    <w:rsid w:val="00F67E15"/>
    <w:rsid w:val="00F67FCA"/>
    <w:rsid w:val="00F70815"/>
    <w:rsid w:val="00F709F4"/>
    <w:rsid w:val="00F71019"/>
    <w:rsid w:val="00F710A9"/>
    <w:rsid w:val="00F7284D"/>
    <w:rsid w:val="00F72CFE"/>
    <w:rsid w:val="00F72FB0"/>
    <w:rsid w:val="00F73423"/>
    <w:rsid w:val="00F7365E"/>
    <w:rsid w:val="00F737A4"/>
    <w:rsid w:val="00F73950"/>
    <w:rsid w:val="00F75481"/>
    <w:rsid w:val="00F76664"/>
    <w:rsid w:val="00F76A4C"/>
    <w:rsid w:val="00F76AB3"/>
    <w:rsid w:val="00F76E8F"/>
    <w:rsid w:val="00F77196"/>
    <w:rsid w:val="00F816A4"/>
    <w:rsid w:val="00F81AE9"/>
    <w:rsid w:val="00F82C78"/>
    <w:rsid w:val="00F82E2E"/>
    <w:rsid w:val="00F83186"/>
    <w:rsid w:val="00F83601"/>
    <w:rsid w:val="00F837E6"/>
    <w:rsid w:val="00F8389A"/>
    <w:rsid w:val="00F83AE9"/>
    <w:rsid w:val="00F83EC8"/>
    <w:rsid w:val="00F843D4"/>
    <w:rsid w:val="00F84A40"/>
    <w:rsid w:val="00F84B50"/>
    <w:rsid w:val="00F84DBD"/>
    <w:rsid w:val="00F8516E"/>
    <w:rsid w:val="00F852E5"/>
    <w:rsid w:val="00F85C0D"/>
    <w:rsid w:val="00F86741"/>
    <w:rsid w:val="00F86796"/>
    <w:rsid w:val="00F87C3F"/>
    <w:rsid w:val="00F87C5B"/>
    <w:rsid w:val="00F87FEA"/>
    <w:rsid w:val="00F9017F"/>
    <w:rsid w:val="00F90613"/>
    <w:rsid w:val="00F906F4"/>
    <w:rsid w:val="00F915F3"/>
    <w:rsid w:val="00F91800"/>
    <w:rsid w:val="00F91853"/>
    <w:rsid w:val="00F91987"/>
    <w:rsid w:val="00F9208E"/>
    <w:rsid w:val="00F92571"/>
    <w:rsid w:val="00F93B2F"/>
    <w:rsid w:val="00F93CAE"/>
    <w:rsid w:val="00F954E4"/>
    <w:rsid w:val="00F95CCE"/>
    <w:rsid w:val="00F9692D"/>
    <w:rsid w:val="00F978BE"/>
    <w:rsid w:val="00F97D7B"/>
    <w:rsid w:val="00FA0013"/>
    <w:rsid w:val="00FA0154"/>
    <w:rsid w:val="00FA0288"/>
    <w:rsid w:val="00FA0C62"/>
    <w:rsid w:val="00FA0F71"/>
    <w:rsid w:val="00FA23E2"/>
    <w:rsid w:val="00FA26BC"/>
    <w:rsid w:val="00FA3A97"/>
    <w:rsid w:val="00FA3AEA"/>
    <w:rsid w:val="00FA4219"/>
    <w:rsid w:val="00FA48C7"/>
    <w:rsid w:val="00FA54FF"/>
    <w:rsid w:val="00FA5570"/>
    <w:rsid w:val="00FA59E0"/>
    <w:rsid w:val="00FA5C0B"/>
    <w:rsid w:val="00FA70F5"/>
    <w:rsid w:val="00FA7902"/>
    <w:rsid w:val="00FB005D"/>
    <w:rsid w:val="00FB183E"/>
    <w:rsid w:val="00FB1CD3"/>
    <w:rsid w:val="00FB1D54"/>
    <w:rsid w:val="00FB3363"/>
    <w:rsid w:val="00FB4048"/>
    <w:rsid w:val="00FB446E"/>
    <w:rsid w:val="00FB4629"/>
    <w:rsid w:val="00FB577F"/>
    <w:rsid w:val="00FB5E5D"/>
    <w:rsid w:val="00FB5FC4"/>
    <w:rsid w:val="00FB6A07"/>
    <w:rsid w:val="00FB6FB1"/>
    <w:rsid w:val="00FB739E"/>
    <w:rsid w:val="00FB7460"/>
    <w:rsid w:val="00FB7747"/>
    <w:rsid w:val="00FB7A10"/>
    <w:rsid w:val="00FC0F81"/>
    <w:rsid w:val="00FC3798"/>
    <w:rsid w:val="00FC59AF"/>
    <w:rsid w:val="00FC5C43"/>
    <w:rsid w:val="00FC5F72"/>
    <w:rsid w:val="00FC62B5"/>
    <w:rsid w:val="00FC6B34"/>
    <w:rsid w:val="00FC6D4E"/>
    <w:rsid w:val="00FC7073"/>
    <w:rsid w:val="00FC736F"/>
    <w:rsid w:val="00FD0CDB"/>
    <w:rsid w:val="00FD1FA7"/>
    <w:rsid w:val="00FD2D42"/>
    <w:rsid w:val="00FD30B5"/>
    <w:rsid w:val="00FD3453"/>
    <w:rsid w:val="00FD39CF"/>
    <w:rsid w:val="00FD4B7B"/>
    <w:rsid w:val="00FD4D84"/>
    <w:rsid w:val="00FD5468"/>
    <w:rsid w:val="00FD58F5"/>
    <w:rsid w:val="00FD6287"/>
    <w:rsid w:val="00FD754C"/>
    <w:rsid w:val="00FD783C"/>
    <w:rsid w:val="00FE0DAE"/>
    <w:rsid w:val="00FE1370"/>
    <w:rsid w:val="00FE1510"/>
    <w:rsid w:val="00FE2121"/>
    <w:rsid w:val="00FE254A"/>
    <w:rsid w:val="00FE321B"/>
    <w:rsid w:val="00FE3D07"/>
    <w:rsid w:val="00FE4411"/>
    <w:rsid w:val="00FE4B6F"/>
    <w:rsid w:val="00FE627E"/>
    <w:rsid w:val="00FE6818"/>
    <w:rsid w:val="00FE6BFB"/>
    <w:rsid w:val="00FF0C90"/>
    <w:rsid w:val="00FF0CF5"/>
    <w:rsid w:val="00FF0D6F"/>
    <w:rsid w:val="00FF0E9E"/>
    <w:rsid w:val="00FF1103"/>
    <w:rsid w:val="00FF1712"/>
    <w:rsid w:val="00FF213D"/>
    <w:rsid w:val="00FF251D"/>
    <w:rsid w:val="00FF37DC"/>
    <w:rsid w:val="00FF37F2"/>
    <w:rsid w:val="00FF43D9"/>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author-name">
    <w:name w:val="author-name"/>
    <w:basedOn w:val="Fuentedeprrafopredeter"/>
    <w:rsid w:val="00CA01BB"/>
  </w:style>
  <w:style w:type="table" w:customStyle="1" w:styleId="Tablaconcuadrcula11">
    <w:name w:val="Tabla con cuadrícula11"/>
    <w:basedOn w:val="Tablanormal"/>
    <w:next w:val="Tablaconcuadrcula"/>
    <w:uiPriority w:val="39"/>
    <w:qFormat/>
    <w:rsid w:val="00D007F4"/>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47657">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192960455">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11446626">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3691612">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45341291">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75366781">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55891875">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041921">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4879058">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77781944">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joserami144@gmail.com"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FCC5E2-06AE-41E4-8C22-3CF8F212C2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4.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18</Pages>
  <Words>6356</Words>
  <Characters>34134</Characters>
  <Application>Microsoft Office Word</Application>
  <DocSecurity>0</DocSecurity>
  <Lines>644</Lines>
  <Paragraphs>116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40374</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12</cp:revision>
  <dcterms:created xsi:type="dcterms:W3CDTF">2025-12-05T03:20:00Z</dcterms:created>
  <dcterms:modified xsi:type="dcterms:W3CDTF">2025-12-09T15:39:00Z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