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82CD30" w14:textId="77777777" w:rsidR="00301473" w:rsidRDefault="00301473" w:rsidP="00310A9F">
      <w:pPr>
        <w:spacing w:after="0" w:line="240" w:lineRule="auto"/>
        <w:jc w:val="both"/>
        <w:rPr>
          <w:rFonts w:ascii="Verdana" w:eastAsia="Calibri" w:hAnsi="Verdana" w:cs="Arial"/>
          <w:lang w:val="es-ES" w:eastAsia="es-ES"/>
        </w:rPr>
      </w:pPr>
    </w:p>
    <w:p w14:paraId="26A02E62" w14:textId="77777777" w:rsidR="00301473" w:rsidRDefault="00301473" w:rsidP="00310A9F">
      <w:pPr>
        <w:spacing w:after="0" w:line="240" w:lineRule="auto"/>
        <w:jc w:val="both"/>
        <w:rPr>
          <w:rFonts w:ascii="Verdana" w:eastAsia="Calibri" w:hAnsi="Verdana" w:cs="Arial"/>
          <w:lang w:val="es-ES" w:eastAsia="es-ES"/>
        </w:rPr>
      </w:pPr>
    </w:p>
    <w:p w14:paraId="6CD66148" w14:textId="77777777" w:rsidR="00301473" w:rsidRDefault="00301473" w:rsidP="00310A9F">
      <w:pPr>
        <w:spacing w:after="0" w:line="240" w:lineRule="auto"/>
        <w:jc w:val="both"/>
        <w:rPr>
          <w:rFonts w:ascii="Verdana" w:eastAsia="Calibri" w:hAnsi="Verdana" w:cs="Arial"/>
          <w:lang w:val="es-ES" w:eastAsia="es-ES"/>
        </w:rPr>
      </w:pPr>
    </w:p>
    <w:p w14:paraId="0E9CA05E" w14:textId="77777777" w:rsidR="00301473" w:rsidRDefault="00301473" w:rsidP="00310A9F">
      <w:pPr>
        <w:spacing w:after="0" w:line="240" w:lineRule="auto"/>
        <w:jc w:val="both"/>
        <w:rPr>
          <w:rFonts w:ascii="Verdana" w:eastAsia="Calibri" w:hAnsi="Verdana" w:cs="Arial"/>
          <w:lang w:val="es-ES" w:eastAsia="es-ES"/>
        </w:rPr>
      </w:pPr>
    </w:p>
    <w:p w14:paraId="6BC08EE9" w14:textId="77777777" w:rsidR="00301473" w:rsidRDefault="00301473" w:rsidP="00310A9F">
      <w:pPr>
        <w:spacing w:after="0" w:line="240" w:lineRule="auto"/>
        <w:jc w:val="both"/>
        <w:rPr>
          <w:rFonts w:ascii="Verdana" w:eastAsia="Calibri" w:hAnsi="Verdana" w:cs="Arial"/>
          <w:lang w:val="es-ES" w:eastAsia="es-ES"/>
        </w:rPr>
      </w:pPr>
    </w:p>
    <w:p w14:paraId="3D528A29" w14:textId="77777777" w:rsidR="00B07719" w:rsidRPr="00B07719" w:rsidRDefault="00B07719" w:rsidP="00B07719">
      <w:pPr>
        <w:spacing w:before="100" w:beforeAutospacing="1" w:after="100" w:afterAutospacing="1" w:line="240" w:lineRule="auto"/>
        <w:jc w:val="both"/>
        <w:rPr>
          <w:rFonts w:ascii="Verdana" w:eastAsia="Times New Roman" w:hAnsi="Verdana" w:cs="Times New Roman"/>
          <w:sz w:val="24"/>
          <w:szCs w:val="24"/>
          <w:lang w:eastAsia="es-MX"/>
        </w:rPr>
      </w:pPr>
      <w:r w:rsidRPr="00B07719">
        <w:rPr>
          <w:rFonts w:ascii="Verdana" w:eastAsia="Times New Roman" w:hAnsi="Verdana" w:cs="Times New Roman"/>
          <w:b/>
          <w:bCs/>
          <w:sz w:val="24"/>
          <w:szCs w:val="24"/>
          <w:lang w:eastAsia="es-MX"/>
        </w:rPr>
        <w:t>APROBACIÓN DE LAS GARANTÍAS – Facultad legal del contratista de prestación de servicios – Incompetencia para aprobar pólizas</w:t>
      </w:r>
      <w:r w:rsidRPr="00B07719">
        <w:rPr>
          <w:rFonts w:ascii="Verdana" w:eastAsia="Times New Roman" w:hAnsi="Verdana" w:cs="Times New Roman"/>
          <w:sz w:val="24"/>
          <w:szCs w:val="24"/>
          <w:lang w:eastAsia="es-MX"/>
        </w:rPr>
        <w:t xml:space="preserve"> </w:t>
      </w:r>
    </w:p>
    <w:p w14:paraId="1CCD93D5" w14:textId="01C1D824" w:rsidR="00B07719" w:rsidRPr="00B07719" w:rsidRDefault="00B07719" w:rsidP="00B07719">
      <w:pPr>
        <w:spacing w:before="100" w:beforeAutospacing="1" w:after="100" w:afterAutospacing="1" w:line="240" w:lineRule="auto"/>
        <w:jc w:val="both"/>
        <w:rPr>
          <w:rFonts w:ascii="Verdana" w:eastAsia="Times New Roman" w:hAnsi="Verdana" w:cs="Times New Roman"/>
          <w:sz w:val="24"/>
          <w:szCs w:val="24"/>
          <w:lang w:eastAsia="es-MX"/>
        </w:rPr>
      </w:pPr>
      <w:r w:rsidRPr="00B07719">
        <w:rPr>
          <w:rFonts w:ascii="Verdana" w:eastAsia="Times New Roman" w:hAnsi="Verdana" w:cs="Times New Roman"/>
          <w:sz w:val="24"/>
          <w:szCs w:val="24"/>
          <w:lang w:eastAsia="es-MX"/>
        </w:rPr>
        <w:t>R</w:t>
      </w:r>
      <w:r w:rsidRPr="00B07719">
        <w:rPr>
          <w:rFonts w:ascii="Verdana" w:eastAsia="Times New Roman" w:hAnsi="Verdana" w:cs="Times New Roman"/>
          <w:sz w:val="24"/>
          <w:szCs w:val="24"/>
          <w:lang w:eastAsia="es-MX"/>
        </w:rPr>
        <w:t>especto a si una persona vinculada mediante contrato de prestación de servicios profesionales tiene la facultad legal para aprobar pólizas, esta Agencia considera que la respuesta es negativa... la aprobación de la garantía es un requisito indispensable para la ejecución del contrato... al tratarse de un acto de aval por parte de la administración, dicha competencia recae en los servidores públicos que ejercen la ordenación del gasto o la supervisión directa, y no en particulares que prestan apoyo a la gestión".</w:t>
      </w:r>
    </w:p>
    <w:p w14:paraId="1E7EAC95" w14:textId="77777777" w:rsidR="00B07719" w:rsidRPr="00B07719" w:rsidRDefault="00B07719" w:rsidP="00B07719">
      <w:pPr>
        <w:spacing w:before="100" w:beforeAutospacing="1" w:after="100" w:afterAutospacing="1" w:line="240" w:lineRule="auto"/>
        <w:jc w:val="both"/>
        <w:rPr>
          <w:rFonts w:ascii="Verdana" w:eastAsia="Times New Roman" w:hAnsi="Verdana" w:cs="Times New Roman"/>
          <w:sz w:val="24"/>
          <w:szCs w:val="24"/>
          <w:lang w:eastAsia="es-MX"/>
        </w:rPr>
      </w:pPr>
      <w:r w:rsidRPr="00B07719">
        <w:rPr>
          <w:rFonts w:ascii="Verdana" w:eastAsia="Times New Roman" w:hAnsi="Verdana" w:cs="Times New Roman"/>
          <w:b/>
          <w:bCs/>
          <w:sz w:val="24"/>
          <w:szCs w:val="24"/>
          <w:lang w:eastAsia="es-MX"/>
        </w:rPr>
        <w:t>SECOP II – Aprobación de las garantías – Gestión integral en la plataforma transaccional</w:t>
      </w:r>
      <w:r w:rsidRPr="00B07719">
        <w:rPr>
          <w:rFonts w:ascii="Verdana" w:eastAsia="Times New Roman" w:hAnsi="Verdana" w:cs="Times New Roman"/>
          <w:sz w:val="24"/>
          <w:szCs w:val="24"/>
          <w:lang w:eastAsia="es-MX"/>
        </w:rPr>
        <w:t xml:space="preserve"> </w:t>
      </w:r>
    </w:p>
    <w:p w14:paraId="15AD0BED" w14:textId="4B590F04" w:rsidR="00B07719" w:rsidRPr="00B07719" w:rsidRDefault="00B07719" w:rsidP="00B07719">
      <w:pPr>
        <w:spacing w:before="100" w:beforeAutospacing="1" w:after="100" w:afterAutospacing="1" w:line="240" w:lineRule="auto"/>
        <w:jc w:val="both"/>
        <w:rPr>
          <w:rFonts w:ascii="Verdana" w:eastAsia="Times New Roman" w:hAnsi="Verdana" w:cs="Times New Roman"/>
          <w:sz w:val="24"/>
          <w:szCs w:val="24"/>
          <w:lang w:eastAsia="es-MX"/>
        </w:rPr>
      </w:pPr>
      <w:r w:rsidRPr="00B07719">
        <w:rPr>
          <w:rFonts w:ascii="Verdana" w:eastAsia="Times New Roman" w:hAnsi="Verdana" w:cs="Times New Roman"/>
          <w:sz w:val="24"/>
          <w:szCs w:val="24"/>
          <w:lang w:eastAsia="es-MX"/>
        </w:rPr>
        <w:t xml:space="preserve">Ahora bien, se advierte que la aprobación de las garantías se realiza integralmente en la plataforma. Es decir, contrario a lo planteado en la solicitud, no es posible cargar un oficio o un PDF que </w:t>
      </w:r>
      <w:proofErr w:type="spellStart"/>
      <w:r w:rsidRPr="00B07719">
        <w:rPr>
          <w:rFonts w:ascii="Verdana" w:eastAsia="Times New Roman" w:hAnsi="Verdana" w:cs="Times New Roman"/>
          <w:sz w:val="24"/>
          <w:szCs w:val="24"/>
          <w:lang w:eastAsia="es-MX"/>
        </w:rPr>
        <w:t>de</w:t>
      </w:r>
      <w:proofErr w:type="spellEnd"/>
      <w:r w:rsidRPr="00B07719">
        <w:rPr>
          <w:rFonts w:ascii="Verdana" w:eastAsia="Times New Roman" w:hAnsi="Verdana" w:cs="Times New Roman"/>
          <w:sz w:val="24"/>
          <w:szCs w:val="24"/>
          <w:lang w:eastAsia="es-MX"/>
        </w:rPr>
        <w:t xml:space="preserve"> cuenta del cumplimiento de este requisito... El SECOP II habilitará una ventana emergente con los datos de la garantía y el documento anexo... Para aprobar o rechazar la garantía enviada por el Proveedor haga clic en ‘Enviar para aprobación.</w:t>
      </w:r>
    </w:p>
    <w:p w14:paraId="00FED5B8" w14:textId="77777777" w:rsidR="00B07719" w:rsidRPr="00B07719" w:rsidRDefault="00B07719" w:rsidP="00B07719">
      <w:pPr>
        <w:spacing w:before="100" w:beforeAutospacing="1" w:after="100" w:afterAutospacing="1" w:line="240" w:lineRule="auto"/>
        <w:jc w:val="both"/>
        <w:rPr>
          <w:rFonts w:ascii="Verdana" w:eastAsia="Times New Roman" w:hAnsi="Verdana" w:cs="Times New Roman"/>
          <w:sz w:val="24"/>
          <w:szCs w:val="24"/>
          <w:lang w:eastAsia="es-MX"/>
        </w:rPr>
      </w:pPr>
      <w:r w:rsidRPr="00B07719">
        <w:rPr>
          <w:rFonts w:ascii="Verdana" w:eastAsia="Times New Roman" w:hAnsi="Verdana" w:cs="Times New Roman"/>
          <w:b/>
          <w:bCs/>
          <w:sz w:val="24"/>
          <w:szCs w:val="24"/>
          <w:lang w:eastAsia="es-MX"/>
        </w:rPr>
        <w:t>ACTA DE APROBACIÓN DE GARANTÍAS – Ausencia de regulación expresa – Facultad de la entidad estatal – No sustitución de las obligaciones en SECOP II</w:t>
      </w:r>
      <w:r w:rsidRPr="00B07719">
        <w:rPr>
          <w:rFonts w:ascii="Verdana" w:eastAsia="Times New Roman" w:hAnsi="Verdana" w:cs="Times New Roman"/>
          <w:sz w:val="24"/>
          <w:szCs w:val="24"/>
          <w:lang w:eastAsia="es-MX"/>
        </w:rPr>
        <w:t xml:space="preserve"> </w:t>
      </w:r>
    </w:p>
    <w:p w14:paraId="2AAF49C2" w14:textId="70EBA581" w:rsidR="00B07719" w:rsidRPr="00B07719" w:rsidRDefault="00B07719" w:rsidP="00B07719">
      <w:pPr>
        <w:spacing w:before="100" w:beforeAutospacing="1" w:after="100" w:afterAutospacing="1" w:line="240" w:lineRule="auto"/>
        <w:jc w:val="both"/>
        <w:rPr>
          <w:rFonts w:ascii="Verdana" w:eastAsia="Times New Roman" w:hAnsi="Verdana" w:cs="Times New Roman"/>
          <w:sz w:val="24"/>
          <w:szCs w:val="24"/>
          <w:lang w:eastAsia="es-MX"/>
        </w:rPr>
      </w:pPr>
      <w:r w:rsidRPr="00B07719">
        <w:rPr>
          <w:rFonts w:ascii="Verdana" w:eastAsia="Times New Roman" w:hAnsi="Verdana" w:cs="Times New Roman"/>
          <w:sz w:val="24"/>
          <w:szCs w:val="24"/>
          <w:lang w:eastAsia="es-MX"/>
        </w:rPr>
        <w:t xml:space="preserve">Al revisar la normativa que regula la actividad contractual de las entidades estatales, se advierte que la denominada acta de aprobación de pólizas no cuenta con una regulación expresa dentro del Sistema de Contratación </w:t>
      </w:r>
      <w:r w:rsidRPr="00B07719">
        <w:rPr>
          <w:rFonts w:ascii="Verdana" w:eastAsia="Times New Roman" w:hAnsi="Verdana" w:cs="Times New Roman"/>
          <w:sz w:val="24"/>
          <w:szCs w:val="24"/>
          <w:lang w:eastAsia="es-MX"/>
        </w:rPr>
        <w:lastRenderedPageBreak/>
        <w:t>Pública. No obstante, en ejercicio de la autonomía de la voluntad que les asiste, las entidades estatales pueden establecer la suscripción de un documento con dicha denominación y finalidad. Ello, sin embargo, no implica que su adopción releve a la entidad del cumplimiento de las actuaciones que deban ejecutarse dentro de la respectiva plataforma transaccional</w:t>
      </w:r>
      <w:r w:rsidRPr="00B07719">
        <w:rPr>
          <w:rFonts w:ascii="Verdana" w:eastAsia="Times New Roman" w:hAnsi="Verdana" w:cs="Times New Roman"/>
          <w:sz w:val="24"/>
          <w:szCs w:val="24"/>
          <w:lang w:eastAsia="es-MX"/>
        </w:rPr>
        <w:t xml:space="preserve">. </w:t>
      </w:r>
    </w:p>
    <w:p w14:paraId="4C70E0ED" w14:textId="77777777" w:rsidR="00301473" w:rsidRPr="00B07719" w:rsidRDefault="00301473" w:rsidP="00B07719">
      <w:pPr>
        <w:spacing w:after="0" w:line="240" w:lineRule="auto"/>
        <w:jc w:val="both"/>
        <w:rPr>
          <w:rFonts w:ascii="Verdana" w:eastAsia="Calibri" w:hAnsi="Verdana" w:cs="Arial"/>
          <w:lang w:eastAsia="es-ES"/>
        </w:rPr>
      </w:pPr>
    </w:p>
    <w:p w14:paraId="161B853C" w14:textId="77777777" w:rsidR="00301473" w:rsidRPr="00B07719" w:rsidRDefault="00301473" w:rsidP="00301473">
      <w:pPr>
        <w:pStyle w:val="Textoindependiente"/>
        <w:spacing w:before="50" w:line="578" w:lineRule="exact"/>
        <w:ind w:right="5644"/>
        <w:rPr>
          <w:rFonts w:ascii="Verdana" w:hAnsi="Verdana"/>
          <w:sz w:val="20"/>
          <w:szCs w:val="20"/>
        </w:rPr>
      </w:pPr>
    </w:p>
    <w:p w14:paraId="110854BE" w14:textId="77777777" w:rsidR="00301473" w:rsidRPr="00B07719" w:rsidRDefault="00301473" w:rsidP="00301473">
      <w:pPr>
        <w:pStyle w:val="Textoindependiente"/>
        <w:spacing w:before="50" w:line="578" w:lineRule="exact"/>
        <w:ind w:right="5644"/>
        <w:rPr>
          <w:rFonts w:ascii="Verdana" w:hAnsi="Verdana"/>
          <w:sz w:val="20"/>
          <w:szCs w:val="20"/>
        </w:rPr>
      </w:pPr>
    </w:p>
    <w:p w14:paraId="4AF0C4B8" w14:textId="77777777" w:rsidR="00301473" w:rsidRPr="00B07719" w:rsidRDefault="00301473" w:rsidP="00301473">
      <w:pPr>
        <w:pStyle w:val="Textoindependiente"/>
        <w:spacing w:before="50" w:line="578" w:lineRule="exact"/>
        <w:ind w:right="5644"/>
        <w:rPr>
          <w:rFonts w:ascii="Verdana" w:hAnsi="Verdana"/>
          <w:sz w:val="20"/>
          <w:szCs w:val="20"/>
        </w:rPr>
      </w:pPr>
    </w:p>
    <w:p w14:paraId="58A6A4B3" w14:textId="77777777" w:rsidR="00301473" w:rsidRDefault="00301473" w:rsidP="00301473">
      <w:pPr>
        <w:pStyle w:val="Textoindependiente"/>
        <w:spacing w:before="50" w:line="578" w:lineRule="exact"/>
        <w:ind w:right="5644"/>
        <w:rPr>
          <w:rFonts w:ascii="Verdana" w:hAnsi="Verdana"/>
          <w:sz w:val="20"/>
          <w:szCs w:val="20"/>
        </w:rPr>
      </w:pPr>
    </w:p>
    <w:p w14:paraId="5A972FFB" w14:textId="77777777" w:rsidR="00301473" w:rsidRDefault="00301473" w:rsidP="00301473">
      <w:pPr>
        <w:pStyle w:val="Textoindependiente"/>
        <w:spacing w:before="50" w:line="578" w:lineRule="exact"/>
        <w:ind w:right="5644"/>
        <w:rPr>
          <w:rFonts w:ascii="Verdana" w:hAnsi="Verdana"/>
          <w:sz w:val="20"/>
          <w:szCs w:val="20"/>
        </w:rPr>
      </w:pPr>
    </w:p>
    <w:p w14:paraId="4D9E49DF" w14:textId="77777777" w:rsidR="00301473" w:rsidRDefault="00301473" w:rsidP="00301473">
      <w:pPr>
        <w:pStyle w:val="Textoindependiente"/>
        <w:spacing w:before="50" w:line="578" w:lineRule="exact"/>
        <w:ind w:right="5644"/>
        <w:rPr>
          <w:rFonts w:ascii="Verdana" w:hAnsi="Verdana"/>
          <w:sz w:val="20"/>
          <w:szCs w:val="20"/>
        </w:rPr>
      </w:pPr>
    </w:p>
    <w:p w14:paraId="1E09B8D1" w14:textId="77777777" w:rsidR="00301473" w:rsidRDefault="00301473" w:rsidP="00301473">
      <w:pPr>
        <w:pStyle w:val="Textoindependiente"/>
        <w:spacing w:before="50" w:line="578" w:lineRule="exact"/>
        <w:ind w:right="5644"/>
        <w:rPr>
          <w:rFonts w:ascii="Verdana" w:hAnsi="Verdana"/>
          <w:sz w:val="20"/>
          <w:szCs w:val="20"/>
        </w:rPr>
      </w:pPr>
    </w:p>
    <w:p w14:paraId="10036B0E" w14:textId="77777777" w:rsidR="00301473" w:rsidRDefault="00301473" w:rsidP="00301473">
      <w:pPr>
        <w:pStyle w:val="Textoindependiente"/>
        <w:spacing w:before="50" w:line="578" w:lineRule="exact"/>
        <w:ind w:right="5644"/>
        <w:rPr>
          <w:rFonts w:ascii="Verdana" w:hAnsi="Verdana"/>
          <w:sz w:val="20"/>
          <w:szCs w:val="20"/>
        </w:rPr>
      </w:pPr>
    </w:p>
    <w:p w14:paraId="10A93747" w14:textId="77777777" w:rsidR="00301473" w:rsidRDefault="00301473" w:rsidP="00301473">
      <w:pPr>
        <w:pStyle w:val="Textoindependiente"/>
        <w:spacing w:before="50" w:line="578" w:lineRule="exact"/>
        <w:ind w:right="5644"/>
        <w:rPr>
          <w:rFonts w:ascii="Verdana" w:hAnsi="Verdana"/>
          <w:sz w:val="20"/>
          <w:szCs w:val="20"/>
        </w:rPr>
      </w:pPr>
    </w:p>
    <w:p w14:paraId="78684AE7" w14:textId="77777777" w:rsidR="00301473" w:rsidRDefault="00301473" w:rsidP="00301473">
      <w:pPr>
        <w:pStyle w:val="Textoindependiente"/>
        <w:spacing w:before="50" w:line="578" w:lineRule="exact"/>
        <w:ind w:right="5644"/>
        <w:rPr>
          <w:rFonts w:ascii="Verdana" w:hAnsi="Verdana"/>
          <w:sz w:val="20"/>
          <w:szCs w:val="20"/>
        </w:rPr>
      </w:pPr>
    </w:p>
    <w:p w14:paraId="4AC63D79" w14:textId="77777777" w:rsidR="00301473" w:rsidRDefault="00301473" w:rsidP="00301473">
      <w:pPr>
        <w:pStyle w:val="Textoindependiente"/>
        <w:spacing w:before="50" w:line="578" w:lineRule="exact"/>
        <w:ind w:right="5644"/>
        <w:rPr>
          <w:rFonts w:ascii="Verdana" w:hAnsi="Verdana"/>
          <w:sz w:val="20"/>
          <w:szCs w:val="20"/>
        </w:rPr>
      </w:pPr>
    </w:p>
    <w:p w14:paraId="2579B3F6" w14:textId="77777777" w:rsidR="00301473" w:rsidRDefault="00301473" w:rsidP="00301473">
      <w:pPr>
        <w:pStyle w:val="Textoindependiente"/>
        <w:spacing w:before="50" w:line="578" w:lineRule="exact"/>
        <w:ind w:right="5644"/>
        <w:rPr>
          <w:rFonts w:ascii="Verdana" w:hAnsi="Verdana"/>
          <w:sz w:val="20"/>
          <w:szCs w:val="20"/>
        </w:rPr>
      </w:pPr>
    </w:p>
    <w:p w14:paraId="2B991BC1" w14:textId="77777777" w:rsidR="00301473" w:rsidRDefault="00301473" w:rsidP="00301473">
      <w:pPr>
        <w:pStyle w:val="Textoindependiente"/>
        <w:spacing w:before="50" w:line="578" w:lineRule="exact"/>
        <w:ind w:right="5644"/>
        <w:rPr>
          <w:rFonts w:ascii="Verdana" w:hAnsi="Verdana"/>
          <w:sz w:val="20"/>
          <w:szCs w:val="20"/>
        </w:rPr>
      </w:pPr>
    </w:p>
    <w:p w14:paraId="459623FD" w14:textId="516FAEB8" w:rsidR="00301473" w:rsidRPr="00301473" w:rsidRDefault="00301473" w:rsidP="00301473">
      <w:pPr>
        <w:pStyle w:val="Textoindependiente"/>
        <w:spacing w:before="50" w:line="578" w:lineRule="exact"/>
        <w:ind w:right="5644"/>
        <w:rPr>
          <w:rFonts w:ascii="Verdana" w:hAnsi="Verdana"/>
          <w:sz w:val="20"/>
          <w:szCs w:val="20"/>
        </w:rPr>
      </w:pPr>
      <w:r w:rsidRPr="00301473">
        <w:rPr>
          <w:rFonts w:ascii="Verdana" w:hAnsi="Verdana"/>
          <w:noProof/>
          <w:sz w:val="20"/>
          <w:szCs w:val="20"/>
        </w:rPr>
        <w:drawing>
          <wp:anchor distT="0" distB="0" distL="0" distR="0" simplePos="0" relativeHeight="251659264" behindDoc="0" locked="0" layoutInCell="1" allowOverlap="1" wp14:anchorId="2BEF6C84" wp14:editId="1B22C1FF">
            <wp:simplePos x="0" y="0"/>
            <wp:positionH relativeFrom="page">
              <wp:posOffset>3960135</wp:posOffset>
            </wp:positionH>
            <wp:positionV relativeFrom="paragraph">
              <wp:posOffset>185216</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3239999" cy="899999"/>
                    </a:xfrm>
                    <a:prstGeom prst="rect">
                      <a:avLst/>
                    </a:prstGeom>
                  </pic:spPr>
                </pic:pic>
              </a:graphicData>
            </a:graphic>
          </wp:anchor>
        </w:drawing>
      </w:r>
      <w:r w:rsidRPr="00301473">
        <w:rPr>
          <w:rFonts w:ascii="Verdana" w:hAnsi="Verdana"/>
          <w:sz w:val="20"/>
          <w:szCs w:val="20"/>
        </w:rPr>
        <w:t>Bogotá</w:t>
      </w:r>
      <w:r w:rsidRPr="00301473">
        <w:rPr>
          <w:rFonts w:ascii="Verdana" w:hAnsi="Verdana"/>
          <w:spacing w:val="-12"/>
          <w:sz w:val="20"/>
          <w:szCs w:val="20"/>
        </w:rPr>
        <w:t xml:space="preserve"> </w:t>
      </w:r>
      <w:r w:rsidRPr="00301473">
        <w:rPr>
          <w:rFonts w:ascii="Verdana" w:hAnsi="Verdana"/>
          <w:sz w:val="20"/>
          <w:szCs w:val="20"/>
        </w:rPr>
        <w:t>D.C.,</w:t>
      </w:r>
      <w:r w:rsidRPr="00301473">
        <w:rPr>
          <w:rFonts w:ascii="Verdana" w:hAnsi="Verdana"/>
          <w:spacing w:val="-8"/>
          <w:sz w:val="20"/>
          <w:szCs w:val="20"/>
        </w:rPr>
        <w:t xml:space="preserve"> </w:t>
      </w:r>
      <w:r w:rsidRPr="00301473">
        <w:rPr>
          <w:rFonts w:ascii="Verdana" w:hAnsi="Verdana"/>
          <w:sz w:val="20"/>
          <w:szCs w:val="20"/>
        </w:rPr>
        <w:t>04</w:t>
      </w:r>
      <w:r w:rsidRPr="00301473">
        <w:rPr>
          <w:rFonts w:ascii="Verdana" w:hAnsi="Verdana"/>
          <w:spacing w:val="-12"/>
          <w:sz w:val="20"/>
          <w:szCs w:val="20"/>
        </w:rPr>
        <w:t xml:space="preserve"> </w:t>
      </w:r>
      <w:r w:rsidRPr="00301473">
        <w:rPr>
          <w:rFonts w:ascii="Verdana" w:hAnsi="Verdana"/>
          <w:sz w:val="20"/>
          <w:szCs w:val="20"/>
        </w:rPr>
        <w:t xml:space="preserve">Diciembre2025 </w:t>
      </w:r>
    </w:p>
    <w:p w14:paraId="178788C1" w14:textId="77777777" w:rsidR="00301473" w:rsidRDefault="00301473" w:rsidP="00310A9F">
      <w:pPr>
        <w:spacing w:after="0" w:line="240" w:lineRule="auto"/>
        <w:jc w:val="both"/>
        <w:rPr>
          <w:rFonts w:ascii="Verdana" w:eastAsia="Calibri" w:hAnsi="Verdana" w:cs="Arial"/>
          <w:lang w:val="es-ES" w:eastAsia="es-ES"/>
        </w:rPr>
      </w:pPr>
    </w:p>
    <w:p w14:paraId="69CF88B9" w14:textId="5824D18A" w:rsidR="00871B59" w:rsidRDefault="00871B59" w:rsidP="00310A9F">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484231D0" w14:textId="0BF86DE5" w:rsidR="00310A9F" w:rsidRPr="001915A6" w:rsidRDefault="00310A9F" w:rsidP="00310A9F">
      <w:pPr>
        <w:spacing w:after="0" w:line="240" w:lineRule="auto"/>
        <w:jc w:val="both"/>
        <w:rPr>
          <w:rFonts w:ascii="Verdana" w:eastAsia="Calibri" w:hAnsi="Verdana" w:cs="Arial"/>
          <w:b/>
          <w:bCs/>
          <w:lang w:val="es-ES" w:eastAsia="es-ES"/>
        </w:rPr>
      </w:pPr>
      <w:r w:rsidRPr="001915A6">
        <w:rPr>
          <w:rFonts w:ascii="Verdana" w:eastAsia="Calibri" w:hAnsi="Verdana" w:cs="Arial"/>
          <w:b/>
          <w:bCs/>
          <w:lang w:val="es-ES" w:eastAsia="es-ES"/>
        </w:rPr>
        <w:t xml:space="preserve">José Manuel Ramírez Rincón </w:t>
      </w:r>
    </w:p>
    <w:p w14:paraId="59BCFFFD" w14:textId="7E849ED4" w:rsidR="00871B59" w:rsidRPr="00B96799" w:rsidRDefault="00310A9F" w:rsidP="00871B59">
      <w:pPr>
        <w:spacing w:after="0" w:line="240" w:lineRule="auto"/>
        <w:rPr>
          <w:rFonts w:ascii="Verdana" w:eastAsia="Calibri" w:hAnsi="Verdana" w:cs="Arial"/>
          <w:u w:val="single"/>
          <w:lang w:val="es-ES" w:eastAsia="es-ES"/>
        </w:rPr>
      </w:pPr>
      <w:hyperlink r:id="rId12" w:history="1">
        <w:r w:rsidRPr="00CC001D">
          <w:rPr>
            <w:rStyle w:val="Hipervnculo"/>
            <w:rFonts w:ascii="Verdana" w:eastAsia="Calibri" w:hAnsi="Verdana" w:cs="Arial"/>
            <w:lang w:val="es-ES" w:eastAsia="es-ES"/>
          </w:rPr>
          <w:t>joserami144@gmail.com</w:t>
        </w:r>
      </w:hyperlink>
      <w:r>
        <w:rPr>
          <w:rFonts w:ascii="Verdana" w:eastAsia="Calibri" w:hAnsi="Verdana" w:cs="Arial"/>
          <w:u w:val="single"/>
          <w:lang w:val="es-ES" w:eastAsia="es-ES"/>
        </w:rPr>
        <w:t xml:space="preserve"> </w:t>
      </w:r>
    </w:p>
    <w:p w14:paraId="42B5847F" w14:textId="64C3F65A" w:rsidR="00871B59" w:rsidRPr="00B96799" w:rsidRDefault="00871B59" w:rsidP="00871B59">
      <w:pPr>
        <w:spacing w:after="0" w:line="240" w:lineRule="auto"/>
        <w:rPr>
          <w:rFonts w:ascii="Verdana" w:eastAsia="Calibri" w:hAnsi="Verdana" w:cs="Arial"/>
          <w:b/>
          <w:bCs/>
          <w:lang w:val="es-ES" w:eastAsia="es-ES"/>
        </w:rPr>
      </w:pPr>
      <w:r w:rsidRPr="00B96799">
        <w:rPr>
          <w:rFonts w:ascii="Verdana" w:eastAsia="Calibri" w:hAnsi="Verdana" w:cs="Arial"/>
          <w:lang w:val="es-ES" w:eastAsia="es-ES"/>
        </w:rPr>
        <w:t>C</w:t>
      </w:r>
      <w:r w:rsidR="00310A9F">
        <w:rPr>
          <w:rFonts w:ascii="Verdana" w:eastAsia="Calibri" w:hAnsi="Verdana" w:cs="Arial"/>
          <w:lang w:val="es-ES" w:eastAsia="es-ES"/>
        </w:rPr>
        <w:t xml:space="preserve">ravo Norte, Arauca </w:t>
      </w:r>
    </w:p>
    <w:p w14:paraId="48A8D214"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0F903038"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33D6D69D" w14:textId="77777777" w:rsidTr="002607A7">
        <w:trPr>
          <w:trHeight w:val="884"/>
        </w:trPr>
        <w:tc>
          <w:tcPr>
            <w:tcW w:w="2689" w:type="dxa"/>
          </w:tcPr>
          <w:p w14:paraId="29969DDA"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12326EF1" w14:textId="4ED583DF"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sidR="00310A9F">
              <w:rPr>
                <w:rFonts w:ascii="Verdana" w:eastAsia="Calibri" w:hAnsi="Verdana" w:cs="Arial"/>
                <w:b/>
                <w:bCs/>
                <w:lang w:val="es-ES" w:eastAsia="es-ES"/>
              </w:rPr>
              <w:t>1582</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w:t>
            </w:r>
            <w:r w:rsidR="00310A9F">
              <w:rPr>
                <w:rFonts w:ascii="Verdana" w:eastAsia="Calibri" w:hAnsi="Verdana" w:cs="Arial"/>
                <w:b/>
                <w:bCs/>
                <w:lang w:val="es-ES" w:eastAsia="es-ES"/>
              </w:rPr>
              <w:t>e 2025</w:t>
            </w:r>
          </w:p>
        </w:tc>
      </w:tr>
      <w:tr w:rsidR="00871B59" w:rsidRPr="00593A5F" w14:paraId="4BCF992A" w14:textId="77777777" w:rsidTr="002607A7">
        <w:trPr>
          <w:trHeight w:val="884"/>
        </w:trPr>
        <w:tc>
          <w:tcPr>
            <w:tcW w:w="2689" w:type="dxa"/>
          </w:tcPr>
          <w:p w14:paraId="53F40E50"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4D605A0" w14:textId="418B2C2F" w:rsidR="00871B59" w:rsidRPr="00B96799" w:rsidRDefault="00310A9F" w:rsidP="002607A7">
            <w:pPr>
              <w:spacing w:line="276" w:lineRule="auto"/>
              <w:jc w:val="both"/>
              <w:rPr>
                <w:rFonts w:ascii="Verdana" w:eastAsia="Calibri" w:hAnsi="Verdana" w:cs="Arial"/>
                <w:color w:val="7030A0"/>
                <w:lang w:val="es-ES" w:eastAsia="es-ES"/>
              </w:rPr>
            </w:pPr>
            <w:r w:rsidRPr="008D5CCC">
              <w:rPr>
                <w:rFonts w:ascii="Verdana" w:hAnsi="Verdana" w:cs="Arial"/>
                <w:bCs/>
                <w:lang w:eastAsia="es-ES"/>
              </w:rPr>
              <w:t>APROBACIÓN DE LAS GARANTÍAS – Requisito de ejecución</w:t>
            </w:r>
            <w:r w:rsidRPr="00B80951">
              <w:rPr>
                <w:rFonts w:ascii="Verdana" w:hAnsi="Verdana" w:cs="Arial"/>
                <w:bCs/>
                <w:lang w:eastAsia="es-ES"/>
              </w:rPr>
              <w:t xml:space="preserve"> </w:t>
            </w:r>
            <w:r>
              <w:rPr>
                <w:rFonts w:ascii="Verdana" w:hAnsi="Verdana" w:cs="Arial"/>
                <w:bCs/>
                <w:lang w:eastAsia="es-ES"/>
              </w:rPr>
              <w:t>/</w:t>
            </w:r>
            <w:r w:rsidRPr="00B55F6A">
              <w:rPr>
                <w:rFonts w:ascii="Verdana" w:hAnsi="Verdana" w:cs="Arial"/>
                <w:bCs/>
                <w:lang w:eastAsia="es-ES"/>
              </w:rPr>
              <w:t xml:space="preserve"> SECOP II – Aprobación de las garantías – Gestión en la plataforma / ACTA DE APROBACIÓN DE GARANTÍAS – Sin regulación expresa – Autonomía de la voluntad – No implica omisión en SECOP II</w:t>
            </w:r>
          </w:p>
          <w:p w14:paraId="31A2C0EA" w14:textId="77777777" w:rsidR="00871B59" w:rsidRPr="00593A5F" w:rsidRDefault="00871B59" w:rsidP="002607A7">
            <w:pPr>
              <w:spacing w:line="276" w:lineRule="auto"/>
              <w:jc w:val="both"/>
              <w:rPr>
                <w:rFonts w:ascii="Verdana" w:eastAsia="Calibri" w:hAnsi="Verdana" w:cs="Arial"/>
                <w:lang w:val="es-ES" w:eastAsia="es-ES"/>
              </w:rPr>
            </w:pPr>
          </w:p>
        </w:tc>
      </w:tr>
      <w:tr w:rsidR="00871B59" w:rsidRPr="00593A5F" w14:paraId="01362A11" w14:textId="77777777" w:rsidTr="002607A7">
        <w:tc>
          <w:tcPr>
            <w:tcW w:w="2689" w:type="dxa"/>
          </w:tcPr>
          <w:p w14:paraId="7633B706" w14:textId="77777777" w:rsidR="00871B59" w:rsidRPr="00310A9F" w:rsidRDefault="00871B59" w:rsidP="002607A7">
            <w:pPr>
              <w:jc w:val="both"/>
              <w:rPr>
                <w:rFonts w:ascii="Verdana" w:eastAsia="Calibri" w:hAnsi="Verdana" w:cs="Arial"/>
                <w:b/>
                <w:color w:val="000000" w:themeColor="text1"/>
                <w:lang w:val="es-ES_tradnl" w:eastAsia="es-ES_tradnl"/>
              </w:rPr>
            </w:pPr>
            <w:r w:rsidRPr="00310A9F">
              <w:rPr>
                <w:rFonts w:ascii="Verdana" w:eastAsia="Calibri" w:hAnsi="Verdana" w:cs="Arial"/>
                <w:b/>
                <w:color w:val="000000" w:themeColor="text1"/>
                <w:lang w:val="es-ES_tradnl" w:eastAsia="es-ES_tradnl"/>
              </w:rPr>
              <w:t>Radicación:</w:t>
            </w:r>
            <w:r w:rsidRPr="00310A9F">
              <w:rPr>
                <w:rFonts w:ascii="Verdana" w:eastAsia="Calibri" w:hAnsi="Verdana" w:cs="Arial"/>
                <w:color w:val="000000" w:themeColor="text1"/>
                <w:lang w:val="es-ES_tradnl" w:eastAsia="es-ES_tradnl"/>
              </w:rPr>
              <w:t xml:space="preserve">               </w:t>
            </w:r>
          </w:p>
        </w:tc>
        <w:tc>
          <w:tcPr>
            <w:tcW w:w="6100" w:type="dxa"/>
          </w:tcPr>
          <w:p w14:paraId="3AC8F068" w14:textId="674381FD" w:rsidR="00310A9F" w:rsidRPr="00310A9F" w:rsidRDefault="00871B59" w:rsidP="00310A9F">
            <w:pPr>
              <w:jc w:val="both"/>
              <w:rPr>
                <w:rFonts w:ascii="Verdana" w:eastAsia="Calibri" w:hAnsi="Verdana" w:cs="Arial"/>
                <w:color w:val="000000" w:themeColor="text1"/>
                <w:lang w:val="es-ES_tradnl" w:eastAsia="es-ES_tradnl"/>
              </w:rPr>
            </w:pPr>
            <w:r w:rsidRPr="00310A9F">
              <w:rPr>
                <w:rFonts w:ascii="Verdana" w:eastAsia="Calibri" w:hAnsi="Verdana" w:cs="Arial"/>
                <w:color w:val="000000" w:themeColor="text1"/>
                <w:lang w:val="es-ES_tradnl" w:eastAsia="es-ES_tradnl"/>
              </w:rPr>
              <w:t xml:space="preserve">Respuesta a consulta con radicado No. </w:t>
            </w:r>
            <w:r w:rsidR="00310A9F" w:rsidRPr="00310A9F">
              <w:rPr>
                <w:rFonts w:ascii="Verdana" w:hAnsi="Verdana" w:cs="Segoe UI"/>
                <w:color w:val="000000" w:themeColor="text1"/>
                <w:shd w:val="clear" w:color="auto" w:fill="FFFFFF"/>
              </w:rPr>
              <w:t>1_2025_10_28_012094</w:t>
            </w:r>
            <w:r w:rsidR="00310A9F">
              <w:rPr>
                <w:rFonts w:ascii="Verdana" w:hAnsi="Verdana" w:cs="Segoe UI"/>
                <w:color w:val="000000" w:themeColor="text1"/>
                <w:shd w:val="clear" w:color="auto" w:fill="FFFFFF"/>
              </w:rPr>
              <w:t xml:space="preserve"> acumulado con </w:t>
            </w:r>
            <w:r w:rsidR="00310A9F">
              <w:rPr>
                <w:rFonts w:ascii="Verdana" w:hAnsi="Verdana" w:cs="Calibri"/>
                <w:color w:val="000000"/>
              </w:rPr>
              <w:t>1_2025_10_31_012300</w:t>
            </w:r>
          </w:p>
          <w:p w14:paraId="3901480F" w14:textId="75ADCE9C" w:rsidR="00871B59" w:rsidRPr="00310A9F" w:rsidRDefault="00871B59" w:rsidP="002607A7">
            <w:pPr>
              <w:jc w:val="both"/>
              <w:rPr>
                <w:rFonts w:ascii="Verdana" w:eastAsia="Calibri" w:hAnsi="Verdana" w:cs="Arial"/>
                <w:color w:val="000000" w:themeColor="text1"/>
                <w:lang w:val="es-ES_tradnl" w:eastAsia="es-ES_tradnl"/>
              </w:rPr>
            </w:pPr>
          </w:p>
        </w:tc>
      </w:tr>
    </w:tbl>
    <w:p w14:paraId="15F86DA6"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769337DE"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08D33EB1" w14:textId="4A1D3888" w:rsidR="00871B59" w:rsidRPr="00310A9F" w:rsidRDefault="00871B59" w:rsidP="00871B59">
      <w:pPr>
        <w:spacing w:after="0" w:line="276" w:lineRule="auto"/>
        <w:jc w:val="both"/>
        <w:rPr>
          <w:rFonts w:ascii="Verdana" w:eastAsia="Calibri" w:hAnsi="Verdana" w:cs="Arial"/>
          <w:color w:val="000000" w:themeColor="text1"/>
          <w:lang w:val="es-ES" w:eastAsia="es-ES"/>
        </w:rPr>
      </w:pPr>
      <w:r w:rsidRPr="00310A9F">
        <w:rPr>
          <w:rFonts w:ascii="Verdana" w:eastAsia="Calibri" w:hAnsi="Verdana" w:cs="Arial"/>
          <w:color w:val="000000" w:themeColor="text1"/>
          <w:lang w:val="es-ES" w:eastAsia="es-ES"/>
        </w:rPr>
        <w:t>Estimado señor</w:t>
      </w:r>
      <w:r w:rsidR="00310A9F" w:rsidRPr="00310A9F">
        <w:rPr>
          <w:rFonts w:ascii="Verdana" w:eastAsia="Calibri" w:hAnsi="Verdana" w:cs="Arial"/>
          <w:color w:val="000000" w:themeColor="text1"/>
          <w:lang w:val="es-ES" w:eastAsia="es-ES"/>
        </w:rPr>
        <w:t xml:space="preserve"> Ramírez</w:t>
      </w:r>
      <w:r w:rsidRPr="00310A9F">
        <w:rPr>
          <w:rFonts w:ascii="Verdana" w:eastAsia="Calibri" w:hAnsi="Verdana" w:cs="Arial"/>
          <w:color w:val="000000" w:themeColor="text1"/>
          <w:lang w:val="es-ES" w:eastAsia="es-ES"/>
        </w:rPr>
        <w:t xml:space="preserve">: </w:t>
      </w:r>
    </w:p>
    <w:p w14:paraId="2B18D1E9"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239A7AA" w14:textId="5B162FEF" w:rsidR="00871B59" w:rsidRPr="00593A5F" w:rsidRDefault="00871B59" w:rsidP="00871B5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310A9F">
        <w:rPr>
          <w:rFonts w:ascii="Verdana" w:eastAsia="Calibri" w:hAnsi="Verdana" w:cs="Arial"/>
          <w:color w:val="000000" w:themeColor="text1"/>
          <w:lang w:val="es-ES" w:eastAsia="es-ES"/>
        </w:rPr>
        <w:t>consulta de fecha</w:t>
      </w:r>
      <w:r w:rsidR="00310A9F" w:rsidRPr="00310A9F">
        <w:rPr>
          <w:rFonts w:ascii="Verdana" w:eastAsia="Calibri" w:hAnsi="Verdana" w:cs="Arial"/>
          <w:color w:val="000000" w:themeColor="text1"/>
          <w:lang w:val="es-ES" w:eastAsia="es-ES"/>
        </w:rPr>
        <w:t xml:space="preserve"> 28</w:t>
      </w:r>
      <w:r w:rsidRPr="00310A9F">
        <w:rPr>
          <w:rFonts w:ascii="Verdana" w:eastAsia="Calibri" w:hAnsi="Verdana" w:cs="Arial"/>
          <w:color w:val="000000" w:themeColor="text1"/>
          <w:lang w:val="es-ES" w:eastAsia="es-ES"/>
        </w:rPr>
        <w:t xml:space="preserve"> de </w:t>
      </w:r>
      <w:r w:rsidR="00310A9F" w:rsidRPr="00310A9F">
        <w:rPr>
          <w:rFonts w:ascii="Verdana" w:eastAsia="Calibri" w:hAnsi="Verdana" w:cs="Arial"/>
          <w:color w:val="000000" w:themeColor="text1"/>
          <w:lang w:val="es-ES" w:eastAsia="es-ES"/>
        </w:rPr>
        <w:t>octubre</w:t>
      </w:r>
      <w:r w:rsidRPr="00310A9F">
        <w:rPr>
          <w:rFonts w:ascii="Verdana" w:eastAsia="Calibri" w:hAnsi="Verdana" w:cs="Arial"/>
          <w:color w:val="000000" w:themeColor="text1"/>
          <w:lang w:val="es-ES" w:eastAsia="es-ES"/>
        </w:rPr>
        <w:t xml:space="preserve"> de 20</w:t>
      </w:r>
      <w:r w:rsidR="00310A9F" w:rsidRPr="00310A9F">
        <w:rPr>
          <w:rFonts w:ascii="Verdana" w:eastAsia="Calibri" w:hAnsi="Verdana" w:cs="Arial"/>
          <w:color w:val="000000" w:themeColor="text1"/>
          <w:lang w:val="es-ES" w:eastAsia="es-ES"/>
        </w:rPr>
        <w:t>25</w:t>
      </w:r>
      <w:r w:rsidRPr="00310A9F">
        <w:rPr>
          <w:rFonts w:ascii="Verdana" w:eastAsia="Calibri" w:hAnsi="Verdana" w:cs="Arial"/>
          <w:color w:val="000000" w:themeColor="text1"/>
          <w:lang w:val="es-ES" w:eastAsia="es-ES"/>
        </w:rPr>
        <w:t>, en la cual manifiesta lo siguiente:</w:t>
      </w:r>
      <w:r w:rsidR="00310A9F" w:rsidRPr="00310A9F">
        <w:rPr>
          <w:rFonts w:ascii="Verdana" w:eastAsia="Calibri" w:hAnsi="Verdana" w:cs="Arial"/>
          <w:color w:val="000000" w:themeColor="text1"/>
          <w:lang w:val="es-ES" w:eastAsia="es-ES"/>
        </w:rPr>
        <w:t xml:space="preserve"> </w:t>
      </w:r>
    </w:p>
    <w:p w14:paraId="28E224AA" w14:textId="77777777" w:rsidR="00871B59" w:rsidRPr="00310A9F" w:rsidRDefault="00871B59" w:rsidP="00871B59">
      <w:pPr>
        <w:pStyle w:val="Prrafodelista"/>
        <w:tabs>
          <w:tab w:val="left" w:pos="142"/>
          <w:tab w:val="left" w:pos="284"/>
        </w:tabs>
        <w:spacing w:line="276" w:lineRule="auto"/>
        <w:ind w:left="0"/>
        <w:jc w:val="both"/>
        <w:rPr>
          <w:rFonts w:ascii="Verdana" w:eastAsia="Century Gothic" w:hAnsi="Verdana" w:cs="Century Gothic"/>
          <w:b/>
          <w:bCs/>
          <w:color w:val="000000" w:themeColor="text1"/>
          <w:lang w:val="es-ES"/>
        </w:rPr>
      </w:pPr>
    </w:p>
    <w:p w14:paraId="06A543A3" w14:textId="0EF74773" w:rsidR="00871B59" w:rsidRPr="00310A9F" w:rsidRDefault="00871B59" w:rsidP="00871B59">
      <w:pPr>
        <w:spacing w:after="0" w:line="240" w:lineRule="auto"/>
        <w:ind w:left="709" w:right="709"/>
        <w:jc w:val="both"/>
        <w:rPr>
          <w:rFonts w:ascii="Verdana" w:eastAsia="Century Gothic" w:hAnsi="Verdana" w:cs="Century Gothic"/>
          <w:color w:val="000000" w:themeColor="text1"/>
          <w:sz w:val="20"/>
          <w:szCs w:val="20"/>
          <w:lang w:val="es-ES"/>
        </w:rPr>
      </w:pPr>
      <w:bookmarkStart w:id="0" w:name="_Hlk95313578"/>
      <w:r w:rsidRPr="00310A9F">
        <w:rPr>
          <w:rFonts w:ascii="Verdana" w:eastAsia="Century Gothic" w:hAnsi="Verdana" w:cs="Century Gothic"/>
          <w:color w:val="000000" w:themeColor="text1"/>
          <w:sz w:val="20"/>
          <w:szCs w:val="20"/>
          <w:lang w:val="es-ES"/>
        </w:rPr>
        <w:t>“</w:t>
      </w:r>
      <w:bookmarkEnd w:id="0"/>
      <w:r w:rsidR="00310A9F" w:rsidRPr="00310A9F">
        <w:rPr>
          <w:rFonts w:ascii="Verdana" w:eastAsia="Century Gothic" w:hAnsi="Verdana" w:cs="Century Gothic"/>
          <w:color w:val="000000" w:themeColor="text1"/>
          <w:sz w:val="20"/>
          <w:szCs w:val="20"/>
          <w:lang w:val="es-ES"/>
        </w:rPr>
        <w:t>Por favor responder la siguiente consulta: ¿Una prestación de servicios profesionales tiene la facultad legal para aprobar pólizas?”</w:t>
      </w:r>
    </w:p>
    <w:p w14:paraId="0D206855" w14:textId="77777777" w:rsidR="00871B59" w:rsidRPr="00593A5F"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2F4F4D7C"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05C6844" w14:textId="64F0EA8E"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007B70CB">
        <w:rPr>
          <w:rFonts w:ascii="Verdana" w:eastAsia="Calibri" w:hAnsi="Verdana" w:cs="Arial"/>
          <w:color w:val="000000"/>
          <w:lang w:val="es-ES" w:eastAsia="es-ES"/>
        </w:rPr>
        <w:t xml:space="preserve"> </w:t>
      </w:r>
    </w:p>
    <w:p w14:paraId="4418A07D"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7FD1C68E"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2DBB2C0D"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0095A8F2" w14:textId="44EA24D1" w:rsidR="00871B59" w:rsidRPr="00593A5F" w:rsidRDefault="00871B59" w:rsidP="1F9252E4">
      <w:pPr>
        <w:spacing w:after="0" w:line="276" w:lineRule="auto"/>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resolverá el siguiente problema jurídico: </w:t>
      </w:r>
      <w:r w:rsidR="002E636D">
        <w:rPr>
          <w:rFonts w:ascii="Verdana" w:eastAsia="Century Gothic" w:hAnsi="Verdana" w:cs="Century Gothic"/>
        </w:rPr>
        <w:t>¿</w:t>
      </w:r>
      <w:r w:rsidR="002E636D">
        <w:rPr>
          <w:rFonts w:ascii="Verdana" w:eastAsia="Times New Roman" w:hAnsi="Verdana"/>
          <w:lang w:eastAsia="es-MX"/>
        </w:rPr>
        <w:t xml:space="preserve">Un </w:t>
      </w:r>
      <w:r w:rsidR="002E636D" w:rsidRPr="00737D20">
        <w:rPr>
          <w:rFonts w:ascii="Verdana" w:eastAsia="Times New Roman" w:hAnsi="Verdana"/>
          <w:lang w:eastAsia="es-MX"/>
        </w:rPr>
        <w:t>contrat</w:t>
      </w:r>
      <w:r w:rsidR="002E636D">
        <w:rPr>
          <w:rFonts w:ascii="Verdana" w:eastAsia="Times New Roman" w:hAnsi="Verdana"/>
          <w:lang w:eastAsia="es-MX"/>
        </w:rPr>
        <w:t>ista</w:t>
      </w:r>
      <w:r w:rsidR="002E636D" w:rsidRPr="00737D20">
        <w:rPr>
          <w:rFonts w:ascii="Verdana" w:eastAsia="Times New Roman" w:hAnsi="Verdana"/>
          <w:lang w:eastAsia="es-MX"/>
        </w:rPr>
        <w:t xml:space="preserve"> de prestación de servicios profesionales tiene la facultad legal para aprobar </w:t>
      </w:r>
      <w:r w:rsidR="002E636D">
        <w:rPr>
          <w:rFonts w:ascii="Verdana" w:eastAsia="Times New Roman" w:hAnsi="Verdana"/>
          <w:lang w:eastAsia="es-MX"/>
        </w:rPr>
        <w:t>pólizas?</w:t>
      </w:r>
    </w:p>
    <w:p w14:paraId="087F0490" w14:textId="77777777" w:rsidR="00871B59" w:rsidRPr="00593A5F" w:rsidRDefault="00871B59" w:rsidP="00871B59">
      <w:pPr>
        <w:spacing w:after="0" w:line="276" w:lineRule="auto"/>
        <w:jc w:val="both"/>
        <w:rPr>
          <w:rFonts w:ascii="Verdana" w:eastAsia="Calibri" w:hAnsi="Verdana" w:cs="Arial"/>
          <w:color w:val="7030A0"/>
          <w:lang w:val="es-ES"/>
        </w:rPr>
      </w:pPr>
    </w:p>
    <w:p w14:paraId="0BDEC815"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7CAE7C58"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0FD695FB" w14:textId="77777777" w:rsidTr="002607A7">
        <w:tc>
          <w:tcPr>
            <w:tcW w:w="8828" w:type="dxa"/>
          </w:tcPr>
          <w:p w14:paraId="603E9679" w14:textId="2BF41A44" w:rsidR="00392C9E" w:rsidRDefault="00392C9E" w:rsidP="002E636D">
            <w:pPr>
              <w:spacing w:after="120" w:line="276" w:lineRule="auto"/>
              <w:jc w:val="both"/>
              <w:rPr>
                <w:rFonts w:ascii="Verdana" w:hAnsi="Verdana" w:cs="Arial"/>
                <w:color w:val="000000" w:themeColor="text1"/>
                <w:lang w:eastAsia="es-CO"/>
              </w:rPr>
            </w:pPr>
            <w:r>
              <w:rPr>
                <w:rFonts w:ascii="Verdana" w:hAnsi="Verdana" w:cs="Arial"/>
                <w:color w:val="000000" w:themeColor="text1"/>
                <w:lang w:eastAsia="es-CO"/>
              </w:rPr>
              <w:t>A</w:t>
            </w:r>
            <w:r w:rsidRPr="00B7652C">
              <w:rPr>
                <w:rFonts w:ascii="Verdana" w:hAnsi="Verdana" w:cs="Arial"/>
                <w:color w:val="000000" w:themeColor="text1"/>
                <w:lang w:eastAsia="es-CO"/>
              </w:rPr>
              <w:t xml:space="preserve">l revisar la normativa que regula la actividad contractual de las entidades estatales, se advierte que </w:t>
            </w:r>
            <w:r>
              <w:rPr>
                <w:rFonts w:ascii="Verdana" w:hAnsi="Verdana" w:cs="Arial"/>
                <w:color w:val="000000" w:themeColor="text1"/>
                <w:lang w:eastAsia="es-CO"/>
              </w:rPr>
              <w:t>la</w:t>
            </w:r>
            <w:r w:rsidRPr="00B7652C">
              <w:rPr>
                <w:rFonts w:ascii="Verdana" w:hAnsi="Verdana" w:cs="Arial"/>
                <w:color w:val="000000" w:themeColor="text1"/>
                <w:lang w:eastAsia="es-CO"/>
              </w:rPr>
              <w:t xml:space="preserve"> denominad</w:t>
            </w:r>
            <w:r>
              <w:rPr>
                <w:rFonts w:ascii="Verdana" w:hAnsi="Verdana" w:cs="Arial"/>
                <w:color w:val="000000" w:themeColor="text1"/>
                <w:lang w:eastAsia="es-CO"/>
              </w:rPr>
              <w:t>a</w:t>
            </w:r>
            <w:r w:rsidRPr="00B7652C">
              <w:rPr>
                <w:rFonts w:ascii="Verdana" w:hAnsi="Verdana" w:cs="Arial"/>
                <w:color w:val="000000" w:themeColor="text1"/>
                <w:lang w:eastAsia="es-CO"/>
              </w:rPr>
              <w:t xml:space="preserve"> </w:t>
            </w:r>
            <w:r w:rsidRPr="00B7652C">
              <w:rPr>
                <w:rFonts w:ascii="Verdana" w:hAnsi="Verdana" w:cs="Arial"/>
                <w:i/>
                <w:iCs/>
                <w:color w:val="000000" w:themeColor="text1"/>
                <w:lang w:eastAsia="es-CO"/>
              </w:rPr>
              <w:t>acta de aprobación de pólizas</w:t>
            </w:r>
            <w:r w:rsidRPr="00B7652C">
              <w:rPr>
                <w:rFonts w:ascii="Verdana" w:hAnsi="Verdana" w:cs="Arial"/>
                <w:color w:val="000000" w:themeColor="text1"/>
                <w:lang w:eastAsia="es-CO"/>
              </w:rPr>
              <w:t xml:space="preserve"> no cuenta con una regulación expresa dentro del Sistema de Contratación Pública. </w:t>
            </w:r>
            <w:r w:rsidRPr="00B7652C">
              <w:rPr>
                <w:rFonts w:ascii="Verdana" w:hAnsi="Verdana" w:cs="Arial"/>
                <w:color w:val="000000" w:themeColor="text1"/>
                <w:lang w:eastAsia="es-CO"/>
              </w:rPr>
              <w:lastRenderedPageBreak/>
              <w:t>No obstante, en ejercicio de la autonomía de la voluntad que les asiste, las entidades estatales pueden establecer la suscripción de un documento con dicha denominación y finalidad. Ello, sin embargo, no implica que su adopción releve a la entidad del cumplimiento de las actuaciones que deban ejecutarse dentro de la respectiva plataforma transaccional.</w:t>
            </w:r>
          </w:p>
          <w:p w14:paraId="5C1F8449" w14:textId="77777777" w:rsidR="00392C9E" w:rsidRDefault="00392C9E" w:rsidP="00392C9E">
            <w:pPr>
              <w:spacing w:after="120" w:line="276" w:lineRule="auto"/>
              <w:ind w:firstLine="567"/>
              <w:jc w:val="both"/>
              <w:rPr>
                <w:rFonts w:ascii="Verdana" w:eastAsia="Times New Roman" w:hAnsi="Verdana"/>
                <w:lang w:eastAsia="es-MX"/>
              </w:rPr>
            </w:pPr>
            <w:r w:rsidRPr="00737D20">
              <w:rPr>
                <w:rFonts w:ascii="Verdana" w:eastAsia="Times New Roman" w:hAnsi="Verdana" w:cs="Times New Roman"/>
                <w:lang w:eastAsia="es-MX"/>
              </w:rPr>
              <w:t>En este mismo sentido</w:t>
            </w:r>
            <w:r w:rsidRPr="00190C20">
              <w:rPr>
                <w:rFonts w:ascii="Verdana" w:eastAsia="Times New Roman" w:hAnsi="Verdana" w:cs="Times New Roman"/>
                <w:lang w:eastAsia="es-MX"/>
              </w:rPr>
              <w:t>,</w:t>
            </w:r>
            <w:r w:rsidRPr="00737D20">
              <w:rPr>
                <w:rFonts w:ascii="Verdana" w:eastAsia="Times New Roman" w:hAnsi="Verdana" w:cs="Times New Roman"/>
                <w:lang w:eastAsia="es-MX"/>
              </w:rPr>
              <w:t xml:space="preserve"> </w:t>
            </w:r>
            <w:r w:rsidRPr="00737D20">
              <w:rPr>
                <w:rFonts w:ascii="Verdana" w:eastAsia="Calibri" w:hAnsi="Verdana" w:cs="Arial"/>
                <w:lang w:val="es-ES"/>
              </w:rPr>
              <w:t>en consideración al objeto de consulta</w:t>
            </w:r>
            <w:r w:rsidRPr="00190C20">
              <w:rPr>
                <w:rFonts w:ascii="Verdana" w:eastAsia="Times New Roman" w:hAnsi="Verdana" w:cs="Times New Roman"/>
                <w:lang w:eastAsia="es-MX"/>
              </w:rPr>
              <w:t xml:space="preserve"> </w:t>
            </w:r>
            <w:r w:rsidRPr="00737D20">
              <w:rPr>
                <w:rFonts w:ascii="Verdana" w:eastAsia="Times New Roman" w:hAnsi="Verdana"/>
                <w:lang w:eastAsia="es-MX"/>
              </w:rPr>
              <w:t>respecto a si una persona vinculada mediante contrato de prestación de servicios profesionales tiene la facultad legal para aprobar pólizas, esta Agencia considera que la respuesta es negativa. Lo anterior se fundamenta en que la aprobación de la garantía es un requisito indispensable para la ejecución del contrato, conforme lo establece el inciso segundo del artículo 41 de la Ley 80 de 1993. Al respecto, la jurisprudencia del Consejo de Estado</w:t>
            </w:r>
            <w:r>
              <w:rPr>
                <w:rFonts w:ascii="Verdana" w:eastAsia="Times New Roman" w:hAnsi="Verdana"/>
                <w:lang w:eastAsia="es-MX"/>
              </w:rPr>
              <w:t xml:space="preserve"> citada, </w:t>
            </w:r>
            <w:r w:rsidRPr="00737D20">
              <w:rPr>
                <w:rFonts w:ascii="Verdana" w:eastAsia="Times New Roman" w:hAnsi="Verdana"/>
                <w:lang w:eastAsia="es-MX"/>
              </w:rPr>
              <w:t xml:space="preserve">ha precisado que la aprobación de la póliza </w:t>
            </w:r>
            <w:r>
              <w:rPr>
                <w:rFonts w:ascii="Verdana" w:eastAsia="Times New Roman" w:hAnsi="Verdana"/>
                <w:lang w:eastAsia="es-MX"/>
              </w:rPr>
              <w:t xml:space="preserve">es un </w:t>
            </w:r>
            <w:r w:rsidRPr="00737D20">
              <w:rPr>
                <w:rFonts w:ascii="Verdana" w:eastAsia="Times New Roman" w:hAnsi="Verdana"/>
                <w:lang w:eastAsia="es-MX"/>
              </w:rPr>
              <w:t xml:space="preserve">reconocimiento de parte de la administración de que el contratista cumplió con la obligación de garantía. </w:t>
            </w:r>
          </w:p>
          <w:p w14:paraId="7AD1D8F8" w14:textId="6593386B" w:rsidR="00392C9E" w:rsidRPr="002E636D" w:rsidRDefault="00392C9E" w:rsidP="002E636D">
            <w:pPr>
              <w:spacing w:after="120" w:line="276" w:lineRule="auto"/>
              <w:ind w:firstLine="567"/>
              <w:jc w:val="both"/>
              <w:rPr>
                <w:rFonts w:ascii="Verdana" w:eastAsia="Times New Roman" w:hAnsi="Verdana" w:cs="Times New Roman"/>
                <w:lang w:eastAsia="es-MX"/>
              </w:rPr>
            </w:pPr>
            <w:r w:rsidRPr="00737D20">
              <w:rPr>
                <w:rFonts w:ascii="Verdana" w:eastAsia="Times New Roman" w:hAnsi="Verdana"/>
                <w:lang w:eastAsia="es-MX"/>
              </w:rPr>
              <w:t>En consecuencia, al tratarse de un acto de aval por parte de la administración, dicha competencia recae en los servidores públicos que ejercen la ordenación del gasto o la supervisión directa, y no en particulares que prestan apoyo a la gestión.</w:t>
            </w:r>
            <w:r>
              <w:rPr>
                <w:rFonts w:ascii="Verdana" w:eastAsia="Times New Roman" w:hAnsi="Verdana" w:cs="Times New Roman"/>
                <w:lang w:eastAsia="es-MX"/>
              </w:rPr>
              <w:t xml:space="preserve"> Por su parte el </w:t>
            </w:r>
            <w:r w:rsidRPr="00737D20">
              <w:rPr>
                <w:rFonts w:ascii="Verdana" w:eastAsia="Times New Roman" w:hAnsi="Verdana" w:cs="Times New Roman"/>
                <w:lang w:eastAsia="es-MX"/>
              </w:rPr>
              <w:t>Manual de Supervisión e Interventoría expedido por esta Agencia</w:t>
            </w:r>
            <w:r>
              <w:rPr>
                <w:rFonts w:ascii="Verdana" w:eastAsia="Times New Roman" w:hAnsi="Verdana" w:cs="Times New Roman"/>
                <w:lang w:eastAsia="es-MX"/>
              </w:rPr>
              <w:t xml:space="preserve">, </w:t>
            </w:r>
            <w:r w:rsidRPr="00737D20">
              <w:rPr>
                <w:rFonts w:ascii="Verdana" w:eastAsia="Times New Roman" w:hAnsi="Verdana" w:cs="Times New Roman"/>
                <w:lang w:eastAsia="es-MX"/>
              </w:rPr>
              <w:t>dispone que, si bien la entidad estatal puede contratar personal de apoyo a través de contratos de prestación de servicios, la vigilancia del contrato dependerá única y exclusivamente del supervisor del contrato. De manera específica, el numeral 3.2.1 enlista los deberes del personal de apoyo, señala</w:t>
            </w:r>
            <w:r>
              <w:rPr>
                <w:rFonts w:ascii="Verdana" w:eastAsia="Times New Roman" w:hAnsi="Verdana" w:cs="Times New Roman"/>
                <w:lang w:eastAsia="es-MX"/>
              </w:rPr>
              <w:t>ndo</w:t>
            </w:r>
            <w:r w:rsidRPr="00737D20">
              <w:rPr>
                <w:rFonts w:ascii="Verdana" w:eastAsia="Times New Roman" w:hAnsi="Verdana" w:cs="Times New Roman"/>
                <w:lang w:eastAsia="es-MX"/>
              </w:rPr>
              <w:t xml:space="preserve"> en su literal vi) que su función consiste en </w:t>
            </w:r>
            <w:r>
              <w:rPr>
                <w:rFonts w:ascii="Verdana" w:eastAsia="Times New Roman" w:hAnsi="Verdana" w:cs="Times New Roman"/>
                <w:lang w:eastAsia="es-MX"/>
              </w:rPr>
              <w:t>“</w:t>
            </w:r>
            <w:r w:rsidRPr="00737D20">
              <w:rPr>
                <w:rFonts w:ascii="Verdana" w:eastAsia="Times New Roman" w:hAnsi="Verdana" w:cs="Times New Roman"/>
                <w:lang w:eastAsia="es-MX"/>
              </w:rPr>
              <w:t>Prestar el apoyo técnico necesario al supervisor</w:t>
            </w:r>
            <w:r>
              <w:rPr>
                <w:rFonts w:ascii="Verdana" w:eastAsia="Times New Roman" w:hAnsi="Verdana" w:cs="Times New Roman"/>
                <w:lang w:eastAsia="es-MX"/>
              </w:rPr>
              <w:t xml:space="preserve"> </w:t>
            </w:r>
            <w:r w:rsidRPr="00737D20">
              <w:rPr>
                <w:rFonts w:ascii="Verdana" w:eastAsia="Times New Roman" w:hAnsi="Verdana" w:cs="Times New Roman"/>
                <w:lang w:eastAsia="es-MX"/>
              </w:rPr>
              <w:t>en la labor de proyectar las actas contractuales, verificando previamente</w:t>
            </w:r>
            <w:r>
              <w:rPr>
                <w:rFonts w:ascii="Verdana" w:eastAsia="Times New Roman" w:hAnsi="Verdana" w:cs="Times New Roman"/>
                <w:lang w:eastAsia="es-MX"/>
              </w:rPr>
              <w:t xml:space="preserve"> la</w:t>
            </w:r>
            <w:r w:rsidRPr="00737D20">
              <w:rPr>
                <w:rFonts w:ascii="Verdana" w:eastAsia="Times New Roman" w:hAnsi="Verdana" w:cs="Times New Roman"/>
                <w:lang w:eastAsia="es-MX"/>
              </w:rPr>
              <w:t xml:space="preserve"> aprobación de pólizas por el Grupo Interno de Trabajo de Gestión Contractual</w:t>
            </w:r>
            <w:r>
              <w:rPr>
                <w:rFonts w:ascii="Verdana" w:eastAsia="Times New Roman" w:hAnsi="Verdana" w:cs="Times New Roman"/>
                <w:lang w:eastAsia="es-MX"/>
              </w:rPr>
              <w:t>”</w:t>
            </w:r>
            <w:r w:rsidRPr="00737D20">
              <w:rPr>
                <w:rFonts w:ascii="Verdana" w:eastAsia="Times New Roman" w:hAnsi="Verdana" w:cs="Times New Roman"/>
                <w:lang w:eastAsia="es-MX"/>
              </w:rPr>
              <w:t xml:space="preserve">. De esta </w:t>
            </w:r>
            <w:r>
              <w:rPr>
                <w:rFonts w:ascii="Verdana" w:eastAsia="Times New Roman" w:hAnsi="Verdana" w:cs="Times New Roman"/>
                <w:lang w:eastAsia="es-MX"/>
              </w:rPr>
              <w:t xml:space="preserve">forma se puede concluir que </w:t>
            </w:r>
            <w:r w:rsidRPr="00737D20">
              <w:rPr>
                <w:rFonts w:ascii="Verdana" w:eastAsia="Times New Roman" w:hAnsi="Verdana" w:cs="Times New Roman"/>
                <w:lang w:eastAsia="es-MX"/>
              </w:rPr>
              <w:t xml:space="preserve">el contratista de prestación de servicios </w:t>
            </w:r>
            <w:r>
              <w:rPr>
                <w:rFonts w:ascii="Verdana" w:eastAsia="Times New Roman" w:hAnsi="Verdana" w:cs="Times New Roman"/>
                <w:lang w:eastAsia="es-MX"/>
              </w:rPr>
              <w:t xml:space="preserve"> presta apoyo en la</w:t>
            </w:r>
            <w:r w:rsidRPr="00737D20">
              <w:rPr>
                <w:rFonts w:ascii="Verdana" w:eastAsia="Times New Roman" w:hAnsi="Verdana" w:cs="Times New Roman"/>
                <w:lang w:eastAsia="es-MX"/>
              </w:rPr>
              <w:t xml:space="preserve"> proyección y verificación técnica,</w:t>
            </w:r>
            <w:r>
              <w:rPr>
                <w:rFonts w:ascii="Verdana" w:eastAsia="Times New Roman" w:hAnsi="Verdana" w:cs="Times New Roman"/>
                <w:lang w:eastAsia="es-MX"/>
              </w:rPr>
              <w:t xml:space="preserve"> para luego,</w:t>
            </w:r>
            <w:r w:rsidRPr="00737D20">
              <w:rPr>
                <w:rFonts w:ascii="Verdana" w:eastAsia="Times New Roman" w:hAnsi="Verdana" w:cs="Times New Roman"/>
                <w:lang w:eastAsia="es-MX"/>
              </w:rPr>
              <w:t xml:space="preserve"> </w:t>
            </w:r>
            <w:r>
              <w:rPr>
                <w:rFonts w:ascii="Verdana" w:eastAsia="Times New Roman" w:hAnsi="Verdana" w:cs="Times New Roman"/>
                <w:lang w:eastAsia="es-MX"/>
              </w:rPr>
              <w:t xml:space="preserve">pasar a la </w:t>
            </w:r>
            <w:r w:rsidRPr="00737D20">
              <w:rPr>
                <w:rFonts w:ascii="Verdana" w:eastAsia="Times New Roman" w:hAnsi="Verdana" w:cs="Times New Roman"/>
                <w:lang w:eastAsia="es-MX"/>
              </w:rPr>
              <w:t xml:space="preserve">aprobación </w:t>
            </w:r>
            <w:r>
              <w:rPr>
                <w:rFonts w:ascii="Verdana" w:eastAsia="Times New Roman" w:hAnsi="Verdana" w:cs="Times New Roman"/>
                <w:lang w:eastAsia="es-MX"/>
              </w:rPr>
              <w:t xml:space="preserve">del funcionario </w:t>
            </w:r>
            <w:r w:rsidRPr="00737D20">
              <w:rPr>
                <w:rFonts w:ascii="Verdana" w:eastAsia="Times New Roman" w:hAnsi="Verdana" w:cs="Times New Roman"/>
                <w:lang w:eastAsia="es-MX"/>
              </w:rPr>
              <w:t>competente de la Entidad</w:t>
            </w:r>
            <w:r>
              <w:rPr>
                <w:rFonts w:ascii="Verdana" w:eastAsia="Times New Roman" w:hAnsi="Verdana" w:cs="Times New Roman"/>
                <w:lang w:eastAsia="es-MX"/>
              </w:rPr>
              <w:t xml:space="preserve">. </w:t>
            </w:r>
          </w:p>
          <w:p w14:paraId="5F7D99E7" w14:textId="77777777" w:rsidR="00392C9E" w:rsidRDefault="00392C9E" w:rsidP="00392C9E">
            <w:pPr>
              <w:spacing w:after="120" w:line="276" w:lineRule="auto"/>
              <w:ind w:firstLine="567"/>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w:t>
            </w:r>
            <w:r w:rsidRPr="00E853DE">
              <w:rPr>
                <w:rFonts w:ascii="Verdana" w:eastAsia="Calibri" w:hAnsi="Verdana" w:cs="Arial"/>
                <w:bCs/>
                <w:color w:val="000000" w:themeColor="text1"/>
              </w:rPr>
              <w:lastRenderedPageBreak/>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CE532B1" w14:textId="5BE8608C" w:rsidR="00871B59" w:rsidRPr="002E636D" w:rsidRDefault="00392C9E" w:rsidP="002E636D">
            <w:pPr>
              <w:spacing w:line="276" w:lineRule="auto"/>
              <w:ind w:firstLine="708"/>
              <w:jc w:val="both"/>
              <w:rPr>
                <w:rFonts w:ascii="Verdana" w:eastAsia="Calibri" w:hAnsi="Verdana" w:cs="Arial"/>
                <w:lang w:val="es-ES"/>
              </w:rPr>
            </w:pPr>
            <w:r w:rsidRPr="00E853DE">
              <w:rPr>
                <w:rFonts w:ascii="Verdana" w:eastAsia="Calibri" w:hAnsi="Verdana" w:cs="Arial"/>
                <w:bCs/>
                <w:color w:val="000000" w:themeColor="text1"/>
              </w:rPr>
              <w:t>Dentro de este marco, la entidad contratante definirá en cada caso concreto lo relacionado con</w:t>
            </w:r>
            <w:r>
              <w:rPr>
                <w:rFonts w:ascii="Verdana" w:eastAsia="Calibri" w:hAnsi="Verdana" w:cs="Arial"/>
                <w:bCs/>
                <w:color w:val="000000" w:themeColor="text1"/>
              </w:rPr>
              <w:t xml:space="preserve"> los aspectos puntuales d</w:t>
            </w:r>
            <w:r w:rsidRPr="00E853DE">
              <w:rPr>
                <w:rFonts w:ascii="Verdana" w:eastAsia="Calibri" w:hAnsi="Verdana" w:cs="Arial"/>
                <w:bCs/>
                <w:color w:val="000000" w:themeColor="text1"/>
              </w:rPr>
              <w:t>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tc>
      </w:tr>
    </w:tbl>
    <w:p w14:paraId="36448451"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7D94F1DC"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560F8E57" w14:textId="77777777" w:rsidR="00871B59" w:rsidRPr="00593A5F" w:rsidRDefault="00871B59" w:rsidP="00871B59">
      <w:pPr>
        <w:spacing w:after="0" w:line="276" w:lineRule="auto"/>
        <w:jc w:val="both"/>
        <w:rPr>
          <w:rFonts w:ascii="Verdana" w:eastAsia="Calibri" w:hAnsi="Verdana" w:cs="Arial"/>
          <w:color w:val="7030A0"/>
          <w:lang w:val="es-ES"/>
        </w:rPr>
      </w:pPr>
    </w:p>
    <w:p w14:paraId="2DD47E64" w14:textId="77777777" w:rsidR="00871B59" w:rsidRPr="00B9679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C01938D" w14:textId="77777777" w:rsidR="00983695" w:rsidRDefault="00983695" w:rsidP="00983695">
      <w:pPr>
        <w:spacing w:after="0" w:line="276" w:lineRule="auto"/>
        <w:jc w:val="both"/>
        <w:rPr>
          <w:rFonts w:ascii="Verdana" w:eastAsia="Calibri" w:hAnsi="Verdana" w:cs="Arial"/>
          <w:color w:val="7030A0"/>
          <w:lang w:val="es-ES"/>
        </w:rPr>
      </w:pPr>
    </w:p>
    <w:p w14:paraId="5E26ED34" w14:textId="77777777" w:rsidR="007B70CB" w:rsidRDefault="007B70CB" w:rsidP="007B70CB">
      <w:pPr>
        <w:spacing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
        </w:rPr>
        <w:t xml:space="preserve">i. </w:t>
      </w:r>
      <w:r w:rsidRPr="00FE629E">
        <w:rPr>
          <w:rFonts w:ascii="Verdana" w:eastAsia="Calibri" w:hAnsi="Verdana" w:cs="Arial"/>
          <w:color w:val="000000"/>
          <w:lang w:val="es-ES_tradnl"/>
        </w:rPr>
        <w:t>De acuerdo con el Estatuto General de Contratación de la Administración Pública, p</w:t>
      </w:r>
      <w:r w:rsidRPr="00FE629E">
        <w:rPr>
          <w:rFonts w:ascii="Verdana" w:eastAsia="Calibri" w:hAnsi="Verdana" w:cs="Arial"/>
          <w:color w:val="000000" w:themeColor="text1"/>
          <w:lang w:val="es-ES_tradnl"/>
        </w:rPr>
        <w:t xml:space="preserve">or regla general, </w:t>
      </w:r>
      <w:r w:rsidRPr="00FE629E">
        <w:rPr>
          <w:rFonts w:ascii="Verdana" w:eastAsia="Calibri" w:hAnsi="Verdana" w:cs="Arial"/>
          <w:color w:val="000000" w:themeColor="text1"/>
          <w:lang w:val="es-ES"/>
        </w:rPr>
        <w:t>para seleccionar los contratistas y para ejecutar los contratos se requiere la constitución de garantías</w:t>
      </w:r>
      <w:r w:rsidRPr="00FE629E">
        <w:rPr>
          <w:rFonts w:ascii="Verdana" w:eastAsia="Calibri" w:hAnsi="Verdana" w:cs="Arial"/>
          <w:color w:val="000000" w:themeColor="text1"/>
          <w:lang w:val="es-ES_tradnl"/>
        </w:rPr>
        <w:t>.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1666C4C7" w14:textId="77777777" w:rsidR="007B70CB" w:rsidRDefault="007B70CB" w:rsidP="007B70CB">
      <w:pPr>
        <w:spacing w:line="276" w:lineRule="auto"/>
        <w:ind w:firstLine="708"/>
        <w:jc w:val="both"/>
        <w:rPr>
          <w:rFonts w:ascii="Verdana" w:hAnsi="Verdana" w:cs="Arial"/>
          <w:color w:val="000000" w:themeColor="text1"/>
          <w:lang w:val="es-MX"/>
        </w:rPr>
      </w:pPr>
      <w:r w:rsidRPr="00FE629E">
        <w:rPr>
          <w:rFonts w:ascii="Verdana" w:hAnsi="Verdana" w:cs="Arial"/>
          <w:color w:val="000000" w:themeColor="text1"/>
          <w:lang w:val="es-MX"/>
        </w:rPr>
        <w:t xml:space="preserve">Las condiciones en las que debe cumplirse esta obligación fueron reglamentadas por el Decreto 1082 de 2015, el cual entre sus artículos 2.2.1.2.3.1.1 y 2.2.1.2.3.1.19 se refiere a asuntos como las clases de garantías permitidas, su indivisibilidad, los diferentes riesgos que deben ser objeto de garantía, la vigencia y valores mínimos que deben cubrir los amparos, entre </w:t>
      </w:r>
      <w:r w:rsidRPr="00FE629E">
        <w:rPr>
          <w:rFonts w:ascii="Verdana" w:hAnsi="Verdana" w:cs="Arial"/>
          <w:color w:val="000000" w:themeColor="text1"/>
          <w:lang w:val="es-MX"/>
        </w:rPr>
        <w:lastRenderedPageBreak/>
        <w:t>otros aspectos que debe cumplir las garantías constituidas por los contratistas ya sea a través de pólizas de seguro, garantías bancarías o patrimonios autónomos.</w:t>
      </w:r>
    </w:p>
    <w:p w14:paraId="7F97B472" w14:textId="77777777" w:rsidR="007B70CB" w:rsidRDefault="007B70CB" w:rsidP="007B70CB">
      <w:pPr>
        <w:spacing w:before="120" w:after="120" w:line="276" w:lineRule="auto"/>
        <w:ind w:firstLine="708"/>
        <w:jc w:val="both"/>
        <w:rPr>
          <w:rFonts w:ascii="Verdana" w:eastAsia="Times New Roman" w:hAnsi="Verdana" w:cs="Arial"/>
          <w:color w:val="000000" w:themeColor="text1"/>
          <w:lang w:eastAsia="es-CO"/>
        </w:rPr>
      </w:pPr>
      <w:r w:rsidRPr="00CA6FDA">
        <w:rPr>
          <w:rFonts w:ascii="Verdana" w:hAnsi="Verdana" w:cs="Arial"/>
          <w:color w:val="000000" w:themeColor="text1"/>
        </w:rPr>
        <w:t>El artículo 2.2.1.2.3.1.3, por ejemplo, establece que la “garantía de cobertura del Riesgo es indivisible”, además de la obligación de los contratantes de establecer en los pliegos de condiciones las garantías exigidas para cada periodo contractual</w:t>
      </w:r>
      <w:r w:rsidRPr="00CA6FDA">
        <w:rPr>
          <w:rStyle w:val="Refdenotaalpie"/>
          <w:rFonts w:ascii="Verdana" w:hAnsi="Verdana" w:cs="Arial"/>
          <w:color w:val="000000" w:themeColor="text1"/>
        </w:rPr>
        <w:footnoteReference w:id="2"/>
      </w:r>
      <w:r w:rsidRPr="00CA6FDA">
        <w:rPr>
          <w:rFonts w:ascii="Verdana" w:hAnsi="Verdana" w:cs="Arial"/>
          <w:color w:val="000000" w:themeColor="text1"/>
        </w:rPr>
        <w:t xml:space="preserve">. Por su parte, el artículo 2.2.1.3.1.7 prescribe que la garantía de cumplimiento debe cubrir: i) el buen manejo y correcta inversión del anticipo; </w:t>
      </w:r>
      <w:proofErr w:type="spellStart"/>
      <w:r w:rsidRPr="00CA6FDA">
        <w:rPr>
          <w:rFonts w:ascii="Verdana" w:hAnsi="Verdana" w:cs="Arial"/>
          <w:color w:val="000000" w:themeColor="text1"/>
        </w:rPr>
        <w:t>ii</w:t>
      </w:r>
      <w:proofErr w:type="spellEnd"/>
      <w:r w:rsidRPr="00CA6FDA">
        <w:rPr>
          <w:rFonts w:ascii="Verdana" w:hAnsi="Verdana" w:cs="Arial"/>
          <w:color w:val="000000" w:themeColor="text1"/>
        </w:rPr>
        <w:t xml:space="preserve">) la devolución del pago anticipado; </w:t>
      </w:r>
      <w:proofErr w:type="spellStart"/>
      <w:r w:rsidRPr="00CA6FDA">
        <w:rPr>
          <w:rFonts w:ascii="Verdana" w:hAnsi="Verdana" w:cs="Arial"/>
          <w:color w:val="000000" w:themeColor="text1"/>
        </w:rPr>
        <w:t>iii</w:t>
      </w:r>
      <w:proofErr w:type="spellEnd"/>
      <w:r w:rsidRPr="00CA6FDA">
        <w:rPr>
          <w:rFonts w:ascii="Verdana" w:hAnsi="Verdana" w:cs="Arial"/>
          <w:color w:val="000000" w:themeColor="text1"/>
        </w:rPr>
        <w:t xml:space="preserve">) el cumplimiento del contrato; </w:t>
      </w:r>
      <w:proofErr w:type="spellStart"/>
      <w:r w:rsidRPr="00CA6FDA">
        <w:rPr>
          <w:rFonts w:ascii="Verdana" w:hAnsi="Verdana" w:cs="Arial"/>
          <w:color w:val="000000" w:themeColor="text1"/>
        </w:rPr>
        <w:t>iv</w:t>
      </w:r>
      <w:proofErr w:type="spellEnd"/>
      <w:r w:rsidRPr="00CA6FDA">
        <w:rPr>
          <w:rFonts w:ascii="Verdana" w:hAnsi="Verdana" w:cs="Arial"/>
          <w:color w:val="000000" w:themeColor="text1"/>
        </w:rPr>
        <w:t xml:space="preserve">) el pago de salarios, prestaciones sociales legales e indemnizaciones laborales; v)  la estabilidad y calidad de la obra; vi) la </w:t>
      </w:r>
      <w:r w:rsidRPr="00CA6FDA">
        <w:rPr>
          <w:rFonts w:ascii="Verdana" w:eastAsia="Times New Roman" w:hAnsi="Verdana" w:cs="Arial"/>
          <w:color w:val="000000" w:themeColor="text1"/>
          <w:lang w:eastAsia="es-CO"/>
        </w:rPr>
        <w:t xml:space="preserve">calidad del servicio; </w:t>
      </w:r>
      <w:proofErr w:type="spellStart"/>
      <w:r w:rsidRPr="00CA6FDA">
        <w:rPr>
          <w:rFonts w:ascii="Verdana" w:eastAsia="Times New Roman" w:hAnsi="Verdana" w:cs="Arial"/>
          <w:color w:val="000000" w:themeColor="text1"/>
          <w:lang w:eastAsia="es-CO"/>
        </w:rPr>
        <w:t>vii</w:t>
      </w:r>
      <w:proofErr w:type="spellEnd"/>
      <w:r w:rsidRPr="00CA6FDA">
        <w:rPr>
          <w:rFonts w:ascii="Verdana" w:eastAsia="Times New Roman" w:hAnsi="Verdana" w:cs="Arial"/>
          <w:color w:val="000000" w:themeColor="text1"/>
          <w:lang w:eastAsia="es-CO"/>
        </w:rPr>
        <w:t xml:space="preserve">) la calidad y correcto funcionamiento de los bienes; y </w:t>
      </w:r>
      <w:proofErr w:type="spellStart"/>
      <w:r w:rsidRPr="00CA6FDA">
        <w:rPr>
          <w:rFonts w:ascii="Verdana" w:eastAsia="Times New Roman" w:hAnsi="Verdana" w:cs="Arial"/>
          <w:color w:val="000000" w:themeColor="text1"/>
          <w:lang w:eastAsia="es-CO"/>
        </w:rPr>
        <w:t>viii</w:t>
      </w:r>
      <w:proofErr w:type="spellEnd"/>
      <w:r w:rsidRPr="00CA6FDA">
        <w:rPr>
          <w:rFonts w:ascii="Verdana" w:eastAsia="Times New Roman" w:hAnsi="Verdana" w:cs="Arial"/>
          <w:color w:val="000000" w:themeColor="text1"/>
          <w:lang w:eastAsia="es-CO"/>
        </w:rPr>
        <w:t>) los demás incumplimientos de las obligaciones que la entidad estatal considere deben ser amparados</w:t>
      </w:r>
      <w:r w:rsidRPr="00CA6FDA">
        <w:rPr>
          <w:rStyle w:val="Refdenotaalpie"/>
          <w:rFonts w:ascii="Verdana" w:eastAsia="Times New Roman" w:hAnsi="Verdana" w:cs="Arial"/>
          <w:color w:val="000000" w:themeColor="text1"/>
          <w:lang w:eastAsia="es-CO"/>
        </w:rPr>
        <w:footnoteReference w:id="3"/>
      </w:r>
      <w:r w:rsidRPr="00CA6FDA">
        <w:rPr>
          <w:rFonts w:ascii="Verdana" w:eastAsia="Times New Roman" w:hAnsi="Verdana" w:cs="Arial"/>
          <w:color w:val="000000" w:themeColor="text1"/>
          <w:lang w:eastAsia="es-CO"/>
        </w:rPr>
        <w:t xml:space="preserve">. Esto además de la póliza de responsabilidad civil extracontractual </w:t>
      </w:r>
      <w:r w:rsidRPr="00CA6FDA">
        <w:rPr>
          <w:rFonts w:ascii="Verdana" w:eastAsia="Times New Roman" w:hAnsi="Verdana" w:cs="Arial"/>
          <w:color w:val="000000" w:themeColor="text1"/>
          <w:lang w:eastAsia="es-CO"/>
        </w:rPr>
        <w:lastRenderedPageBreak/>
        <w:t xml:space="preserve">en los contratos de obra, así en aquellos en que por su objeto o naturaleza se considere necesario con ocasión de los riesgos previstos en el negocio, de acuerdo con el artículo 2.2.1.2.3.1.8 </w:t>
      </w:r>
      <w:r w:rsidRPr="00CA6FDA">
        <w:rPr>
          <w:rFonts w:ascii="Verdana" w:eastAsia="Times New Roman" w:hAnsi="Verdana" w:cs="Arial"/>
          <w:i/>
          <w:iCs/>
          <w:color w:val="000000" w:themeColor="text1"/>
          <w:lang w:eastAsia="es-CO"/>
        </w:rPr>
        <w:t>ibidem</w:t>
      </w:r>
      <w:r w:rsidRPr="00CA6FDA">
        <w:rPr>
          <w:rFonts w:ascii="Verdana" w:eastAsia="Times New Roman" w:hAnsi="Verdana" w:cs="Arial"/>
          <w:color w:val="000000" w:themeColor="text1"/>
          <w:lang w:eastAsia="es-CO"/>
        </w:rPr>
        <w:t>.</w:t>
      </w:r>
    </w:p>
    <w:p w14:paraId="79F2756B" w14:textId="77777777" w:rsidR="007B70CB" w:rsidRPr="00FE629E" w:rsidRDefault="007B70CB" w:rsidP="007B70CB">
      <w:pPr>
        <w:spacing w:line="276" w:lineRule="auto"/>
        <w:ind w:firstLine="708"/>
        <w:jc w:val="both"/>
        <w:rPr>
          <w:rFonts w:ascii="Verdana" w:hAnsi="Verdana" w:cs="Arial"/>
          <w:color w:val="000000" w:themeColor="text1"/>
        </w:rPr>
      </w:pPr>
      <w:r>
        <w:rPr>
          <w:rFonts w:ascii="Verdana" w:hAnsi="Verdana" w:cs="Arial"/>
          <w:color w:val="000000" w:themeColor="text1"/>
          <w:lang w:val="es-MX"/>
        </w:rPr>
        <w:t xml:space="preserve">Dichos </w:t>
      </w:r>
      <w:r w:rsidRPr="00FE629E">
        <w:rPr>
          <w:rFonts w:ascii="Verdana" w:hAnsi="Verdana" w:cs="Arial"/>
          <w:color w:val="000000" w:themeColor="text1"/>
          <w:lang w:val="es-MX"/>
        </w:rPr>
        <w:t>aspectos desarrollados por el Decreto 1082 de 2015 deben ser verificados por las entidades estatales, para determinar si los amparos constituidos por sus contratistas en cumplimiento de la obligación derivada del artículo 7 de la Ley 1150 de 2007 se ajustan o no a lo exigido por el reglamento respecto del objeto y valor del contrato.</w:t>
      </w:r>
      <w:r w:rsidRPr="00FE629E">
        <w:rPr>
          <w:rFonts w:ascii="Verdana" w:hAnsi="Verdana" w:cs="Arial"/>
          <w:color w:val="000000" w:themeColor="text1"/>
        </w:rPr>
        <w:t xml:space="preserve"> Lo expuesto resulta de especial relevancia, teniendo en cuenta que el cumplimiento de la obligación de los contratistas de constituir las correspondientes garantías, y el deber de las entidades estatales de aprobarlas, una vez verificados los requisitos mínimos exigidos, son presupuestos para la ejecución del contrato, de conformidad con el artículo 41 de la Ley 80 de 1993</w:t>
      </w:r>
      <w:r w:rsidRPr="00FE629E">
        <w:rPr>
          <w:rFonts w:ascii="Verdana" w:eastAsia="Calibri" w:hAnsi="Verdana" w:cs="Arial"/>
        </w:rPr>
        <w:t xml:space="preserve">. </w:t>
      </w:r>
    </w:p>
    <w:p w14:paraId="658F7B63" w14:textId="77777777" w:rsidR="007B70CB" w:rsidRDefault="007B70CB" w:rsidP="007B70CB">
      <w:pPr>
        <w:spacing w:before="120" w:line="276" w:lineRule="auto"/>
        <w:ind w:firstLine="708"/>
        <w:jc w:val="both"/>
        <w:rPr>
          <w:rFonts w:ascii="Verdana" w:hAnsi="Verdana" w:cs="Arial"/>
          <w:color w:val="000000" w:themeColor="text1"/>
          <w:lang w:eastAsia="es-CO"/>
        </w:rPr>
      </w:pPr>
      <w:r w:rsidRPr="00FE629E">
        <w:rPr>
          <w:rFonts w:ascii="Verdana" w:eastAsia="Calibri" w:hAnsi="Verdana" w:cs="Arial"/>
        </w:rPr>
        <w:t xml:space="preserve">En efecto, </w:t>
      </w:r>
      <w:r w:rsidRPr="00FE629E">
        <w:rPr>
          <w:rFonts w:ascii="Verdana" w:hAnsi="Verdana" w:cs="Arial"/>
          <w:color w:val="000000" w:themeColor="text1"/>
          <w:lang w:val="es-MX"/>
        </w:rPr>
        <w:t>el referido artículo establece en su inciso primero que los contratos estatales se perfeccionan “</w:t>
      </w:r>
      <w:r w:rsidRPr="00FE629E">
        <w:rPr>
          <w:rFonts w:ascii="Verdana" w:hAnsi="Verdana" w:cs="Arial"/>
          <w:color w:val="000000" w:themeColor="text1"/>
          <w:lang w:eastAsia="es-CO"/>
        </w:rPr>
        <w:t>cuando se logre acuerdo sobre el objeto y la contraprestación y éste se eleve a escrito</w:t>
      </w:r>
      <w:r w:rsidRPr="00FE629E">
        <w:rPr>
          <w:rFonts w:ascii="Verdana" w:hAnsi="Verdana" w:cs="Arial"/>
          <w:color w:val="000000" w:themeColor="text1"/>
          <w:lang w:val="es-MX"/>
        </w:rPr>
        <w:t xml:space="preserve">”. Por su parte el inciso segundo </w:t>
      </w:r>
      <w:r w:rsidRPr="00FE629E">
        <w:rPr>
          <w:rFonts w:ascii="Verdana" w:hAnsi="Verdana" w:cs="Arial"/>
          <w:color w:val="000000" w:themeColor="text1"/>
          <w:lang w:val="es-MX"/>
        </w:rPr>
        <w:lastRenderedPageBreak/>
        <w:t>establece que “P</w:t>
      </w:r>
      <w:r w:rsidRPr="00FE629E">
        <w:rPr>
          <w:rFonts w:ascii="Verdana" w:hAnsi="Verdana" w:cs="Arial"/>
          <w:color w:val="000000" w:themeColor="text1"/>
          <w:lang w:eastAsia="es-CO"/>
        </w:rPr>
        <w:t>ara la ejecución se requerirá de la aprobación de la garantía”, lo que se traduce en que, sin perjuicio del perfeccionamiento del contrato, no podrá ejecutarse sin que se hayan aprobado las garantías por parte de la entidad estatal contratante.</w:t>
      </w:r>
    </w:p>
    <w:p w14:paraId="4C7D65FF" w14:textId="77777777" w:rsidR="007B70CB" w:rsidRPr="00FE629E" w:rsidRDefault="007B70CB" w:rsidP="007B70CB">
      <w:pPr>
        <w:spacing w:before="120" w:after="0" w:line="276" w:lineRule="auto"/>
        <w:ind w:firstLine="708"/>
        <w:jc w:val="both"/>
        <w:rPr>
          <w:rFonts w:ascii="Verdana" w:hAnsi="Verdana" w:cs="Arial"/>
          <w:color w:val="000000" w:themeColor="text1"/>
          <w:lang w:val="es-MX"/>
        </w:rPr>
      </w:pPr>
      <w:r w:rsidRPr="00FE629E">
        <w:rPr>
          <w:rFonts w:ascii="Verdana" w:hAnsi="Verdana" w:cs="Arial"/>
          <w:color w:val="000000" w:themeColor="text1"/>
          <w:lang w:eastAsia="es-CO"/>
        </w:rPr>
        <w:t xml:space="preserve">Al interpretar la regulación del precitado artículo, el Consejo de Estado ha diferenciado los requisitos de perfeccionamiento del contrato de los concernientes a la ejecución, al entender que el acuerdo de voluntades elevado a escrito suscrito por las partes perfecciona el contrato estatal, mientras que la aprobación de las garantías es un requisito para su ejecución, el cual no está sometido al libre arbitrio del contratante, en la medida que tal aprobación consiste </w:t>
      </w:r>
      <w:r w:rsidRPr="00FE629E">
        <w:rPr>
          <w:rFonts w:ascii="Verdana" w:hAnsi="Verdana" w:cs="Arial"/>
          <w:color w:val="000000" w:themeColor="text1"/>
          <w:lang w:val="es-MX"/>
        </w:rPr>
        <w:t>en un reconocimiento por parte de la Administración de que el contratista ha cumplido con la obligación de la garantía requerida por la ley y que esta se ajuste a lo pactado en el contrato.  Así lo expresó la Sección Tercera del Consejo de Estado en Sentencia del 28 de junio de 2012:</w:t>
      </w:r>
    </w:p>
    <w:p w14:paraId="01BECA19" w14:textId="77777777" w:rsidR="007B70CB" w:rsidRPr="00FE629E" w:rsidRDefault="007B70CB" w:rsidP="007B70CB">
      <w:pPr>
        <w:spacing w:after="0" w:line="276" w:lineRule="auto"/>
        <w:ind w:firstLine="709"/>
        <w:jc w:val="both"/>
        <w:rPr>
          <w:rFonts w:ascii="Verdana" w:hAnsi="Verdana" w:cs="Arial"/>
          <w:color w:val="000000" w:themeColor="text1"/>
          <w:lang w:eastAsia="es-CO"/>
        </w:rPr>
      </w:pPr>
    </w:p>
    <w:p w14:paraId="0F5BC81F" w14:textId="77777777" w:rsidR="007B70CB" w:rsidRDefault="007B70CB" w:rsidP="007B70CB">
      <w:pPr>
        <w:spacing w:after="0" w:line="240" w:lineRule="auto"/>
        <w:ind w:left="709" w:right="709"/>
        <w:jc w:val="both"/>
        <w:rPr>
          <w:rFonts w:ascii="Verdana" w:hAnsi="Verdana" w:cs="Arial"/>
          <w:color w:val="000000" w:themeColor="text1"/>
          <w:sz w:val="20"/>
          <w:szCs w:val="20"/>
          <w:lang w:val="es-MX"/>
        </w:rPr>
      </w:pPr>
      <w:r w:rsidRPr="000B0619">
        <w:rPr>
          <w:rFonts w:ascii="Verdana" w:hAnsi="Verdana" w:cs="Arial"/>
          <w:color w:val="000000" w:themeColor="text1"/>
          <w:sz w:val="20"/>
          <w:szCs w:val="20"/>
          <w:lang w:val="es-MX"/>
        </w:rPr>
        <w:t xml:space="preserve">“[…] Por virtud de lo dispuesto en la Ley 80 de 1993, el contrato estatal existe cuando el acuerdo sobre el objeto y la contraprestación se eleva a escrito y, es ejecutable, cuando se cumplen las condiciones previstas en el inciso segundo del artículo 41 de la ley, en concordancia con lo dispuesto en el artículo 49 de la Ley 179 de 1994, compilado en el artículo 71 del Estatuto Orgánico de Presupuesto -Decreto ley 111 de 1996-, esto es, cuando además de la aprobación de la garantía, se cuenta con las disponibilidades presupuestales correspondientes, salvo que se trate de contratación con recursos de vigencias futuras, de conformidad con lo previsto en la ley orgánica del presupuesto.  </w:t>
      </w:r>
    </w:p>
    <w:p w14:paraId="4F191917" w14:textId="77777777" w:rsidR="007B70CB" w:rsidRPr="000B0619" w:rsidRDefault="007B70CB" w:rsidP="007B70CB">
      <w:pPr>
        <w:spacing w:after="0" w:line="240" w:lineRule="auto"/>
        <w:ind w:left="709" w:right="709"/>
        <w:jc w:val="both"/>
        <w:rPr>
          <w:rFonts w:ascii="Verdana" w:hAnsi="Verdana" w:cs="Arial"/>
          <w:color w:val="000000" w:themeColor="text1"/>
          <w:sz w:val="20"/>
          <w:szCs w:val="20"/>
          <w:lang w:val="es-MX"/>
        </w:rPr>
      </w:pPr>
    </w:p>
    <w:p w14:paraId="10E4714F" w14:textId="77777777" w:rsidR="007B70CB" w:rsidRPr="000B0619" w:rsidRDefault="007B70CB" w:rsidP="007B70CB">
      <w:pPr>
        <w:spacing w:after="0" w:line="240" w:lineRule="auto"/>
        <w:ind w:left="709" w:right="709"/>
        <w:jc w:val="both"/>
        <w:rPr>
          <w:rFonts w:ascii="Verdana" w:hAnsi="Verdana" w:cs="Arial"/>
          <w:color w:val="000000" w:themeColor="text1"/>
          <w:sz w:val="20"/>
          <w:szCs w:val="20"/>
          <w:lang w:val="es-MX"/>
        </w:rPr>
      </w:pPr>
      <w:r w:rsidRPr="000B0619">
        <w:rPr>
          <w:rFonts w:ascii="Verdana" w:hAnsi="Verdana" w:cs="Arial"/>
          <w:color w:val="000000" w:themeColor="text1"/>
          <w:sz w:val="20"/>
          <w:szCs w:val="20"/>
          <w:lang w:val="es-MX"/>
        </w:rPr>
        <w:t xml:space="preserve">Ello significa que, una vez elevado a escrito, lo cual supone su suscripción por ambas partes, el contrato estatal existe y requiere del registro presupuestal, al igual que de la aprobación de la garantía para su ejecución, condiciones que cumplidas le otorgan eficacia. La aprobación de la póliza entonces, no tiene alcance diferente al reconocimiento de parte de la administración sobre que el contratista cumplió con la obligación de la garantía en orden a la ejecución del contrato y el registro presupuestal comporta que la contratante hizo lo propio. </w:t>
      </w:r>
    </w:p>
    <w:p w14:paraId="26DB9108" w14:textId="77777777" w:rsidR="007B70CB" w:rsidRPr="000B0619" w:rsidRDefault="007B70CB" w:rsidP="007B70CB">
      <w:pPr>
        <w:spacing w:after="0" w:line="240" w:lineRule="auto"/>
        <w:ind w:left="709" w:right="709"/>
        <w:jc w:val="both"/>
        <w:rPr>
          <w:rFonts w:ascii="Verdana" w:hAnsi="Verdana" w:cs="Arial"/>
          <w:color w:val="000000" w:themeColor="text1"/>
          <w:sz w:val="20"/>
          <w:szCs w:val="20"/>
          <w:lang w:val="es-MX"/>
        </w:rPr>
      </w:pPr>
      <w:r w:rsidRPr="000B0619">
        <w:rPr>
          <w:rFonts w:ascii="Verdana" w:hAnsi="Verdana" w:cs="Arial"/>
          <w:color w:val="000000" w:themeColor="text1"/>
          <w:sz w:val="20"/>
          <w:szCs w:val="20"/>
          <w:lang w:val="es-MX"/>
        </w:rPr>
        <w:t xml:space="preserve">En ese orden de ideas, </w:t>
      </w:r>
      <w:r w:rsidRPr="000B0619">
        <w:rPr>
          <w:rFonts w:ascii="Verdana" w:hAnsi="Verdana" w:cs="Arial"/>
          <w:i/>
          <w:color w:val="000000" w:themeColor="text1"/>
          <w:sz w:val="20"/>
          <w:szCs w:val="20"/>
          <w:lang w:val="es-MX"/>
        </w:rPr>
        <w:t xml:space="preserve">si bien la aprobación de la garantía, condicionan la iniciación del contrato, su ejecución, vigencia y plazo, se sujeta a que la póliza cumpla con los requisitos legales y que la administración los avale, sin que le esté dado a la entidad hacer gala de su mera liberalidad para </w:t>
      </w:r>
      <w:r w:rsidRPr="000B0619">
        <w:rPr>
          <w:rFonts w:ascii="Verdana" w:hAnsi="Verdana" w:cs="Arial"/>
          <w:i/>
          <w:color w:val="000000" w:themeColor="text1"/>
          <w:sz w:val="20"/>
          <w:szCs w:val="20"/>
          <w:lang w:val="es-MX"/>
        </w:rPr>
        <w:lastRenderedPageBreak/>
        <w:t>demorar su aprobación o negarla, porque, de no ser ello así, de nada serviría la previsión legal, pues lo sujeto a la potestad unilateral nada condiciona</w:t>
      </w:r>
      <w:r w:rsidRPr="000B0619">
        <w:rPr>
          <w:rFonts w:ascii="Verdana" w:hAnsi="Verdana" w:cs="Arial"/>
          <w:color w:val="000000" w:themeColor="text1"/>
          <w:sz w:val="20"/>
          <w:szCs w:val="20"/>
          <w:lang w:val="es-MX"/>
        </w:rPr>
        <w:t>”</w:t>
      </w:r>
      <w:r w:rsidRPr="000B0619">
        <w:rPr>
          <w:rFonts w:ascii="Verdana" w:hAnsi="Verdana" w:cs="Arial"/>
          <w:color w:val="000000" w:themeColor="text1"/>
          <w:sz w:val="20"/>
          <w:szCs w:val="20"/>
          <w:vertAlign w:val="superscript"/>
          <w:lang w:val="es-MX"/>
        </w:rPr>
        <w:footnoteReference w:id="4"/>
      </w:r>
      <w:r w:rsidRPr="000B0619">
        <w:rPr>
          <w:rFonts w:ascii="Verdana" w:hAnsi="Verdana" w:cs="Arial"/>
          <w:color w:val="000000" w:themeColor="text1"/>
          <w:sz w:val="20"/>
          <w:szCs w:val="20"/>
          <w:lang w:val="es-MX"/>
        </w:rPr>
        <w:t>. (Énfasis fuera de texto)</w:t>
      </w:r>
    </w:p>
    <w:p w14:paraId="5057B5A0" w14:textId="77777777" w:rsidR="007B70CB" w:rsidRPr="00FE629E" w:rsidRDefault="007B70CB" w:rsidP="007B70CB">
      <w:pPr>
        <w:spacing w:after="0" w:line="276" w:lineRule="auto"/>
        <w:ind w:firstLine="708"/>
        <w:jc w:val="both"/>
        <w:rPr>
          <w:rFonts w:ascii="Verdana" w:hAnsi="Verdana" w:cs="Arial"/>
          <w:color w:val="000000" w:themeColor="text1"/>
          <w:lang w:eastAsia="es-CO"/>
        </w:rPr>
      </w:pPr>
    </w:p>
    <w:p w14:paraId="4FDF8D2C" w14:textId="77777777" w:rsidR="007B70CB" w:rsidRPr="00FE629E" w:rsidRDefault="007B70CB" w:rsidP="007B70CB">
      <w:pPr>
        <w:spacing w:line="276" w:lineRule="auto"/>
        <w:ind w:firstLine="709"/>
        <w:jc w:val="both"/>
        <w:rPr>
          <w:rFonts w:ascii="Verdana" w:hAnsi="Verdana" w:cs="Arial"/>
          <w:color w:val="000000" w:themeColor="text1"/>
          <w:lang w:eastAsia="es-CO"/>
        </w:rPr>
      </w:pPr>
      <w:r w:rsidRPr="00FE629E">
        <w:rPr>
          <w:rFonts w:ascii="Verdana" w:hAnsi="Verdana" w:cs="Arial"/>
          <w:color w:val="000000" w:themeColor="text1"/>
          <w:lang w:eastAsia="es-CO"/>
        </w:rPr>
        <w:t xml:space="preserve">De esta manera, para proceder con la ejecución del contrato, el contratista debe cumplir con la obligación de constituir las garantías, para lo cual deberá presentar el respectivo instrumento para la verificación por parte de la entidad estatal, quien procederá a su aprobación siempre que se cumplan con las condiciones pactadas en el contrato. Cabe aclarar que las garantías que debe presentar el contratista para aprobación de la entidad en el marco del artículo 41 de la ley 80 de 1993, corresponden a las garantías contractuales </w:t>
      </w:r>
      <w:r w:rsidRPr="00FE629E">
        <w:rPr>
          <w:rFonts w:ascii="Verdana" w:hAnsi="Verdana" w:cs="Arial"/>
          <w:color w:val="000000" w:themeColor="text1"/>
          <w:lang w:val="es-ES_tradnl" w:eastAsia="es-CO"/>
        </w:rPr>
        <w:t>que cubren los riesgos asociados al contrato celebrado y a las obligaciones posteriores a su ejecución, esto es, la garantía única de cumplimiento –con sus respectivos amparos– y la garantía de responsabilidad civil extracontractual</w:t>
      </w:r>
      <w:r w:rsidRPr="00FE629E">
        <w:rPr>
          <w:rStyle w:val="Refdenotaalpie"/>
          <w:rFonts w:ascii="Verdana" w:hAnsi="Verdana" w:cs="Arial"/>
          <w:color w:val="000000" w:themeColor="text1"/>
          <w:lang w:val="es-ES_tradnl" w:eastAsia="es-CO"/>
        </w:rPr>
        <w:footnoteReference w:id="5"/>
      </w:r>
      <w:r w:rsidRPr="00FE629E">
        <w:rPr>
          <w:rFonts w:ascii="Verdana" w:hAnsi="Verdana" w:cs="Arial"/>
          <w:color w:val="000000" w:themeColor="text1"/>
          <w:lang w:val="es-ES_tradnl" w:eastAsia="es-CO"/>
        </w:rPr>
        <w:t>.</w:t>
      </w:r>
    </w:p>
    <w:p w14:paraId="4E37A6DA" w14:textId="77777777" w:rsidR="007B70CB" w:rsidRPr="00FE629E" w:rsidRDefault="007B70CB" w:rsidP="007B70CB">
      <w:pPr>
        <w:spacing w:before="120" w:line="276" w:lineRule="auto"/>
        <w:ind w:firstLine="709"/>
        <w:jc w:val="both"/>
        <w:rPr>
          <w:rFonts w:ascii="Verdana" w:hAnsi="Verdana" w:cs="Arial"/>
          <w:color w:val="000000" w:themeColor="text1"/>
          <w:lang w:val="es-ES"/>
        </w:rPr>
      </w:pPr>
      <w:r w:rsidRPr="00FE629E">
        <w:rPr>
          <w:rFonts w:ascii="Verdana" w:eastAsia="Calibri" w:hAnsi="Verdana" w:cs="Arial"/>
          <w:color w:val="000000"/>
          <w:lang w:eastAsia="en-GB"/>
        </w:rPr>
        <w:t xml:space="preserve">En este contexto, la obligación de constituir las garantías contractuales y su aprobación tiene como propósito cumplir con el requisito de ejecución del contrato, pues estas se erigen como un </w:t>
      </w:r>
      <w:r w:rsidRPr="00FE629E">
        <w:rPr>
          <w:rFonts w:ascii="Verdana" w:hAnsi="Verdana" w:cs="Arial"/>
          <w:color w:val="000000" w:themeColor="text1"/>
          <w:lang w:val="es-MX"/>
        </w:rPr>
        <w:t>“</w:t>
      </w:r>
      <w:r w:rsidRPr="00FE629E">
        <w:rPr>
          <w:rFonts w:ascii="Verdana" w:eastAsia="Calibri" w:hAnsi="Verdana" w:cs="Arial"/>
          <w:color w:val="000000"/>
          <w:lang w:eastAsia="en-GB"/>
        </w:rPr>
        <w:t>instrumento para salvaguardar intereses de carácter general, garantizar el adecuado cumplimiento del objeto contractual y proteger el patrimonio público de los detrimentos que se puedan causar con ocasión de eventuales incumplimientos en que incurra el contratista”</w:t>
      </w:r>
      <w:r w:rsidRPr="00FE629E">
        <w:rPr>
          <w:rStyle w:val="Refdenotaalpie"/>
          <w:rFonts w:ascii="Verdana" w:eastAsia="Calibri" w:hAnsi="Verdana" w:cs="Arial"/>
          <w:color w:val="000000"/>
          <w:lang w:eastAsia="en-GB"/>
        </w:rPr>
        <w:footnoteReference w:id="6"/>
      </w:r>
      <w:r w:rsidRPr="00FE629E">
        <w:rPr>
          <w:rFonts w:ascii="Verdana" w:hAnsi="Verdana" w:cs="Arial"/>
          <w:color w:val="000000" w:themeColor="text1"/>
          <w:lang w:eastAsia="es-CO"/>
        </w:rPr>
        <w:t>.</w:t>
      </w:r>
      <w:r w:rsidRPr="00FE629E">
        <w:rPr>
          <w:rFonts w:ascii="Verdana" w:hAnsi="Verdana" w:cs="Arial"/>
          <w:color w:val="000000" w:themeColor="text1"/>
          <w:lang w:val="es-MX"/>
        </w:rPr>
        <w:t xml:space="preserve"> En este sentido, previo a l</w:t>
      </w:r>
      <w:r w:rsidRPr="00FE629E">
        <w:rPr>
          <w:rFonts w:ascii="Verdana" w:hAnsi="Verdana" w:cs="Arial"/>
          <w:color w:val="000000" w:themeColor="text1"/>
          <w:lang w:val="es-ES_tradnl"/>
        </w:rPr>
        <w:t>a aprobación de las garantías pactadas en el contrato, la entidad debe realizar la respectiva verificación de los amparos y suficiencia de las garantías exigidas, con la finalidad de</w:t>
      </w:r>
      <w:r w:rsidRPr="00FE629E">
        <w:rPr>
          <w:rFonts w:ascii="Verdana" w:hAnsi="Verdana" w:cs="Arial"/>
          <w:color w:val="000000" w:themeColor="text1"/>
        </w:rPr>
        <w:t xml:space="preserve"> asegurar que estas </w:t>
      </w:r>
      <w:r w:rsidRPr="00FE629E">
        <w:rPr>
          <w:rFonts w:ascii="Verdana" w:hAnsi="Verdana" w:cs="Arial"/>
          <w:color w:val="000000" w:themeColor="text1"/>
          <w:lang w:val="es-ES"/>
        </w:rPr>
        <w:t xml:space="preserve">protejan el patrimonio del Estado de los perjuicios que eventualmente se derivarían de la materialización de los riesgos amparados. </w:t>
      </w:r>
    </w:p>
    <w:p w14:paraId="4808D92E" w14:textId="77777777" w:rsidR="007B70CB" w:rsidRDefault="007B70CB" w:rsidP="007B70CB">
      <w:pPr>
        <w:spacing w:line="276" w:lineRule="auto"/>
        <w:ind w:firstLine="567"/>
        <w:jc w:val="both"/>
        <w:rPr>
          <w:rFonts w:ascii="Verdana" w:hAnsi="Verdana" w:cs="Arial"/>
          <w:color w:val="000000" w:themeColor="text1"/>
          <w:lang w:val="es-ES_tradnl"/>
        </w:rPr>
      </w:pPr>
      <w:r w:rsidRPr="00FE629E">
        <w:rPr>
          <w:rFonts w:ascii="Verdana" w:hAnsi="Verdana" w:cs="Arial"/>
          <w:color w:val="000000" w:themeColor="text1"/>
          <w:lang w:val="es-ES_tradnl"/>
        </w:rPr>
        <w:t xml:space="preserve">Esta labor de verificación por parte de la entidad implica validar el origen de las garantías y revisar </w:t>
      </w:r>
      <w:r w:rsidRPr="00FE629E">
        <w:rPr>
          <w:rFonts w:ascii="Verdana" w:hAnsi="Verdana" w:cs="Arial"/>
          <w:color w:val="000000" w:themeColor="text1"/>
          <w:lang w:val="es-MX"/>
        </w:rPr>
        <w:t>“</w:t>
      </w:r>
      <w:r w:rsidRPr="00FE629E">
        <w:rPr>
          <w:rFonts w:ascii="Verdana" w:eastAsia="Calibri" w:hAnsi="Verdana" w:cs="Arial"/>
        </w:rPr>
        <w:t xml:space="preserve">que los valores asegurados coincidan con los que se </w:t>
      </w:r>
      <w:r w:rsidRPr="00FE629E">
        <w:rPr>
          <w:rFonts w:ascii="Verdana" w:eastAsia="Calibri" w:hAnsi="Verdana" w:cs="Arial"/>
        </w:rPr>
        <w:lastRenderedPageBreak/>
        <w:t>exigieron en el contrato, así como su vigencia; verificar que estén identificados plenamente el tomador y el beneficiario, y que vengan adjuntas las condiciones generales de la póliza. Sólo con la certeza que brinda este análisis, se puede tener la seguridad que no se causarán perjuicios al ente estatal. De tal manera, una vez revisada la póliza, sus anexos (condiciones generales) y su contenido y si está de acuerdo con lo exigido, se impartirá la aprobación correspondiente”</w:t>
      </w:r>
      <w:r w:rsidRPr="00FE629E">
        <w:rPr>
          <w:rStyle w:val="Refdenotaalpie"/>
          <w:rFonts w:ascii="Verdana" w:eastAsia="Calibri" w:hAnsi="Verdana" w:cs="Arial"/>
        </w:rPr>
        <w:footnoteReference w:id="7"/>
      </w:r>
      <w:r w:rsidRPr="00FE629E">
        <w:rPr>
          <w:rFonts w:ascii="Verdana" w:hAnsi="Verdana" w:cs="Arial"/>
          <w:color w:val="000000" w:themeColor="text1"/>
          <w:lang w:val="es-MX"/>
        </w:rPr>
        <w:t>.</w:t>
      </w:r>
      <w:r w:rsidRPr="00FE629E">
        <w:rPr>
          <w:rFonts w:ascii="Verdana" w:hAnsi="Verdana" w:cs="Arial"/>
          <w:color w:val="000000" w:themeColor="text1"/>
          <w:lang w:val="es-ES"/>
        </w:rPr>
        <w:t xml:space="preserve"> </w:t>
      </w:r>
      <w:r w:rsidRPr="00FE629E">
        <w:rPr>
          <w:rFonts w:ascii="Verdana" w:hAnsi="Verdana" w:cs="Arial"/>
          <w:color w:val="000000" w:themeColor="text1"/>
          <w:lang w:val="es-MX"/>
        </w:rPr>
        <w:t xml:space="preserve">De este modo, </w:t>
      </w:r>
      <w:r w:rsidRPr="00FE629E">
        <w:rPr>
          <w:rFonts w:ascii="Verdana" w:hAnsi="Verdana" w:cs="Arial"/>
          <w:color w:val="000000" w:themeColor="text1"/>
          <w:lang w:val="es-ES_tradnl"/>
        </w:rPr>
        <w:t xml:space="preserve">con la aprobación de las garantías la entidad estatal </w:t>
      </w:r>
      <w:r w:rsidRPr="00FE629E">
        <w:rPr>
          <w:rFonts w:ascii="Verdana" w:hAnsi="Verdana" w:cs="Arial"/>
          <w:color w:val="000000" w:themeColor="text1"/>
          <w:lang w:eastAsia="es-CO"/>
        </w:rPr>
        <w:t xml:space="preserve">estará acreditando el cumplimiento de la obligación del artículo 7 de la Ley 1150 de 2007, </w:t>
      </w:r>
      <w:r w:rsidRPr="00FE629E">
        <w:rPr>
          <w:rFonts w:ascii="Verdana" w:hAnsi="Verdana" w:cs="Arial"/>
          <w:color w:val="000000" w:themeColor="text1"/>
          <w:lang w:val="es-ES_tradnl"/>
        </w:rPr>
        <w:t>y entonces el contrato podrá ejecutarse, siempre que se cumplan los demás requisitos establece el artículo 41 de la Ley 80 de 1993</w:t>
      </w:r>
      <w:r>
        <w:rPr>
          <w:rFonts w:ascii="Verdana" w:hAnsi="Verdana" w:cs="Arial"/>
          <w:color w:val="000000" w:themeColor="text1"/>
          <w:lang w:val="es-ES_tradnl"/>
        </w:rPr>
        <w:t>.</w:t>
      </w:r>
    </w:p>
    <w:p w14:paraId="16808757" w14:textId="77777777" w:rsidR="007B70CB" w:rsidRPr="00D92626" w:rsidRDefault="007B70CB" w:rsidP="007B70CB">
      <w:pPr>
        <w:spacing w:line="276" w:lineRule="auto"/>
        <w:jc w:val="both"/>
        <w:rPr>
          <w:rFonts w:ascii="Verdana" w:eastAsia="Calibri" w:hAnsi="Verdana" w:cs="Arial"/>
          <w:lang w:val="es-ES"/>
        </w:rPr>
      </w:pPr>
      <w:proofErr w:type="spellStart"/>
      <w:r>
        <w:rPr>
          <w:rFonts w:ascii="Verdana" w:eastAsia="Calibri" w:hAnsi="Verdana" w:cs="Arial"/>
          <w:color w:val="000000" w:themeColor="text1"/>
        </w:rPr>
        <w:t>ii</w:t>
      </w:r>
      <w:proofErr w:type="spellEnd"/>
      <w:r>
        <w:rPr>
          <w:rFonts w:ascii="Verdana" w:eastAsia="Calibri" w:hAnsi="Verdana" w:cs="Arial"/>
          <w:color w:val="000000" w:themeColor="text1"/>
        </w:rPr>
        <w:t xml:space="preserve">. </w:t>
      </w:r>
      <w:r w:rsidRPr="00D92626">
        <w:rPr>
          <w:rFonts w:ascii="Verdana" w:eastAsia="Calibri" w:hAnsi="Verdana" w:cs="Arial"/>
          <w:color w:val="000000" w:themeColor="text1"/>
        </w:rPr>
        <w:t xml:space="preserve">El SECOP II es una plataforma transaccional, que permite gestionar en línea todos los procedimientos de contratación, </w:t>
      </w:r>
      <w:r w:rsidRPr="00D92626">
        <w:rPr>
          <w:rFonts w:ascii="Verdana" w:eastAsia="Calibri" w:hAnsi="Verdana" w:cs="Arial"/>
          <w:lang w:val="es-ES"/>
        </w:rPr>
        <w:t>con cuentas y usuarios asociados a estas, para las entidades y los proveedores, y vista pública para cualquier interesado en hacer seguimiento a la contratación pública. Desde sus cuentas, las entidades crean, evalúan y adjudican procedimientos de contratación, y gestionan la fase de ejecución del contrato. Los proveedores pueden hacer comentarios a los documentos del procedimiento, presentar ofertas y seguir el procedimiento de selección en línea.</w:t>
      </w:r>
    </w:p>
    <w:p w14:paraId="5BD4CEF9" w14:textId="77777777" w:rsidR="007B70CB" w:rsidRDefault="007B70CB" w:rsidP="007B70CB">
      <w:pPr>
        <w:spacing w:line="276" w:lineRule="auto"/>
        <w:ind w:firstLine="567"/>
        <w:jc w:val="both"/>
        <w:rPr>
          <w:rFonts w:ascii="Verdana" w:hAnsi="Verdana" w:cs="Arial"/>
          <w:color w:val="000000"/>
        </w:rPr>
      </w:pPr>
      <w:r w:rsidRPr="00D92626">
        <w:rPr>
          <w:rFonts w:ascii="Verdana" w:eastAsia="Calibri" w:hAnsi="Verdana" w:cs="Arial"/>
          <w:lang w:val="es-ES"/>
        </w:rPr>
        <w:t>En este sentido, en el SECOP II el procedimiento contractual se desarrolla en línea y dentro de la plataforma, conformándose un expediente electrónico, lo cual denota una diferencia con el SECOP I, donde el procedimiento es físico, esto es, con documentos escritos que se publican para cumplir las obligaciones de las entidades antes señaladas. Al existir esa diferencia entre las dos versiones del SECOP, no es posible realizar en SECOP II actuaciones por escrito que son propias del SECOP I, sino que los documentos y actuaciones son electrónicas.</w:t>
      </w:r>
      <w:r w:rsidRPr="00E31876">
        <w:rPr>
          <w:rFonts w:ascii="Verdana" w:hAnsi="Verdana" w:cs="Arial"/>
          <w:color w:val="000000"/>
        </w:rPr>
        <w:t xml:space="preserve"> </w:t>
      </w:r>
      <w:r w:rsidRPr="00C472F8">
        <w:rPr>
          <w:rFonts w:ascii="Verdana" w:hAnsi="Verdana" w:cs="Arial"/>
          <w:color w:val="000000"/>
        </w:rPr>
        <w:t>Es decir, el SECOP</w:t>
      </w:r>
      <w:r>
        <w:rPr>
          <w:rFonts w:ascii="Verdana" w:hAnsi="Verdana" w:cs="Arial"/>
          <w:color w:val="000000"/>
        </w:rPr>
        <w:t xml:space="preserve"> II</w:t>
      </w:r>
      <w:r w:rsidRPr="00C472F8">
        <w:rPr>
          <w:rFonts w:ascii="Verdana" w:hAnsi="Verdana" w:cs="Arial"/>
          <w:color w:val="000000"/>
        </w:rPr>
        <w:t xml:space="preserve"> se convierte en un instrumento para aplicar las etapas, formalidades que se presentan en el marco de las etapas del proceso de contratación. </w:t>
      </w:r>
    </w:p>
    <w:p w14:paraId="0E151368" w14:textId="77777777" w:rsidR="007B70CB" w:rsidRPr="00EB074D" w:rsidRDefault="007B70CB" w:rsidP="007B70CB">
      <w:pPr>
        <w:spacing w:line="276" w:lineRule="auto"/>
        <w:ind w:firstLine="567"/>
        <w:jc w:val="both"/>
        <w:rPr>
          <w:rFonts w:ascii="Verdana" w:hAnsi="Verdana" w:cs="Arial"/>
          <w:color w:val="000000"/>
        </w:rPr>
      </w:pPr>
      <w:r w:rsidRPr="00C472F8">
        <w:rPr>
          <w:rFonts w:ascii="Verdana" w:hAnsi="Verdana" w:cs="Arial"/>
          <w:color w:val="000000"/>
        </w:rPr>
        <w:t>E</w:t>
      </w:r>
      <w:r>
        <w:rPr>
          <w:rFonts w:ascii="Verdana" w:hAnsi="Verdana" w:cs="Arial"/>
          <w:color w:val="000000"/>
        </w:rPr>
        <w:t>n esta línea, el artículo 53 de la Ley 1437 de 2011 –en adelante</w:t>
      </w:r>
      <w:r w:rsidRPr="00C472F8">
        <w:rPr>
          <w:rFonts w:ascii="Verdana" w:hAnsi="Verdana" w:cs="Arial"/>
          <w:color w:val="000000"/>
        </w:rPr>
        <w:t xml:space="preserve"> CPACA</w:t>
      </w:r>
      <w:r>
        <w:rPr>
          <w:rFonts w:ascii="Verdana" w:hAnsi="Verdana" w:cs="Arial"/>
          <w:color w:val="000000"/>
        </w:rPr>
        <w:t>-</w:t>
      </w:r>
      <w:r w:rsidRPr="00C472F8">
        <w:rPr>
          <w:rFonts w:ascii="Verdana" w:hAnsi="Verdana" w:cs="Arial"/>
          <w:color w:val="000000"/>
        </w:rPr>
        <w:t xml:space="preserve"> dispone que los procedimientos y trámites administrativos pueden realizarse por </w:t>
      </w:r>
      <w:r w:rsidRPr="00C472F8">
        <w:rPr>
          <w:rFonts w:ascii="Verdana" w:hAnsi="Verdana" w:cs="Arial"/>
          <w:color w:val="000000"/>
        </w:rPr>
        <w:lastRenderedPageBreak/>
        <w:t>medios electrónicos, que se aplicarán de acuerdo con su compatibilidad con la Ley 527 de 1999.</w:t>
      </w:r>
      <w:r>
        <w:rPr>
          <w:rFonts w:ascii="Verdana" w:hAnsi="Verdana" w:cs="Arial"/>
          <w:color w:val="000000"/>
        </w:rPr>
        <w:t xml:space="preserve"> </w:t>
      </w:r>
      <w:r w:rsidRPr="00E31876">
        <w:rPr>
          <w:rFonts w:ascii="Verdana" w:hAnsi="Verdana" w:cs="Arial"/>
          <w:color w:val="000000"/>
        </w:rPr>
        <w:t>A partir de lo anterior, el CPACA establece reglas básicas para el uso de los medios electrónicos en los procedimientos administrativos, en las que se destaca: i) los documentos públicos en medios electrónicos que tienen la validez y fuerza probatoria que le confiere el Código General del Proceso –artículo 55–</w:t>
      </w:r>
      <w:r w:rsidRPr="00E31876">
        <w:rPr>
          <w:rFonts w:ascii="Verdana" w:hAnsi="Verdana" w:cs="Arial"/>
          <w:color w:val="000000"/>
          <w:vertAlign w:val="superscript"/>
        </w:rPr>
        <w:footnoteReference w:id="8"/>
      </w:r>
      <w:r w:rsidRPr="00E31876">
        <w:rPr>
          <w:rFonts w:ascii="Verdana" w:hAnsi="Verdana" w:cs="Arial"/>
          <w:color w:val="000000"/>
        </w:rPr>
        <w:t xml:space="preserve">; </w:t>
      </w:r>
      <w:proofErr w:type="spellStart"/>
      <w:r w:rsidRPr="00E31876">
        <w:rPr>
          <w:rFonts w:ascii="Verdana" w:hAnsi="Verdana" w:cs="Arial"/>
          <w:color w:val="000000"/>
        </w:rPr>
        <w:t>ii</w:t>
      </w:r>
      <w:proofErr w:type="spellEnd"/>
      <w:r w:rsidRPr="00E31876">
        <w:rPr>
          <w:rFonts w:ascii="Verdana" w:hAnsi="Verdana" w:cs="Arial"/>
          <w:color w:val="000000"/>
        </w:rPr>
        <w:t>) la expedición de actos administrativos electrónicos –artículo 57–</w:t>
      </w:r>
      <w:r w:rsidRPr="00E31876">
        <w:rPr>
          <w:rFonts w:ascii="Verdana" w:hAnsi="Verdana" w:cs="Arial"/>
          <w:color w:val="000000"/>
          <w:vertAlign w:val="superscript"/>
        </w:rPr>
        <w:footnoteReference w:id="9"/>
      </w:r>
      <w:r w:rsidRPr="00E31876">
        <w:rPr>
          <w:rFonts w:ascii="Verdana" w:hAnsi="Verdana" w:cs="Arial"/>
          <w:color w:val="000000"/>
        </w:rPr>
        <w:t xml:space="preserve">; </w:t>
      </w:r>
      <w:proofErr w:type="spellStart"/>
      <w:r w:rsidRPr="00E31876">
        <w:rPr>
          <w:rFonts w:ascii="Verdana" w:hAnsi="Verdana" w:cs="Arial"/>
          <w:color w:val="000000"/>
        </w:rPr>
        <w:t>iii</w:t>
      </w:r>
      <w:proofErr w:type="spellEnd"/>
      <w:r w:rsidRPr="00E31876">
        <w:rPr>
          <w:rFonts w:ascii="Verdana" w:hAnsi="Verdana" w:cs="Arial"/>
          <w:color w:val="000000"/>
        </w:rPr>
        <w:t>) el archivo electrónico de documentos –artículo 58–</w:t>
      </w:r>
      <w:r w:rsidRPr="00E31876">
        <w:rPr>
          <w:rFonts w:ascii="Verdana" w:hAnsi="Verdana" w:cs="Arial"/>
          <w:color w:val="000000"/>
          <w:vertAlign w:val="superscript"/>
        </w:rPr>
        <w:footnoteReference w:id="10"/>
      </w:r>
      <w:r w:rsidRPr="00E31876">
        <w:rPr>
          <w:rFonts w:ascii="Verdana" w:hAnsi="Verdana" w:cs="Arial"/>
          <w:color w:val="000000"/>
        </w:rPr>
        <w:t xml:space="preserve">; </w:t>
      </w:r>
      <w:proofErr w:type="spellStart"/>
      <w:r w:rsidRPr="00E31876">
        <w:rPr>
          <w:rFonts w:ascii="Verdana" w:hAnsi="Verdana" w:cs="Arial"/>
          <w:color w:val="000000"/>
        </w:rPr>
        <w:t>iv</w:t>
      </w:r>
      <w:proofErr w:type="spellEnd"/>
      <w:r w:rsidRPr="00E31876">
        <w:rPr>
          <w:rFonts w:ascii="Verdana" w:hAnsi="Verdana" w:cs="Arial"/>
          <w:color w:val="000000"/>
        </w:rPr>
        <w:t>) la recepción de documentos electrónicos por parte de las autoridades –artículo 61</w:t>
      </w:r>
      <w:r w:rsidRPr="00E31876">
        <w:rPr>
          <w:rFonts w:ascii="Verdana" w:hAnsi="Verdana" w:cs="Arial"/>
          <w:color w:val="000000"/>
          <w:vertAlign w:val="superscript"/>
        </w:rPr>
        <w:footnoteReference w:id="11"/>
      </w:r>
      <w:r w:rsidRPr="00E31876">
        <w:rPr>
          <w:rFonts w:ascii="Verdana" w:hAnsi="Verdana" w:cs="Arial"/>
          <w:color w:val="000000"/>
        </w:rPr>
        <w:t xml:space="preserve">, entre otros. </w:t>
      </w:r>
    </w:p>
    <w:p w14:paraId="5996344D" w14:textId="77777777" w:rsidR="007B70CB" w:rsidRPr="00D92626" w:rsidRDefault="007B70CB" w:rsidP="007B70CB">
      <w:pPr>
        <w:spacing w:line="276" w:lineRule="auto"/>
        <w:ind w:firstLine="567"/>
        <w:jc w:val="both"/>
        <w:rPr>
          <w:rFonts w:ascii="Verdana" w:eastAsia="Calibri" w:hAnsi="Verdana" w:cs="Arial"/>
          <w:lang w:val="es-ES"/>
        </w:rPr>
      </w:pPr>
      <w:r w:rsidRPr="00D92626">
        <w:rPr>
          <w:rFonts w:ascii="Verdana" w:eastAsia="Calibri" w:hAnsi="Verdana" w:cs="Arial"/>
          <w:lang w:val="es-ES"/>
        </w:rPr>
        <w:t xml:space="preserve">Debido a que la plataforma es totalmente transaccional, el trámite se realiza en línea y la publicidad de las actuaciones es concomitante, según transcurran cada una de las etapas del procedimiento, lo que descarta la necesidad de cargar documentación alguna, salvo algunas excepciones. Además, de acuerdo con lo prescrito en el artículo 14 de la Ley 527 de 1999, en la formación del contrato, salvo acuerdo expreso entre las partes, la oferta y su aceptación podrán expresarse por medio de un mensaje de datos, lo que implica que </w:t>
      </w:r>
      <w:r>
        <w:rPr>
          <w:rFonts w:ascii="Verdana" w:eastAsia="Calibri" w:hAnsi="Verdana" w:cs="Arial"/>
          <w:lang w:val="es-ES"/>
        </w:rPr>
        <w:t>n</w:t>
      </w:r>
      <w:r w:rsidRPr="00D92626">
        <w:rPr>
          <w:rFonts w:ascii="Verdana" w:eastAsia="Calibri" w:hAnsi="Verdana" w:cs="Arial"/>
          <w:lang w:val="es-ES"/>
        </w:rPr>
        <w:t xml:space="preserve">o se negará validez o fuerza obligatoria a un contrato por la sola razón de haberse utilizado en su formación uno o más mensajes de datos. Igualmente, el </w:t>
      </w:r>
      <w:r w:rsidRPr="00D92626">
        <w:rPr>
          <w:rFonts w:ascii="Verdana" w:eastAsia="Calibri" w:hAnsi="Verdana" w:cs="Arial"/>
          <w:lang w:val="es-ES"/>
        </w:rPr>
        <w:lastRenderedPageBreak/>
        <w:t xml:space="preserve">artículo 22 </w:t>
      </w:r>
      <w:proofErr w:type="spellStart"/>
      <w:r w:rsidRPr="00A07319">
        <w:rPr>
          <w:rFonts w:ascii="Verdana" w:eastAsia="Calibri" w:hAnsi="Verdana" w:cs="Arial"/>
          <w:i/>
          <w:iCs/>
          <w:lang w:val="es-ES"/>
        </w:rPr>
        <w:t>ibídem</w:t>
      </w:r>
      <w:proofErr w:type="spellEnd"/>
      <w:r w:rsidRPr="00D92626">
        <w:rPr>
          <w:rFonts w:ascii="Verdana" w:eastAsia="Calibri" w:hAnsi="Verdana" w:cs="Arial"/>
          <w:lang w:val="es-ES"/>
        </w:rPr>
        <w:t xml:space="preserve"> dispone que los contratos electrónicos compuestos por mensajes de datos tienen los efectos jurídicos según las normas aplicables al negocio jurídico contenido en dichos mensajes, esto es, las normas que regulan el sistema de contratación pública. </w:t>
      </w:r>
    </w:p>
    <w:p w14:paraId="72615EA9" w14:textId="77777777" w:rsidR="007B70CB" w:rsidRDefault="007B70CB" w:rsidP="007B70CB">
      <w:pPr>
        <w:spacing w:line="276" w:lineRule="auto"/>
        <w:ind w:firstLine="567"/>
        <w:jc w:val="both"/>
        <w:rPr>
          <w:rFonts w:ascii="Verdana" w:eastAsia="Calibri" w:hAnsi="Verdana" w:cs="Arial"/>
          <w:lang w:val="es-ES"/>
        </w:rPr>
      </w:pPr>
      <w:r w:rsidRPr="00D92626">
        <w:rPr>
          <w:rFonts w:ascii="Verdana" w:eastAsia="Calibri" w:hAnsi="Verdana" w:cs="Arial"/>
          <w:lang w:val="es-ES"/>
        </w:rPr>
        <w:t>En</w:t>
      </w:r>
      <w:r>
        <w:rPr>
          <w:rFonts w:ascii="Verdana" w:eastAsia="Calibri" w:hAnsi="Verdana" w:cs="Arial"/>
          <w:lang w:val="es-ES"/>
        </w:rPr>
        <w:t xml:space="preserve"> esta línea</w:t>
      </w:r>
      <w:r w:rsidRPr="00D92626">
        <w:rPr>
          <w:rFonts w:ascii="Verdana" w:eastAsia="Calibri" w:hAnsi="Verdana" w:cs="Arial"/>
          <w:lang w:val="es-ES"/>
        </w:rPr>
        <w:t xml:space="preserve">, la implementación del SECOP II como plataforma transaccional para la actividad contractual del Estado, permite que los contratos que se publiquen sean firmados electrónicamente. De este modo, el proceso mediante el cual se efectúa la </w:t>
      </w:r>
      <w:r>
        <w:rPr>
          <w:rFonts w:ascii="Verdana" w:eastAsia="Calibri" w:hAnsi="Verdana" w:cs="Arial"/>
          <w:lang w:val="es-ES"/>
        </w:rPr>
        <w:t>modificación del contrato</w:t>
      </w:r>
      <w:r w:rsidRPr="00D92626">
        <w:rPr>
          <w:rFonts w:ascii="Verdana" w:eastAsia="Calibri" w:hAnsi="Verdana" w:cs="Arial"/>
          <w:lang w:val="es-ES"/>
        </w:rPr>
        <w:t xml:space="preserve"> y su consecuente aprobación o rechazo es realizado a través del SECOP II</w:t>
      </w:r>
      <w:r>
        <w:rPr>
          <w:rFonts w:ascii="Verdana" w:eastAsia="Calibri" w:hAnsi="Verdana" w:cs="Arial"/>
          <w:lang w:val="es-ES"/>
        </w:rPr>
        <w:t>, así como las demás actuaciones, como la aprobación de garantías, puesta en ejecución del contrato, terminación, liquidación y cierre del expediente</w:t>
      </w:r>
      <w:r w:rsidRPr="00D92626">
        <w:rPr>
          <w:rFonts w:ascii="Verdana" w:eastAsia="Calibri" w:hAnsi="Verdana" w:cs="Arial"/>
          <w:lang w:val="es-ES"/>
        </w:rPr>
        <w:t xml:space="preserve">. </w:t>
      </w:r>
      <w:r>
        <w:rPr>
          <w:rFonts w:ascii="Verdana" w:eastAsia="Calibri" w:hAnsi="Verdana" w:cs="Arial"/>
          <w:lang w:val="es-ES"/>
        </w:rPr>
        <w:t xml:space="preserve">Es decir, mediante el SECOP II podemos evidenciar en qué estado se encuentra el contrato: </w:t>
      </w:r>
      <w:r>
        <w:rPr>
          <w:rFonts w:ascii="Verdana" w:eastAsia="Calibri" w:hAnsi="Verdana" w:cs="Arial"/>
        </w:rPr>
        <w:t>en edición, pendiente de aprobación, en revisión del Proveedor, firmado, e</w:t>
      </w:r>
      <w:r w:rsidRPr="00536347">
        <w:rPr>
          <w:rFonts w:ascii="Verdana" w:eastAsia="Calibri" w:hAnsi="Verdana" w:cs="Arial"/>
        </w:rPr>
        <w:t>n eje</w:t>
      </w:r>
      <w:r>
        <w:rPr>
          <w:rFonts w:ascii="Verdana" w:eastAsia="Calibri" w:hAnsi="Verdana" w:cs="Arial"/>
        </w:rPr>
        <w:t>cución, te</w:t>
      </w:r>
      <w:r w:rsidRPr="00536347">
        <w:rPr>
          <w:rFonts w:ascii="Verdana" w:eastAsia="Calibri" w:hAnsi="Verdana" w:cs="Arial"/>
        </w:rPr>
        <w:t>rminado,</w:t>
      </w:r>
      <w:r>
        <w:rPr>
          <w:rFonts w:ascii="Verdana" w:eastAsia="Calibri" w:hAnsi="Verdana" w:cs="Arial"/>
          <w:lang w:val="es-ES"/>
        </w:rPr>
        <w:t xml:space="preserve"> cerrado, entre otros. </w:t>
      </w:r>
    </w:p>
    <w:p w14:paraId="1C7980CB" w14:textId="0B037EF9" w:rsidR="007B70CB" w:rsidRDefault="007B70CB" w:rsidP="007B70CB">
      <w:pPr>
        <w:spacing w:after="0" w:line="276" w:lineRule="auto"/>
        <w:ind w:firstLine="567"/>
        <w:jc w:val="both"/>
        <w:rPr>
          <w:rFonts w:ascii="Verdana" w:eastAsia="Calibri" w:hAnsi="Verdana" w:cs="Arial"/>
          <w:color w:val="000000" w:themeColor="text1"/>
          <w:lang w:val="es-ES"/>
        </w:rPr>
      </w:pPr>
      <w:r>
        <w:rPr>
          <w:rFonts w:ascii="Verdana" w:eastAsia="Calibri" w:hAnsi="Verdana" w:cs="Arial"/>
          <w:lang w:val="es-ES"/>
        </w:rPr>
        <w:t xml:space="preserve">Ahora bien, se advierte que </w:t>
      </w:r>
      <w:r w:rsidRPr="14DBD07D">
        <w:rPr>
          <w:rFonts w:ascii="Verdana" w:eastAsia="Calibri" w:hAnsi="Verdana" w:cs="Arial"/>
          <w:color w:val="000000" w:themeColor="text1"/>
          <w:lang w:val="es-ES"/>
        </w:rPr>
        <w:t xml:space="preserve">la aprobación de las garantías se realiza integralmente en la plataforma. Es decir, contrario a lo planteado en la solicitud, no es posible cargar un oficio o un PDF que </w:t>
      </w:r>
      <w:proofErr w:type="spellStart"/>
      <w:r w:rsidRPr="14DBD07D">
        <w:rPr>
          <w:rFonts w:ascii="Verdana" w:eastAsia="Calibri" w:hAnsi="Verdana" w:cs="Arial"/>
          <w:color w:val="000000" w:themeColor="text1"/>
          <w:lang w:val="es-ES"/>
        </w:rPr>
        <w:t>d</w:t>
      </w:r>
      <w:r>
        <w:rPr>
          <w:rFonts w:ascii="Verdana" w:eastAsia="Calibri" w:hAnsi="Verdana" w:cs="Arial"/>
          <w:color w:val="000000" w:themeColor="text1"/>
          <w:lang w:val="es-ES"/>
        </w:rPr>
        <w:t>e</w:t>
      </w:r>
      <w:proofErr w:type="spellEnd"/>
      <w:r w:rsidRPr="14DBD07D">
        <w:rPr>
          <w:rFonts w:ascii="Verdana" w:eastAsia="Calibri" w:hAnsi="Verdana" w:cs="Arial"/>
          <w:color w:val="000000" w:themeColor="text1"/>
          <w:lang w:val="es-ES"/>
        </w:rPr>
        <w:t xml:space="preserve"> cuenta del cumplimiento de este requisito. Para estos efectos, la “Guía SECOP II – Gestión Contractual para Entidades Estatales” explica que:</w:t>
      </w:r>
    </w:p>
    <w:p w14:paraId="7C4EA7E9" w14:textId="77777777" w:rsidR="007B70CB" w:rsidRDefault="007B70CB" w:rsidP="007B70CB">
      <w:pPr>
        <w:spacing w:after="0" w:line="276" w:lineRule="auto"/>
        <w:ind w:firstLine="567"/>
        <w:jc w:val="both"/>
        <w:rPr>
          <w:rFonts w:ascii="Verdana" w:eastAsia="Calibri" w:hAnsi="Verdana" w:cs="Arial"/>
          <w:bCs/>
          <w:color w:val="000000" w:themeColor="text1"/>
          <w:lang w:val="es-ES_tradnl"/>
        </w:rPr>
      </w:pPr>
    </w:p>
    <w:p w14:paraId="708C9060" w14:textId="77777777" w:rsidR="007B70CB" w:rsidRPr="00E8141B" w:rsidRDefault="007B70CB" w:rsidP="007B70CB">
      <w:pPr>
        <w:spacing w:after="120" w:line="240" w:lineRule="auto"/>
        <w:ind w:left="709" w:right="709"/>
        <w:jc w:val="both"/>
        <w:rPr>
          <w:rFonts w:ascii="Verdana" w:eastAsia="Calibri" w:hAnsi="Verdana" w:cs="Arial"/>
          <w:bCs/>
          <w:color w:val="000000" w:themeColor="text1"/>
          <w:sz w:val="20"/>
          <w:szCs w:val="20"/>
          <w:lang w:val="es-ES_tradnl"/>
        </w:rPr>
      </w:pPr>
      <w:r w:rsidRPr="00E8141B">
        <w:rPr>
          <w:rFonts w:ascii="Verdana" w:eastAsia="Calibri" w:hAnsi="Verdana" w:cs="Arial"/>
          <w:bCs/>
          <w:color w:val="000000" w:themeColor="text1"/>
          <w:sz w:val="20"/>
          <w:szCs w:val="20"/>
          <w:lang w:val="es-ES_tradnl"/>
        </w:rPr>
        <w:t>“El SECOP II habilitará una ventana emergente con los datos de la garantía y el documento anexo. Tenga en cuenta que, la información relacionada por el Proveedor en la plataforma deberá ser igual a la contenida en el documento.</w:t>
      </w:r>
    </w:p>
    <w:p w14:paraId="5B8BA0F1" w14:textId="77777777" w:rsidR="007B70CB" w:rsidRPr="00E8141B" w:rsidRDefault="007B70CB" w:rsidP="007B70CB">
      <w:pPr>
        <w:spacing w:after="120" w:line="240" w:lineRule="auto"/>
        <w:ind w:left="709" w:right="709"/>
        <w:jc w:val="both"/>
        <w:rPr>
          <w:rFonts w:ascii="Verdana" w:eastAsia="Calibri" w:hAnsi="Verdana" w:cs="Arial"/>
          <w:bCs/>
          <w:color w:val="000000" w:themeColor="text1"/>
          <w:sz w:val="20"/>
          <w:szCs w:val="20"/>
          <w:lang w:val="es-ES_tradnl"/>
        </w:rPr>
      </w:pPr>
      <w:r w:rsidRPr="00E8141B">
        <w:rPr>
          <w:rFonts w:ascii="Verdana" w:eastAsia="Calibri" w:hAnsi="Verdana" w:cs="Arial"/>
          <w:bCs/>
          <w:color w:val="000000" w:themeColor="text1"/>
          <w:sz w:val="20"/>
          <w:szCs w:val="20"/>
          <w:lang w:val="es-ES_tradnl"/>
        </w:rPr>
        <w:t>Para aprobar o rechazar la garantía enviada por el Proveedor haga clic en ‘Enviar para aprobación’ si el Usuario Administrador configuró Flujos de Aprobación para la validación de garantías. En caso contrario haga clic en ‘Confirmar’.</w:t>
      </w:r>
    </w:p>
    <w:p w14:paraId="16AA3750" w14:textId="77777777" w:rsidR="007B70CB" w:rsidRPr="00E8141B" w:rsidRDefault="007B70CB" w:rsidP="007B70CB">
      <w:pPr>
        <w:spacing w:after="120" w:line="240" w:lineRule="auto"/>
        <w:ind w:left="709" w:right="709"/>
        <w:jc w:val="center"/>
        <w:rPr>
          <w:rFonts w:ascii="Verdana" w:eastAsia="Calibri" w:hAnsi="Verdana" w:cs="Arial"/>
          <w:bCs/>
          <w:color w:val="000000" w:themeColor="text1"/>
          <w:sz w:val="20"/>
          <w:szCs w:val="20"/>
          <w:lang w:val="es-ES_tradnl"/>
        </w:rPr>
      </w:pPr>
      <w:r w:rsidRPr="00E8141B">
        <w:rPr>
          <w:rFonts w:ascii="Verdana" w:eastAsia="Calibri" w:hAnsi="Verdana" w:cs="Arial"/>
          <w:bCs/>
          <w:noProof/>
          <w:color w:val="000000" w:themeColor="text1"/>
          <w:sz w:val="20"/>
          <w:szCs w:val="20"/>
          <w:lang w:val="es-ES_tradnl"/>
        </w:rPr>
        <w:lastRenderedPageBreak/>
        <w:drawing>
          <wp:inline distT="0" distB="0" distL="0" distR="0" wp14:anchorId="376CEB78" wp14:editId="689231F5">
            <wp:extent cx="4216164" cy="3197664"/>
            <wp:effectExtent l="0" t="0" r="635" b="3175"/>
            <wp:docPr id="943708760" name="Imagen 1"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708760" name="Imagen 1" descr="Imagen que contiene Interfaz de usuario gráfica&#10;&#10;El contenido generado por IA puede ser incorrecto."/>
                    <pic:cNvPicPr/>
                  </pic:nvPicPr>
                  <pic:blipFill>
                    <a:blip r:embed="rId13"/>
                    <a:stretch>
                      <a:fillRect/>
                    </a:stretch>
                  </pic:blipFill>
                  <pic:spPr>
                    <a:xfrm>
                      <a:off x="0" y="0"/>
                      <a:ext cx="4476784" cy="3395326"/>
                    </a:xfrm>
                    <a:prstGeom prst="rect">
                      <a:avLst/>
                    </a:prstGeom>
                  </pic:spPr>
                </pic:pic>
              </a:graphicData>
            </a:graphic>
          </wp:inline>
        </w:drawing>
      </w:r>
    </w:p>
    <w:p w14:paraId="1B18B1E9" w14:textId="77777777" w:rsidR="007B70CB" w:rsidRPr="00E8141B" w:rsidRDefault="007B70CB" w:rsidP="007B70CB">
      <w:pPr>
        <w:spacing w:after="120" w:line="240" w:lineRule="auto"/>
        <w:ind w:left="709" w:right="709"/>
        <w:jc w:val="both"/>
        <w:rPr>
          <w:rFonts w:ascii="Verdana" w:eastAsia="Calibri" w:hAnsi="Verdana" w:cs="Arial"/>
          <w:bCs/>
          <w:color w:val="000000" w:themeColor="text1"/>
          <w:sz w:val="20"/>
          <w:szCs w:val="20"/>
          <w:lang w:val="es-ES_tradnl"/>
        </w:rPr>
      </w:pPr>
      <w:r w:rsidRPr="00E8141B">
        <w:rPr>
          <w:rFonts w:ascii="Verdana" w:eastAsia="Calibri" w:hAnsi="Verdana" w:cs="Arial"/>
          <w:bCs/>
          <w:color w:val="000000" w:themeColor="text1"/>
          <w:sz w:val="20"/>
          <w:szCs w:val="20"/>
          <w:lang w:val="es-ES_tradnl"/>
        </w:rPr>
        <w:t>Si el Usuario Administrador configuró Flujos de Aprobación para la validación de las garantías deberá confirmar el o los usuarios que deben realizar la aprobación y deberá esperar a que el o los usuarios realicen la respectiva aprobación. Si requiere rechazar la garantía la plataforma le permitirá incluir una justificación en el recuadro del lado derecho de la pantalla en la opción de ‘Comentarios’. En</w:t>
      </w:r>
    </w:p>
    <w:p w14:paraId="1D6DF3D0" w14:textId="77777777" w:rsidR="007B70CB" w:rsidRPr="00E8141B" w:rsidRDefault="007B70CB" w:rsidP="007B70CB">
      <w:pPr>
        <w:spacing w:after="120" w:line="240" w:lineRule="auto"/>
        <w:ind w:left="709" w:right="709"/>
        <w:jc w:val="both"/>
        <w:rPr>
          <w:rFonts w:ascii="Verdana" w:eastAsia="Calibri" w:hAnsi="Verdana" w:cs="Arial"/>
          <w:color w:val="000000" w:themeColor="text1"/>
          <w:sz w:val="20"/>
          <w:szCs w:val="20"/>
          <w:lang w:val="es-ES"/>
        </w:rPr>
      </w:pPr>
      <w:r w:rsidRPr="00E8141B">
        <w:rPr>
          <w:rFonts w:ascii="Verdana" w:eastAsia="Calibri" w:hAnsi="Verdana" w:cs="Arial"/>
          <w:color w:val="000000" w:themeColor="text1"/>
          <w:sz w:val="20"/>
          <w:szCs w:val="20"/>
          <w:lang w:val="es-ES"/>
        </w:rPr>
        <w:t>caso contrario el SECOP II habilitará de forma automática la opción de ‘Aprobar’ o ‘Rechazar’.</w:t>
      </w:r>
    </w:p>
    <w:p w14:paraId="1E2F46EF" w14:textId="77777777" w:rsidR="007B70CB" w:rsidRPr="00E8141B" w:rsidRDefault="007B70CB" w:rsidP="007B70CB">
      <w:pPr>
        <w:spacing w:after="120" w:line="240" w:lineRule="auto"/>
        <w:ind w:left="709" w:right="709"/>
        <w:jc w:val="center"/>
        <w:rPr>
          <w:rFonts w:ascii="Verdana" w:eastAsia="Calibri" w:hAnsi="Verdana" w:cs="Arial"/>
          <w:bCs/>
          <w:color w:val="000000" w:themeColor="text1"/>
          <w:sz w:val="20"/>
          <w:szCs w:val="20"/>
          <w:lang w:val="es-ES_tradnl"/>
        </w:rPr>
      </w:pPr>
      <w:r w:rsidRPr="00E8141B">
        <w:rPr>
          <w:rFonts w:ascii="Verdana" w:eastAsia="Calibri" w:hAnsi="Verdana" w:cs="Arial"/>
          <w:bCs/>
          <w:noProof/>
          <w:color w:val="000000" w:themeColor="text1"/>
          <w:sz w:val="20"/>
          <w:szCs w:val="20"/>
          <w:lang w:val="es-ES_tradnl"/>
        </w:rPr>
        <w:lastRenderedPageBreak/>
        <w:drawing>
          <wp:inline distT="0" distB="0" distL="0" distR="0" wp14:anchorId="4B937C43" wp14:editId="741304A2">
            <wp:extent cx="4180269" cy="3193143"/>
            <wp:effectExtent l="0" t="0" r="0" b="0"/>
            <wp:docPr id="779133771"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133771" name="Imagen 1" descr="Interfaz de usuario gráfica, Texto, Aplicación&#10;&#10;El contenido generado por IA puede ser incorrecto."/>
                    <pic:cNvPicPr/>
                  </pic:nvPicPr>
                  <pic:blipFill>
                    <a:blip r:embed="rId14"/>
                    <a:stretch>
                      <a:fillRect/>
                    </a:stretch>
                  </pic:blipFill>
                  <pic:spPr>
                    <a:xfrm>
                      <a:off x="0" y="0"/>
                      <a:ext cx="4266771" cy="3259219"/>
                    </a:xfrm>
                    <a:prstGeom prst="rect">
                      <a:avLst/>
                    </a:prstGeom>
                  </pic:spPr>
                </pic:pic>
              </a:graphicData>
            </a:graphic>
          </wp:inline>
        </w:drawing>
      </w:r>
    </w:p>
    <w:p w14:paraId="16C10689" w14:textId="77777777" w:rsidR="007B70CB" w:rsidRPr="00E8141B" w:rsidRDefault="007B70CB" w:rsidP="007B70CB">
      <w:pPr>
        <w:spacing w:after="0" w:line="240" w:lineRule="auto"/>
        <w:ind w:left="709" w:right="709"/>
        <w:jc w:val="both"/>
        <w:rPr>
          <w:rFonts w:ascii="Verdana" w:hAnsi="Verdana" w:cs="Arial"/>
          <w:color w:val="000000" w:themeColor="text1"/>
          <w:sz w:val="20"/>
          <w:szCs w:val="20"/>
          <w:lang w:val="es-ES_tradnl" w:eastAsia="es-CO"/>
        </w:rPr>
      </w:pPr>
      <w:r w:rsidRPr="00E8141B">
        <w:rPr>
          <w:rFonts w:ascii="Verdana" w:hAnsi="Verdana" w:cs="Arial"/>
          <w:color w:val="000000" w:themeColor="text1"/>
          <w:sz w:val="20"/>
          <w:szCs w:val="20"/>
          <w:lang w:val="es-ES_tradnl" w:eastAsia="es-CO"/>
        </w:rPr>
        <w:t>Finalmente, verifique el estado de la garantía. Repita este procedimiento en el caso en que el Proveedor haya relacionado las garantías de forma independiente, por ejemplo, garantías de cumplimiento y garantía de Responsabilidad Civil Extracontractual. Tenga en cuenta que, la garantía será publica para consulta de cualquier interesado sólo hasta que se cumpla esta aprobación”</w:t>
      </w:r>
      <w:r w:rsidRPr="00E8141B">
        <w:rPr>
          <w:rStyle w:val="Refdenotaalpie"/>
          <w:rFonts w:ascii="Verdana" w:hAnsi="Verdana" w:cs="Arial"/>
          <w:color w:val="000000" w:themeColor="text1"/>
          <w:sz w:val="20"/>
          <w:szCs w:val="20"/>
          <w:lang w:val="es-ES_tradnl" w:eastAsia="es-CO"/>
        </w:rPr>
        <w:footnoteReference w:id="12"/>
      </w:r>
      <w:r w:rsidRPr="00E8141B">
        <w:rPr>
          <w:rFonts w:ascii="Verdana" w:hAnsi="Verdana" w:cs="Arial"/>
          <w:color w:val="000000" w:themeColor="text1"/>
          <w:sz w:val="20"/>
          <w:szCs w:val="20"/>
          <w:lang w:val="es-ES_tradnl" w:eastAsia="es-CO"/>
        </w:rPr>
        <w:t>.</w:t>
      </w:r>
    </w:p>
    <w:p w14:paraId="062462BB" w14:textId="77777777" w:rsidR="007B70CB" w:rsidRDefault="007B70CB" w:rsidP="007B70CB">
      <w:pPr>
        <w:spacing w:after="0" w:line="276" w:lineRule="auto"/>
        <w:jc w:val="both"/>
        <w:rPr>
          <w:rFonts w:ascii="Verdana" w:hAnsi="Verdana" w:cs="Arial"/>
          <w:color w:val="000000" w:themeColor="text1"/>
          <w:lang w:val="es-ES_tradnl" w:eastAsia="es-CO"/>
        </w:rPr>
      </w:pPr>
    </w:p>
    <w:p w14:paraId="3CEC52CF" w14:textId="77777777" w:rsidR="007B70CB" w:rsidRDefault="007B70CB" w:rsidP="007B70CB">
      <w:pPr>
        <w:spacing w:after="120" w:line="276" w:lineRule="auto"/>
        <w:ind w:firstLine="567"/>
        <w:jc w:val="both"/>
        <w:rPr>
          <w:rFonts w:ascii="Verdana" w:hAnsi="Verdana" w:cs="Arial"/>
          <w:color w:val="000000" w:themeColor="text1"/>
          <w:lang w:val="es-ES" w:eastAsia="es-CO"/>
        </w:rPr>
      </w:pPr>
      <w:r>
        <w:rPr>
          <w:rFonts w:ascii="Verdana" w:hAnsi="Verdana" w:cs="Arial"/>
          <w:color w:val="000000" w:themeColor="text1"/>
          <w:lang w:val="es-ES_tradnl" w:eastAsia="es-CO"/>
        </w:rPr>
        <w:tab/>
      </w:r>
      <w:r w:rsidRPr="0C8DBADD">
        <w:rPr>
          <w:rFonts w:ascii="Verdana" w:hAnsi="Verdana" w:cs="Arial"/>
          <w:color w:val="000000" w:themeColor="text1"/>
          <w:lang w:val="es-ES" w:eastAsia="es-CO"/>
        </w:rPr>
        <w:t xml:space="preserve">En todo caso, sin el cumplimiento de todos los requisitos del artículo 41 de la Ley 80 de 1993, la plataforma no habilita el módulo de “ejecución contractual” para efectos de la recepción de informes y la gestión de las cuentas de cobro. Por tanto, si las entidades tienen dificultades para la aprobación de las garantías o ésta no se ve refleja en el sistema, la Agencia recomienda que se dirijan a la mesa de servicio de la entidad para brindar el soporte técnico que se requiera. </w:t>
      </w:r>
    </w:p>
    <w:p w14:paraId="217D5E7C" w14:textId="6FF78B4D" w:rsidR="00737D20" w:rsidRDefault="007B70CB" w:rsidP="00737D20">
      <w:pPr>
        <w:spacing w:after="120" w:line="276" w:lineRule="auto"/>
        <w:ind w:firstLine="567"/>
        <w:jc w:val="both"/>
        <w:rPr>
          <w:rFonts w:ascii="Verdana" w:hAnsi="Verdana" w:cs="Arial"/>
          <w:color w:val="000000" w:themeColor="text1"/>
          <w:lang w:eastAsia="es-CO"/>
        </w:rPr>
      </w:pPr>
      <w:bookmarkStart w:id="4" w:name="OLE_LINK1"/>
      <w:r>
        <w:rPr>
          <w:rFonts w:ascii="Verdana" w:hAnsi="Verdana" w:cs="Arial"/>
          <w:color w:val="000000" w:themeColor="text1"/>
          <w:lang w:val="es-ES_tradnl" w:eastAsia="es-CO"/>
        </w:rPr>
        <w:lastRenderedPageBreak/>
        <w:t xml:space="preserve">Bajo ese prisma, </w:t>
      </w:r>
      <w:r w:rsidRPr="00B7652C">
        <w:rPr>
          <w:rFonts w:ascii="Verdana" w:hAnsi="Verdana" w:cs="Arial"/>
          <w:color w:val="000000" w:themeColor="text1"/>
          <w:lang w:eastAsia="es-CO"/>
        </w:rPr>
        <w:t xml:space="preserve">al revisar la normativa que regula la actividad contractual de las entidades estatales, se advierte que </w:t>
      </w:r>
      <w:r>
        <w:rPr>
          <w:rFonts w:ascii="Verdana" w:hAnsi="Verdana" w:cs="Arial"/>
          <w:color w:val="000000" w:themeColor="text1"/>
          <w:lang w:eastAsia="es-CO"/>
        </w:rPr>
        <w:t>la</w:t>
      </w:r>
      <w:r w:rsidRPr="00B7652C">
        <w:rPr>
          <w:rFonts w:ascii="Verdana" w:hAnsi="Verdana" w:cs="Arial"/>
          <w:color w:val="000000" w:themeColor="text1"/>
          <w:lang w:eastAsia="es-CO"/>
        </w:rPr>
        <w:t xml:space="preserve"> denominad</w:t>
      </w:r>
      <w:r>
        <w:rPr>
          <w:rFonts w:ascii="Verdana" w:hAnsi="Verdana" w:cs="Arial"/>
          <w:color w:val="000000" w:themeColor="text1"/>
          <w:lang w:eastAsia="es-CO"/>
        </w:rPr>
        <w:t>a</w:t>
      </w:r>
      <w:r w:rsidRPr="00B7652C">
        <w:rPr>
          <w:rFonts w:ascii="Verdana" w:hAnsi="Verdana" w:cs="Arial"/>
          <w:color w:val="000000" w:themeColor="text1"/>
          <w:lang w:eastAsia="es-CO"/>
        </w:rPr>
        <w:t xml:space="preserve"> </w:t>
      </w:r>
      <w:r w:rsidRPr="00B7652C">
        <w:rPr>
          <w:rFonts w:ascii="Verdana" w:hAnsi="Verdana" w:cs="Arial"/>
          <w:i/>
          <w:iCs/>
          <w:color w:val="000000" w:themeColor="text1"/>
          <w:lang w:eastAsia="es-CO"/>
        </w:rPr>
        <w:t>acta de aprobación de pólizas</w:t>
      </w:r>
      <w:r w:rsidRPr="00B7652C">
        <w:rPr>
          <w:rFonts w:ascii="Verdana" w:hAnsi="Verdana" w:cs="Arial"/>
          <w:color w:val="000000" w:themeColor="text1"/>
          <w:lang w:eastAsia="es-CO"/>
        </w:rPr>
        <w:t xml:space="preserve"> no cuenta con una regulación expresa dentro del Sistema de Contratación Pública. No obstante, en ejercicio de la autonomía de la voluntad que les asiste, las entidades estatales pueden establecer la suscripción de un documento con dicha denominación y finalidad. Ello, sin embargo, no implica que su adopción releve a la entidad del cumplimiento de las actuaciones que deban ejecutarse dentro de la respectiva plataforma transaccional.</w:t>
      </w:r>
    </w:p>
    <w:p w14:paraId="483B7B02" w14:textId="70DF9D5C" w:rsidR="00737D20" w:rsidRDefault="00190C20" w:rsidP="00737D20">
      <w:pPr>
        <w:spacing w:after="120" w:line="276" w:lineRule="auto"/>
        <w:ind w:firstLine="567"/>
        <w:jc w:val="both"/>
        <w:rPr>
          <w:rFonts w:ascii="Verdana" w:eastAsia="Times New Roman" w:hAnsi="Verdana"/>
          <w:lang w:eastAsia="es-MX"/>
        </w:rPr>
      </w:pPr>
      <w:r w:rsidRPr="00737D20">
        <w:rPr>
          <w:rFonts w:ascii="Verdana" w:eastAsia="Times New Roman" w:hAnsi="Verdana" w:cs="Times New Roman"/>
          <w:lang w:eastAsia="es-MX"/>
        </w:rPr>
        <w:t>En este mismo sentido</w:t>
      </w:r>
      <w:r w:rsidRPr="00190C20">
        <w:rPr>
          <w:rFonts w:ascii="Verdana" w:eastAsia="Times New Roman" w:hAnsi="Verdana" w:cs="Times New Roman"/>
          <w:lang w:eastAsia="es-MX"/>
        </w:rPr>
        <w:t>,</w:t>
      </w:r>
      <w:r w:rsidRPr="00737D20">
        <w:rPr>
          <w:rFonts w:ascii="Verdana" w:eastAsia="Times New Roman" w:hAnsi="Verdana" w:cs="Times New Roman"/>
          <w:lang w:eastAsia="es-MX"/>
        </w:rPr>
        <w:t xml:space="preserve"> </w:t>
      </w:r>
      <w:r w:rsidRPr="00737D20">
        <w:rPr>
          <w:rFonts w:ascii="Verdana" w:eastAsia="Calibri" w:hAnsi="Verdana" w:cs="Arial"/>
          <w:lang w:val="es-ES"/>
        </w:rPr>
        <w:t>en consideración al objeto de consulta</w:t>
      </w:r>
      <w:r w:rsidRPr="00190C20">
        <w:rPr>
          <w:rFonts w:ascii="Verdana" w:eastAsia="Times New Roman" w:hAnsi="Verdana" w:cs="Times New Roman"/>
          <w:lang w:eastAsia="es-MX"/>
        </w:rPr>
        <w:t xml:space="preserve"> </w:t>
      </w:r>
      <w:r w:rsidR="00737D20" w:rsidRPr="00737D20">
        <w:rPr>
          <w:rFonts w:ascii="Verdana" w:eastAsia="Times New Roman" w:hAnsi="Verdana"/>
          <w:lang w:eastAsia="es-MX"/>
        </w:rPr>
        <w:t>respecto a si una persona vinculada mediante contrato de prestación de servicios profesionales tiene la facultad legal para aprobar pólizas, esta Agencia considera que la respuesta es negativa. Lo anterior se fundamenta en que la aprobación de la garantía es un requisito indispensable para la ejecución del contrato, conforme lo establece el inciso segundo del artículo 41 de la Ley 80 de 1993. Al respecto, la jurisprudencia del Consejo de Estado</w:t>
      </w:r>
      <w:r w:rsidR="00737D20">
        <w:rPr>
          <w:rFonts w:ascii="Verdana" w:eastAsia="Times New Roman" w:hAnsi="Verdana"/>
          <w:lang w:eastAsia="es-MX"/>
        </w:rPr>
        <w:t xml:space="preserve"> citada, </w:t>
      </w:r>
      <w:r w:rsidR="00737D20" w:rsidRPr="00737D20">
        <w:rPr>
          <w:rFonts w:ascii="Verdana" w:eastAsia="Times New Roman" w:hAnsi="Verdana"/>
          <w:lang w:eastAsia="es-MX"/>
        </w:rPr>
        <w:t xml:space="preserve">ha precisado que la aprobación de la póliza </w:t>
      </w:r>
      <w:r w:rsidR="00737D20">
        <w:rPr>
          <w:rFonts w:ascii="Verdana" w:eastAsia="Times New Roman" w:hAnsi="Verdana"/>
          <w:lang w:eastAsia="es-MX"/>
        </w:rPr>
        <w:t xml:space="preserve">es un </w:t>
      </w:r>
      <w:r w:rsidR="00737D20" w:rsidRPr="00737D20">
        <w:rPr>
          <w:rFonts w:ascii="Verdana" w:eastAsia="Times New Roman" w:hAnsi="Verdana"/>
          <w:lang w:eastAsia="es-MX"/>
        </w:rPr>
        <w:t xml:space="preserve">reconocimiento de parte de la administración de que el contratista cumplió con la obligación de garantía. </w:t>
      </w:r>
    </w:p>
    <w:p w14:paraId="42C670A2" w14:textId="77777777" w:rsidR="00FB0823" w:rsidRDefault="00737D20" w:rsidP="00FB0823">
      <w:pPr>
        <w:spacing w:after="120" w:line="276" w:lineRule="auto"/>
        <w:ind w:firstLine="567"/>
        <w:jc w:val="both"/>
        <w:rPr>
          <w:rFonts w:ascii="Verdana" w:eastAsia="Times New Roman" w:hAnsi="Verdana" w:cs="Times New Roman"/>
          <w:lang w:eastAsia="es-MX"/>
        </w:rPr>
      </w:pPr>
      <w:r w:rsidRPr="00737D20">
        <w:rPr>
          <w:rFonts w:ascii="Verdana" w:eastAsia="Times New Roman" w:hAnsi="Verdana"/>
          <w:lang w:eastAsia="es-MX"/>
        </w:rPr>
        <w:t>En consecuencia, al tratarse de un acto de aval por parte de la administración, dicha competencia recae en los servidores públicos que ejercen la ordenación del gasto o la supervisión directa, y no en particulares que prestan apoyo a la gestión.</w:t>
      </w:r>
      <w:r>
        <w:rPr>
          <w:rFonts w:ascii="Verdana" w:eastAsia="Times New Roman" w:hAnsi="Verdana" w:cs="Times New Roman"/>
          <w:lang w:eastAsia="es-MX"/>
        </w:rPr>
        <w:t xml:space="preserve"> Por su parte el </w:t>
      </w:r>
      <w:r w:rsidRPr="00737D20">
        <w:rPr>
          <w:rFonts w:ascii="Verdana" w:eastAsia="Times New Roman" w:hAnsi="Verdana" w:cs="Times New Roman"/>
          <w:lang w:eastAsia="es-MX"/>
        </w:rPr>
        <w:t>Manual de Supervisión e Interventoría expedido por esta Agencia</w:t>
      </w:r>
      <w:r>
        <w:rPr>
          <w:rFonts w:ascii="Verdana" w:eastAsia="Times New Roman" w:hAnsi="Verdana" w:cs="Times New Roman"/>
          <w:lang w:eastAsia="es-MX"/>
        </w:rPr>
        <w:t xml:space="preserve">, </w:t>
      </w:r>
      <w:r w:rsidRPr="00737D20">
        <w:rPr>
          <w:rFonts w:ascii="Verdana" w:eastAsia="Times New Roman" w:hAnsi="Verdana" w:cs="Times New Roman"/>
          <w:lang w:eastAsia="es-MX"/>
        </w:rPr>
        <w:t>dispone que, si bien la entidad estatal puede contratar personal de apoyo a través de contratos de prestación de servicios, la vigilancia del contrato dependerá única y exclusivamente del supervisor del contrato. De manera específica, el numeral 3.2.1 enlista los deberes del personal de apoyo, señala</w:t>
      </w:r>
      <w:r>
        <w:rPr>
          <w:rFonts w:ascii="Verdana" w:eastAsia="Times New Roman" w:hAnsi="Verdana" w:cs="Times New Roman"/>
          <w:lang w:eastAsia="es-MX"/>
        </w:rPr>
        <w:t>ndo</w:t>
      </w:r>
      <w:r w:rsidRPr="00737D20">
        <w:rPr>
          <w:rFonts w:ascii="Verdana" w:eastAsia="Times New Roman" w:hAnsi="Verdana" w:cs="Times New Roman"/>
          <w:lang w:eastAsia="es-MX"/>
        </w:rPr>
        <w:t xml:space="preserve"> en su literal vi) que su función consiste en </w:t>
      </w:r>
      <w:r>
        <w:rPr>
          <w:rFonts w:ascii="Verdana" w:eastAsia="Times New Roman" w:hAnsi="Verdana" w:cs="Times New Roman"/>
          <w:lang w:eastAsia="es-MX"/>
        </w:rPr>
        <w:t>“</w:t>
      </w:r>
      <w:r w:rsidRPr="00737D20">
        <w:rPr>
          <w:rFonts w:ascii="Verdana" w:eastAsia="Times New Roman" w:hAnsi="Verdana" w:cs="Times New Roman"/>
          <w:lang w:eastAsia="es-MX"/>
        </w:rPr>
        <w:t>Prestar el apoyo técnico necesario al supervisor</w:t>
      </w:r>
      <w:r>
        <w:rPr>
          <w:rFonts w:ascii="Verdana" w:eastAsia="Times New Roman" w:hAnsi="Verdana" w:cs="Times New Roman"/>
          <w:lang w:eastAsia="es-MX"/>
        </w:rPr>
        <w:t xml:space="preserve"> </w:t>
      </w:r>
      <w:r w:rsidRPr="00737D20">
        <w:rPr>
          <w:rFonts w:ascii="Verdana" w:eastAsia="Times New Roman" w:hAnsi="Verdana" w:cs="Times New Roman"/>
          <w:lang w:eastAsia="es-MX"/>
        </w:rPr>
        <w:t>en la labor de proyectar las actas contractuales, verificando previamente</w:t>
      </w:r>
      <w:r>
        <w:rPr>
          <w:rFonts w:ascii="Verdana" w:eastAsia="Times New Roman" w:hAnsi="Verdana" w:cs="Times New Roman"/>
          <w:lang w:eastAsia="es-MX"/>
        </w:rPr>
        <w:t xml:space="preserve"> la</w:t>
      </w:r>
      <w:r w:rsidRPr="00737D20">
        <w:rPr>
          <w:rFonts w:ascii="Verdana" w:eastAsia="Times New Roman" w:hAnsi="Verdana" w:cs="Times New Roman"/>
          <w:lang w:eastAsia="es-MX"/>
        </w:rPr>
        <w:t xml:space="preserve"> aprobación de pólizas por el Grupo Interno de Trabajo de Gestión Contractual</w:t>
      </w:r>
      <w:r>
        <w:rPr>
          <w:rFonts w:ascii="Verdana" w:eastAsia="Times New Roman" w:hAnsi="Verdana" w:cs="Times New Roman"/>
          <w:lang w:eastAsia="es-MX"/>
        </w:rPr>
        <w:t>”</w:t>
      </w:r>
      <w:r w:rsidRPr="00737D20">
        <w:rPr>
          <w:rFonts w:ascii="Verdana" w:eastAsia="Times New Roman" w:hAnsi="Verdana" w:cs="Times New Roman"/>
          <w:lang w:eastAsia="es-MX"/>
        </w:rPr>
        <w:t xml:space="preserve">. De esta </w:t>
      </w:r>
      <w:r>
        <w:rPr>
          <w:rFonts w:ascii="Verdana" w:eastAsia="Times New Roman" w:hAnsi="Verdana" w:cs="Times New Roman"/>
          <w:lang w:eastAsia="es-MX"/>
        </w:rPr>
        <w:t xml:space="preserve">forma se puede concluir que </w:t>
      </w:r>
      <w:r w:rsidRPr="00737D20">
        <w:rPr>
          <w:rFonts w:ascii="Verdana" w:eastAsia="Times New Roman" w:hAnsi="Verdana" w:cs="Times New Roman"/>
          <w:lang w:eastAsia="es-MX"/>
        </w:rPr>
        <w:t xml:space="preserve">el contratista de prestación de servicios </w:t>
      </w:r>
      <w:r>
        <w:rPr>
          <w:rFonts w:ascii="Verdana" w:eastAsia="Times New Roman" w:hAnsi="Verdana" w:cs="Times New Roman"/>
          <w:lang w:eastAsia="es-MX"/>
        </w:rPr>
        <w:t xml:space="preserve"> presta apoyo en la</w:t>
      </w:r>
      <w:r w:rsidRPr="00737D20">
        <w:rPr>
          <w:rFonts w:ascii="Verdana" w:eastAsia="Times New Roman" w:hAnsi="Verdana" w:cs="Times New Roman"/>
          <w:lang w:eastAsia="es-MX"/>
        </w:rPr>
        <w:t xml:space="preserve"> proyección y verificación técnica,</w:t>
      </w:r>
      <w:r>
        <w:rPr>
          <w:rFonts w:ascii="Verdana" w:eastAsia="Times New Roman" w:hAnsi="Verdana" w:cs="Times New Roman"/>
          <w:lang w:eastAsia="es-MX"/>
        </w:rPr>
        <w:t xml:space="preserve"> para luego,</w:t>
      </w:r>
      <w:r w:rsidRPr="00737D20">
        <w:rPr>
          <w:rFonts w:ascii="Verdana" w:eastAsia="Times New Roman" w:hAnsi="Verdana" w:cs="Times New Roman"/>
          <w:lang w:eastAsia="es-MX"/>
        </w:rPr>
        <w:t xml:space="preserve"> </w:t>
      </w:r>
      <w:r>
        <w:rPr>
          <w:rFonts w:ascii="Verdana" w:eastAsia="Times New Roman" w:hAnsi="Verdana" w:cs="Times New Roman"/>
          <w:lang w:eastAsia="es-MX"/>
        </w:rPr>
        <w:t xml:space="preserve">pasar a la </w:t>
      </w:r>
      <w:r w:rsidRPr="00737D20">
        <w:rPr>
          <w:rFonts w:ascii="Verdana" w:eastAsia="Times New Roman" w:hAnsi="Verdana" w:cs="Times New Roman"/>
          <w:lang w:eastAsia="es-MX"/>
        </w:rPr>
        <w:t xml:space="preserve">aprobación </w:t>
      </w:r>
      <w:r>
        <w:rPr>
          <w:rFonts w:ascii="Verdana" w:eastAsia="Times New Roman" w:hAnsi="Verdana" w:cs="Times New Roman"/>
          <w:lang w:eastAsia="es-MX"/>
        </w:rPr>
        <w:t xml:space="preserve">del funcionario </w:t>
      </w:r>
      <w:r w:rsidRPr="00737D20">
        <w:rPr>
          <w:rFonts w:ascii="Verdana" w:eastAsia="Times New Roman" w:hAnsi="Verdana" w:cs="Times New Roman"/>
          <w:lang w:eastAsia="es-MX"/>
        </w:rPr>
        <w:t>competente de la Entidad</w:t>
      </w:r>
      <w:r>
        <w:rPr>
          <w:rFonts w:ascii="Verdana" w:eastAsia="Times New Roman" w:hAnsi="Verdana" w:cs="Times New Roman"/>
          <w:lang w:eastAsia="es-MX"/>
        </w:rPr>
        <w:t xml:space="preserve">. </w:t>
      </w:r>
      <w:bookmarkEnd w:id="4"/>
    </w:p>
    <w:p w14:paraId="7B1A4030" w14:textId="17EB8E80" w:rsidR="007B70CB" w:rsidRPr="00FB0823" w:rsidRDefault="007B70CB" w:rsidP="00FB0823">
      <w:pPr>
        <w:spacing w:after="120" w:line="276" w:lineRule="auto"/>
        <w:ind w:firstLine="567"/>
        <w:jc w:val="both"/>
        <w:rPr>
          <w:rFonts w:ascii="Verdana" w:eastAsia="Times New Roman" w:hAnsi="Verdana" w:cs="Times New Roman"/>
          <w:lang w:eastAsia="es-MX"/>
        </w:rPr>
      </w:pPr>
      <w:r w:rsidRPr="00E853DE">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w:t>
      </w:r>
      <w:r w:rsidRPr="00E853DE">
        <w:rPr>
          <w:rFonts w:ascii="Verdana" w:eastAsia="Calibri" w:hAnsi="Verdana" w:cs="Arial"/>
          <w:bCs/>
          <w:color w:val="000000" w:themeColor="text1"/>
        </w:rPr>
        <w:lastRenderedPageBreak/>
        <w:t>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91D6308" w14:textId="77777777" w:rsidR="007B70CB" w:rsidRDefault="007B70CB" w:rsidP="007B70CB">
      <w:pPr>
        <w:spacing w:after="0" w:line="276" w:lineRule="auto"/>
        <w:ind w:firstLine="708"/>
        <w:jc w:val="both"/>
        <w:rPr>
          <w:rFonts w:ascii="Verdana" w:eastAsia="Calibri" w:hAnsi="Verdana" w:cs="Arial"/>
          <w:lang w:val="es-ES"/>
        </w:rPr>
      </w:pPr>
      <w:r w:rsidRPr="00E853DE">
        <w:rPr>
          <w:rFonts w:ascii="Verdana" w:eastAsia="Calibri" w:hAnsi="Verdana" w:cs="Arial"/>
          <w:bCs/>
          <w:color w:val="000000" w:themeColor="text1"/>
        </w:rPr>
        <w:t>Dentro de este marco, la entidad contratante definirá en cada caso concreto lo relacionado con</w:t>
      </w:r>
      <w:r>
        <w:rPr>
          <w:rFonts w:ascii="Verdana" w:eastAsia="Calibri" w:hAnsi="Verdana" w:cs="Arial"/>
          <w:bCs/>
          <w:color w:val="000000" w:themeColor="text1"/>
        </w:rPr>
        <w:t xml:space="preserve"> los aspectos puntuales d</w:t>
      </w:r>
      <w:r w:rsidRPr="00E853DE">
        <w:rPr>
          <w:rFonts w:ascii="Verdana" w:eastAsia="Calibri" w:hAnsi="Verdana" w:cs="Arial"/>
          <w:bCs/>
          <w:color w:val="000000" w:themeColor="text1"/>
        </w:rPr>
        <w:t>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1353527C" w14:textId="77777777" w:rsidR="00871B59" w:rsidRPr="007B70CB" w:rsidRDefault="00871B59" w:rsidP="00871B59">
      <w:pPr>
        <w:widowControl w:val="0"/>
        <w:autoSpaceDE w:val="0"/>
        <w:autoSpaceDN w:val="0"/>
        <w:spacing w:after="0" w:line="276" w:lineRule="auto"/>
        <w:jc w:val="both"/>
        <w:rPr>
          <w:rFonts w:ascii="Verdana" w:hAnsi="Verdana" w:cs="Arial"/>
          <w:lang w:val="es-ES"/>
        </w:rPr>
      </w:pPr>
    </w:p>
    <w:p w14:paraId="7E90141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785FCDA2"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42E5232B" w14:textId="77777777" w:rsidTr="002607A7">
        <w:trPr>
          <w:trHeight w:val="870"/>
        </w:trPr>
        <w:tc>
          <w:tcPr>
            <w:tcW w:w="8647" w:type="dxa"/>
          </w:tcPr>
          <w:p w14:paraId="45269092" w14:textId="77777777" w:rsidR="00392C9E" w:rsidRPr="00B80951" w:rsidRDefault="00392C9E" w:rsidP="00392C9E">
            <w:pPr>
              <w:widowControl w:val="0"/>
              <w:numPr>
                <w:ilvl w:val="0"/>
                <w:numId w:val="8"/>
              </w:numPr>
              <w:autoSpaceDE w:val="0"/>
              <w:autoSpaceDN w:val="0"/>
              <w:spacing w:line="276" w:lineRule="auto"/>
              <w:ind w:left="714" w:hanging="357"/>
              <w:jc w:val="both"/>
              <w:rPr>
                <w:rFonts w:ascii="Verdana" w:eastAsia="Arial MT" w:hAnsi="Verdana" w:cs="Arial"/>
                <w:lang w:eastAsia="es-ES" w:bidi="es-ES"/>
              </w:rPr>
            </w:pPr>
            <w:r w:rsidRPr="00B80951">
              <w:rPr>
                <w:rFonts w:ascii="Verdana" w:eastAsia="Arial MT" w:hAnsi="Verdana" w:cs="Arial"/>
                <w:lang w:eastAsia="es-ES" w:bidi="es-ES"/>
              </w:rPr>
              <w:t xml:space="preserve">Ley 80 de 1993, artículo </w:t>
            </w:r>
            <w:r>
              <w:rPr>
                <w:rFonts w:ascii="Verdana" w:eastAsia="Arial MT" w:hAnsi="Verdana" w:cs="Arial"/>
                <w:lang w:eastAsia="es-ES" w:bidi="es-ES"/>
              </w:rPr>
              <w:t>41</w:t>
            </w:r>
          </w:p>
          <w:p w14:paraId="73850747" w14:textId="77777777" w:rsidR="00392C9E" w:rsidRPr="00B80951" w:rsidRDefault="00392C9E" w:rsidP="00392C9E">
            <w:pPr>
              <w:widowControl w:val="0"/>
              <w:numPr>
                <w:ilvl w:val="0"/>
                <w:numId w:val="8"/>
              </w:numPr>
              <w:autoSpaceDE w:val="0"/>
              <w:autoSpaceDN w:val="0"/>
              <w:spacing w:line="276" w:lineRule="auto"/>
              <w:ind w:left="714" w:hanging="357"/>
              <w:jc w:val="both"/>
              <w:rPr>
                <w:rFonts w:ascii="Verdana" w:eastAsia="Arial MT" w:hAnsi="Verdana" w:cs="Arial"/>
                <w:lang w:eastAsia="es-ES" w:bidi="es-ES"/>
              </w:rPr>
            </w:pPr>
            <w:r w:rsidRPr="00B80951">
              <w:rPr>
                <w:rFonts w:ascii="Verdana" w:eastAsia="Arial MT" w:hAnsi="Verdana" w:cs="Arial"/>
                <w:lang w:eastAsia="es-ES" w:bidi="es-ES"/>
              </w:rPr>
              <w:t xml:space="preserve">Ley 1150 de 2007, artículo </w:t>
            </w:r>
            <w:r>
              <w:rPr>
                <w:rFonts w:ascii="Verdana" w:eastAsia="Arial MT" w:hAnsi="Verdana" w:cs="Arial"/>
                <w:lang w:eastAsia="es-ES" w:bidi="es-ES"/>
              </w:rPr>
              <w:t>7</w:t>
            </w:r>
          </w:p>
          <w:p w14:paraId="5175319E" w14:textId="77777777" w:rsidR="00392C9E" w:rsidRPr="00B80951" w:rsidRDefault="00392C9E" w:rsidP="00392C9E">
            <w:pPr>
              <w:widowControl w:val="0"/>
              <w:numPr>
                <w:ilvl w:val="0"/>
                <w:numId w:val="8"/>
              </w:numPr>
              <w:autoSpaceDE w:val="0"/>
              <w:autoSpaceDN w:val="0"/>
              <w:spacing w:line="276" w:lineRule="auto"/>
              <w:ind w:left="714" w:hanging="357"/>
              <w:jc w:val="both"/>
              <w:rPr>
                <w:rFonts w:ascii="Verdana" w:eastAsia="Arial MT" w:hAnsi="Verdana" w:cs="Arial"/>
                <w:lang w:eastAsia="es-ES" w:bidi="es-ES"/>
              </w:rPr>
            </w:pPr>
            <w:r w:rsidRPr="00B80951">
              <w:rPr>
                <w:rFonts w:ascii="Verdana" w:eastAsia="Arial MT" w:hAnsi="Verdana" w:cs="Arial"/>
                <w:lang w:eastAsia="es-ES" w:bidi="es-ES"/>
              </w:rPr>
              <w:t xml:space="preserve">Decreto 1082 de 2015, artículo </w:t>
            </w:r>
            <w:r w:rsidRPr="00850E41">
              <w:rPr>
                <w:rFonts w:ascii="Verdana" w:eastAsia="Arial MT" w:hAnsi="Verdana" w:cs="Arial"/>
                <w:lang w:eastAsia="es-ES" w:bidi="es-ES"/>
              </w:rPr>
              <w:t>2.2.1.2.3.1.1</w:t>
            </w:r>
            <w:r>
              <w:rPr>
                <w:rFonts w:ascii="Verdana" w:eastAsia="Arial MT" w:hAnsi="Verdana" w:cs="Arial"/>
                <w:lang w:eastAsia="es-ES" w:bidi="es-ES"/>
              </w:rPr>
              <w:t>,</w:t>
            </w:r>
            <w:r w:rsidRPr="00850E41">
              <w:rPr>
                <w:rFonts w:ascii="Verdana" w:eastAsia="Arial MT" w:hAnsi="Verdana" w:cs="Arial"/>
                <w:lang w:eastAsia="es-ES" w:bidi="es-ES"/>
              </w:rPr>
              <w:t xml:space="preserve"> 2.2.1.2.3.1.5 y 2.2.1.2.3.1.19</w:t>
            </w:r>
          </w:p>
          <w:p w14:paraId="17FD59C9" w14:textId="77777777" w:rsidR="00392C9E" w:rsidRPr="00B80951" w:rsidRDefault="00392C9E" w:rsidP="00392C9E">
            <w:pPr>
              <w:widowControl w:val="0"/>
              <w:numPr>
                <w:ilvl w:val="0"/>
                <w:numId w:val="8"/>
              </w:numPr>
              <w:autoSpaceDE w:val="0"/>
              <w:autoSpaceDN w:val="0"/>
              <w:spacing w:line="276" w:lineRule="auto"/>
              <w:ind w:left="714" w:hanging="357"/>
              <w:jc w:val="both"/>
              <w:rPr>
                <w:rFonts w:ascii="Verdana" w:eastAsia="Arial MT" w:hAnsi="Verdana" w:cs="Arial"/>
                <w:lang w:eastAsia="es-ES" w:bidi="es-ES"/>
              </w:rPr>
            </w:pPr>
            <w:r w:rsidRPr="00B80951">
              <w:rPr>
                <w:rFonts w:ascii="Verdana" w:eastAsia="Arial MT" w:hAnsi="Verdana" w:cs="Arial"/>
                <w:lang w:eastAsia="es-ES" w:bidi="es-ES"/>
              </w:rPr>
              <w:t>Ley 14</w:t>
            </w:r>
            <w:r>
              <w:rPr>
                <w:rFonts w:ascii="Verdana" w:eastAsia="Arial MT" w:hAnsi="Verdana" w:cs="Arial"/>
                <w:lang w:eastAsia="es-ES" w:bidi="es-ES"/>
              </w:rPr>
              <w:t>37</w:t>
            </w:r>
            <w:r w:rsidRPr="00B80951">
              <w:rPr>
                <w:rFonts w:ascii="Verdana" w:eastAsia="Arial MT" w:hAnsi="Verdana" w:cs="Arial"/>
                <w:lang w:eastAsia="es-ES" w:bidi="es-ES"/>
              </w:rPr>
              <w:t xml:space="preserve"> de 2011, artículo </w:t>
            </w:r>
            <w:r>
              <w:rPr>
                <w:rFonts w:ascii="Verdana" w:eastAsia="Arial MT" w:hAnsi="Verdana" w:cs="Arial"/>
                <w:lang w:eastAsia="es-ES" w:bidi="es-ES"/>
              </w:rPr>
              <w:t>53, 58 Y 61</w:t>
            </w:r>
          </w:p>
          <w:p w14:paraId="6D6A3042" w14:textId="77777777" w:rsidR="00392C9E" w:rsidRPr="00773EEC" w:rsidRDefault="00392C9E" w:rsidP="00392C9E">
            <w:pPr>
              <w:widowControl w:val="0"/>
              <w:numPr>
                <w:ilvl w:val="0"/>
                <w:numId w:val="8"/>
              </w:numPr>
              <w:autoSpaceDE w:val="0"/>
              <w:autoSpaceDN w:val="0"/>
              <w:spacing w:line="276" w:lineRule="auto"/>
              <w:jc w:val="both"/>
              <w:rPr>
                <w:rFonts w:ascii="Verdana" w:eastAsia="Arial MT" w:hAnsi="Verdana" w:cs="Arial"/>
                <w:lang w:eastAsia="es-ES" w:bidi="es-ES"/>
              </w:rPr>
            </w:pPr>
            <w:r w:rsidRPr="00773EEC">
              <w:rPr>
                <w:rFonts w:ascii="Verdana" w:eastAsia="Calibri" w:hAnsi="Verdana" w:cs="Arial"/>
              </w:rPr>
              <w:t>Ley 527 de 1999 artículo 14 y 22</w:t>
            </w:r>
          </w:p>
          <w:p w14:paraId="1DCA55AE" w14:textId="77777777" w:rsidR="00392C9E" w:rsidRPr="00502B0D" w:rsidRDefault="00392C9E" w:rsidP="00392C9E">
            <w:pPr>
              <w:widowControl w:val="0"/>
              <w:numPr>
                <w:ilvl w:val="0"/>
                <w:numId w:val="8"/>
              </w:numPr>
              <w:autoSpaceDE w:val="0"/>
              <w:autoSpaceDN w:val="0"/>
              <w:spacing w:line="276" w:lineRule="auto"/>
              <w:jc w:val="both"/>
              <w:rPr>
                <w:rFonts w:ascii="Verdana" w:eastAsia="Arial MT" w:hAnsi="Verdana" w:cs="Arial"/>
                <w:lang w:eastAsia="es-ES" w:bidi="es-ES"/>
              </w:rPr>
            </w:pPr>
            <w:r w:rsidRPr="00502B0D">
              <w:rPr>
                <w:rFonts w:ascii="Verdana" w:eastAsia="Arial MT" w:hAnsi="Verdana" w:cs="Arial"/>
                <w:lang w:eastAsia="es-ES" w:bidi="es-ES"/>
              </w:rPr>
              <w:t>Consejo de Estado, Sección Tercera, Subsección B. Sentencia de 28 de junio de 2012. Radicación número: 25000-23-26-000-1997-05346-01(23966). C.P: Stella Conto Diaz Del Castillo.</w:t>
            </w:r>
          </w:p>
          <w:p w14:paraId="7645B7DE" w14:textId="77777777" w:rsidR="00392C9E" w:rsidRPr="00502B0D" w:rsidRDefault="00392C9E" w:rsidP="00392C9E">
            <w:pPr>
              <w:widowControl w:val="0"/>
              <w:numPr>
                <w:ilvl w:val="0"/>
                <w:numId w:val="8"/>
              </w:numPr>
              <w:autoSpaceDE w:val="0"/>
              <w:autoSpaceDN w:val="0"/>
              <w:spacing w:line="276" w:lineRule="auto"/>
              <w:jc w:val="both"/>
              <w:rPr>
                <w:rFonts w:ascii="Verdana" w:eastAsia="Arial MT" w:hAnsi="Verdana" w:cs="Arial"/>
                <w:lang w:eastAsia="es-ES" w:bidi="es-ES"/>
              </w:rPr>
            </w:pPr>
            <w:r w:rsidRPr="00502B0D">
              <w:rPr>
                <w:rFonts w:ascii="Verdana" w:eastAsia="Arial MT" w:hAnsi="Verdana" w:cs="Arial"/>
                <w:lang w:eastAsia="es-ES" w:bidi="es-ES"/>
              </w:rPr>
              <w:t>Consejo de Estado, Sección Tercera, Subsección A. Sentencia del 14 de junio del 2019. Radicación número: 11001 03 26 000 2009 00047 00 (36860). C.P: Carlos Alberto Zambrano Barrera.</w:t>
            </w:r>
          </w:p>
          <w:p w14:paraId="6BABC0AC" w14:textId="77777777" w:rsidR="00392C9E" w:rsidRDefault="00392C9E" w:rsidP="00392C9E">
            <w:pPr>
              <w:widowControl w:val="0"/>
              <w:numPr>
                <w:ilvl w:val="0"/>
                <w:numId w:val="8"/>
              </w:numPr>
              <w:autoSpaceDE w:val="0"/>
              <w:autoSpaceDN w:val="0"/>
              <w:spacing w:line="276" w:lineRule="auto"/>
              <w:jc w:val="both"/>
              <w:rPr>
                <w:rFonts w:ascii="Verdana" w:eastAsia="Arial MT" w:hAnsi="Verdana" w:cs="Arial"/>
                <w:lang w:eastAsia="es-ES" w:bidi="es-ES"/>
              </w:rPr>
            </w:pPr>
            <w:r w:rsidRPr="00502B0D">
              <w:rPr>
                <w:rFonts w:ascii="Verdana" w:eastAsia="Arial MT" w:hAnsi="Verdana" w:cs="Arial"/>
                <w:lang w:eastAsia="es-ES" w:bidi="es-ES"/>
              </w:rPr>
              <w:t xml:space="preserve">Consejo de Estado, Sección Segunda, Subsección A. Sentencia del 25 </w:t>
            </w:r>
            <w:r w:rsidRPr="00502B0D">
              <w:rPr>
                <w:rFonts w:ascii="Verdana" w:eastAsia="Arial MT" w:hAnsi="Verdana" w:cs="Arial"/>
                <w:lang w:eastAsia="es-ES" w:bidi="es-ES"/>
              </w:rPr>
              <w:lastRenderedPageBreak/>
              <w:t>de enero del 2018. Radicación número: 11001-03-25-000-2011-00489-00(1924-11). C.P: Gabriel Valbuena Hernández.</w:t>
            </w:r>
          </w:p>
          <w:p w14:paraId="35DDDCE9" w14:textId="77777777" w:rsidR="00871B59" w:rsidRPr="00392C9E" w:rsidRDefault="00392C9E" w:rsidP="00392C9E">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513856">
              <w:rPr>
                <w:rFonts w:ascii="Verdana" w:eastAsia="Arial MT" w:hAnsi="Verdana" w:cs="Arial"/>
                <w:lang w:eastAsia="es-ES" w:bidi="es-ES"/>
              </w:rPr>
              <w:t xml:space="preserve">AGENCIA NACIONAL DE CONTRATACIÓN PÚBLICA – COLOMBIA COMPRA EFICIENTE. Guía SECOP II – Gestión Contractual para Entidades Estatales Consultado en la página </w:t>
            </w:r>
            <w:hyperlink r:id="rId15" w:history="1">
              <w:r w:rsidRPr="00781A19">
                <w:rPr>
                  <w:rStyle w:val="Hipervnculo"/>
                  <w:rFonts w:ascii="Verdana" w:eastAsia="Arial MT" w:hAnsi="Verdana" w:cs="Arial"/>
                  <w:lang w:eastAsia="es-ES" w:bidi="es-ES"/>
                </w:rPr>
                <w:t>https://formacionvirtual.colombiacompra.gov.co/pluginfile.php/9193/mod_folder/content/0/Módulo%20VI/Guía%20-%20Gestión%20Contractual.pdf</w:t>
              </w:r>
            </w:hyperlink>
          </w:p>
          <w:p w14:paraId="03F75784" w14:textId="4FD36050" w:rsidR="00392C9E" w:rsidRPr="00AC742F" w:rsidRDefault="00392C9E" w:rsidP="00392C9E">
            <w:pPr>
              <w:pStyle w:val="Prrafodelista"/>
              <w:widowControl w:val="0"/>
              <w:numPr>
                <w:ilvl w:val="0"/>
                <w:numId w:val="8"/>
              </w:numPr>
              <w:autoSpaceDE w:val="0"/>
              <w:autoSpaceDN w:val="0"/>
              <w:spacing w:after="120" w:line="276" w:lineRule="auto"/>
              <w:contextualSpacing w:val="0"/>
              <w:jc w:val="both"/>
              <w:rPr>
                <w:rFonts w:ascii="Verdana" w:hAnsi="Verdana" w:cs="Arial"/>
              </w:rPr>
            </w:pPr>
            <w:r>
              <w:rPr>
                <w:rFonts w:ascii="Verdana" w:hAnsi="Verdana" w:cs="Arial"/>
              </w:rPr>
              <w:t xml:space="preserve">Manual de Supervisión y de Interventoría </w:t>
            </w:r>
            <w:hyperlink r:id="rId16" w:history="1">
              <w:r w:rsidRPr="00D96A70">
                <w:rPr>
                  <w:rStyle w:val="Hipervnculo"/>
                  <w:rFonts w:ascii="Verdana" w:hAnsi="Verdana" w:cs="Arial"/>
                </w:rPr>
                <w:t>https://www.colombiacompra.gov.co/wp-content/uploads/2025/04/cce-gco-ma-03_manual_de_supervision_e_interventoria_v1_28112024_2_1.pdf</w:t>
              </w:r>
            </w:hyperlink>
            <w:r>
              <w:rPr>
                <w:rFonts w:ascii="Verdana" w:hAnsi="Verdana" w:cs="Arial"/>
              </w:rPr>
              <w:t xml:space="preserve"> </w:t>
            </w:r>
          </w:p>
        </w:tc>
      </w:tr>
    </w:tbl>
    <w:p w14:paraId="6B82F5A5"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A16B0A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7383DE4A" w14:textId="77777777" w:rsidR="00871B59" w:rsidRDefault="00871B59" w:rsidP="00871B59">
      <w:pPr>
        <w:widowControl w:val="0"/>
        <w:autoSpaceDE w:val="0"/>
        <w:autoSpaceDN w:val="0"/>
        <w:spacing w:after="0" w:line="276" w:lineRule="auto"/>
        <w:jc w:val="both"/>
        <w:rPr>
          <w:rFonts w:ascii="Verdana" w:hAnsi="Verdana" w:cs="Arial"/>
        </w:rPr>
      </w:pPr>
    </w:p>
    <w:p w14:paraId="5720CFE9" w14:textId="431C732D" w:rsidR="00392C9E" w:rsidRPr="00392C9E" w:rsidRDefault="00392C9E" w:rsidP="00392C9E">
      <w:pPr>
        <w:widowControl w:val="0"/>
        <w:autoSpaceDE w:val="0"/>
        <w:autoSpaceDN w:val="0"/>
        <w:spacing w:after="0" w:line="276" w:lineRule="auto"/>
        <w:jc w:val="both"/>
        <w:rPr>
          <w:rFonts w:ascii="Verdana" w:hAnsi="Verdana"/>
        </w:rPr>
      </w:pPr>
      <w:r w:rsidRPr="00E27FE4">
        <w:rPr>
          <w:rFonts w:ascii="Verdana" w:eastAsia="Calibri" w:hAnsi="Verdana" w:cs="Arial"/>
          <w:color w:val="000000" w:themeColor="text1"/>
          <w:lang w:eastAsia="es-ES_tradnl"/>
        </w:rPr>
        <w:t>La Agencia Nacional de Contratación Pública – Colombia Compra Eficiente se ha pronunciado sobre</w:t>
      </w:r>
      <w:r>
        <w:rPr>
          <w:rFonts w:ascii="Verdana" w:eastAsia="Calibri" w:hAnsi="Verdana" w:cs="Arial"/>
          <w:color w:val="000000" w:themeColor="text1"/>
          <w:lang w:eastAsia="es-ES_tradnl"/>
        </w:rPr>
        <w:t xml:space="preserve"> el carácter transaccional de la plataforma SECOP II en los conceptos C-913 del 19 de agosto de 2025, C-963 del 28 de julio de 2025, C-1055 del 10 de septiembre de 2025, y sobre la aprobación de garantías en el concepto C - 1333 de 2025. entre otros</w:t>
      </w:r>
      <w:r w:rsidRPr="00B80951">
        <w:rPr>
          <w:rFonts w:ascii="Verdana" w:eastAsia="Calibri" w:hAnsi="Verdana" w:cs="Arial"/>
        </w:rPr>
        <w:t>.</w:t>
      </w:r>
      <w:r w:rsidRPr="00B80951">
        <w:rPr>
          <w:rFonts w:ascii="Verdana" w:eastAsia="Aptos" w:hAnsi="Verdana" w:cs="Arial"/>
          <w:shd w:val="clear" w:color="auto" w:fill="FFFFFF"/>
        </w:rPr>
        <w:t xml:space="preserve"> De igual modo, </w:t>
      </w:r>
      <w:r w:rsidRPr="00B80951">
        <w:rPr>
          <w:rFonts w:ascii="Verdana" w:hAnsi="Verdana" w:cs="Arial"/>
          <w:shd w:val="clear" w:color="auto" w:fill="FFFFFF"/>
        </w:rPr>
        <w:t xml:space="preserve">estos y otros </w:t>
      </w:r>
      <w:r w:rsidRPr="00B80951">
        <w:rPr>
          <w:rFonts w:ascii="Verdana" w:hAnsi="Verdana"/>
        </w:rPr>
        <w:t>conceptos se encuentran disponibles para consulta en el Sistema de relatoría de la Agencia, al cual se puede acceder a través del siguiente enlace</w:t>
      </w:r>
      <w:hyperlink r:id="rId17" w:history="1">
        <w:r w:rsidRPr="00D96A70">
          <w:rPr>
            <w:rStyle w:val="Hipervnculo"/>
            <w:rFonts w:ascii="Verdana" w:hAnsi="Verdana" w:cs="Arial"/>
            <w:shd w:val="clear" w:color="auto" w:fill="FFFFFF"/>
          </w:rPr>
          <w:t>https://relatoria.colombiacompra.gov.co/busqueda/conceptos</w:t>
        </w:r>
      </w:hyperlink>
      <w:r w:rsidRPr="00B80951">
        <w:rPr>
          <w:rFonts w:ascii="Verdana" w:hAnsi="Verdana" w:cs="Arial"/>
          <w:shd w:val="clear" w:color="auto" w:fill="FFFFFF"/>
        </w:rPr>
        <w:t>.</w:t>
      </w:r>
      <w:r w:rsidRPr="00B80951">
        <w:rPr>
          <w:rFonts w:ascii="Verdana" w:hAnsi="Verdana" w:cs="Arial"/>
          <w:color w:val="FF0000"/>
          <w:shd w:val="clear" w:color="auto" w:fill="FFFFFF"/>
        </w:rPr>
        <w:t xml:space="preserve"> </w:t>
      </w:r>
      <w:r w:rsidRPr="00B80951">
        <w:rPr>
          <w:rFonts w:ascii="Verdana" w:hAnsi="Verdana" w:cs="Arial"/>
          <w:color w:val="000000" w:themeColor="text1"/>
          <w:shd w:val="clear" w:color="auto" w:fill="FFFFFF"/>
        </w:rPr>
        <w:t>  </w:t>
      </w:r>
    </w:p>
    <w:p w14:paraId="260DBBD2" w14:textId="77777777" w:rsidR="00392C9E" w:rsidRPr="00B80951" w:rsidRDefault="00392C9E" w:rsidP="00392C9E">
      <w:pPr>
        <w:spacing w:after="0" w:line="276" w:lineRule="auto"/>
        <w:jc w:val="both"/>
        <w:rPr>
          <w:rFonts w:ascii="Verdana" w:hAnsi="Verdana"/>
        </w:rPr>
      </w:pPr>
    </w:p>
    <w:p w14:paraId="77EB1D9C" w14:textId="77777777" w:rsidR="00392C9E" w:rsidRPr="00B80951" w:rsidRDefault="00392C9E" w:rsidP="00392C9E">
      <w:pPr>
        <w:spacing w:after="0" w:line="276" w:lineRule="auto"/>
        <w:jc w:val="both"/>
        <w:rPr>
          <w:rFonts w:ascii="Verdana" w:hAnsi="Verdana"/>
        </w:rPr>
      </w:pPr>
      <w:r w:rsidRPr="00B80951">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1DBDDF7" w14:textId="77777777" w:rsidR="00392C9E" w:rsidRPr="00B80951" w:rsidRDefault="00392C9E" w:rsidP="00392C9E">
      <w:pPr>
        <w:spacing w:after="0" w:line="276" w:lineRule="auto"/>
        <w:jc w:val="both"/>
        <w:rPr>
          <w:rFonts w:ascii="Verdana" w:hAnsi="Verdana"/>
        </w:rPr>
      </w:pPr>
    </w:p>
    <w:p w14:paraId="3ADEFC9C" w14:textId="77777777" w:rsidR="00392C9E" w:rsidRPr="00B80951" w:rsidRDefault="00392C9E" w:rsidP="00392C9E">
      <w:pPr>
        <w:pStyle w:val="Prrafodelista"/>
        <w:numPr>
          <w:ilvl w:val="0"/>
          <w:numId w:val="9"/>
        </w:numPr>
        <w:spacing w:after="0" w:line="276" w:lineRule="auto"/>
        <w:jc w:val="both"/>
        <w:rPr>
          <w:rFonts w:ascii="Verdana" w:hAnsi="Verdana"/>
        </w:rPr>
      </w:pPr>
      <w:r w:rsidRPr="00B80951">
        <w:rPr>
          <w:rFonts w:ascii="Verdana" w:hAnsi="Verdana"/>
        </w:rPr>
        <w:t>Línea nacional gratuita o servicio a la ciudadanía: 01800 0520808</w:t>
      </w:r>
    </w:p>
    <w:p w14:paraId="178DC923" w14:textId="77777777" w:rsidR="00392C9E" w:rsidRPr="00B80951" w:rsidRDefault="00392C9E" w:rsidP="00392C9E">
      <w:pPr>
        <w:pStyle w:val="Prrafodelista"/>
        <w:numPr>
          <w:ilvl w:val="0"/>
          <w:numId w:val="9"/>
        </w:numPr>
        <w:spacing w:after="0" w:line="276" w:lineRule="auto"/>
        <w:jc w:val="both"/>
        <w:rPr>
          <w:rFonts w:ascii="Verdana" w:hAnsi="Verdana"/>
        </w:rPr>
      </w:pPr>
      <w:r w:rsidRPr="00B80951">
        <w:rPr>
          <w:rFonts w:ascii="Verdana" w:hAnsi="Verdana"/>
        </w:rPr>
        <w:t>Línea en Bogotá (Mesa de servicio): +57 601 7456788</w:t>
      </w:r>
    </w:p>
    <w:p w14:paraId="3569FCBC" w14:textId="77777777" w:rsidR="00392C9E" w:rsidRPr="00B80951" w:rsidRDefault="00392C9E" w:rsidP="00392C9E">
      <w:pPr>
        <w:pStyle w:val="Prrafodelista"/>
        <w:numPr>
          <w:ilvl w:val="0"/>
          <w:numId w:val="9"/>
        </w:numPr>
        <w:spacing w:after="0" w:line="276" w:lineRule="auto"/>
        <w:jc w:val="both"/>
        <w:rPr>
          <w:rFonts w:ascii="Verdana" w:hAnsi="Verdana"/>
        </w:rPr>
      </w:pPr>
      <w:r w:rsidRPr="00B80951">
        <w:rPr>
          <w:rFonts w:ascii="Verdana" w:hAnsi="Verdana"/>
        </w:rPr>
        <w:t>Línea de servicio y atención al ciudadano: +57 601 7956600</w:t>
      </w:r>
    </w:p>
    <w:p w14:paraId="3E119AE7" w14:textId="77777777" w:rsidR="00392C9E" w:rsidRPr="00B80951" w:rsidRDefault="00392C9E" w:rsidP="00392C9E">
      <w:pPr>
        <w:pStyle w:val="Prrafodelista"/>
        <w:numPr>
          <w:ilvl w:val="0"/>
          <w:numId w:val="9"/>
        </w:numPr>
        <w:spacing w:after="0" w:line="276" w:lineRule="auto"/>
        <w:jc w:val="both"/>
        <w:rPr>
          <w:rFonts w:ascii="Verdana" w:hAnsi="Verdana"/>
        </w:rPr>
      </w:pPr>
      <w:r w:rsidRPr="00B80951">
        <w:rPr>
          <w:rFonts w:ascii="Verdana" w:hAnsi="Verdana"/>
        </w:rPr>
        <w:lastRenderedPageBreak/>
        <w:t xml:space="preserve">Página web: </w:t>
      </w:r>
      <w:hyperlink r:id="rId18" w:history="1">
        <w:r w:rsidRPr="00B80951">
          <w:rPr>
            <w:rStyle w:val="Hipervnculo"/>
            <w:rFonts w:ascii="Verdana" w:hAnsi="Verdana"/>
          </w:rPr>
          <w:t>www.colombiacompra.gov.co</w:t>
        </w:r>
      </w:hyperlink>
    </w:p>
    <w:p w14:paraId="44706B41" w14:textId="77777777" w:rsidR="00392C9E" w:rsidRPr="00B80951" w:rsidRDefault="00392C9E" w:rsidP="00392C9E">
      <w:pPr>
        <w:pStyle w:val="Prrafodelista"/>
        <w:spacing w:after="0" w:line="276" w:lineRule="auto"/>
        <w:ind w:left="785"/>
        <w:jc w:val="both"/>
        <w:rPr>
          <w:rFonts w:ascii="Verdana" w:hAnsi="Verdana"/>
        </w:rPr>
      </w:pPr>
    </w:p>
    <w:p w14:paraId="27CF8690" w14:textId="77777777" w:rsidR="00392C9E" w:rsidRPr="00B80951" w:rsidRDefault="00392C9E" w:rsidP="00392C9E">
      <w:pPr>
        <w:spacing w:after="0" w:line="276" w:lineRule="auto"/>
        <w:jc w:val="both"/>
        <w:rPr>
          <w:rFonts w:ascii="Verdana" w:hAnsi="Verdana"/>
        </w:rPr>
      </w:pPr>
      <w:r w:rsidRPr="00B80951">
        <w:rPr>
          <w:rFonts w:ascii="Verdana" w:hAnsi="Verdana"/>
        </w:rPr>
        <w:t xml:space="preserve">Por último, lo invitamos a seguirnos en las redes sociales en las cuales se difunde información institucional: </w:t>
      </w:r>
    </w:p>
    <w:p w14:paraId="5F6A1601" w14:textId="77777777" w:rsidR="00392C9E" w:rsidRPr="00B80951" w:rsidRDefault="00392C9E" w:rsidP="00392C9E">
      <w:pPr>
        <w:spacing w:after="0" w:line="276" w:lineRule="auto"/>
        <w:jc w:val="both"/>
        <w:rPr>
          <w:rFonts w:ascii="Verdana" w:hAnsi="Verdana"/>
        </w:rPr>
      </w:pPr>
    </w:p>
    <w:p w14:paraId="03DB2073" w14:textId="77777777" w:rsidR="00392C9E" w:rsidRPr="00B80951" w:rsidRDefault="00392C9E" w:rsidP="00392C9E">
      <w:pPr>
        <w:spacing w:after="0" w:line="276" w:lineRule="auto"/>
        <w:jc w:val="both"/>
        <w:rPr>
          <w:rFonts w:ascii="Verdana" w:hAnsi="Verdana"/>
        </w:rPr>
      </w:pPr>
      <w:r w:rsidRPr="00B80951">
        <w:rPr>
          <w:rFonts w:ascii="Verdana" w:hAnsi="Verdana"/>
        </w:rPr>
        <w:t xml:space="preserve">Twitter: </w:t>
      </w:r>
      <w:r w:rsidRPr="00B80951">
        <w:rPr>
          <w:rStyle w:val="Hipervnculo"/>
          <w:rFonts w:ascii="Verdana" w:hAnsi="Verdana"/>
        </w:rPr>
        <w:t>@colombiacompra</w:t>
      </w:r>
      <w:r w:rsidRPr="00B80951">
        <w:rPr>
          <w:rFonts w:ascii="Verdana" w:hAnsi="Verdana"/>
        </w:rPr>
        <w:t xml:space="preserve"> </w:t>
      </w:r>
    </w:p>
    <w:p w14:paraId="08788777" w14:textId="77777777" w:rsidR="00392C9E" w:rsidRPr="00B80951" w:rsidRDefault="00392C9E" w:rsidP="00392C9E">
      <w:pPr>
        <w:spacing w:after="0" w:line="276" w:lineRule="auto"/>
        <w:jc w:val="both"/>
        <w:rPr>
          <w:rFonts w:ascii="Verdana" w:hAnsi="Verdana"/>
        </w:rPr>
      </w:pPr>
      <w:r w:rsidRPr="00B80951">
        <w:rPr>
          <w:rFonts w:ascii="Verdana" w:hAnsi="Verdana"/>
        </w:rPr>
        <w:t xml:space="preserve">Facebook: </w:t>
      </w:r>
      <w:proofErr w:type="spellStart"/>
      <w:r w:rsidRPr="00B80951">
        <w:rPr>
          <w:rStyle w:val="Hipervnculo"/>
          <w:rFonts w:ascii="Verdana" w:hAnsi="Verdana"/>
        </w:rPr>
        <w:t>ColombiaCompraEficiente</w:t>
      </w:r>
      <w:proofErr w:type="spellEnd"/>
    </w:p>
    <w:p w14:paraId="12F18FBD" w14:textId="77777777" w:rsidR="00392C9E" w:rsidRPr="00B80951" w:rsidRDefault="00392C9E" w:rsidP="00392C9E">
      <w:pPr>
        <w:spacing w:after="0" w:line="276" w:lineRule="auto"/>
        <w:jc w:val="both"/>
        <w:rPr>
          <w:rFonts w:ascii="Verdana" w:hAnsi="Verdana"/>
        </w:rPr>
      </w:pPr>
      <w:r w:rsidRPr="00B80951">
        <w:rPr>
          <w:rFonts w:ascii="Verdana" w:hAnsi="Verdana"/>
        </w:rPr>
        <w:t xml:space="preserve">LinkedIn: </w:t>
      </w:r>
      <w:r w:rsidRPr="00B80951">
        <w:rPr>
          <w:rStyle w:val="Hipervnculo"/>
          <w:rFonts w:ascii="Verdana" w:hAnsi="Verdana"/>
        </w:rPr>
        <w:t>Agencia Nacional de Contratación Pública - Colombia Compra Eficiente</w:t>
      </w:r>
      <w:r w:rsidRPr="00B80951">
        <w:rPr>
          <w:rFonts w:ascii="Verdana" w:hAnsi="Verdana"/>
        </w:rPr>
        <w:t xml:space="preserve"> Instagram: </w:t>
      </w:r>
      <w:r w:rsidRPr="00B80951">
        <w:rPr>
          <w:rStyle w:val="Hipervnculo"/>
          <w:rFonts w:ascii="Verdana" w:hAnsi="Verdana"/>
        </w:rPr>
        <w:t>@colombiacompraeficiente_cce</w:t>
      </w:r>
    </w:p>
    <w:p w14:paraId="5823FF47" w14:textId="77777777" w:rsidR="00392C9E" w:rsidRPr="00B80951" w:rsidRDefault="00392C9E" w:rsidP="00392C9E">
      <w:pPr>
        <w:spacing w:after="0" w:line="276" w:lineRule="auto"/>
        <w:jc w:val="both"/>
        <w:rPr>
          <w:rFonts w:ascii="Verdana" w:hAnsi="Verdana"/>
        </w:rPr>
      </w:pPr>
    </w:p>
    <w:p w14:paraId="78053AC7" w14:textId="77777777" w:rsidR="00392C9E" w:rsidRPr="00B80951" w:rsidRDefault="00392C9E" w:rsidP="00392C9E">
      <w:pPr>
        <w:spacing w:after="0" w:line="276" w:lineRule="auto"/>
        <w:jc w:val="both"/>
        <w:rPr>
          <w:rFonts w:ascii="Verdana" w:eastAsia="Calibri" w:hAnsi="Verdana" w:cs="Times New Roman"/>
          <w:bCs/>
        </w:rPr>
      </w:pPr>
      <w:r w:rsidRPr="00B80951">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BACEB63" w14:textId="77777777" w:rsidR="00392C9E" w:rsidRPr="00B80951" w:rsidRDefault="00392C9E" w:rsidP="00392C9E">
      <w:pPr>
        <w:spacing w:after="0" w:line="276" w:lineRule="auto"/>
        <w:jc w:val="both"/>
        <w:rPr>
          <w:rFonts w:ascii="Verdana" w:eastAsia="Calibri" w:hAnsi="Verdana" w:cs="Times New Roman"/>
        </w:rPr>
      </w:pPr>
    </w:p>
    <w:p w14:paraId="33CF21FD" w14:textId="77777777" w:rsidR="00392C9E" w:rsidRPr="00B80951" w:rsidRDefault="00392C9E" w:rsidP="00392C9E">
      <w:pPr>
        <w:spacing w:after="0" w:line="276" w:lineRule="auto"/>
        <w:jc w:val="both"/>
        <w:rPr>
          <w:rFonts w:ascii="Verdana" w:eastAsia="Calibri" w:hAnsi="Verdana" w:cs="Times New Roman"/>
        </w:rPr>
      </w:pPr>
      <w:r w:rsidRPr="00B80951">
        <w:rPr>
          <w:rFonts w:ascii="Verdana" w:eastAsia="Calibri" w:hAnsi="Verdana" w:cs="Times New Roman"/>
        </w:rPr>
        <w:t>Atentamente</w:t>
      </w:r>
      <w:r>
        <w:rPr>
          <w:rFonts w:ascii="Verdana" w:eastAsia="Calibri" w:hAnsi="Verdana" w:cs="Times New Roman"/>
        </w:rPr>
        <w:t>,</w:t>
      </w:r>
    </w:p>
    <w:p w14:paraId="2C57A57A" w14:textId="77777777" w:rsidR="00392C9E" w:rsidRPr="00B80951" w:rsidRDefault="00392C9E" w:rsidP="00392C9E">
      <w:pPr>
        <w:spacing w:after="0" w:line="256" w:lineRule="auto"/>
        <w:jc w:val="center"/>
        <w:rPr>
          <w:rFonts w:ascii="Century Gothic" w:hAnsi="Century Gothic"/>
          <w:noProof/>
        </w:rPr>
      </w:pPr>
    </w:p>
    <w:p w14:paraId="23B18239" w14:textId="783E4234" w:rsidR="00392C9E" w:rsidRPr="00593A5F" w:rsidRDefault="00301473" w:rsidP="00301473">
      <w:pPr>
        <w:widowControl w:val="0"/>
        <w:autoSpaceDE w:val="0"/>
        <w:autoSpaceDN w:val="0"/>
        <w:spacing w:after="0" w:line="276" w:lineRule="auto"/>
        <w:jc w:val="center"/>
        <w:rPr>
          <w:rFonts w:ascii="Verdana" w:hAnsi="Verdana" w:cs="Arial"/>
        </w:rPr>
      </w:pPr>
      <w:r w:rsidRPr="004D5C25">
        <w:rPr>
          <w:rFonts w:ascii="Century Gothic" w:hAnsi="Century Gothic"/>
          <w:noProof/>
        </w:rPr>
        <w:drawing>
          <wp:inline distT="0" distB="0" distL="0" distR="0" wp14:anchorId="077EB7D6" wp14:editId="235F3249">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9"/>
                    <a:stretch>
                      <a:fillRect/>
                    </a:stretch>
                  </pic:blipFill>
                  <pic:spPr>
                    <a:xfrm>
                      <a:off x="0" y="0"/>
                      <a:ext cx="3394701" cy="1457365"/>
                    </a:xfrm>
                    <a:prstGeom prst="rect">
                      <a:avLst/>
                    </a:prstGeom>
                  </pic:spPr>
                </pic:pic>
              </a:graphicData>
            </a:graphic>
          </wp:inline>
        </w:drawing>
      </w:r>
    </w:p>
    <w:p w14:paraId="48D4FF12" w14:textId="30685536" w:rsidR="00871B59" w:rsidRPr="00593A5F" w:rsidRDefault="00871B59" w:rsidP="00871B59">
      <w:pPr>
        <w:spacing w:line="276" w:lineRule="auto"/>
        <w:jc w:val="center"/>
        <w:rPr>
          <w:rFonts w:ascii="Verdana" w:hAnsi="Verdana" w:cs="Arial"/>
          <w:color w:val="000000"/>
          <w:lang w:val="es-ES_tradnl" w:eastAsia="es-CO"/>
        </w:rPr>
      </w:pPr>
    </w:p>
    <w:tbl>
      <w:tblPr>
        <w:tblStyle w:val="Tablaconcuadrcula"/>
        <w:tblpPr w:leftFromText="141" w:rightFromText="141" w:vertAnchor="text" w:horzAnchor="margin" w:tblpY="-190"/>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92C9E" w:rsidRPr="00EA1223" w14:paraId="617CF906" w14:textId="77777777" w:rsidTr="00634EFB">
        <w:trPr>
          <w:trHeight w:val="315"/>
        </w:trPr>
        <w:tc>
          <w:tcPr>
            <w:tcW w:w="893" w:type="dxa"/>
            <w:vAlign w:val="center"/>
            <w:hideMark/>
          </w:tcPr>
          <w:p w14:paraId="2434D4C4" w14:textId="77777777" w:rsidR="00392C9E" w:rsidRPr="00EA1223" w:rsidRDefault="00392C9E" w:rsidP="00634EFB">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9D31F39" w14:textId="77777777" w:rsidR="00392C9E" w:rsidRPr="00EA1223" w:rsidRDefault="00392C9E" w:rsidP="00634EFB">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53619424" w14:textId="77777777" w:rsidR="00392C9E" w:rsidRPr="00EA1223" w:rsidRDefault="00392C9E" w:rsidP="00634EFB">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392C9E" w:rsidRPr="00EA1223" w14:paraId="738130D8" w14:textId="77777777" w:rsidTr="00634EFB">
        <w:trPr>
          <w:trHeight w:val="330"/>
        </w:trPr>
        <w:tc>
          <w:tcPr>
            <w:tcW w:w="893" w:type="dxa"/>
            <w:vAlign w:val="center"/>
            <w:hideMark/>
          </w:tcPr>
          <w:p w14:paraId="126A541E" w14:textId="77777777" w:rsidR="00392C9E" w:rsidRPr="00EA1223" w:rsidRDefault="00392C9E" w:rsidP="00634EFB">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29BCD2" w14:textId="77777777" w:rsidR="00392C9E" w:rsidRPr="00EA1223" w:rsidRDefault="00392C9E" w:rsidP="00634EFB">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Carlos Gonzáles Vásquez</w:t>
            </w:r>
          </w:p>
          <w:p w14:paraId="203D876D" w14:textId="77777777" w:rsidR="00392C9E" w:rsidRPr="00EA1223" w:rsidRDefault="00392C9E" w:rsidP="00634EFB">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392C9E" w:rsidRPr="00EA1223" w14:paraId="20EC64E8" w14:textId="77777777" w:rsidTr="00634EFB">
        <w:trPr>
          <w:trHeight w:val="300"/>
        </w:trPr>
        <w:tc>
          <w:tcPr>
            <w:tcW w:w="893" w:type="dxa"/>
            <w:vAlign w:val="center"/>
          </w:tcPr>
          <w:p w14:paraId="3E3BBCEA" w14:textId="77777777" w:rsidR="00392C9E" w:rsidRPr="00EA1223" w:rsidRDefault="00392C9E" w:rsidP="00634EFB">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4CB2CCF" w14:textId="77777777" w:rsidR="00392C9E" w:rsidRPr="00EA1223" w:rsidRDefault="00392C9E" w:rsidP="00634EFB">
            <w:pPr>
              <w:contextualSpacing/>
              <w:rPr>
                <w:rFonts w:ascii="Verdana" w:eastAsia="Calibri" w:hAnsi="Verdana" w:cs="Arial"/>
                <w:sz w:val="16"/>
                <w:szCs w:val="16"/>
                <w:lang w:val="pt-BR" w:eastAsia="es-ES"/>
              </w:rPr>
            </w:pPr>
            <w:r w:rsidRPr="00EA1223">
              <w:rPr>
                <w:rFonts w:ascii="Verdana" w:eastAsia="Calibri" w:hAnsi="Verdana" w:cs="Arial"/>
                <w:sz w:val="16"/>
                <w:szCs w:val="16"/>
                <w:lang w:val="pt-BR" w:eastAsia="es-ES"/>
              </w:rPr>
              <w:t xml:space="preserve">Carolina Quintero </w:t>
            </w:r>
            <w:proofErr w:type="spellStart"/>
            <w:r w:rsidRPr="00EA1223">
              <w:rPr>
                <w:rFonts w:ascii="Verdana" w:eastAsia="Calibri" w:hAnsi="Verdana" w:cs="Arial"/>
                <w:sz w:val="16"/>
                <w:szCs w:val="16"/>
                <w:lang w:val="pt-BR" w:eastAsia="es-ES"/>
              </w:rPr>
              <w:t>Gacharná</w:t>
            </w:r>
            <w:proofErr w:type="spellEnd"/>
          </w:p>
          <w:p w14:paraId="5182C5D5" w14:textId="77777777" w:rsidR="00392C9E" w:rsidRPr="00EA1223" w:rsidRDefault="00392C9E" w:rsidP="00634EFB">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p>
        </w:tc>
      </w:tr>
    </w:tbl>
    <w:p w14:paraId="0E683EC9" w14:textId="77777777" w:rsidR="00871B59" w:rsidRPr="00593A5F" w:rsidRDefault="00871B59" w:rsidP="00871B59">
      <w:pPr>
        <w:spacing w:after="0" w:line="240" w:lineRule="auto"/>
        <w:rPr>
          <w:rFonts w:ascii="Verdana" w:eastAsia="Times New Roman" w:hAnsi="Verdana" w:cs="Arial"/>
          <w:sz w:val="24"/>
          <w:szCs w:val="24"/>
          <w:lang w:eastAsia="es-ES"/>
        </w:rPr>
      </w:pPr>
    </w:p>
    <w:p w14:paraId="503D6DED" w14:textId="77777777" w:rsidR="5D8505AD" w:rsidRPr="00871B59" w:rsidRDefault="5D8505AD" w:rsidP="00871B59"/>
    <w:sectPr w:rsidR="5D8505AD" w:rsidRPr="00871B59" w:rsidSect="00E45F4B">
      <w:headerReference w:type="default" r:id="rId20"/>
      <w:footerReference w:type="default" r:id="rId21"/>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489487" w14:textId="77777777" w:rsidR="00375FFF" w:rsidRDefault="00375FFF" w:rsidP="00B30448">
      <w:pPr>
        <w:spacing w:after="0" w:line="240" w:lineRule="auto"/>
      </w:pPr>
      <w:r>
        <w:separator/>
      </w:r>
    </w:p>
  </w:endnote>
  <w:endnote w:type="continuationSeparator" w:id="0">
    <w:p w14:paraId="22B0502F" w14:textId="77777777" w:rsidR="00375FFF" w:rsidRDefault="00375FFF" w:rsidP="00B30448">
      <w:pPr>
        <w:spacing w:after="0" w:line="240" w:lineRule="auto"/>
      </w:pPr>
      <w:r>
        <w:continuationSeparator/>
      </w:r>
    </w:p>
  </w:endnote>
  <w:endnote w:type="continuationNotice" w:id="1">
    <w:p w14:paraId="76D5AAD5" w14:textId="77777777" w:rsidR="00375FFF" w:rsidRDefault="00375F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Geomanist Bold">
    <w:altName w:val="Calibri"/>
    <w:panose1 w:val="020B06040202020202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BD1F5" w14:textId="77777777" w:rsidR="000849D5" w:rsidRDefault="000849D5" w:rsidP="000849D5">
    <w:pPr>
      <w:spacing w:after="0"/>
      <w:rPr>
        <w:rFonts w:ascii="Verdana" w:hAnsi="Verdana"/>
        <w:b/>
        <w:bCs/>
        <w:sz w:val="20"/>
        <w:szCs w:val="20"/>
      </w:rPr>
    </w:pPr>
  </w:p>
  <w:p w14:paraId="0C124679"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42658B7"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3E2631C5"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5A50271F"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4FF9BC9B" w14:textId="77777777" w:rsidR="000849D5" w:rsidRPr="007D04B2" w:rsidRDefault="000849D5" w:rsidP="000849D5">
    <w:pPr>
      <w:pStyle w:val="Piedepgina"/>
    </w:pPr>
  </w:p>
  <w:p w14:paraId="3AC5792D"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9052D" w14:textId="77777777" w:rsidR="00375FFF" w:rsidRDefault="00375FFF" w:rsidP="00B30448">
      <w:pPr>
        <w:spacing w:after="0" w:line="240" w:lineRule="auto"/>
      </w:pPr>
      <w:r>
        <w:separator/>
      </w:r>
    </w:p>
  </w:footnote>
  <w:footnote w:type="continuationSeparator" w:id="0">
    <w:p w14:paraId="4392389B" w14:textId="77777777" w:rsidR="00375FFF" w:rsidRDefault="00375FFF" w:rsidP="00B30448">
      <w:pPr>
        <w:spacing w:after="0" w:line="240" w:lineRule="auto"/>
      </w:pPr>
      <w:r>
        <w:continuationSeparator/>
      </w:r>
    </w:p>
  </w:footnote>
  <w:footnote w:type="continuationNotice" w:id="1">
    <w:p w14:paraId="1CDB4D81" w14:textId="77777777" w:rsidR="00375FFF" w:rsidRDefault="00375FFF">
      <w:pPr>
        <w:spacing w:after="0" w:line="240" w:lineRule="auto"/>
      </w:pPr>
    </w:p>
  </w:footnote>
  <w:footnote w:id="2">
    <w:p w14:paraId="18A5A314"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Style w:val="Refdenotaalpie"/>
          <w:rFonts w:ascii="Verdana" w:hAnsi="Verdana" w:cs="Arial"/>
          <w:color w:val="000000" w:themeColor="text1"/>
          <w:sz w:val="16"/>
          <w:szCs w:val="16"/>
        </w:rPr>
        <w:footnoteRef/>
      </w:r>
      <w:r w:rsidRPr="00B365C1">
        <w:rPr>
          <w:rFonts w:ascii="Verdana" w:hAnsi="Verdana" w:cs="Arial"/>
          <w:color w:val="000000" w:themeColor="text1"/>
          <w:sz w:val="16"/>
          <w:szCs w:val="16"/>
        </w:rPr>
        <w:t xml:space="preserve"> </w:t>
      </w:r>
      <w:r w:rsidRPr="00B365C1">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256E0338"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087E43BA"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 </w:t>
      </w:r>
    </w:p>
    <w:p w14:paraId="6EF8FBE0"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60E3C140"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1C799E47"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3">
    <w:p w14:paraId="00B9BE19"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Style w:val="Refdenotaalpie"/>
          <w:rFonts w:ascii="Verdana" w:hAnsi="Verdana" w:cs="Arial"/>
          <w:color w:val="000000" w:themeColor="text1"/>
          <w:sz w:val="16"/>
          <w:szCs w:val="16"/>
        </w:rPr>
        <w:footnoteRef/>
      </w:r>
      <w:r w:rsidRPr="00B365C1">
        <w:rPr>
          <w:rFonts w:ascii="Verdana" w:hAnsi="Verdana" w:cs="Arial"/>
          <w:color w:val="000000" w:themeColor="text1"/>
          <w:sz w:val="16"/>
          <w:szCs w:val="16"/>
        </w:rPr>
        <w:t xml:space="preserve"> </w:t>
      </w:r>
      <w:r w:rsidRPr="00B365C1">
        <w:rPr>
          <w:rFonts w:ascii="Verdana" w:hAnsi="Verdana" w:cs="Arial"/>
          <w:color w:val="000000" w:themeColor="text1"/>
          <w:sz w:val="16"/>
          <w:szCs w:val="16"/>
          <w:lang w:val="es-CO"/>
        </w:rPr>
        <w:t xml:space="preserve">“Artículo </w:t>
      </w:r>
      <w:bookmarkStart w:id="1" w:name="_Hlk67919994"/>
      <w:r w:rsidRPr="00B365C1">
        <w:rPr>
          <w:rFonts w:ascii="Verdana" w:hAnsi="Verdana" w:cs="Arial"/>
          <w:color w:val="000000" w:themeColor="text1"/>
          <w:sz w:val="16"/>
          <w:szCs w:val="16"/>
          <w:lang w:val="es-CO"/>
        </w:rPr>
        <w:t>2.2.1.2.3.1.7</w:t>
      </w:r>
      <w:bookmarkEnd w:id="1"/>
      <w:r w:rsidRPr="00B365C1">
        <w:rPr>
          <w:rFonts w:ascii="Verdana" w:hAnsi="Verdana" w:cs="Arial"/>
          <w:color w:val="000000" w:themeColor="text1"/>
          <w:sz w:val="16"/>
          <w:szCs w:val="16"/>
          <w:lang w:val="es-CO"/>
        </w:rPr>
        <w:t xml:space="preserve">. Garantía de cumplimiento. La garantía de cumplimiento del contrato debe cubrir: </w:t>
      </w:r>
    </w:p>
    <w:p w14:paraId="70BE7050" w14:textId="77777777" w:rsidR="007B70CB" w:rsidRPr="00B365C1" w:rsidRDefault="007B70CB" w:rsidP="007B70CB">
      <w:pPr>
        <w:pStyle w:val="Textonotapie"/>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  </w:t>
      </w:r>
      <w:r w:rsidRPr="00B365C1">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w:t>
      </w:r>
      <w:proofErr w:type="spellStart"/>
      <w:r w:rsidRPr="00B365C1">
        <w:rPr>
          <w:rFonts w:ascii="Verdana" w:hAnsi="Verdana" w:cs="Arial"/>
          <w:color w:val="000000" w:themeColor="text1"/>
          <w:sz w:val="16"/>
          <w:szCs w:val="16"/>
          <w:lang w:val="es-CO"/>
        </w:rPr>
        <w:t>ii</w:t>
      </w:r>
      <w:proofErr w:type="spellEnd"/>
      <w:r w:rsidRPr="00B365C1">
        <w:rPr>
          <w:rFonts w:ascii="Verdana" w:hAnsi="Verdana" w:cs="Arial"/>
          <w:color w:val="000000" w:themeColor="text1"/>
          <w:sz w:val="16"/>
          <w:szCs w:val="16"/>
          <w:lang w:val="es-CO"/>
        </w:rPr>
        <w:t>) el uso indebido del anticipo; y (</w:t>
      </w:r>
      <w:proofErr w:type="spellStart"/>
      <w:r w:rsidRPr="00B365C1">
        <w:rPr>
          <w:rFonts w:ascii="Verdana" w:hAnsi="Verdana" w:cs="Arial"/>
          <w:color w:val="000000" w:themeColor="text1"/>
          <w:sz w:val="16"/>
          <w:szCs w:val="16"/>
          <w:lang w:val="es-CO"/>
        </w:rPr>
        <w:t>iii</w:t>
      </w:r>
      <w:proofErr w:type="spellEnd"/>
      <w:r w:rsidRPr="00B365C1">
        <w:rPr>
          <w:rFonts w:ascii="Verdana" w:hAnsi="Verdana" w:cs="Arial"/>
          <w:color w:val="000000" w:themeColor="text1"/>
          <w:sz w:val="16"/>
          <w:szCs w:val="16"/>
          <w:lang w:val="es-CO"/>
        </w:rPr>
        <w:t>) la apropiación indebida de los recursos recibidos en calidad de anticipo</w:t>
      </w:r>
    </w:p>
    <w:p w14:paraId="54E7A5D9"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55D253B7"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3. Cumplimiento del contrato. Este amparo cubre a la Entidad Estatal de los perjuicios derivados de: </w:t>
      </w:r>
    </w:p>
    <w:p w14:paraId="00E2842D" w14:textId="77777777" w:rsidR="007B70CB" w:rsidRPr="00B365C1" w:rsidRDefault="007B70CB" w:rsidP="007B70CB">
      <w:pPr>
        <w:pStyle w:val="Textonotapie"/>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  </w:t>
      </w:r>
      <w:r w:rsidRPr="00B365C1">
        <w:rPr>
          <w:rFonts w:ascii="Verdana" w:hAnsi="Verdana" w:cs="Arial"/>
          <w:color w:val="000000" w:themeColor="text1"/>
          <w:sz w:val="16"/>
          <w:szCs w:val="16"/>
          <w:lang w:val="es-CO"/>
        </w:rPr>
        <w:tab/>
        <w:t xml:space="preserve">3.1. </w:t>
      </w:r>
      <w:bookmarkStart w:id="2" w:name="_Hlk67920056"/>
      <w:r w:rsidRPr="00B365C1">
        <w:rPr>
          <w:rFonts w:ascii="Verdana" w:hAnsi="Verdana" w:cs="Arial"/>
          <w:color w:val="000000" w:themeColor="text1"/>
          <w:sz w:val="16"/>
          <w:szCs w:val="16"/>
          <w:lang w:val="es-CO"/>
        </w:rPr>
        <w:t xml:space="preserve">El incumplimiento total o parcial del contrato, cuando el incumplimiento es imputable al contratista; </w:t>
      </w:r>
    </w:p>
    <w:p w14:paraId="0CF56D05" w14:textId="77777777" w:rsidR="007B70CB" w:rsidRPr="00B365C1" w:rsidRDefault="007B70CB" w:rsidP="007B70CB">
      <w:pPr>
        <w:pStyle w:val="Textonotapie"/>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  </w:t>
      </w:r>
      <w:r w:rsidRPr="00B365C1">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3E6414E9"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2"/>
    <w:p w14:paraId="2083078D"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3.4. El pago del valor de las multas y de la cláusula penal pecuniaria. </w:t>
      </w:r>
    </w:p>
    <w:p w14:paraId="5DC5605F"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780F0688"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737A906E"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4003C3EC"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6B80073A"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29A23BC0"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r w:rsidRPr="00B365C1">
        <w:rPr>
          <w:rFonts w:ascii="Verdana" w:hAnsi="Verdana" w:cs="Arial"/>
          <w:color w:val="000000" w:themeColor="text1"/>
          <w:sz w:val="16"/>
          <w:szCs w:val="16"/>
          <w:lang w:val="es-CO"/>
        </w:rPr>
        <w:t xml:space="preserve">8. </w:t>
      </w:r>
      <w:bookmarkStart w:id="3" w:name="_Hlk143267015"/>
      <w:r w:rsidRPr="00B365C1">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3"/>
      <w:r w:rsidRPr="00B365C1">
        <w:rPr>
          <w:rFonts w:ascii="Verdana" w:hAnsi="Verdana" w:cs="Arial"/>
          <w:color w:val="000000" w:themeColor="text1"/>
          <w:sz w:val="16"/>
          <w:szCs w:val="16"/>
          <w:lang w:val="es-CO"/>
        </w:rPr>
        <w:t>”.</w:t>
      </w:r>
    </w:p>
    <w:p w14:paraId="4FDAFC02" w14:textId="77777777" w:rsidR="007B70CB" w:rsidRPr="00B365C1" w:rsidRDefault="007B70CB" w:rsidP="007B70CB">
      <w:pPr>
        <w:pStyle w:val="Textonotapie"/>
        <w:ind w:firstLine="708"/>
        <w:jc w:val="both"/>
        <w:rPr>
          <w:rFonts w:ascii="Verdana" w:hAnsi="Verdana" w:cs="Arial"/>
          <w:color w:val="000000" w:themeColor="text1"/>
          <w:sz w:val="16"/>
          <w:szCs w:val="16"/>
          <w:lang w:val="es-CO"/>
        </w:rPr>
      </w:pPr>
    </w:p>
  </w:footnote>
  <w:footnote w:id="4">
    <w:p w14:paraId="1F02A89A" w14:textId="77777777" w:rsidR="007B70CB" w:rsidRDefault="007B70CB" w:rsidP="007B70CB">
      <w:pPr>
        <w:pStyle w:val="Textonotapie"/>
        <w:ind w:firstLine="708"/>
        <w:jc w:val="both"/>
        <w:rPr>
          <w:rFonts w:ascii="Verdana" w:hAnsi="Verdana" w:cs="Arial"/>
          <w:sz w:val="14"/>
          <w:szCs w:val="14"/>
        </w:rPr>
      </w:pPr>
      <w:r w:rsidRPr="00526D22">
        <w:rPr>
          <w:rStyle w:val="Refdenotaalpie"/>
          <w:rFonts w:ascii="Verdana" w:hAnsi="Verdana" w:cs="Arial"/>
          <w:sz w:val="14"/>
          <w:szCs w:val="14"/>
        </w:rPr>
        <w:footnoteRef/>
      </w:r>
      <w:r w:rsidRPr="00526D22">
        <w:rPr>
          <w:rFonts w:ascii="Verdana" w:hAnsi="Verdana" w:cs="Arial"/>
          <w:sz w:val="14"/>
          <w:szCs w:val="14"/>
        </w:rPr>
        <w:t xml:space="preserve"> Consejo de Estado, Sección Tercera, Subsección B. Sentencia de 28 de junio de 2012. Radicación número: 25000-23-26-000-1997-05346-01(23966). C.P: Stella Conto Diaz Del Castillo.</w:t>
      </w:r>
    </w:p>
    <w:p w14:paraId="440AE78C" w14:textId="77777777" w:rsidR="007B70CB" w:rsidRPr="00526D22" w:rsidRDefault="007B70CB" w:rsidP="007B70CB">
      <w:pPr>
        <w:pStyle w:val="Textonotapie"/>
        <w:ind w:firstLine="708"/>
        <w:jc w:val="both"/>
        <w:rPr>
          <w:rFonts w:ascii="Verdana" w:hAnsi="Verdana" w:cs="Arial"/>
          <w:sz w:val="14"/>
          <w:szCs w:val="14"/>
        </w:rPr>
      </w:pPr>
    </w:p>
  </w:footnote>
  <w:footnote w:id="5">
    <w:p w14:paraId="7161CA43" w14:textId="77777777" w:rsidR="007B70CB" w:rsidRDefault="007B70CB" w:rsidP="007B70CB">
      <w:pPr>
        <w:pStyle w:val="Textonotapie"/>
        <w:ind w:firstLine="708"/>
        <w:jc w:val="both"/>
        <w:rPr>
          <w:rFonts w:ascii="Verdana" w:hAnsi="Verdana" w:cs="Arial"/>
          <w:sz w:val="14"/>
          <w:szCs w:val="14"/>
          <w:shd w:val="clear" w:color="auto" w:fill="FFFFFF"/>
        </w:rPr>
      </w:pPr>
      <w:r w:rsidRPr="00526D22">
        <w:rPr>
          <w:rStyle w:val="Refdenotaalpie"/>
          <w:rFonts w:ascii="Verdana" w:hAnsi="Verdana" w:cs="Arial"/>
          <w:sz w:val="14"/>
          <w:szCs w:val="14"/>
        </w:rPr>
        <w:footnoteRef/>
      </w:r>
      <w:r w:rsidRPr="00526D22">
        <w:rPr>
          <w:rFonts w:ascii="Verdana" w:hAnsi="Verdana" w:cs="Arial"/>
          <w:sz w:val="14"/>
          <w:szCs w:val="14"/>
        </w:rPr>
        <w:t xml:space="preserve"> De conformidad con el artículo </w:t>
      </w:r>
      <w:r w:rsidRPr="00526D22">
        <w:rPr>
          <w:rStyle w:val="Textoennegrita"/>
          <w:rFonts w:ascii="Verdana" w:hAnsi="Verdana" w:cs="Arial"/>
          <w:sz w:val="14"/>
          <w:szCs w:val="14"/>
          <w:shd w:val="clear" w:color="auto" w:fill="FFFFFF"/>
        </w:rPr>
        <w:t>2.2.1.2.3.1.5</w:t>
      </w:r>
      <w:r w:rsidRPr="00526D22">
        <w:rPr>
          <w:rFonts w:ascii="Verdana" w:hAnsi="Verdana" w:cs="Arial"/>
          <w:sz w:val="14"/>
          <w:szCs w:val="14"/>
          <w:shd w:val="clear" w:color="auto" w:fill="FFFFFF"/>
        </w:rPr>
        <w:t xml:space="preserve"> del Decreto 1082 de 2015, </w:t>
      </w:r>
      <w:r w:rsidRPr="00526D22">
        <w:rPr>
          <w:rFonts w:ascii="Verdana" w:hAnsi="Verdana" w:cs="Arial"/>
          <w:sz w:val="14"/>
          <w:szCs w:val="14"/>
        </w:rPr>
        <w:t>“</w:t>
      </w:r>
      <w:r w:rsidRPr="00526D22">
        <w:rPr>
          <w:rFonts w:ascii="Verdana" w:hAnsi="Verdana" w:cs="Arial"/>
          <w:sz w:val="14"/>
          <w:szCs w:val="14"/>
          <w:shd w:val="clear" w:color="auto" w:fill="FFFFFF"/>
        </w:rPr>
        <w:t>La responsabilidad extracontractual de la administración derivada de las actuaciones, hechos u omisiones de sus contratistas o subcontratistas solamente puede ser amparada con un contrato de seguro</w:t>
      </w:r>
      <w:r w:rsidRPr="00526D22">
        <w:rPr>
          <w:rFonts w:ascii="Verdana" w:hAnsi="Verdana" w:cs="Arial"/>
          <w:sz w:val="14"/>
          <w:szCs w:val="14"/>
        </w:rPr>
        <w:t>”</w:t>
      </w:r>
      <w:r w:rsidRPr="00526D22">
        <w:rPr>
          <w:rFonts w:ascii="Verdana" w:hAnsi="Verdana" w:cs="Arial"/>
          <w:sz w:val="14"/>
          <w:szCs w:val="14"/>
          <w:shd w:val="clear" w:color="auto" w:fill="FFFFFF"/>
        </w:rPr>
        <w:t>.</w:t>
      </w:r>
    </w:p>
    <w:p w14:paraId="4F995577" w14:textId="77777777" w:rsidR="007B70CB" w:rsidRPr="00526D22" w:rsidRDefault="007B70CB" w:rsidP="007B70CB">
      <w:pPr>
        <w:pStyle w:val="Textonotapie"/>
        <w:ind w:firstLine="708"/>
        <w:jc w:val="both"/>
        <w:rPr>
          <w:rFonts w:ascii="Verdana" w:hAnsi="Verdana" w:cs="Arial"/>
          <w:sz w:val="14"/>
          <w:szCs w:val="14"/>
          <w:shd w:val="clear" w:color="auto" w:fill="FFFFFF"/>
        </w:rPr>
      </w:pPr>
    </w:p>
  </w:footnote>
  <w:footnote w:id="6">
    <w:p w14:paraId="48708A13" w14:textId="77777777" w:rsidR="007B70CB" w:rsidRDefault="007B70CB" w:rsidP="007B70CB">
      <w:pPr>
        <w:pStyle w:val="Textonotapie"/>
        <w:ind w:firstLine="709"/>
        <w:jc w:val="both"/>
        <w:rPr>
          <w:rFonts w:ascii="Verdana" w:hAnsi="Verdana" w:cs="Arial"/>
          <w:sz w:val="14"/>
          <w:szCs w:val="14"/>
        </w:rPr>
      </w:pPr>
      <w:r w:rsidRPr="00526D22">
        <w:rPr>
          <w:rStyle w:val="Refdenotaalpie"/>
          <w:rFonts w:ascii="Verdana" w:hAnsi="Verdana" w:cs="Arial"/>
          <w:sz w:val="14"/>
          <w:szCs w:val="14"/>
        </w:rPr>
        <w:footnoteRef/>
      </w:r>
      <w:r w:rsidRPr="00526D22">
        <w:rPr>
          <w:rFonts w:ascii="Verdana" w:hAnsi="Verdana" w:cs="Arial"/>
          <w:sz w:val="14"/>
          <w:szCs w:val="14"/>
        </w:rPr>
        <w:t xml:space="preserve"> Consejo de Estado, Sección Tercera, Subsección A. Sentencia del 14 de junio del 2019. Radicación número: 11001 03 26 000 2009 00047 00 (36860)</w:t>
      </w:r>
      <w:r w:rsidRPr="00526D22">
        <w:rPr>
          <w:rFonts w:ascii="Verdana" w:hAnsi="Verdana" w:cs="Arial"/>
          <w:sz w:val="14"/>
          <w:szCs w:val="14"/>
          <w:lang w:val="es-CO"/>
        </w:rPr>
        <w:t xml:space="preserve">. </w:t>
      </w:r>
      <w:r w:rsidRPr="00526D22">
        <w:rPr>
          <w:rFonts w:ascii="Verdana" w:hAnsi="Verdana" w:cs="Arial"/>
          <w:sz w:val="14"/>
          <w:szCs w:val="14"/>
        </w:rPr>
        <w:t>C.P: Carlos Alberto Zambrano Barrera.</w:t>
      </w:r>
    </w:p>
    <w:p w14:paraId="206DDE8F" w14:textId="77777777" w:rsidR="007B70CB" w:rsidRPr="00526D22" w:rsidRDefault="007B70CB" w:rsidP="007B70CB">
      <w:pPr>
        <w:pStyle w:val="Textonotapie"/>
        <w:ind w:firstLine="709"/>
        <w:jc w:val="both"/>
        <w:rPr>
          <w:rFonts w:ascii="Verdana" w:hAnsi="Verdana" w:cs="Arial"/>
          <w:sz w:val="14"/>
          <w:szCs w:val="14"/>
        </w:rPr>
      </w:pPr>
    </w:p>
  </w:footnote>
  <w:footnote w:id="7">
    <w:p w14:paraId="31FFDDC1" w14:textId="77777777" w:rsidR="007B70CB" w:rsidRPr="00526D22" w:rsidRDefault="007B70CB" w:rsidP="007B70CB">
      <w:pPr>
        <w:pStyle w:val="Textonotapie"/>
        <w:ind w:firstLine="709"/>
        <w:jc w:val="both"/>
        <w:rPr>
          <w:rFonts w:ascii="Verdana" w:hAnsi="Verdana" w:cs="Arial"/>
          <w:sz w:val="14"/>
          <w:szCs w:val="14"/>
          <w:lang w:val="es-CO"/>
        </w:rPr>
      </w:pPr>
      <w:r w:rsidRPr="00526D22">
        <w:rPr>
          <w:rStyle w:val="Refdenotaalpie"/>
          <w:rFonts w:ascii="Verdana" w:hAnsi="Verdana" w:cs="Arial"/>
          <w:sz w:val="14"/>
          <w:szCs w:val="14"/>
        </w:rPr>
        <w:footnoteRef/>
      </w:r>
      <w:r w:rsidRPr="00526D22">
        <w:rPr>
          <w:rFonts w:ascii="Verdana" w:hAnsi="Verdana" w:cs="Arial"/>
          <w:sz w:val="14"/>
          <w:szCs w:val="14"/>
        </w:rPr>
        <w:t xml:space="preserve"> Consejo de Estado, Sección Segunda, Subsección A. Sentencia del 25 de enero del 2018. Radicación número: </w:t>
      </w:r>
      <w:r w:rsidRPr="00526D22">
        <w:rPr>
          <w:rFonts w:ascii="Verdana" w:hAnsi="Verdana" w:cs="Arial"/>
          <w:sz w:val="14"/>
          <w:szCs w:val="14"/>
          <w:lang w:val="es-CO"/>
        </w:rPr>
        <w:t xml:space="preserve">11001-03-25-000-2011-00489-00(1924-11). </w:t>
      </w:r>
      <w:r w:rsidRPr="00526D22">
        <w:rPr>
          <w:rFonts w:ascii="Verdana" w:hAnsi="Verdana" w:cs="Arial"/>
          <w:sz w:val="14"/>
          <w:szCs w:val="14"/>
        </w:rPr>
        <w:t>C.P: Gabriel Valbuena Hernández.</w:t>
      </w:r>
    </w:p>
  </w:footnote>
  <w:footnote w:id="8">
    <w:p w14:paraId="3FEB0BBB" w14:textId="77777777" w:rsidR="007B70CB" w:rsidRPr="00526D22" w:rsidRDefault="007B70CB" w:rsidP="007B70CB">
      <w:pPr>
        <w:pStyle w:val="NormalWeb"/>
        <w:spacing w:after="0"/>
        <w:ind w:firstLine="709"/>
        <w:jc w:val="both"/>
        <w:rPr>
          <w:rFonts w:ascii="Verdana" w:hAnsi="Verdana" w:cs="Arial"/>
          <w:sz w:val="14"/>
          <w:szCs w:val="14"/>
        </w:rPr>
      </w:pPr>
      <w:r w:rsidRPr="00526D22">
        <w:rPr>
          <w:rStyle w:val="Refdenotaalpie"/>
          <w:rFonts w:ascii="Verdana" w:eastAsiaTheme="majorEastAsia" w:hAnsi="Verdana"/>
          <w:sz w:val="14"/>
          <w:szCs w:val="14"/>
        </w:rPr>
        <w:footnoteRef/>
      </w:r>
      <w:r w:rsidRPr="00526D22">
        <w:rPr>
          <w:rFonts w:ascii="Verdana" w:hAnsi="Verdana" w:cs="Arial"/>
          <w:sz w:val="14"/>
          <w:szCs w:val="14"/>
        </w:rPr>
        <w:t xml:space="preserve"> “Los documentos públicos autorizados o suscritos por medios electrónicos tienen la validez y fuerza probatoria que le confieren a los mismos las disposiciones del Código de Procedimiento Civil.</w:t>
      </w:r>
    </w:p>
    <w:p w14:paraId="372DDDE0" w14:textId="77777777" w:rsidR="007B70CB" w:rsidRPr="00526D22" w:rsidRDefault="007B70CB" w:rsidP="007B70CB">
      <w:pPr>
        <w:pStyle w:val="NormalWeb"/>
        <w:spacing w:after="0"/>
        <w:ind w:firstLine="709"/>
        <w:jc w:val="both"/>
        <w:rPr>
          <w:rFonts w:ascii="Verdana" w:hAnsi="Verdana" w:cs="Arial"/>
          <w:sz w:val="14"/>
          <w:szCs w:val="14"/>
        </w:rPr>
      </w:pPr>
      <w:r w:rsidRPr="00526D22">
        <w:rPr>
          <w:rFonts w:ascii="Verdana" w:hAnsi="Verdana" w:cs="Arial"/>
          <w:sz w:val="14"/>
          <w:szCs w:val="14"/>
        </w:rPr>
        <w:t>Las reproducciones efectuadas a partir de los respectivos archivos electrónicos se reputarán auténticas para todos los efectos legales”.</w:t>
      </w:r>
    </w:p>
    <w:p w14:paraId="75A5A527" w14:textId="77777777" w:rsidR="007B70CB" w:rsidRPr="00526D22" w:rsidRDefault="007B70CB" w:rsidP="007B70CB">
      <w:pPr>
        <w:pStyle w:val="NormalWeb"/>
        <w:spacing w:after="0"/>
        <w:ind w:firstLine="709"/>
        <w:jc w:val="both"/>
        <w:rPr>
          <w:rFonts w:ascii="Verdana" w:hAnsi="Verdana"/>
          <w:sz w:val="14"/>
          <w:szCs w:val="14"/>
        </w:rPr>
      </w:pPr>
      <w:r w:rsidRPr="00526D22">
        <w:rPr>
          <w:rFonts w:ascii="Verdana" w:hAnsi="Verdana"/>
          <w:sz w:val="14"/>
          <w:szCs w:val="14"/>
        </w:rPr>
        <w:t xml:space="preserve"> </w:t>
      </w:r>
    </w:p>
  </w:footnote>
  <w:footnote w:id="9">
    <w:p w14:paraId="6EBDADA5" w14:textId="77777777" w:rsidR="007B70CB" w:rsidRPr="00526D22" w:rsidRDefault="007B70CB" w:rsidP="007B70CB">
      <w:pPr>
        <w:pStyle w:val="Textonotapie"/>
        <w:ind w:firstLine="709"/>
        <w:jc w:val="both"/>
        <w:rPr>
          <w:rFonts w:ascii="Verdana" w:hAnsi="Verdana" w:cs="Arial"/>
          <w:sz w:val="14"/>
          <w:szCs w:val="14"/>
        </w:rPr>
      </w:pPr>
      <w:r w:rsidRPr="00526D22">
        <w:rPr>
          <w:rStyle w:val="Refdenotaalpie"/>
          <w:rFonts w:ascii="Verdana" w:hAnsi="Verdana"/>
          <w:sz w:val="14"/>
          <w:szCs w:val="14"/>
        </w:rPr>
        <w:footnoteRef/>
      </w:r>
      <w:r w:rsidRPr="00526D22">
        <w:rPr>
          <w:rFonts w:ascii="Verdana" w:hAnsi="Verdana"/>
          <w:sz w:val="14"/>
          <w:szCs w:val="14"/>
        </w:rPr>
        <w:t xml:space="preserve"> “</w:t>
      </w:r>
      <w:r w:rsidRPr="00526D22">
        <w:rPr>
          <w:rFonts w:ascii="Verdana" w:hAnsi="Verdana" w:cs="Arial"/>
          <w:sz w:val="14"/>
          <w:szCs w:val="14"/>
        </w:rPr>
        <w:t>Las autoridades, en el ejercicio de sus funciones, podrán emitir válidamente actos administrativos por medios electrónicos siempre y cuando se asegure su autenticidad, integridad y disponibilidad de acuerdo con la ley”.</w:t>
      </w:r>
    </w:p>
    <w:p w14:paraId="7DBB831B" w14:textId="77777777" w:rsidR="007B70CB" w:rsidRPr="00526D22" w:rsidRDefault="007B70CB" w:rsidP="007B70CB">
      <w:pPr>
        <w:pStyle w:val="Textonotapie"/>
        <w:ind w:firstLine="709"/>
        <w:jc w:val="both"/>
        <w:rPr>
          <w:rFonts w:ascii="Verdana" w:hAnsi="Verdana" w:cs="Arial"/>
          <w:sz w:val="14"/>
          <w:szCs w:val="14"/>
        </w:rPr>
      </w:pPr>
    </w:p>
  </w:footnote>
  <w:footnote w:id="10">
    <w:p w14:paraId="1DA19FDE" w14:textId="77777777" w:rsidR="007B70CB" w:rsidRPr="00526D22" w:rsidRDefault="007B70CB" w:rsidP="007B70CB">
      <w:pPr>
        <w:pStyle w:val="NormalWeb"/>
        <w:spacing w:after="0"/>
        <w:ind w:firstLine="709"/>
        <w:jc w:val="both"/>
        <w:rPr>
          <w:rFonts w:ascii="Verdana" w:hAnsi="Verdana"/>
          <w:sz w:val="14"/>
          <w:szCs w:val="14"/>
        </w:rPr>
      </w:pPr>
      <w:r w:rsidRPr="00526D22">
        <w:rPr>
          <w:rStyle w:val="Refdenotaalpie"/>
          <w:rFonts w:ascii="Verdana" w:eastAsiaTheme="majorEastAsia" w:hAnsi="Verdana"/>
          <w:sz w:val="14"/>
          <w:szCs w:val="14"/>
        </w:rPr>
        <w:footnoteRef/>
      </w:r>
      <w:r w:rsidRPr="00526D22">
        <w:rPr>
          <w:rFonts w:ascii="Verdana" w:hAnsi="Verdana"/>
          <w:sz w:val="14"/>
          <w:szCs w:val="14"/>
        </w:rPr>
        <w:t xml:space="preserve"> “</w:t>
      </w:r>
      <w:r w:rsidRPr="00526D22">
        <w:rPr>
          <w:rFonts w:ascii="Verdana" w:hAnsi="Verdana"/>
          <w:bCs/>
          <w:sz w:val="14"/>
          <w:szCs w:val="14"/>
        </w:rPr>
        <w:t>Artículo 58.</w:t>
      </w:r>
      <w:r w:rsidRPr="00526D22">
        <w:rPr>
          <w:rFonts w:ascii="Verdana" w:hAnsi="Verdana"/>
          <w:b/>
          <w:bCs/>
          <w:sz w:val="14"/>
          <w:szCs w:val="14"/>
        </w:rPr>
        <w:t xml:space="preserve"> </w:t>
      </w:r>
      <w:r w:rsidRPr="00526D22">
        <w:rPr>
          <w:rFonts w:ascii="Verdana" w:hAnsi="Verdana"/>
          <w:i/>
          <w:iCs/>
          <w:sz w:val="14"/>
          <w:szCs w:val="14"/>
        </w:rPr>
        <w:t>Archivo electrónico de documentos.</w:t>
      </w:r>
      <w:r w:rsidRPr="00526D22">
        <w:rPr>
          <w:rFonts w:ascii="Verdana" w:hAnsi="Verdana"/>
          <w:sz w:val="14"/>
          <w:szCs w:val="14"/>
        </w:rPr>
        <w:t> Cuando el procedimiento administrativo se adelante utilizando medios electrónicos, los documentos deberán ser archivados en este mismo medio. Podrán almacenarse por medios electrónicos, todos los documentos utilizados en las actuaciones administrativas. </w:t>
      </w:r>
    </w:p>
    <w:p w14:paraId="5C7EC144" w14:textId="77777777" w:rsidR="007B70CB" w:rsidRPr="00526D22" w:rsidRDefault="007B70CB" w:rsidP="007B70CB">
      <w:pPr>
        <w:pStyle w:val="NormalWeb"/>
        <w:spacing w:after="0"/>
        <w:ind w:firstLine="709"/>
        <w:jc w:val="both"/>
        <w:rPr>
          <w:rFonts w:ascii="Verdana" w:hAnsi="Verdana"/>
          <w:sz w:val="14"/>
          <w:szCs w:val="14"/>
        </w:rPr>
      </w:pPr>
      <w:r w:rsidRPr="00526D22">
        <w:rPr>
          <w:rFonts w:ascii="Verdana" w:hAnsi="Verdana"/>
          <w:sz w:val="14"/>
          <w:szCs w:val="14"/>
        </w:rPr>
        <w:t>La conservación de los documentos electrónicos que contengan actos administrativos de carácter individual, deberá asegurar la autenticidad e integridad de la información necesaria para reproducirlos, y registrar las fechas de expedición, notificación y archivo”.</w:t>
      </w:r>
    </w:p>
    <w:p w14:paraId="05C941B2" w14:textId="77777777" w:rsidR="007B70CB" w:rsidRPr="00526D22" w:rsidRDefault="007B70CB" w:rsidP="007B70CB">
      <w:pPr>
        <w:pStyle w:val="NormalWeb"/>
        <w:spacing w:after="0"/>
        <w:ind w:firstLine="709"/>
        <w:jc w:val="both"/>
        <w:rPr>
          <w:rFonts w:ascii="Verdana" w:hAnsi="Verdana"/>
          <w:sz w:val="14"/>
          <w:szCs w:val="14"/>
        </w:rPr>
      </w:pPr>
    </w:p>
  </w:footnote>
  <w:footnote w:id="11">
    <w:p w14:paraId="14EA0409" w14:textId="77777777" w:rsidR="007B70CB" w:rsidRPr="00526D22" w:rsidRDefault="007B70CB" w:rsidP="007B70CB">
      <w:pPr>
        <w:pStyle w:val="NormalWeb"/>
        <w:spacing w:after="0"/>
        <w:ind w:firstLine="708"/>
        <w:jc w:val="both"/>
        <w:rPr>
          <w:rFonts w:ascii="Verdana" w:hAnsi="Verdana"/>
          <w:sz w:val="14"/>
          <w:szCs w:val="14"/>
        </w:rPr>
      </w:pPr>
      <w:r w:rsidRPr="00526D22">
        <w:rPr>
          <w:rStyle w:val="Refdenotaalpie"/>
          <w:rFonts w:ascii="Verdana" w:eastAsiaTheme="majorEastAsia" w:hAnsi="Verdana"/>
          <w:sz w:val="14"/>
          <w:szCs w:val="14"/>
        </w:rPr>
        <w:footnoteRef/>
      </w:r>
      <w:r w:rsidRPr="00526D22">
        <w:rPr>
          <w:rFonts w:ascii="Verdana" w:hAnsi="Verdana"/>
          <w:sz w:val="14"/>
          <w:szCs w:val="14"/>
        </w:rPr>
        <w:t xml:space="preserve"> “</w:t>
      </w:r>
      <w:r w:rsidRPr="00526D22">
        <w:rPr>
          <w:rFonts w:ascii="Verdana" w:hAnsi="Verdana"/>
          <w:bCs/>
          <w:sz w:val="14"/>
          <w:szCs w:val="14"/>
        </w:rPr>
        <w:t>Artículo 61.</w:t>
      </w:r>
      <w:r w:rsidRPr="00526D22">
        <w:rPr>
          <w:rFonts w:ascii="Verdana" w:hAnsi="Verdana"/>
          <w:sz w:val="14"/>
          <w:szCs w:val="14"/>
        </w:rPr>
        <w:t> Recepción de documentos electrónicos por parte de las autoridades. Para la recepción de documentos electrónicos dentro de una actuación administrativa, las autoridades deberán contar con un registro electrónico de documentos, además de:</w:t>
      </w:r>
    </w:p>
    <w:p w14:paraId="70A993D9" w14:textId="77777777" w:rsidR="007B70CB" w:rsidRPr="00526D22" w:rsidRDefault="007B70CB" w:rsidP="007B70CB">
      <w:pPr>
        <w:pStyle w:val="NormalWeb"/>
        <w:spacing w:after="0"/>
        <w:ind w:firstLine="708"/>
        <w:jc w:val="both"/>
        <w:rPr>
          <w:rFonts w:ascii="Verdana" w:hAnsi="Verdana"/>
          <w:sz w:val="14"/>
          <w:szCs w:val="14"/>
        </w:rPr>
      </w:pPr>
      <w:r w:rsidRPr="00526D22">
        <w:rPr>
          <w:rFonts w:ascii="Verdana" w:hAnsi="Verdana"/>
          <w:sz w:val="14"/>
          <w:szCs w:val="14"/>
        </w:rPr>
        <w:t>1. Llevar un estricto control y relación de los documentos electrónicos enviados y recibidos en los sistemas de información, a través de los diversos canales, incluyendo la fecha y hora de recepción.</w:t>
      </w:r>
    </w:p>
    <w:p w14:paraId="3499F015" w14:textId="77777777" w:rsidR="007B70CB" w:rsidRPr="00526D22" w:rsidRDefault="007B70CB" w:rsidP="007B70CB">
      <w:pPr>
        <w:pStyle w:val="NormalWeb"/>
        <w:spacing w:after="0"/>
        <w:ind w:firstLine="708"/>
        <w:jc w:val="both"/>
        <w:rPr>
          <w:rFonts w:ascii="Verdana" w:hAnsi="Verdana"/>
          <w:sz w:val="14"/>
          <w:szCs w:val="14"/>
        </w:rPr>
      </w:pPr>
      <w:r w:rsidRPr="00526D22">
        <w:rPr>
          <w:rFonts w:ascii="Verdana" w:hAnsi="Verdana"/>
          <w:sz w:val="14"/>
          <w:szCs w:val="14"/>
        </w:rPr>
        <w:t>2. Mantener los sistemas de información con capacidad suficiente y contar con las medidas adecuadas de protección de la información, de los datos y en general de seguridad digital.</w:t>
      </w:r>
    </w:p>
    <w:p w14:paraId="109C2009" w14:textId="77777777" w:rsidR="007B70CB" w:rsidRPr="00526D22" w:rsidRDefault="007B70CB" w:rsidP="007B70CB">
      <w:pPr>
        <w:pStyle w:val="NormalWeb"/>
        <w:spacing w:after="0"/>
        <w:ind w:firstLine="708"/>
        <w:jc w:val="both"/>
        <w:rPr>
          <w:rFonts w:ascii="Verdana" w:hAnsi="Verdana" w:cs="Arial"/>
          <w:sz w:val="14"/>
          <w:szCs w:val="14"/>
        </w:rPr>
      </w:pPr>
      <w:r w:rsidRPr="00526D22">
        <w:rPr>
          <w:rFonts w:ascii="Verdana" w:hAnsi="Verdana"/>
          <w:sz w:val="14"/>
          <w:szCs w:val="14"/>
        </w:rPr>
        <w:t>3. Emitir y enviar un mensaje acusando el recibo o salida de las comunicaciones indicando la fecha de esta y el número de radicado asignado”</w:t>
      </w:r>
    </w:p>
  </w:footnote>
  <w:footnote w:id="12">
    <w:p w14:paraId="5085BAE8" w14:textId="77777777" w:rsidR="007B70CB" w:rsidRPr="008D6244" w:rsidRDefault="007B70CB" w:rsidP="007B70CB">
      <w:pPr>
        <w:pStyle w:val="Textonotapie"/>
        <w:ind w:firstLine="708"/>
        <w:jc w:val="both"/>
        <w:rPr>
          <w:rFonts w:ascii="Verdana" w:hAnsi="Verdana"/>
          <w:sz w:val="16"/>
          <w:szCs w:val="16"/>
          <w:lang w:val="es-CO"/>
        </w:rPr>
      </w:pPr>
      <w:r w:rsidRPr="008D6244">
        <w:rPr>
          <w:rStyle w:val="Refdenotaalpie"/>
          <w:rFonts w:ascii="Verdana" w:hAnsi="Verdana"/>
          <w:sz w:val="16"/>
          <w:szCs w:val="16"/>
        </w:rPr>
        <w:footnoteRef/>
      </w:r>
      <w:r w:rsidRPr="008D6244">
        <w:rPr>
          <w:rFonts w:ascii="Verdana" w:hAnsi="Verdana"/>
          <w:sz w:val="16"/>
          <w:szCs w:val="16"/>
        </w:rPr>
        <w:t xml:space="preserve"> </w:t>
      </w:r>
      <w:r>
        <w:rPr>
          <w:rFonts w:ascii="Verdana" w:hAnsi="Verdana"/>
          <w:sz w:val="16"/>
          <w:szCs w:val="16"/>
        </w:rPr>
        <w:t xml:space="preserve">AGENCIA NACIONAL DE CONTRATACIÓN PÚBLICA – COLOMBIA COMPRA EFICIENTE. </w:t>
      </w:r>
      <w:r w:rsidRPr="003B04AD">
        <w:rPr>
          <w:rFonts w:ascii="Verdana" w:hAnsi="Verdana"/>
          <w:sz w:val="16"/>
          <w:szCs w:val="16"/>
        </w:rPr>
        <w:t xml:space="preserve">Guía SECOP II – Gestión Contractual para Entidades Estatales </w:t>
      </w:r>
      <w:r>
        <w:rPr>
          <w:rFonts w:ascii="Verdana" w:hAnsi="Verdana"/>
          <w:sz w:val="16"/>
          <w:szCs w:val="16"/>
        </w:rPr>
        <w:t xml:space="preserve">Consultado en la página </w:t>
      </w:r>
      <w:hyperlink r:id="rId1" w:history="1">
        <w:r w:rsidRPr="00587DDD">
          <w:rPr>
            <w:rStyle w:val="Hipervnculo"/>
            <w:rFonts w:ascii="Verdana" w:hAnsi="Verdana"/>
            <w:sz w:val="16"/>
            <w:szCs w:val="16"/>
          </w:rPr>
          <w:t>https://formacionvirtual.colombiacompra.gov.co/pluginfile.php/9193/mod_folder/content/0/Módulo%20VI/Guía%20-%20Gestión%20Contractual.pdf</w:t>
        </w:r>
      </w:hyperlink>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9DCDC"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04087012" wp14:editId="52C014F7">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2DF12AF0" wp14:editId="1808FF8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45AA748" w14:textId="77777777" w:rsidR="00515FB5" w:rsidRDefault="00515FB5" w:rsidP="00515FB5">
    <w:pPr>
      <w:pStyle w:val="Encabezado"/>
    </w:pPr>
  </w:p>
  <w:p w14:paraId="54D05A4F" w14:textId="77777777" w:rsidR="00515FB5" w:rsidRDefault="00515FB5" w:rsidP="00515FB5">
    <w:pPr>
      <w:pStyle w:val="Encabezado"/>
    </w:pPr>
  </w:p>
  <w:p w14:paraId="58256AC7" w14:textId="77777777" w:rsidR="00515FB5" w:rsidRDefault="00515FB5" w:rsidP="00515FB5">
    <w:pPr>
      <w:pStyle w:val="Encabezado"/>
    </w:pPr>
  </w:p>
  <w:p w14:paraId="2E7E4B95" w14:textId="77777777" w:rsidR="00515FB5" w:rsidRPr="00AB7B56" w:rsidRDefault="00515FB5" w:rsidP="00515FB5">
    <w:pPr>
      <w:pStyle w:val="Encabezado"/>
    </w:pPr>
  </w:p>
  <w:p w14:paraId="3E264D33"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pt;height:7.7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8"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7"/>
  </w:num>
  <w:num w:numId="6" w16cid:durableId="1082990391">
    <w:abstractNumId w:val="1"/>
  </w:num>
  <w:num w:numId="7" w16cid:durableId="1492209491">
    <w:abstractNumId w:val="4"/>
  </w:num>
  <w:num w:numId="8" w16cid:durableId="679089576">
    <w:abstractNumId w:val="6"/>
  </w:num>
  <w:num w:numId="9" w16cid:durableId="39034980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doNotDisplayPageBoundaries/>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A9F"/>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A6E0C"/>
    <w:rsid w:val="000A7A56"/>
    <w:rsid w:val="000B1FF7"/>
    <w:rsid w:val="000B2513"/>
    <w:rsid w:val="000B4024"/>
    <w:rsid w:val="000C3C51"/>
    <w:rsid w:val="000C7262"/>
    <w:rsid w:val="000D2A7F"/>
    <w:rsid w:val="000D4FCE"/>
    <w:rsid w:val="0011037E"/>
    <w:rsid w:val="00116E34"/>
    <w:rsid w:val="001363C7"/>
    <w:rsid w:val="00141AC5"/>
    <w:rsid w:val="00146B11"/>
    <w:rsid w:val="00147A04"/>
    <w:rsid w:val="0015476D"/>
    <w:rsid w:val="00161E13"/>
    <w:rsid w:val="00164AE0"/>
    <w:rsid w:val="00165E83"/>
    <w:rsid w:val="00166CD7"/>
    <w:rsid w:val="0017120C"/>
    <w:rsid w:val="00172F3A"/>
    <w:rsid w:val="00190C20"/>
    <w:rsid w:val="001915A6"/>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B74B1"/>
    <w:rsid w:val="002D7FE7"/>
    <w:rsid w:val="002E1DB5"/>
    <w:rsid w:val="002E636D"/>
    <w:rsid w:val="002F6CCB"/>
    <w:rsid w:val="00301473"/>
    <w:rsid w:val="0030461E"/>
    <w:rsid w:val="003107A1"/>
    <w:rsid w:val="00310A9F"/>
    <w:rsid w:val="0032756A"/>
    <w:rsid w:val="00334EF8"/>
    <w:rsid w:val="00336408"/>
    <w:rsid w:val="00340DFB"/>
    <w:rsid w:val="0034404F"/>
    <w:rsid w:val="00356980"/>
    <w:rsid w:val="00367462"/>
    <w:rsid w:val="00371ECA"/>
    <w:rsid w:val="00372748"/>
    <w:rsid w:val="0037332A"/>
    <w:rsid w:val="00375FFF"/>
    <w:rsid w:val="0038151A"/>
    <w:rsid w:val="0039082A"/>
    <w:rsid w:val="00390C21"/>
    <w:rsid w:val="00392C9E"/>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33B"/>
    <w:rsid w:val="005139E7"/>
    <w:rsid w:val="005147DA"/>
    <w:rsid w:val="00515FB5"/>
    <w:rsid w:val="0052365C"/>
    <w:rsid w:val="005271EB"/>
    <w:rsid w:val="005426DB"/>
    <w:rsid w:val="0055082B"/>
    <w:rsid w:val="00552503"/>
    <w:rsid w:val="00552B57"/>
    <w:rsid w:val="00557DA1"/>
    <w:rsid w:val="0056322C"/>
    <w:rsid w:val="0058743A"/>
    <w:rsid w:val="005A4DB0"/>
    <w:rsid w:val="005A7B8E"/>
    <w:rsid w:val="005B012B"/>
    <w:rsid w:val="005B0C87"/>
    <w:rsid w:val="005D23F6"/>
    <w:rsid w:val="005D2FA8"/>
    <w:rsid w:val="005E2281"/>
    <w:rsid w:val="005E667C"/>
    <w:rsid w:val="005F077C"/>
    <w:rsid w:val="005F63D0"/>
    <w:rsid w:val="005F7973"/>
    <w:rsid w:val="0061690E"/>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C7821"/>
    <w:rsid w:val="006E7F37"/>
    <w:rsid w:val="006F3B81"/>
    <w:rsid w:val="006F4F79"/>
    <w:rsid w:val="00705B37"/>
    <w:rsid w:val="00711FD9"/>
    <w:rsid w:val="00735062"/>
    <w:rsid w:val="00737D20"/>
    <w:rsid w:val="00746BA5"/>
    <w:rsid w:val="00751D23"/>
    <w:rsid w:val="00770577"/>
    <w:rsid w:val="00777666"/>
    <w:rsid w:val="0078159B"/>
    <w:rsid w:val="00782E10"/>
    <w:rsid w:val="0078706B"/>
    <w:rsid w:val="00790836"/>
    <w:rsid w:val="00797131"/>
    <w:rsid w:val="007A3C1D"/>
    <w:rsid w:val="007B285D"/>
    <w:rsid w:val="007B70CB"/>
    <w:rsid w:val="007C6BC6"/>
    <w:rsid w:val="00801DCA"/>
    <w:rsid w:val="00807D79"/>
    <w:rsid w:val="00813634"/>
    <w:rsid w:val="00822821"/>
    <w:rsid w:val="00831C29"/>
    <w:rsid w:val="008431EF"/>
    <w:rsid w:val="008468E0"/>
    <w:rsid w:val="008526E9"/>
    <w:rsid w:val="00863B82"/>
    <w:rsid w:val="00870D16"/>
    <w:rsid w:val="00871B59"/>
    <w:rsid w:val="00877D03"/>
    <w:rsid w:val="00877E96"/>
    <w:rsid w:val="008806CA"/>
    <w:rsid w:val="008815E5"/>
    <w:rsid w:val="00887B37"/>
    <w:rsid w:val="008909B9"/>
    <w:rsid w:val="00891DFC"/>
    <w:rsid w:val="008B12B4"/>
    <w:rsid w:val="008B7914"/>
    <w:rsid w:val="008C5D2A"/>
    <w:rsid w:val="008C7AF4"/>
    <w:rsid w:val="008D529F"/>
    <w:rsid w:val="008F2FD5"/>
    <w:rsid w:val="008F5CC8"/>
    <w:rsid w:val="009061B8"/>
    <w:rsid w:val="0091008B"/>
    <w:rsid w:val="00911EA2"/>
    <w:rsid w:val="00916C7D"/>
    <w:rsid w:val="0092575D"/>
    <w:rsid w:val="00931F37"/>
    <w:rsid w:val="009341DA"/>
    <w:rsid w:val="009430F9"/>
    <w:rsid w:val="009442E8"/>
    <w:rsid w:val="00946BD0"/>
    <w:rsid w:val="0095426C"/>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07719"/>
    <w:rsid w:val="00B16BCC"/>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0B67"/>
    <w:rsid w:val="00C0174E"/>
    <w:rsid w:val="00C0511C"/>
    <w:rsid w:val="00C20ACF"/>
    <w:rsid w:val="00C22307"/>
    <w:rsid w:val="00C23469"/>
    <w:rsid w:val="00C30C62"/>
    <w:rsid w:val="00C371DF"/>
    <w:rsid w:val="00C42055"/>
    <w:rsid w:val="00C44B4C"/>
    <w:rsid w:val="00C46734"/>
    <w:rsid w:val="00C47A86"/>
    <w:rsid w:val="00C53220"/>
    <w:rsid w:val="00CA3347"/>
    <w:rsid w:val="00CC299A"/>
    <w:rsid w:val="00CD03E3"/>
    <w:rsid w:val="00CE6BDA"/>
    <w:rsid w:val="00D03DBE"/>
    <w:rsid w:val="00D072C0"/>
    <w:rsid w:val="00D34C82"/>
    <w:rsid w:val="00D3757A"/>
    <w:rsid w:val="00D504A9"/>
    <w:rsid w:val="00D5206D"/>
    <w:rsid w:val="00D7177D"/>
    <w:rsid w:val="00D81311"/>
    <w:rsid w:val="00DB201E"/>
    <w:rsid w:val="00DC0E68"/>
    <w:rsid w:val="00DD25ED"/>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0C93"/>
    <w:rsid w:val="00F314E8"/>
    <w:rsid w:val="00F323A2"/>
    <w:rsid w:val="00F33B57"/>
    <w:rsid w:val="00F33D5C"/>
    <w:rsid w:val="00F34E90"/>
    <w:rsid w:val="00F356D6"/>
    <w:rsid w:val="00F53BE2"/>
    <w:rsid w:val="00F55684"/>
    <w:rsid w:val="00F64D5A"/>
    <w:rsid w:val="00F709CD"/>
    <w:rsid w:val="00F906F4"/>
    <w:rsid w:val="00FA0716"/>
    <w:rsid w:val="00FB0823"/>
    <w:rsid w:val="00FB4629"/>
    <w:rsid w:val="00FB6FB1"/>
    <w:rsid w:val="00FB7063"/>
    <w:rsid w:val="00FC7056"/>
    <w:rsid w:val="00FE1A0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B9A863"/>
  <w15:docId w15:val="{116814D1-FF5D-834F-AC8C-40A2AD924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link w:val="NormalWebCar"/>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NormalWebCar">
    <w:name w:val="Normal (Web) Car"/>
    <w:link w:val="NormalWeb"/>
    <w:uiPriority w:val="99"/>
    <w:locked/>
    <w:rsid w:val="007B70CB"/>
    <w:rPr>
      <w:rFonts w:ascii="Times New Roman" w:hAnsi="Times New Roman" w:cs="Times New Roman"/>
      <w:sz w:val="24"/>
      <w:szCs w:val="24"/>
    </w:rPr>
  </w:style>
  <w:style w:type="character" w:customStyle="1" w:styleId="citation-35">
    <w:name w:val="citation-35"/>
    <w:basedOn w:val="Fuentedeprrafopredeter"/>
    <w:rsid w:val="00190C20"/>
  </w:style>
  <w:style w:type="character" w:customStyle="1" w:styleId="citation-34">
    <w:name w:val="citation-34"/>
    <w:basedOn w:val="Fuentedeprrafopredeter"/>
    <w:rsid w:val="00190C20"/>
  </w:style>
  <w:style w:type="character" w:customStyle="1" w:styleId="citation-33">
    <w:name w:val="citation-33"/>
    <w:basedOn w:val="Fuentedeprrafopredeter"/>
    <w:rsid w:val="00190C20"/>
  </w:style>
  <w:style w:type="character" w:customStyle="1" w:styleId="citation-32">
    <w:name w:val="citation-32"/>
    <w:basedOn w:val="Fuentedeprrafopredeter"/>
    <w:rsid w:val="00190C20"/>
  </w:style>
  <w:style w:type="character" w:customStyle="1" w:styleId="citation-31">
    <w:name w:val="citation-31"/>
    <w:basedOn w:val="Fuentedeprrafopredeter"/>
    <w:rsid w:val="00190C20"/>
  </w:style>
  <w:style w:type="character" w:customStyle="1" w:styleId="citation-57">
    <w:name w:val="citation-57"/>
    <w:basedOn w:val="Fuentedeprrafopredeter"/>
    <w:rsid w:val="00737D20"/>
  </w:style>
  <w:style w:type="character" w:customStyle="1" w:styleId="citation-56">
    <w:name w:val="citation-56"/>
    <w:basedOn w:val="Fuentedeprrafopredeter"/>
    <w:rsid w:val="00737D20"/>
  </w:style>
  <w:style w:type="character" w:customStyle="1" w:styleId="citation-55">
    <w:name w:val="citation-55"/>
    <w:basedOn w:val="Fuentedeprrafopredeter"/>
    <w:rsid w:val="00737D20"/>
  </w:style>
  <w:style w:type="character" w:customStyle="1" w:styleId="citation-54">
    <w:name w:val="citation-54"/>
    <w:basedOn w:val="Fuentedeprrafopredeter"/>
    <w:rsid w:val="00737D20"/>
  </w:style>
  <w:style w:type="character" w:customStyle="1" w:styleId="citation-53">
    <w:name w:val="citation-53"/>
    <w:basedOn w:val="Fuentedeprrafopredeter"/>
    <w:rsid w:val="00737D20"/>
  </w:style>
  <w:style w:type="character" w:customStyle="1" w:styleId="citation-52">
    <w:name w:val="citation-52"/>
    <w:basedOn w:val="Fuentedeprrafopredeter"/>
    <w:rsid w:val="00737D20"/>
  </w:style>
  <w:style w:type="character" w:customStyle="1" w:styleId="citation-51">
    <w:name w:val="citation-51"/>
    <w:basedOn w:val="Fuentedeprrafopredeter"/>
    <w:rsid w:val="00737D20"/>
  </w:style>
  <w:style w:type="character" w:customStyle="1" w:styleId="citation-108">
    <w:name w:val="citation-108"/>
    <w:basedOn w:val="Fuentedeprrafopredeter"/>
    <w:rsid w:val="00B07719"/>
  </w:style>
  <w:style w:type="character" w:customStyle="1" w:styleId="citation-107">
    <w:name w:val="citation-107"/>
    <w:basedOn w:val="Fuentedeprrafopredeter"/>
    <w:rsid w:val="00B07719"/>
  </w:style>
  <w:style w:type="character" w:customStyle="1" w:styleId="citation-106">
    <w:name w:val="citation-106"/>
    <w:basedOn w:val="Fuentedeprrafopredeter"/>
    <w:rsid w:val="00B077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www.colombiacompra.gov.co"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joserami144@gmail.com" TargetMode="External"/><Relationship Id="rId17" Type="http://schemas.openxmlformats.org/officeDocument/2006/relationships/hyperlink" Target="https://relatoria.colombiacompra.gov.co/busqueda/conceptos" TargetMode="External"/><Relationship Id="rId2" Type="http://schemas.openxmlformats.org/officeDocument/2006/relationships/customXml" Target="../customXml/item2.xml"/><Relationship Id="rId16" Type="http://schemas.openxmlformats.org/officeDocument/2006/relationships/hyperlink" Target="https://www.colombiacompra.gov.co/wp-content/uploads/2025/04/cce-gco-ma-03_manual_de_supervision_e_interventoria_v1_28112024_2_1.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hyperlink" Target="https://formacionvirtual.colombiacompra.gov.co/pluginfile.php/9193/mod_folder/content/0/M&#243;dulo%20VI/Gu&#237;a%20-%20Gesti&#243;n%20Contractual.pdf"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formacionvirtual.colombiacompra.gov.co/pluginfile.php/9193/mod_folder/content/0/M&#243;dulo%20VI/Gu&#237;a%20-%20Gesti&#243;n%20Contractual.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ndreagarzon/Desktop/CONCEPTOS%20CCE/DICIEMBRE/PLANTILLA%20PRICIPAL%20.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FEA83A65-5434-42A0-BACC-0358D894ADB1}"/>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PLANTILLA PRICIPAL .dotx</Template>
  <TotalTime>1</TotalTime>
  <Pages>19</Pages>
  <Words>4775</Words>
  <Characters>25547</Characters>
  <Application>Microsoft Office Word</Application>
  <DocSecurity>0</DocSecurity>
  <Lines>532</Lines>
  <Paragraphs>138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Andrea del Pilar Garzón Sánchez</cp:lastModifiedBy>
  <cp:revision>2</cp:revision>
  <dcterms:created xsi:type="dcterms:W3CDTF">2025-12-04T21:00:00Z</dcterms:created>
  <dcterms:modified xsi:type="dcterms:W3CDTF">2025-12-04T21:00:00Z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