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CD5B2" w14:textId="77777777" w:rsidR="00444EC7" w:rsidRDefault="00444EC7" w:rsidP="00444EC7">
      <w:pPr>
        <w:jc w:val="both"/>
        <w:rPr>
          <w:rFonts w:ascii="Verdana" w:eastAsia="Calibri" w:hAnsi="Verdana" w:cs="Arial"/>
          <w:b/>
          <w:lang w:val="es-ES_tradnl"/>
        </w:rPr>
      </w:pPr>
      <w:r w:rsidRPr="00EB41C9">
        <w:rPr>
          <w:rFonts w:ascii="Verdana" w:eastAsia="Calibri" w:hAnsi="Verdana" w:cs="Arial"/>
          <w:b/>
          <w:lang w:val="es-ES_tradnl"/>
        </w:rPr>
        <w:t>CAUSALES DE RECHAZO – Carácter restrictivo – Determinación objetiva – Causales de rechazo</w:t>
      </w:r>
    </w:p>
    <w:p w14:paraId="302EEA0D" w14:textId="77777777" w:rsidR="00444EC7" w:rsidRPr="00B968AA" w:rsidRDefault="00444EC7" w:rsidP="00444EC7">
      <w:pPr>
        <w:spacing w:after="120" w:line="276" w:lineRule="auto"/>
        <w:jc w:val="both"/>
        <w:rPr>
          <w:rFonts w:ascii="Verdana" w:eastAsia="Calibri" w:hAnsi="Verdana" w:cs="Arial"/>
          <w:color w:val="000000" w:themeColor="text1"/>
          <w:sz w:val="20"/>
          <w:szCs w:val="20"/>
          <w:lang w:val="es-ES" w:eastAsia="es-ES"/>
        </w:rPr>
      </w:pPr>
      <w:r w:rsidRPr="00B968AA">
        <w:rPr>
          <w:rFonts w:ascii="Verdana" w:eastAsia="Calibri" w:hAnsi="Verdana" w:cs="Arial"/>
          <w:color w:val="000000" w:themeColor="text1"/>
          <w:sz w:val="20"/>
          <w:szCs w:val="20"/>
          <w:lang w:val="es-ES" w:eastAsia="es-ES"/>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p>
    <w:p w14:paraId="12D5CD24" w14:textId="77777777" w:rsidR="00444EC7" w:rsidRPr="00B968AA" w:rsidRDefault="00444EC7" w:rsidP="00444EC7">
      <w:pPr>
        <w:spacing w:after="120" w:line="276" w:lineRule="auto"/>
        <w:jc w:val="both"/>
        <w:rPr>
          <w:rFonts w:ascii="Verdana" w:eastAsia="Calibri" w:hAnsi="Verdana" w:cs="Arial"/>
          <w:color w:val="000000" w:themeColor="text1"/>
          <w:sz w:val="20"/>
          <w:szCs w:val="20"/>
          <w:lang w:val="es-ES" w:eastAsia="es-ES"/>
        </w:rPr>
      </w:pPr>
      <w:r w:rsidRPr="00B968AA">
        <w:rPr>
          <w:rFonts w:ascii="Verdana" w:eastAsia="Calibri" w:hAnsi="Verdana" w:cs="Arial"/>
          <w:color w:val="000000" w:themeColor="text1"/>
          <w:sz w:val="20"/>
          <w:szCs w:val="20"/>
          <w:lang w:val="es-ES" w:eastAsia="es-ES"/>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 sostuvo: “En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2F2B9E71" w14:textId="77777777" w:rsidR="00444EC7" w:rsidRPr="00B968AA" w:rsidRDefault="00444EC7" w:rsidP="00444EC7">
      <w:pPr>
        <w:spacing w:after="120" w:line="276" w:lineRule="auto"/>
        <w:jc w:val="both"/>
        <w:rPr>
          <w:rFonts w:ascii="Verdana" w:eastAsia="Calibri" w:hAnsi="Verdana" w:cs="Arial"/>
          <w:color w:val="000000" w:themeColor="text1"/>
          <w:sz w:val="20"/>
          <w:szCs w:val="20"/>
          <w:lang w:val="es-ES" w:eastAsia="es-ES"/>
        </w:rPr>
      </w:pPr>
      <w:r w:rsidRPr="00B968AA">
        <w:rPr>
          <w:rFonts w:ascii="Verdana" w:eastAsia="Calibri" w:hAnsi="Verdana" w:cs="Arial"/>
          <w:color w:val="000000" w:themeColor="text1"/>
          <w:sz w:val="20"/>
          <w:szCs w:val="20"/>
          <w:lang w:val="es-ES" w:eastAsia="es-ES"/>
        </w:rPr>
        <w:t>Las causales de rechazo son las establecidas en la Ley y las fijadas por la Entidad Estatal en los pliegos de condiciones. Sin embargo, en el ejercicio de dicha facultad a las entidades no les es dable el establecer causales de rechazo que afecten la selección objetiva en la contratación pública. De esta forma, por la naturaleza propia de las causales de rechazo, su aplicación es estricta y restrictiva, lo que significa que su interpretación gramatical prevalece sobre una interpretación extensiva o de otra índole, mediante la cual, se pretenda ampliar su alcance.</w:t>
      </w:r>
    </w:p>
    <w:p w14:paraId="512A7AC9" w14:textId="77777777" w:rsidR="00AF5E15" w:rsidRDefault="00AF5E15" w:rsidP="00444EC7">
      <w:pPr>
        <w:spacing w:after="0" w:line="240" w:lineRule="auto"/>
        <w:rPr>
          <w:rFonts w:ascii="Verdana" w:eastAsia="Times New Roman" w:hAnsi="Verdana" w:cs="Arial"/>
          <w:b/>
          <w:lang w:val="es-ES" w:eastAsia="es-ES_tradnl"/>
        </w:rPr>
      </w:pPr>
    </w:p>
    <w:p w14:paraId="77FCE078" w14:textId="77777777" w:rsidR="00AF5E15" w:rsidRDefault="00AF5E15" w:rsidP="00444EC7">
      <w:pPr>
        <w:spacing w:after="0" w:line="240" w:lineRule="auto"/>
        <w:rPr>
          <w:rFonts w:ascii="Verdana" w:eastAsia="Times New Roman" w:hAnsi="Verdana" w:cs="Arial"/>
          <w:b/>
          <w:lang w:val="es-ES" w:eastAsia="es-ES_tradnl"/>
        </w:rPr>
      </w:pPr>
    </w:p>
    <w:p w14:paraId="2FF235FE" w14:textId="77777777" w:rsidR="00B968AA" w:rsidRDefault="00B968AA" w:rsidP="00444EC7">
      <w:pPr>
        <w:spacing w:after="0" w:line="240" w:lineRule="auto"/>
        <w:rPr>
          <w:rFonts w:ascii="Verdana" w:eastAsia="Geomanist Light" w:hAnsi="Verdana" w:cs="Arial"/>
        </w:rPr>
      </w:pPr>
    </w:p>
    <w:p w14:paraId="0A8DA0BF" w14:textId="77777777" w:rsidR="00B968AA" w:rsidRDefault="00B968AA" w:rsidP="00444EC7">
      <w:pPr>
        <w:spacing w:after="0" w:line="240" w:lineRule="auto"/>
        <w:rPr>
          <w:rFonts w:ascii="Verdana" w:eastAsia="Geomanist Light" w:hAnsi="Verdana" w:cs="Arial"/>
        </w:rPr>
      </w:pPr>
    </w:p>
    <w:p w14:paraId="56C8B643" w14:textId="77777777" w:rsidR="00B968AA" w:rsidRDefault="00B968AA" w:rsidP="00444EC7">
      <w:pPr>
        <w:spacing w:after="0" w:line="240" w:lineRule="auto"/>
        <w:rPr>
          <w:rFonts w:ascii="Verdana" w:eastAsia="Geomanist Light" w:hAnsi="Verdana" w:cs="Arial"/>
        </w:rPr>
      </w:pPr>
    </w:p>
    <w:p w14:paraId="762B599E" w14:textId="77777777" w:rsidR="00B968AA" w:rsidRDefault="00B968AA" w:rsidP="00444EC7">
      <w:pPr>
        <w:spacing w:after="0" w:line="240" w:lineRule="auto"/>
        <w:rPr>
          <w:rFonts w:ascii="Verdana" w:eastAsia="Geomanist Light" w:hAnsi="Verdana" w:cs="Arial"/>
        </w:rPr>
      </w:pPr>
    </w:p>
    <w:p w14:paraId="19611A01" w14:textId="77777777" w:rsidR="00B968AA" w:rsidRDefault="00B968AA" w:rsidP="00444EC7">
      <w:pPr>
        <w:spacing w:after="0" w:line="240" w:lineRule="auto"/>
        <w:rPr>
          <w:rFonts w:ascii="Verdana" w:eastAsia="Geomanist Light" w:hAnsi="Verdana" w:cs="Arial"/>
        </w:rPr>
      </w:pPr>
    </w:p>
    <w:p w14:paraId="5D0CAB4A" w14:textId="77777777" w:rsidR="00B968AA" w:rsidRDefault="00B968AA" w:rsidP="00444EC7">
      <w:pPr>
        <w:spacing w:after="0" w:line="240" w:lineRule="auto"/>
        <w:rPr>
          <w:rFonts w:ascii="Verdana" w:eastAsia="Geomanist Light" w:hAnsi="Verdana" w:cs="Arial"/>
        </w:rPr>
      </w:pPr>
    </w:p>
    <w:p w14:paraId="7FC0D08E" w14:textId="3D2F5CEC" w:rsidR="00444EC7" w:rsidRPr="00960F72" w:rsidRDefault="00444EC7" w:rsidP="00444EC7">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230DE640" w14:textId="3B3C5235" w:rsidR="00444EC7" w:rsidRDefault="00AF5E15" w:rsidP="00444EC7">
      <w:pPr>
        <w:spacing w:after="0" w:line="240" w:lineRule="auto"/>
        <w:rPr>
          <w:rFonts w:ascii="Verdana" w:eastAsia="Calibri" w:hAnsi="Verdana" w:cs="Arial"/>
          <w:b/>
          <w:bCs/>
          <w:lang w:eastAsia="es-ES_tradnl"/>
        </w:rPr>
      </w:pPr>
      <w:r w:rsidRPr="00ED53AC">
        <w:rPr>
          <w:rFonts w:ascii="Verdana" w:eastAsia="Calibri" w:hAnsi="Verdana" w:cs="Arial"/>
          <w:b/>
          <w:bCs/>
          <w:noProof/>
          <w:lang w:eastAsia="es-ES_tradnl"/>
        </w:rPr>
        <w:drawing>
          <wp:anchor distT="0" distB="0" distL="114300" distR="114300" simplePos="0" relativeHeight="251658240" behindDoc="1" locked="0" layoutInCell="1" allowOverlap="1" wp14:anchorId="045C2102" wp14:editId="5DF1A237">
            <wp:simplePos x="0" y="0"/>
            <wp:positionH relativeFrom="column">
              <wp:posOffset>3324860</wp:posOffset>
            </wp:positionH>
            <wp:positionV relativeFrom="paragraph">
              <wp:posOffset>141605</wp:posOffset>
            </wp:positionV>
            <wp:extent cx="2747010" cy="804545"/>
            <wp:effectExtent l="0" t="0" r="0" b="0"/>
            <wp:wrapSquare wrapText="bothSides"/>
            <wp:docPr id="106567684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676845" name="Imagen 1" descr="Texto&#10;&#10;Descripción generada automáticamente"/>
                    <pic:cNvPicPr/>
                  </pic:nvPicPr>
                  <pic:blipFill rotWithShape="1">
                    <a:blip r:embed="rId10" cstate="print">
                      <a:extLst>
                        <a:ext uri="{28A0092B-C50C-407E-A947-70E740481C1C}">
                          <a14:useLocalDpi xmlns:a14="http://schemas.microsoft.com/office/drawing/2010/main" val="0"/>
                        </a:ext>
                      </a:extLst>
                    </a:blip>
                    <a:srcRect b="10348"/>
                    <a:stretch/>
                  </pic:blipFill>
                  <pic:spPr bwMode="auto">
                    <a:xfrm>
                      <a:off x="0" y="0"/>
                      <a:ext cx="2747010" cy="8045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46F918" w14:textId="64F6A5F3" w:rsidR="00444EC7" w:rsidRDefault="00444EC7" w:rsidP="00444EC7">
      <w:pPr>
        <w:spacing w:after="0" w:line="240" w:lineRule="auto"/>
        <w:rPr>
          <w:rFonts w:ascii="Verdana" w:eastAsia="Calibri" w:hAnsi="Verdana" w:cs="Arial"/>
          <w:lang w:eastAsia="es-ES_tradnl"/>
        </w:rPr>
      </w:pPr>
      <w:r>
        <w:rPr>
          <w:rFonts w:ascii="Verdana" w:eastAsia="Calibri" w:hAnsi="Verdana" w:cs="Arial"/>
          <w:lang w:eastAsia="es-ES_tradnl"/>
        </w:rPr>
        <w:t>Señor (a)</w:t>
      </w:r>
    </w:p>
    <w:p w14:paraId="28CEF160" w14:textId="3D9C5124" w:rsidR="00444EC7" w:rsidRDefault="00444EC7" w:rsidP="00444EC7">
      <w:pPr>
        <w:spacing w:after="0" w:line="240" w:lineRule="auto"/>
        <w:rPr>
          <w:rFonts w:ascii="Verdana" w:eastAsia="Calibri" w:hAnsi="Verdana" w:cs="Arial"/>
          <w:b/>
          <w:bCs/>
          <w:lang w:eastAsia="es-ES_tradnl"/>
        </w:rPr>
      </w:pPr>
      <w:r>
        <w:rPr>
          <w:rFonts w:ascii="Verdana" w:eastAsia="Calibri" w:hAnsi="Verdana" w:cs="Arial"/>
          <w:b/>
          <w:bCs/>
          <w:lang w:eastAsia="es-ES_tradnl"/>
        </w:rPr>
        <w:t>Anónimo</w:t>
      </w:r>
      <w:r w:rsidR="00ED53AC" w:rsidRPr="00ED53AC">
        <w:rPr>
          <w:noProof/>
        </w:rPr>
        <w:t xml:space="preserve"> </w:t>
      </w:r>
    </w:p>
    <w:p w14:paraId="260EB9AE" w14:textId="77777777" w:rsidR="00444EC7" w:rsidRPr="007211E4" w:rsidRDefault="00444EC7" w:rsidP="00444EC7">
      <w:pPr>
        <w:spacing w:after="0" w:line="240" w:lineRule="auto"/>
        <w:rPr>
          <w:rFonts w:ascii="Verdana" w:eastAsia="Calibri" w:hAnsi="Verdana" w:cs="Arial"/>
          <w:lang w:eastAsia="es-ES_tradnl"/>
        </w:rPr>
      </w:pPr>
      <w:r>
        <w:rPr>
          <w:rFonts w:ascii="Verdana" w:eastAsia="Calibri" w:hAnsi="Verdana" w:cs="Arial"/>
          <w:lang w:eastAsia="es-ES_tradnl"/>
        </w:rPr>
        <w:t>Terrabarc@gmail.com</w:t>
      </w:r>
    </w:p>
    <w:p w14:paraId="1DF61ED5" w14:textId="77777777" w:rsidR="00444EC7" w:rsidRPr="00514983" w:rsidRDefault="00444EC7" w:rsidP="00444EC7">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44EC7" w:rsidRPr="00960F72" w14:paraId="01152973" w14:textId="77777777" w:rsidTr="00D2035E">
        <w:trPr>
          <w:trHeight w:val="190"/>
        </w:trPr>
        <w:tc>
          <w:tcPr>
            <w:tcW w:w="2689" w:type="dxa"/>
          </w:tcPr>
          <w:p w14:paraId="060983F6" w14:textId="77777777" w:rsidR="00444EC7" w:rsidRPr="00960F72" w:rsidRDefault="00444EC7" w:rsidP="00D2035E">
            <w:pPr>
              <w:jc w:val="both"/>
              <w:rPr>
                <w:rFonts w:ascii="Verdana" w:eastAsia="Calibri" w:hAnsi="Verdana" w:cs="Arial"/>
                <w:b/>
                <w:bCs/>
                <w:lang w:eastAsia="es-ES_tradnl"/>
              </w:rPr>
            </w:pPr>
          </w:p>
        </w:tc>
        <w:tc>
          <w:tcPr>
            <w:tcW w:w="6100" w:type="dxa"/>
          </w:tcPr>
          <w:p w14:paraId="361818C9" w14:textId="06D2BEE2" w:rsidR="00444EC7" w:rsidRPr="00960F72" w:rsidRDefault="00444EC7" w:rsidP="00D2035E">
            <w:pPr>
              <w:jc w:val="both"/>
              <w:rPr>
                <w:rFonts w:ascii="Verdana" w:eastAsia="Calibri" w:hAnsi="Verdana" w:cs="Arial"/>
                <w:b/>
                <w:bCs/>
                <w:lang w:eastAsia="es-ES"/>
              </w:rPr>
            </w:pPr>
            <w:r w:rsidRPr="00960F72">
              <w:rPr>
                <w:rFonts w:ascii="Verdana" w:eastAsia="Calibri" w:hAnsi="Verdana" w:cs="Arial"/>
                <w:b/>
                <w:bCs/>
                <w:lang w:eastAsia="es-ES"/>
              </w:rPr>
              <w:t>Concepto C-1</w:t>
            </w:r>
            <w:r>
              <w:rPr>
                <w:rFonts w:ascii="Verdana" w:eastAsia="Calibri" w:hAnsi="Verdana" w:cs="Arial"/>
                <w:b/>
                <w:bCs/>
                <w:lang w:eastAsia="es-ES"/>
              </w:rPr>
              <w:t>583</w:t>
            </w:r>
            <w:r w:rsidRPr="00960F72">
              <w:rPr>
                <w:rFonts w:ascii="Verdana" w:eastAsia="Calibri" w:hAnsi="Verdana" w:cs="Arial"/>
                <w:b/>
                <w:bCs/>
                <w:lang w:eastAsia="es-ES"/>
              </w:rPr>
              <w:t xml:space="preserve"> de 2025</w:t>
            </w:r>
          </w:p>
          <w:p w14:paraId="557B9522" w14:textId="77777777" w:rsidR="00444EC7" w:rsidRPr="00960F72" w:rsidRDefault="00444EC7" w:rsidP="00D2035E">
            <w:pPr>
              <w:jc w:val="both"/>
              <w:rPr>
                <w:rFonts w:ascii="Verdana" w:eastAsia="Calibri" w:hAnsi="Verdana" w:cs="Arial"/>
                <w:b/>
                <w:bCs/>
                <w:lang w:eastAsia="es-ES"/>
              </w:rPr>
            </w:pPr>
          </w:p>
        </w:tc>
      </w:tr>
      <w:tr w:rsidR="00444EC7" w:rsidRPr="00960F72" w14:paraId="4634C98E" w14:textId="77777777" w:rsidTr="00D2035E">
        <w:trPr>
          <w:trHeight w:val="884"/>
        </w:trPr>
        <w:tc>
          <w:tcPr>
            <w:tcW w:w="2689" w:type="dxa"/>
          </w:tcPr>
          <w:p w14:paraId="23E3CA11" w14:textId="77777777" w:rsidR="00444EC7" w:rsidRPr="00960F72" w:rsidRDefault="00444EC7" w:rsidP="00D2035E">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74CBA4DF" w14:textId="77777777" w:rsidR="00444EC7" w:rsidRPr="00A11406" w:rsidRDefault="00444EC7" w:rsidP="00EA271B">
            <w:pPr>
              <w:jc w:val="both"/>
              <w:rPr>
                <w:rFonts w:ascii="Verdana" w:eastAsia="Calibri" w:hAnsi="Verdana" w:cs="Arial"/>
                <w:lang w:val="es-ES" w:eastAsia="es-ES"/>
              </w:rPr>
            </w:pPr>
            <w:r w:rsidRPr="004368EE">
              <w:rPr>
                <w:rFonts w:ascii="Verdana" w:eastAsia="Calibri" w:hAnsi="Verdana" w:cs="Arial"/>
                <w:bCs/>
                <w:lang w:val="es-ES_tradnl"/>
              </w:rPr>
              <w:t>CAUSALES DE RECHAZO – Carácter restrictivo – Determinación objetiva</w:t>
            </w:r>
            <w:r>
              <w:rPr>
                <w:rFonts w:ascii="Verdana" w:eastAsia="Calibri" w:hAnsi="Verdana" w:cs="Arial"/>
                <w:bCs/>
                <w:lang w:val="es-ES_tradnl"/>
              </w:rPr>
              <w:t xml:space="preserve"> </w:t>
            </w:r>
            <w:r w:rsidRPr="004368EE">
              <w:rPr>
                <w:rFonts w:ascii="Verdana" w:eastAsia="Calibri" w:hAnsi="Verdana" w:cs="Arial"/>
                <w:bCs/>
                <w:lang w:val="es-ES_tradnl"/>
              </w:rPr>
              <w:t>– Causales de rechazo</w:t>
            </w:r>
            <w:r>
              <w:rPr>
                <w:rFonts w:ascii="Verdana" w:eastAsia="Calibri" w:hAnsi="Verdana" w:cs="Arial"/>
                <w:lang w:val="es-ES" w:eastAsia="es-ES"/>
              </w:rPr>
              <w:t xml:space="preserve">. </w:t>
            </w:r>
          </w:p>
          <w:p w14:paraId="4380FB48" w14:textId="77777777" w:rsidR="00444EC7" w:rsidRPr="001F1B6C" w:rsidRDefault="00444EC7" w:rsidP="00EA271B">
            <w:pPr>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444EC7" w:rsidRPr="00960F72" w14:paraId="36AA191C" w14:textId="77777777" w:rsidTr="00D2035E">
        <w:tc>
          <w:tcPr>
            <w:tcW w:w="2689" w:type="dxa"/>
          </w:tcPr>
          <w:p w14:paraId="7225229A" w14:textId="77777777" w:rsidR="00444EC7" w:rsidRPr="00960F72" w:rsidRDefault="00444EC7" w:rsidP="00D2035E">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15AD5BDE" w14:textId="77777777" w:rsidR="00444EC7" w:rsidRPr="00960F72" w:rsidRDefault="00444EC7" w:rsidP="00D2035E">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7211E4">
              <w:rPr>
                <w:rFonts w:ascii="Verdana" w:eastAsia="Calibri" w:hAnsi="Verdana" w:cs="Arial"/>
                <w:lang w:eastAsia="es-ES_tradnl"/>
              </w:rPr>
              <w:t>1_2025_10_28_012096</w:t>
            </w:r>
          </w:p>
        </w:tc>
      </w:tr>
    </w:tbl>
    <w:p w14:paraId="6B68A001" w14:textId="77777777" w:rsidR="00AF5E15" w:rsidRPr="00960F72" w:rsidRDefault="00AF5E15" w:rsidP="00444EC7">
      <w:pPr>
        <w:spacing w:after="0" w:line="240" w:lineRule="auto"/>
        <w:jc w:val="both"/>
        <w:rPr>
          <w:rFonts w:ascii="Verdana" w:eastAsia="Calibri" w:hAnsi="Verdana" w:cs="Arial"/>
          <w:lang w:eastAsia="es-ES_tradnl"/>
        </w:rPr>
      </w:pPr>
    </w:p>
    <w:p w14:paraId="1B7A0AC3" w14:textId="77777777" w:rsidR="00444EC7" w:rsidRPr="00960F72" w:rsidRDefault="00444EC7" w:rsidP="00EA271B">
      <w:pPr>
        <w:spacing w:after="0" w:line="240" w:lineRule="auto"/>
        <w:jc w:val="both"/>
        <w:rPr>
          <w:rFonts w:ascii="Verdana" w:eastAsia="Calibri" w:hAnsi="Verdana" w:cs="Arial"/>
          <w:lang w:eastAsia="es-ES"/>
        </w:rPr>
      </w:pPr>
      <w:r>
        <w:rPr>
          <w:rFonts w:ascii="Verdana" w:eastAsia="Calibri" w:hAnsi="Verdana" w:cs="Arial"/>
          <w:lang w:eastAsia="es-ES"/>
        </w:rPr>
        <w:t>Estimado (a):</w:t>
      </w:r>
    </w:p>
    <w:p w14:paraId="33FB8FE4" w14:textId="77777777" w:rsidR="00444EC7" w:rsidRPr="00960F72" w:rsidRDefault="00444EC7" w:rsidP="00EA271B">
      <w:pPr>
        <w:tabs>
          <w:tab w:val="left" w:pos="3768"/>
        </w:tabs>
        <w:spacing w:after="0" w:line="240" w:lineRule="auto"/>
        <w:jc w:val="both"/>
        <w:rPr>
          <w:rFonts w:ascii="Verdana" w:eastAsia="Calibri" w:hAnsi="Verdana" w:cs="Arial"/>
          <w:lang w:eastAsia="es-ES"/>
        </w:rPr>
      </w:pPr>
    </w:p>
    <w:p w14:paraId="54CBE861" w14:textId="77777777" w:rsidR="00444EC7" w:rsidRPr="00960F72" w:rsidRDefault="00444EC7" w:rsidP="00444EC7">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28 </w:t>
      </w:r>
      <w:r w:rsidRPr="00960F72">
        <w:rPr>
          <w:rFonts w:ascii="Verdana" w:eastAsia="Calibri" w:hAnsi="Verdana" w:cs="Arial"/>
          <w:lang w:eastAsia="es-ES"/>
        </w:rPr>
        <w:t xml:space="preserve">de </w:t>
      </w:r>
      <w:r>
        <w:rPr>
          <w:rFonts w:ascii="Verdana" w:eastAsia="Calibri" w:hAnsi="Verdana" w:cs="Arial"/>
          <w:lang w:eastAsia="es-ES"/>
        </w:rPr>
        <w:t>octubre</w:t>
      </w:r>
      <w:r w:rsidRPr="00960F72">
        <w:rPr>
          <w:rFonts w:ascii="Verdana" w:eastAsia="Calibri" w:hAnsi="Verdana" w:cs="Arial"/>
          <w:lang w:eastAsia="es-ES"/>
        </w:rPr>
        <w:t xml:space="preserve"> de 2025, en la cual manifiesta lo siguiente: </w:t>
      </w:r>
    </w:p>
    <w:p w14:paraId="2D9EC72D" w14:textId="77777777" w:rsidR="00444EC7" w:rsidRPr="00960F72" w:rsidRDefault="00444EC7" w:rsidP="00444EC7">
      <w:pPr>
        <w:spacing w:after="0" w:line="276" w:lineRule="auto"/>
        <w:jc w:val="both"/>
        <w:rPr>
          <w:rFonts w:ascii="Verdana" w:eastAsia="Calibri" w:hAnsi="Verdana" w:cs="Arial"/>
          <w:lang w:eastAsia="es-ES"/>
        </w:rPr>
      </w:pPr>
    </w:p>
    <w:p w14:paraId="3F4BDF71" w14:textId="77777777" w:rsidR="00444EC7" w:rsidRDefault="00444EC7" w:rsidP="00EA271B">
      <w:pPr>
        <w:spacing w:after="0" w:line="240" w:lineRule="auto"/>
        <w:ind w:left="709" w:right="709"/>
        <w:jc w:val="both"/>
        <w:rPr>
          <w:rFonts w:ascii="Verdana" w:eastAsia="Calibri" w:hAnsi="Verdana" w:cs="Arial"/>
          <w:lang w:eastAsia="es-ES"/>
        </w:rPr>
      </w:pPr>
      <w:r>
        <w:rPr>
          <w:rFonts w:ascii="Verdana" w:eastAsia="Calibri" w:hAnsi="Verdana" w:cs="Arial"/>
          <w:sz w:val="20"/>
          <w:szCs w:val="20"/>
          <w:lang w:eastAsia="es-ES"/>
        </w:rPr>
        <w:t>“</w:t>
      </w:r>
      <w:r w:rsidRPr="007211E4">
        <w:rPr>
          <w:rFonts w:ascii="Verdana" w:eastAsia="Calibri" w:hAnsi="Verdana" w:cs="Arial"/>
          <w:sz w:val="20"/>
          <w:szCs w:val="20"/>
          <w:lang w:eastAsia="es-ES"/>
        </w:rPr>
        <w:t xml:space="preserve">En una licitación, una empresa fue declarada en causal de rechazo por un error tipográfico (se indicó </w:t>
      </w:r>
      <w:proofErr w:type="gramStart"/>
      <w:r w:rsidRPr="007211E4">
        <w:rPr>
          <w:rFonts w:ascii="Verdana" w:eastAsia="Calibri" w:hAnsi="Verdana" w:cs="Arial"/>
          <w:sz w:val="20"/>
          <w:szCs w:val="20"/>
          <w:lang w:eastAsia="es-ES"/>
        </w:rPr>
        <w:t xml:space="preserve">“ </w:t>
      </w:r>
      <w:proofErr w:type="spellStart"/>
      <w:r w:rsidRPr="007211E4">
        <w:rPr>
          <w:rFonts w:ascii="Verdana" w:eastAsia="Calibri" w:hAnsi="Verdana" w:cs="Arial"/>
          <w:sz w:val="20"/>
          <w:szCs w:val="20"/>
          <w:lang w:eastAsia="es-ES"/>
        </w:rPr>
        <w:t>und</w:t>
      </w:r>
      <w:proofErr w:type="spellEnd"/>
      <w:proofErr w:type="gramEnd"/>
      <w:r w:rsidRPr="007211E4">
        <w:rPr>
          <w:rFonts w:ascii="Verdana" w:eastAsia="Calibri" w:hAnsi="Verdana" w:cs="Arial"/>
          <w:sz w:val="20"/>
          <w:szCs w:val="20"/>
          <w:lang w:eastAsia="es-ES"/>
        </w:rPr>
        <w:t xml:space="preserve"> ” en lugar de </w:t>
      </w:r>
      <w:proofErr w:type="gramStart"/>
      <w:r w:rsidRPr="007211E4">
        <w:rPr>
          <w:rFonts w:ascii="Verdana" w:eastAsia="Calibri" w:hAnsi="Verdana" w:cs="Arial"/>
          <w:sz w:val="20"/>
          <w:szCs w:val="20"/>
          <w:lang w:eastAsia="es-ES"/>
        </w:rPr>
        <w:t>“ días</w:t>
      </w:r>
      <w:proofErr w:type="gramEnd"/>
      <w:r w:rsidRPr="007211E4">
        <w:rPr>
          <w:rFonts w:ascii="Verdana" w:eastAsia="Calibri" w:hAnsi="Verdana" w:cs="Arial"/>
          <w:sz w:val="20"/>
          <w:szCs w:val="20"/>
          <w:lang w:eastAsia="es-ES"/>
        </w:rPr>
        <w:t xml:space="preserve"> </w:t>
      </w:r>
      <w:proofErr w:type="gramStart"/>
      <w:r w:rsidRPr="007211E4">
        <w:rPr>
          <w:rFonts w:ascii="Verdana" w:eastAsia="Calibri" w:hAnsi="Verdana" w:cs="Arial"/>
          <w:sz w:val="20"/>
          <w:szCs w:val="20"/>
          <w:lang w:eastAsia="es-ES"/>
        </w:rPr>
        <w:t>” )</w:t>
      </w:r>
      <w:proofErr w:type="gramEnd"/>
      <w:r w:rsidRPr="007211E4">
        <w:rPr>
          <w:rFonts w:ascii="Verdana" w:eastAsia="Calibri" w:hAnsi="Verdana" w:cs="Arial"/>
          <w:sz w:val="20"/>
          <w:szCs w:val="20"/>
          <w:lang w:eastAsia="es-ES"/>
        </w:rPr>
        <w:t>, sin modificar presupuestos, unidades ni valores. ¿Este error puede considerarse causal de rechazo? En procesos del SECOP, ¿constituye causal de rechazo no presentar la planilla del último pago al Sistema de Seguridad Social antes del cierre, si se demuestra que en los seis meses anteriores se realizaron los aportes? Para acreditar personal que trabajó en procesos con la misma entidad, ¿sería causal de rechazo no presentar certificaciones con toda la información exigida en el pliego, aun cuando la entidad pueda verificar internamente la información en sus propios archivos</w:t>
      </w:r>
      <w:r>
        <w:rPr>
          <w:rFonts w:ascii="Verdana" w:eastAsia="Calibri" w:hAnsi="Verdana" w:cs="Arial"/>
          <w:sz w:val="20"/>
          <w:szCs w:val="20"/>
          <w:lang w:eastAsia="es-ES"/>
        </w:rPr>
        <w:t>?</w:t>
      </w:r>
    </w:p>
    <w:p w14:paraId="5CC7C093" w14:textId="77777777" w:rsidR="00444EC7" w:rsidRPr="00755387" w:rsidRDefault="00444EC7" w:rsidP="00444EC7">
      <w:pPr>
        <w:spacing w:after="0" w:line="276" w:lineRule="auto"/>
        <w:ind w:right="709"/>
        <w:jc w:val="both"/>
        <w:rPr>
          <w:rFonts w:ascii="Verdana" w:eastAsia="Calibri" w:hAnsi="Verdana" w:cs="Arial"/>
          <w:lang w:eastAsia="es-ES"/>
        </w:rPr>
      </w:pPr>
    </w:p>
    <w:p w14:paraId="7633AF06" w14:textId="77777777" w:rsidR="00444EC7" w:rsidRPr="00960F72" w:rsidRDefault="00444EC7" w:rsidP="00444EC7">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w:t>
      </w:r>
      <w:r w:rsidRPr="00960F72">
        <w:rPr>
          <w:rFonts w:ascii="Verdana" w:eastAsia="Calibri" w:hAnsi="Verdana" w:cs="Arial"/>
          <w:lang w:eastAsia="es-ES"/>
        </w:rPr>
        <w:lastRenderedPageBreak/>
        <w:t xml:space="preserve">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37CE8166" w14:textId="77777777" w:rsidR="00444EC7" w:rsidRPr="00960F72" w:rsidRDefault="00444EC7" w:rsidP="00444EC7">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08470897" w14:textId="77777777" w:rsidR="00444EC7" w:rsidRPr="00960F72" w:rsidRDefault="00444EC7" w:rsidP="00444EC7">
      <w:pPr>
        <w:spacing w:after="0" w:line="276" w:lineRule="auto"/>
        <w:ind w:firstLine="709"/>
        <w:jc w:val="both"/>
        <w:rPr>
          <w:rFonts w:ascii="Verdana" w:eastAsia="Calibri" w:hAnsi="Verdana" w:cs="Arial"/>
          <w:lang w:eastAsia="es-ES"/>
        </w:rPr>
      </w:pPr>
    </w:p>
    <w:p w14:paraId="282136DD" w14:textId="77777777" w:rsidR="00444EC7" w:rsidRPr="00960F72" w:rsidRDefault="00444EC7" w:rsidP="00444EC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1D4283FE" w14:textId="77777777" w:rsidR="00444EC7" w:rsidRPr="00960F72" w:rsidRDefault="00444EC7" w:rsidP="00444EC7">
      <w:pPr>
        <w:tabs>
          <w:tab w:val="left" w:pos="426"/>
        </w:tabs>
        <w:spacing w:after="0" w:line="276" w:lineRule="auto"/>
        <w:jc w:val="both"/>
        <w:rPr>
          <w:rFonts w:ascii="Verdana" w:eastAsia="Century Gothic" w:hAnsi="Verdana" w:cs="Century Gothic"/>
        </w:rPr>
      </w:pPr>
    </w:p>
    <w:p w14:paraId="1BCE7A99" w14:textId="77777777" w:rsidR="00444EC7" w:rsidRPr="007211E4" w:rsidRDefault="00444EC7" w:rsidP="00444EC7">
      <w:pPr>
        <w:spacing w:after="0" w:line="276" w:lineRule="auto"/>
        <w:jc w:val="both"/>
        <w:rPr>
          <w:rFonts w:ascii="Verdana" w:eastAsia="Century Gothic" w:hAnsi="Verdana" w:cs="Century Gothic"/>
          <w:color w:val="000000" w:themeColor="text1"/>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04784B">
        <w:rPr>
          <w:rFonts w:ascii="Verdana" w:eastAsia="Century Gothic" w:hAnsi="Verdana" w:cs="Century Gothic"/>
          <w:color w:val="000000" w:themeColor="text1"/>
        </w:rPr>
        <w:t>¿</w:t>
      </w:r>
      <w:r>
        <w:rPr>
          <w:rFonts w:ascii="Verdana" w:eastAsia="Century Gothic" w:hAnsi="Verdana" w:cs="Century Gothic"/>
          <w:color w:val="000000" w:themeColor="text1"/>
        </w:rPr>
        <w:t>Como deben establecerse e interpretarse las causales de rechazo en un proceso de contratación?</w:t>
      </w:r>
    </w:p>
    <w:p w14:paraId="5B41F275" w14:textId="77777777" w:rsidR="00444EC7" w:rsidRPr="00960F72" w:rsidRDefault="00444EC7" w:rsidP="00444EC7">
      <w:pPr>
        <w:spacing w:after="0" w:line="276" w:lineRule="auto"/>
        <w:jc w:val="both"/>
        <w:rPr>
          <w:rFonts w:ascii="Verdana" w:eastAsia="Century Gothic" w:hAnsi="Verdana" w:cs="Century Gothic"/>
        </w:rPr>
      </w:pPr>
    </w:p>
    <w:p w14:paraId="0BFF5929" w14:textId="77777777" w:rsidR="00444EC7" w:rsidRDefault="00444EC7" w:rsidP="00444EC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5E0C2786" w14:textId="77777777" w:rsidR="00444EC7" w:rsidRPr="00027E7B" w:rsidRDefault="00444EC7" w:rsidP="00444EC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44EC7" w:rsidRPr="00960F72" w14:paraId="05E91A7B" w14:textId="77777777" w:rsidTr="00D2035E">
        <w:tc>
          <w:tcPr>
            <w:tcW w:w="8828" w:type="dxa"/>
          </w:tcPr>
          <w:p w14:paraId="13553146" w14:textId="16DD0880" w:rsidR="00444EC7" w:rsidRDefault="00444EC7" w:rsidP="00D2035E">
            <w:pPr>
              <w:spacing w:after="120" w:line="276" w:lineRule="auto"/>
              <w:jc w:val="both"/>
              <w:rPr>
                <w:rFonts w:ascii="Verdana" w:eastAsia="Calibri" w:hAnsi="Verdana" w:cs="Arial"/>
                <w:color w:val="000000" w:themeColor="text1"/>
                <w:lang w:val="es-ES" w:eastAsia="es-ES"/>
              </w:rPr>
            </w:pPr>
            <w:r w:rsidRPr="009D6ED9">
              <w:rPr>
                <w:rFonts w:ascii="Verdana" w:eastAsia="Calibri" w:hAnsi="Verdana" w:cs="Arial"/>
                <w:color w:val="000000" w:themeColor="text1"/>
                <w:lang w:val="es-ES" w:eastAsia="es-ES"/>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r w:rsidR="00924647">
              <w:rPr>
                <w:rFonts w:ascii="Verdana" w:eastAsia="Calibri" w:hAnsi="Verdana" w:cs="Arial"/>
                <w:color w:val="000000" w:themeColor="text1"/>
                <w:lang w:val="es-ES" w:eastAsia="es-ES"/>
              </w:rPr>
              <w:t xml:space="preserve"> </w:t>
            </w:r>
            <w:r w:rsidR="00924647" w:rsidRPr="009D6ED9">
              <w:rPr>
                <w:rFonts w:ascii="Verdana" w:eastAsia="Calibri" w:hAnsi="Verdana" w:cs="Arial"/>
                <w:color w:val="000000" w:themeColor="text1"/>
                <w:lang w:val="es-ES" w:eastAsia="es-ES"/>
              </w:rPr>
              <w:t>De esta forma, por la naturaleza propia de las causales de rechazo, su aplicación es estricta y restrictiva, lo que significa que su interpretación gramatical prevalece sobre una interpretación extensiva o de otra índole, mediante la cual, se pretenda ampliar su alcance.</w:t>
            </w:r>
          </w:p>
          <w:p w14:paraId="5DEF71BA" w14:textId="54B197C3" w:rsidR="00924647" w:rsidRDefault="00924647" w:rsidP="00D2035E">
            <w:pPr>
              <w:spacing w:after="120" w:line="276" w:lineRule="auto"/>
              <w:ind w:firstLine="709"/>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Al respecto</w:t>
            </w:r>
            <w:r w:rsidR="00444EC7" w:rsidRPr="009D6ED9">
              <w:rPr>
                <w:rFonts w:ascii="Verdana" w:eastAsia="Calibri" w:hAnsi="Verdana" w:cs="Arial"/>
                <w:color w:val="000000" w:themeColor="text1"/>
                <w:lang w:val="es-ES" w:eastAsia="es-ES"/>
              </w:rPr>
              <w:t>, esta Agencia ha reiterado la postura del Consejo de Estado,</w:t>
            </w:r>
            <w:r w:rsidR="00444EC7">
              <w:rPr>
                <w:rFonts w:ascii="Verdana" w:eastAsia="Calibri" w:hAnsi="Verdana" w:cs="Arial"/>
                <w:color w:val="000000" w:themeColor="text1"/>
                <w:lang w:val="es-ES" w:eastAsia="es-ES"/>
              </w:rPr>
              <w:t xml:space="preserve"> </w:t>
            </w:r>
            <w:r w:rsidR="00444EC7" w:rsidRPr="009D6ED9">
              <w:rPr>
                <w:rFonts w:ascii="Verdana" w:eastAsia="Calibri" w:hAnsi="Verdana" w:cs="Arial"/>
                <w:color w:val="000000" w:themeColor="text1"/>
                <w:lang w:val="es-ES" w:eastAsia="es-ES"/>
              </w:rPr>
              <w:t>según la cual, por la naturaleza propia de las causales de rechazo, su aplicación</w:t>
            </w:r>
            <w:r w:rsidR="00444EC7">
              <w:rPr>
                <w:rFonts w:ascii="Verdana" w:eastAsia="Calibri" w:hAnsi="Verdana" w:cs="Arial"/>
                <w:color w:val="000000" w:themeColor="text1"/>
                <w:lang w:val="es-ES" w:eastAsia="es-ES"/>
              </w:rPr>
              <w:t xml:space="preserve"> </w:t>
            </w:r>
            <w:r w:rsidR="00444EC7" w:rsidRPr="009D6ED9">
              <w:rPr>
                <w:rFonts w:ascii="Verdana" w:eastAsia="Calibri" w:hAnsi="Verdana" w:cs="Arial"/>
                <w:color w:val="000000" w:themeColor="text1"/>
                <w:lang w:val="es-ES" w:eastAsia="es-ES"/>
              </w:rPr>
              <w:t xml:space="preserve">es estricta y restrictiva, lo que significa que su interpretación gramatical prevalece sobre una interpretación extensiva o de otra índole, mediante la cual se pretenda ampliar su alcance. Al respecto, el Consejo de Estado sostuvo: “En esta línea de pensamiento, resulta claro que el rechazo o la descalificación de ofertas no puede depender de la libre discrecionalidad de la administración, </w:t>
            </w:r>
            <w:r w:rsidR="00444EC7" w:rsidRPr="009D6ED9">
              <w:rPr>
                <w:rFonts w:ascii="Verdana" w:eastAsia="Calibri" w:hAnsi="Verdana" w:cs="Arial"/>
                <w:color w:val="000000" w:themeColor="text1"/>
                <w:lang w:val="es-ES" w:eastAsia="es-ES"/>
              </w:rPr>
              <w:lastRenderedPageBreak/>
              <w:t>en la medida en que el oferente, por el hecho de participar en el proceso licitatorio, adquiere el derecho de participar en el procedimiento de selección y se genera para él una situación jurídica particular</w:t>
            </w:r>
            <w:r>
              <w:rPr>
                <w:rFonts w:ascii="Verdana" w:eastAsia="Calibri" w:hAnsi="Verdana" w:cs="Arial"/>
                <w:color w:val="000000" w:themeColor="text1"/>
                <w:lang w:val="es-ES" w:eastAsia="es-ES"/>
              </w:rPr>
              <w:t xml:space="preserve">. </w:t>
            </w:r>
          </w:p>
          <w:p w14:paraId="46500BFE" w14:textId="16FE5E24" w:rsidR="00444EC7" w:rsidRDefault="00924647" w:rsidP="00D2035E">
            <w:pPr>
              <w:spacing w:after="120" w:line="276" w:lineRule="auto"/>
              <w:ind w:firstLine="709"/>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9D6ED9">
              <w:rPr>
                <w:rFonts w:ascii="Verdana" w:eastAsia="Calibri" w:hAnsi="Verdana" w:cs="Arial"/>
                <w:color w:val="000000" w:themeColor="text1"/>
                <w:lang w:val="es-ES" w:eastAsia="es-ES"/>
              </w:rPr>
              <w:t>n</w:t>
            </w:r>
            <w:r w:rsidR="00444EC7" w:rsidRPr="009D6ED9">
              <w:rPr>
                <w:rFonts w:ascii="Verdana" w:eastAsia="Calibri" w:hAnsi="Verdana" w:cs="Arial"/>
                <w:color w:val="000000" w:themeColor="text1"/>
                <w:lang w:val="es-ES" w:eastAsia="es-ES"/>
              </w:rPr>
              <w:t xml:space="preserve">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r>
              <w:rPr>
                <w:rFonts w:ascii="Verdana" w:eastAsia="Calibri" w:hAnsi="Verdana" w:cs="Arial"/>
                <w:color w:val="000000" w:themeColor="text1"/>
                <w:lang w:val="es-ES" w:eastAsia="es-ES"/>
              </w:rPr>
              <w:t>.</w:t>
            </w:r>
          </w:p>
          <w:p w14:paraId="0CE4F37A" w14:textId="77777777" w:rsidR="00444EC7" w:rsidRDefault="00444EC7" w:rsidP="00D2035E">
            <w:pPr>
              <w:spacing w:after="120" w:line="276" w:lineRule="auto"/>
              <w:ind w:firstLine="709"/>
              <w:jc w:val="both"/>
              <w:rPr>
                <w:rFonts w:ascii="Verdana" w:eastAsia="Calibri" w:hAnsi="Verdana" w:cs="Arial"/>
                <w:color w:val="000000" w:themeColor="text1"/>
                <w:lang w:val="es-ES" w:eastAsia="es-ES"/>
              </w:rPr>
            </w:pPr>
            <w:r w:rsidRPr="009D6ED9">
              <w:rPr>
                <w:rFonts w:ascii="Verdana" w:eastAsia="Calibri" w:hAnsi="Verdana" w:cs="Arial"/>
                <w:color w:val="000000" w:themeColor="text1"/>
                <w:lang w:val="es-ES" w:eastAsia="es-ES"/>
              </w:rPr>
              <w:t>Finalmente debe advertirse, que el análisis requerido para resolver problemas específicos en torno al rechazo de las ofertas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p w14:paraId="465D5740" w14:textId="77777777" w:rsidR="00444EC7" w:rsidRPr="005069C4" w:rsidRDefault="00444EC7" w:rsidP="00D2035E">
            <w:pPr>
              <w:spacing w:line="276" w:lineRule="auto"/>
              <w:ind w:firstLine="709"/>
              <w:jc w:val="both"/>
              <w:rPr>
                <w:rFonts w:ascii="Verdana" w:hAnsi="Verdana"/>
              </w:rPr>
            </w:pPr>
            <w:r w:rsidRPr="009D6ED9">
              <w:rPr>
                <w:rFonts w:ascii="Verdana" w:eastAsia="Calibri" w:hAnsi="Verdana" w:cs="Arial"/>
                <w:color w:val="000000" w:themeColor="text1"/>
                <w:lang w:val="es-ES" w:eastAsia="es-ES"/>
              </w:rPr>
              <w:t>En ese sentido, al tratarse de un análisis que debe realizarse en el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5AA98732" w14:textId="77777777" w:rsidR="00444EC7" w:rsidRPr="00960F72" w:rsidRDefault="00444EC7" w:rsidP="00444EC7">
      <w:pPr>
        <w:tabs>
          <w:tab w:val="left" w:pos="142"/>
          <w:tab w:val="left" w:pos="284"/>
        </w:tabs>
        <w:spacing w:after="0" w:line="276" w:lineRule="auto"/>
        <w:jc w:val="both"/>
        <w:rPr>
          <w:rFonts w:ascii="Verdana" w:eastAsia="Century Gothic" w:hAnsi="Verdana" w:cs="Century Gothic"/>
          <w:b/>
          <w:bCs/>
        </w:rPr>
      </w:pPr>
    </w:p>
    <w:p w14:paraId="34B470F1" w14:textId="77777777" w:rsidR="00444EC7" w:rsidRDefault="00444EC7" w:rsidP="005602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095D96FC" w14:textId="77777777" w:rsidR="00444EC7" w:rsidRDefault="00444EC7" w:rsidP="00444EC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6675F552" w14:textId="77777777" w:rsidR="00444EC7" w:rsidRPr="008900F6" w:rsidRDefault="00444EC7" w:rsidP="00EA271B">
      <w:pPr>
        <w:spacing w:after="0" w:line="276" w:lineRule="auto"/>
        <w:jc w:val="both"/>
        <w:rPr>
          <w:rFonts w:ascii="Verdana" w:eastAsia="Calibri" w:hAnsi="Verdana"/>
          <w:lang w:val="es-ES"/>
        </w:rPr>
      </w:pPr>
      <w:bookmarkStart w:id="0" w:name="_Hlk69487468"/>
      <w:bookmarkStart w:id="1" w:name="_Hlk79145750"/>
      <w:r w:rsidRPr="008900F6">
        <w:rPr>
          <w:rFonts w:ascii="Verdana" w:eastAsia="Calibri" w:hAnsi="Verdana"/>
          <w:lang w:val="es-ES"/>
        </w:rPr>
        <w:t xml:space="preserve">De manera preliminar, debe precisarse que, las causales de rechazo son las establecidas en la ley y las fijadas por la Entidad Estatal en los pliegos de condiciones o documento equivalente. Sin embargo, en el ejercicio de dicha </w:t>
      </w:r>
      <w:r w:rsidRPr="008900F6">
        <w:rPr>
          <w:rFonts w:ascii="Verdana" w:eastAsia="Calibri" w:hAnsi="Verdana"/>
          <w:lang w:val="es-ES"/>
        </w:rPr>
        <w:lastRenderedPageBreak/>
        <w:t>facultad, a las entidades no les es dable fijar causales de rechazo que soslayen o afecten la selección objetiva en la contratación. Sobre el particular, el Consejo de Estado</w:t>
      </w:r>
      <w:r w:rsidRPr="008900F6">
        <w:rPr>
          <w:rFonts w:ascii="Verdana" w:eastAsia="Calibri" w:hAnsi="Verdana" w:cs="Arial"/>
          <w:i/>
          <w:iCs/>
          <w:vertAlign w:val="superscript"/>
        </w:rPr>
        <w:footnoteReference w:id="2"/>
      </w:r>
      <w:r w:rsidRPr="008900F6">
        <w:rPr>
          <w:rFonts w:ascii="Verdana" w:eastAsia="Calibri" w:hAnsi="Verdana" w:cs="Arial"/>
          <w:sz w:val="24"/>
          <w:szCs w:val="24"/>
        </w:rPr>
        <w:t xml:space="preserve"> </w:t>
      </w:r>
      <w:r w:rsidRPr="008900F6">
        <w:rPr>
          <w:rFonts w:ascii="Verdana" w:eastAsia="Calibri" w:hAnsi="Verdana"/>
          <w:lang w:val="es-ES"/>
        </w:rPr>
        <w:t>señaló:</w:t>
      </w:r>
    </w:p>
    <w:p w14:paraId="56513855" w14:textId="77777777" w:rsidR="00444EC7" w:rsidRPr="008900F6" w:rsidRDefault="00444EC7" w:rsidP="00EA271B">
      <w:pPr>
        <w:spacing w:after="0" w:line="276" w:lineRule="auto"/>
        <w:ind w:left="720"/>
        <w:jc w:val="both"/>
        <w:rPr>
          <w:rFonts w:ascii="Verdana" w:eastAsia="Calibri" w:hAnsi="Verdana"/>
          <w:lang w:val="es-ES"/>
        </w:rPr>
      </w:pPr>
    </w:p>
    <w:p w14:paraId="04EB0427" w14:textId="77777777" w:rsidR="00444EC7" w:rsidRPr="008900F6" w:rsidRDefault="00444EC7" w:rsidP="00EA271B">
      <w:pPr>
        <w:spacing w:after="0" w:line="240" w:lineRule="auto"/>
        <w:ind w:left="709" w:right="709"/>
        <w:contextualSpacing/>
        <w:jc w:val="both"/>
        <w:rPr>
          <w:rFonts w:ascii="Verdana" w:eastAsia="Calibri" w:hAnsi="Verdana"/>
          <w:sz w:val="20"/>
          <w:szCs w:val="20"/>
          <w:lang w:val="es-ES"/>
        </w:rPr>
      </w:pPr>
      <w:r w:rsidRPr="008900F6">
        <w:rPr>
          <w:rFonts w:ascii="Verdana" w:eastAsia="Calibri" w:hAnsi="Verdana"/>
          <w:sz w:val="20"/>
          <w:szCs w:val="20"/>
          <w:lang w:val="es-ES"/>
        </w:rPr>
        <w:t xml:space="preserve">“Quiere con esto destacar la Sala que las causales de rechazo de las propuestas pueden ser legales y por lo mismo generan el efecto del descarte o exclusión de la oferta </w:t>
      </w:r>
      <w:proofErr w:type="spellStart"/>
      <w:r w:rsidRPr="008900F6">
        <w:rPr>
          <w:rFonts w:ascii="Verdana" w:eastAsia="Calibri" w:hAnsi="Verdana"/>
          <w:sz w:val="20"/>
          <w:szCs w:val="20"/>
          <w:lang w:val="es-ES"/>
        </w:rPr>
        <w:t>ope</w:t>
      </w:r>
      <w:proofErr w:type="spellEnd"/>
      <w:r w:rsidRPr="008900F6">
        <w:rPr>
          <w:rFonts w:ascii="Verdana" w:eastAsia="Calibri" w:hAnsi="Verdana"/>
          <w:sz w:val="20"/>
          <w:szCs w:val="20"/>
          <w:lang w:val="es-ES"/>
        </w:rPr>
        <w:t xml:space="preserve"> </w:t>
      </w:r>
      <w:proofErr w:type="spellStart"/>
      <w:r w:rsidRPr="008900F6">
        <w:rPr>
          <w:rFonts w:ascii="Verdana" w:eastAsia="Calibri" w:hAnsi="Verdana"/>
          <w:sz w:val="20"/>
          <w:szCs w:val="20"/>
          <w:lang w:val="es-ES"/>
        </w:rPr>
        <w:t>legis</w:t>
      </w:r>
      <w:proofErr w:type="spellEnd"/>
      <w:r w:rsidRPr="008900F6">
        <w:rPr>
          <w:rFonts w:ascii="Verdana" w:eastAsia="Calibri" w:hAnsi="Verdana"/>
          <w:sz w:val="20"/>
          <w:szCs w:val="20"/>
          <w:lang w:val="es-ES"/>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470AF587" w14:textId="77777777" w:rsidR="00444EC7" w:rsidRPr="008900F6" w:rsidRDefault="00444EC7" w:rsidP="00EA271B">
      <w:pPr>
        <w:spacing w:after="0" w:line="276" w:lineRule="auto"/>
        <w:contextualSpacing/>
        <w:jc w:val="both"/>
        <w:rPr>
          <w:rFonts w:ascii="Verdana" w:eastAsia="Calibri" w:hAnsi="Verdana"/>
          <w:lang w:val="es-ES"/>
        </w:rPr>
      </w:pPr>
    </w:p>
    <w:p w14:paraId="0A7A2013" w14:textId="69585FDF" w:rsidR="00444EC7" w:rsidRPr="008900F6" w:rsidRDefault="00444EC7" w:rsidP="00444EC7">
      <w:pPr>
        <w:spacing w:after="0" w:line="276" w:lineRule="auto"/>
        <w:ind w:firstLine="426"/>
        <w:contextualSpacing/>
        <w:jc w:val="both"/>
        <w:rPr>
          <w:rFonts w:ascii="Verdana" w:eastAsia="Calibri" w:hAnsi="Verdana"/>
          <w:lang w:val="es-ES"/>
        </w:rPr>
      </w:pPr>
      <w:r w:rsidRPr="008900F6">
        <w:rPr>
          <w:rFonts w:ascii="Verdana" w:eastAsia="Calibri" w:hAnsi="Verdana"/>
          <w:lang w:val="es-ES"/>
        </w:rPr>
        <w:t xml:space="preserve">Esta entidad ha reiterado la postura del Consejo de Estado, según la cual, por la naturaleza propia de las causales de rechazo, su aplicación es estricta y restrictiva, lo que significa que su interpretación gramatical prevale sobre una interpretación extensiva o de otra índole, mediante la cual se pretenda ampliar su alcance. </w:t>
      </w:r>
      <w:r w:rsidR="00412BFE">
        <w:rPr>
          <w:rFonts w:ascii="Verdana" w:eastAsia="Calibri" w:hAnsi="Verdana"/>
          <w:lang w:val="es-ES"/>
        </w:rPr>
        <w:t>E</w:t>
      </w:r>
      <w:r w:rsidRPr="008900F6">
        <w:rPr>
          <w:rFonts w:ascii="Verdana" w:eastAsia="Calibri" w:hAnsi="Verdana"/>
          <w:lang w:val="es-ES"/>
        </w:rPr>
        <w:t>l Alto Tribunal Administrativo</w:t>
      </w:r>
      <w:r w:rsidRPr="008900F6">
        <w:rPr>
          <w:rFonts w:ascii="Verdana" w:eastAsia="Calibri" w:hAnsi="Verdana" w:cs="Arial"/>
          <w:i/>
          <w:vertAlign w:val="superscript"/>
        </w:rPr>
        <w:footnoteReference w:id="3"/>
      </w:r>
      <w:r w:rsidRPr="008900F6">
        <w:rPr>
          <w:rFonts w:ascii="Verdana" w:eastAsia="Calibri" w:hAnsi="Verdana"/>
          <w:lang w:val="es-ES"/>
        </w:rPr>
        <w:t>, sostuvo:</w:t>
      </w:r>
    </w:p>
    <w:p w14:paraId="0A2D3F30" w14:textId="77777777" w:rsidR="00444EC7" w:rsidRPr="008900F6" w:rsidRDefault="00444EC7" w:rsidP="00EA271B">
      <w:pPr>
        <w:spacing w:after="0" w:line="276" w:lineRule="auto"/>
        <w:contextualSpacing/>
        <w:jc w:val="both"/>
        <w:rPr>
          <w:rFonts w:ascii="Verdana" w:eastAsia="Calibri" w:hAnsi="Verdana"/>
          <w:lang w:val="es-ES"/>
        </w:rPr>
      </w:pPr>
    </w:p>
    <w:p w14:paraId="04DDD674" w14:textId="77777777" w:rsidR="00444EC7" w:rsidRPr="008900F6" w:rsidRDefault="00444EC7" w:rsidP="00EA271B">
      <w:pPr>
        <w:spacing w:after="0" w:line="240" w:lineRule="auto"/>
        <w:ind w:left="709" w:right="709"/>
        <w:contextualSpacing/>
        <w:jc w:val="both"/>
        <w:rPr>
          <w:rFonts w:ascii="Verdana" w:eastAsia="Calibri" w:hAnsi="Verdana"/>
          <w:lang w:val="es-ES"/>
        </w:rPr>
      </w:pPr>
      <w:r w:rsidRPr="008900F6">
        <w:rPr>
          <w:rFonts w:ascii="Verdana" w:eastAsia="Calibri" w:hAnsi="Verdana"/>
          <w:sz w:val="20"/>
          <w:szCs w:val="20"/>
          <w:lang w:val="es-ES"/>
        </w:rPr>
        <w:t xml:space="preserve">“En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w:t>
      </w:r>
      <w:r w:rsidRPr="008900F6">
        <w:rPr>
          <w:rFonts w:ascii="Verdana" w:eastAsia="Calibri" w:hAnsi="Verdana"/>
          <w:sz w:val="20"/>
          <w:szCs w:val="20"/>
          <w:lang w:val="es-ES"/>
        </w:rPr>
        <w:lastRenderedPageBreak/>
        <w:t>toda vez que no tendría justificación excluir una propuesta por una deficiencia que no tenga incidencia alguna en la contratación”.</w:t>
      </w:r>
    </w:p>
    <w:p w14:paraId="4D78D497" w14:textId="77777777" w:rsidR="00444EC7" w:rsidRPr="008900F6" w:rsidRDefault="00444EC7" w:rsidP="00444EC7">
      <w:pPr>
        <w:spacing w:after="0" w:line="276" w:lineRule="auto"/>
        <w:ind w:left="720"/>
        <w:contextualSpacing/>
        <w:jc w:val="both"/>
        <w:rPr>
          <w:rFonts w:ascii="Verdana" w:eastAsia="Calibri" w:hAnsi="Verdana"/>
          <w:lang w:val="es-ES"/>
        </w:rPr>
      </w:pPr>
    </w:p>
    <w:p w14:paraId="7063BA81" w14:textId="582C0F73" w:rsidR="00444EC7" w:rsidRPr="008900F6" w:rsidRDefault="00444EC7" w:rsidP="00EA271B">
      <w:pPr>
        <w:spacing w:after="120" w:line="276" w:lineRule="auto"/>
        <w:ind w:firstLine="567"/>
        <w:jc w:val="both"/>
        <w:rPr>
          <w:rFonts w:ascii="Verdana" w:eastAsia="Calibri" w:hAnsi="Verdana"/>
          <w:lang w:val="es-ES"/>
        </w:rPr>
      </w:pPr>
      <w:r w:rsidRPr="008900F6">
        <w:rPr>
          <w:rFonts w:ascii="Verdana" w:eastAsia="Calibri" w:hAnsi="Verdana" w:cs="Arial"/>
          <w:lang w:val="es-ES"/>
        </w:rPr>
        <w:t>Ahora bien, debe precisarse que el numeral 3 del artículo 3 de la Ley 1437 de 2011 prescribe que “[e]n virtud del principio de imparcialidad, las autoridades deberán actuar teniendo en cuenta que la finalidad de los procedimientos consiste en asegurar y garantizar los derechos de todas las personas sin discriminación alguna y sin tener en consideración factores de afecto o de interés y, en general, cualquier clase de motivación subjetiva”. Esta directriz es de especial relevancia en materia de contratación estatal, ya que –en virtud del artículo 77 de la Ley 80 de 1993 y el artículo 13 de la Ley 1150 de 2007– se integra tanto al régimen de las entidades sometidas al Estatuto General de Contratación de la Administración Pública como al de las exceptuadas de este, guardando una estrecha relación con el principio de selección objetiva.</w:t>
      </w:r>
    </w:p>
    <w:p w14:paraId="6608948F" w14:textId="2A1B815C" w:rsidR="00444EC7" w:rsidRPr="008900F6" w:rsidRDefault="00444EC7" w:rsidP="00EA271B">
      <w:pPr>
        <w:spacing w:after="120" w:line="276" w:lineRule="auto"/>
        <w:ind w:firstLine="708"/>
        <w:jc w:val="both"/>
        <w:rPr>
          <w:rFonts w:ascii="Verdana" w:eastAsia="Calibri" w:hAnsi="Verdana"/>
          <w:lang w:val="es-ES"/>
        </w:rPr>
      </w:pPr>
      <w:r w:rsidRPr="008900F6">
        <w:rPr>
          <w:rFonts w:ascii="Verdana" w:eastAsia="Calibri" w:hAnsi="Verdana"/>
          <w:lang w:val="es-ES"/>
        </w:rPr>
        <w:t>Dichos principios tienen un papel relevante en la elaboración de los pliegos de condiciones o documentos equivalentes, pues si bien las entidades tienen un margen de autonomía para definir algunos aspectos del futuro negocio, las causales de rechazo de las propuestas deben ser razonables, bien porque algunas de éstas se encuentren previstas en el ordenamiento o porque conducen a que no se adjudique el contrato al proponente que no cumple con los requisitos técnicos y económicos para su ejecución. En esta medida, dichas causales no deben fundamentarse en el simple capricho o el mero arbitrio, lo cual –</w:t>
      </w:r>
      <w:r w:rsidRPr="008900F6">
        <w:rPr>
          <w:rFonts w:ascii="Verdana" w:eastAsia="Calibri" w:hAnsi="Verdana" w:cs="Arial"/>
          <w:lang w:val="es-ES"/>
        </w:rPr>
        <w:t>además de contrariar los principios analizados– limita la participación.</w:t>
      </w:r>
    </w:p>
    <w:p w14:paraId="72382BEE" w14:textId="77777777" w:rsidR="00444EC7" w:rsidRPr="008900F6" w:rsidRDefault="00444EC7" w:rsidP="00EA271B">
      <w:pPr>
        <w:spacing w:after="120" w:line="276" w:lineRule="auto"/>
        <w:ind w:firstLine="708"/>
        <w:jc w:val="both"/>
        <w:rPr>
          <w:rFonts w:ascii="Verdana" w:eastAsia="Calibri" w:hAnsi="Verdana" w:cs="Arial"/>
          <w:lang w:val="es-ES"/>
        </w:rPr>
      </w:pPr>
      <w:r w:rsidRPr="008900F6">
        <w:rPr>
          <w:rFonts w:ascii="Verdana" w:eastAsia="Calibri" w:hAnsi="Verdana"/>
          <w:lang w:val="es-ES"/>
        </w:rPr>
        <w:t>De esta forma, puede colegirse que las causales de rechazo de la oferta deben emanar directamente de la ley o del pliego de condiciones o incluso, de los Documentos Tipo expedidos por Colombia Compra Eficiente cuando el proceso se rija por estos, pero en uno y en otro caso deberán guardan relación con defectos, omisiones o circunstancias impeditivas que permitan deducir que la oferta no resulta favorable para los intereses de la entidad, en los términos del inciso 1 del artículo 5 de la Ley 1150 de 2007. En otras palabras, la determinación de las causales de rechazo, no pueden fundamentarse en consideraciones subjetivas, que conviertan dichas causales en inhabilidades para participar en los procesos de selección.</w:t>
      </w:r>
    </w:p>
    <w:p w14:paraId="6E3F63A4" w14:textId="77777777" w:rsidR="00444EC7" w:rsidRDefault="00444EC7" w:rsidP="00EA271B">
      <w:pPr>
        <w:widowControl w:val="0"/>
        <w:autoSpaceDE w:val="0"/>
        <w:autoSpaceDN w:val="0"/>
        <w:spacing w:after="120" w:line="276" w:lineRule="auto"/>
        <w:ind w:firstLine="708"/>
        <w:jc w:val="both"/>
        <w:rPr>
          <w:rFonts w:ascii="Verdana" w:eastAsia="Calibri" w:hAnsi="Verdana" w:cs="Arial"/>
          <w:lang w:val="es-ES"/>
        </w:rPr>
      </w:pPr>
      <w:r w:rsidRPr="008900F6">
        <w:rPr>
          <w:rFonts w:ascii="Verdana" w:eastAsia="Calibri" w:hAnsi="Verdana" w:cs="Arial"/>
          <w:lang w:val="es-ES"/>
        </w:rPr>
        <w:t xml:space="preserve">Con fundamento en todo lo expuesto, se colige que las causales de rechazo deben estar necesariamente nominadas en la ley o en el pliego de </w:t>
      </w:r>
      <w:r w:rsidRPr="008900F6">
        <w:rPr>
          <w:rFonts w:ascii="Verdana" w:eastAsia="Calibri" w:hAnsi="Verdana" w:cs="Arial"/>
          <w:lang w:val="es-ES"/>
        </w:rPr>
        <w:lastRenderedPageBreak/>
        <w:t xml:space="preserve">condiciones y no puede realizarse frente a su redacción, ninguna interpretación extensiva. Por ello, si el Estatuto General de Contratación de la Administración Pública o el pliego de condiciones no establecen de manera literal el supuesto de hecho relacionado por el peticionario en la consulta, no podrá rechazarse la oferta del proponente. Situación contraria, en caso de que dicho supuesto si se encuentre estipulado en la ley o en el pliego de condiciones o documento equivalente. </w:t>
      </w:r>
    </w:p>
    <w:p w14:paraId="44E667BF" w14:textId="77777777" w:rsidR="00444EC7" w:rsidRDefault="00444EC7" w:rsidP="00EA271B">
      <w:pPr>
        <w:spacing w:after="120" w:line="276" w:lineRule="auto"/>
        <w:ind w:firstLine="709"/>
        <w:jc w:val="both"/>
        <w:rPr>
          <w:rFonts w:ascii="Verdana" w:eastAsia="Calibri" w:hAnsi="Verdana" w:cs="Arial"/>
          <w:color w:val="000000" w:themeColor="text1"/>
        </w:rPr>
      </w:pPr>
      <w:r w:rsidRPr="00CA419A">
        <w:rPr>
          <w:rFonts w:ascii="Verdana" w:eastAsia="Calibri" w:hAnsi="Verdana" w:cs="Arial"/>
          <w:color w:val="000000" w:themeColor="text1"/>
        </w:rPr>
        <w:t xml:space="preserve">En ese contexto, corresponde a cada entidad estatal, con el apoyo de sus asesores jurídicos y técnicos, realizar el análisis específico para determinar </w:t>
      </w:r>
      <w:r>
        <w:rPr>
          <w:rFonts w:ascii="Verdana" w:eastAsia="Calibri" w:hAnsi="Verdana" w:cs="Arial"/>
          <w:color w:val="000000" w:themeColor="text1"/>
        </w:rPr>
        <w:t>si la situación consultada, encuadra dentro de una causal de rechazo</w:t>
      </w:r>
      <w:r w:rsidRPr="00CA419A">
        <w:rPr>
          <w:rFonts w:ascii="Verdana" w:eastAsia="Calibri" w:hAnsi="Verdana" w:cs="Arial"/>
          <w:color w:val="000000" w:themeColor="text1"/>
        </w:rPr>
        <w:t xml:space="preserve">. Este análisis debe hacerse conforme al principio de legalidad y a la interpretación estricta de las causales de rechazo, sin que la entidad pueda introducir requisitos o causales adicionales </w:t>
      </w:r>
      <w:r>
        <w:rPr>
          <w:rFonts w:ascii="Verdana" w:eastAsia="Calibri" w:hAnsi="Verdana" w:cs="Arial"/>
          <w:color w:val="000000" w:themeColor="text1"/>
        </w:rPr>
        <w:t>que no violenten el principio de selección objetiva</w:t>
      </w:r>
      <w:r w:rsidRPr="00CA419A">
        <w:rPr>
          <w:rFonts w:ascii="Verdana" w:eastAsia="Calibri" w:hAnsi="Verdana" w:cs="Arial"/>
          <w:color w:val="000000" w:themeColor="text1"/>
        </w:rPr>
        <w:t>.</w:t>
      </w:r>
    </w:p>
    <w:p w14:paraId="5626EFD7" w14:textId="77777777" w:rsidR="00444EC7" w:rsidRPr="004368EE" w:rsidRDefault="00444EC7" w:rsidP="00EA271B">
      <w:pPr>
        <w:spacing w:after="120" w:line="276" w:lineRule="auto"/>
        <w:ind w:firstLine="708"/>
        <w:jc w:val="both"/>
        <w:rPr>
          <w:rFonts w:ascii="Verdana" w:eastAsia="Calibri" w:hAnsi="Verdana" w:cs="Arial"/>
          <w:color w:val="000000" w:themeColor="text1"/>
        </w:rPr>
      </w:pPr>
      <w:r w:rsidRPr="00DB4737">
        <w:rPr>
          <w:rFonts w:ascii="Verdana" w:eastAsia="Calibri" w:hAnsi="Verdana" w:cs="Times New Roman"/>
          <w:lang w:val="es-ES"/>
        </w:rPr>
        <w:t xml:space="preserve">Finalmente debe advertirse, que el análisis para resolver problemas específicos en torno </w:t>
      </w:r>
      <w:r>
        <w:rPr>
          <w:rFonts w:ascii="Verdana" w:eastAsia="Calibri" w:hAnsi="Verdana" w:cs="Times New Roman"/>
          <w:lang w:val="es-ES"/>
        </w:rPr>
        <w:t xml:space="preserve">a los procesos de contratación </w:t>
      </w:r>
      <w:r w:rsidRPr="00DB4737">
        <w:rPr>
          <w:rFonts w:ascii="Verdana" w:eastAsia="Calibri" w:hAnsi="Verdana" w:cs="Times New Roman"/>
          <w:lang w:val="es-ES"/>
        </w:rPr>
        <w:t>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2ECBE2B3" w14:textId="77777777" w:rsidR="00444EC7" w:rsidRPr="008900F6" w:rsidRDefault="00444EC7" w:rsidP="00444EC7">
      <w:pPr>
        <w:widowControl w:val="0"/>
        <w:autoSpaceDE w:val="0"/>
        <w:autoSpaceDN w:val="0"/>
        <w:spacing w:after="0" w:line="276" w:lineRule="auto"/>
        <w:ind w:firstLine="708"/>
        <w:contextualSpacing/>
        <w:jc w:val="both"/>
        <w:rPr>
          <w:rFonts w:ascii="Verdana" w:hAnsi="Verdana" w:cs="Arial"/>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bookmarkEnd w:id="0"/>
    <w:bookmarkEnd w:id="1"/>
    <w:p w14:paraId="5EC4AD77" w14:textId="77777777" w:rsidR="00444EC7" w:rsidRPr="0004784B" w:rsidRDefault="00444EC7" w:rsidP="00444EC7">
      <w:pPr>
        <w:widowControl w:val="0"/>
        <w:autoSpaceDE w:val="0"/>
        <w:autoSpaceDN w:val="0"/>
        <w:spacing w:after="0" w:line="276" w:lineRule="auto"/>
        <w:jc w:val="both"/>
        <w:rPr>
          <w:rFonts w:ascii="Verdana" w:hAnsi="Verdana" w:cs="Arial"/>
          <w:color w:val="000000" w:themeColor="text1"/>
          <w:lang w:val="es-ES"/>
        </w:rPr>
      </w:pPr>
    </w:p>
    <w:p w14:paraId="3A3F902A" w14:textId="77777777" w:rsidR="00444EC7" w:rsidRPr="0004784B" w:rsidRDefault="00444EC7" w:rsidP="00444EC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color w:val="000000" w:themeColor="text1"/>
        </w:rPr>
      </w:pPr>
      <w:r w:rsidRPr="0004784B">
        <w:rPr>
          <w:rFonts w:ascii="Verdana" w:eastAsia="Century Gothic" w:hAnsi="Verdana" w:cs="Century Gothic"/>
          <w:b/>
          <w:color w:val="000000" w:themeColor="text1"/>
        </w:rPr>
        <w:t>Referencias normativas, jurisprudenciales y otras fuentes:</w:t>
      </w:r>
    </w:p>
    <w:p w14:paraId="338A5E3F" w14:textId="77777777" w:rsidR="00444EC7" w:rsidRPr="0004784B" w:rsidRDefault="00444EC7" w:rsidP="00444EC7">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44EC7" w:rsidRPr="0004784B" w14:paraId="40074278" w14:textId="77777777" w:rsidTr="00D2035E">
        <w:trPr>
          <w:trHeight w:val="870"/>
        </w:trPr>
        <w:tc>
          <w:tcPr>
            <w:tcW w:w="8647" w:type="dxa"/>
          </w:tcPr>
          <w:p w14:paraId="5E4E5932" w14:textId="77777777" w:rsidR="00444EC7" w:rsidRPr="008900F6" w:rsidRDefault="00444EC7" w:rsidP="00EA271B">
            <w:pPr>
              <w:widowControl w:val="0"/>
              <w:numPr>
                <w:ilvl w:val="0"/>
                <w:numId w:val="17"/>
              </w:numPr>
              <w:autoSpaceDE w:val="0"/>
              <w:autoSpaceDN w:val="0"/>
              <w:spacing w:line="276" w:lineRule="auto"/>
              <w:jc w:val="both"/>
              <w:rPr>
                <w:rFonts w:ascii="Verdana" w:eastAsia="Times New Roman" w:hAnsi="Verdana" w:cs="Arial"/>
              </w:rPr>
            </w:pPr>
            <w:r w:rsidRPr="008900F6">
              <w:rPr>
                <w:rFonts w:ascii="Verdana" w:eastAsia="Calibri" w:hAnsi="Verdana" w:cs="Arial"/>
                <w:lang w:val="es-ES"/>
              </w:rPr>
              <w:t>Ley 1437 de 2011. Artículo 3, Numeral 3</w:t>
            </w:r>
          </w:p>
          <w:p w14:paraId="7EC0C9D9" w14:textId="77777777" w:rsidR="00444EC7" w:rsidRPr="008900F6" w:rsidRDefault="00444EC7" w:rsidP="00EA271B">
            <w:pPr>
              <w:widowControl w:val="0"/>
              <w:numPr>
                <w:ilvl w:val="0"/>
                <w:numId w:val="17"/>
              </w:numPr>
              <w:autoSpaceDE w:val="0"/>
              <w:autoSpaceDN w:val="0"/>
              <w:spacing w:line="276" w:lineRule="auto"/>
              <w:jc w:val="both"/>
              <w:rPr>
                <w:rFonts w:ascii="Verdana" w:eastAsia="Times New Roman" w:hAnsi="Verdana" w:cs="Arial"/>
              </w:rPr>
            </w:pPr>
            <w:r w:rsidRPr="008900F6">
              <w:rPr>
                <w:rFonts w:ascii="Verdana" w:eastAsia="Calibri" w:hAnsi="Verdana" w:cs="Arial"/>
                <w:lang w:val="es-ES"/>
              </w:rPr>
              <w:t>Ley 80 de 1993. Artículo 77</w:t>
            </w:r>
          </w:p>
          <w:p w14:paraId="450C7F3F" w14:textId="77777777" w:rsidR="00444EC7" w:rsidRPr="008900F6" w:rsidRDefault="00444EC7" w:rsidP="00EA271B">
            <w:pPr>
              <w:widowControl w:val="0"/>
              <w:numPr>
                <w:ilvl w:val="0"/>
                <w:numId w:val="17"/>
              </w:numPr>
              <w:autoSpaceDE w:val="0"/>
              <w:autoSpaceDN w:val="0"/>
              <w:spacing w:line="276" w:lineRule="auto"/>
              <w:jc w:val="both"/>
              <w:rPr>
                <w:rFonts w:ascii="Verdana" w:hAnsi="Verdana" w:cs="Arial"/>
              </w:rPr>
            </w:pPr>
            <w:r w:rsidRPr="008900F6">
              <w:rPr>
                <w:rFonts w:ascii="Verdana" w:eastAsia="Calibri" w:hAnsi="Verdana" w:cs="Arial"/>
                <w:lang w:val="es-ES"/>
              </w:rPr>
              <w:t xml:space="preserve">Ley 1150 de </w:t>
            </w:r>
            <w:r>
              <w:rPr>
                <w:rFonts w:ascii="Verdana" w:eastAsia="Calibri" w:hAnsi="Verdana" w:cs="Arial"/>
                <w:lang w:val="es-ES"/>
              </w:rPr>
              <w:t>2</w:t>
            </w:r>
            <w:r w:rsidRPr="008900F6">
              <w:rPr>
                <w:rFonts w:ascii="Verdana" w:eastAsia="Calibri" w:hAnsi="Verdana" w:cs="Arial"/>
                <w:lang w:val="es-ES"/>
              </w:rPr>
              <w:t>007. Artículo 5, Inciso 1, Artículo 13</w:t>
            </w:r>
          </w:p>
          <w:p w14:paraId="0B7A5FA5" w14:textId="77777777" w:rsidR="00444EC7" w:rsidRPr="008900F6" w:rsidRDefault="00444EC7" w:rsidP="00EA271B">
            <w:pPr>
              <w:widowControl w:val="0"/>
              <w:numPr>
                <w:ilvl w:val="0"/>
                <w:numId w:val="17"/>
              </w:numPr>
              <w:autoSpaceDE w:val="0"/>
              <w:autoSpaceDN w:val="0"/>
              <w:spacing w:line="276" w:lineRule="auto"/>
              <w:jc w:val="both"/>
              <w:rPr>
                <w:rFonts w:ascii="Verdana" w:hAnsi="Verdana" w:cs="Arial"/>
              </w:rPr>
            </w:pPr>
            <w:r w:rsidRPr="008900F6">
              <w:rPr>
                <w:rFonts w:ascii="Verdana" w:hAnsi="Verdana" w:cs="Arial"/>
              </w:rPr>
              <w:lastRenderedPageBreak/>
              <w:t xml:space="preserve">Consejo de Estado. Sección Tercera. Sentencia del 27 de abril de 2011. </w:t>
            </w:r>
            <w:proofErr w:type="spellStart"/>
            <w:r w:rsidRPr="008900F6">
              <w:rPr>
                <w:rFonts w:ascii="Verdana" w:hAnsi="Verdana" w:cs="Arial"/>
              </w:rPr>
              <w:t>Exp</w:t>
            </w:r>
            <w:proofErr w:type="spellEnd"/>
            <w:r w:rsidRPr="008900F6">
              <w:rPr>
                <w:rFonts w:ascii="Verdana" w:hAnsi="Verdana" w:cs="Arial"/>
              </w:rPr>
              <w:t>. 18.293. C.P. Ruth Stella Correa Palacio.</w:t>
            </w:r>
          </w:p>
          <w:p w14:paraId="70B3E28E" w14:textId="77777777" w:rsidR="00444EC7" w:rsidRPr="0004784B" w:rsidRDefault="00444EC7" w:rsidP="00EA271B">
            <w:pPr>
              <w:widowControl w:val="0"/>
              <w:numPr>
                <w:ilvl w:val="0"/>
                <w:numId w:val="17"/>
              </w:numPr>
              <w:autoSpaceDE w:val="0"/>
              <w:autoSpaceDN w:val="0"/>
              <w:spacing w:line="276" w:lineRule="auto"/>
              <w:jc w:val="both"/>
              <w:rPr>
                <w:rFonts w:ascii="Verdana" w:hAnsi="Verdana" w:cs="Arial"/>
              </w:rPr>
            </w:pPr>
            <w:r w:rsidRPr="008863AF">
              <w:rPr>
                <w:rFonts w:ascii="Verdana" w:hAnsi="Verdana" w:cs="Arial"/>
              </w:rPr>
              <w:t xml:space="preserve">Consejo de Estado. Sección Tercera. Sentencia del 21 de noviembre de 2013 </w:t>
            </w:r>
            <w:proofErr w:type="spellStart"/>
            <w:r w:rsidRPr="008863AF">
              <w:rPr>
                <w:rFonts w:ascii="Verdana" w:hAnsi="Verdana" w:cs="Arial"/>
              </w:rPr>
              <w:t>Exp</w:t>
            </w:r>
            <w:proofErr w:type="spellEnd"/>
            <w:r w:rsidRPr="008863AF">
              <w:rPr>
                <w:rFonts w:ascii="Verdana" w:hAnsi="Verdana" w:cs="Arial"/>
              </w:rPr>
              <w:t>. 25397. C.P. Carlos Alberto Zambrano Barrera.</w:t>
            </w:r>
          </w:p>
        </w:tc>
      </w:tr>
    </w:tbl>
    <w:p w14:paraId="718DCA2F" w14:textId="77777777" w:rsidR="00444EC7" w:rsidRPr="0004784B" w:rsidRDefault="00444EC7" w:rsidP="00444EC7">
      <w:pPr>
        <w:widowControl w:val="0"/>
        <w:autoSpaceDE w:val="0"/>
        <w:autoSpaceDN w:val="0"/>
        <w:spacing w:after="0" w:line="276" w:lineRule="auto"/>
        <w:jc w:val="both"/>
        <w:rPr>
          <w:rFonts w:ascii="Verdana" w:hAnsi="Verdana" w:cs="Arial"/>
          <w:color w:val="000000" w:themeColor="text1"/>
        </w:rPr>
      </w:pPr>
    </w:p>
    <w:p w14:paraId="6792700C" w14:textId="77777777" w:rsidR="00444EC7" w:rsidRPr="0004784B" w:rsidRDefault="00444EC7" w:rsidP="00444EC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color w:val="000000" w:themeColor="text1"/>
        </w:rPr>
      </w:pPr>
      <w:r w:rsidRPr="0004784B">
        <w:rPr>
          <w:rFonts w:ascii="Verdana" w:eastAsia="Century Gothic" w:hAnsi="Verdana" w:cs="Century Gothic"/>
          <w:b/>
          <w:color w:val="000000" w:themeColor="text1"/>
        </w:rPr>
        <w:t>Doctrina de la Agencia Nacional de Contratación Pública:</w:t>
      </w:r>
    </w:p>
    <w:p w14:paraId="77E169AD" w14:textId="77777777" w:rsidR="00444EC7" w:rsidRPr="0004784B" w:rsidRDefault="00444EC7" w:rsidP="00444EC7">
      <w:pPr>
        <w:widowControl w:val="0"/>
        <w:autoSpaceDE w:val="0"/>
        <w:autoSpaceDN w:val="0"/>
        <w:spacing w:after="0" w:line="276" w:lineRule="auto"/>
        <w:jc w:val="both"/>
        <w:rPr>
          <w:rFonts w:ascii="Verdana" w:hAnsi="Verdana" w:cs="Arial"/>
          <w:color w:val="000000" w:themeColor="text1"/>
        </w:rPr>
      </w:pPr>
    </w:p>
    <w:p w14:paraId="1DA01294" w14:textId="77777777" w:rsidR="00444EC7" w:rsidRPr="0004784B" w:rsidRDefault="00444EC7" w:rsidP="00EA271B">
      <w:pPr>
        <w:spacing w:after="0" w:line="276" w:lineRule="auto"/>
        <w:jc w:val="both"/>
        <w:rPr>
          <w:rFonts w:ascii="Verdana" w:eastAsia="Calibri" w:hAnsi="Verdana" w:cs="Arial"/>
          <w:lang w:val="es-ES_tradnl"/>
        </w:rPr>
      </w:pPr>
      <w:r w:rsidRPr="008900F6">
        <w:rPr>
          <w:rFonts w:ascii="Verdana" w:hAnsi="Verdana" w:cs="Arial"/>
          <w:shd w:val="clear" w:color="auto" w:fill="FFFFFF"/>
          <w:lang w:val="es-ES"/>
        </w:rPr>
        <w:t xml:space="preserve">Sobre la determinación las causales de rechazo en los procesos de contratación estatal, se pronunció esta Subdirección en los conceptos C-278 del 24 de agosto de 2023, C-271 del 15 de agosto de 2023, C-265 de 26 de julio de 2023, C-280 del 06 de junio de 2023, C-216 del 06 de junio de 2023, C-184 del 02 junio de 2023, C-141 de 30 de mayo de 2023, C-053 del 28 de marzo de 2023, </w:t>
      </w:r>
      <w:r>
        <w:rPr>
          <w:rFonts w:ascii="Verdana" w:hAnsi="Verdana" w:cs="Arial"/>
          <w:shd w:val="clear" w:color="auto" w:fill="FFFFFF"/>
          <w:lang w:val="es-ES"/>
        </w:rPr>
        <w:t xml:space="preserve">C-071 del 28 de febrero de 2025 </w:t>
      </w:r>
      <w:r w:rsidRPr="0004784B">
        <w:rPr>
          <w:rFonts w:ascii="Verdana" w:eastAsia="Calibri" w:hAnsi="Verdana" w:cs="Arial"/>
          <w:lang w:val="es-ES_tradnl"/>
        </w:rPr>
        <w:t>entre otros.</w:t>
      </w:r>
      <w:r w:rsidRPr="0004784B">
        <w:rPr>
          <w:rFonts w:ascii="Verdana" w:hAnsi="Verdana" w:cs="Arial"/>
          <w:shd w:val="clear" w:color="auto" w:fill="FFFFFF"/>
          <w:lang w:val="es-ES"/>
        </w:rPr>
        <w:t xml:space="preserve"> Estos</w:t>
      </w:r>
      <w:r w:rsidRPr="0004784B">
        <w:rPr>
          <w:rFonts w:ascii="Verdana" w:hAnsi="Verdana"/>
        </w:rPr>
        <w:t xml:space="preserve"> y otros conceptos se encuentran disponibles para consulta en el Sistema de relatoría de la Agencia, al cual se puede acceder a través del siguiente enlace:</w:t>
      </w:r>
      <w:r w:rsidRPr="0004784B">
        <w:rPr>
          <w:rFonts w:ascii="Verdana" w:hAnsi="Verdana" w:cs="Arial"/>
          <w:shd w:val="clear" w:color="auto" w:fill="FFFFFF"/>
          <w:lang w:val="es-ES"/>
        </w:rPr>
        <w:t xml:space="preserve"> </w:t>
      </w:r>
      <w:hyperlink r:id="rId11" w:history="1">
        <w:r w:rsidRPr="00924647">
          <w:rPr>
            <w:rStyle w:val="Hipervnculo"/>
            <w:rFonts w:ascii="Verdana" w:hAnsi="Verdana" w:cs="Arial"/>
            <w:shd w:val="clear" w:color="auto" w:fill="FFFFFF"/>
            <w:lang w:val="es-ES"/>
          </w:rPr>
          <w:t>https://relatoria.colombiacompra.gov.co/busqueda/concept os</w:t>
        </w:r>
      </w:hyperlink>
      <w:r w:rsidRPr="00924647">
        <w:rPr>
          <w:rFonts w:ascii="Verdana" w:hAnsi="Verdana" w:cs="Arial"/>
          <w:shd w:val="clear" w:color="auto" w:fill="FFFFFF"/>
          <w:lang w:val="es-ES"/>
        </w:rPr>
        <w:t>.</w:t>
      </w:r>
      <w:r w:rsidRPr="00924647">
        <w:rPr>
          <w:rFonts w:ascii="Verdana" w:hAnsi="Verdana" w:cs="Arial"/>
          <w:color w:val="FF0000"/>
          <w:shd w:val="clear" w:color="auto" w:fill="FFFFFF"/>
          <w:lang w:val="es-ES"/>
        </w:rPr>
        <w:t xml:space="preserve"> </w:t>
      </w:r>
      <w:r w:rsidRPr="00924647">
        <w:rPr>
          <w:rFonts w:ascii="Verdana" w:hAnsi="Verdana" w:cs="Arial"/>
          <w:color w:val="000000" w:themeColor="text1"/>
          <w:shd w:val="clear" w:color="auto" w:fill="FFFFFF"/>
        </w:rPr>
        <w:t>  </w:t>
      </w:r>
    </w:p>
    <w:p w14:paraId="68C1C30D" w14:textId="77777777" w:rsidR="00444EC7" w:rsidRPr="00EA271B" w:rsidRDefault="00444EC7" w:rsidP="00444EC7">
      <w:pPr>
        <w:widowControl w:val="0"/>
        <w:autoSpaceDE w:val="0"/>
        <w:autoSpaceDN w:val="0"/>
        <w:spacing w:after="0" w:line="276" w:lineRule="auto"/>
        <w:jc w:val="both"/>
        <w:rPr>
          <w:rFonts w:ascii="Verdana" w:hAnsi="Verdana"/>
        </w:rPr>
      </w:pPr>
    </w:p>
    <w:p w14:paraId="6C64CA4D" w14:textId="77777777" w:rsidR="00444EC7" w:rsidRPr="00505CD6" w:rsidRDefault="00444EC7" w:rsidP="00444EC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1B1D120" w14:textId="77777777" w:rsidR="00444EC7" w:rsidRPr="0004784B" w:rsidRDefault="00444EC7" w:rsidP="00444EC7">
      <w:pPr>
        <w:widowControl w:val="0"/>
        <w:autoSpaceDE w:val="0"/>
        <w:autoSpaceDN w:val="0"/>
        <w:spacing w:after="0" w:line="276" w:lineRule="auto"/>
        <w:jc w:val="both"/>
        <w:rPr>
          <w:rFonts w:ascii="Verdana" w:hAnsi="Verdana" w:cs="Arial"/>
        </w:rPr>
      </w:pPr>
    </w:p>
    <w:p w14:paraId="4DB09ADB" w14:textId="77777777" w:rsidR="00444EC7" w:rsidRDefault="00444EC7" w:rsidP="00444EC7">
      <w:pPr>
        <w:spacing w:after="0" w:line="276" w:lineRule="auto"/>
        <w:jc w:val="both"/>
        <w:rPr>
          <w:rFonts w:ascii="Verdana" w:hAnsi="Verdana" w:cs="Arial"/>
          <w:lang w:eastAsia="es-CO"/>
        </w:rPr>
      </w:pPr>
      <w:r w:rsidRPr="0004784B">
        <w:rPr>
          <w:rFonts w:ascii="Verdana" w:eastAsia="Times New Roman" w:hAnsi="Verdana" w:cs="Arial"/>
          <w:lang w:eastAsia="es-CO"/>
        </w:rPr>
        <w:t>Atentamente,</w:t>
      </w:r>
      <w:r w:rsidRPr="0004784B">
        <w:rPr>
          <w:rFonts w:ascii="Verdana" w:hAnsi="Verdana" w:cs="Arial"/>
          <w:lang w:eastAsia="es-CO"/>
        </w:rPr>
        <w:t xml:space="preserve"> </w:t>
      </w:r>
    </w:p>
    <w:p w14:paraId="0B31A27F" w14:textId="5A463D7A" w:rsidR="00444EC7" w:rsidRDefault="00ED53AC" w:rsidP="00444EC7">
      <w:pPr>
        <w:spacing w:after="0" w:line="276" w:lineRule="auto"/>
        <w:jc w:val="center"/>
        <w:rPr>
          <w:rFonts w:ascii="Verdana" w:hAnsi="Verdana"/>
          <w:lang w:val="es-ES_tradnl"/>
        </w:rPr>
      </w:pPr>
      <w:r>
        <w:rPr>
          <w:rFonts w:ascii="Verdana" w:hAnsi="Verdana"/>
          <w:noProof/>
          <w:lang w:val="es-ES_tradnl"/>
        </w:rPr>
        <w:drawing>
          <wp:inline distT="0" distB="0" distL="0" distR="0" wp14:anchorId="53B16755" wp14:editId="323C87A4">
            <wp:extent cx="3639058" cy="1343212"/>
            <wp:effectExtent l="0" t="0" r="0" b="0"/>
            <wp:docPr id="188270842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708425"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44EC7" w:rsidRPr="00D53651" w14:paraId="6CA30E10" w14:textId="77777777" w:rsidTr="00D2035E">
        <w:trPr>
          <w:trHeight w:val="315"/>
        </w:trPr>
        <w:tc>
          <w:tcPr>
            <w:tcW w:w="893" w:type="dxa"/>
            <w:vAlign w:val="center"/>
            <w:hideMark/>
          </w:tcPr>
          <w:p w14:paraId="0A339AF0" w14:textId="77777777" w:rsidR="00444EC7" w:rsidRPr="00D53651" w:rsidRDefault="00444EC7" w:rsidP="00D2035E">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8CB9086" w14:textId="77777777" w:rsidR="00444EC7" w:rsidRPr="00D53651" w:rsidRDefault="00444EC7" w:rsidP="00D2035E">
            <w:pPr>
              <w:spacing w:line="276" w:lineRule="auto"/>
              <w:jc w:val="both"/>
              <w:rPr>
                <w:rFonts w:ascii="Verdana" w:hAnsi="Verdana"/>
                <w:sz w:val="16"/>
                <w:szCs w:val="16"/>
              </w:rPr>
            </w:pPr>
            <w:r>
              <w:rPr>
                <w:rFonts w:ascii="Verdana" w:hAnsi="Verdana"/>
                <w:sz w:val="16"/>
                <w:szCs w:val="16"/>
              </w:rPr>
              <w:t>Gloria Elizabeth Arango Builes</w:t>
            </w:r>
          </w:p>
          <w:p w14:paraId="34744C62" w14:textId="77777777" w:rsidR="00444EC7" w:rsidRPr="00D53651" w:rsidRDefault="00444EC7" w:rsidP="00D2035E">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444EC7" w:rsidRPr="00D53651" w14:paraId="3CBCAF9B" w14:textId="77777777" w:rsidTr="00D2035E">
        <w:trPr>
          <w:trHeight w:val="330"/>
        </w:trPr>
        <w:tc>
          <w:tcPr>
            <w:tcW w:w="893" w:type="dxa"/>
            <w:vAlign w:val="center"/>
            <w:hideMark/>
          </w:tcPr>
          <w:p w14:paraId="465F5A12" w14:textId="77777777" w:rsidR="00444EC7" w:rsidRPr="00D53651" w:rsidRDefault="00444EC7" w:rsidP="00D2035E">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530F51DC" w14:textId="7C0BDE1A" w:rsidR="00444EC7" w:rsidRPr="00D53651" w:rsidRDefault="00444EC7" w:rsidP="00D2035E">
            <w:pPr>
              <w:spacing w:line="276" w:lineRule="auto"/>
              <w:jc w:val="both"/>
              <w:rPr>
                <w:rFonts w:ascii="Verdana" w:hAnsi="Verdana"/>
                <w:sz w:val="16"/>
                <w:szCs w:val="16"/>
              </w:rPr>
            </w:pPr>
            <w:r>
              <w:rPr>
                <w:rFonts w:ascii="Verdana" w:hAnsi="Verdana"/>
                <w:sz w:val="16"/>
                <w:szCs w:val="16"/>
              </w:rPr>
              <w:t>Diana Lucía Saavedra</w:t>
            </w:r>
            <w:r w:rsidRPr="00D53651">
              <w:rPr>
                <w:rFonts w:ascii="Verdana" w:hAnsi="Verdana"/>
                <w:sz w:val="16"/>
                <w:szCs w:val="16"/>
              </w:rPr>
              <w:t xml:space="preserve"> </w:t>
            </w:r>
            <w:r w:rsidR="00924647">
              <w:rPr>
                <w:rFonts w:ascii="Verdana" w:hAnsi="Verdana"/>
                <w:sz w:val="16"/>
                <w:szCs w:val="16"/>
              </w:rPr>
              <w:t>Castañeda</w:t>
            </w:r>
            <w:r w:rsidRPr="00D53651">
              <w:rPr>
                <w:rFonts w:ascii="Verdana" w:hAnsi="Verdana"/>
                <w:sz w:val="16"/>
                <w:szCs w:val="16"/>
              </w:rPr>
              <w:t xml:space="preserve"> </w:t>
            </w:r>
          </w:p>
          <w:p w14:paraId="0DC43F4A" w14:textId="77777777" w:rsidR="00444EC7" w:rsidRPr="00D53651" w:rsidRDefault="00444EC7" w:rsidP="00D2035E">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444EC7" w:rsidRPr="00D53651" w14:paraId="607717E0" w14:textId="77777777" w:rsidTr="00D2035E">
        <w:trPr>
          <w:trHeight w:val="300"/>
        </w:trPr>
        <w:tc>
          <w:tcPr>
            <w:tcW w:w="893" w:type="dxa"/>
            <w:vAlign w:val="center"/>
            <w:hideMark/>
          </w:tcPr>
          <w:p w14:paraId="2DA9B037" w14:textId="77777777" w:rsidR="00444EC7" w:rsidRPr="00D53651" w:rsidRDefault="00444EC7" w:rsidP="00D2035E">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61D9FED4" w14:textId="77777777" w:rsidR="00444EC7" w:rsidRPr="00D53651" w:rsidRDefault="00444EC7" w:rsidP="00D2035E">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0311E47C" w14:textId="77777777" w:rsidR="00444EC7" w:rsidRPr="00D53651" w:rsidRDefault="00444EC7" w:rsidP="00D2035E">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53DBDA5F" w14:textId="77777777" w:rsidR="00444EC7" w:rsidRPr="000931E9" w:rsidRDefault="00444EC7" w:rsidP="00444EC7"/>
    <w:sectPr w:rsidR="00444EC7" w:rsidRPr="000931E9"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6431C" w14:textId="77777777" w:rsidR="00BC1EAF" w:rsidRDefault="00BC1EAF" w:rsidP="004A1847">
      <w:pPr>
        <w:spacing w:after="0" w:line="240" w:lineRule="auto"/>
      </w:pPr>
      <w:r>
        <w:separator/>
      </w:r>
    </w:p>
  </w:endnote>
  <w:endnote w:type="continuationSeparator" w:id="0">
    <w:p w14:paraId="5E4FB71B" w14:textId="77777777" w:rsidR="00BC1EAF" w:rsidRDefault="00BC1EAF" w:rsidP="004A1847">
      <w:pPr>
        <w:spacing w:after="0" w:line="240" w:lineRule="auto"/>
      </w:pPr>
      <w:r>
        <w:continuationSeparator/>
      </w:r>
    </w:p>
  </w:endnote>
  <w:endnote w:type="continuationNotice" w:id="1">
    <w:p w14:paraId="62AAC9F5" w14:textId="77777777" w:rsidR="00BC1EAF" w:rsidRDefault="00BC1E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EEEFE9" w14:textId="77777777" w:rsidR="00BC1EAF" w:rsidRDefault="00BC1EAF" w:rsidP="004A1847">
      <w:pPr>
        <w:spacing w:after="0" w:line="240" w:lineRule="auto"/>
      </w:pPr>
      <w:r>
        <w:separator/>
      </w:r>
    </w:p>
  </w:footnote>
  <w:footnote w:type="continuationSeparator" w:id="0">
    <w:p w14:paraId="1EA14D1A" w14:textId="77777777" w:rsidR="00BC1EAF" w:rsidRDefault="00BC1EAF" w:rsidP="004A1847">
      <w:pPr>
        <w:spacing w:after="0" w:line="240" w:lineRule="auto"/>
      </w:pPr>
      <w:r>
        <w:continuationSeparator/>
      </w:r>
    </w:p>
  </w:footnote>
  <w:footnote w:type="continuationNotice" w:id="1">
    <w:p w14:paraId="7ECF7F2D" w14:textId="77777777" w:rsidR="00BC1EAF" w:rsidRDefault="00BC1EAF">
      <w:pPr>
        <w:spacing w:after="0" w:line="240" w:lineRule="auto"/>
      </w:pPr>
    </w:p>
  </w:footnote>
  <w:footnote w:id="2">
    <w:p w14:paraId="71034C64" w14:textId="77777777" w:rsidR="00444EC7" w:rsidRPr="00CA419A" w:rsidRDefault="00444EC7" w:rsidP="00444EC7">
      <w:pPr>
        <w:pStyle w:val="Textonotapie"/>
        <w:ind w:firstLine="708"/>
        <w:jc w:val="both"/>
        <w:rPr>
          <w:rFonts w:ascii="Verdana" w:eastAsia="Calibri" w:hAnsi="Verdana" w:cs="Arial"/>
          <w:sz w:val="16"/>
          <w:szCs w:val="16"/>
          <w:lang w:val="es-CO"/>
        </w:rPr>
      </w:pPr>
      <w:r w:rsidRPr="00CA419A">
        <w:rPr>
          <w:rStyle w:val="Refdenotaalpie"/>
          <w:rFonts w:ascii="Verdana" w:hAnsi="Verdana" w:cs="Arial"/>
          <w:sz w:val="16"/>
          <w:szCs w:val="16"/>
        </w:rPr>
        <w:footnoteRef/>
      </w:r>
      <w:r w:rsidRPr="00CA419A">
        <w:rPr>
          <w:rFonts w:ascii="Verdana" w:hAnsi="Verdana" w:cs="Arial"/>
          <w:sz w:val="16"/>
          <w:szCs w:val="16"/>
        </w:rPr>
        <w:t xml:space="preserve"> </w:t>
      </w:r>
      <w:r w:rsidRPr="00CA419A">
        <w:rPr>
          <w:rFonts w:ascii="Verdana" w:eastAsia="Times New Roman" w:hAnsi="Verdana" w:cs="Arial"/>
          <w:sz w:val="16"/>
          <w:szCs w:val="16"/>
          <w:lang w:val="es-CO" w:eastAsia="es-CO"/>
        </w:rPr>
        <w:t>Consejo de Estado. Sección Tercera. Sentencia del 27 de abril de 2011. Exp. 18.293. C.P. Ruth Stella Correa Palacio.</w:t>
      </w:r>
    </w:p>
  </w:footnote>
  <w:footnote w:id="3">
    <w:p w14:paraId="26967FCE" w14:textId="77777777" w:rsidR="00444EC7" w:rsidRPr="00CA419A" w:rsidRDefault="00444EC7" w:rsidP="00444EC7">
      <w:pPr>
        <w:pStyle w:val="Textonotapie"/>
        <w:ind w:firstLine="708"/>
        <w:jc w:val="both"/>
        <w:rPr>
          <w:rFonts w:ascii="Verdana" w:eastAsia="Times New Roman" w:hAnsi="Verdana" w:cs="Arial"/>
          <w:sz w:val="16"/>
          <w:szCs w:val="16"/>
          <w:lang w:val="es-CO" w:eastAsia="es-CO"/>
        </w:rPr>
      </w:pPr>
      <w:r w:rsidRPr="00CA419A">
        <w:rPr>
          <w:rStyle w:val="Refdenotaalpie"/>
          <w:rFonts w:ascii="Verdana" w:hAnsi="Verdana" w:cs="Arial"/>
          <w:sz w:val="16"/>
          <w:szCs w:val="16"/>
        </w:rPr>
        <w:footnoteRef/>
      </w:r>
      <w:r w:rsidRPr="00CA419A">
        <w:rPr>
          <w:rFonts w:ascii="Verdana" w:hAnsi="Verdana" w:cs="Arial"/>
          <w:sz w:val="16"/>
          <w:szCs w:val="16"/>
        </w:rPr>
        <w:t xml:space="preserve"> </w:t>
      </w:r>
      <w:r w:rsidRPr="00CA419A">
        <w:rPr>
          <w:rFonts w:ascii="Verdana" w:eastAsia="Times New Roman" w:hAnsi="Verdana" w:cs="Arial"/>
          <w:sz w:val="16"/>
          <w:szCs w:val="16"/>
          <w:lang w:val="es-CO" w:eastAsia="es-CO"/>
        </w:rPr>
        <w:t>Consejo de Estado. Sección Tercera. Sentencia del 21 de noviembre de 2013 Exp. 25397. C.P. Carlos Alberto Zambrano Barrera.</w:t>
      </w:r>
    </w:p>
    <w:p w14:paraId="76B1D5D4" w14:textId="77777777" w:rsidR="00444EC7" w:rsidRPr="00CA419A" w:rsidRDefault="00444EC7" w:rsidP="00444EC7">
      <w:pPr>
        <w:pStyle w:val="Textonotapie"/>
        <w:ind w:firstLine="708"/>
        <w:jc w:val="both"/>
        <w:rPr>
          <w:rFonts w:ascii="Verdana" w:eastAsia="Calibri"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C4536"/>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3D1F"/>
    <w:rsid w:val="00324168"/>
    <w:rsid w:val="00330834"/>
    <w:rsid w:val="003448F4"/>
    <w:rsid w:val="00374F5E"/>
    <w:rsid w:val="00377E3E"/>
    <w:rsid w:val="003A0A74"/>
    <w:rsid w:val="003A779E"/>
    <w:rsid w:val="003D0F4D"/>
    <w:rsid w:val="003D5B0D"/>
    <w:rsid w:val="003E0499"/>
    <w:rsid w:val="003E4F80"/>
    <w:rsid w:val="003E6439"/>
    <w:rsid w:val="003F3941"/>
    <w:rsid w:val="00406575"/>
    <w:rsid w:val="00412BFE"/>
    <w:rsid w:val="00414C74"/>
    <w:rsid w:val="0042722E"/>
    <w:rsid w:val="00444EC7"/>
    <w:rsid w:val="0044528D"/>
    <w:rsid w:val="00466E39"/>
    <w:rsid w:val="004A1847"/>
    <w:rsid w:val="004A305D"/>
    <w:rsid w:val="004F21C4"/>
    <w:rsid w:val="004F685F"/>
    <w:rsid w:val="005566E8"/>
    <w:rsid w:val="0056024E"/>
    <w:rsid w:val="00574867"/>
    <w:rsid w:val="00591460"/>
    <w:rsid w:val="005A65E0"/>
    <w:rsid w:val="005C3777"/>
    <w:rsid w:val="005C5CDC"/>
    <w:rsid w:val="005D476C"/>
    <w:rsid w:val="00610127"/>
    <w:rsid w:val="006200BF"/>
    <w:rsid w:val="006219F8"/>
    <w:rsid w:val="006302F7"/>
    <w:rsid w:val="00646B9F"/>
    <w:rsid w:val="00665D70"/>
    <w:rsid w:val="006900D9"/>
    <w:rsid w:val="006B5E60"/>
    <w:rsid w:val="00706C16"/>
    <w:rsid w:val="00707B75"/>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24647"/>
    <w:rsid w:val="009419F9"/>
    <w:rsid w:val="0095685E"/>
    <w:rsid w:val="00961B09"/>
    <w:rsid w:val="00965334"/>
    <w:rsid w:val="0097093E"/>
    <w:rsid w:val="009A0DFA"/>
    <w:rsid w:val="009A1C6F"/>
    <w:rsid w:val="009B2D26"/>
    <w:rsid w:val="009B5056"/>
    <w:rsid w:val="009C71FA"/>
    <w:rsid w:val="009C72E7"/>
    <w:rsid w:val="009C7F7E"/>
    <w:rsid w:val="009D3058"/>
    <w:rsid w:val="009F3A13"/>
    <w:rsid w:val="00A122D3"/>
    <w:rsid w:val="00A14468"/>
    <w:rsid w:val="00A17F13"/>
    <w:rsid w:val="00A20739"/>
    <w:rsid w:val="00A23AF9"/>
    <w:rsid w:val="00A33C78"/>
    <w:rsid w:val="00A3517F"/>
    <w:rsid w:val="00AB0ADB"/>
    <w:rsid w:val="00AF5E15"/>
    <w:rsid w:val="00B00C0E"/>
    <w:rsid w:val="00B01B1A"/>
    <w:rsid w:val="00B0381D"/>
    <w:rsid w:val="00B44A47"/>
    <w:rsid w:val="00B72CD3"/>
    <w:rsid w:val="00B72FFF"/>
    <w:rsid w:val="00B968AA"/>
    <w:rsid w:val="00BC1EA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3D60"/>
    <w:rsid w:val="00D361FD"/>
    <w:rsid w:val="00D423A2"/>
    <w:rsid w:val="00D44E26"/>
    <w:rsid w:val="00D520D8"/>
    <w:rsid w:val="00D63AC2"/>
    <w:rsid w:val="00D7383B"/>
    <w:rsid w:val="00D7788A"/>
    <w:rsid w:val="00DA231B"/>
    <w:rsid w:val="00DC0638"/>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271B"/>
    <w:rsid w:val="00EC38A7"/>
    <w:rsid w:val="00ED53AC"/>
    <w:rsid w:val="00EE1AA8"/>
    <w:rsid w:val="00F23FEA"/>
    <w:rsid w:val="00F31EDC"/>
    <w:rsid w:val="00F462B3"/>
    <w:rsid w:val="00F5664F"/>
    <w:rsid w:val="00F666C4"/>
    <w:rsid w:val="00F76AFC"/>
    <w:rsid w:val="00F922CB"/>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44EC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44EC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20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8077C0C-A1E2-4040-BFA1-7807956FF6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8</Pages>
  <Words>2799</Words>
  <Characters>15003</Characters>
  <Application>Microsoft Office Word</Application>
  <DocSecurity>0</DocSecurity>
  <Lines>300</Lines>
  <Paragraphs>68</Paragraphs>
  <ScaleCrop>false</ScaleCrop>
  <Company/>
  <LinksUpToDate>false</LinksUpToDate>
  <CharactersWithSpaces>17734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2025-12-08T16:05:00Z</dcterms:created>
  <dcterms:modified xsi:type="dcterms:W3CDTF">2025-12-09T17:18:00Z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