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AC553" w14:textId="2170C723" w:rsidR="00712F71" w:rsidRPr="00712F71" w:rsidRDefault="00712F71" w:rsidP="00BB0426">
      <w:pPr>
        <w:rPr>
          <w:rFonts w:ascii="Verdana" w:eastAsia="Times New Roman" w:hAnsi="Verdana" w:cs="Arial"/>
          <w:b/>
          <w:bCs/>
          <w:lang w:eastAsia="es-ES_tradnl"/>
        </w:rPr>
      </w:pPr>
      <w:bookmarkStart w:id="0" w:name="_Hlk215673488"/>
      <w:r w:rsidRPr="00712F71">
        <w:rPr>
          <w:rFonts w:ascii="Verdana" w:hAnsi="Verdana" w:cs="Arial"/>
          <w:b/>
          <w:bCs/>
          <w:lang w:val="es-ES" w:eastAsia="es-ES"/>
        </w:rPr>
        <w:t>LEY DE GARANTÍAS ELECTORALES – Finalidad</w:t>
      </w:r>
    </w:p>
    <w:p w14:paraId="38E91374" w14:textId="2D0604F7" w:rsidR="00712F71" w:rsidRPr="00BC3A80" w:rsidRDefault="00712F71" w:rsidP="00712F71">
      <w:pPr>
        <w:tabs>
          <w:tab w:val="left" w:pos="426"/>
        </w:tabs>
        <w:spacing w:after="120" w:line="276" w:lineRule="auto"/>
        <w:jc w:val="both"/>
        <w:rPr>
          <w:rFonts w:ascii="Verdana" w:eastAsia="Times New Roman" w:hAnsi="Verdana" w:cs="Arial"/>
          <w:lang w:val="es-ES" w:eastAsia="es-CO"/>
        </w:rPr>
      </w:pPr>
      <w:r w:rsidRPr="00BC3A80">
        <w:rPr>
          <w:rFonts w:ascii="Verdana" w:hAnsi="Verdana" w:cs="Arial"/>
          <w:lang w:val="es-ES"/>
        </w:rPr>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 xml:space="preserve">Por ejemplo, el artículo 127 de la Constitución Política establece una prohibición contractual a los servidores públicos y, en cuanto a aspectos políticos, señala restricciones a ciertos empleados del Estado, incluso en época no electoral. </w:t>
      </w:r>
    </w:p>
    <w:p w14:paraId="1D292A00" w14:textId="2B6A6DE0" w:rsidR="00712F71" w:rsidRDefault="00712F71" w:rsidP="00712F71">
      <w:pPr>
        <w:jc w:val="both"/>
        <w:rPr>
          <w:rFonts w:ascii="Verdana" w:eastAsia="Times New Roman" w:hAnsi="Verdana" w:cs="Arial"/>
          <w:lang w:eastAsia="es-ES_tradnl"/>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394F93B3" w14:textId="31FAB889" w:rsidR="00712F71" w:rsidRPr="00712F71" w:rsidRDefault="00712F71" w:rsidP="00712F71">
      <w:pPr>
        <w:rPr>
          <w:rFonts w:ascii="Verdana" w:eastAsia="Times New Roman" w:hAnsi="Verdana" w:cs="Arial"/>
          <w:b/>
          <w:bCs/>
          <w:lang w:eastAsia="es-ES_tradnl"/>
        </w:rPr>
      </w:pPr>
      <w:r w:rsidRPr="00712F71">
        <w:rPr>
          <w:rFonts w:ascii="Verdana" w:hAnsi="Verdana" w:cs="Arial"/>
          <w:b/>
          <w:bCs/>
          <w:lang w:val="es-ES" w:eastAsia="es-ES"/>
        </w:rPr>
        <w:t>LEY DE GARANTÍAS ELECTORALES ‒ Restricciones ‒ Contratación ‒ Tipos de elección</w:t>
      </w:r>
      <w:r>
        <w:rPr>
          <w:rFonts w:ascii="Verdana" w:hAnsi="Verdana" w:cs="Arial"/>
          <w:b/>
          <w:bCs/>
          <w:lang w:val="es-ES" w:eastAsia="es-ES"/>
        </w:rPr>
        <w:t xml:space="preserve"> - </w:t>
      </w:r>
      <w:r w:rsidRPr="00712F71">
        <w:rPr>
          <w:rFonts w:ascii="Verdana" w:hAnsi="Verdana" w:cs="Arial"/>
          <w:b/>
          <w:bCs/>
          <w:lang w:val="es-ES" w:eastAsia="es-ES"/>
        </w:rPr>
        <w:t>LEY DE GARANTÍAS ELECTORALES ‒ Artículo 33 ‒ Ámbito material</w:t>
      </w:r>
    </w:p>
    <w:p w14:paraId="166E72D2" w14:textId="77777777" w:rsidR="00712F71" w:rsidRPr="00BC3A80" w:rsidRDefault="00712F71" w:rsidP="00712F71">
      <w:pPr>
        <w:spacing w:after="0" w:line="276" w:lineRule="auto"/>
        <w:jc w:val="both"/>
        <w:rPr>
          <w:rFonts w:ascii="Verdana" w:eastAsia="Arial" w:hAnsi="Verdana" w:cs="Arial"/>
          <w:lang w:val="es-ES" w:eastAsia="es-ES" w:bidi="es-ES"/>
        </w:rPr>
      </w:pPr>
      <w:r w:rsidRPr="00BC3A80">
        <w:rPr>
          <w:rFonts w:ascii="Verdana" w:eastAsia="Times New Roman" w:hAnsi="Verdana" w:cs="Arial"/>
          <w:lang w:val="es-ES" w:eastAsia="es-CO"/>
        </w:rPr>
        <w:t>De</w:t>
      </w:r>
      <w:r w:rsidRPr="00BC3A8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2637A1FB" w14:textId="77777777" w:rsidR="00712F71" w:rsidRPr="00BC3A80" w:rsidRDefault="00712F71" w:rsidP="00712F71">
      <w:pPr>
        <w:spacing w:after="0" w:line="276" w:lineRule="auto"/>
        <w:ind w:firstLine="709"/>
        <w:jc w:val="both"/>
        <w:rPr>
          <w:rFonts w:ascii="Verdana" w:eastAsia="Arial" w:hAnsi="Verdana" w:cs="Arial"/>
          <w:lang w:val="es-ES" w:eastAsia="es-ES" w:bidi="es-ES"/>
        </w:rPr>
      </w:pPr>
    </w:p>
    <w:p w14:paraId="3F4DDCCC" w14:textId="77777777" w:rsidR="00712F71" w:rsidRPr="00BC3A80" w:rsidRDefault="00712F71" w:rsidP="00712F71">
      <w:pPr>
        <w:spacing w:after="120" w:line="276" w:lineRule="auto"/>
        <w:jc w:val="both"/>
        <w:rPr>
          <w:rFonts w:ascii="Verdana" w:eastAsia="Arial" w:hAnsi="Verdana" w:cs="Arial"/>
          <w:lang w:val="es-ES" w:eastAsia="es-ES" w:bidi="es-ES"/>
        </w:rPr>
      </w:pPr>
      <w:r w:rsidRPr="00BC3A80">
        <w:rPr>
          <w:rFonts w:ascii="Verdana" w:eastAsia="Arial" w:hAnsi="Verdana" w:cs="Arial"/>
          <w:lang w:val="es-ES" w:eastAsia="es-ES" w:bidi="es-ES"/>
        </w:rPr>
        <w:t xml:space="preserve">Las restricciones consagradas en la Ley de Garantías </w:t>
      </w:r>
      <w:r>
        <w:rPr>
          <w:rFonts w:ascii="Verdana" w:eastAsia="Arial" w:hAnsi="Verdana" w:cs="Arial"/>
          <w:lang w:val="es-ES" w:eastAsia="es-ES" w:bidi="es-ES"/>
        </w:rPr>
        <w:t xml:space="preserve">Electorales </w:t>
      </w:r>
      <w:r w:rsidRPr="00BC3A80">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291C43F2" w14:textId="34B20CF3" w:rsidR="00712F71" w:rsidRPr="00BC3A80" w:rsidRDefault="00712F71" w:rsidP="00712F71">
      <w:pPr>
        <w:spacing w:after="120" w:line="276" w:lineRule="auto"/>
        <w:jc w:val="both"/>
        <w:rPr>
          <w:rFonts w:ascii="Verdana" w:hAnsi="Verdana" w:cs="Arial"/>
          <w:lang w:val="es-ES"/>
        </w:rPr>
      </w:pPr>
      <w:r w:rsidRPr="00BC3A80">
        <w:rPr>
          <w:rFonts w:ascii="Verdana" w:hAnsi="Verdana" w:cs="Arial"/>
          <w:lang w:val="es-ES"/>
        </w:rPr>
        <w:t xml:space="preserve">Por un lado, el </w:t>
      </w:r>
      <w:r w:rsidRPr="00BC3A80">
        <w:rPr>
          <w:rFonts w:ascii="Verdana" w:hAnsi="Verdana" w:cs="Arial"/>
          <w:i/>
          <w:iCs/>
          <w:lang w:val="es-ES"/>
        </w:rPr>
        <w:t xml:space="preserve">artículo 33 </w:t>
      </w:r>
      <w:r w:rsidRPr="00BC3A80">
        <w:rPr>
          <w:rFonts w:ascii="Verdana" w:hAnsi="Verdana" w:cs="Arial"/>
          <w:lang w:val="es-ES"/>
        </w:rPr>
        <w:t xml:space="preserve">de la Ley 996 de 2005 prohíbe “[…] la contratación directa por parte de </w:t>
      </w:r>
      <w:r w:rsidRPr="00BC3A80">
        <w:rPr>
          <w:rFonts w:ascii="Verdana" w:hAnsi="Verdana" w:cs="Arial"/>
          <w:i/>
          <w:iCs/>
          <w:lang w:val="es-ES"/>
        </w:rPr>
        <w:t>todos los entes del Estado</w:t>
      </w:r>
      <w:r w:rsidRPr="00BC3A80">
        <w:rPr>
          <w:rFonts w:ascii="Verdana" w:hAnsi="Verdana" w:cs="Arial"/>
          <w:lang w:val="es-ES"/>
        </w:rPr>
        <w:t xml:space="preserve">” durante los cuatro (4) meses anteriores a las </w:t>
      </w:r>
      <w:r w:rsidRPr="00BC3A80">
        <w:rPr>
          <w:rFonts w:ascii="Verdana" w:hAnsi="Verdana" w:cs="Arial"/>
          <w:i/>
          <w:iCs/>
          <w:lang w:val="es-ES"/>
        </w:rPr>
        <w:t>elecciones presidenciales</w:t>
      </w:r>
      <w:r w:rsidRPr="00BC3A80">
        <w:rPr>
          <w:rFonts w:ascii="Verdana"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BC3A80">
        <w:rPr>
          <w:rFonts w:ascii="Verdana" w:hAnsi="Verdana" w:cs="Arial"/>
          <w:lang w:val="es-ES"/>
        </w:rPr>
        <w:lastRenderedPageBreak/>
        <w:t>energética y de comunicaciones, en caso de que hayan sido objeto de atentados, acciones terroristas, desastres naturales o casos de fuerza mayor, y los que deban realizar las entidades sanitarias y hospitalarias”.</w:t>
      </w:r>
    </w:p>
    <w:p w14:paraId="277399F7" w14:textId="3C67597B" w:rsidR="00712F71" w:rsidRDefault="00712F71" w:rsidP="00712F71">
      <w:pPr>
        <w:jc w:val="both"/>
        <w:rPr>
          <w:rFonts w:ascii="Verdana" w:eastAsia="Times New Roman" w:hAnsi="Verdana" w:cs="Arial"/>
          <w:lang w:eastAsia="es-ES_tradnl"/>
        </w:rPr>
      </w:pPr>
      <w:r w:rsidRPr="00BC3A80">
        <w:rPr>
          <w:rFonts w:ascii="Verdana" w:hAnsi="Verdana" w:cs="Arial"/>
          <w:lang w:val="es-ES"/>
        </w:rPr>
        <w:t xml:space="preserve">Por otro lado, </w:t>
      </w:r>
      <w:r w:rsidRPr="00BC3A80">
        <w:rPr>
          <w:rFonts w:ascii="Verdana" w:hAnsi="Verdana" w:cs="Arial"/>
          <w:i/>
          <w:iCs/>
          <w:lang w:val="es-ES"/>
        </w:rPr>
        <w:t xml:space="preserve">el parágrafo del artículo 38 </w:t>
      </w:r>
      <w:r w:rsidRPr="00BC3A80">
        <w:rPr>
          <w:rFonts w:ascii="Verdana" w:hAnsi="Verdana" w:cs="Arial"/>
          <w:lang w:val="es-ES"/>
        </w:rPr>
        <w:t xml:space="preserve">de la Ley 996 de 2005 prevé una restricción, aplicable respecto de </w:t>
      </w:r>
      <w:r w:rsidRPr="00BC3A80">
        <w:rPr>
          <w:rFonts w:ascii="Verdana" w:hAnsi="Verdana" w:cs="Arial"/>
          <w:i/>
          <w:iCs/>
          <w:lang w:val="es-ES"/>
        </w:rPr>
        <w:t>cualquier tipo de contienda electoral</w:t>
      </w:r>
      <w:r w:rsidRPr="00BC3A80">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4838A329" w14:textId="77777777" w:rsidR="00712F71" w:rsidRDefault="00712F71" w:rsidP="00BB0426">
      <w:pPr>
        <w:rPr>
          <w:rFonts w:ascii="Verdana" w:eastAsia="Times New Roman" w:hAnsi="Verdana" w:cs="Arial"/>
          <w:lang w:eastAsia="es-ES_tradnl"/>
        </w:rPr>
      </w:pPr>
    </w:p>
    <w:p w14:paraId="6621CCFE" w14:textId="77777777" w:rsidR="00712F71" w:rsidRDefault="00712F71" w:rsidP="00BB0426">
      <w:pPr>
        <w:rPr>
          <w:rFonts w:ascii="Verdana" w:eastAsia="Times New Roman" w:hAnsi="Verdana" w:cs="Arial"/>
          <w:lang w:eastAsia="es-ES_tradnl"/>
        </w:rPr>
      </w:pPr>
    </w:p>
    <w:p w14:paraId="63C4B474" w14:textId="77777777" w:rsidR="00712F71" w:rsidRDefault="00712F71" w:rsidP="00BB0426">
      <w:pPr>
        <w:rPr>
          <w:rFonts w:ascii="Verdana" w:eastAsia="Times New Roman" w:hAnsi="Verdana" w:cs="Arial"/>
          <w:lang w:eastAsia="es-ES_tradnl"/>
        </w:rPr>
      </w:pPr>
    </w:p>
    <w:p w14:paraId="514A180C" w14:textId="77777777" w:rsidR="00712F71" w:rsidRDefault="00712F71" w:rsidP="00BB0426">
      <w:pPr>
        <w:rPr>
          <w:rFonts w:ascii="Verdana" w:eastAsia="Times New Roman" w:hAnsi="Verdana" w:cs="Arial"/>
          <w:lang w:eastAsia="es-ES_tradnl"/>
        </w:rPr>
      </w:pPr>
    </w:p>
    <w:p w14:paraId="0AC47E25" w14:textId="77777777" w:rsidR="00712F71" w:rsidRDefault="00712F71" w:rsidP="00BB0426">
      <w:pPr>
        <w:rPr>
          <w:rFonts w:ascii="Verdana" w:eastAsia="Times New Roman" w:hAnsi="Verdana" w:cs="Arial"/>
          <w:lang w:eastAsia="es-ES_tradnl"/>
        </w:rPr>
      </w:pPr>
    </w:p>
    <w:p w14:paraId="2B04378E" w14:textId="77777777" w:rsidR="00712F71" w:rsidRDefault="00712F71" w:rsidP="00BB0426">
      <w:pPr>
        <w:rPr>
          <w:rFonts w:ascii="Verdana" w:eastAsia="Times New Roman" w:hAnsi="Verdana" w:cs="Arial"/>
          <w:lang w:eastAsia="es-ES_tradnl"/>
        </w:rPr>
      </w:pPr>
    </w:p>
    <w:p w14:paraId="7361B29F" w14:textId="77777777" w:rsidR="00712F71" w:rsidRDefault="00712F71" w:rsidP="00BB0426">
      <w:pPr>
        <w:rPr>
          <w:rFonts w:ascii="Verdana" w:eastAsia="Times New Roman" w:hAnsi="Verdana" w:cs="Arial"/>
          <w:lang w:eastAsia="es-ES_tradnl"/>
        </w:rPr>
      </w:pPr>
    </w:p>
    <w:p w14:paraId="71DB82E4" w14:textId="77777777" w:rsidR="00712F71" w:rsidRDefault="00712F71" w:rsidP="00BB0426">
      <w:pPr>
        <w:rPr>
          <w:rFonts w:ascii="Verdana" w:eastAsia="Times New Roman" w:hAnsi="Verdana" w:cs="Arial"/>
          <w:lang w:eastAsia="es-ES_tradnl"/>
        </w:rPr>
      </w:pPr>
    </w:p>
    <w:p w14:paraId="6B3C7460" w14:textId="77777777" w:rsidR="00712F71" w:rsidRDefault="00712F71" w:rsidP="00BB0426">
      <w:pPr>
        <w:rPr>
          <w:rFonts w:ascii="Verdana" w:eastAsia="Times New Roman" w:hAnsi="Verdana" w:cs="Arial"/>
          <w:lang w:eastAsia="es-ES_tradnl"/>
        </w:rPr>
      </w:pPr>
    </w:p>
    <w:p w14:paraId="63B908A1" w14:textId="77777777" w:rsidR="00712F71" w:rsidRDefault="00712F71" w:rsidP="00BB0426">
      <w:pPr>
        <w:rPr>
          <w:rFonts w:ascii="Verdana" w:eastAsia="Times New Roman" w:hAnsi="Verdana" w:cs="Arial"/>
          <w:lang w:eastAsia="es-ES_tradnl"/>
        </w:rPr>
      </w:pPr>
    </w:p>
    <w:p w14:paraId="5842EF1A" w14:textId="77777777" w:rsidR="00712F71" w:rsidRDefault="00712F71" w:rsidP="00BB0426">
      <w:pPr>
        <w:rPr>
          <w:rFonts w:ascii="Verdana" w:eastAsia="Times New Roman" w:hAnsi="Verdana" w:cs="Arial"/>
          <w:lang w:eastAsia="es-ES_tradnl"/>
        </w:rPr>
      </w:pPr>
    </w:p>
    <w:p w14:paraId="1390E6BF" w14:textId="77777777" w:rsidR="00712F71" w:rsidRDefault="00712F71" w:rsidP="00BB0426">
      <w:pPr>
        <w:rPr>
          <w:rFonts w:ascii="Verdana" w:eastAsia="Times New Roman" w:hAnsi="Verdana" w:cs="Arial"/>
          <w:lang w:eastAsia="es-ES_tradnl"/>
        </w:rPr>
      </w:pPr>
    </w:p>
    <w:p w14:paraId="0AEC9B9A" w14:textId="77777777" w:rsidR="00712F71" w:rsidRDefault="00712F71" w:rsidP="00BB0426">
      <w:pPr>
        <w:rPr>
          <w:rFonts w:ascii="Verdana" w:eastAsia="Times New Roman" w:hAnsi="Verdana" w:cs="Arial"/>
          <w:lang w:eastAsia="es-ES_tradnl"/>
        </w:rPr>
      </w:pPr>
    </w:p>
    <w:p w14:paraId="2BE115AB" w14:textId="77777777" w:rsidR="00712F71" w:rsidRDefault="00712F71" w:rsidP="00BB0426">
      <w:pPr>
        <w:rPr>
          <w:rFonts w:ascii="Verdana" w:eastAsia="Times New Roman" w:hAnsi="Verdana" w:cs="Arial"/>
          <w:lang w:eastAsia="es-ES_tradnl"/>
        </w:rPr>
      </w:pPr>
    </w:p>
    <w:p w14:paraId="78C0E805" w14:textId="77777777" w:rsidR="00712F71" w:rsidRDefault="00712F71" w:rsidP="00BB0426">
      <w:pPr>
        <w:rPr>
          <w:rFonts w:ascii="Verdana" w:eastAsia="Times New Roman" w:hAnsi="Verdana" w:cs="Arial"/>
          <w:lang w:eastAsia="es-ES_tradnl"/>
        </w:rPr>
      </w:pPr>
    </w:p>
    <w:p w14:paraId="4B140788" w14:textId="77777777" w:rsidR="00712F71" w:rsidRDefault="00712F71" w:rsidP="00BB0426">
      <w:pPr>
        <w:rPr>
          <w:rFonts w:ascii="Verdana" w:eastAsia="Times New Roman" w:hAnsi="Verdana" w:cs="Arial"/>
          <w:lang w:eastAsia="es-ES_tradnl"/>
        </w:rPr>
      </w:pPr>
    </w:p>
    <w:p w14:paraId="587EDFB0" w14:textId="77777777" w:rsidR="00712F71" w:rsidRDefault="00712F71" w:rsidP="00BB0426">
      <w:pPr>
        <w:rPr>
          <w:rFonts w:ascii="Verdana" w:eastAsia="Times New Roman" w:hAnsi="Verdana" w:cs="Arial"/>
          <w:lang w:eastAsia="es-ES_tradnl"/>
        </w:rPr>
      </w:pPr>
    </w:p>
    <w:p w14:paraId="395EDDCC" w14:textId="5A71BD7A" w:rsidR="00BB0426" w:rsidRPr="006F44C3" w:rsidRDefault="00BB0426" w:rsidP="00BB0426">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712F71">
        <w:rPr>
          <w:rFonts w:ascii="Verdana" w:eastAsia="Times New Roman" w:hAnsi="Verdana" w:cs="Arial"/>
          <w:lang w:eastAsia="es-ES_tradnl"/>
        </w:rPr>
        <w:t xml:space="preserve">08 </w:t>
      </w:r>
      <w:r w:rsidRPr="00093B55">
        <w:rPr>
          <w:rFonts w:ascii="Verdana" w:eastAsia="Times New Roman" w:hAnsi="Verdana" w:cs="Arial"/>
          <w:lang w:eastAsia="es-ES_tradnl"/>
        </w:rPr>
        <w:t xml:space="preserve">de </w:t>
      </w:r>
      <w:r w:rsidR="00712F71">
        <w:rPr>
          <w:rFonts w:ascii="Verdana" w:eastAsia="Times New Roman" w:hAnsi="Verdana" w:cs="Arial"/>
          <w:lang w:eastAsia="es-ES_tradnl"/>
        </w:rPr>
        <w:t>diciembre</w:t>
      </w:r>
      <w:r w:rsidRPr="00093B55">
        <w:rPr>
          <w:rFonts w:ascii="Verdana" w:eastAsia="Times New Roman" w:hAnsi="Verdana" w:cs="Arial"/>
          <w:lang w:eastAsia="es-ES_tradnl"/>
        </w:rPr>
        <w:t xml:space="preserve"> de </w:t>
      </w:r>
      <w:r w:rsidR="00712F71">
        <w:rPr>
          <w:rFonts w:ascii="Verdana" w:eastAsia="Times New Roman" w:hAnsi="Verdana" w:cs="Arial"/>
          <w:lang w:eastAsia="es-ES_tradnl"/>
        </w:rPr>
        <w:t>2025</w:t>
      </w:r>
      <w:r w:rsidRPr="00093B55">
        <w:rPr>
          <w:rFonts w:ascii="Verdana" w:eastAsia="Times New Roman" w:hAnsi="Verdana" w:cs="Arial"/>
          <w:lang w:eastAsia="es-ES_tradnl"/>
        </w:rPr>
        <w:t> </w:t>
      </w:r>
    </w:p>
    <w:p w14:paraId="076FA212" w14:textId="3EC77773" w:rsidR="00BB0426" w:rsidRPr="00BC3A80" w:rsidRDefault="00712F71" w:rsidP="00712F71">
      <w:pPr>
        <w:spacing w:after="0" w:line="240" w:lineRule="auto"/>
        <w:ind w:left="4248"/>
        <w:rPr>
          <w:rFonts w:ascii="Verdana" w:hAnsi="Verdana" w:cs="Arial"/>
          <w:color w:val="000000"/>
          <w:lang w:val="es-ES_tradnl"/>
        </w:rPr>
      </w:pPr>
      <w:r w:rsidRPr="00712F71">
        <w:rPr>
          <w:rFonts w:ascii="Verdana" w:hAnsi="Verdana" w:cs="Arial"/>
          <w:color w:val="000000"/>
          <w:lang w:val="es-ES_tradnl"/>
        </w:rPr>
        <w:drawing>
          <wp:inline distT="0" distB="0" distL="0" distR="0" wp14:anchorId="053E5F75" wp14:editId="44E0B577">
            <wp:extent cx="3315163" cy="1133633"/>
            <wp:effectExtent l="0" t="0" r="0" b="9525"/>
            <wp:docPr id="8317970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797034" name=""/>
                    <pic:cNvPicPr/>
                  </pic:nvPicPr>
                  <pic:blipFill>
                    <a:blip r:embed="rId10"/>
                    <a:stretch>
                      <a:fillRect/>
                    </a:stretch>
                  </pic:blipFill>
                  <pic:spPr>
                    <a:xfrm>
                      <a:off x="0" y="0"/>
                      <a:ext cx="3315163" cy="1133633"/>
                    </a:xfrm>
                    <a:prstGeom prst="rect">
                      <a:avLst/>
                    </a:prstGeom>
                  </pic:spPr>
                </pic:pic>
              </a:graphicData>
            </a:graphic>
          </wp:inline>
        </w:drawing>
      </w:r>
    </w:p>
    <w:p w14:paraId="60A9408A" w14:textId="77777777" w:rsidR="00BB0426" w:rsidRPr="00BC3A80" w:rsidRDefault="00BB0426" w:rsidP="00BB0426">
      <w:pPr>
        <w:spacing w:after="0" w:line="240" w:lineRule="auto"/>
        <w:jc w:val="both"/>
        <w:rPr>
          <w:rFonts w:ascii="Verdana" w:hAnsi="Verdana" w:cs="Arial"/>
          <w:lang w:val="es-ES_tradnl" w:eastAsia="es-ES"/>
        </w:rPr>
      </w:pPr>
      <w:r w:rsidRPr="00BC3A80">
        <w:rPr>
          <w:rFonts w:ascii="Verdana" w:hAnsi="Verdana" w:cs="Arial"/>
          <w:lang w:val="es-ES_tradnl" w:eastAsia="es-ES"/>
        </w:rPr>
        <w:t>Señor</w:t>
      </w:r>
      <w:r>
        <w:rPr>
          <w:rFonts w:ascii="Verdana" w:hAnsi="Verdana" w:cs="Arial"/>
          <w:lang w:val="es-ES_tradnl" w:eastAsia="es-ES"/>
        </w:rPr>
        <w:t>a</w:t>
      </w:r>
    </w:p>
    <w:p w14:paraId="581DCA38" w14:textId="77777777" w:rsidR="00BB0426" w:rsidRDefault="00BB0426" w:rsidP="00BB0426">
      <w:pPr>
        <w:spacing w:after="0" w:line="240" w:lineRule="auto"/>
        <w:jc w:val="both"/>
        <w:rPr>
          <w:rFonts w:ascii="Verdana" w:hAnsi="Verdana" w:cs="Arial"/>
          <w:b/>
          <w:bCs/>
          <w:lang w:val="es-ES_tradnl" w:eastAsia="es-ES"/>
        </w:rPr>
      </w:pPr>
      <w:r>
        <w:rPr>
          <w:rFonts w:ascii="Verdana" w:hAnsi="Verdana" w:cs="Arial"/>
          <w:b/>
          <w:bCs/>
          <w:lang w:val="es-ES_tradnl" w:eastAsia="es-ES"/>
        </w:rPr>
        <w:t>Silvia Inés Barrera Avella</w:t>
      </w:r>
    </w:p>
    <w:p w14:paraId="09E3A941" w14:textId="77777777" w:rsidR="00BB0426" w:rsidRPr="00963466" w:rsidRDefault="00BB0426" w:rsidP="00BB0426">
      <w:pPr>
        <w:spacing w:after="0" w:line="240" w:lineRule="auto"/>
        <w:rPr>
          <w:rFonts w:ascii="Verdana" w:hAnsi="Verdana" w:cs="Arial"/>
        </w:rPr>
      </w:pPr>
      <w:hyperlink r:id="rId11" w:history="1">
        <w:r w:rsidRPr="008A67C9">
          <w:rPr>
            <w:rStyle w:val="Hipervnculo"/>
            <w:rFonts w:ascii="Verdana" w:hAnsi="Verdana"/>
          </w:rPr>
          <w:t>Silvia-28@outlook.es</w:t>
        </w:r>
      </w:hyperlink>
      <w:r>
        <w:rPr>
          <w:rFonts w:ascii="Verdana" w:hAnsi="Verdana" w:cs="Arial"/>
        </w:rPr>
        <w:t xml:space="preserve">; </w:t>
      </w:r>
    </w:p>
    <w:p w14:paraId="7DE0CD18" w14:textId="77777777" w:rsidR="00BB0426" w:rsidRPr="00C8004B" w:rsidRDefault="00BB0426" w:rsidP="00BB0426">
      <w:pPr>
        <w:tabs>
          <w:tab w:val="left" w:pos="3708"/>
        </w:tabs>
        <w:spacing w:after="0" w:line="240" w:lineRule="auto"/>
        <w:rPr>
          <w:rFonts w:ascii="Verdana" w:hAnsi="Verdana" w:cs="Arial"/>
          <w:lang w:val="en-US" w:eastAsia="es-ES"/>
        </w:rPr>
      </w:pPr>
      <w:r>
        <w:rPr>
          <w:rFonts w:ascii="Verdana" w:hAnsi="Verdana" w:cs="Arial"/>
          <w:lang w:val="en-US" w:eastAsia="es-ES"/>
        </w:rPr>
        <w:t>Tunja, Boyacá.</w:t>
      </w:r>
      <w:r w:rsidRPr="00C8004B">
        <w:rPr>
          <w:rFonts w:ascii="Verdana" w:hAnsi="Verdana" w:cs="Arial"/>
          <w:lang w:val="en-US" w:eastAsia="es-ES"/>
        </w:rPr>
        <w:tab/>
      </w:r>
    </w:p>
    <w:p w14:paraId="3429118C" w14:textId="77777777" w:rsidR="00BB0426" w:rsidRPr="00C8004B" w:rsidRDefault="00BB0426" w:rsidP="00BB0426">
      <w:pPr>
        <w:spacing w:after="0" w:line="240" w:lineRule="auto"/>
        <w:rPr>
          <w:rFonts w:ascii="Verdana" w:hAnsi="Verdana" w:cs="Arial"/>
          <w:b/>
          <w:bCs/>
          <w:color w:val="000000"/>
          <w:lang w:val="en-US" w:eastAsia="es-ES_tradnl"/>
        </w:rPr>
      </w:pPr>
    </w:p>
    <w:p w14:paraId="2692FD34" w14:textId="77777777" w:rsidR="00BB0426" w:rsidRPr="00C8004B" w:rsidRDefault="00BB0426" w:rsidP="00BB0426">
      <w:pPr>
        <w:spacing w:after="0" w:line="240" w:lineRule="auto"/>
        <w:rPr>
          <w:rFonts w:ascii="Verdana" w:hAnsi="Verdana" w:cs="Arial"/>
          <w:b/>
          <w:bCs/>
          <w:color w:val="000000"/>
          <w:lang w:val="en-US"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BB0426" w:rsidRPr="00BC3A80" w14:paraId="0E381C92" w14:textId="77777777" w:rsidTr="00712F71">
        <w:trPr>
          <w:trHeight w:val="102"/>
        </w:trPr>
        <w:tc>
          <w:tcPr>
            <w:tcW w:w="2689" w:type="dxa"/>
          </w:tcPr>
          <w:p w14:paraId="70088975" w14:textId="77777777" w:rsidR="00BB0426" w:rsidRPr="00C8004B" w:rsidRDefault="00BB0426" w:rsidP="003021E1">
            <w:pPr>
              <w:jc w:val="both"/>
              <w:rPr>
                <w:rFonts w:ascii="Verdana" w:hAnsi="Verdana" w:cs="Arial"/>
                <w:b/>
                <w:bCs/>
                <w:color w:val="7030A0"/>
                <w:lang w:val="en-US" w:eastAsia="es-ES_tradnl"/>
              </w:rPr>
            </w:pPr>
          </w:p>
        </w:tc>
        <w:tc>
          <w:tcPr>
            <w:tcW w:w="6100" w:type="dxa"/>
          </w:tcPr>
          <w:p w14:paraId="128E37FB" w14:textId="77777777" w:rsidR="00BB0426" w:rsidRDefault="00BB0426" w:rsidP="003021E1">
            <w:pPr>
              <w:jc w:val="both"/>
              <w:rPr>
                <w:rFonts w:ascii="Verdana" w:hAnsi="Verdana" w:cs="Arial"/>
                <w:b/>
                <w:bCs/>
                <w:lang w:val="es-ES_tradnl" w:eastAsia="es-ES"/>
              </w:rPr>
            </w:pPr>
            <w:r w:rsidRPr="00BC3A80">
              <w:rPr>
                <w:rFonts w:ascii="Verdana" w:hAnsi="Verdana" w:cs="Arial"/>
                <w:b/>
                <w:bCs/>
                <w:lang w:val="es-ES_tradnl" w:eastAsia="es-ES"/>
              </w:rPr>
              <w:t xml:space="preserve">Concepto </w:t>
            </w:r>
            <w:r w:rsidRPr="00963466">
              <w:rPr>
                <w:rFonts w:ascii="Verdana" w:hAnsi="Verdana" w:cs="Arial"/>
                <w:b/>
                <w:bCs/>
                <w:lang w:val="es-ES_tradnl" w:eastAsia="es-ES"/>
              </w:rPr>
              <w:t>C-1586</w:t>
            </w:r>
            <w:r w:rsidRPr="00BC3A80">
              <w:rPr>
                <w:rFonts w:ascii="Verdana" w:hAnsi="Verdana" w:cs="Arial"/>
                <w:b/>
                <w:bCs/>
                <w:lang w:val="es-ES_tradnl" w:eastAsia="es-ES"/>
              </w:rPr>
              <w:t xml:space="preserve"> de 2025</w:t>
            </w:r>
          </w:p>
          <w:p w14:paraId="75065001" w14:textId="77777777" w:rsidR="00BB0426" w:rsidRPr="00BC3A80" w:rsidRDefault="00BB0426" w:rsidP="003021E1">
            <w:pPr>
              <w:jc w:val="both"/>
              <w:rPr>
                <w:rFonts w:ascii="Verdana" w:hAnsi="Verdana" w:cs="Arial"/>
                <w:b/>
                <w:bCs/>
                <w:color w:val="7030A0"/>
                <w:lang w:val="es-ES_tradnl" w:eastAsia="es-ES"/>
              </w:rPr>
            </w:pPr>
          </w:p>
        </w:tc>
      </w:tr>
      <w:tr w:rsidR="00BB0426" w:rsidRPr="00BC3A80" w14:paraId="10C9450A" w14:textId="77777777" w:rsidTr="00712F71">
        <w:trPr>
          <w:trHeight w:val="884"/>
        </w:trPr>
        <w:tc>
          <w:tcPr>
            <w:tcW w:w="2689" w:type="dxa"/>
          </w:tcPr>
          <w:p w14:paraId="19ACB73A" w14:textId="77777777" w:rsidR="00BB0426" w:rsidRPr="00BC3A80" w:rsidRDefault="00BB0426" w:rsidP="003021E1">
            <w:pPr>
              <w:jc w:val="both"/>
              <w:rPr>
                <w:rFonts w:ascii="Verdana" w:hAnsi="Verdana" w:cs="Arial"/>
                <w:color w:val="000000"/>
                <w:lang w:val="es-ES_tradnl" w:eastAsia="es-ES_tradnl"/>
              </w:rPr>
            </w:pPr>
            <w:r w:rsidRPr="00BC3A80">
              <w:rPr>
                <w:rFonts w:ascii="Verdana" w:hAnsi="Verdana" w:cs="Arial"/>
                <w:b/>
                <w:color w:val="000000"/>
                <w:lang w:val="es-ES_tradnl" w:eastAsia="es-ES_tradnl"/>
              </w:rPr>
              <w:t>Temas:</w:t>
            </w:r>
            <w:r w:rsidRPr="00BC3A80">
              <w:rPr>
                <w:rFonts w:ascii="Verdana" w:hAnsi="Verdana" w:cs="Arial"/>
                <w:color w:val="000000"/>
                <w:lang w:val="es-ES_tradnl" w:eastAsia="es-ES_tradnl"/>
              </w:rPr>
              <w:t xml:space="preserve">                   </w:t>
            </w:r>
          </w:p>
        </w:tc>
        <w:tc>
          <w:tcPr>
            <w:tcW w:w="6100" w:type="dxa"/>
          </w:tcPr>
          <w:p w14:paraId="11FDE9AA" w14:textId="77777777" w:rsidR="00BB0426" w:rsidRDefault="00BB0426" w:rsidP="003021E1">
            <w:pPr>
              <w:spacing w:line="276" w:lineRule="auto"/>
              <w:jc w:val="both"/>
              <w:rPr>
                <w:rFonts w:ascii="Verdana" w:hAnsi="Verdana" w:cs="Arial"/>
                <w:lang w:val="es-ES" w:eastAsia="es-ES"/>
              </w:rPr>
            </w:pPr>
            <w:r w:rsidRPr="00BC3A80">
              <w:rPr>
                <w:rFonts w:ascii="Verdana" w:hAnsi="Verdana" w:cs="Arial"/>
                <w:lang w:val="es-ES" w:eastAsia="es-ES"/>
              </w:rPr>
              <w:t xml:space="preserve">LEY DE GARANTÍAS ELECTORALES – Finalidad / LEY DE GARANTÍAS ELECTORALES ‒ Restricciones ‒ Contratación ‒ Tipos de elección / LEY DE GARANTÍAS ELECTORALES ‒ Artículo 33 ‒ Ámbito material </w:t>
            </w:r>
          </w:p>
          <w:p w14:paraId="54F9DE12" w14:textId="77777777" w:rsidR="00BB0426" w:rsidRPr="00BC3A80" w:rsidRDefault="00BB0426" w:rsidP="003021E1">
            <w:pPr>
              <w:spacing w:line="276" w:lineRule="auto"/>
              <w:jc w:val="both"/>
              <w:rPr>
                <w:rFonts w:ascii="Verdana" w:eastAsia="Arial" w:hAnsi="Verdana" w:cs="Arial"/>
                <w:bCs/>
                <w:color w:val="000000" w:themeColor="text1"/>
              </w:rPr>
            </w:pPr>
          </w:p>
        </w:tc>
      </w:tr>
      <w:tr w:rsidR="00BB0426" w:rsidRPr="00BC3A80" w14:paraId="20A401FC" w14:textId="77777777" w:rsidTr="00712F71">
        <w:tc>
          <w:tcPr>
            <w:tcW w:w="2689" w:type="dxa"/>
          </w:tcPr>
          <w:p w14:paraId="146A44B6" w14:textId="77777777" w:rsidR="00BB0426" w:rsidRPr="00BC3A80" w:rsidRDefault="00BB0426" w:rsidP="003021E1">
            <w:pPr>
              <w:jc w:val="both"/>
              <w:rPr>
                <w:rFonts w:ascii="Verdana" w:hAnsi="Verdana" w:cs="Arial"/>
                <w:b/>
                <w:lang w:val="es-ES_tradnl" w:eastAsia="es-ES_tradnl"/>
              </w:rPr>
            </w:pPr>
            <w:r w:rsidRPr="00BC3A80">
              <w:rPr>
                <w:rFonts w:ascii="Verdana" w:hAnsi="Verdana" w:cs="Arial"/>
                <w:b/>
                <w:lang w:val="es-ES_tradnl" w:eastAsia="es-ES_tradnl"/>
              </w:rPr>
              <w:t>Radicación:</w:t>
            </w:r>
            <w:r w:rsidRPr="00BC3A80">
              <w:rPr>
                <w:rFonts w:ascii="Verdana" w:hAnsi="Verdana" w:cs="Arial"/>
                <w:lang w:val="es-ES_tradnl" w:eastAsia="es-ES_tradnl"/>
              </w:rPr>
              <w:t xml:space="preserve">               </w:t>
            </w:r>
          </w:p>
        </w:tc>
        <w:tc>
          <w:tcPr>
            <w:tcW w:w="6100" w:type="dxa"/>
          </w:tcPr>
          <w:p w14:paraId="4BDAB6CF" w14:textId="77777777" w:rsidR="00BB0426" w:rsidRPr="00BC3A80" w:rsidRDefault="00BB0426" w:rsidP="003021E1">
            <w:pPr>
              <w:spacing w:line="276" w:lineRule="auto"/>
              <w:jc w:val="both"/>
              <w:rPr>
                <w:rFonts w:ascii="Verdana" w:hAnsi="Verdana" w:cs="Arial"/>
                <w:lang w:val="es-ES_tradnl" w:eastAsia="es-ES_tradnl"/>
              </w:rPr>
            </w:pPr>
            <w:r w:rsidRPr="00BC3A80">
              <w:rPr>
                <w:rFonts w:ascii="Verdana" w:hAnsi="Verdana" w:cs="Arial"/>
                <w:lang w:val="es-ES_tradnl" w:eastAsia="es-ES_tradnl"/>
              </w:rPr>
              <w:t xml:space="preserve">Respuesta a la consulta con radicado No. </w:t>
            </w:r>
            <w:r w:rsidRPr="00963466">
              <w:rPr>
                <w:rFonts w:ascii="Verdana" w:hAnsi="Verdana" w:cs="Arial"/>
                <w:lang w:val="es-ES_tradnl" w:eastAsia="es-ES_tradnl"/>
              </w:rPr>
              <w:t>1_2025_11_20_013140</w:t>
            </w:r>
          </w:p>
        </w:tc>
      </w:tr>
    </w:tbl>
    <w:p w14:paraId="4EECF1C5" w14:textId="77777777" w:rsidR="00BB0426" w:rsidRPr="00BC3A80" w:rsidRDefault="00BB0426" w:rsidP="00BB0426">
      <w:pPr>
        <w:spacing w:after="0" w:line="276" w:lineRule="auto"/>
        <w:jc w:val="both"/>
        <w:rPr>
          <w:rFonts w:ascii="Verdana" w:hAnsi="Verdana" w:cs="Arial"/>
          <w:color w:val="000000"/>
          <w:lang w:val="es-ES_tradnl" w:eastAsia="es-ES_tradnl"/>
        </w:rPr>
      </w:pPr>
    </w:p>
    <w:p w14:paraId="7303E882" w14:textId="77777777" w:rsidR="00BB0426" w:rsidRPr="00BC3A80" w:rsidRDefault="00BB0426" w:rsidP="00BB0426">
      <w:pPr>
        <w:spacing w:after="0" w:line="276" w:lineRule="auto"/>
        <w:jc w:val="both"/>
        <w:rPr>
          <w:rFonts w:ascii="Verdana" w:hAnsi="Verdana" w:cs="Arial"/>
          <w:color w:val="000000"/>
          <w:lang w:val="es-ES_tradnl" w:eastAsia="es-ES_tradnl"/>
        </w:rPr>
      </w:pPr>
    </w:p>
    <w:p w14:paraId="77FBAA2D" w14:textId="77777777" w:rsidR="00BB0426" w:rsidRPr="00BC3A80" w:rsidRDefault="00BB0426" w:rsidP="00BB0426">
      <w:pPr>
        <w:spacing w:after="0" w:line="276" w:lineRule="auto"/>
        <w:jc w:val="both"/>
        <w:rPr>
          <w:rFonts w:ascii="Verdana" w:hAnsi="Verdana" w:cs="Arial"/>
          <w:lang w:val="es-ES_tradnl" w:eastAsia="es-ES"/>
        </w:rPr>
      </w:pPr>
      <w:r w:rsidRPr="00BC3A80">
        <w:rPr>
          <w:rFonts w:ascii="Verdana" w:hAnsi="Verdana" w:cs="Arial"/>
          <w:lang w:val="es-ES_tradnl" w:eastAsia="es-ES"/>
        </w:rPr>
        <w:t>Estimad</w:t>
      </w:r>
      <w:r>
        <w:rPr>
          <w:rFonts w:ascii="Verdana" w:hAnsi="Verdana" w:cs="Arial"/>
          <w:lang w:val="es-ES_tradnl" w:eastAsia="es-ES"/>
        </w:rPr>
        <w:t>a</w:t>
      </w:r>
      <w:r w:rsidRPr="00BC3A80">
        <w:rPr>
          <w:rFonts w:ascii="Verdana" w:hAnsi="Verdana" w:cs="Arial"/>
          <w:lang w:val="es-ES_tradnl" w:eastAsia="es-ES"/>
        </w:rPr>
        <w:t xml:space="preserve"> señor</w:t>
      </w:r>
      <w:r>
        <w:rPr>
          <w:rFonts w:ascii="Verdana" w:hAnsi="Verdana" w:cs="Arial"/>
          <w:lang w:val="es-ES_tradnl" w:eastAsia="es-ES"/>
        </w:rPr>
        <w:t>a</w:t>
      </w:r>
      <w:r w:rsidRPr="00BC3A80">
        <w:rPr>
          <w:rFonts w:ascii="Verdana" w:hAnsi="Verdana" w:cs="Arial"/>
          <w:lang w:val="es-ES_tradnl" w:eastAsia="es-ES"/>
        </w:rPr>
        <w:t xml:space="preserve"> </w:t>
      </w:r>
      <w:r>
        <w:rPr>
          <w:rFonts w:ascii="Verdana" w:hAnsi="Verdana" w:cs="Arial"/>
          <w:lang w:val="es-ES_tradnl" w:eastAsia="es-ES"/>
        </w:rPr>
        <w:t>Barrera</w:t>
      </w:r>
      <w:r w:rsidRPr="00BC3A80">
        <w:rPr>
          <w:rFonts w:ascii="Verdana" w:hAnsi="Verdana" w:cs="Arial"/>
          <w:lang w:val="es-ES_tradnl" w:eastAsia="es-ES"/>
        </w:rPr>
        <w:t xml:space="preserve">: </w:t>
      </w:r>
    </w:p>
    <w:p w14:paraId="0CBC705E" w14:textId="77777777" w:rsidR="00BB0426" w:rsidRPr="00BC3A80" w:rsidRDefault="00BB0426" w:rsidP="00BB0426">
      <w:pPr>
        <w:tabs>
          <w:tab w:val="left" w:pos="3768"/>
        </w:tabs>
        <w:spacing w:after="0" w:line="276" w:lineRule="auto"/>
        <w:jc w:val="both"/>
        <w:rPr>
          <w:rFonts w:ascii="Verdana" w:hAnsi="Verdana" w:cs="Arial"/>
          <w:color w:val="000000" w:themeColor="text1"/>
          <w:lang w:val="es-ES_tradnl" w:eastAsia="es-ES"/>
        </w:rPr>
      </w:pPr>
      <w:r w:rsidRPr="00BC3A80">
        <w:rPr>
          <w:rFonts w:ascii="Verdana" w:hAnsi="Verdana" w:cs="Arial"/>
          <w:color w:val="000000" w:themeColor="text1"/>
          <w:lang w:val="es-ES_tradnl" w:eastAsia="es-ES"/>
        </w:rPr>
        <w:tab/>
      </w:r>
    </w:p>
    <w:p w14:paraId="342F8EE8" w14:textId="77777777" w:rsidR="00BB0426" w:rsidRPr="00BC3A80" w:rsidRDefault="00BB0426" w:rsidP="00BB0426">
      <w:pPr>
        <w:spacing w:after="0" w:line="276" w:lineRule="auto"/>
        <w:jc w:val="both"/>
        <w:rPr>
          <w:rFonts w:ascii="Verdana" w:hAnsi="Verdana" w:cs="Arial"/>
          <w:color w:val="7030A0"/>
          <w:lang w:val="es-ES_tradnl" w:eastAsia="es-ES"/>
        </w:rPr>
      </w:pPr>
      <w:r w:rsidRPr="00BC3A80">
        <w:rPr>
          <w:rFonts w:ascii="Verdana" w:hAnsi="Verdana" w:cs="Arial"/>
          <w:color w:val="000000" w:themeColor="text1"/>
          <w:lang w:val="es-ES_tradnl" w:eastAsia="es-ES"/>
        </w:rPr>
        <w:t>En ejercicio de la competencia otorgada por los artículos 3, numeral 5º, y 11, numeral 8º, del Decreto Ley 4170 de 2011,</w:t>
      </w:r>
      <w:r w:rsidRPr="00BC3A80">
        <w:rPr>
          <w:rFonts w:ascii="Verdana" w:eastAsia="Arial MT" w:hAnsi="Verdana" w:cs="Arial MT"/>
          <w:lang w:val="es-ES_tradnl" w:eastAsia="es-ES"/>
        </w:rPr>
        <w:t xml:space="preserve"> </w:t>
      </w:r>
      <w:r w:rsidRPr="00BC3A80">
        <w:rPr>
          <w:rFonts w:ascii="Verdana" w:hAnsi="Verdana" w:cs="Arial"/>
          <w:lang w:val="es-ES_tradnl"/>
        </w:rPr>
        <w:t>así como lo establecido en</w:t>
      </w:r>
      <w:r w:rsidRPr="00BC3A80">
        <w:rPr>
          <w:rFonts w:ascii="Verdana" w:hAnsi="Verdana" w:cs="Arial"/>
        </w:rPr>
        <w:t xml:space="preserve"> la Resolución 469 de 2025 expedida por esta Entidad</w:t>
      </w:r>
      <w:r w:rsidRPr="00BC3A80">
        <w:rPr>
          <w:rFonts w:ascii="Verdana" w:hAnsi="Verdana" w:cs="Arial"/>
          <w:lang w:val="es-ES_tradnl"/>
        </w:rPr>
        <w:t xml:space="preserve">, </w:t>
      </w:r>
      <w:r w:rsidRPr="00BC3A80">
        <w:rPr>
          <w:rFonts w:ascii="Verdana" w:hAnsi="Verdana" w:cs="Arial"/>
          <w:color w:val="000000" w:themeColor="text1"/>
          <w:lang w:val="es-ES_tradnl" w:eastAsia="es-ES"/>
        </w:rPr>
        <w:t>la Agencia Nacional de Contratación Pública – Colombia Compra Eficiente responde su solicitud de consulta</w:t>
      </w:r>
      <w:r>
        <w:rPr>
          <w:rFonts w:ascii="Verdana" w:hAnsi="Verdana" w:cs="Arial"/>
          <w:color w:val="000000" w:themeColor="text1"/>
          <w:lang w:val="es-ES_tradnl" w:eastAsia="es-ES"/>
        </w:rPr>
        <w:t xml:space="preserve"> de fecha 20 de noviembre de 2025</w:t>
      </w:r>
      <w:r>
        <w:rPr>
          <w:rFonts w:ascii="Verdana" w:hAnsi="Verdana" w:cs="Arial"/>
          <w:lang w:val="es-ES_tradnl" w:eastAsia="es-ES"/>
        </w:rPr>
        <w:t>,</w:t>
      </w:r>
      <w:r w:rsidRPr="00BC3A80">
        <w:rPr>
          <w:rFonts w:ascii="Verdana" w:hAnsi="Verdana" w:cs="Arial"/>
          <w:lang w:val="es-ES_tradnl" w:eastAsia="es-ES"/>
        </w:rPr>
        <w:t xml:space="preserve"> respecto de la aplicación de la Ley de Garantías Electorales </w:t>
      </w:r>
      <w:r>
        <w:rPr>
          <w:rFonts w:ascii="Verdana" w:hAnsi="Verdana" w:cs="Arial"/>
          <w:lang w:val="es-ES_tradnl" w:eastAsia="es-ES"/>
        </w:rPr>
        <w:t xml:space="preserve">y la restricción de </w:t>
      </w:r>
      <w:r w:rsidRPr="00BC3A80">
        <w:rPr>
          <w:rFonts w:ascii="Verdana" w:hAnsi="Verdana" w:cs="Arial"/>
          <w:lang w:val="es-ES_tradnl" w:eastAsia="es-ES"/>
        </w:rPr>
        <w:t>la contratación</w:t>
      </w:r>
      <w:r>
        <w:rPr>
          <w:rFonts w:ascii="Verdana" w:hAnsi="Verdana" w:cs="Arial"/>
          <w:lang w:val="es-ES_tradnl" w:eastAsia="es-ES"/>
        </w:rPr>
        <w:t>, donde</w:t>
      </w:r>
      <w:r w:rsidRPr="00BC3A80">
        <w:rPr>
          <w:rFonts w:ascii="Verdana" w:hAnsi="Verdana" w:cs="Arial"/>
          <w:lang w:val="es-ES_tradnl" w:eastAsia="es-ES"/>
        </w:rPr>
        <w:t xml:space="preserve"> manifiesta lo siguiente: </w:t>
      </w:r>
    </w:p>
    <w:p w14:paraId="1F8A1C12" w14:textId="77777777" w:rsidR="00BB0426" w:rsidRPr="00BC3A80" w:rsidRDefault="00BB0426" w:rsidP="00BB0426">
      <w:pPr>
        <w:tabs>
          <w:tab w:val="left" w:pos="142"/>
          <w:tab w:val="left" w:pos="284"/>
        </w:tabs>
        <w:spacing w:after="0" w:line="276" w:lineRule="auto"/>
        <w:jc w:val="both"/>
        <w:rPr>
          <w:rFonts w:ascii="Verdana" w:eastAsia="Century Gothic" w:hAnsi="Verdana" w:cs="Century Gothic"/>
          <w:b/>
          <w:bCs/>
          <w:lang w:val="es-ES_tradnl"/>
        </w:rPr>
      </w:pPr>
    </w:p>
    <w:p w14:paraId="1063A473" w14:textId="77777777" w:rsidR="00BB0426" w:rsidRPr="00C52CDB" w:rsidRDefault="00BB0426" w:rsidP="00BB0426">
      <w:pPr>
        <w:spacing w:after="0" w:line="240" w:lineRule="auto"/>
        <w:ind w:left="709" w:right="709"/>
        <w:jc w:val="both"/>
        <w:rPr>
          <w:rFonts w:ascii="Verdana" w:eastAsia="Century Gothic" w:hAnsi="Verdana" w:cs="Century Gothic"/>
          <w:i/>
          <w:sz w:val="20"/>
          <w:szCs w:val="20"/>
        </w:rPr>
      </w:pPr>
      <w:bookmarkStart w:id="1" w:name="_Hlk95313578"/>
      <w:r w:rsidRPr="00C52CDB">
        <w:rPr>
          <w:rFonts w:ascii="Verdana" w:eastAsia="Century Gothic" w:hAnsi="Verdana" w:cs="Century Gothic"/>
          <w:i/>
          <w:sz w:val="20"/>
          <w:szCs w:val="20"/>
          <w:lang w:val="es-ES"/>
        </w:rPr>
        <w:t>“</w:t>
      </w:r>
      <w:bookmarkEnd w:id="1"/>
      <w:r w:rsidRPr="00C52CDB">
        <w:rPr>
          <w:rFonts w:ascii="Verdana" w:eastAsia="Century Gothic" w:hAnsi="Verdana" w:cs="Century Gothic"/>
          <w:i/>
          <w:sz w:val="20"/>
          <w:szCs w:val="20"/>
          <w:lang w:val="es-ES"/>
        </w:rPr>
        <w:t xml:space="preserve">[…] </w:t>
      </w:r>
      <w:r w:rsidRPr="00C52CDB">
        <w:rPr>
          <w:rFonts w:ascii="Verdana" w:eastAsia="Century Gothic" w:hAnsi="Verdana" w:cs="Century Gothic"/>
          <w:i/>
          <w:sz w:val="20"/>
          <w:szCs w:val="20"/>
        </w:rPr>
        <w:t xml:space="preserve">Se solicita </w:t>
      </w:r>
      <w:proofErr w:type="spellStart"/>
      <w:r w:rsidRPr="00C52CDB">
        <w:rPr>
          <w:rFonts w:ascii="Verdana" w:eastAsia="Century Gothic" w:hAnsi="Verdana" w:cs="Century Gothic"/>
          <w:i/>
          <w:sz w:val="20"/>
          <w:szCs w:val="20"/>
        </w:rPr>
        <w:t>informacion</w:t>
      </w:r>
      <w:proofErr w:type="spellEnd"/>
      <w:r w:rsidRPr="00C52CDB">
        <w:rPr>
          <w:rFonts w:ascii="Verdana" w:eastAsia="Century Gothic" w:hAnsi="Verdana" w:cs="Century Gothic"/>
          <w:i/>
          <w:sz w:val="20"/>
          <w:szCs w:val="20"/>
        </w:rPr>
        <w:t xml:space="preserve"> de c</w:t>
      </w:r>
      <w:r w:rsidRPr="00C52CDB">
        <w:rPr>
          <w:rFonts w:ascii="Verdana" w:eastAsia="Century Gothic" w:hAnsi="Verdana" w:cs="Century Gothic" w:hint="eastAsia"/>
          <w:i/>
          <w:sz w:val="20"/>
          <w:szCs w:val="20"/>
        </w:rPr>
        <w:t>ó</w:t>
      </w:r>
      <w:r w:rsidRPr="00C52CDB">
        <w:rPr>
          <w:rFonts w:ascii="Verdana" w:eastAsia="Century Gothic" w:hAnsi="Verdana" w:cs="Century Gothic"/>
          <w:i/>
          <w:sz w:val="20"/>
          <w:szCs w:val="20"/>
        </w:rPr>
        <w:t>mo opera la Ley de Garant</w:t>
      </w:r>
      <w:r w:rsidRPr="00C52CDB">
        <w:rPr>
          <w:rFonts w:ascii="Verdana" w:eastAsia="Century Gothic" w:hAnsi="Verdana" w:cs="Century Gothic" w:hint="eastAsia"/>
          <w:i/>
          <w:sz w:val="20"/>
          <w:szCs w:val="20"/>
        </w:rPr>
        <w:t>í</w:t>
      </w:r>
      <w:r w:rsidRPr="00C52CDB">
        <w:rPr>
          <w:rFonts w:ascii="Verdana" w:eastAsia="Century Gothic" w:hAnsi="Verdana" w:cs="Century Gothic"/>
          <w:i/>
          <w:sz w:val="20"/>
          <w:szCs w:val="20"/>
        </w:rPr>
        <w:t>as para un concejo municipal de sexta categor</w:t>
      </w:r>
      <w:r w:rsidRPr="00C52CDB">
        <w:rPr>
          <w:rFonts w:ascii="Verdana" w:eastAsia="Century Gothic" w:hAnsi="Verdana" w:cs="Century Gothic" w:hint="eastAsia"/>
          <w:i/>
          <w:sz w:val="20"/>
          <w:szCs w:val="20"/>
        </w:rPr>
        <w:t>í</w:t>
      </w:r>
      <w:r w:rsidRPr="00C52CDB">
        <w:rPr>
          <w:rFonts w:ascii="Verdana" w:eastAsia="Century Gothic" w:hAnsi="Verdana" w:cs="Century Gothic"/>
          <w:i/>
          <w:sz w:val="20"/>
          <w:szCs w:val="20"/>
        </w:rPr>
        <w:t xml:space="preserve">a que solo sesiona en febrero, mayo, agosto y noviembre, y que requiere contratar por modalidad directa </w:t>
      </w:r>
      <w:r w:rsidRPr="00C52CDB">
        <w:rPr>
          <w:rFonts w:ascii="Verdana" w:eastAsia="Century Gothic" w:hAnsi="Verdana" w:cs="Century Gothic"/>
          <w:i/>
          <w:sz w:val="20"/>
          <w:szCs w:val="20"/>
        </w:rPr>
        <w:lastRenderedPageBreak/>
        <w:t>servicios de apoyo en aseo y cafeter</w:t>
      </w:r>
      <w:r w:rsidRPr="00C52CDB">
        <w:rPr>
          <w:rFonts w:ascii="Verdana" w:eastAsia="Century Gothic" w:hAnsi="Verdana" w:cs="Century Gothic" w:hint="eastAsia"/>
          <w:i/>
          <w:sz w:val="20"/>
          <w:szCs w:val="20"/>
        </w:rPr>
        <w:t>í</w:t>
      </w:r>
      <w:r w:rsidRPr="00C52CDB">
        <w:rPr>
          <w:rFonts w:ascii="Verdana" w:eastAsia="Century Gothic" w:hAnsi="Verdana" w:cs="Century Gothic"/>
          <w:i/>
          <w:sz w:val="20"/>
          <w:szCs w:val="20"/>
        </w:rPr>
        <w:t>a durante dichos meses. (celebra 4 contratos al a</w:t>
      </w:r>
      <w:r w:rsidRPr="00C52CDB">
        <w:rPr>
          <w:rFonts w:ascii="Verdana" w:eastAsia="Century Gothic" w:hAnsi="Verdana" w:cs="Century Gothic" w:hint="eastAsia"/>
          <w:i/>
          <w:sz w:val="20"/>
          <w:szCs w:val="20"/>
        </w:rPr>
        <w:t>ñ</w:t>
      </w:r>
      <w:r w:rsidRPr="00C52CDB">
        <w:rPr>
          <w:rFonts w:ascii="Verdana" w:eastAsia="Century Gothic" w:hAnsi="Verdana" w:cs="Century Gothic"/>
          <w:i/>
          <w:sz w:val="20"/>
          <w:szCs w:val="20"/>
        </w:rPr>
        <w:t>o previo sesiones ordinarias)</w:t>
      </w:r>
    </w:p>
    <w:p w14:paraId="59A8954F" w14:textId="77777777" w:rsidR="00BB0426" w:rsidRPr="00C52CDB" w:rsidRDefault="00BB0426" w:rsidP="00BB0426">
      <w:pPr>
        <w:spacing w:after="0" w:line="240" w:lineRule="auto"/>
        <w:ind w:left="709" w:right="709"/>
        <w:jc w:val="both"/>
        <w:rPr>
          <w:rFonts w:ascii="Verdana" w:eastAsia="Century Gothic" w:hAnsi="Verdana" w:cs="Century Gothic"/>
          <w:i/>
          <w:sz w:val="20"/>
          <w:szCs w:val="20"/>
        </w:rPr>
      </w:pPr>
    </w:p>
    <w:p w14:paraId="3374E71E" w14:textId="77777777" w:rsidR="00BB0426" w:rsidRPr="00C52CDB" w:rsidRDefault="00BB0426" w:rsidP="00BB0426">
      <w:pPr>
        <w:spacing w:after="0" w:line="240" w:lineRule="auto"/>
        <w:ind w:left="709" w:right="709"/>
        <w:jc w:val="both"/>
        <w:rPr>
          <w:rFonts w:ascii="Verdana" w:eastAsia="Century Gothic" w:hAnsi="Verdana" w:cs="Century Gothic"/>
          <w:i/>
          <w:sz w:val="20"/>
          <w:szCs w:val="20"/>
        </w:rPr>
      </w:pPr>
      <w:r w:rsidRPr="00C52CDB">
        <w:rPr>
          <w:rFonts w:ascii="Verdana" w:eastAsia="Century Gothic" w:hAnsi="Verdana" w:cs="Century Gothic"/>
          <w:i/>
          <w:sz w:val="20"/>
          <w:szCs w:val="20"/>
        </w:rPr>
        <w:t>Dado que la prohibici</w:t>
      </w:r>
      <w:r w:rsidRPr="00C52CDB">
        <w:rPr>
          <w:rFonts w:ascii="Verdana" w:eastAsia="Century Gothic" w:hAnsi="Verdana" w:cs="Century Gothic" w:hint="eastAsia"/>
          <w:i/>
          <w:sz w:val="20"/>
          <w:szCs w:val="20"/>
        </w:rPr>
        <w:t>ó</w:t>
      </w:r>
      <w:r w:rsidRPr="00C52CDB">
        <w:rPr>
          <w:rFonts w:ascii="Verdana" w:eastAsia="Century Gothic" w:hAnsi="Verdana" w:cs="Century Gothic"/>
          <w:i/>
          <w:sz w:val="20"/>
          <w:szCs w:val="20"/>
        </w:rPr>
        <w:t>n de celebrar contrataci</w:t>
      </w:r>
      <w:r w:rsidRPr="00C52CDB">
        <w:rPr>
          <w:rFonts w:ascii="Verdana" w:eastAsia="Century Gothic" w:hAnsi="Verdana" w:cs="Century Gothic" w:hint="eastAsia"/>
          <w:i/>
          <w:sz w:val="20"/>
          <w:szCs w:val="20"/>
        </w:rPr>
        <w:t>ó</w:t>
      </w:r>
      <w:r w:rsidRPr="00C52CDB">
        <w:rPr>
          <w:rFonts w:ascii="Verdana" w:eastAsia="Century Gothic" w:hAnsi="Verdana" w:cs="Century Gothic"/>
          <w:i/>
          <w:sz w:val="20"/>
          <w:szCs w:val="20"/>
        </w:rPr>
        <w:t>n directa inicia el 31 de enero de 2026, el contrato correspondiente a febrero puede suscribirse en enero sin restricciones. No ocurre lo mismo con el servicio requerido para mayo, pues en abril ya aplica la prohibici</w:t>
      </w:r>
      <w:r w:rsidRPr="00C52CDB">
        <w:rPr>
          <w:rFonts w:ascii="Verdana" w:eastAsia="Century Gothic" w:hAnsi="Verdana" w:cs="Century Gothic" w:hint="eastAsia"/>
          <w:i/>
          <w:sz w:val="20"/>
          <w:szCs w:val="20"/>
        </w:rPr>
        <w:t>ó</w:t>
      </w:r>
      <w:r w:rsidRPr="00C52CDB">
        <w:rPr>
          <w:rFonts w:ascii="Verdana" w:eastAsia="Century Gothic" w:hAnsi="Verdana" w:cs="Century Gothic"/>
          <w:i/>
          <w:sz w:val="20"/>
          <w:szCs w:val="20"/>
        </w:rPr>
        <w:t>n, aunque el servicio es indispensable para el periodo de sesiones.</w:t>
      </w:r>
    </w:p>
    <w:p w14:paraId="26D34790" w14:textId="77777777" w:rsidR="00BB0426" w:rsidRPr="00C52CDB" w:rsidRDefault="00BB0426" w:rsidP="00BB0426">
      <w:pPr>
        <w:spacing w:after="0" w:line="240" w:lineRule="auto"/>
        <w:ind w:left="709" w:right="709"/>
        <w:jc w:val="both"/>
        <w:rPr>
          <w:rFonts w:ascii="Verdana" w:eastAsia="Century Gothic" w:hAnsi="Verdana" w:cs="Century Gothic"/>
          <w:i/>
          <w:sz w:val="20"/>
          <w:szCs w:val="20"/>
        </w:rPr>
      </w:pPr>
    </w:p>
    <w:p w14:paraId="126D14BD" w14:textId="77777777" w:rsidR="00BB0426" w:rsidRPr="00C52CDB" w:rsidRDefault="00BB0426" w:rsidP="00BB0426">
      <w:pPr>
        <w:spacing w:after="0" w:line="240" w:lineRule="auto"/>
        <w:ind w:left="709" w:right="709"/>
        <w:jc w:val="both"/>
        <w:rPr>
          <w:rFonts w:ascii="Verdana" w:eastAsia="Century Gothic" w:hAnsi="Verdana" w:cs="Century Gothic"/>
          <w:i/>
          <w:sz w:val="20"/>
          <w:szCs w:val="20"/>
        </w:rPr>
      </w:pPr>
      <w:r w:rsidRPr="00C52CDB">
        <w:rPr>
          <w:rFonts w:ascii="Verdana" w:eastAsia="Century Gothic" w:hAnsi="Verdana" w:cs="Century Gothic"/>
          <w:i/>
          <w:sz w:val="20"/>
          <w:szCs w:val="20"/>
        </w:rPr>
        <w:t>La entidad requiere orientaci</w:t>
      </w:r>
      <w:r w:rsidRPr="00C52CDB">
        <w:rPr>
          <w:rFonts w:ascii="Verdana" w:eastAsia="Century Gothic" w:hAnsi="Verdana" w:cs="Century Gothic" w:hint="eastAsia"/>
          <w:i/>
          <w:sz w:val="20"/>
          <w:szCs w:val="20"/>
        </w:rPr>
        <w:t>ó</w:t>
      </w:r>
      <w:r w:rsidRPr="00C52CDB">
        <w:rPr>
          <w:rFonts w:ascii="Verdana" w:eastAsia="Century Gothic" w:hAnsi="Verdana" w:cs="Century Gothic"/>
          <w:i/>
          <w:sz w:val="20"/>
          <w:szCs w:val="20"/>
        </w:rPr>
        <w:t>n sobre:</w:t>
      </w:r>
    </w:p>
    <w:p w14:paraId="7DC15DB0" w14:textId="77777777" w:rsidR="00BB0426" w:rsidRPr="00C52CDB" w:rsidRDefault="00BB0426" w:rsidP="00BB0426">
      <w:pPr>
        <w:spacing w:after="0" w:line="240" w:lineRule="auto"/>
        <w:ind w:left="709" w:right="709"/>
        <w:jc w:val="both"/>
        <w:rPr>
          <w:rFonts w:ascii="Verdana" w:eastAsia="Century Gothic" w:hAnsi="Verdana" w:cs="Century Gothic"/>
          <w:i/>
          <w:sz w:val="20"/>
          <w:szCs w:val="20"/>
        </w:rPr>
      </w:pPr>
    </w:p>
    <w:p w14:paraId="7E3430A1" w14:textId="77777777" w:rsidR="00BB0426" w:rsidRPr="00C52CDB" w:rsidRDefault="00BB0426" w:rsidP="00BB0426">
      <w:pPr>
        <w:spacing w:after="0" w:line="240" w:lineRule="auto"/>
        <w:ind w:left="709" w:right="709"/>
        <w:jc w:val="both"/>
        <w:rPr>
          <w:rFonts w:ascii="Verdana" w:eastAsia="Century Gothic" w:hAnsi="Verdana" w:cs="Century Gothic"/>
          <w:i/>
          <w:sz w:val="20"/>
          <w:szCs w:val="20"/>
        </w:rPr>
      </w:pPr>
      <w:r w:rsidRPr="00C52CDB">
        <w:rPr>
          <w:rFonts w:ascii="Verdana" w:eastAsia="Century Gothic" w:hAnsi="Verdana" w:cs="Century Gothic"/>
          <w:i/>
          <w:sz w:val="20"/>
          <w:szCs w:val="20"/>
        </w:rPr>
        <w:t>La aplicaci</w:t>
      </w:r>
      <w:r w:rsidRPr="00C52CDB">
        <w:rPr>
          <w:rFonts w:ascii="Verdana" w:eastAsia="Century Gothic" w:hAnsi="Verdana" w:cs="Century Gothic" w:hint="eastAsia"/>
          <w:i/>
          <w:sz w:val="20"/>
          <w:szCs w:val="20"/>
        </w:rPr>
        <w:t>ó</w:t>
      </w:r>
      <w:r w:rsidRPr="00C52CDB">
        <w:rPr>
          <w:rFonts w:ascii="Verdana" w:eastAsia="Century Gothic" w:hAnsi="Verdana" w:cs="Century Gothic"/>
          <w:i/>
          <w:sz w:val="20"/>
          <w:szCs w:val="20"/>
        </w:rPr>
        <w:t>n de la Ley de Garant</w:t>
      </w:r>
      <w:r w:rsidRPr="00C52CDB">
        <w:rPr>
          <w:rFonts w:ascii="Verdana" w:eastAsia="Century Gothic" w:hAnsi="Verdana" w:cs="Century Gothic" w:hint="eastAsia"/>
          <w:i/>
          <w:sz w:val="20"/>
          <w:szCs w:val="20"/>
        </w:rPr>
        <w:t>í</w:t>
      </w:r>
      <w:r w:rsidRPr="00C52CDB">
        <w:rPr>
          <w:rFonts w:ascii="Verdana" w:eastAsia="Century Gothic" w:hAnsi="Verdana" w:cs="Century Gothic"/>
          <w:i/>
          <w:sz w:val="20"/>
          <w:szCs w:val="20"/>
        </w:rPr>
        <w:t>as a su actividad contractual.</w:t>
      </w:r>
    </w:p>
    <w:p w14:paraId="333A8EE5" w14:textId="77777777" w:rsidR="00BB0426" w:rsidRPr="00C52CDB" w:rsidRDefault="00BB0426" w:rsidP="00BB0426">
      <w:pPr>
        <w:spacing w:after="0" w:line="240" w:lineRule="auto"/>
        <w:ind w:left="709" w:right="709"/>
        <w:jc w:val="both"/>
        <w:rPr>
          <w:rFonts w:ascii="Verdana" w:eastAsia="Century Gothic" w:hAnsi="Verdana" w:cs="Century Gothic"/>
          <w:i/>
          <w:sz w:val="20"/>
          <w:szCs w:val="20"/>
        </w:rPr>
      </w:pPr>
      <w:r w:rsidRPr="00C52CDB">
        <w:rPr>
          <w:rFonts w:ascii="Verdana" w:eastAsia="Century Gothic" w:hAnsi="Verdana" w:cs="Century Gothic"/>
          <w:i/>
          <w:sz w:val="20"/>
          <w:szCs w:val="20"/>
        </w:rPr>
        <w:t>Las alternativas para asegurar la prestaci</w:t>
      </w:r>
      <w:r w:rsidRPr="00C52CDB">
        <w:rPr>
          <w:rFonts w:ascii="Verdana" w:eastAsia="Century Gothic" w:hAnsi="Verdana" w:cs="Century Gothic" w:hint="eastAsia"/>
          <w:i/>
          <w:sz w:val="20"/>
          <w:szCs w:val="20"/>
        </w:rPr>
        <w:t>ó</w:t>
      </w:r>
      <w:r w:rsidRPr="00C52CDB">
        <w:rPr>
          <w:rFonts w:ascii="Verdana" w:eastAsia="Century Gothic" w:hAnsi="Verdana" w:cs="Century Gothic"/>
          <w:i/>
          <w:sz w:val="20"/>
          <w:szCs w:val="20"/>
        </w:rPr>
        <w:t>n del servicio en mayo.</w:t>
      </w:r>
    </w:p>
    <w:p w14:paraId="6888AB26" w14:textId="77777777" w:rsidR="00BB0426" w:rsidRPr="00585370" w:rsidRDefault="00BB0426" w:rsidP="00BB0426">
      <w:pPr>
        <w:spacing w:after="0" w:line="240" w:lineRule="auto"/>
        <w:ind w:left="709" w:right="709"/>
        <w:jc w:val="both"/>
        <w:rPr>
          <w:rFonts w:ascii="Verdana" w:eastAsia="Century Gothic" w:hAnsi="Verdana" w:cs="Century Gothic"/>
          <w:i/>
          <w:iCs/>
          <w:sz w:val="21"/>
          <w:szCs w:val="21"/>
        </w:rPr>
      </w:pPr>
      <w:r w:rsidRPr="00C52CDB">
        <w:rPr>
          <w:rFonts w:ascii="Verdana" w:eastAsia="Century Gothic" w:hAnsi="Verdana" w:cs="Century Gothic"/>
          <w:i/>
          <w:sz w:val="20"/>
          <w:szCs w:val="20"/>
        </w:rPr>
        <w:t>Si es jur</w:t>
      </w:r>
      <w:r w:rsidRPr="00C52CDB">
        <w:rPr>
          <w:rFonts w:ascii="Verdana" w:eastAsia="Century Gothic" w:hAnsi="Verdana" w:cs="Century Gothic" w:hint="eastAsia"/>
          <w:i/>
          <w:sz w:val="20"/>
          <w:szCs w:val="20"/>
        </w:rPr>
        <w:t>í</w:t>
      </w:r>
      <w:r w:rsidRPr="00C52CDB">
        <w:rPr>
          <w:rFonts w:ascii="Verdana" w:eastAsia="Century Gothic" w:hAnsi="Verdana" w:cs="Century Gothic"/>
          <w:i/>
          <w:sz w:val="20"/>
          <w:szCs w:val="20"/>
        </w:rPr>
        <w:t xml:space="preserve">dicamente viable celebrar en enero un </w:t>
      </w:r>
      <w:r w:rsidRPr="00C52CDB">
        <w:rPr>
          <w:rFonts w:ascii="Verdana" w:eastAsia="Century Gothic" w:hAnsi="Verdana" w:cs="Century Gothic" w:hint="eastAsia"/>
          <w:i/>
          <w:sz w:val="20"/>
          <w:szCs w:val="20"/>
        </w:rPr>
        <w:t>ú</w:t>
      </w:r>
      <w:r w:rsidRPr="00C52CDB">
        <w:rPr>
          <w:rFonts w:ascii="Verdana" w:eastAsia="Century Gothic" w:hAnsi="Verdana" w:cs="Century Gothic"/>
          <w:i/>
          <w:sz w:val="20"/>
          <w:szCs w:val="20"/>
        </w:rPr>
        <w:t>nico contrato con una misma persona (en enero) y pactar su ejecuci</w:t>
      </w:r>
      <w:r w:rsidRPr="00C52CDB">
        <w:rPr>
          <w:rFonts w:ascii="Verdana" w:eastAsia="Century Gothic" w:hAnsi="Verdana" w:cs="Century Gothic" w:hint="eastAsia"/>
          <w:i/>
          <w:sz w:val="20"/>
          <w:szCs w:val="20"/>
        </w:rPr>
        <w:t>ó</w:t>
      </w:r>
      <w:r w:rsidRPr="00C52CDB">
        <w:rPr>
          <w:rFonts w:ascii="Verdana" w:eastAsia="Century Gothic" w:hAnsi="Verdana" w:cs="Century Gothic"/>
          <w:i/>
          <w:sz w:val="20"/>
          <w:szCs w:val="20"/>
        </w:rPr>
        <w:t xml:space="preserve">n </w:t>
      </w:r>
      <w:r w:rsidRPr="00C52CDB">
        <w:rPr>
          <w:rFonts w:ascii="Verdana" w:eastAsia="Century Gothic" w:hAnsi="Verdana" w:cs="Century Gothic" w:hint="eastAsia"/>
          <w:i/>
          <w:sz w:val="20"/>
          <w:szCs w:val="20"/>
        </w:rPr>
        <w:t>ú</w:t>
      </w:r>
      <w:r w:rsidRPr="00C52CDB">
        <w:rPr>
          <w:rFonts w:ascii="Verdana" w:eastAsia="Century Gothic" w:hAnsi="Verdana" w:cs="Century Gothic"/>
          <w:i/>
          <w:sz w:val="20"/>
          <w:szCs w:val="20"/>
        </w:rPr>
        <w:t xml:space="preserve">nicamente en los meses de febrero y </w:t>
      </w:r>
      <w:proofErr w:type="gramStart"/>
      <w:r w:rsidRPr="00C52CDB">
        <w:rPr>
          <w:rFonts w:ascii="Verdana" w:eastAsia="Century Gothic" w:hAnsi="Verdana" w:cs="Century Gothic"/>
          <w:i/>
          <w:sz w:val="20"/>
          <w:szCs w:val="20"/>
        </w:rPr>
        <w:t>mayo..</w:t>
      </w:r>
      <w:proofErr w:type="gramEnd"/>
      <w:r w:rsidRPr="00C52CDB">
        <w:rPr>
          <w:rFonts w:ascii="Verdana" w:eastAsia="Century Gothic" w:hAnsi="Verdana" w:cs="Century Gothic"/>
          <w:i/>
          <w:sz w:val="20"/>
          <w:szCs w:val="20"/>
        </w:rPr>
        <w:t xml:space="preserve"> […]”</w:t>
      </w:r>
    </w:p>
    <w:p w14:paraId="5E1AC757" w14:textId="77777777" w:rsidR="00BB0426" w:rsidRPr="00BC3A80" w:rsidRDefault="00BB0426" w:rsidP="00BB0426">
      <w:pPr>
        <w:tabs>
          <w:tab w:val="left" w:pos="142"/>
          <w:tab w:val="left" w:pos="284"/>
        </w:tabs>
        <w:spacing w:after="0" w:line="276" w:lineRule="auto"/>
        <w:contextualSpacing/>
        <w:jc w:val="both"/>
        <w:rPr>
          <w:rFonts w:ascii="Verdana" w:eastAsia="Century Gothic" w:hAnsi="Verdana" w:cs="Century Gothic"/>
          <w:b/>
          <w:bCs/>
          <w:lang w:val="es-ES_tradnl"/>
        </w:rPr>
      </w:pPr>
    </w:p>
    <w:p w14:paraId="445E3C15" w14:textId="77777777" w:rsidR="00BB0426" w:rsidRPr="00BC3A80" w:rsidRDefault="00BB0426" w:rsidP="00BB0426">
      <w:pPr>
        <w:spacing w:after="120" w:line="276" w:lineRule="auto"/>
        <w:ind w:firstLine="709"/>
        <w:jc w:val="both"/>
        <w:rPr>
          <w:rFonts w:ascii="Verdana" w:hAnsi="Verdana" w:cs="Arial"/>
          <w:color w:val="000000"/>
          <w:lang w:val="es-ES" w:eastAsia="es-ES"/>
        </w:rPr>
      </w:pPr>
      <w:r w:rsidRPr="00BC3A80">
        <w:rPr>
          <w:rFonts w:ascii="Verdana"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val="es-ES" w:eastAsia="es-ES"/>
        </w:rPr>
        <w:t xml:space="preserve">la Agencia Nacional de Contratación Pública – </w:t>
      </w:r>
      <w:r w:rsidRPr="00BC3A80">
        <w:rPr>
          <w:rFonts w:ascii="Verdana" w:hAnsi="Verdana" w:cs="Arial"/>
          <w:color w:val="000000" w:themeColor="text1"/>
          <w:lang w:val="es-ES"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C3A80">
        <w:tab/>
      </w:r>
    </w:p>
    <w:p w14:paraId="6E33C58C" w14:textId="77777777" w:rsidR="00BB0426" w:rsidRPr="00BC3A80" w:rsidRDefault="00BB0426" w:rsidP="00BB0426">
      <w:pPr>
        <w:spacing w:after="0" w:line="276" w:lineRule="auto"/>
        <w:ind w:firstLine="709"/>
        <w:jc w:val="both"/>
        <w:rPr>
          <w:rFonts w:ascii="Verdana" w:hAnsi="Verdana" w:cs="Arial"/>
          <w:color w:val="000000"/>
          <w:lang w:val="es-ES_tradnl" w:eastAsia="es-ES"/>
        </w:rPr>
      </w:pPr>
      <w:r w:rsidRPr="00BC3A80">
        <w:rPr>
          <w:rFonts w:ascii="Verdana"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problema</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jurídico</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 xml:space="preserve">de su consulta. </w:t>
      </w:r>
      <w:r w:rsidRPr="00BC3A80">
        <w:rPr>
          <w:rFonts w:ascii="Verdana" w:hAnsi="Verdana" w:cs="Arial"/>
          <w:lang w:val="es-ES_tradnl" w:eastAsia="es-ES"/>
        </w:rPr>
        <w:t xml:space="preserve"> </w:t>
      </w:r>
    </w:p>
    <w:p w14:paraId="532E767B" w14:textId="77777777" w:rsidR="00BB0426" w:rsidRPr="00BC3A80" w:rsidRDefault="00BB0426" w:rsidP="00BB0426">
      <w:pPr>
        <w:spacing w:after="0" w:line="276" w:lineRule="auto"/>
        <w:ind w:firstLine="708"/>
        <w:jc w:val="both"/>
        <w:rPr>
          <w:rFonts w:ascii="Verdana" w:hAnsi="Verdana" w:cs="Arial"/>
          <w:lang w:val="es-ES_tradnl" w:eastAsia="es-ES"/>
        </w:rPr>
      </w:pPr>
    </w:p>
    <w:p w14:paraId="388438CE" w14:textId="77777777" w:rsidR="00BB0426" w:rsidRPr="00BC3A80" w:rsidRDefault="00BB0426" w:rsidP="00BB0426">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Problema planteado:</w:t>
      </w:r>
    </w:p>
    <w:p w14:paraId="438414CC" w14:textId="77777777" w:rsidR="00BB0426" w:rsidRPr="00BC3A80" w:rsidRDefault="00BB0426" w:rsidP="00BB0426">
      <w:pPr>
        <w:tabs>
          <w:tab w:val="left" w:pos="426"/>
        </w:tabs>
        <w:spacing w:after="0" w:line="276" w:lineRule="auto"/>
        <w:jc w:val="both"/>
        <w:rPr>
          <w:rFonts w:ascii="Verdana" w:eastAsia="Century Gothic" w:hAnsi="Verdana" w:cs="Century Gothic"/>
          <w:lang w:val="es-ES_tradnl"/>
        </w:rPr>
      </w:pPr>
    </w:p>
    <w:p w14:paraId="3D1EA768" w14:textId="74BD4A1A" w:rsidR="00BB0426" w:rsidRPr="00BC3A80" w:rsidRDefault="00BB0426" w:rsidP="00BB0426">
      <w:pPr>
        <w:spacing w:after="0" w:line="276" w:lineRule="auto"/>
        <w:jc w:val="both"/>
        <w:rPr>
          <w:rFonts w:ascii="Verdana" w:eastAsia="Century Gothic" w:hAnsi="Verdana" w:cs="Century Gothic"/>
          <w:lang w:val="es-ES_tradnl"/>
        </w:rPr>
      </w:pPr>
      <w:r w:rsidRPr="00BC3A80">
        <w:rPr>
          <w:rFonts w:ascii="Verdana" w:eastAsia="Century Gothic" w:hAnsi="Verdana" w:cs="Century Gothic"/>
          <w:lang w:val="es-ES_tradnl"/>
        </w:rPr>
        <w:lastRenderedPageBreak/>
        <w:t xml:space="preserve">De acuerdo con el contenido de su solicitud, esta Agencia resolverá el siguiente problema jurídico: </w:t>
      </w:r>
      <w:r>
        <w:rPr>
          <w:rFonts w:ascii="Verdana" w:eastAsia="Century Gothic" w:hAnsi="Verdana" w:cs="Century Gothic"/>
          <w:lang w:val="es-ES_tradnl"/>
        </w:rPr>
        <w:t xml:space="preserve">¿Respecto a las restricciones </w:t>
      </w:r>
      <w:r w:rsidR="00D762E2">
        <w:rPr>
          <w:rFonts w:ascii="Verdana" w:eastAsia="Century Gothic" w:hAnsi="Verdana" w:cs="Century Gothic"/>
          <w:lang w:val="es-ES_tradnl"/>
        </w:rPr>
        <w:t>establecidas en la</w:t>
      </w:r>
      <w:r>
        <w:rPr>
          <w:rFonts w:ascii="Verdana" w:eastAsia="Century Gothic" w:hAnsi="Verdana" w:cs="Century Gothic"/>
          <w:lang w:val="es-ES_tradnl"/>
        </w:rPr>
        <w:t xml:space="preserve"> Ley de Garantías Electorales que </w:t>
      </w:r>
      <w:proofErr w:type="gramStart"/>
      <w:r>
        <w:rPr>
          <w:rFonts w:ascii="Verdana" w:eastAsia="Century Gothic" w:hAnsi="Verdana" w:cs="Century Gothic"/>
          <w:lang w:val="es-ES_tradnl"/>
        </w:rPr>
        <w:t>entrará</w:t>
      </w:r>
      <w:r w:rsidR="00D762E2">
        <w:rPr>
          <w:rFonts w:ascii="Verdana" w:eastAsia="Century Gothic" w:hAnsi="Verdana" w:cs="Century Gothic"/>
          <w:lang w:val="es-ES_tradnl"/>
        </w:rPr>
        <w:t>n</w:t>
      </w:r>
      <w:r>
        <w:rPr>
          <w:rFonts w:ascii="Verdana" w:eastAsia="Century Gothic" w:hAnsi="Verdana" w:cs="Century Gothic"/>
          <w:lang w:val="es-ES_tradnl"/>
        </w:rPr>
        <w:t xml:space="preserve"> en vigencia</w:t>
      </w:r>
      <w:proofErr w:type="gramEnd"/>
      <w:r>
        <w:rPr>
          <w:rFonts w:ascii="Verdana" w:eastAsia="Century Gothic" w:hAnsi="Verdana" w:cs="Century Gothic"/>
          <w:lang w:val="es-ES_tradnl"/>
        </w:rPr>
        <w:t xml:space="preserve"> en 2026, </w:t>
      </w:r>
      <w:r w:rsidRPr="00963466">
        <w:rPr>
          <w:rFonts w:ascii="Verdana" w:eastAsia="Century Gothic" w:hAnsi="Verdana" w:cs="Century Gothic"/>
        </w:rPr>
        <w:t xml:space="preserve">es jurídicamente viable celebrar en enero un solo contrato cuya ejecución </w:t>
      </w:r>
      <w:r>
        <w:rPr>
          <w:rFonts w:ascii="Verdana" w:eastAsia="Century Gothic" w:hAnsi="Verdana" w:cs="Century Gothic"/>
        </w:rPr>
        <w:t xml:space="preserve">se pacte y/o </w:t>
      </w:r>
      <w:r w:rsidRPr="00963466">
        <w:rPr>
          <w:rFonts w:ascii="Verdana" w:eastAsia="Century Gothic" w:hAnsi="Verdana" w:cs="Century Gothic"/>
        </w:rPr>
        <w:t>se distribuya en los meses de febrero y mayo, pese a que para mayo ya rige la prohibición de contratación directa?</w:t>
      </w:r>
    </w:p>
    <w:p w14:paraId="5C091DB1" w14:textId="77777777" w:rsidR="00BB0426" w:rsidRPr="00BC3A80" w:rsidRDefault="00BB0426" w:rsidP="00BB0426">
      <w:pPr>
        <w:spacing w:after="0" w:line="276" w:lineRule="auto"/>
        <w:jc w:val="both"/>
        <w:rPr>
          <w:rFonts w:ascii="Verdana" w:hAnsi="Verdana" w:cs="Arial"/>
          <w:color w:val="7030A0"/>
          <w:lang w:val="es-ES_tradnl"/>
        </w:rPr>
      </w:pPr>
    </w:p>
    <w:p w14:paraId="64C4F221" w14:textId="77777777" w:rsidR="00BB0426" w:rsidRPr="00BC3A80" w:rsidRDefault="00BB0426" w:rsidP="00BB0426">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Respuesta:</w:t>
      </w:r>
    </w:p>
    <w:p w14:paraId="7289CC3A" w14:textId="77777777" w:rsidR="00BB0426" w:rsidRPr="00BC3A80" w:rsidRDefault="00BB0426" w:rsidP="00BB0426">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B0426" w:rsidRPr="00BC3A80" w14:paraId="3B8C01FF" w14:textId="77777777" w:rsidTr="003021E1">
        <w:trPr>
          <w:jc w:val="center"/>
        </w:trPr>
        <w:tc>
          <w:tcPr>
            <w:tcW w:w="8828" w:type="dxa"/>
          </w:tcPr>
          <w:p w14:paraId="2B6CD105" w14:textId="5E301A55" w:rsidR="00BB0426" w:rsidRDefault="00D762E2" w:rsidP="003021E1">
            <w:pPr>
              <w:spacing w:after="120" w:line="276" w:lineRule="auto"/>
              <w:jc w:val="both"/>
              <w:rPr>
                <w:rFonts w:ascii="Verdana" w:hAnsi="Verdana" w:cs="Arial"/>
              </w:rPr>
            </w:pPr>
            <w:r>
              <w:rPr>
                <w:rFonts w:ascii="Verdana" w:hAnsi="Verdana" w:cs="Arial"/>
              </w:rPr>
              <w:t>E</w:t>
            </w:r>
            <w:r w:rsidR="00BB0426" w:rsidRPr="004E4419">
              <w:rPr>
                <w:rFonts w:ascii="Verdana" w:hAnsi="Verdana" w:cs="Arial"/>
              </w:rPr>
              <w:t>l artículo 33 de la Ley 996 de 2005, en época de elecciones presidenciales</w:t>
            </w:r>
            <w:r>
              <w:rPr>
                <w:rFonts w:ascii="Verdana" w:hAnsi="Verdana" w:cs="Arial"/>
              </w:rPr>
              <w:t>,</w:t>
            </w:r>
            <w:r w:rsidR="00BB0426" w:rsidRPr="004E4419">
              <w:rPr>
                <w:rFonts w:ascii="Verdana" w:hAnsi="Verdana" w:cs="Arial"/>
              </w:rPr>
              <w:t xml:space="preserve"> restringe a todos los entes del Estado la celebración de contratos en cualquier modalidad de contratación directa, incluida la prestación de servicios. Si bien la normativa prevé unas excepciones, como los contratos referidos </w:t>
            </w:r>
            <w:r>
              <w:rPr>
                <w:rFonts w:ascii="Verdana" w:hAnsi="Verdana" w:cs="Arial"/>
              </w:rPr>
              <w:t>a</w:t>
            </w:r>
            <w:r w:rsidR="00BB0426" w:rsidRPr="004E4419">
              <w:rPr>
                <w:rFonts w:ascii="Verdana" w:hAnsi="Verdana" w:cs="Arial"/>
              </w:rPr>
              <w:t xml:space="preserve">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w:t>
            </w:r>
            <w:r>
              <w:rPr>
                <w:rFonts w:ascii="Verdana" w:hAnsi="Verdana" w:cs="Arial"/>
              </w:rPr>
              <w:t xml:space="preserve">, </w:t>
            </w:r>
            <w:r w:rsidR="00BB0426" w:rsidRPr="004E4419">
              <w:rPr>
                <w:rFonts w:ascii="Verdana" w:hAnsi="Verdana" w:cs="Arial"/>
              </w:rPr>
              <w:t>ningun</w:t>
            </w:r>
            <w:r>
              <w:rPr>
                <w:rFonts w:ascii="Verdana" w:hAnsi="Verdana" w:cs="Arial"/>
              </w:rPr>
              <w:t>a de las excepciones</w:t>
            </w:r>
            <w:r w:rsidR="00BB0426" w:rsidRPr="004E4419">
              <w:rPr>
                <w:rFonts w:ascii="Verdana" w:hAnsi="Verdana" w:cs="Arial"/>
              </w:rPr>
              <w:t xml:space="preserve"> incluye la celebración de contratos de prestación de servicios</w:t>
            </w:r>
            <w:r w:rsidR="00BB0426">
              <w:rPr>
                <w:rFonts w:ascii="Verdana" w:hAnsi="Verdana" w:cs="Arial"/>
              </w:rPr>
              <w:t xml:space="preserve"> de aseo y cafetería. </w:t>
            </w:r>
          </w:p>
          <w:p w14:paraId="089B81B7" w14:textId="5E4168DD" w:rsidR="00BB0426" w:rsidRDefault="00BB0426" w:rsidP="00D762E2">
            <w:pPr>
              <w:widowControl w:val="0"/>
              <w:autoSpaceDE w:val="0"/>
              <w:autoSpaceDN w:val="0"/>
              <w:spacing w:after="120" w:line="276" w:lineRule="auto"/>
              <w:ind w:firstLine="709"/>
              <w:jc w:val="both"/>
              <w:rPr>
                <w:rFonts w:ascii="Verdana" w:eastAsia="Arial" w:hAnsi="Verdana" w:cs="Arial"/>
                <w:lang w:eastAsia="es-ES" w:bidi="es-ES"/>
              </w:rPr>
            </w:pPr>
            <w:r w:rsidRPr="00592EFA">
              <w:rPr>
                <w:rFonts w:ascii="Verdana" w:eastAsia="Arial" w:hAnsi="Verdana" w:cs="Arial"/>
                <w:lang w:eastAsia="es-ES" w:bidi="es-ES"/>
              </w:rPr>
              <w:t>Por consiguiente, y en atención a los principios de autonomía de la voluntad, responsabilidad y planeación, esta Agencia considera que las entidades deben celebrar, con anterioridad al periodo de restricción, los acuerdos contractuales que permitan garantizar la continuidad en la prestación del servicio</w:t>
            </w:r>
            <w:r>
              <w:rPr>
                <w:rFonts w:ascii="Verdana" w:eastAsia="Arial" w:hAnsi="Verdana" w:cs="Arial"/>
                <w:lang w:eastAsia="es-ES" w:bidi="es-ES"/>
              </w:rPr>
              <w:t xml:space="preserve"> que garantice las necesidades de la entidad</w:t>
            </w:r>
            <w:r w:rsidRPr="00592EFA">
              <w:rPr>
                <w:rFonts w:ascii="Verdana" w:eastAsia="Arial" w:hAnsi="Verdana" w:cs="Arial"/>
                <w:lang w:eastAsia="es-ES" w:bidi="es-ES"/>
              </w:rPr>
              <w:t>. Dichos mecanismos</w:t>
            </w:r>
            <w:r>
              <w:rPr>
                <w:rFonts w:ascii="Verdana" w:eastAsia="Arial" w:hAnsi="Verdana" w:cs="Arial"/>
                <w:lang w:eastAsia="es-ES" w:bidi="es-ES"/>
              </w:rPr>
              <w:t xml:space="preserve"> y/o acuerdos implicaría la garantía de las buenas prácticas contractuales en aras de no caer en presuntas incidencias disciplinarias por contratar un servicio en restricción de la Ley de Garantías </w:t>
            </w:r>
            <w:r w:rsidR="00D762E2">
              <w:rPr>
                <w:rFonts w:ascii="Verdana" w:eastAsia="Arial" w:hAnsi="Verdana" w:cs="Arial"/>
                <w:lang w:eastAsia="es-ES" w:bidi="es-ES"/>
              </w:rPr>
              <w:t>E</w:t>
            </w:r>
            <w:r>
              <w:rPr>
                <w:rFonts w:ascii="Verdana" w:eastAsia="Arial" w:hAnsi="Verdana" w:cs="Arial"/>
                <w:lang w:eastAsia="es-ES" w:bidi="es-ES"/>
              </w:rPr>
              <w:t>lectorales</w:t>
            </w:r>
            <w:r w:rsidRPr="00592EFA">
              <w:rPr>
                <w:rFonts w:ascii="Verdana" w:eastAsia="Arial" w:hAnsi="Verdana" w:cs="Arial"/>
                <w:lang w:eastAsia="es-ES" w:bidi="es-ES"/>
              </w:rPr>
              <w:t>.</w:t>
            </w:r>
          </w:p>
          <w:p w14:paraId="62C5FEC5" w14:textId="7DF2823E" w:rsidR="00D762E2" w:rsidRDefault="00D762E2" w:rsidP="00C52CDB">
            <w:pPr>
              <w:widowControl w:val="0"/>
              <w:autoSpaceDE w:val="0"/>
              <w:autoSpaceDN w:val="0"/>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Ahora bien, resulta importante señalar, teniendo en cuenta la consulta elevada, que durante el periodo en que rige la prohibición consagrada en el artículo 33 de la Ley 996 de 2005 se pueden ejecutar los contratos celebrados previo a que empezaran las restricciones, pues lo que se restringe es la celebración de los contratos de forma directa, más no su ejecución.</w:t>
            </w:r>
          </w:p>
          <w:p w14:paraId="50CBF53D" w14:textId="6638300D" w:rsidR="00BB0426" w:rsidRPr="00BC3A80" w:rsidRDefault="00BB0426" w:rsidP="00C52CDB">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En todo caso, vale anotar que es responsabilidad de</w:t>
            </w:r>
            <w:r>
              <w:rPr>
                <w:rFonts w:ascii="Verdana" w:eastAsia="Arial" w:hAnsi="Verdana" w:cs="Arial"/>
                <w:bCs/>
                <w:color w:val="000000" w:themeColor="text1"/>
              </w:rPr>
              <w:t xml:space="preserve"> la</w:t>
            </w:r>
            <w:r w:rsidRPr="00BC3A80">
              <w:rPr>
                <w:rFonts w:ascii="Verdana" w:eastAsia="Arial" w:hAnsi="Verdana" w:cs="Arial"/>
                <w:bCs/>
                <w:color w:val="000000" w:themeColor="text1"/>
              </w:rPr>
              <w:t xml:space="preserve"> respectiv</w:t>
            </w:r>
            <w:r>
              <w:rPr>
                <w:rFonts w:ascii="Verdana" w:eastAsia="Arial" w:hAnsi="Verdana" w:cs="Arial"/>
                <w:bCs/>
                <w:color w:val="000000" w:themeColor="text1"/>
              </w:rPr>
              <w:t>a</w:t>
            </w:r>
            <w:r w:rsidRPr="00BC3A80">
              <w:rPr>
                <w:rFonts w:ascii="Verdana" w:eastAsia="Arial" w:hAnsi="Verdana" w:cs="Arial"/>
                <w:bCs/>
                <w:color w:val="000000" w:themeColor="text1"/>
              </w:rPr>
              <w:t xml:space="preserve"> ent</w:t>
            </w:r>
            <w:r>
              <w:rPr>
                <w:rFonts w:ascii="Verdana" w:eastAsia="Arial" w:hAnsi="Verdana" w:cs="Arial"/>
                <w:bCs/>
                <w:color w:val="000000" w:themeColor="text1"/>
              </w:rPr>
              <w:t>idad</w:t>
            </w:r>
            <w:r w:rsidRPr="00BC3A80">
              <w:rPr>
                <w:rFonts w:ascii="Verdana" w:eastAsia="Arial" w:hAnsi="Verdana" w:cs="Arial"/>
                <w:bCs/>
                <w:color w:val="000000" w:themeColor="text1"/>
              </w:rPr>
              <w:t xml:space="preserve"> del Estado examinar en cada caso la naturaleza de las actividades que adelanta y justificar si las mismas se enmarcan en alguna de las excepciones, </w:t>
            </w:r>
            <w:r>
              <w:rPr>
                <w:rFonts w:ascii="Verdana" w:eastAsia="Arial" w:hAnsi="Verdana" w:cs="Arial"/>
                <w:bCs/>
                <w:color w:val="000000" w:themeColor="text1"/>
              </w:rPr>
              <w:lastRenderedPageBreak/>
              <w:t xml:space="preserve">y justificar de manera idónea la actividad contractual durante la vigencia de la Ley de </w:t>
            </w:r>
            <w:r w:rsidR="00D762E2">
              <w:rPr>
                <w:rFonts w:ascii="Verdana" w:eastAsia="Arial" w:hAnsi="Verdana" w:cs="Arial"/>
                <w:bCs/>
                <w:color w:val="000000" w:themeColor="text1"/>
              </w:rPr>
              <w:t>G</w:t>
            </w:r>
            <w:r>
              <w:rPr>
                <w:rFonts w:ascii="Verdana" w:eastAsia="Arial" w:hAnsi="Verdana" w:cs="Arial"/>
                <w:bCs/>
                <w:color w:val="000000" w:themeColor="text1"/>
              </w:rPr>
              <w:t>arantías</w:t>
            </w:r>
            <w:r w:rsidR="00D762E2">
              <w:rPr>
                <w:rFonts w:ascii="Verdana" w:eastAsia="Arial" w:hAnsi="Verdana" w:cs="Arial"/>
                <w:bCs/>
                <w:color w:val="000000" w:themeColor="text1"/>
              </w:rPr>
              <w:t xml:space="preserve"> Electorales</w:t>
            </w:r>
            <w:r>
              <w:rPr>
                <w:rFonts w:ascii="Verdana" w:eastAsia="Arial" w:hAnsi="Verdana" w:cs="Arial"/>
                <w:bCs/>
                <w:color w:val="000000" w:themeColor="text1"/>
              </w:rPr>
              <w:t xml:space="preserve">. </w:t>
            </w:r>
          </w:p>
        </w:tc>
      </w:tr>
    </w:tbl>
    <w:p w14:paraId="05356F81" w14:textId="77777777" w:rsidR="00BB0426" w:rsidRPr="00BC3A80" w:rsidRDefault="00BB0426" w:rsidP="00BB0426">
      <w:pPr>
        <w:tabs>
          <w:tab w:val="left" w:pos="142"/>
          <w:tab w:val="left" w:pos="284"/>
        </w:tabs>
        <w:spacing w:after="0" w:line="276" w:lineRule="auto"/>
        <w:jc w:val="both"/>
        <w:rPr>
          <w:rFonts w:ascii="Verdana" w:eastAsia="Century Gothic" w:hAnsi="Verdana" w:cs="Century Gothic"/>
          <w:b/>
          <w:bCs/>
          <w:lang w:val="es-ES_tradnl"/>
        </w:rPr>
      </w:pPr>
    </w:p>
    <w:p w14:paraId="6E034F7F" w14:textId="77777777" w:rsidR="00BB0426" w:rsidRPr="00BC3A80" w:rsidRDefault="00BB0426" w:rsidP="00BB0426">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Razones de la respuesta:</w:t>
      </w:r>
    </w:p>
    <w:p w14:paraId="100DBEB7" w14:textId="77777777" w:rsidR="00BB0426" w:rsidRPr="00BC3A80" w:rsidRDefault="00BB0426" w:rsidP="00BB0426">
      <w:pPr>
        <w:spacing w:after="0" w:line="276" w:lineRule="auto"/>
        <w:jc w:val="both"/>
        <w:rPr>
          <w:rFonts w:ascii="Verdana" w:hAnsi="Verdana" w:cs="Arial"/>
          <w:color w:val="7030A0"/>
          <w:lang w:val="es-ES_tradnl"/>
        </w:rPr>
      </w:pPr>
    </w:p>
    <w:p w14:paraId="7A5A2474" w14:textId="77777777" w:rsidR="00BB0426" w:rsidRPr="00BC3A80" w:rsidRDefault="00BB0426" w:rsidP="00BB0426">
      <w:pPr>
        <w:spacing w:after="0" w:line="276" w:lineRule="auto"/>
        <w:jc w:val="both"/>
        <w:rPr>
          <w:rFonts w:ascii="Verdana" w:hAnsi="Verdana" w:cs="Arial"/>
          <w:lang w:val="es-ES_tradnl"/>
        </w:rPr>
      </w:pPr>
      <w:r w:rsidRPr="00BC3A80">
        <w:rPr>
          <w:rFonts w:ascii="Verdana" w:hAnsi="Verdana" w:cs="Arial"/>
          <w:lang w:val="es-ES_tradnl"/>
        </w:rPr>
        <w:t>Lo anterior se sustenta en las siguientes consideraciones:</w:t>
      </w:r>
    </w:p>
    <w:p w14:paraId="6F357C42" w14:textId="77777777" w:rsidR="00BB0426" w:rsidRPr="00BC3A80" w:rsidRDefault="00BB0426" w:rsidP="00BB0426">
      <w:pPr>
        <w:spacing w:after="0" w:line="276" w:lineRule="auto"/>
        <w:ind w:firstLine="709"/>
        <w:jc w:val="both"/>
        <w:rPr>
          <w:rFonts w:ascii="Verdana" w:hAnsi="Verdana" w:cs="Arial"/>
          <w:color w:val="000000" w:themeColor="text1"/>
        </w:rPr>
      </w:pPr>
    </w:p>
    <w:p w14:paraId="71ECF592" w14:textId="77777777" w:rsidR="00BB0426" w:rsidRPr="00BC3A80" w:rsidRDefault="00BB0426" w:rsidP="00BB0426">
      <w:pPr>
        <w:tabs>
          <w:tab w:val="left" w:pos="426"/>
        </w:tabs>
        <w:spacing w:after="120" w:line="276" w:lineRule="auto"/>
        <w:jc w:val="both"/>
        <w:rPr>
          <w:rFonts w:ascii="Verdana" w:eastAsia="Times New Roman" w:hAnsi="Verdana" w:cs="Arial"/>
          <w:lang w:val="es-ES" w:eastAsia="es-CO"/>
        </w:rPr>
      </w:pPr>
      <w:r w:rsidRPr="00BC3A80">
        <w:rPr>
          <w:rFonts w:ascii="Verdana" w:hAnsi="Verdana" w:cs="Arial"/>
          <w:lang w:val="es-ES"/>
        </w:rPr>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BC3A80">
        <w:rPr>
          <w:rFonts w:ascii="Verdana" w:hAnsi="Verdana"/>
          <w:vertAlign w:val="superscript"/>
          <w:lang w:val="es-ES"/>
        </w:rPr>
        <w:footnoteReference w:id="1"/>
      </w:r>
      <w:r w:rsidRPr="00BC3A80">
        <w:rPr>
          <w:rFonts w:ascii="Verdana" w:hAnsi="Verdana" w:cs="Arial"/>
          <w:lang w:val="es-ES"/>
        </w:rPr>
        <w:t xml:space="preserve">. </w:t>
      </w:r>
    </w:p>
    <w:p w14:paraId="2A95DD26" w14:textId="77777777" w:rsidR="00BB0426" w:rsidRPr="00BC3A80" w:rsidRDefault="00BB0426" w:rsidP="00BB0426">
      <w:pPr>
        <w:tabs>
          <w:tab w:val="left" w:pos="426"/>
        </w:tabs>
        <w:spacing w:after="120" w:line="276" w:lineRule="auto"/>
        <w:ind w:firstLine="709"/>
        <w:jc w:val="both"/>
        <w:rPr>
          <w:rFonts w:ascii="Verdana" w:hAnsi="Verdana" w:cs="Arial"/>
          <w:lang w:val="es-ES"/>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C3A80">
        <w:rPr>
          <w:rFonts w:ascii="Verdana" w:eastAsia="Times New Roman" w:hAnsi="Verdana" w:cs="Arial"/>
          <w:vertAlign w:val="superscript"/>
          <w:lang w:val="es-ES" w:eastAsia="es-CO"/>
        </w:rPr>
        <w:footnoteReference w:id="2"/>
      </w:r>
      <w:r w:rsidRPr="00BC3A80">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5251BF10" w14:textId="77777777" w:rsidR="00BB0426" w:rsidRPr="00BC3A80" w:rsidRDefault="00BB0426" w:rsidP="00BB0426">
      <w:pPr>
        <w:tabs>
          <w:tab w:val="left" w:pos="426"/>
        </w:tabs>
        <w:spacing w:after="0" w:line="276" w:lineRule="auto"/>
        <w:ind w:firstLine="709"/>
        <w:jc w:val="both"/>
        <w:rPr>
          <w:rFonts w:ascii="Verdana" w:hAnsi="Verdana" w:cs="Arial"/>
          <w:lang w:val="es-ES"/>
        </w:rPr>
      </w:pPr>
      <w:r w:rsidRPr="00BC3A80">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251BB4DC" w14:textId="77777777" w:rsidR="00BB0426" w:rsidRPr="00BC3A80" w:rsidRDefault="00BB0426" w:rsidP="00BB0426">
      <w:pPr>
        <w:spacing w:after="0" w:line="276" w:lineRule="auto"/>
        <w:ind w:right="709"/>
        <w:jc w:val="both"/>
        <w:rPr>
          <w:rFonts w:ascii="Verdana" w:eastAsia="Times New Roman" w:hAnsi="Verdana" w:cs="Arial"/>
          <w:lang w:val="es-ES" w:eastAsia="es-CO"/>
        </w:rPr>
      </w:pPr>
    </w:p>
    <w:p w14:paraId="32F632EA" w14:textId="77777777" w:rsidR="00BB0426" w:rsidRPr="00BC3A80" w:rsidRDefault="00BB0426" w:rsidP="00BB0426">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2A0C106D" w14:textId="77777777" w:rsidR="00BB0426" w:rsidRDefault="00BB0426" w:rsidP="00BB0426">
      <w:pPr>
        <w:spacing w:after="0" w:line="240" w:lineRule="auto"/>
        <w:ind w:left="709" w:right="709"/>
        <w:contextualSpacing/>
        <w:jc w:val="both"/>
        <w:rPr>
          <w:rFonts w:ascii="Verdana" w:eastAsia="Times New Roman" w:hAnsi="Verdana" w:cs="Arial"/>
          <w:sz w:val="20"/>
          <w:szCs w:val="20"/>
          <w:lang w:val="es-ES" w:eastAsia="es-CO"/>
        </w:rPr>
      </w:pPr>
    </w:p>
    <w:p w14:paraId="2BDF0223" w14:textId="77777777" w:rsidR="00BB0426" w:rsidRPr="00BC3A80" w:rsidRDefault="00BB0426" w:rsidP="00BB0426">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lastRenderedPageBreak/>
        <w:t xml:space="preserve">[…] </w:t>
      </w:r>
    </w:p>
    <w:p w14:paraId="2561B8B5" w14:textId="77777777" w:rsidR="00BB0426" w:rsidRDefault="00BB0426" w:rsidP="00BB0426">
      <w:pPr>
        <w:spacing w:after="0" w:line="240" w:lineRule="auto"/>
        <w:ind w:left="709" w:right="709"/>
        <w:contextualSpacing/>
        <w:jc w:val="both"/>
        <w:rPr>
          <w:rFonts w:ascii="Verdana" w:eastAsia="Times New Roman" w:hAnsi="Verdana" w:cs="Arial"/>
          <w:sz w:val="20"/>
          <w:szCs w:val="20"/>
          <w:lang w:val="es-ES" w:eastAsia="es-CO"/>
        </w:rPr>
      </w:pPr>
    </w:p>
    <w:p w14:paraId="30F7AFE0" w14:textId="77777777" w:rsidR="00BB0426" w:rsidRPr="00BC3A80" w:rsidRDefault="00BB0426" w:rsidP="00BB0426">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C3A80">
        <w:rPr>
          <w:rFonts w:ascii="Verdana" w:hAnsi="Verdana" w:cs="Arial"/>
          <w:sz w:val="20"/>
          <w:szCs w:val="20"/>
          <w:vertAlign w:val="superscript"/>
          <w:lang w:val="es-ES"/>
        </w:rPr>
        <w:footnoteReference w:id="3"/>
      </w:r>
    </w:p>
    <w:p w14:paraId="29230017" w14:textId="77777777" w:rsidR="00BB0426" w:rsidRPr="00BC3A80" w:rsidRDefault="00BB0426" w:rsidP="00BB0426">
      <w:pPr>
        <w:spacing w:after="0" w:line="276" w:lineRule="auto"/>
        <w:ind w:firstLine="709"/>
        <w:jc w:val="both"/>
        <w:rPr>
          <w:rFonts w:ascii="Verdana" w:eastAsia="Times New Roman" w:hAnsi="Verdana" w:cs="Arial"/>
          <w:lang w:val="es-ES" w:eastAsia="es-CO"/>
        </w:rPr>
      </w:pPr>
    </w:p>
    <w:p w14:paraId="3EC7326B" w14:textId="77777777" w:rsidR="00BB0426" w:rsidRPr="00BC3A80" w:rsidRDefault="00BB0426" w:rsidP="00BB0426">
      <w:pPr>
        <w:spacing w:after="0" w:line="276" w:lineRule="auto"/>
        <w:ind w:firstLine="709"/>
        <w:jc w:val="both"/>
        <w:rPr>
          <w:rFonts w:ascii="Verdana" w:eastAsia="Times New Roman" w:hAnsi="Verdana" w:cs="Arial"/>
          <w:lang w:val="es-ES" w:eastAsia="es-CO"/>
        </w:rPr>
      </w:pPr>
      <w:r w:rsidRPr="00BC3A80">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AE61852" w14:textId="77777777" w:rsidR="00BB0426" w:rsidRPr="00BC3A80" w:rsidRDefault="00BB0426" w:rsidP="00BB0426">
      <w:pPr>
        <w:spacing w:after="0" w:line="276" w:lineRule="auto"/>
        <w:ind w:firstLine="709"/>
        <w:jc w:val="both"/>
        <w:rPr>
          <w:rFonts w:ascii="Verdana" w:eastAsia="Times New Roman" w:hAnsi="Verdana" w:cs="Arial"/>
          <w:lang w:val="es-ES" w:eastAsia="es-CO"/>
        </w:rPr>
      </w:pPr>
    </w:p>
    <w:p w14:paraId="683FFFBE" w14:textId="77777777" w:rsidR="00BB0426" w:rsidRPr="00BC3A80" w:rsidRDefault="00BB0426" w:rsidP="00BB0426">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BC3A80">
        <w:rPr>
          <w:rFonts w:ascii="Verdana" w:eastAsia="Times New Roman" w:hAnsi="Verdana" w:cs="Arial"/>
          <w:sz w:val="20"/>
          <w:szCs w:val="20"/>
          <w:lang w:val="es-ES" w:eastAsia="es-CO"/>
        </w:rPr>
        <w:t>legis</w:t>
      </w:r>
      <w:proofErr w:type="spellEnd"/>
      <w:r w:rsidRPr="00BC3A80">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A4302E6" w14:textId="77777777" w:rsidR="00BB0426" w:rsidRPr="00BC3A80" w:rsidRDefault="00BB0426" w:rsidP="00BB0426">
      <w:pPr>
        <w:spacing w:after="0" w:line="240" w:lineRule="auto"/>
        <w:ind w:right="709"/>
        <w:jc w:val="both"/>
        <w:rPr>
          <w:rFonts w:ascii="Verdana" w:eastAsia="Times New Roman" w:hAnsi="Verdana" w:cs="Arial"/>
          <w:lang w:val="es-ES" w:eastAsia="es-CO"/>
        </w:rPr>
      </w:pPr>
    </w:p>
    <w:p w14:paraId="77D31A74" w14:textId="77777777" w:rsidR="00BB0426" w:rsidRPr="00BC3A80" w:rsidRDefault="00BB0426" w:rsidP="00BB0426">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La jurisprudencia de la Corte Constitucional</w:t>
      </w:r>
      <w:r w:rsidRPr="00BC3A80">
        <w:rPr>
          <w:rFonts w:ascii="Verdana" w:eastAsia="Times New Roman" w:hAnsi="Verdana" w:cs="Arial"/>
          <w:sz w:val="20"/>
          <w:szCs w:val="20"/>
          <w:vertAlign w:val="superscript"/>
          <w:lang w:val="es-ES" w:eastAsia="es-CO"/>
        </w:rPr>
        <w:footnoteReference w:id="4"/>
      </w:r>
      <w:r w:rsidRPr="00BC3A80">
        <w:rPr>
          <w:rFonts w:ascii="Verdana" w:eastAsia="Times New Roman" w:hAnsi="Verdana" w:cs="Arial"/>
          <w:sz w:val="20"/>
          <w:szCs w:val="20"/>
          <w:lang w:val="es-ES" w:eastAsia="es-CO"/>
        </w:rPr>
        <w:t> y del Consejo de Estado</w:t>
      </w:r>
      <w:r w:rsidRPr="00BC3A80">
        <w:rPr>
          <w:rFonts w:ascii="Verdana" w:eastAsia="Times New Roman" w:hAnsi="Verdana" w:cs="Arial"/>
          <w:sz w:val="20"/>
          <w:szCs w:val="20"/>
          <w:vertAlign w:val="superscript"/>
          <w:lang w:val="es-ES" w:eastAsia="es-CO"/>
        </w:rPr>
        <w:footnoteReference w:id="5"/>
      </w:r>
      <w:r w:rsidRPr="00BC3A80">
        <w:rPr>
          <w:rFonts w:ascii="Verdana" w:eastAsia="Times New Roman" w:hAnsi="Verdana" w:cs="Arial"/>
          <w:sz w:val="20"/>
          <w:szCs w:val="20"/>
          <w:lang w:val="es-ES" w:eastAsia="es-CO"/>
        </w:rPr>
        <w:t xml:space="preserve">, coinciden en que las normas que establecen prohibiciones deben estar de </w:t>
      </w:r>
      <w:r w:rsidRPr="00BC3A80">
        <w:rPr>
          <w:rFonts w:ascii="Verdana" w:eastAsia="Times New Roman" w:hAnsi="Verdana" w:cs="Arial"/>
          <w:sz w:val="20"/>
          <w:szCs w:val="20"/>
          <w:lang w:val="es-ES"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C3A80">
        <w:rPr>
          <w:rFonts w:ascii="Verdana" w:eastAsia="Times New Roman" w:hAnsi="Verdana" w:cs="Arial"/>
          <w:sz w:val="20"/>
          <w:szCs w:val="20"/>
          <w:vertAlign w:val="superscript"/>
          <w:lang w:val="es-ES" w:eastAsia="es-CO"/>
        </w:rPr>
        <w:footnoteReference w:id="6"/>
      </w:r>
      <w:r w:rsidRPr="00BC3A80">
        <w:rPr>
          <w:rFonts w:ascii="Verdana" w:eastAsia="Times New Roman" w:hAnsi="Verdana" w:cs="Arial"/>
          <w:sz w:val="20"/>
          <w:szCs w:val="20"/>
          <w:lang w:val="es-ES" w:eastAsia="es-CO"/>
        </w:rPr>
        <w:t>.</w:t>
      </w:r>
    </w:p>
    <w:p w14:paraId="78AAB95E" w14:textId="77777777" w:rsidR="00BB0426" w:rsidRPr="00BC3A80" w:rsidRDefault="00BB0426" w:rsidP="00BB0426">
      <w:pPr>
        <w:spacing w:after="0" w:line="276" w:lineRule="auto"/>
        <w:jc w:val="both"/>
        <w:rPr>
          <w:rFonts w:ascii="Verdana" w:hAnsi="Verdana" w:cs="Arial"/>
          <w:bCs/>
          <w:lang w:val="es-ES"/>
        </w:rPr>
      </w:pPr>
    </w:p>
    <w:p w14:paraId="48963446" w14:textId="77777777" w:rsidR="00BB0426" w:rsidRPr="00BC3A80" w:rsidRDefault="00BB0426" w:rsidP="00BB0426">
      <w:pPr>
        <w:spacing w:after="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rPr>
        <w:t>De</w:t>
      </w:r>
      <w:r w:rsidRPr="00BC3A8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45603546" w14:textId="77777777" w:rsidR="00BB0426" w:rsidRPr="00BC3A80" w:rsidRDefault="00BB0426" w:rsidP="00BB0426">
      <w:pPr>
        <w:spacing w:after="0" w:line="276" w:lineRule="auto"/>
        <w:ind w:firstLine="709"/>
        <w:jc w:val="both"/>
        <w:rPr>
          <w:rFonts w:ascii="Verdana" w:eastAsia="Arial" w:hAnsi="Verdana" w:cs="Arial"/>
          <w:lang w:val="es-ES" w:eastAsia="es-ES" w:bidi="es-ES"/>
        </w:rPr>
      </w:pPr>
    </w:p>
    <w:p w14:paraId="16E8A216" w14:textId="77777777" w:rsidR="00BB0426" w:rsidRPr="00BC3A80" w:rsidRDefault="00BB0426" w:rsidP="00C52CDB">
      <w:pPr>
        <w:spacing w:after="120" w:line="276" w:lineRule="auto"/>
        <w:ind w:firstLine="708"/>
        <w:jc w:val="both"/>
        <w:rPr>
          <w:rFonts w:ascii="Verdana" w:eastAsia="Arial" w:hAnsi="Verdana" w:cs="Arial"/>
          <w:lang w:val="es-ES" w:eastAsia="es-ES" w:bidi="es-ES"/>
        </w:rPr>
      </w:pPr>
      <w:r w:rsidRPr="00BC3A80">
        <w:rPr>
          <w:rFonts w:ascii="Verdana" w:eastAsia="Arial" w:hAnsi="Verdana" w:cs="Arial"/>
          <w:lang w:val="es-ES" w:eastAsia="es-ES" w:bidi="es-ES"/>
        </w:rPr>
        <w:t xml:space="preserve">Las restricciones consagradas en la Ley de Garantías </w:t>
      </w:r>
      <w:r>
        <w:rPr>
          <w:rFonts w:ascii="Verdana" w:eastAsia="Arial" w:hAnsi="Verdana" w:cs="Arial"/>
          <w:lang w:val="es-ES" w:eastAsia="es-ES" w:bidi="es-ES"/>
        </w:rPr>
        <w:t xml:space="preserve">Electorales </w:t>
      </w:r>
      <w:r w:rsidRPr="00BC3A80">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759EEFCB" w14:textId="77777777" w:rsidR="00BB0426" w:rsidRPr="00BC3A80" w:rsidRDefault="00BB0426" w:rsidP="00BB0426">
      <w:pPr>
        <w:spacing w:after="120" w:line="276" w:lineRule="auto"/>
        <w:ind w:firstLine="708"/>
        <w:jc w:val="both"/>
        <w:rPr>
          <w:rFonts w:ascii="Verdana" w:hAnsi="Verdana" w:cs="Arial"/>
          <w:lang w:val="es-ES"/>
        </w:rPr>
      </w:pPr>
      <w:r w:rsidRPr="00BC3A80">
        <w:rPr>
          <w:rFonts w:ascii="Verdana" w:hAnsi="Verdana" w:cs="Arial"/>
          <w:lang w:val="es-ES"/>
        </w:rPr>
        <w:t xml:space="preserve">Por un lado, el </w:t>
      </w:r>
      <w:r w:rsidRPr="00BC3A80">
        <w:rPr>
          <w:rFonts w:ascii="Verdana" w:hAnsi="Verdana" w:cs="Arial"/>
          <w:i/>
          <w:iCs/>
          <w:lang w:val="es-ES"/>
        </w:rPr>
        <w:t xml:space="preserve">artículo 33 </w:t>
      </w:r>
      <w:r w:rsidRPr="00BC3A80">
        <w:rPr>
          <w:rFonts w:ascii="Verdana" w:hAnsi="Verdana" w:cs="Arial"/>
          <w:lang w:val="es-ES"/>
        </w:rPr>
        <w:t xml:space="preserve">de la Ley 996 de 2005 prohíbe “[…] la contratación directa por parte de </w:t>
      </w:r>
      <w:r w:rsidRPr="00BC3A80">
        <w:rPr>
          <w:rFonts w:ascii="Verdana" w:hAnsi="Verdana" w:cs="Arial"/>
          <w:i/>
          <w:iCs/>
          <w:lang w:val="es-ES"/>
        </w:rPr>
        <w:t>todos los entes del Estado</w:t>
      </w:r>
      <w:r w:rsidRPr="00BC3A80">
        <w:rPr>
          <w:rFonts w:ascii="Verdana" w:hAnsi="Verdana" w:cs="Arial"/>
          <w:lang w:val="es-ES"/>
        </w:rPr>
        <w:t xml:space="preserve">” durante los cuatro (4) meses anteriores a las </w:t>
      </w:r>
      <w:r w:rsidRPr="00BC3A80">
        <w:rPr>
          <w:rFonts w:ascii="Verdana" w:hAnsi="Verdana" w:cs="Arial"/>
          <w:i/>
          <w:iCs/>
          <w:lang w:val="es-ES"/>
        </w:rPr>
        <w:t>elecciones presidenciales</w:t>
      </w:r>
      <w:r w:rsidRPr="00BC3A80">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C3A80">
        <w:rPr>
          <w:rFonts w:ascii="Verdana" w:hAnsi="Verdana" w:cs="Arial"/>
          <w:vertAlign w:val="superscript"/>
          <w:lang w:val="es-ES"/>
        </w:rPr>
        <w:footnoteReference w:id="7"/>
      </w:r>
      <w:r w:rsidRPr="00BC3A80">
        <w:rPr>
          <w:rFonts w:ascii="Verdana" w:hAnsi="Verdana" w:cs="Arial"/>
          <w:lang w:val="es-ES"/>
        </w:rPr>
        <w:t>.</w:t>
      </w:r>
    </w:p>
    <w:p w14:paraId="6D623BB9" w14:textId="77777777" w:rsidR="00BB0426" w:rsidRPr="00BC3A80" w:rsidRDefault="00BB0426" w:rsidP="00BB0426">
      <w:pPr>
        <w:widowControl w:val="0"/>
        <w:autoSpaceDE w:val="0"/>
        <w:autoSpaceDN w:val="0"/>
        <w:spacing w:after="120" w:line="276" w:lineRule="auto"/>
        <w:ind w:right="113" w:firstLine="709"/>
        <w:jc w:val="both"/>
        <w:rPr>
          <w:rFonts w:ascii="Verdana" w:eastAsia="Arial" w:hAnsi="Verdana" w:cs="Arial"/>
          <w:lang w:val="es-ES" w:eastAsia="es-ES" w:bidi="es-ES"/>
        </w:rPr>
      </w:pPr>
      <w:r w:rsidRPr="00BC3A80">
        <w:rPr>
          <w:rFonts w:ascii="Verdana" w:hAnsi="Verdana" w:cs="Arial"/>
          <w:lang w:val="es-ES"/>
        </w:rPr>
        <w:lastRenderedPageBreak/>
        <w:t xml:space="preserve">Por otro lado, </w:t>
      </w:r>
      <w:r w:rsidRPr="00BC3A80">
        <w:rPr>
          <w:rFonts w:ascii="Verdana" w:hAnsi="Verdana" w:cs="Arial"/>
          <w:i/>
          <w:iCs/>
          <w:lang w:val="es-ES"/>
        </w:rPr>
        <w:t xml:space="preserve">el parágrafo del artículo 38 </w:t>
      </w:r>
      <w:r w:rsidRPr="00BC3A80">
        <w:rPr>
          <w:rFonts w:ascii="Verdana" w:hAnsi="Verdana" w:cs="Arial"/>
          <w:lang w:val="es-ES"/>
        </w:rPr>
        <w:t xml:space="preserve">de la Ley 996 de 2005 prevé una restricción, aplicable respecto de </w:t>
      </w:r>
      <w:r w:rsidRPr="00BC3A80">
        <w:rPr>
          <w:rFonts w:ascii="Verdana" w:hAnsi="Verdana" w:cs="Arial"/>
          <w:i/>
          <w:iCs/>
          <w:lang w:val="es-ES"/>
        </w:rPr>
        <w:t>cualquier tipo de contienda electoral</w:t>
      </w:r>
      <w:r w:rsidRPr="00BC3A80">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C3A80">
        <w:rPr>
          <w:rFonts w:ascii="Verdana" w:hAnsi="Verdana" w:cs="Arial"/>
          <w:vertAlign w:val="superscript"/>
          <w:lang w:val="es-ES"/>
        </w:rPr>
        <w:footnoteReference w:id="8"/>
      </w:r>
      <w:r w:rsidRPr="00BC3A80">
        <w:rPr>
          <w:rFonts w:ascii="Verdana" w:hAnsi="Verdana" w:cs="Arial"/>
          <w:lang w:val="es-ES"/>
        </w:rPr>
        <w:t>.</w:t>
      </w:r>
      <w:r w:rsidRPr="00BC3A80">
        <w:rPr>
          <w:rFonts w:ascii="Verdana" w:eastAsia="Arial" w:hAnsi="Verdana" w:cs="Arial"/>
          <w:lang w:val="es-ES" w:eastAsia="es-ES" w:bidi="es-ES"/>
        </w:rPr>
        <w:t xml:space="preserve"> </w:t>
      </w:r>
    </w:p>
    <w:p w14:paraId="6C9A2782" w14:textId="77777777" w:rsidR="00BB0426" w:rsidRPr="00BC3A80" w:rsidRDefault="00BB0426" w:rsidP="00BB0426">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C3A80">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70EA9771" w14:textId="77777777" w:rsidR="00BB0426" w:rsidRPr="00BC3A80" w:rsidRDefault="00BB0426" w:rsidP="00BB0426">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2C0B592" w14:textId="77777777" w:rsidR="00BB0426" w:rsidRPr="00BC3A80" w:rsidRDefault="00BB0426" w:rsidP="00BB042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C3A80">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BC3A80">
        <w:rPr>
          <w:rFonts w:ascii="Verdana" w:eastAsia="Arial" w:hAnsi="Verdana" w:cs="Arial"/>
          <w:sz w:val="20"/>
          <w:szCs w:val="20"/>
          <w:lang w:val="es-ES" w:eastAsia="es-ES" w:bidi="es-ES"/>
        </w:rPr>
        <w:t>Presidente</w:t>
      </w:r>
      <w:proofErr w:type="gramEnd"/>
      <w:r w:rsidRPr="00BC3A80">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BC3A80">
        <w:rPr>
          <w:rFonts w:ascii="Verdana" w:eastAsia="Arial" w:hAnsi="Verdana" w:cs="Arial"/>
          <w:sz w:val="20"/>
          <w:szCs w:val="20"/>
          <w:vertAlign w:val="superscript"/>
          <w:lang w:val="es-ES" w:eastAsia="es-ES" w:bidi="es-ES"/>
        </w:rPr>
        <w:footnoteReference w:id="9"/>
      </w:r>
      <w:r w:rsidRPr="00BC3A80">
        <w:rPr>
          <w:rFonts w:ascii="Verdana" w:eastAsia="Arial" w:hAnsi="Verdana" w:cs="Arial"/>
          <w:sz w:val="20"/>
          <w:szCs w:val="20"/>
          <w:lang w:val="es-ES" w:eastAsia="es-ES" w:bidi="es-ES"/>
        </w:rPr>
        <w:t>”.</w:t>
      </w:r>
    </w:p>
    <w:p w14:paraId="6602950D" w14:textId="77777777" w:rsidR="00BB0426" w:rsidRPr="00BC3A80" w:rsidRDefault="00BB0426" w:rsidP="00BB0426">
      <w:pPr>
        <w:widowControl w:val="0"/>
        <w:autoSpaceDE w:val="0"/>
        <w:autoSpaceDN w:val="0"/>
        <w:spacing w:after="0" w:line="276" w:lineRule="auto"/>
        <w:contextualSpacing/>
        <w:rPr>
          <w:rFonts w:ascii="Verdana" w:eastAsia="Arial" w:hAnsi="Verdana" w:cs="Arial"/>
          <w:lang w:val="es-ES" w:eastAsia="es-ES" w:bidi="es-ES"/>
        </w:rPr>
      </w:pPr>
    </w:p>
    <w:p w14:paraId="0C1D0D09" w14:textId="77777777" w:rsidR="00BB0426" w:rsidRPr="00BC3A80" w:rsidRDefault="00BB0426" w:rsidP="00BB0426">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lastRenderedPageBreak/>
        <w:t xml:space="preserve">De conformidad con lo anterior, la Ley 996 de 2005 establece dos (2) tipos de restricciones en materia de contratación, las cuales coinciden parcialmente. </w:t>
      </w:r>
      <w:r w:rsidRPr="00BC3A80">
        <w:rPr>
          <w:rFonts w:ascii="Verdana" w:eastAsia="Arial" w:hAnsi="Verdana" w:cs="Arial"/>
          <w:i/>
          <w:lang w:val="es-ES" w:eastAsia="es-ES" w:bidi="es-ES"/>
        </w:rPr>
        <w:t>En primer lugar</w:t>
      </w:r>
      <w:r w:rsidRPr="00BC3A80">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C3A80">
        <w:rPr>
          <w:rFonts w:ascii="Verdana" w:eastAsia="Arial" w:hAnsi="Verdana" w:cs="Arial"/>
          <w:i/>
          <w:lang w:val="es-ES" w:eastAsia="es-ES" w:bidi="es-ES"/>
        </w:rPr>
        <w:t>En segundo lugar</w:t>
      </w:r>
      <w:r w:rsidRPr="00BC3A80">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val="es-ES" w:eastAsia="es-ES" w:bidi="es-ES"/>
        </w:rPr>
        <w:t xml:space="preserve"> para los sujetos señalados en la disposición</w:t>
      </w:r>
      <w:r w:rsidRPr="00BC3A80">
        <w:rPr>
          <w:rFonts w:ascii="Verdana" w:eastAsia="Arial" w:hAnsi="Verdana" w:cs="Arial"/>
          <w:lang w:val="es-ES" w:eastAsia="es-ES" w:bidi="es-ES"/>
        </w:rPr>
        <w:t>.</w:t>
      </w:r>
    </w:p>
    <w:p w14:paraId="5189C8AB" w14:textId="77777777" w:rsidR="00BB0426" w:rsidRPr="00BC3A80" w:rsidRDefault="00BB0426" w:rsidP="00BB0426">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2DE41D04" w14:textId="77777777" w:rsidR="00BB0426" w:rsidRPr="00CD77EE" w:rsidRDefault="00BB0426" w:rsidP="00BB0426">
      <w:pPr>
        <w:spacing w:after="120" w:line="276" w:lineRule="auto"/>
        <w:ind w:firstLine="709"/>
        <w:jc w:val="both"/>
        <w:rPr>
          <w:rFonts w:ascii="Verdana" w:hAnsi="Verdana" w:cs="Arial"/>
          <w:bCs/>
          <w:color w:val="000000" w:themeColor="text1"/>
          <w:lang w:val="es-ES"/>
        </w:rPr>
      </w:pPr>
      <w:r w:rsidRPr="00CD77EE">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CD77EE">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2339F494" w14:textId="77777777" w:rsidR="00BB0426" w:rsidRPr="00CD77EE" w:rsidRDefault="00BB0426" w:rsidP="00BB0426">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1) La contratación referente a la defensa y seguridad del Estado;</w:t>
      </w:r>
    </w:p>
    <w:p w14:paraId="0168883E" w14:textId="77777777" w:rsidR="00BB0426" w:rsidRPr="00CD77EE" w:rsidRDefault="00BB0426" w:rsidP="00BB0426">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2) Los contratos de crédito público;</w:t>
      </w:r>
    </w:p>
    <w:p w14:paraId="223F6806" w14:textId="77777777" w:rsidR="00BB0426" w:rsidRPr="00CD77EE" w:rsidRDefault="00BB0426" w:rsidP="00BB0426">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lastRenderedPageBreak/>
        <w:tab/>
        <w:t xml:space="preserve">3) Los contratos requeridos para cubrir las emergencias educativas, sanitarias y desastres; </w:t>
      </w:r>
    </w:p>
    <w:p w14:paraId="75867C2E" w14:textId="77777777" w:rsidR="00BB0426" w:rsidRPr="00CD77EE" w:rsidRDefault="00BB0426" w:rsidP="00BB0426">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4356D96C" w14:textId="77777777" w:rsidR="00BB0426" w:rsidRPr="00CD77EE" w:rsidRDefault="00BB0426" w:rsidP="00BB0426">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5) La contratación que deban realizar las entidades sanitarias y hospitalarias. </w:t>
      </w:r>
    </w:p>
    <w:p w14:paraId="75DFEB42" w14:textId="77777777" w:rsidR="00BB0426" w:rsidRPr="00407C12" w:rsidRDefault="00BB0426" w:rsidP="00BB0426">
      <w:pPr>
        <w:tabs>
          <w:tab w:val="left" w:pos="426"/>
        </w:tabs>
        <w:spacing w:before="120" w:after="0" w:line="276" w:lineRule="auto"/>
        <w:ind w:firstLine="709"/>
        <w:jc w:val="both"/>
        <w:rPr>
          <w:rFonts w:ascii="Verdana" w:hAnsi="Verdana" w:cs="Arial"/>
          <w:bCs/>
          <w:color w:val="000000" w:themeColor="text1"/>
          <w:lang w:val="es-ES"/>
        </w:rPr>
      </w:pPr>
      <w:r w:rsidRPr="00407C12">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2A5139D1" w14:textId="77777777" w:rsidR="00BB0426" w:rsidRPr="00407C12" w:rsidRDefault="00BB0426" w:rsidP="00BB0426">
      <w:pPr>
        <w:tabs>
          <w:tab w:val="left" w:pos="426"/>
        </w:tabs>
        <w:spacing w:after="0" w:line="240" w:lineRule="auto"/>
        <w:ind w:firstLine="709"/>
        <w:jc w:val="both"/>
        <w:rPr>
          <w:rFonts w:ascii="Verdana" w:hAnsi="Verdana" w:cs="Arial"/>
          <w:bCs/>
          <w:color w:val="000000" w:themeColor="text1"/>
          <w:lang w:val="es-ES"/>
        </w:rPr>
      </w:pPr>
    </w:p>
    <w:p w14:paraId="0923BDB4" w14:textId="77777777" w:rsidR="00BB0426" w:rsidRPr="00407C12" w:rsidRDefault="00BB0426" w:rsidP="00BB0426">
      <w:pPr>
        <w:shd w:val="clear" w:color="auto" w:fill="FFFFFF"/>
        <w:spacing w:after="0" w:line="240" w:lineRule="auto"/>
        <w:ind w:left="709" w:right="709"/>
        <w:jc w:val="both"/>
        <w:rPr>
          <w:rFonts w:ascii="Verdana" w:hAnsi="Verdana" w:cs="Arial"/>
          <w:color w:val="000000" w:themeColor="text1"/>
          <w:sz w:val="20"/>
          <w:szCs w:val="20"/>
          <w:lang w:val="es-ES" w:eastAsia="es-CO"/>
        </w:rPr>
      </w:pPr>
      <w:r w:rsidRPr="00407C12">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407C12">
        <w:rPr>
          <w:rFonts w:ascii="Verdana" w:hAnsi="Verdana" w:cs="Arial"/>
          <w:color w:val="000000" w:themeColor="text1"/>
          <w:sz w:val="20"/>
          <w:szCs w:val="20"/>
          <w:vertAlign w:val="superscript"/>
          <w:lang w:val="es-ES" w:eastAsia="es-CO"/>
        </w:rPr>
        <w:footnoteReference w:id="10"/>
      </w:r>
      <w:r w:rsidRPr="00407C12">
        <w:rPr>
          <w:rFonts w:ascii="Verdana" w:hAnsi="Verdana" w:cs="Arial"/>
          <w:color w:val="000000" w:themeColor="text1"/>
          <w:sz w:val="20"/>
          <w:szCs w:val="20"/>
          <w:lang w:val="es-ES" w:eastAsia="es-CO"/>
        </w:rPr>
        <w:t xml:space="preserve">”. </w:t>
      </w:r>
    </w:p>
    <w:p w14:paraId="3B314D66" w14:textId="77777777" w:rsidR="00BB0426" w:rsidRPr="00DF0C0C" w:rsidRDefault="00BB0426" w:rsidP="00BB0426">
      <w:pPr>
        <w:shd w:val="clear" w:color="auto" w:fill="FFFFFF"/>
        <w:spacing w:after="0" w:line="240" w:lineRule="auto"/>
        <w:ind w:left="709" w:right="709"/>
        <w:jc w:val="both"/>
        <w:rPr>
          <w:rFonts w:ascii="Verdana" w:hAnsi="Verdana" w:cs="Arial"/>
          <w:color w:val="000000" w:themeColor="text1"/>
          <w:sz w:val="20"/>
          <w:szCs w:val="20"/>
          <w:highlight w:val="cyan"/>
          <w:lang w:val="es-ES" w:eastAsia="es-CO"/>
        </w:rPr>
      </w:pPr>
    </w:p>
    <w:p w14:paraId="6D7325EF" w14:textId="77777777" w:rsidR="00BB0426" w:rsidRPr="00DF0C0C" w:rsidRDefault="00BB0426" w:rsidP="00BB0426">
      <w:pPr>
        <w:tabs>
          <w:tab w:val="left" w:pos="426"/>
          <w:tab w:val="left" w:pos="3402"/>
        </w:tabs>
        <w:spacing w:after="120" w:line="276" w:lineRule="auto"/>
        <w:ind w:firstLine="709"/>
        <w:jc w:val="both"/>
        <w:rPr>
          <w:rFonts w:ascii="Verdana" w:hAnsi="Verdana" w:cs="Arial"/>
          <w:color w:val="000000" w:themeColor="text1"/>
          <w:highlight w:val="cyan"/>
          <w:shd w:val="clear" w:color="auto" w:fill="FFFFFF"/>
          <w:lang w:val="es-ES"/>
        </w:rPr>
      </w:pPr>
      <w:r w:rsidRPr="00DD40AB">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DD40AB">
        <w:rPr>
          <w:rFonts w:ascii="Verdana" w:hAnsi="Verdana" w:cs="Arial"/>
          <w:bCs/>
          <w:color w:val="000000" w:themeColor="text1"/>
          <w:lang w:val="es-ES"/>
        </w:rPr>
        <w:t xml:space="preserve">ey de </w:t>
      </w:r>
      <w:r>
        <w:rPr>
          <w:rFonts w:ascii="Verdana" w:hAnsi="Verdana" w:cs="Arial"/>
          <w:bCs/>
          <w:color w:val="000000" w:themeColor="text1"/>
          <w:lang w:val="es-ES"/>
        </w:rPr>
        <w:t>G</w:t>
      </w:r>
      <w:r w:rsidRPr="00DD40AB">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DD40AB">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DD40AB">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DD40AB">
        <w:rPr>
          <w:rFonts w:ascii="Verdana" w:hAnsi="Verdana" w:cs="Arial"/>
          <w:i/>
          <w:color w:val="000000" w:themeColor="text1"/>
          <w:lang w:val="es-ES"/>
        </w:rPr>
        <w:t xml:space="preserve">Las excepciones aplicables a la restricción de contratación pública. </w:t>
      </w:r>
      <w:r w:rsidRPr="00DD40AB">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DD40AB">
        <w:rPr>
          <w:rFonts w:ascii="Verdana" w:hAnsi="Verdana" w:cs="Arial"/>
          <w:color w:val="000000" w:themeColor="text1"/>
          <w:shd w:val="clear" w:color="auto" w:fill="FFFFFF"/>
          <w:vertAlign w:val="superscript"/>
          <w:lang w:val="es-ES"/>
        </w:rPr>
        <w:footnoteReference w:id="11"/>
      </w:r>
      <w:r w:rsidRPr="00DD40AB">
        <w:rPr>
          <w:rFonts w:ascii="Verdana" w:hAnsi="Verdana" w:cs="Arial"/>
          <w:color w:val="000000" w:themeColor="text1"/>
          <w:shd w:val="clear" w:color="auto" w:fill="FFFFFF"/>
          <w:lang w:val="es-ES"/>
        </w:rPr>
        <w:t>.</w:t>
      </w:r>
    </w:p>
    <w:p w14:paraId="75832088" w14:textId="77777777" w:rsidR="00BB0426" w:rsidRPr="009E6635" w:rsidRDefault="00BB0426" w:rsidP="00BB0426">
      <w:pPr>
        <w:tabs>
          <w:tab w:val="left" w:pos="426"/>
        </w:tabs>
        <w:spacing w:after="120" w:line="276" w:lineRule="auto"/>
        <w:ind w:firstLine="709"/>
        <w:jc w:val="both"/>
        <w:rPr>
          <w:rFonts w:ascii="Verdana" w:hAnsi="Verdana" w:cs="Arial"/>
          <w:bCs/>
          <w:color w:val="000000" w:themeColor="text1"/>
          <w:lang w:val="es-ES"/>
        </w:rPr>
      </w:pPr>
      <w:r w:rsidRPr="009E6635">
        <w:rPr>
          <w:rFonts w:ascii="Verdana" w:hAnsi="Verdana" w:cs="Arial"/>
          <w:bCs/>
          <w:color w:val="000000" w:themeColor="text1"/>
          <w:lang w:val="es-ES"/>
        </w:rPr>
        <w:t xml:space="preserve">Lo anterior implica que las excepciones al artículo 33 en comento deben interpretarse y aplicarse de manera </w:t>
      </w:r>
      <w:r w:rsidRPr="009E6635">
        <w:rPr>
          <w:rFonts w:ascii="Verdana" w:hAnsi="Verdana" w:cs="Arial"/>
          <w:bCs/>
          <w:i/>
          <w:iCs/>
          <w:color w:val="000000" w:themeColor="text1"/>
          <w:lang w:val="es-ES"/>
        </w:rPr>
        <w:t>estricta</w:t>
      </w:r>
      <w:r w:rsidRPr="009E6635">
        <w:rPr>
          <w:rFonts w:ascii="Verdana" w:hAnsi="Verdana" w:cs="Arial"/>
          <w:bCs/>
          <w:color w:val="000000" w:themeColor="text1"/>
          <w:lang w:val="es-ES"/>
        </w:rPr>
        <w:t xml:space="preserve">. En otras palabras, no es factible </w:t>
      </w:r>
      <w:r w:rsidRPr="009E6635">
        <w:rPr>
          <w:rFonts w:ascii="Verdana" w:hAnsi="Verdana" w:cs="Arial"/>
          <w:bCs/>
          <w:color w:val="000000" w:themeColor="text1"/>
          <w:lang w:val="es-ES"/>
        </w:rPr>
        <w:lastRenderedPageBreak/>
        <w:t>hacer interpretaciones extensivas</w:t>
      </w:r>
      <w:r w:rsidRPr="009E6635">
        <w:rPr>
          <w:rFonts w:ascii="Verdana" w:hAnsi="Verdana" w:cs="Arial"/>
          <w:bCs/>
          <w:i/>
          <w:iCs/>
          <w:color w:val="000000" w:themeColor="text1"/>
          <w:lang w:val="es-ES"/>
        </w:rPr>
        <w:t xml:space="preserve"> </w:t>
      </w:r>
      <w:r w:rsidRPr="009E663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4283F206" w14:textId="77777777" w:rsidR="00BB0426" w:rsidRDefault="00BB0426" w:rsidP="00BB0426">
      <w:pPr>
        <w:spacing w:after="0" w:line="276" w:lineRule="auto"/>
        <w:ind w:firstLine="708"/>
        <w:jc w:val="both"/>
        <w:rPr>
          <w:rFonts w:ascii="Verdana" w:hAnsi="Verdana" w:cs="Arial"/>
          <w:bCs/>
          <w:color w:val="000000" w:themeColor="text1"/>
        </w:rPr>
      </w:pPr>
      <w:r>
        <w:rPr>
          <w:rFonts w:ascii="Verdana" w:hAnsi="Verdana" w:cs="Arial"/>
          <w:bCs/>
          <w:color w:val="000000" w:themeColor="text1"/>
        </w:rPr>
        <w:t>A manera conclusiva, e</w:t>
      </w:r>
      <w:r w:rsidRPr="00FB3E7D">
        <w:rPr>
          <w:rFonts w:ascii="Verdana" w:hAnsi="Verdana" w:cs="Arial"/>
          <w:bCs/>
          <w:color w:val="000000" w:themeColor="text1"/>
        </w:rPr>
        <w:t xml:space="preserve">l artículo 33 de la Ley 996 de 2005 establece que, durante los periodos de elecciones presidenciales, todos los entes estatales se encuentran restringidos para celebrar contratos en cualquier modalidad de contratación directa, incluyendo la prestación de servicios, con el fin de garantizar la transparencia, la igualdad de oportunidades y prevenir el uso indebido de recursos públicos con fines electorales. Si bien la ley contempla excepciones específicas, tales como los contratos relacionados con la defensa y seguridad del Estado, emergencias educativas y sanitarias, desastres, infraestructura crítica, entre otros, la prestación de servicios de aseo y cafetería requeridos para asegurar el funcionamiento de los concejos municipales no se encuentra expresamente incluida dentro de estas excepciones, por lo que la restricción de contratación directa aplica de manera general para dichos servicios. </w:t>
      </w:r>
    </w:p>
    <w:p w14:paraId="735F8383" w14:textId="77777777" w:rsidR="00D762E2" w:rsidRDefault="00BB0426" w:rsidP="00BB0426">
      <w:pPr>
        <w:spacing w:after="0" w:line="276" w:lineRule="auto"/>
        <w:ind w:firstLine="708"/>
        <w:jc w:val="both"/>
        <w:rPr>
          <w:rFonts w:ascii="Verdana" w:hAnsi="Verdana" w:cs="Arial"/>
          <w:bCs/>
          <w:color w:val="000000" w:themeColor="text1"/>
        </w:rPr>
      </w:pPr>
      <w:r>
        <w:rPr>
          <w:rFonts w:ascii="Verdana" w:hAnsi="Verdana" w:cs="Arial"/>
          <w:bCs/>
          <w:color w:val="000000" w:themeColor="text1"/>
        </w:rPr>
        <w:t>Ahora bien, e</w:t>
      </w:r>
      <w:r w:rsidRPr="00FB3E7D">
        <w:rPr>
          <w:rFonts w:ascii="Verdana" w:hAnsi="Verdana" w:cs="Arial"/>
          <w:bCs/>
          <w:color w:val="000000" w:themeColor="text1"/>
        </w:rPr>
        <w:t xml:space="preserve">n atención a los principios de autonomía de la voluntad, planeación y responsabilidad administrativa, las entidades deben prever y asegurar la continuidad en la prestación de los servicios necesarios para el desarrollo de sus actividades ordinarias, lo que implica que los contratos requeridos para garantizar la operatividad del concejo durante sus sesiones deben celebrarse con anterioridad al inicio de la prohibición prevista en la Ley de Garantías. De esta forma, la entidad asegura la continuidad del servicio sin vulnerar las disposiciones legales, cumpliendo con los principios de buena planeación y evitando riesgos de incidencias disciplinarias. Corresponde, además, a la entidad evaluar caso por caso la naturaleza de los servicios a contratar, identificando si estos </w:t>
      </w:r>
      <w:proofErr w:type="gramStart"/>
      <w:r w:rsidRPr="00FB3E7D">
        <w:rPr>
          <w:rFonts w:ascii="Verdana" w:hAnsi="Verdana" w:cs="Arial"/>
          <w:bCs/>
          <w:color w:val="000000" w:themeColor="text1"/>
        </w:rPr>
        <w:t>podrían</w:t>
      </w:r>
      <w:proofErr w:type="gramEnd"/>
      <w:r w:rsidRPr="00FB3E7D">
        <w:rPr>
          <w:rFonts w:ascii="Verdana" w:hAnsi="Verdana" w:cs="Arial"/>
          <w:bCs/>
          <w:color w:val="000000" w:themeColor="text1"/>
        </w:rPr>
        <w:t xml:space="preserve"> </w:t>
      </w:r>
      <w:proofErr w:type="gramStart"/>
      <w:r w:rsidRPr="00FB3E7D">
        <w:rPr>
          <w:rFonts w:ascii="Verdana" w:hAnsi="Verdana" w:cs="Arial"/>
          <w:bCs/>
          <w:color w:val="000000" w:themeColor="text1"/>
        </w:rPr>
        <w:t>enmarcarse dentro de</w:t>
      </w:r>
      <w:proofErr w:type="gramEnd"/>
      <w:r w:rsidRPr="00FB3E7D">
        <w:rPr>
          <w:rFonts w:ascii="Verdana" w:hAnsi="Verdana" w:cs="Arial"/>
          <w:bCs/>
          <w:color w:val="000000" w:themeColor="text1"/>
        </w:rPr>
        <w:t xml:space="preserve"> alguna de las excepciones previstas en la ley, y documentar adecuadamente la justificación contractual, de manera que se garantice la legalidad y transparencia de la gestión pública. </w:t>
      </w:r>
    </w:p>
    <w:p w14:paraId="5AE8AA51" w14:textId="3FE07A66" w:rsidR="00BB0426" w:rsidRDefault="00BB0426" w:rsidP="00C52CDB">
      <w:pPr>
        <w:spacing w:after="120" w:line="276" w:lineRule="auto"/>
        <w:ind w:firstLine="708"/>
        <w:jc w:val="both"/>
        <w:rPr>
          <w:rFonts w:ascii="Verdana" w:hAnsi="Verdana" w:cs="Arial"/>
          <w:bCs/>
          <w:color w:val="000000" w:themeColor="text1"/>
        </w:rPr>
      </w:pPr>
      <w:r w:rsidRPr="00FB3E7D">
        <w:rPr>
          <w:rFonts w:ascii="Verdana" w:hAnsi="Verdana" w:cs="Arial"/>
          <w:bCs/>
          <w:color w:val="000000" w:themeColor="text1"/>
        </w:rPr>
        <w:t>En consecuencia, resulta jurídicamente recomendable que el concejo municipal celebre los contratos de prestación de servicios requeridos para los meses de sesiones ordinarias antes del inicio del periodo de restricción de la Ley de Garantías</w:t>
      </w:r>
      <w:r w:rsidR="00D762E2">
        <w:rPr>
          <w:rFonts w:ascii="Verdana" w:hAnsi="Verdana" w:cs="Arial"/>
          <w:bCs/>
          <w:color w:val="000000" w:themeColor="text1"/>
        </w:rPr>
        <w:t xml:space="preserve"> Electorales</w:t>
      </w:r>
      <w:r w:rsidRPr="00FB3E7D">
        <w:rPr>
          <w:rFonts w:ascii="Verdana" w:hAnsi="Verdana" w:cs="Arial"/>
          <w:bCs/>
          <w:color w:val="000000" w:themeColor="text1"/>
        </w:rPr>
        <w:t xml:space="preserve">, asegurando así la operatividad de la entidad y cumpliendo con los principios de planeación, legalidad y responsabilidad, </w:t>
      </w:r>
      <w:r w:rsidRPr="00FB3E7D">
        <w:rPr>
          <w:rFonts w:ascii="Verdana" w:hAnsi="Verdana" w:cs="Arial"/>
          <w:bCs/>
          <w:color w:val="000000" w:themeColor="text1"/>
        </w:rPr>
        <w:lastRenderedPageBreak/>
        <w:t>minimizando los riesgos de incurrir en actuaciones contrarias a la normativa electoral.</w:t>
      </w:r>
    </w:p>
    <w:p w14:paraId="21C474E5" w14:textId="2BA685D7" w:rsidR="00D762E2" w:rsidRPr="00C52CDB" w:rsidRDefault="00D762E2" w:rsidP="00C52CDB">
      <w:pPr>
        <w:widowControl w:val="0"/>
        <w:autoSpaceDE w:val="0"/>
        <w:autoSpaceDN w:val="0"/>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Ahora bien, resulta importante señalar, teniendo en cuenta la consulta elevada, que durante el periodo en que rige la prohibición consagrada en el artículo 33 de la Ley 996 de 2005 se pueden ejecutar los contratos celebrados previo a que empezaran las restricciones, pues lo que se restringe es la celebración de los contratos de forma directa, más no su ejecución.</w:t>
      </w:r>
    </w:p>
    <w:p w14:paraId="2ADAD2F9" w14:textId="77777777" w:rsidR="00BB0426" w:rsidRPr="00BC3A80" w:rsidRDefault="00BB0426" w:rsidP="00BB0426">
      <w:pPr>
        <w:spacing w:after="0" w:line="276" w:lineRule="auto"/>
        <w:ind w:firstLine="708"/>
        <w:jc w:val="both"/>
        <w:rPr>
          <w:rFonts w:ascii="Verdana" w:hAnsi="Verdana" w:cs="Arial"/>
          <w:bCs/>
          <w:color w:val="000000" w:themeColor="text1"/>
        </w:rPr>
      </w:pPr>
    </w:p>
    <w:p w14:paraId="27DC635D" w14:textId="77777777" w:rsidR="00BB0426" w:rsidRPr="00BC3A80" w:rsidRDefault="00BB0426" w:rsidP="00BB0426">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Referencias normativas:</w:t>
      </w:r>
    </w:p>
    <w:p w14:paraId="4CDCB682" w14:textId="77777777" w:rsidR="00BB0426" w:rsidRPr="00BC3A80" w:rsidRDefault="00BB0426" w:rsidP="00BB0426">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B0426" w:rsidRPr="00BC3A80" w14:paraId="0609D159" w14:textId="77777777" w:rsidTr="003021E1">
        <w:trPr>
          <w:trHeight w:val="491"/>
          <w:jc w:val="center"/>
        </w:trPr>
        <w:tc>
          <w:tcPr>
            <w:tcW w:w="8647" w:type="dxa"/>
          </w:tcPr>
          <w:p w14:paraId="4A527D41" w14:textId="77777777" w:rsidR="00BB0426" w:rsidRPr="00BC3A80" w:rsidRDefault="00BB0426" w:rsidP="00BB0426">
            <w:pPr>
              <w:widowControl w:val="0"/>
              <w:numPr>
                <w:ilvl w:val="0"/>
                <w:numId w:val="17"/>
              </w:numPr>
              <w:autoSpaceDE w:val="0"/>
              <w:autoSpaceDN w:val="0"/>
              <w:spacing w:before="120" w:after="120"/>
              <w:jc w:val="both"/>
              <w:rPr>
                <w:rFonts w:ascii="Verdana" w:eastAsia="Arial MT" w:hAnsi="Verdana" w:cs="Arial"/>
                <w:lang w:val="es-ES" w:eastAsia="es-ES" w:bidi="es-ES"/>
              </w:rPr>
            </w:pPr>
            <w:r w:rsidRPr="00BC3A80">
              <w:rPr>
                <w:rFonts w:ascii="Verdana" w:eastAsia="Arial MT" w:hAnsi="Verdana" w:cs="Arial"/>
                <w:lang w:val="es-ES" w:eastAsia="es-ES" w:bidi="es-ES"/>
              </w:rPr>
              <w:t>Constitución Política, artículo 127.</w:t>
            </w:r>
          </w:p>
          <w:p w14:paraId="599C1342" w14:textId="77777777" w:rsidR="00BB0426" w:rsidRPr="00BC3A80" w:rsidRDefault="00BB0426" w:rsidP="00BB0426">
            <w:pPr>
              <w:widowControl w:val="0"/>
              <w:numPr>
                <w:ilvl w:val="0"/>
                <w:numId w:val="17"/>
              </w:numPr>
              <w:autoSpaceDE w:val="0"/>
              <w:autoSpaceDN w:val="0"/>
              <w:spacing w:after="120"/>
              <w:jc w:val="both"/>
              <w:rPr>
                <w:rFonts w:ascii="Verdana" w:eastAsia="Arial MT" w:hAnsi="Verdana" w:cs="Arial"/>
                <w:lang w:val="es-ES" w:eastAsia="es-ES" w:bidi="es-ES"/>
              </w:rPr>
            </w:pPr>
            <w:r w:rsidRPr="00BC3A80">
              <w:rPr>
                <w:rFonts w:ascii="Verdana" w:eastAsia="Arial MT" w:hAnsi="Verdana" w:cs="Arial"/>
                <w:bCs/>
                <w:lang w:val="es-ES" w:eastAsia="es-ES" w:bidi="es-ES"/>
              </w:rPr>
              <w:t>Ley 996 de 2005, artículos 33 y 38.</w:t>
            </w:r>
          </w:p>
          <w:p w14:paraId="539BB35A" w14:textId="77777777" w:rsidR="00BB0426" w:rsidRPr="00BC3A80" w:rsidRDefault="00BB0426" w:rsidP="00BB0426">
            <w:pPr>
              <w:widowControl w:val="0"/>
              <w:numPr>
                <w:ilvl w:val="0"/>
                <w:numId w:val="17"/>
              </w:numPr>
              <w:autoSpaceDE w:val="0"/>
              <w:autoSpaceDN w:val="0"/>
              <w:spacing w:after="120"/>
              <w:jc w:val="both"/>
              <w:rPr>
                <w:rFonts w:ascii="Verdana" w:eastAsia="Arial MT" w:hAnsi="Verdana" w:cs="Arial"/>
                <w:lang w:val="es-ES" w:eastAsia="es-ES" w:bidi="es-ES"/>
              </w:rPr>
            </w:pPr>
            <w:r w:rsidRPr="00BC3A80">
              <w:rPr>
                <w:rFonts w:ascii="Verdana" w:hAnsi="Verdana" w:cs="Arial"/>
                <w:bCs/>
                <w:color w:val="000000" w:themeColor="text1"/>
                <w:lang w:val="es-ES"/>
              </w:rPr>
              <w:t>Decreto 1068 de 2015, artículo 2.2.1.1.1.</w:t>
            </w:r>
          </w:p>
          <w:p w14:paraId="173C5E83" w14:textId="77777777" w:rsidR="00BB0426" w:rsidRPr="00BC3A80" w:rsidRDefault="00BB0426" w:rsidP="00BB0426">
            <w:pPr>
              <w:widowControl w:val="0"/>
              <w:numPr>
                <w:ilvl w:val="0"/>
                <w:numId w:val="17"/>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Sección Primera. Sentencia de 3 de marzo de 2005, </w:t>
            </w:r>
            <w:proofErr w:type="spellStart"/>
            <w:r w:rsidRPr="00BC3A80">
              <w:rPr>
                <w:rFonts w:ascii="Verdana" w:hAnsi="Verdana" w:cs="Arial"/>
                <w:lang w:val="es-ES"/>
              </w:rPr>
              <w:t>Exp</w:t>
            </w:r>
            <w:proofErr w:type="spellEnd"/>
            <w:r w:rsidRPr="00BC3A80">
              <w:rPr>
                <w:rFonts w:ascii="Verdana" w:hAnsi="Verdana" w:cs="Arial"/>
                <w:lang w:val="es-ES"/>
              </w:rPr>
              <w:t xml:space="preserve">. 2004-00823-01(PI). </w:t>
            </w:r>
          </w:p>
          <w:p w14:paraId="020280C4" w14:textId="77777777" w:rsidR="00BB0426" w:rsidRPr="00BC3A80" w:rsidRDefault="00BB0426" w:rsidP="00BB0426">
            <w:pPr>
              <w:widowControl w:val="0"/>
              <w:numPr>
                <w:ilvl w:val="0"/>
                <w:numId w:val="17"/>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Sala de Consulta y Servicio Civil, Concepto de fecha 24 de julio de 2013, Rad. 2166, C. P. Álvaro </w:t>
            </w:r>
            <w:proofErr w:type="spellStart"/>
            <w:r w:rsidRPr="00BC3A80">
              <w:rPr>
                <w:rFonts w:ascii="Verdana" w:hAnsi="Verdana" w:cs="Arial"/>
                <w:lang w:val="es-ES"/>
              </w:rPr>
              <w:t>Namén</w:t>
            </w:r>
            <w:proofErr w:type="spellEnd"/>
            <w:r w:rsidRPr="00BC3A80">
              <w:rPr>
                <w:rFonts w:ascii="Verdana" w:hAnsi="Verdana" w:cs="Arial"/>
                <w:lang w:val="es-ES"/>
              </w:rPr>
              <w:t xml:space="preserve"> Vargas. </w:t>
            </w:r>
          </w:p>
          <w:p w14:paraId="35128305" w14:textId="77777777" w:rsidR="00BB0426" w:rsidRPr="00BC3A80" w:rsidRDefault="00BB0426" w:rsidP="00BB0426">
            <w:pPr>
              <w:numPr>
                <w:ilvl w:val="0"/>
                <w:numId w:val="17"/>
              </w:numPr>
              <w:spacing w:before="120" w:after="120" w:line="276" w:lineRule="auto"/>
              <w:jc w:val="both"/>
              <w:rPr>
                <w:rFonts w:ascii="Verdana" w:hAnsi="Verdana" w:cs="Arial"/>
                <w:lang w:val="es-ES"/>
              </w:rPr>
            </w:pPr>
            <w:r w:rsidRPr="00BC3A80">
              <w:rPr>
                <w:rFonts w:ascii="Verdana" w:hAnsi="Verdana" w:cs="Arial"/>
              </w:rPr>
              <w:t>Consejo de Estado. Sala de Consulta y Servicio Civil. Concepto del 15 de noviembre de 2007. Expediente número 1863. Consejero Ponente: Luis Fernando Álvarez Jaramillo</w:t>
            </w:r>
          </w:p>
          <w:p w14:paraId="223929EB" w14:textId="77777777" w:rsidR="00BB0426" w:rsidRPr="00BC3A80" w:rsidRDefault="00BB0426" w:rsidP="00BB0426">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rPr>
              <w:t xml:space="preserve">Circular Externa No. 006 de 2025 </w:t>
            </w:r>
            <w:hyperlink r:id="rId12" w:history="1">
              <w:r w:rsidRPr="00BC3A80">
                <w:rPr>
                  <w:rFonts w:ascii="Verdana" w:hAnsi="Verdana" w:cs="Arial"/>
                  <w:color w:val="0000FF"/>
                  <w:u w:val="single"/>
                </w:rPr>
                <w:t>https://www.colombiacompra.gov.co/archivos/circular/circular-externa-006-de-2025</w:t>
              </w:r>
            </w:hyperlink>
            <w:r w:rsidRPr="00BC3A80">
              <w:rPr>
                <w:rFonts w:ascii="Verdana" w:hAnsi="Verdana" w:cs="Arial"/>
              </w:rPr>
              <w:t xml:space="preserve"> </w:t>
            </w:r>
          </w:p>
        </w:tc>
      </w:tr>
    </w:tbl>
    <w:p w14:paraId="41B106EB" w14:textId="77777777" w:rsidR="00BB0426" w:rsidRPr="00BC3A80" w:rsidRDefault="00BB0426" w:rsidP="00BB0426">
      <w:pPr>
        <w:widowControl w:val="0"/>
        <w:autoSpaceDE w:val="0"/>
        <w:autoSpaceDN w:val="0"/>
        <w:spacing w:after="0" w:line="276" w:lineRule="auto"/>
        <w:jc w:val="both"/>
        <w:rPr>
          <w:rFonts w:ascii="Verdana" w:hAnsi="Verdana" w:cs="Arial"/>
          <w:lang w:val="es-ES_tradnl"/>
        </w:rPr>
      </w:pPr>
    </w:p>
    <w:p w14:paraId="3F633911" w14:textId="77777777" w:rsidR="00BB0426" w:rsidRPr="00BC3A80" w:rsidRDefault="00BB0426" w:rsidP="00BB0426">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Doctrina de la Agencia Nacional de Contratación Pública:</w:t>
      </w:r>
    </w:p>
    <w:p w14:paraId="5C9116E4" w14:textId="77777777" w:rsidR="00BB0426" w:rsidRPr="00BC3A80" w:rsidRDefault="00BB0426" w:rsidP="00BB0426">
      <w:pPr>
        <w:widowControl w:val="0"/>
        <w:autoSpaceDE w:val="0"/>
        <w:autoSpaceDN w:val="0"/>
        <w:spacing w:after="0" w:line="276" w:lineRule="auto"/>
        <w:jc w:val="both"/>
        <w:rPr>
          <w:rFonts w:ascii="Verdana" w:hAnsi="Verdana" w:cs="Arial"/>
          <w:lang w:val="es-ES_tradnl"/>
        </w:rPr>
      </w:pPr>
    </w:p>
    <w:p w14:paraId="4528213D" w14:textId="77777777" w:rsidR="00BB0426" w:rsidRPr="00BC3A80" w:rsidRDefault="00BB0426" w:rsidP="00BB0426">
      <w:pPr>
        <w:widowControl w:val="0"/>
        <w:autoSpaceDE w:val="0"/>
        <w:autoSpaceDN w:val="0"/>
        <w:spacing w:after="0" w:line="276" w:lineRule="auto"/>
        <w:jc w:val="both"/>
        <w:rPr>
          <w:rFonts w:ascii="Verdana" w:hAnsi="Verdana" w:cs="Arial"/>
          <w:color w:val="FF0000"/>
          <w:shd w:val="clear" w:color="auto" w:fill="FFFFFF"/>
          <w:lang w:val="es-ES_tradnl"/>
        </w:rPr>
      </w:pPr>
      <w:r w:rsidRPr="00BC3A80">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w:t>
      </w:r>
      <w:r w:rsidRPr="00BC3A80">
        <w:rPr>
          <w:rFonts w:ascii="Verdana" w:hAnsi="Verdana" w:cs="Arial"/>
          <w:shd w:val="clear" w:color="auto" w:fill="FFFFFF"/>
        </w:rPr>
        <w:lastRenderedPageBreak/>
        <w:t>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BC3A80">
        <w:rPr>
          <w:rFonts w:ascii="Verdana" w:hAnsi="Verdana" w:cs="Arial"/>
          <w:shd w:val="clear" w:color="auto" w:fill="FFFFFF"/>
        </w:rPr>
        <w:t xml:space="preserve"> C-1430 del 12 de noviembre de 2025</w:t>
      </w:r>
      <w:r>
        <w:rPr>
          <w:rFonts w:ascii="Verdana" w:hAnsi="Verdana" w:cs="Arial"/>
          <w:shd w:val="clear" w:color="auto" w:fill="FFFFFF"/>
        </w:rPr>
        <w:t xml:space="preserve"> y C-1568 del 14 de noviembre de 2025, entre otros</w:t>
      </w:r>
      <w:r w:rsidRPr="00BC3A80">
        <w:rPr>
          <w:rFonts w:ascii="Verdana" w:hAnsi="Verdana" w:cs="Arial"/>
          <w:shd w:val="clear" w:color="auto" w:fill="FFFFFF"/>
        </w:rPr>
        <w:t xml:space="preserve">. </w:t>
      </w:r>
      <w:r w:rsidRPr="00BC3A80">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BC3A80">
          <w:rPr>
            <w:rFonts w:ascii="Verdana" w:hAnsi="Verdana" w:cs="Arial"/>
            <w:color w:val="0000FF"/>
            <w:u w:val="single"/>
            <w:shd w:val="clear" w:color="auto" w:fill="FFFFFF"/>
            <w:lang w:val="es-ES_tradnl"/>
          </w:rPr>
          <w:t>https://relatoria.colombiacompra.gov.co/busqueda/conceptos</w:t>
        </w:r>
      </w:hyperlink>
      <w:r w:rsidRPr="00BC3A80">
        <w:rPr>
          <w:rFonts w:ascii="Verdana" w:hAnsi="Verdana" w:cs="Arial"/>
          <w:shd w:val="clear" w:color="auto" w:fill="FFFFFF"/>
          <w:lang w:val="es-ES_tradnl"/>
        </w:rPr>
        <w:t xml:space="preserve">. </w:t>
      </w:r>
      <w:r w:rsidRPr="00BC3A80">
        <w:rPr>
          <w:rFonts w:ascii="Verdana" w:hAnsi="Verdana" w:cs="Arial"/>
          <w:color w:val="FF0000"/>
          <w:shd w:val="clear" w:color="auto" w:fill="FFFFFF"/>
          <w:lang w:val="es-ES_tradnl"/>
        </w:rPr>
        <w:t xml:space="preserve"> </w:t>
      </w:r>
    </w:p>
    <w:p w14:paraId="2F8FF708" w14:textId="77777777" w:rsidR="00BB0426" w:rsidRPr="00BC3A80" w:rsidRDefault="00BB0426" w:rsidP="00BB0426">
      <w:pPr>
        <w:widowControl w:val="0"/>
        <w:autoSpaceDE w:val="0"/>
        <w:autoSpaceDN w:val="0"/>
        <w:spacing w:after="0" w:line="276" w:lineRule="auto"/>
        <w:jc w:val="both"/>
        <w:rPr>
          <w:rFonts w:ascii="Verdana" w:hAnsi="Verdana" w:cs="Arial"/>
          <w:color w:val="FF0000"/>
          <w:shd w:val="clear" w:color="auto" w:fill="FFFFFF"/>
          <w:lang w:val="es-ES_tradnl"/>
        </w:rPr>
      </w:pPr>
    </w:p>
    <w:p w14:paraId="4104A787" w14:textId="77777777" w:rsidR="00BB0426" w:rsidRPr="00BC3A80" w:rsidRDefault="00BB0426" w:rsidP="00BB0426">
      <w:pPr>
        <w:shd w:val="clear" w:color="auto" w:fill="FFFFFF"/>
        <w:spacing w:after="0" w:line="276" w:lineRule="auto"/>
        <w:jc w:val="both"/>
        <w:rPr>
          <w:rFonts w:ascii="Verdana" w:hAnsi="Verdana"/>
          <w:color w:val="467886"/>
          <w:u w:val="single"/>
        </w:rPr>
      </w:pPr>
      <w:r w:rsidRPr="00BC3A80">
        <w:rPr>
          <w:rFonts w:ascii="Verdana" w:hAnsi="Verdana"/>
          <w:color w:val="000000"/>
        </w:rPr>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C3A80">
        <w:rPr>
          <w:rFonts w:ascii="Verdana" w:hAnsi="Verdana"/>
          <w:color w:val="000000"/>
        </w:rPr>
        <w:t>Wayúu</w:t>
      </w:r>
      <w:proofErr w:type="spellEnd"/>
      <w:r w:rsidRPr="00BC3A80">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BC3A80">
          <w:rPr>
            <w:rFonts w:ascii="Verdana" w:hAnsi="Verdana"/>
            <w:color w:val="0000FF"/>
            <w:u w:val="single"/>
          </w:rPr>
          <w:t>Guía de lineamientos de transparencia y selección objetiva para el departamento de La Guajira – Objetivo sexto constitucional de la Sentencia T-302 del 2017</w:t>
        </w:r>
      </w:hyperlink>
      <w:r w:rsidRPr="00BC3A80">
        <w:rPr>
          <w:rFonts w:ascii="Verdana" w:hAnsi="Verdana"/>
          <w:color w:val="000000"/>
          <w:u w:val="single"/>
        </w:rPr>
        <w:t>.</w:t>
      </w:r>
    </w:p>
    <w:p w14:paraId="6A9BB3AB" w14:textId="77777777" w:rsidR="00BB0426" w:rsidRPr="00BC3A80" w:rsidRDefault="00BB0426" w:rsidP="00BB0426">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t xml:space="preserve"> </w:t>
      </w:r>
    </w:p>
    <w:p w14:paraId="724887DA" w14:textId="77777777" w:rsidR="00BB0426" w:rsidRPr="00BC3A80" w:rsidRDefault="00BB0426" w:rsidP="00BB0426">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390A324" w14:textId="77777777" w:rsidR="00BB0426" w:rsidRPr="00BC3A80" w:rsidRDefault="00BB0426" w:rsidP="00BB0426">
      <w:pPr>
        <w:spacing w:after="0" w:line="276" w:lineRule="auto"/>
        <w:jc w:val="both"/>
        <w:rPr>
          <w:rFonts w:ascii="Verdana" w:hAnsi="Verdana"/>
        </w:rPr>
      </w:pPr>
    </w:p>
    <w:p w14:paraId="3ECF7A1D" w14:textId="77777777" w:rsidR="00BB0426" w:rsidRPr="00BC3A80" w:rsidRDefault="00BB0426" w:rsidP="00BB0426">
      <w:pPr>
        <w:numPr>
          <w:ilvl w:val="0"/>
          <w:numId w:val="15"/>
        </w:numPr>
        <w:spacing w:after="0" w:line="276" w:lineRule="auto"/>
        <w:contextualSpacing/>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388C82CD" w14:textId="77777777" w:rsidR="00BB0426" w:rsidRPr="00BC3A80" w:rsidRDefault="00BB0426" w:rsidP="00BB0426">
      <w:pPr>
        <w:numPr>
          <w:ilvl w:val="0"/>
          <w:numId w:val="15"/>
        </w:numPr>
        <w:spacing w:after="0" w:line="276" w:lineRule="auto"/>
        <w:contextualSpacing/>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proofErr w:type="gramStart"/>
      <w:r w:rsidRPr="00BC3A80">
        <w:rPr>
          <w:rFonts w:ascii="Verdana" w:eastAsia="Verdana" w:hAnsi="Verdana" w:cs="Verdana"/>
          <w:lang w:val="es-MX"/>
        </w:rPr>
        <w:t>):</w:t>
      </w:r>
      <w:r w:rsidRPr="00BC3A80">
        <w:rPr>
          <w:rFonts w:ascii="Verdana" w:hAnsi="Verdana"/>
          <w:color w:val="0000FF"/>
          <w:u w:val="single"/>
          <w:lang w:val="es-ES"/>
        </w:rPr>
        <w:t>+</w:t>
      </w:r>
      <w:proofErr w:type="gramEnd"/>
      <w:r w:rsidRPr="00BC3A80">
        <w:rPr>
          <w:rFonts w:ascii="Verdana" w:hAnsi="Verdana"/>
          <w:color w:val="0000FF"/>
          <w:u w:val="single"/>
          <w:lang w:val="es-ES"/>
        </w:rPr>
        <w:t>57 601 7456788</w:t>
      </w:r>
    </w:p>
    <w:p w14:paraId="0182CB44" w14:textId="77777777" w:rsidR="00BB0426" w:rsidRPr="00BC3A80" w:rsidRDefault="00BB0426" w:rsidP="00BB0426">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MX"/>
        </w:rPr>
        <w:t xml:space="preserve">Correo de radicación de correspondencia: </w:t>
      </w:r>
      <w:hyperlink r:id="rId15" w:history="1">
        <w:r w:rsidRPr="00BC3A80">
          <w:rPr>
            <w:rFonts w:ascii="Verdana" w:eastAsia="Verdana" w:hAnsi="Verdana" w:cs="Verdana"/>
            <w:color w:val="0000FF"/>
            <w:u w:val="single"/>
            <w:lang w:val="es-MX"/>
          </w:rPr>
          <w:t>ventanilladeradicacion@colombiacompra.gov.co</w:t>
        </w:r>
      </w:hyperlink>
    </w:p>
    <w:p w14:paraId="11BCAC8C" w14:textId="77777777" w:rsidR="00BB0426" w:rsidRPr="00BC3A80" w:rsidRDefault="00BB0426" w:rsidP="00BB0426">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ES"/>
        </w:rPr>
        <w:t xml:space="preserve">Formulario web para PQRSD: </w:t>
      </w:r>
      <w:hyperlink r:id="rId16" w:history="1">
        <w:r w:rsidRPr="00BC3A80">
          <w:rPr>
            <w:rFonts w:ascii="Verdana" w:eastAsia="Verdana" w:hAnsi="Verdana" w:cs="Verdana"/>
            <w:color w:val="0000FF"/>
            <w:u w:val="single"/>
            <w:lang w:val="es-MX"/>
          </w:rPr>
          <w:t>https://www.colombiacompra.gov.co/pqrsd/informacion-importante-antes-de-formular-una-pqrsd</w:t>
        </w:r>
      </w:hyperlink>
    </w:p>
    <w:p w14:paraId="0E343D39" w14:textId="77777777" w:rsidR="00BB0426" w:rsidRPr="00BC3A80" w:rsidRDefault="00BB0426" w:rsidP="00BB0426">
      <w:pPr>
        <w:spacing w:after="0" w:line="276" w:lineRule="auto"/>
        <w:ind w:left="720"/>
        <w:jc w:val="both"/>
        <w:rPr>
          <w:rFonts w:ascii="Verdana" w:hAnsi="Verdana"/>
        </w:rPr>
      </w:pPr>
    </w:p>
    <w:p w14:paraId="051D61D4" w14:textId="77777777" w:rsidR="00BB0426" w:rsidRPr="00BC3A80" w:rsidRDefault="00BB0426" w:rsidP="00BB0426">
      <w:pPr>
        <w:spacing w:after="0" w:line="276" w:lineRule="auto"/>
        <w:rPr>
          <w:rFonts w:ascii="Verdana" w:hAnsi="Verdana"/>
        </w:rPr>
      </w:pPr>
      <w:r w:rsidRPr="00BC3A80">
        <w:rPr>
          <w:rFonts w:ascii="Verdana" w:hAnsi="Verdana"/>
        </w:rPr>
        <w:lastRenderedPageBreak/>
        <w:t xml:space="preserve">Evalúa el servicio que ofrece la Agencia por el canal de atención de PQRSD en el siguiente </w:t>
      </w:r>
      <w:proofErr w:type="gramStart"/>
      <w:r w:rsidRPr="00BC3A80">
        <w:rPr>
          <w:rFonts w:ascii="Verdana" w:hAnsi="Verdana"/>
        </w:rPr>
        <w:t>enlace :</w:t>
      </w:r>
      <w:proofErr w:type="gramEnd"/>
      <w:hyperlink r:id="rId17" w:tgtFrame="_blank" w:tooltip="https://forms.office.com/r/pphywvs2sz" w:history="1">
        <w:r w:rsidRPr="00BC3A8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533EC0FE" w14:textId="77777777" w:rsidR="00BB0426" w:rsidRPr="00BC3A80" w:rsidRDefault="00BB0426" w:rsidP="00BB0426">
      <w:pPr>
        <w:spacing w:after="0" w:line="276" w:lineRule="auto"/>
        <w:rPr>
          <w:rFonts w:ascii="Verdana" w:hAnsi="Verdana"/>
        </w:rPr>
      </w:pPr>
    </w:p>
    <w:p w14:paraId="297EB098" w14:textId="77777777" w:rsidR="00BB0426" w:rsidRPr="00BC3A80" w:rsidRDefault="00BB0426" w:rsidP="00BB0426">
      <w:pPr>
        <w:spacing w:after="0" w:line="276"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7C4990FB" w14:textId="77777777" w:rsidR="00BB0426" w:rsidRPr="00BC3A80" w:rsidRDefault="00BB0426" w:rsidP="00BB0426">
      <w:pPr>
        <w:spacing w:after="0" w:line="276" w:lineRule="auto"/>
        <w:jc w:val="both"/>
        <w:rPr>
          <w:rFonts w:ascii="Verdana" w:hAnsi="Verdana"/>
        </w:rPr>
      </w:pPr>
    </w:p>
    <w:p w14:paraId="2D4BDE40" w14:textId="77777777" w:rsidR="00BB0426" w:rsidRPr="00BC3A80" w:rsidRDefault="00BB0426" w:rsidP="00BB0426">
      <w:pPr>
        <w:spacing w:after="0" w:line="276"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529A1AD6" w14:textId="77777777" w:rsidR="00BB0426" w:rsidRPr="00BC3A80" w:rsidRDefault="00BB0426" w:rsidP="00BB0426">
      <w:pPr>
        <w:spacing w:after="0" w:line="276" w:lineRule="auto"/>
        <w:jc w:val="both"/>
        <w:rPr>
          <w:rFonts w:ascii="Verdana" w:hAnsi="Verdana"/>
        </w:rPr>
      </w:pPr>
      <w:r w:rsidRPr="00BC3A80">
        <w:rPr>
          <w:rFonts w:ascii="Verdana" w:hAnsi="Verdana"/>
        </w:rPr>
        <w:t xml:space="preserve">Facebook: </w:t>
      </w:r>
      <w:proofErr w:type="spellStart"/>
      <w:r w:rsidRPr="00BC3A80">
        <w:rPr>
          <w:rFonts w:ascii="Verdana" w:hAnsi="Verdana"/>
          <w:color w:val="0000FF"/>
          <w:u w:val="single"/>
        </w:rPr>
        <w:t>ColombiaCompraEficiente</w:t>
      </w:r>
      <w:proofErr w:type="spellEnd"/>
    </w:p>
    <w:p w14:paraId="7D04588F" w14:textId="77777777" w:rsidR="00BB0426" w:rsidRPr="00BC3A80" w:rsidRDefault="00BB0426" w:rsidP="00BB0426">
      <w:pPr>
        <w:spacing w:after="0" w:line="276"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2AC65778" w14:textId="77777777" w:rsidR="00BB0426" w:rsidRPr="00BC3A80" w:rsidRDefault="00BB0426" w:rsidP="00BB0426">
      <w:pPr>
        <w:widowControl w:val="0"/>
        <w:autoSpaceDE w:val="0"/>
        <w:autoSpaceDN w:val="0"/>
        <w:spacing w:after="12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16165144" w14:textId="77777777" w:rsidR="00BB0426" w:rsidRPr="00BC3A80" w:rsidRDefault="00BB0426" w:rsidP="00BB0426">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713859CB" w14:textId="77777777" w:rsidR="00BB0426" w:rsidRPr="00BC3A80" w:rsidRDefault="00BB0426" w:rsidP="00BB0426">
      <w:pPr>
        <w:widowControl w:val="0"/>
        <w:autoSpaceDE w:val="0"/>
        <w:autoSpaceDN w:val="0"/>
        <w:spacing w:after="0" w:line="276" w:lineRule="auto"/>
        <w:jc w:val="both"/>
        <w:rPr>
          <w:rFonts w:ascii="Verdana" w:hAnsi="Verdana" w:cs="Arial"/>
          <w:lang w:val="es-ES_tradnl"/>
        </w:rPr>
      </w:pPr>
    </w:p>
    <w:p w14:paraId="19D9B483" w14:textId="77777777" w:rsidR="00BB0426" w:rsidRDefault="00BB0426" w:rsidP="00BB0426">
      <w:pPr>
        <w:spacing w:after="0" w:line="276" w:lineRule="auto"/>
        <w:rPr>
          <w:rFonts w:ascii="Verdana" w:eastAsia="Times New Roman" w:hAnsi="Verdana" w:cs="Arial"/>
          <w:lang w:eastAsia="es-ES_tradnl"/>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bookmarkEnd w:id="0"/>
    </w:p>
    <w:p w14:paraId="4FEED17E" w14:textId="77777777" w:rsidR="00BB0426" w:rsidRPr="00116940" w:rsidRDefault="00BB0426" w:rsidP="00BB0426">
      <w:pPr>
        <w:spacing w:after="0" w:line="240" w:lineRule="auto"/>
        <w:jc w:val="both"/>
        <w:rPr>
          <w:rFonts w:ascii="Verdana" w:hAnsi="Verdana"/>
        </w:rPr>
      </w:pPr>
    </w:p>
    <w:p w14:paraId="17E7A8B1" w14:textId="34A5EB8C" w:rsidR="00BB0426" w:rsidRDefault="00712F71" w:rsidP="00BB0426">
      <w:pPr>
        <w:spacing w:after="0" w:line="240" w:lineRule="auto"/>
        <w:jc w:val="center"/>
      </w:pPr>
      <w:r w:rsidRPr="002C3AD6">
        <w:rPr>
          <w:rFonts w:ascii="Century Gothic" w:hAnsi="Century Gothic"/>
          <w:noProof/>
        </w:rPr>
        <w:drawing>
          <wp:inline distT="0" distB="0" distL="0" distR="0" wp14:anchorId="5C4A3280" wp14:editId="25802DC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B0426" w:rsidRPr="00E3533A" w14:paraId="7A0CF950" w14:textId="77777777" w:rsidTr="003021E1">
        <w:trPr>
          <w:trHeight w:val="315"/>
        </w:trPr>
        <w:tc>
          <w:tcPr>
            <w:tcW w:w="893" w:type="dxa"/>
            <w:vAlign w:val="center"/>
            <w:hideMark/>
          </w:tcPr>
          <w:p w14:paraId="2D3F4094" w14:textId="77777777" w:rsidR="00BB0426" w:rsidRPr="00E3533A" w:rsidRDefault="00BB0426" w:rsidP="003021E1">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E9D4308" w14:textId="77777777" w:rsidR="00BB0426" w:rsidRPr="00E3533A" w:rsidRDefault="00BB0426" w:rsidP="003021E1">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22217EDF" w14:textId="77777777" w:rsidR="00BB0426" w:rsidRPr="00E3533A" w:rsidRDefault="00BB0426" w:rsidP="003021E1">
            <w:pPr>
              <w:contextualSpacing/>
              <w:rPr>
                <w:rFonts w:ascii="Verdana" w:eastAsia="Arial" w:hAnsi="Verdana" w:cs="Arial"/>
                <w:sz w:val="16"/>
                <w:szCs w:val="16"/>
              </w:rPr>
            </w:pPr>
            <w:r>
              <w:rPr>
                <w:rFonts w:ascii="Verdana" w:eastAsia="Calibri" w:hAnsi="Verdana" w:cs="Times New Roman"/>
                <w:sz w:val="16"/>
                <w:szCs w:val="16"/>
              </w:rPr>
              <w:t xml:space="preserve">Contratista </w:t>
            </w:r>
            <w:r w:rsidRPr="00E3533A">
              <w:rPr>
                <w:rFonts w:ascii="Verdana" w:eastAsia="Calibri" w:hAnsi="Verdana" w:cs="Times New Roman"/>
                <w:sz w:val="16"/>
                <w:szCs w:val="16"/>
              </w:rPr>
              <w:t>de la Subdirección de Gestión Contractual</w:t>
            </w:r>
          </w:p>
        </w:tc>
      </w:tr>
      <w:tr w:rsidR="00BB0426" w:rsidRPr="00E3533A" w14:paraId="2D930455" w14:textId="77777777" w:rsidTr="003021E1">
        <w:trPr>
          <w:trHeight w:val="330"/>
        </w:trPr>
        <w:tc>
          <w:tcPr>
            <w:tcW w:w="893" w:type="dxa"/>
            <w:vAlign w:val="center"/>
            <w:hideMark/>
          </w:tcPr>
          <w:p w14:paraId="5EC57D21" w14:textId="77777777" w:rsidR="00BB0426" w:rsidRPr="00E3533A" w:rsidRDefault="00BB0426" w:rsidP="003021E1">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5E399F" w14:textId="77777777" w:rsidR="00BB0426" w:rsidRPr="002B5C7D" w:rsidRDefault="00BB0426" w:rsidP="003021E1">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0ED5726A" w14:textId="77777777" w:rsidR="00BB0426" w:rsidRPr="00E3533A" w:rsidRDefault="00BB0426" w:rsidP="003021E1">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BB0426" w:rsidRPr="00E3533A" w14:paraId="18495AB5" w14:textId="77777777" w:rsidTr="003021E1">
        <w:trPr>
          <w:trHeight w:val="300"/>
        </w:trPr>
        <w:tc>
          <w:tcPr>
            <w:tcW w:w="893" w:type="dxa"/>
            <w:vAlign w:val="center"/>
          </w:tcPr>
          <w:p w14:paraId="7C19F0B7" w14:textId="77777777" w:rsidR="00BB0426" w:rsidRPr="00E3533A" w:rsidRDefault="00BB0426" w:rsidP="003021E1">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349365" w14:textId="77777777" w:rsidR="00BB0426" w:rsidRPr="00E3533A" w:rsidRDefault="00BB0426" w:rsidP="003021E1">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1E07475C" w14:textId="77777777" w:rsidR="00BB0426" w:rsidRPr="00E3533A" w:rsidRDefault="00BB0426" w:rsidP="003021E1">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512993C4" w14:textId="77777777" w:rsidR="00BB0426" w:rsidRPr="00E3533A" w:rsidRDefault="00BB0426" w:rsidP="00BB0426">
      <w:pPr>
        <w:spacing w:after="0"/>
        <w:rPr>
          <w:rFonts w:ascii="Verdana" w:hAnsi="Verdana"/>
        </w:rPr>
      </w:pPr>
    </w:p>
    <w:p w14:paraId="4316A104" w14:textId="77777777" w:rsidR="00BB0426" w:rsidRPr="00FB7971" w:rsidRDefault="00BB0426" w:rsidP="00BB0426"/>
    <w:p w14:paraId="562BF5FC" w14:textId="77777777" w:rsidR="00BB0426" w:rsidRPr="00214248" w:rsidRDefault="00BB0426" w:rsidP="00BB0426"/>
    <w:p w14:paraId="6F88B516" w14:textId="77777777" w:rsidR="00BB0426" w:rsidRPr="0044528D" w:rsidRDefault="00BB0426" w:rsidP="00BB0426">
      <w:pPr>
        <w:spacing w:after="0"/>
        <w:jc w:val="both"/>
        <w:rPr>
          <w:rStyle w:val="Hipervnculo"/>
          <w:rFonts w:ascii="Verdana" w:hAnsi="Verdana"/>
        </w:rPr>
      </w:pPr>
    </w:p>
    <w:p w14:paraId="0F293BF4" w14:textId="2A03ACDA" w:rsidR="00127233" w:rsidRPr="00DC56F6" w:rsidRDefault="00127233" w:rsidP="00DC56F6"/>
    <w:sectPr w:rsidR="00127233" w:rsidRPr="00DC56F6"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FB8061" w14:textId="77777777" w:rsidR="00EA7E40" w:rsidRDefault="00EA7E40" w:rsidP="004A1847">
      <w:pPr>
        <w:spacing w:after="0" w:line="240" w:lineRule="auto"/>
      </w:pPr>
      <w:r>
        <w:separator/>
      </w:r>
    </w:p>
  </w:endnote>
  <w:endnote w:type="continuationSeparator" w:id="0">
    <w:p w14:paraId="4E063D7A" w14:textId="77777777" w:rsidR="00EA7E40" w:rsidRDefault="00EA7E4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DC56F6"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DC56F6">
      <w:rPr>
        <w:rFonts w:ascii="Century Gothic" w:eastAsia="Geo" w:hAnsi="Century Gothic" w:cs="Geo"/>
        <w:b/>
        <w:bCs/>
        <w:color w:val="000000" w:themeColor="text1"/>
        <w:sz w:val="16"/>
        <w:szCs w:val="16"/>
        <w:lang w:val="pt-PT" w:eastAsia="es-CO"/>
      </w:rPr>
      <w:t xml:space="preserve">Código: </w:t>
    </w:r>
    <w:r w:rsidRPr="00DC56F6">
      <w:rPr>
        <w:rFonts w:ascii="Century Gothic" w:eastAsia="Geo" w:hAnsi="Century Gothic" w:cs="Geo"/>
        <w:color w:val="000000" w:themeColor="text1"/>
        <w:sz w:val="16"/>
        <w:szCs w:val="16"/>
        <w:lang w:val="pt-PT" w:eastAsia="es-CO"/>
      </w:rPr>
      <w:t xml:space="preserve">CCE-REC-FM-17 </w:t>
    </w:r>
    <w:r w:rsidRPr="00DC56F6">
      <w:rPr>
        <w:rFonts w:ascii="Century Gothic" w:eastAsia="Geo" w:hAnsi="Century Gothic" w:cs="Geo"/>
        <w:b/>
        <w:bCs/>
        <w:color w:val="000000" w:themeColor="text1"/>
        <w:sz w:val="16"/>
        <w:szCs w:val="16"/>
        <w:lang w:val="pt-PT" w:eastAsia="es-CO"/>
      </w:rPr>
      <w:t>V</w:t>
    </w:r>
    <w:r w:rsidRPr="00DC56F6">
      <w:rPr>
        <w:rFonts w:ascii="Century Gothic" w:eastAsia="Arial Nova" w:hAnsi="Century Gothic" w:cs="Arial Nova"/>
        <w:b/>
        <w:bCs/>
        <w:color w:val="000000" w:themeColor="text1"/>
        <w:sz w:val="16"/>
        <w:szCs w:val="16"/>
        <w:lang w:val="pt-PT" w:eastAsia="es-CO"/>
      </w:rPr>
      <w:t xml:space="preserve">: </w:t>
    </w:r>
    <w:r w:rsidRPr="00DC56F6">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E947E" w14:textId="77777777" w:rsidR="00EA7E40" w:rsidRDefault="00EA7E40" w:rsidP="004A1847">
      <w:pPr>
        <w:spacing w:after="0" w:line="240" w:lineRule="auto"/>
      </w:pPr>
      <w:r>
        <w:separator/>
      </w:r>
    </w:p>
  </w:footnote>
  <w:footnote w:type="continuationSeparator" w:id="0">
    <w:p w14:paraId="0E45E55A" w14:textId="77777777" w:rsidR="00EA7E40" w:rsidRDefault="00EA7E40" w:rsidP="004A1847">
      <w:pPr>
        <w:spacing w:after="0" w:line="240" w:lineRule="auto"/>
      </w:pPr>
      <w:r>
        <w:continuationSeparator/>
      </w:r>
    </w:p>
  </w:footnote>
  <w:footnote w:id="1">
    <w:p w14:paraId="331CC538" w14:textId="77777777" w:rsidR="00BB0426" w:rsidRPr="00B10300" w:rsidRDefault="00BB0426" w:rsidP="00BB0426">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1C6CB82" w14:textId="77777777" w:rsidR="00BB0426" w:rsidRPr="00B10300" w:rsidRDefault="00BB0426" w:rsidP="00BB0426">
      <w:pPr>
        <w:pStyle w:val="Textonotapie"/>
        <w:ind w:firstLine="709"/>
        <w:contextualSpacing/>
        <w:jc w:val="both"/>
        <w:rPr>
          <w:rFonts w:ascii="Verdana" w:hAnsi="Verdana" w:cs="Arial"/>
          <w:sz w:val="14"/>
          <w:szCs w:val="14"/>
        </w:rPr>
      </w:pPr>
      <w:r w:rsidRPr="00B1030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27A3615" w14:textId="77777777" w:rsidR="00BB0426" w:rsidRPr="00B10300" w:rsidRDefault="00BB0426" w:rsidP="00BB0426">
      <w:pPr>
        <w:pStyle w:val="Textonotapie"/>
        <w:ind w:firstLine="709"/>
        <w:contextualSpacing/>
        <w:jc w:val="both"/>
        <w:rPr>
          <w:rFonts w:ascii="Verdana" w:hAnsi="Verdana" w:cs="Arial"/>
          <w:sz w:val="14"/>
          <w:szCs w:val="14"/>
        </w:rPr>
      </w:pPr>
    </w:p>
  </w:footnote>
  <w:footnote w:id="2">
    <w:p w14:paraId="5579A735" w14:textId="77777777" w:rsidR="00BB0426" w:rsidRPr="00B10300" w:rsidRDefault="00BB0426" w:rsidP="00BB0426">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Gaceta del Congreso de la República No. 71 del 2005.</w:t>
      </w:r>
    </w:p>
  </w:footnote>
  <w:footnote w:id="3">
    <w:p w14:paraId="37108587" w14:textId="77777777" w:rsidR="00BB0426" w:rsidRPr="00B10300" w:rsidRDefault="00BB0426" w:rsidP="00BB0426">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 C- 1153 de 2005, M.P. Marco Gerardo Monroy Cabra.</w:t>
      </w:r>
    </w:p>
    <w:p w14:paraId="0FDF6DC1" w14:textId="77777777" w:rsidR="00BB0426" w:rsidRPr="00B10300" w:rsidRDefault="00BB0426" w:rsidP="00BB0426">
      <w:pPr>
        <w:pStyle w:val="Textonotapie"/>
        <w:ind w:firstLine="709"/>
        <w:contextualSpacing/>
        <w:jc w:val="both"/>
        <w:rPr>
          <w:rFonts w:ascii="Verdana" w:hAnsi="Verdana" w:cs="Arial"/>
          <w:sz w:val="14"/>
          <w:szCs w:val="14"/>
          <w:lang w:val="pt-BR"/>
        </w:rPr>
      </w:pPr>
    </w:p>
  </w:footnote>
  <w:footnote w:id="4">
    <w:p w14:paraId="09823333" w14:textId="77777777" w:rsidR="00BB0426" w:rsidRPr="00B10300" w:rsidRDefault="00BB0426" w:rsidP="00BB0426">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62F2D3D6" w14:textId="77777777" w:rsidR="00BB0426" w:rsidRPr="00B10300" w:rsidRDefault="00BB0426" w:rsidP="00BB0426">
      <w:pPr>
        <w:pStyle w:val="Textonotapie"/>
        <w:ind w:firstLine="709"/>
        <w:contextualSpacing/>
        <w:jc w:val="both"/>
        <w:rPr>
          <w:rFonts w:ascii="Verdana" w:hAnsi="Verdana" w:cs="Arial"/>
          <w:sz w:val="14"/>
          <w:szCs w:val="14"/>
          <w:lang w:val="pt-BR"/>
        </w:rPr>
      </w:pPr>
    </w:p>
  </w:footnote>
  <w:footnote w:id="5">
    <w:p w14:paraId="18B5AE4F" w14:textId="77777777" w:rsidR="00BB0426" w:rsidRPr="00B10300" w:rsidRDefault="00BB0426" w:rsidP="00BB0426">
      <w:pPr>
        <w:pStyle w:val="Textonotapie"/>
        <w:ind w:firstLine="709"/>
        <w:contextualSpacing/>
        <w:jc w:val="both"/>
        <w:rPr>
          <w:rFonts w:ascii="Verdana" w:hAnsi="Verdana" w:cs="Arial"/>
          <w:sz w:val="14"/>
          <w:szCs w:val="14"/>
          <w:lang w:val="es-CO"/>
        </w:rPr>
      </w:pPr>
      <w:r w:rsidRPr="00B10300">
        <w:rPr>
          <w:rStyle w:val="Refdenotaalpie"/>
          <w:rFonts w:ascii="Verdana" w:hAnsi="Verdana" w:cs="Arial"/>
          <w:sz w:val="14"/>
          <w:szCs w:val="14"/>
        </w:rPr>
        <w:footnoteRef/>
      </w:r>
      <w:r w:rsidRPr="00B1030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0CECBFF4" w14:textId="77777777" w:rsidR="00BB0426" w:rsidRPr="00B10300" w:rsidRDefault="00BB0426" w:rsidP="00BB0426">
      <w:pPr>
        <w:pStyle w:val="Textonotapie"/>
        <w:ind w:firstLine="709"/>
        <w:contextualSpacing/>
        <w:jc w:val="both"/>
        <w:rPr>
          <w:rFonts w:ascii="Verdana" w:hAnsi="Verdana" w:cs="Arial"/>
          <w:sz w:val="14"/>
          <w:szCs w:val="14"/>
          <w:lang w:val="es-CO"/>
        </w:rPr>
      </w:pPr>
    </w:p>
  </w:footnote>
  <w:footnote w:id="6">
    <w:p w14:paraId="718CB068" w14:textId="77777777" w:rsidR="00BB0426" w:rsidRPr="00B10300" w:rsidRDefault="00BB0426" w:rsidP="00BB0426">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de fecha 24 de julio de 2013, Rad. 2166, C. P. Álvaro Namén Vargas. </w:t>
      </w:r>
    </w:p>
    <w:p w14:paraId="3D586B89" w14:textId="77777777" w:rsidR="00BB0426" w:rsidRPr="00B10300" w:rsidRDefault="00BB0426" w:rsidP="00BB0426">
      <w:pPr>
        <w:pStyle w:val="Textonotapie"/>
        <w:ind w:firstLine="709"/>
        <w:contextualSpacing/>
        <w:jc w:val="both"/>
        <w:rPr>
          <w:rFonts w:ascii="Verdana" w:hAnsi="Verdana" w:cs="Arial"/>
          <w:sz w:val="14"/>
          <w:szCs w:val="14"/>
        </w:rPr>
      </w:pPr>
      <w:r w:rsidRPr="00B10300">
        <w:rPr>
          <w:rFonts w:ascii="Verdana" w:hAnsi="Verdana" w:cs="Arial"/>
          <w:sz w:val="14"/>
          <w:szCs w:val="14"/>
        </w:rPr>
        <w:t xml:space="preserve"> </w:t>
      </w:r>
    </w:p>
  </w:footnote>
  <w:footnote w:id="7">
    <w:p w14:paraId="04223406" w14:textId="77777777" w:rsidR="00BB0426" w:rsidRPr="00B10300" w:rsidRDefault="00BB0426" w:rsidP="00BB0426">
      <w:pPr>
        <w:spacing w:after="0" w:line="240" w:lineRule="auto"/>
        <w:ind w:firstLine="709"/>
        <w:contextualSpacing/>
        <w:jc w:val="both"/>
        <w:rPr>
          <w:rFonts w:ascii="Verdana" w:eastAsia="Times New Roman"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color w:val="000000"/>
          <w:sz w:val="14"/>
          <w:szCs w:val="14"/>
        </w:rPr>
        <w:t>“</w:t>
      </w:r>
      <w:r w:rsidRPr="00B10300">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F328812" w14:textId="77777777" w:rsidR="00BB0426" w:rsidRPr="00B10300" w:rsidRDefault="00BB0426" w:rsidP="00BB0426">
      <w:pPr>
        <w:spacing w:after="0" w:line="240" w:lineRule="auto"/>
        <w:ind w:firstLine="709"/>
        <w:contextualSpacing/>
        <w:jc w:val="both"/>
        <w:rPr>
          <w:rFonts w:ascii="Verdana" w:eastAsia="Times New Roman" w:hAnsi="Verdana" w:cs="Arial"/>
          <w:sz w:val="14"/>
          <w:szCs w:val="14"/>
        </w:rPr>
      </w:pPr>
      <w:r w:rsidRPr="00B10300">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10300">
        <w:rPr>
          <w:rFonts w:ascii="Verdana" w:hAnsi="Verdana" w:cs="Arial"/>
          <w:color w:val="000000"/>
          <w:sz w:val="14"/>
          <w:szCs w:val="14"/>
        </w:rPr>
        <w:t>”</w:t>
      </w:r>
      <w:r w:rsidRPr="00B10300">
        <w:rPr>
          <w:rFonts w:ascii="Verdana" w:eastAsia="Times New Roman" w:hAnsi="Verdana" w:cs="Arial"/>
          <w:sz w:val="14"/>
          <w:szCs w:val="14"/>
        </w:rPr>
        <w:t>.</w:t>
      </w:r>
    </w:p>
    <w:p w14:paraId="409AF5BA" w14:textId="77777777" w:rsidR="00BB0426" w:rsidRPr="00B10300" w:rsidRDefault="00BB0426" w:rsidP="00BB0426">
      <w:pPr>
        <w:spacing w:after="0" w:line="240" w:lineRule="auto"/>
        <w:ind w:firstLine="709"/>
        <w:contextualSpacing/>
        <w:jc w:val="both"/>
        <w:rPr>
          <w:rFonts w:ascii="Verdana" w:eastAsia="Times New Roman" w:hAnsi="Verdana" w:cs="Arial"/>
          <w:sz w:val="14"/>
          <w:szCs w:val="14"/>
        </w:rPr>
      </w:pPr>
    </w:p>
  </w:footnote>
  <w:footnote w:id="8">
    <w:p w14:paraId="13D1BC96" w14:textId="77777777" w:rsidR="00BB0426" w:rsidRPr="00B10300" w:rsidRDefault="00BB0426" w:rsidP="00BB0426">
      <w:pPr>
        <w:pStyle w:val="NormalWeb"/>
        <w:spacing w:after="0"/>
        <w:ind w:firstLine="709"/>
        <w:contextualSpacing/>
        <w:jc w:val="both"/>
        <w:rPr>
          <w:rFonts w:ascii="Verdana" w:hAnsi="Verdana" w:cs="Arial"/>
          <w:sz w:val="14"/>
          <w:szCs w:val="14"/>
          <w:lang w:val="es-MX"/>
        </w:rPr>
      </w:pPr>
      <w:r w:rsidRPr="00B10300">
        <w:rPr>
          <w:rStyle w:val="Refdenotaalpie"/>
          <w:rFonts w:ascii="Verdana" w:eastAsiaTheme="majorEastAsia" w:hAnsi="Verdana" w:cs="Arial"/>
          <w:sz w:val="14"/>
          <w:szCs w:val="14"/>
        </w:rPr>
        <w:footnoteRef/>
      </w:r>
      <w:r w:rsidRPr="00B10300">
        <w:rPr>
          <w:rFonts w:ascii="Verdana" w:hAnsi="Verdana" w:cs="Arial"/>
          <w:sz w:val="14"/>
          <w:szCs w:val="14"/>
        </w:rPr>
        <w:t xml:space="preserve"> </w:t>
      </w:r>
      <w:r w:rsidRPr="00B10300">
        <w:rPr>
          <w:rFonts w:ascii="Verdana" w:eastAsia="Calibri" w:hAnsi="Verdana" w:cs="Arial"/>
          <w:color w:val="000000"/>
          <w:sz w:val="14"/>
          <w:szCs w:val="14"/>
        </w:rPr>
        <w:t>“</w:t>
      </w:r>
      <w:r w:rsidRPr="00B10300">
        <w:rPr>
          <w:rFonts w:ascii="Verdana" w:hAnsi="Verdana" w:cs="Arial"/>
          <w:sz w:val="14"/>
          <w:szCs w:val="14"/>
          <w:lang w:val="es-MX"/>
        </w:rPr>
        <w:t>Artículo 38. Prohibiciones para los servidores públicos. A los empleados del Estado les está prohibido: […]</w:t>
      </w:r>
    </w:p>
    <w:p w14:paraId="703C7C10" w14:textId="77777777" w:rsidR="00BB0426" w:rsidRPr="00B10300" w:rsidRDefault="00BB0426" w:rsidP="00BB0426">
      <w:pPr>
        <w:pStyle w:val="NormalWeb"/>
        <w:spacing w:after="0"/>
        <w:ind w:firstLine="709"/>
        <w:contextualSpacing/>
        <w:jc w:val="both"/>
        <w:rPr>
          <w:rFonts w:ascii="Verdana" w:hAnsi="Verdana" w:cs="Arial"/>
          <w:sz w:val="14"/>
          <w:szCs w:val="14"/>
          <w:lang w:val="es-MX"/>
        </w:rPr>
      </w:pPr>
      <w:r w:rsidRPr="00B10300">
        <w:rPr>
          <w:rStyle w:val="baj"/>
          <w:rFonts w:ascii="Verdana" w:hAnsi="Verdana" w:cs="Arial"/>
          <w:sz w:val="14"/>
          <w:szCs w:val="14"/>
          <w:lang w:val="es-MX"/>
        </w:rPr>
        <w:t>Parágrafo.</w:t>
      </w:r>
      <w:r w:rsidRPr="00B10300">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10300">
        <w:rPr>
          <w:rFonts w:ascii="Verdana" w:eastAsia="Calibri" w:hAnsi="Verdana" w:cs="Arial"/>
          <w:color w:val="000000"/>
          <w:sz w:val="14"/>
          <w:szCs w:val="14"/>
        </w:rPr>
        <w:t>”</w:t>
      </w:r>
      <w:r w:rsidRPr="00B10300">
        <w:rPr>
          <w:rFonts w:ascii="Verdana" w:hAnsi="Verdana" w:cs="Arial"/>
          <w:sz w:val="14"/>
          <w:szCs w:val="14"/>
          <w:lang w:val="es-MX"/>
        </w:rPr>
        <w:t>.</w:t>
      </w:r>
    </w:p>
    <w:p w14:paraId="5B706D25" w14:textId="77777777" w:rsidR="00BB0426" w:rsidRPr="00B10300" w:rsidRDefault="00BB0426" w:rsidP="00BB0426">
      <w:pPr>
        <w:pStyle w:val="NormalWeb"/>
        <w:spacing w:after="0"/>
        <w:ind w:firstLine="709"/>
        <w:contextualSpacing/>
        <w:jc w:val="both"/>
        <w:rPr>
          <w:rFonts w:ascii="Verdana" w:hAnsi="Verdana" w:cs="Arial"/>
          <w:sz w:val="14"/>
          <w:szCs w:val="14"/>
          <w:lang w:val="es-MX"/>
        </w:rPr>
      </w:pPr>
    </w:p>
  </w:footnote>
  <w:footnote w:id="9">
    <w:p w14:paraId="0317FDAF" w14:textId="77777777" w:rsidR="00BB0426" w:rsidRPr="00B10300" w:rsidRDefault="00BB0426" w:rsidP="00BB0426">
      <w:pPr>
        <w:pStyle w:val="NormalWeb"/>
        <w:spacing w:after="0"/>
        <w:ind w:firstLine="709"/>
        <w:contextualSpacing/>
        <w:jc w:val="both"/>
        <w:rPr>
          <w:rFonts w:ascii="Verdana" w:hAnsi="Verdana" w:cs="Arial"/>
          <w:sz w:val="14"/>
          <w:szCs w:val="14"/>
          <w:lang w:val="es-ES"/>
        </w:rPr>
      </w:pPr>
      <w:r w:rsidRPr="00B10300">
        <w:rPr>
          <w:rStyle w:val="Refdenotaalpie"/>
          <w:rFonts w:ascii="Verdana" w:eastAsiaTheme="majorEastAsia" w:hAnsi="Verdana" w:cs="Arial"/>
          <w:sz w:val="14"/>
          <w:szCs w:val="14"/>
        </w:rPr>
        <w:footnoteRef/>
      </w:r>
      <w:r w:rsidRPr="00B10300">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4A6BE2DD" w14:textId="77777777" w:rsidR="00BB0426" w:rsidRPr="00B10300" w:rsidRDefault="00BB0426" w:rsidP="00BB0426">
      <w:pPr>
        <w:pStyle w:val="Textonotapie"/>
        <w:ind w:firstLine="708"/>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p w14:paraId="27EB0C49" w14:textId="77777777" w:rsidR="00BB0426" w:rsidRPr="00B10300" w:rsidRDefault="00BB0426" w:rsidP="00BB0426">
      <w:pPr>
        <w:pStyle w:val="Textonotapie"/>
        <w:ind w:firstLine="708"/>
        <w:contextualSpacing/>
        <w:jc w:val="both"/>
        <w:rPr>
          <w:rFonts w:ascii="Verdana" w:hAnsi="Verdana" w:cs="Arial"/>
          <w:color w:val="000000" w:themeColor="text1"/>
          <w:sz w:val="14"/>
          <w:szCs w:val="14"/>
        </w:rPr>
      </w:pPr>
    </w:p>
  </w:footnote>
  <w:footnote w:id="11">
    <w:p w14:paraId="7F430862" w14:textId="77777777" w:rsidR="00BB0426" w:rsidRPr="00B10300" w:rsidRDefault="00BB0426" w:rsidP="00BB0426">
      <w:pPr>
        <w:pStyle w:val="Textonotapie"/>
        <w:ind w:firstLine="708"/>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del 02 de septiembre de 2013. Rad. 11001-03-06-000-2013-00412-00 (2168).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A5B"/>
    <w:rsid w:val="00046945"/>
    <w:rsid w:val="00061B2A"/>
    <w:rsid w:val="00082362"/>
    <w:rsid w:val="000A683E"/>
    <w:rsid w:val="000B19B9"/>
    <w:rsid w:val="000D0334"/>
    <w:rsid w:val="000D5DA7"/>
    <w:rsid w:val="000F6486"/>
    <w:rsid w:val="00116940"/>
    <w:rsid w:val="00125105"/>
    <w:rsid w:val="001254FA"/>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12F71"/>
    <w:rsid w:val="007340C3"/>
    <w:rsid w:val="0075235A"/>
    <w:rsid w:val="00756841"/>
    <w:rsid w:val="007649AB"/>
    <w:rsid w:val="00771D0C"/>
    <w:rsid w:val="007833AC"/>
    <w:rsid w:val="00783A4E"/>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83BE4"/>
    <w:rsid w:val="00BB0426"/>
    <w:rsid w:val="00BC3D36"/>
    <w:rsid w:val="00BD54A6"/>
    <w:rsid w:val="00BD7F72"/>
    <w:rsid w:val="00BF7425"/>
    <w:rsid w:val="00C04FB3"/>
    <w:rsid w:val="00C11D8B"/>
    <w:rsid w:val="00C15139"/>
    <w:rsid w:val="00C330EB"/>
    <w:rsid w:val="00C50D69"/>
    <w:rsid w:val="00C52CDB"/>
    <w:rsid w:val="00C5365C"/>
    <w:rsid w:val="00C754BE"/>
    <w:rsid w:val="00C76B1C"/>
    <w:rsid w:val="00C925AC"/>
    <w:rsid w:val="00CB6357"/>
    <w:rsid w:val="00CC1B26"/>
    <w:rsid w:val="00D361FD"/>
    <w:rsid w:val="00D423A2"/>
    <w:rsid w:val="00D44E26"/>
    <w:rsid w:val="00D520D8"/>
    <w:rsid w:val="00D63AC2"/>
    <w:rsid w:val="00D7383B"/>
    <w:rsid w:val="00D762E2"/>
    <w:rsid w:val="00D7788A"/>
    <w:rsid w:val="00DA231B"/>
    <w:rsid w:val="00DC39FC"/>
    <w:rsid w:val="00DC56F6"/>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7E40"/>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B0426"/>
    <w:pPr>
      <w:spacing w:line="240" w:lineRule="exact"/>
    </w:pPr>
    <w:rPr>
      <w:vertAlign w:val="superscript"/>
    </w:rPr>
  </w:style>
  <w:style w:type="character" w:customStyle="1" w:styleId="baj">
    <w:name w:val="b_aj"/>
    <w:basedOn w:val="Fuentedeprrafopredeter"/>
    <w:rsid w:val="00BB0426"/>
  </w:style>
  <w:style w:type="table" w:customStyle="1" w:styleId="Tablaconcuadrcula1">
    <w:name w:val="Tabla con cuadrícula1"/>
    <w:basedOn w:val="Tablanormal"/>
    <w:next w:val="Tablaconcuadrcula"/>
    <w:uiPriority w:val="39"/>
    <w:qFormat/>
    <w:rsid w:val="00BB0426"/>
    <w:pPr>
      <w:spacing w:after="0" w:line="240" w:lineRule="auto"/>
    </w:pPr>
    <w:tblPr/>
  </w:style>
  <w:style w:type="character" w:customStyle="1" w:styleId="NormalWebCar">
    <w:name w:val="Normal (Web) Car"/>
    <w:link w:val="NormalWeb"/>
    <w:uiPriority w:val="99"/>
    <w:locked/>
    <w:rsid w:val="00BB042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lvia-28@outlook.e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43716AD-0C23-4DCA-9D30-E25F141E6F64}"/>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15</Pages>
  <Words>4573</Words>
  <Characters>25152</Characters>
  <Application>Microsoft Office Word</Application>
  <DocSecurity>0</DocSecurity>
  <Lines>209</Lines>
  <Paragraphs>59</Paragraphs>
  <ScaleCrop>false</ScaleCrop>
  <Company/>
  <LinksUpToDate>false</LinksUpToDate>
  <CharactersWithSpaces>29666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2023-01-10T21:18:00Z</cp:lastPrinted>
  <dcterms:created xsi:type="dcterms:W3CDTF">2025-12-09T03:28:00Z</dcterms:created>
  <dcterms:modified xsi:type="dcterms:W3CDTF">2025-12-09T21:30:00Z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