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D825B" w14:textId="35ECA35D" w:rsidR="000413BD" w:rsidRPr="008306EF" w:rsidRDefault="000413BD" w:rsidP="000413BD">
      <w:pPr>
        <w:spacing w:line="240" w:lineRule="auto"/>
        <w:jc w:val="both"/>
        <w:rPr>
          <w:rFonts w:ascii="Verdana" w:eastAsia="Calibri" w:hAnsi="Verdana" w:cs="Arial"/>
          <w:color w:val="000000" w:themeColor="text1"/>
          <w:sz w:val="20"/>
          <w:szCs w:val="20"/>
        </w:rPr>
      </w:pPr>
      <w:bookmarkStart w:id="0" w:name="_Hlk143780582"/>
      <w:r>
        <w:rPr>
          <w:rFonts w:ascii="Verdana" w:eastAsia="Calibri" w:hAnsi="Verdana" w:cs="Arial"/>
          <w:b/>
          <w:color w:val="000000" w:themeColor="text1"/>
          <w:sz w:val="20"/>
          <w:szCs w:val="20"/>
        </w:rPr>
        <w:t xml:space="preserve">ACTIVIDADES DE </w:t>
      </w:r>
      <w:r w:rsidRPr="008306EF">
        <w:rPr>
          <w:rFonts w:ascii="Verdana" w:eastAsia="Calibri" w:hAnsi="Verdana" w:cs="Arial"/>
          <w:b/>
          <w:color w:val="000000" w:themeColor="text1"/>
          <w:sz w:val="20"/>
          <w:szCs w:val="20"/>
        </w:rPr>
        <w:t xml:space="preserve">CIENCIA, TECNOLOGÍA E INNOVACIÓN – Regulación </w:t>
      </w:r>
    </w:p>
    <w:p w14:paraId="314EAB23" w14:textId="77777777" w:rsidR="000413BD" w:rsidRPr="008306EF" w:rsidRDefault="000413BD" w:rsidP="000413BD">
      <w:pPr>
        <w:spacing w:line="240" w:lineRule="auto"/>
        <w:jc w:val="both"/>
        <w:rPr>
          <w:rFonts w:ascii="Verdana" w:eastAsia="Calibri" w:hAnsi="Verdana" w:cs="Arial"/>
          <w:color w:val="000000" w:themeColor="text1"/>
          <w:sz w:val="20"/>
          <w:szCs w:val="20"/>
        </w:rPr>
      </w:pPr>
      <w:r w:rsidRPr="008306EF">
        <w:rPr>
          <w:rFonts w:ascii="Verdana" w:eastAsia="Calibri" w:hAnsi="Verdana" w:cs="Arial"/>
          <w:color w:val="000000" w:themeColor="text1"/>
          <w:sz w:val="20"/>
          <w:szCs w:val="20"/>
        </w:rPr>
        <w:t xml:space="preserve">Las actividades de ciencia, tecnología e innovación están previstas en cuatro cuerpos normativos, que se sintetizan de la siguiente manera: i) el Decreto Ley 393 de 1991, que prevé dos formas de asociación para que las entidades ejecuten actividades científicas y tecnológicas, proyectos de investigación y creación de tecnologías: a) crear personas jurídicas civiles, comerciales y sin ánimo de lucro y b) celebrar convenios especiales de cooperación. </w:t>
      </w:r>
      <w:proofErr w:type="spellStart"/>
      <w:r w:rsidRPr="008306EF">
        <w:rPr>
          <w:rFonts w:ascii="Verdana" w:eastAsia="Calibri" w:hAnsi="Verdana" w:cs="Arial"/>
          <w:color w:val="000000" w:themeColor="text1"/>
          <w:sz w:val="20"/>
          <w:szCs w:val="20"/>
        </w:rPr>
        <w:t>ii</w:t>
      </w:r>
      <w:proofErr w:type="spellEnd"/>
      <w:r w:rsidRPr="008306EF">
        <w:rPr>
          <w:rFonts w:ascii="Verdana" w:eastAsia="Calibri" w:hAnsi="Verdana" w:cs="Arial"/>
          <w:color w:val="000000" w:themeColor="text1"/>
          <w:sz w:val="20"/>
          <w:szCs w:val="20"/>
        </w:rPr>
        <w:t xml:space="preserve">) El Decreto Ley 591 de 1991, que enlista actividades científicas y tecnológicas y, a pesar de que su propósito principal era regular las modalidades específicas de contratos de fomento de esas actividades, con la derogatoria del artículo 7 que señalaba 10 tipos de contratos, actualmente se encuentran vigentes 3: a) contratos de financiamiento, b) contratos de administración de proyectos y c) convenios especiales de cooperación. </w:t>
      </w:r>
      <w:proofErr w:type="spellStart"/>
      <w:r w:rsidRPr="008306EF">
        <w:rPr>
          <w:rFonts w:ascii="Verdana" w:eastAsia="Calibri" w:hAnsi="Verdana" w:cs="Arial"/>
          <w:color w:val="000000" w:themeColor="text1"/>
          <w:sz w:val="20"/>
          <w:szCs w:val="20"/>
        </w:rPr>
        <w:t>iii</w:t>
      </w:r>
      <w:proofErr w:type="spellEnd"/>
      <w:r w:rsidRPr="008306EF">
        <w:rPr>
          <w:rFonts w:ascii="Verdana" w:eastAsia="Calibri" w:hAnsi="Verdana" w:cs="Arial"/>
          <w:color w:val="000000" w:themeColor="text1"/>
          <w:sz w:val="20"/>
          <w:szCs w:val="20"/>
        </w:rPr>
        <w:t xml:space="preserve">) La Ley 1286 de 2009. Y </w:t>
      </w:r>
      <w:proofErr w:type="spellStart"/>
      <w:r w:rsidRPr="008306EF">
        <w:rPr>
          <w:rFonts w:ascii="Verdana" w:eastAsia="Calibri" w:hAnsi="Verdana" w:cs="Arial"/>
          <w:color w:val="000000" w:themeColor="text1"/>
          <w:sz w:val="20"/>
          <w:szCs w:val="20"/>
        </w:rPr>
        <w:t>iv</w:t>
      </w:r>
      <w:proofErr w:type="spellEnd"/>
      <w:r w:rsidRPr="008306EF">
        <w:rPr>
          <w:rFonts w:ascii="Verdana" w:eastAsia="Calibri" w:hAnsi="Verdana" w:cs="Arial"/>
          <w:color w:val="000000" w:themeColor="text1"/>
          <w:sz w:val="20"/>
          <w:szCs w:val="20"/>
        </w:rPr>
        <w:t xml:space="preserve">) el Documento CONPES 3582 de 2009, donde se define cuáles son estas actividades de los actores del Sistema Nacional de Ciencia, Tecnología e Innovación. </w:t>
      </w:r>
    </w:p>
    <w:p w14:paraId="32081B88"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normaltextrun"/>
          <w:rFonts w:ascii="Verdana" w:hAnsi="Verdana" w:cs="Arial"/>
          <w:b/>
          <w:bCs/>
          <w:sz w:val="20"/>
          <w:szCs w:val="20"/>
          <w:lang w:val="es-MX"/>
        </w:rPr>
        <w:t>LEY DE GARANTÍAS ELECTORALES ‒ Finalidad</w:t>
      </w:r>
      <w:r w:rsidRPr="008306EF">
        <w:rPr>
          <w:rStyle w:val="eop"/>
          <w:rFonts w:ascii="Verdana" w:hAnsi="Verdana" w:cs="Arial"/>
          <w:sz w:val="20"/>
          <w:szCs w:val="20"/>
        </w:rPr>
        <w:t> </w:t>
      </w:r>
    </w:p>
    <w:p w14:paraId="7C15049F"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eop"/>
          <w:rFonts w:ascii="Verdana" w:hAnsi="Verdana" w:cs="Arial"/>
          <w:sz w:val="20"/>
          <w:szCs w:val="20"/>
        </w:rPr>
        <w:t> </w:t>
      </w:r>
    </w:p>
    <w:p w14:paraId="4D5F4E42"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normaltextrun"/>
          <w:rFonts w:ascii="Verdana" w:hAnsi="Verdana" w:cs="Arial"/>
          <w:sz w:val="20"/>
          <w:szCs w:val="20"/>
          <w:lang w:val="es-ES"/>
        </w:rPr>
        <w:t xml:space="preserve">[…], </w:t>
      </w:r>
      <w:r w:rsidRPr="008306EF">
        <w:rPr>
          <w:rStyle w:val="normaltextrun"/>
          <w:rFonts w:ascii="Verdana" w:hAnsi="Verdana" w:cs="Arial"/>
          <w:sz w:val="20"/>
          <w:szCs w:val="20"/>
          <w:lang w:val="es-MX"/>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8306EF">
        <w:rPr>
          <w:rStyle w:val="eop"/>
          <w:rFonts w:ascii="Verdana" w:hAnsi="Verdana" w:cs="Arial"/>
          <w:sz w:val="20"/>
          <w:szCs w:val="20"/>
        </w:rPr>
        <w:t> </w:t>
      </w:r>
    </w:p>
    <w:p w14:paraId="5C4A159D"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eop"/>
          <w:rFonts w:ascii="Verdana" w:hAnsi="Verdana" w:cs="Arial"/>
          <w:sz w:val="20"/>
          <w:szCs w:val="20"/>
        </w:rPr>
        <w:t> </w:t>
      </w:r>
    </w:p>
    <w:p w14:paraId="212C077F"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normaltextrun"/>
          <w:rFonts w:ascii="Verdana" w:hAnsi="Verdana" w:cs="Arial"/>
          <w:b/>
          <w:bCs/>
          <w:sz w:val="20"/>
          <w:szCs w:val="20"/>
          <w:lang w:val="es-MX"/>
        </w:rPr>
        <w:t xml:space="preserve">LEY DE GARANTÍAS ELECTORALES ‒ Tipos de restricciones ‒ Ámbito temporal </w:t>
      </w:r>
      <w:r w:rsidRPr="008306EF">
        <w:rPr>
          <w:rStyle w:val="eop"/>
          <w:rFonts w:ascii="Verdana" w:hAnsi="Verdana" w:cs="Arial"/>
          <w:sz w:val="20"/>
          <w:szCs w:val="20"/>
        </w:rPr>
        <w:t> </w:t>
      </w:r>
    </w:p>
    <w:p w14:paraId="31285659"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eop"/>
          <w:rFonts w:ascii="Verdana" w:hAnsi="Verdana" w:cs="Arial"/>
          <w:sz w:val="20"/>
          <w:szCs w:val="20"/>
        </w:rPr>
        <w:t> </w:t>
      </w:r>
    </w:p>
    <w:p w14:paraId="73856B8C"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normaltextrun"/>
          <w:rFonts w:ascii="Verdana" w:hAnsi="Verdana" w:cs="Arial"/>
          <w:sz w:val="20"/>
          <w:szCs w:val="20"/>
          <w:lang w:val="es-ES"/>
        </w:rPr>
        <w:t xml:space="preserve">[…] la Ley 996 de 2005 establece dos (2) tipos de restricciones en materia de contratación, las cuales coinciden parcialmente. </w:t>
      </w:r>
      <w:r w:rsidRPr="008306EF">
        <w:rPr>
          <w:rStyle w:val="normaltextrun"/>
          <w:rFonts w:ascii="Verdana" w:hAnsi="Verdana" w:cs="Arial"/>
          <w:i/>
          <w:iCs/>
          <w:sz w:val="20"/>
          <w:szCs w:val="20"/>
          <w:lang w:val="es-ES"/>
        </w:rPr>
        <w:t>En primer lugar</w:t>
      </w:r>
      <w:r w:rsidRPr="008306EF">
        <w:rPr>
          <w:rStyle w:val="normaltextrun"/>
          <w:rFonts w:ascii="Verdana" w:hAnsi="Verdana" w:cs="Arial"/>
          <w:sz w:val="20"/>
          <w:szCs w:val="20"/>
          <w:lang w:val="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306EF">
        <w:rPr>
          <w:rStyle w:val="normaltextrun"/>
          <w:rFonts w:ascii="Verdana" w:hAnsi="Verdana" w:cs="Arial"/>
          <w:i/>
          <w:iCs/>
          <w:sz w:val="20"/>
          <w:szCs w:val="20"/>
          <w:lang w:val="es-ES"/>
        </w:rPr>
        <w:t>En segundo lugar</w:t>
      </w:r>
      <w:r w:rsidRPr="008306EF">
        <w:rPr>
          <w:rStyle w:val="normaltextrun"/>
          <w:rFonts w:ascii="Verdana" w:hAnsi="Verdana" w:cs="Arial"/>
          <w:sz w:val="20"/>
          <w:szCs w:val="20"/>
          <w:lang w:val="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8306EF">
        <w:rPr>
          <w:rStyle w:val="eop"/>
          <w:rFonts w:ascii="Verdana" w:hAnsi="Verdana" w:cs="Arial"/>
          <w:sz w:val="20"/>
          <w:szCs w:val="20"/>
        </w:rPr>
        <w:t> </w:t>
      </w:r>
    </w:p>
    <w:p w14:paraId="607BC42E"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eop"/>
          <w:rFonts w:ascii="Verdana" w:hAnsi="Verdana" w:cs="Arial"/>
          <w:sz w:val="20"/>
          <w:szCs w:val="20"/>
        </w:rPr>
        <w:t> </w:t>
      </w:r>
    </w:p>
    <w:p w14:paraId="07220F54" w14:textId="77777777" w:rsidR="000413BD" w:rsidRPr="008306EF" w:rsidRDefault="000413BD" w:rsidP="000413BD">
      <w:pPr>
        <w:pStyle w:val="paragraph"/>
        <w:spacing w:before="0" w:beforeAutospacing="0" w:after="0" w:afterAutospacing="0"/>
        <w:jc w:val="both"/>
        <w:textAlignment w:val="baseline"/>
        <w:rPr>
          <w:rFonts w:ascii="Verdana" w:hAnsi="Verdana" w:cs="Arial"/>
          <w:sz w:val="20"/>
          <w:szCs w:val="20"/>
        </w:rPr>
      </w:pPr>
      <w:r w:rsidRPr="008306EF">
        <w:rPr>
          <w:rStyle w:val="normaltextrun"/>
          <w:rFonts w:ascii="Verdana" w:hAnsi="Verdana" w:cs="Arial"/>
          <w:b/>
          <w:bCs/>
          <w:sz w:val="20"/>
          <w:szCs w:val="20"/>
          <w:lang w:val="es-MX"/>
        </w:rPr>
        <w:lastRenderedPageBreak/>
        <w:t>LEY DE GARANTÍAS ELECTORALES ‒ Prohibición por elección de cargos populares – Convenios y contratos interadministrativos – Definición – Criterio orgánico</w:t>
      </w:r>
      <w:r w:rsidRPr="008306EF">
        <w:rPr>
          <w:rStyle w:val="eop"/>
          <w:rFonts w:ascii="Verdana" w:hAnsi="Verdana" w:cs="Arial"/>
          <w:sz w:val="20"/>
          <w:szCs w:val="20"/>
        </w:rPr>
        <w:t> </w:t>
      </w:r>
    </w:p>
    <w:p w14:paraId="40B2AB3C" w14:textId="77777777" w:rsidR="000413BD" w:rsidRPr="000413BD" w:rsidRDefault="000413BD" w:rsidP="000413BD">
      <w:pPr>
        <w:pStyle w:val="paragraph"/>
        <w:spacing w:before="0" w:beforeAutospacing="0" w:after="0" w:afterAutospacing="0"/>
        <w:jc w:val="both"/>
        <w:textAlignment w:val="baseline"/>
        <w:rPr>
          <w:rStyle w:val="normaltextrun"/>
          <w:lang w:val="es-ES"/>
        </w:rPr>
      </w:pPr>
      <w:r w:rsidRPr="000413BD">
        <w:rPr>
          <w:rStyle w:val="normaltextrun"/>
          <w:lang w:val="es-ES"/>
        </w:rPr>
        <w:t> </w:t>
      </w:r>
    </w:p>
    <w:p w14:paraId="4F2BA86D" w14:textId="77777777" w:rsidR="000413BD" w:rsidRDefault="000413BD" w:rsidP="000413BD">
      <w:pPr>
        <w:spacing w:after="120" w:line="276" w:lineRule="auto"/>
        <w:jc w:val="both"/>
        <w:rPr>
          <w:rStyle w:val="normaltextrun"/>
          <w:rFonts w:ascii="Verdana" w:eastAsia="Times New Roman" w:hAnsi="Verdana" w:cs="Arial"/>
          <w:sz w:val="20"/>
          <w:szCs w:val="20"/>
          <w:lang w:val="es-ES" w:eastAsia="es-CO"/>
        </w:rPr>
      </w:pPr>
      <w:r w:rsidRPr="000413BD">
        <w:rPr>
          <w:rStyle w:val="normaltextrun"/>
          <w:rFonts w:ascii="Verdana" w:eastAsia="Times New Roman" w:hAnsi="Verdana" w:cs="Arial"/>
          <w:sz w:val="20"/>
          <w:szCs w:val="20"/>
          <w:lang w:val="es-ES" w:eastAsia="es-CO"/>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Style w:val="normaltextrun"/>
          <w:rFonts w:ascii="Verdana" w:eastAsia="Times New Roman" w:hAnsi="Verdana" w:cs="Arial"/>
          <w:sz w:val="20"/>
          <w:szCs w:val="20"/>
          <w:lang w:val="es-ES" w:eastAsia="es-CO"/>
        </w:rPr>
        <w:t>.</w:t>
      </w:r>
    </w:p>
    <w:p w14:paraId="282369B1" w14:textId="58E94B11" w:rsidR="000413BD" w:rsidRPr="000413BD" w:rsidRDefault="000413BD" w:rsidP="000413BD">
      <w:pPr>
        <w:spacing w:after="120" w:line="276" w:lineRule="auto"/>
        <w:jc w:val="both"/>
        <w:rPr>
          <w:rStyle w:val="normaltextrun"/>
          <w:rFonts w:ascii="Verdana" w:eastAsia="Times New Roman" w:hAnsi="Verdana" w:cs="Arial"/>
          <w:sz w:val="20"/>
          <w:szCs w:val="20"/>
          <w:lang w:val="es-ES" w:eastAsia="es-CO"/>
        </w:rPr>
      </w:pPr>
      <w:r w:rsidRPr="000413BD">
        <w:rPr>
          <w:rStyle w:val="normaltextrun"/>
          <w:rFonts w:ascii="Verdana" w:eastAsia="Times New Roman" w:hAnsi="Verdana" w:cs="Arial"/>
          <w:sz w:val="20"/>
          <w:szCs w:val="20"/>
          <w:lang w:val="es-ES" w:eastAsia="es-CO"/>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19A6332" w14:textId="77777777" w:rsidR="000413BD" w:rsidRPr="000413BD" w:rsidRDefault="000413BD" w:rsidP="000413BD">
      <w:pPr>
        <w:rPr>
          <w:rStyle w:val="normaltextrun"/>
          <w:rFonts w:ascii="Verdana" w:eastAsia="Times New Roman" w:hAnsi="Verdana" w:cs="Arial"/>
          <w:sz w:val="20"/>
          <w:szCs w:val="20"/>
          <w:lang w:val="es-ES" w:eastAsia="es-CO"/>
        </w:rPr>
      </w:pPr>
      <w:r w:rsidRPr="000413BD">
        <w:rPr>
          <w:rStyle w:val="normaltextrun"/>
          <w:rFonts w:ascii="Verdana" w:eastAsia="Times New Roman" w:hAnsi="Verdana" w:cs="Arial"/>
          <w:sz w:val="20"/>
          <w:szCs w:val="20"/>
          <w:lang w:val="es-ES" w:eastAsia="es-CO"/>
        </w:rPr>
        <w:br w:type="page"/>
      </w:r>
    </w:p>
    <w:p w14:paraId="4937DA81" w14:textId="62C4AD16" w:rsidR="000413BD" w:rsidRDefault="000413BD" w:rsidP="00A30C69">
      <w:pPr>
        <w:spacing w:after="0" w:line="240" w:lineRule="auto"/>
        <w:rPr>
          <w:rFonts w:ascii="Verdana" w:hAnsi="Verdana"/>
        </w:rPr>
      </w:pPr>
    </w:p>
    <w:p w14:paraId="1B420D86" w14:textId="7A673B1C" w:rsidR="000413BD" w:rsidRDefault="001F7FED" w:rsidP="00A30C69">
      <w:pPr>
        <w:spacing w:after="0" w:line="240" w:lineRule="auto"/>
        <w:rPr>
          <w:rFonts w:ascii="Verdana" w:hAnsi="Verdana"/>
        </w:rPr>
      </w:pPr>
      <w:r w:rsidRPr="009D7879">
        <w:rPr>
          <w:rFonts w:ascii="Verdana" w:eastAsia="Calibri" w:hAnsi="Verdana" w:cs="Arial"/>
          <w:b/>
          <w:bCs/>
          <w:noProof/>
          <w:color w:val="000000"/>
          <w:lang w:val="pt-BR" w:eastAsia="es-ES_tradnl"/>
        </w:rPr>
        <w:drawing>
          <wp:anchor distT="0" distB="0" distL="114300" distR="114300" simplePos="0" relativeHeight="251658240" behindDoc="0" locked="0" layoutInCell="1" allowOverlap="1" wp14:anchorId="35C8CBE4" wp14:editId="44B1488A">
            <wp:simplePos x="0" y="0"/>
            <wp:positionH relativeFrom="column">
              <wp:posOffset>2444115</wp:posOffset>
            </wp:positionH>
            <wp:positionV relativeFrom="paragraph">
              <wp:posOffset>149860</wp:posOffset>
            </wp:positionV>
            <wp:extent cx="2891789" cy="812516"/>
            <wp:effectExtent l="0" t="0" r="4445" b="6985"/>
            <wp:wrapNone/>
            <wp:docPr id="1373970114"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970114"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91789" cy="812516"/>
                    </a:xfrm>
                    <a:prstGeom prst="rect">
                      <a:avLst/>
                    </a:prstGeom>
                  </pic:spPr>
                </pic:pic>
              </a:graphicData>
            </a:graphic>
            <wp14:sizeRelH relativeFrom="page">
              <wp14:pctWidth>0</wp14:pctWidth>
            </wp14:sizeRelH>
            <wp14:sizeRelV relativeFrom="page">
              <wp14:pctHeight>0</wp14:pctHeight>
            </wp14:sizeRelV>
          </wp:anchor>
        </w:drawing>
      </w:r>
    </w:p>
    <w:p w14:paraId="01B8BD26" w14:textId="1E1FC644" w:rsidR="00043EF5" w:rsidRDefault="00C15139" w:rsidP="00A30C69">
      <w:pPr>
        <w:spacing w:after="0" w:line="240" w:lineRule="auto"/>
        <w:rPr>
          <w:rFonts w:ascii="Verdana" w:hAnsi="Verdana"/>
        </w:rPr>
      </w:pPr>
      <w:r w:rsidRPr="0024624F">
        <w:rPr>
          <w:rFonts w:ascii="Verdana" w:hAnsi="Verdana"/>
        </w:rPr>
        <w:t xml:space="preserve">Bogotá D.C., </w:t>
      </w:r>
      <w:bookmarkEnd w:id="0"/>
      <w:r w:rsidR="001D6712">
        <w:rPr>
          <w:rFonts w:ascii="Verdana" w:hAnsi="Verdana"/>
        </w:rPr>
        <w:t xml:space="preserve">9 </w:t>
      </w:r>
      <w:proofErr w:type="gramStart"/>
      <w:r w:rsidR="001D6712">
        <w:rPr>
          <w:rFonts w:ascii="Verdana" w:hAnsi="Verdana"/>
        </w:rPr>
        <w:t>Diciembre</w:t>
      </w:r>
      <w:proofErr w:type="gramEnd"/>
      <w:r w:rsidR="001D6712">
        <w:rPr>
          <w:rFonts w:ascii="Verdana" w:hAnsi="Verdana"/>
        </w:rPr>
        <w:t xml:space="preserve"> 2025</w:t>
      </w:r>
    </w:p>
    <w:p w14:paraId="659E6AFE" w14:textId="77777777" w:rsidR="001D6712" w:rsidRDefault="001D6712" w:rsidP="00A30C69">
      <w:pPr>
        <w:spacing w:after="0" w:line="240" w:lineRule="auto"/>
        <w:rPr>
          <w:rFonts w:ascii="Verdana" w:hAnsi="Verdana"/>
        </w:rPr>
      </w:pPr>
    </w:p>
    <w:p w14:paraId="72042644" w14:textId="77777777" w:rsidR="00455EFE" w:rsidRPr="008306EF" w:rsidRDefault="00455EFE" w:rsidP="00A30C69">
      <w:pPr>
        <w:spacing w:after="0" w:line="240" w:lineRule="auto"/>
        <w:rPr>
          <w:rFonts w:ascii="Verdana" w:eastAsia="Geomanist Light" w:hAnsi="Verdana" w:cs="Arial"/>
          <w:lang w:val="es-MX"/>
        </w:rPr>
      </w:pPr>
      <w:r w:rsidRPr="008306EF">
        <w:rPr>
          <w:rFonts w:ascii="Verdana" w:hAnsi="Verdana" w:cs="Arial"/>
          <w:lang w:val="es-MX"/>
        </w:rPr>
        <w:t>Señora</w:t>
      </w:r>
    </w:p>
    <w:p w14:paraId="243D01E8" w14:textId="77777777" w:rsidR="00455EFE" w:rsidRPr="008306EF" w:rsidRDefault="00455EFE" w:rsidP="00A30C69">
      <w:pPr>
        <w:spacing w:after="0" w:line="240" w:lineRule="auto"/>
        <w:rPr>
          <w:rFonts w:ascii="Verdana" w:hAnsi="Verdana" w:cs="Arial"/>
          <w:b/>
          <w:bCs/>
        </w:rPr>
      </w:pPr>
      <w:r w:rsidRPr="008306EF">
        <w:rPr>
          <w:rFonts w:ascii="Verdana" w:hAnsi="Verdana" w:cs="Arial"/>
          <w:b/>
          <w:bCs/>
        </w:rPr>
        <w:t>Yenni Muñoz</w:t>
      </w:r>
    </w:p>
    <w:p w14:paraId="537ED6DB" w14:textId="5142DF49" w:rsidR="00455EFE" w:rsidRPr="008306EF" w:rsidRDefault="00E25D1E" w:rsidP="00A30C69">
      <w:pPr>
        <w:spacing w:after="0" w:line="240" w:lineRule="auto"/>
        <w:rPr>
          <w:rFonts w:ascii="Verdana" w:hAnsi="Verdana" w:cs="Arial"/>
          <w:b/>
          <w:bCs/>
          <w:u w:val="single"/>
          <w:lang w:val="es-MX"/>
        </w:rPr>
      </w:pPr>
      <w:hyperlink r:id="rId11" w:history="1">
        <w:r w:rsidRPr="00B3195F">
          <w:rPr>
            <w:rStyle w:val="Hipervnculo"/>
            <w:rFonts w:ascii="Verdana" w:hAnsi="Verdana" w:cs="Arial"/>
            <w:b/>
            <w:bCs/>
          </w:rPr>
          <w:t>yennidnt@hotmail.com</w:t>
        </w:r>
      </w:hyperlink>
      <w:r>
        <w:rPr>
          <w:rFonts w:ascii="Verdana" w:hAnsi="Verdana" w:cs="Arial"/>
          <w:b/>
          <w:bCs/>
          <w:u w:val="single"/>
        </w:rPr>
        <w:t xml:space="preserve"> </w:t>
      </w:r>
    </w:p>
    <w:p w14:paraId="44056487" w14:textId="207C2E2D" w:rsidR="00455EFE" w:rsidRPr="008306EF" w:rsidRDefault="00455EFE" w:rsidP="00A30C69">
      <w:pPr>
        <w:spacing w:after="0" w:line="240" w:lineRule="auto"/>
        <w:rPr>
          <w:rFonts w:ascii="Verdana" w:hAnsi="Verdana" w:cs="Arial"/>
          <w:lang w:val="es-MX"/>
        </w:rPr>
      </w:pPr>
      <w:r w:rsidRPr="008306EF">
        <w:rPr>
          <w:rFonts w:ascii="Verdana" w:hAnsi="Verdana" w:cs="Arial"/>
          <w:lang w:val="es-MX"/>
        </w:rPr>
        <w:t>Popayán, Cauca.</w:t>
      </w:r>
    </w:p>
    <w:p w14:paraId="1DEE6823" w14:textId="77777777" w:rsidR="00455EFE" w:rsidRDefault="00455EFE" w:rsidP="00455EFE">
      <w:pPr>
        <w:spacing w:after="0" w:line="240" w:lineRule="auto"/>
        <w:rPr>
          <w:rFonts w:ascii="Verdana" w:eastAsia="Calibri" w:hAnsi="Verdana" w:cs="Arial"/>
          <w:b/>
          <w:bCs/>
          <w:color w:val="000000"/>
          <w:lang w:val="pt-BR" w:eastAsia="es-ES_tradnl"/>
        </w:rPr>
      </w:pPr>
    </w:p>
    <w:p w14:paraId="07F11917" w14:textId="44047772" w:rsidR="001D6712" w:rsidRPr="008306EF" w:rsidRDefault="001D6712" w:rsidP="001D6712">
      <w:pPr>
        <w:spacing w:after="0" w:line="240" w:lineRule="auto"/>
        <w:jc w:val="right"/>
        <w:rPr>
          <w:rFonts w:ascii="Verdana" w:eastAsia="Calibri" w:hAnsi="Verdana" w:cs="Arial"/>
          <w:b/>
          <w:bCs/>
          <w:color w:val="000000"/>
          <w:lang w:val="pt-BR"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5EFE" w:rsidRPr="008306EF" w14:paraId="77227383" w14:textId="77777777" w:rsidTr="00AF31DE">
        <w:trPr>
          <w:trHeight w:val="162"/>
        </w:trPr>
        <w:tc>
          <w:tcPr>
            <w:tcW w:w="2689" w:type="dxa"/>
          </w:tcPr>
          <w:p w14:paraId="5E1DB911" w14:textId="77777777" w:rsidR="00455EFE" w:rsidRPr="008306EF" w:rsidRDefault="00455EFE" w:rsidP="00AF31DE">
            <w:pPr>
              <w:jc w:val="both"/>
              <w:rPr>
                <w:rFonts w:ascii="Verdana" w:eastAsia="Calibri" w:hAnsi="Verdana" w:cs="Arial"/>
                <w:b/>
                <w:bCs/>
                <w:color w:val="7030A0"/>
                <w:lang w:val="pt-BR" w:eastAsia="es-ES_tradnl"/>
              </w:rPr>
            </w:pPr>
          </w:p>
        </w:tc>
        <w:tc>
          <w:tcPr>
            <w:tcW w:w="6100" w:type="dxa"/>
          </w:tcPr>
          <w:p w14:paraId="35519D6A" w14:textId="77777777" w:rsidR="00455EFE" w:rsidRPr="008306EF" w:rsidRDefault="00455EFE" w:rsidP="00AF31DE">
            <w:pPr>
              <w:jc w:val="both"/>
              <w:rPr>
                <w:rFonts w:ascii="Verdana" w:eastAsia="Calibri" w:hAnsi="Verdana" w:cs="Arial"/>
                <w:b/>
                <w:bCs/>
                <w:lang w:val="es-ES" w:eastAsia="es-ES"/>
              </w:rPr>
            </w:pPr>
            <w:r w:rsidRPr="008306EF">
              <w:rPr>
                <w:rFonts w:ascii="Verdana" w:eastAsia="Calibri" w:hAnsi="Verdana" w:cs="Arial"/>
                <w:b/>
                <w:bCs/>
                <w:lang w:val="es-ES" w:eastAsia="es-ES"/>
              </w:rPr>
              <w:t>Concepto C-1587 de 2025</w:t>
            </w:r>
          </w:p>
          <w:p w14:paraId="1710B5FD" w14:textId="77777777" w:rsidR="00455EFE" w:rsidRPr="008306EF" w:rsidRDefault="00455EFE" w:rsidP="00AF31DE">
            <w:pPr>
              <w:jc w:val="both"/>
              <w:rPr>
                <w:rFonts w:ascii="Verdana" w:eastAsia="Calibri" w:hAnsi="Verdana" w:cs="Arial"/>
                <w:b/>
                <w:bCs/>
                <w:color w:val="7030A0"/>
                <w:lang w:val="es-ES" w:eastAsia="es-ES"/>
              </w:rPr>
            </w:pPr>
          </w:p>
        </w:tc>
      </w:tr>
      <w:tr w:rsidR="00455EFE" w:rsidRPr="008306EF" w14:paraId="4A6D5073" w14:textId="77777777" w:rsidTr="00AF31DE">
        <w:trPr>
          <w:trHeight w:val="884"/>
        </w:trPr>
        <w:tc>
          <w:tcPr>
            <w:tcW w:w="2689" w:type="dxa"/>
          </w:tcPr>
          <w:p w14:paraId="7FB6692A" w14:textId="77777777" w:rsidR="00455EFE" w:rsidRPr="008306EF" w:rsidRDefault="00455EFE" w:rsidP="00AF31DE">
            <w:pPr>
              <w:jc w:val="both"/>
              <w:rPr>
                <w:rFonts w:ascii="Verdana" w:eastAsia="Calibri" w:hAnsi="Verdana" w:cs="Arial"/>
                <w:color w:val="000000"/>
                <w:lang w:val="es-ES_tradnl" w:eastAsia="es-ES_tradnl"/>
              </w:rPr>
            </w:pPr>
            <w:r w:rsidRPr="008306EF">
              <w:rPr>
                <w:rFonts w:ascii="Verdana" w:eastAsia="Calibri" w:hAnsi="Verdana" w:cs="Arial"/>
                <w:b/>
                <w:color w:val="000000"/>
                <w:lang w:val="es-ES_tradnl" w:eastAsia="es-ES_tradnl"/>
              </w:rPr>
              <w:t>Temas:</w:t>
            </w:r>
            <w:r w:rsidRPr="008306EF">
              <w:rPr>
                <w:rFonts w:ascii="Verdana" w:eastAsia="Calibri" w:hAnsi="Verdana" w:cs="Arial"/>
                <w:color w:val="000000"/>
                <w:lang w:val="es-ES_tradnl" w:eastAsia="es-ES_tradnl"/>
              </w:rPr>
              <w:t xml:space="preserve">                   </w:t>
            </w:r>
          </w:p>
        </w:tc>
        <w:tc>
          <w:tcPr>
            <w:tcW w:w="6100" w:type="dxa"/>
          </w:tcPr>
          <w:p w14:paraId="13ED64C6" w14:textId="6D8827F4" w:rsidR="00455EFE" w:rsidRDefault="00455EFE" w:rsidP="00A30C69">
            <w:pPr>
              <w:jc w:val="both"/>
              <w:rPr>
                <w:rStyle w:val="eop"/>
                <w:rFonts w:ascii="Verdana" w:hAnsi="Verdana" w:cs="Arial"/>
                <w:color w:val="000000"/>
                <w:shd w:val="clear" w:color="auto" w:fill="FFFFFF"/>
              </w:rPr>
            </w:pPr>
            <w:r w:rsidRPr="008306EF">
              <w:rPr>
                <w:rFonts w:ascii="Verdana" w:eastAsia="Calibri" w:hAnsi="Verdana" w:cs="Arial"/>
                <w:color w:val="000000" w:themeColor="text1"/>
              </w:rPr>
              <w:t xml:space="preserve">ACTIVIDADES DE CIENCIA, TECNOLOGÍA E INNOVACIÓN ― Regulación / </w:t>
            </w:r>
            <w:r w:rsidRPr="008306EF">
              <w:rPr>
                <w:rStyle w:val="normaltextrun"/>
                <w:rFonts w:ascii="Verdana" w:hAnsi="Verdana" w:cs="Arial"/>
                <w:color w:val="000000"/>
                <w:shd w:val="clear" w:color="auto" w:fill="FFFFFF"/>
                <w:lang w:val="es-MX"/>
              </w:rPr>
              <w:t>LEY DE GARANTÍAS ELECTORALES ‒ Finalidad / LEY DE GARANTÍAS ELECTORALES ‒ Tipos de restricciones ‒ Ámbito temporal / LEY DE GARANTÍAS ELECTORALES ‒ Prohibición por elección de cargos populares – Convenios interadministrativos – Definición – Criterio orgánico</w:t>
            </w:r>
            <w:r w:rsidRPr="008306EF">
              <w:rPr>
                <w:rStyle w:val="eop"/>
                <w:rFonts w:ascii="Verdana" w:hAnsi="Verdana" w:cs="Arial"/>
                <w:color w:val="000000"/>
                <w:shd w:val="clear" w:color="auto" w:fill="FFFFFF"/>
              </w:rPr>
              <w:t> </w:t>
            </w:r>
          </w:p>
          <w:p w14:paraId="153FC4CB" w14:textId="77777777" w:rsidR="00455EFE" w:rsidRPr="008306EF" w:rsidRDefault="00455EFE" w:rsidP="00A30C69">
            <w:pPr>
              <w:jc w:val="both"/>
              <w:rPr>
                <w:rFonts w:ascii="Verdana" w:eastAsia="Calibri" w:hAnsi="Verdana" w:cs="Arial"/>
                <w:lang w:eastAsia="es-ES"/>
              </w:rPr>
            </w:pPr>
          </w:p>
        </w:tc>
      </w:tr>
      <w:tr w:rsidR="00455EFE" w:rsidRPr="008306EF" w14:paraId="7D47CC35" w14:textId="77777777" w:rsidTr="00AF31DE">
        <w:tc>
          <w:tcPr>
            <w:tcW w:w="2689" w:type="dxa"/>
          </w:tcPr>
          <w:p w14:paraId="5EB4282A" w14:textId="77777777" w:rsidR="00455EFE" w:rsidRPr="008306EF" w:rsidRDefault="00455EFE" w:rsidP="00AF31DE">
            <w:pPr>
              <w:jc w:val="both"/>
              <w:rPr>
                <w:rFonts w:ascii="Verdana" w:eastAsia="Calibri" w:hAnsi="Verdana" w:cs="Arial"/>
                <w:b/>
                <w:lang w:val="es-ES_tradnl" w:eastAsia="es-ES_tradnl"/>
              </w:rPr>
            </w:pPr>
            <w:r w:rsidRPr="008306EF">
              <w:rPr>
                <w:rFonts w:ascii="Verdana" w:eastAsia="Calibri" w:hAnsi="Verdana" w:cs="Arial"/>
                <w:b/>
                <w:lang w:val="es-ES_tradnl" w:eastAsia="es-ES_tradnl"/>
              </w:rPr>
              <w:t>Radicación:</w:t>
            </w:r>
            <w:r w:rsidRPr="008306EF">
              <w:rPr>
                <w:rFonts w:ascii="Verdana" w:eastAsia="Calibri" w:hAnsi="Verdana" w:cs="Arial"/>
                <w:lang w:val="es-ES_tradnl" w:eastAsia="es-ES_tradnl"/>
              </w:rPr>
              <w:t xml:space="preserve">               </w:t>
            </w:r>
          </w:p>
        </w:tc>
        <w:tc>
          <w:tcPr>
            <w:tcW w:w="6100" w:type="dxa"/>
          </w:tcPr>
          <w:p w14:paraId="4075ABAC" w14:textId="77777777" w:rsidR="00455EFE" w:rsidRPr="008306EF" w:rsidRDefault="00455EFE" w:rsidP="00AF31DE">
            <w:pPr>
              <w:jc w:val="both"/>
              <w:rPr>
                <w:rFonts w:ascii="Verdana" w:eastAsia="Calibri" w:hAnsi="Verdana" w:cs="Arial"/>
                <w:lang w:val="es-ES_tradnl" w:eastAsia="es-ES_tradnl"/>
              </w:rPr>
            </w:pPr>
            <w:r w:rsidRPr="008306EF">
              <w:rPr>
                <w:rFonts w:ascii="Verdana" w:eastAsia="Calibri" w:hAnsi="Verdana" w:cs="Arial"/>
                <w:lang w:val="es-ES_tradnl" w:eastAsia="es-ES_tradnl"/>
              </w:rPr>
              <w:t xml:space="preserve">Respuesta a consulta con radicado No. </w:t>
            </w:r>
            <w:r w:rsidRPr="008306EF">
              <w:rPr>
                <w:rFonts w:ascii="Verdana" w:eastAsia="Calibri" w:hAnsi="Verdana" w:cs="Arial"/>
                <w:lang w:eastAsia="es-ES_tradnl"/>
              </w:rPr>
              <w:t>1_2025_10_28_012099</w:t>
            </w:r>
          </w:p>
        </w:tc>
      </w:tr>
    </w:tbl>
    <w:p w14:paraId="46720E95" w14:textId="77777777" w:rsidR="00455EFE" w:rsidRPr="008306EF" w:rsidRDefault="00455EFE" w:rsidP="00A30C69">
      <w:pPr>
        <w:spacing w:after="0" w:line="240" w:lineRule="auto"/>
        <w:jc w:val="both"/>
        <w:rPr>
          <w:rFonts w:ascii="Verdana" w:eastAsia="Calibri" w:hAnsi="Verdana" w:cs="Arial"/>
          <w:lang w:val="es-ES_tradnl" w:eastAsia="es-ES_tradnl"/>
        </w:rPr>
      </w:pPr>
    </w:p>
    <w:p w14:paraId="20A63163" w14:textId="77777777" w:rsidR="00455EFE" w:rsidRPr="008306EF" w:rsidRDefault="00455EFE" w:rsidP="00455EFE">
      <w:pPr>
        <w:spacing w:after="0" w:line="276" w:lineRule="auto"/>
        <w:jc w:val="both"/>
        <w:rPr>
          <w:rFonts w:ascii="Verdana" w:eastAsia="Calibri" w:hAnsi="Verdana" w:cs="Arial"/>
          <w:lang w:val="es-ES" w:eastAsia="es-ES"/>
        </w:rPr>
      </w:pPr>
      <w:r w:rsidRPr="008306EF">
        <w:rPr>
          <w:rFonts w:ascii="Verdana" w:eastAsia="Calibri" w:hAnsi="Verdana" w:cs="Arial"/>
          <w:lang w:val="es-ES" w:eastAsia="es-ES"/>
        </w:rPr>
        <w:t xml:space="preserve">Estimada señora Muñoz: </w:t>
      </w:r>
    </w:p>
    <w:p w14:paraId="22C172D7" w14:textId="77777777" w:rsidR="00455EFE" w:rsidRPr="008306EF" w:rsidRDefault="00455EFE" w:rsidP="00455EFE">
      <w:pPr>
        <w:tabs>
          <w:tab w:val="left" w:pos="3768"/>
        </w:tabs>
        <w:spacing w:after="0" w:line="276" w:lineRule="auto"/>
        <w:jc w:val="both"/>
        <w:rPr>
          <w:rFonts w:ascii="Verdana" w:eastAsia="Calibri" w:hAnsi="Verdana" w:cs="Arial"/>
          <w:lang w:val="es-ES" w:eastAsia="es-ES"/>
        </w:rPr>
      </w:pPr>
      <w:r w:rsidRPr="008306EF">
        <w:rPr>
          <w:rFonts w:ascii="Verdana" w:eastAsia="Calibri" w:hAnsi="Verdana" w:cs="Arial"/>
          <w:lang w:val="es-ES" w:eastAsia="es-ES"/>
        </w:rPr>
        <w:tab/>
      </w:r>
    </w:p>
    <w:p w14:paraId="725F6DB5" w14:textId="77777777" w:rsidR="00455EFE" w:rsidRPr="008306EF" w:rsidRDefault="00455EFE" w:rsidP="00455EFE">
      <w:pPr>
        <w:spacing w:after="0" w:line="276" w:lineRule="auto"/>
        <w:jc w:val="both"/>
        <w:rPr>
          <w:rFonts w:ascii="Verdana" w:eastAsia="Calibri" w:hAnsi="Verdana" w:cs="Arial"/>
          <w:lang w:val="es-ES" w:eastAsia="es-ES"/>
        </w:rPr>
      </w:pPr>
      <w:r w:rsidRPr="008306EF">
        <w:rPr>
          <w:rFonts w:ascii="Verdana" w:eastAsia="Calibri" w:hAnsi="Verdana" w:cs="Arial"/>
          <w:color w:val="000000" w:themeColor="text1"/>
          <w:lang w:val="es-ES" w:eastAsia="es-ES"/>
        </w:rPr>
        <w:t>En ejercicio de la competencia otorgada por los artículos 3, numeral 5º, y 11, numeral 8º, del Decreto Ley 4170 de 2011,</w:t>
      </w:r>
      <w:r w:rsidRPr="008306EF">
        <w:rPr>
          <w:rFonts w:ascii="Verdana" w:eastAsia="Arial MT" w:hAnsi="Verdana" w:cs="Arial MT"/>
          <w:lang w:val="es-ES" w:eastAsia="es-ES"/>
        </w:rPr>
        <w:t xml:space="preserve"> </w:t>
      </w:r>
      <w:r w:rsidRPr="008306EF">
        <w:rPr>
          <w:rFonts w:ascii="Verdana" w:hAnsi="Verdana" w:cs="Arial"/>
        </w:rPr>
        <w:t xml:space="preserve">así como lo establecido en el artículo 4 de la Resolución 1707 de 2018 expedida por esta Entidad, </w:t>
      </w:r>
      <w:r w:rsidRPr="008306EF">
        <w:rPr>
          <w:rFonts w:ascii="Verdana" w:eastAsia="Calibri" w:hAnsi="Verdana" w:cs="Arial"/>
          <w:color w:val="000000" w:themeColor="text1"/>
          <w:lang w:val="es-ES" w:eastAsia="es-ES"/>
        </w:rPr>
        <w:t xml:space="preserve">la Agencia Nacional de Contratación </w:t>
      </w:r>
      <w:r w:rsidRPr="008306EF">
        <w:rPr>
          <w:rFonts w:ascii="Verdana" w:eastAsia="Calibri" w:hAnsi="Verdana" w:cs="Arial"/>
          <w:lang w:val="es-ES" w:eastAsia="es-ES"/>
        </w:rPr>
        <w:t xml:space="preserve">Pública – Colombia Compra Eficiente– responde su solicitud de consulta de fecha 28 de octubre de 2025, en la cual manifiesta lo siguiente: </w:t>
      </w:r>
    </w:p>
    <w:p w14:paraId="52009D28" w14:textId="77777777" w:rsidR="00455EFE" w:rsidRPr="008306EF" w:rsidRDefault="00455EFE" w:rsidP="00455EFE">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7C99F0A7" w14:textId="77777777" w:rsidR="00455EFE" w:rsidRPr="008306EF" w:rsidRDefault="00455EFE" w:rsidP="00A30C69">
      <w:pPr>
        <w:spacing w:after="0" w:line="240" w:lineRule="auto"/>
        <w:ind w:left="709" w:right="709"/>
        <w:jc w:val="both"/>
        <w:rPr>
          <w:rFonts w:ascii="Verdana" w:hAnsi="Verdana"/>
          <w:sz w:val="20"/>
          <w:szCs w:val="20"/>
        </w:rPr>
      </w:pPr>
      <w:bookmarkStart w:id="1" w:name="_Hlk192699624"/>
      <w:r w:rsidRPr="008306EF">
        <w:rPr>
          <w:rFonts w:ascii="Verdana" w:eastAsia="Century Gothic" w:hAnsi="Verdana" w:cs="Century Gothic"/>
          <w:sz w:val="20"/>
          <w:szCs w:val="20"/>
        </w:rPr>
        <w:t xml:space="preserve">“¿Se encuentra prohibida la suscripción de convenios especiales de cooperación para el desarrollo de actividades de ciencia, tecnología e innovación, que impliquen la utilización y ejecución de recursos públicos, durante el período de restricciones establecido en la Ley de Garantías Electorales para el año 2025? En particular, ¿la Universidad del Cauca, como entidad pública de educación superior del orden nacional, podría suscribir un convenio de cooperación con </w:t>
      </w:r>
      <w:proofErr w:type="spellStart"/>
      <w:r w:rsidRPr="008306EF">
        <w:rPr>
          <w:rFonts w:ascii="Verdana" w:eastAsia="Century Gothic" w:hAnsi="Verdana" w:cs="Century Gothic"/>
          <w:sz w:val="20"/>
          <w:szCs w:val="20"/>
        </w:rPr>
        <w:t>Colfuturo</w:t>
      </w:r>
      <w:proofErr w:type="spellEnd"/>
      <w:r w:rsidRPr="008306EF">
        <w:rPr>
          <w:rFonts w:ascii="Verdana" w:eastAsia="Century Gothic" w:hAnsi="Verdana" w:cs="Century Gothic"/>
          <w:sz w:val="20"/>
          <w:szCs w:val="20"/>
        </w:rPr>
        <w:t xml:space="preserve">, fundación privada sin ánimo de lucro, cuando dicha vinculación contempla la asignación o administración de recursos públicos destinados a la ejecución de </w:t>
      </w:r>
      <w:r w:rsidRPr="008306EF">
        <w:rPr>
          <w:rFonts w:ascii="Verdana" w:eastAsia="Century Gothic" w:hAnsi="Verdana" w:cs="Century Gothic"/>
          <w:sz w:val="20"/>
          <w:szCs w:val="20"/>
        </w:rPr>
        <w:lastRenderedPageBreak/>
        <w:t>actividades de ciencia, tecnología e innovación? De igual manera, ¿la Universidad del Cauca podría celebrar convenios especiales de cooperación para actividades de ciencia, tecnología e innovación durante dicho período con la Universidad del Valle (institución pública de carácter departamental), la Universidad de la Amazonía (institución pública de orden nacional</w:t>
      </w:r>
      <w:proofErr w:type="gramStart"/>
      <w:r w:rsidRPr="008306EF">
        <w:rPr>
          <w:rFonts w:ascii="Verdana" w:eastAsia="Century Gothic" w:hAnsi="Verdana" w:cs="Century Gothic"/>
          <w:sz w:val="20"/>
          <w:szCs w:val="20"/>
        </w:rPr>
        <w:t>)”[</w:t>
      </w:r>
      <w:proofErr w:type="gramEnd"/>
      <w:r w:rsidRPr="008306EF">
        <w:rPr>
          <w:rFonts w:ascii="Verdana" w:eastAsia="Century Gothic" w:hAnsi="Verdana" w:cs="Century Gothic"/>
          <w:sz w:val="20"/>
          <w:szCs w:val="20"/>
        </w:rPr>
        <w:t>sic]</w:t>
      </w:r>
    </w:p>
    <w:bookmarkEnd w:id="1"/>
    <w:p w14:paraId="38B230CD" w14:textId="77777777" w:rsidR="00455EFE" w:rsidRPr="008306EF" w:rsidRDefault="00455EFE" w:rsidP="00455EFE">
      <w:pPr>
        <w:pStyle w:val="Prrafodelista"/>
        <w:tabs>
          <w:tab w:val="left" w:pos="142"/>
          <w:tab w:val="left" w:pos="284"/>
        </w:tabs>
        <w:spacing w:after="0" w:line="240" w:lineRule="auto"/>
        <w:ind w:left="0"/>
        <w:jc w:val="both"/>
        <w:rPr>
          <w:rFonts w:ascii="Verdana" w:eastAsia="Century Gothic" w:hAnsi="Verdana" w:cs="Century Gothic"/>
          <w:b/>
          <w:bCs/>
        </w:rPr>
      </w:pPr>
    </w:p>
    <w:p w14:paraId="27070550" w14:textId="77777777" w:rsidR="00455EFE" w:rsidRPr="008306EF" w:rsidRDefault="00455EFE" w:rsidP="00455EFE">
      <w:pPr>
        <w:spacing w:after="120" w:line="276" w:lineRule="auto"/>
        <w:ind w:firstLine="709"/>
        <w:jc w:val="both"/>
        <w:rPr>
          <w:rFonts w:ascii="Verdana" w:eastAsia="Calibri" w:hAnsi="Verdana" w:cs="Arial"/>
          <w:color w:val="000000"/>
          <w:szCs w:val="24"/>
          <w:lang w:val="es-ES_tradnl" w:eastAsia="es-ES_tradnl"/>
        </w:rPr>
      </w:pPr>
      <w:r w:rsidRPr="008306E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306EF">
        <w:rPr>
          <w:rFonts w:ascii="Verdana" w:eastAsia="Calibri" w:hAnsi="Verdana" w:cs="Arial"/>
          <w:color w:val="000000"/>
          <w:szCs w:val="24"/>
          <w:lang w:val="es-ES_tradnl" w:eastAsia="es-ES_tradnl"/>
        </w:rPr>
        <w:tab/>
      </w:r>
    </w:p>
    <w:p w14:paraId="5363838F" w14:textId="77777777" w:rsidR="00455EFE" w:rsidRPr="008306EF" w:rsidRDefault="00455EFE" w:rsidP="00455EFE">
      <w:pPr>
        <w:spacing w:after="0" w:line="276" w:lineRule="auto"/>
        <w:ind w:firstLine="709"/>
        <w:jc w:val="both"/>
        <w:rPr>
          <w:rFonts w:ascii="Verdana" w:eastAsia="Calibri" w:hAnsi="Verdana" w:cs="Arial"/>
          <w:color w:val="000000"/>
          <w:lang w:val="es-ES" w:eastAsia="es-ES"/>
        </w:rPr>
      </w:pPr>
      <w:r w:rsidRPr="008306EF">
        <w:rPr>
          <w:rFonts w:ascii="Verdana" w:eastAsia="Calibri" w:hAnsi="Verdana" w:cs="Arial"/>
          <w:color w:val="000000"/>
          <w:lang w:val="es-ES"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w:t>
      </w:r>
      <w:r w:rsidRPr="008306EF">
        <w:rPr>
          <w:rFonts w:ascii="Verdana" w:eastAsia="Calibri" w:hAnsi="Verdana" w:cs="Arial"/>
          <w:color w:val="7030A0"/>
          <w:lang w:val="es-ES" w:eastAsia="es-ES"/>
        </w:rPr>
        <w:t xml:space="preserve"> </w:t>
      </w:r>
      <w:r w:rsidRPr="008306EF">
        <w:rPr>
          <w:rFonts w:ascii="Verdana" w:eastAsia="Calibri" w:hAnsi="Verdana" w:cs="Arial"/>
          <w:color w:val="000000"/>
          <w:lang w:val="es-ES" w:eastAsia="es-ES"/>
        </w:rPr>
        <w:t>problema</w:t>
      </w:r>
      <w:r w:rsidRPr="008306EF">
        <w:rPr>
          <w:rFonts w:ascii="Verdana" w:eastAsia="Calibri" w:hAnsi="Verdana" w:cs="Arial"/>
          <w:color w:val="7030A0"/>
          <w:lang w:val="es-ES" w:eastAsia="es-ES"/>
        </w:rPr>
        <w:t xml:space="preserve"> </w:t>
      </w:r>
      <w:r w:rsidRPr="008306EF">
        <w:rPr>
          <w:rFonts w:ascii="Verdana" w:eastAsia="Calibri" w:hAnsi="Verdana" w:cs="Arial"/>
          <w:color w:val="000000"/>
          <w:lang w:val="es-ES" w:eastAsia="es-ES"/>
        </w:rPr>
        <w:t>jurídico</w:t>
      </w:r>
      <w:r w:rsidRPr="008306EF">
        <w:rPr>
          <w:rFonts w:ascii="Verdana" w:eastAsia="Calibri" w:hAnsi="Verdana" w:cs="Arial"/>
          <w:color w:val="7030A0"/>
          <w:lang w:val="es-ES" w:eastAsia="es-ES"/>
        </w:rPr>
        <w:t xml:space="preserve"> </w:t>
      </w:r>
      <w:r w:rsidRPr="008306EF">
        <w:rPr>
          <w:rFonts w:ascii="Verdana" w:eastAsia="Calibri" w:hAnsi="Verdana" w:cs="Arial"/>
          <w:color w:val="000000"/>
          <w:lang w:val="es-ES" w:eastAsia="es-ES"/>
        </w:rPr>
        <w:t xml:space="preserve">de su consulta.  </w:t>
      </w:r>
    </w:p>
    <w:p w14:paraId="2BBAF950" w14:textId="77777777" w:rsidR="00455EFE" w:rsidRPr="008306EF" w:rsidRDefault="00455EFE" w:rsidP="00455EFE">
      <w:pPr>
        <w:spacing w:after="0" w:line="276" w:lineRule="auto"/>
        <w:ind w:firstLine="709"/>
        <w:jc w:val="both"/>
        <w:rPr>
          <w:rFonts w:ascii="Verdana" w:eastAsia="Calibri" w:hAnsi="Verdana" w:cs="Arial"/>
          <w:color w:val="000000"/>
          <w:lang w:val="es-ES" w:eastAsia="es-ES"/>
        </w:rPr>
      </w:pPr>
    </w:p>
    <w:p w14:paraId="3EFB4F46" w14:textId="77777777" w:rsidR="00455EFE" w:rsidRPr="008306EF" w:rsidRDefault="00455EFE" w:rsidP="00455E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306EF">
        <w:rPr>
          <w:rFonts w:ascii="Verdana" w:eastAsia="Century Gothic" w:hAnsi="Verdana" w:cs="Century Gothic"/>
          <w:b/>
          <w:bCs/>
        </w:rPr>
        <w:t>Problema planteado:</w:t>
      </w:r>
    </w:p>
    <w:p w14:paraId="4A1D08C5" w14:textId="77777777" w:rsidR="00455EFE" w:rsidRPr="008306EF" w:rsidRDefault="00455EFE" w:rsidP="00455EFE">
      <w:pPr>
        <w:tabs>
          <w:tab w:val="left" w:pos="426"/>
        </w:tabs>
        <w:spacing w:after="0" w:line="276" w:lineRule="auto"/>
        <w:jc w:val="both"/>
        <w:rPr>
          <w:rFonts w:ascii="Verdana" w:eastAsia="Century Gothic" w:hAnsi="Verdana" w:cs="Century Gothic"/>
          <w:lang w:val="es-ES"/>
        </w:rPr>
      </w:pPr>
    </w:p>
    <w:p w14:paraId="56E64D53" w14:textId="6B6E8A9A" w:rsidR="00455EFE" w:rsidRPr="008306EF" w:rsidRDefault="00455EFE" w:rsidP="00A30C69">
      <w:pPr>
        <w:spacing w:after="0" w:line="276" w:lineRule="auto"/>
        <w:ind w:right="-93"/>
        <w:jc w:val="both"/>
        <w:rPr>
          <w:rFonts w:ascii="Verdana" w:eastAsia="Century Gothic" w:hAnsi="Verdana" w:cs="Century Gothic"/>
        </w:rPr>
      </w:pPr>
      <w:r w:rsidRPr="008306EF">
        <w:rPr>
          <w:rFonts w:ascii="Verdana" w:eastAsia="Century Gothic" w:hAnsi="Verdana" w:cs="Century Gothic"/>
        </w:rPr>
        <w:t xml:space="preserve">De acuerdo con el contenido de su solicitud, esta </w:t>
      </w:r>
      <w:r w:rsidR="00574641">
        <w:rPr>
          <w:rFonts w:ascii="Verdana" w:eastAsia="Century Gothic" w:hAnsi="Verdana" w:cs="Century Gothic"/>
        </w:rPr>
        <w:t>A</w:t>
      </w:r>
      <w:r w:rsidRPr="008306EF">
        <w:rPr>
          <w:rFonts w:ascii="Verdana" w:eastAsia="Century Gothic" w:hAnsi="Verdana" w:cs="Century Gothic"/>
        </w:rPr>
        <w:t xml:space="preserve">gencia resolverá el siguiente problema jurídico: </w:t>
      </w:r>
      <w:r w:rsidRPr="00F71F99">
        <w:rPr>
          <w:rFonts w:ascii="Verdana" w:eastAsia="Century Gothic" w:hAnsi="Verdana" w:cs="Century Gothic"/>
        </w:rPr>
        <w:t xml:space="preserve">¿Se encuentra prohibida la suscripción de convenios especiales de cooperación para el desarrollo de actividades de ciencia, tecnología e innovación, que impliquen la utilización y ejecución de recursos públicos, durante el período de restricciones establecido en la Ley de Garantías Electorales? </w:t>
      </w:r>
    </w:p>
    <w:p w14:paraId="5C31483C" w14:textId="77777777" w:rsidR="00455EFE" w:rsidRPr="008306EF" w:rsidRDefault="00455EFE" w:rsidP="00455EFE">
      <w:pPr>
        <w:spacing w:after="0" w:line="276" w:lineRule="auto"/>
        <w:jc w:val="both"/>
        <w:rPr>
          <w:rFonts w:ascii="Verdana" w:eastAsia="Century Gothic" w:hAnsi="Verdana" w:cs="Century Gothic"/>
          <w:b/>
          <w:bCs/>
        </w:rPr>
      </w:pPr>
    </w:p>
    <w:p w14:paraId="69AD12E4" w14:textId="77777777" w:rsidR="00455EFE" w:rsidRPr="008306EF" w:rsidRDefault="00455EFE" w:rsidP="00455E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306EF">
        <w:rPr>
          <w:rFonts w:ascii="Verdana" w:eastAsia="Century Gothic" w:hAnsi="Verdana" w:cs="Century Gothic"/>
          <w:b/>
          <w:bCs/>
        </w:rPr>
        <w:t>Respuesta:</w:t>
      </w:r>
    </w:p>
    <w:p w14:paraId="2FBAA0A7" w14:textId="77777777" w:rsidR="00455EFE" w:rsidRPr="008306EF" w:rsidRDefault="00455EFE" w:rsidP="00455EF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455EFE" w:rsidRPr="008306EF" w14:paraId="6D76C3FA" w14:textId="77777777" w:rsidTr="00AF31DE">
        <w:tc>
          <w:tcPr>
            <w:tcW w:w="8828" w:type="dxa"/>
          </w:tcPr>
          <w:p w14:paraId="09F9CB05" w14:textId="2E7B12EC" w:rsidR="007E6685" w:rsidRDefault="00DD4C8F" w:rsidP="007E6685">
            <w:pPr>
              <w:spacing w:after="120" w:line="276" w:lineRule="auto"/>
              <w:jc w:val="both"/>
              <w:rPr>
                <w:rFonts w:ascii="Verdana" w:eastAsia="Calibri" w:hAnsi="Verdana" w:cs="Arial"/>
                <w:color w:val="000000" w:themeColor="text1"/>
                <w:lang w:val="es-ES"/>
              </w:rPr>
            </w:pPr>
            <w:r>
              <w:rPr>
                <w:rFonts w:ascii="Verdana" w:eastAsia="Calibri" w:hAnsi="Verdana"/>
                <w:color w:val="000000" w:themeColor="text1"/>
                <w:lang w:val="es-ES"/>
              </w:rPr>
              <w:lastRenderedPageBreak/>
              <w:t>Respecto al contenido de su consulta esta Agencia manifiesta que</w:t>
            </w:r>
            <w:r w:rsidR="00455EFE" w:rsidRPr="008306EF">
              <w:rPr>
                <w:rFonts w:ascii="Verdana" w:eastAsia="Calibri" w:hAnsi="Verdana" w:cs="Arial"/>
                <w:color w:val="000000" w:themeColor="text1"/>
                <w:lang w:val="es-ES"/>
              </w:rPr>
              <w:t xml:space="preserve">, la Ley 996 de 2005 establece dos (2) tipos de restricciones en materia de contratación, las cuales coinciden parcialmente. </w:t>
            </w:r>
          </w:p>
          <w:p w14:paraId="48611929" w14:textId="68E4E24D" w:rsidR="00DD4C8F" w:rsidRDefault="00455EFE" w:rsidP="00A30C69">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 xml:space="preserve">En primer lugar, </w:t>
            </w:r>
            <w:r w:rsidR="00DD4C8F">
              <w:rPr>
                <w:rFonts w:ascii="Verdana" w:eastAsia="Calibri" w:hAnsi="Verdana" w:cs="Arial"/>
                <w:color w:val="000000" w:themeColor="text1"/>
                <w:lang w:val="es-ES"/>
              </w:rPr>
              <w:t>se encuentra</w:t>
            </w:r>
            <w:r w:rsidRPr="008306EF">
              <w:rPr>
                <w:rFonts w:ascii="Verdana" w:eastAsia="Calibri" w:hAnsi="Verdana" w:cs="Arial"/>
                <w:color w:val="000000" w:themeColor="text1"/>
                <w:lang w:val="es-ES"/>
              </w:rPr>
              <w:t xml:space="preserve"> la</w:t>
            </w:r>
            <w:r w:rsidR="00DD4C8F">
              <w:rPr>
                <w:rFonts w:ascii="Verdana" w:eastAsia="Calibri" w:hAnsi="Verdana" w:cs="Arial"/>
                <w:color w:val="000000" w:themeColor="text1"/>
                <w:lang w:val="es-ES"/>
              </w:rPr>
              <w:t xml:space="preserve"> consagrada en</w:t>
            </w:r>
            <w:r w:rsidRPr="008306EF">
              <w:rPr>
                <w:rFonts w:ascii="Verdana" w:eastAsia="Calibri" w:hAnsi="Verdana" w:cs="Arial"/>
                <w:color w:val="000000" w:themeColor="text1"/>
                <w:lang w:val="es-ES"/>
              </w:rPr>
              <w:t xml:space="preserve"> el artículo 33</w:t>
            </w:r>
            <w:r w:rsidR="00DD4C8F">
              <w:rPr>
                <w:rFonts w:ascii="Verdana" w:eastAsia="Calibri" w:hAnsi="Verdana" w:cs="Arial"/>
                <w:color w:val="000000" w:themeColor="text1"/>
                <w:lang w:val="es-ES"/>
              </w:rPr>
              <w:t>,</w:t>
            </w:r>
            <w:r w:rsidRPr="008306EF">
              <w:rPr>
                <w:rFonts w:ascii="Verdana" w:eastAsia="Calibri" w:hAnsi="Verdana" w:cs="Arial"/>
                <w:color w:val="000000" w:themeColor="text1"/>
                <w:lang w:val="es-ES"/>
              </w:rPr>
              <w:t xml:space="preserve"> que opera solo respecto de las elecciones presidenciales, en virtud de la cual queda proscrita la contratación directa dentro de los cuatro (4) meses anteriores a la celebración de los comicios, salvo </w:t>
            </w:r>
            <w:proofErr w:type="gramStart"/>
            <w:r w:rsidRPr="008306EF">
              <w:rPr>
                <w:rFonts w:ascii="Verdana" w:eastAsia="Calibri" w:hAnsi="Verdana" w:cs="Arial"/>
                <w:color w:val="000000" w:themeColor="text1"/>
                <w:lang w:val="es-ES"/>
              </w:rPr>
              <w:t>las  excepciones</w:t>
            </w:r>
            <w:proofErr w:type="gramEnd"/>
            <w:r w:rsidR="00DD4C8F">
              <w:rPr>
                <w:rFonts w:ascii="Verdana" w:eastAsia="Calibri" w:hAnsi="Verdana" w:cs="Arial"/>
                <w:color w:val="000000" w:themeColor="text1"/>
                <w:lang w:val="es-ES"/>
              </w:rPr>
              <w:t xml:space="preserve"> contempladas en la misma norma</w:t>
            </w:r>
            <w:r w:rsidRPr="008306EF">
              <w:rPr>
                <w:rFonts w:ascii="Verdana" w:eastAsia="Calibri" w:hAnsi="Verdana" w:cs="Arial"/>
                <w:color w:val="000000" w:themeColor="text1"/>
                <w:lang w:val="es-ES"/>
              </w:rPr>
              <w:t xml:space="preserve">. Sin embargo, si ningún candidato obtiene la mitad más uno de los votos que, de manera secreta y directa, depositen los ciudadanos, se celebrará una nueva votación que tendrá lugar tres </w:t>
            </w:r>
            <w:r w:rsidR="00DD4C8F">
              <w:rPr>
                <w:rFonts w:ascii="Verdana" w:eastAsia="Calibri" w:hAnsi="Verdana" w:cs="Arial"/>
                <w:color w:val="000000" w:themeColor="text1"/>
                <w:lang w:val="es-ES"/>
              </w:rPr>
              <w:t>(3)</w:t>
            </w:r>
            <w:r w:rsidRPr="008306EF">
              <w:rPr>
                <w:rFonts w:ascii="Verdana" w:eastAsia="Calibri" w:hAnsi="Verdana" w:cs="Arial"/>
                <w:color w:val="000000" w:themeColor="text1"/>
                <w:lang w:val="es-ES"/>
              </w:rPr>
              <w:t xml:space="preserve">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7136725B" w14:textId="2AD95108" w:rsidR="007E6685" w:rsidRDefault="00455EFE" w:rsidP="007E6685">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En segundo lugar, también se encuentra la prohibición del parágrafo del artículo 38, l</w:t>
            </w:r>
            <w:r w:rsidR="00DD4C8F">
              <w:rPr>
                <w:rFonts w:ascii="Verdana" w:eastAsia="Calibri" w:hAnsi="Verdana" w:cs="Arial"/>
                <w:color w:val="000000" w:themeColor="text1"/>
                <w:lang w:val="es-ES"/>
              </w:rPr>
              <w:t>a</w:t>
            </w:r>
            <w:r w:rsidRPr="008306EF">
              <w:rPr>
                <w:rFonts w:ascii="Verdana" w:eastAsia="Calibri" w:hAnsi="Verdana" w:cs="Arial"/>
                <w:color w:val="000000" w:themeColor="text1"/>
                <w:lang w:val="es-ES"/>
              </w:rPr>
              <w:t xml:space="preserve"> cual debe aplicarse respecto de cualquier tipo de contienda electoral, y que </w:t>
            </w:r>
            <w:r>
              <w:rPr>
                <w:rFonts w:ascii="Verdana" w:eastAsia="Times New Roman" w:hAnsi="Verdana" w:cs="Arial"/>
                <w:lang w:val="es-MX" w:eastAsia="es-CO"/>
              </w:rPr>
              <w:t xml:space="preserve">prohíbe </w:t>
            </w:r>
            <w:r w:rsidR="003E7259">
              <w:rPr>
                <w:rFonts w:ascii="Verdana" w:eastAsia="Times New Roman" w:hAnsi="Verdana" w:cs="Arial"/>
                <w:lang w:val="es-MX" w:eastAsia="es-CO"/>
              </w:rPr>
              <w:t xml:space="preserve">a los </w:t>
            </w:r>
            <w:proofErr w:type="gramStart"/>
            <w:r w:rsidR="003E7259">
              <w:rPr>
                <w:rFonts w:ascii="Verdana" w:eastAsia="Times New Roman" w:hAnsi="Verdana" w:cs="Arial"/>
                <w:lang w:val="es-MX" w:eastAsia="es-CO"/>
              </w:rPr>
              <w:t>Alcaldes</w:t>
            </w:r>
            <w:proofErr w:type="gramEnd"/>
            <w:r w:rsidR="003E7259">
              <w:rPr>
                <w:rFonts w:ascii="Verdana" w:eastAsia="Times New Roman" w:hAnsi="Verdana" w:cs="Arial"/>
                <w:lang w:val="es-MX" w:eastAsia="es-CO"/>
              </w:rPr>
              <w:t xml:space="preserve">, Gobernadores, </w:t>
            </w:r>
            <w:proofErr w:type="gramStart"/>
            <w:r w:rsidR="003E7259">
              <w:rPr>
                <w:rFonts w:ascii="Verdana" w:eastAsia="Times New Roman" w:hAnsi="Verdana" w:cs="Arial"/>
                <w:lang w:val="es-MX" w:eastAsia="es-CO"/>
              </w:rPr>
              <w:t>Secretarios</w:t>
            </w:r>
            <w:proofErr w:type="gramEnd"/>
            <w:r w:rsidR="003E7259">
              <w:rPr>
                <w:rFonts w:ascii="Verdana" w:eastAsia="Times New Roman" w:hAnsi="Verdana" w:cs="Arial"/>
                <w:lang w:val="es-MX" w:eastAsia="es-CO"/>
              </w:rPr>
              <w:t xml:space="preserve">, Gerentes y </w:t>
            </w:r>
            <w:proofErr w:type="gramStart"/>
            <w:r w:rsidR="003E7259">
              <w:rPr>
                <w:rFonts w:ascii="Verdana" w:eastAsia="Times New Roman" w:hAnsi="Verdana" w:cs="Arial"/>
                <w:lang w:val="es-MX" w:eastAsia="es-CO"/>
              </w:rPr>
              <w:t>Directores</w:t>
            </w:r>
            <w:proofErr w:type="gramEnd"/>
            <w:r w:rsidR="003E7259">
              <w:rPr>
                <w:rFonts w:ascii="Verdana" w:eastAsia="Times New Roman" w:hAnsi="Verdana" w:cs="Arial"/>
                <w:lang w:val="es-MX" w:eastAsia="es-CO"/>
              </w:rPr>
              <w:t xml:space="preserve"> de las entidades del orden municipal, departamental o distrital celebrar </w:t>
            </w:r>
            <w:r w:rsidR="003E7259">
              <w:rPr>
                <w:rFonts w:ascii="Verdana" w:eastAsia="Times New Roman" w:hAnsi="Verdana" w:cs="Arial"/>
                <w:i/>
                <w:iCs/>
                <w:lang w:val="es-MX" w:eastAsia="es-CO"/>
              </w:rPr>
              <w:t>convenios interadministrativos</w:t>
            </w:r>
            <w:r w:rsidR="003E7259">
              <w:rPr>
                <w:rFonts w:ascii="Verdana" w:eastAsia="Times New Roman" w:hAnsi="Verdana" w:cs="Arial"/>
                <w:lang w:val="es-MX" w:eastAsia="es-CO"/>
              </w:rPr>
              <w:t xml:space="preserve"> </w:t>
            </w:r>
            <w:r w:rsidR="003E7259" w:rsidRPr="00A51A1D">
              <w:rPr>
                <w:rFonts w:ascii="Verdana" w:eastAsia="Times New Roman" w:hAnsi="Verdana" w:cs="Arial"/>
                <w:i/>
                <w:iCs/>
                <w:lang w:val="es-MX" w:eastAsia="es-CO"/>
              </w:rPr>
              <w:t>para la ejecución de recursos públicos</w:t>
            </w:r>
            <w:r w:rsidR="003E7259">
              <w:rPr>
                <w:rFonts w:ascii="Verdana" w:eastAsia="Times New Roman" w:hAnsi="Verdana" w:cs="Arial"/>
                <w:lang w:val="es-MX" w:eastAsia="es-CO"/>
              </w:rPr>
              <w:t xml:space="preserve">. </w:t>
            </w:r>
            <w:r>
              <w:rPr>
                <w:rFonts w:ascii="Verdana" w:eastAsia="Calibri" w:hAnsi="Verdana" w:cs="Arial"/>
                <w:color w:val="000000" w:themeColor="text1"/>
                <w:lang w:val="es-ES"/>
              </w:rPr>
              <w:t xml:space="preserve">         </w:t>
            </w:r>
          </w:p>
          <w:p w14:paraId="0481575E" w14:textId="13CF9C84" w:rsidR="003E7259" w:rsidRDefault="00455EFE" w:rsidP="00A30C69">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r>
              <w:rPr>
                <w:rFonts w:ascii="Verdana" w:eastAsia="Calibri" w:hAnsi="Verdana" w:cs="Arial"/>
                <w:color w:val="000000" w:themeColor="text1"/>
                <w:lang w:val="es-ES"/>
              </w:rPr>
              <w:t>.</w:t>
            </w:r>
          </w:p>
          <w:p w14:paraId="20C42D26" w14:textId="77777777" w:rsidR="007E6685" w:rsidRDefault="003E7259" w:rsidP="007E6685">
            <w:pPr>
              <w:spacing w:after="120" w:line="276" w:lineRule="auto"/>
              <w:ind w:firstLine="709"/>
              <w:jc w:val="both"/>
              <w:rPr>
                <w:rFonts w:ascii="Verdana" w:eastAsia="Century Gothic" w:hAnsi="Verdana" w:cs="Century Gothic"/>
              </w:rPr>
            </w:pPr>
            <w:r>
              <w:rPr>
                <w:rFonts w:ascii="Verdana" w:eastAsia="Calibri" w:hAnsi="Verdana" w:cs="Arial"/>
                <w:color w:val="000000" w:themeColor="text1"/>
                <w:lang w:val="es-ES"/>
              </w:rPr>
              <w:t xml:space="preserve">Teniendo en cuenta la explicación precedente, se señala que los </w:t>
            </w:r>
            <w:r w:rsidRPr="00F71F99">
              <w:rPr>
                <w:rFonts w:ascii="Verdana" w:eastAsia="Century Gothic" w:hAnsi="Verdana" w:cs="Century Gothic"/>
              </w:rPr>
              <w:t>convenios especiales de cooperación para el desarrollo de actividades de ciencia, tecnología e innovación</w:t>
            </w:r>
            <w:r>
              <w:rPr>
                <w:rFonts w:ascii="Verdana" w:eastAsia="Century Gothic" w:hAnsi="Verdana" w:cs="Century Gothic"/>
              </w:rPr>
              <w:t xml:space="preserve"> que están prohibidos contratar durante los cuatro (4) meses previos a las elecciones de presidente son aquellos que se celebren de manera directa, es decir, a través de una modalidad de contratación que no implique pluralidad de oferentes. </w:t>
            </w:r>
          </w:p>
          <w:p w14:paraId="2F410C04" w14:textId="3ED7BBDF" w:rsidR="00455EFE" w:rsidRPr="008306EF" w:rsidRDefault="003E7259" w:rsidP="00A30C69">
            <w:pPr>
              <w:spacing w:after="120" w:line="276" w:lineRule="auto"/>
              <w:ind w:firstLine="709"/>
              <w:jc w:val="both"/>
              <w:rPr>
                <w:rFonts w:ascii="Verdana" w:eastAsia="Arial" w:hAnsi="Verdana" w:cs="Arial"/>
                <w:lang w:eastAsia="es-ES" w:bidi="es-ES"/>
              </w:rPr>
            </w:pPr>
            <w:r>
              <w:rPr>
                <w:rFonts w:ascii="Verdana" w:eastAsia="Century Gothic" w:hAnsi="Verdana" w:cs="Century Gothic"/>
              </w:rPr>
              <w:t xml:space="preserve">Ahora bien, tratándose de elecciones en general </w:t>
            </w:r>
            <w:r w:rsidR="007E6685">
              <w:rPr>
                <w:rFonts w:ascii="Verdana" w:eastAsia="Century Gothic" w:hAnsi="Verdana" w:cs="Century Gothic"/>
              </w:rPr>
              <w:t>se</w:t>
            </w:r>
            <w:r>
              <w:rPr>
                <w:rFonts w:ascii="Verdana" w:eastAsia="Century Gothic" w:hAnsi="Verdana" w:cs="Century Gothic"/>
              </w:rPr>
              <w:t xml:space="preserve"> </w:t>
            </w:r>
            <w:r w:rsidR="007E6685">
              <w:rPr>
                <w:rFonts w:ascii="Verdana" w:eastAsia="Times New Roman" w:hAnsi="Verdana" w:cs="Arial"/>
                <w:lang w:val="es-MX" w:eastAsia="es-CO"/>
              </w:rPr>
              <w:t xml:space="preserve">prohíbe a los </w:t>
            </w:r>
            <w:proofErr w:type="gramStart"/>
            <w:r w:rsidR="007E6685">
              <w:rPr>
                <w:rFonts w:ascii="Verdana" w:eastAsia="Times New Roman" w:hAnsi="Verdana" w:cs="Arial"/>
                <w:lang w:val="es-MX" w:eastAsia="es-CO"/>
              </w:rPr>
              <w:t>Alcaldes</w:t>
            </w:r>
            <w:proofErr w:type="gramEnd"/>
            <w:r w:rsidR="007E6685">
              <w:rPr>
                <w:rFonts w:ascii="Verdana" w:eastAsia="Times New Roman" w:hAnsi="Verdana" w:cs="Arial"/>
                <w:lang w:val="es-MX" w:eastAsia="es-CO"/>
              </w:rPr>
              <w:t xml:space="preserve">, Gobernadores, </w:t>
            </w:r>
            <w:proofErr w:type="gramStart"/>
            <w:r w:rsidR="007E6685">
              <w:rPr>
                <w:rFonts w:ascii="Verdana" w:eastAsia="Times New Roman" w:hAnsi="Verdana" w:cs="Arial"/>
                <w:lang w:val="es-MX" w:eastAsia="es-CO"/>
              </w:rPr>
              <w:t>Secretarios</w:t>
            </w:r>
            <w:proofErr w:type="gramEnd"/>
            <w:r w:rsidR="007E6685">
              <w:rPr>
                <w:rFonts w:ascii="Verdana" w:eastAsia="Times New Roman" w:hAnsi="Verdana" w:cs="Arial"/>
                <w:lang w:val="es-MX" w:eastAsia="es-CO"/>
              </w:rPr>
              <w:t xml:space="preserve">, Gerentes y </w:t>
            </w:r>
            <w:proofErr w:type="gramStart"/>
            <w:r w:rsidR="007E6685">
              <w:rPr>
                <w:rFonts w:ascii="Verdana" w:eastAsia="Times New Roman" w:hAnsi="Verdana" w:cs="Arial"/>
                <w:lang w:val="es-MX" w:eastAsia="es-CO"/>
              </w:rPr>
              <w:t>Directores</w:t>
            </w:r>
            <w:proofErr w:type="gramEnd"/>
            <w:r w:rsidR="007E6685">
              <w:rPr>
                <w:rFonts w:ascii="Verdana" w:eastAsia="Times New Roman" w:hAnsi="Verdana" w:cs="Arial"/>
                <w:lang w:val="es-MX" w:eastAsia="es-CO"/>
              </w:rPr>
              <w:t xml:space="preserve"> de las entidades </w:t>
            </w:r>
            <w:r w:rsidR="007E6685">
              <w:rPr>
                <w:rFonts w:ascii="Verdana" w:eastAsia="Times New Roman" w:hAnsi="Verdana" w:cs="Arial"/>
                <w:lang w:val="es-MX" w:eastAsia="es-CO"/>
              </w:rPr>
              <w:lastRenderedPageBreak/>
              <w:t xml:space="preserve">del orden municipal, departamental o distrital celebrar </w:t>
            </w:r>
            <w:r w:rsidR="007E6685">
              <w:rPr>
                <w:rFonts w:ascii="Verdana" w:eastAsia="Times New Roman" w:hAnsi="Verdana" w:cs="Arial"/>
                <w:i/>
                <w:iCs/>
                <w:lang w:val="es-MX" w:eastAsia="es-CO"/>
              </w:rPr>
              <w:t>convenios interadministrativos</w:t>
            </w:r>
            <w:r w:rsidR="007E6685">
              <w:rPr>
                <w:rFonts w:ascii="Verdana" w:eastAsia="Times New Roman" w:hAnsi="Verdana" w:cs="Arial"/>
                <w:lang w:val="es-MX" w:eastAsia="es-CO"/>
              </w:rPr>
              <w:t xml:space="preserve"> </w:t>
            </w:r>
            <w:r w:rsidR="007E6685" w:rsidRPr="00A51A1D">
              <w:rPr>
                <w:rFonts w:ascii="Verdana" w:eastAsia="Times New Roman" w:hAnsi="Verdana" w:cs="Arial"/>
                <w:i/>
                <w:iCs/>
                <w:lang w:val="es-MX" w:eastAsia="es-CO"/>
              </w:rPr>
              <w:t>para la ejecución de recursos públicos</w:t>
            </w:r>
            <w:r w:rsidR="007E6685">
              <w:rPr>
                <w:rFonts w:ascii="Verdana" w:eastAsia="Times New Roman" w:hAnsi="Verdana" w:cs="Arial"/>
                <w:lang w:val="es-MX" w:eastAsia="es-CO"/>
              </w:rPr>
              <w:t xml:space="preserve">. En este sentido, si una o ambas partes de la relación contractual es una entidad de aquellas descritas, no podrá celebrar tales </w:t>
            </w:r>
            <w:r w:rsidR="007E6685">
              <w:rPr>
                <w:rFonts w:ascii="Verdana" w:eastAsia="Times New Roman" w:hAnsi="Verdana" w:cs="Arial"/>
                <w:i/>
                <w:iCs/>
                <w:lang w:val="es-MX" w:eastAsia="es-CO"/>
              </w:rPr>
              <w:t>convenios</w:t>
            </w:r>
            <w:r w:rsidR="007E668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r>
              <w:rPr>
                <w:rFonts w:ascii="Verdana" w:eastAsia="Century Gothic" w:hAnsi="Verdana" w:cs="Century Gothic"/>
              </w:rPr>
              <w:t xml:space="preserve"> </w:t>
            </w:r>
          </w:p>
        </w:tc>
      </w:tr>
    </w:tbl>
    <w:p w14:paraId="00493573" w14:textId="77777777" w:rsidR="00455EFE" w:rsidRPr="008306EF" w:rsidRDefault="00455EFE" w:rsidP="00455EFE">
      <w:pPr>
        <w:tabs>
          <w:tab w:val="left" w:pos="142"/>
          <w:tab w:val="left" w:pos="284"/>
        </w:tabs>
        <w:spacing w:after="0" w:line="276" w:lineRule="auto"/>
        <w:jc w:val="both"/>
        <w:rPr>
          <w:rFonts w:ascii="Verdana" w:eastAsia="Century Gothic" w:hAnsi="Verdana" w:cs="Century Gothic"/>
          <w:b/>
          <w:bCs/>
          <w:lang w:val="es-ES"/>
        </w:rPr>
      </w:pPr>
    </w:p>
    <w:p w14:paraId="13943859" w14:textId="77777777" w:rsidR="00455EFE" w:rsidRPr="008306EF" w:rsidRDefault="00455EFE" w:rsidP="00455E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306EF">
        <w:rPr>
          <w:rFonts w:ascii="Verdana" w:eastAsia="Century Gothic" w:hAnsi="Verdana" w:cs="Century Gothic"/>
          <w:b/>
          <w:bCs/>
        </w:rPr>
        <w:t>Razones de la respuesta:</w:t>
      </w:r>
    </w:p>
    <w:p w14:paraId="38427152" w14:textId="77777777" w:rsidR="00455EFE" w:rsidRPr="008306EF" w:rsidRDefault="00455EFE" w:rsidP="00455EFE">
      <w:pPr>
        <w:spacing w:after="0" w:line="276" w:lineRule="auto"/>
        <w:jc w:val="both"/>
        <w:rPr>
          <w:rFonts w:ascii="Verdana" w:eastAsia="Calibri" w:hAnsi="Verdana" w:cs="Arial"/>
          <w:color w:val="7030A0"/>
          <w:lang w:val="es-ES"/>
        </w:rPr>
      </w:pPr>
    </w:p>
    <w:p w14:paraId="68022777" w14:textId="77777777" w:rsidR="00455EFE" w:rsidRPr="008306EF" w:rsidRDefault="00455EFE" w:rsidP="00455EFE">
      <w:pPr>
        <w:spacing w:after="0" w:line="276" w:lineRule="auto"/>
        <w:jc w:val="both"/>
        <w:rPr>
          <w:rFonts w:ascii="Verdana" w:eastAsia="Calibri" w:hAnsi="Verdana" w:cs="Arial"/>
          <w:lang w:val="es-ES"/>
        </w:rPr>
      </w:pPr>
      <w:r w:rsidRPr="008306EF">
        <w:rPr>
          <w:rFonts w:ascii="Verdana" w:eastAsia="Calibri" w:hAnsi="Verdana" w:cs="Arial"/>
          <w:lang w:val="es-ES"/>
        </w:rPr>
        <w:t xml:space="preserve">Lo anterior se sustenta en las siguientes consideraciones: </w:t>
      </w:r>
      <w:bookmarkStart w:id="2" w:name="_Hlk192104360"/>
    </w:p>
    <w:p w14:paraId="35B0F9FD" w14:textId="77777777" w:rsidR="00455EFE" w:rsidRPr="008306EF" w:rsidRDefault="00455EFE" w:rsidP="00455EFE">
      <w:pPr>
        <w:spacing w:after="0" w:line="276" w:lineRule="auto"/>
        <w:jc w:val="both"/>
        <w:rPr>
          <w:rFonts w:ascii="Verdana" w:eastAsia="Calibri" w:hAnsi="Verdana" w:cs="Arial"/>
          <w:lang w:val="es-ES"/>
        </w:rPr>
      </w:pPr>
    </w:p>
    <w:p w14:paraId="61733F1E" w14:textId="77777777" w:rsidR="00455EFE" w:rsidRPr="008306EF" w:rsidRDefault="00455EFE" w:rsidP="00455EFE">
      <w:pPr>
        <w:spacing w:after="120" w:line="276" w:lineRule="auto"/>
        <w:jc w:val="both"/>
        <w:rPr>
          <w:rFonts w:ascii="Verdana" w:eastAsia="Times New Roman" w:hAnsi="Verdana" w:cs="Arial"/>
          <w:color w:val="000000" w:themeColor="text1"/>
          <w:szCs w:val="24"/>
          <w:lang w:val="es-ES_tradnl" w:eastAsia="es-ES_tradnl"/>
        </w:rPr>
      </w:pPr>
      <w:r w:rsidRPr="008306EF">
        <w:rPr>
          <w:rFonts w:ascii="Verdana" w:eastAsia="Times New Roman" w:hAnsi="Verdana" w:cs="Arial"/>
          <w:color w:val="000000" w:themeColor="text1"/>
          <w:szCs w:val="24"/>
          <w:lang w:val="es-ES_tradnl" w:eastAsia="es-ES_tradnl"/>
        </w:rPr>
        <w:t xml:space="preserve">Las actividades de ciencia, tecnología e innovación están previstas en cuatro cuerpos normativos: i) el Decreto Ley 393 de 1991, que prevé dos formas de asociación para que las entidades ejecuten actividades científicas y tecnológicas, proyectos de investigación y creación de tecnologías: a) crear personas jurídicas civiles, comerciales y sin ánimo de lucro y b) celebrar convenios especiales de cooperación; </w:t>
      </w:r>
      <w:proofErr w:type="spellStart"/>
      <w:r w:rsidRPr="008306EF">
        <w:rPr>
          <w:rFonts w:ascii="Verdana" w:eastAsia="Times New Roman" w:hAnsi="Verdana" w:cs="Arial"/>
          <w:color w:val="000000" w:themeColor="text1"/>
          <w:szCs w:val="24"/>
          <w:lang w:val="es-ES_tradnl" w:eastAsia="es-ES_tradnl"/>
        </w:rPr>
        <w:t>ii</w:t>
      </w:r>
      <w:proofErr w:type="spellEnd"/>
      <w:r w:rsidRPr="008306EF">
        <w:rPr>
          <w:rFonts w:ascii="Verdana" w:eastAsia="Times New Roman" w:hAnsi="Verdana" w:cs="Arial"/>
          <w:color w:val="000000" w:themeColor="text1"/>
          <w:szCs w:val="24"/>
          <w:lang w:val="es-ES_tradnl" w:eastAsia="es-ES_tradnl"/>
        </w:rPr>
        <w:t xml:space="preserve">) el Decreto Ley 591 de 1991, que enlista actividades científicas y tecnológicas y, a pesar de que su propósito principal era regular las modalidades específicas de contratos de fomento de esas actividades, con la derogatoria del artículo 7 que señalaba 10 tipos de contratos, actualmente se encuentran vigentes 3: a) contratos de financiamiento, b) contratos de administración de proyectos y c) convenios especiales de cooperación; </w:t>
      </w:r>
      <w:proofErr w:type="spellStart"/>
      <w:r w:rsidRPr="008306EF">
        <w:rPr>
          <w:rFonts w:ascii="Verdana" w:eastAsia="Times New Roman" w:hAnsi="Verdana" w:cs="Arial"/>
          <w:color w:val="000000" w:themeColor="text1"/>
          <w:szCs w:val="24"/>
          <w:lang w:val="es-ES_tradnl" w:eastAsia="es-ES_tradnl"/>
        </w:rPr>
        <w:t>iii</w:t>
      </w:r>
      <w:proofErr w:type="spellEnd"/>
      <w:r w:rsidRPr="008306EF">
        <w:rPr>
          <w:rFonts w:ascii="Verdana" w:eastAsia="Times New Roman" w:hAnsi="Verdana" w:cs="Arial"/>
          <w:color w:val="000000" w:themeColor="text1"/>
          <w:szCs w:val="24"/>
          <w:lang w:val="es-ES_tradnl" w:eastAsia="es-ES_tradnl"/>
        </w:rPr>
        <w:t xml:space="preserve">) la Ley 1286 de 2009 y </w:t>
      </w:r>
      <w:proofErr w:type="spellStart"/>
      <w:r w:rsidRPr="008306EF">
        <w:rPr>
          <w:rFonts w:ascii="Verdana" w:eastAsia="Times New Roman" w:hAnsi="Verdana" w:cs="Arial"/>
          <w:color w:val="000000" w:themeColor="text1"/>
          <w:szCs w:val="24"/>
          <w:lang w:val="es-ES_tradnl" w:eastAsia="es-ES_tradnl"/>
        </w:rPr>
        <w:t>iv</w:t>
      </w:r>
      <w:proofErr w:type="spellEnd"/>
      <w:r w:rsidRPr="008306EF">
        <w:rPr>
          <w:rFonts w:ascii="Verdana" w:eastAsia="Times New Roman" w:hAnsi="Verdana" w:cs="Arial"/>
          <w:color w:val="000000" w:themeColor="text1"/>
          <w:szCs w:val="24"/>
          <w:lang w:val="es-ES_tradnl" w:eastAsia="es-ES_tradnl"/>
        </w:rPr>
        <w:t>) el Documento CONPES 3582 de 2009, donde se define cuáles son estas actividades de los actores del Sistema Nacional de Ciencia, Tecnología e Innovación.</w:t>
      </w:r>
    </w:p>
    <w:p w14:paraId="1D49446E" w14:textId="77777777" w:rsidR="00455EFE" w:rsidRPr="008306EF" w:rsidRDefault="00455EFE" w:rsidP="00455EFE">
      <w:pPr>
        <w:spacing w:after="120" w:line="276" w:lineRule="auto"/>
        <w:ind w:firstLine="708"/>
        <w:jc w:val="both"/>
        <w:rPr>
          <w:rFonts w:ascii="Verdana" w:eastAsia="Times New Roman" w:hAnsi="Verdana" w:cs="Arial"/>
          <w:color w:val="000000" w:themeColor="text1"/>
          <w:szCs w:val="24"/>
          <w:lang w:val="es-ES_tradnl" w:eastAsia="es-ES_tradnl"/>
        </w:rPr>
      </w:pPr>
      <w:r w:rsidRPr="008306EF">
        <w:rPr>
          <w:rFonts w:ascii="Verdana" w:hAnsi="Verdana" w:cs="Arial"/>
          <w:color w:val="000000" w:themeColor="text1"/>
        </w:rPr>
        <w:t>Por lo anterior,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p>
    <w:p w14:paraId="1ED30455" w14:textId="77777777" w:rsidR="00455EFE" w:rsidRPr="008306EF" w:rsidRDefault="00455EFE" w:rsidP="00455EFE">
      <w:pPr>
        <w:spacing w:after="120" w:line="276" w:lineRule="auto"/>
        <w:ind w:firstLine="708"/>
        <w:jc w:val="both"/>
        <w:rPr>
          <w:rFonts w:ascii="Verdana" w:eastAsia="Times New Roman" w:hAnsi="Verdana" w:cs="Arial"/>
          <w:color w:val="000000" w:themeColor="text1"/>
          <w:szCs w:val="24"/>
          <w:lang w:val="es-ES_tradnl" w:eastAsia="es-ES_tradnl"/>
        </w:rPr>
      </w:pPr>
      <w:r w:rsidRPr="008306EF">
        <w:rPr>
          <w:rFonts w:ascii="Verdana" w:eastAsia="Times New Roman" w:hAnsi="Verdana" w:cs="Arial"/>
          <w:color w:val="000000" w:themeColor="text1"/>
          <w:szCs w:val="24"/>
          <w:lang w:val="es-ES_tradnl" w:eastAsia="es-ES_tradnl"/>
        </w:rPr>
        <w:t xml:space="preserve">Así las cosas, para contratar las actividades de ciencia, tecnología e innovación las normas establecen tipos de contrato cuya aplicación depende de las características del objeto que se ejecutará. También es necesario tener en </w:t>
      </w:r>
      <w:r w:rsidRPr="008306EF">
        <w:rPr>
          <w:rFonts w:ascii="Verdana" w:eastAsia="Times New Roman" w:hAnsi="Verdana" w:cs="Arial"/>
          <w:color w:val="000000" w:themeColor="text1"/>
          <w:szCs w:val="24"/>
          <w:lang w:val="es-ES_tradnl" w:eastAsia="es-ES_tradnl"/>
        </w:rPr>
        <w:lastRenderedPageBreak/>
        <w:t>cuenta que la Ley 1150 de 2007, en el artículo 2, numeral 4, literal e), señala como causal de contratación directa “Los contratos para el desarrollo de actividades científicas y tecnológicas”.</w:t>
      </w:r>
      <w:r w:rsidRPr="008306EF">
        <w:rPr>
          <w:rFonts w:ascii="Verdana" w:eastAsia="Calibri" w:hAnsi="Verdana" w:cs="Arial"/>
          <w:color w:val="000000" w:themeColor="text1"/>
          <w:szCs w:val="24"/>
          <w:lang w:val="es-ES_tradnl" w:eastAsia="es-ES_tradnl"/>
        </w:rPr>
        <w:t xml:space="preserve"> </w:t>
      </w:r>
    </w:p>
    <w:p w14:paraId="2059F896" w14:textId="77777777" w:rsidR="00455EFE" w:rsidRPr="008306EF" w:rsidRDefault="00455EFE" w:rsidP="00455EFE">
      <w:pPr>
        <w:spacing w:after="120" w:line="276" w:lineRule="auto"/>
        <w:ind w:firstLine="708"/>
        <w:jc w:val="both"/>
        <w:rPr>
          <w:rFonts w:ascii="Verdana" w:eastAsia="Calibri" w:hAnsi="Verdana" w:cs="Arial"/>
          <w:color w:val="000000" w:themeColor="text1"/>
          <w:szCs w:val="24"/>
          <w:lang w:val="es-ES_tradnl" w:eastAsia="es-ES_tradnl"/>
        </w:rPr>
      </w:pPr>
      <w:r w:rsidRPr="008306EF">
        <w:rPr>
          <w:rFonts w:ascii="Verdana" w:eastAsia="Calibri" w:hAnsi="Verdana" w:cs="Arial"/>
          <w:color w:val="000000" w:themeColor="text1"/>
          <w:szCs w:val="24"/>
          <w:lang w:val="es-ES_tradnl" w:eastAsia="es-ES_tradnl"/>
        </w:rPr>
        <w:t xml:space="preserve">Por su parte, la Agencia Nacional de Contratación Pública ‒ Colombia Compra Eficiente, teniendo en cuenta las normas mencionadas, expidió la Circular Externa Única, que además de derogar las Circulares Externas anteriores, en el numeral 15.1, establece que para que proceda la modalidad de </w:t>
      </w:r>
      <w:r w:rsidRPr="008306EF">
        <w:rPr>
          <w:rFonts w:ascii="Verdana" w:eastAsia="Calibri" w:hAnsi="Verdana" w:cs="Arial"/>
          <w:i/>
          <w:iCs/>
          <w:color w:val="000000" w:themeColor="text1"/>
          <w:szCs w:val="24"/>
          <w:lang w:val="es-ES_tradnl" w:eastAsia="es-ES_tradnl"/>
        </w:rPr>
        <w:t>contratación directa</w:t>
      </w:r>
      <w:r w:rsidRPr="008306EF">
        <w:rPr>
          <w:rFonts w:ascii="Verdana" w:eastAsia="Calibri" w:hAnsi="Verdana" w:cs="Arial"/>
          <w:color w:val="000000" w:themeColor="text1"/>
          <w:szCs w:val="24"/>
          <w:lang w:val="es-ES_tradnl" w:eastAsia="es-ES_tradnl"/>
        </w:rPr>
        <w:t xml:space="preserve"> es necesario que la Entidad Estatal, conforme a su necesidad, ejecute actividades de ciencia, tecnología e innovación por medio de la celebración de </w:t>
      </w:r>
      <w:r w:rsidRPr="008306EF">
        <w:rPr>
          <w:rFonts w:ascii="Verdana" w:eastAsia="Calibri" w:hAnsi="Verdana" w:cs="Arial"/>
          <w:i/>
          <w:iCs/>
          <w:color w:val="000000" w:themeColor="text1"/>
          <w:szCs w:val="24"/>
          <w:lang w:val="es-ES_tradnl" w:eastAsia="es-ES_tradnl"/>
        </w:rPr>
        <w:t>convenios especiales de cooperación, contratos de financiamiento y contratos de Administración de Proyectos.</w:t>
      </w:r>
    </w:p>
    <w:p w14:paraId="36A265D0" w14:textId="77777777" w:rsidR="00455EFE" w:rsidRPr="008306EF" w:rsidRDefault="00455EFE" w:rsidP="00455EFE">
      <w:pPr>
        <w:spacing w:after="120" w:line="276" w:lineRule="auto"/>
        <w:ind w:firstLine="708"/>
        <w:jc w:val="both"/>
        <w:rPr>
          <w:rFonts w:ascii="Verdana" w:eastAsia="Calibri" w:hAnsi="Verdana" w:cs="Arial"/>
          <w:color w:val="000000" w:themeColor="text1"/>
          <w:szCs w:val="24"/>
          <w:lang w:val="es-ES_tradnl" w:eastAsia="es-ES_tradnl"/>
        </w:rPr>
      </w:pPr>
      <w:r w:rsidRPr="008306EF">
        <w:rPr>
          <w:rFonts w:ascii="Verdana" w:eastAsia="Times New Roman" w:hAnsi="Verdana" w:cs="Arial"/>
          <w:color w:val="000000" w:themeColor="text1"/>
          <w:szCs w:val="24"/>
          <w:lang w:val="es-ES_tradnl" w:eastAsia="es-ES_tradnl"/>
        </w:rPr>
        <w:t>De esta forma,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p>
    <w:p w14:paraId="0F28B5CE" w14:textId="77777777" w:rsidR="00455EFE" w:rsidRDefault="00455EFE" w:rsidP="00A30C69">
      <w:pPr>
        <w:spacing w:after="120" w:line="276" w:lineRule="auto"/>
        <w:ind w:firstLine="708"/>
        <w:jc w:val="both"/>
        <w:rPr>
          <w:rFonts w:ascii="Verdana" w:eastAsia="Calibri" w:hAnsi="Verdana" w:cs="Arial"/>
          <w:color w:val="000000" w:themeColor="text1"/>
          <w:szCs w:val="24"/>
          <w:lang w:val="es-ES_tradnl" w:eastAsia="es-ES_tradnl"/>
        </w:rPr>
      </w:pPr>
      <w:r w:rsidRPr="008306EF">
        <w:rPr>
          <w:rFonts w:ascii="Verdana" w:eastAsia="Calibri" w:hAnsi="Verdana" w:cs="Arial"/>
          <w:color w:val="000000" w:themeColor="text1"/>
          <w:szCs w:val="24"/>
          <w:lang w:val="es-ES_tradnl" w:eastAsia="es-ES_tradnl"/>
        </w:rPr>
        <w:t>En todo caso, se resalta, el régimen de las actividades de ciencia, tecnología e innovación se define a partir de las normas citadas; pero le corresponde al Ministerio de Ciencia, Tecnología e Innovación, como autoridad competente, catalogar las actividades cuando las Entidades presenten dudas respecto de un objeto contractual que pretendan satisfacer</w:t>
      </w:r>
      <w:r w:rsidRPr="008306EF">
        <w:rPr>
          <w:rFonts w:ascii="Verdana" w:eastAsia="Calibri" w:hAnsi="Verdana" w:cs="Arial"/>
          <w:szCs w:val="24"/>
          <w:vertAlign w:val="superscript"/>
          <w:lang w:eastAsia="es-ES_tradnl"/>
        </w:rPr>
        <w:footnoteReference w:id="1"/>
      </w:r>
      <w:r w:rsidRPr="008306EF">
        <w:rPr>
          <w:rFonts w:ascii="Verdana" w:eastAsia="Calibri" w:hAnsi="Verdana" w:cs="Arial"/>
          <w:color w:val="000000" w:themeColor="text1"/>
          <w:szCs w:val="24"/>
          <w:lang w:val="es-ES_tradnl" w:eastAsia="es-ES_tradnl"/>
        </w:rPr>
        <w:t xml:space="preserve">. </w:t>
      </w:r>
    </w:p>
    <w:p w14:paraId="27D36020" w14:textId="77777777" w:rsidR="00455EFE" w:rsidRPr="008306EF" w:rsidRDefault="00455EFE" w:rsidP="00A30C69">
      <w:pPr>
        <w:spacing w:after="120" w:line="276" w:lineRule="auto"/>
        <w:ind w:firstLine="708"/>
        <w:jc w:val="both"/>
        <w:rPr>
          <w:rFonts w:ascii="Verdana" w:eastAsia="Calibri" w:hAnsi="Verdana" w:cs="Arial"/>
          <w:color w:val="000000" w:themeColor="text1"/>
          <w:szCs w:val="24"/>
          <w:lang w:val="es-ES_tradnl" w:eastAsia="es-ES_tradnl"/>
        </w:rPr>
      </w:pPr>
      <w:r>
        <w:rPr>
          <w:rFonts w:ascii="Verdana" w:eastAsia="Calibri" w:hAnsi="Verdana" w:cs="Arial"/>
          <w:bCs/>
        </w:rPr>
        <w:t>Ahora bien, e</w:t>
      </w:r>
      <w:r w:rsidRPr="008306EF">
        <w:rPr>
          <w:rFonts w:ascii="Verdana" w:eastAsia="Calibri" w:hAnsi="Verdana" w:cs="Arial"/>
          <w:bCs/>
        </w:rPr>
        <w:t>l ordenamiento jurídico colombiano contempla previsiones claras para evitar la obtención de beneficios personales en asuntos propios de la administración pública</w:t>
      </w:r>
      <w:r w:rsidRPr="008306EF">
        <w:rPr>
          <w:rFonts w:ascii="Verdana" w:eastAsia="Calibri" w:hAnsi="Verdana" w:cs="Arial"/>
          <w:bCs/>
          <w:i/>
          <w:iCs/>
        </w:rPr>
        <w:t xml:space="preserve">. </w:t>
      </w:r>
      <w:r w:rsidRPr="008306EF">
        <w:rPr>
          <w:rFonts w:ascii="Verdana" w:eastAsia="Calibri" w:hAnsi="Verdana" w:cs="Arial"/>
          <w:bCs/>
        </w:rPr>
        <w:t>Por ejemplo, el artículo 127 de la Constitución Política establece una prohibición contractual a los servidores públicos y en cuanto a aspectos políticos consagra restricciones a ciertos empleados del Estado, incluso en época no electoral</w:t>
      </w:r>
      <w:r w:rsidRPr="008306EF">
        <w:rPr>
          <w:rFonts w:ascii="Verdana" w:eastAsia="Calibri" w:hAnsi="Verdana" w:cs="Arial"/>
          <w:bCs/>
          <w:vertAlign w:val="superscript"/>
        </w:rPr>
        <w:footnoteReference w:id="2"/>
      </w:r>
      <w:r w:rsidRPr="008306EF">
        <w:rPr>
          <w:rFonts w:ascii="Verdana" w:eastAsia="Calibri" w:hAnsi="Verdana" w:cs="Arial"/>
          <w:bCs/>
        </w:rPr>
        <w:t xml:space="preserve">. </w:t>
      </w:r>
    </w:p>
    <w:p w14:paraId="334610D6" w14:textId="371A22BE" w:rsidR="00567DE6" w:rsidRDefault="007E6685" w:rsidP="00A30C69">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lastRenderedPageBreak/>
        <w:tab/>
      </w:r>
      <w:r w:rsidR="00455EFE" w:rsidRPr="008306EF">
        <w:rPr>
          <w:rFonts w:ascii="Verdana" w:eastAsia="Times New Roman" w:hAnsi="Verdana" w:cs="Arial"/>
          <w:bCs/>
          <w:lang w:eastAsia="es-CO"/>
        </w:rPr>
        <w:t>En el mismo sentido</w:t>
      </w:r>
      <w:r w:rsidR="00455EFE" w:rsidRPr="008306EF">
        <w:rPr>
          <w:rFonts w:ascii="Verdana" w:eastAsia="Times New Roman" w:hAnsi="Verdana" w:cs="Arial"/>
          <w:bCs/>
          <w:lang w:val="es-MX" w:eastAsia="es-CO"/>
        </w:rPr>
        <w:t xml:space="preserve">, </w:t>
      </w:r>
      <w:bookmarkStart w:id="3" w:name="_Hlk99576829"/>
      <w:r w:rsidR="00455EFE" w:rsidRPr="008306EF">
        <w:rPr>
          <w:rFonts w:ascii="Verdana" w:eastAsia="Times New Roman" w:hAnsi="Verdana" w:cs="Arial"/>
          <w:bCs/>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00455EFE" w:rsidRPr="008306EF">
        <w:rPr>
          <w:rFonts w:ascii="Verdana" w:eastAsia="Times New Roman" w:hAnsi="Verdana" w:cs="Arial"/>
          <w:bCs/>
          <w:vertAlign w:val="superscript"/>
          <w:lang w:val="es-MX" w:eastAsia="es-CO"/>
        </w:rPr>
        <w:footnoteReference w:id="3"/>
      </w:r>
      <w:r w:rsidR="00455EFE" w:rsidRPr="008306EF">
        <w:rPr>
          <w:rFonts w:ascii="Verdana" w:eastAsia="Times New Roman" w:hAnsi="Verdana" w:cs="Arial"/>
          <w:bCs/>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00455EFE" w:rsidRPr="008306EF">
        <w:rPr>
          <w:rFonts w:ascii="Verdana" w:eastAsia="Calibri" w:hAnsi="Verdana" w:cs="Arial"/>
          <w:noProof/>
          <w:lang w:val="es-ES_tradnl"/>
        </w:rPr>
        <w:t xml:space="preserve"> </w:t>
      </w:r>
      <w:bookmarkEnd w:id="3"/>
    </w:p>
    <w:p w14:paraId="554DEED6" w14:textId="2200A6AE" w:rsidR="00455EFE" w:rsidRPr="008306EF" w:rsidRDefault="00567DE6" w:rsidP="00A30C69">
      <w:pPr>
        <w:tabs>
          <w:tab w:val="left" w:pos="426"/>
        </w:tabs>
        <w:spacing w:after="0" w:line="276" w:lineRule="auto"/>
        <w:jc w:val="both"/>
        <w:rPr>
          <w:rFonts w:ascii="Verdana" w:eastAsia="Times New Roman" w:hAnsi="Verdana" w:cs="Arial"/>
          <w:bCs/>
          <w:lang w:val="es-MX" w:eastAsia="es-CO"/>
        </w:rPr>
      </w:pPr>
      <w:r>
        <w:rPr>
          <w:rFonts w:ascii="Verdana" w:eastAsia="Calibri" w:hAnsi="Verdana" w:cs="Arial"/>
          <w:noProof/>
          <w:lang w:val="es-ES_tradnl"/>
        </w:rPr>
        <w:tab/>
      </w:r>
      <w:r w:rsidR="00455EFE" w:rsidRPr="008306EF">
        <w:rPr>
          <w:rFonts w:ascii="Verdana" w:eastAsia="Times New Roman" w:hAnsi="Verdana" w:cs="Arial"/>
          <w:bCs/>
          <w:lang w:val="es-MX" w:eastAsia="es-CO"/>
        </w:rPr>
        <w:t>En armonía con lo anterior, la Corte Constitucional ha abordado la definición de la Ley de Garantías Electorales. De esta manera, explica que tiene como propósito:</w:t>
      </w:r>
    </w:p>
    <w:p w14:paraId="29D05F1D" w14:textId="77777777" w:rsidR="00455EFE" w:rsidRPr="008306EF" w:rsidRDefault="00455EFE" w:rsidP="00455EFE">
      <w:pPr>
        <w:spacing w:after="0" w:line="276" w:lineRule="auto"/>
        <w:ind w:right="709"/>
        <w:contextualSpacing/>
        <w:jc w:val="both"/>
        <w:rPr>
          <w:rFonts w:ascii="Verdana" w:eastAsia="Times New Roman" w:hAnsi="Verdana" w:cs="Arial"/>
          <w:sz w:val="21"/>
          <w:szCs w:val="21"/>
          <w:lang w:val="es-ES" w:eastAsia="es-CO"/>
        </w:rPr>
      </w:pPr>
    </w:p>
    <w:p w14:paraId="39DD9289" w14:textId="77777777" w:rsidR="00455EFE" w:rsidRPr="00A30C69" w:rsidRDefault="00455EFE" w:rsidP="00455EFE">
      <w:pPr>
        <w:spacing w:after="0" w:line="240" w:lineRule="auto"/>
        <w:ind w:left="709" w:right="709"/>
        <w:contextualSpacing/>
        <w:jc w:val="both"/>
        <w:rPr>
          <w:rFonts w:ascii="Verdana" w:eastAsia="Times New Roman" w:hAnsi="Verdana" w:cs="Arial"/>
          <w:sz w:val="20"/>
          <w:szCs w:val="20"/>
          <w:lang w:val="es-MX" w:eastAsia="es-CO"/>
        </w:rPr>
      </w:pPr>
      <w:r w:rsidRPr="00A30C69">
        <w:rPr>
          <w:rFonts w:ascii="Verdana" w:eastAsia="Times New Roman" w:hAnsi="Verdana" w:cs="Arial"/>
          <w:sz w:val="20"/>
          <w:szCs w:val="20"/>
          <w:lang w:val="es-ES" w:eastAsia="es-CO"/>
        </w:rPr>
        <w:t xml:space="preserve">“[…] </w:t>
      </w:r>
      <w:r w:rsidRPr="00A30C69">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44B51B0" w14:textId="77777777" w:rsidR="00455EFE" w:rsidRPr="00A30C69" w:rsidRDefault="00455EFE" w:rsidP="00455EFE">
      <w:pPr>
        <w:spacing w:after="0" w:line="240" w:lineRule="auto"/>
        <w:ind w:left="709" w:right="709"/>
        <w:contextualSpacing/>
        <w:jc w:val="both"/>
        <w:rPr>
          <w:rFonts w:ascii="Verdana" w:eastAsia="Times New Roman" w:hAnsi="Verdana" w:cs="Arial"/>
          <w:sz w:val="20"/>
          <w:szCs w:val="20"/>
          <w:lang w:val="es-MX" w:eastAsia="es-CO"/>
        </w:rPr>
      </w:pPr>
      <w:r w:rsidRPr="00A30C69">
        <w:rPr>
          <w:rFonts w:ascii="Verdana" w:eastAsia="Times New Roman" w:hAnsi="Verdana" w:cs="Arial"/>
          <w:sz w:val="20"/>
          <w:szCs w:val="20"/>
          <w:lang w:val="es-MX" w:eastAsia="es-CO"/>
        </w:rPr>
        <w:t xml:space="preserve">[…] </w:t>
      </w:r>
    </w:p>
    <w:p w14:paraId="58897E17" w14:textId="77777777" w:rsidR="00455EFE" w:rsidRPr="00A30C69" w:rsidRDefault="00455EFE" w:rsidP="00455EFE">
      <w:pPr>
        <w:spacing w:after="0" w:line="240" w:lineRule="auto"/>
        <w:ind w:right="709"/>
        <w:contextualSpacing/>
        <w:jc w:val="both"/>
        <w:rPr>
          <w:rFonts w:ascii="Verdana" w:eastAsia="Times New Roman" w:hAnsi="Verdana" w:cs="Arial"/>
          <w:sz w:val="20"/>
          <w:szCs w:val="20"/>
          <w:lang w:val="es-MX" w:eastAsia="es-CO"/>
        </w:rPr>
      </w:pPr>
    </w:p>
    <w:p w14:paraId="2DB71831" w14:textId="77777777" w:rsidR="00455EFE" w:rsidRPr="00A30C69" w:rsidRDefault="00455EFE" w:rsidP="00455EFE">
      <w:pPr>
        <w:spacing w:after="0" w:line="240" w:lineRule="auto"/>
        <w:ind w:left="709" w:right="709"/>
        <w:contextualSpacing/>
        <w:jc w:val="both"/>
        <w:rPr>
          <w:rFonts w:ascii="Verdana" w:eastAsia="Times New Roman" w:hAnsi="Verdana" w:cs="Arial"/>
          <w:sz w:val="20"/>
          <w:szCs w:val="20"/>
          <w:lang w:val="es-MX" w:eastAsia="es-CO"/>
        </w:rPr>
      </w:pPr>
      <w:r w:rsidRPr="00A30C69">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8306EF">
        <w:rPr>
          <w:rFonts w:ascii="Verdana" w:eastAsia="Calibri" w:hAnsi="Verdana" w:cs="Arial"/>
          <w:sz w:val="20"/>
          <w:szCs w:val="20"/>
          <w:vertAlign w:val="superscript"/>
          <w:lang w:val="es-MX"/>
        </w:rPr>
        <w:footnoteReference w:id="4"/>
      </w:r>
    </w:p>
    <w:p w14:paraId="6427CF7D" w14:textId="77777777" w:rsidR="00455EFE" w:rsidRPr="008306EF" w:rsidRDefault="00455EFE" w:rsidP="00455EFE">
      <w:pPr>
        <w:spacing w:after="0" w:line="276" w:lineRule="auto"/>
        <w:ind w:left="709" w:right="709"/>
        <w:contextualSpacing/>
        <w:jc w:val="both"/>
        <w:rPr>
          <w:rFonts w:ascii="Verdana" w:eastAsia="Times New Roman" w:hAnsi="Verdana" w:cs="Arial"/>
          <w:bCs/>
          <w:sz w:val="21"/>
          <w:szCs w:val="21"/>
          <w:lang w:val="es-MX" w:eastAsia="es-CO"/>
        </w:rPr>
      </w:pPr>
    </w:p>
    <w:p w14:paraId="664FD762" w14:textId="77777777" w:rsidR="00455EFE" w:rsidRPr="008306EF" w:rsidRDefault="00455EFE" w:rsidP="00455EFE">
      <w:pPr>
        <w:spacing w:after="0" w:line="276" w:lineRule="auto"/>
        <w:ind w:firstLine="709"/>
        <w:jc w:val="both"/>
        <w:rPr>
          <w:rFonts w:ascii="Verdana" w:eastAsia="Times New Roman" w:hAnsi="Verdana" w:cs="Arial"/>
          <w:bCs/>
          <w:lang w:val="es-MX" w:eastAsia="es-CO"/>
        </w:rPr>
      </w:pPr>
      <w:bookmarkStart w:id="4" w:name="_Hlk78818186"/>
      <w:r w:rsidRPr="008306EF">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w:t>
      </w:r>
      <w:r w:rsidRPr="008306EF">
        <w:rPr>
          <w:rFonts w:ascii="Verdana" w:eastAsia="Times New Roman" w:hAnsi="Verdana" w:cs="Arial"/>
          <w:bCs/>
          <w:lang w:val="es-MX" w:eastAsia="es-CO"/>
        </w:rPr>
        <w:lastRenderedPageBreak/>
        <w:t xml:space="preserve">electorales. </w:t>
      </w:r>
      <w:bookmarkEnd w:id="4"/>
      <w:r w:rsidRPr="008306EF">
        <w:rPr>
          <w:rFonts w:ascii="Verdana" w:eastAsia="Times New Roman" w:hAnsi="Verdana" w:cs="Arial"/>
          <w:bCs/>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2006B6CD" w14:textId="77777777" w:rsidR="00455EFE" w:rsidRPr="008306EF" w:rsidRDefault="00455EFE" w:rsidP="00455EFE">
      <w:pPr>
        <w:spacing w:after="0" w:line="276" w:lineRule="auto"/>
        <w:ind w:firstLine="709"/>
        <w:contextualSpacing/>
        <w:jc w:val="both"/>
        <w:rPr>
          <w:rFonts w:ascii="Verdana" w:eastAsia="Times New Roman" w:hAnsi="Verdana" w:cs="Arial"/>
          <w:bCs/>
          <w:lang w:val="es-MX" w:eastAsia="es-CO"/>
        </w:rPr>
      </w:pPr>
    </w:p>
    <w:p w14:paraId="3C9F950A" w14:textId="77777777" w:rsidR="00455EFE" w:rsidRPr="00A30C69" w:rsidRDefault="00455EFE" w:rsidP="00455EFE">
      <w:pPr>
        <w:spacing w:after="0" w:line="240" w:lineRule="auto"/>
        <w:ind w:left="709" w:right="709"/>
        <w:contextualSpacing/>
        <w:jc w:val="both"/>
        <w:rPr>
          <w:rFonts w:ascii="Verdana" w:eastAsia="Times New Roman" w:hAnsi="Verdana" w:cs="Arial"/>
          <w:sz w:val="20"/>
          <w:szCs w:val="20"/>
          <w:lang w:val="es-MX" w:eastAsia="es-CO"/>
        </w:rPr>
      </w:pPr>
      <w:r w:rsidRPr="00A30C69">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A30C69">
        <w:rPr>
          <w:rFonts w:ascii="Verdana" w:eastAsia="Times New Roman" w:hAnsi="Verdana" w:cs="Arial"/>
          <w:sz w:val="20"/>
          <w:szCs w:val="20"/>
          <w:lang w:val="es-MX" w:eastAsia="es-CO"/>
        </w:rPr>
        <w:t>legis</w:t>
      </w:r>
      <w:proofErr w:type="spellEnd"/>
      <w:r w:rsidRPr="00A30C69">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1256DCF" w14:textId="77777777" w:rsidR="00455EFE" w:rsidRPr="00A30C69" w:rsidRDefault="00455EFE" w:rsidP="00455EFE">
      <w:pPr>
        <w:spacing w:after="0" w:line="240" w:lineRule="auto"/>
        <w:ind w:left="709" w:right="709"/>
        <w:contextualSpacing/>
        <w:jc w:val="both"/>
        <w:rPr>
          <w:rFonts w:ascii="Verdana" w:eastAsia="Times New Roman" w:hAnsi="Verdana" w:cs="Arial"/>
          <w:sz w:val="20"/>
          <w:szCs w:val="20"/>
          <w:lang w:val="es-MX" w:eastAsia="es-CO"/>
        </w:rPr>
      </w:pPr>
    </w:p>
    <w:p w14:paraId="23F27B7D" w14:textId="77777777" w:rsidR="00455EFE" w:rsidRPr="00A30C69" w:rsidRDefault="00455EFE" w:rsidP="00455EFE">
      <w:pPr>
        <w:spacing w:after="0" w:line="240" w:lineRule="auto"/>
        <w:ind w:left="709" w:right="709"/>
        <w:contextualSpacing/>
        <w:jc w:val="both"/>
        <w:rPr>
          <w:rFonts w:ascii="Verdana" w:eastAsia="Times New Roman" w:hAnsi="Verdana" w:cs="Arial"/>
          <w:sz w:val="20"/>
          <w:szCs w:val="20"/>
          <w:lang w:val="es-MX" w:eastAsia="es-CO"/>
        </w:rPr>
      </w:pPr>
      <w:r w:rsidRPr="00A30C69">
        <w:rPr>
          <w:rFonts w:ascii="Verdana" w:eastAsia="Times New Roman" w:hAnsi="Verdana" w:cs="Arial"/>
          <w:sz w:val="20"/>
          <w:szCs w:val="20"/>
          <w:lang w:val="es-MX" w:eastAsia="es-CO"/>
        </w:rPr>
        <w:t>La jurisprudencia de la Corte Constitucional</w:t>
      </w:r>
      <w:r w:rsidRPr="00A30C69">
        <w:rPr>
          <w:rFonts w:ascii="Verdana" w:eastAsia="Times New Roman" w:hAnsi="Verdana" w:cs="Arial"/>
          <w:sz w:val="20"/>
          <w:szCs w:val="20"/>
          <w:vertAlign w:val="superscript"/>
          <w:lang w:val="es-MX" w:eastAsia="es-CO"/>
        </w:rPr>
        <w:footnoteReference w:id="5"/>
      </w:r>
      <w:r w:rsidRPr="00A30C69">
        <w:rPr>
          <w:rFonts w:ascii="Verdana" w:eastAsia="Times New Roman" w:hAnsi="Verdana" w:cs="Arial"/>
          <w:sz w:val="20"/>
          <w:szCs w:val="20"/>
          <w:lang w:val="es-MX" w:eastAsia="es-CO"/>
        </w:rPr>
        <w:t> y del Consejo de Estado</w:t>
      </w:r>
      <w:r w:rsidRPr="00A30C69">
        <w:rPr>
          <w:rFonts w:ascii="Verdana" w:eastAsia="Times New Roman" w:hAnsi="Verdana" w:cs="Arial"/>
          <w:sz w:val="20"/>
          <w:szCs w:val="20"/>
          <w:vertAlign w:val="superscript"/>
          <w:lang w:val="es-MX" w:eastAsia="es-CO"/>
        </w:rPr>
        <w:footnoteReference w:id="6"/>
      </w:r>
      <w:r w:rsidRPr="00A30C69">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A30C69">
        <w:rPr>
          <w:rFonts w:ascii="Verdana" w:eastAsia="Times New Roman" w:hAnsi="Verdana" w:cs="Arial"/>
          <w:sz w:val="20"/>
          <w:szCs w:val="20"/>
          <w:vertAlign w:val="superscript"/>
          <w:lang w:val="es-MX" w:eastAsia="es-CO"/>
        </w:rPr>
        <w:footnoteReference w:id="7"/>
      </w:r>
      <w:r w:rsidRPr="00A30C69">
        <w:rPr>
          <w:rFonts w:ascii="Verdana" w:eastAsia="Times New Roman" w:hAnsi="Verdana" w:cs="Arial"/>
          <w:sz w:val="20"/>
          <w:szCs w:val="20"/>
          <w:lang w:val="es-MX" w:eastAsia="es-CO"/>
        </w:rPr>
        <w:t>.</w:t>
      </w:r>
    </w:p>
    <w:p w14:paraId="2878235C" w14:textId="77777777" w:rsidR="00455EFE" w:rsidRPr="008306EF" w:rsidRDefault="00455EFE" w:rsidP="00455EFE">
      <w:pPr>
        <w:spacing w:after="0" w:line="276" w:lineRule="auto"/>
        <w:ind w:right="709"/>
        <w:contextualSpacing/>
        <w:jc w:val="both"/>
        <w:rPr>
          <w:rFonts w:ascii="Verdana" w:eastAsia="Times New Roman" w:hAnsi="Verdana" w:cs="Arial"/>
          <w:bCs/>
          <w:sz w:val="21"/>
          <w:szCs w:val="21"/>
          <w:lang w:val="es-MX" w:eastAsia="es-CO"/>
        </w:rPr>
      </w:pPr>
    </w:p>
    <w:p w14:paraId="23F135B3" w14:textId="77777777" w:rsidR="00455EFE" w:rsidRPr="008306EF" w:rsidRDefault="00455EFE" w:rsidP="00455EFE">
      <w:pPr>
        <w:spacing w:after="120" w:line="276" w:lineRule="auto"/>
        <w:jc w:val="both"/>
        <w:rPr>
          <w:rFonts w:ascii="Verdana" w:eastAsia="Arial" w:hAnsi="Verdana" w:cs="Arial"/>
          <w:lang w:val="es-ES" w:eastAsia="es-ES" w:bidi="es-ES"/>
        </w:rPr>
      </w:pPr>
      <w:r w:rsidRPr="008306EF">
        <w:rPr>
          <w:rFonts w:ascii="Verdana" w:eastAsia="Times New Roman" w:hAnsi="Verdana" w:cs="Arial"/>
          <w:bCs/>
          <w:lang w:val="es-MX" w:eastAsia="es-CO"/>
        </w:rPr>
        <w:tab/>
        <w:t>De</w:t>
      </w:r>
      <w:r w:rsidRPr="008306EF">
        <w:rPr>
          <w:rFonts w:ascii="Verdana" w:eastAsia="Arial" w:hAnsi="Verdana" w:cs="Arial"/>
          <w:lang w:val="es-ES" w:eastAsia="es-ES" w:bidi="es-ES"/>
        </w:rPr>
        <w:t xml:space="preserve"> conformidad con lo anterior, </w:t>
      </w:r>
      <w:bookmarkStart w:id="5" w:name="_Hlk77236098"/>
      <w:bookmarkStart w:id="6" w:name="_Hlk100679383"/>
      <w:r w:rsidRPr="008306EF">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w:t>
      </w:r>
      <w:r w:rsidRPr="008306EF">
        <w:rPr>
          <w:rFonts w:ascii="Verdana" w:eastAsia="Arial" w:hAnsi="Verdana" w:cs="Arial"/>
          <w:lang w:val="es-ES" w:eastAsia="es-ES" w:bidi="es-ES"/>
        </w:rPr>
        <w:lastRenderedPageBreak/>
        <w:t>y las demás que se adelanten para la elección de los demás cargos de elección popular, tanto a nivel nacional como territorial.</w:t>
      </w:r>
      <w:bookmarkEnd w:id="5"/>
    </w:p>
    <w:p w14:paraId="77A5CD1F" w14:textId="77777777" w:rsidR="00455EFE" w:rsidRPr="008306EF" w:rsidRDefault="00455EFE" w:rsidP="00455EFE">
      <w:pPr>
        <w:spacing w:after="120" w:line="276" w:lineRule="auto"/>
        <w:ind w:firstLine="708"/>
        <w:jc w:val="both"/>
        <w:rPr>
          <w:rFonts w:ascii="Verdana" w:eastAsia="Calibri" w:hAnsi="Verdana" w:cs="Arial"/>
        </w:rPr>
      </w:pPr>
      <w:r w:rsidRPr="008306EF">
        <w:rPr>
          <w:rFonts w:ascii="Verdana" w:eastAsia="Calibri" w:hAnsi="Verdana" w:cs="Arial"/>
        </w:rPr>
        <w:t xml:space="preserve">Por un lado, el artículo 33 de la Ley 996 de 2005 prohíbe </w:t>
      </w:r>
      <w:r w:rsidRPr="008306EF">
        <w:rPr>
          <w:rFonts w:ascii="Verdana" w:eastAsia="Calibri" w:hAnsi="Verdana" w:cs="Arial"/>
          <w:bCs/>
        </w:rPr>
        <w:t xml:space="preserve">“[…] </w:t>
      </w:r>
      <w:r w:rsidRPr="008306EF">
        <w:rPr>
          <w:rFonts w:ascii="Verdana" w:eastAsia="Calibri" w:hAnsi="Verdana" w:cs="Arial"/>
        </w:rPr>
        <w:t>la contratación directa por parte de todos los entes del Estado</w:t>
      </w:r>
      <w:r w:rsidRPr="008306EF">
        <w:rPr>
          <w:rFonts w:ascii="Verdana" w:eastAsia="Calibri" w:hAnsi="Verdana" w:cs="Arial"/>
          <w:bCs/>
        </w:rPr>
        <w:t>”</w:t>
      </w:r>
      <w:r w:rsidRPr="008306EF">
        <w:rPr>
          <w:rFonts w:ascii="Verdana" w:eastAsia="Calibri" w:hAnsi="Verdana" w:cs="Arial"/>
        </w:rPr>
        <w:t xml:space="preserve"> durante los cuatro (4) meses anteriores a las elecciones presidenciales, salvo </w:t>
      </w:r>
      <w:r w:rsidRPr="008306EF">
        <w:rPr>
          <w:rFonts w:ascii="Verdana" w:eastAsia="Calibri" w:hAnsi="Verdana" w:cs="Arial"/>
          <w:bCs/>
        </w:rPr>
        <w:t xml:space="preserve">“[…] </w:t>
      </w:r>
      <w:r w:rsidRPr="008306EF">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306EF">
        <w:rPr>
          <w:rFonts w:ascii="Verdana" w:eastAsia="Calibri" w:hAnsi="Verdana" w:cs="Arial"/>
          <w:bCs/>
        </w:rPr>
        <w:t>”</w:t>
      </w:r>
      <w:r w:rsidRPr="008306EF">
        <w:rPr>
          <w:rFonts w:ascii="Verdana" w:eastAsia="Calibri" w:hAnsi="Verdana" w:cs="Arial"/>
          <w:bCs/>
          <w:vertAlign w:val="superscript"/>
        </w:rPr>
        <w:footnoteReference w:id="8"/>
      </w:r>
      <w:r w:rsidRPr="008306EF">
        <w:rPr>
          <w:rFonts w:ascii="Verdana" w:eastAsia="Calibri" w:hAnsi="Verdana" w:cs="Arial"/>
        </w:rPr>
        <w:t>.</w:t>
      </w:r>
    </w:p>
    <w:p w14:paraId="2EBB07D6" w14:textId="77777777" w:rsidR="00455EFE" w:rsidRPr="008306EF" w:rsidRDefault="00455EFE" w:rsidP="00A30C69">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8306EF">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8306EF">
        <w:rPr>
          <w:rFonts w:ascii="Verdana" w:eastAsia="Calibri" w:hAnsi="Verdana" w:cs="Arial"/>
          <w:bCs/>
        </w:rPr>
        <w:t xml:space="preserve">“[…] </w:t>
      </w:r>
      <w:r w:rsidRPr="008306EF">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306EF">
        <w:rPr>
          <w:rFonts w:ascii="Verdana" w:eastAsia="Calibri" w:hAnsi="Verdana" w:cs="Arial"/>
          <w:bCs/>
          <w:sz w:val="19"/>
          <w:szCs w:val="19"/>
        </w:rPr>
        <w:t>”</w:t>
      </w:r>
      <w:bookmarkEnd w:id="6"/>
      <w:r w:rsidRPr="008306EF">
        <w:rPr>
          <w:rFonts w:ascii="Verdana" w:eastAsia="Calibri" w:hAnsi="Verdana" w:cs="Arial"/>
          <w:bCs/>
          <w:sz w:val="19"/>
          <w:szCs w:val="19"/>
          <w:vertAlign w:val="superscript"/>
        </w:rPr>
        <w:footnoteReference w:id="9"/>
      </w:r>
      <w:r w:rsidRPr="008306EF">
        <w:rPr>
          <w:rFonts w:ascii="Verdana" w:eastAsia="Calibri" w:hAnsi="Verdana" w:cs="Arial"/>
          <w:lang w:val="es-MX"/>
        </w:rPr>
        <w:t>.</w:t>
      </w:r>
      <w:r w:rsidRPr="008306EF">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58287408" w14:textId="77777777" w:rsidR="00455EFE" w:rsidRPr="008306EF" w:rsidRDefault="00455EFE" w:rsidP="00455EFE">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2F84833" w14:textId="77777777" w:rsidR="00455EFE" w:rsidRPr="008306EF" w:rsidRDefault="00455EFE" w:rsidP="00455EFE">
      <w:pPr>
        <w:widowControl w:val="0"/>
        <w:autoSpaceDE w:val="0"/>
        <w:autoSpaceDN w:val="0"/>
        <w:spacing w:after="0" w:line="240" w:lineRule="auto"/>
        <w:ind w:left="709" w:right="709"/>
        <w:contextualSpacing/>
        <w:jc w:val="both"/>
        <w:rPr>
          <w:rFonts w:ascii="Verdana" w:eastAsia="Arial" w:hAnsi="Verdana" w:cs="Arial"/>
          <w:sz w:val="21"/>
          <w:szCs w:val="21"/>
          <w:lang w:val="es-ES" w:eastAsia="es-ES" w:bidi="es-ES"/>
        </w:rPr>
      </w:pPr>
      <w:r w:rsidRPr="00A30C69">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w:t>
      </w:r>
      <w:r w:rsidRPr="00A30C69">
        <w:rPr>
          <w:rFonts w:ascii="Verdana" w:eastAsia="Arial" w:hAnsi="Verdana" w:cs="Arial"/>
          <w:sz w:val="20"/>
          <w:szCs w:val="20"/>
          <w:lang w:val="es-ES" w:eastAsia="es-ES" w:bidi="es-ES"/>
        </w:rPr>
        <w:lastRenderedPageBreak/>
        <w:t xml:space="preserve">el de Presidente de la República-; de manera que dichas restricciones no se excluyen sino que </w:t>
      </w:r>
      <w:bookmarkStart w:id="9" w:name="_Hlk76109421"/>
      <w:r w:rsidRPr="00A30C69">
        <w:rPr>
          <w:rFonts w:ascii="Verdana" w:eastAsia="Arial" w:hAnsi="Verdana" w:cs="Arial"/>
          <w:sz w:val="20"/>
          <w:szCs w:val="20"/>
          <w:lang w:val="es-ES" w:eastAsia="es-ES" w:bidi="es-ES"/>
        </w:rPr>
        <w:t>se integran parcialmente</w:t>
      </w:r>
      <w:bookmarkEnd w:id="9"/>
      <w:r w:rsidRPr="00A30C69">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A30C69">
        <w:rPr>
          <w:rFonts w:ascii="Verdana" w:eastAsia="Arial" w:hAnsi="Verdana" w:cs="Arial"/>
          <w:sz w:val="20"/>
          <w:szCs w:val="20"/>
          <w:lang w:val="es-ES" w:eastAsia="es-ES" w:bidi="es-ES"/>
        </w:rPr>
        <w:t>Presidente</w:t>
      </w:r>
      <w:proofErr w:type="gramEnd"/>
      <w:r w:rsidRPr="00A30C69">
        <w:rPr>
          <w:rFonts w:ascii="Verdana" w:eastAsia="Arial" w:hAnsi="Verdana" w:cs="Arial"/>
          <w:sz w:val="20"/>
          <w:szCs w:val="20"/>
          <w:lang w:val="es-ES" w:eastAsia="es-ES" w:bidi="es-ES"/>
        </w:rPr>
        <w:t xml:space="preserve"> de la República, a las autoridades territoriales allí mencionadas sólo se aplican</w:t>
      </w:r>
      <w:r w:rsidRPr="008306EF">
        <w:rPr>
          <w:rFonts w:ascii="Verdana" w:eastAsia="Arial" w:hAnsi="Verdana" w:cs="Arial"/>
          <w:bCs/>
          <w:sz w:val="21"/>
          <w:szCs w:val="21"/>
          <w:lang w:val="es-ES" w:eastAsia="es-ES" w:bidi="es-ES"/>
        </w:rPr>
        <w:t xml:space="preserve"> </w:t>
      </w:r>
      <w:r w:rsidRPr="00A30C69">
        <w:rPr>
          <w:rFonts w:ascii="Verdana" w:eastAsia="Arial" w:hAnsi="Verdana" w:cs="Arial"/>
          <w:sz w:val="20"/>
          <w:szCs w:val="20"/>
          <w:lang w:val="es-ES" w:eastAsia="es-ES" w:bidi="es-ES"/>
        </w:rPr>
        <w:t>las restricciones contenidas en el parágrafo del artículo 38”.</w:t>
      </w:r>
      <w:r w:rsidRPr="00A30C69">
        <w:rPr>
          <w:rFonts w:ascii="Verdana" w:eastAsia="Arial" w:hAnsi="Verdana" w:cs="Arial"/>
          <w:sz w:val="20"/>
          <w:szCs w:val="20"/>
          <w:vertAlign w:val="superscript"/>
          <w:lang w:val="es-ES" w:eastAsia="es-ES" w:bidi="es-ES"/>
        </w:rPr>
        <w:footnoteReference w:id="10"/>
      </w:r>
    </w:p>
    <w:p w14:paraId="29F69895" w14:textId="77777777" w:rsidR="00455EFE" w:rsidRPr="008306EF" w:rsidRDefault="00455EFE" w:rsidP="00455EFE">
      <w:pPr>
        <w:widowControl w:val="0"/>
        <w:autoSpaceDE w:val="0"/>
        <w:autoSpaceDN w:val="0"/>
        <w:spacing w:after="0" w:line="276" w:lineRule="auto"/>
        <w:contextualSpacing/>
        <w:rPr>
          <w:rFonts w:ascii="Verdana" w:eastAsia="Arial" w:hAnsi="Verdana" w:cs="Arial"/>
          <w:lang w:val="es-ES" w:eastAsia="es-ES" w:bidi="es-ES"/>
        </w:rPr>
      </w:pPr>
    </w:p>
    <w:p w14:paraId="74484D9D" w14:textId="77777777" w:rsidR="00455EFE" w:rsidRPr="008306EF" w:rsidRDefault="00455EFE" w:rsidP="00455EFE">
      <w:pPr>
        <w:spacing w:after="120" w:line="276" w:lineRule="auto"/>
        <w:ind w:firstLine="709"/>
        <w:jc w:val="both"/>
        <w:rPr>
          <w:rFonts w:ascii="Verdana" w:eastAsia="Arial" w:hAnsi="Verdana" w:cs="Arial"/>
          <w:lang w:val="es-ES" w:eastAsia="es-ES" w:bidi="es-ES"/>
        </w:rPr>
      </w:pPr>
      <w:r w:rsidRPr="008306EF">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8306EF">
        <w:rPr>
          <w:rFonts w:ascii="Verdana" w:eastAsia="Arial" w:hAnsi="Verdana" w:cs="Arial"/>
          <w:lang w:val="es-ES" w:eastAsia="es-ES" w:bidi="es-ES"/>
        </w:rPr>
        <w:t xml:space="preserve">la Ley 996 de 2005 establece dos (2) tipos de restricciones en materia de contratación, las cuales coinciden parcialmente. </w:t>
      </w:r>
      <w:r w:rsidRPr="008306EF">
        <w:rPr>
          <w:rFonts w:ascii="Verdana" w:eastAsia="Arial" w:hAnsi="Verdana" w:cs="Arial"/>
          <w:i/>
          <w:iCs/>
          <w:lang w:val="es-ES" w:eastAsia="es-ES" w:bidi="es-ES"/>
        </w:rPr>
        <w:t>En primer lugar</w:t>
      </w:r>
      <w:r w:rsidRPr="008306EF">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306EF">
        <w:rPr>
          <w:rFonts w:ascii="Verdana" w:eastAsia="Arial" w:hAnsi="Verdana" w:cs="Arial"/>
          <w:i/>
          <w:iCs/>
          <w:lang w:val="es-ES" w:eastAsia="es-ES" w:bidi="es-ES"/>
        </w:rPr>
        <w:t>En segundo lugar</w:t>
      </w:r>
      <w:r w:rsidRPr="008306EF">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14D676CD" w14:textId="77777777" w:rsidR="00455EFE" w:rsidRPr="008306EF" w:rsidRDefault="00455EFE" w:rsidP="00455EFE">
      <w:pPr>
        <w:spacing w:after="120" w:line="276" w:lineRule="auto"/>
        <w:ind w:firstLine="709"/>
        <w:jc w:val="both"/>
        <w:rPr>
          <w:rFonts w:ascii="Verdana" w:eastAsia="Arial" w:hAnsi="Verdana" w:cs="Arial"/>
          <w:lang w:val="es-ES" w:eastAsia="es-ES" w:bidi="es-ES"/>
        </w:rPr>
      </w:pPr>
      <w:r w:rsidRPr="008306EF">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8306EF">
        <w:rPr>
          <w:rFonts w:ascii="Verdana" w:eastAsia="Arial" w:hAnsi="Verdana" w:cs="Arial"/>
          <w:lang w:val="es-ES" w:eastAsia="es-ES" w:bidi="es-ES"/>
        </w:rPr>
        <w:t>Presidente</w:t>
      </w:r>
      <w:proofErr w:type="gramEnd"/>
      <w:r w:rsidRPr="008306EF">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8306EF">
        <w:rPr>
          <w:rFonts w:ascii="Verdana" w:eastAsia="Arial" w:hAnsi="Verdana" w:cs="Arial"/>
          <w:lang w:val="es-ES" w:eastAsia="es-ES" w:bidi="es-ES"/>
        </w:rPr>
        <w:t>Presidente</w:t>
      </w:r>
      <w:proofErr w:type="gramEnd"/>
      <w:r w:rsidRPr="008306EF">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6B074C1B" w14:textId="77777777" w:rsidR="003E7259" w:rsidRDefault="003E7259" w:rsidP="003E7259">
      <w:pPr>
        <w:spacing w:after="0" w:line="276" w:lineRule="auto"/>
        <w:ind w:firstLine="709"/>
        <w:jc w:val="both"/>
        <w:rPr>
          <w:rFonts w:ascii="Verdana" w:eastAsia="Times New Roman" w:hAnsi="Verdana" w:cs="Arial"/>
          <w:lang w:val="es-ES" w:eastAsia="es-CO"/>
        </w:rPr>
      </w:pPr>
      <w:r w:rsidRPr="00992E50">
        <w:rPr>
          <w:rFonts w:ascii="Verdana" w:hAnsi="Verdana" w:cs="Arial"/>
          <w:lang w:val="es-ES" w:eastAsia="es-ES" w:bidi="es-ES"/>
        </w:rPr>
        <w:t>Para responder al problema jurídico planteado es necesario</w:t>
      </w:r>
      <w:r>
        <w:rPr>
          <w:rFonts w:ascii="Verdana" w:hAnsi="Verdana" w:cs="Arial"/>
          <w:lang w:val="es-ES" w:eastAsia="es-ES" w:bidi="es-ES"/>
        </w:rPr>
        <w:t>, en primer lugar,</w:t>
      </w:r>
      <w:r w:rsidRPr="00992E50">
        <w:rPr>
          <w:rFonts w:ascii="Verdana" w:hAnsi="Verdana" w:cs="Arial"/>
          <w:lang w:val="es-ES" w:eastAsia="es-ES" w:bidi="es-ES"/>
        </w:rPr>
        <w:t xml:space="preserve"> precisar el alcance de la prohibición </w:t>
      </w:r>
      <w:r w:rsidRPr="00992E50">
        <w:rPr>
          <w:rFonts w:ascii="Verdana" w:eastAsia="Arial" w:hAnsi="Verdana" w:cs="Arial"/>
          <w:lang w:val="es-ES" w:eastAsia="es-ES" w:bidi="es-ES"/>
        </w:rPr>
        <w:t>establecida en e</w:t>
      </w:r>
      <w:r w:rsidRPr="00992E50">
        <w:rPr>
          <w:rFonts w:ascii="Verdana" w:hAnsi="Verdana" w:cs="Arial"/>
          <w:lang w:val="es-ES"/>
        </w:rPr>
        <w:t xml:space="preserve">l </w:t>
      </w:r>
      <w:r w:rsidRPr="00992E50">
        <w:rPr>
          <w:rFonts w:ascii="Verdana" w:eastAsia="Times New Roman" w:hAnsi="Verdana" w:cs="Arial"/>
          <w:lang w:val="es-ES"/>
        </w:rPr>
        <w:t xml:space="preserve">artículo 33 de la Ley </w:t>
      </w:r>
      <w:r w:rsidRPr="00992E50">
        <w:rPr>
          <w:rFonts w:ascii="Verdana" w:eastAsia="Times New Roman" w:hAnsi="Verdana" w:cs="Arial"/>
          <w:lang w:val="es-ES"/>
        </w:rPr>
        <w:lastRenderedPageBreak/>
        <w:t>996 de 2005</w:t>
      </w:r>
      <w:r>
        <w:rPr>
          <w:rFonts w:ascii="Verdana" w:eastAsia="Times New Roman" w:hAnsi="Verdana" w:cs="Arial"/>
          <w:lang w:val="es-ES"/>
        </w:rPr>
        <w:t xml:space="preserve"> y sus excepciones</w:t>
      </w:r>
      <w:r w:rsidRPr="00992E50">
        <w:rPr>
          <w:rFonts w:ascii="Verdana" w:eastAsia="Times New Roman" w:hAnsi="Verdana" w:cs="Arial"/>
          <w:lang w:val="es-ES"/>
        </w:rPr>
        <w:t xml:space="preserve">. El </w:t>
      </w:r>
      <w:r w:rsidRPr="00992E50">
        <w:rPr>
          <w:rFonts w:ascii="Verdana" w:eastAsia="Times New Roman" w:hAnsi="Verdana" w:cs="Arial"/>
          <w:i/>
          <w:iCs/>
          <w:lang w:val="es-ES"/>
        </w:rPr>
        <w:t>ámbito material</w:t>
      </w:r>
      <w:r w:rsidRPr="00992E50">
        <w:rPr>
          <w:rFonts w:ascii="Verdana" w:eastAsia="Times New Roman" w:hAnsi="Verdana" w:cs="Arial"/>
          <w:lang w:val="es-ES"/>
        </w:rPr>
        <w:t xml:space="preserve"> de esta prohibición está delimitado por la expresión </w:t>
      </w:r>
      <w:r w:rsidRPr="00992E50">
        <w:rPr>
          <w:rFonts w:ascii="Verdana" w:hAnsi="Verdana" w:cs="Arial"/>
          <w:bCs/>
          <w:lang w:val="es-ES"/>
        </w:rPr>
        <w:t>“</w:t>
      </w:r>
      <w:r w:rsidRPr="00992E50">
        <w:rPr>
          <w:rFonts w:ascii="Verdana" w:eastAsia="Times New Roman" w:hAnsi="Verdana" w:cs="Arial"/>
          <w:lang w:val="es-ES"/>
        </w:rPr>
        <w:t>queda prohibida la contratación directa</w:t>
      </w:r>
      <w:r w:rsidRPr="00992E50">
        <w:rPr>
          <w:rFonts w:ascii="Verdana" w:hAnsi="Verdana" w:cs="Arial"/>
          <w:lang w:val="es-ES"/>
        </w:rPr>
        <w:t>”</w:t>
      </w:r>
      <w:r w:rsidRPr="00992E50">
        <w:rPr>
          <w:rFonts w:ascii="Verdana" w:eastAsia="Times New Roman" w:hAnsi="Verdana" w:cs="Arial"/>
          <w:lang w:val="es-ES"/>
        </w:rPr>
        <w:t xml:space="preserve">. </w:t>
      </w:r>
      <w:r w:rsidRPr="00992E5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11FF8DDD" w14:textId="77777777" w:rsidR="003E7259" w:rsidRPr="00A04AF0" w:rsidRDefault="003E7259" w:rsidP="003E7259">
      <w:pPr>
        <w:spacing w:after="0" w:line="276" w:lineRule="auto"/>
        <w:ind w:firstLine="709"/>
        <w:jc w:val="both"/>
        <w:rPr>
          <w:rFonts w:ascii="Verdana" w:eastAsia="Times New Roman" w:hAnsi="Verdana" w:cs="Arial"/>
          <w:lang w:val="es-ES" w:eastAsia="es-CO"/>
        </w:rPr>
      </w:pPr>
    </w:p>
    <w:p w14:paraId="13F21A0D" w14:textId="77777777" w:rsidR="003E7259" w:rsidRPr="00992E50" w:rsidRDefault="003E7259" w:rsidP="003E7259">
      <w:pPr>
        <w:spacing w:after="0" w:line="240" w:lineRule="auto"/>
        <w:ind w:left="709" w:right="709"/>
        <w:jc w:val="both"/>
        <w:rPr>
          <w:rFonts w:ascii="Verdana" w:hAnsi="Verdana" w:cs="Arial"/>
          <w:sz w:val="20"/>
          <w:szCs w:val="20"/>
        </w:rPr>
      </w:pPr>
      <w:r w:rsidRPr="7A826F73">
        <w:rPr>
          <w:rFonts w:ascii="Verdana" w:hAnsi="Verdana" w:cs="Arial"/>
          <w:sz w:val="20"/>
          <w:szCs w:val="20"/>
        </w:rPr>
        <w:t xml:space="preserve">“(…) Esta Sala ha entendido </w:t>
      </w:r>
      <w:proofErr w:type="gramStart"/>
      <w:r w:rsidRPr="7A826F73">
        <w:rPr>
          <w:rFonts w:ascii="Verdana" w:hAnsi="Verdana" w:cs="Arial"/>
          <w:sz w:val="20"/>
          <w:szCs w:val="20"/>
        </w:rPr>
        <w:t>que</w:t>
      </w:r>
      <w:proofErr w:type="gramEnd"/>
      <w:r w:rsidRPr="7A826F73">
        <w:rPr>
          <w:rFonts w:ascii="Verdana" w:hAnsi="Verdana" w:cs="Arial"/>
          <w:sz w:val="20"/>
          <w:szCs w:val="20"/>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7A826F73">
        <w:rPr>
          <w:rFonts w:ascii="Verdana" w:eastAsia="Times New Roman" w:hAnsi="Verdana" w:cs="Arial"/>
          <w:sz w:val="20"/>
          <w:szCs w:val="20"/>
          <w:vertAlign w:val="superscript"/>
        </w:rPr>
        <w:footnoteReference w:id="11"/>
      </w:r>
      <w:r w:rsidRPr="7A826F73">
        <w:rPr>
          <w:rFonts w:ascii="Verdana" w:eastAsia="Times New Roman" w:hAnsi="Verdana" w:cs="Arial"/>
          <w:sz w:val="20"/>
          <w:szCs w:val="20"/>
          <w:vertAlign w:val="superscript"/>
        </w:rPr>
        <w:t>.</w:t>
      </w:r>
      <w:r w:rsidRPr="7A826F73">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7A826F73">
        <w:rPr>
          <w:rFonts w:ascii="Verdana" w:eastAsia="Times New Roman" w:hAnsi="Verdana" w:cs="Arial"/>
          <w:sz w:val="20"/>
          <w:szCs w:val="20"/>
          <w:vertAlign w:val="superscript"/>
          <w:lang w:eastAsia="es-CO"/>
        </w:rPr>
        <w:footnoteReference w:id="12"/>
      </w:r>
      <w:r w:rsidRPr="7A826F73">
        <w:rPr>
          <w:rFonts w:ascii="Verdana" w:hAnsi="Verdana" w:cs="Arial"/>
          <w:sz w:val="20"/>
          <w:szCs w:val="20"/>
        </w:rPr>
        <w:t>.</w:t>
      </w:r>
    </w:p>
    <w:p w14:paraId="49DE1221" w14:textId="77777777" w:rsidR="003E7259" w:rsidRPr="00992E50" w:rsidRDefault="003E7259" w:rsidP="003E7259">
      <w:pPr>
        <w:shd w:val="clear" w:color="auto" w:fill="FFFFFF" w:themeFill="background1"/>
        <w:spacing w:after="0" w:line="240" w:lineRule="auto"/>
        <w:ind w:firstLine="709"/>
        <w:jc w:val="both"/>
        <w:rPr>
          <w:rFonts w:ascii="Verdana" w:eastAsia="Times New Roman" w:hAnsi="Verdana" w:cs="Arial"/>
          <w:lang w:val="es-ES" w:eastAsia="x-none"/>
        </w:rPr>
      </w:pPr>
    </w:p>
    <w:p w14:paraId="676A58AC" w14:textId="77777777" w:rsidR="003E7259" w:rsidRPr="00992E50" w:rsidRDefault="003E7259" w:rsidP="003E7259">
      <w:pPr>
        <w:spacing w:after="120" w:line="276" w:lineRule="auto"/>
        <w:ind w:firstLine="708"/>
        <w:jc w:val="both"/>
        <w:rPr>
          <w:rFonts w:ascii="Verdana" w:eastAsia="Times New Roman" w:hAnsi="Verdana" w:cs="Arial"/>
          <w:bCs/>
          <w:lang w:val="es-ES" w:eastAsia="x-none"/>
        </w:rPr>
      </w:pPr>
      <w:r w:rsidRPr="00992E50">
        <w:rPr>
          <w:rFonts w:ascii="Verdana" w:eastAsia="Times New Roman" w:hAnsi="Verdana" w:cs="Arial"/>
          <w:lang w:val="es-ES" w:eastAsia="x-none"/>
        </w:rPr>
        <w:t xml:space="preserve">De acuerdo con este concepto, la prohibición del artículo 33 de la Ley de Garantías Electorales se refiere a </w:t>
      </w:r>
      <w:r w:rsidRPr="00992E50">
        <w:rPr>
          <w:rFonts w:ascii="Verdana" w:eastAsia="Times New Roman" w:hAnsi="Verdana" w:cs="Arial"/>
          <w:sz w:val="19"/>
          <w:szCs w:val="19"/>
          <w:lang w:val="es-ES" w:eastAsia="en-GB"/>
        </w:rPr>
        <w:t>“</w:t>
      </w:r>
      <w:r w:rsidRPr="00992E50">
        <w:rPr>
          <w:rFonts w:ascii="Verdana" w:eastAsia="Times New Roman" w:hAnsi="Verdana" w:cs="Arial"/>
          <w:lang w:val="es-ES" w:eastAsia="x-none"/>
        </w:rPr>
        <w:t>cualquier sistema que no implique convocatoria pública y posibilidad de pluralidad de oferentes</w:t>
      </w:r>
      <w:r w:rsidRPr="00992E50">
        <w:rPr>
          <w:rFonts w:ascii="Verdana" w:eastAsia="Times New Roman" w:hAnsi="Verdana" w:cs="Arial"/>
          <w:lang w:val="es-ES" w:eastAsia="en-GB"/>
        </w:rPr>
        <w:t>”</w:t>
      </w:r>
      <w:r w:rsidRPr="00992E5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992E50">
        <w:rPr>
          <w:rFonts w:ascii="Verdana" w:eastAsia="Times New Roman" w:hAnsi="Verdana" w:cs="Arial"/>
          <w:lang w:val="es-ES"/>
        </w:rPr>
        <w:t>y la mínima cuantía</w:t>
      </w:r>
      <w:r w:rsidRPr="00992E50" w:rsidDel="00A85D9F">
        <w:rPr>
          <w:rFonts w:ascii="Verdana" w:eastAsia="Times New Roman" w:hAnsi="Verdana" w:cs="Arial"/>
          <w:lang w:val="es-ES" w:eastAsia="x-none"/>
        </w:rPr>
        <w:t xml:space="preserve"> </w:t>
      </w:r>
      <w:r w:rsidRPr="00992E50">
        <w:rPr>
          <w:rFonts w:ascii="Verdana" w:eastAsia="Times New Roman" w:hAnsi="Verdana" w:cs="Arial"/>
          <w:lang w:val="es-ES"/>
        </w:rPr>
        <w:t xml:space="preserve">u otros previstos en normas especiales. </w:t>
      </w:r>
      <w:r w:rsidRPr="00992E5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992E50">
        <w:rPr>
          <w:rFonts w:ascii="Verdana" w:eastAsia="Times New Roman" w:hAnsi="Verdana" w:cs="Arial"/>
          <w:vertAlign w:val="superscript"/>
          <w:lang w:val="es-ES" w:eastAsia="x-none"/>
        </w:rPr>
        <w:footnoteReference w:id="13"/>
      </w:r>
      <w:r w:rsidRPr="00992E50">
        <w:rPr>
          <w:rFonts w:ascii="Verdana" w:eastAsia="Times New Roman" w:hAnsi="Verdana" w:cs="Arial"/>
          <w:lang w:val="es-ES" w:eastAsia="x-none"/>
        </w:rPr>
        <w:t xml:space="preserve"> y sistematizó las causales de contratación directa</w:t>
      </w:r>
      <w:r w:rsidRPr="00992E50">
        <w:rPr>
          <w:rFonts w:ascii="Verdana" w:eastAsia="Times New Roman" w:hAnsi="Verdana" w:cs="Arial"/>
          <w:vertAlign w:val="superscript"/>
          <w:lang w:val="es-ES" w:eastAsia="x-none"/>
        </w:rPr>
        <w:footnoteReference w:id="14"/>
      </w:r>
      <w:r w:rsidRPr="00992E50">
        <w:rPr>
          <w:rFonts w:ascii="Verdana" w:eastAsia="Times New Roman" w:hAnsi="Verdana" w:cs="Arial"/>
          <w:lang w:val="es-ES" w:eastAsia="x-none"/>
        </w:rPr>
        <w:t xml:space="preserve">, </w:t>
      </w:r>
      <w:r w:rsidRPr="00992E5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5D8B2C5" w14:textId="77777777" w:rsidR="003E7259" w:rsidRPr="00992E50" w:rsidRDefault="003E7259" w:rsidP="003E7259">
      <w:pPr>
        <w:spacing w:after="120" w:line="276" w:lineRule="auto"/>
        <w:ind w:firstLine="708"/>
        <w:jc w:val="both"/>
        <w:rPr>
          <w:rFonts w:ascii="Verdana" w:eastAsia="Times New Roman" w:hAnsi="Verdana" w:cs="Arial"/>
          <w:bCs/>
          <w:lang w:val="es-ES" w:eastAsia="es-CO"/>
        </w:rPr>
      </w:pPr>
      <w:r w:rsidRPr="00992E5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992E50">
        <w:rPr>
          <w:rFonts w:ascii="Verdana" w:eastAsia="Times New Roman" w:hAnsi="Verdana" w:cs="Arial"/>
          <w:bCs/>
          <w:i/>
          <w:iCs/>
          <w:lang w:val="es-ES" w:eastAsia="es-CO"/>
        </w:rPr>
        <w:t xml:space="preserve">, sino también frente a las entidades que tengan un </w:t>
      </w:r>
      <w:r w:rsidRPr="00992E50">
        <w:rPr>
          <w:rFonts w:ascii="Verdana" w:eastAsia="Times New Roman" w:hAnsi="Verdana" w:cs="Arial"/>
          <w:bCs/>
          <w:i/>
          <w:iCs/>
          <w:lang w:val="es-ES" w:eastAsia="es-CO"/>
        </w:rPr>
        <w:lastRenderedPageBreak/>
        <w:t>régimen especial de contratación</w:t>
      </w:r>
      <w:r w:rsidRPr="00992E5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992E50">
        <w:rPr>
          <w:rFonts w:ascii="Verdana" w:eastAsia="Times New Roman" w:hAnsi="Verdana" w:cs="Arial"/>
          <w:lang w:val="es-ES"/>
        </w:rPr>
        <w:t xml:space="preserve">Así, para la prohibición o restricción temporal contenida en su artículo 33, “contratación directa” es </w:t>
      </w:r>
      <w:r w:rsidRPr="00992E50">
        <w:rPr>
          <w:rFonts w:ascii="Verdana" w:eastAsia="Times New Roman" w:hAnsi="Verdana" w:cs="Arial"/>
          <w:i/>
          <w:iCs/>
          <w:lang w:val="es-ES"/>
        </w:rPr>
        <w:t>cualquier</w:t>
      </w:r>
      <w:r w:rsidRPr="00992E5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992E50">
        <w:rPr>
          <w:rFonts w:ascii="Verdana" w:eastAsia="Times New Roman" w:hAnsi="Verdana" w:cs="Arial"/>
          <w:vertAlign w:val="superscript"/>
          <w:lang w:val="es-ES" w:eastAsia="x-none"/>
        </w:rPr>
        <w:footnoteReference w:id="15"/>
      </w:r>
      <w:r w:rsidRPr="00992E50">
        <w:rPr>
          <w:rFonts w:ascii="Verdana" w:eastAsia="Times New Roman" w:hAnsi="Verdana" w:cs="Arial"/>
          <w:lang w:val="es-ES"/>
        </w:rPr>
        <w:t>.</w:t>
      </w:r>
      <w:r w:rsidRPr="00992E50">
        <w:rPr>
          <w:rFonts w:ascii="Verdana" w:eastAsia="Times New Roman" w:hAnsi="Verdana" w:cs="Arial"/>
          <w:vertAlign w:val="superscript"/>
          <w:lang w:val="es-ES" w:eastAsia="x-none"/>
        </w:rPr>
        <w:t xml:space="preserve"> </w:t>
      </w:r>
    </w:p>
    <w:p w14:paraId="154F2C2D" w14:textId="69A773D7" w:rsidR="003E7259" w:rsidRDefault="003E7259" w:rsidP="003E7259">
      <w:pPr>
        <w:spacing w:after="120" w:line="276" w:lineRule="auto"/>
        <w:ind w:firstLine="708"/>
        <w:jc w:val="both"/>
        <w:rPr>
          <w:rFonts w:ascii="Verdana" w:eastAsia="Times New Roman" w:hAnsi="Verdana" w:cs="Arial"/>
          <w:lang w:val="es-ES"/>
        </w:rPr>
      </w:pPr>
      <w:r w:rsidRPr="00992E50">
        <w:rPr>
          <w:rFonts w:ascii="Verdana" w:eastAsia="Times New Roman" w:hAnsi="Verdana" w:cs="Arial"/>
          <w:lang w:val="es-ES"/>
        </w:rPr>
        <w:t xml:space="preserve">De lo anterior se desprende que la restricción aplica, sin perjuicio de las excepciones establecidas en la misma ley, para celebrar </w:t>
      </w:r>
      <w:r w:rsidRPr="00992E50">
        <w:rPr>
          <w:rFonts w:ascii="Verdana" w:eastAsia="Times New Roman" w:hAnsi="Verdana" w:cs="Arial"/>
          <w:i/>
          <w:iCs/>
          <w:lang w:val="es-ES"/>
        </w:rPr>
        <w:t>cualquier contrato o convenio de forma directa</w:t>
      </w:r>
      <w:r w:rsidRPr="00992E5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813F232" w14:textId="05CD4DA0" w:rsidR="007E6685" w:rsidRPr="00A30C69" w:rsidRDefault="007E6685" w:rsidP="00A30C69">
      <w:pPr>
        <w:spacing w:after="120" w:line="276" w:lineRule="auto"/>
        <w:ind w:firstLine="709"/>
        <w:jc w:val="both"/>
        <w:rPr>
          <w:rFonts w:ascii="Verdana" w:eastAsia="Century Gothic" w:hAnsi="Verdana" w:cs="Century Gothic"/>
        </w:rPr>
      </w:pPr>
      <w:r>
        <w:rPr>
          <w:rFonts w:ascii="Verdana" w:eastAsia="Calibri" w:hAnsi="Verdana" w:cs="Arial"/>
          <w:color w:val="000000" w:themeColor="text1"/>
          <w:lang w:val="es-ES"/>
        </w:rPr>
        <w:t xml:space="preserve">Teniendo en cuenta la explicación precedente, se señala que los </w:t>
      </w:r>
      <w:r w:rsidRPr="00F71F99">
        <w:rPr>
          <w:rFonts w:ascii="Verdana" w:eastAsia="Century Gothic" w:hAnsi="Verdana" w:cs="Century Gothic"/>
        </w:rPr>
        <w:t>convenios especiales de cooperación para el desarrollo de actividades de ciencia, tecnología e innovación</w:t>
      </w:r>
      <w:r>
        <w:rPr>
          <w:rFonts w:ascii="Verdana" w:eastAsia="Century Gothic" w:hAnsi="Verdana" w:cs="Century Gothic"/>
        </w:rPr>
        <w:t xml:space="preserve"> que están prohibidos contratar durante los cuatro (4) meses previos a las elecciones de presidente son aquellos que se celebren de manera directa, es decir, a través de una modalidad de contratación que no implique pluralidad de oferentes. </w:t>
      </w:r>
    </w:p>
    <w:p w14:paraId="195E7086" w14:textId="77777777" w:rsidR="003E7259" w:rsidRDefault="003E7259" w:rsidP="003E7259">
      <w:pPr>
        <w:spacing w:after="0" w:line="276" w:lineRule="auto"/>
        <w:ind w:firstLine="709"/>
        <w:jc w:val="both"/>
        <w:rPr>
          <w:rFonts w:ascii="Verdana" w:eastAsia="Times New Roman" w:hAnsi="Verdana" w:cs="Arial"/>
          <w:lang w:val="es-ES"/>
        </w:rPr>
      </w:pPr>
      <w:r w:rsidRPr="00992E50">
        <w:rPr>
          <w:rFonts w:ascii="Verdana" w:eastAsia="Times New Roman" w:hAnsi="Verdana" w:cs="Arial"/>
          <w:bCs/>
          <w:lang w:val="es-ES" w:eastAsia="es-CO"/>
        </w:rPr>
        <w:t xml:space="preserve">Con respecto a los </w:t>
      </w:r>
      <w:r w:rsidRPr="00992E50">
        <w:rPr>
          <w:rFonts w:ascii="Verdana" w:eastAsia="Times New Roman" w:hAnsi="Verdana" w:cs="Arial"/>
          <w:bCs/>
          <w:i/>
          <w:iCs/>
          <w:lang w:val="es-ES" w:eastAsia="es-CO"/>
        </w:rPr>
        <w:t>sujetos</w:t>
      </w:r>
      <w:r w:rsidRPr="00992E50">
        <w:rPr>
          <w:rFonts w:ascii="Verdana" w:eastAsia="Times New Roman" w:hAnsi="Verdana" w:cs="Arial"/>
          <w:bCs/>
          <w:lang w:val="es-ES" w:eastAsia="es-CO"/>
        </w:rPr>
        <w:t xml:space="preserve"> que se encuentran enmarcados en la prohibición del artículo 33, </w:t>
      </w:r>
      <w:r w:rsidRPr="00992E50">
        <w:rPr>
          <w:rFonts w:ascii="Verdana" w:eastAsia="Times New Roman" w:hAnsi="Verdana" w:cs="Arial"/>
          <w:lang w:val="es-ES"/>
        </w:rPr>
        <w:t>la Ley 996 de 2005 señala expresamente que son “</w:t>
      </w:r>
      <w:r w:rsidRPr="00992E50">
        <w:rPr>
          <w:rFonts w:ascii="Verdana" w:eastAsia="Times New Roman" w:hAnsi="Verdana" w:cs="Arial"/>
          <w:i/>
          <w:iCs/>
          <w:u w:val="single"/>
          <w:lang w:val="es-ES"/>
        </w:rPr>
        <w:t>todos</w:t>
      </w:r>
      <w:r w:rsidRPr="00992E50">
        <w:rPr>
          <w:rFonts w:ascii="Verdana" w:eastAsia="Times New Roman" w:hAnsi="Verdana" w:cs="Arial"/>
          <w:i/>
          <w:iCs/>
          <w:lang w:val="es-ES"/>
        </w:rPr>
        <w:t xml:space="preserve"> los entes del Estado</w:t>
      </w:r>
      <w:r w:rsidRPr="00992E50">
        <w:rPr>
          <w:rFonts w:ascii="Verdana" w:eastAsia="Times New Roman" w:hAnsi="Verdana" w:cs="Arial"/>
          <w:lang w:val="es-ES"/>
        </w:rPr>
        <w:t xml:space="preserve">” </w:t>
      </w:r>
      <w:r>
        <w:rPr>
          <w:rFonts w:ascii="Verdana" w:eastAsia="Times New Roman" w:hAnsi="Verdana" w:cs="Arial"/>
          <w:lang w:val="es-ES"/>
        </w:rPr>
        <w:t>(</w:t>
      </w:r>
      <w:r w:rsidRPr="00992E50">
        <w:rPr>
          <w:rFonts w:ascii="Verdana" w:eastAsia="Times New Roman" w:hAnsi="Verdana" w:cs="Arial"/>
          <w:lang w:val="es-ES"/>
        </w:rPr>
        <w:t>énfasis propio</w:t>
      </w:r>
      <w:r>
        <w:rPr>
          <w:rFonts w:ascii="Verdana" w:eastAsia="Times New Roman" w:hAnsi="Verdana" w:cs="Arial"/>
          <w:lang w:val="es-ES"/>
        </w:rPr>
        <w:t>)</w:t>
      </w:r>
      <w:r w:rsidRPr="00992E50">
        <w:rPr>
          <w:rFonts w:ascii="Verdana" w:eastAsia="Times New Roman" w:hAnsi="Verdana" w:cs="Arial"/>
          <w:lang w:val="es-ES"/>
        </w:rPr>
        <w:t xml:space="preserve">. Al respecto la Sala </w:t>
      </w:r>
      <w:r>
        <w:rPr>
          <w:rFonts w:ascii="Verdana" w:eastAsia="Times New Roman" w:hAnsi="Verdana" w:cs="Arial"/>
          <w:lang w:val="es-ES"/>
        </w:rPr>
        <w:t>d</w:t>
      </w:r>
      <w:r w:rsidRPr="00992E50">
        <w:rPr>
          <w:rFonts w:ascii="Verdana" w:eastAsia="Times New Roman" w:hAnsi="Verdana" w:cs="Arial"/>
          <w:lang w:val="es-ES"/>
        </w:rPr>
        <w:t>e Consulta y Servicio Civil del Consejo de Estado señaló lo siguiente:</w:t>
      </w:r>
    </w:p>
    <w:p w14:paraId="570F84AB" w14:textId="77777777" w:rsidR="003E7259" w:rsidRPr="00992E50" w:rsidRDefault="003E7259" w:rsidP="003E7259">
      <w:pPr>
        <w:spacing w:after="0" w:line="276" w:lineRule="auto"/>
        <w:ind w:firstLine="709"/>
        <w:jc w:val="both"/>
        <w:rPr>
          <w:rFonts w:ascii="Verdana" w:eastAsia="Times New Roman" w:hAnsi="Verdana" w:cs="Arial"/>
          <w:lang w:val="es-ES"/>
        </w:rPr>
      </w:pPr>
    </w:p>
    <w:p w14:paraId="0961729C" w14:textId="77777777" w:rsidR="003E7259" w:rsidRPr="00992E50" w:rsidRDefault="003E7259" w:rsidP="003E7259">
      <w:pPr>
        <w:spacing w:after="0" w:line="240" w:lineRule="auto"/>
        <w:ind w:left="709" w:right="709"/>
        <w:jc w:val="both"/>
        <w:rPr>
          <w:rFonts w:ascii="Verdana" w:eastAsia="Times New Roman" w:hAnsi="Verdana" w:cs="Arial"/>
          <w:sz w:val="20"/>
          <w:szCs w:val="20"/>
          <w:lang w:eastAsia="es-CO"/>
        </w:rPr>
      </w:pPr>
      <w:r w:rsidRPr="7A826F73">
        <w:rPr>
          <w:rFonts w:ascii="Verdana" w:eastAsia="Times New Roman" w:hAnsi="Verdana" w:cs="Arial"/>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7A826F73">
        <w:rPr>
          <w:rFonts w:ascii="Verdana" w:eastAsia="Times New Roman" w:hAnsi="Verdana" w:cs="Arial"/>
          <w:sz w:val="20"/>
          <w:szCs w:val="20"/>
          <w:vertAlign w:val="superscript"/>
          <w:lang w:eastAsia="es-CO"/>
        </w:rPr>
        <w:footnoteReference w:id="16"/>
      </w:r>
      <w:r w:rsidRPr="7A826F73">
        <w:rPr>
          <w:rFonts w:ascii="Verdana" w:eastAsia="Times New Roman" w:hAnsi="Verdana" w:cs="Arial"/>
          <w:sz w:val="20"/>
          <w:szCs w:val="20"/>
          <w:lang w:eastAsia="es-CO"/>
        </w:rPr>
        <w:t>.</w:t>
      </w:r>
    </w:p>
    <w:p w14:paraId="7A768005" w14:textId="77777777" w:rsidR="003E7259" w:rsidRPr="00992E50" w:rsidRDefault="003E7259" w:rsidP="003E7259">
      <w:pPr>
        <w:spacing w:after="0" w:line="240" w:lineRule="auto"/>
        <w:ind w:left="709" w:right="709"/>
        <w:jc w:val="both"/>
        <w:rPr>
          <w:rFonts w:ascii="Verdana" w:eastAsia="Times New Roman" w:hAnsi="Verdana" w:cs="Arial"/>
          <w:bCs/>
          <w:lang w:val="es-ES" w:eastAsia="es-CO"/>
        </w:rPr>
      </w:pPr>
    </w:p>
    <w:p w14:paraId="2F1A263F" w14:textId="77777777" w:rsidR="003E7259" w:rsidRPr="003A5BBF" w:rsidRDefault="003E7259" w:rsidP="003E7259">
      <w:pPr>
        <w:spacing w:after="120" w:line="276" w:lineRule="auto"/>
        <w:ind w:firstLine="708"/>
        <w:jc w:val="both"/>
        <w:rPr>
          <w:rFonts w:ascii="Verdana" w:hAnsi="Verdana" w:cs="Arial"/>
          <w:bCs/>
          <w:lang w:val="es-ES" w:eastAsia="es-CO"/>
        </w:rPr>
      </w:pPr>
      <w:r w:rsidRPr="001366A7">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A753B6">
        <w:rPr>
          <w:rFonts w:ascii="Verdana" w:hAnsi="Verdana"/>
          <w:lang w:val="es-ES"/>
        </w:rPr>
        <w:t xml:space="preserve"> </w:t>
      </w:r>
      <w:r w:rsidRPr="009D2B32">
        <w:rPr>
          <w:rFonts w:ascii="Verdana" w:hAnsi="Verdana" w:cs="Arial"/>
          <w:bCs/>
          <w:lang w:val="es-ES" w:eastAsia="x-none"/>
        </w:rPr>
        <w:t>En efecto, tal como lo ha sostenido el Consejo de Estado, el vocablo “todos” utilizado por el legislador comprende</w:t>
      </w:r>
      <w:r w:rsidRPr="000754E8">
        <w:rPr>
          <w:rFonts w:ascii="Verdana" w:hAnsi="Verdana"/>
          <w:lang w:val="es-ES"/>
        </w:rPr>
        <w:t xml:space="preserve"> </w:t>
      </w:r>
      <w:r w:rsidRPr="001366A7">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3A5BBF">
        <w:rPr>
          <w:rFonts w:ascii="Verdana" w:hAnsi="Verdana" w:cs="Arial"/>
          <w:bCs/>
          <w:vertAlign w:val="superscript"/>
          <w:lang w:val="es-ES" w:eastAsia="x-none"/>
        </w:rPr>
        <w:footnoteReference w:id="17"/>
      </w:r>
      <w:r w:rsidRPr="003A5BBF">
        <w:rPr>
          <w:rFonts w:ascii="Verdana" w:hAnsi="Verdana" w:cs="Arial"/>
          <w:bCs/>
          <w:lang w:val="es-ES" w:eastAsia="x-none"/>
        </w:rPr>
        <w:t>.</w:t>
      </w:r>
      <w:r w:rsidRPr="003A5BBF">
        <w:rPr>
          <w:rFonts w:ascii="Verdana" w:hAnsi="Verdana" w:cs="Arial"/>
          <w:bCs/>
          <w:lang w:val="es-ES" w:eastAsia="es-CO"/>
        </w:rPr>
        <w:t>”</w:t>
      </w:r>
    </w:p>
    <w:p w14:paraId="1939FE0E" w14:textId="77777777" w:rsidR="003E7259" w:rsidRPr="001366A7" w:rsidRDefault="003E7259" w:rsidP="003E7259">
      <w:pPr>
        <w:spacing w:after="120" w:line="276" w:lineRule="auto"/>
        <w:ind w:firstLine="709"/>
        <w:jc w:val="both"/>
        <w:rPr>
          <w:rFonts w:ascii="Verdana" w:eastAsia="Arial" w:hAnsi="Verdana" w:cs="Arial"/>
          <w:bCs/>
          <w:color w:val="000000" w:themeColor="text1"/>
          <w:lang w:val="es-ES"/>
        </w:rPr>
      </w:pPr>
      <w:r w:rsidRPr="001366A7">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0D41748" w14:textId="77777777" w:rsidR="003E7259" w:rsidRPr="001366A7" w:rsidRDefault="003E7259" w:rsidP="003E7259">
      <w:pPr>
        <w:spacing w:after="120" w:line="276" w:lineRule="auto"/>
        <w:ind w:firstLine="709"/>
        <w:jc w:val="both"/>
        <w:rPr>
          <w:rFonts w:ascii="Verdana" w:hAnsi="Verdana" w:cs="Arial"/>
          <w:bCs/>
          <w:color w:val="000000" w:themeColor="text1"/>
          <w:lang w:val="es-ES"/>
        </w:rPr>
      </w:pPr>
      <w:r w:rsidRPr="001366A7">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1366A7">
        <w:rPr>
          <w:rFonts w:ascii="Verdana" w:hAnsi="Verdana" w:cs="Arial"/>
          <w:bCs/>
          <w:color w:val="000000" w:themeColor="text1"/>
          <w:lang w:val="es-ES"/>
        </w:rPr>
        <w:t xml:space="preserve">el segundo inciso de la misma disposición consagró las excepciones aplicables a la prohibición de contratación directa establecida en el mismo artículo. </w:t>
      </w:r>
    </w:p>
    <w:p w14:paraId="438E07D6" w14:textId="77777777" w:rsidR="003E7259" w:rsidRPr="001366A7" w:rsidRDefault="003E7259" w:rsidP="003E7259">
      <w:pPr>
        <w:spacing w:after="120" w:line="276" w:lineRule="auto"/>
        <w:ind w:firstLine="709"/>
        <w:jc w:val="both"/>
        <w:rPr>
          <w:rFonts w:ascii="Verdana" w:hAnsi="Verdana" w:cs="Arial"/>
          <w:bCs/>
          <w:color w:val="000000" w:themeColor="text1"/>
          <w:lang w:val="es-ES"/>
        </w:rPr>
      </w:pPr>
      <w:r w:rsidRPr="001366A7">
        <w:rPr>
          <w:rFonts w:ascii="Verdana" w:hAnsi="Verdana" w:cs="Arial"/>
          <w:bCs/>
          <w:color w:val="000000" w:themeColor="text1"/>
          <w:lang w:val="es-ES"/>
        </w:rPr>
        <w:t>Como se indicó, las excepciones a la prohibición del artículo 33 de la norma mencionada son las siguientes:</w:t>
      </w:r>
    </w:p>
    <w:p w14:paraId="3ACF7F0C" w14:textId="77777777" w:rsidR="003E7259" w:rsidRPr="001366A7" w:rsidRDefault="003E7259" w:rsidP="003E7259">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1) La contratación referente a la defensa y seguridad del Estado;</w:t>
      </w:r>
    </w:p>
    <w:p w14:paraId="4549D530" w14:textId="77777777" w:rsidR="003E7259" w:rsidRPr="001366A7" w:rsidRDefault="003E7259" w:rsidP="003E7259">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lastRenderedPageBreak/>
        <w:tab/>
        <w:t>2) Los contratos de crédito público;</w:t>
      </w:r>
    </w:p>
    <w:p w14:paraId="3C846682" w14:textId="77777777" w:rsidR="003E7259" w:rsidRPr="001366A7" w:rsidRDefault="003E7259" w:rsidP="003E7259">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 xml:space="preserve">3) Los contratos requeridos para cubrir las emergencias educativas, sanitarias y desastres; </w:t>
      </w:r>
    </w:p>
    <w:p w14:paraId="3E5D5B6C" w14:textId="77777777" w:rsidR="003E7259" w:rsidRPr="001366A7" w:rsidRDefault="003E7259" w:rsidP="003E7259">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1E89220B" w14:textId="77777777" w:rsidR="003E7259" w:rsidRPr="003A5BBF" w:rsidRDefault="003E7259" w:rsidP="003E7259">
      <w:pPr>
        <w:tabs>
          <w:tab w:val="left" w:pos="709"/>
        </w:tabs>
        <w:spacing w:before="120" w:line="276" w:lineRule="auto"/>
        <w:jc w:val="both"/>
        <w:rPr>
          <w:rFonts w:ascii="Verdana" w:hAnsi="Verdana" w:cs="Arial"/>
          <w:bCs/>
          <w:i/>
          <w:iCs/>
          <w:color w:val="000000" w:themeColor="text1"/>
          <w:lang w:val="es-ES"/>
        </w:rPr>
      </w:pPr>
      <w:r w:rsidRPr="001366A7">
        <w:rPr>
          <w:rFonts w:ascii="Verdana" w:hAnsi="Verdana" w:cs="Arial"/>
          <w:bCs/>
          <w:color w:val="000000" w:themeColor="text1"/>
          <w:lang w:val="es-ES"/>
        </w:rPr>
        <w:tab/>
      </w:r>
      <w:r w:rsidRPr="003A5BBF">
        <w:rPr>
          <w:rFonts w:ascii="Verdana" w:hAnsi="Verdana" w:cs="Arial"/>
          <w:bCs/>
          <w:i/>
          <w:iCs/>
          <w:color w:val="000000" w:themeColor="text1"/>
          <w:lang w:val="es-ES"/>
        </w:rPr>
        <w:t xml:space="preserve">5) La contratación que deban realizar las entidades sanitarias y hospitalarias. </w:t>
      </w:r>
    </w:p>
    <w:p w14:paraId="0DEBB161" w14:textId="77777777" w:rsidR="003E7259" w:rsidRDefault="003E7259" w:rsidP="003E7259">
      <w:pPr>
        <w:tabs>
          <w:tab w:val="left" w:pos="426"/>
        </w:tabs>
        <w:spacing w:before="120" w:after="0" w:line="276" w:lineRule="auto"/>
        <w:ind w:firstLine="709"/>
        <w:jc w:val="both"/>
        <w:rPr>
          <w:rFonts w:ascii="Verdana" w:hAnsi="Verdana" w:cs="Arial"/>
          <w:bCs/>
          <w:color w:val="000000" w:themeColor="text1"/>
          <w:lang w:val="es-ES"/>
        </w:rPr>
      </w:pPr>
      <w:r w:rsidRPr="00992E50">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6007E40" w14:textId="77777777" w:rsidR="003E7259" w:rsidRPr="00992E50" w:rsidRDefault="003E7259" w:rsidP="003E7259">
      <w:pPr>
        <w:tabs>
          <w:tab w:val="left" w:pos="426"/>
        </w:tabs>
        <w:spacing w:after="0" w:line="276" w:lineRule="auto"/>
        <w:ind w:firstLine="709"/>
        <w:jc w:val="both"/>
        <w:rPr>
          <w:rFonts w:ascii="Verdana" w:hAnsi="Verdana" w:cs="Arial"/>
          <w:bCs/>
          <w:color w:val="000000" w:themeColor="text1"/>
          <w:lang w:val="es-ES"/>
        </w:rPr>
      </w:pPr>
    </w:p>
    <w:p w14:paraId="7BF836F0" w14:textId="77777777" w:rsidR="003E7259" w:rsidRPr="00992E50" w:rsidRDefault="003E7259" w:rsidP="003E7259">
      <w:pPr>
        <w:shd w:val="clear" w:color="auto" w:fill="FFFFFF" w:themeFill="background1"/>
        <w:spacing w:after="0" w:line="240" w:lineRule="auto"/>
        <w:ind w:left="709" w:right="709"/>
        <w:jc w:val="both"/>
        <w:rPr>
          <w:rFonts w:ascii="Verdana" w:hAnsi="Verdana" w:cs="Arial"/>
          <w:color w:val="000000" w:themeColor="text1"/>
          <w:sz w:val="20"/>
          <w:szCs w:val="20"/>
          <w:lang w:eastAsia="es-CO"/>
        </w:rPr>
      </w:pPr>
      <w:r w:rsidRPr="7A826F73">
        <w:rPr>
          <w:rFonts w:ascii="Verdana" w:hAnsi="Verdana" w:cs="Arial"/>
          <w:color w:val="000000" w:themeColor="text1"/>
          <w:sz w:val="20"/>
          <w:szCs w:val="20"/>
          <w:lang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7A826F73">
        <w:rPr>
          <w:rFonts w:ascii="Verdana" w:hAnsi="Verdana" w:cs="Arial"/>
          <w:color w:val="000000" w:themeColor="text1"/>
          <w:sz w:val="20"/>
          <w:szCs w:val="20"/>
          <w:vertAlign w:val="superscript"/>
          <w:lang w:eastAsia="es-CO"/>
        </w:rPr>
        <w:footnoteReference w:id="18"/>
      </w:r>
      <w:r w:rsidRPr="7A826F73">
        <w:rPr>
          <w:rFonts w:ascii="Verdana" w:hAnsi="Verdana" w:cs="Arial"/>
          <w:color w:val="000000" w:themeColor="text1"/>
          <w:sz w:val="20"/>
          <w:szCs w:val="20"/>
          <w:lang w:eastAsia="es-CO"/>
        </w:rPr>
        <w:t xml:space="preserve">”. </w:t>
      </w:r>
    </w:p>
    <w:p w14:paraId="7C607F48" w14:textId="77777777" w:rsidR="003E7259" w:rsidRPr="003A5BBF" w:rsidRDefault="003E7259" w:rsidP="003E7259">
      <w:pPr>
        <w:shd w:val="clear" w:color="auto" w:fill="FFFFFF"/>
        <w:spacing w:after="0" w:line="240" w:lineRule="auto"/>
        <w:ind w:left="709" w:right="709"/>
        <w:jc w:val="both"/>
        <w:rPr>
          <w:rFonts w:ascii="Verdana" w:hAnsi="Verdana" w:cs="Arial"/>
          <w:color w:val="000000" w:themeColor="text1"/>
          <w:lang w:val="es-ES" w:eastAsia="es-CO"/>
        </w:rPr>
      </w:pPr>
    </w:p>
    <w:p w14:paraId="1CFFF527" w14:textId="77777777" w:rsidR="003E7259" w:rsidRPr="00992E50" w:rsidRDefault="003E7259" w:rsidP="003E7259">
      <w:pPr>
        <w:tabs>
          <w:tab w:val="left" w:pos="426"/>
        </w:tabs>
        <w:spacing w:after="120" w:line="276" w:lineRule="auto"/>
        <w:ind w:firstLine="709"/>
        <w:jc w:val="both"/>
        <w:rPr>
          <w:rFonts w:ascii="Verdana" w:hAnsi="Verdana" w:cs="Arial"/>
          <w:color w:val="000000" w:themeColor="text1"/>
          <w:shd w:val="clear" w:color="auto" w:fill="FFFFFF"/>
        </w:rPr>
      </w:pPr>
      <w:r w:rsidRPr="7A826F73">
        <w:rPr>
          <w:rFonts w:ascii="Verdana" w:hAnsi="Verdana" w:cs="Arial"/>
          <w:color w:val="000000" w:themeColor="text1"/>
        </w:rPr>
        <w:t xml:space="preserve">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taxativo, y señalando la independencia de los supuestos, así: “(…) </w:t>
      </w:r>
      <w:r w:rsidRPr="7A826F73">
        <w:rPr>
          <w:rFonts w:ascii="Verdana" w:hAnsi="Verdana" w:cs="Arial"/>
          <w:i/>
          <w:iCs/>
          <w:color w:val="000000" w:themeColor="text1"/>
        </w:rPr>
        <w:t xml:space="preserve">Las excepciones aplicables a la restricción de contratación pública. </w:t>
      </w:r>
      <w:r w:rsidRPr="7A826F73">
        <w:rPr>
          <w:rFonts w:ascii="Verdana" w:hAnsi="Verdana" w:cs="Arial"/>
          <w:color w:val="000000" w:themeColor="text1"/>
          <w:shd w:val="clear" w:color="auto" w:fill="FFFFFF"/>
        </w:rPr>
        <w:t>Ahora bien, las únicas excepciones a las disposiciones previstas en la Ley de Garantías se encuentran numeradas taxativamente en el último inciso del artículo 33 de la ley 996 de 2005 (…)”</w:t>
      </w:r>
      <w:r w:rsidRPr="7A826F73">
        <w:rPr>
          <w:rFonts w:ascii="Verdana" w:hAnsi="Verdana" w:cs="Arial"/>
          <w:color w:val="000000" w:themeColor="text1"/>
          <w:shd w:val="clear" w:color="auto" w:fill="FFFFFF"/>
          <w:vertAlign w:val="superscript"/>
        </w:rPr>
        <w:footnoteReference w:id="19"/>
      </w:r>
      <w:r w:rsidRPr="7A826F73">
        <w:rPr>
          <w:rFonts w:ascii="Verdana" w:hAnsi="Verdana" w:cs="Arial"/>
          <w:color w:val="000000" w:themeColor="text1"/>
          <w:shd w:val="clear" w:color="auto" w:fill="FFFFFF"/>
        </w:rPr>
        <w:t>.</w:t>
      </w:r>
    </w:p>
    <w:p w14:paraId="226CA6B9" w14:textId="77777777" w:rsidR="003E7259" w:rsidRPr="00992E50" w:rsidRDefault="003E7259" w:rsidP="003E7259">
      <w:pPr>
        <w:tabs>
          <w:tab w:val="left" w:pos="426"/>
        </w:tabs>
        <w:spacing w:after="120" w:line="276" w:lineRule="auto"/>
        <w:ind w:firstLine="709"/>
        <w:jc w:val="both"/>
        <w:rPr>
          <w:rFonts w:ascii="Verdana" w:hAnsi="Verdana" w:cs="Arial"/>
          <w:bCs/>
          <w:color w:val="000000" w:themeColor="text1"/>
          <w:lang w:val="es-ES"/>
        </w:rPr>
      </w:pPr>
      <w:r w:rsidRPr="00992E50">
        <w:rPr>
          <w:rFonts w:ascii="Verdana" w:hAnsi="Verdana" w:cs="Arial"/>
          <w:bCs/>
          <w:color w:val="000000" w:themeColor="text1"/>
          <w:lang w:val="es-ES"/>
        </w:rPr>
        <w:lastRenderedPageBreak/>
        <w:t xml:space="preserve">Lo anterior implica que las excepciones al artículo 33 en comento deben interpretarse y aplicarse de manera </w:t>
      </w:r>
      <w:r w:rsidRPr="00992E50">
        <w:rPr>
          <w:rFonts w:ascii="Verdana" w:hAnsi="Verdana" w:cs="Arial"/>
          <w:bCs/>
          <w:i/>
          <w:iCs/>
          <w:color w:val="000000" w:themeColor="text1"/>
          <w:lang w:val="es-ES"/>
        </w:rPr>
        <w:t>estricta</w:t>
      </w:r>
      <w:r w:rsidRPr="00992E50">
        <w:rPr>
          <w:rFonts w:ascii="Verdana" w:hAnsi="Verdana" w:cs="Arial"/>
          <w:bCs/>
          <w:color w:val="000000" w:themeColor="text1"/>
          <w:lang w:val="es-ES"/>
        </w:rPr>
        <w:t>. En otras palabras, no es factible hacer interpretaciones extensivas</w:t>
      </w:r>
      <w:r w:rsidRPr="00992E50">
        <w:rPr>
          <w:rFonts w:ascii="Verdana" w:hAnsi="Verdana" w:cs="Arial"/>
          <w:bCs/>
          <w:i/>
          <w:iCs/>
          <w:color w:val="000000" w:themeColor="text1"/>
          <w:lang w:val="es-ES"/>
        </w:rPr>
        <w:t xml:space="preserve"> </w:t>
      </w:r>
      <w:r w:rsidRPr="00992E50">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3D44BA9C" w14:textId="77777777" w:rsidR="003E7259" w:rsidRPr="0057193B" w:rsidRDefault="003E7259" w:rsidP="003E7259">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eastAsia="es-CO"/>
        </w:rPr>
        <w:t>Conforme a las anteriores excepciones, es</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0B7BD61" w14:textId="77777777" w:rsidR="003E7259" w:rsidRDefault="003E7259" w:rsidP="003E7259">
      <w:pPr>
        <w:spacing w:after="120" w:line="276" w:lineRule="auto"/>
        <w:ind w:firstLine="709"/>
        <w:jc w:val="both"/>
        <w:rPr>
          <w:rFonts w:ascii="Verdana" w:eastAsia="Times New Roman" w:hAnsi="Verdana" w:cs="Arial"/>
          <w:lang w:val="es-MX"/>
        </w:rPr>
      </w:pPr>
      <w:r w:rsidRPr="3A5322BA">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57193B">
        <w:rPr>
          <w:rFonts w:ascii="Verdana" w:eastAsia="Calibri" w:hAnsi="Verdana" w:cs="Arial"/>
          <w:vertAlign w:val="superscript"/>
          <w:lang w:val="es-MX"/>
        </w:rPr>
        <w:footnoteReference w:id="20"/>
      </w:r>
      <w:r w:rsidRPr="3A5322BA">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A1818F5" w14:textId="3268D717" w:rsidR="00F7748B" w:rsidRPr="00667CD6" w:rsidRDefault="003E7259" w:rsidP="00F7748B">
      <w:pPr>
        <w:spacing w:after="120" w:line="276" w:lineRule="auto"/>
        <w:ind w:firstLine="709"/>
        <w:jc w:val="both"/>
        <w:rPr>
          <w:rFonts w:ascii="Verdana" w:hAnsi="Verdana" w:cs="Arial"/>
          <w:lang w:val="es-ES"/>
        </w:rPr>
      </w:pPr>
      <w:r>
        <w:rPr>
          <w:rFonts w:ascii="Verdana" w:hAnsi="Verdana" w:cs="Arial"/>
          <w:lang w:val="es-ES"/>
        </w:rPr>
        <w:t xml:space="preserve">Ahora bien, teniendo en cuenta el contenido de su consulta, </w:t>
      </w:r>
      <w:r w:rsidR="00F7748B" w:rsidRPr="00667CD6">
        <w:rPr>
          <w:rFonts w:ascii="Verdana" w:hAnsi="Verdana" w:cs="Arial"/>
          <w:lang w:val="es-ES"/>
        </w:rPr>
        <w:t xml:space="preserve">debe indicarse que respecto del alcance del parágrafo </w:t>
      </w:r>
      <w:r w:rsidR="00F7748B" w:rsidRPr="00667CD6">
        <w:rPr>
          <w:rFonts w:ascii="Verdana" w:hAnsi="Verdana" w:cs="Arial"/>
        </w:rPr>
        <w:t xml:space="preserve">del artículo 38 de la Ley 996 de 2005, esta prohibición dispone </w:t>
      </w:r>
      <w:r w:rsidR="00F7748B">
        <w:rPr>
          <w:rFonts w:ascii="Verdana" w:hAnsi="Verdana" w:cs="Arial"/>
        </w:rPr>
        <w:t xml:space="preserve">en primera medida </w:t>
      </w:r>
      <w:r w:rsidR="00F7748B" w:rsidRPr="00667CD6">
        <w:rPr>
          <w:rFonts w:ascii="Verdana" w:hAnsi="Verdana" w:cs="Arial"/>
        </w:rPr>
        <w:t xml:space="preserve">que: “[l]os Gobernadores, Alcaldes Municipales y/o Distritales, Secretarios, Gerentes y directores de Entidades Descentralizadas del orden Municipal, Departamental o Distrital, dentro de los cuatro (4) meses anteriores a las elecciones, no podrán celebrar </w:t>
      </w:r>
      <w:r w:rsidR="00F7748B" w:rsidRPr="00667CD6">
        <w:rPr>
          <w:rFonts w:ascii="Verdana" w:hAnsi="Verdana" w:cs="Arial"/>
          <w:i/>
          <w:iCs/>
        </w:rPr>
        <w:t>convenios interadministrativos</w:t>
      </w:r>
      <w:r w:rsidR="00F7748B" w:rsidRPr="00667CD6">
        <w:rPr>
          <w:rFonts w:ascii="Verdana" w:hAnsi="Verdana" w:cs="Arial"/>
        </w:rPr>
        <w:t xml:space="preserve"> </w:t>
      </w:r>
      <w:r w:rsidR="00F7748B" w:rsidRPr="00667CD6">
        <w:rPr>
          <w:rFonts w:ascii="Verdana" w:hAnsi="Verdana" w:cs="Arial"/>
          <w:i/>
          <w:iCs/>
        </w:rPr>
        <w:t>para la ejecución de recursos públicos</w:t>
      </w:r>
      <w:r w:rsidR="00F7748B" w:rsidRPr="00667CD6">
        <w:rPr>
          <w:rFonts w:ascii="Verdana" w:hAnsi="Verdana" w:cs="Arial"/>
        </w:rPr>
        <w:t>”.</w:t>
      </w:r>
      <w:r w:rsidR="00F7748B" w:rsidRPr="00667CD6">
        <w:rPr>
          <w:rFonts w:ascii="Verdana" w:eastAsia="Times New Roman" w:hAnsi="Verdana" w:cs="Arial"/>
          <w:lang w:val="es-MX" w:eastAsia="x-none"/>
        </w:rPr>
        <w:t xml:space="preserve"> [Énfasis fuera del texto original]</w:t>
      </w:r>
    </w:p>
    <w:p w14:paraId="79823EB9" w14:textId="77777777" w:rsidR="00F7748B" w:rsidRPr="00667CD6" w:rsidRDefault="00F7748B" w:rsidP="00F7748B">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w:t>
      </w:r>
      <w:r w:rsidRPr="00667CD6">
        <w:rPr>
          <w:rFonts w:ascii="Verdana" w:eastAsia="Times New Roman" w:hAnsi="Verdana" w:cs="Arial"/>
          <w:color w:val="000000" w:themeColor="text1"/>
          <w:lang w:val="es-ES" w:eastAsia="es-CO"/>
        </w:rPr>
        <w:lastRenderedPageBreak/>
        <w:t xml:space="preserve">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1"/>
      </w:r>
      <w:r w:rsidRPr="00667CD6">
        <w:rPr>
          <w:rFonts w:ascii="Verdana" w:hAnsi="Verdana" w:cs="Arial"/>
          <w:lang w:eastAsia="es-ES"/>
        </w:rPr>
        <w:t>.</w:t>
      </w:r>
    </w:p>
    <w:p w14:paraId="14AD499A" w14:textId="77777777" w:rsidR="00F7748B" w:rsidRPr="00667CD6" w:rsidRDefault="00F7748B" w:rsidP="00F7748B">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6ED5F4D" w14:textId="77777777" w:rsidR="00F7748B" w:rsidRPr="00667CD6" w:rsidRDefault="00F7748B" w:rsidP="00F7748B">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2"/>
      </w:r>
      <w:r w:rsidRPr="2035D652">
        <w:rPr>
          <w:rFonts w:ascii="Verdana" w:hAnsi="Verdana" w:cs="Arial"/>
          <w:lang w:val="es-ES"/>
        </w:rPr>
        <w:t>. Nótese que, en este caso, lo que cambia es la modalidad de selección y no la naturaleza de contrato interadministrativo.</w:t>
      </w:r>
    </w:p>
    <w:p w14:paraId="6B6DFC50" w14:textId="77777777" w:rsidR="00F7748B" w:rsidRPr="00667CD6" w:rsidRDefault="00F7748B" w:rsidP="00F7748B">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3"/>
      </w:r>
      <w:r w:rsidRPr="2035D652">
        <w:rPr>
          <w:rFonts w:ascii="Verdana" w:hAnsi="Verdana" w:cs="Arial"/>
          <w:lang w:val="es-ES"/>
        </w:rPr>
        <w:t xml:space="preserve">. </w:t>
      </w:r>
      <w:r w:rsidRPr="2035D652">
        <w:rPr>
          <w:rFonts w:ascii="Verdana" w:hAnsi="Verdana" w:cs="Arial"/>
          <w:lang w:val="es-ES"/>
        </w:rPr>
        <w:lastRenderedPageBreak/>
        <w:t>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575861D" w14:textId="77777777" w:rsidR="00F7748B" w:rsidRPr="00667CD6" w:rsidRDefault="00F7748B" w:rsidP="00F7748B">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24"/>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38A70CE2" w14:textId="77777777" w:rsidR="00F7748B" w:rsidRPr="00667CD6" w:rsidRDefault="00F7748B" w:rsidP="00F7748B">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BA607CD" w14:textId="77777777" w:rsidR="00F7748B" w:rsidRPr="00667CD6" w:rsidRDefault="00F7748B" w:rsidP="00F7748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2B862B2D" w14:textId="77777777" w:rsidR="00F7748B" w:rsidRPr="00667CD6" w:rsidRDefault="00F7748B" w:rsidP="00F7748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lastRenderedPageBreak/>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55331FCF" w14:textId="77777777" w:rsidR="00F7748B" w:rsidRPr="00667CD6" w:rsidRDefault="00F7748B" w:rsidP="00F7748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25582676" w14:textId="77777777" w:rsidR="00F7748B" w:rsidRPr="00667CD6" w:rsidRDefault="00F7748B" w:rsidP="00F7748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25"/>
      </w:r>
      <w:r w:rsidRPr="00667CD6">
        <w:rPr>
          <w:rFonts w:ascii="Verdana" w:hAnsi="Verdana" w:cs="Arial"/>
        </w:rPr>
        <w:t xml:space="preserve">: </w:t>
      </w:r>
    </w:p>
    <w:p w14:paraId="41C843AD" w14:textId="77777777" w:rsidR="00F7748B" w:rsidRPr="00667CD6" w:rsidRDefault="00F7748B" w:rsidP="00F7748B">
      <w:pPr>
        <w:spacing w:after="0" w:line="276" w:lineRule="auto"/>
        <w:ind w:firstLine="709"/>
        <w:jc w:val="both"/>
        <w:rPr>
          <w:rFonts w:ascii="Verdana" w:hAnsi="Verdana" w:cs="Arial"/>
        </w:rPr>
      </w:pPr>
    </w:p>
    <w:p w14:paraId="3AD91046" w14:textId="77777777" w:rsidR="00F7748B" w:rsidRPr="00667CD6" w:rsidRDefault="00F7748B" w:rsidP="00F7748B">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w:t>
      </w:r>
      <w:r w:rsidRPr="00667CD6">
        <w:rPr>
          <w:rFonts w:ascii="Verdana" w:hAnsi="Verdana" w:cs="Arial"/>
          <w:sz w:val="20"/>
          <w:szCs w:val="20"/>
        </w:rPr>
        <w:lastRenderedPageBreak/>
        <w:t xml:space="preserve">la modalidad de selección para la contratación entre entidades públicas a través de estas dos figuras jurídicas” y, </w:t>
      </w:r>
    </w:p>
    <w:p w14:paraId="345231C2" w14:textId="77777777" w:rsidR="00F7748B" w:rsidRPr="00667CD6" w:rsidRDefault="00F7748B" w:rsidP="00F7748B">
      <w:pPr>
        <w:spacing w:after="0" w:line="240" w:lineRule="auto"/>
        <w:ind w:left="709" w:right="709"/>
        <w:jc w:val="both"/>
        <w:rPr>
          <w:rFonts w:ascii="Verdana" w:hAnsi="Verdana" w:cs="Arial"/>
          <w:sz w:val="20"/>
          <w:szCs w:val="20"/>
        </w:rPr>
      </w:pPr>
    </w:p>
    <w:p w14:paraId="504BC1A2" w14:textId="77777777" w:rsidR="00F7748B" w:rsidRPr="00667CD6" w:rsidRDefault="00F7748B" w:rsidP="00F7748B">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05503BBF" w14:textId="77777777" w:rsidR="00F7748B" w:rsidRPr="00667CD6" w:rsidRDefault="00F7748B" w:rsidP="00F7748B">
      <w:pPr>
        <w:spacing w:after="0" w:line="276" w:lineRule="auto"/>
        <w:ind w:left="709" w:right="709"/>
        <w:jc w:val="both"/>
        <w:rPr>
          <w:rFonts w:ascii="Verdana" w:hAnsi="Verdana" w:cs="Arial"/>
        </w:rPr>
      </w:pPr>
    </w:p>
    <w:p w14:paraId="7210C455" w14:textId="77777777" w:rsidR="00F7748B" w:rsidRPr="00667CD6" w:rsidRDefault="00F7748B" w:rsidP="00F7748B">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848E8B1" w14:textId="77777777" w:rsidR="00F7748B" w:rsidRPr="00667CD6" w:rsidRDefault="00F7748B" w:rsidP="00F7748B">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26"/>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701392DC" w14:textId="77777777" w:rsidR="00F7748B" w:rsidRDefault="00F7748B" w:rsidP="00F7748B">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9F5E37B" w14:textId="77777777" w:rsidR="00F7748B" w:rsidRDefault="00F7748B" w:rsidP="00F7748B">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27"/>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924AC58" w14:textId="77777777" w:rsidR="00F7748B" w:rsidRPr="00670659" w:rsidRDefault="00F7748B" w:rsidP="00F7748B">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EF46A75" w14:textId="77777777" w:rsidR="00F7748B" w:rsidRPr="00667CD6" w:rsidRDefault="00F7748B" w:rsidP="00F7748B">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8"/>
      </w:r>
      <w:r>
        <w:rPr>
          <w:rFonts w:ascii="Verdana" w:eastAsia="Times New Roman" w:hAnsi="Verdana" w:cs="Arial"/>
          <w:lang w:eastAsia="es-CO"/>
        </w:rPr>
        <w:t>.</w:t>
      </w:r>
    </w:p>
    <w:p w14:paraId="01A4F714" w14:textId="77777777" w:rsidR="00F7748B" w:rsidRPr="00667CD6" w:rsidRDefault="00F7748B" w:rsidP="00F7748B">
      <w:pPr>
        <w:spacing w:after="120" w:line="276" w:lineRule="auto"/>
        <w:ind w:firstLine="708"/>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A77563" w14:textId="77777777" w:rsidR="00F7748B" w:rsidRPr="00667CD6" w:rsidRDefault="00F7748B" w:rsidP="00F7748B">
      <w:pPr>
        <w:spacing w:after="0" w:line="276" w:lineRule="auto"/>
        <w:ind w:firstLine="708"/>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w:t>
      </w:r>
      <w:r w:rsidRPr="00667CD6">
        <w:rPr>
          <w:rFonts w:ascii="Verdana" w:hAnsi="Verdana" w:cs="Arial"/>
          <w:bCs/>
          <w:color w:val="000000" w:themeColor="text1"/>
        </w:rPr>
        <w:lastRenderedPageBreak/>
        <w:t xml:space="preserve">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1528355" w14:textId="77777777" w:rsidR="00455EFE" w:rsidRPr="008306EF" w:rsidRDefault="00455EFE" w:rsidP="00455EFE">
      <w:pPr>
        <w:spacing w:after="0" w:line="276" w:lineRule="auto"/>
        <w:jc w:val="both"/>
        <w:rPr>
          <w:rFonts w:ascii="Verdana" w:eastAsia="Calibri" w:hAnsi="Verdana" w:cs="Arial"/>
        </w:rPr>
      </w:pPr>
    </w:p>
    <w:bookmarkEnd w:id="2"/>
    <w:p w14:paraId="25851837" w14:textId="77777777" w:rsidR="00455EFE" w:rsidRPr="008306EF" w:rsidRDefault="00455EFE" w:rsidP="00455EFE">
      <w:pPr>
        <w:spacing w:after="0" w:line="276" w:lineRule="auto"/>
        <w:jc w:val="both"/>
        <w:rPr>
          <w:rFonts w:ascii="Verdana" w:eastAsia="Century Gothic" w:hAnsi="Verdana" w:cs="Century Gothic"/>
          <w:b/>
          <w:bCs/>
        </w:rPr>
      </w:pPr>
      <w:r w:rsidRPr="008306EF">
        <w:rPr>
          <w:rFonts w:ascii="Verdana" w:eastAsia="Century Gothic" w:hAnsi="Verdana" w:cs="Century Gothic"/>
          <w:b/>
          <w:bCs/>
        </w:rPr>
        <w:t>4. Referencias normativas, jurisprudenciales y otras fuentes:</w:t>
      </w:r>
    </w:p>
    <w:p w14:paraId="7DFEC2A1" w14:textId="77777777" w:rsidR="00455EFE" w:rsidRPr="008306EF" w:rsidRDefault="00455EFE" w:rsidP="00455EFE">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5EFE" w:rsidRPr="008306EF" w14:paraId="0EF50B42" w14:textId="77777777" w:rsidTr="00AF31DE">
        <w:trPr>
          <w:trHeight w:val="632"/>
        </w:trPr>
        <w:tc>
          <w:tcPr>
            <w:tcW w:w="8647" w:type="dxa"/>
          </w:tcPr>
          <w:p w14:paraId="5F156926" w14:textId="77777777" w:rsidR="00F7748B" w:rsidRPr="00667CD6" w:rsidRDefault="00F7748B" w:rsidP="00F7748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p>
          <w:p w14:paraId="536FB54A" w14:textId="77777777" w:rsidR="00F7748B" w:rsidRPr="00667CD6" w:rsidRDefault="00F7748B" w:rsidP="00F7748B">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67CD6">
              <w:rPr>
                <w:rFonts w:ascii="Verdana" w:eastAsia="Arial MT" w:hAnsi="Verdana" w:cs="Arial"/>
                <w:bCs/>
                <w:lang w:val="es-ES" w:eastAsia="es-ES" w:bidi="es-ES"/>
              </w:rPr>
              <w:t>Ley 996 de 2005, artículos 33 y 38.</w:t>
            </w:r>
          </w:p>
          <w:p w14:paraId="7F8AB397" w14:textId="77777777" w:rsidR="00F7748B" w:rsidRPr="00667CD6" w:rsidRDefault="00F7748B" w:rsidP="00F7748B">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67CD6">
              <w:rPr>
                <w:rFonts w:ascii="Verdana" w:hAnsi="Verdana" w:cs="Arial"/>
                <w:bCs/>
                <w:color w:val="000000" w:themeColor="text1"/>
                <w:lang w:val="es-ES"/>
              </w:rPr>
              <w:t>Decreto 1068 de 2015, artículo 2.2.1.1.1.</w:t>
            </w:r>
          </w:p>
          <w:p w14:paraId="0718B4A6" w14:textId="77777777" w:rsidR="00F7748B" w:rsidRPr="00C71E4F" w:rsidRDefault="00F7748B" w:rsidP="00F7748B">
            <w:pPr>
              <w:widowControl w:val="0"/>
              <w:numPr>
                <w:ilvl w:val="0"/>
                <w:numId w:val="17"/>
              </w:numPr>
              <w:autoSpaceDE w:val="0"/>
              <w:autoSpaceDN w:val="0"/>
              <w:spacing w:after="120" w:line="276" w:lineRule="auto"/>
              <w:jc w:val="both"/>
              <w:rPr>
                <w:rFonts w:ascii="Verdana" w:hAnsi="Verdana" w:cs="Arial"/>
                <w:lang w:val="es-ES"/>
              </w:rPr>
            </w:pPr>
            <w:r w:rsidRPr="00C71E4F">
              <w:rPr>
                <w:rFonts w:ascii="Verdana" w:hAnsi="Verdana" w:cs="Arial"/>
                <w:lang w:val="pt-BR"/>
              </w:rPr>
              <w:t>Corte Constitucional. Sentencia C-671 de 2015. M.P. Alberto Rojas Ríos.</w:t>
            </w:r>
          </w:p>
          <w:p w14:paraId="59D70378" w14:textId="77777777" w:rsidR="00F7748B" w:rsidRPr="00667CD6" w:rsidRDefault="00F7748B" w:rsidP="00F7748B">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Sección Primera. Sentencia de 3 de marzo de 2005, </w:t>
            </w:r>
            <w:proofErr w:type="spellStart"/>
            <w:r w:rsidRPr="00667CD6">
              <w:rPr>
                <w:rFonts w:ascii="Verdana" w:hAnsi="Verdana" w:cs="Arial"/>
                <w:lang w:val="es-ES"/>
              </w:rPr>
              <w:t>Exp</w:t>
            </w:r>
            <w:proofErr w:type="spellEnd"/>
            <w:r w:rsidRPr="00667CD6">
              <w:rPr>
                <w:rFonts w:ascii="Verdana" w:hAnsi="Verdana" w:cs="Arial"/>
                <w:lang w:val="es-ES"/>
              </w:rPr>
              <w:t xml:space="preserve">. 2004-00823-01(PI). </w:t>
            </w:r>
          </w:p>
          <w:p w14:paraId="28ACF128" w14:textId="77777777" w:rsidR="00F7748B" w:rsidRPr="00C71E4F" w:rsidRDefault="00F7748B" w:rsidP="00F7748B">
            <w:pPr>
              <w:numPr>
                <w:ilvl w:val="0"/>
                <w:numId w:val="17"/>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14:paraId="0DAC47DA" w14:textId="77777777" w:rsidR="00F7748B" w:rsidRPr="00667CD6" w:rsidRDefault="00F7748B" w:rsidP="00F7748B">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Sala de Consulta y Servicio Civil, Concepto de fecha 24 de julio de 2013, Rad. 2166, C. P. Álvaro Namén Vargas. </w:t>
            </w:r>
          </w:p>
          <w:p w14:paraId="254D3224" w14:textId="77777777" w:rsidR="00F7748B" w:rsidRPr="00C71E4F" w:rsidRDefault="00F7748B" w:rsidP="00F7748B">
            <w:pPr>
              <w:numPr>
                <w:ilvl w:val="0"/>
                <w:numId w:val="17"/>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2 de septiembre de 2013 Radicado No: 2168. CP: Alvaro Namén Vargas.</w:t>
            </w:r>
          </w:p>
          <w:p w14:paraId="1D894E8B" w14:textId="77777777" w:rsidR="00F7748B" w:rsidRPr="00667CD6" w:rsidRDefault="00F7748B" w:rsidP="00F7748B">
            <w:pPr>
              <w:numPr>
                <w:ilvl w:val="0"/>
                <w:numId w:val="17"/>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14:paraId="3796FE91" w14:textId="77777777" w:rsidR="00F7748B" w:rsidRPr="00667CD6" w:rsidRDefault="00F7748B" w:rsidP="00F7748B">
            <w:pPr>
              <w:numPr>
                <w:ilvl w:val="0"/>
                <w:numId w:val="17"/>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 fecha 8 de mayo de 2018, No. 2382. C. P. Álvaro Namén Vargas.</w:t>
            </w:r>
          </w:p>
          <w:p w14:paraId="36B0D2DF" w14:textId="77777777" w:rsidR="00F7748B" w:rsidRPr="008D30C0" w:rsidRDefault="00F7748B" w:rsidP="00F7748B">
            <w:pPr>
              <w:widowControl w:val="0"/>
              <w:numPr>
                <w:ilvl w:val="0"/>
                <w:numId w:val="17"/>
              </w:numPr>
              <w:autoSpaceDE w:val="0"/>
              <w:autoSpaceDN w:val="0"/>
              <w:spacing w:after="120" w:line="276" w:lineRule="auto"/>
              <w:jc w:val="both"/>
              <w:rPr>
                <w:rFonts w:ascii="Verdana" w:hAnsi="Verdana" w:cs="Arial"/>
                <w:lang w:val="es-ES"/>
              </w:rPr>
            </w:pPr>
            <w:proofErr w:type="spellStart"/>
            <w:r w:rsidRPr="00667CD6">
              <w:rPr>
                <w:rFonts w:ascii="Verdana" w:hAnsi="Verdana" w:cs="Arial"/>
                <w:lang w:val="pt-BR"/>
              </w:rPr>
              <w:t>Consejo</w:t>
            </w:r>
            <w:proofErr w:type="spellEnd"/>
            <w:r w:rsidRPr="00667CD6">
              <w:rPr>
                <w:rFonts w:ascii="Verdana" w:hAnsi="Verdana" w:cs="Arial"/>
                <w:lang w:val="pt-BR"/>
              </w:rPr>
              <w:t xml:space="preserve"> de Estado, </w:t>
            </w:r>
            <w:proofErr w:type="spellStart"/>
            <w:r w:rsidRPr="00667CD6">
              <w:rPr>
                <w:rFonts w:ascii="Verdana" w:hAnsi="Verdana" w:cs="Arial"/>
                <w:lang w:val="pt-BR"/>
              </w:rPr>
              <w:t>Sección</w:t>
            </w:r>
            <w:proofErr w:type="spellEnd"/>
            <w:r w:rsidRPr="00667CD6">
              <w:rPr>
                <w:rFonts w:ascii="Verdana" w:hAnsi="Verdana" w:cs="Arial"/>
                <w:lang w:val="pt-BR"/>
              </w:rPr>
              <w:t xml:space="preserve"> Tercera. Auto </w:t>
            </w:r>
            <w:proofErr w:type="spellStart"/>
            <w:r w:rsidRPr="00667CD6">
              <w:rPr>
                <w:rFonts w:ascii="Verdana" w:hAnsi="Verdana" w:cs="Arial"/>
                <w:lang w:val="pt-BR"/>
              </w:rPr>
              <w:t>del</w:t>
            </w:r>
            <w:proofErr w:type="spellEnd"/>
            <w:r w:rsidRPr="00667CD6">
              <w:rPr>
                <w:rFonts w:ascii="Verdana" w:hAnsi="Verdana" w:cs="Arial"/>
                <w:lang w:val="pt-BR"/>
              </w:rPr>
              <w:t xml:space="preserve"> 4 de </w:t>
            </w:r>
            <w:proofErr w:type="spellStart"/>
            <w:r w:rsidRPr="00667CD6">
              <w:rPr>
                <w:rFonts w:ascii="Verdana" w:hAnsi="Verdana" w:cs="Arial"/>
                <w:lang w:val="pt-BR"/>
              </w:rPr>
              <w:t>octubre</w:t>
            </w:r>
            <w:proofErr w:type="spellEnd"/>
            <w:r w:rsidRPr="00667CD6">
              <w:rPr>
                <w:rFonts w:ascii="Verdana" w:hAnsi="Verdana" w:cs="Arial"/>
                <w:lang w:val="pt-BR"/>
              </w:rPr>
              <w:t xml:space="preserve"> de 2024. Exp. 70.313. C.P: Fredy Ibarra Martínez.</w:t>
            </w:r>
          </w:p>
          <w:p w14:paraId="07BDB0CB" w14:textId="77777777" w:rsidR="00F7748B" w:rsidRDefault="00F7748B" w:rsidP="00F7748B">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w:t>
            </w:r>
            <w:r w:rsidRPr="00670659">
              <w:rPr>
                <w:rFonts w:ascii="Verdana" w:eastAsia="Times New Roman" w:hAnsi="Verdana" w:cs="Times New Roman"/>
                <w:lang w:eastAsia="es-ES_tradnl"/>
              </w:rPr>
              <w:lastRenderedPageBreak/>
              <w:t xml:space="preserve">Tercera. Subsección B. 17 de octubre de 2025. Magistrado Ponente: Fredy Ibarra Martínez.  </w:t>
            </w:r>
          </w:p>
          <w:p w14:paraId="52FEAB0E" w14:textId="7F4EA931" w:rsidR="00455EFE" w:rsidRPr="0031307F" w:rsidRDefault="00F7748B" w:rsidP="00A30C69">
            <w:pPr>
              <w:widowControl w:val="0"/>
              <w:numPr>
                <w:ilvl w:val="0"/>
                <w:numId w:val="17"/>
              </w:numPr>
              <w:autoSpaceDE w:val="0"/>
              <w:autoSpaceDN w:val="0"/>
              <w:spacing w:after="120" w:line="276" w:lineRule="auto"/>
              <w:jc w:val="both"/>
              <w:rPr>
                <w:rFonts w:ascii="Verdana" w:hAnsi="Verdana" w:cs="Arial"/>
              </w:rPr>
            </w:pPr>
            <w:r w:rsidRPr="00F7748B">
              <w:rPr>
                <w:rFonts w:ascii="Verdana" w:hAnsi="Verdana" w:cs="Arial"/>
              </w:rPr>
              <w:t xml:space="preserve">Circular Externa No. 006 de 2025 </w:t>
            </w:r>
            <w:hyperlink r:id="rId12" w:history="1">
              <w:r w:rsidRPr="00F7748B">
                <w:rPr>
                  <w:rFonts w:ascii="Verdana" w:hAnsi="Verdana" w:cs="Arial"/>
                  <w:color w:val="0000FF"/>
                  <w:u w:val="single"/>
                </w:rPr>
                <w:t>https://www.colombiacompra.gov.co/archivos/circular/circular-externa-006-de-2025</w:t>
              </w:r>
            </w:hyperlink>
          </w:p>
        </w:tc>
      </w:tr>
    </w:tbl>
    <w:p w14:paraId="69BDAE47" w14:textId="77777777" w:rsidR="00455EFE" w:rsidRPr="008306EF" w:rsidRDefault="00455EFE" w:rsidP="00455EFE">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CD3C8B0" w14:textId="77777777" w:rsidR="00455EFE" w:rsidRPr="008306EF" w:rsidRDefault="00455EFE" w:rsidP="00455EF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8306EF">
        <w:rPr>
          <w:rFonts w:ascii="Verdana" w:eastAsia="Century Gothic" w:hAnsi="Verdana" w:cs="Century Gothic"/>
          <w:b/>
          <w:bCs/>
          <w:lang w:val="es-CO"/>
        </w:rPr>
        <w:t xml:space="preserve">5. </w:t>
      </w:r>
      <w:r w:rsidRPr="008306EF">
        <w:rPr>
          <w:rFonts w:ascii="Verdana" w:eastAsia="Century Gothic" w:hAnsi="Verdana" w:cs="Century Gothic"/>
          <w:b/>
          <w:bCs/>
        </w:rPr>
        <w:t>Doctrina de la Agencia Nacional de Contratación Pública:</w:t>
      </w:r>
    </w:p>
    <w:p w14:paraId="53C6DB2F" w14:textId="77777777" w:rsidR="00455EFE" w:rsidRPr="008306EF" w:rsidRDefault="00455EFE" w:rsidP="00455EFE">
      <w:pPr>
        <w:spacing w:after="0" w:line="276" w:lineRule="auto"/>
        <w:jc w:val="both"/>
        <w:rPr>
          <w:rFonts w:ascii="Verdana" w:eastAsia="Calibri" w:hAnsi="Verdana" w:cs="Arial"/>
          <w:lang w:eastAsia="es-ES_tradnl"/>
        </w:rPr>
      </w:pPr>
    </w:p>
    <w:p w14:paraId="0ED36C59" w14:textId="2DEE34D1" w:rsidR="00455EFE" w:rsidRPr="00A30C69" w:rsidRDefault="00455EFE" w:rsidP="00455EFE">
      <w:pPr>
        <w:spacing w:after="0" w:line="276" w:lineRule="auto"/>
        <w:jc w:val="both"/>
        <w:rPr>
          <w:rFonts w:ascii="Verdana" w:eastAsia="Calibri" w:hAnsi="Verdana" w:cs="Arial"/>
          <w:lang w:val="es-ES_tradnl" w:eastAsia="es-ES_tradnl"/>
        </w:rPr>
      </w:pPr>
      <w:r w:rsidRPr="00F71F99">
        <w:rPr>
          <w:rFonts w:ascii="Verdana" w:eastAsia="Calibri" w:hAnsi="Verdana" w:cs="Arial"/>
        </w:rPr>
        <w:t xml:space="preserve">La Agencia Nacional de Contratación Pública – Colombia Compra Eficiente –en adelante la ANCP-CCE– </w:t>
      </w:r>
      <w:r w:rsidRPr="00F71F99">
        <w:rPr>
          <w:rFonts w:ascii="Verdana" w:eastAsia="Calibri" w:hAnsi="Verdana" w:cs="Arial"/>
          <w:lang w:val="es-ES_tradnl"/>
        </w:rPr>
        <w:t>ha impartido lineamientos sobre la aplicación de la Ley 996 de 2005, en los conceptos</w:t>
      </w:r>
      <w:r w:rsidRPr="00F71F99">
        <w:rPr>
          <w:rFonts w:ascii="Verdana" w:eastAsia="Arial" w:hAnsi="Verdana" w:cs="Arial"/>
          <w:lang w:val="es-MX" w:eastAsia="es-ES_tradnl"/>
        </w:rPr>
        <w:t xml:space="preserve"> </w:t>
      </w:r>
      <w:r w:rsidRPr="00F71F99">
        <w:rPr>
          <w:rFonts w:ascii="Verdana" w:eastAsia="Calibri" w:hAnsi="Verdana" w:cs="Arial"/>
          <w:bCs/>
          <w:lang w:val="es-MX"/>
        </w:rPr>
        <w:t xml:space="preserve">C-073 del 15 de marzo del 2023, C-027 del 22 de marzo del 2023, C-049 del 13 de abril de 2023, C-052 del 21 de abril del 2023, C-076 del 24 de abril del 2023,C-075 del 25 de abril del 2023, C-098 del 04 de mayo del 2023, C-107 del 08 de mayo del 2023, C-115 del 08 de mayo del 2023, C-116 del 8 de mayo de 2023, C-118 del 09 de mayo del 2023, C-145 del 18 de mayo del 2023, C-243 del 30 de mayo del 2023, C-149 del 01 de junio del 2023, C-105 del 14 de junio del 2023, C-099 del 20 de junio del 2023, C-154 del 02 de junio del 2023, C-182 del 29 de junio del 2023, C-193 del 13 de junio del 2023, C-200 del 27 de julio del 2023, C-233 del 25 de julio del 2023, C-241 del 22 de junio del 2023. </w:t>
      </w:r>
      <w:proofErr w:type="gramStart"/>
      <w:r w:rsidRPr="00F71F99">
        <w:rPr>
          <w:rFonts w:ascii="Verdana" w:eastAsia="Calibri" w:hAnsi="Verdana" w:cs="Arial"/>
          <w:bCs/>
          <w:lang w:val="es-MX"/>
        </w:rPr>
        <w:t>Igualmente</w:t>
      </w:r>
      <w:proofErr w:type="gramEnd"/>
      <w:r w:rsidRPr="00F71F99">
        <w:rPr>
          <w:rFonts w:ascii="Verdana" w:eastAsia="Calibri" w:hAnsi="Verdana" w:cs="Arial"/>
          <w:bCs/>
          <w:lang w:val="es-MX"/>
        </w:rPr>
        <w:t xml:space="preserve"> y </w:t>
      </w:r>
      <w:r w:rsidRPr="00F71F99">
        <w:rPr>
          <w:rFonts w:ascii="Verdana" w:eastAsia="Calibri" w:hAnsi="Verdana" w:cs="Arial"/>
          <w:color w:val="000000" w:themeColor="text1"/>
        </w:rPr>
        <w:t xml:space="preserve">frente a las actividades de ciencia, tecnología e innovación la Agencia se ha pronunciado, entre otros, en los </w:t>
      </w:r>
      <w:proofErr w:type="gramStart"/>
      <w:r w:rsidRPr="00F71F99">
        <w:rPr>
          <w:rFonts w:ascii="Verdana" w:eastAsia="Calibri" w:hAnsi="Verdana" w:cs="Arial"/>
          <w:color w:val="000000" w:themeColor="text1"/>
        </w:rPr>
        <w:t>conceptos  C</w:t>
      </w:r>
      <w:proofErr w:type="gramEnd"/>
      <w:r w:rsidRPr="00F71F99">
        <w:rPr>
          <w:rFonts w:ascii="Verdana" w:eastAsia="Calibri" w:hAnsi="Verdana" w:cs="Arial"/>
          <w:color w:val="000000" w:themeColor="text1"/>
        </w:rPr>
        <w:t>-084 del 11 de marzo de 2020, C-236 del 6 de abril de 2020, C-036 del 2 de marzo de 2021, C-346 del 30 de junio de 2021, C-453 de 1 de septiembre de 2021, C-529 de 27 de septiembre de 2021, C-574 de 13 de octubre de 2021, C-656 de 30 de noviembre de 2021, C-022 de 21 de febrero de 2022, C-131 del 28 de marzo del 2022</w:t>
      </w:r>
      <w:r w:rsidRPr="00F71F99">
        <w:rPr>
          <w:rFonts w:ascii="Verdana" w:eastAsia="Calibri" w:hAnsi="Verdana" w:cs="Arial"/>
          <w:lang w:val="es-MX" w:eastAsia="es-ES_tradnl"/>
        </w:rPr>
        <w:t xml:space="preserve"> y C-15 de 2023</w:t>
      </w:r>
      <w:r w:rsidRPr="00F71F99">
        <w:rPr>
          <w:rFonts w:ascii="Verdana" w:hAnsi="Verdana" w:cs="Arial"/>
          <w:shd w:val="clear" w:color="auto" w:fill="FFFFFF"/>
          <w:lang w:val="es-ES"/>
        </w:rPr>
        <w:t xml:space="preserve">. </w:t>
      </w:r>
      <w:r w:rsidRPr="00F71F99">
        <w:rPr>
          <w:rFonts w:ascii="Verdana" w:hAnsi="Verdana" w:cs="Arial"/>
          <w:shd w:val="clear" w:color="auto" w:fill="FFFFFF"/>
        </w:rPr>
        <w:t>Estos y otros conceptos se encuentran disponibles para consulta en el Sistema de Relatoría de la Agencia, en el cual también podrás encontrar jurisprudencia del Consejo</w:t>
      </w:r>
      <w:r w:rsidRPr="008306EF">
        <w:rPr>
          <w:rFonts w:ascii="Verdana" w:hAnsi="Verdana" w:cs="Arial"/>
          <w:shd w:val="clear" w:color="auto" w:fill="FFFFFF"/>
        </w:rPr>
        <w:t xml:space="preserve"> de Estado, laudos arbitrales y la normativa de la contratación concordada con la doctrina de la Subdirección de Gestión Contractual. </w:t>
      </w:r>
      <w:r w:rsidRPr="00F7748B">
        <w:rPr>
          <w:rFonts w:ascii="Verdana" w:hAnsi="Verdana" w:cs="Arial"/>
          <w:shd w:val="clear" w:color="auto" w:fill="FFFFFF"/>
        </w:rPr>
        <w:t>Accede a través del siguiente enlace: </w:t>
      </w:r>
      <w:hyperlink r:id="rId13" w:tgtFrame="_blank" w:tooltip="Dirección URL original: https://relatoria.colombiacompra.gov.co/. Haga clic o pulse si confía en este vínculo." w:history="1">
        <w:r w:rsidRPr="0023571E">
          <w:rPr>
            <w:rStyle w:val="Hipervnculo"/>
            <w:rFonts w:ascii="Verdana" w:hAnsi="Verdana" w:cs="Arial"/>
            <w:shd w:val="clear" w:color="auto" w:fill="FFFFFF"/>
          </w:rPr>
          <w:t>https://relatoria.colombiacompra.gov.co/</w:t>
        </w:r>
      </w:hyperlink>
      <w:r w:rsidRPr="0023571E">
        <w:rPr>
          <w:rFonts w:ascii="Verdana" w:hAnsi="Verdana" w:cs="Arial"/>
          <w:shd w:val="clear" w:color="auto" w:fill="FFFFFF"/>
        </w:rPr>
        <w:t>.</w:t>
      </w:r>
    </w:p>
    <w:p w14:paraId="223C8AA5" w14:textId="72851F80" w:rsidR="00455EFE" w:rsidRPr="008306EF" w:rsidRDefault="00455EFE" w:rsidP="00A30C69">
      <w:pPr>
        <w:widowControl w:val="0"/>
        <w:autoSpaceDE w:val="0"/>
        <w:autoSpaceDN w:val="0"/>
        <w:spacing w:after="0" w:line="276" w:lineRule="auto"/>
        <w:jc w:val="both"/>
        <w:rPr>
          <w:rFonts w:ascii="Verdana" w:hAnsi="Verdana"/>
        </w:rPr>
      </w:pPr>
      <w:r w:rsidRPr="008306EF">
        <w:rPr>
          <w:rFonts w:ascii="Verdana" w:hAnsi="Verdana"/>
        </w:rPr>
        <w:t xml:space="preserve"> </w:t>
      </w:r>
    </w:p>
    <w:p w14:paraId="079FAAB2" w14:textId="77777777" w:rsidR="00455EFE" w:rsidRPr="008306EF" w:rsidRDefault="00455EFE" w:rsidP="00455EFE">
      <w:pPr>
        <w:spacing w:after="0" w:line="276" w:lineRule="auto"/>
        <w:jc w:val="both"/>
        <w:rPr>
          <w:rFonts w:ascii="Verdana" w:hAnsi="Verdana"/>
        </w:rPr>
      </w:pPr>
      <w:r w:rsidRPr="008306EF">
        <w:rPr>
          <w:rFonts w:ascii="Verdana" w:hAnsi="Verdana"/>
        </w:rPr>
        <w:t xml:space="preserve">Por último, lo invitamos a seguirnos en las redes sociales en las cuales se difunde información institucional: </w:t>
      </w:r>
    </w:p>
    <w:p w14:paraId="13641E79" w14:textId="77777777" w:rsidR="00455EFE" w:rsidRPr="008306EF" w:rsidRDefault="00455EFE" w:rsidP="00455EFE">
      <w:pPr>
        <w:spacing w:after="0" w:line="276" w:lineRule="auto"/>
        <w:jc w:val="both"/>
        <w:rPr>
          <w:rFonts w:ascii="Verdana" w:hAnsi="Verdana"/>
        </w:rPr>
      </w:pPr>
    </w:p>
    <w:p w14:paraId="02F1B717" w14:textId="77777777" w:rsidR="00455EFE" w:rsidRPr="008306EF" w:rsidRDefault="00455EFE" w:rsidP="00455EFE">
      <w:pPr>
        <w:spacing w:after="0" w:line="276" w:lineRule="auto"/>
        <w:jc w:val="both"/>
        <w:rPr>
          <w:rFonts w:ascii="Verdana" w:hAnsi="Verdana"/>
        </w:rPr>
      </w:pPr>
      <w:r w:rsidRPr="008306EF">
        <w:rPr>
          <w:rFonts w:ascii="Verdana" w:hAnsi="Verdana"/>
        </w:rPr>
        <w:lastRenderedPageBreak/>
        <w:t xml:space="preserve">Twitter: </w:t>
      </w:r>
      <w:r w:rsidRPr="008306EF">
        <w:rPr>
          <w:rStyle w:val="Hipervnculo"/>
          <w:rFonts w:ascii="Verdana" w:hAnsi="Verdana"/>
          <w:color w:val="4472C4" w:themeColor="accent1"/>
        </w:rPr>
        <w:t>@colombiacompra</w:t>
      </w:r>
      <w:r w:rsidRPr="008306EF">
        <w:rPr>
          <w:rFonts w:ascii="Verdana" w:hAnsi="Verdana"/>
          <w:color w:val="4472C4" w:themeColor="accent1"/>
        </w:rPr>
        <w:t xml:space="preserve"> </w:t>
      </w:r>
    </w:p>
    <w:p w14:paraId="0E09AA80" w14:textId="77777777" w:rsidR="00455EFE" w:rsidRPr="008306EF" w:rsidRDefault="00455EFE" w:rsidP="00455EFE">
      <w:pPr>
        <w:spacing w:after="0" w:line="276" w:lineRule="auto"/>
        <w:jc w:val="both"/>
        <w:rPr>
          <w:rFonts w:ascii="Verdana" w:hAnsi="Verdana"/>
        </w:rPr>
      </w:pPr>
      <w:r w:rsidRPr="008306EF">
        <w:rPr>
          <w:rFonts w:ascii="Verdana" w:hAnsi="Verdana"/>
        </w:rPr>
        <w:t xml:space="preserve">Facebook: </w:t>
      </w:r>
      <w:proofErr w:type="spellStart"/>
      <w:r w:rsidRPr="008306EF">
        <w:rPr>
          <w:rStyle w:val="Hipervnculo"/>
          <w:rFonts w:ascii="Verdana" w:hAnsi="Verdana"/>
          <w:color w:val="4472C4" w:themeColor="accent1"/>
        </w:rPr>
        <w:t>ColombiaCompraEficiente</w:t>
      </w:r>
      <w:proofErr w:type="spellEnd"/>
    </w:p>
    <w:p w14:paraId="23DEAC5F" w14:textId="77777777" w:rsidR="00455EFE" w:rsidRPr="008306EF" w:rsidRDefault="00455EFE" w:rsidP="00455EFE">
      <w:pPr>
        <w:spacing w:after="0" w:line="276" w:lineRule="auto"/>
        <w:jc w:val="both"/>
        <w:rPr>
          <w:rStyle w:val="Hipervnculo"/>
          <w:rFonts w:ascii="Verdana" w:hAnsi="Verdana"/>
          <w:color w:val="4472C4" w:themeColor="accent1"/>
        </w:rPr>
      </w:pPr>
      <w:r w:rsidRPr="0031307F">
        <w:rPr>
          <w:rFonts w:ascii="Verdana" w:hAnsi="Verdana"/>
        </w:rPr>
        <w:t xml:space="preserve">LinkedIn: </w:t>
      </w:r>
      <w:r w:rsidRPr="008306EF">
        <w:rPr>
          <w:rStyle w:val="Hipervnculo"/>
          <w:rFonts w:ascii="Verdana" w:hAnsi="Verdana"/>
          <w:color w:val="4472C4" w:themeColor="accent1"/>
        </w:rPr>
        <w:t>Agencia Nacional de Contratación Pública - Colombia Compra Eficiente</w:t>
      </w:r>
      <w:r w:rsidRPr="008306EF">
        <w:rPr>
          <w:rFonts w:ascii="Verdana" w:hAnsi="Verdana"/>
          <w:color w:val="4472C4" w:themeColor="accent1"/>
        </w:rPr>
        <w:t xml:space="preserve"> </w:t>
      </w:r>
      <w:r w:rsidRPr="008306EF">
        <w:rPr>
          <w:rFonts w:ascii="Verdana" w:hAnsi="Verdana"/>
        </w:rPr>
        <w:t xml:space="preserve">Instagram: </w:t>
      </w:r>
      <w:r w:rsidRPr="008306EF">
        <w:rPr>
          <w:rStyle w:val="Hipervnculo"/>
          <w:rFonts w:ascii="Verdana" w:hAnsi="Verdana"/>
          <w:color w:val="4472C4" w:themeColor="accent1"/>
        </w:rPr>
        <w:t>@colombiacompraeficiente_cce</w:t>
      </w:r>
    </w:p>
    <w:p w14:paraId="30878803" w14:textId="77777777" w:rsidR="00455EFE" w:rsidRPr="008306EF" w:rsidRDefault="00455EFE" w:rsidP="00455EFE">
      <w:pPr>
        <w:spacing w:after="0" w:line="276" w:lineRule="auto"/>
        <w:jc w:val="both"/>
        <w:rPr>
          <w:rFonts w:ascii="Verdana" w:hAnsi="Verdana"/>
        </w:rPr>
      </w:pPr>
    </w:p>
    <w:p w14:paraId="5A79AA36" w14:textId="77777777" w:rsidR="00455EFE" w:rsidRPr="008306EF" w:rsidRDefault="00455EFE" w:rsidP="00455EFE">
      <w:pPr>
        <w:widowControl w:val="0"/>
        <w:autoSpaceDE w:val="0"/>
        <w:autoSpaceDN w:val="0"/>
        <w:spacing w:after="0" w:line="276" w:lineRule="auto"/>
        <w:jc w:val="both"/>
        <w:rPr>
          <w:rFonts w:ascii="Verdana" w:hAnsi="Verdana" w:cs="Arial"/>
          <w:lang w:val="es-ES_tradnl"/>
        </w:rPr>
      </w:pPr>
      <w:r w:rsidRPr="008306EF">
        <w:rPr>
          <w:rFonts w:ascii="Verdana" w:hAnsi="Verdana" w:cs="Arial"/>
        </w:rPr>
        <w:t xml:space="preserve">Este concepto tiene el alcance previsto en el artículo 28 del Código de Procedimiento Administrativo y de lo Contencioso Administrativo </w:t>
      </w:r>
      <w:r w:rsidRPr="008306EF">
        <w:rPr>
          <w:rFonts w:ascii="Verdana" w:hAnsi="Verdana" w:cs="Arial"/>
          <w:lang w:val="es-ES_tradnl"/>
        </w:rPr>
        <w:t>y las expresiones aquí utilizadas con mayúscula inicial deben ser entendidas con el significado que les otorga el artículo 2.2.1.1.1.3.1. del Decreto 1082 de 2015.</w:t>
      </w:r>
    </w:p>
    <w:p w14:paraId="0883D2A1" w14:textId="77777777" w:rsidR="00455EFE" w:rsidRPr="008306EF" w:rsidRDefault="00455EFE" w:rsidP="00455EFE">
      <w:pPr>
        <w:widowControl w:val="0"/>
        <w:autoSpaceDE w:val="0"/>
        <w:autoSpaceDN w:val="0"/>
        <w:spacing w:after="0" w:line="276" w:lineRule="auto"/>
        <w:jc w:val="both"/>
        <w:rPr>
          <w:rFonts w:ascii="Verdana" w:hAnsi="Verdana" w:cs="Arial"/>
          <w:lang w:val="es-ES_tradnl"/>
        </w:rPr>
      </w:pPr>
    </w:p>
    <w:p w14:paraId="44342B60" w14:textId="77777777" w:rsidR="00455EFE" w:rsidRPr="008306EF" w:rsidRDefault="00455EFE" w:rsidP="00455EFE">
      <w:pPr>
        <w:spacing w:after="0" w:line="276" w:lineRule="auto"/>
        <w:rPr>
          <w:rFonts w:ascii="Verdana" w:hAnsi="Verdana" w:cs="Arial"/>
          <w:lang w:eastAsia="es-CO"/>
        </w:rPr>
      </w:pPr>
      <w:r w:rsidRPr="008306EF">
        <w:rPr>
          <w:rFonts w:ascii="Verdana" w:eastAsia="Times New Roman" w:hAnsi="Verdana" w:cs="Arial"/>
          <w:lang w:eastAsia="es-CO"/>
        </w:rPr>
        <w:t>Atentamente,</w:t>
      </w:r>
      <w:r w:rsidRPr="008306EF">
        <w:rPr>
          <w:rFonts w:ascii="Verdana" w:hAnsi="Verdana" w:cs="Arial"/>
          <w:lang w:eastAsia="es-CO"/>
        </w:rPr>
        <w:t xml:space="preserve"> </w:t>
      </w:r>
    </w:p>
    <w:p w14:paraId="2070E741" w14:textId="77777777" w:rsidR="00455EFE" w:rsidRPr="008306EF" w:rsidRDefault="00455EFE" w:rsidP="00455EFE">
      <w:pPr>
        <w:spacing w:after="0" w:line="240" w:lineRule="auto"/>
        <w:jc w:val="center"/>
        <w:rPr>
          <w:rFonts w:ascii="Verdana" w:hAnsi="Verdana"/>
          <w:noProof/>
        </w:rPr>
      </w:pPr>
    </w:p>
    <w:p w14:paraId="2664793D" w14:textId="77777777" w:rsidR="00455EFE" w:rsidRPr="008306EF" w:rsidRDefault="00455EFE" w:rsidP="00455EFE">
      <w:pPr>
        <w:spacing w:after="0" w:line="240" w:lineRule="auto"/>
        <w:jc w:val="center"/>
        <w:rPr>
          <w:rFonts w:ascii="Verdana" w:hAnsi="Verdana"/>
          <w:noProof/>
          <w:lang w:eastAsia="es-CO"/>
        </w:rPr>
      </w:pPr>
    </w:p>
    <w:p w14:paraId="778BDDB7" w14:textId="7F3636D5" w:rsidR="00455EFE" w:rsidRPr="008306EF" w:rsidRDefault="00C5621F" w:rsidP="00455EFE">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5DE28FA6" wp14:editId="57ADC05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5EFE" w:rsidRPr="008306EF" w14:paraId="6A7898D5" w14:textId="77777777" w:rsidTr="00AF31DE">
        <w:trPr>
          <w:trHeight w:val="315"/>
        </w:trPr>
        <w:tc>
          <w:tcPr>
            <w:tcW w:w="893" w:type="dxa"/>
            <w:vAlign w:val="center"/>
            <w:hideMark/>
          </w:tcPr>
          <w:p w14:paraId="4BC5BD66" w14:textId="77777777" w:rsidR="00455EFE" w:rsidRPr="008306EF" w:rsidRDefault="00455EFE" w:rsidP="00AF31DE">
            <w:pPr>
              <w:rPr>
                <w:rFonts w:ascii="Verdana" w:eastAsia="Calibri" w:hAnsi="Verdana" w:cs="Arial"/>
                <w:sz w:val="16"/>
                <w:szCs w:val="16"/>
                <w:lang w:val="es-ES" w:eastAsia="es-ES"/>
              </w:rPr>
            </w:pPr>
            <w:r w:rsidRPr="008306EF">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7BFFDF12" w14:textId="77777777" w:rsidR="00455EFE" w:rsidRPr="008306EF" w:rsidRDefault="00455EFE" w:rsidP="00AF31DE">
            <w:pPr>
              <w:rPr>
                <w:rFonts w:ascii="Verdana" w:eastAsia="Arial" w:hAnsi="Verdana" w:cs="Arial"/>
                <w:sz w:val="16"/>
                <w:szCs w:val="16"/>
              </w:rPr>
            </w:pPr>
            <w:r>
              <w:rPr>
                <w:rFonts w:ascii="Verdana" w:eastAsia="Arial" w:hAnsi="Verdana" w:cs="Arial"/>
                <w:sz w:val="16"/>
                <w:szCs w:val="16"/>
              </w:rPr>
              <w:t xml:space="preserve">Diana </w:t>
            </w:r>
            <w:r w:rsidRPr="008306EF">
              <w:rPr>
                <w:rFonts w:ascii="Verdana" w:eastAsia="Arial" w:hAnsi="Verdana" w:cs="Arial"/>
                <w:sz w:val="16"/>
                <w:szCs w:val="16"/>
              </w:rPr>
              <w:t xml:space="preserve">Carolina Blanco </w:t>
            </w:r>
            <w:proofErr w:type="spellStart"/>
            <w:r w:rsidRPr="008306EF">
              <w:rPr>
                <w:rFonts w:ascii="Verdana" w:eastAsia="Arial" w:hAnsi="Verdana" w:cs="Arial"/>
                <w:sz w:val="16"/>
                <w:szCs w:val="16"/>
              </w:rPr>
              <w:t>Rodriguez</w:t>
            </w:r>
            <w:proofErr w:type="spellEnd"/>
            <w:r w:rsidRPr="008306EF">
              <w:rPr>
                <w:rFonts w:ascii="Verdana" w:eastAsia="Arial" w:hAnsi="Verdana" w:cs="Arial"/>
                <w:sz w:val="16"/>
                <w:szCs w:val="16"/>
              </w:rPr>
              <w:t xml:space="preserve"> </w:t>
            </w:r>
          </w:p>
          <w:p w14:paraId="221DC0C2" w14:textId="77777777" w:rsidR="00455EFE" w:rsidRPr="008306EF" w:rsidRDefault="00455EFE" w:rsidP="00AF31DE">
            <w:pPr>
              <w:rPr>
                <w:rFonts w:ascii="Verdana" w:eastAsia="Arial" w:hAnsi="Verdana" w:cs="Arial"/>
                <w:sz w:val="16"/>
                <w:szCs w:val="16"/>
              </w:rPr>
            </w:pPr>
            <w:r w:rsidRPr="008306EF">
              <w:rPr>
                <w:rFonts w:ascii="Verdana" w:eastAsia="Arial" w:hAnsi="Verdana" w:cs="Arial"/>
                <w:sz w:val="16"/>
                <w:szCs w:val="16"/>
              </w:rPr>
              <w:t>Contratista de la Subdirección de Gestión Contractual</w:t>
            </w:r>
          </w:p>
        </w:tc>
      </w:tr>
      <w:tr w:rsidR="00455EFE" w:rsidRPr="008306EF" w14:paraId="2972D7E4" w14:textId="77777777" w:rsidTr="00AF31DE">
        <w:trPr>
          <w:trHeight w:val="330"/>
        </w:trPr>
        <w:tc>
          <w:tcPr>
            <w:tcW w:w="893" w:type="dxa"/>
            <w:vAlign w:val="center"/>
            <w:hideMark/>
          </w:tcPr>
          <w:p w14:paraId="2F8C12B9" w14:textId="77777777" w:rsidR="00455EFE" w:rsidRPr="008306EF" w:rsidRDefault="00455EFE" w:rsidP="00AF31DE">
            <w:pPr>
              <w:rPr>
                <w:rFonts w:ascii="Verdana" w:eastAsia="Calibri" w:hAnsi="Verdana" w:cs="Arial"/>
                <w:sz w:val="16"/>
                <w:szCs w:val="16"/>
                <w:lang w:val="es-ES" w:eastAsia="es-ES"/>
              </w:rPr>
            </w:pPr>
            <w:r w:rsidRPr="008306EF">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BB719E7" w14:textId="77777777" w:rsidR="00455EFE" w:rsidRPr="008306EF" w:rsidRDefault="00455EFE" w:rsidP="00AF31DE">
            <w:pPr>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Diana Saavedra Castañeda</w:t>
            </w:r>
          </w:p>
          <w:p w14:paraId="2A696C77" w14:textId="77777777" w:rsidR="00455EFE" w:rsidRPr="008306EF" w:rsidRDefault="00455EFE" w:rsidP="00AF31DE">
            <w:pPr>
              <w:textAlignment w:val="baseline"/>
              <w:rPr>
                <w:rFonts w:ascii="Verdana" w:eastAsia="Times New Roman" w:hAnsi="Verdana" w:cs="Segoe UI"/>
                <w:sz w:val="16"/>
                <w:szCs w:val="16"/>
                <w:lang w:eastAsia="es-ES_tradnl"/>
              </w:rPr>
            </w:pPr>
            <w:r w:rsidRPr="008306EF">
              <w:rPr>
                <w:rFonts w:ascii="Verdana" w:eastAsia="Times New Roman" w:hAnsi="Verdana" w:cs="Arial"/>
                <w:sz w:val="16"/>
                <w:szCs w:val="16"/>
                <w:lang w:val="es-ES" w:eastAsia="es-ES_tradnl"/>
              </w:rPr>
              <w:t>Contratista de la Subdirección de Gestión Contractual</w:t>
            </w:r>
            <w:r w:rsidRPr="008306EF">
              <w:rPr>
                <w:rFonts w:ascii="Verdana" w:eastAsia="Times New Roman" w:hAnsi="Verdana" w:cs="Arial"/>
                <w:sz w:val="16"/>
                <w:szCs w:val="16"/>
                <w:lang w:eastAsia="es-ES_tradnl"/>
              </w:rPr>
              <w:t> </w:t>
            </w:r>
          </w:p>
        </w:tc>
      </w:tr>
      <w:tr w:rsidR="00455EFE" w:rsidRPr="008306EF" w14:paraId="2E2317EF" w14:textId="77777777" w:rsidTr="00AF31DE">
        <w:trPr>
          <w:trHeight w:val="300"/>
        </w:trPr>
        <w:tc>
          <w:tcPr>
            <w:tcW w:w="893" w:type="dxa"/>
            <w:vAlign w:val="center"/>
          </w:tcPr>
          <w:p w14:paraId="35D10452" w14:textId="77777777" w:rsidR="00455EFE" w:rsidRPr="008306EF" w:rsidRDefault="00455EFE" w:rsidP="00AF31DE">
            <w:pPr>
              <w:rPr>
                <w:rFonts w:ascii="Verdana" w:eastAsia="Calibri" w:hAnsi="Verdana" w:cs="Arial"/>
                <w:sz w:val="16"/>
                <w:szCs w:val="16"/>
                <w:lang w:val="es-ES" w:eastAsia="es-ES"/>
              </w:rPr>
            </w:pPr>
            <w:r w:rsidRPr="008306EF">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E9F8400" w14:textId="77777777" w:rsidR="00455EFE" w:rsidRPr="008306EF" w:rsidRDefault="00455EFE" w:rsidP="00AF31DE">
            <w:pPr>
              <w:rPr>
                <w:rFonts w:ascii="Verdana" w:eastAsia="Calibri" w:hAnsi="Verdana" w:cs="Arial"/>
                <w:sz w:val="16"/>
                <w:szCs w:val="16"/>
                <w:lang w:val="pt-BR" w:eastAsia="es-ES"/>
              </w:rPr>
            </w:pPr>
            <w:r w:rsidRPr="008306EF">
              <w:rPr>
                <w:rFonts w:ascii="Verdana" w:eastAsia="Calibri" w:hAnsi="Verdana" w:cs="Arial"/>
                <w:sz w:val="16"/>
                <w:szCs w:val="16"/>
                <w:lang w:val="pt-BR" w:eastAsia="es-ES"/>
              </w:rPr>
              <w:t xml:space="preserve">Carolina Quintero </w:t>
            </w:r>
            <w:proofErr w:type="spellStart"/>
            <w:r w:rsidRPr="008306EF">
              <w:rPr>
                <w:rFonts w:ascii="Verdana" w:eastAsia="Calibri" w:hAnsi="Verdana" w:cs="Arial"/>
                <w:sz w:val="16"/>
                <w:szCs w:val="16"/>
                <w:lang w:val="pt-BR" w:eastAsia="es-ES"/>
              </w:rPr>
              <w:t>Gacharná</w:t>
            </w:r>
            <w:proofErr w:type="spellEnd"/>
          </w:p>
          <w:p w14:paraId="3897AF0B" w14:textId="77777777" w:rsidR="00455EFE" w:rsidRPr="008306EF" w:rsidRDefault="00455EFE" w:rsidP="00AF31DE">
            <w:pPr>
              <w:rPr>
                <w:rFonts w:ascii="Verdana" w:eastAsia="Calibri" w:hAnsi="Verdana" w:cs="Arial"/>
                <w:sz w:val="16"/>
                <w:szCs w:val="16"/>
                <w:lang w:val="pt-BR" w:eastAsia="es-ES"/>
              </w:rPr>
            </w:pPr>
            <w:r w:rsidRPr="008306EF">
              <w:rPr>
                <w:rFonts w:ascii="Verdana" w:eastAsia="Calibri" w:hAnsi="Verdana" w:cs="Arial"/>
                <w:sz w:val="16"/>
                <w:szCs w:val="16"/>
                <w:lang w:eastAsia="es-ES"/>
              </w:rPr>
              <w:t>Subdirectora</w:t>
            </w:r>
            <w:r w:rsidRPr="008306EF">
              <w:rPr>
                <w:rFonts w:ascii="Verdana" w:eastAsia="Calibri" w:hAnsi="Verdana" w:cs="Arial"/>
                <w:sz w:val="16"/>
                <w:szCs w:val="16"/>
                <w:lang w:val="pt-BR" w:eastAsia="es-ES"/>
              </w:rPr>
              <w:t xml:space="preserve"> de Gestión Contratual ANCP – CCE</w:t>
            </w:r>
          </w:p>
        </w:tc>
      </w:tr>
    </w:tbl>
    <w:p w14:paraId="6CEC4B3B" w14:textId="77777777" w:rsidR="00043EF5" w:rsidRDefault="00043EF5" w:rsidP="00043EF5">
      <w:pPr>
        <w:spacing w:after="0"/>
        <w:rPr>
          <w:rFonts w:ascii="Verdana" w:hAnsi="Verdana"/>
        </w:rPr>
      </w:pPr>
    </w:p>
    <w:p w14:paraId="6CC8999B" w14:textId="77777777" w:rsidR="00043EF5" w:rsidRPr="00043EF5" w:rsidRDefault="00043EF5" w:rsidP="00043EF5">
      <w:pPr>
        <w:spacing w:after="0"/>
        <w:rPr>
          <w:rFonts w:ascii="Verdana" w:hAnsi="Verdana"/>
        </w:rPr>
      </w:pPr>
    </w:p>
    <w:sectPr w:rsidR="00043EF5" w:rsidRPr="00043EF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F30A1" w14:textId="77777777" w:rsidR="000736BB" w:rsidRDefault="000736BB" w:rsidP="004A1847">
      <w:pPr>
        <w:spacing w:after="0" w:line="240" w:lineRule="auto"/>
      </w:pPr>
      <w:r>
        <w:separator/>
      </w:r>
    </w:p>
  </w:endnote>
  <w:endnote w:type="continuationSeparator" w:id="0">
    <w:p w14:paraId="7D6BFDD7" w14:textId="77777777" w:rsidR="000736BB" w:rsidRDefault="000736B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EC586" w14:textId="77777777" w:rsidR="000736BB" w:rsidRDefault="000736BB" w:rsidP="004A1847">
      <w:pPr>
        <w:spacing w:after="0" w:line="240" w:lineRule="auto"/>
      </w:pPr>
      <w:r>
        <w:separator/>
      </w:r>
    </w:p>
  </w:footnote>
  <w:footnote w:type="continuationSeparator" w:id="0">
    <w:p w14:paraId="01126EF2" w14:textId="77777777" w:rsidR="000736BB" w:rsidRDefault="000736BB" w:rsidP="004A1847">
      <w:pPr>
        <w:spacing w:after="0" w:line="240" w:lineRule="auto"/>
      </w:pPr>
      <w:r>
        <w:continuationSeparator/>
      </w:r>
    </w:p>
  </w:footnote>
  <w:footnote w:id="1">
    <w:p w14:paraId="123B1792" w14:textId="77777777" w:rsidR="00455EFE" w:rsidRPr="008D5D37" w:rsidRDefault="00455EFE" w:rsidP="00455EFE">
      <w:pPr>
        <w:pStyle w:val="Textonotapie"/>
        <w:ind w:firstLine="709"/>
        <w:jc w:val="both"/>
        <w:rPr>
          <w:rFonts w:ascii="Arial" w:hAnsi="Arial" w:cs="Arial"/>
          <w:color w:val="000000" w:themeColor="text1"/>
          <w:sz w:val="14"/>
          <w:szCs w:val="14"/>
        </w:rPr>
      </w:pPr>
      <w:r w:rsidRPr="008D5D37">
        <w:rPr>
          <w:rStyle w:val="Refdenotaalpie"/>
          <w:rFonts w:ascii="Arial" w:hAnsi="Arial" w:cs="Arial"/>
          <w:sz w:val="14"/>
          <w:szCs w:val="14"/>
        </w:rPr>
        <w:footnoteRef/>
      </w:r>
      <w:r w:rsidRPr="008D5D37">
        <w:rPr>
          <w:rFonts w:ascii="Arial" w:hAnsi="Arial" w:cs="Arial"/>
          <w:color w:val="000000" w:themeColor="text1"/>
          <w:sz w:val="14"/>
          <w:szCs w:val="14"/>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0003FE81" w14:textId="77777777" w:rsidR="00455EFE" w:rsidRPr="008D5D37" w:rsidRDefault="00455EFE" w:rsidP="00455EFE">
      <w:pPr>
        <w:pStyle w:val="Textonotapie"/>
        <w:ind w:firstLine="709"/>
        <w:jc w:val="both"/>
        <w:rPr>
          <w:rFonts w:ascii="Arial" w:hAnsi="Arial" w:cs="Arial"/>
          <w:color w:val="000000" w:themeColor="text1"/>
          <w:sz w:val="14"/>
          <w:szCs w:val="14"/>
        </w:rPr>
      </w:pPr>
      <w:r w:rsidRPr="008D5D37">
        <w:rPr>
          <w:rFonts w:ascii="Arial" w:hAnsi="Arial" w:cs="Arial"/>
          <w:color w:val="000000" w:themeColor="text1"/>
          <w:sz w:val="14"/>
          <w:szCs w:val="14"/>
        </w:rPr>
        <w:t>“El Documento CONPES 4069 de 2021, donde se define cuáles son estas actividades de los actores del Sistema Nacional de Ciencia, Tecnología e Innovación.</w:t>
      </w:r>
    </w:p>
    <w:p w14:paraId="2F3EC9A6" w14:textId="167866FC" w:rsidR="00455EFE" w:rsidRPr="008D5D37" w:rsidRDefault="00455EFE" w:rsidP="00455EFE">
      <w:pPr>
        <w:pStyle w:val="Textonotapie"/>
        <w:ind w:firstLine="709"/>
        <w:jc w:val="both"/>
        <w:rPr>
          <w:rFonts w:ascii="Arial" w:hAnsi="Arial" w:cs="Arial"/>
          <w:color w:val="000000" w:themeColor="text1"/>
          <w:sz w:val="14"/>
          <w:szCs w:val="14"/>
        </w:rPr>
      </w:pPr>
      <w:r w:rsidRPr="008D5D37">
        <w:rPr>
          <w:rFonts w:ascii="Arial" w:hAnsi="Arial" w:cs="Arial"/>
          <w:color w:val="000000" w:themeColor="text1"/>
          <w:sz w:val="14"/>
          <w:szCs w:val="14"/>
        </w:rPr>
        <w:t>“En caso de que las Entidades Estatales no tengan certeza sobre la catalogación de las actividades científicas, tecnológicas y de innovación, deben acudir al Ministerio de Ciencia, Tecnología e Innovación, autoridad competente en la materia.”</w:t>
      </w:r>
    </w:p>
  </w:footnote>
  <w:footnote w:id="2">
    <w:p w14:paraId="16CABF8F" w14:textId="77777777" w:rsidR="00455EFE" w:rsidRPr="008D5D37" w:rsidRDefault="00455EFE" w:rsidP="00455EFE">
      <w:pPr>
        <w:pStyle w:val="Textonotapie"/>
        <w:ind w:firstLine="709"/>
        <w:contextualSpacing/>
        <w:jc w:val="both"/>
        <w:rPr>
          <w:rFonts w:ascii="Arial" w:hAnsi="Arial" w:cs="Arial"/>
          <w:sz w:val="14"/>
          <w:szCs w:val="14"/>
        </w:rPr>
      </w:pPr>
      <w:r w:rsidRPr="008D5D37">
        <w:rPr>
          <w:rStyle w:val="Refdenotaalpie"/>
          <w:rFonts w:ascii="Arial" w:hAnsi="Arial" w:cs="Arial"/>
          <w:sz w:val="14"/>
          <w:szCs w:val="14"/>
        </w:rPr>
        <w:footnoteRef/>
      </w:r>
      <w:r w:rsidRPr="008D5D37">
        <w:rPr>
          <w:rFonts w:ascii="Arial" w:hAnsi="Arial"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B238F66" w14:textId="77777777" w:rsidR="00455EFE" w:rsidRPr="008D5D37" w:rsidRDefault="00455EFE" w:rsidP="00455EFE">
      <w:pPr>
        <w:pStyle w:val="Textonotapie"/>
        <w:ind w:firstLine="709"/>
        <w:contextualSpacing/>
        <w:jc w:val="both"/>
        <w:rPr>
          <w:rFonts w:ascii="Arial" w:hAnsi="Arial" w:cs="Arial"/>
          <w:sz w:val="14"/>
          <w:szCs w:val="14"/>
        </w:rPr>
      </w:pPr>
      <w:r w:rsidRPr="008D5D37">
        <w:rPr>
          <w:rFonts w:ascii="Arial" w:hAnsi="Arial"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1E413853" w14:textId="77777777" w:rsidR="00455EFE" w:rsidRPr="008D5D37" w:rsidRDefault="00455EFE" w:rsidP="00455EFE">
      <w:pPr>
        <w:pStyle w:val="Textonotapie"/>
        <w:ind w:firstLine="709"/>
        <w:contextualSpacing/>
        <w:jc w:val="both"/>
        <w:rPr>
          <w:rFonts w:ascii="Arial" w:hAnsi="Arial" w:cs="Arial"/>
          <w:sz w:val="14"/>
          <w:szCs w:val="14"/>
        </w:rPr>
      </w:pPr>
      <w:r w:rsidRPr="008D5D37">
        <w:rPr>
          <w:rStyle w:val="Refdenotaalpie"/>
          <w:rFonts w:ascii="Arial" w:hAnsi="Arial" w:cs="Arial"/>
          <w:sz w:val="14"/>
          <w:szCs w:val="14"/>
        </w:rPr>
        <w:footnoteRef/>
      </w:r>
      <w:r w:rsidRPr="008D5D37">
        <w:rPr>
          <w:rFonts w:ascii="Arial" w:hAnsi="Arial" w:cs="Arial"/>
          <w:sz w:val="14"/>
          <w:szCs w:val="14"/>
        </w:rPr>
        <w:t xml:space="preserve"> Gaceta del Congreso de la República No. 71 del 2005.</w:t>
      </w:r>
    </w:p>
  </w:footnote>
  <w:footnote w:id="4">
    <w:p w14:paraId="471A988D" w14:textId="77777777" w:rsidR="00455EFE" w:rsidRPr="008D5D37" w:rsidRDefault="00455EFE" w:rsidP="00455EFE">
      <w:pPr>
        <w:pStyle w:val="Textonotapie"/>
        <w:ind w:firstLine="709"/>
        <w:contextualSpacing/>
        <w:jc w:val="both"/>
        <w:rPr>
          <w:rFonts w:ascii="Arial" w:hAnsi="Arial" w:cs="Arial"/>
          <w:sz w:val="14"/>
          <w:szCs w:val="14"/>
        </w:rPr>
      </w:pPr>
      <w:r w:rsidRPr="008D5D37">
        <w:rPr>
          <w:rStyle w:val="Refdenotaalpie"/>
          <w:rFonts w:ascii="Arial" w:hAnsi="Arial" w:cs="Arial"/>
          <w:sz w:val="14"/>
          <w:szCs w:val="14"/>
        </w:rPr>
        <w:footnoteRef/>
      </w:r>
      <w:r w:rsidRPr="008D5D37">
        <w:rPr>
          <w:rFonts w:ascii="Arial" w:hAnsi="Arial" w:cs="Arial"/>
          <w:sz w:val="14"/>
          <w:szCs w:val="14"/>
        </w:rPr>
        <w:t xml:space="preserve"> Corte Constitucional, Sentencia C- 1153 de 2005, M.P. Marco Gerardo Monroy Cabra.</w:t>
      </w:r>
    </w:p>
  </w:footnote>
  <w:footnote w:id="5">
    <w:p w14:paraId="625B2F3D" w14:textId="77777777" w:rsidR="00455EFE" w:rsidRPr="008D5D37" w:rsidRDefault="00455EFE" w:rsidP="00455EFE">
      <w:pPr>
        <w:pStyle w:val="Textonotapie"/>
        <w:ind w:firstLine="709"/>
        <w:contextualSpacing/>
        <w:jc w:val="both"/>
        <w:rPr>
          <w:rFonts w:ascii="Arial" w:hAnsi="Arial" w:cs="Arial"/>
          <w:sz w:val="14"/>
          <w:szCs w:val="14"/>
        </w:rPr>
      </w:pPr>
      <w:r w:rsidRPr="008D5D37">
        <w:rPr>
          <w:rStyle w:val="Refdenotaalpie"/>
          <w:rFonts w:ascii="Arial" w:hAnsi="Arial" w:cs="Arial"/>
          <w:sz w:val="14"/>
          <w:szCs w:val="14"/>
        </w:rPr>
        <w:footnoteRef/>
      </w:r>
      <w:r w:rsidRPr="008D5D37">
        <w:rPr>
          <w:rFonts w:ascii="Arial" w:hAnsi="Arial" w:cs="Arial"/>
          <w:sz w:val="14"/>
          <w:szCs w:val="14"/>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F302514" w14:textId="77777777" w:rsidR="00455EFE" w:rsidRPr="008D5D37" w:rsidRDefault="00455EFE" w:rsidP="00455EFE">
      <w:pPr>
        <w:pStyle w:val="Textonotapie"/>
        <w:ind w:firstLine="709"/>
        <w:contextualSpacing/>
        <w:jc w:val="both"/>
        <w:rPr>
          <w:rFonts w:ascii="Arial" w:hAnsi="Arial" w:cs="Arial"/>
          <w:sz w:val="14"/>
          <w:szCs w:val="14"/>
          <w:lang w:val="es-CO"/>
        </w:rPr>
      </w:pPr>
      <w:r w:rsidRPr="008D5D37">
        <w:rPr>
          <w:rStyle w:val="Refdenotaalpie"/>
          <w:rFonts w:ascii="Arial" w:hAnsi="Arial" w:cs="Arial"/>
          <w:sz w:val="14"/>
          <w:szCs w:val="14"/>
        </w:rPr>
        <w:footnoteRef/>
      </w:r>
      <w:r w:rsidRPr="008D5D37">
        <w:rPr>
          <w:rFonts w:ascii="Arial" w:hAnsi="Arial"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50B5C03" w14:textId="77777777" w:rsidR="00455EFE" w:rsidRPr="008D5D37" w:rsidRDefault="00455EFE" w:rsidP="00455EFE">
      <w:pPr>
        <w:pStyle w:val="Textonotapie"/>
        <w:ind w:firstLine="709"/>
        <w:contextualSpacing/>
        <w:jc w:val="both"/>
        <w:rPr>
          <w:rFonts w:ascii="Arial" w:hAnsi="Arial" w:cs="Arial"/>
          <w:sz w:val="14"/>
          <w:szCs w:val="14"/>
        </w:rPr>
      </w:pPr>
      <w:r w:rsidRPr="008D5D37">
        <w:rPr>
          <w:rStyle w:val="Refdenotaalpie"/>
          <w:rFonts w:ascii="Arial" w:hAnsi="Arial" w:cs="Arial"/>
          <w:sz w:val="14"/>
          <w:szCs w:val="14"/>
        </w:rPr>
        <w:footnoteRef/>
      </w:r>
      <w:r w:rsidRPr="008D5D37">
        <w:rPr>
          <w:rFonts w:ascii="Arial" w:hAnsi="Arial" w:cs="Arial"/>
          <w:sz w:val="14"/>
          <w:szCs w:val="14"/>
        </w:rPr>
        <w:t xml:space="preserve"> Consejo de Estado, Sala de Consulta y Servicio Civil de fecha 24 de julio de 2013, radicado 2166, Consejero Ponente: Álvaro Namén Vargas.  </w:t>
      </w:r>
    </w:p>
  </w:footnote>
  <w:footnote w:id="8">
    <w:p w14:paraId="2FD5C093" w14:textId="77777777" w:rsidR="00455EFE" w:rsidRPr="008D5D37" w:rsidRDefault="00455EFE" w:rsidP="00455EFE">
      <w:pPr>
        <w:spacing w:after="0" w:line="240" w:lineRule="auto"/>
        <w:ind w:firstLine="709"/>
        <w:contextualSpacing/>
        <w:jc w:val="both"/>
        <w:rPr>
          <w:rFonts w:ascii="Arial" w:eastAsia="Times New Roman" w:hAnsi="Arial" w:cs="Arial"/>
          <w:sz w:val="14"/>
          <w:szCs w:val="14"/>
        </w:rPr>
      </w:pPr>
      <w:r w:rsidRPr="008D5D37">
        <w:rPr>
          <w:rStyle w:val="Refdenotaalpie"/>
          <w:rFonts w:ascii="Arial" w:hAnsi="Arial" w:cs="Arial"/>
          <w:sz w:val="14"/>
          <w:szCs w:val="14"/>
        </w:rPr>
        <w:footnoteRef/>
      </w:r>
      <w:r w:rsidRPr="008D5D37">
        <w:rPr>
          <w:rFonts w:ascii="Arial" w:hAnsi="Arial" w:cs="Arial"/>
          <w:sz w:val="14"/>
          <w:szCs w:val="14"/>
        </w:rPr>
        <w:t xml:space="preserve"> </w:t>
      </w:r>
      <w:bookmarkStart w:id="7" w:name="33"/>
      <w:r w:rsidRPr="008D5D37">
        <w:rPr>
          <w:rFonts w:ascii="Arial" w:eastAsia="Calibri" w:hAnsi="Arial" w:cs="Arial"/>
          <w:bCs/>
          <w:sz w:val="14"/>
          <w:szCs w:val="14"/>
        </w:rPr>
        <w:t>“</w:t>
      </w:r>
      <w:r w:rsidRPr="008D5D37">
        <w:rPr>
          <w:rFonts w:ascii="Arial" w:eastAsia="Times New Roman" w:hAnsi="Arial" w:cs="Arial"/>
          <w:sz w:val="14"/>
          <w:szCs w:val="14"/>
        </w:rPr>
        <w:t>Artículo 33. Restricciones a la contratación pública.</w:t>
      </w:r>
      <w:bookmarkEnd w:id="7"/>
      <w:r w:rsidRPr="008D5D37">
        <w:rPr>
          <w:rFonts w:ascii="Arial" w:eastAsia="Times New Roman" w:hAnsi="Arial"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364986F1" w14:textId="77777777" w:rsidR="00455EFE" w:rsidRPr="008D5D37" w:rsidRDefault="00455EFE" w:rsidP="00455EFE">
      <w:pPr>
        <w:spacing w:after="0" w:line="240" w:lineRule="auto"/>
        <w:ind w:firstLine="709"/>
        <w:contextualSpacing/>
        <w:jc w:val="both"/>
        <w:rPr>
          <w:rFonts w:ascii="Arial" w:eastAsia="Times New Roman" w:hAnsi="Arial" w:cs="Arial"/>
          <w:sz w:val="14"/>
          <w:szCs w:val="14"/>
        </w:rPr>
      </w:pPr>
      <w:r w:rsidRPr="008D5D37">
        <w:rPr>
          <w:rFonts w:ascii="Arial" w:eastAsia="Times New Roman" w:hAnsi="Arial"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D5D37">
        <w:rPr>
          <w:rFonts w:ascii="Arial" w:eastAsia="Calibri" w:hAnsi="Arial" w:cs="Arial"/>
          <w:bCs/>
          <w:sz w:val="14"/>
          <w:szCs w:val="14"/>
        </w:rPr>
        <w:t>”</w:t>
      </w:r>
      <w:r w:rsidRPr="008D5D37">
        <w:rPr>
          <w:rFonts w:ascii="Arial" w:eastAsia="Times New Roman" w:hAnsi="Arial" w:cs="Arial"/>
          <w:sz w:val="14"/>
          <w:szCs w:val="14"/>
        </w:rPr>
        <w:t>.</w:t>
      </w:r>
    </w:p>
  </w:footnote>
  <w:footnote w:id="9">
    <w:p w14:paraId="3DCAA697" w14:textId="77777777" w:rsidR="00455EFE" w:rsidRPr="008D5D37" w:rsidRDefault="00455EFE" w:rsidP="00455EFE">
      <w:pPr>
        <w:pStyle w:val="NormalWeb"/>
        <w:spacing w:before="0" w:beforeAutospacing="0" w:after="0" w:afterAutospacing="0"/>
        <w:ind w:firstLine="709"/>
        <w:contextualSpacing/>
        <w:jc w:val="both"/>
        <w:rPr>
          <w:rFonts w:ascii="Arial" w:hAnsi="Arial" w:cs="Arial"/>
          <w:sz w:val="14"/>
          <w:szCs w:val="14"/>
          <w:lang w:val="es-MX"/>
        </w:rPr>
      </w:pPr>
      <w:r w:rsidRPr="008D5D37">
        <w:rPr>
          <w:rStyle w:val="Refdenotaalpie"/>
          <w:rFonts w:ascii="Arial" w:hAnsi="Arial" w:cs="Arial"/>
          <w:sz w:val="14"/>
          <w:szCs w:val="14"/>
        </w:rPr>
        <w:footnoteRef/>
      </w:r>
      <w:r w:rsidRPr="008D5D37">
        <w:rPr>
          <w:rFonts w:ascii="Arial" w:hAnsi="Arial" w:cs="Arial"/>
          <w:sz w:val="14"/>
          <w:szCs w:val="14"/>
        </w:rPr>
        <w:t xml:space="preserve"> </w:t>
      </w:r>
      <w:bookmarkStart w:id="8" w:name="38"/>
      <w:r w:rsidRPr="008D5D37">
        <w:rPr>
          <w:rFonts w:ascii="Arial" w:eastAsia="Calibri" w:hAnsi="Arial" w:cs="Arial"/>
          <w:bCs/>
          <w:sz w:val="14"/>
          <w:szCs w:val="14"/>
        </w:rPr>
        <w:t>“</w:t>
      </w:r>
      <w:r w:rsidRPr="008D5D37">
        <w:rPr>
          <w:rFonts w:ascii="Arial" w:hAnsi="Arial" w:cs="Arial"/>
          <w:sz w:val="14"/>
          <w:szCs w:val="14"/>
          <w:lang w:val="es-MX"/>
        </w:rPr>
        <w:t>Artículo 38. Prohibiciones para los servidores públicos. A los empleados del Estado les está prohibido:</w:t>
      </w:r>
      <w:bookmarkEnd w:id="8"/>
    </w:p>
    <w:p w14:paraId="2265BCEF" w14:textId="77777777" w:rsidR="00455EFE" w:rsidRPr="008D5D37" w:rsidRDefault="00455EFE" w:rsidP="00455EFE">
      <w:pPr>
        <w:pStyle w:val="NormalWeb"/>
        <w:spacing w:before="0" w:beforeAutospacing="0" w:after="0" w:afterAutospacing="0"/>
        <w:ind w:firstLine="709"/>
        <w:contextualSpacing/>
        <w:jc w:val="both"/>
        <w:rPr>
          <w:rFonts w:ascii="Arial" w:hAnsi="Arial" w:cs="Arial"/>
          <w:sz w:val="14"/>
          <w:szCs w:val="14"/>
          <w:lang w:val="es-MX"/>
        </w:rPr>
      </w:pPr>
      <w:r w:rsidRPr="008D5D37">
        <w:rPr>
          <w:rFonts w:ascii="Arial" w:hAnsi="Arial" w:cs="Arial"/>
          <w:sz w:val="14"/>
          <w:szCs w:val="14"/>
          <w:lang w:val="es-MX"/>
        </w:rPr>
        <w:t>[…]</w:t>
      </w:r>
    </w:p>
    <w:p w14:paraId="340DDAA4" w14:textId="77777777" w:rsidR="00455EFE" w:rsidRPr="008D5D37" w:rsidRDefault="00455EFE" w:rsidP="00455EFE">
      <w:pPr>
        <w:pStyle w:val="NormalWeb"/>
        <w:spacing w:before="0" w:beforeAutospacing="0" w:after="0" w:afterAutospacing="0"/>
        <w:ind w:firstLine="709"/>
        <w:contextualSpacing/>
        <w:jc w:val="both"/>
        <w:rPr>
          <w:rFonts w:ascii="Arial" w:hAnsi="Arial" w:cs="Arial"/>
          <w:sz w:val="14"/>
          <w:szCs w:val="14"/>
          <w:lang w:val="es-MX"/>
        </w:rPr>
      </w:pPr>
      <w:r w:rsidRPr="008D5D37">
        <w:rPr>
          <w:rStyle w:val="baj"/>
          <w:rFonts w:ascii="Arial" w:hAnsi="Arial" w:cs="Arial"/>
          <w:sz w:val="14"/>
          <w:szCs w:val="14"/>
          <w:lang w:val="es-MX"/>
        </w:rPr>
        <w:t>Parágrafo.</w:t>
      </w:r>
      <w:r w:rsidRPr="008D5D37">
        <w:rPr>
          <w:rFonts w:ascii="Arial" w:hAnsi="Arial"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D5D37">
        <w:rPr>
          <w:rFonts w:ascii="Arial" w:eastAsia="Calibri" w:hAnsi="Arial" w:cs="Arial"/>
          <w:bCs/>
          <w:sz w:val="14"/>
          <w:szCs w:val="14"/>
        </w:rPr>
        <w:t>”</w:t>
      </w:r>
      <w:r w:rsidRPr="008D5D37">
        <w:rPr>
          <w:rFonts w:ascii="Arial" w:hAnsi="Arial" w:cs="Arial"/>
          <w:sz w:val="14"/>
          <w:szCs w:val="14"/>
          <w:lang w:val="es-MX"/>
        </w:rPr>
        <w:t>.</w:t>
      </w:r>
    </w:p>
  </w:footnote>
  <w:footnote w:id="10">
    <w:p w14:paraId="128999CD" w14:textId="77777777" w:rsidR="00455EFE" w:rsidRPr="008D5D37" w:rsidRDefault="00455EFE" w:rsidP="00455EFE">
      <w:pPr>
        <w:spacing w:after="0" w:line="240" w:lineRule="auto"/>
        <w:ind w:left="100" w:right="244" w:firstLine="709"/>
        <w:contextualSpacing/>
        <w:jc w:val="both"/>
        <w:rPr>
          <w:rFonts w:ascii="Arial" w:hAnsi="Arial" w:cs="Arial"/>
          <w:sz w:val="14"/>
          <w:szCs w:val="14"/>
          <w:lang w:val="es-ES"/>
        </w:rPr>
      </w:pPr>
      <w:r w:rsidRPr="008D5D37">
        <w:rPr>
          <w:rStyle w:val="Refdenotaalpie"/>
          <w:rFonts w:ascii="Arial" w:hAnsi="Arial" w:cs="Arial"/>
          <w:sz w:val="14"/>
          <w:szCs w:val="14"/>
        </w:rPr>
        <w:footnoteRef/>
      </w:r>
      <w:r w:rsidRPr="008D5D37">
        <w:rPr>
          <w:rFonts w:ascii="Arial" w:hAnsi="Arial" w:cs="Arial"/>
          <w:sz w:val="14"/>
          <w:szCs w:val="14"/>
        </w:rPr>
        <w:t xml:space="preserve"> Consejo de Estado. Sala de Consulta y Servicio Civil. Concepto del 17 de febrero de 2015. C.P. William Zambrano Cetina. Radicación No. 11001-03-06-000-2015-00164-00(2269).</w:t>
      </w:r>
    </w:p>
  </w:footnote>
  <w:footnote w:id="11">
    <w:p w14:paraId="73E8E962" w14:textId="77777777" w:rsidR="003E7259" w:rsidRPr="003A5BBF" w:rsidRDefault="003E7259" w:rsidP="003E7259">
      <w:pPr>
        <w:pStyle w:val="Textonotapie"/>
        <w:ind w:right="51"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sz w:val="14"/>
          <w:szCs w:val="14"/>
          <w:lang w:val="es-ES"/>
        </w:rPr>
        <w:t xml:space="preserve">[26] </w:t>
      </w:r>
      <w:r w:rsidRPr="003A5BBF">
        <w:rPr>
          <w:rFonts w:ascii="Verdana" w:hAnsi="Verdana" w:cs="Arial"/>
          <w:sz w:val="14"/>
          <w:szCs w:val="14"/>
        </w:rPr>
        <w:t>Al respecto ver el concepto 1712 de 2 de febrero de 2006. Consejo de Estado Sala de Consulta y Servicio Civil”.</w:t>
      </w:r>
    </w:p>
  </w:footnote>
  <w:footnote w:id="12">
    <w:p w14:paraId="494E48D1" w14:textId="77777777" w:rsidR="003E7259" w:rsidRPr="003A5BBF" w:rsidRDefault="003E7259" w:rsidP="003E7259">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Consulta y Servicio Civil. Concepto del 2 de septiembre de 2013. Radicación número: 11001-03-06-000-2013-00412-00 (2168). C.P: Álvaro Namén Vargas</w:t>
      </w:r>
      <w:r>
        <w:rPr>
          <w:rFonts w:ascii="Verdana" w:hAnsi="Verdana" w:cs="Arial"/>
          <w:sz w:val="14"/>
          <w:szCs w:val="14"/>
        </w:rPr>
        <w:t>.</w:t>
      </w:r>
    </w:p>
  </w:footnote>
  <w:footnote w:id="13">
    <w:p w14:paraId="5B4C4946" w14:textId="77777777" w:rsidR="003E7259" w:rsidRPr="003A5BBF" w:rsidRDefault="003E7259" w:rsidP="003E7259">
      <w:pPr>
        <w:pStyle w:val="Textonotapie"/>
        <w:ind w:firstLine="709"/>
        <w:jc w:val="both"/>
        <w:rPr>
          <w:rFonts w:ascii="Verdana" w:hAnsi="Verdana" w:cs="Arial"/>
          <w:sz w:val="14"/>
          <w:szCs w:val="14"/>
          <w:lang w:val="es-ES"/>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sz w:val="14"/>
          <w:szCs w:val="14"/>
          <w:lang w:val="es-ES"/>
        </w:rPr>
        <w:t xml:space="preserve">Artículo 2. </w:t>
      </w:r>
    </w:p>
  </w:footnote>
  <w:footnote w:id="14">
    <w:p w14:paraId="18A3E9FC" w14:textId="77777777" w:rsidR="003E7259" w:rsidRPr="003A5BBF" w:rsidRDefault="003E7259" w:rsidP="003E7259">
      <w:pPr>
        <w:pStyle w:val="Textonotapie"/>
        <w:ind w:firstLine="709"/>
        <w:jc w:val="both"/>
        <w:rPr>
          <w:rFonts w:ascii="Verdana" w:hAnsi="Verdana" w:cs="Arial"/>
          <w:sz w:val="14"/>
          <w:szCs w:val="14"/>
          <w:lang w:val="es-ES"/>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i/>
          <w:sz w:val="14"/>
          <w:szCs w:val="14"/>
          <w:lang w:val="es-ES"/>
        </w:rPr>
        <w:t>Ídem</w:t>
      </w:r>
      <w:r w:rsidRPr="003A5BBF">
        <w:rPr>
          <w:rFonts w:ascii="Verdana" w:hAnsi="Verdana" w:cs="Arial"/>
          <w:sz w:val="14"/>
          <w:szCs w:val="14"/>
          <w:lang w:val="es-ES"/>
        </w:rPr>
        <w:t>.</w:t>
      </w:r>
    </w:p>
  </w:footnote>
  <w:footnote w:id="15">
    <w:p w14:paraId="63541D12" w14:textId="77777777" w:rsidR="003E7259" w:rsidRPr="003A5BBF" w:rsidRDefault="003E7259" w:rsidP="003E7259">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Consulta y Servicio Civil. Concepto del 08 de mayo de 2018. Exp. 2.382. C.P. Álvaro Namén Vargas.</w:t>
      </w:r>
    </w:p>
  </w:footnote>
  <w:footnote w:id="16">
    <w:p w14:paraId="2CEC220B" w14:textId="77777777" w:rsidR="003E7259" w:rsidRPr="003A5BBF" w:rsidRDefault="003E7259" w:rsidP="003E7259">
      <w:pPr>
        <w:pStyle w:val="Textonotapie"/>
        <w:ind w:firstLine="708"/>
        <w:jc w:val="both"/>
        <w:rPr>
          <w:rFonts w:ascii="Verdana" w:hAnsi="Verdana"/>
          <w:sz w:val="14"/>
          <w:szCs w:val="14"/>
          <w:lang w:val="es-ES"/>
        </w:rPr>
      </w:pPr>
      <w:r w:rsidRPr="003A5BBF">
        <w:rPr>
          <w:rStyle w:val="Refdenotaalpie"/>
          <w:rFonts w:ascii="Verdana" w:hAnsi="Verdana"/>
          <w:sz w:val="14"/>
          <w:szCs w:val="14"/>
        </w:rPr>
        <w:footnoteRef/>
      </w:r>
      <w:r w:rsidRPr="003A5BBF">
        <w:rPr>
          <w:rFonts w:ascii="Verdana" w:hAnsi="Verdana"/>
          <w:sz w:val="14"/>
          <w:szCs w:val="14"/>
        </w:rPr>
        <w:t xml:space="preserve"> </w:t>
      </w:r>
      <w:r w:rsidRPr="003A5BBF">
        <w:rPr>
          <w:rFonts w:ascii="Verdana" w:hAnsi="Verdana" w:cs="Arial"/>
          <w:sz w:val="14"/>
          <w:szCs w:val="14"/>
          <w:lang w:val="es-ES"/>
        </w:rPr>
        <w:t xml:space="preserve">Consejo de Estado, Sala de Consulta y Servicio Civil, Concepto de fecha 8 de mayo de 2018, No. </w:t>
      </w:r>
      <w:r w:rsidRPr="003A5BBF">
        <w:rPr>
          <w:rFonts w:ascii="Verdana" w:hAnsi="Verdana"/>
          <w:sz w:val="14"/>
          <w:szCs w:val="14"/>
        </w:rPr>
        <w:t>2382. C. P. Álvaro Namén Vargas.</w:t>
      </w:r>
    </w:p>
  </w:footnote>
  <w:footnote w:id="17">
    <w:p w14:paraId="79E2C60D" w14:textId="77777777" w:rsidR="003E7259" w:rsidRPr="003A5BBF" w:rsidRDefault="003E7259" w:rsidP="003E7259">
      <w:pPr>
        <w:spacing w:after="0" w:line="240" w:lineRule="auto"/>
        <w:ind w:firstLine="709"/>
        <w:jc w:val="both"/>
        <w:rPr>
          <w:rFonts w:ascii="Verdana" w:hAnsi="Verdana" w:cs="Arial"/>
          <w:color w:val="000000" w:themeColor="text1"/>
          <w:sz w:val="14"/>
          <w:szCs w:val="14"/>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Consejo de Estado. Sala de Consulta y Servicio Civil. Concepto de 20 de febrero de 2006. Radicación Número: 11001-03-06-000-2006-00026-00(1727).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0BD4DA8F" w14:textId="77777777" w:rsidR="003E7259" w:rsidRPr="003A5BBF" w:rsidRDefault="003E7259" w:rsidP="003E7259">
      <w:pPr>
        <w:pStyle w:val="Textonotapie"/>
        <w:ind w:firstLine="708"/>
        <w:jc w:val="both"/>
        <w:rPr>
          <w:rFonts w:ascii="Verdana" w:hAnsi="Verdana" w:cs="Arial"/>
          <w:color w:val="000000" w:themeColor="text1"/>
          <w:sz w:val="14"/>
          <w:szCs w:val="14"/>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footnote>
  <w:footnote w:id="19">
    <w:p w14:paraId="7FD160E9" w14:textId="77777777" w:rsidR="003E7259" w:rsidRPr="003A5BBF" w:rsidRDefault="003E7259" w:rsidP="003E7259">
      <w:pPr>
        <w:pStyle w:val="Textonotapie"/>
        <w:ind w:firstLine="708"/>
        <w:jc w:val="both"/>
        <w:rPr>
          <w:rFonts w:ascii="Verdana" w:hAnsi="Verdana" w:cs="Arial"/>
          <w:color w:val="000000" w:themeColor="text1"/>
          <w:sz w:val="14"/>
          <w:szCs w:val="14"/>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footnote>
  <w:footnote w:id="20">
    <w:p w14:paraId="1E7FB6FE" w14:textId="77777777" w:rsidR="003E7259" w:rsidRPr="003A5BBF" w:rsidRDefault="003E7259" w:rsidP="003E7259">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234F1682" w14:textId="77777777" w:rsidR="00F7748B" w:rsidRPr="00B8555A" w:rsidRDefault="00F7748B" w:rsidP="00F7748B">
      <w:pPr>
        <w:pStyle w:val="Textonotapie"/>
        <w:ind w:firstLine="709"/>
        <w:contextualSpacing/>
        <w:jc w:val="both"/>
        <w:rPr>
          <w:rFonts w:ascii="Verdana" w:hAnsi="Verdana" w:cs="Arial"/>
          <w:sz w:val="18"/>
          <w:szCs w:val="18"/>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hAnsi="Verdana" w:cs="Arial"/>
          <w:sz w:val="18"/>
          <w:szCs w:val="18"/>
        </w:rPr>
        <w:t>Consejo de Estado -Sección Tercera-. Sentencia del 21 de febrero de 2025. Radicación Número: 68.280. CP: José Roberto Sáchica Méndez.</w:t>
      </w:r>
    </w:p>
  </w:footnote>
  <w:footnote w:id="22">
    <w:p w14:paraId="2C1F3967" w14:textId="77777777" w:rsidR="00F7748B" w:rsidRPr="001D30AB" w:rsidRDefault="00F7748B" w:rsidP="00F7748B">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sz w:val="18"/>
          <w:szCs w:val="18"/>
          <w:vertAlign w:val="superscript"/>
        </w:rPr>
        <w:t xml:space="preserve"> </w:t>
      </w:r>
      <w:r w:rsidRPr="001D30AB">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44EA0124" w14:textId="77777777" w:rsidR="00F7748B" w:rsidRPr="001D30AB" w:rsidRDefault="00F7748B" w:rsidP="00F7748B">
      <w:pPr>
        <w:pStyle w:val="Textonotapie"/>
        <w:ind w:firstLine="709"/>
        <w:contextualSpacing/>
        <w:jc w:val="both"/>
        <w:rPr>
          <w:rFonts w:ascii="Verdana" w:hAnsi="Verdana" w:cs="Arial"/>
          <w:sz w:val="18"/>
          <w:szCs w:val="18"/>
        </w:rPr>
      </w:pPr>
    </w:p>
  </w:footnote>
  <w:footnote w:id="23">
    <w:p w14:paraId="603AA6AB" w14:textId="77777777" w:rsidR="00F7748B" w:rsidRPr="001D30AB" w:rsidRDefault="00F7748B" w:rsidP="00F7748B">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4518D586" w14:textId="77777777" w:rsidR="00F7748B" w:rsidRPr="001D30AB" w:rsidRDefault="00F7748B" w:rsidP="00F7748B">
      <w:pPr>
        <w:pStyle w:val="Textonotapie"/>
        <w:ind w:firstLine="709"/>
        <w:contextualSpacing/>
        <w:jc w:val="both"/>
        <w:rPr>
          <w:rFonts w:ascii="Verdana" w:hAnsi="Verdana" w:cs="Arial"/>
          <w:sz w:val="18"/>
          <w:szCs w:val="18"/>
        </w:rPr>
      </w:pPr>
      <w:r w:rsidRPr="001D30AB">
        <w:rPr>
          <w:rFonts w:ascii="Verdana" w:hAnsi="Verdana" w:cs="Arial"/>
          <w:sz w:val="18"/>
          <w:szCs w:val="18"/>
        </w:rPr>
        <w:t>[…]”.</w:t>
      </w:r>
    </w:p>
  </w:footnote>
  <w:footnote w:id="24">
    <w:p w14:paraId="64C442A1" w14:textId="77777777" w:rsidR="00F7748B" w:rsidRPr="001D30AB" w:rsidRDefault="00F7748B" w:rsidP="00F7748B">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Código Civil: “Artículo 27. Cuando el sentido de la ley sea claro, no se desatenderá su tenor a pretexto de consultar su espíritu”.</w:t>
      </w:r>
    </w:p>
  </w:footnote>
  <w:footnote w:id="25">
    <w:p w14:paraId="583D093B" w14:textId="77777777" w:rsidR="00F7748B" w:rsidRPr="004D7A1D" w:rsidRDefault="00F7748B" w:rsidP="00F7748B">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lang w:val="es-CO"/>
        </w:rPr>
        <w:t xml:space="preserve"> Consejo de Estado, Sección Tercera. Auto del 4 de octubre de 2024. Exp. 70.313. C.P: Fredy Ibarra Martínez.</w:t>
      </w:r>
    </w:p>
  </w:footnote>
  <w:footnote w:id="26">
    <w:p w14:paraId="3898081B" w14:textId="77777777" w:rsidR="00F7748B" w:rsidRPr="001D30AB" w:rsidRDefault="00F7748B" w:rsidP="00F7748B">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La parte resolutiva del auto dispone lo siguiente; “</w:t>
      </w:r>
      <w:r w:rsidRPr="001D30AB">
        <w:rPr>
          <w:rFonts w:ascii="Verdana" w:hAnsi="Verdana"/>
          <w:b/>
          <w:sz w:val="18"/>
          <w:szCs w:val="18"/>
          <w:lang w:val="es-CO"/>
        </w:rPr>
        <w:t xml:space="preserve">PRIMERO: DECRETAR </w:t>
      </w:r>
      <w:r w:rsidRPr="001D30AB">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D30AB">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D30AB">
        <w:rPr>
          <w:rFonts w:ascii="Verdana" w:hAnsi="Verdana"/>
          <w:sz w:val="18"/>
          <w:szCs w:val="18"/>
          <w:lang w:val="es-CO"/>
        </w:rPr>
        <w:t xml:space="preserve">, por las razones expuestas en precedencia. </w:t>
      </w:r>
    </w:p>
    <w:p w14:paraId="3B7BCE53" w14:textId="77777777" w:rsidR="00F7748B" w:rsidRPr="00591AA5" w:rsidRDefault="00F7748B" w:rsidP="00F7748B">
      <w:pPr>
        <w:pStyle w:val="Textonotapie"/>
        <w:ind w:firstLine="709"/>
        <w:contextualSpacing/>
        <w:jc w:val="both"/>
        <w:rPr>
          <w:rFonts w:ascii="Verdana" w:hAnsi="Verdana"/>
          <w:sz w:val="18"/>
          <w:szCs w:val="18"/>
          <w:lang w:val="es-CO"/>
        </w:rPr>
      </w:pPr>
      <w:r w:rsidRPr="001D30AB">
        <w:rPr>
          <w:rFonts w:ascii="Verdana" w:hAnsi="Verdana"/>
          <w:b/>
          <w:sz w:val="18"/>
          <w:szCs w:val="18"/>
          <w:lang w:val="es-CO"/>
        </w:rPr>
        <w:t xml:space="preserve">SEGUNDO: DECRETAR </w:t>
      </w:r>
      <w:r w:rsidRPr="001D30AB">
        <w:rPr>
          <w:rFonts w:ascii="Verdana" w:hAnsi="Verdana"/>
          <w:sz w:val="18"/>
          <w:szCs w:val="18"/>
          <w:lang w:val="es-CO"/>
        </w:rPr>
        <w:t>la suspensión provisional de la expresión “</w:t>
      </w:r>
      <w:r w:rsidRPr="001D30AB">
        <w:rPr>
          <w:rFonts w:ascii="Verdana" w:hAnsi="Verdana"/>
          <w:i/>
          <w:sz w:val="18"/>
          <w:szCs w:val="18"/>
          <w:lang w:val="es-CO"/>
        </w:rPr>
        <w:t>contratos</w:t>
      </w:r>
      <w:r w:rsidRPr="001D30AB">
        <w:rPr>
          <w:rFonts w:ascii="Verdana" w:hAnsi="Verdana"/>
          <w:sz w:val="18"/>
          <w:szCs w:val="18"/>
          <w:lang w:val="es-CO"/>
        </w:rPr>
        <w:t xml:space="preserve">” y del párrafo </w:t>
      </w:r>
      <w:r w:rsidRPr="001D30AB">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D30AB">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7">
    <w:p w14:paraId="17A709D1" w14:textId="77777777" w:rsidR="00F7748B" w:rsidRPr="001D30AB" w:rsidRDefault="00F7748B" w:rsidP="00F7748B">
      <w:pPr>
        <w:spacing w:after="0" w:line="240" w:lineRule="auto"/>
        <w:ind w:firstLine="709"/>
        <w:contextualSpacing/>
        <w:jc w:val="both"/>
        <w:rPr>
          <w:rFonts w:ascii="Verdana" w:eastAsia="Times New Roman" w:hAnsi="Verdana" w:cs="Times New Roman"/>
          <w:sz w:val="18"/>
          <w:szCs w:val="18"/>
          <w:lang w:eastAsia="es-ES"/>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1D30AB">
        <w:rPr>
          <w:rFonts w:ascii="Verdana" w:hAnsi="Verdana"/>
          <w:sz w:val="18"/>
          <w:szCs w:val="18"/>
        </w:rPr>
        <w:t xml:space="preserve">La parte de la providencia señala: </w:t>
      </w:r>
      <w:r w:rsidRPr="001D30AB">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8">
    <w:p w14:paraId="7E304B39" w14:textId="77777777" w:rsidR="00F7748B" w:rsidRPr="001D30AB" w:rsidRDefault="00F7748B" w:rsidP="00F7748B">
      <w:pPr>
        <w:pStyle w:val="Textonotapie"/>
        <w:ind w:firstLine="709"/>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2A7397"/>
    <w:multiLevelType w:val="hybridMultilevel"/>
    <w:tmpl w:val="5F0CAC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1864202067">
    <w:abstractNumId w:val="11"/>
  </w:num>
  <w:num w:numId="18" w16cid:durableId="5558955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3BD"/>
    <w:rsid w:val="00043EF5"/>
    <w:rsid w:val="00046945"/>
    <w:rsid w:val="00061B2A"/>
    <w:rsid w:val="000736BB"/>
    <w:rsid w:val="00082362"/>
    <w:rsid w:val="000A683E"/>
    <w:rsid w:val="000B19B9"/>
    <w:rsid w:val="000D0334"/>
    <w:rsid w:val="000D5DA7"/>
    <w:rsid w:val="000F6486"/>
    <w:rsid w:val="00116940"/>
    <w:rsid w:val="00125105"/>
    <w:rsid w:val="00127233"/>
    <w:rsid w:val="0015699B"/>
    <w:rsid w:val="001A33BF"/>
    <w:rsid w:val="001D6712"/>
    <w:rsid w:val="001E4177"/>
    <w:rsid w:val="001F0B24"/>
    <w:rsid w:val="001F7DC6"/>
    <w:rsid w:val="001F7FED"/>
    <w:rsid w:val="0022400B"/>
    <w:rsid w:val="0023571E"/>
    <w:rsid w:val="002421BB"/>
    <w:rsid w:val="0025796E"/>
    <w:rsid w:val="002707A2"/>
    <w:rsid w:val="002951A0"/>
    <w:rsid w:val="002962BC"/>
    <w:rsid w:val="002A093D"/>
    <w:rsid w:val="002A0DD0"/>
    <w:rsid w:val="002A49AC"/>
    <w:rsid w:val="002A64FD"/>
    <w:rsid w:val="002C7A84"/>
    <w:rsid w:val="002E2BF8"/>
    <w:rsid w:val="002E4FD9"/>
    <w:rsid w:val="00305314"/>
    <w:rsid w:val="0030657A"/>
    <w:rsid w:val="0031307F"/>
    <w:rsid w:val="00322A85"/>
    <w:rsid w:val="00324168"/>
    <w:rsid w:val="00330834"/>
    <w:rsid w:val="003448F4"/>
    <w:rsid w:val="00374F5E"/>
    <w:rsid w:val="00377E3E"/>
    <w:rsid w:val="003A779E"/>
    <w:rsid w:val="003D0F4D"/>
    <w:rsid w:val="003D5B0D"/>
    <w:rsid w:val="003E0499"/>
    <w:rsid w:val="003E4F80"/>
    <w:rsid w:val="003E6439"/>
    <w:rsid w:val="003E7259"/>
    <w:rsid w:val="003F3941"/>
    <w:rsid w:val="00406575"/>
    <w:rsid w:val="00414C74"/>
    <w:rsid w:val="0042722E"/>
    <w:rsid w:val="0044528D"/>
    <w:rsid w:val="00455EFE"/>
    <w:rsid w:val="00466E39"/>
    <w:rsid w:val="004A1847"/>
    <w:rsid w:val="004A305D"/>
    <w:rsid w:val="004F21C4"/>
    <w:rsid w:val="004F685F"/>
    <w:rsid w:val="005566E8"/>
    <w:rsid w:val="00567DE6"/>
    <w:rsid w:val="00574641"/>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1D1"/>
    <w:rsid w:val="007C0C0F"/>
    <w:rsid w:val="007C3DC2"/>
    <w:rsid w:val="007E5497"/>
    <w:rsid w:val="007E6685"/>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0C6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5621F"/>
    <w:rsid w:val="00C6377A"/>
    <w:rsid w:val="00C754BE"/>
    <w:rsid w:val="00C76B1C"/>
    <w:rsid w:val="00C81700"/>
    <w:rsid w:val="00C82106"/>
    <w:rsid w:val="00C925AC"/>
    <w:rsid w:val="00CB6357"/>
    <w:rsid w:val="00CC1B26"/>
    <w:rsid w:val="00D361FD"/>
    <w:rsid w:val="00D423A2"/>
    <w:rsid w:val="00D44E26"/>
    <w:rsid w:val="00D520D8"/>
    <w:rsid w:val="00D63AC2"/>
    <w:rsid w:val="00D7383B"/>
    <w:rsid w:val="00D7788A"/>
    <w:rsid w:val="00DA231B"/>
    <w:rsid w:val="00DC39FC"/>
    <w:rsid w:val="00DD4C8F"/>
    <w:rsid w:val="00DF5254"/>
    <w:rsid w:val="00E02524"/>
    <w:rsid w:val="00E0431E"/>
    <w:rsid w:val="00E16408"/>
    <w:rsid w:val="00E20894"/>
    <w:rsid w:val="00E245AB"/>
    <w:rsid w:val="00E25D1E"/>
    <w:rsid w:val="00E2764C"/>
    <w:rsid w:val="00E27F2E"/>
    <w:rsid w:val="00E50AFE"/>
    <w:rsid w:val="00E75C92"/>
    <w:rsid w:val="00E771DC"/>
    <w:rsid w:val="00E8772A"/>
    <w:rsid w:val="00E90F6B"/>
    <w:rsid w:val="00E92C27"/>
    <w:rsid w:val="00EA0E3D"/>
    <w:rsid w:val="00EC38A7"/>
    <w:rsid w:val="00EE1AA8"/>
    <w:rsid w:val="00F17807"/>
    <w:rsid w:val="00F23FEA"/>
    <w:rsid w:val="00F31EDC"/>
    <w:rsid w:val="00F462B3"/>
    <w:rsid w:val="00F5607E"/>
    <w:rsid w:val="00F5664F"/>
    <w:rsid w:val="00F666C4"/>
    <w:rsid w:val="00F76AFC"/>
    <w:rsid w:val="00F7748B"/>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55EF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55EFE"/>
    <w:rPr>
      <w:rFonts w:ascii="Geomanist Light" w:hAnsi="Geomanist Light"/>
      <w:lang w:val="es-ES"/>
    </w:rPr>
  </w:style>
  <w:style w:type="character" w:customStyle="1" w:styleId="NormalWebCar">
    <w:name w:val="Normal (Web) Car"/>
    <w:link w:val="NormalWeb"/>
    <w:uiPriority w:val="99"/>
    <w:rsid w:val="00455EFE"/>
    <w:rPr>
      <w:rFonts w:ascii="Times New Roman" w:eastAsia="Times New Roman" w:hAnsi="Times New Roman" w:cs="Times New Roman"/>
      <w:sz w:val="24"/>
      <w:szCs w:val="24"/>
      <w:lang w:eastAsia="es-CO"/>
    </w:rPr>
  </w:style>
  <w:style w:type="character" w:customStyle="1" w:styleId="baj">
    <w:name w:val="b_aj"/>
    <w:basedOn w:val="Fuentedeprrafopredeter"/>
    <w:rsid w:val="00455EFE"/>
  </w:style>
  <w:style w:type="character" w:styleId="Refdecomentario">
    <w:name w:val="annotation reference"/>
    <w:basedOn w:val="Fuentedeprrafopredeter"/>
    <w:uiPriority w:val="99"/>
    <w:semiHidden/>
    <w:unhideWhenUsed/>
    <w:rsid w:val="0031307F"/>
    <w:rPr>
      <w:sz w:val="16"/>
      <w:szCs w:val="16"/>
    </w:rPr>
  </w:style>
  <w:style w:type="paragraph" w:styleId="Textocomentario">
    <w:name w:val="annotation text"/>
    <w:basedOn w:val="Normal"/>
    <w:link w:val="TextocomentarioCar"/>
    <w:uiPriority w:val="99"/>
    <w:semiHidden/>
    <w:unhideWhenUsed/>
    <w:rsid w:val="003130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1307F"/>
    <w:rPr>
      <w:sz w:val="20"/>
      <w:szCs w:val="20"/>
    </w:rPr>
  </w:style>
  <w:style w:type="paragraph" w:styleId="Asuntodelcomentario">
    <w:name w:val="annotation subject"/>
    <w:basedOn w:val="Textocomentario"/>
    <w:next w:val="Textocomentario"/>
    <w:link w:val="AsuntodelcomentarioCar"/>
    <w:uiPriority w:val="99"/>
    <w:semiHidden/>
    <w:unhideWhenUsed/>
    <w:rsid w:val="0031307F"/>
    <w:rPr>
      <w:b/>
      <w:bCs/>
    </w:rPr>
  </w:style>
  <w:style w:type="character" w:customStyle="1" w:styleId="AsuntodelcomentarioCar">
    <w:name w:val="Asunto del comentario Car"/>
    <w:basedOn w:val="TextocomentarioCar"/>
    <w:link w:val="Asuntodelcomentario"/>
    <w:uiPriority w:val="99"/>
    <w:semiHidden/>
    <w:rsid w:val="003130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nnidnt@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D076ACA-EF07-4AD0-923D-F479F5E29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25</Pages>
  <Words>7995</Words>
  <Characters>43815</Characters>
  <Application>Microsoft Office Word</Application>
  <DocSecurity>0</DocSecurity>
  <Lines>912</Lines>
  <Paragraphs>167</Paragraphs>
  <ScaleCrop>false</ScaleCrop>
  <Company/>
  <LinksUpToDate>false</LinksUpToDate>
  <CharactersWithSpaces>51643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2025-12-17T03:22:00Z</dcterms:created>
  <dcterms:modified xsi:type="dcterms:W3CDTF">2025-12-17T20:44:00Z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