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4CB97" w14:textId="77777777" w:rsidR="00D700A4" w:rsidRPr="00D700A4" w:rsidRDefault="00D700A4" w:rsidP="00D700A4">
      <w:pPr>
        <w:rPr>
          <w:rFonts w:ascii="Verdana" w:hAnsi="Verdana" w:cs="Arial"/>
          <w:b/>
          <w:color w:val="000000" w:themeColor="text1"/>
          <w:lang w:val="es-ES_tradnl"/>
        </w:rPr>
      </w:pPr>
      <w:bookmarkStart w:id="0" w:name="_Hlk143780582"/>
      <w:r w:rsidRPr="00D700A4">
        <w:rPr>
          <w:rFonts w:ascii="Verdana" w:hAnsi="Verdana" w:cs="Arial"/>
          <w:b/>
          <w:color w:val="000000" w:themeColor="text1"/>
          <w:lang w:val="es-ES_tradnl"/>
        </w:rPr>
        <w:t xml:space="preserve">LEY DE GARANTÍAS ELECTORALES ‒ Finalidad </w:t>
      </w:r>
    </w:p>
    <w:p w14:paraId="1DF358A4" w14:textId="5FD38BFE" w:rsidR="00D700A4" w:rsidRDefault="00D700A4" w:rsidP="00D700A4">
      <w:pPr>
        <w:jc w:val="both"/>
        <w:rPr>
          <w:rFonts w:ascii="Verdana" w:hAnsi="Verdana" w:cs="Arial"/>
          <w:bCs/>
          <w:color w:val="000000" w:themeColor="text1"/>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lang w:val="es-MX" w:eastAsia="es-CO"/>
        </w:rPr>
        <w:t>.</w:t>
      </w:r>
    </w:p>
    <w:p w14:paraId="798F6B6F" w14:textId="51AE8B21" w:rsidR="00D700A4" w:rsidRDefault="00D700A4" w:rsidP="00D700A4">
      <w:pPr>
        <w:rPr>
          <w:rFonts w:ascii="Verdana" w:hAnsi="Verdana" w:cs="Arial"/>
          <w:b/>
          <w:color w:val="000000" w:themeColor="text1"/>
          <w:lang w:val="es-ES_tradnl"/>
        </w:rPr>
      </w:pPr>
      <w:r w:rsidRPr="00D700A4">
        <w:rPr>
          <w:rFonts w:ascii="Verdana" w:hAnsi="Verdana" w:cs="Arial"/>
          <w:b/>
          <w:color w:val="000000" w:themeColor="text1"/>
          <w:lang w:val="es-ES_tradnl"/>
        </w:rPr>
        <w:t>LEY DE GARANTÍAS ELECTORALES ‒ Tipos de restricciones – Convenios interadministrativos</w:t>
      </w:r>
    </w:p>
    <w:p w14:paraId="45153860" w14:textId="77777777" w:rsidR="00D700A4" w:rsidRDefault="00D700A4" w:rsidP="00D700A4">
      <w:pPr>
        <w:spacing w:after="120" w:line="276" w:lineRule="auto"/>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A20A233" w14:textId="77777777" w:rsidR="00D700A4" w:rsidRPr="00BC3A80" w:rsidRDefault="00D700A4" w:rsidP="00D700A4">
      <w:pPr>
        <w:spacing w:before="120" w:after="0" w:line="276" w:lineRule="auto"/>
        <w:jc w:val="both"/>
        <w:rPr>
          <w:rFonts w:ascii="Verdana" w:eastAsia="Times New Roman" w:hAnsi="Verdana" w:cs="Arial"/>
          <w:lang w:eastAsia="es-CO"/>
        </w:rPr>
      </w:pPr>
      <w:r w:rsidRPr="00BC3A80">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301C547F" w14:textId="77777777" w:rsidR="00D700A4" w:rsidRPr="00D700A4" w:rsidRDefault="00D700A4" w:rsidP="00D700A4">
      <w:pPr>
        <w:rPr>
          <w:rFonts w:ascii="Verdana" w:hAnsi="Verdana" w:cs="Arial"/>
          <w:b/>
          <w:color w:val="000000" w:themeColor="text1"/>
          <w:lang w:val="es-ES_tradnl"/>
        </w:rPr>
      </w:pPr>
    </w:p>
    <w:p w14:paraId="0E198A72" w14:textId="77777777" w:rsidR="00D700A4" w:rsidRDefault="00D700A4" w:rsidP="00D700A4">
      <w:pPr>
        <w:rPr>
          <w:rFonts w:ascii="Verdana" w:hAnsi="Verdana" w:cs="Arial"/>
          <w:bCs/>
          <w:color w:val="000000" w:themeColor="text1"/>
          <w:lang w:val="es-ES_tradnl"/>
        </w:rPr>
      </w:pPr>
    </w:p>
    <w:p w14:paraId="68896A42" w14:textId="77777777" w:rsidR="00D700A4" w:rsidRDefault="00D700A4" w:rsidP="00C15139">
      <w:pPr>
        <w:spacing w:after="0"/>
        <w:rPr>
          <w:rFonts w:ascii="Verdana" w:hAnsi="Verdana"/>
        </w:rPr>
      </w:pPr>
    </w:p>
    <w:p w14:paraId="74B36C45" w14:textId="77777777" w:rsidR="00D700A4" w:rsidRDefault="00D700A4" w:rsidP="00C15139">
      <w:pPr>
        <w:spacing w:after="0"/>
        <w:rPr>
          <w:rFonts w:ascii="Verdana" w:hAnsi="Verdana"/>
        </w:rPr>
      </w:pPr>
    </w:p>
    <w:p w14:paraId="1468C46D" w14:textId="4E2374A4" w:rsidR="00C15139" w:rsidRPr="0024624F" w:rsidRDefault="00F52E9E"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0EC83149" wp14:editId="2B1BDE4B">
            <wp:simplePos x="0" y="0"/>
            <wp:positionH relativeFrom="column">
              <wp:posOffset>2964367</wp:posOffset>
            </wp:positionH>
            <wp:positionV relativeFrom="paragraph">
              <wp:posOffset>93009</wp:posOffset>
            </wp:positionV>
            <wp:extent cx="2705100" cy="819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705100" cy="81915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03 </w:t>
      </w:r>
      <w:proofErr w:type="gramStart"/>
      <w:r>
        <w:rPr>
          <w:rFonts w:ascii="Verdana" w:hAnsi="Verdana"/>
        </w:rPr>
        <w:t>Diciembre</w:t>
      </w:r>
      <w:proofErr w:type="gramEnd"/>
      <w:r>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77670A5A" w14:textId="77777777" w:rsidR="004A51DE" w:rsidRPr="0051487B" w:rsidRDefault="004A51DE" w:rsidP="004A51DE">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r>
        <w:rPr>
          <w:rFonts w:ascii="Verdana" w:eastAsia="Calibri" w:hAnsi="Verdana" w:cs="Arial"/>
          <w:lang w:val="de-DE" w:eastAsia="es-ES"/>
        </w:rPr>
        <w:t>a</w:t>
      </w:r>
    </w:p>
    <w:p w14:paraId="47050D37" w14:textId="77777777" w:rsidR="004A51DE" w:rsidRPr="0051487B" w:rsidRDefault="004A51DE" w:rsidP="004A51DE">
      <w:pPr>
        <w:spacing w:after="0" w:line="240" w:lineRule="auto"/>
        <w:rPr>
          <w:rFonts w:ascii="Verdana" w:eastAsia="Calibri" w:hAnsi="Verdana" w:cs="Arial"/>
          <w:b/>
          <w:lang w:val="de-DE" w:eastAsia="es-ES"/>
        </w:rPr>
      </w:pPr>
      <w:r>
        <w:rPr>
          <w:rFonts w:ascii="Verdana" w:eastAsia="Calibri" w:hAnsi="Verdana" w:cs="Arial"/>
          <w:b/>
          <w:lang w:val="de-DE" w:eastAsia="es-ES"/>
        </w:rPr>
        <w:t>Tania Alejandra Salgado Guerrero</w:t>
      </w:r>
    </w:p>
    <w:p w14:paraId="27D8CDD3" w14:textId="77777777" w:rsidR="004A51DE" w:rsidRPr="0051487B" w:rsidRDefault="00265FDE" w:rsidP="004A51DE">
      <w:pPr>
        <w:spacing w:after="0" w:line="240" w:lineRule="auto"/>
        <w:rPr>
          <w:rFonts w:ascii="Verdana" w:hAnsi="Verdana" w:cs="ArialMT"/>
          <w:lang w:val="de-DE"/>
        </w:rPr>
      </w:pPr>
      <w:hyperlink r:id="rId11" w:history="1">
        <w:r w:rsidR="004A51DE" w:rsidRPr="003A73E9">
          <w:rPr>
            <w:rStyle w:val="Hipervnculo"/>
            <w:rFonts w:ascii="Verdana" w:hAnsi="Verdana" w:cs="ArialMT"/>
            <w:lang w:val="de-DE"/>
          </w:rPr>
          <w:t>alejandra.salgado94@gmail.com</w:t>
        </w:r>
      </w:hyperlink>
      <w:r w:rsidR="004A51DE">
        <w:rPr>
          <w:rFonts w:ascii="Verdana" w:hAnsi="Verdana" w:cs="ArialMT"/>
          <w:lang w:val="de-DE"/>
        </w:rPr>
        <w:t xml:space="preserve"> </w:t>
      </w:r>
      <w:r w:rsidR="004A51DE" w:rsidRPr="0051487B">
        <w:rPr>
          <w:rFonts w:ascii="Verdana" w:hAnsi="Verdana" w:cs="ArialMT"/>
          <w:lang w:val="de-DE"/>
        </w:rPr>
        <w:t xml:space="preserve">   </w:t>
      </w:r>
    </w:p>
    <w:p w14:paraId="435CDF22" w14:textId="77777777" w:rsidR="004A51DE" w:rsidRPr="00C53B42" w:rsidRDefault="004A51DE" w:rsidP="004A51DE">
      <w:pPr>
        <w:spacing w:after="0" w:line="240" w:lineRule="auto"/>
        <w:rPr>
          <w:rFonts w:ascii="Verdana" w:hAnsi="Verdana" w:cs="ArialMT"/>
        </w:rPr>
      </w:pPr>
      <w:r>
        <w:rPr>
          <w:rFonts w:ascii="Verdana" w:eastAsia="Calibri" w:hAnsi="Verdana" w:cs="Arial"/>
          <w:lang w:val="es-ES" w:eastAsia="es-ES"/>
        </w:rPr>
        <w:t>Bogotá D.C.</w:t>
      </w:r>
    </w:p>
    <w:p w14:paraId="5CE90021" w14:textId="77777777" w:rsidR="004A51DE" w:rsidRPr="00C53B42" w:rsidRDefault="004A51DE" w:rsidP="004A51D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4A51DE" w:rsidRPr="00C53B42" w14:paraId="45FD81C0" w14:textId="77777777" w:rsidTr="00F82976">
        <w:trPr>
          <w:trHeight w:val="218"/>
        </w:trPr>
        <w:tc>
          <w:tcPr>
            <w:tcW w:w="2175" w:type="dxa"/>
          </w:tcPr>
          <w:p w14:paraId="71B6D797" w14:textId="77777777" w:rsidR="004A51DE" w:rsidRPr="00C53B42" w:rsidRDefault="004A51DE" w:rsidP="00F82976">
            <w:pPr>
              <w:jc w:val="both"/>
              <w:rPr>
                <w:rFonts w:ascii="Verdana" w:eastAsia="Calibri" w:hAnsi="Verdana" w:cs="Arial"/>
                <w:b/>
                <w:bCs/>
                <w:color w:val="7030A0"/>
                <w:lang w:val="es-ES_tradnl" w:eastAsia="es-ES_tradnl"/>
              </w:rPr>
            </w:pPr>
          </w:p>
        </w:tc>
        <w:tc>
          <w:tcPr>
            <w:tcW w:w="6614" w:type="dxa"/>
            <w:hideMark/>
          </w:tcPr>
          <w:p w14:paraId="0E79A163" w14:textId="77777777" w:rsidR="004A51DE" w:rsidRDefault="004A51DE" w:rsidP="00F82976">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1589</w:t>
            </w:r>
            <w:r w:rsidRPr="00C53B42">
              <w:rPr>
                <w:rFonts w:ascii="Verdana" w:eastAsia="Calibri" w:hAnsi="Verdana" w:cs="Arial"/>
                <w:b/>
                <w:bCs/>
                <w:lang w:val="es-ES" w:eastAsia="es-ES"/>
              </w:rPr>
              <w:t xml:space="preserve"> de 2025</w:t>
            </w:r>
          </w:p>
          <w:p w14:paraId="6B310B3C" w14:textId="77777777" w:rsidR="004A51DE" w:rsidRPr="00C53B42" w:rsidRDefault="004A51DE" w:rsidP="00F82976">
            <w:pPr>
              <w:jc w:val="both"/>
              <w:rPr>
                <w:rFonts w:ascii="Verdana" w:eastAsia="Calibri" w:hAnsi="Verdana" w:cs="Arial"/>
                <w:b/>
                <w:bCs/>
                <w:lang w:val="es-ES" w:eastAsia="es-ES"/>
              </w:rPr>
            </w:pPr>
          </w:p>
          <w:p w14:paraId="5388E672" w14:textId="77777777" w:rsidR="004A51DE" w:rsidRPr="00C53B42" w:rsidRDefault="004A51DE" w:rsidP="00F82976">
            <w:pPr>
              <w:jc w:val="both"/>
              <w:rPr>
                <w:rFonts w:ascii="Verdana" w:eastAsia="Calibri" w:hAnsi="Verdana" w:cs="Arial"/>
                <w:b/>
                <w:bCs/>
                <w:lang w:val="es-ES" w:eastAsia="es-ES"/>
              </w:rPr>
            </w:pPr>
          </w:p>
        </w:tc>
      </w:tr>
      <w:tr w:rsidR="004A51DE" w:rsidRPr="00C53B42" w14:paraId="6C2A62F3" w14:textId="77777777" w:rsidTr="00F82976">
        <w:trPr>
          <w:trHeight w:val="884"/>
        </w:trPr>
        <w:tc>
          <w:tcPr>
            <w:tcW w:w="2175" w:type="dxa"/>
            <w:hideMark/>
          </w:tcPr>
          <w:p w14:paraId="29677087" w14:textId="77777777" w:rsidR="004A51DE" w:rsidRPr="00C53B42" w:rsidRDefault="004A51DE" w:rsidP="00F82976">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0054B35A" w14:textId="77777777" w:rsidR="004A51DE" w:rsidRDefault="004A51DE" w:rsidP="00F82976">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w:t>
            </w:r>
            <w:r w:rsidRPr="00430973">
              <w:rPr>
                <w:rFonts w:ascii="Verdana" w:hAnsi="Verdana" w:cs="Arial"/>
                <w:bCs/>
                <w:color w:val="000000" w:themeColor="text1"/>
                <w:lang w:val="es-ES_tradnl"/>
              </w:rPr>
              <w:t>GARANTÍAS ELECTORALES ‒ Finalidad / LEY DE GARANTÍAS ELECTORALES ‒ Tipos de restricciones – Convenios interadministrativos</w:t>
            </w:r>
          </w:p>
          <w:p w14:paraId="4C714209" w14:textId="77777777" w:rsidR="004A51DE" w:rsidRDefault="004A51DE" w:rsidP="00F82976">
            <w:pPr>
              <w:jc w:val="both"/>
              <w:rPr>
                <w:rFonts w:ascii="Verdana" w:hAnsi="Verdana" w:cs="Arial"/>
                <w:bCs/>
                <w:color w:val="000000" w:themeColor="text1"/>
                <w:lang w:val="es-ES_tradnl"/>
              </w:rPr>
            </w:pPr>
          </w:p>
          <w:p w14:paraId="2FFF31E8" w14:textId="77777777" w:rsidR="004A51DE" w:rsidRPr="00C53B42" w:rsidRDefault="004A51DE" w:rsidP="00F82976">
            <w:pPr>
              <w:jc w:val="both"/>
              <w:rPr>
                <w:rFonts w:ascii="Verdana" w:eastAsia="Calibri" w:hAnsi="Verdana" w:cs="Arial"/>
                <w:lang w:val="es-ES" w:eastAsia="es-ES"/>
              </w:rPr>
            </w:pPr>
          </w:p>
        </w:tc>
      </w:tr>
      <w:tr w:rsidR="004A51DE" w14:paraId="6DC344F9" w14:textId="77777777" w:rsidTr="00F82976">
        <w:trPr>
          <w:trHeight w:val="360"/>
        </w:trPr>
        <w:tc>
          <w:tcPr>
            <w:tcW w:w="2175" w:type="dxa"/>
            <w:hideMark/>
          </w:tcPr>
          <w:p w14:paraId="31230408" w14:textId="77777777" w:rsidR="004A51DE" w:rsidRPr="00C53B42" w:rsidRDefault="004A51DE" w:rsidP="00F82976">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275E7535" w14:textId="77777777" w:rsidR="004A51DE" w:rsidRPr="00C53B42" w:rsidRDefault="004A51DE" w:rsidP="00F82976">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5C237F">
              <w:rPr>
                <w:rFonts w:ascii="Verdana" w:eastAsia="Calibri" w:hAnsi="Verdana" w:cs="Arial"/>
                <w:lang w:val="es-ES_tradnl" w:eastAsia="es-ES_tradnl"/>
              </w:rPr>
              <w:t>1_2025_10_29_012162</w:t>
            </w:r>
          </w:p>
        </w:tc>
      </w:tr>
    </w:tbl>
    <w:p w14:paraId="7739F2AC" w14:textId="77777777" w:rsidR="004A51DE" w:rsidRDefault="004A51DE" w:rsidP="004A51DE">
      <w:pPr>
        <w:spacing w:after="0" w:line="240" w:lineRule="auto"/>
        <w:jc w:val="both"/>
        <w:rPr>
          <w:rFonts w:ascii="Verdana" w:eastAsia="Calibri" w:hAnsi="Verdana" w:cs="Arial"/>
          <w:color w:val="000000"/>
          <w:lang w:val="es-ES_tradnl" w:eastAsia="es-ES_tradnl"/>
        </w:rPr>
      </w:pPr>
    </w:p>
    <w:p w14:paraId="051FB82F" w14:textId="77777777" w:rsidR="004A51DE" w:rsidRDefault="004A51DE" w:rsidP="004A51DE">
      <w:pPr>
        <w:spacing w:after="0" w:line="240" w:lineRule="auto"/>
        <w:jc w:val="both"/>
        <w:rPr>
          <w:rFonts w:ascii="Verdana" w:eastAsia="Calibri" w:hAnsi="Verdana" w:cs="Arial"/>
          <w:color w:val="000000"/>
          <w:lang w:val="es-ES_tradnl" w:eastAsia="es-ES_tradnl"/>
        </w:rPr>
      </w:pPr>
    </w:p>
    <w:p w14:paraId="2CE994C1" w14:textId="77777777" w:rsidR="004A51DE" w:rsidRDefault="004A51DE" w:rsidP="004A51DE">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Salgado,</w:t>
      </w:r>
    </w:p>
    <w:p w14:paraId="17FC7400" w14:textId="77777777" w:rsidR="004A51DE" w:rsidRDefault="004A51DE" w:rsidP="004A51D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AFAED34" w14:textId="77777777" w:rsidR="004A51DE" w:rsidRDefault="004A51DE" w:rsidP="004A51DE">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trasladada por la Contraloría General de la República el 29 de octubre de 2025, en la cual manifiesta lo siguiente: </w:t>
      </w:r>
    </w:p>
    <w:p w14:paraId="176ACF7E" w14:textId="77777777" w:rsidR="004A51DE" w:rsidRDefault="004A51DE" w:rsidP="004A51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7A6C1F4" w14:textId="77777777" w:rsidR="004A51DE" w:rsidRDefault="004A51DE" w:rsidP="004A51DE">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394C3C">
        <w:rPr>
          <w:rFonts w:ascii="Verdana" w:eastAsia="Century Gothic" w:hAnsi="Verdana" w:cs="Century Gothic"/>
          <w:sz w:val="20"/>
          <w:szCs w:val="20"/>
          <w:lang w:val="es-ES"/>
        </w:rPr>
        <w:t>Se solicita orientación sobre la correcta aplicación del parágrafo del artículo 38 de la Ley 996 de 2005 respecto a la suscripción de instrumentos interadministrativos que implican ejecución de recursos públicos durante la vigencia de las restricciones preelectorales. En particular, se requiere precisar si la prohibición aplica únicamente a los convenios interadministrativos o también a los contratos interadministrativos suscritos por contratación directa. Un Municipio proyecta: (i) un convenio (interadministrativo) con la ESP para la transferencia de subsidios, (</w:t>
      </w:r>
      <w:proofErr w:type="spellStart"/>
      <w:r w:rsidRPr="00394C3C">
        <w:rPr>
          <w:rFonts w:ascii="Verdana" w:eastAsia="Century Gothic" w:hAnsi="Verdana" w:cs="Century Gothic"/>
          <w:sz w:val="20"/>
          <w:szCs w:val="20"/>
          <w:lang w:val="es-ES"/>
        </w:rPr>
        <w:t>ii</w:t>
      </w:r>
      <w:proofErr w:type="spellEnd"/>
      <w:r w:rsidRPr="00394C3C">
        <w:rPr>
          <w:rFonts w:ascii="Verdana" w:eastAsia="Century Gothic" w:hAnsi="Verdana" w:cs="Century Gothic"/>
          <w:sz w:val="20"/>
          <w:szCs w:val="20"/>
          <w:lang w:val="es-ES"/>
        </w:rPr>
        <w:t>) un contrato interadministrativo con la ESP para el mantenimiento de zonas verdes y (</w:t>
      </w:r>
      <w:proofErr w:type="spellStart"/>
      <w:r w:rsidRPr="00394C3C">
        <w:rPr>
          <w:rFonts w:ascii="Verdana" w:eastAsia="Century Gothic" w:hAnsi="Verdana" w:cs="Century Gothic"/>
          <w:sz w:val="20"/>
          <w:szCs w:val="20"/>
          <w:lang w:val="es-ES"/>
        </w:rPr>
        <w:t>iii</w:t>
      </w:r>
      <w:proofErr w:type="spellEnd"/>
      <w:r w:rsidRPr="00394C3C">
        <w:rPr>
          <w:rFonts w:ascii="Verdana" w:eastAsia="Century Gothic" w:hAnsi="Verdana" w:cs="Century Gothic"/>
          <w:sz w:val="20"/>
          <w:szCs w:val="20"/>
          <w:lang w:val="es-ES"/>
        </w:rPr>
        <w:t>) un contrato interadministrativo con la ESE para la ejecución del PIC. Se solicita conceptear si dichos instrumentos pueden celebrarse después del 8 de noviembre de 2025, atendiendo el Auto Consejo de Estado</w:t>
      </w:r>
      <w:r w:rsidRPr="007A5855">
        <w:rPr>
          <w:rFonts w:ascii="Verdana" w:eastAsia="Century Gothic" w:hAnsi="Verdana" w:cs="Century Gothic"/>
          <w:sz w:val="20"/>
          <w:szCs w:val="20"/>
          <w:lang w:val="es-ES"/>
        </w:rPr>
        <w:t>.</w:t>
      </w:r>
      <w:r>
        <w:rPr>
          <w:rFonts w:ascii="Verdana" w:eastAsia="Century Gothic" w:hAnsi="Verdana" w:cs="Century Gothic"/>
          <w:sz w:val="20"/>
          <w:szCs w:val="20"/>
          <w:lang w:val="es-ES"/>
        </w:rPr>
        <w:t>”</w:t>
      </w:r>
    </w:p>
    <w:p w14:paraId="536B9BC9" w14:textId="77777777" w:rsidR="004A51DE" w:rsidRPr="00924340" w:rsidRDefault="004A51DE" w:rsidP="004A51DE">
      <w:pPr>
        <w:autoSpaceDE w:val="0"/>
        <w:autoSpaceDN w:val="0"/>
        <w:adjustRightInd w:val="0"/>
        <w:spacing w:after="0" w:line="276" w:lineRule="auto"/>
        <w:ind w:left="851" w:right="616"/>
        <w:jc w:val="both"/>
        <w:rPr>
          <w:rFonts w:ascii="Verdana" w:eastAsia="Century Gothic" w:hAnsi="Verdana" w:cs="Century Gothic"/>
          <w:b/>
        </w:rPr>
      </w:pPr>
    </w:p>
    <w:p w14:paraId="62444875" w14:textId="77777777" w:rsidR="004A51DE" w:rsidRDefault="004A51DE" w:rsidP="004A51DE">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09C938E" w14:textId="77777777" w:rsidR="004A51DE" w:rsidRDefault="004A51DE" w:rsidP="004A51DE">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1D5B3BC" w14:textId="77777777" w:rsidR="004A51DE" w:rsidRDefault="004A51DE" w:rsidP="004A51DE">
      <w:pPr>
        <w:spacing w:after="0" w:line="276" w:lineRule="auto"/>
        <w:ind w:firstLine="709"/>
        <w:jc w:val="both"/>
        <w:rPr>
          <w:rFonts w:ascii="Verdana" w:eastAsia="Calibri" w:hAnsi="Verdana" w:cs="Arial"/>
          <w:color w:val="000000"/>
          <w:lang w:val="es-ES" w:eastAsia="es-ES"/>
        </w:rPr>
      </w:pPr>
    </w:p>
    <w:p w14:paraId="3E5D0498" w14:textId="77777777" w:rsidR="004A51DE" w:rsidRDefault="004A51DE" w:rsidP="004A51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11861822" w14:textId="77777777" w:rsidR="004A51DE" w:rsidRDefault="004A51DE" w:rsidP="004A51DE">
      <w:pPr>
        <w:tabs>
          <w:tab w:val="left" w:pos="426"/>
        </w:tabs>
        <w:spacing w:after="0" w:line="276" w:lineRule="auto"/>
        <w:jc w:val="both"/>
        <w:rPr>
          <w:rFonts w:ascii="Verdana" w:eastAsia="Century Gothic" w:hAnsi="Verdana" w:cs="Century Gothic"/>
          <w:lang w:val="es-ES"/>
        </w:rPr>
      </w:pPr>
    </w:p>
    <w:p w14:paraId="60588CD1" w14:textId="77777777" w:rsidR="004A51DE" w:rsidRDefault="004A51DE" w:rsidP="004A51DE">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w:t>
      </w:r>
      <w:r w:rsidRPr="004E1038">
        <w:rPr>
          <w:rFonts w:ascii="Verdana" w:eastAsia="Century Gothic" w:hAnsi="Verdana" w:cs="Century Gothic"/>
        </w:rPr>
        <w:t>la restricción contenida en el</w:t>
      </w:r>
      <w:r w:rsidRPr="004E1038">
        <w:rPr>
          <w:rFonts w:ascii="Verdana" w:eastAsia="Century Gothic" w:hAnsi="Verdana" w:cs="Century Gothic"/>
          <w:lang w:val="es-ES"/>
        </w:rPr>
        <w:t xml:space="preserve"> parágrafo del artículo 38 de la Ley 996 de 2005 aplica únicamente a convenios interadministrativos</w:t>
      </w:r>
      <w:r w:rsidRPr="004E1038">
        <w:rPr>
          <w:rFonts w:ascii="Verdana" w:eastAsia="Century Gothic" w:hAnsi="Verdana" w:cs="Century Gothic"/>
        </w:rPr>
        <w:t>?</w:t>
      </w:r>
    </w:p>
    <w:p w14:paraId="401F1E2B" w14:textId="77777777" w:rsidR="004A51DE" w:rsidRDefault="004A51DE" w:rsidP="004A51DE">
      <w:pPr>
        <w:spacing w:after="0" w:line="276" w:lineRule="auto"/>
        <w:jc w:val="both"/>
        <w:rPr>
          <w:rFonts w:ascii="Verdana" w:eastAsia="Calibri" w:hAnsi="Verdana" w:cs="Arial"/>
          <w:color w:val="7030A0"/>
          <w:lang w:val="es-ES"/>
        </w:rPr>
      </w:pPr>
    </w:p>
    <w:p w14:paraId="04D53536" w14:textId="77777777" w:rsidR="004A51DE" w:rsidRDefault="004A51DE" w:rsidP="004A51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2670714" w14:textId="77777777" w:rsidR="004A51DE" w:rsidRDefault="004A51DE" w:rsidP="004A51D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51DE" w:rsidRPr="00DE5508" w14:paraId="71B7B757" w14:textId="77777777" w:rsidTr="00F82976">
        <w:tc>
          <w:tcPr>
            <w:tcW w:w="8828" w:type="dxa"/>
            <w:tcBorders>
              <w:top w:val="dotted" w:sz="4" w:space="0" w:color="auto"/>
              <w:left w:val="dotted" w:sz="4" w:space="0" w:color="auto"/>
              <w:bottom w:val="dotted" w:sz="4" w:space="0" w:color="auto"/>
              <w:right w:val="dotted" w:sz="4" w:space="0" w:color="auto"/>
            </w:tcBorders>
          </w:tcPr>
          <w:p w14:paraId="45872F0E" w14:textId="77777777" w:rsidR="004A51DE" w:rsidRDefault="004A51DE" w:rsidP="00F82976">
            <w:pPr>
              <w:spacing w:after="120" w:line="276" w:lineRule="auto"/>
              <w:jc w:val="both"/>
              <w:rPr>
                <w:rFonts w:ascii="Verdana" w:eastAsia="Arial" w:hAnsi="Verdana" w:cs="Arial"/>
                <w:color w:val="000000"/>
              </w:rPr>
            </w:pPr>
            <w:r>
              <w:rPr>
                <w:rFonts w:ascii="Verdana" w:hAnsi="Verdana" w:cs="BCDHEE+Verdana"/>
                <w:color w:val="000000"/>
              </w:rPr>
              <w:t xml:space="preserve">El parágrafo del artículo 38 de la Ley 996 de 2005 </w:t>
            </w:r>
            <w:r w:rsidRPr="00DE5508">
              <w:rPr>
                <w:rFonts w:ascii="Verdana" w:hAnsi="Verdana" w:cs="BCDHEE+Verdana"/>
                <w:color w:val="000000"/>
              </w:rPr>
              <w:t xml:space="preserve">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p>
          <w:p w14:paraId="6E250D0B" w14:textId="77777777" w:rsidR="004A51DE" w:rsidRDefault="004A51DE" w:rsidP="00F8297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w:t>
            </w:r>
            <w:r w:rsidRPr="00E2397D">
              <w:rPr>
                <w:rFonts w:ascii="Verdana" w:eastAsia="Times New Roman" w:hAnsi="Verdana" w:cs="Arial"/>
                <w:lang w:val="es-MX" w:eastAsia="es-CO"/>
              </w:rPr>
              <w:lastRenderedPageBreak/>
              <w:t xml:space="preserve">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E72517D" w14:textId="77777777" w:rsidR="004A51DE" w:rsidRDefault="004A51DE" w:rsidP="00F82976">
            <w:pPr>
              <w:spacing w:before="12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22ACF0DE" w14:textId="77777777" w:rsidR="004A51DE" w:rsidRPr="00BC3A80" w:rsidRDefault="004A51DE" w:rsidP="00F82976">
            <w:pPr>
              <w:spacing w:before="12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5FA140ED" w14:textId="77777777" w:rsidR="004A51DE" w:rsidRDefault="004A51DE" w:rsidP="00F82976">
            <w:pPr>
              <w:spacing w:before="120" w:line="276" w:lineRule="auto"/>
              <w:ind w:firstLine="708"/>
              <w:jc w:val="both"/>
              <w:rPr>
                <w:rFonts w:ascii="Verdana" w:eastAsia="Arial" w:hAnsi="Verdana" w:cs="Arial"/>
                <w:color w:val="000000"/>
              </w:rPr>
            </w:pPr>
            <w:r>
              <w:rPr>
                <w:rFonts w:ascii="Verdana" w:eastAsia="Times New Roman" w:hAnsi="Verdana" w:cs="Arial"/>
                <w:lang w:eastAsia="es-CO"/>
              </w:rPr>
              <w:t xml:space="preserve">Por último, se resalta </w:t>
            </w:r>
            <w:proofErr w:type="gramStart"/>
            <w:r>
              <w:rPr>
                <w:rFonts w:ascii="Verdana" w:eastAsia="Times New Roman" w:hAnsi="Verdana" w:cs="Arial"/>
                <w:lang w:eastAsia="es-CO"/>
              </w:rPr>
              <w:t>que</w:t>
            </w:r>
            <w:proofErr w:type="gramEnd"/>
            <w:r>
              <w:rPr>
                <w:rFonts w:ascii="Verdana" w:eastAsia="Times New Roman" w:hAnsi="Verdana" w:cs="Arial"/>
                <w:lang w:eastAsia="es-CO"/>
              </w:rPr>
              <w:t xml:space="preserve"> a</w:t>
            </w:r>
            <w:r w:rsidRPr="00BC3A80">
              <w:rPr>
                <w:rFonts w:ascii="Verdana" w:eastAsia="Times New Roman" w:hAnsi="Verdana" w:cs="Arial"/>
                <w:lang w:eastAsia="es-CO"/>
              </w:rPr>
              <w:t xml:space="preserve"> la luz de lo expuesto por el Consejo de Estado en los autos del 4 de octubre de 2024 y 6 de noviembre de 2025,</w:t>
            </w:r>
            <w:r>
              <w:rPr>
                <w:rFonts w:ascii="Verdana" w:eastAsia="Times New Roman" w:hAnsi="Verdana" w:cs="Arial"/>
                <w:lang w:eastAsia="es-CO"/>
              </w:rPr>
              <w:t xml:space="preserve"> y en la Sentencia del 17 de octubre de 2025,</w:t>
            </w:r>
            <w:r w:rsidRPr="00BC3A80">
              <w:rPr>
                <w:rFonts w:ascii="Verdana" w:eastAsia="Times New Roman" w:hAnsi="Verdana" w:cs="Arial"/>
                <w:lang w:eastAsia="es-CO"/>
              </w:rPr>
              <w:t xml:space="preserve"> no resultaría aplicable la prohibición del parágrafo del artículo 38 de la Ley de Garantías Electorales a los </w:t>
            </w:r>
            <w:r w:rsidRPr="00BC3A80">
              <w:rPr>
                <w:rFonts w:ascii="Verdana" w:eastAsia="Times New Roman" w:hAnsi="Verdana" w:cs="Arial"/>
                <w:i/>
                <w:iCs/>
                <w:lang w:eastAsia="es-CO"/>
              </w:rPr>
              <w:t>contratos interadministrativos</w:t>
            </w:r>
            <w:r>
              <w:rPr>
                <w:rFonts w:ascii="Verdana" w:eastAsia="Times New Roman" w:hAnsi="Verdana" w:cs="Arial"/>
                <w:lang w:eastAsia="es-CO"/>
              </w:rPr>
              <w:t xml:space="preserve"> sino únicamente a los </w:t>
            </w:r>
            <w:r w:rsidRPr="002A503A">
              <w:rPr>
                <w:rFonts w:ascii="Verdana" w:eastAsia="Times New Roman" w:hAnsi="Verdana" w:cs="Arial"/>
                <w:i/>
                <w:iCs/>
                <w:lang w:eastAsia="es-CO"/>
              </w:rPr>
              <w:t>convenios interadministrativos</w:t>
            </w:r>
            <w:r>
              <w:rPr>
                <w:rFonts w:ascii="Verdana" w:eastAsia="Times New Roman" w:hAnsi="Verdana" w:cs="Arial"/>
                <w:lang w:eastAsia="es-CO"/>
              </w:rPr>
              <w:t>.</w:t>
            </w:r>
          </w:p>
          <w:p w14:paraId="48449A7D" w14:textId="77777777" w:rsidR="004A51DE" w:rsidRPr="00F2587B" w:rsidRDefault="004A51DE" w:rsidP="00F82976">
            <w:pPr>
              <w:spacing w:after="120" w:line="276" w:lineRule="auto"/>
              <w:ind w:firstLine="740"/>
              <w:jc w:val="both"/>
              <w:rPr>
                <w:rFonts w:ascii="Verdana" w:eastAsia="Arial" w:hAnsi="Verdana" w:cs="Arial"/>
                <w:color w:val="000000"/>
              </w:rPr>
            </w:pPr>
            <w:r>
              <w:rPr>
                <w:rFonts w:ascii="Verdana" w:hAnsi="Verdana" w:cs="BCDHEE+Verdana"/>
                <w:color w:val="000000"/>
              </w:rPr>
              <w:t>En cuanto a la fecha de inicio de la restricción p</w:t>
            </w:r>
            <w:r w:rsidRPr="00DE5508">
              <w:rPr>
                <w:rFonts w:ascii="Verdana" w:hAnsi="Verdana" w:cs="BCDHEE+Verdana"/>
                <w:color w:val="000000"/>
              </w:rPr>
              <w:t>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el Consejo Nacional Electoral mediante Resolución No. 2581 del 5 de marzo de 2025, de acuerdo con el artículo 38 de la Ley 996 de 2005,</w:t>
            </w:r>
            <w:r>
              <w:rPr>
                <w:rFonts w:ascii="Verdana" w:hAnsi="Verdana" w:cs="BCDHEE+Verdana"/>
                <w:color w:val="000000"/>
              </w:rPr>
              <w:t xml:space="preserve"> por lo cual la anterior restricción </w:t>
            </w:r>
            <w:r w:rsidRPr="00DE5508">
              <w:rPr>
                <w:rFonts w:ascii="Verdana" w:hAnsi="Verdana" w:cs="BCDHEE+Verdana"/>
                <w:color w:val="000000"/>
              </w:rPr>
              <w:t>inici</w:t>
            </w:r>
            <w:r>
              <w:rPr>
                <w:rFonts w:ascii="Verdana" w:hAnsi="Verdana" w:cs="BCDHEE+Verdana"/>
                <w:color w:val="000000"/>
              </w:rPr>
              <w:t>ó</w:t>
            </w:r>
            <w:r w:rsidRPr="00DE5508">
              <w:rPr>
                <w:rFonts w:ascii="Verdana" w:hAnsi="Verdana" w:cs="BCDHEE+Verdana"/>
                <w:color w:val="000000"/>
              </w:rPr>
              <w:t xml:space="preserve"> el 8 de noviembre de 2025, es decir, </w:t>
            </w:r>
            <w:r>
              <w:rPr>
                <w:rFonts w:ascii="Verdana" w:hAnsi="Verdana" w:cs="BCDHEE+Verdana"/>
                <w:color w:val="000000"/>
              </w:rPr>
              <w:t>cuatro</w:t>
            </w:r>
            <w:r w:rsidRPr="00DE5508">
              <w:rPr>
                <w:rFonts w:ascii="Verdana" w:hAnsi="Verdana" w:cs="BCDHEE+Verdana"/>
                <w:color w:val="000000"/>
              </w:rPr>
              <w:t xml:space="preserve"> </w:t>
            </w:r>
            <w:r>
              <w:rPr>
                <w:rFonts w:ascii="Verdana" w:hAnsi="Verdana" w:cs="BCDHEE+Verdana"/>
                <w:color w:val="000000"/>
              </w:rPr>
              <w:t>(</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antes de la fecha de las elecciones</w:t>
            </w:r>
            <w:r>
              <w:rPr>
                <w:rFonts w:ascii="Verdana" w:hAnsi="Verdana" w:cs="BCDHEE+Verdana"/>
                <w:color w:val="000000"/>
              </w:rPr>
              <w:t>.</w:t>
            </w:r>
          </w:p>
          <w:p w14:paraId="0AE797D0" w14:textId="77777777" w:rsidR="004A51DE" w:rsidRPr="00DE5508" w:rsidRDefault="004A51DE" w:rsidP="00F82976">
            <w:pPr>
              <w:spacing w:after="120" w:line="276" w:lineRule="auto"/>
              <w:ind w:firstLine="709"/>
              <w:jc w:val="both"/>
              <w:rPr>
                <w:rFonts w:ascii="Verdana" w:hAnsi="Verdana"/>
              </w:rPr>
            </w:pPr>
            <w:r>
              <w:rPr>
                <w:rFonts w:ascii="Verdana" w:hAnsi="Verdana" w:cs="BCDHEE+Verdana"/>
                <w:color w:val="000000"/>
              </w:rPr>
              <w:lastRenderedPageBreak/>
              <w:t xml:space="preserve"> </w:t>
            </w: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00167F6" w14:textId="77777777" w:rsidR="004A51DE" w:rsidRPr="00DE5508" w:rsidRDefault="004A51DE" w:rsidP="004A51DE">
      <w:pPr>
        <w:tabs>
          <w:tab w:val="left" w:pos="142"/>
          <w:tab w:val="left" w:pos="284"/>
        </w:tabs>
        <w:spacing w:after="0" w:line="276" w:lineRule="auto"/>
        <w:jc w:val="both"/>
        <w:rPr>
          <w:rFonts w:ascii="Verdana" w:eastAsia="Century Gothic" w:hAnsi="Verdana" w:cs="Century Gothic"/>
          <w:b/>
          <w:bCs/>
          <w:lang w:val="es-ES"/>
        </w:rPr>
      </w:pPr>
    </w:p>
    <w:p w14:paraId="40FE1CD0" w14:textId="77777777" w:rsidR="004A51DE" w:rsidRDefault="004A51DE" w:rsidP="004A51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6FA4263C" w14:textId="77777777" w:rsidR="004A51DE" w:rsidRDefault="004A51DE" w:rsidP="004A51DE">
      <w:pPr>
        <w:spacing w:after="0" w:line="276" w:lineRule="auto"/>
        <w:jc w:val="both"/>
        <w:rPr>
          <w:rFonts w:ascii="Verdana" w:eastAsia="Calibri" w:hAnsi="Verdana" w:cs="Arial"/>
          <w:color w:val="7030A0"/>
          <w:lang w:val="es-ES"/>
        </w:rPr>
      </w:pPr>
    </w:p>
    <w:p w14:paraId="075BC15D" w14:textId="77777777" w:rsidR="004A51DE" w:rsidRDefault="004A51DE" w:rsidP="004A51DE">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6615C01C" w14:textId="77777777" w:rsidR="004A51DE" w:rsidRDefault="004A51DE" w:rsidP="004A51DE">
      <w:pPr>
        <w:widowControl w:val="0"/>
        <w:autoSpaceDE w:val="0"/>
        <w:autoSpaceDN w:val="0"/>
        <w:spacing w:after="0" w:line="276" w:lineRule="auto"/>
        <w:ind w:right="176"/>
        <w:jc w:val="both"/>
        <w:rPr>
          <w:rFonts w:ascii="Verdana" w:eastAsia="Calibri" w:hAnsi="Verdana" w:cs="Arial"/>
          <w:lang w:val="es-ES"/>
        </w:rPr>
      </w:pPr>
    </w:p>
    <w:p w14:paraId="6B77DC45" w14:textId="77777777" w:rsidR="004A51DE" w:rsidRDefault="004A51DE" w:rsidP="004A51DE">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704A24B2" w14:textId="77777777" w:rsidR="004A51DE" w:rsidRPr="006B14B5" w:rsidRDefault="004A51DE" w:rsidP="004A51DE">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76EB493" w14:textId="77777777" w:rsidR="004A51DE" w:rsidRPr="00E2397D" w:rsidRDefault="004A51DE" w:rsidP="004A51DE">
      <w:pPr>
        <w:spacing w:after="0" w:line="276" w:lineRule="auto"/>
        <w:ind w:right="709"/>
        <w:contextualSpacing/>
        <w:jc w:val="both"/>
        <w:rPr>
          <w:rFonts w:ascii="Verdana" w:eastAsia="Times New Roman" w:hAnsi="Verdana" w:cs="Arial"/>
          <w:lang w:val="es-ES" w:eastAsia="es-CO"/>
        </w:rPr>
      </w:pPr>
    </w:p>
    <w:p w14:paraId="1D126B9B" w14:textId="77777777" w:rsidR="004A51DE" w:rsidRPr="00E2397D" w:rsidRDefault="004A51DE" w:rsidP="004A51D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6B6EAFA" w14:textId="77777777" w:rsidR="004A51DE" w:rsidRPr="00E2397D" w:rsidRDefault="004A51DE" w:rsidP="004A51DE">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2617893" w14:textId="77777777" w:rsidR="004A51DE" w:rsidRPr="00E2397D" w:rsidRDefault="004A51DE" w:rsidP="004A51D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w:t>
      </w:r>
      <w:r w:rsidRPr="00E2397D">
        <w:rPr>
          <w:rFonts w:ascii="Verdana" w:eastAsia="Times New Roman" w:hAnsi="Verdana" w:cs="Arial"/>
          <w:sz w:val="20"/>
          <w:szCs w:val="20"/>
          <w:lang w:val="es-MX" w:eastAsia="es-CO"/>
        </w:rPr>
        <w:lastRenderedPageBreak/>
        <w:t>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405B6DA1" w14:textId="77777777" w:rsidR="004A51DE" w:rsidRPr="00E2397D" w:rsidRDefault="004A51DE" w:rsidP="004A51DE">
      <w:pPr>
        <w:spacing w:after="0" w:line="276" w:lineRule="auto"/>
        <w:ind w:firstLine="709"/>
        <w:jc w:val="both"/>
        <w:rPr>
          <w:rFonts w:ascii="Verdana" w:eastAsia="Times New Roman" w:hAnsi="Verdana" w:cs="Arial"/>
          <w:lang w:val="es-MX" w:eastAsia="es-CO"/>
        </w:rPr>
      </w:pPr>
    </w:p>
    <w:p w14:paraId="0E89853E" w14:textId="77777777" w:rsidR="004A51DE" w:rsidRPr="00E2397D" w:rsidRDefault="004A51DE" w:rsidP="004A51DE">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4CC96780" w14:textId="77777777" w:rsidR="004A51DE" w:rsidRPr="00886C02" w:rsidRDefault="004A51DE" w:rsidP="004A51DE">
      <w:pPr>
        <w:spacing w:after="0" w:line="276" w:lineRule="auto"/>
        <w:ind w:firstLine="709"/>
        <w:jc w:val="both"/>
        <w:rPr>
          <w:rFonts w:ascii="Verdana" w:eastAsia="Times New Roman" w:hAnsi="Verdana" w:cs="Arial"/>
          <w:lang w:val="es-MX" w:eastAsia="es-CO"/>
        </w:rPr>
      </w:pPr>
    </w:p>
    <w:p w14:paraId="65947A61" w14:textId="77777777" w:rsidR="004A51DE" w:rsidRPr="00E2397D" w:rsidRDefault="004A51DE" w:rsidP="004A51D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C27D620" w14:textId="77777777" w:rsidR="004A51DE" w:rsidRPr="00E2397D" w:rsidRDefault="004A51DE" w:rsidP="004A51DE">
      <w:pPr>
        <w:spacing w:after="0" w:line="240" w:lineRule="auto"/>
        <w:ind w:right="709"/>
        <w:contextualSpacing/>
        <w:jc w:val="both"/>
        <w:rPr>
          <w:rFonts w:ascii="Verdana" w:eastAsia="Times New Roman" w:hAnsi="Verdana" w:cs="Arial"/>
          <w:lang w:val="es-MX" w:eastAsia="es-CO"/>
        </w:rPr>
      </w:pPr>
    </w:p>
    <w:p w14:paraId="6F4E38E7" w14:textId="77777777" w:rsidR="004A51DE" w:rsidRPr="00E2397D" w:rsidRDefault="004A51DE" w:rsidP="004A51D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w:t>
      </w:r>
      <w:r w:rsidRPr="00E2397D">
        <w:rPr>
          <w:rFonts w:ascii="Verdana" w:eastAsia="Times New Roman" w:hAnsi="Verdana" w:cs="Arial"/>
          <w:sz w:val="20"/>
          <w:szCs w:val="20"/>
          <w:lang w:val="es-MX" w:eastAsia="es-CO"/>
        </w:rPr>
        <w:lastRenderedPageBreak/>
        <w:t>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26E9E75C" w14:textId="77777777" w:rsidR="004A51DE" w:rsidRPr="00E2397D" w:rsidRDefault="004A51DE" w:rsidP="004A51DE">
      <w:pPr>
        <w:spacing w:after="0" w:line="276" w:lineRule="auto"/>
        <w:jc w:val="both"/>
        <w:rPr>
          <w:rFonts w:ascii="Verdana" w:eastAsia="Calibri" w:hAnsi="Verdana" w:cs="Arial"/>
          <w:bCs/>
          <w:lang w:val="es-ES_tradnl"/>
        </w:rPr>
      </w:pPr>
    </w:p>
    <w:p w14:paraId="765D8E8F" w14:textId="77777777" w:rsidR="004A51DE" w:rsidRPr="00B3605D" w:rsidRDefault="004A51DE" w:rsidP="004A51DE">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E32F17E" w14:textId="77777777" w:rsidR="004A51DE" w:rsidRPr="00D61E29" w:rsidRDefault="004A51DE" w:rsidP="004A51DE">
      <w:pPr>
        <w:spacing w:after="0" w:line="276" w:lineRule="auto"/>
        <w:ind w:firstLine="708"/>
        <w:jc w:val="both"/>
        <w:rPr>
          <w:rFonts w:ascii="Verdana" w:eastAsia="Times New Roman" w:hAnsi="Verdana" w:cs="Open Sans"/>
          <w:lang w:eastAsia="es-CO"/>
        </w:rPr>
      </w:pPr>
      <w:r>
        <w:rPr>
          <w:rFonts w:ascii="Verdana" w:eastAsia="Times New Roman" w:hAnsi="Verdana" w:cs="Open Sans"/>
          <w:iCs/>
          <w:lang w:val="es-ES" w:eastAsia="es-CO"/>
        </w:rPr>
        <w:t xml:space="preserve">Para resolver el problema jurídico de esta consulta, es necesario analizar </w:t>
      </w:r>
      <w:r w:rsidRPr="00D61E29">
        <w:rPr>
          <w:rFonts w:ascii="Verdana" w:eastAsia="Times New Roman" w:hAnsi="Verdana" w:cs="Open Sans"/>
          <w:lang w:eastAsia="es-CO"/>
        </w:rPr>
        <w:t xml:space="preserve">el parágrafo del artículo 38 </w:t>
      </w:r>
      <w:r>
        <w:rPr>
          <w:rFonts w:ascii="Verdana" w:eastAsia="Times New Roman" w:hAnsi="Verdana" w:cs="Open Sans"/>
          <w:lang w:eastAsia="es-CO"/>
        </w:rPr>
        <w:t xml:space="preserve">de la Ley de Garantía Electorales que </w:t>
      </w:r>
      <w:r w:rsidRPr="00D61E29">
        <w:rPr>
          <w:rFonts w:ascii="Verdana" w:eastAsia="Calibri" w:hAnsi="Verdana" w:cs="Arial"/>
        </w:rPr>
        <w:t>prevé una restricción, aplicable respecto de cualquier tipo de contienda electoral, como sigue:</w:t>
      </w:r>
    </w:p>
    <w:p w14:paraId="03675E32" w14:textId="77777777" w:rsidR="004A51DE" w:rsidRDefault="004A51DE" w:rsidP="004A51DE">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2F955B8A" w14:textId="77777777" w:rsidR="004A51DE" w:rsidRPr="00D61E29" w:rsidRDefault="004A51DE" w:rsidP="004A51DE">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FE57987" w14:textId="77777777" w:rsidR="004A51DE" w:rsidRPr="00D61E29" w:rsidRDefault="004A51DE" w:rsidP="004A51DE">
      <w:pPr>
        <w:pStyle w:val="NormalWeb"/>
        <w:spacing w:before="0" w:beforeAutospacing="0" w:after="0" w:afterAutospacing="0"/>
        <w:ind w:left="709" w:right="709"/>
        <w:jc w:val="both"/>
        <w:rPr>
          <w:rFonts w:ascii="Verdana" w:hAnsi="Verdana" w:cs="Open Sans"/>
          <w:sz w:val="20"/>
          <w:szCs w:val="20"/>
        </w:rPr>
      </w:pPr>
    </w:p>
    <w:p w14:paraId="7173F2F4" w14:textId="77777777" w:rsidR="004A51DE" w:rsidRPr="00D61E29" w:rsidRDefault="004A51DE" w:rsidP="004A51DE">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083C5C5A" w14:textId="77777777" w:rsidR="004A51DE" w:rsidRDefault="004A51DE" w:rsidP="004A51DE">
      <w:pPr>
        <w:pStyle w:val="NormalWeb"/>
        <w:spacing w:before="0" w:beforeAutospacing="0" w:after="0" w:afterAutospacing="0"/>
        <w:ind w:left="709" w:right="709"/>
        <w:jc w:val="both"/>
        <w:rPr>
          <w:rFonts w:ascii="Verdana" w:hAnsi="Verdana" w:cs="Open Sans"/>
          <w:sz w:val="20"/>
          <w:szCs w:val="20"/>
        </w:rPr>
      </w:pPr>
    </w:p>
    <w:p w14:paraId="0EAF96C8" w14:textId="77777777" w:rsidR="004A51DE" w:rsidRPr="00D61E29" w:rsidRDefault="004A51DE" w:rsidP="004A51DE">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01381EF9" w14:textId="77777777" w:rsidR="004A51DE" w:rsidRDefault="004A51DE" w:rsidP="004A51DE">
      <w:pPr>
        <w:pStyle w:val="NormalWeb"/>
        <w:spacing w:before="0" w:beforeAutospacing="0" w:after="0" w:afterAutospacing="0"/>
        <w:ind w:left="709" w:right="709"/>
        <w:jc w:val="both"/>
        <w:rPr>
          <w:rFonts w:ascii="Verdana" w:hAnsi="Verdana" w:cs="Open Sans"/>
          <w:sz w:val="20"/>
          <w:szCs w:val="20"/>
        </w:rPr>
      </w:pPr>
    </w:p>
    <w:p w14:paraId="6108DF4B" w14:textId="77777777" w:rsidR="004A51DE" w:rsidRPr="00D61E29" w:rsidRDefault="004A51DE" w:rsidP="004A51DE">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lastRenderedPageBreak/>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2C6B19DD" w14:textId="77777777" w:rsidR="004A51DE" w:rsidRDefault="004A51DE" w:rsidP="004A51DE">
      <w:pPr>
        <w:widowControl w:val="0"/>
        <w:autoSpaceDE w:val="0"/>
        <w:autoSpaceDN w:val="0"/>
        <w:spacing w:after="0" w:line="276" w:lineRule="auto"/>
        <w:ind w:right="113"/>
        <w:contextualSpacing/>
        <w:jc w:val="both"/>
      </w:pPr>
    </w:p>
    <w:p w14:paraId="23CBFB85" w14:textId="77777777" w:rsidR="004A51DE" w:rsidRDefault="004A51DE" w:rsidP="004A51DE">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1"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1"/>
    </w:p>
    <w:p w14:paraId="637CD4B0" w14:textId="77777777" w:rsidR="004A51DE" w:rsidRPr="00BC3A80" w:rsidRDefault="004A51DE" w:rsidP="004A51DE">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46F846B1" w14:textId="77777777" w:rsidR="004A51DE" w:rsidRPr="00BC3A80" w:rsidRDefault="004A51DE" w:rsidP="004A51DE">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3DBCDD93" w14:textId="77777777" w:rsidR="004A51DE" w:rsidRPr="00BC3A80" w:rsidRDefault="004A51DE" w:rsidP="004A51DE">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De esta manera, conforme a lo dispuesto en la Circular referida, si se suscriben </w:t>
      </w:r>
      <w:r w:rsidRPr="00BC3A80">
        <w:rPr>
          <w:rFonts w:ascii="Verdana" w:eastAsia="Times New Roman" w:hAnsi="Verdana" w:cs="Arial"/>
          <w:i/>
          <w:iCs/>
          <w:lang w:eastAsia="es-CO"/>
        </w:rPr>
        <w:t>convenios interadministrativos para la ejecución de recursos públicos</w:t>
      </w:r>
      <w:r w:rsidRPr="00BC3A80">
        <w:rPr>
          <w:rFonts w:ascii="Verdana" w:eastAsia="Times New Roman" w:hAnsi="Verdana" w:cs="Arial"/>
          <w:lang w:eastAsia="es-CO"/>
        </w:rPr>
        <w:t xml:space="preserve"> por los alcaldes, gobernadores, secretarios, gerentes y directores de las entidades del orden municipal, departamental o distrital, aplicará la prohibición </w:t>
      </w:r>
      <w:r w:rsidRPr="00BC3A80">
        <w:rPr>
          <w:rFonts w:ascii="Verdana" w:eastAsia="Times New Roman" w:hAnsi="Verdana" w:cs="Arial"/>
          <w:lang w:eastAsia="es-CO"/>
        </w:rPr>
        <w:lastRenderedPageBreak/>
        <w:t xml:space="preserve">del parágrafo del artículo 38 </w:t>
      </w:r>
      <w:r w:rsidRPr="00BC3A80">
        <w:rPr>
          <w:rFonts w:ascii="Verdana" w:eastAsia="Times New Roman" w:hAnsi="Verdana" w:cs="Arial"/>
          <w:i/>
          <w:iCs/>
          <w:lang w:eastAsia="es-CO"/>
        </w:rPr>
        <w:t>ibidem</w:t>
      </w:r>
      <w:r w:rsidRPr="00BC3A80">
        <w:rPr>
          <w:rFonts w:ascii="Verdana" w:eastAsia="Times New Roman" w:hAnsi="Verdana" w:cs="Arial"/>
          <w:lang w:eastAsia="es-CO"/>
        </w:rPr>
        <w:t>, independientemente de que se configure alguno de los supuestos de excepción que señaló el inciso final del artículo 33, es decir, que se trate de:</w:t>
      </w:r>
      <w:r w:rsidRPr="00BC3A80">
        <w:rPr>
          <w:rFonts w:ascii="Verdana" w:hAnsi="Verdana" w:cs="Arial"/>
          <w:bCs/>
          <w:lang w:val="es-MX" w:eastAsia="x-none"/>
        </w:rPr>
        <w:t xml:space="preserve"> i) la defensa y seguridad del Estado; </w:t>
      </w:r>
      <w:proofErr w:type="spellStart"/>
      <w:r w:rsidRPr="00BC3A80">
        <w:rPr>
          <w:rFonts w:ascii="Verdana" w:hAnsi="Verdana" w:cs="Arial"/>
          <w:bCs/>
          <w:lang w:val="es-MX" w:eastAsia="x-none"/>
        </w:rPr>
        <w:t>ii</w:t>
      </w:r>
      <w:proofErr w:type="spellEnd"/>
      <w:r w:rsidRPr="00BC3A80">
        <w:rPr>
          <w:rFonts w:ascii="Verdana" w:hAnsi="Verdana" w:cs="Arial"/>
          <w:bCs/>
          <w:lang w:val="es-MX" w:eastAsia="x-none"/>
        </w:rPr>
        <w:t xml:space="preserve">) los contratos de crédito público; </w:t>
      </w:r>
      <w:proofErr w:type="spellStart"/>
      <w:r w:rsidRPr="00BC3A80">
        <w:rPr>
          <w:rFonts w:ascii="Verdana" w:hAnsi="Verdana" w:cs="Arial"/>
          <w:bCs/>
          <w:lang w:val="es-MX" w:eastAsia="x-none"/>
        </w:rPr>
        <w:t>iii</w:t>
      </w:r>
      <w:proofErr w:type="spellEnd"/>
      <w:r w:rsidRPr="00BC3A80">
        <w:rPr>
          <w:rFonts w:ascii="Verdana" w:hAnsi="Verdana" w:cs="Arial"/>
          <w:bCs/>
          <w:lang w:val="es-MX" w:eastAsia="x-none"/>
        </w:rPr>
        <w:t xml:space="preserve">) los requeridos para cubrir las emergencias educativas, sanitarias y desastres; </w:t>
      </w:r>
      <w:proofErr w:type="spellStart"/>
      <w:r w:rsidRPr="00BC3A80">
        <w:rPr>
          <w:rFonts w:ascii="Verdana" w:hAnsi="Verdana" w:cs="Arial"/>
          <w:bCs/>
          <w:lang w:val="es-MX" w:eastAsia="x-none"/>
        </w:rPr>
        <w:t>iv</w:t>
      </w:r>
      <w:proofErr w:type="spellEnd"/>
      <w:r w:rsidRPr="00BC3A80">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C3A80">
        <w:rPr>
          <w:rFonts w:ascii="Verdana" w:hAnsi="Verdana" w:cs="Arial"/>
          <w:bCs/>
          <w:lang w:val="es-MX" w:eastAsia="es-CO"/>
        </w:rPr>
        <w:t xml:space="preserve"> </w:t>
      </w:r>
      <w:r w:rsidRPr="00BC3A80">
        <w:rPr>
          <w:rFonts w:ascii="Verdana" w:eastAsia="Times New Roman" w:hAnsi="Verdana" w:cs="Arial"/>
          <w:lang w:eastAsia="es-CO"/>
        </w:rPr>
        <w:t xml:space="preserve">  </w:t>
      </w:r>
    </w:p>
    <w:p w14:paraId="118D321D" w14:textId="77777777" w:rsidR="004A51DE" w:rsidRPr="00BC3A80" w:rsidRDefault="004A51DE" w:rsidP="004A51DE">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En este punto, vale la pena destacar </w:t>
      </w:r>
      <w:proofErr w:type="gramStart"/>
      <w:r w:rsidRPr="00BC3A80">
        <w:rPr>
          <w:rFonts w:ascii="Verdana" w:eastAsia="Times New Roman" w:hAnsi="Verdana" w:cs="Arial"/>
          <w:lang w:eastAsia="es-CO"/>
        </w:rPr>
        <w:t>que</w:t>
      </w:r>
      <w:proofErr w:type="gramEnd"/>
      <w:r w:rsidRPr="00BC3A80">
        <w:rPr>
          <w:rFonts w:ascii="Verdana" w:eastAsia="Times New Roman" w:hAnsi="Verdana" w:cs="Arial"/>
          <w:lang w:eastAsia="es-CO"/>
        </w:rPr>
        <w:t xml:space="preserve"> </w:t>
      </w:r>
      <w:r w:rsidRPr="00BC3A80">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C3A80">
        <w:rPr>
          <w:rFonts w:ascii="Verdana" w:hAnsi="Verdana" w:cs="Arial"/>
        </w:rPr>
        <w:t>numeral 16.2 de la Circular Externa Única de 2022 expedida por la Agencia Nacional de Contratación Pública -Colombia Compra Eficiente-, concretamente, respecto de los siguientes apartes normativos</w:t>
      </w:r>
      <w:r w:rsidRPr="00BC3A80">
        <w:rPr>
          <w:rFonts w:ascii="Verdana" w:hAnsi="Verdana" w:cs="Arial"/>
          <w:vertAlign w:val="superscript"/>
        </w:rPr>
        <w:footnoteReference w:id="6"/>
      </w:r>
      <w:r w:rsidRPr="00BC3A80">
        <w:rPr>
          <w:rFonts w:ascii="Verdana" w:hAnsi="Verdana" w:cs="Arial"/>
        </w:rPr>
        <w:t>:</w:t>
      </w:r>
      <w:r w:rsidRPr="00BC3A80">
        <w:rPr>
          <w:rFonts w:cs="Arial"/>
        </w:rPr>
        <w:t xml:space="preserve"> </w:t>
      </w:r>
    </w:p>
    <w:p w14:paraId="70C8309D" w14:textId="77777777" w:rsidR="004A51DE" w:rsidRPr="00BC3A80" w:rsidRDefault="004A51DE" w:rsidP="004A51DE">
      <w:pPr>
        <w:spacing w:after="0" w:line="276" w:lineRule="auto"/>
        <w:ind w:firstLine="709"/>
        <w:jc w:val="both"/>
        <w:rPr>
          <w:rFonts w:cs="Arial"/>
        </w:rPr>
      </w:pPr>
    </w:p>
    <w:p w14:paraId="4AFDEC13" w14:textId="77777777" w:rsidR="004A51DE" w:rsidRPr="00BC3A80" w:rsidRDefault="004A51DE" w:rsidP="004A51DE">
      <w:pPr>
        <w:spacing w:after="0" w:line="240" w:lineRule="auto"/>
        <w:ind w:left="709" w:right="709"/>
        <w:jc w:val="both"/>
        <w:rPr>
          <w:rFonts w:ascii="Verdana" w:hAnsi="Verdana" w:cs="Arial"/>
          <w:sz w:val="20"/>
          <w:szCs w:val="20"/>
        </w:rPr>
      </w:pPr>
      <w:r w:rsidRPr="00BC3A80">
        <w:rPr>
          <w:rFonts w:ascii="Verdana" w:hAnsi="Verdana" w:cs="Arial"/>
          <w:sz w:val="20"/>
          <w:szCs w:val="20"/>
          <w:lang w:val="es-MX"/>
        </w:rPr>
        <w:t>i)</w:t>
      </w:r>
      <w:r w:rsidRPr="00BC3A80">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0A566441" w14:textId="77777777" w:rsidR="004A51DE" w:rsidRPr="00BC3A80" w:rsidRDefault="004A51DE" w:rsidP="004A51DE">
      <w:pPr>
        <w:spacing w:after="0" w:line="240" w:lineRule="auto"/>
        <w:ind w:left="709" w:right="709"/>
        <w:jc w:val="both"/>
        <w:rPr>
          <w:rFonts w:ascii="Verdana" w:hAnsi="Verdana" w:cs="Arial"/>
          <w:sz w:val="20"/>
          <w:szCs w:val="20"/>
        </w:rPr>
      </w:pPr>
    </w:p>
    <w:p w14:paraId="2F50D2CD" w14:textId="77777777" w:rsidR="004A51DE" w:rsidRPr="00BC3A80" w:rsidRDefault="004A51DE" w:rsidP="004A51DE">
      <w:pPr>
        <w:spacing w:after="0" w:line="240" w:lineRule="auto"/>
        <w:ind w:left="709" w:right="709"/>
        <w:jc w:val="both"/>
        <w:rPr>
          <w:rFonts w:ascii="Verdana" w:hAnsi="Verdana" w:cs="Arial"/>
          <w:sz w:val="20"/>
          <w:szCs w:val="20"/>
        </w:rPr>
      </w:pPr>
      <w:proofErr w:type="spellStart"/>
      <w:r w:rsidRPr="00BC3A80">
        <w:rPr>
          <w:rFonts w:ascii="Verdana" w:hAnsi="Verdana" w:cs="Arial"/>
          <w:sz w:val="20"/>
          <w:szCs w:val="20"/>
        </w:rPr>
        <w:t>ii</w:t>
      </w:r>
      <w:proofErr w:type="spellEnd"/>
      <w:r w:rsidRPr="00BC3A80">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AB3DD5C" w14:textId="77777777" w:rsidR="004A51DE" w:rsidRPr="00BC3A80" w:rsidRDefault="004A51DE" w:rsidP="004A51DE">
      <w:pPr>
        <w:spacing w:after="0" w:line="276" w:lineRule="auto"/>
        <w:ind w:left="709" w:right="709"/>
        <w:jc w:val="both"/>
        <w:rPr>
          <w:rFonts w:ascii="Verdana" w:hAnsi="Verdana" w:cs="Arial"/>
        </w:rPr>
      </w:pPr>
    </w:p>
    <w:p w14:paraId="713FF8EC" w14:textId="77777777" w:rsidR="004A51DE" w:rsidRPr="00BC3A80" w:rsidRDefault="004A51DE" w:rsidP="004A51DE">
      <w:pPr>
        <w:spacing w:after="120" w:line="276" w:lineRule="auto"/>
        <w:ind w:firstLine="709"/>
        <w:jc w:val="both"/>
        <w:rPr>
          <w:rFonts w:ascii="Verdana" w:eastAsia="Arial" w:hAnsi="Verdana" w:cs="Arial"/>
          <w:i/>
          <w:iCs/>
          <w:lang w:eastAsia="es-ES" w:bidi="es-ES"/>
        </w:rPr>
      </w:pPr>
      <w:r w:rsidRPr="00BC3A80">
        <w:rPr>
          <w:rFonts w:ascii="Verdana" w:eastAsia="Arial" w:hAnsi="Verdana" w:cs="Arial"/>
          <w:lang w:val="es-MX" w:eastAsia="es-ES" w:bidi="es-ES"/>
        </w:rPr>
        <w:t xml:space="preserve">De conformidad con los argumentos de dicha providencia, se parte de la distinción entre los conceptos </w:t>
      </w:r>
      <w:r w:rsidRPr="00BC3A80">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w:t>
      </w:r>
      <w:r w:rsidRPr="00BC3A80">
        <w:rPr>
          <w:rFonts w:ascii="Verdana" w:eastAsia="Arial" w:hAnsi="Verdana" w:cs="Arial"/>
          <w:lang w:eastAsia="es-ES" w:bidi="es-ES"/>
        </w:rPr>
        <w:lastRenderedPageBreak/>
        <w:t>y Servicio Civil de esa Corporación hayan realzado la distinción entre uno y otro negocio jurídico.</w:t>
      </w:r>
      <w:r w:rsidRPr="00BC3A80">
        <w:rPr>
          <w:rFonts w:ascii="Times New Roman" w:hAnsi="Times New Roman"/>
          <w:sz w:val="24"/>
          <w:szCs w:val="24"/>
          <w:lang w:eastAsia="es-CO"/>
        </w:rPr>
        <w:t xml:space="preserve"> </w:t>
      </w:r>
      <w:r w:rsidRPr="00BC3A80">
        <w:rPr>
          <w:rFonts w:ascii="Verdana" w:eastAsia="Arial" w:hAnsi="Verdana" w:cs="Arial"/>
          <w:lang w:eastAsia="es-ES" w:bidi="es-ES"/>
        </w:rPr>
        <w:t xml:space="preserve">En este sentido, en relación con el parágrafo del artículo 38 de la Ley 996 de 2005 concluyó que </w:t>
      </w:r>
      <w:r w:rsidRPr="00BC3A80">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C3A80">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C3A80">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i/>
          <w:iCs/>
          <w:lang w:eastAsia="es-ES" w:bidi="es-ES"/>
        </w:rPr>
        <w:t>”</w:t>
      </w:r>
      <w:r w:rsidRPr="00BC3A80">
        <w:rPr>
          <w:rFonts w:ascii="Verdana" w:eastAsia="Arial" w:hAnsi="Verdana" w:cs="Arial"/>
          <w:i/>
          <w:iCs/>
          <w:lang w:eastAsia="es-ES" w:bidi="es-ES"/>
        </w:rPr>
        <w:t xml:space="preserve">. </w:t>
      </w:r>
    </w:p>
    <w:p w14:paraId="3E3D6228" w14:textId="77777777" w:rsidR="004A51DE" w:rsidRDefault="004A51DE" w:rsidP="004A51DE">
      <w:pPr>
        <w:spacing w:after="120" w:line="276" w:lineRule="auto"/>
        <w:ind w:firstLine="709"/>
        <w:jc w:val="both"/>
        <w:rPr>
          <w:rFonts w:ascii="Verdana" w:eastAsia="Arial" w:hAnsi="Verdana" w:cs="Arial"/>
          <w:lang w:eastAsia="es-ES" w:bidi="es-ES"/>
        </w:rPr>
      </w:pPr>
      <w:r w:rsidRPr="00BC3A80">
        <w:rPr>
          <w:rFonts w:ascii="Verdana" w:eastAsia="Arial" w:hAnsi="Verdana" w:cs="Arial"/>
          <w:lang w:eastAsia="es-ES" w:bidi="es-ES"/>
        </w:rPr>
        <w:t>De igual manera, mediante auto del 6 de noviembre de 2025, el Consejo de Estado, Subsección A de la Sección Tercera, decretó</w:t>
      </w:r>
      <w:r w:rsidRPr="00BC3A80">
        <w:rPr>
          <w:rFonts w:ascii="Verdana" w:eastAsia="Arial" w:hAnsi="Verdana" w:cs="Arial"/>
          <w:b/>
          <w:bCs/>
          <w:lang w:eastAsia="es-ES" w:bidi="es-ES"/>
        </w:rPr>
        <w:t xml:space="preserve"> </w:t>
      </w:r>
      <w:r w:rsidRPr="00BC3A80">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BC3A80">
        <w:rPr>
          <w:rFonts w:ascii="Verdana" w:eastAsia="Arial" w:hAnsi="Verdana" w:cs="Arial"/>
          <w:vertAlign w:val="superscript"/>
          <w:lang w:eastAsia="es-ES" w:bidi="es-ES"/>
        </w:rPr>
        <w:footnoteReference w:id="7"/>
      </w:r>
      <w:r w:rsidRPr="00BC3A80">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w:t>
      </w:r>
      <w:r>
        <w:rPr>
          <w:rFonts w:ascii="Verdana" w:eastAsia="Arial" w:hAnsi="Verdana" w:cs="Arial"/>
          <w:lang w:eastAsia="es-ES" w:bidi="es-ES"/>
        </w:rPr>
        <w:t>de</w:t>
      </w:r>
      <w:r w:rsidRPr="00BC3A80">
        <w:rPr>
          <w:rFonts w:ascii="Verdana" w:eastAsia="Arial" w:hAnsi="Verdana" w:cs="Arial"/>
          <w:lang w:eastAsia="es-ES" w:bidi="es-ES"/>
        </w:rPr>
        <w:t xml:space="preserve"> manera que se excluye la analogía </w:t>
      </w:r>
      <w:proofErr w:type="spellStart"/>
      <w:r w:rsidRPr="00BC3A80">
        <w:rPr>
          <w:rFonts w:ascii="Verdana" w:eastAsia="Arial" w:hAnsi="Verdana" w:cs="Arial"/>
          <w:lang w:eastAsia="es-ES" w:bidi="es-ES"/>
        </w:rPr>
        <w:t>legis</w:t>
      </w:r>
      <w:proofErr w:type="spellEnd"/>
      <w:r w:rsidRPr="00BC3A80">
        <w:rPr>
          <w:rFonts w:ascii="Verdana" w:eastAsia="Arial" w:hAnsi="Verdana" w:cs="Arial"/>
          <w:lang w:eastAsia="es-ES" w:bidi="es-ES"/>
        </w:rPr>
        <w:t xml:space="preserve"> o iuris y la interpretación extensiva y reiteró los argumentos sobre la diferencia entre contratos y convenios interadministrativos. </w:t>
      </w:r>
    </w:p>
    <w:p w14:paraId="53EB6C13" w14:textId="77777777" w:rsidR="004A51DE" w:rsidRDefault="004A51DE" w:rsidP="004A51DE">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lastRenderedPageBreak/>
        <w:t>En línea con lo anterior, el Consejo de Estado</w:t>
      </w:r>
      <w:r>
        <w:rPr>
          <w:rStyle w:val="Refdenotaalpie"/>
          <w:rFonts w:ascii="Verdana" w:eastAsia="Arial" w:hAnsi="Verdana" w:cs="Arial"/>
          <w:lang w:eastAsia="es-ES" w:bidi="es-ES"/>
        </w:rPr>
        <w:footnoteReference w:id="8"/>
      </w:r>
      <w:r>
        <w:rPr>
          <w:rFonts w:ascii="Verdana" w:eastAsia="Arial" w:hAnsi="Verdana" w:cs="Arial"/>
          <w:lang w:eastAsia="es-ES" w:bidi="es-ES"/>
        </w:rPr>
        <w:t xml:space="preserve">, Sección Tercera – Subsección B, en Sentencia del 17 de octubre de 2025, declaró la nulidad </w:t>
      </w:r>
      <w:proofErr w:type="gramStart"/>
      <w:r>
        <w:rPr>
          <w:rFonts w:ascii="Verdana" w:eastAsia="Arial" w:hAnsi="Verdana" w:cs="Arial"/>
          <w:lang w:eastAsia="es-ES" w:bidi="es-ES"/>
        </w:rPr>
        <w:t xml:space="preserve">parcial </w:t>
      </w:r>
      <w:r w:rsidRPr="002A503A">
        <w:t xml:space="preserve"> </w:t>
      </w:r>
      <w:r w:rsidRPr="002A503A">
        <w:rPr>
          <w:rFonts w:ascii="Verdana" w:eastAsia="Arial" w:hAnsi="Verdana" w:cs="Arial"/>
          <w:lang w:eastAsia="es-ES" w:bidi="es-ES"/>
        </w:rPr>
        <w:t>del</w:t>
      </w:r>
      <w:proofErr w:type="gramEnd"/>
      <w:r w:rsidRPr="002A503A">
        <w:rPr>
          <w:rFonts w:ascii="Verdana" w:eastAsia="Arial" w:hAnsi="Verdana" w:cs="Arial"/>
          <w:lang w:eastAsia="es-ES" w:bidi="es-ES"/>
        </w:rPr>
        <w:t xml:space="preserve"> numeral 16.2 de la Circular Externa Única de 2022 expedida por la Agencia Nacional de Contratación Pública -Colombia Compra Eficiente-, concretamente, de los siguientes apartes normativos: </w:t>
      </w:r>
    </w:p>
    <w:p w14:paraId="099E030D" w14:textId="77777777" w:rsidR="004A51DE" w:rsidRPr="002A503A" w:rsidRDefault="004A51DE" w:rsidP="004A51DE">
      <w:pPr>
        <w:spacing w:after="120" w:line="276" w:lineRule="auto"/>
        <w:ind w:left="708" w:firstLine="709"/>
        <w:jc w:val="both"/>
        <w:rPr>
          <w:rFonts w:ascii="Verdana" w:eastAsia="Arial" w:hAnsi="Verdana" w:cs="Arial"/>
          <w:sz w:val="20"/>
          <w:szCs w:val="20"/>
          <w:lang w:eastAsia="es-ES" w:bidi="es-ES"/>
        </w:rPr>
      </w:pPr>
      <w:r w:rsidRPr="002A503A">
        <w:rPr>
          <w:rFonts w:ascii="Verdana" w:eastAsia="Arial" w:hAnsi="Verdana" w:cs="Arial"/>
          <w:sz w:val="20"/>
          <w:szCs w:val="20"/>
          <w:lang w:eastAsia="es-ES" w:bidi="es-ES"/>
        </w:rPr>
        <w:t xml:space="preserve">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2A503A">
        <w:rPr>
          <w:rFonts w:ascii="Verdana" w:eastAsia="Arial" w:hAnsi="Verdana" w:cs="Arial"/>
          <w:sz w:val="20"/>
          <w:szCs w:val="20"/>
          <w:lang w:eastAsia="es-ES" w:bidi="es-ES"/>
        </w:rPr>
        <w:t>ii</w:t>
      </w:r>
      <w:proofErr w:type="spellEnd"/>
      <w:r w:rsidRPr="002A503A">
        <w:rPr>
          <w:rFonts w:ascii="Verdana" w:eastAsia="Arial" w:hAnsi="Verdana" w:cs="Arial"/>
          <w:sz w:val="20"/>
          <w:szCs w:val="20"/>
          <w:lang w:eastAsia="es-ES" w:bidi="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DE7BDA7" w14:textId="77777777" w:rsidR="004A51DE" w:rsidRPr="00B04FA0" w:rsidRDefault="004A51DE" w:rsidP="004A51DE">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Así las cosas, a la luz de lo expuesto por el Consejo de Estado en los autos del 4 de octubre de 2024 y 6 de noviembre de 2025,</w:t>
      </w:r>
      <w:r>
        <w:rPr>
          <w:rFonts w:ascii="Verdana" w:eastAsia="Times New Roman" w:hAnsi="Verdana" w:cs="Arial"/>
          <w:lang w:eastAsia="es-CO"/>
        </w:rPr>
        <w:t xml:space="preserve"> y en la Sentencia del 17 de octubre de 2025,</w:t>
      </w:r>
      <w:r w:rsidRPr="00BC3A80">
        <w:rPr>
          <w:rFonts w:ascii="Verdana" w:eastAsia="Times New Roman" w:hAnsi="Verdana" w:cs="Arial"/>
          <w:lang w:eastAsia="es-CO"/>
        </w:rPr>
        <w:t xml:space="preserve"> no resultaría aplicable la prohibición del parágrafo del artículo 38 de la Ley de Garantías Electorales a los </w:t>
      </w:r>
      <w:r w:rsidRPr="00BC3A80">
        <w:rPr>
          <w:rFonts w:ascii="Verdana" w:eastAsia="Times New Roman" w:hAnsi="Verdana" w:cs="Arial"/>
          <w:i/>
          <w:iCs/>
          <w:lang w:eastAsia="es-CO"/>
        </w:rPr>
        <w:t>contratos interadministrativos</w:t>
      </w:r>
      <w:r>
        <w:rPr>
          <w:rFonts w:ascii="Verdana" w:eastAsia="Times New Roman" w:hAnsi="Verdana" w:cs="Arial"/>
          <w:lang w:eastAsia="es-CO"/>
        </w:rPr>
        <w:t xml:space="preserve"> sino únicamente a los </w:t>
      </w:r>
      <w:r w:rsidRPr="002A503A">
        <w:rPr>
          <w:rFonts w:ascii="Verdana" w:eastAsia="Times New Roman" w:hAnsi="Verdana" w:cs="Arial"/>
          <w:i/>
          <w:iCs/>
          <w:lang w:eastAsia="es-CO"/>
        </w:rPr>
        <w:t>convenios interadministrativos</w:t>
      </w:r>
      <w:r>
        <w:rPr>
          <w:rFonts w:ascii="Verdana" w:eastAsia="Times New Roman" w:hAnsi="Verdana" w:cs="Arial"/>
          <w:lang w:eastAsia="es-CO"/>
        </w:rPr>
        <w:t>.</w:t>
      </w:r>
      <w:r w:rsidRPr="00BC3A80">
        <w:rPr>
          <w:rFonts w:ascii="Verdana" w:eastAsia="Times New Roman" w:hAnsi="Verdana" w:cs="Arial"/>
          <w:lang w:eastAsia="es-CO"/>
        </w:rPr>
        <w:t xml:space="preserve"> </w:t>
      </w:r>
    </w:p>
    <w:p w14:paraId="0E635E6D" w14:textId="77777777" w:rsidR="004A51DE" w:rsidRPr="00947721" w:rsidRDefault="004A51DE" w:rsidP="004A51DE">
      <w:pPr>
        <w:autoSpaceDE w:val="0"/>
        <w:autoSpaceDN w:val="0"/>
        <w:adjustRightInd w:val="0"/>
        <w:spacing w:after="120" w:line="240" w:lineRule="auto"/>
        <w:ind w:firstLine="708"/>
        <w:jc w:val="both"/>
        <w:rPr>
          <w:rFonts w:ascii="Verdana" w:hAnsi="Verdana" w:cs="BCDHEE+Verdana"/>
          <w:color w:val="000000"/>
        </w:rPr>
      </w:pPr>
      <w:r w:rsidRPr="00947721">
        <w:rPr>
          <w:rFonts w:ascii="Verdana" w:hAnsi="Verdana" w:cs="BCDHEE+Verdana"/>
          <w:color w:val="000000"/>
        </w:rPr>
        <w:t>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w:t>
      </w:r>
      <w:r w:rsidRPr="00947721">
        <w:rPr>
          <w:rFonts w:ascii="Verdana" w:hAnsi="Verdana" w:cs="BCDHEE+Verdana"/>
          <w:color w:val="000000"/>
        </w:rPr>
        <w:lastRenderedPageBreak/>
        <w:t xml:space="preserve">como tampoco de las que participen como miembros de sus juntas directivas, en o para reuniones de carácter proselitista. </w:t>
      </w:r>
    </w:p>
    <w:p w14:paraId="152A3C44" w14:textId="77777777" w:rsidR="004A51DE" w:rsidRPr="00E61635" w:rsidRDefault="004A51DE" w:rsidP="004A51DE">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056A6D1" w14:textId="77777777" w:rsidR="004A51DE" w:rsidRDefault="004A51DE" w:rsidP="004A51DE">
      <w:pPr>
        <w:widowControl w:val="0"/>
        <w:autoSpaceDE w:val="0"/>
        <w:autoSpaceDN w:val="0"/>
        <w:spacing w:after="0" w:line="276" w:lineRule="auto"/>
        <w:jc w:val="both"/>
        <w:rPr>
          <w:rFonts w:ascii="Verdana" w:hAnsi="Verdana" w:cs="Arial"/>
        </w:rPr>
      </w:pPr>
    </w:p>
    <w:p w14:paraId="674A568C" w14:textId="77777777" w:rsidR="004A51DE" w:rsidRDefault="004A51DE" w:rsidP="004A51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29E722A9" w14:textId="77777777" w:rsidR="004A51DE" w:rsidRDefault="004A51DE" w:rsidP="004A51DE">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A51DE" w14:paraId="45D82CA0" w14:textId="77777777" w:rsidTr="00F82976">
        <w:trPr>
          <w:trHeight w:val="870"/>
        </w:trPr>
        <w:tc>
          <w:tcPr>
            <w:tcW w:w="8647" w:type="dxa"/>
            <w:tcBorders>
              <w:top w:val="dotted" w:sz="4" w:space="0" w:color="auto"/>
              <w:left w:val="dotted" w:sz="4" w:space="0" w:color="auto"/>
              <w:bottom w:val="dotted" w:sz="4" w:space="0" w:color="auto"/>
              <w:right w:val="dotted" w:sz="4" w:space="0" w:color="auto"/>
            </w:tcBorders>
            <w:hideMark/>
          </w:tcPr>
          <w:p w14:paraId="23297328" w14:textId="0D57C3E7" w:rsidR="004A51DE" w:rsidRPr="00B3605D" w:rsidRDefault="004A51DE" w:rsidP="004A51D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38 parágrafo.</w:t>
            </w:r>
          </w:p>
          <w:p w14:paraId="08337D22" w14:textId="77777777" w:rsidR="004A51DE" w:rsidRPr="00274DBA" w:rsidRDefault="004A51DE" w:rsidP="004A51DE">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3A542C49" w14:textId="77777777" w:rsidR="004A51DE" w:rsidRDefault="004A51DE" w:rsidP="004A51D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3FC363CB" w14:textId="5A924018" w:rsidR="004A51DE" w:rsidRPr="00677645" w:rsidRDefault="004A51DE" w:rsidP="0067764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0146E">
              <w:rPr>
                <w:rFonts w:ascii="Verdana" w:hAnsi="Verdana"/>
                <w:lang w:val="es-ES"/>
              </w:rPr>
              <w:t xml:space="preserve">Consejo de Estado. Sala de Consulta y Servicio Civil. Concepto del 12 de junio de 2018. </w:t>
            </w:r>
            <w:proofErr w:type="spellStart"/>
            <w:r w:rsidRPr="0060146E">
              <w:rPr>
                <w:rFonts w:ascii="Verdana" w:hAnsi="Verdana"/>
                <w:lang w:val="es-ES"/>
              </w:rPr>
              <w:t>Exp</w:t>
            </w:r>
            <w:proofErr w:type="spellEnd"/>
            <w:r w:rsidRPr="0060146E">
              <w:rPr>
                <w:rFonts w:ascii="Verdana" w:hAnsi="Verdana"/>
                <w:lang w:val="es-ES"/>
              </w:rPr>
              <w:t>. 2371. C.P. Oscar Darío Amaya Navas</w:t>
            </w:r>
          </w:p>
        </w:tc>
      </w:tr>
    </w:tbl>
    <w:p w14:paraId="1134D3B7" w14:textId="77777777" w:rsidR="004A51DE" w:rsidRDefault="004A51DE" w:rsidP="004A51DE">
      <w:pPr>
        <w:widowControl w:val="0"/>
        <w:autoSpaceDE w:val="0"/>
        <w:autoSpaceDN w:val="0"/>
        <w:spacing w:after="0" w:line="276" w:lineRule="auto"/>
        <w:jc w:val="both"/>
        <w:rPr>
          <w:rFonts w:ascii="Verdana" w:hAnsi="Verdana" w:cs="Arial"/>
        </w:rPr>
      </w:pPr>
    </w:p>
    <w:p w14:paraId="32AAC1F0" w14:textId="77777777" w:rsidR="004A51DE" w:rsidRDefault="004A51DE" w:rsidP="004A51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5BDEDF57" w14:textId="77777777" w:rsidR="004A51DE" w:rsidRDefault="004A51DE" w:rsidP="004A51DE">
      <w:pPr>
        <w:widowControl w:val="0"/>
        <w:autoSpaceDE w:val="0"/>
        <w:autoSpaceDN w:val="0"/>
        <w:spacing w:after="0" w:line="276" w:lineRule="auto"/>
        <w:jc w:val="both"/>
        <w:rPr>
          <w:rFonts w:ascii="Verdana" w:hAnsi="Verdana" w:cs="Arial"/>
        </w:rPr>
      </w:pPr>
    </w:p>
    <w:p w14:paraId="102AED91" w14:textId="77777777" w:rsidR="004A51DE" w:rsidRPr="00FE3C84" w:rsidRDefault="004A51DE" w:rsidP="004A51DE">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w:t>
      </w:r>
      <w:r>
        <w:rPr>
          <w:rFonts w:ascii="Verdana" w:hAnsi="Verdana" w:cs="Arial"/>
          <w:shd w:val="clear" w:color="auto" w:fill="FFFFFF"/>
          <w:lang w:val="es-ES"/>
        </w:rPr>
        <w:t xml:space="preserve">C-1568 del 14 de noviembre de 2025,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xml:space="preserve"> Es</w:t>
      </w:r>
      <w:r>
        <w:rPr>
          <w:rFonts w:ascii="Verdana" w:hAnsi="Verdana"/>
        </w:rPr>
        <w:t xml:space="preserve">tos y otros conceptos se encuentran disponibles para consulta en el Sistema de relatoría de la Agencia, al cual se puede acceder a través del </w:t>
      </w:r>
      <w:r>
        <w:rPr>
          <w:rFonts w:ascii="Verdana" w:hAnsi="Verdana"/>
        </w:rPr>
        <w:lastRenderedPageBreak/>
        <w:t>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59E888CC" w14:textId="77777777" w:rsidR="004A51DE" w:rsidRDefault="004A51DE" w:rsidP="004A51DE">
      <w:pPr>
        <w:spacing w:after="0" w:line="276" w:lineRule="auto"/>
        <w:jc w:val="both"/>
        <w:rPr>
          <w:rFonts w:ascii="Verdana" w:hAnsi="Verdana"/>
        </w:rPr>
      </w:pPr>
    </w:p>
    <w:p w14:paraId="48D4F1FF" w14:textId="77777777" w:rsidR="004A51DE" w:rsidRDefault="004A51DE" w:rsidP="004A51DE">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C548F17" w14:textId="77777777" w:rsidR="004A51DE" w:rsidRDefault="004A51DE" w:rsidP="004A51DE">
      <w:pPr>
        <w:spacing w:after="0" w:line="276" w:lineRule="auto"/>
        <w:jc w:val="both"/>
        <w:rPr>
          <w:rFonts w:ascii="Verdana" w:hAnsi="Verdana"/>
        </w:rPr>
      </w:pPr>
    </w:p>
    <w:p w14:paraId="43023BD3" w14:textId="77777777" w:rsidR="004A51DE" w:rsidRDefault="004A51DE" w:rsidP="004A51DE">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7BDD8A8" w14:textId="77777777" w:rsidR="004A51DE" w:rsidRDefault="004A51DE" w:rsidP="004A51DE">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592D780D" w14:textId="77777777" w:rsidR="004A51DE" w:rsidRDefault="004A51DE" w:rsidP="004A51DE">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40636E74" w14:textId="77777777" w:rsidR="004A51DE" w:rsidRDefault="004A51DE" w:rsidP="004A51DE">
      <w:pPr>
        <w:widowControl w:val="0"/>
        <w:autoSpaceDE w:val="0"/>
        <w:autoSpaceDN w:val="0"/>
        <w:spacing w:after="0" w:line="276" w:lineRule="auto"/>
        <w:jc w:val="both"/>
        <w:rPr>
          <w:rFonts w:ascii="Verdana" w:hAnsi="Verdana" w:cs="Arial"/>
        </w:rPr>
      </w:pPr>
    </w:p>
    <w:p w14:paraId="419128EA" w14:textId="77777777" w:rsidR="004A51DE" w:rsidRDefault="004A51DE" w:rsidP="004A51DE">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78DB6B80" w14:textId="77777777" w:rsidR="004A51DE" w:rsidRDefault="004A51DE" w:rsidP="004A51DE">
      <w:pPr>
        <w:widowControl w:val="0"/>
        <w:autoSpaceDE w:val="0"/>
        <w:autoSpaceDN w:val="0"/>
        <w:spacing w:after="0" w:line="276" w:lineRule="auto"/>
        <w:jc w:val="both"/>
        <w:rPr>
          <w:rFonts w:ascii="Verdana" w:hAnsi="Verdana" w:cs="Arial"/>
        </w:rPr>
      </w:pPr>
    </w:p>
    <w:p w14:paraId="14B80D2E" w14:textId="77777777" w:rsidR="004A51DE" w:rsidRDefault="004A51DE" w:rsidP="004A51DE">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73DE64F7" w14:textId="17752393" w:rsidR="004A51DE" w:rsidRDefault="00D700A4" w:rsidP="004A51DE">
      <w:pPr>
        <w:spacing w:after="0" w:line="276" w:lineRule="auto"/>
        <w:jc w:val="center"/>
      </w:pPr>
      <w:r>
        <w:rPr>
          <w:noProof/>
        </w:rPr>
        <w:drawing>
          <wp:inline distT="0" distB="0" distL="0" distR="0" wp14:anchorId="03E2873D" wp14:editId="246AD18E">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A51DE" w14:paraId="1BE9D416" w14:textId="77777777" w:rsidTr="00F82976">
        <w:trPr>
          <w:trHeight w:val="315"/>
        </w:trPr>
        <w:tc>
          <w:tcPr>
            <w:tcW w:w="893" w:type="dxa"/>
            <w:vAlign w:val="center"/>
            <w:hideMark/>
          </w:tcPr>
          <w:p w14:paraId="35D44DF8" w14:textId="77777777" w:rsidR="004A51DE" w:rsidRDefault="004A51DE" w:rsidP="00F82976">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CBFEED9" w14:textId="77777777" w:rsidR="004A51DE" w:rsidRDefault="004A51DE" w:rsidP="00F82976">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5A3AC6CF" w14:textId="77777777" w:rsidR="004A51DE" w:rsidRDefault="004A51DE" w:rsidP="00F82976">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4A51DE" w14:paraId="0105AE6C" w14:textId="77777777" w:rsidTr="00F82976">
        <w:trPr>
          <w:trHeight w:val="330"/>
        </w:trPr>
        <w:tc>
          <w:tcPr>
            <w:tcW w:w="893" w:type="dxa"/>
            <w:vAlign w:val="center"/>
            <w:hideMark/>
          </w:tcPr>
          <w:p w14:paraId="7479FE25" w14:textId="77777777" w:rsidR="004A51DE" w:rsidRDefault="004A51DE" w:rsidP="00F82976">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17CD74" w14:textId="77777777" w:rsidR="004A51DE" w:rsidRDefault="004A51DE" w:rsidP="00F82976">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37317FEE" w14:textId="77777777" w:rsidR="004A51DE" w:rsidRDefault="004A51DE" w:rsidP="00F82976">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4A51DE" w14:paraId="7BC997D3" w14:textId="77777777" w:rsidTr="00F82976">
        <w:trPr>
          <w:trHeight w:val="300"/>
        </w:trPr>
        <w:tc>
          <w:tcPr>
            <w:tcW w:w="893" w:type="dxa"/>
            <w:vAlign w:val="center"/>
            <w:hideMark/>
          </w:tcPr>
          <w:p w14:paraId="52011A5C" w14:textId="77777777" w:rsidR="004A51DE" w:rsidRDefault="004A51DE" w:rsidP="00F82976">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5D0CF3" w14:textId="77777777" w:rsidR="004A51DE" w:rsidRDefault="004A51DE" w:rsidP="00F82976">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7FC676D4" w14:textId="77777777" w:rsidR="004A51DE" w:rsidRDefault="004A51DE" w:rsidP="00F82976">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 </w:t>
            </w:r>
          </w:p>
        </w:tc>
      </w:tr>
    </w:tbl>
    <w:p w14:paraId="7FD280BF" w14:textId="77777777" w:rsidR="004A51DE" w:rsidRPr="001249F1" w:rsidRDefault="004A51DE" w:rsidP="004A51DE"/>
    <w:p w14:paraId="49A20C68" w14:textId="77777777" w:rsidR="004A51DE" w:rsidRPr="0044528D" w:rsidRDefault="004A51DE" w:rsidP="004A51DE">
      <w:pPr>
        <w:spacing w:after="0"/>
        <w:rPr>
          <w:rFonts w:ascii="Verdana" w:eastAsia="Times New Roman" w:hAnsi="Verdana" w:cs="Segoe UI"/>
          <w:b/>
          <w:bCs/>
          <w:color w:val="46589C"/>
          <w:lang w:val="es-ES" w:eastAsia="es-CO"/>
        </w:rPr>
      </w:pPr>
    </w:p>
    <w:p w14:paraId="68C2D6B5" w14:textId="77777777" w:rsidR="004A51DE" w:rsidRPr="00046945" w:rsidRDefault="004A51DE" w:rsidP="004A51DE">
      <w:pPr>
        <w:spacing w:after="0"/>
        <w:rPr>
          <w:rFonts w:ascii="Verdana" w:eastAsia="Times New Roman" w:hAnsi="Verdana" w:cs="Segoe UI"/>
          <w:sz w:val="18"/>
          <w:szCs w:val="18"/>
          <w:lang w:eastAsia="es-CO"/>
        </w:rPr>
      </w:pPr>
    </w:p>
    <w:p w14:paraId="2E710789" w14:textId="77777777" w:rsidR="004A51DE" w:rsidRPr="0015699B" w:rsidRDefault="004A51DE" w:rsidP="004A51DE">
      <w:pPr>
        <w:spacing w:after="0"/>
        <w:rPr>
          <w:rFonts w:ascii="Verdana" w:eastAsia="Times New Roman" w:hAnsi="Verdana" w:cs="Segoe UI"/>
          <w:lang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A69CA" w14:textId="77777777" w:rsidR="00265FDE" w:rsidRDefault="00265FDE" w:rsidP="004A1847">
      <w:pPr>
        <w:spacing w:after="0" w:line="240" w:lineRule="auto"/>
      </w:pPr>
      <w:r>
        <w:separator/>
      </w:r>
    </w:p>
  </w:endnote>
  <w:endnote w:type="continuationSeparator" w:id="0">
    <w:p w14:paraId="2401B413" w14:textId="77777777" w:rsidR="00265FDE" w:rsidRDefault="00265FD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5BCEE" w14:textId="77777777" w:rsidR="00265FDE" w:rsidRDefault="00265FDE" w:rsidP="004A1847">
      <w:pPr>
        <w:spacing w:after="0" w:line="240" w:lineRule="auto"/>
      </w:pPr>
      <w:r>
        <w:separator/>
      </w:r>
    </w:p>
  </w:footnote>
  <w:footnote w:type="continuationSeparator" w:id="0">
    <w:p w14:paraId="7955C751" w14:textId="77777777" w:rsidR="00265FDE" w:rsidRDefault="00265FDE" w:rsidP="004A1847">
      <w:pPr>
        <w:spacing w:after="0" w:line="240" w:lineRule="auto"/>
      </w:pPr>
      <w:r>
        <w:continuationSeparator/>
      </w:r>
    </w:p>
  </w:footnote>
  <w:footnote w:id="1">
    <w:p w14:paraId="076BE95C" w14:textId="77777777" w:rsidR="004A51DE" w:rsidRPr="00C05384" w:rsidRDefault="004A51DE" w:rsidP="004A51DE">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2">
    <w:p w14:paraId="51E431A2" w14:textId="77777777" w:rsidR="004A51DE" w:rsidRPr="00C05384" w:rsidRDefault="004A51DE" w:rsidP="004A51DE">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w:t>
      </w:r>
      <w:proofErr w:type="spellStart"/>
      <w:r w:rsidRPr="00C05384">
        <w:rPr>
          <w:rFonts w:ascii="Verdana" w:hAnsi="Verdana" w:cs="Arial"/>
          <w:sz w:val="16"/>
          <w:szCs w:val="16"/>
          <w:lang w:val="pt-BR"/>
        </w:rPr>
        <w:t>Monroy</w:t>
      </w:r>
      <w:proofErr w:type="spellEnd"/>
      <w:r w:rsidRPr="00C05384">
        <w:rPr>
          <w:rFonts w:ascii="Verdana" w:hAnsi="Verdana" w:cs="Arial"/>
          <w:sz w:val="16"/>
          <w:szCs w:val="16"/>
          <w:lang w:val="pt-BR"/>
        </w:rPr>
        <w:t xml:space="preserve"> Cabra.</w:t>
      </w:r>
    </w:p>
  </w:footnote>
  <w:footnote w:id="3">
    <w:p w14:paraId="3A50EB12" w14:textId="77777777" w:rsidR="004A51DE" w:rsidRPr="00C05384" w:rsidRDefault="004A51DE" w:rsidP="004A51DE">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expediente: CRF-001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C-652 de 5 de agosto de 2003, expediente: D-4330; C-353 de 20 de </w:t>
      </w:r>
      <w:proofErr w:type="spellStart"/>
      <w:r w:rsidRPr="00C05384">
        <w:rPr>
          <w:rFonts w:ascii="Verdana" w:hAnsi="Verdana" w:cs="Arial"/>
          <w:sz w:val="16"/>
          <w:szCs w:val="16"/>
          <w:lang w:val="pt-BR"/>
        </w:rPr>
        <w:t>mayo</w:t>
      </w:r>
      <w:proofErr w:type="spellEnd"/>
      <w:r w:rsidRPr="00C05384">
        <w:rPr>
          <w:rFonts w:ascii="Verdana" w:hAnsi="Verdana" w:cs="Arial"/>
          <w:sz w:val="16"/>
          <w:szCs w:val="16"/>
          <w:lang w:val="pt-BR"/>
        </w:rPr>
        <w:t xml:space="preserve"> de 2009, expediente: D-7518, C-541 de 30 de </w:t>
      </w:r>
      <w:proofErr w:type="spellStart"/>
      <w:r w:rsidRPr="00C05384">
        <w:rPr>
          <w:rFonts w:ascii="Verdana" w:hAnsi="Verdana" w:cs="Arial"/>
          <w:sz w:val="16"/>
          <w:szCs w:val="16"/>
          <w:lang w:val="pt-BR"/>
        </w:rPr>
        <w:t>junio</w:t>
      </w:r>
      <w:proofErr w:type="spellEnd"/>
      <w:r w:rsidRPr="00C05384">
        <w:rPr>
          <w:rFonts w:ascii="Verdana" w:hAnsi="Verdana" w:cs="Arial"/>
          <w:sz w:val="16"/>
          <w:szCs w:val="16"/>
          <w:lang w:val="pt-BR"/>
        </w:rPr>
        <w:t xml:space="preserve"> de 2010, expediente: DD7966; entre </w:t>
      </w:r>
      <w:proofErr w:type="spellStart"/>
      <w:r w:rsidRPr="00C05384">
        <w:rPr>
          <w:rFonts w:ascii="Verdana" w:hAnsi="Verdana" w:cs="Arial"/>
          <w:sz w:val="16"/>
          <w:szCs w:val="16"/>
          <w:lang w:val="pt-BR"/>
        </w:rPr>
        <w:t>otras</w:t>
      </w:r>
      <w:proofErr w:type="spellEnd"/>
      <w:r w:rsidRPr="00C05384">
        <w:rPr>
          <w:rFonts w:ascii="Verdana" w:hAnsi="Verdana" w:cs="Arial"/>
          <w:sz w:val="16"/>
          <w:szCs w:val="16"/>
          <w:lang w:val="pt-BR"/>
        </w:rPr>
        <w:t>.</w:t>
      </w:r>
    </w:p>
  </w:footnote>
  <w:footnote w:id="4">
    <w:p w14:paraId="4D56D580" w14:textId="77777777" w:rsidR="004A51DE" w:rsidRPr="00C05384" w:rsidRDefault="004A51DE" w:rsidP="004A51DE">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17495FAD" w14:textId="77777777" w:rsidR="004A51DE" w:rsidRPr="00C05384" w:rsidRDefault="004A51DE" w:rsidP="004A51DE">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w:t>
      </w:r>
      <w:proofErr w:type="spellStart"/>
      <w:r w:rsidRPr="00C05384">
        <w:rPr>
          <w:rFonts w:ascii="Verdana" w:hAnsi="Verdana" w:cs="Arial"/>
          <w:sz w:val="16"/>
          <w:szCs w:val="16"/>
        </w:rPr>
        <w:t>Namén</w:t>
      </w:r>
      <w:proofErr w:type="spellEnd"/>
      <w:r w:rsidRPr="00C05384">
        <w:rPr>
          <w:rFonts w:ascii="Verdana" w:hAnsi="Verdana" w:cs="Arial"/>
          <w:sz w:val="16"/>
          <w:szCs w:val="16"/>
        </w:rPr>
        <w:t xml:space="preserve"> Vargas.  </w:t>
      </w:r>
    </w:p>
  </w:footnote>
  <w:footnote w:id="6">
    <w:p w14:paraId="74E830F5" w14:textId="77777777" w:rsidR="004A51DE" w:rsidRPr="00E657A2" w:rsidRDefault="004A51DE" w:rsidP="004A51DE">
      <w:pPr>
        <w:pStyle w:val="Textonotapie"/>
        <w:ind w:firstLine="709"/>
        <w:jc w:val="both"/>
        <w:rPr>
          <w:rFonts w:ascii="Verdana" w:hAnsi="Verdana" w:cs="Arial"/>
          <w:sz w:val="16"/>
          <w:szCs w:val="16"/>
          <w:lang w:val="es-CO"/>
        </w:rPr>
      </w:pPr>
      <w:r w:rsidRPr="00E657A2">
        <w:rPr>
          <w:rStyle w:val="Refdenotaalpie"/>
          <w:rFonts w:ascii="Verdana" w:hAnsi="Verdana"/>
          <w:sz w:val="16"/>
          <w:szCs w:val="16"/>
        </w:rPr>
        <w:footnoteRef/>
      </w:r>
      <w:r w:rsidRPr="00E657A2">
        <w:rPr>
          <w:rFonts w:ascii="Verdana" w:hAnsi="Verdana"/>
          <w:sz w:val="16"/>
          <w:szCs w:val="16"/>
          <w:lang w:val="es-CO"/>
        </w:rPr>
        <w:t xml:space="preserve"> Consejo de Estado, Sección Tercera. Auto del 4 de octubre de 2024. </w:t>
      </w:r>
      <w:proofErr w:type="spellStart"/>
      <w:r w:rsidRPr="00E657A2">
        <w:rPr>
          <w:rFonts w:ascii="Verdana" w:hAnsi="Verdana"/>
          <w:sz w:val="16"/>
          <w:szCs w:val="16"/>
          <w:lang w:val="es-CO"/>
        </w:rPr>
        <w:t>Exp</w:t>
      </w:r>
      <w:proofErr w:type="spellEnd"/>
      <w:r w:rsidRPr="00E657A2">
        <w:rPr>
          <w:rFonts w:ascii="Verdana" w:hAnsi="Verdana"/>
          <w:sz w:val="16"/>
          <w:szCs w:val="16"/>
          <w:lang w:val="es-CO"/>
        </w:rPr>
        <w:t>. 70.313. C.P: Fredy Ibarra Martínez</w:t>
      </w:r>
    </w:p>
  </w:footnote>
  <w:footnote w:id="7">
    <w:p w14:paraId="0AAB214A" w14:textId="77777777" w:rsidR="004A51DE" w:rsidRPr="00E657A2" w:rsidRDefault="004A51DE" w:rsidP="004A51DE">
      <w:pPr>
        <w:pStyle w:val="Textonotapie"/>
        <w:ind w:firstLine="709"/>
        <w:jc w:val="both"/>
        <w:rPr>
          <w:rFonts w:ascii="Verdana" w:hAnsi="Verdana"/>
          <w:sz w:val="16"/>
          <w:szCs w:val="16"/>
          <w:lang w:val="es-CO"/>
        </w:rPr>
      </w:pPr>
      <w:r w:rsidRPr="00E657A2">
        <w:rPr>
          <w:rStyle w:val="Refdenotaalpie"/>
          <w:sz w:val="16"/>
          <w:szCs w:val="16"/>
        </w:rPr>
        <w:footnoteRef/>
      </w:r>
      <w:r w:rsidRPr="00E657A2">
        <w:rPr>
          <w:sz w:val="16"/>
          <w:szCs w:val="16"/>
        </w:rPr>
        <w:t xml:space="preserve"> L</w:t>
      </w:r>
      <w:r w:rsidRPr="00E657A2">
        <w:rPr>
          <w:rFonts w:ascii="Verdana" w:hAnsi="Verdana"/>
          <w:sz w:val="16"/>
          <w:szCs w:val="16"/>
        </w:rPr>
        <w:t>a parte resolutiva del auto dispone lo siguiente; “</w:t>
      </w:r>
      <w:r w:rsidRPr="00E657A2">
        <w:rPr>
          <w:rFonts w:ascii="Verdana" w:hAnsi="Verdana"/>
          <w:b/>
          <w:bCs/>
          <w:sz w:val="16"/>
          <w:szCs w:val="16"/>
          <w:lang w:val="es-CO"/>
        </w:rPr>
        <w:t xml:space="preserve">PRIMERO: DECRETAR </w:t>
      </w:r>
      <w:r w:rsidRPr="00E657A2">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E657A2">
        <w:rPr>
          <w:rFonts w:ascii="Verdana" w:hAnsi="Verdana"/>
          <w:i/>
          <w:iCs/>
          <w:sz w:val="16"/>
          <w:szCs w:val="16"/>
          <w:lang w:val="es-CO"/>
        </w:rPr>
        <w:t>“[e]</w:t>
      </w:r>
      <w:proofErr w:type="spellStart"/>
      <w:r w:rsidRPr="00E657A2">
        <w:rPr>
          <w:rFonts w:ascii="Verdana" w:hAnsi="Verdana"/>
          <w:i/>
          <w:iCs/>
          <w:sz w:val="16"/>
          <w:szCs w:val="16"/>
          <w:lang w:val="es-CO"/>
        </w:rPr>
        <w:t>sta</w:t>
      </w:r>
      <w:proofErr w:type="spellEnd"/>
      <w:r w:rsidRPr="00E657A2">
        <w:rPr>
          <w:rFonts w:ascii="Verdana" w:hAnsi="Verdana"/>
          <w:i/>
          <w:iCs/>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E657A2">
        <w:rPr>
          <w:rFonts w:ascii="Verdana" w:hAnsi="Verdana"/>
          <w:sz w:val="16"/>
          <w:szCs w:val="16"/>
          <w:lang w:val="es-CO"/>
        </w:rPr>
        <w:t xml:space="preserve">, por las razones expuestas en precedencia. </w:t>
      </w:r>
    </w:p>
    <w:p w14:paraId="6228D824" w14:textId="77777777" w:rsidR="004A51DE" w:rsidRPr="00E657A2" w:rsidRDefault="004A51DE" w:rsidP="004A51DE">
      <w:pPr>
        <w:pStyle w:val="Textonotapie"/>
        <w:ind w:firstLine="709"/>
        <w:jc w:val="both"/>
        <w:rPr>
          <w:rFonts w:ascii="Verdana" w:hAnsi="Verdana" w:cs="Arial"/>
          <w:sz w:val="16"/>
          <w:szCs w:val="16"/>
          <w:lang w:val="es-CO"/>
        </w:rPr>
      </w:pPr>
      <w:r w:rsidRPr="00E657A2">
        <w:rPr>
          <w:rFonts w:ascii="Verdana" w:hAnsi="Verdana"/>
          <w:b/>
          <w:bCs/>
          <w:sz w:val="16"/>
          <w:szCs w:val="16"/>
          <w:lang w:val="es-CO"/>
        </w:rPr>
        <w:t xml:space="preserve">SEGUNDO: DECRETAR </w:t>
      </w:r>
      <w:r w:rsidRPr="00E657A2">
        <w:rPr>
          <w:rFonts w:ascii="Verdana" w:hAnsi="Verdana"/>
          <w:sz w:val="16"/>
          <w:szCs w:val="16"/>
          <w:lang w:val="es-CO"/>
        </w:rPr>
        <w:t>la suspensión provisional de la expresión “</w:t>
      </w:r>
      <w:r w:rsidRPr="00E657A2">
        <w:rPr>
          <w:rFonts w:ascii="Verdana" w:hAnsi="Verdana"/>
          <w:i/>
          <w:iCs/>
          <w:sz w:val="16"/>
          <w:szCs w:val="16"/>
          <w:lang w:val="es-CO"/>
        </w:rPr>
        <w:t>contratos</w:t>
      </w:r>
      <w:r w:rsidRPr="00E657A2">
        <w:rPr>
          <w:rFonts w:ascii="Verdana" w:hAnsi="Verdana"/>
          <w:sz w:val="16"/>
          <w:szCs w:val="16"/>
          <w:lang w:val="es-CO"/>
        </w:rPr>
        <w:t xml:space="preserve">” y del párrafo </w:t>
      </w:r>
      <w:r w:rsidRPr="00E657A2">
        <w:rPr>
          <w:rFonts w:ascii="Verdana" w:hAnsi="Verdana"/>
          <w:i/>
          <w:iCs/>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E657A2">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E657A2">
        <w:rPr>
          <w:rFonts w:ascii="Verdana" w:hAnsi="Verdana"/>
          <w:sz w:val="16"/>
          <w:szCs w:val="16"/>
          <w:lang w:val="es-CO"/>
        </w:rPr>
        <w:t>Exp</w:t>
      </w:r>
      <w:proofErr w:type="spellEnd"/>
      <w:r w:rsidRPr="00E657A2">
        <w:rPr>
          <w:rFonts w:ascii="Verdana" w:hAnsi="Verdana"/>
          <w:sz w:val="16"/>
          <w:szCs w:val="16"/>
          <w:lang w:val="es-CO"/>
        </w:rPr>
        <w:t xml:space="preserve">. 72.424. C.P: Fernando </w:t>
      </w:r>
      <w:proofErr w:type="spellStart"/>
      <w:r w:rsidRPr="00E657A2">
        <w:rPr>
          <w:rFonts w:ascii="Verdana" w:hAnsi="Verdana"/>
          <w:sz w:val="16"/>
          <w:szCs w:val="16"/>
          <w:lang w:val="es-CO"/>
        </w:rPr>
        <w:t>Alexei</w:t>
      </w:r>
      <w:proofErr w:type="spellEnd"/>
      <w:r w:rsidRPr="00E657A2">
        <w:rPr>
          <w:rFonts w:ascii="Verdana" w:hAnsi="Verdana"/>
          <w:sz w:val="16"/>
          <w:szCs w:val="16"/>
          <w:lang w:val="es-CO"/>
        </w:rPr>
        <w:t xml:space="preserve"> Pardo </w:t>
      </w:r>
      <w:proofErr w:type="spellStart"/>
      <w:r w:rsidRPr="00E657A2">
        <w:rPr>
          <w:rFonts w:ascii="Verdana" w:hAnsi="Verdana"/>
          <w:sz w:val="16"/>
          <w:szCs w:val="16"/>
          <w:lang w:val="es-CO"/>
        </w:rPr>
        <w:t>Florez</w:t>
      </w:r>
      <w:proofErr w:type="spellEnd"/>
      <w:r w:rsidRPr="00E657A2">
        <w:rPr>
          <w:rFonts w:ascii="Verdana" w:hAnsi="Verdana"/>
          <w:sz w:val="16"/>
          <w:szCs w:val="16"/>
          <w:lang w:val="es-CO"/>
        </w:rPr>
        <w:t xml:space="preserve">. </w:t>
      </w:r>
    </w:p>
  </w:footnote>
  <w:footnote w:id="8">
    <w:p w14:paraId="53F8C920" w14:textId="77777777" w:rsidR="004A51DE" w:rsidRPr="002A503A" w:rsidRDefault="004A51DE" w:rsidP="004A51DE">
      <w:pPr>
        <w:pStyle w:val="Textonotapie"/>
        <w:rPr>
          <w:lang w:val="es-ES"/>
        </w:rPr>
      </w:pPr>
      <w:r>
        <w:rPr>
          <w:rStyle w:val="Refdenotaalpie"/>
        </w:rPr>
        <w:footnoteRef/>
      </w:r>
      <w:r>
        <w:t xml:space="preserve"> </w:t>
      </w:r>
      <w:r w:rsidRPr="00E657A2">
        <w:rPr>
          <w:rFonts w:ascii="Verdana" w:hAnsi="Verdana"/>
          <w:sz w:val="16"/>
          <w:szCs w:val="16"/>
          <w:lang w:val="es-CO"/>
        </w:rPr>
        <w:t xml:space="preserve">Consejo de Estado, Sección Tercera. </w:t>
      </w:r>
      <w:r>
        <w:rPr>
          <w:rFonts w:ascii="Verdana" w:hAnsi="Verdana"/>
          <w:sz w:val="16"/>
          <w:szCs w:val="16"/>
          <w:lang w:val="es-CO"/>
        </w:rPr>
        <w:t>Sentencia</w:t>
      </w:r>
      <w:r w:rsidRPr="00E657A2">
        <w:rPr>
          <w:rFonts w:ascii="Verdana" w:hAnsi="Verdana"/>
          <w:sz w:val="16"/>
          <w:szCs w:val="16"/>
          <w:lang w:val="es-CO"/>
        </w:rPr>
        <w:t xml:space="preserve"> del </w:t>
      </w:r>
      <w:r>
        <w:rPr>
          <w:rFonts w:ascii="Verdana" w:hAnsi="Verdana"/>
          <w:sz w:val="16"/>
          <w:szCs w:val="16"/>
          <w:lang w:val="es-CO"/>
        </w:rPr>
        <w:t>17</w:t>
      </w:r>
      <w:r w:rsidRPr="00E657A2">
        <w:rPr>
          <w:rFonts w:ascii="Verdana" w:hAnsi="Verdana"/>
          <w:sz w:val="16"/>
          <w:szCs w:val="16"/>
          <w:lang w:val="es-CO"/>
        </w:rPr>
        <w:t xml:space="preserve"> de octubre de 202</w:t>
      </w:r>
      <w:r>
        <w:rPr>
          <w:rFonts w:ascii="Verdana" w:hAnsi="Verdana"/>
          <w:sz w:val="16"/>
          <w:szCs w:val="16"/>
          <w:lang w:val="es-CO"/>
        </w:rPr>
        <w:t>5</w:t>
      </w:r>
      <w:r w:rsidRPr="00E657A2">
        <w:rPr>
          <w:rFonts w:ascii="Verdana" w:hAnsi="Verdana"/>
          <w:sz w:val="16"/>
          <w:szCs w:val="16"/>
          <w:lang w:val="es-CO"/>
        </w:rPr>
        <w:t xml:space="preserve">. </w:t>
      </w:r>
      <w:proofErr w:type="spellStart"/>
      <w:r w:rsidRPr="00E657A2">
        <w:rPr>
          <w:rFonts w:ascii="Verdana" w:hAnsi="Verdana"/>
          <w:sz w:val="16"/>
          <w:szCs w:val="16"/>
          <w:lang w:val="es-CO"/>
        </w:rPr>
        <w:t>Exp</w:t>
      </w:r>
      <w:proofErr w:type="spellEnd"/>
      <w:r w:rsidRPr="00E657A2">
        <w:rPr>
          <w:rFonts w:ascii="Verdana" w:hAnsi="Verdana"/>
          <w:sz w:val="16"/>
          <w:szCs w:val="16"/>
          <w:lang w:val="es-CO"/>
        </w:rPr>
        <w:t>. 70.313. C.P: Fredy Ibarra Martínez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9"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9"/>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65FD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0D26"/>
    <w:rsid w:val="0044528D"/>
    <w:rsid w:val="00466E39"/>
    <w:rsid w:val="004A1847"/>
    <w:rsid w:val="004A305D"/>
    <w:rsid w:val="004A51DE"/>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77645"/>
    <w:rsid w:val="006900D9"/>
    <w:rsid w:val="00706C16"/>
    <w:rsid w:val="007340C3"/>
    <w:rsid w:val="0075235A"/>
    <w:rsid w:val="00756841"/>
    <w:rsid w:val="007649AB"/>
    <w:rsid w:val="00771D0C"/>
    <w:rsid w:val="007833AC"/>
    <w:rsid w:val="007B268C"/>
    <w:rsid w:val="007B7171"/>
    <w:rsid w:val="007C0C0F"/>
    <w:rsid w:val="007C1888"/>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376D"/>
    <w:rsid w:val="00B72CD3"/>
    <w:rsid w:val="00B72FFF"/>
    <w:rsid w:val="00BC3D36"/>
    <w:rsid w:val="00BD54A6"/>
    <w:rsid w:val="00BD7F72"/>
    <w:rsid w:val="00BF7425"/>
    <w:rsid w:val="00C03D13"/>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00A4"/>
    <w:rsid w:val="00D7383B"/>
    <w:rsid w:val="00D7788A"/>
    <w:rsid w:val="00DA231B"/>
    <w:rsid w:val="00DC39FC"/>
    <w:rsid w:val="00DF5254"/>
    <w:rsid w:val="00E02524"/>
    <w:rsid w:val="00E16408"/>
    <w:rsid w:val="00E20894"/>
    <w:rsid w:val="00E245AB"/>
    <w:rsid w:val="00E2764C"/>
    <w:rsid w:val="00E27F2E"/>
    <w:rsid w:val="00E50AFE"/>
    <w:rsid w:val="00E53D7A"/>
    <w:rsid w:val="00E75C92"/>
    <w:rsid w:val="00E771DC"/>
    <w:rsid w:val="00E8772A"/>
    <w:rsid w:val="00E90F6B"/>
    <w:rsid w:val="00E92C27"/>
    <w:rsid w:val="00EA0E3D"/>
    <w:rsid w:val="00EC38A7"/>
    <w:rsid w:val="00EE1AA8"/>
    <w:rsid w:val="00F23FEA"/>
    <w:rsid w:val="00F31EDC"/>
    <w:rsid w:val="00F462B3"/>
    <w:rsid w:val="00F50722"/>
    <w:rsid w:val="00F52E9E"/>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51DE"/>
    <w:rPr>
      <w:rFonts w:ascii="Geomanist Light" w:hAnsi="Geomanist Light"/>
      <w:lang w:val="es-ES"/>
    </w:rPr>
  </w:style>
  <w:style w:type="paragraph" w:customStyle="1" w:styleId="Appelnotedebasde">
    <w:name w:val="Appel note de bas de..."/>
    <w:basedOn w:val="Normal"/>
    <w:link w:val="Refdenotaalpie"/>
    <w:uiPriority w:val="99"/>
    <w:rsid w:val="004A51DE"/>
    <w:pPr>
      <w:spacing w:line="240" w:lineRule="exact"/>
    </w:pPr>
    <w:rPr>
      <w:vertAlign w:val="superscript"/>
    </w:rPr>
  </w:style>
  <w:style w:type="character" w:customStyle="1" w:styleId="baj">
    <w:name w:val="b_aj"/>
    <w:basedOn w:val="Fuentedeprrafopredeter"/>
    <w:rsid w:val="004A51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jandra.salgado94@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90A8512E-899A-4004-88A8-BC29BF31213D}"/>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674</TotalTime>
  <Pages>13</Pages>
  <Words>4255</Words>
  <Characters>23405</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2025-12-03T15:41:00Z</dcterms:created>
  <dcterms:modified xsi:type="dcterms:W3CDTF">2025-12-12T04:19:00Z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