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65145" w14:textId="77777777" w:rsidR="004125DE" w:rsidRPr="005D3BFD" w:rsidRDefault="004125DE" w:rsidP="004125DE">
      <w:pPr>
        <w:spacing w:after="0" w:line="240" w:lineRule="auto"/>
        <w:contextualSpacing/>
        <w:jc w:val="both"/>
        <w:rPr>
          <w:rFonts w:ascii="Verdana" w:eastAsia="Calibri" w:hAnsi="Verdana" w:cs="Arial"/>
          <w:b/>
          <w:bCs/>
          <w:lang w:val="es-ES" w:eastAsia="es-ES_tradnl"/>
        </w:rPr>
      </w:pPr>
      <w:bookmarkStart w:id="0" w:name="_Hlk181166130"/>
      <w:bookmarkStart w:id="1" w:name="_Hlk209714638"/>
      <w:r w:rsidRPr="005D3BFD">
        <w:rPr>
          <w:rFonts w:ascii="Verdana" w:eastAsia="Calibri" w:hAnsi="Verdana" w:cs="Arial"/>
          <w:b/>
          <w:bCs/>
          <w:lang w:val="es-ES" w:eastAsia="es-ES_tradnl"/>
        </w:rPr>
        <w:t>REQUISITOS HABILITANTES – Noción</w:t>
      </w:r>
    </w:p>
    <w:p w14:paraId="3038AE51" w14:textId="77777777" w:rsidR="004125DE" w:rsidRPr="005D3BFD" w:rsidRDefault="004125DE" w:rsidP="004125DE">
      <w:pPr>
        <w:spacing w:after="0" w:line="240" w:lineRule="auto"/>
        <w:contextualSpacing/>
        <w:jc w:val="both"/>
        <w:rPr>
          <w:rFonts w:ascii="Verdana" w:eastAsia="Calibri" w:hAnsi="Verdana" w:cs="Arial"/>
          <w:color w:val="000000" w:themeColor="text1"/>
          <w:lang w:val="es-ES"/>
        </w:rPr>
      </w:pPr>
    </w:p>
    <w:p w14:paraId="098422A2" w14:textId="77777777" w:rsidR="004125DE" w:rsidRPr="00874757" w:rsidRDefault="004125DE" w:rsidP="004125DE">
      <w:pPr>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 xml:space="preserve">Los </w:t>
      </w:r>
      <w:r w:rsidRPr="00874757">
        <w:rPr>
          <w:rFonts w:ascii="Verdana" w:eastAsia="Calibri" w:hAnsi="Verdana" w:cs="Arial"/>
          <w:i/>
          <w:iCs/>
          <w:color w:val="000000" w:themeColor="text1"/>
          <w:sz w:val="20"/>
          <w:szCs w:val="20"/>
          <w:lang w:val="es-ES"/>
        </w:rPr>
        <w:t>requisitos habilitantes</w:t>
      </w:r>
      <w:r w:rsidRPr="00874757">
        <w:rPr>
          <w:rFonts w:ascii="Verdana" w:eastAsia="Calibri" w:hAnsi="Verdana" w:cs="Arial"/>
          <w:color w:val="000000" w:themeColor="text1"/>
          <w:sz w:val="20"/>
          <w:szCs w:val="20"/>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874757">
        <w:rPr>
          <w:rFonts w:ascii="Verdana" w:eastAsia="Calibri" w:hAnsi="Verdana" w:cs="Arial"/>
          <w:i/>
          <w:iCs/>
          <w:color w:val="000000" w:themeColor="text1"/>
          <w:sz w:val="20"/>
          <w:szCs w:val="20"/>
          <w:lang w:val="es-ES"/>
        </w:rPr>
        <w:t>criterios de evaluación</w:t>
      </w:r>
      <w:r w:rsidRPr="00874757">
        <w:rPr>
          <w:rFonts w:ascii="Verdana" w:eastAsia="Calibri" w:hAnsi="Verdana" w:cs="Arial"/>
          <w:color w:val="000000" w:themeColor="text1"/>
          <w:sz w:val="20"/>
          <w:szCs w:val="20"/>
          <w:lang w:val="es-ES"/>
        </w:rPr>
        <w:t xml:space="preserve"> –también conocidos como </w:t>
      </w:r>
      <w:r w:rsidRPr="00874757">
        <w:rPr>
          <w:rFonts w:ascii="Verdana" w:eastAsia="Calibri" w:hAnsi="Verdana" w:cs="Arial"/>
          <w:i/>
          <w:iCs/>
          <w:color w:val="000000" w:themeColor="text1"/>
          <w:sz w:val="20"/>
          <w:szCs w:val="20"/>
          <w:lang w:val="es-ES"/>
        </w:rPr>
        <w:t>criterios de calificación</w:t>
      </w:r>
      <w:r w:rsidRPr="00874757">
        <w:rPr>
          <w:rFonts w:ascii="Verdana" w:eastAsia="Calibri" w:hAnsi="Verdana" w:cs="Arial"/>
          <w:color w:val="000000" w:themeColor="text1"/>
          <w:sz w:val="20"/>
          <w:szCs w:val="20"/>
          <w:lang w:val="es-ES"/>
        </w:rPr>
        <w:t xml:space="preserve">– en que la Entidad Estatal define estos factores para la asignación de puntaje en la comparación de las ofertas con el fin de establecer el orden de elegibilidad y la propuesta ganadora. </w:t>
      </w:r>
    </w:p>
    <w:p w14:paraId="2D316616" w14:textId="77777777" w:rsidR="004125DE" w:rsidRPr="00874757" w:rsidRDefault="004125DE" w:rsidP="004125DE">
      <w:pPr>
        <w:spacing w:after="0" w:line="240" w:lineRule="auto"/>
        <w:contextualSpacing/>
        <w:jc w:val="both"/>
        <w:rPr>
          <w:rFonts w:ascii="Verdana" w:eastAsia="Calibri" w:hAnsi="Verdana" w:cs="Arial"/>
          <w:color w:val="000000" w:themeColor="text1"/>
          <w:sz w:val="20"/>
          <w:szCs w:val="20"/>
          <w:lang w:val="es-ES"/>
        </w:rPr>
      </w:pPr>
    </w:p>
    <w:p w14:paraId="5B262D89" w14:textId="77777777" w:rsidR="004125DE" w:rsidRPr="00874757" w:rsidRDefault="004125DE" w:rsidP="004125DE">
      <w:pPr>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62ADCEEA" w14:textId="77777777" w:rsidR="004125DE" w:rsidRPr="005D3BFD" w:rsidRDefault="004125DE" w:rsidP="004125DE">
      <w:pPr>
        <w:spacing w:after="0" w:line="240" w:lineRule="auto"/>
        <w:contextualSpacing/>
        <w:jc w:val="both"/>
        <w:rPr>
          <w:rFonts w:ascii="Verdana" w:eastAsia="Calibri" w:hAnsi="Verdana" w:cs="Arial"/>
          <w:b/>
          <w:bCs/>
          <w:lang w:val="es-ES" w:eastAsia="es-ES_tradnl"/>
        </w:rPr>
      </w:pPr>
    </w:p>
    <w:p w14:paraId="40E7C14C" w14:textId="77777777" w:rsidR="004125DE" w:rsidRPr="005D3BFD" w:rsidRDefault="004125DE" w:rsidP="004125DE">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REQUISITOS HABILITANTES – Autonomía</w:t>
      </w:r>
    </w:p>
    <w:p w14:paraId="15EF55BB" w14:textId="77777777" w:rsidR="004125DE" w:rsidRPr="005D3BFD" w:rsidRDefault="004125DE" w:rsidP="004125DE">
      <w:pPr>
        <w:widowControl w:val="0"/>
        <w:autoSpaceDE w:val="0"/>
        <w:autoSpaceDN w:val="0"/>
        <w:spacing w:after="0" w:line="240" w:lineRule="auto"/>
        <w:contextualSpacing/>
        <w:jc w:val="both"/>
        <w:rPr>
          <w:rFonts w:ascii="Verdana" w:eastAsia="Calibri" w:hAnsi="Verdana" w:cs="Arial"/>
          <w:color w:val="000000" w:themeColor="text1"/>
          <w:lang w:val="es-ES"/>
        </w:rPr>
      </w:pPr>
    </w:p>
    <w:p w14:paraId="19B8A799" w14:textId="77777777" w:rsidR="004125DE" w:rsidRPr="00874757" w:rsidRDefault="004125DE" w:rsidP="004125DE">
      <w:pPr>
        <w:widowControl w:val="0"/>
        <w:autoSpaceDE w:val="0"/>
        <w:autoSpaceDN w:val="0"/>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 xml:space="preserve">En consecuencia, corresponde a las Entidades Estatales, durante la etapa de planeación del contrato, estudiar y determinar los requisitos habilitantes que establecerán en los pliegos de condiciones, los cuales deben fijarse de forma adecuada y proporcional. Según el artículo 2.2.1.1.1.6.2 del Decreto 1082 de 2015, las entidades deben hacer lo anterior de acuerdo con la naturaleza, el valor del contrato, la forma de pago, los riesgos asociados, el plazo y la complejidad de ejecución del objeto. Esta facultad, además implica que las entidades deben establecer la forma en que los proponentes acreditarán estos requisitos y la manera en que la entidad verificará su cumplimiento. </w:t>
      </w:r>
    </w:p>
    <w:p w14:paraId="5C02690E" w14:textId="77777777" w:rsidR="004125DE" w:rsidRPr="005D3BFD" w:rsidRDefault="004125DE" w:rsidP="004125DE">
      <w:pPr>
        <w:spacing w:after="0" w:line="240" w:lineRule="auto"/>
        <w:contextualSpacing/>
        <w:jc w:val="both"/>
        <w:rPr>
          <w:rFonts w:ascii="Verdana" w:eastAsia="Calibri" w:hAnsi="Verdana" w:cs="Arial"/>
          <w:b/>
          <w:bCs/>
          <w:lang w:val="es-ES" w:eastAsia="es-ES_tradnl"/>
        </w:rPr>
      </w:pPr>
    </w:p>
    <w:p w14:paraId="63851B12" w14:textId="77777777" w:rsidR="004125DE" w:rsidRPr="005D3BFD" w:rsidRDefault="004125DE" w:rsidP="004125DE">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CAPACIDAD FINANCIERA – Definición</w:t>
      </w:r>
    </w:p>
    <w:p w14:paraId="046C6B57" w14:textId="77777777" w:rsidR="004125DE" w:rsidRPr="005D3BFD" w:rsidRDefault="004125DE" w:rsidP="004125DE">
      <w:pPr>
        <w:spacing w:after="0" w:line="240" w:lineRule="auto"/>
        <w:contextualSpacing/>
        <w:jc w:val="both"/>
        <w:rPr>
          <w:rFonts w:ascii="Verdana" w:eastAsia="Calibri" w:hAnsi="Verdana" w:cs="Arial"/>
          <w:b/>
          <w:bCs/>
          <w:lang w:val="es-ES" w:eastAsia="es-ES_tradnl"/>
        </w:rPr>
      </w:pPr>
    </w:p>
    <w:p w14:paraId="4E5EAE5D" w14:textId="77777777" w:rsidR="004125DE" w:rsidRPr="00874757" w:rsidRDefault="004125DE" w:rsidP="004125DE">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color w:val="000000"/>
          <w:sz w:val="20"/>
          <w:szCs w:val="20"/>
          <w:lang w:val="es-ES" w:eastAsia="es-ES_tradnl"/>
        </w:rPr>
        <w:t xml:space="preserve">Ahora bien, dentro de los requisitos habilitantes se destaca la capacidad financiera, la cual </w:t>
      </w:r>
      <w:r w:rsidRPr="00874757">
        <w:rPr>
          <w:rFonts w:ascii="Verdana" w:eastAsia="Calibri" w:hAnsi="Verdana" w:cs="Arial"/>
          <w:sz w:val="20"/>
          <w:szCs w:val="20"/>
          <w:lang w:val="es-ES"/>
        </w:rPr>
        <w:t xml:space="preserve">se deriva del comportamiento contable de la empresa, su liquidez y endeudamiento, para determinar que sus recursos y solidez le permiten cumplir los compromisos que adquiera. Como explica esta Agencia en el </w:t>
      </w:r>
      <w:r w:rsidRPr="00874757">
        <w:rPr>
          <w:rFonts w:ascii="Verdana" w:eastAsia="Calibri" w:hAnsi="Verdana" w:cs="Arial"/>
          <w:i/>
          <w:iCs/>
          <w:sz w:val="20"/>
          <w:szCs w:val="20"/>
          <w:lang w:val="es-ES"/>
        </w:rPr>
        <w:t>Manual para determinar y verificar los requisitos habilitantes en los procesos de contratación</w:t>
      </w:r>
      <w:r w:rsidRPr="00874757">
        <w:rPr>
          <w:rFonts w:ascii="Verdana" w:eastAsia="Calibri" w:hAnsi="Verdana" w:cs="Arial"/>
          <w:sz w:val="20"/>
          <w:szCs w:val="20"/>
          <w:lang w:val="es-ES"/>
        </w:rPr>
        <w:t>: “Los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w:t>
      </w:r>
    </w:p>
    <w:p w14:paraId="215403BF" w14:textId="77777777" w:rsidR="004125DE" w:rsidRPr="005D3BFD" w:rsidRDefault="004125DE" w:rsidP="004125DE">
      <w:pPr>
        <w:spacing w:after="0" w:line="240" w:lineRule="auto"/>
        <w:contextualSpacing/>
        <w:jc w:val="both"/>
        <w:rPr>
          <w:rFonts w:ascii="Verdana" w:eastAsia="Calibri" w:hAnsi="Verdana" w:cs="Arial"/>
          <w:b/>
          <w:bCs/>
          <w:lang w:val="es-ES" w:eastAsia="es-ES_tradnl"/>
        </w:rPr>
      </w:pPr>
    </w:p>
    <w:p w14:paraId="2F2087AF" w14:textId="77777777" w:rsidR="004125DE" w:rsidRPr="005D3BFD" w:rsidRDefault="004125DE" w:rsidP="004125DE">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CAPACIDAD FINANCIERA – Verificación</w:t>
      </w:r>
    </w:p>
    <w:p w14:paraId="0E02217D" w14:textId="77777777" w:rsidR="004125DE" w:rsidRPr="005D3BFD" w:rsidRDefault="004125DE" w:rsidP="004125DE">
      <w:pPr>
        <w:spacing w:after="0" w:line="240" w:lineRule="auto"/>
        <w:contextualSpacing/>
        <w:jc w:val="both"/>
        <w:rPr>
          <w:rFonts w:ascii="Verdana" w:eastAsia="Calibri" w:hAnsi="Verdana" w:cs="Arial"/>
          <w:b/>
          <w:bCs/>
          <w:sz w:val="21"/>
          <w:szCs w:val="21"/>
          <w:lang w:val="es-ES" w:eastAsia="es-ES_tradnl"/>
        </w:rPr>
      </w:pPr>
    </w:p>
    <w:p w14:paraId="02CB74E2" w14:textId="77777777" w:rsidR="004125DE" w:rsidRPr="00874757" w:rsidRDefault="004125DE" w:rsidP="004125DE">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sz w:val="20"/>
          <w:szCs w:val="20"/>
          <w:lang w:val="es-ES"/>
        </w:rPr>
        <w:t xml:space="preserve">Por otra parte, los requisitos habilitantes como la capacidad financiera deben ser evaluados de acuerdo con lo registrado en el RUP, salvo los procesos exceptuados de </w:t>
      </w:r>
      <w:r w:rsidRPr="00874757">
        <w:rPr>
          <w:rFonts w:ascii="Verdana" w:eastAsia="Calibri" w:hAnsi="Verdana" w:cs="Arial"/>
          <w:sz w:val="20"/>
          <w:szCs w:val="20"/>
          <w:lang w:val="es-ES"/>
        </w:rPr>
        <w:lastRenderedPageBreak/>
        <w:t>este registro. Según el artículo 2.2.1.1.1.5.2. del Decreto 1082 de 2015, para la inscripción en el RUP el proponente aporta, entre otros, “Estados financieros de la sociedad (…)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I. Principales cuentas detalladas del balance general. II. Principales cuentas del estado de pérdidas y ganancias. III. Cuentas contingentes deudoras y acreedoras (…)”.</w:t>
      </w:r>
    </w:p>
    <w:p w14:paraId="524FA59E" w14:textId="77777777" w:rsidR="004125DE" w:rsidRPr="00874757" w:rsidRDefault="004125DE" w:rsidP="004125DE">
      <w:pPr>
        <w:spacing w:after="0" w:line="240" w:lineRule="auto"/>
        <w:contextualSpacing/>
        <w:jc w:val="both"/>
        <w:rPr>
          <w:rFonts w:ascii="Verdana" w:eastAsia="Calibri" w:hAnsi="Verdana" w:cs="Arial"/>
          <w:sz w:val="20"/>
          <w:szCs w:val="20"/>
          <w:lang w:val="es-ES"/>
        </w:rPr>
      </w:pPr>
    </w:p>
    <w:p w14:paraId="54917BFC" w14:textId="77777777" w:rsidR="004125DE" w:rsidRPr="00874757" w:rsidRDefault="004125DE" w:rsidP="004125DE">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sz w:val="20"/>
          <w:szCs w:val="20"/>
          <w:lang w:val="es-ES"/>
        </w:rPr>
        <w:t>Así pues, el artículo 6 de la Ley 1150 de 2007 señala que el RUP es plena prueba de las circunstancias que constan en él, como la capacidad financiera, y “las entidades estatales en los procesos de contratación no podrán exigir, ni los proponentes aportar documentación que deba utilizarse para efectuar la inscripción en el registro”. Por lo que para resolver su consulta, debido a que los estados financieros y sus notas son documentos que se utilizan para la inscripción en el RUP, las entidades no los pueden exigir ni verificar ya que la capacidad financiera se debe evaluar exclusivamente con el RUP. Sin embargo, para los procesos exceptuados del RUP, “corresponderá a las entidades contratantes cumplir con la labor de verificación de las condiciones de los proponentes” y en esa medida, son autónomas para determinar si la documentación aportada por el proponente para verificar la capacidad financiera cumple o no cumple con lo exigido en el pliego de condiciones.</w:t>
      </w:r>
    </w:p>
    <w:p w14:paraId="6C4E5E5E" w14:textId="77777777" w:rsidR="004125DE" w:rsidRDefault="004125DE" w:rsidP="004125DE">
      <w:pPr>
        <w:spacing w:after="0" w:line="240" w:lineRule="auto"/>
        <w:rPr>
          <w:rFonts w:ascii="Verdana" w:hAnsi="Verdana"/>
        </w:rPr>
      </w:pPr>
    </w:p>
    <w:p w14:paraId="1587249A" w14:textId="77777777" w:rsidR="004125DE" w:rsidRPr="00EA7FDB" w:rsidRDefault="004125DE" w:rsidP="004125DE">
      <w:pPr>
        <w:spacing w:after="0" w:line="276" w:lineRule="auto"/>
        <w:jc w:val="both"/>
        <w:rPr>
          <w:rFonts w:ascii="Verdana" w:eastAsia="Geomanist Light" w:hAnsi="Verdana" w:cs="Arial"/>
          <w:b/>
          <w:bCs/>
          <w:lang w:val="es-ES_tradnl"/>
        </w:rPr>
      </w:pPr>
      <w:r w:rsidRPr="00EA7FDB">
        <w:rPr>
          <w:rFonts w:ascii="Verdana" w:eastAsia="Geomanist Light" w:hAnsi="Verdana" w:cs="Arial"/>
          <w:b/>
          <w:bCs/>
          <w:lang w:val="es-ES_tradnl"/>
        </w:rPr>
        <w:t>INDICADORES FINANCIEROS Y ORGANIZACIONALES – Proponentes plurales – Metodología para el cálculo de indicadores – Sumatoria simple – Suma de los componentes de los indicadores</w:t>
      </w:r>
    </w:p>
    <w:p w14:paraId="7C93E383" w14:textId="77777777" w:rsidR="004125DE" w:rsidRDefault="004125DE" w:rsidP="004125DE">
      <w:pPr>
        <w:snapToGrid w:val="0"/>
        <w:spacing w:after="0" w:line="276" w:lineRule="auto"/>
        <w:contextualSpacing/>
        <w:jc w:val="both"/>
        <w:rPr>
          <w:rFonts w:ascii="Verdana" w:eastAsia="Geomanist Light" w:hAnsi="Verdana" w:cs="Arial"/>
          <w:lang w:val="es-ES_tradnl"/>
        </w:rPr>
      </w:pPr>
    </w:p>
    <w:p w14:paraId="508C01F0" w14:textId="77777777" w:rsidR="004125DE" w:rsidRPr="00AE1D1F" w:rsidRDefault="004125DE" w:rsidP="004125DE">
      <w:pPr>
        <w:snapToGrid w:val="0"/>
        <w:spacing w:after="0" w:line="240" w:lineRule="auto"/>
        <w:contextualSpacing/>
        <w:jc w:val="both"/>
        <w:rPr>
          <w:rFonts w:ascii="Verdana" w:eastAsia="Aptos" w:hAnsi="Verdana" w:cs="Arial"/>
          <w:kern w:val="2"/>
          <w:sz w:val="20"/>
          <w:szCs w:val="20"/>
          <w:shd w:val="clear" w:color="auto" w:fill="FFFFFF"/>
          <w:lang w:val="es-ES"/>
          <w14:ligatures w14:val="standardContextual"/>
        </w:rPr>
      </w:pPr>
      <w:r w:rsidRPr="00AE1D1F">
        <w:rPr>
          <w:rFonts w:ascii="Verdana" w:eastAsia="Aptos" w:hAnsi="Verdana" w:cs="Arial"/>
          <w:kern w:val="2"/>
          <w:sz w:val="20"/>
          <w:szCs w:val="20"/>
          <w:shd w:val="clear" w:color="auto" w:fill="FFFFFF"/>
          <w:lang w:val="es-ES"/>
          <w14:ligatures w14:val="standardContextual"/>
        </w:rPr>
        <w:t>Inicialmente, como puede evidenciarse, el Manual en comento propone las dos metodologías –sumatoria o ponderación– como opciones válidas para el cálculo de los indicadores de proponentes plurales; por otro lado, la diferencia radica fundamentalmente en el nivel de precisión con el que se evalúa la solvencia del proponente plural dependiendo de su porcentaje de participación, lo que hace que las metodologías ponderadas sean más rigurosas de cara al análisis.</w:t>
      </w:r>
    </w:p>
    <w:p w14:paraId="26333D04" w14:textId="77777777" w:rsidR="004125DE" w:rsidRPr="00AE1D1F" w:rsidRDefault="004125DE" w:rsidP="004125DE">
      <w:pPr>
        <w:snapToGrid w:val="0"/>
        <w:spacing w:after="0" w:line="240" w:lineRule="auto"/>
        <w:ind w:left="720"/>
        <w:contextualSpacing/>
        <w:jc w:val="both"/>
        <w:rPr>
          <w:rFonts w:ascii="Verdana" w:eastAsia="Aptos" w:hAnsi="Verdana" w:cs="Arial"/>
          <w:kern w:val="2"/>
          <w:sz w:val="20"/>
          <w:szCs w:val="20"/>
          <w:shd w:val="clear" w:color="auto" w:fill="FFFFFF"/>
          <w:lang w:val="es-ES"/>
          <w14:ligatures w14:val="standardContextual"/>
        </w:rPr>
      </w:pPr>
    </w:p>
    <w:p w14:paraId="16B87A5A" w14:textId="77777777" w:rsidR="004125DE" w:rsidRPr="00AE1D1F" w:rsidRDefault="004125DE" w:rsidP="004125DE">
      <w:pPr>
        <w:snapToGrid w:val="0"/>
        <w:spacing w:after="0" w:line="240" w:lineRule="auto"/>
        <w:contextualSpacing/>
        <w:jc w:val="both"/>
        <w:rPr>
          <w:rFonts w:ascii="Verdana" w:eastAsia="Aptos" w:hAnsi="Verdana" w:cs="Arial"/>
          <w:kern w:val="2"/>
          <w:sz w:val="20"/>
          <w:szCs w:val="20"/>
          <w:shd w:val="clear" w:color="auto" w:fill="FFFFFF"/>
          <w:lang w:val="es-ES"/>
          <w14:ligatures w14:val="standardContextual"/>
        </w:rPr>
      </w:pPr>
      <w:r w:rsidRPr="00AE1D1F">
        <w:rPr>
          <w:rFonts w:ascii="Verdana" w:eastAsia="Aptos" w:hAnsi="Verdana" w:cs="Arial"/>
          <w:kern w:val="2"/>
          <w:sz w:val="20"/>
          <w:szCs w:val="20"/>
          <w:shd w:val="clear" w:color="auto" w:fill="FFFFFF"/>
          <w:lang w:val="es-ES"/>
          <w14:ligatures w14:val="standardContextual"/>
        </w:rPr>
        <w:t xml:space="preserve">Sin embargo, y en el marco de los principales objetivos de la aplicación de los documentos tipo –que buscan promover la participación y aumentar la pluralidad de oferentes en los procesos de selección–, desde la Agencia Nacional de Contratación Pública se ha considerado utilizar las metodologías de </w:t>
      </w:r>
      <w:r w:rsidRPr="00AE1D1F">
        <w:rPr>
          <w:rFonts w:ascii="Verdana" w:eastAsia="Aptos" w:hAnsi="Verdana" w:cs="Arial"/>
          <w:i/>
          <w:iCs/>
          <w:kern w:val="2"/>
          <w:sz w:val="20"/>
          <w:szCs w:val="20"/>
          <w:shd w:val="clear" w:color="auto" w:fill="FFFFFF"/>
          <w:lang w:val="es-ES"/>
          <w14:ligatures w14:val="standardContextual"/>
        </w:rPr>
        <w:t>sumatoria simple</w:t>
      </w:r>
      <w:r w:rsidRPr="00AE1D1F">
        <w:rPr>
          <w:rFonts w:ascii="Verdana" w:eastAsia="Aptos" w:hAnsi="Verdana" w:cs="Arial"/>
          <w:kern w:val="2"/>
          <w:sz w:val="20"/>
          <w:szCs w:val="20"/>
          <w:shd w:val="clear" w:color="auto" w:fill="FFFFFF"/>
          <w:lang w:val="es-ES"/>
          <w14:ligatures w14:val="standardContextual"/>
        </w:rPr>
        <w:t xml:space="preserve"> para efectos de calcular los indicadores de proponentes plurales, toda vez que dicha metodología facilita la habilitación de las diferentes estructuras plurales sin requerir necesariamente que </w:t>
      </w:r>
      <w:r w:rsidRPr="00AE1D1F">
        <w:rPr>
          <w:rFonts w:ascii="Verdana" w:eastAsia="Aptos" w:hAnsi="Verdana" w:cs="Arial"/>
          <w:kern w:val="2"/>
          <w:sz w:val="20"/>
          <w:szCs w:val="20"/>
          <w:shd w:val="clear" w:color="auto" w:fill="FFFFFF"/>
          <w14:ligatures w14:val="standardContextual"/>
        </w:rPr>
        <w:t>el integrante del proponente plural con los mejores indicadores tenga una mayor participación en el mismo.</w:t>
      </w:r>
    </w:p>
    <w:p w14:paraId="3E3A9581" w14:textId="77777777" w:rsidR="004125DE" w:rsidRDefault="004125DE" w:rsidP="004125DE">
      <w:pPr>
        <w:spacing w:after="0" w:line="240" w:lineRule="auto"/>
        <w:rPr>
          <w:rFonts w:ascii="Verdana" w:hAnsi="Verdana"/>
        </w:rPr>
      </w:pPr>
    </w:p>
    <w:p w14:paraId="6886424A" w14:textId="77777777" w:rsidR="004125DE" w:rsidRDefault="004125DE" w:rsidP="004125DE">
      <w:pPr>
        <w:spacing w:after="0" w:line="240" w:lineRule="auto"/>
        <w:rPr>
          <w:rFonts w:ascii="Verdana" w:hAnsi="Verdana"/>
        </w:rPr>
      </w:pPr>
    </w:p>
    <w:p w14:paraId="01A9F537" w14:textId="77777777" w:rsidR="004125DE" w:rsidRDefault="004125DE" w:rsidP="004125DE">
      <w:pPr>
        <w:spacing w:after="0" w:line="240" w:lineRule="auto"/>
        <w:rPr>
          <w:rFonts w:ascii="Verdana" w:hAnsi="Verdana"/>
        </w:rPr>
      </w:pPr>
    </w:p>
    <w:p w14:paraId="10CBE95E" w14:textId="1EEFD81D" w:rsidR="004125DE" w:rsidRDefault="004125DE" w:rsidP="004125DE">
      <w:pPr>
        <w:spacing w:after="0" w:line="240" w:lineRule="auto"/>
        <w:rPr>
          <w:rFonts w:ascii="Verdana" w:hAnsi="Verdana"/>
        </w:rPr>
      </w:pPr>
      <w:r>
        <w:rPr>
          <w:rFonts w:ascii="Verdana" w:hAnsi="Verdana"/>
        </w:rPr>
        <w:t>B</w:t>
      </w:r>
      <w:r w:rsidRPr="0044528D">
        <w:rPr>
          <w:rFonts w:ascii="Verdana" w:hAnsi="Verdana"/>
        </w:rPr>
        <w:t xml:space="preserve">ogotá D.C., </w:t>
      </w:r>
      <w:r w:rsidR="00075EA3">
        <w:rPr>
          <w:rFonts w:ascii="Verdana" w:hAnsi="Verdana"/>
        </w:rPr>
        <w:t>09</w:t>
      </w:r>
      <w:r>
        <w:rPr>
          <w:rFonts w:ascii="Verdana" w:hAnsi="Verdana"/>
        </w:rPr>
        <w:t xml:space="preserve"> de </w:t>
      </w:r>
      <w:r w:rsidR="00075EA3">
        <w:rPr>
          <w:rFonts w:ascii="Verdana" w:hAnsi="Verdana"/>
        </w:rPr>
        <w:t>diciembre</w:t>
      </w:r>
      <w:r>
        <w:rPr>
          <w:rFonts w:ascii="Verdana" w:hAnsi="Verdana"/>
        </w:rPr>
        <w:t xml:space="preserve"> de 2025 .</w:t>
      </w:r>
    </w:p>
    <w:bookmarkEnd w:id="0"/>
    <w:p w14:paraId="79C47D02" w14:textId="77777777" w:rsidR="004125DE" w:rsidRDefault="004125DE" w:rsidP="004125DE">
      <w:pPr>
        <w:spacing w:after="0" w:line="240" w:lineRule="auto"/>
        <w:rPr>
          <w:rFonts w:ascii="Verdana" w:hAnsi="Verdana"/>
        </w:rPr>
      </w:pPr>
    </w:p>
    <w:p w14:paraId="01FCA8F8" w14:textId="105DAA93" w:rsidR="004125DE" w:rsidRDefault="00075EA3" w:rsidP="00075EA3">
      <w:pPr>
        <w:spacing w:after="0" w:line="240" w:lineRule="auto"/>
        <w:jc w:val="right"/>
        <w:rPr>
          <w:rFonts w:ascii="Verdana" w:hAnsi="Verdana"/>
        </w:rPr>
      </w:pPr>
      <w:r>
        <w:rPr>
          <w:rFonts w:ascii="Verdana" w:hAnsi="Verdana"/>
          <w:noProof/>
        </w:rPr>
        <w:drawing>
          <wp:inline distT="0" distB="0" distL="0" distR="0" wp14:anchorId="70AD8FC3" wp14:editId="3D44B843">
            <wp:extent cx="2962275" cy="923925"/>
            <wp:effectExtent l="0" t="0" r="9525" b="9525"/>
            <wp:docPr id="5269423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62275" cy="923925"/>
                    </a:xfrm>
                    <a:prstGeom prst="rect">
                      <a:avLst/>
                    </a:prstGeom>
                    <a:noFill/>
                    <a:ln>
                      <a:noFill/>
                    </a:ln>
                  </pic:spPr>
                </pic:pic>
              </a:graphicData>
            </a:graphic>
          </wp:inline>
        </w:drawing>
      </w:r>
    </w:p>
    <w:p w14:paraId="58A6A814" w14:textId="77777777" w:rsidR="00075EA3" w:rsidRDefault="00075EA3" w:rsidP="004125DE">
      <w:pPr>
        <w:spacing w:after="0" w:line="240" w:lineRule="auto"/>
        <w:rPr>
          <w:rFonts w:ascii="Verdana" w:hAnsi="Verdana"/>
        </w:rPr>
      </w:pPr>
    </w:p>
    <w:p w14:paraId="54EAF3A8" w14:textId="77777777" w:rsidR="004125DE" w:rsidRDefault="004125DE" w:rsidP="004125DE">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p>
    <w:p w14:paraId="54924B66" w14:textId="77777777" w:rsidR="004125DE" w:rsidRPr="00475D5A" w:rsidRDefault="004125DE" w:rsidP="004125DE">
      <w:pPr>
        <w:spacing w:after="0" w:line="240" w:lineRule="auto"/>
        <w:jc w:val="both"/>
        <w:rPr>
          <w:rFonts w:ascii="Verdana" w:eastAsia="Calibri" w:hAnsi="Verdana" w:cs="Arial"/>
          <w:lang w:eastAsia="es-ES"/>
        </w:rPr>
      </w:pPr>
      <w:r w:rsidRPr="00475D5A">
        <w:rPr>
          <w:rFonts w:ascii="Verdana" w:eastAsia="Calibri" w:hAnsi="Verdana" w:cs="Arial"/>
          <w:b/>
          <w:bCs/>
          <w:lang w:eastAsia="es-ES"/>
        </w:rPr>
        <w:t>JUAN DAVID PATIÑO TRASALADINO</w:t>
      </w:r>
      <w:r w:rsidRPr="00475D5A">
        <w:rPr>
          <w:rFonts w:ascii="Verdana" w:eastAsia="Calibri" w:hAnsi="Verdana" w:cs="Arial"/>
          <w:lang w:eastAsia="es-ES"/>
        </w:rPr>
        <w:tab/>
      </w:r>
    </w:p>
    <w:p w14:paraId="0B6370F5" w14:textId="77777777" w:rsidR="004125DE" w:rsidRPr="00877A02" w:rsidRDefault="004125DE" w:rsidP="004125DE">
      <w:pPr>
        <w:spacing w:after="0" w:line="240" w:lineRule="auto"/>
        <w:rPr>
          <w:rFonts w:ascii="Verdana" w:eastAsia="Calibri" w:hAnsi="Verdana" w:cs="Arial"/>
          <w:lang w:eastAsia="es-ES"/>
        </w:rPr>
      </w:pPr>
      <w:hyperlink r:id="rId11" w:history="1">
        <w:r w:rsidRPr="002B43E3">
          <w:rPr>
            <w:rStyle w:val="Hipervnculo"/>
            <w:rFonts w:ascii="Verdana" w:eastAsia="Calibri" w:hAnsi="Verdana" w:cs="Arial"/>
            <w:lang w:eastAsia="es-ES"/>
          </w:rPr>
          <w:t>davidsanti090815@gmail.com</w:t>
        </w:r>
      </w:hyperlink>
      <w:r>
        <w:rPr>
          <w:rFonts w:ascii="Verdana" w:eastAsia="Calibri" w:hAnsi="Verdana" w:cs="Arial"/>
          <w:lang w:eastAsia="es-ES"/>
        </w:rPr>
        <w:t xml:space="preserve"> </w:t>
      </w:r>
    </w:p>
    <w:p w14:paraId="00F125DF" w14:textId="77777777" w:rsidR="004125DE" w:rsidRPr="00FE3DEC" w:rsidRDefault="004125DE" w:rsidP="004125DE">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4125DE" w:rsidRPr="00593A5F" w14:paraId="6CEA166A" w14:textId="77777777" w:rsidTr="00030816">
        <w:trPr>
          <w:trHeight w:val="273"/>
        </w:trPr>
        <w:tc>
          <w:tcPr>
            <w:tcW w:w="2295" w:type="dxa"/>
          </w:tcPr>
          <w:p w14:paraId="3E469EB3" w14:textId="77777777" w:rsidR="004125DE" w:rsidRPr="00E5644F" w:rsidRDefault="004125DE" w:rsidP="00030816">
            <w:pPr>
              <w:jc w:val="both"/>
              <w:rPr>
                <w:rFonts w:ascii="Verdana" w:eastAsia="Calibri" w:hAnsi="Verdana" w:cs="Arial"/>
                <w:b/>
                <w:bCs/>
                <w:color w:val="7030A0"/>
                <w:lang w:val="es-ES_tradnl" w:eastAsia="es-ES_tradnl"/>
              </w:rPr>
            </w:pPr>
          </w:p>
        </w:tc>
        <w:tc>
          <w:tcPr>
            <w:tcW w:w="6481" w:type="dxa"/>
            <w:gridSpan w:val="2"/>
          </w:tcPr>
          <w:p w14:paraId="364305D5" w14:textId="77777777" w:rsidR="004125DE" w:rsidRDefault="004125DE" w:rsidP="00030816">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1591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44438249" w14:textId="77777777" w:rsidR="004125DE" w:rsidRPr="00E5644F" w:rsidRDefault="004125DE" w:rsidP="00030816">
            <w:pPr>
              <w:jc w:val="both"/>
              <w:rPr>
                <w:rFonts w:ascii="Verdana" w:eastAsia="Calibri" w:hAnsi="Verdana" w:cs="Arial"/>
                <w:b/>
                <w:bCs/>
                <w:color w:val="7030A0"/>
                <w:lang w:val="es-ES" w:eastAsia="es-ES"/>
              </w:rPr>
            </w:pPr>
          </w:p>
        </w:tc>
      </w:tr>
      <w:tr w:rsidR="004125DE" w:rsidRPr="00280D79" w14:paraId="3856EB92" w14:textId="77777777" w:rsidTr="00030816">
        <w:trPr>
          <w:trHeight w:val="1583"/>
        </w:trPr>
        <w:tc>
          <w:tcPr>
            <w:tcW w:w="2295" w:type="dxa"/>
          </w:tcPr>
          <w:p w14:paraId="6B6ACFED" w14:textId="77777777" w:rsidR="004125DE" w:rsidRPr="00593A5F" w:rsidRDefault="004125DE" w:rsidP="0003081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BB794D4" w14:textId="77777777" w:rsidR="004125DE" w:rsidRDefault="004125DE" w:rsidP="00030816">
            <w:pPr>
              <w:jc w:val="both"/>
              <w:rPr>
                <w:rFonts w:ascii="Verdana" w:eastAsia="Calibri" w:hAnsi="Verdana" w:cs="Arial"/>
                <w:bCs/>
                <w:lang w:val="es-ES" w:eastAsia="es-ES_tradnl"/>
              </w:rPr>
            </w:pPr>
            <w:r w:rsidRPr="00EF2068">
              <w:rPr>
                <w:rFonts w:ascii="Verdana" w:eastAsia="Calibri" w:hAnsi="Verdana" w:cs="Arial"/>
                <w:lang w:val="es-ES" w:eastAsia="es-ES_tradnl"/>
              </w:rPr>
              <w:t xml:space="preserve">REQUISITOS HABILITANTES – Noción / REQUISITOS HABILITANTES – Autonomía / CAPACIDAD FINANCIERA– Definición </w:t>
            </w:r>
            <w:r w:rsidRPr="00EF2068">
              <w:rPr>
                <w:rFonts w:ascii="Verdana" w:eastAsia="Calibri" w:hAnsi="Verdana" w:cs="Arial"/>
                <w:bCs/>
                <w:lang w:val="es-ES" w:eastAsia="es-ES_tradnl"/>
              </w:rPr>
              <w:t>/ CAPACIDAD FINANCIERA – Verificación</w:t>
            </w:r>
            <w:r>
              <w:rPr>
                <w:rFonts w:ascii="Verdana" w:eastAsia="Calibri" w:hAnsi="Verdana" w:cs="Arial"/>
                <w:bCs/>
                <w:lang w:val="es-ES" w:eastAsia="es-ES_tradnl"/>
              </w:rPr>
              <w:t xml:space="preserve"> / </w:t>
            </w:r>
            <w:r w:rsidRPr="00A60657">
              <w:rPr>
                <w:rFonts w:ascii="Verdana" w:eastAsia="Calibri" w:hAnsi="Verdana" w:cs="Arial"/>
                <w:bCs/>
                <w:lang w:val="es-ES" w:eastAsia="es-ES_tradnl"/>
              </w:rPr>
              <w:t>INDICADORES FINANCIEROS Y ORGANIZACIONALES – Proponentes plurales – Metodología para el cálculo de indicadores – Sumatoria simple – Suma de los componentes de los indicadores</w:t>
            </w:r>
            <w:r>
              <w:rPr>
                <w:rFonts w:ascii="Verdana" w:eastAsia="Calibri" w:hAnsi="Verdana" w:cs="Arial"/>
                <w:bCs/>
                <w:lang w:val="es-ES" w:eastAsia="es-ES_tradnl"/>
              </w:rPr>
              <w:t>.</w:t>
            </w:r>
          </w:p>
          <w:p w14:paraId="4CD59235" w14:textId="77777777" w:rsidR="004125DE" w:rsidRPr="00280D79" w:rsidRDefault="004125DE" w:rsidP="00030816">
            <w:pPr>
              <w:jc w:val="both"/>
              <w:rPr>
                <w:rFonts w:ascii="Verdana" w:eastAsia="Calibri" w:hAnsi="Verdana" w:cs="Arial"/>
                <w:b/>
                <w:highlight w:val="yellow"/>
                <w:lang w:val="es-ES" w:eastAsia="es-ES"/>
              </w:rPr>
            </w:pPr>
          </w:p>
        </w:tc>
      </w:tr>
      <w:tr w:rsidR="004125DE" w:rsidRPr="00593A5F" w14:paraId="669021F9" w14:textId="77777777" w:rsidTr="00030816">
        <w:trPr>
          <w:trHeight w:val="545"/>
        </w:trPr>
        <w:tc>
          <w:tcPr>
            <w:tcW w:w="2295" w:type="dxa"/>
          </w:tcPr>
          <w:p w14:paraId="79982497" w14:textId="77777777" w:rsidR="004125DE" w:rsidRPr="006730E9" w:rsidRDefault="004125DE" w:rsidP="00030816">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5CC0ABEA" w14:textId="77777777" w:rsidR="004125DE" w:rsidRPr="006730E9" w:rsidRDefault="004125DE" w:rsidP="00030816">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751673">
              <w:rPr>
                <w:rFonts w:ascii="Verdana" w:eastAsia="Calibri" w:hAnsi="Verdana" w:cs="Arial"/>
                <w:lang w:val="es-ES_tradnl" w:eastAsia="es-ES_tradnl"/>
              </w:rPr>
              <w:t>1_2025_10_28_012154</w:t>
            </w:r>
            <w:r w:rsidRPr="00A91377">
              <w:rPr>
                <w:rFonts w:ascii="Verdana" w:eastAsia="Calibri" w:hAnsi="Verdana" w:cs="Arial"/>
                <w:lang w:val="es-ES_tradnl" w:eastAsia="es-ES_tradnl"/>
              </w:rPr>
              <w:t>.</w:t>
            </w:r>
          </w:p>
        </w:tc>
      </w:tr>
      <w:tr w:rsidR="004125DE" w:rsidRPr="00DB23D2" w14:paraId="7EA9AE0B" w14:textId="77777777" w:rsidTr="00030816">
        <w:trPr>
          <w:gridAfter w:val="1"/>
          <w:wAfter w:w="319" w:type="dxa"/>
          <w:trHeight w:val="242"/>
        </w:trPr>
        <w:tc>
          <w:tcPr>
            <w:tcW w:w="8457" w:type="dxa"/>
            <w:gridSpan w:val="2"/>
          </w:tcPr>
          <w:p w14:paraId="427431DC" w14:textId="77777777" w:rsidR="004125DE" w:rsidRPr="00DB23D2" w:rsidRDefault="004125DE" w:rsidP="00030816">
            <w:pPr>
              <w:spacing w:line="276" w:lineRule="auto"/>
              <w:jc w:val="both"/>
              <w:rPr>
                <w:rFonts w:ascii="Verdana" w:eastAsia="Calibri" w:hAnsi="Verdana" w:cs="Arial"/>
                <w:lang w:val="es-ES_tradnl" w:eastAsia="es-ES"/>
              </w:rPr>
            </w:pPr>
          </w:p>
        </w:tc>
      </w:tr>
    </w:tbl>
    <w:p w14:paraId="4E86D621" w14:textId="77777777" w:rsidR="004125DE" w:rsidRPr="006730E9" w:rsidRDefault="004125DE" w:rsidP="004125D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Pr="00751673">
        <w:rPr>
          <w:rFonts w:ascii="Verdana" w:eastAsia="Calibri" w:hAnsi="Verdana" w:cs="Arial"/>
          <w:lang w:val="es-ES" w:eastAsia="es-ES"/>
        </w:rPr>
        <w:t>Patiño</w:t>
      </w:r>
      <w:r>
        <w:rPr>
          <w:rFonts w:ascii="Verdana" w:eastAsia="Calibri" w:hAnsi="Verdana" w:cs="Arial"/>
          <w:lang w:val="es-ES" w:eastAsia="es-ES"/>
        </w:rPr>
        <w:t>;</w:t>
      </w:r>
    </w:p>
    <w:p w14:paraId="25D18CD4" w14:textId="77777777" w:rsidR="004125DE" w:rsidRDefault="004125DE" w:rsidP="004125D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73145683" w14:textId="77777777" w:rsidR="004125DE" w:rsidRPr="006730E9" w:rsidRDefault="004125DE" w:rsidP="004125DE">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21 </w:t>
      </w:r>
      <w:r w:rsidRPr="00656A22">
        <w:rPr>
          <w:rFonts w:ascii="Verdana" w:eastAsia="Calibri" w:hAnsi="Verdana" w:cs="Arial"/>
          <w:lang w:val="es-ES" w:eastAsia="es-ES"/>
        </w:rPr>
        <w:t xml:space="preserve">de </w:t>
      </w:r>
      <w:r>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6E47D3F3" w14:textId="77777777" w:rsidR="004125DE" w:rsidRPr="00326382" w:rsidRDefault="004125DE" w:rsidP="004125DE">
      <w:pPr>
        <w:spacing w:after="0" w:line="276" w:lineRule="auto"/>
        <w:ind w:left="709" w:right="474"/>
        <w:jc w:val="both"/>
        <w:rPr>
          <w:rFonts w:ascii="Verdana" w:hAnsi="Verdana" w:cs="Arial"/>
          <w:sz w:val="20"/>
          <w:szCs w:val="20"/>
          <w:shd w:val="clear" w:color="auto" w:fill="FFFFFF"/>
        </w:rPr>
      </w:pPr>
      <w:bookmarkStart w:id="2" w:name="_Hlk95313578"/>
    </w:p>
    <w:bookmarkEnd w:id="2"/>
    <w:p w14:paraId="549B14ED" w14:textId="77777777" w:rsidR="004125DE" w:rsidRDefault="004125DE" w:rsidP="004125DE">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5C7EA77B" w14:textId="77777777" w:rsidR="004125DE" w:rsidRDefault="004125DE" w:rsidP="004125DE">
      <w:pPr>
        <w:tabs>
          <w:tab w:val="left" w:pos="142"/>
          <w:tab w:val="left" w:pos="567"/>
        </w:tabs>
        <w:spacing w:after="0" w:line="240" w:lineRule="auto"/>
        <w:ind w:right="709"/>
        <w:jc w:val="both"/>
        <w:rPr>
          <w:rFonts w:ascii="Verdana" w:eastAsia="Century Gothic" w:hAnsi="Verdana" w:cs="Century Gothic"/>
          <w:i/>
          <w:iCs/>
          <w:sz w:val="20"/>
          <w:szCs w:val="20"/>
        </w:rPr>
      </w:pPr>
    </w:p>
    <w:p w14:paraId="01EBFC4B"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Cuando en un proceso de Selección abreviada, un municipio estable que para obtener los indicadores que provienen de la división de cuentas de los estados financieros cuando el proponente sea Consorcio, Unión Temporal, Promesa de Sociedad Futura, la entidad establece que se adelantara de acuerdo a la metodología establecida por Colombia Compra Eficiente en el Manual para la Determinación y Verificación de Requisitos Habilitantes en Procesos de Contratación Código: CCE-EICP-MA-04 Versión: 03 del 29 de septiembre de 2023, numeral 5.4. sub numeral 2. Sumatoria Simple.</w:t>
      </w:r>
    </w:p>
    <w:p w14:paraId="553A7E38"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 xml:space="preserve">Ahora bien, el manual que sugiere 4 alternativas </w:t>
      </w:r>
      <w:proofErr w:type="spellStart"/>
      <w:r w:rsidRPr="00751673">
        <w:rPr>
          <w:rFonts w:ascii="Verdana" w:eastAsia="Century Gothic" w:hAnsi="Verdana" w:cs="Century Gothic"/>
          <w:i/>
          <w:iCs/>
          <w:sz w:val="20"/>
          <w:szCs w:val="20"/>
        </w:rPr>
        <w:t>o</w:t>
      </w:r>
      <w:proofErr w:type="spellEnd"/>
      <w:r w:rsidRPr="00751673">
        <w:rPr>
          <w:rFonts w:ascii="Verdana" w:eastAsia="Century Gothic" w:hAnsi="Verdana" w:cs="Century Gothic"/>
          <w:i/>
          <w:iCs/>
          <w:sz w:val="20"/>
          <w:szCs w:val="20"/>
        </w:rPr>
        <w:t xml:space="preserve"> opciones indicando lo siguiente</w:t>
      </w:r>
    </w:p>
    <w:p w14:paraId="4009144C" w14:textId="77777777" w:rsidR="004125DE"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Las Entidades Estatales interesadas en calcular indicadores expresados en valores monetarios, como el capital de trabajo, lo podrán hacer aplicando las siguientes alternativas:</w:t>
      </w:r>
    </w:p>
    <w:p w14:paraId="375C6BF2"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1.</w:t>
      </w:r>
      <w:r w:rsidRPr="00751673">
        <w:rPr>
          <w:rFonts w:ascii="Verdana" w:eastAsia="Century Gothic" w:hAnsi="Verdana" w:cs="Century Gothic"/>
          <w:i/>
          <w:iCs/>
          <w:sz w:val="20"/>
          <w:szCs w:val="20"/>
        </w:rPr>
        <w:t>Sumatoria Ponderada</w:t>
      </w:r>
    </w:p>
    <w:p w14:paraId="6FA5EF90"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2.Sumatoria Simple</w:t>
      </w:r>
    </w:p>
    <w:p w14:paraId="4BE4608C"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Para los indicadores que provienen de la división de cuentas de los estados financieros, la Agencia Nacional de Contratación Pública - Colombia Compra Eficiente sugiere las siguientes opciones:</w:t>
      </w:r>
    </w:p>
    <w:p w14:paraId="1358B0CE"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3.</w:t>
      </w:r>
      <w:r>
        <w:rPr>
          <w:rFonts w:ascii="Verdana" w:eastAsia="Century Gothic" w:hAnsi="Verdana" w:cs="Century Gothic"/>
          <w:i/>
          <w:iCs/>
          <w:sz w:val="20"/>
          <w:szCs w:val="20"/>
        </w:rPr>
        <w:t xml:space="preserve"> </w:t>
      </w:r>
      <w:r w:rsidRPr="00751673">
        <w:rPr>
          <w:rFonts w:ascii="Verdana" w:eastAsia="Century Gothic" w:hAnsi="Verdana" w:cs="Century Gothic"/>
          <w:i/>
          <w:iCs/>
          <w:sz w:val="20"/>
          <w:szCs w:val="20"/>
        </w:rPr>
        <w:t>Suma de los componentes de los indicadores</w:t>
      </w:r>
    </w:p>
    <w:p w14:paraId="4C838F6C" w14:textId="77777777" w:rsidR="004125DE"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4.</w:t>
      </w:r>
      <w:r>
        <w:rPr>
          <w:rFonts w:ascii="Verdana" w:eastAsia="Century Gothic" w:hAnsi="Verdana" w:cs="Century Gothic"/>
          <w:i/>
          <w:iCs/>
          <w:sz w:val="20"/>
          <w:szCs w:val="20"/>
        </w:rPr>
        <w:t xml:space="preserve"> </w:t>
      </w:r>
      <w:r w:rsidRPr="00751673">
        <w:rPr>
          <w:rFonts w:ascii="Verdana" w:eastAsia="Century Gothic" w:hAnsi="Verdana" w:cs="Century Gothic"/>
          <w:i/>
          <w:iCs/>
          <w:sz w:val="20"/>
          <w:szCs w:val="20"/>
        </w:rPr>
        <w:t>Ponderación de los componentes de los indicadores</w:t>
      </w:r>
    </w:p>
    <w:p w14:paraId="6E22121A" w14:textId="77777777" w:rsidR="004125DE" w:rsidRDefault="004125DE" w:rsidP="004125DE">
      <w:pPr>
        <w:tabs>
          <w:tab w:val="left" w:pos="142"/>
          <w:tab w:val="left" w:pos="567"/>
        </w:tabs>
        <w:spacing w:after="0" w:line="240" w:lineRule="auto"/>
        <w:ind w:right="709"/>
        <w:jc w:val="both"/>
        <w:rPr>
          <w:rFonts w:ascii="Verdana" w:eastAsia="Century Gothic" w:hAnsi="Verdana" w:cs="Century Gothic"/>
          <w:i/>
          <w:iCs/>
          <w:sz w:val="20"/>
          <w:szCs w:val="20"/>
        </w:rPr>
      </w:pPr>
    </w:p>
    <w:p w14:paraId="2C1D508E" w14:textId="77777777" w:rsidR="004125DE" w:rsidRDefault="004125DE" w:rsidP="004125DE">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B12C64">
        <w:rPr>
          <w:rFonts w:ascii="Verdana" w:eastAsia="Century Gothic" w:hAnsi="Verdana" w:cs="Century Gothic"/>
          <w:i/>
          <w:iCs/>
          <w:sz w:val="20"/>
          <w:szCs w:val="20"/>
        </w:rPr>
        <w:t>Lo que genera las siguientes dudas</w:t>
      </w:r>
    </w:p>
    <w:p w14:paraId="7BA81AA5" w14:textId="77777777" w:rsidR="004125DE" w:rsidRDefault="004125DE" w:rsidP="004125DE">
      <w:pPr>
        <w:tabs>
          <w:tab w:val="left" w:pos="142"/>
          <w:tab w:val="left" w:pos="567"/>
        </w:tabs>
        <w:spacing w:after="0" w:line="240" w:lineRule="auto"/>
        <w:ind w:right="709"/>
        <w:jc w:val="both"/>
        <w:rPr>
          <w:rFonts w:ascii="Verdana" w:eastAsia="Century Gothic" w:hAnsi="Verdana" w:cs="Century Gothic"/>
          <w:i/>
          <w:iCs/>
          <w:sz w:val="20"/>
          <w:szCs w:val="20"/>
        </w:rPr>
      </w:pPr>
    </w:p>
    <w:p w14:paraId="7B131B95"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 xml:space="preserve">¿Para los indicadores que provienen de la división de cuentas de los estados financieros Aplica la SUMATORIA SIMPLE? </w:t>
      </w:r>
    </w:p>
    <w:p w14:paraId="271615D9"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 xml:space="preserve">a qué hace referencia, para calcular indicadores expresados en valores monetarios, ¿cuáles son los indicadores que hace referencias? Dar ejemplos </w:t>
      </w:r>
    </w:p>
    <w:p w14:paraId="1550DCE8"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 xml:space="preserve">¿Cuáles serían los indicadores que provienen de la división de cuentas de los estados financieros? Dar ejemplos </w:t>
      </w:r>
    </w:p>
    <w:p w14:paraId="5A37772A"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 xml:space="preserve">Por otra parte, y teniendo en cuenta que la respuesta del punto 1 sea negativa, </w:t>
      </w:r>
    </w:p>
    <w:p w14:paraId="1CE359A8"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 xml:space="preserve">Si el pliego de condiciones establece que para calcular los indicadores que provienen de la división de cuentas de los estados financieros, por la OPCION 2 SUMATORIA SIMPLE, y teniendo en cuenta que la respuesta es negativa del punto 1, estaría generando un vacío sobre el documento, pero si dentro el estudio previo se encuentra la respectiva justificación técnica y jurídica para el cálculo de dichos indicadores indicando una formula diferente a la SUMATARIA SIMPLE que estable el pliego. </w:t>
      </w:r>
    </w:p>
    <w:p w14:paraId="58F33BE0"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 xml:space="preserve">¿La entidad se debe ajustar a la formula planteada en el documento del estudio previo? </w:t>
      </w:r>
    </w:p>
    <w:p w14:paraId="064CE2E9" w14:textId="77777777" w:rsidR="004125DE" w:rsidRPr="00751673"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 xml:space="preserve">¿Cómo debería de evaluar el municipio si por la SUMATORIA SIMPLE no aplica para los indicadores que provienen de la división de cuentas de los estados financieros? </w:t>
      </w:r>
    </w:p>
    <w:p w14:paraId="4EA9B2A6" w14:textId="77777777" w:rsidR="004125DE"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751673">
        <w:rPr>
          <w:rFonts w:ascii="Verdana" w:eastAsia="Century Gothic" w:hAnsi="Verdana" w:cs="Century Gothic"/>
          <w:i/>
          <w:iCs/>
          <w:sz w:val="20"/>
          <w:szCs w:val="20"/>
        </w:rPr>
        <w:t>¿Cuándo el pliego de condiciones genera estos tipos de vacíos, sigue prevaleciendo dicho documento ante el estudio previo?</w:t>
      </w:r>
      <w:r>
        <w:rPr>
          <w:rFonts w:ascii="Verdana" w:eastAsia="Century Gothic" w:hAnsi="Verdana" w:cs="Century Gothic"/>
          <w:i/>
          <w:iCs/>
          <w:sz w:val="20"/>
          <w:szCs w:val="20"/>
        </w:rPr>
        <w:t>.</w:t>
      </w:r>
    </w:p>
    <w:p w14:paraId="5F37785F" w14:textId="77777777" w:rsidR="004125DE" w:rsidRPr="00EA70F7" w:rsidRDefault="004125DE" w:rsidP="004125DE">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6E11CE31" w14:textId="77777777" w:rsidR="004125DE" w:rsidRDefault="004125DE" w:rsidP="004125DE">
      <w:pPr>
        <w:spacing w:after="0" w:line="276" w:lineRule="auto"/>
        <w:ind w:firstLine="709"/>
        <w:jc w:val="both"/>
        <w:rPr>
          <w:rFonts w:ascii="Verdana" w:eastAsia="Calibri" w:hAnsi="Verdana" w:cs="Arial"/>
          <w:lang w:val="es-ES" w:eastAsia="es-ES"/>
        </w:rPr>
      </w:pPr>
    </w:p>
    <w:p w14:paraId="3C202D67" w14:textId="77777777" w:rsidR="004125DE" w:rsidRPr="00AA3B9F" w:rsidRDefault="004125DE" w:rsidP="004125D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397AAF25" w14:textId="77777777" w:rsidR="004125DE" w:rsidRDefault="004125DE" w:rsidP="004125DE">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329DF968" w14:textId="77777777" w:rsidR="004125DE" w:rsidRDefault="004125DE" w:rsidP="004125DE">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7175D1E3" w14:textId="77777777" w:rsidR="004125DE" w:rsidRDefault="004125DE" w:rsidP="004125D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001D9C4" w14:textId="77777777" w:rsidR="004125DE" w:rsidRDefault="004125DE" w:rsidP="004125DE">
      <w:pPr>
        <w:pStyle w:val="Prrafodelista"/>
        <w:tabs>
          <w:tab w:val="left" w:pos="142"/>
          <w:tab w:val="left" w:pos="284"/>
        </w:tabs>
        <w:spacing w:after="0" w:line="276" w:lineRule="auto"/>
        <w:ind w:left="0"/>
        <w:jc w:val="both"/>
        <w:rPr>
          <w:rFonts w:ascii="Verdana" w:eastAsia="Century Gothic" w:hAnsi="Verdana" w:cs="Century Gothic"/>
          <w:b/>
          <w:bCs/>
        </w:rPr>
      </w:pPr>
    </w:p>
    <w:p w14:paraId="720C080C" w14:textId="77777777" w:rsidR="004125DE" w:rsidRDefault="004125DE" w:rsidP="004125DE">
      <w:pPr>
        <w:spacing w:after="0" w:line="276" w:lineRule="auto"/>
        <w:jc w:val="both"/>
        <w:rPr>
          <w:rFonts w:ascii="Verdana" w:hAnsi="Verdana"/>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entury Gothic" w:hAnsi="Verdana" w:cs="Century Gothic"/>
        </w:rPr>
        <w:t xml:space="preserve"> </w:t>
      </w:r>
      <w:r w:rsidRPr="002C3E88">
        <w:rPr>
          <w:rFonts w:ascii="Verdana" w:eastAsia="Century Gothic" w:hAnsi="Verdana" w:cs="Century Gothic"/>
        </w:rPr>
        <w:t>¿Cómo debe una Entidad Estatal definir y aplicar la metodología de cálculo de los indicadores financieros de proponentes plurales, cuando el pliego de condiciones adopta una opción no prevista para ciertos indicadores según el numeral 5</w:t>
      </w:r>
      <w:r>
        <w:rPr>
          <w:rFonts w:ascii="Verdana" w:eastAsia="Century Gothic" w:hAnsi="Verdana" w:cs="Century Gothic"/>
        </w:rPr>
        <w:t>.</w:t>
      </w:r>
      <w:r w:rsidRPr="002C3E88">
        <w:rPr>
          <w:rFonts w:ascii="Verdana" w:eastAsia="Century Gothic" w:hAnsi="Verdana" w:cs="Century Gothic"/>
        </w:rPr>
        <w:t>4 del Manual de Requisitos Habilitantes</w:t>
      </w:r>
      <w:r>
        <w:rPr>
          <w:rFonts w:ascii="Verdana" w:hAnsi="Verdana"/>
        </w:rPr>
        <w:t>?</w:t>
      </w:r>
    </w:p>
    <w:p w14:paraId="529D9803" w14:textId="77777777" w:rsidR="004125DE" w:rsidRDefault="004125DE" w:rsidP="004125DE">
      <w:pPr>
        <w:spacing w:after="0" w:line="276" w:lineRule="auto"/>
        <w:jc w:val="both"/>
        <w:rPr>
          <w:rFonts w:ascii="Verdana" w:eastAsia="Calibri" w:hAnsi="Verdana" w:cs="Arial"/>
          <w:lang w:eastAsia="es-ES"/>
        </w:rPr>
      </w:pPr>
    </w:p>
    <w:bookmarkEnd w:id="3"/>
    <w:p w14:paraId="02DD9B69" w14:textId="77777777" w:rsidR="004125DE" w:rsidRDefault="004125DE" w:rsidP="004125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A9FC957" w14:textId="77777777" w:rsidR="004125DE" w:rsidRPr="00593A5F" w:rsidRDefault="004125DE" w:rsidP="004125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125DE" w:rsidRPr="00593A5F" w14:paraId="6F271DAF" w14:textId="77777777" w:rsidTr="00030816">
        <w:tc>
          <w:tcPr>
            <w:tcW w:w="8828" w:type="dxa"/>
          </w:tcPr>
          <w:p w14:paraId="2EFBB8F2"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lang w:val="es-MX" w:eastAsia="es-CO"/>
              </w:rPr>
              <w:t xml:space="preserve">         D</w:t>
            </w:r>
            <w:r w:rsidRPr="006C0528">
              <w:rPr>
                <w:rFonts w:ascii="Verdana" w:hAnsi="Verdana"/>
                <w:bCs/>
                <w:color w:val="000000"/>
                <w:lang w:val="es-MX" w:eastAsia="es-CO"/>
              </w:rPr>
              <w:t>e acuerdo con lo definido en numeral 5.4. Metodologías para el cálculo de indicadores de proponentes plurales del MANUAL PARA DETERMINAR Y VERIFICAR LOS REQUISITOS HABILITANTES EN LOS PROCESOS DE CONTRATACIÓN , las Entidades Estatales debe determinar y justificar en los Documentos del Proceso la metodología para calcular los indicadores de los proponentes plurales a partir de la información de cada uno de sus integrantes.</w:t>
            </w:r>
          </w:p>
          <w:p w14:paraId="09F2D813"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 xml:space="preserve">El Manual presenta 2 alternativas para el cálculo de los indicadores de un proponente plural, una que tiene en cuenta el porcentaje de participación  de cada uno de los integrantes de la figura plural y otra que realiza el cálculo sin tener en consideración este porcentaje. </w:t>
            </w:r>
          </w:p>
          <w:p w14:paraId="44581606"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Partiendo de estas dos alternativas, el Manual pone a consideración de las Entidades cuatro (4) alternativas las cuales se aplicarán dependiendo si se busca calcular indicadores expresados en valores monetarios (Como el capital de trabajo o el Patrimonio, por ejemplo) o indicadores que provienen de la división de cuentas de los estados financieros (Como el índice de liquidez o el Índice de Endeudamiento, por ejemplo). A continuación, se realiza una descripción de las cuatro metodologías sugeridas:</w:t>
            </w:r>
          </w:p>
          <w:p w14:paraId="0251C075"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Indicadores expresados en valores monetarios</w:t>
            </w:r>
          </w:p>
          <w:p w14:paraId="15510340" w14:textId="77777777" w:rsidR="004125DE" w:rsidRPr="006C0528" w:rsidRDefault="004125DE" w:rsidP="004125DE">
            <w:pPr>
              <w:pStyle w:val="Prrafodelista"/>
              <w:numPr>
                <w:ilvl w:val="0"/>
                <w:numId w:val="18"/>
              </w:numPr>
              <w:spacing w:before="120" w:line="276" w:lineRule="auto"/>
              <w:ind w:left="873"/>
              <w:jc w:val="both"/>
              <w:rPr>
                <w:rFonts w:ascii="Verdana" w:hAnsi="Verdana"/>
                <w:bCs/>
                <w:color w:val="000000"/>
                <w:lang w:val="es-MX" w:eastAsia="es-CO"/>
              </w:rPr>
            </w:pPr>
            <w:r w:rsidRPr="006C0528">
              <w:rPr>
                <w:rFonts w:ascii="Verdana" w:hAnsi="Verdana"/>
                <w:bCs/>
                <w:color w:val="000000"/>
                <w:lang w:val="es-MX" w:eastAsia="es-CO"/>
              </w:rPr>
              <w:t>Sumatoria ponderada</w:t>
            </w:r>
          </w:p>
          <w:p w14:paraId="5FF67150"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En esta opción, se calcula el indicador del proponente plural teniendo en cuenta del porcentaje de participación de cada uno de los proponentes, como se muestra en la siguiente fórmula:</w:t>
            </w:r>
          </w:p>
          <w:p w14:paraId="0C65EA59" w14:textId="77777777" w:rsidR="004125DE" w:rsidRPr="006C0528" w:rsidRDefault="004125DE" w:rsidP="00030816">
            <w:pPr>
              <w:spacing w:before="120" w:line="276" w:lineRule="auto"/>
              <w:jc w:val="center"/>
              <w:rPr>
                <w:rFonts w:ascii="Verdana" w:hAnsi="Verdana"/>
                <w:bCs/>
                <w:color w:val="000000"/>
                <w:lang w:val="es-MX" w:eastAsia="es-CO"/>
              </w:rPr>
            </w:pPr>
            <w:r>
              <w:rPr>
                <w:noProof/>
              </w:rPr>
              <w:drawing>
                <wp:inline distT="0" distB="0" distL="0" distR="0" wp14:anchorId="18F905F4" wp14:editId="24662A9F">
                  <wp:extent cx="4105275" cy="885825"/>
                  <wp:effectExtent l="0" t="0" r="9525" b="9525"/>
                  <wp:docPr id="1794426053"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426053" name="Imagen 1" descr="Interfaz de usuario gráfica, Texto, Aplicación, Correo electrónico&#10;&#10;El contenido generado por IA puede ser incorrecto."/>
                          <pic:cNvPicPr/>
                        </pic:nvPicPr>
                        <pic:blipFill rotWithShape="1">
                          <a:blip r:embed="rId12"/>
                          <a:srcRect l="19518" t="37734" r="18025" b="37814"/>
                          <a:stretch>
                            <a:fillRect/>
                          </a:stretch>
                        </pic:blipFill>
                        <pic:spPr bwMode="auto">
                          <a:xfrm>
                            <a:off x="0" y="0"/>
                            <a:ext cx="4105275" cy="885825"/>
                          </a:xfrm>
                          <a:prstGeom prst="rect">
                            <a:avLst/>
                          </a:prstGeom>
                          <a:ln>
                            <a:noFill/>
                          </a:ln>
                          <a:extLst>
                            <a:ext uri="{53640926-AAD7-44D8-BBD7-CCE9431645EC}">
                              <a14:shadowObscured xmlns:a14="http://schemas.microsoft.com/office/drawing/2010/main"/>
                            </a:ext>
                          </a:extLst>
                        </pic:spPr>
                      </pic:pic>
                    </a:graphicData>
                  </a:graphic>
                </wp:inline>
              </w:drawing>
            </w:r>
          </w:p>
          <w:p w14:paraId="3CDC1B78"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 xml:space="preserve">Donde </w:t>
            </w:r>
            <w:r w:rsidRPr="006C0528">
              <w:rPr>
                <w:rFonts w:ascii="Cambria Math" w:hAnsi="Cambria Math" w:cs="Cambria Math"/>
                <w:bCs/>
                <w:color w:val="000000"/>
                <w:lang w:val="es-MX" w:eastAsia="es-CO"/>
              </w:rPr>
              <w:t>𝑖</w:t>
            </w:r>
            <w:r w:rsidRPr="006C0528">
              <w:rPr>
                <w:rFonts w:ascii="Verdana" w:hAnsi="Verdana"/>
                <w:bCs/>
                <w:color w:val="000000"/>
                <w:lang w:val="es-MX" w:eastAsia="es-CO"/>
              </w:rPr>
              <w:t xml:space="preserve"> representa a una empresa que conforma el oferente plural y </w:t>
            </w:r>
            <w:r w:rsidRPr="006C0528">
              <w:rPr>
                <w:rFonts w:ascii="Cambria Math" w:hAnsi="Cambria Math" w:cs="Cambria Math"/>
                <w:bCs/>
                <w:color w:val="000000"/>
                <w:lang w:val="es-MX" w:eastAsia="es-CO"/>
              </w:rPr>
              <w:t>𝑛</w:t>
            </w:r>
            <w:r w:rsidRPr="006C0528">
              <w:rPr>
                <w:rFonts w:ascii="Verdana" w:hAnsi="Verdana"/>
                <w:bCs/>
                <w:color w:val="000000"/>
                <w:lang w:val="es-MX" w:eastAsia="es-CO"/>
              </w:rPr>
              <w:t xml:space="preserve"> es el número total de empresas integrantes del oferente plural (unión temporal o consorcio). </w:t>
            </w:r>
          </w:p>
          <w:p w14:paraId="63169AD7"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Esta opción incentiva a que el integrante del proponente plural con los mejores indicadores tenga una mayor participación en dicho proponente plural.</w:t>
            </w:r>
          </w:p>
          <w:p w14:paraId="753F188C" w14:textId="77777777" w:rsidR="004125DE" w:rsidRPr="006C0528" w:rsidRDefault="004125DE" w:rsidP="004125DE">
            <w:pPr>
              <w:pStyle w:val="Prrafodelista"/>
              <w:numPr>
                <w:ilvl w:val="0"/>
                <w:numId w:val="18"/>
              </w:numPr>
              <w:spacing w:before="120" w:line="276" w:lineRule="auto"/>
              <w:ind w:left="873"/>
              <w:jc w:val="both"/>
              <w:rPr>
                <w:rFonts w:ascii="Verdana" w:hAnsi="Verdana"/>
                <w:bCs/>
                <w:color w:val="000000"/>
                <w:lang w:val="es-MX" w:eastAsia="es-CO"/>
              </w:rPr>
            </w:pPr>
            <w:r w:rsidRPr="006C0528">
              <w:rPr>
                <w:rFonts w:ascii="Verdana" w:hAnsi="Verdana"/>
                <w:bCs/>
                <w:color w:val="000000"/>
                <w:lang w:val="es-MX" w:eastAsia="es-CO"/>
              </w:rPr>
              <w:t>Sumatoria simple</w:t>
            </w:r>
          </w:p>
          <w:p w14:paraId="109DA906"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En esta opción, se calcula el indicador del proponente plural sin tener en cuenta del porcentaje de participación de cada uno de los proponentes, como se muestra en la siguiente fórmula:</w:t>
            </w:r>
          </w:p>
          <w:p w14:paraId="0B6A0FE4" w14:textId="77777777" w:rsidR="004125DE" w:rsidRPr="006C0528" w:rsidRDefault="004125DE" w:rsidP="00030816">
            <w:pPr>
              <w:spacing w:before="120" w:line="276" w:lineRule="auto"/>
              <w:jc w:val="center"/>
              <w:rPr>
                <w:rFonts w:ascii="Verdana" w:hAnsi="Verdana"/>
                <w:bCs/>
                <w:color w:val="000000"/>
                <w:lang w:val="es-MX" w:eastAsia="es-CO"/>
              </w:rPr>
            </w:pPr>
            <w:r>
              <w:rPr>
                <w:noProof/>
              </w:rPr>
              <w:drawing>
                <wp:inline distT="0" distB="0" distL="0" distR="0" wp14:anchorId="7E7DEC73" wp14:editId="3FE4FE0D">
                  <wp:extent cx="5079365" cy="782461"/>
                  <wp:effectExtent l="0" t="0" r="6985" b="0"/>
                  <wp:docPr id="1333844266"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844266" name="Imagen 1" descr="Interfaz de usuario gráfica, Texto, Aplicación, Correo electrónico&#10;&#10;El contenido generado por IA puede ser incorrecto."/>
                          <pic:cNvPicPr/>
                        </pic:nvPicPr>
                        <pic:blipFill rotWithShape="1">
                          <a:blip r:embed="rId13"/>
                          <a:srcRect l="17651" t="51922" r="17346" b="30267"/>
                          <a:stretch>
                            <a:fillRect/>
                          </a:stretch>
                        </pic:blipFill>
                        <pic:spPr bwMode="auto">
                          <a:xfrm>
                            <a:off x="0" y="0"/>
                            <a:ext cx="5118548" cy="788497"/>
                          </a:xfrm>
                          <a:prstGeom prst="rect">
                            <a:avLst/>
                          </a:prstGeom>
                          <a:ln>
                            <a:noFill/>
                          </a:ln>
                          <a:extLst>
                            <a:ext uri="{53640926-AAD7-44D8-BBD7-CCE9431645EC}">
                              <a14:shadowObscured xmlns:a14="http://schemas.microsoft.com/office/drawing/2010/main"/>
                            </a:ext>
                          </a:extLst>
                        </pic:spPr>
                      </pic:pic>
                    </a:graphicData>
                  </a:graphic>
                </wp:inline>
              </w:drawing>
            </w:r>
          </w:p>
          <w:p w14:paraId="7EF066F4"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 xml:space="preserve">Donde </w:t>
            </w:r>
            <w:r w:rsidRPr="006C0528">
              <w:rPr>
                <w:rFonts w:ascii="Cambria Math" w:hAnsi="Cambria Math" w:cs="Cambria Math"/>
                <w:bCs/>
                <w:color w:val="000000"/>
                <w:lang w:val="es-MX" w:eastAsia="es-CO"/>
              </w:rPr>
              <w:t>𝑖</w:t>
            </w:r>
            <w:r w:rsidRPr="006C0528">
              <w:rPr>
                <w:rFonts w:ascii="Verdana" w:hAnsi="Verdana"/>
                <w:bCs/>
                <w:color w:val="000000"/>
                <w:lang w:val="es-MX" w:eastAsia="es-CO"/>
              </w:rPr>
              <w:t xml:space="preserve"> representa a una empresa que conforma el oferente plural y </w:t>
            </w:r>
            <w:r w:rsidRPr="006C0528">
              <w:rPr>
                <w:rFonts w:ascii="Cambria Math" w:hAnsi="Cambria Math" w:cs="Cambria Math"/>
                <w:bCs/>
                <w:color w:val="000000"/>
                <w:lang w:val="es-MX" w:eastAsia="es-CO"/>
              </w:rPr>
              <w:t>𝑛</w:t>
            </w:r>
            <w:r w:rsidRPr="006C0528">
              <w:rPr>
                <w:rFonts w:ascii="Verdana" w:hAnsi="Verdana"/>
                <w:bCs/>
                <w:color w:val="000000"/>
                <w:lang w:val="es-MX" w:eastAsia="es-CO"/>
              </w:rPr>
              <w:t xml:space="preserve"> es el número total de empresas integrantes del oferente plural (unión temporal o consorcio).</w:t>
            </w:r>
          </w:p>
          <w:p w14:paraId="67AAA9A1"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Indicadores que provienen de la división de cuentas</w:t>
            </w:r>
          </w:p>
          <w:p w14:paraId="193A8398"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3.Suma de los componentes de los indicadores</w:t>
            </w:r>
            <w:r>
              <w:rPr>
                <w:rFonts w:ascii="Verdana" w:hAnsi="Verdana"/>
                <w:bCs/>
                <w:color w:val="000000"/>
                <w:lang w:val="es-MX" w:eastAsia="es-CO"/>
              </w:rPr>
              <w:t>:</w:t>
            </w:r>
          </w:p>
          <w:p w14:paraId="74D72C97" w14:textId="77777777" w:rsidR="004125DE" w:rsidRPr="006C0528" w:rsidRDefault="004125DE" w:rsidP="00030816">
            <w:pPr>
              <w:spacing w:before="120" w:line="276" w:lineRule="auto"/>
              <w:jc w:val="both"/>
              <w:rPr>
                <w:rFonts w:ascii="Verdana" w:hAnsi="Verdana"/>
                <w:bCs/>
                <w:color w:val="000000"/>
                <w:lang w:val="es-MX" w:eastAsia="es-CO"/>
              </w:rPr>
            </w:pPr>
            <w:r w:rsidRPr="006C0528">
              <w:rPr>
                <w:rFonts w:ascii="Verdana" w:hAnsi="Verdana"/>
                <w:bCs/>
                <w:color w:val="000000"/>
                <w:lang w:val="es-MX" w:eastAsia="es-CO"/>
              </w:rPr>
              <w:t>En esta opción cada uno de los integrantes del oferente aporta al valor total de cada componente del indicador en la misma proporción. En los indicadores que se calculan por medio de una división, los componentes son el numerador y el denominador de la operación, como se muestra en la siguiente expresión:</w:t>
            </w:r>
          </w:p>
          <w:p w14:paraId="7DD69CE8" w14:textId="77777777" w:rsidR="004125DE" w:rsidRDefault="004125DE" w:rsidP="00030816">
            <w:pPr>
              <w:spacing w:before="120" w:line="276" w:lineRule="auto"/>
              <w:jc w:val="center"/>
              <w:rPr>
                <w:rFonts w:ascii="Verdana" w:hAnsi="Verdana"/>
                <w:bCs/>
                <w:color w:val="000000"/>
                <w:lang w:val="es-MX" w:eastAsia="es-CO"/>
              </w:rPr>
            </w:pPr>
            <w:r>
              <w:rPr>
                <w:noProof/>
              </w:rPr>
              <w:drawing>
                <wp:inline distT="0" distB="0" distL="0" distR="0" wp14:anchorId="4EF2FF61" wp14:editId="5B3C1117">
                  <wp:extent cx="4653643" cy="428625"/>
                  <wp:effectExtent l="0" t="0" r="0" b="0"/>
                  <wp:docPr id="1058283280"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283280" name="Imagen 1" descr="Interfaz de usuario gráfica, Texto, Aplicación, Correo electrónico&#10;&#10;El contenido generado por IA puede ser incorrecto."/>
                          <pic:cNvPicPr/>
                        </pic:nvPicPr>
                        <pic:blipFill rotWithShape="1">
                          <a:blip r:embed="rId14"/>
                          <a:srcRect l="17822" t="57356" r="17685" b="32078"/>
                          <a:stretch>
                            <a:fillRect/>
                          </a:stretch>
                        </pic:blipFill>
                        <pic:spPr bwMode="auto">
                          <a:xfrm>
                            <a:off x="0" y="0"/>
                            <a:ext cx="4658802" cy="429100"/>
                          </a:xfrm>
                          <a:prstGeom prst="rect">
                            <a:avLst/>
                          </a:prstGeom>
                          <a:ln>
                            <a:noFill/>
                          </a:ln>
                          <a:extLst>
                            <a:ext uri="{53640926-AAD7-44D8-BBD7-CCE9431645EC}">
                              <a14:shadowObscured xmlns:a14="http://schemas.microsoft.com/office/drawing/2010/main"/>
                            </a:ext>
                          </a:extLst>
                        </pic:spPr>
                      </pic:pic>
                    </a:graphicData>
                  </a:graphic>
                </wp:inline>
              </w:drawing>
            </w:r>
          </w:p>
          <w:p w14:paraId="2D4E5A75"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 xml:space="preserve">Donde </w:t>
            </w:r>
            <w:r w:rsidRPr="006C0528">
              <w:rPr>
                <w:rFonts w:ascii="Cambria Math" w:hAnsi="Cambria Math" w:cs="Cambria Math"/>
                <w:bCs/>
                <w:color w:val="000000"/>
                <w:lang w:val="es-MX" w:eastAsia="es-CO"/>
              </w:rPr>
              <w:t>𝑖</w:t>
            </w:r>
            <w:r w:rsidRPr="006C0528">
              <w:rPr>
                <w:rFonts w:ascii="Verdana" w:hAnsi="Verdana"/>
                <w:bCs/>
                <w:color w:val="000000"/>
                <w:lang w:val="es-MX" w:eastAsia="es-CO"/>
              </w:rPr>
              <w:t xml:space="preserve"> representa a una empresa que conforma el oferente plural y </w:t>
            </w:r>
            <w:r w:rsidRPr="006C0528">
              <w:rPr>
                <w:rFonts w:ascii="Cambria Math" w:hAnsi="Cambria Math" w:cs="Cambria Math"/>
                <w:bCs/>
                <w:color w:val="000000"/>
                <w:lang w:val="es-MX" w:eastAsia="es-CO"/>
              </w:rPr>
              <w:t>𝑛</w:t>
            </w:r>
            <w:r w:rsidRPr="006C0528">
              <w:rPr>
                <w:rFonts w:ascii="Verdana" w:hAnsi="Verdana"/>
                <w:bCs/>
                <w:color w:val="000000"/>
                <w:lang w:val="es-MX" w:eastAsia="es-CO"/>
              </w:rPr>
              <w:t xml:space="preserve"> es el número total de empresas integrantes del oferente plural (unión temporal o consorcio). En esta opción, el indicador es el mismo independientemente de la participación de los integrantes del oferente plural.</w:t>
            </w:r>
          </w:p>
          <w:p w14:paraId="31F0FCD1"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4.Ponderación de los componentes de los indicadores</w:t>
            </w:r>
          </w:p>
          <w:p w14:paraId="051FAE41"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En esta opción cada uno de los integrantes del oferente aporta al valor total del componente del indicador proporcionalmente con su participación en la figura, esto es, unión temporal o consorcio. La siguiente es la fórmula aplicable:</w:t>
            </w:r>
          </w:p>
          <w:p w14:paraId="2B6C9C4D" w14:textId="77777777" w:rsidR="004125DE" w:rsidRPr="006C0528" w:rsidRDefault="004125DE" w:rsidP="00030816">
            <w:pPr>
              <w:spacing w:before="120" w:line="276" w:lineRule="auto"/>
              <w:jc w:val="center"/>
              <w:rPr>
                <w:rFonts w:ascii="Verdana" w:hAnsi="Verdana"/>
                <w:bCs/>
                <w:color w:val="000000"/>
                <w:lang w:val="es-MX" w:eastAsia="es-CO"/>
              </w:rPr>
            </w:pPr>
            <w:r>
              <w:rPr>
                <w:noProof/>
              </w:rPr>
              <w:drawing>
                <wp:inline distT="0" distB="0" distL="0" distR="0" wp14:anchorId="2A688BEE" wp14:editId="07CCE482">
                  <wp:extent cx="4691418" cy="838200"/>
                  <wp:effectExtent l="0" t="0" r="0" b="0"/>
                  <wp:docPr id="4691051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105110" name=""/>
                          <pic:cNvPicPr/>
                        </pic:nvPicPr>
                        <pic:blipFill rotWithShape="1">
                          <a:blip r:embed="rId15"/>
                          <a:srcRect l="18330" t="56148" r="18025" b="23626"/>
                          <a:stretch>
                            <a:fillRect/>
                          </a:stretch>
                        </pic:blipFill>
                        <pic:spPr bwMode="auto">
                          <a:xfrm>
                            <a:off x="0" y="0"/>
                            <a:ext cx="4693694" cy="838607"/>
                          </a:xfrm>
                          <a:prstGeom prst="rect">
                            <a:avLst/>
                          </a:prstGeom>
                          <a:ln>
                            <a:noFill/>
                          </a:ln>
                          <a:extLst>
                            <a:ext uri="{53640926-AAD7-44D8-BBD7-CCE9431645EC}">
                              <a14:shadowObscured xmlns:a14="http://schemas.microsoft.com/office/drawing/2010/main"/>
                            </a:ext>
                          </a:extLst>
                        </pic:spPr>
                      </pic:pic>
                    </a:graphicData>
                  </a:graphic>
                </wp:inline>
              </w:drawing>
            </w:r>
          </w:p>
          <w:p w14:paraId="00B501A8" w14:textId="77777777" w:rsidR="004125DE" w:rsidRPr="006C0528" w:rsidRDefault="004125DE" w:rsidP="00030816">
            <w:pPr>
              <w:spacing w:before="120" w:line="276" w:lineRule="auto"/>
              <w:jc w:val="both"/>
              <w:rPr>
                <w:rFonts w:ascii="Verdana" w:hAnsi="Verdana"/>
                <w:bCs/>
                <w:color w:val="000000"/>
                <w:lang w:val="es-MX" w:eastAsia="es-CO"/>
              </w:rPr>
            </w:pPr>
            <w:r w:rsidRPr="006C0528">
              <w:rPr>
                <w:rFonts w:ascii="Verdana" w:hAnsi="Verdana"/>
                <w:bCs/>
                <w:color w:val="000000"/>
                <w:lang w:val="es-MX" w:eastAsia="es-CO"/>
              </w:rPr>
              <w:t xml:space="preserve"> </w:t>
            </w:r>
            <w:r>
              <w:rPr>
                <w:rFonts w:ascii="Verdana" w:hAnsi="Verdana"/>
                <w:bCs/>
                <w:color w:val="000000"/>
                <w:lang w:val="es-MX" w:eastAsia="es-CO"/>
              </w:rPr>
              <w:t xml:space="preserve">       </w:t>
            </w:r>
            <w:r w:rsidRPr="006C0528">
              <w:rPr>
                <w:rFonts w:ascii="Verdana" w:hAnsi="Verdana"/>
                <w:bCs/>
                <w:color w:val="000000"/>
                <w:lang w:val="es-MX" w:eastAsia="es-CO"/>
              </w:rPr>
              <w:t xml:space="preserve">Donde </w:t>
            </w:r>
            <w:r w:rsidRPr="006C0528">
              <w:rPr>
                <w:rFonts w:ascii="Cambria Math" w:hAnsi="Cambria Math" w:cs="Cambria Math"/>
                <w:bCs/>
                <w:color w:val="000000"/>
                <w:lang w:val="es-MX" w:eastAsia="es-CO"/>
              </w:rPr>
              <w:t>𝑖</w:t>
            </w:r>
            <w:r w:rsidRPr="006C0528">
              <w:rPr>
                <w:rFonts w:ascii="Verdana" w:hAnsi="Verdana"/>
                <w:bCs/>
                <w:color w:val="000000"/>
                <w:lang w:val="es-MX" w:eastAsia="es-CO"/>
              </w:rPr>
              <w:t xml:space="preserve"> representa a una empresa que conforma el oferente plural y </w:t>
            </w:r>
            <w:r w:rsidRPr="006C0528">
              <w:rPr>
                <w:rFonts w:ascii="Cambria Math" w:hAnsi="Cambria Math" w:cs="Cambria Math"/>
                <w:bCs/>
                <w:color w:val="000000"/>
                <w:lang w:val="es-MX" w:eastAsia="es-CO"/>
              </w:rPr>
              <w:t>𝑛</w:t>
            </w:r>
            <w:r w:rsidRPr="006C0528">
              <w:rPr>
                <w:rFonts w:ascii="Verdana" w:hAnsi="Verdana"/>
                <w:bCs/>
                <w:color w:val="000000"/>
                <w:lang w:val="es-MX" w:eastAsia="es-CO"/>
              </w:rPr>
              <w:t xml:space="preserve"> es el número total de empresas integrantes del oferente plural (unión temporal o consorcio). Esta opción incentiva a que el integrante del proponente plural con los mejores indicadores tenga una mayor participación en dicho proponente plural.</w:t>
            </w:r>
          </w:p>
          <w:p w14:paraId="3B0D28AD"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Como se evidencia, las opciones sugeridas en el manual están pensadas para calcular los indicadores de los proponentes plurales teniendo o no en cuenta el porcentaje de participación de cada uno de los integrantes; así mismo, para cada alternativa, se establece una metodología específica dependiendo si el indicador objeto de evaluación corresponde a un indicador expresado en valores monetarios o a un indicador que proviene de la división de cuentas.</w:t>
            </w:r>
          </w:p>
          <w:p w14:paraId="02DE59DB" w14:textId="77777777" w:rsidR="004125DE" w:rsidRPr="006C0528"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Es importante resaltar que la alternativa utilizada deberá ser definida por la Entidad que estructura el proceso, y ésta deberá ser señalada de forma clara en los estudios previos y pliegos de condiciones. Por lo tanto, si un proceso de selección se solicitan requisitos habilitantes de Capacidad Financiera y Organizacional que integran indicadores expresados en valores monetarios y aquellos que provienen de la división de cuentas, se debe incluir la metodología de cálculo para cada uno de ellos de forma precisa y clara.</w:t>
            </w:r>
          </w:p>
          <w:p w14:paraId="2729DFCE" w14:textId="77777777" w:rsidR="004125DE" w:rsidRDefault="004125DE" w:rsidP="00030816">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De igual manera</w:t>
            </w:r>
            <w:r w:rsidRPr="006C0528">
              <w:rPr>
                <w:rFonts w:ascii="Verdana" w:hAnsi="Verdana"/>
                <w:bCs/>
                <w:color w:val="000000"/>
                <w:lang w:val="es-MX" w:eastAsia="es-CO"/>
              </w:rPr>
              <w:t>, vale la pena resaltar que en la parte final del numeral 5.4. del Manual, se presentan ejemplos que ilustran el cálculo de los indicadores de capacidad financiera de un oferente plural conforme con cada una de las metodologías anteriormente expuestas.</w:t>
            </w:r>
          </w:p>
          <w:p w14:paraId="0C7BB2FD" w14:textId="77777777" w:rsidR="004125DE" w:rsidRPr="00DB4737" w:rsidRDefault="004125DE" w:rsidP="00030816">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008E5387" w14:textId="77777777" w:rsidR="004125DE" w:rsidRPr="00E529C2" w:rsidRDefault="004125DE" w:rsidP="00030816">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4125DE" w:rsidRPr="00593A5F" w14:paraId="119DC500" w14:textId="77777777" w:rsidTr="00030816">
        <w:tc>
          <w:tcPr>
            <w:tcW w:w="8828" w:type="dxa"/>
          </w:tcPr>
          <w:p w14:paraId="4AAAB2E5" w14:textId="77777777" w:rsidR="004125DE" w:rsidRDefault="004125DE" w:rsidP="00030816">
            <w:pPr>
              <w:spacing w:after="120" w:line="276" w:lineRule="auto"/>
              <w:jc w:val="both"/>
              <w:rPr>
                <w:rFonts w:ascii="Verdana" w:eastAsia="Calibri" w:hAnsi="Verdana" w:cs="Arial"/>
                <w:bCs/>
                <w:lang w:eastAsia="es-ES_tradnl"/>
              </w:rPr>
            </w:pPr>
          </w:p>
        </w:tc>
      </w:tr>
    </w:tbl>
    <w:p w14:paraId="6C9B4140" w14:textId="77777777" w:rsidR="004125DE" w:rsidRDefault="004125DE" w:rsidP="004125DE">
      <w:pPr>
        <w:tabs>
          <w:tab w:val="left" w:pos="142"/>
          <w:tab w:val="left" w:pos="284"/>
        </w:tabs>
        <w:spacing w:after="0" w:line="276" w:lineRule="auto"/>
        <w:jc w:val="both"/>
        <w:rPr>
          <w:rFonts w:ascii="Verdana" w:eastAsia="Century Gothic" w:hAnsi="Verdana" w:cs="Century Gothic"/>
          <w:b/>
          <w:bCs/>
          <w:lang w:val="es-ES"/>
        </w:rPr>
      </w:pPr>
    </w:p>
    <w:p w14:paraId="1B23338E" w14:textId="77777777" w:rsidR="004125DE" w:rsidRDefault="004125DE" w:rsidP="004125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07D9971" w14:textId="77777777" w:rsidR="004125DE" w:rsidRDefault="004125DE" w:rsidP="004125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D744922" w14:textId="77777777" w:rsidR="004125DE" w:rsidRDefault="004125DE" w:rsidP="004125DE">
      <w:pPr>
        <w:spacing w:after="0" w:line="276" w:lineRule="auto"/>
        <w:jc w:val="both"/>
        <w:rPr>
          <w:rFonts w:ascii="Verdana" w:hAnsi="Verdana" w:cs="Arial"/>
          <w:color w:val="000000" w:themeColor="text1"/>
          <w:lang w:val="es-ES_tradnl"/>
        </w:rPr>
      </w:pPr>
      <w:r>
        <w:rPr>
          <w:rFonts w:ascii="Verdana" w:eastAsia="Calibri" w:hAnsi="Verdana" w:cs="Arial"/>
          <w:bCs/>
        </w:rPr>
        <w:tab/>
        <w:t xml:space="preserve">   </w:t>
      </w:r>
      <w:r>
        <w:rPr>
          <w:rFonts w:ascii="Verdana" w:hAnsi="Verdana" w:cs="Arial"/>
          <w:color w:val="000000" w:themeColor="text1"/>
          <w:lang w:val="es-ES_tradnl"/>
        </w:rPr>
        <w:t>De manera preliminar es pertinente indicar que l</w:t>
      </w:r>
      <w:r w:rsidRPr="00886F14">
        <w:rPr>
          <w:rFonts w:ascii="Verdana" w:hAnsi="Verdana" w:cs="Arial"/>
          <w:color w:val="000000" w:themeColor="text1"/>
          <w:lang w:val="es-ES_tradnl"/>
        </w:rPr>
        <w:t xml:space="preserve">os </w:t>
      </w:r>
      <w:r w:rsidRPr="0090373B">
        <w:rPr>
          <w:rFonts w:ascii="Verdana" w:hAnsi="Verdana" w:cs="Arial"/>
          <w:color w:val="000000" w:themeColor="text1"/>
          <w:lang w:val="es-ES_tradnl"/>
        </w:rPr>
        <w:t>requisitos habilitantes</w:t>
      </w:r>
      <w:r w:rsidRPr="00886F14">
        <w:rPr>
          <w:rFonts w:ascii="Verdana" w:hAnsi="Verdana" w:cs="Arial"/>
          <w:color w:val="000000" w:themeColor="text1"/>
          <w:lang w:val="es-ES_tradnl"/>
        </w:rPr>
        <w:t xml:space="preserv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diferencian de los </w:t>
      </w:r>
      <w:r w:rsidRPr="00886F14">
        <w:rPr>
          <w:rFonts w:ascii="Verdana" w:hAnsi="Verdana" w:cs="Arial"/>
          <w:i/>
          <w:iCs/>
          <w:color w:val="000000" w:themeColor="text1"/>
          <w:lang w:val="es-ES_tradnl"/>
        </w:rPr>
        <w:t>criterios de evaluación</w:t>
      </w:r>
      <w:r w:rsidRPr="00886F14">
        <w:rPr>
          <w:rFonts w:ascii="Verdana" w:hAnsi="Verdana" w:cs="Arial"/>
          <w:color w:val="000000" w:themeColor="text1"/>
          <w:lang w:val="es-ES_tradnl"/>
        </w:rPr>
        <w:t xml:space="preserve"> –también conocidos como </w:t>
      </w:r>
      <w:r w:rsidRPr="00886F14">
        <w:rPr>
          <w:rFonts w:ascii="Verdana" w:hAnsi="Verdana" w:cs="Arial"/>
          <w:i/>
          <w:iCs/>
          <w:color w:val="000000" w:themeColor="text1"/>
          <w:lang w:val="es-ES_tradnl"/>
        </w:rPr>
        <w:t>criterios de calificación</w:t>
      </w:r>
      <w:r w:rsidRPr="00886F14">
        <w:rPr>
          <w:rFonts w:ascii="Verdana"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51268953" w14:textId="77777777" w:rsidR="004125DE" w:rsidRPr="00886F14" w:rsidRDefault="004125DE" w:rsidP="004125DE">
      <w:pPr>
        <w:spacing w:after="0" w:line="276" w:lineRule="auto"/>
        <w:jc w:val="both"/>
        <w:rPr>
          <w:rFonts w:ascii="Verdana" w:hAnsi="Verdana" w:cs="Arial"/>
          <w:color w:val="000000" w:themeColor="text1"/>
          <w:lang w:val="es-ES_tradnl"/>
        </w:rPr>
      </w:pPr>
    </w:p>
    <w:p w14:paraId="4E6F052D" w14:textId="77777777" w:rsidR="004125DE" w:rsidRPr="00886F14" w:rsidRDefault="004125DE" w:rsidP="004125DE">
      <w:pPr>
        <w:spacing w:after="12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 xml:space="preserve">  </w:t>
      </w:r>
      <w:r w:rsidRPr="00886F14">
        <w:rPr>
          <w:rFonts w:ascii="Verdana" w:hAnsi="Verdana" w:cs="Arial"/>
          <w:color w:val="000000" w:themeColor="text1"/>
          <w:lang w:val="es-ES_tradnl"/>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w:t>
      </w:r>
      <w:r>
        <w:rPr>
          <w:rFonts w:ascii="Verdana" w:hAnsi="Verdana" w:cs="Arial"/>
          <w:color w:val="000000" w:themeColor="text1"/>
          <w:lang w:val="es-ES_tradnl"/>
        </w:rPr>
        <w:t>. D</w:t>
      </w:r>
      <w:r w:rsidRPr="00886F14">
        <w:rPr>
          <w:rFonts w:ascii="Verdana" w:hAnsi="Verdana" w:cs="Arial"/>
          <w:color w:val="000000" w:themeColor="text1"/>
          <w:lang w:val="es-ES_tradnl"/>
        </w:rPr>
        <w:t xml:space="preserve">e </w:t>
      </w:r>
      <w:r>
        <w:rPr>
          <w:rFonts w:ascii="Verdana" w:hAnsi="Verdana" w:cs="Arial"/>
          <w:color w:val="000000" w:themeColor="text1"/>
          <w:lang w:val="es-ES_tradnl"/>
        </w:rPr>
        <w:t xml:space="preserve">esta </w:t>
      </w:r>
      <w:r w:rsidRPr="00886F14">
        <w:rPr>
          <w:rFonts w:ascii="Verdana" w:hAnsi="Verdana" w:cs="Arial"/>
          <w:color w:val="000000" w:themeColor="text1"/>
          <w:lang w:val="es-ES_tradnl"/>
        </w:rPr>
        <w:t>manera</w:t>
      </w:r>
      <w:r>
        <w:rPr>
          <w:rFonts w:ascii="Verdana" w:hAnsi="Verdana" w:cs="Arial"/>
          <w:color w:val="000000" w:themeColor="text1"/>
          <w:lang w:val="es-ES_tradnl"/>
        </w:rPr>
        <w:t>,</w:t>
      </w:r>
      <w:r w:rsidRPr="00886F14">
        <w:rPr>
          <w:rFonts w:ascii="Verdana" w:hAnsi="Verdana" w:cs="Arial"/>
          <w:color w:val="000000" w:themeColor="text1"/>
          <w:lang w:val="es-ES_tradnl"/>
        </w:rPr>
        <w:t xml:space="preserve"> quienes no los reúnan no pueden continuar en el procedimiento de selección, </w:t>
      </w:r>
      <w:r>
        <w:rPr>
          <w:rFonts w:ascii="Verdana" w:hAnsi="Verdana" w:cs="Arial"/>
          <w:color w:val="000000" w:themeColor="text1"/>
          <w:lang w:val="es-ES_tradnl"/>
        </w:rPr>
        <w:t>es decir</w:t>
      </w:r>
      <w:r w:rsidRPr="00886F14">
        <w:rPr>
          <w:rFonts w:ascii="Verdana" w:hAnsi="Verdana" w:cs="Arial"/>
          <w:color w:val="000000" w:themeColor="text1"/>
          <w:lang w:val="es-ES_tradnl"/>
        </w:rPr>
        <w:t>, incurren en causal de rechazo. Esto</w:t>
      </w:r>
      <w:r>
        <w:rPr>
          <w:rFonts w:ascii="Verdana" w:hAnsi="Verdana" w:cs="Arial"/>
          <w:color w:val="000000" w:themeColor="text1"/>
          <w:lang w:val="es-ES_tradnl"/>
        </w:rPr>
        <w:t>,</w:t>
      </w:r>
      <w:r w:rsidRPr="00886F14">
        <w:rPr>
          <w:rFonts w:ascii="Verdana" w:hAnsi="Verdana" w:cs="Arial"/>
          <w:color w:val="000000" w:themeColor="text1"/>
          <w:lang w:val="es-ES_tradnl"/>
        </w:rPr>
        <w:t xml:space="preserve"> sin perjuicio del derecho que tienen los oferentes de subsanar los defectos que se presenten en la prueba de tales requisitos, de conformidad con el artículo 5, parágrafos 1º al 4º, de la Ley 1150 de 2007.</w:t>
      </w:r>
    </w:p>
    <w:p w14:paraId="142668E4" w14:textId="77777777" w:rsidR="004125DE" w:rsidRDefault="004125DE" w:rsidP="004125DE">
      <w:pPr>
        <w:spacing w:after="120" w:line="276" w:lineRule="auto"/>
        <w:ind w:firstLine="708"/>
        <w:jc w:val="both"/>
        <w:rPr>
          <w:rFonts w:ascii="Verdana" w:hAnsi="Verdana" w:cs="Arial"/>
          <w:color w:val="000000" w:themeColor="text1"/>
          <w:lang w:val="es-ES_tradnl"/>
        </w:rPr>
      </w:pPr>
      <w:r w:rsidRPr="00886F14">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886F14">
        <w:rPr>
          <w:rFonts w:ascii="Verdana" w:hAnsi="Verdana" w:cs="Arial"/>
          <w:i/>
          <w:iCs/>
          <w:color w:val="000000" w:themeColor="text1"/>
          <w:lang w:val="es-ES_tradnl"/>
        </w:rPr>
        <w:t>.</w:t>
      </w:r>
      <w:r w:rsidRPr="00886F14">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2092A8A1" w14:textId="77777777" w:rsidR="004125DE" w:rsidRPr="00886F14" w:rsidRDefault="004125DE" w:rsidP="004125DE">
      <w:pPr>
        <w:spacing w:after="0" w:line="276" w:lineRule="auto"/>
        <w:ind w:firstLine="708"/>
        <w:jc w:val="both"/>
        <w:rPr>
          <w:rFonts w:ascii="Verdana" w:hAnsi="Verdana" w:cs="Arial"/>
          <w:color w:val="000000" w:themeColor="text1"/>
          <w:lang w:val="es-ES"/>
        </w:rPr>
      </w:pPr>
      <w:r w:rsidRPr="5D636007">
        <w:rPr>
          <w:rFonts w:ascii="Verdana" w:hAnsi="Verdana" w:cs="Arial"/>
          <w:color w:val="000000" w:themeColor="text1"/>
          <w:lang w:val="es-ES"/>
        </w:rPr>
        <w:t xml:space="preserve">Específicamente, el numeral 1º del referido artículo 5 establece que en los procesos de selección de contratistas serán objeto de verificación, como requisitos habilitantes, </w:t>
      </w:r>
      <w:r w:rsidRPr="5D636007">
        <w:rPr>
          <w:rFonts w:ascii="Verdana" w:hAnsi="Verdana" w:cs="Arial"/>
          <w:i/>
          <w:color w:val="000000" w:themeColor="text1"/>
          <w:lang w:val="es-ES"/>
        </w:rPr>
        <w:t>entre otros</w:t>
      </w:r>
      <w:r w:rsidRPr="5D636007">
        <w:rPr>
          <w:rFonts w:ascii="Verdana" w:hAnsi="Verdana" w:cs="Arial"/>
          <w:color w:val="000000" w:themeColor="text1"/>
          <w:lang w:val="es-ES"/>
        </w:rPr>
        <w:t xml:space="preserve">, los siguientes: i) la capacidad jurídica; </w:t>
      </w:r>
      <w:proofErr w:type="spellStart"/>
      <w:r w:rsidRPr="5D636007">
        <w:rPr>
          <w:rFonts w:ascii="Verdana" w:hAnsi="Verdana" w:cs="Arial"/>
          <w:color w:val="000000" w:themeColor="text1"/>
          <w:lang w:val="es-ES"/>
        </w:rPr>
        <w:t>ii</w:t>
      </w:r>
      <w:proofErr w:type="spellEnd"/>
      <w:r w:rsidRPr="5D636007">
        <w:rPr>
          <w:rFonts w:ascii="Verdana" w:hAnsi="Verdana" w:cs="Arial"/>
          <w:color w:val="000000" w:themeColor="text1"/>
          <w:lang w:val="es-ES"/>
        </w:rPr>
        <w:t>) la experiencia</w:t>
      </w:r>
      <w:r>
        <w:rPr>
          <w:rFonts w:ascii="Verdana" w:hAnsi="Verdana" w:cs="Arial"/>
          <w:color w:val="000000" w:themeColor="text1"/>
          <w:lang w:val="es-ES"/>
        </w:rPr>
        <w:t xml:space="preserve"> – a la que se refiere en su consulta</w:t>
      </w:r>
      <w:r w:rsidRPr="5D636007">
        <w:rPr>
          <w:rFonts w:ascii="Verdana" w:hAnsi="Verdana" w:cs="Arial"/>
          <w:color w:val="000000" w:themeColor="text1"/>
          <w:lang w:val="es-ES"/>
        </w:rPr>
        <w:t xml:space="preserve">; </w:t>
      </w:r>
      <w:proofErr w:type="spellStart"/>
      <w:r w:rsidRPr="5D636007">
        <w:rPr>
          <w:rFonts w:ascii="Verdana" w:hAnsi="Verdana" w:cs="Arial"/>
          <w:color w:val="000000" w:themeColor="text1"/>
          <w:lang w:val="es-ES"/>
        </w:rPr>
        <w:t>iii</w:t>
      </w:r>
      <w:proofErr w:type="spellEnd"/>
      <w:r w:rsidRPr="5D636007">
        <w:rPr>
          <w:rFonts w:ascii="Verdana" w:hAnsi="Verdana" w:cs="Arial"/>
          <w:color w:val="000000" w:themeColor="text1"/>
          <w:lang w:val="es-ES"/>
        </w:rPr>
        <w:t xml:space="preserve">) la capacidad financiera y </w:t>
      </w:r>
      <w:proofErr w:type="spellStart"/>
      <w:r w:rsidRPr="5D636007">
        <w:rPr>
          <w:rFonts w:ascii="Verdana" w:hAnsi="Verdana" w:cs="Arial"/>
          <w:color w:val="000000" w:themeColor="text1"/>
          <w:lang w:val="es-ES"/>
        </w:rPr>
        <w:t>iv</w:t>
      </w:r>
      <w:proofErr w:type="spellEnd"/>
      <w:r w:rsidRPr="5D636007">
        <w:rPr>
          <w:rFonts w:ascii="Verdana" w:hAnsi="Verdana" w:cs="Arial"/>
          <w:color w:val="000000" w:themeColor="text1"/>
          <w:lang w:val="es-ES"/>
        </w:rPr>
        <w:t xml:space="preserve">) la capacidad de organización. En efecto, la normativa citada prescribe lo siguiente: </w:t>
      </w:r>
    </w:p>
    <w:p w14:paraId="355BEC00" w14:textId="77777777" w:rsidR="004125DE" w:rsidRPr="00886F14" w:rsidRDefault="004125DE" w:rsidP="004125DE">
      <w:pPr>
        <w:spacing w:after="0" w:line="276" w:lineRule="auto"/>
        <w:ind w:firstLine="708"/>
        <w:jc w:val="both"/>
        <w:rPr>
          <w:rFonts w:ascii="Verdana" w:hAnsi="Verdana" w:cs="Arial"/>
          <w:color w:val="000000" w:themeColor="text1"/>
          <w:lang w:val="es-ES_tradnl"/>
        </w:rPr>
      </w:pPr>
    </w:p>
    <w:p w14:paraId="227988BB" w14:textId="77777777" w:rsidR="004125DE" w:rsidRPr="00E123D7" w:rsidRDefault="004125DE" w:rsidP="004125DE">
      <w:pPr>
        <w:spacing w:after="0" w:line="240" w:lineRule="auto"/>
        <w:ind w:left="709" w:right="709"/>
        <w:rPr>
          <w:rFonts w:ascii="Verdana" w:hAnsi="Verdana" w:cs="Arial"/>
          <w:color w:val="000000" w:themeColor="text1"/>
          <w:sz w:val="20"/>
          <w:szCs w:val="20"/>
          <w:lang w:val="es-ES_tradnl"/>
        </w:rPr>
      </w:pPr>
      <w:r w:rsidRPr="00E123D7">
        <w:rPr>
          <w:rFonts w:ascii="Verdana" w:hAnsi="Verdana" w:cs="Arial"/>
          <w:i/>
          <w:color w:val="000000" w:themeColor="text1"/>
          <w:sz w:val="20"/>
          <w:szCs w:val="20"/>
          <w:lang w:val="es-ES_tradnl"/>
        </w:rPr>
        <w:t>“</w:t>
      </w:r>
      <w:r w:rsidRPr="00E123D7">
        <w:rPr>
          <w:rFonts w:ascii="Verdana" w:hAnsi="Verdana" w:cs="Arial"/>
          <w:color w:val="000000" w:themeColor="text1"/>
          <w:sz w:val="20"/>
          <w:szCs w:val="20"/>
          <w:lang w:val="es-ES_tradnl"/>
        </w:rPr>
        <w:t xml:space="preserve">Artículo 5. De la Selección Objetiva. </w:t>
      </w:r>
    </w:p>
    <w:p w14:paraId="2B7F2169" w14:textId="77777777" w:rsidR="004125DE" w:rsidRPr="00E123D7" w:rsidRDefault="004125DE" w:rsidP="004125DE">
      <w:pPr>
        <w:spacing w:after="0" w:line="240" w:lineRule="auto"/>
        <w:ind w:left="709" w:right="709"/>
        <w:rPr>
          <w:rFonts w:ascii="Verdana" w:hAnsi="Verdana" w:cs="Arial"/>
          <w:color w:val="000000" w:themeColor="text1"/>
          <w:sz w:val="20"/>
          <w:szCs w:val="20"/>
          <w:lang w:val="es-ES_tradnl"/>
        </w:rPr>
      </w:pPr>
      <w:r w:rsidRPr="00E123D7">
        <w:rPr>
          <w:rFonts w:ascii="Verdana" w:hAnsi="Verdana" w:cs="Arial"/>
          <w:color w:val="000000" w:themeColor="text1"/>
          <w:sz w:val="20"/>
          <w:szCs w:val="20"/>
          <w:lang w:val="es-ES_tradnl"/>
        </w:rPr>
        <w:t>[…]</w:t>
      </w:r>
    </w:p>
    <w:p w14:paraId="47318AD1" w14:textId="77777777" w:rsidR="004125DE" w:rsidRPr="00E123D7" w:rsidRDefault="004125DE" w:rsidP="004125DE">
      <w:pPr>
        <w:pStyle w:val="Prrafodelista"/>
        <w:spacing w:after="0" w:line="240" w:lineRule="auto"/>
        <w:ind w:left="709" w:right="709"/>
        <w:jc w:val="both"/>
        <w:rPr>
          <w:rFonts w:ascii="Verdana" w:eastAsia="Calibri" w:hAnsi="Verdana" w:cs="Arial"/>
          <w:color w:val="000000" w:themeColor="text1"/>
          <w:sz w:val="20"/>
          <w:szCs w:val="20"/>
        </w:rPr>
      </w:pPr>
      <w:r w:rsidRPr="00E123D7">
        <w:rPr>
          <w:rFonts w:ascii="Verdana" w:eastAsia="Calibri" w:hAnsi="Verdana" w:cs="Arial"/>
          <w:color w:val="000000" w:themeColor="text1"/>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r w:rsidRPr="00E123D7">
        <w:rPr>
          <w:rFonts w:ascii="Verdana" w:eastAsia="Calibri" w:hAnsi="Verdana" w:cs="Arial"/>
          <w:i/>
          <w:color w:val="000000" w:themeColor="text1"/>
          <w:sz w:val="20"/>
          <w:szCs w:val="20"/>
        </w:rPr>
        <w:t>”</w:t>
      </w:r>
      <w:r w:rsidRPr="00E123D7">
        <w:rPr>
          <w:rFonts w:ascii="Verdana" w:eastAsia="Calibri" w:hAnsi="Verdana" w:cs="Arial"/>
          <w:color w:val="000000" w:themeColor="text1"/>
          <w:sz w:val="20"/>
          <w:szCs w:val="20"/>
        </w:rPr>
        <w:t>.</w:t>
      </w:r>
    </w:p>
    <w:p w14:paraId="52A74D50" w14:textId="77777777" w:rsidR="004125DE" w:rsidRPr="00E123D7" w:rsidRDefault="004125DE" w:rsidP="004125DE">
      <w:pPr>
        <w:spacing w:after="0" w:line="276" w:lineRule="auto"/>
        <w:ind w:right="709"/>
        <w:jc w:val="both"/>
        <w:rPr>
          <w:rFonts w:ascii="Verdana" w:eastAsia="Calibri" w:hAnsi="Verdana" w:cs="Arial"/>
          <w:color w:val="000000" w:themeColor="text1"/>
          <w:lang w:val="es-ES_tradnl"/>
        </w:rPr>
      </w:pPr>
    </w:p>
    <w:p w14:paraId="774DEAA6" w14:textId="77777777" w:rsidR="004125DE" w:rsidRDefault="004125DE" w:rsidP="004125DE">
      <w:pPr>
        <w:spacing w:after="0" w:line="276" w:lineRule="auto"/>
        <w:ind w:firstLine="708"/>
        <w:jc w:val="both"/>
        <w:rPr>
          <w:rFonts w:ascii="Verdana" w:eastAsia="Times New Roman" w:hAnsi="Verdana" w:cs="Arial"/>
          <w:lang w:val="es-ES_tradnl" w:eastAsia="es-MX"/>
        </w:rPr>
      </w:pPr>
      <w:bookmarkStart w:id="4" w:name="_Hlk99547809"/>
      <w:bookmarkStart w:id="5" w:name="_Hlk99546625"/>
      <w:r w:rsidRPr="00C94107">
        <w:rPr>
          <w:rFonts w:ascii="Verdana" w:eastAsia="Times New Roman" w:hAnsi="Verdana" w:cs="Arial"/>
          <w:lang w:val="es-ES_tradnl" w:eastAsia="es-MX"/>
        </w:rPr>
        <w:t xml:space="preserve">La Agencia Nacional de Contratación Pública – Colombia Compra Eficiente ha defendido el carácter </w:t>
      </w:r>
      <w:bookmarkStart w:id="6" w:name="_Hlk99547799"/>
      <w:r w:rsidRPr="00C94107">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4"/>
      <w:bookmarkEnd w:id="6"/>
      <w:r w:rsidRPr="00C94107">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5"/>
      <w:r w:rsidRPr="00C94107">
        <w:rPr>
          <w:rFonts w:ascii="Verdana" w:eastAsia="Times New Roman" w:hAnsi="Verdana" w:cs="Arial"/>
          <w:vertAlign w:val="superscript"/>
          <w:lang w:val="es-ES_tradnl" w:eastAsia="es-MX"/>
        </w:rPr>
        <w:footnoteReference w:id="1"/>
      </w:r>
      <w:r w:rsidRPr="00C94107">
        <w:rPr>
          <w:rFonts w:ascii="Verdana" w:eastAsia="Times New Roman" w:hAnsi="Verdana" w:cs="Arial"/>
          <w:lang w:val="es-ES_tradnl" w:eastAsia="es-MX"/>
        </w:rPr>
        <w:t xml:space="preserve">. </w:t>
      </w:r>
    </w:p>
    <w:p w14:paraId="032FD46D" w14:textId="77777777" w:rsidR="004125DE" w:rsidRDefault="004125DE" w:rsidP="004125DE">
      <w:pPr>
        <w:spacing w:after="0" w:line="276" w:lineRule="auto"/>
        <w:ind w:firstLine="708"/>
        <w:jc w:val="both"/>
        <w:rPr>
          <w:rFonts w:ascii="Verdana" w:eastAsia="Times New Roman" w:hAnsi="Verdana" w:cs="Arial"/>
          <w:lang w:val="es-ES_tradnl" w:eastAsia="es-MX"/>
        </w:rPr>
      </w:pPr>
    </w:p>
    <w:p w14:paraId="5CF4FF49" w14:textId="77777777" w:rsidR="004125DE" w:rsidRPr="00D014B6" w:rsidRDefault="004125DE" w:rsidP="004125DE">
      <w:pPr>
        <w:spacing w:after="120" w:line="276" w:lineRule="auto"/>
        <w:ind w:firstLine="708"/>
        <w:jc w:val="both"/>
        <w:rPr>
          <w:rFonts w:ascii="Verdana" w:eastAsia="Calibri" w:hAnsi="Verdana" w:cs="Arial"/>
          <w:color w:val="000000" w:themeColor="text1"/>
        </w:rPr>
      </w:pPr>
      <w:r>
        <w:rPr>
          <w:rFonts w:ascii="Verdana" w:eastAsia="Calibri" w:hAnsi="Verdana" w:cs="Arial"/>
        </w:rPr>
        <w:t>Ahora bien, es importante resaltar que t</w:t>
      </w:r>
      <w:r w:rsidRPr="00D014B6">
        <w:rPr>
          <w:rFonts w:ascii="Verdana" w:eastAsia="Calibri" w:hAnsi="Verdana" w:cs="Arial"/>
        </w:rPr>
        <w:t xml:space="preserve">anto la </w:t>
      </w:r>
      <w:r>
        <w:rPr>
          <w:rFonts w:ascii="Verdana" w:eastAsia="Calibri" w:hAnsi="Verdana" w:cs="Arial"/>
        </w:rPr>
        <w:t>L</w:t>
      </w:r>
      <w:r w:rsidRPr="00D014B6">
        <w:rPr>
          <w:rFonts w:ascii="Verdana" w:eastAsia="Calibri" w:hAnsi="Verdana" w:cs="Arial"/>
        </w:rPr>
        <w:t xml:space="preserve">ey 1150 de 2007 como el Decreto 1082 de 2015 exigen determinar unas </w:t>
      </w:r>
      <w:r w:rsidRPr="00D014B6">
        <w:rPr>
          <w:rFonts w:ascii="Verdana" w:eastAsia="Calibri" w:hAnsi="Verdana" w:cs="Arial"/>
          <w:color w:val="000000" w:themeColor="text1"/>
          <w:lang w:val="es-ES_tradnl"/>
        </w:rPr>
        <w:t xml:space="preserve">condiciones mínimas </w:t>
      </w:r>
      <w:r w:rsidRPr="00D014B6">
        <w:rPr>
          <w:rFonts w:ascii="Verdana" w:eastAsia="Calibri" w:hAnsi="Verdana" w:cs="Arial"/>
          <w:color w:val="000000" w:themeColor="text1"/>
        </w:rPr>
        <w:t>de los proponentes</w:t>
      </w:r>
      <w:r>
        <w:rPr>
          <w:rFonts w:ascii="Verdana" w:eastAsia="Calibri" w:hAnsi="Verdana" w:cs="Arial"/>
          <w:color w:val="000000" w:themeColor="text1"/>
        </w:rPr>
        <w:t xml:space="preserve"> (habilitantes)</w:t>
      </w:r>
      <w:r w:rsidRPr="00D014B6">
        <w:rPr>
          <w:rFonts w:ascii="Verdana" w:eastAsia="Calibri" w:hAnsi="Verdana" w:cs="Arial"/>
          <w:color w:val="000000" w:themeColor="text1"/>
        </w:rPr>
        <w:t>, con el fin de asegurar que el contratista tenga las aptitudes necesarias para que la realización del objeto contractual se efectué de manera eficiente y eficaz, respondiendo adecuadamente a la necesidad identificada.</w:t>
      </w:r>
      <w:r>
        <w:rPr>
          <w:rFonts w:ascii="Verdana" w:eastAsia="Calibri" w:hAnsi="Verdana" w:cs="Arial"/>
          <w:color w:val="000000" w:themeColor="text1"/>
        </w:rPr>
        <w:t xml:space="preserve"> E</w:t>
      </w:r>
      <w:r w:rsidRPr="00D014B6">
        <w:rPr>
          <w:rFonts w:ascii="Verdana" w:eastAsia="Calibri" w:hAnsi="Verdana" w:cs="Arial"/>
          <w:color w:val="000000" w:themeColor="text1"/>
        </w:rPr>
        <w:t>stos requisitos deben</w:t>
      </w:r>
      <w:r>
        <w:rPr>
          <w:rFonts w:ascii="Verdana" w:eastAsia="Calibri" w:hAnsi="Verdana" w:cs="Arial"/>
          <w:color w:val="000000" w:themeColor="text1"/>
        </w:rPr>
        <w:t xml:space="preserve"> ser</w:t>
      </w:r>
      <w:r w:rsidRPr="00D014B6">
        <w:rPr>
          <w:rFonts w:ascii="Verdana" w:eastAsia="Calibri" w:hAnsi="Verdana" w:cs="Arial"/>
          <w:color w:val="000000" w:themeColor="text1"/>
        </w:rPr>
        <w:t xml:space="preserve"> establec</w:t>
      </w:r>
      <w:r>
        <w:rPr>
          <w:rFonts w:ascii="Verdana" w:eastAsia="Calibri" w:hAnsi="Verdana" w:cs="Arial"/>
          <w:color w:val="000000" w:themeColor="text1"/>
        </w:rPr>
        <w:t>idos</w:t>
      </w:r>
      <w:r w:rsidRPr="00D014B6">
        <w:rPr>
          <w:rFonts w:ascii="Verdana" w:eastAsia="Calibri" w:hAnsi="Verdana" w:cs="Arial"/>
          <w:color w:val="000000" w:themeColor="text1"/>
        </w:rPr>
        <w:t xml:space="preserve"> de forma adecuada y proporcional a la naturaleza y valor del contrato. Esta proporcionalidad no implica que no se deben exigir ciertos requisitos habilitantes, sino que estos deben tener una relación directa con el objeto del contrato, de suerte que su acreditación sea efectiva para demostrar que el proponente es idóneo para ejecutar el contrato y que los mismos no establezcan condiciones más allá de las necesarias para verificar la idoneidad requerida de los proponentes respecto del objeto ofertado, ya que lo contrario limita la libre concurrencia.</w:t>
      </w:r>
    </w:p>
    <w:p w14:paraId="3DF27B5F" w14:textId="77777777" w:rsidR="004125DE" w:rsidRPr="00D014B6" w:rsidRDefault="004125DE" w:rsidP="004125DE">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Particularmente, </w:t>
      </w:r>
      <w:r>
        <w:rPr>
          <w:rFonts w:ascii="Verdana" w:eastAsia="Calibri" w:hAnsi="Verdana" w:cs="Arial"/>
          <w:color w:val="000000" w:themeColor="text1"/>
        </w:rPr>
        <w:t>respecto a los requisitos de capacidad financiera y organizacional a solicitar en los procesos de contratación,</w:t>
      </w:r>
      <w:r w:rsidRPr="00D014B6">
        <w:rPr>
          <w:rFonts w:ascii="Verdana" w:eastAsia="Calibri" w:hAnsi="Verdana" w:cs="Arial"/>
          <w:color w:val="000000" w:themeColor="text1"/>
        </w:rPr>
        <w:t xml:space="preserve"> el </w:t>
      </w:r>
      <w:r w:rsidRPr="00D014B6">
        <w:rPr>
          <w:rFonts w:ascii="Verdana" w:eastAsia="Calibri" w:hAnsi="Verdana" w:cs="Arial"/>
          <w:color w:val="000000" w:themeColor="text1"/>
          <w:lang w:val="es-ES_tradnl"/>
        </w:rPr>
        <w:t>“Manual para determinar y verificar los requisitos habilitantes en los Procesos de Contratación”</w:t>
      </w:r>
      <w:r>
        <w:rPr>
          <w:rStyle w:val="Refdenotaalpie"/>
          <w:rFonts w:ascii="Verdana" w:eastAsia="Calibri" w:hAnsi="Verdana" w:cs="Arial"/>
          <w:color w:val="000000" w:themeColor="text1"/>
          <w:lang w:val="es-ES_tradnl"/>
        </w:rPr>
        <w:footnoteReference w:id="2"/>
      </w:r>
      <w:r w:rsidRPr="00D014B6">
        <w:rPr>
          <w:rFonts w:ascii="Verdana" w:eastAsia="Calibri" w:hAnsi="Verdana" w:cs="Arial"/>
          <w:color w:val="000000" w:themeColor="text1"/>
          <w:lang w:val="es-ES_tradnl"/>
        </w:rPr>
        <w:t xml:space="preserve"> expedido por esta Agencia</w:t>
      </w:r>
      <w:r w:rsidRPr="00D014B6">
        <w:rPr>
          <w:rFonts w:ascii="Verdana" w:eastAsia="Calibri" w:hAnsi="Verdana" w:cs="Arial"/>
          <w:color w:val="000000" w:themeColor="text1"/>
        </w:rPr>
        <w:t>, indica que la capacidad financiera</w:t>
      </w:r>
      <w:r>
        <w:rPr>
          <w:rFonts w:ascii="Verdana" w:eastAsia="Calibri" w:hAnsi="Verdana" w:cs="Arial"/>
          <w:color w:val="000000" w:themeColor="text1"/>
        </w:rPr>
        <w:t xml:space="preserve"> y organizacional</w:t>
      </w:r>
      <w:r w:rsidRPr="00D014B6">
        <w:rPr>
          <w:rFonts w:ascii="Verdana" w:eastAsia="Calibri" w:hAnsi="Verdana" w:cs="Arial"/>
          <w:color w:val="000000" w:themeColor="text1"/>
        </w:rPr>
        <w:t xml:space="preserve"> que la entidad requiera para un proceso de contratación “debe ser adecuada y proporcional a la naturaleza, forma de pago, plazo, complejidad, riesgo y al valor del contrato. Además, los requisitos de capacidad financiera deben ser establecidos con fundamento en los estudios del sector, para cuya elaboración se recomienda la aplicación de lo dispuesto en la «Guía para la Elaboración de Estudios de Sector», expedida por esta Agencia”. Así, en atención a la naturaleza del contrato a suscribir y su valor, plazo y forma de pago, la entidad debe hacer uso de los indicadores que considere adecuados respecto del objeto del proceso de contratación. </w:t>
      </w:r>
    </w:p>
    <w:p w14:paraId="1A73D2EA" w14:textId="77777777" w:rsidR="004125DE" w:rsidRPr="00D014B6" w:rsidRDefault="004125DE" w:rsidP="004125DE">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En este sentido</w:t>
      </w:r>
      <w:r>
        <w:rPr>
          <w:rFonts w:ascii="Verdana" w:eastAsia="Calibri" w:hAnsi="Verdana" w:cs="Arial"/>
          <w:color w:val="000000" w:themeColor="text1"/>
        </w:rPr>
        <w:t xml:space="preserve">, es importante precisar </w:t>
      </w:r>
      <w:r w:rsidRPr="00D014B6">
        <w:rPr>
          <w:rFonts w:ascii="Verdana" w:eastAsia="Calibri" w:hAnsi="Verdana" w:cs="Arial"/>
          <w:color w:val="000000" w:themeColor="text1"/>
        </w:rPr>
        <w:t xml:space="preserve">la exigencia de </w:t>
      </w:r>
      <w:r>
        <w:rPr>
          <w:rFonts w:ascii="Verdana" w:eastAsia="Calibri" w:hAnsi="Verdana" w:cs="Arial"/>
          <w:color w:val="000000" w:themeColor="text1"/>
        </w:rPr>
        <w:t>los requisitos de</w:t>
      </w:r>
      <w:r w:rsidRPr="00D014B6">
        <w:rPr>
          <w:rFonts w:ascii="Verdana" w:eastAsia="Calibri" w:hAnsi="Verdana" w:cs="Arial"/>
          <w:color w:val="000000" w:themeColor="text1"/>
        </w:rPr>
        <w:t xml:space="preserve"> capacidad financiera y organizaci</w:t>
      </w:r>
      <w:r>
        <w:rPr>
          <w:rFonts w:ascii="Verdana" w:eastAsia="Calibri" w:hAnsi="Verdana" w:cs="Arial"/>
          <w:color w:val="000000" w:themeColor="text1"/>
        </w:rPr>
        <w:t>onal</w:t>
      </w:r>
      <w:r w:rsidRPr="00D014B6">
        <w:rPr>
          <w:rFonts w:ascii="Verdana" w:eastAsia="Calibri" w:hAnsi="Verdana" w:cs="Arial"/>
          <w:color w:val="000000" w:themeColor="text1"/>
        </w:rPr>
        <w:t xml:space="preserve"> debe responder a criterios de razonabilidad y proporcionalidad, de tal manera que dichos requisitos deben establecerse en función del alcance y la naturaleza específica del objeto a contratar. </w:t>
      </w:r>
    </w:p>
    <w:p w14:paraId="686F27F5" w14:textId="77777777" w:rsidR="004125DE" w:rsidRDefault="004125DE" w:rsidP="004125DE">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Para tales efectos, el </w:t>
      </w:r>
      <w:r w:rsidRPr="00885EDB">
        <w:rPr>
          <w:rFonts w:ascii="Verdana" w:eastAsia="Calibri" w:hAnsi="Verdana" w:cs="Arial"/>
          <w:color w:val="000000" w:themeColor="text1"/>
          <w:lang w:val="es-ES_tradnl"/>
        </w:rPr>
        <w:t>“Manual para determinar y verificar los requisitos habilitantes en los Procesos de Contratación”,</w:t>
      </w:r>
      <w:r w:rsidRPr="00D014B6">
        <w:rPr>
          <w:rFonts w:ascii="Verdana" w:eastAsia="Calibri" w:hAnsi="Verdana" w:cs="Arial"/>
          <w:color w:val="000000" w:themeColor="text1"/>
          <w:lang w:val="es-ES_tradnl"/>
        </w:rPr>
        <w:t xml:space="preserve"> señala que “</w:t>
      </w:r>
      <w:r w:rsidRPr="00D014B6">
        <w:rPr>
          <w:rFonts w:ascii="Verdana" w:eastAsia="Calibri" w:hAnsi="Verdana" w:cs="Arial"/>
          <w:color w:val="000000" w:themeColor="text1"/>
        </w:rPr>
        <w:t>La Entidad Estatal debe determinar los indicadores de capacidad financiera y organizacional, así como la relación de dependencia entre cada indicador y la ejecución del contrato. Entre más fuerte sea esta relación, más rigurosos deben ser los análisis de datos para establecer los límites de los requisitos habilitantes y los indicadores previstos deben ser más exigentes</w:t>
      </w:r>
      <w:r>
        <w:rPr>
          <w:rFonts w:ascii="Verdana" w:eastAsia="Calibri" w:hAnsi="Verdana" w:cs="Arial"/>
          <w:color w:val="000000" w:themeColor="text1"/>
        </w:rPr>
        <w:t xml:space="preserve">, por lo cual, </w:t>
      </w:r>
      <w:r w:rsidRPr="00D5142D">
        <w:rPr>
          <w:rFonts w:ascii="Verdana" w:eastAsia="Calibri" w:hAnsi="Verdana" w:cs="Arial"/>
          <w:color w:val="000000" w:themeColor="text1"/>
        </w:rPr>
        <w:t>no es suficiente la aplicación mecánica de fórmulas financieras, pues deben conocer cada indicador, sus fórmulas de cálculo y su interpretación.</w:t>
      </w:r>
      <w:r w:rsidRPr="00D014B6">
        <w:rPr>
          <w:rFonts w:ascii="Verdana" w:eastAsia="Calibri" w:hAnsi="Verdana" w:cs="Arial"/>
          <w:color w:val="000000" w:themeColor="text1"/>
        </w:rPr>
        <w:t xml:space="preserve"> </w:t>
      </w:r>
      <w:r w:rsidRPr="00D014B6">
        <w:rPr>
          <w:rFonts w:ascii="Verdana" w:eastAsia="Calibri" w:hAnsi="Verdana" w:cs="Arial"/>
        </w:rPr>
        <w:t xml:space="preserve">[…] </w:t>
      </w:r>
      <w:r w:rsidRPr="00D014B6">
        <w:rPr>
          <w:rFonts w:ascii="Verdana" w:eastAsia="Calibri" w:hAnsi="Verdana" w:cs="Arial"/>
          <w:color w:val="000000" w:themeColor="text1"/>
        </w:rPr>
        <w:t xml:space="preserve">Para ello, la Entidad Estatal puede fijar límites más </w:t>
      </w:r>
      <w:r w:rsidRPr="00D014B6">
        <w:rPr>
          <w:rFonts w:ascii="Verdana" w:eastAsia="Calibri" w:hAnsi="Verdana" w:cs="Arial"/>
          <w:i/>
          <w:iCs/>
          <w:color w:val="000000" w:themeColor="text1"/>
        </w:rPr>
        <w:t>flexibles</w:t>
      </w:r>
      <w:r w:rsidRPr="00D014B6">
        <w:rPr>
          <w:rFonts w:ascii="Verdana" w:eastAsia="Calibri" w:hAnsi="Verdana" w:cs="Arial"/>
          <w:color w:val="000000" w:themeColor="text1"/>
        </w:rPr>
        <w:t xml:space="preserve"> dados por el comportamiento del sector económico estudiando, por ejemplo, los valores máximos y mínimos del indicador para las empresas objeto de análisis”. </w:t>
      </w:r>
    </w:p>
    <w:p w14:paraId="0B5CD0C0" w14:textId="77777777" w:rsidR="004125DE" w:rsidRPr="006C0528" w:rsidRDefault="004125DE" w:rsidP="004125DE">
      <w:pPr>
        <w:spacing w:before="120" w:after="0" w:line="276" w:lineRule="auto"/>
        <w:ind w:firstLine="708"/>
        <w:jc w:val="both"/>
        <w:rPr>
          <w:rFonts w:ascii="Verdana" w:hAnsi="Verdana"/>
          <w:bCs/>
          <w:color w:val="000000"/>
          <w:lang w:val="es-MX" w:eastAsia="es-CO"/>
        </w:rPr>
      </w:pPr>
      <w:r>
        <w:rPr>
          <w:rFonts w:ascii="Verdana" w:hAnsi="Verdana"/>
          <w:bCs/>
          <w:lang w:val="es-MX" w:eastAsia="es-CO"/>
        </w:rPr>
        <w:t>Ahora bien, en atención al problema jurídico planteado y d</w:t>
      </w:r>
      <w:r w:rsidRPr="006C0528">
        <w:rPr>
          <w:rFonts w:ascii="Verdana" w:hAnsi="Verdana"/>
          <w:bCs/>
          <w:color w:val="000000"/>
          <w:lang w:val="es-MX" w:eastAsia="es-CO"/>
        </w:rPr>
        <w:t>e acuerdo con lo definido en numeral 5.4. Metodologías para el cálculo de indicadores de proponentes plurales del MANUAL PARA DETERMINAR Y VERIFICAR LOS REQUISITOS HABILITANTES EN LOS PROCESOS DE CONTRATACIÓN , las Entidades Estatales debe determinar y justificar en los Documentos del Proceso la metodología para calcular los indicadores de los proponentes plurales a partir de la información de cada uno de sus integrantes.</w:t>
      </w:r>
    </w:p>
    <w:p w14:paraId="02C11B10"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 xml:space="preserve">El Manual presenta 2 alternativas para el cálculo de los indicadores de un proponente plural, una que tiene en cuenta el porcentaje de participación  de cada uno de los integrantes de la figura plural y otra que realiza el cálculo sin tener en consideración este porcentaje. </w:t>
      </w:r>
    </w:p>
    <w:p w14:paraId="4537E8F6"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Partiendo de estas dos alternativas, el Manual pone a consideración de las Entidades cuatro (4) alternativas las cuales se aplicarán dependiendo si se busca calcular indicadores expresados en valores monetarios (Como el capital de trabajo o el Patrimonio, por ejemplo) o indicadores que provienen de la división de cuentas de los estados financieros (Como el índice de liquidez o el Índice de Endeudamiento, por ejemplo). A continuación, se realiza una descripción de las cuatro metodologías sugeridas:</w:t>
      </w:r>
    </w:p>
    <w:p w14:paraId="0CF10F66"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Indicadores expresados en valores monetarios</w:t>
      </w:r>
    </w:p>
    <w:p w14:paraId="16E860FF" w14:textId="77777777" w:rsidR="004125DE" w:rsidRPr="006C0528" w:rsidRDefault="004125DE" w:rsidP="004125DE">
      <w:pPr>
        <w:pStyle w:val="Prrafodelista"/>
        <w:numPr>
          <w:ilvl w:val="0"/>
          <w:numId w:val="19"/>
        </w:numPr>
        <w:spacing w:before="120" w:after="0" w:line="276" w:lineRule="auto"/>
        <w:jc w:val="both"/>
        <w:rPr>
          <w:rFonts w:ascii="Verdana" w:hAnsi="Verdana"/>
          <w:bCs/>
          <w:color w:val="000000"/>
          <w:lang w:val="es-MX" w:eastAsia="es-CO"/>
        </w:rPr>
      </w:pPr>
      <w:r w:rsidRPr="006C0528">
        <w:rPr>
          <w:rFonts w:ascii="Verdana" w:hAnsi="Verdana"/>
          <w:bCs/>
          <w:color w:val="000000"/>
          <w:lang w:val="es-MX" w:eastAsia="es-CO"/>
        </w:rPr>
        <w:t>Sumatoria ponderada</w:t>
      </w:r>
    </w:p>
    <w:p w14:paraId="6BDDDF2A"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En esta opción, se calcula el indicador del proponente plural teniendo en cuenta del porcentaje de participación de cada uno de los proponentes, como se muestra en la siguiente fórmula:</w:t>
      </w:r>
    </w:p>
    <w:p w14:paraId="39C747DE" w14:textId="77777777" w:rsidR="004125DE" w:rsidRPr="006C0528" w:rsidRDefault="004125DE" w:rsidP="004125DE">
      <w:pPr>
        <w:spacing w:before="120" w:after="0" w:line="276" w:lineRule="auto"/>
        <w:jc w:val="center"/>
        <w:rPr>
          <w:rFonts w:ascii="Verdana" w:hAnsi="Verdana"/>
          <w:bCs/>
          <w:color w:val="000000"/>
          <w:lang w:val="es-MX" w:eastAsia="es-CO"/>
        </w:rPr>
      </w:pPr>
      <w:r>
        <w:rPr>
          <w:noProof/>
        </w:rPr>
        <w:drawing>
          <wp:inline distT="0" distB="0" distL="0" distR="0" wp14:anchorId="5A6707CC" wp14:editId="3DA2FC45">
            <wp:extent cx="4105275" cy="885825"/>
            <wp:effectExtent l="0" t="0" r="9525" b="9525"/>
            <wp:docPr id="1048130931"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426053" name="Imagen 1" descr="Interfaz de usuario gráfica, Texto, Aplicación, Correo electrónico&#10;&#10;El contenido generado por IA puede ser incorrecto."/>
                    <pic:cNvPicPr/>
                  </pic:nvPicPr>
                  <pic:blipFill rotWithShape="1">
                    <a:blip r:embed="rId12"/>
                    <a:srcRect l="19518" t="37734" r="18025" b="37814"/>
                    <a:stretch>
                      <a:fillRect/>
                    </a:stretch>
                  </pic:blipFill>
                  <pic:spPr bwMode="auto">
                    <a:xfrm>
                      <a:off x="0" y="0"/>
                      <a:ext cx="4105275" cy="885825"/>
                    </a:xfrm>
                    <a:prstGeom prst="rect">
                      <a:avLst/>
                    </a:prstGeom>
                    <a:ln>
                      <a:noFill/>
                    </a:ln>
                    <a:extLst>
                      <a:ext uri="{53640926-AAD7-44D8-BBD7-CCE9431645EC}">
                        <a14:shadowObscured xmlns:a14="http://schemas.microsoft.com/office/drawing/2010/main"/>
                      </a:ext>
                    </a:extLst>
                  </pic:spPr>
                </pic:pic>
              </a:graphicData>
            </a:graphic>
          </wp:inline>
        </w:drawing>
      </w:r>
    </w:p>
    <w:p w14:paraId="2D1CE1FF"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 xml:space="preserve">Donde </w:t>
      </w:r>
      <w:r w:rsidRPr="006C0528">
        <w:rPr>
          <w:rFonts w:ascii="Cambria Math" w:hAnsi="Cambria Math" w:cs="Cambria Math"/>
          <w:bCs/>
          <w:color w:val="000000"/>
          <w:lang w:val="es-MX" w:eastAsia="es-CO"/>
        </w:rPr>
        <w:t>𝑖</w:t>
      </w:r>
      <w:r w:rsidRPr="006C0528">
        <w:rPr>
          <w:rFonts w:ascii="Verdana" w:hAnsi="Verdana"/>
          <w:bCs/>
          <w:color w:val="000000"/>
          <w:lang w:val="es-MX" w:eastAsia="es-CO"/>
        </w:rPr>
        <w:t xml:space="preserve"> representa a una empresa que conforma el oferente plural y </w:t>
      </w:r>
      <w:r w:rsidRPr="006C0528">
        <w:rPr>
          <w:rFonts w:ascii="Cambria Math" w:hAnsi="Cambria Math" w:cs="Cambria Math"/>
          <w:bCs/>
          <w:color w:val="000000"/>
          <w:lang w:val="es-MX" w:eastAsia="es-CO"/>
        </w:rPr>
        <w:t>𝑛</w:t>
      </w:r>
      <w:r w:rsidRPr="006C0528">
        <w:rPr>
          <w:rFonts w:ascii="Verdana" w:hAnsi="Verdana"/>
          <w:bCs/>
          <w:color w:val="000000"/>
          <w:lang w:val="es-MX" w:eastAsia="es-CO"/>
        </w:rPr>
        <w:t xml:space="preserve"> es el número total de empresas integrantes del oferente plural (unión temporal o consorcio). </w:t>
      </w:r>
    </w:p>
    <w:p w14:paraId="4816BF04"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Esta opción incentiva a que el integrante del proponente plural con los mejores indicadores tenga una mayor participación en dicho proponente plural.</w:t>
      </w:r>
    </w:p>
    <w:p w14:paraId="2BAACBF4" w14:textId="77777777" w:rsidR="004125DE" w:rsidRPr="006C0528" w:rsidRDefault="004125DE" w:rsidP="004125DE">
      <w:pPr>
        <w:pStyle w:val="Prrafodelista"/>
        <w:numPr>
          <w:ilvl w:val="0"/>
          <w:numId w:val="19"/>
        </w:numPr>
        <w:spacing w:before="120" w:after="0" w:line="276" w:lineRule="auto"/>
        <w:ind w:left="873"/>
        <w:jc w:val="both"/>
        <w:rPr>
          <w:rFonts w:ascii="Verdana" w:hAnsi="Verdana"/>
          <w:bCs/>
          <w:color w:val="000000"/>
          <w:lang w:val="es-MX" w:eastAsia="es-CO"/>
        </w:rPr>
      </w:pPr>
      <w:r w:rsidRPr="006C0528">
        <w:rPr>
          <w:rFonts w:ascii="Verdana" w:hAnsi="Verdana"/>
          <w:bCs/>
          <w:color w:val="000000"/>
          <w:lang w:val="es-MX" w:eastAsia="es-CO"/>
        </w:rPr>
        <w:t>Sumatoria simple</w:t>
      </w:r>
    </w:p>
    <w:p w14:paraId="525F1EC4"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En esta opción, se calcula el indicador del proponente plural sin tener en cuenta del porcentaje de participación de cada uno de los proponentes, como se muestra en la siguiente fórmula:</w:t>
      </w:r>
    </w:p>
    <w:p w14:paraId="262C17DA" w14:textId="77777777" w:rsidR="004125DE" w:rsidRPr="006C0528" w:rsidRDefault="004125DE" w:rsidP="004125DE">
      <w:pPr>
        <w:spacing w:before="120" w:after="0" w:line="276" w:lineRule="auto"/>
        <w:jc w:val="center"/>
        <w:rPr>
          <w:rFonts w:ascii="Verdana" w:hAnsi="Verdana"/>
          <w:bCs/>
          <w:color w:val="000000"/>
          <w:lang w:val="es-MX" w:eastAsia="es-CO"/>
        </w:rPr>
      </w:pPr>
      <w:r>
        <w:rPr>
          <w:noProof/>
        </w:rPr>
        <w:drawing>
          <wp:inline distT="0" distB="0" distL="0" distR="0" wp14:anchorId="30B4B0C5" wp14:editId="1EEE36E8">
            <wp:extent cx="5079365" cy="782461"/>
            <wp:effectExtent l="0" t="0" r="6985" b="0"/>
            <wp:docPr id="199306010"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844266" name="Imagen 1" descr="Interfaz de usuario gráfica, Texto, Aplicación, Correo electrónico&#10;&#10;El contenido generado por IA puede ser incorrecto."/>
                    <pic:cNvPicPr/>
                  </pic:nvPicPr>
                  <pic:blipFill rotWithShape="1">
                    <a:blip r:embed="rId13"/>
                    <a:srcRect l="17651" t="51922" r="17346" b="30267"/>
                    <a:stretch>
                      <a:fillRect/>
                    </a:stretch>
                  </pic:blipFill>
                  <pic:spPr bwMode="auto">
                    <a:xfrm>
                      <a:off x="0" y="0"/>
                      <a:ext cx="5118548" cy="788497"/>
                    </a:xfrm>
                    <a:prstGeom prst="rect">
                      <a:avLst/>
                    </a:prstGeom>
                    <a:ln>
                      <a:noFill/>
                    </a:ln>
                    <a:extLst>
                      <a:ext uri="{53640926-AAD7-44D8-BBD7-CCE9431645EC}">
                        <a14:shadowObscured xmlns:a14="http://schemas.microsoft.com/office/drawing/2010/main"/>
                      </a:ext>
                    </a:extLst>
                  </pic:spPr>
                </pic:pic>
              </a:graphicData>
            </a:graphic>
          </wp:inline>
        </w:drawing>
      </w:r>
    </w:p>
    <w:p w14:paraId="049BC716"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 xml:space="preserve">Donde </w:t>
      </w:r>
      <w:r w:rsidRPr="006C0528">
        <w:rPr>
          <w:rFonts w:ascii="Cambria Math" w:hAnsi="Cambria Math" w:cs="Cambria Math"/>
          <w:bCs/>
          <w:color w:val="000000"/>
          <w:lang w:val="es-MX" w:eastAsia="es-CO"/>
        </w:rPr>
        <w:t>𝑖</w:t>
      </w:r>
      <w:r w:rsidRPr="006C0528">
        <w:rPr>
          <w:rFonts w:ascii="Verdana" w:hAnsi="Verdana"/>
          <w:bCs/>
          <w:color w:val="000000"/>
          <w:lang w:val="es-MX" w:eastAsia="es-CO"/>
        </w:rPr>
        <w:t xml:space="preserve"> representa a una empresa que conforma el oferente plural y </w:t>
      </w:r>
      <w:r w:rsidRPr="006C0528">
        <w:rPr>
          <w:rFonts w:ascii="Cambria Math" w:hAnsi="Cambria Math" w:cs="Cambria Math"/>
          <w:bCs/>
          <w:color w:val="000000"/>
          <w:lang w:val="es-MX" w:eastAsia="es-CO"/>
        </w:rPr>
        <w:t>𝑛</w:t>
      </w:r>
      <w:r w:rsidRPr="006C0528">
        <w:rPr>
          <w:rFonts w:ascii="Verdana" w:hAnsi="Verdana"/>
          <w:bCs/>
          <w:color w:val="000000"/>
          <w:lang w:val="es-MX" w:eastAsia="es-CO"/>
        </w:rPr>
        <w:t xml:space="preserve"> es el número total de empresas integrantes del oferente plural (unión temporal o consorcio).</w:t>
      </w:r>
    </w:p>
    <w:p w14:paraId="67315601"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Indicadores que provienen de la división de cuentas</w:t>
      </w:r>
    </w:p>
    <w:p w14:paraId="6ABD5B59"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3.Suma de los componentes de los indicadores</w:t>
      </w:r>
      <w:r>
        <w:rPr>
          <w:rFonts w:ascii="Verdana" w:hAnsi="Verdana"/>
          <w:bCs/>
          <w:color w:val="000000"/>
          <w:lang w:val="es-MX" w:eastAsia="es-CO"/>
        </w:rPr>
        <w:t>:</w:t>
      </w:r>
    </w:p>
    <w:p w14:paraId="7D665040" w14:textId="77777777" w:rsidR="004125DE" w:rsidRPr="006C0528" w:rsidRDefault="004125DE" w:rsidP="004125DE">
      <w:pPr>
        <w:spacing w:before="120" w:after="0" w:line="276" w:lineRule="auto"/>
        <w:jc w:val="both"/>
        <w:rPr>
          <w:rFonts w:ascii="Verdana" w:hAnsi="Verdana"/>
          <w:bCs/>
          <w:color w:val="000000"/>
          <w:lang w:val="es-MX" w:eastAsia="es-CO"/>
        </w:rPr>
      </w:pPr>
      <w:r w:rsidRPr="006C0528">
        <w:rPr>
          <w:rFonts w:ascii="Verdana" w:hAnsi="Verdana"/>
          <w:bCs/>
          <w:color w:val="000000"/>
          <w:lang w:val="es-MX" w:eastAsia="es-CO"/>
        </w:rPr>
        <w:t>En esta opción cada uno de los integrantes del oferente aporta al valor total de cada componente del indicador en la misma proporción. En los indicadores que se calculan por medio de una división, los componentes son el numerador y el denominador de la operación, como se muestra en la siguiente expresión:</w:t>
      </w:r>
    </w:p>
    <w:p w14:paraId="5921AF2B" w14:textId="77777777" w:rsidR="004125DE" w:rsidRDefault="004125DE" w:rsidP="004125DE">
      <w:pPr>
        <w:spacing w:before="120" w:line="276" w:lineRule="auto"/>
        <w:jc w:val="center"/>
        <w:rPr>
          <w:rFonts w:ascii="Verdana" w:hAnsi="Verdana"/>
          <w:bCs/>
          <w:color w:val="000000"/>
          <w:lang w:val="es-MX" w:eastAsia="es-CO"/>
        </w:rPr>
      </w:pPr>
      <w:r>
        <w:rPr>
          <w:noProof/>
        </w:rPr>
        <w:drawing>
          <wp:inline distT="0" distB="0" distL="0" distR="0" wp14:anchorId="33BD24BE" wp14:editId="7A376B48">
            <wp:extent cx="4653643" cy="428625"/>
            <wp:effectExtent l="0" t="0" r="0" b="0"/>
            <wp:docPr id="1409562363"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283280" name="Imagen 1" descr="Interfaz de usuario gráfica, Texto, Aplicación, Correo electrónico&#10;&#10;El contenido generado por IA puede ser incorrecto."/>
                    <pic:cNvPicPr/>
                  </pic:nvPicPr>
                  <pic:blipFill rotWithShape="1">
                    <a:blip r:embed="rId14"/>
                    <a:srcRect l="17822" t="57356" r="17685" b="32078"/>
                    <a:stretch>
                      <a:fillRect/>
                    </a:stretch>
                  </pic:blipFill>
                  <pic:spPr bwMode="auto">
                    <a:xfrm>
                      <a:off x="0" y="0"/>
                      <a:ext cx="4658802" cy="429100"/>
                    </a:xfrm>
                    <a:prstGeom prst="rect">
                      <a:avLst/>
                    </a:prstGeom>
                    <a:ln>
                      <a:noFill/>
                    </a:ln>
                    <a:extLst>
                      <a:ext uri="{53640926-AAD7-44D8-BBD7-CCE9431645EC}">
                        <a14:shadowObscured xmlns:a14="http://schemas.microsoft.com/office/drawing/2010/main"/>
                      </a:ext>
                    </a:extLst>
                  </pic:spPr>
                </pic:pic>
              </a:graphicData>
            </a:graphic>
          </wp:inline>
        </w:drawing>
      </w:r>
    </w:p>
    <w:p w14:paraId="7C49F1A3"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 xml:space="preserve">Donde </w:t>
      </w:r>
      <w:r w:rsidRPr="006C0528">
        <w:rPr>
          <w:rFonts w:ascii="Cambria Math" w:hAnsi="Cambria Math" w:cs="Cambria Math"/>
          <w:bCs/>
          <w:color w:val="000000"/>
          <w:lang w:val="es-MX" w:eastAsia="es-CO"/>
        </w:rPr>
        <w:t>𝑖</w:t>
      </w:r>
      <w:r w:rsidRPr="006C0528">
        <w:rPr>
          <w:rFonts w:ascii="Verdana" w:hAnsi="Verdana"/>
          <w:bCs/>
          <w:color w:val="000000"/>
          <w:lang w:val="es-MX" w:eastAsia="es-CO"/>
        </w:rPr>
        <w:t xml:space="preserve"> representa a una empresa que conforma el oferente plural y </w:t>
      </w:r>
      <w:r w:rsidRPr="006C0528">
        <w:rPr>
          <w:rFonts w:ascii="Cambria Math" w:hAnsi="Cambria Math" w:cs="Cambria Math"/>
          <w:bCs/>
          <w:color w:val="000000"/>
          <w:lang w:val="es-MX" w:eastAsia="es-CO"/>
        </w:rPr>
        <w:t>𝑛</w:t>
      </w:r>
      <w:r w:rsidRPr="006C0528">
        <w:rPr>
          <w:rFonts w:ascii="Verdana" w:hAnsi="Verdana"/>
          <w:bCs/>
          <w:color w:val="000000"/>
          <w:lang w:val="es-MX" w:eastAsia="es-CO"/>
        </w:rPr>
        <w:t xml:space="preserve"> es el número total de empresas integrantes del oferente plural (unión temporal o consorcio). En esta opción, el indicador es el mismo independientemente de la participación de los integrantes del oferente plural.</w:t>
      </w:r>
    </w:p>
    <w:p w14:paraId="3BC8056F"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4.Ponderación de los componentes de los indicadores</w:t>
      </w:r>
    </w:p>
    <w:p w14:paraId="038539B0"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En esta opción cada uno de los integrantes del oferente aporta al valor total del componente del indicador proporcionalmente con su participación en la figura, esto es, unión temporal o consorcio. La siguiente es la fórmula aplicable:</w:t>
      </w:r>
    </w:p>
    <w:p w14:paraId="2902B78E" w14:textId="77777777" w:rsidR="004125DE" w:rsidRPr="006C0528" w:rsidRDefault="004125DE" w:rsidP="004125DE">
      <w:pPr>
        <w:spacing w:before="120" w:after="0" w:line="276" w:lineRule="auto"/>
        <w:jc w:val="center"/>
        <w:rPr>
          <w:rFonts w:ascii="Verdana" w:hAnsi="Verdana"/>
          <w:bCs/>
          <w:color w:val="000000"/>
          <w:lang w:val="es-MX" w:eastAsia="es-CO"/>
        </w:rPr>
      </w:pPr>
      <w:r>
        <w:rPr>
          <w:noProof/>
        </w:rPr>
        <w:drawing>
          <wp:inline distT="0" distB="0" distL="0" distR="0" wp14:anchorId="3B1B9654" wp14:editId="2C62E105">
            <wp:extent cx="4691418" cy="838200"/>
            <wp:effectExtent l="0" t="0" r="0" b="0"/>
            <wp:docPr id="4942713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105110" name=""/>
                    <pic:cNvPicPr/>
                  </pic:nvPicPr>
                  <pic:blipFill rotWithShape="1">
                    <a:blip r:embed="rId15"/>
                    <a:srcRect l="18330" t="56148" r="18025" b="23626"/>
                    <a:stretch>
                      <a:fillRect/>
                    </a:stretch>
                  </pic:blipFill>
                  <pic:spPr bwMode="auto">
                    <a:xfrm>
                      <a:off x="0" y="0"/>
                      <a:ext cx="4693694" cy="838607"/>
                    </a:xfrm>
                    <a:prstGeom prst="rect">
                      <a:avLst/>
                    </a:prstGeom>
                    <a:ln>
                      <a:noFill/>
                    </a:ln>
                    <a:extLst>
                      <a:ext uri="{53640926-AAD7-44D8-BBD7-CCE9431645EC}">
                        <a14:shadowObscured xmlns:a14="http://schemas.microsoft.com/office/drawing/2010/main"/>
                      </a:ext>
                    </a:extLst>
                  </pic:spPr>
                </pic:pic>
              </a:graphicData>
            </a:graphic>
          </wp:inline>
        </w:drawing>
      </w:r>
    </w:p>
    <w:p w14:paraId="68489947" w14:textId="77777777" w:rsidR="004125DE" w:rsidRPr="006C0528" w:rsidRDefault="004125DE" w:rsidP="004125DE">
      <w:pPr>
        <w:spacing w:before="120" w:after="0" w:line="276" w:lineRule="auto"/>
        <w:jc w:val="both"/>
        <w:rPr>
          <w:rFonts w:ascii="Verdana" w:hAnsi="Verdana"/>
          <w:bCs/>
          <w:color w:val="000000"/>
          <w:lang w:val="es-MX" w:eastAsia="es-CO"/>
        </w:rPr>
      </w:pPr>
      <w:r w:rsidRPr="006C0528">
        <w:rPr>
          <w:rFonts w:ascii="Verdana" w:hAnsi="Verdana"/>
          <w:bCs/>
          <w:color w:val="000000"/>
          <w:lang w:val="es-MX" w:eastAsia="es-CO"/>
        </w:rPr>
        <w:t xml:space="preserve"> </w:t>
      </w:r>
      <w:r>
        <w:rPr>
          <w:rFonts w:ascii="Verdana" w:hAnsi="Verdana"/>
          <w:bCs/>
          <w:color w:val="000000"/>
          <w:lang w:val="es-MX" w:eastAsia="es-CO"/>
        </w:rPr>
        <w:t xml:space="preserve">       </w:t>
      </w:r>
      <w:r w:rsidRPr="006C0528">
        <w:rPr>
          <w:rFonts w:ascii="Verdana" w:hAnsi="Verdana"/>
          <w:bCs/>
          <w:color w:val="000000"/>
          <w:lang w:val="es-MX" w:eastAsia="es-CO"/>
        </w:rPr>
        <w:t xml:space="preserve">Donde </w:t>
      </w:r>
      <w:r w:rsidRPr="006C0528">
        <w:rPr>
          <w:rFonts w:ascii="Cambria Math" w:hAnsi="Cambria Math" w:cs="Cambria Math"/>
          <w:bCs/>
          <w:color w:val="000000"/>
          <w:lang w:val="es-MX" w:eastAsia="es-CO"/>
        </w:rPr>
        <w:t>𝑖</w:t>
      </w:r>
      <w:r w:rsidRPr="006C0528">
        <w:rPr>
          <w:rFonts w:ascii="Verdana" w:hAnsi="Verdana"/>
          <w:bCs/>
          <w:color w:val="000000"/>
          <w:lang w:val="es-MX" w:eastAsia="es-CO"/>
        </w:rPr>
        <w:t xml:space="preserve"> representa a una empresa que conforma el oferente plural y </w:t>
      </w:r>
      <w:r w:rsidRPr="006C0528">
        <w:rPr>
          <w:rFonts w:ascii="Cambria Math" w:hAnsi="Cambria Math" w:cs="Cambria Math"/>
          <w:bCs/>
          <w:color w:val="000000"/>
          <w:lang w:val="es-MX" w:eastAsia="es-CO"/>
        </w:rPr>
        <w:t>𝑛</w:t>
      </w:r>
      <w:r w:rsidRPr="006C0528">
        <w:rPr>
          <w:rFonts w:ascii="Verdana" w:hAnsi="Verdana"/>
          <w:bCs/>
          <w:color w:val="000000"/>
          <w:lang w:val="es-MX" w:eastAsia="es-CO"/>
        </w:rPr>
        <w:t xml:space="preserve"> es el número total de empresas integrantes del oferente plural (unión temporal o consorcio). Esta opción incentiva a que el integrante del proponente plural con los mejores indicadores tenga una mayor participación en dicho proponente plural.</w:t>
      </w:r>
    </w:p>
    <w:p w14:paraId="442D18B4"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Como se evidencia, las opciones sugeridas en el manual están pensadas para calcular los indicadores de los proponentes plurales teniendo o no en cuenta el porcentaje de participación de cada uno de los integrantes; así mismo, para cada alternativa, se establece una metodología específica dependiendo si el indicador objeto de evaluación corresponde a un indicador expresado en valores monetarios o a un indicador que proviene de la división de cuentas.</w:t>
      </w:r>
    </w:p>
    <w:p w14:paraId="1119780D" w14:textId="77777777" w:rsidR="004125DE" w:rsidRPr="006C0528" w:rsidRDefault="004125DE" w:rsidP="004125DE">
      <w:pPr>
        <w:spacing w:before="120" w:after="0" w:line="276" w:lineRule="auto"/>
        <w:jc w:val="both"/>
        <w:rPr>
          <w:rFonts w:ascii="Verdana" w:hAnsi="Verdana"/>
          <w:bCs/>
          <w:color w:val="000000"/>
          <w:lang w:val="es-MX" w:eastAsia="es-CO"/>
        </w:rPr>
      </w:pPr>
      <w:r>
        <w:rPr>
          <w:rFonts w:ascii="Verdana" w:hAnsi="Verdana"/>
          <w:bCs/>
          <w:color w:val="000000"/>
          <w:lang w:val="es-MX" w:eastAsia="es-CO"/>
        </w:rPr>
        <w:t xml:space="preserve">       </w:t>
      </w:r>
      <w:r w:rsidRPr="006C0528">
        <w:rPr>
          <w:rFonts w:ascii="Verdana" w:hAnsi="Verdana"/>
          <w:bCs/>
          <w:color w:val="000000"/>
          <w:lang w:val="es-MX" w:eastAsia="es-CO"/>
        </w:rPr>
        <w:t>Es importante resaltar que la alternativa utilizada deberá ser definida por la Entidad que estructura el proceso, y ésta deberá ser señalada de forma clara en los estudios previos y pliegos de condiciones. Por lo tanto, si un proceso de selección se solicitan requisitos habilitantes de Capacidad Financiera y Organizacional que integran indicadores expresados en valores monetarios y aquellos que provienen de la división de cuentas, se debe incluir la metodología de cálculo para cada uno de ellos de forma precisa y clara.</w:t>
      </w:r>
    </w:p>
    <w:p w14:paraId="191F4937" w14:textId="77777777" w:rsidR="004125DE" w:rsidRDefault="004125DE" w:rsidP="004125DE">
      <w:pPr>
        <w:spacing w:before="120" w:line="276" w:lineRule="auto"/>
        <w:jc w:val="both"/>
        <w:rPr>
          <w:rFonts w:ascii="Verdana" w:hAnsi="Verdana"/>
          <w:bCs/>
          <w:color w:val="000000"/>
          <w:lang w:val="es-MX" w:eastAsia="es-CO"/>
        </w:rPr>
      </w:pPr>
      <w:r>
        <w:rPr>
          <w:rFonts w:ascii="Verdana" w:hAnsi="Verdana"/>
          <w:bCs/>
          <w:color w:val="000000"/>
          <w:lang w:val="es-MX" w:eastAsia="es-CO"/>
        </w:rPr>
        <w:t xml:space="preserve">          De igual manera</w:t>
      </w:r>
      <w:r w:rsidRPr="006C0528">
        <w:rPr>
          <w:rFonts w:ascii="Verdana" w:hAnsi="Verdana"/>
          <w:bCs/>
          <w:color w:val="000000"/>
          <w:lang w:val="es-MX" w:eastAsia="es-CO"/>
        </w:rPr>
        <w:t>, vale la pena resaltar que en la parte final del numeral 5.4. del Manual, se presentan ejemplos que ilustran el cálculo de los indicadores de capacidad financiera de un oferente plural conforme con cada una de las metodologías anteriormente expuestas.</w:t>
      </w:r>
    </w:p>
    <w:p w14:paraId="60488930" w14:textId="77777777" w:rsidR="004125DE" w:rsidRPr="00DB4737" w:rsidRDefault="004125DE" w:rsidP="004125DE">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9C3D7D8" w14:textId="77777777" w:rsidR="004125DE" w:rsidRDefault="004125DE" w:rsidP="004125DE">
      <w:pPr>
        <w:spacing w:after="0" w:line="276" w:lineRule="auto"/>
        <w:jc w:val="both"/>
        <w:rPr>
          <w:rFonts w:ascii="Verdana" w:eastAsia="Calibri" w:hAnsi="Verdana" w:cs="Arial"/>
          <w:lang w:val="es-MX"/>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93C5867" w14:textId="77777777" w:rsidR="004125DE" w:rsidRDefault="004125DE" w:rsidP="004125DE">
      <w:pPr>
        <w:spacing w:after="0" w:line="276" w:lineRule="auto"/>
        <w:jc w:val="both"/>
        <w:rPr>
          <w:rFonts w:ascii="Verdana" w:eastAsia="Calibri" w:hAnsi="Verdana" w:cs="Arial"/>
          <w:lang w:val="es-MX"/>
        </w:rPr>
      </w:pPr>
    </w:p>
    <w:p w14:paraId="2B184694" w14:textId="77777777" w:rsidR="004125DE" w:rsidRPr="003A380F" w:rsidRDefault="004125DE" w:rsidP="004125DE">
      <w:pPr>
        <w:spacing w:after="12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D586977" w14:textId="77777777" w:rsidR="004125DE" w:rsidRDefault="004125DE" w:rsidP="004125DE">
      <w:pPr>
        <w:spacing w:after="120" w:line="276" w:lineRule="auto"/>
        <w:jc w:val="both"/>
        <w:rPr>
          <w:rFonts w:ascii="Verdana" w:hAnsi="Verdana" w:cs="Arial"/>
          <w:color w:val="000000" w:themeColor="text1"/>
          <w:lang w:val="es-ES_tradnl"/>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23D2E1EF" w14:textId="77777777" w:rsidR="004125DE" w:rsidRDefault="004125DE" w:rsidP="004125DE">
      <w:pPr>
        <w:spacing w:after="120" w:line="276" w:lineRule="auto"/>
        <w:jc w:val="both"/>
        <w:rPr>
          <w:rFonts w:ascii="Verdana" w:hAnsi="Verdana" w:cs="Arial"/>
          <w:color w:val="000000" w:themeColor="text1"/>
          <w:lang w:val="es-ES_tradnl"/>
        </w:rPr>
      </w:pPr>
    </w:p>
    <w:p w14:paraId="6C325049" w14:textId="77777777" w:rsidR="004125DE" w:rsidRPr="0060676F" w:rsidRDefault="004125DE" w:rsidP="004125DE">
      <w:pPr>
        <w:spacing w:after="120" w:line="276" w:lineRule="auto"/>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613EDEC7" w14:textId="77777777" w:rsidR="004125DE" w:rsidRPr="00593A5F" w:rsidRDefault="004125DE" w:rsidP="004125D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125DE" w:rsidRPr="00593A5F" w14:paraId="75A9DAFB" w14:textId="77777777" w:rsidTr="00030816">
        <w:trPr>
          <w:trHeight w:val="870"/>
        </w:trPr>
        <w:tc>
          <w:tcPr>
            <w:tcW w:w="8647" w:type="dxa"/>
          </w:tcPr>
          <w:p w14:paraId="43F5659D" w14:textId="77777777" w:rsidR="004125DE" w:rsidRPr="00762B49" w:rsidRDefault="004125DE" w:rsidP="00030816">
            <w:pPr>
              <w:widowControl w:val="0"/>
              <w:numPr>
                <w:ilvl w:val="0"/>
                <w:numId w:val="17"/>
              </w:numPr>
              <w:tabs>
                <w:tab w:val="left" w:pos="8419"/>
              </w:tabs>
              <w:autoSpaceDE w:val="0"/>
              <w:autoSpaceDN w:val="0"/>
              <w:spacing w:after="120" w:line="276" w:lineRule="auto"/>
              <w:ind w:left="357" w:hanging="357"/>
              <w:jc w:val="both"/>
              <w:rPr>
                <w:rFonts w:ascii="Verdana" w:eastAsia="Calibri" w:hAnsi="Verdana" w:cs="Arial"/>
                <w:color w:val="000000"/>
                <w:lang w:val="es-ES"/>
              </w:rPr>
            </w:pPr>
            <w:r w:rsidRPr="00762B49">
              <w:rPr>
                <w:rFonts w:ascii="Verdana" w:eastAsia="Calibri" w:hAnsi="Verdana" w:cs="Arial"/>
                <w:color w:val="000000"/>
                <w:lang w:val="es-ES"/>
              </w:rPr>
              <w:t>Ley 1150 de 2007, artículo 5 y 6.</w:t>
            </w:r>
          </w:p>
          <w:p w14:paraId="38481266" w14:textId="77777777" w:rsidR="004125DE" w:rsidRPr="00CD0A5B" w:rsidRDefault="004125DE" w:rsidP="00030816">
            <w:pPr>
              <w:widowControl w:val="0"/>
              <w:numPr>
                <w:ilvl w:val="0"/>
                <w:numId w:val="17"/>
              </w:numPr>
              <w:tabs>
                <w:tab w:val="left" w:pos="8419"/>
              </w:tabs>
              <w:autoSpaceDE w:val="0"/>
              <w:autoSpaceDN w:val="0"/>
              <w:spacing w:after="120" w:line="276" w:lineRule="auto"/>
              <w:ind w:left="357" w:hanging="357"/>
              <w:jc w:val="both"/>
              <w:rPr>
                <w:rFonts w:ascii="Verdana" w:eastAsia="Calibri" w:hAnsi="Verdana" w:cs="Arial"/>
                <w:color w:val="000000"/>
                <w:lang w:val="es-ES"/>
              </w:rPr>
            </w:pPr>
            <w:r w:rsidRPr="00762B49">
              <w:rPr>
                <w:rFonts w:ascii="Verdana" w:eastAsia="Calibri" w:hAnsi="Verdana" w:cs="Arial"/>
                <w:color w:val="000000"/>
                <w:lang w:val="es-ES"/>
              </w:rPr>
              <w:t xml:space="preserve">Decreto 1082 de 2015, artículos 2.2.1.1.1.5.2, 2.2.1.1.1.5.3, </w:t>
            </w:r>
            <w:r w:rsidRPr="00762B49">
              <w:rPr>
                <w:rFonts w:ascii="Verdana" w:eastAsia="Calibri" w:hAnsi="Verdana" w:cs="Arial"/>
                <w:color w:val="000000" w:themeColor="text1"/>
                <w:lang w:val="es-ES"/>
              </w:rPr>
              <w:t>2.2.1.1.1.6.2.</w:t>
            </w:r>
          </w:p>
          <w:p w14:paraId="3FF6AF24" w14:textId="77777777" w:rsidR="004125DE" w:rsidRPr="00696242" w:rsidRDefault="004125DE" w:rsidP="00030816">
            <w:pPr>
              <w:widowControl w:val="0"/>
              <w:numPr>
                <w:ilvl w:val="0"/>
                <w:numId w:val="17"/>
              </w:numPr>
              <w:tabs>
                <w:tab w:val="left" w:pos="8419"/>
              </w:tabs>
              <w:autoSpaceDE w:val="0"/>
              <w:autoSpaceDN w:val="0"/>
              <w:spacing w:after="120" w:line="276" w:lineRule="auto"/>
              <w:ind w:left="357" w:hanging="357"/>
              <w:jc w:val="both"/>
              <w:rPr>
                <w:rFonts w:ascii="Verdana" w:eastAsia="Calibri" w:hAnsi="Verdana" w:cs="Arial"/>
                <w:color w:val="000000"/>
                <w:lang w:val="es-ES"/>
              </w:rPr>
            </w:pPr>
            <w:r w:rsidRPr="00CD0A5B">
              <w:rPr>
                <w:rFonts w:ascii="Verdana" w:eastAsia="Calibri" w:hAnsi="Verdana" w:cs="Arial"/>
                <w:color w:val="000000"/>
                <w:lang w:val="es-ES_tradnl" w:eastAsia="es-ES_tradnl"/>
              </w:rPr>
              <w:t>Agencia Nacional de Contratación Pública – Colombia Compra Eficiente, “Manual para determinar y verificar los requisitos habilitantes en los Procesos de Contratación”.</w:t>
            </w:r>
          </w:p>
        </w:tc>
      </w:tr>
    </w:tbl>
    <w:p w14:paraId="1042C666" w14:textId="77777777" w:rsidR="004125DE" w:rsidRDefault="004125DE" w:rsidP="004125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CC1EA3A" w14:textId="77777777" w:rsidR="004125DE" w:rsidRDefault="004125DE" w:rsidP="004125DE">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643B598" w14:textId="77777777" w:rsidR="004125DE" w:rsidRPr="00593A5F" w:rsidRDefault="004125DE" w:rsidP="004125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E9A723E" w14:textId="77777777" w:rsidR="004125DE" w:rsidRPr="00AE7E03" w:rsidRDefault="004125DE" w:rsidP="004125DE">
      <w:pPr>
        <w:widowControl w:val="0"/>
        <w:autoSpaceDE w:val="0"/>
        <w:autoSpaceDN w:val="0"/>
        <w:spacing w:after="120" w:line="276" w:lineRule="auto"/>
        <w:jc w:val="both"/>
        <w:rPr>
          <w:rFonts w:ascii="Verdana" w:eastAsia="Arial" w:hAnsi="Verdana" w:cs="Arial"/>
          <w:lang w:val="es-MX" w:eastAsia="es-ES"/>
        </w:rPr>
      </w:pPr>
      <w:r w:rsidRPr="005F0A61">
        <w:rPr>
          <w:rFonts w:ascii="Verdana" w:hAnsi="Verdana" w:cs="Arial"/>
          <w:color w:val="000000" w:themeColor="text1"/>
          <w:shd w:val="clear" w:color="auto" w:fill="FFFFFF"/>
          <w:lang w:val="es-ES"/>
        </w:rPr>
        <w:t>La Agencia Nacional de Contratación Pública – Colombia Compra Eficiente se ha referido a la acreditación de requisitos habilitantes y la capacidad financiera en los conceptos con radicado No. 2201913000007980 del 24 de octubre de 2019,</w:t>
      </w:r>
      <w:r w:rsidRPr="005F0A61">
        <w:rPr>
          <w:rFonts w:ascii="Verdana" w:hAnsi="Verdana"/>
          <w:lang w:val="es-ES"/>
        </w:rPr>
        <w:t xml:space="preserve"> C-868 del 19 de diciembre de 2022, C-877 del 26 de diciembre de 2022, </w:t>
      </w:r>
      <w:r w:rsidRPr="005F0A61">
        <w:rPr>
          <w:rFonts w:ascii="Verdana" w:hAnsi="Verdana" w:cs="Arial"/>
          <w:color w:val="000000" w:themeColor="text1"/>
          <w:shd w:val="clear" w:color="auto" w:fill="FFFFFF"/>
          <w:lang w:val="es-ES"/>
        </w:rPr>
        <w:t xml:space="preserve"> </w:t>
      </w:r>
      <w:r w:rsidRPr="005F0A61">
        <w:rPr>
          <w:rFonts w:ascii="Verdana" w:hAnsi="Verdana"/>
          <w:lang w:val="es-ES"/>
        </w:rPr>
        <w:t xml:space="preserve">C-417 del 27 de septiembre de 2023 ,C-432 del 23 de octubre de 2023, C-174 del 23 de julio de 2024, </w:t>
      </w:r>
      <w:r w:rsidRPr="005F0A61">
        <w:rPr>
          <w:rFonts w:ascii="Verdana" w:eastAsia="Calibri" w:hAnsi="Verdana" w:cs="Arial"/>
          <w:lang w:val="es-ES" w:eastAsia="es-ES_tradnl"/>
        </w:rPr>
        <w:t xml:space="preserve">C- 530 del 4 de octubre de 2024, C-595 del 24 de octubre 2024, </w:t>
      </w:r>
      <w:r w:rsidRPr="005F0A61">
        <w:rPr>
          <w:rFonts w:ascii="Verdana" w:eastAsia="Calibri" w:hAnsi="Verdana" w:cs="Arial"/>
          <w:lang w:val="es-ES" w:eastAsia="es-ES"/>
        </w:rPr>
        <w:t xml:space="preserve">C-648 del 6 de noviembre 2024, </w:t>
      </w:r>
      <w:r>
        <w:rPr>
          <w:rFonts w:ascii="Verdana" w:eastAsia="Calibri" w:hAnsi="Verdana" w:cs="Arial"/>
          <w:lang w:val="es-ES" w:eastAsia="es-ES"/>
        </w:rPr>
        <w:t xml:space="preserve">C-688 del 19 de noviembre de 2024, </w:t>
      </w:r>
      <w:r w:rsidRPr="005F0A61">
        <w:rPr>
          <w:rFonts w:ascii="Verdana" w:eastAsia="Calibri" w:hAnsi="Verdana" w:cs="Arial"/>
          <w:lang w:val="es-ES" w:eastAsia="es-ES"/>
        </w:rPr>
        <w:t>C-615 del 10 de junio de 2025</w:t>
      </w:r>
      <w:r>
        <w:rPr>
          <w:rFonts w:ascii="Verdana" w:eastAsia="Calibri" w:hAnsi="Verdana" w:cs="Arial"/>
          <w:lang w:val="es-ES" w:eastAsia="es-ES"/>
        </w:rPr>
        <w:t>, C-1084 de 2025, C-1169 del 30 de septiembre de 2025 y C-1248 del 10 de octubre de 2025</w:t>
      </w:r>
      <w:r w:rsidRPr="002934C4">
        <w:rPr>
          <w:rFonts w:ascii="Verdana" w:hAnsi="Verdana" w:cs="Arial"/>
          <w:shd w:val="clear" w:color="auto" w:fill="FFFFFF"/>
        </w:rPr>
        <w:t xml:space="preserve">. </w:t>
      </w:r>
      <w:r w:rsidRPr="002934C4">
        <w:rPr>
          <w:rFonts w:ascii="Verdana" w:eastAsia="Calibri" w:hAnsi="Verdana" w:cs="Times New Roman"/>
        </w:rPr>
        <w:t>Estos se encuentran disponibles</w:t>
      </w:r>
      <w:r w:rsidRPr="00185EE9">
        <w:rPr>
          <w:rFonts w:ascii="Verdana" w:eastAsia="Calibri" w:hAnsi="Verdana" w:cs="Times New Roman"/>
        </w:rPr>
        <w:t xml:space="preserve">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61D8F31" w14:textId="77777777" w:rsidR="004125DE" w:rsidRPr="0065720B" w:rsidRDefault="004125DE" w:rsidP="004125DE">
      <w:pPr>
        <w:widowControl w:val="0"/>
        <w:autoSpaceDE w:val="0"/>
        <w:autoSpaceDN w:val="0"/>
        <w:spacing w:after="0" w:line="276" w:lineRule="auto"/>
        <w:jc w:val="both"/>
        <w:rPr>
          <w:rStyle w:val="normaltextrun"/>
          <w:rFonts w:ascii="Verdana" w:eastAsia="Calibri" w:hAnsi="Verdana" w:cs="Arial"/>
          <w:lang w:val="es-ES_tradnl" w:eastAsia="en-GB"/>
        </w:rPr>
      </w:pPr>
      <w:hyperlink r:id="rId16"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070AF60A" w14:textId="77777777" w:rsidR="004125DE" w:rsidRPr="00505CD6" w:rsidRDefault="004125DE" w:rsidP="004125DE">
      <w:pPr>
        <w:widowControl w:val="0"/>
        <w:autoSpaceDE w:val="0"/>
        <w:autoSpaceDN w:val="0"/>
        <w:spacing w:after="0" w:line="276" w:lineRule="auto"/>
        <w:jc w:val="both"/>
        <w:rPr>
          <w:rFonts w:ascii="Verdana" w:hAnsi="Verdana" w:cs="Arial"/>
          <w:color w:val="000000" w:themeColor="text1"/>
          <w:shd w:val="clear" w:color="auto" w:fill="FFFFFF"/>
        </w:rPr>
      </w:pPr>
    </w:p>
    <w:p w14:paraId="4A8D89B1" w14:textId="77777777" w:rsidR="004125DE" w:rsidRPr="00103B90" w:rsidRDefault="004125DE" w:rsidP="004125DE">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32E81DA6" w14:textId="77777777" w:rsidR="004125DE" w:rsidRPr="00103B90" w:rsidRDefault="004125DE" w:rsidP="004125DE">
      <w:pPr>
        <w:widowControl w:val="0"/>
        <w:autoSpaceDE w:val="0"/>
        <w:autoSpaceDN w:val="0"/>
        <w:spacing w:after="0" w:line="276" w:lineRule="auto"/>
        <w:jc w:val="both"/>
        <w:rPr>
          <w:rFonts w:ascii="Verdana" w:hAnsi="Verdana"/>
        </w:rPr>
      </w:pPr>
    </w:p>
    <w:p w14:paraId="0DC634B0" w14:textId="77777777" w:rsidR="004125DE" w:rsidRPr="00505CD6" w:rsidRDefault="004125DE" w:rsidP="004125DE">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07DFED14" w14:textId="77777777" w:rsidR="004125DE" w:rsidRPr="00505CD6" w:rsidRDefault="004125DE" w:rsidP="004125DE">
      <w:pPr>
        <w:widowControl w:val="0"/>
        <w:autoSpaceDE w:val="0"/>
        <w:autoSpaceDN w:val="0"/>
        <w:spacing w:after="0" w:line="276" w:lineRule="auto"/>
        <w:jc w:val="both"/>
        <w:rPr>
          <w:rFonts w:ascii="Verdana" w:hAnsi="Verdana" w:cs="Arial"/>
        </w:rPr>
      </w:pPr>
    </w:p>
    <w:p w14:paraId="3496C107" w14:textId="77777777" w:rsidR="004125DE" w:rsidRDefault="004125DE" w:rsidP="004125DE">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677FC31" w14:textId="77777777" w:rsidR="004125DE" w:rsidRDefault="004125DE" w:rsidP="004125DE">
      <w:pPr>
        <w:spacing w:line="276" w:lineRule="auto"/>
        <w:jc w:val="center"/>
        <w:rPr>
          <w:noProof/>
        </w:rPr>
      </w:pPr>
    </w:p>
    <w:p w14:paraId="1412A4B1" w14:textId="724290E5" w:rsidR="004125DE" w:rsidRDefault="004125DE" w:rsidP="004125DE">
      <w:pPr>
        <w:spacing w:line="276" w:lineRule="auto"/>
        <w:jc w:val="center"/>
        <w:rPr>
          <w:noProof/>
        </w:rPr>
      </w:pPr>
    </w:p>
    <w:p w14:paraId="4C108F93" w14:textId="42D29576" w:rsidR="00075EA3" w:rsidRDefault="00075EA3" w:rsidP="004125DE">
      <w:pPr>
        <w:spacing w:line="276" w:lineRule="auto"/>
        <w:jc w:val="center"/>
        <w:rPr>
          <w:noProof/>
        </w:rPr>
      </w:pPr>
      <w:r>
        <w:rPr>
          <w:noProof/>
        </w:rPr>
        <w:drawing>
          <wp:inline distT="0" distB="0" distL="0" distR="0" wp14:anchorId="6A22ECB9" wp14:editId="04F6BB36">
            <wp:extent cx="3573780" cy="1534162"/>
            <wp:effectExtent l="0" t="0" r="7620" b="8890"/>
            <wp:docPr id="213779037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93802" cy="1542757"/>
                    </a:xfrm>
                    <a:prstGeom prst="rect">
                      <a:avLst/>
                    </a:prstGeom>
                    <a:noFill/>
                    <a:ln>
                      <a:noFill/>
                    </a:ln>
                  </pic:spPr>
                </pic:pic>
              </a:graphicData>
            </a:graphic>
          </wp:inline>
        </w:drawing>
      </w:r>
    </w:p>
    <w:p w14:paraId="364B8EA5" w14:textId="77777777" w:rsidR="00075EA3" w:rsidRDefault="00075EA3" w:rsidP="004125DE">
      <w:pPr>
        <w:spacing w:line="276" w:lineRule="auto"/>
        <w:jc w:val="center"/>
        <w:rPr>
          <w:noProof/>
        </w:rPr>
      </w:pPr>
    </w:p>
    <w:p w14:paraId="633F5831" w14:textId="77777777" w:rsidR="00075EA3" w:rsidRDefault="00075EA3" w:rsidP="004125DE">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125DE" w:rsidRPr="00593A5F" w14:paraId="5535F7B6" w14:textId="77777777" w:rsidTr="00030816">
        <w:trPr>
          <w:trHeight w:val="315"/>
        </w:trPr>
        <w:tc>
          <w:tcPr>
            <w:tcW w:w="893" w:type="dxa"/>
            <w:vAlign w:val="center"/>
            <w:hideMark/>
          </w:tcPr>
          <w:p w14:paraId="2A44D951" w14:textId="77777777" w:rsidR="004125DE" w:rsidRPr="003751C7" w:rsidRDefault="004125DE" w:rsidP="00030816">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E51C90D" w14:textId="1E93EA1F" w:rsidR="004125DE" w:rsidRPr="007911EE" w:rsidRDefault="004125DE" w:rsidP="00030816">
            <w:pPr>
              <w:contextualSpacing/>
              <w:rPr>
                <w:rFonts w:ascii="Verdana" w:hAnsi="Verdana"/>
                <w:sz w:val="16"/>
                <w:szCs w:val="16"/>
              </w:rPr>
            </w:pPr>
            <w:r>
              <w:rPr>
                <w:rFonts w:ascii="Verdana" w:hAnsi="Verdana"/>
                <w:sz w:val="16"/>
                <w:szCs w:val="16"/>
              </w:rPr>
              <w:t>Daniel Eduardo Rojas Poveda</w:t>
            </w:r>
          </w:p>
          <w:p w14:paraId="129ABC49" w14:textId="77777777" w:rsidR="004125DE" w:rsidRPr="007911EE" w:rsidRDefault="004125DE" w:rsidP="00030816">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4125DE" w:rsidRPr="00593A5F" w14:paraId="77037DF6" w14:textId="77777777" w:rsidTr="00030816">
        <w:trPr>
          <w:trHeight w:val="330"/>
        </w:trPr>
        <w:tc>
          <w:tcPr>
            <w:tcW w:w="893" w:type="dxa"/>
            <w:vAlign w:val="center"/>
            <w:hideMark/>
          </w:tcPr>
          <w:p w14:paraId="126CEDFE" w14:textId="77777777" w:rsidR="004125DE" w:rsidRPr="003751C7" w:rsidRDefault="004125DE" w:rsidP="00030816">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F2D9D3" w14:textId="2B8961DB" w:rsidR="004125DE" w:rsidRDefault="004125DE" w:rsidP="00030816">
            <w:pPr>
              <w:spacing w:line="276" w:lineRule="auto"/>
              <w:contextualSpacing/>
              <w:jc w:val="both"/>
              <w:rPr>
                <w:rFonts w:ascii="Verdana" w:hAnsi="Verdana"/>
                <w:sz w:val="16"/>
                <w:szCs w:val="16"/>
              </w:rPr>
            </w:pPr>
            <w:r w:rsidRPr="002934C4">
              <w:rPr>
                <w:rFonts w:ascii="Verdana" w:hAnsi="Verdana"/>
                <w:sz w:val="16"/>
                <w:szCs w:val="16"/>
              </w:rPr>
              <w:t xml:space="preserve">Diana </w:t>
            </w:r>
            <w:r>
              <w:rPr>
                <w:rFonts w:ascii="Verdana" w:hAnsi="Verdana"/>
                <w:sz w:val="16"/>
                <w:szCs w:val="16"/>
              </w:rPr>
              <w:t xml:space="preserve">Lucia </w:t>
            </w:r>
            <w:r w:rsidRPr="002934C4">
              <w:rPr>
                <w:rFonts w:ascii="Verdana" w:hAnsi="Verdana"/>
                <w:sz w:val="16"/>
                <w:szCs w:val="16"/>
              </w:rPr>
              <w:t>Saavedra</w:t>
            </w:r>
          </w:p>
          <w:p w14:paraId="3A9B6877" w14:textId="77777777" w:rsidR="004125DE" w:rsidRPr="007911EE" w:rsidRDefault="004125DE" w:rsidP="00030816">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4125DE" w:rsidRPr="00593A5F" w14:paraId="08AAFC20" w14:textId="77777777" w:rsidTr="00030816">
        <w:trPr>
          <w:trHeight w:val="330"/>
        </w:trPr>
        <w:tc>
          <w:tcPr>
            <w:tcW w:w="893" w:type="dxa"/>
            <w:vAlign w:val="center"/>
          </w:tcPr>
          <w:p w14:paraId="5C043350" w14:textId="77777777" w:rsidR="004125DE" w:rsidRPr="003751C7" w:rsidRDefault="004125DE" w:rsidP="00030816">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8316219" w14:textId="52C95A0D" w:rsidR="004125DE" w:rsidRDefault="004125DE" w:rsidP="00030816">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098D315A" w14:textId="77777777" w:rsidR="004125DE" w:rsidRDefault="004125DE" w:rsidP="00030816">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22971478" w14:textId="77777777" w:rsidR="004125DE" w:rsidRPr="00F30C63" w:rsidRDefault="004125DE" w:rsidP="004125DE"/>
    <w:p w14:paraId="0F293BF4" w14:textId="254628A3" w:rsidR="00127233" w:rsidRPr="002B1673" w:rsidRDefault="00127233" w:rsidP="002B1673"/>
    <w:sectPr w:rsidR="00127233" w:rsidRPr="002B167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45CC45" w14:textId="77777777" w:rsidR="00A65AF6" w:rsidRDefault="00A65AF6" w:rsidP="004A1847">
      <w:pPr>
        <w:spacing w:after="0" w:line="240" w:lineRule="auto"/>
      </w:pPr>
      <w:r>
        <w:separator/>
      </w:r>
    </w:p>
  </w:endnote>
  <w:endnote w:type="continuationSeparator" w:id="0">
    <w:p w14:paraId="381C0FD0" w14:textId="77777777" w:rsidR="00A65AF6" w:rsidRDefault="00A65AF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altName w:val="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8D21FC" w14:textId="77777777" w:rsidR="00A65AF6" w:rsidRDefault="00A65AF6" w:rsidP="004A1847">
      <w:pPr>
        <w:spacing w:after="0" w:line="240" w:lineRule="auto"/>
      </w:pPr>
      <w:r>
        <w:separator/>
      </w:r>
    </w:p>
  </w:footnote>
  <w:footnote w:type="continuationSeparator" w:id="0">
    <w:p w14:paraId="6AC70DCB" w14:textId="77777777" w:rsidR="00A65AF6" w:rsidRDefault="00A65AF6" w:rsidP="004A1847">
      <w:pPr>
        <w:spacing w:after="0" w:line="240" w:lineRule="auto"/>
      </w:pPr>
      <w:r>
        <w:continuationSeparator/>
      </w:r>
    </w:p>
  </w:footnote>
  <w:footnote w:id="1">
    <w:p w14:paraId="6C443748" w14:textId="77777777" w:rsidR="004125DE" w:rsidRPr="00FC26A8" w:rsidRDefault="004125DE" w:rsidP="004125DE">
      <w:pPr>
        <w:pStyle w:val="NormalWeb"/>
        <w:snapToGrid w:val="0"/>
        <w:spacing w:before="0" w:beforeAutospacing="0" w:after="0" w:afterAutospacing="0"/>
        <w:ind w:firstLine="709"/>
        <w:contextualSpacing/>
        <w:jc w:val="both"/>
        <w:rPr>
          <w:rFonts w:ascii="Verdana" w:hAnsi="Verdana" w:cs="Arial"/>
          <w:sz w:val="16"/>
          <w:szCs w:val="16"/>
        </w:rPr>
      </w:pPr>
      <w:r w:rsidRPr="00FC26A8">
        <w:rPr>
          <w:rStyle w:val="Refdenotaalpie"/>
          <w:rFonts w:ascii="Verdana" w:eastAsiaTheme="majorEastAsia" w:hAnsi="Verdana" w:cs="Arial"/>
          <w:sz w:val="16"/>
          <w:szCs w:val="16"/>
        </w:rPr>
        <w:footnoteRef/>
      </w:r>
      <w:r w:rsidRPr="00FC26A8">
        <w:rPr>
          <w:rFonts w:ascii="Verdana" w:hAnsi="Verdana" w:cs="Arial"/>
          <w:sz w:val="16"/>
          <w:szCs w:val="16"/>
        </w:rPr>
        <w:t xml:space="preserve"> </w:t>
      </w:r>
      <w:r w:rsidRPr="00FC26A8">
        <w:rPr>
          <w:rFonts w:ascii="Verdana" w:hAnsi="Verdana" w:cs="Arial"/>
          <w:sz w:val="16"/>
          <w:szCs w:val="16"/>
          <w:lang w:val="es-ES"/>
        </w:rPr>
        <w:t>“</w:t>
      </w:r>
      <w:r w:rsidRPr="00FC26A8">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1009C450" w14:textId="77777777" w:rsidR="004125DE" w:rsidRDefault="004125DE" w:rsidP="004125DE">
      <w:pPr>
        <w:snapToGrid w:val="0"/>
        <w:spacing w:after="0" w:line="240" w:lineRule="auto"/>
        <w:ind w:firstLine="708"/>
        <w:contextualSpacing/>
        <w:jc w:val="both"/>
        <w:rPr>
          <w:rFonts w:ascii="Verdana" w:hAnsi="Verdana" w:cs="Arial"/>
          <w:sz w:val="16"/>
          <w:szCs w:val="16"/>
        </w:rPr>
      </w:pPr>
      <w:r w:rsidRPr="001B0871">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61BCEDFA" w14:textId="77777777" w:rsidR="004125DE" w:rsidRPr="001B0871" w:rsidRDefault="004125DE" w:rsidP="004125DE">
      <w:pPr>
        <w:snapToGrid w:val="0"/>
        <w:spacing w:after="0" w:line="240" w:lineRule="auto"/>
        <w:ind w:firstLine="708"/>
        <w:contextualSpacing/>
        <w:jc w:val="both"/>
        <w:rPr>
          <w:rFonts w:ascii="Verdana" w:hAnsi="Verdana" w:cs="Arial"/>
          <w:sz w:val="16"/>
          <w:szCs w:val="16"/>
        </w:rPr>
      </w:pPr>
    </w:p>
  </w:footnote>
  <w:footnote w:id="2">
    <w:p w14:paraId="28028383" w14:textId="77777777" w:rsidR="004125DE" w:rsidRPr="00AF5AD6" w:rsidRDefault="004125DE" w:rsidP="004125DE">
      <w:pPr>
        <w:pStyle w:val="Textonotapie"/>
        <w:rPr>
          <w:rFonts w:ascii="Verdana" w:hAnsi="Verdana"/>
          <w:sz w:val="16"/>
          <w:szCs w:val="16"/>
          <w:lang w:val="es-ES"/>
        </w:rPr>
      </w:pPr>
      <w:r w:rsidRPr="00AF5AD6">
        <w:rPr>
          <w:rStyle w:val="Refdenotaalpie"/>
          <w:rFonts w:ascii="Verdana" w:hAnsi="Verdana"/>
          <w:sz w:val="16"/>
          <w:szCs w:val="16"/>
        </w:rPr>
        <w:footnoteRef/>
      </w:r>
      <w:r w:rsidRPr="00AF5AD6">
        <w:rPr>
          <w:rFonts w:ascii="Verdana" w:hAnsi="Verdana"/>
          <w:sz w:val="16"/>
          <w:szCs w:val="16"/>
        </w:rPr>
        <w:t xml:space="preserve"> https://www.colombiacompra.gov.co/archivos/manual/manual-para-determinar-y-verificar-los-requisitos-habilitantes-en-los-procesos-de-contratacion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DA74FA9"/>
    <w:multiLevelType w:val="hybridMultilevel"/>
    <w:tmpl w:val="83A23F7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E6A0C51"/>
    <w:multiLevelType w:val="hybridMultilevel"/>
    <w:tmpl w:val="83A23F7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5"/>
  </w:num>
  <w:num w:numId="14" w16cid:durableId="895897244">
    <w:abstractNumId w:val="16"/>
  </w:num>
  <w:num w:numId="15" w16cid:durableId="390349800">
    <w:abstractNumId w:val="12"/>
  </w:num>
  <w:num w:numId="16" w16cid:durableId="1534221957">
    <w:abstractNumId w:val="0"/>
  </w:num>
  <w:num w:numId="17" w16cid:durableId="1789273338">
    <w:abstractNumId w:val="11"/>
  </w:num>
  <w:num w:numId="18" w16cid:durableId="957368379">
    <w:abstractNumId w:val="4"/>
  </w:num>
  <w:num w:numId="19" w16cid:durableId="114990710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5EA3"/>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1673"/>
    <w:rsid w:val="002C7A84"/>
    <w:rsid w:val="002E2BF8"/>
    <w:rsid w:val="002E4FD9"/>
    <w:rsid w:val="0030657A"/>
    <w:rsid w:val="00322A85"/>
    <w:rsid w:val="00324168"/>
    <w:rsid w:val="00325FE0"/>
    <w:rsid w:val="00330834"/>
    <w:rsid w:val="003448F4"/>
    <w:rsid w:val="00374F5E"/>
    <w:rsid w:val="00377E3E"/>
    <w:rsid w:val="003A779E"/>
    <w:rsid w:val="003D0F4D"/>
    <w:rsid w:val="003D5B0D"/>
    <w:rsid w:val="003E0499"/>
    <w:rsid w:val="003E4F80"/>
    <w:rsid w:val="003E6439"/>
    <w:rsid w:val="003F3941"/>
    <w:rsid w:val="00406575"/>
    <w:rsid w:val="004125DE"/>
    <w:rsid w:val="00414C74"/>
    <w:rsid w:val="0042722E"/>
    <w:rsid w:val="0044528D"/>
    <w:rsid w:val="00466E39"/>
    <w:rsid w:val="004A1847"/>
    <w:rsid w:val="004A305D"/>
    <w:rsid w:val="004F21C4"/>
    <w:rsid w:val="004F685F"/>
    <w:rsid w:val="005521F7"/>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44AF"/>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5AF6"/>
    <w:rsid w:val="00AB0ADB"/>
    <w:rsid w:val="00AB4DF7"/>
    <w:rsid w:val="00B00C0E"/>
    <w:rsid w:val="00B01B1A"/>
    <w:rsid w:val="00B0381D"/>
    <w:rsid w:val="00B44A47"/>
    <w:rsid w:val="00B65170"/>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A6A67"/>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0954"/>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125DE"/>
    <w:rPr>
      <w:rFonts w:ascii="Geomanist Light" w:hAnsi="Geomanist Light"/>
      <w:lang w:val="es-ES"/>
    </w:rPr>
  </w:style>
  <w:style w:type="paragraph" w:customStyle="1" w:styleId="Appelnotedebasde">
    <w:name w:val="Appel note de bas de..."/>
    <w:basedOn w:val="Normal"/>
    <w:link w:val="Refdenotaalpie"/>
    <w:uiPriority w:val="99"/>
    <w:rsid w:val="004125DE"/>
    <w:pPr>
      <w:spacing w:line="240" w:lineRule="exact"/>
    </w:pPr>
    <w:rPr>
      <w:vertAlign w:val="superscript"/>
    </w:rPr>
  </w:style>
  <w:style w:type="character" w:customStyle="1" w:styleId="NormalWebCar">
    <w:name w:val="Normal (Web) Car"/>
    <w:link w:val="NormalWeb"/>
    <w:uiPriority w:val="99"/>
    <w:rsid w:val="004125DE"/>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vidsanti090815@gmail.com" TargetMode="External"/><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B3E25003-3007-4DB9-A8B5-03A5D3A7ED3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25</TotalTime>
  <Pages>17</Pages>
  <Words>5387</Words>
  <Characters>29795</Characters>
  <Application>Microsoft Office Word</Application>
  <DocSecurity>0</DocSecurity>
  <Lines>595</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4</cp:revision>
  <cp:lastPrinted>2023-01-10T21:18:00Z</cp:lastPrinted>
  <dcterms:created xsi:type="dcterms:W3CDTF">2025-12-11T01:43:00Z</dcterms:created>
  <dcterms:modified xsi:type="dcterms:W3CDTF">2025-12-11T02:07:00Z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