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64547" w14:textId="389DECF5" w:rsidR="002133AC" w:rsidRPr="00C55BDE" w:rsidRDefault="002133AC" w:rsidP="002133AC">
      <w:pPr>
        <w:jc w:val="both"/>
        <w:rPr>
          <w:rFonts w:ascii="Verdana" w:eastAsia="Calibri" w:hAnsi="Verdana" w:cs="Arial"/>
          <w:b/>
        </w:rPr>
      </w:pPr>
      <w:bookmarkStart w:id="0" w:name="_Hlk143780582"/>
      <w:r w:rsidRPr="00C55BDE">
        <w:rPr>
          <w:rFonts w:ascii="Verdana" w:eastAsia="Calibri" w:hAnsi="Verdana" w:cs="Arial"/>
          <w:b/>
        </w:rPr>
        <w:t xml:space="preserve">RESGUARDOS INDÍGENAS – Administración de recursos del SGP – Entidades </w:t>
      </w:r>
      <w:r w:rsidR="00F775C8" w:rsidRPr="00C55BDE">
        <w:rPr>
          <w:rFonts w:ascii="Verdana" w:eastAsia="Calibri" w:hAnsi="Verdana" w:cs="Arial"/>
          <w:b/>
        </w:rPr>
        <w:t>E</w:t>
      </w:r>
      <w:r w:rsidRPr="00C55BDE">
        <w:rPr>
          <w:rFonts w:ascii="Verdana" w:eastAsia="Calibri" w:hAnsi="Verdana" w:cs="Arial"/>
          <w:b/>
        </w:rPr>
        <w:t>statales</w:t>
      </w:r>
    </w:p>
    <w:p w14:paraId="2FBE9944" w14:textId="48394D4F" w:rsidR="002133AC" w:rsidRPr="00C55BDE" w:rsidRDefault="002133AC" w:rsidP="002133AC">
      <w:pPr>
        <w:spacing w:after="0" w:line="240" w:lineRule="auto"/>
        <w:jc w:val="both"/>
        <w:rPr>
          <w:rFonts w:ascii="Verdana" w:eastAsia="Calibri" w:hAnsi="Verdana" w:cs="Arial"/>
          <w:sz w:val="20"/>
        </w:rPr>
      </w:pPr>
      <w:r w:rsidRPr="00C55BDE">
        <w:rPr>
          <w:rFonts w:ascii="Verdana" w:eastAsia="Calibri" w:hAnsi="Verdana" w:cs="Arial"/>
          <w:sz w:val="20"/>
        </w:rPr>
        <w:t xml:space="preserve">Al respecto, [el Decreto 1953 de 2014] dispone que los resguardos indígenas que se ubiquen en ciertos supuestos,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   </w:t>
      </w:r>
    </w:p>
    <w:p w14:paraId="0A3AC3A9" w14:textId="77777777" w:rsidR="002133AC" w:rsidRPr="00C55BDE" w:rsidRDefault="002133AC" w:rsidP="002133AC">
      <w:pPr>
        <w:spacing w:after="0" w:line="240" w:lineRule="auto"/>
        <w:jc w:val="both"/>
        <w:rPr>
          <w:rFonts w:ascii="Verdana" w:eastAsia="Calibri" w:hAnsi="Verdana" w:cs="Arial"/>
          <w:b/>
        </w:rPr>
      </w:pPr>
    </w:p>
    <w:p w14:paraId="7D282EF0" w14:textId="7F24B3C2" w:rsidR="002133AC" w:rsidRPr="00C55BDE" w:rsidRDefault="002133AC" w:rsidP="002133AC">
      <w:pPr>
        <w:spacing w:after="0" w:line="240" w:lineRule="auto"/>
        <w:jc w:val="both"/>
        <w:rPr>
          <w:rFonts w:ascii="Verdana" w:eastAsia="Calibri" w:hAnsi="Verdana" w:cs="Arial"/>
          <w:sz w:val="20"/>
        </w:rPr>
      </w:pPr>
      <w:r w:rsidRPr="00C55BDE">
        <w:rPr>
          <w:rFonts w:ascii="Verdana" w:eastAsia="Calibri" w:hAnsi="Verdana" w:cs="Arial"/>
          <w:sz w:val="20"/>
        </w:rPr>
        <w:t xml:space="preserve">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22A4ADAE" w14:textId="77777777" w:rsidR="003820DF" w:rsidRPr="00C55BDE" w:rsidRDefault="003820DF" w:rsidP="002133AC">
      <w:pPr>
        <w:spacing w:after="0" w:line="240" w:lineRule="auto"/>
        <w:jc w:val="both"/>
        <w:rPr>
          <w:rFonts w:ascii="Verdana" w:eastAsia="Calibri" w:hAnsi="Verdana" w:cs="Arial"/>
          <w:sz w:val="20"/>
        </w:rPr>
      </w:pPr>
    </w:p>
    <w:p w14:paraId="3B3C4F1B" w14:textId="77777777" w:rsidR="00C851C7" w:rsidRPr="00C55BDE" w:rsidRDefault="00C851C7" w:rsidP="00C851C7">
      <w:pPr>
        <w:snapToGrid w:val="0"/>
        <w:contextualSpacing/>
        <w:jc w:val="both"/>
        <w:rPr>
          <w:rFonts w:ascii="Verdana" w:hAnsi="Verdana" w:cs="Arial"/>
          <w:b/>
          <w:bCs/>
          <w:lang w:val="es-ES" w:eastAsia="es-ES"/>
        </w:rPr>
      </w:pPr>
      <w:r w:rsidRPr="00C55BDE">
        <w:rPr>
          <w:rFonts w:ascii="Verdana" w:hAnsi="Verdana" w:cs="Arial"/>
          <w:b/>
          <w:bCs/>
          <w:lang w:val="es-ES" w:eastAsia="es-ES"/>
        </w:rPr>
        <w:t>LEY DE GARANTÍAS ELECTORALES – Finalidad</w:t>
      </w:r>
    </w:p>
    <w:p w14:paraId="13B3A3BD" w14:textId="77777777" w:rsidR="00C851C7" w:rsidRPr="00C55BDE" w:rsidRDefault="00C851C7" w:rsidP="00C851C7">
      <w:pPr>
        <w:snapToGrid w:val="0"/>
        <w:contextualSpacing/>
        <w:jc w:val="both"/>
        <w:rPr>
          <w:rFonts w:ascii="Verdana" w:hAnsi="Verdana" w:cs="Arial"/>
          <w:b/>
          <w:bCs/>
          <w:lang w:val="es-ES" w:eastAsia="es-ES"/>
        </w:rPr>
      </w:pPr>
    </w:p>
    <w:p w14:paraId="6D9D56D5" w14:textId="77777777" w:rsidR="00C851C7" w:rsidRPr="00C55BDE" w:rsidRDefault="00C851C7" w:rsidP="00C851C7">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48192D07" w14:textId="77777777" w:rsidR="00C851C7" w:rsidRPr="00C55BDE" w:rsidRDefault="00C851C7" w:rsidP="00C851C7">
      <w:pPr>
        <w:snapToGrid w:val="0"/>
        <w:contextualSpacing/>
        <w:jc w:val="both"/>
        <w:rPr>
          <w:rFonts w:ascii="Verdana" w:hAnsi="Verdana" w:cs="Arial"/>
          <w:b/>
          <w:bCs/>
          <w:lang w:val="es-ES" w:eastAsia="es-ES"/>
        </w:rPr>
      </w:pPr>
    </w:p>
    <w:p w14:paraId="08E144EE" w14:textId="77777777" w:rsidR="00C851C7" w:rsidRPr="00C55BDE" w:rsidRDefault="00C851C7" w:rsidP="00C851C7">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p>
    <w:p w14:paraId="451E1AB4" w14:textId="77777777" w:rsidR="00C851C7" w:rsidRPr="00C55BDE" w:rsidRDefault="00C851C7" w:rsidP="00C851C7">
      <w:pPr>
        <w:snapToGrid w:val="0"/>
        <w:spacing w:after="0" w:line="240" w:lineRule="auto"/>
        <w:contextualSpacing/>
        <w:jc w:val="both"/>
        <w:rPr>
          <w:rFonts w:ascii="Verdana" w:hAnsi="Verdana" w:cs="Arial"/>
          <w:sz w:val="20"/>
          <w:szCs w:val="20"/>
          <w:lang w:val="es-ES" w:eastAsia="es-ES"/>
        </w:rPr>
      </w:pPr>
    </w:p>
    <w:p w14:paraId="2EF346BB"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D3785"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p>
    <w:p w14:paraId="0E79DDCE" w14:textId="548AAAD7" w:rsidR="00F07606" w:rsidRDefault="00C851C7"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xml:space="preserve">, que prohíbe a los gobernadores, alcaldes municipales o distritales, secretarios, gerentes y directores de entidades descentralizadas del orden municipal, departamental o distrital “[…] celebrar </w:t>
      </w:r>
      <w:r w:rsidRPr="00C55BDE">
        <w:rPr>
          <w:rFonts w:ascii="Verdana" w:hAnsi="Verdana" w:cs="Arial"/>
          <w:sz w:val="20"/>
          <w:szCs w:val="20"/>
          <w:lang w:val="es-ES"/>
        </w:rPr>
        <w:lastRenderedPageBreak/>
        <w:t>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07494AB5" w14:textId="77777777" w:rsidR="00F07606" w:rsidRPr="00C55BDE" w:rsidRDefault="00F07606"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p>
    <w:p w14:paraId="13E251E6" w14:textId="21C3B442" w:rsidR="003820DF" w:rsidRDefault="00F07606" w:rsidP="002133AC">
      <w:pPr>
        <w:spacing w:after="0" w:line="240" w:lineRule="auto"/>
        <w:jc w:val="both"/>
        <w:rPr>
          <w:rFonts w:ascii="Verdana" w:hAnsi="Verdana" w:cs="Arial"/>
          <w:b/>
          <w:bCs/>
          <w:lang w:val="es-MX" w:eastAsia="es-ES_tradnl"/>
        </w:rPr>
      </w:pPr>
      <w:r w:rsidRPr="00F07606">
        <w:rPr>
          <w:rFonts w:ascii="Verdana" w:hAnsi="Verdana" w:cs="Arial"/>
          <w:b/>
          <w:bCs/>
          <w:lang w:val="es-MX" w:eastAsia="es-ES_tradnl"/>
        </w:rPr>
        <w:t>CONVENIOS INTERADMINISTRATIVOS – Criterio orgánico</w:t>
      </w:r>
    </w:p>
    <w:p w14:paraId="449F783F" w14:textId="77777777" w:rsidR="00F07606" w:rsidRDefault="00F07606" w:rsidP="002133AC">
      <w:pPr>
        <w:spacing w:after="0" w:line="240" w:lineRule="auto"/>
        <w:jc w:val="both"/>
        <w:rPr>
          <w:rFonts w:ascii="Verdana" w:hAnsi="Verdana" w:cs="Arial"/>
          <w:b/>
          <w:bCs/>
          <w:lang w:val="es-MX" w:eastAsia="es-ES_tradnl"/>
        </w:rPr>
      </w:pPr>
    </w:p>
    <w:p w14:paraId="64E8784D" w14:textId="66C6D82D" w:rsidR="00F07606" w:rsidRPr="00F07606" w:rsidRDefault="00F07606" w:rsidP="002133AC">
      <w:pPr>
        <w:spacing w:after="0" w:line="240" w:lineRule="auto"/>
        <w:jc w:val="both"/>
        <w:rPr>
          <w:rFonts w:ascii="Verdana" w:hAnsi="Verdana" w:cs="Arial"/>
          <w:sz w:val="20"/>
          <w:szCs w:val="20"/>
          <w:lang w:val="es-MX" w:eastAsia="es-ES_tradnl"/>
        </w:rPr>
      </w:pPr>
      <w:r>
        <w:rPr>
          <w:rFonts w:ascii="Verdana" w:hAnsi="Verdana" w:cs="Arial"/>
          <w:sz w:val="20"/>
          <w:szCs w:val="20"/>
          <w:lang w:val="es-ES" w:eastAsia="es-ES_tradnl"/>
        </w:rPr>
        <w:t>D</w:t>
      </w:r>
      <w:r w:rsidRPr="00F07606">
        <w:rPr>
          <w:rFonts w:ascii="Verdana" w:hAnsi="Verdana" w:cs="Arial"/>
          <w:sz w:val="20"/>
          <w:szCs w:val="20"/>
          <w:lang w:val="es-ES" w:eastAsia="es-ES_tradnl"/>
        </w:rPr>
        <w:t xml:space="preserve">ebe precisarse que los contratos o convenios interadministrativos están determinados por un criterio orgánico, pues es necesario que los extremos de la relación contractual sean entidades públicas, </w:t>
      </w:r>
      <w:r w:rsidRPr="00F07606">
        <w:rPr>
          <w:rFonts w:ascii="Verdana" w:hAnsi="Verdana" w:cs="Arial"/>
          <w:sz w:val="20"/>
          <w:szCs w:val="20"/>
          <w:lang w:eastAsia="es-ES_tradnl"/>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19BC069F" w14:textId="77777777" w:rsidR="00F07606" w:rsidRPr="00C55BDE" w:rsidRDefault="00F07606" w:rsidP="002133AC">
      <w:pPr>
        <w:spacing w:after="0" w:line="240" w:lineRule="auto"/>
        <w:jc w:val="both"/>
        <w:rPr>
          <w:rFonts w:ascii="Verdana" w:eastAsia="Calibri" w:hAnsi="Verdana" w:cs="Arial"/>
          <w:b/>
          <w:lang w:val="es-ES"/>
        </w:rPr>
      </w:pPr>
    </w:p>
    <w:p w14:paraId="4C6EF8E9" w14:textId="0CD7A528" w:rsidR="007D4B2E" w:rsidRPr="00C55BDE" w:rsidRDefault="007D4B2E" w:rsidP="007D4B2E">
      <w:pPr>
        <w:spacing w:after="0"/>
        <w:jc w:val="both"/>
        <w:rPr>
          <w:rFonts w:ascii="Verdana" w:hAnsi="Verdana"/>
          <w:b/>
        </w:rPr>
      </w:pPr>
      <w:r w:rsidRPr="00C55BDE">
        <w:rPr>
          <w:rFonts w:ascii="Verdana" w:hAnsi="Verdana" w:cs="Arial"/>
          <w:b/>
          <w:lang w:val="es-MX" w:eastAsia="es-ES_tradnl"/>
        </w:rPr>
        <w:t>CONTRATOS Y CONVENIOS INTERADMINISTRATIVOS – Circular Externa Única – Auto de suspensión –</w:t>
      </w:r>
      <w:r w:rsidR="00BD652D">
        <w:rPr>
          <w:rFonts w:ascii="Verdana" w:hAnsi="Verdana" w:cs="Arial"/>
          <w:b/>
          <w:lang w:val="es-MX" w:eastAsia="es-ES_tradnl"/>
        </w:rPr>
        <w:t xml:space="preserve"> N</w:t>
      </w:r>
      <w:r w:rsidRPr="00C55BDE">
        <w:rPr>
          <w:rFonts w:ascii="Verdana" w:hAnsi="Verdana" w:cs="Arial"/>
          <w:b/>
          <w:lang w:val="es-MX" w:eastAsia="es-ES_tradnl"/>
        </w:rPr>
        <w:t>umeral 16.2.</w:t>
      </w:r>
    </w:p>
    <w:p w14:paraId="584FD6A3" w14:textId="77777777" w:rsidR="007D4B2E" w:rsidRPr="00C55BDE" w:rsidRDefault="007D4B2E" w:rsidP="007D4B2E">
      <w:pPr>
        <w:spacing w:after="0"/>
        <w:jc w:val="both"/>
        <w:rPr>
          <w:rFonts w:ascii="Verdana" w:hAnsi="Verdana"/>
          <w:b/>
        </w:rPr>
      </w:pPr>
    </w:p>
    <w:p w14:paraId="755FF2C2" w14:textId="38236549" w:rsidR="007D4B2E" w:rsidRPr="00482175" w:rsidRDefault="007D4B2E" w:rsidP="00482175">
      <w:pPr>
        <w:spacing w:after="0" w:line="240" w:lineRule="auto"/>
        <w:jc w:val="both"/>
        <w:rPr>
          <w:rFonts w:ascii="Verdana" w:hAnsi="Verdana"/>
          <w:sz w:val="18"/>
          <w:szCs w:val="20"/>
        </w:rPr>
      </w:pPr>
      <w:r w:rsidRPr="00C55BDE">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C55BDE">
        <w:rPr>
          <w:rFonts w:ascii="Verdana" w:hAnsi="Verdana"/>
          <w:sz w:val="20"/>
        </w:rPr>
        <w:t>numeral 16.2 de la Circular Externa Única de 2022 expedida por la Agencia Nacional de Contratación Pública -Colombia Compra Eficiente-, concretamente, respecto de los siguientes apartes normativos</w:t>
      </w:r>
      <w:r w:rsidRPr="00C55BDE">
        <w:rPr>
          <w:rFonts w:ascii="Verdana" w:hAnsi="Verdana"/>
          <w:sz w:val="18"/>
          <w:szCs w:val="20"/>
        </w:rPr>
        <w:t xml:space="preserve"> </w:t>
      </w:r>
    </w:p>
    <w:p w14:paraId="43BB954D" w14:textId="77777777" w:rsidR="007D4B2E" w:rsidRDefault="007D4B2E" w:rsidP="00482175">
      <w:pPr>
        <w:spacing w:after="0" w:line="240" w:lineRule="auto"/>
        <w:jc w:val="both"/>
        <w:rPr>
          <w:rFonts w:ascii="Verdana" w:eastAsia="Geomanist Light" w:hAnsi="Verdana" w:cs="Arial"/>
          <w:color w:val="000000" w:themeColor="text1"/>
          <w:sz w:val="20"/>
          <w:szCs w:val="20"/>
          <w:lang w:val="es-ES_tradnl"/>
        </w:rPr>
      </w:pPr>
    </w:p>
    <w:p w14:paraId="5E206B78" w14:textId="1CC7BB67" w:rsidR="00482175" w:rsidRDefault="00482175" w:rsidP="00482175">
      <w:pPr>
        <w:spacing w:after="0" w:line="240" w:lineRule="auto"/>
        <w:jc w:val="both"/>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1A320D5D" w14:textId="77777777" w:rsidR="00482175" w:rsidRPr="00482175" w:rsidRDefault="00482175" w:rsidP="00482175">
      <w:pPr>
        <w:spacing w:after="0" w:line="240" w:lineRule="auto"/>
        <w:jc w:val="both"/>
        <w:rPr>
          <w:rFonts w:ascii="Verdana" w:eastAsia="Geomanist Light" w:hAnsi="Verdana" w:cs="Arial"/>
          <w:color w:val="000000" w:themeColor="text1"/>
          <w:sz w:val="20"/>
          <w:szCs w:val="20"/>
          <w:lang w:val="es-ES_tradnl"/>
        </w:rPr>
      </w:pPr>
    </w:p>
    <w:p w14:paraId="5873CCAD" w14:textId="6BDFA2EE" w:rsidR="00482175" w:rsidRDefault="00482175" w:rsidP="00482175">
      <w:pPr>
        <w:spacing w:after="0" w:line="240" w:lineRule="auto"/>
        <w:jc w:val="both"/>
        <w:rPr>
          <w:rFonts w:ascii="Verdana" w:hAnsi="Verdana"/>
          <w:sz w:val="20"/>
          <w:szCs w:val="20"/>
        </w:rPr>
      </w:pPr>
      <w:r w:rsidRPr="00482175">
        <w:rPr>
          <w:rFonts w:ascii="Verdana" w:hAnsi="Verdana"/>
          <w:sz w:val="20"/>
          <w:szCs w:val="20"/>
        </w:rPr>
        <w:t>De igual manera, mediante auto del 6 de noviembre de 2025, el Consejo de Estado, Subsección A de la Sección Tercera, decretó</w:t>
      </w:r>
      <w:r w:rsidRPr="00482175">
        <w:rPr>
          <w:rFonts w:ascii="Verdana" w:hAnsi="Verdana"/>
          <w:b/>
          <w:bCs/>
          <w:sz w:val="20"/>
          <w:szCs w:val="20"/>
        </w:rPr>
        <w:t xml:space="preserve"> </w:t>
      </w:r>
      <w:r w:rsidRPr="00482175">
        <w:rPr>
          <w:rFonts w:ascii="Verdana" w:hAnsi="Verdana"/>
          <w:sz w:val="20"/>
          <w:szCs w:val="20"/>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482175">
        <w:rPr>
          <w:rFonts w:ascii="Verdana" w:hAnsi="Verdana"/>
          <w:sz w:val="20"/>
          <w:szCs w:val="20"/>
        </w:rPr>
        <w:t>legis</w:t>
      </w:r>
      <w:proofErr w:type="spellEnd"/>
      <w:r w:rsidRPr="00482175">
        <w:rPr>
          <w:rFonts w:ascii="Verdana" w:hAnsi="Verdana"/>
          <w:sz w:val="20"/>
          <w:szCs w:val="20"/>
        </w:rPr>
        <w:t xml:space="preserve"> o iuris y la interpretación extensiva y reiteró los argumentos sobre la diferencia entre contratos y convenios interadministrativos. </w:t>
      </w:r>
    </w:p>
    <w:p w14:paraId="383CA2DC" w14:textId="09409CA1" w:rsidR="00482175" w:rsidRDefault="00482175" w:rsidP="00482175">
      <w:pPr>
        <w:spacing w:after="0" w:line="240" w:lineRule="auto"/>
        <w:jc w:val="both"/>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4A57D211" w14:textId="77777777" w:rsidR="00482175" w:rsidRPr="00482175" w:rsidRDefault="00482175" w:rsidP="00482175">
      <w:pPr>
        <w:spacing w:after="0" w:line="240" w:lineRule="auto"/>
        <w:jc w:val="both"/>
        <w:rPr>
          <w:rFonts w:ascii="Verdana" w:hAnsi="Verdana"/>
          <w:sz w:val="20"/>
          <w:szCs w:val="20"/>
        </w:rPr>
      </w:pPr>
    </w:p>
    <w:p w14:paraId="6D7FFEEF" w14:textId="77777777" w:rsidR="00482175" w:rsidRPr="00482175" w:rsidRDefault="00482175" w:rsidP="00482175">
      <w:pPr>
        <w:spacing w:after="0" w:line="240" w:lineRule="auto"/>
        <w:jc w:val="both"/>
        <w:rPr>
          <w:rFonts w:ascii="Verdana" w:hAnsi="Verdana"/>
          <w:sz w:val="20"/>
          <w:szCs w:val="20"/>
        </w:rPr>
      </w:pPr>
      <w:r w:rsidRPr="00482175">
        <w:rPr>
          <w:rFonts w:ascii="Verdana" w:hAnsi="Verdana"/>
          <w:sz w:val="20"/>
          <w:szCs w:val="20"/>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0E5B80EB" w14:textId="77777777" w:rsidR="007D4B2E" w:rsidRPr="00482175" w:rsidRDefault="007D4B2E" w:rsidP="00482175">
      <w:pPr>
        <w:spacing w:after="0" w:line="240" w:lineRule="auto"/>
        <w:jc w:val="both"/>
        <w:rPr>
          <w:rFonts w:ascii="Verdana" w:hAnsi="Verdana"/>
          <w:sz w:val="20"/>
          <w:szCs w:val="20"/>
          <w:lang w:val="es-ES_tradnl"/>
        </w:rPr>
      </w:pPr>
    </w:p>
    <w:p w14:paraId="6D29E5E6" w14:textId="77777777" w:rsidR="002133AC" w:rsidRPr="00C55BDE" w:rsidRDefault="002133AC" w:rsidP="00C15139">
      <w:pPr>
        <w:spacing w:after="0"/>
        <w:rPr>
          <w:rFonts w:ascii="Verdana" w:hAnsi="Verdana"/>
          <w:lang w:val="es-ES_tradnl"/>
        </w:rPr>
      </w:pPr>
    </w:p>
    <w:p w14:paraId="3C820B5D" w14:textId="41A25C0C" w:rsidR="00013201" w:rsidRDefault="00013201" w:rsidP="00013201">
      <w:pPr>
        <w:spacing w:after="0" w:line="240" w:lineRule="auto"/>
        <w:rPr>
          <w:rFonts w:ascii="Verdana" w:eastAsia="Geomanist Light" w:hAnsi="Verdana" w:cs="Arial"/>
          <w:color w:val="201F1E"/>
        </w:rPr>
      </w:pPr>
      <w:r w:rsidRPr="00C55BDE">
        <w:rPr>
          <w:rFonts w:ascii="Verdana" w:hAnsi="Verdana"/>
        </w:rPr>
        <w:lastRenderedPageBreak/>
        <w:t xml:space="preserve">Bogotá D.C., </w:t>
      </w:r>
      <w:r w:rsidR="00C335B7">
        <w:rPr>
          <w:rFonts w:ascii="Verdana" w:eastAsia="Geomanist Light" w:hAnsi="Verdana" w:cs="Arial"/>
          <w:color w:val="201F1E"/>
        </w:rPr>
        <w:t>5 de diciembre de 2025</w:t>
      </w:r>
    </w:p>
    <w:p w14:paraId="63FAD2D0" w14:textId="40685B78" w:rsidR="00013201" w:rsidRDefault="00013201" w:rsidP="00013201">
      <w:pPr>
        <w:spacing w:after="0"/>
        <w:rPr>
          <w:rFonts w:ascii="Verdana" w:hAnsi="Verdana"/>
        </w:rPr>
      </w:pPr>
    </w:p>
    <w:p w14:paraId="28766236" w14:textId="7E89EB8C" w:rsidR="00013201" w:rsidRDefault="00BD652D" w:rsidP="00482175">
      <w:pPr>
        <w:spacing w:after="0"/>
        <w:jc w:val="right"/>
        <w:rPr>
          <w:rFonts w:ascii="Verdana" w:hAnsi="Verdana"/>
        </w:rPr>
      </w:pPr>
      <w:r w:rsidRPr="00482175">
        <w:rPr>
          <w:rFonts w:ascii="Verdana" w:hAnsi="Verdana"/>
          <w:noProof/>
        </w:rPr>
        <w:drawing>
          <wp:anchor distT="0" distB="0" distL="114300" distR="114300" simplePos="0" relativeHeight="251658240" behindDoc="0" locked="0" layoutInCell="1" allowOverlap="1" wp14:anchorId="3D9E5967" wp14:editId="36D09652">
            <wp:simplePos x="0" y="0"/>
            <wp:positionH relativeFrom="margin">
              <wp:posOffset>2823845</wp:posOffset>
            </wp:positionH>
            <wp:positionV relativeFrom="paragraph">
              <wp:posOffset>5715</wp:posOffset>
            </wp:positionV>
            <wp:extent cx="2784475" cy="885825"/>
            <wp:effectExtent l="0" t="0" r="0" b="9525"/>
            <wp:wrapSquare wrapText="bothSides"/>
            <wp:docPr id="2517492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84475" cy="885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3201" w:rsidRPr="00C55BDE">
        <w:rPr>
          <w:rFonts w:ascii="Verdana" w:hAnsi="Verdana"/>
        </w:rPr>
        <w:tab/>
      </w:r>
    </w:p>
    <w:p w14:paraId="60A273A1" w14:textId="77777777" w:rsidR="00013201" w:rsidRPr="00441CBA" w:rsidRDefault="00013201" w:rsidP="00013201">
      <w:pPr>
        <w:spacing w:after="0"/>
        <w:rPr>
          <w:rFonts w:ascii="Verdana" w:hAnsi="Verdana"/>
        </w:rPr>
      </w:pPr>
      <w:r w:rsidRPr="00C55BDE">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(a):</w:t>
      </w:r>
    </w:p>
    <w:p w14:paraId="533AC24D" w14:textId="77777777" w:rsidR="00013201" w:rsidRPr="00C55BDE" w:rsidRDefault="00013201" w:rsidP="00013201">
      <w:pPr>
        <w:spacing w:after="0" w:line="240" w:lineRule="auto"/>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 xml:space="preserve">Anónimo </w:t>
      </w:r>
    </w:p>
    <w:p w14:paraId="103CE382" w14:textId="77777777" w:rsidR="00013201" w:rsidRPr="00C55BDE" w:rsidRDefault="00013201" w:rsidP="00013201">
      <w:pPr>
        <w:spacing w:after="0" w:line="240" w:lineRule="auto"/>
        <w:rPr>
          <w:rFonts w:ascii="Verdana" w:hAnsi="Verdana"/>
        </w:rPr>
      </w:pPr>
      <w:hyperlink r:id="rId12" w:history="1">
        <w:r w:rsidRPr="00B55C5D">
          <w:rPr>
            <w:rStyle w:val="Hipervnculo"/>
            <w:rFonts w:ascii="Verdana" w:hAnsi="Verdana"/>
          </w:rPr>
          <w:t>sebashdezc@gmail.com</w:t>
        </w:r>
      </w:hyperlink>
      <w:r>
        <w:rPr>
          <w:rFonts w:ascii="Verdana" w:hAnsi="Verdana"/>
        </w:rPr>
        <w:t xml:space="preserve"> </w:t>
      </w:r>
    </w:p>
    <w:p w14:paraId="0AF0BC69" w14:textId="77777777" w:rsidR="00013201" w:rsidRPr="00C55BDE" w:rsidRDefault="00013201" w:rsidP="00013201">
      <w:pPr>
        <w:spacing w:after="0" w:line="240" w:lineRule="auto"/>
        <w:rPr>
          <w:rFonts w:ascii="Verdana" w:eastAsia="Calibri" w:hAnsi="Verdana" w:cs="Arial"/>
          <w:b/>
          <w:bCs/>
          <w:color w:val="000000" w:themeColor="text1"/>
          <w:lang w:val="es-ES_tradnl" w:eastAsia="es-ES"/>
        </w:rPr>
      </w:pPr>
      <w:r>
        <w:rPr>
          <w:rFonts w:ascii="Verdana" w:eastAsia="Calibri" w:hAnsi="Verdana" w:cs="Arial"/>
          <w:color w:val="000000" w:themeColor="text1"/>
          <w:lang w:val="es-ES_tradnl" w:eastAsia="es-ES"/>
        </w:rPr>
        <w:t>Bogotá</w:t>
      </w:r>
      <w:r w:rsidRPr="00C55BDE">
        <w:rPr>
          <w:rFonts w:ascii="Verdana" w:eastAsia="Calibri" w:hAnsi="Verdana" w:cs="Arial"/>
          <w:color w:val="000000" w:themeColor="text1"/>
          <w:lang w:val="es-ES_tradnl" w:eastAsia="es-ES"/>
        </w:rPr>
        <w:t xml:space="preserve"> </w:t>
      </w:r>
    </w:p>
    <w:p w14:paraId="5078B4E0" w14:textId="77777777" w:rsidR="00013201" w:rsidRPr="00C55BDE" w:rsidRDefault="00013201" w:rsidP="00013201">
      <w:pPr>
        <w:spacing w:after="0" w:line="240" w:lineRule="auto"/>
        <w:rPr>
          <w:rFonts w:ascii="Verdana" w:eastAsia="Calibri" w:hAnsi="Verdana" w:cs="Arial"/>
          <w:b/>
          <w:bCs/>
          <w:color w:val="000000" w:themeColor="text1"/>
          <w:lang w:val="es-ES_tradnl" w:eastAsia="es-ES_tradnl"/>
        </w:rPr>
      </w:pPr>
    </w:p>
    <w:p w14:paraId="41BFE013" w14:textId="77777777" w:rsidR="00013201" w:rsidRPr="00C55BDE" w:rsidRDefault="00013201" w:rsidP="00013201">
      <w:pPr>
        <w:spacing w:after="0" w:line="240" w:lineRule="auto"/>
        <w:rPr>
          <w:rFonts w:ascii="Verdana" w:eastAsia="Calibri" w:hAnsi="Verdana" w:cs="Arial"/>
          <w:b/>
          <w:bCs/>
          <w:color w:val="000000" w:themeColor="text1"/>
          <w:lang w:val="es-ES_tradnl" w:eastAsia="es-ES_tradnl"/>
        </w:rPr>
      </w:pPr>
      <w:r w:rsidRPr="00C55BDE">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1592</w:t>
      </w:r>
      <w:r w:rsidRPr="00C55BDE">
        <w:rPr>
          <w:rFonts w:ascii="Verdana" w:eastAsia="Calibri" w:hAnsi="Verdana" w:cs="Arial"/>
          <w:b/>
          <w:bCs/>
          <w:color w:val="000000" w:themeColor="text1"/>
          <w:lang w:val="es-ES_tradnl" w:eastAsia="es-ES_tradnl"/>
        </w:rPr>
        <w:t xml:space="preserve"> 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13201" w:rsidRPr="00C55BDE" w14:paraId="2A55EB75" w14:textId="77777777" w:rsidTr="00902708">
        <w:trPr>
          <w:gridAfter w:val="1"/>
          <w:wAfter w:w="6100" w:type="dxa"/>
          <w:trHeight w:val="133"/>
        </w:trPr>
        <w:tc>
          <w:tcPr>
            <w:tcW w:w="2689" w:type="dxa"/>
          </w:tcPr>
          <w:p w14:paraId="7904058D" w14:textId="77777777" w:rsidR="00013201" w:rsidRPr="00C55BDE" w:rsidRDefault="00013201" w:rsidP="00902708">
            <w:pPr>
              <w:jc w:val="both"/>
              <w:rPr>
                <w:rFonts w:ascii="Verdana" w:eastAsia="Calibri" w:hAnsi="Verdana" w:cs="Arial"/>
                <w:b/>
                <w:bCs/>
                <w:color w:val="000000" w:themeColor="text1"/>
                <w:highlight w:val="cyan"/>
                <w:lang w:val="es-ES_tradnl" w:eastAsia="es-ES_tradnl"/>
              </w:rPr>
            </w:pPr>
          </w:p>
        </w:tc>
      </w:tr>
      <w:tr w:rsidR="00013201" w:rsidRPr="00C55BDE" w14:paraId="1F5377DA" w14:textId="77777777" w:rsidTr="00902708">
        <w:trPr>
          <w:trHeight w:val="884"/>
        </w:trPr>
        <w:tc>
          <w:tcPr>
            <w:tcW w:w="2689" w:type="dxa"/>
          </w:tcPr>
          <w:p w14:paraId="3D36BD72" w14:textId="77777777" w:rsidR="00013201" w:rsidRPr="00C55BDE" w:rsidRDefault="00013201" w:rsidP="00902708">
            <w:pPr>
              <w:jc w:val="both"/>
              <w:rPr>
                <w:rFonts w:ascii="Verdana" w:eastAsia="Calibri" w:hAnsi="Verdana" w:cs="Arial"/>
                <w:color w:val="000000" w:themeColor="text1"/>
                <w:highlight w:val="cyan"/>
                <w:lang w:val="es-ES_tradnl" w:eastAsia="es-ES_tradnl"/>
              </w:rPr>
            </w:pPr>
            <w:r w:rsidRPr="00C55BDE">
              <w:rPr>
                <w:rFonts w:ascii="Verdana" w:eastAsia="Calibri" w:hAnsi="Verdana" w:cs="Arial"/>
                <w:b/>
                <w:color w:val="000000" w:themeColor="text1"/>
                <w:lang w:val="es-ES_tradnl" w:eastAsia="es-ES_tradnl"/>
              </w:rPr>
              <w:t>Temas:</w:t>
            </w:r>
            <w:r w:rsidRPr="00C55BDE">
              <w:rPr>
                <w:rFonts w:ascii="Verdana" w:eastAsia="Calibri" w:hAnsi="Verdana" w:cs="Arial"/>
                <w:color w:val="000000" w:themeColor="text1"/>
                <w:lang w:val="es-ES_tradnl" w:eastAsia="es-ES_tradnl"/>
              </w:rPr>
              <w:t xml:space="preserve">                   </w:t>
            </w:r>
          </w:p>
        </w:tc>
        <w:tc>
          <w:tcPr>
            <w:tcW w:w="6100" w:type="dxa"/>
          </w:tcPr>
          <w:p w14:paraId="780EA55D" w14:textId="77777777" w:rsidR="00013201" w:rsidRDefault="00013201" w:rsidP="00902708">
            <w:pPr>
              <w:spacing w:line="276" w:lineRule="auto"/>
              <w:jc w:val="both"/>
              <w:rPr>
                <w:rFonts w:ascii="Verdana" w:hAnsi="Verdana" w:cs="Arial"/>
                <w:lang w:val="es-MX" w:eastAsia="es-ES_tradnl"/>
              </w:rPr>
            </w:pPr>
            <w:r w:rsidRPr="00C55BDE">
              <w:rPr>
                <w:rFonts w:ascii="Verdana" w:eastAsia="Calibri" w:hAnsi="Verdana" w:cs="Arial"/>
                <w:lang w:val="es-ES" w:eastAsia="es-ES"/>
              </w:rPr>
              <w:t xml:space="preserve">RESGUARDOS INDÍGENAS – Administración de recursos del SGP – Entidades Estatales / </w:t>
            </w:r>
            <w:r w:rsidRPr="00C55BDE">
              <w:rPr>
                <w:rFonts w:ascii="Verdana" w:hAnsi="Verdana" w:cs="Arial"/>
                <w:lang w:val="es-ES" w:eastAsia="es-ES"/>
              </w:rPr>
              <w:t xml:space="preserve">LEY DE GARANTÍAS ELECTORALES – Finalidad / LEY DE GARANTÍAS ELECTORALES ‒ Restricciones ‒ Contratación ‒ Tipos de elección / </w:t>
            </w:r>
            <w:r w:rsidRPr="00C55BDE">
              <w:rPr>
                <w:rFonts w:ascii="Verdana" w:hAnsi="Verdana" w:cs="Arial"/>
                <w:lang w:val="es-MX" w:eastAsia="es-ES_tradnl"/>
              </w:rPr>
              <w:t>CONVENIOS INTERADMINISTRATIVOS – Criterio orgánico /</w:t>
            </w:r>
            <w:r w:rsidRPr="00C55BDE">
              <w:rPr>
                <w:rFonts w:ascii="Verdana" w:hAnsi="Verdana"/>
              </w:rPr>
              <w:t xml:space="preserve"> </w:t>
            </w:r>
            <w:r w:rsidRPr="00C55BDE">
              <w:rPr>
                <w:rFonts w:ascii="Verdana" w:hAnsi="Verdana" w:cs="Arial"/>
                <w:lang w:val="es-MX" w:eastAsia="es-ES_tradnl"/>
              </w:rPr>
              <w:t>CONTRATOS Y CONVENIOS INTERADMINISTRATIVOS – Circular Externa Única – Auto de suspensión –</w:t>
            </w:r>
            <w:r>
              <w:rPr>
                <w:rFonts w:ascii="Verdana" w:hAnsi="Verdana" w:cs="Arial"/>
                <w:lang w:val="es-MX" w:eastAsia="es-ES_tradnl"/>
              </w:rPr>
              <w:t xml:space="preserve"> N</w:t>
            </w:r>
            <w:r w:rsidRPr="00C55BDE">
              <w:rPr>
                <w:rFonts w:ascii="Verdana" w:hAnsi="Verdana" w:cs="Arial"/>
                <w:lang w:val="es-MX" w:eastAsia="es-ES_tradnl"/>
              </w:rPr>
              <w:t>umeral 16.2.</w:t>
            </w:r>
          </w:p>
          <w:p w14:paraId="64EAD0A7" w14:textId="77777777" w:rsidR="00013201" w:rsidRPr="00C55BDE" w:rsidRDefault="00013201" w:rsidP="00902708">
            <w:pPr>
              <w:spacing w:line="276" w:lineRule="auto"/>
              <w:jc w:val="both"/>
              <w:rPr>
                <w:rFonts w:ascii="Verdana" w:hAnsi="Verdana" w:cs="Arial"/>
                <w:bCs/>
                <w:color w:val="000000" w:themeColor="text1"/>
                <w:highlight w:val="cyan"/>
              </w:rPr>
            </w:pPr>
          </w:p>
        </w:tc>
      </w:tr>
      <w:tr w:rsidR="00013201" w:rsidRPr="00C55BDE" w14:paraId="5089E8FE" w14:textId="77777777" w:rsidTr="00902708">
        <w:tc>
          <w:tcPr>
            <w:tcW w:w="2689" w:type="dxa"/>
          </w:tcPr>
          <w:p w14:paraId="6029B039" w14:textId="77777777" w:rsidR="00013201" w:rsidRPr="00C55BDE" w:rsidRDefault="00013201" w:rsidP="00902708">
            <w:pPr>
              <w:jc w:val="both"/>
              <w:rPr>
                <w:rFonts w:ascii="Verdana" w:eastAsia="Calibri" w:hAnsi="Verdana" w:cs="Arial"/>
                <w:b/>
                <w:color w:val="000000" w:themeColor="text1"/>
                <w:lang w:val="es-ES_tradnl" w:eastAsia="es-ES_tradnl"/>
              </w:rPr>
            </w:pPr>
            <w:r w:rsidRPr="00C55BDE">
              <w:rPr>
                <w:rFonts w:ascii="Verdana" w:eastAsia="Calibri" w:hAnsi="Verdana" w:cs="Arial"/>
                <w:b/>
                <w:color w:val="000000" w:themeColor="text1"/>
                <w:lang w:val="es-ES_tradnl" w:eastAsia="es-ES_tradnl"/>
              </w:rPr>
              <w:t>Radicación:</w:t>
            </w:r>
            <w:r w:rsidRPr="00C55BDE">
              <w:rPr>
                <w:rFonts w:ascii="Verdana" w:eastAsia="Calibri" w:hAnsi="Verdana" w:cs="Arial"/>
                <w:color w:val="000000" w:themeColor="text1"/>
                <w:lang w:val="es-ES_tradnl" w:eastAsia="es-ES_tradnl"/>
              </w:rPr>
              <w:t xml:space="preserve">               </w:t>
            </w:r>
          </w:p>
        </w:tc>
        <w:tc>
          <w:tcPr>
            <w:tcW w:w="6100" w:type="dxa"/>
          </w:tcPr>
          <w:p w14:paraId="3A5A663B" w14:textId="77777777" w:rsidR="00013201" w:rsidRPr="00C55BDE" w:rsidRDefault="00013201" w:rsidP="00902708">
            <w:pPr>
              <w:jc w:val="both"/>
              <w:rPr>
                <w:rFonts w:ascii="Verdana" w:hAnsi="Verdana" w:cs="Arial"/>
              </w:rPr>
            </w:pPr>
            <w:r w:rsidRPr="00C55BDE">
              <w:rPr>
                <w:rFonts w:ascii="Verdana" w:eastAsia="Calibri" w:hAnsi="Verdana" w:cs="Arial"/>
                <w:color w:val="000000" w:themeColor="text1"/>
                <w:lang w:val="es-ES_tradnl" w:eastAsia="es-ES_tradnl"/>
              </w:rPr>
              <w:t>Respuesta a consulta con radicado No.</w:t>
            </w:r>
            <w:r w:rsidRPr="00C55BDE">
              <w:rPr>
                <w:rFonts w:ascii="Verdana" w:hAnsi="Verdana"/>
              </w:rPr>
              <w:t xml:space="preserve"> </w:t>
            </w:r>
            <w:r w:rsidRPr="00411BDC">
              <w:rPr>
                <w:rFonts w:ascii="Verdana" w:hAnsi="Verdana"/>
              </w:rPr>
              <w:t>1_2025_10_28_012155</w:t>
            </w:r>
          </w:p>
          <w:p w14:paraId="3910B203" w14:textId="77777777" w:rsidR="00013201" w:rsidRPr="00C55BDE" w:rsidRDefault="00013201" w:rsidP="00902708">
            <w:pPr>
              <w:jc w:val="both"/>
              <w:rPr>
                <w:rFonts w:ascii="Verdana" w:hAnsi="Verdana"/>
                <w:color w:val="000000"/>
              </w:rPr>
            </w:pPr>
          </w:p>
        </w:tc>
      </w:tr>
    </w:tbl>
    <w:p w14:paraId="55BC3230" w14:textId="77777777" w:rsidR="00013201" w:rsidRPr="00C55BDE" w:rsidRDefault="00013201" w:rsidP="00013201">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Estimado</w:t>
      </w:r>
      <w:r>
        <w:rPr>
          <w:rFonts w:ascii="Verdana" w:eastAsia="Calibri" w:hAnsi="Verdana" w:cs="Arial"/>
          <w:color w:val="000000" w:themeColor="text1"/>
          <w:lang w:val="es-ES" w:eastAsia="es-ES"/>
        </w:rPr>
        <w:t xml:space="preserve"> (a)</w:t>
      </w:r>
      <w:r w:rsidRPr="00C55BDE">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 (a)</w:t>
      </w:r>
      <w:r w:rsidRPr="00C55BDE">
        <w:rPr>
          <w:rFonts w:ascii="Verdana" w:eastAsia="Calibri" w:hAnsi="Verdana" w:cs="Arial"/>
          <w:color w:val="000000" w:themeColor="text1"/>
          <w:lang w:val="es-ES" w:eastAsia="es-ES"/>
        </w:rPr>
        <w:t xml:space="preserve">: </w:t>
      </w:r>
    </w:p>
    <w:p w14:paraId="2FDE3414" w14:textId="77777777" w:rsidR="00013201" w:rsidRPr="00C55BDE" w:rsidRDefault="00013201" w:rsidP="00013201">
      <w:pPr>
        <w:spacing w:after="0"/>
        <w:rPr>
          <w:rFonts w:ascii="Verdana" w:eastAsia="Times New Roman" w:hAnsi="Verdana" w:cs="Segoe UI"/>
          <w:lang w:eastAsia="es-CO"/>
        </w:rPr>
      </w:pPr>
    </w:p>
    <w:p w14:paraId="7A80B888" w14:textId="77777777" w:rsidR="00013201" w:rsidRPr="00BA1D42" w:rsidRDefault="00013201" w:rsidP="00013201">
      <w:pPr>
        <w:spacing w:after="0" w:line="276" w:lineRule="auto"/>
        <w:jc w:val="both"/>
        <w:rPr>
          <w:rFonts w:ascii="Verdana" w:hAnsi="Verdana" w:cs="Arial"/>
          <w:color w:val="000000" w:themeColor="text1"/>
        </w:rPr>
      </w:pPr>
      <w:r w:rsidRPr="00C55BDE">
        <w:rPr>
          <w:rFonts w:ascii="Verdana" w:eastAsia="Calibri" w:hAnsi="Verdana" w:cs="Arial"/>
          <w:color w:val="000000" w:themeColor="text1"/>
          <w:lang w:val="es-ES" w:eastAsia="es-ES"/>
        </w:rPr>
        <w:t>En ejercicio de la competencia otorgada por los artículos 3, numeral 5º, y 11, numeral 8º, del Decreto Ley 4170 de 2011,</w:t>
      </w:r>
      <w:r w:rsidRPr="00C55BDE">
        <w:rPr>
          <w:rFonts w:ascii="Verdana" w:eastAsia="Arial MT" w:hAnsi="Verdana" w:cs="Arial MT"/>
          <w:color w:val="000000" w:themeColor="text1"/>
          <w:lang w:val="es-ES"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w:t>
      </w:r>
      <w:r w:rsidRPr="00C55BDE">
        <w:rPr>
          <w:rFonts w:ascii="Verdana" w:hAnsi="Verdana" w:cs="Arial"/>
          <w:color w:val="000000" w:themeColor="text1"/>
        </w:rPr>
        <w:t xml:space="preserve">, </w:t>
      </w:r>
      <w:r w:rsidRPr="00C55BDE">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28</w:t>
      </w:r>
      <w:r w:rsidRPr="00C55BDE">
        <w:rPr>
          <w:rFonts w:ascii="Verdana" w:eastAsia="Calibri" w:hAnsi="Verdana" w:cs="Arial"/>
          <w:color w:val="000000" w:themeColor="text1"/>
          <w:lang w:val="es-ES" w:eastAsia="es-ES"/>
        </w:rPr>
        <w:t xml:space="preserve"> de octubre del 2025, en la cual manifiesta lo siguiente: </w:t>
      </w:r>
    </w:p>
    <w:p w14:paraId="37342E5F" w14:textId="77777777" w:rsidR="00013201" w:rsidRPr="00C55BDE" w:rsidRDefault="00013201" w:rsidP="00013201">
      <w:pPr>
        <w:spacing w:after="0" w:line="276" w:lineRule="auto"/>
        <w:jc w:val="both"/>
        <w:rPr>
          <w:rFonts w:ascii="Verdana" w:eastAsia="Calibri" w:hAnsi="Verdana" w:cs="Arial"/>
          <w:color w:val="000000" w:themeColor="text1"/>
          <w:lang w:val="es-ES" w:eastAsia="es-ES"/>
        </w:rPr>
      </w:pPr>
    </w:p>
    <w:p w14:paraId="67E3BAD1" w14:textId="77777777" w:rsidR="00013201" w:rsidRPr="00C55BDE" w:rsidRDefault="00013201" w:rsidP="00013201">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r w:rsidRPr="00C55BDE">
        <w:rPr>
          <w:rFonts w:ascii="Verdana" w:eastAsia="Century Gothic" w:hAnsi="Verdana" w:cs="Century Gothic"/>
          <w:i/>
          <w:iCs/>
          <w:color w:val="000000" w:themeColor="text1"/>
          <w:sz w:val="20"/>
          <w:szCs w:val="20"/>
          <w:lang w:val="es-ES"/>
        </w:rPr>
        <w:t>“</w:t>
      </w:r>
      <w:bookmarkEnd w:id="1"/>
      <w:r w:rsidRPr="00F07CE6">
        <w:rPr>
          <w:rFonts w:ascii="Verdana" w:eastAsia="Century Gothic" w:hAnsi="Verdana" w:cs="Century Gothic"/>
          <w:i/>
          <w:iCs/>
          <w:color w:val="000000" w:themeColor="text1"/>
          <w:sz w:val="20"/>
          <w:szCs w:val="20"/>
        </w:rPr>
        <w:t xml:space="preserve">Teniendo en cuenta la Circular Externa 006 del 25 de septiembre de 2025, en la cual CCE en uso de sus facultades instruyó a las Entidades Estatales sobre la aplicación de las prohibiciones establecidas en el artículo 33 y el parágrafo del artículo 38 de la Ley 996 de 2005 “ Ley de Garantías Electorales ”, sin embargo revisada la referida Circular así como la Ley 996 de 2005, me surge la siguiente duda: ¿Un resguardo o una autoridad Indígena en el organigrama del Estado Colombiano se clasifica como una Entidad del orden territorial o nacional?, lo anterior teniendo en cuanta que la Ley es ambigua frente a ello, y como consecuencia saber si la </w:t>
      </w:r>
      <w:r w:rsidRPr="00F07CE6">
        <w:rPr>
          <w:rFonts w:ascii="Verdana" w:eastAsia="Century Gothic" w:hAnsi="Verdana" w:cs="Century Gothic"/>
          <w:i/>
          <w:iCs/>
          <w:color w:val="000000" w:themeColor="text1"/>
          <w:sz w:val="20"/>
          <w:szCs w:val="20"/>
        </w:rPr>
        <w:lastRenderedPageBreak/>
        <w:t>restricción para celebrar contratos y/o convenios interadministrativos entre una Entidad Pública del orden nacional y un resguardo o una autoridad Indígena inicia el 8 de noviembre de 2025, o en su defecto el 31 de enero de 2026, con ocasión a los comicios que se llevará cabo el próximo año.</w:t>
      </w:r>
      <w:r>
        <w:rPr>
          <w:rFonts w:ascii="Verdana" w:eastAsia="Century Gothic" w:hAnsi="Verdana" w:cs="Century Gothic"/>
          <w:i/>
          <w:iCs/>
          <w:color w:val="000000" w:themeColor="text1"/>
          <w:sz w:val="20"/>
          <w:szCs w:val="20"/>
        </w:rPr>
        <w:t>”</w:t>
      </w:r>
    </w:p>
    <w:p w14:paraId="2682C8A2" w14:textId="77777777" w:rsidR="00013201" w:rsidRPr="00C55BDE" w:rsidRDefault="00013201" w:rsidP="00013201">
      <w:pPr>
        <w:spacing w:after="0" w:line="240" w:lineRule="auto"/>
        <w:ind w:left="709" w:right="709"/>
        <w:jc w:val="both"/>
        <w:rPr>
          <w:rFonts w:ascii="Verdana" w:eastAsia="Times New Roman" w:hAnsi="Verdana" w:cs="Arial"/>
          <w:i/>
          <w:iCs/>
          <w:sz w:val="20"/>
          <w:szCs w:val="20"/>
          <w:lang w:eastAsia="es-ES_tradnl"/>
        </w:rPr>
      </w:pPr>
    </w:p>
    <w:p w14:paraId="0257A720" w14:textId="77777777" w:rsidR="00013201" w:rsidRPr="00C55BDE" w:rsidRDefault="00013201" w:rsidP="00013201">
      <w:pPr>
        <w:spacing w:after="120" w:line="276" w:lineRule="auto"/>
        <w:ind w:firstLine="709"/>
        <w:jc w:val="both"/>
        <w:rPr>
          <w:rFonts w:ascii="Verdana" w:eastAsia="Calibri" w:hAnsi="Verdana" w:cs="Arial"/>
          <w:color w:val="000000" w:themeColor="text1"/>
          <w:szCs w:val="24"/>
          <w:lang w:val="es-ES_tradnl" w:eastAsia="es-ES_tradnl"/>
        </w:rPr>
      </w:pPr>
      <w:r w:rsidRPr="00C55B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55BDE">
        <w:rPr>
          <w:rFonts w:ascii="Verdana" w:eastAsia="Calibri" w:hAnsi="Verdana" w:cs="Arial"/>
          <w:color w:val="000000" w:themeColor="text1"/>
          <w:szCs w:val="24"/>
          <w:lang w:val="es-ES_tradnl" w:eastAsia="es-ES_tradnl"/>
        </w:rPr>
        <w:tab/>
      </w:r>
    </w:p>
    <w:p w14:paraId="77B339E8" w14:textId="77777777" w:rsidR="00013201" w:rsidRPr="00C55BDE" w:rsidRDefault="00013201" w:rsidP="00013201">
      <w:pPr>
        <w:spacing w:after="0" w:line="276" w:lineRule="auto"/>
        <w:ind w:firstLine="709"/>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31C17DD5" w14:textId="77777777" w:rsidR="00013201" w:rsidRPr="00C55BDE" w:rsidRDefault="00013201" w:rsidP="00013201">
      <w:pPr>
        <w:spacing w:after="0" w:line="276" w:lineRule="auto"/>
        <w:jc w:val="both"/>
        <w:rPr>
          <w:rFonts w:ascii="Verdana" w:eastAsia="Calibri" w:hAnsi="Verdana" w:cs="Arial"/>
          <w:color w:val="000000" w:themeColor="text1"/>
          <w:lang w:val="es-ES" w:eastAsia="es-ES"/>
        </w:rPr>
      </w:pPr>
    </w:p>
    <w:p w14:paraId="67052B38" w14:textId="77777777" w:rsidR="00013201" w:rsidRPr="00C55BDE" w:rsidRDefault="00013201" w:rsidP="0001320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Problema planteado:</w:t>
      </w:r>
    </w:p>
    <w:p w14:paraId="4C57F130" w14:textId="77777777" w:rsidR="00013201" w:rsidRPr="00C55BDE" w:rsidRDefault="00013201" w:rsidP="00013201">
      <w:pPr>
        <w:tabs>
          <w:tab w:val="left" w:pos="426"/>
        </w:tabs>
        <w:spacing w:after="0" w:line="276" w:lineRule="auto"/>
        <w:jc w:val="both"/>
        <w:rPr>
          <w:rFonts w:ascii="Verdana" w:eastAsia="Century Gothic" w:hAnsi="Verdana" w:cs="Century Gothic"/>
          <w:color w:val="000000" w:themeColor="text1"/>
          <w:lang w:val="es-ES"/>
        </w:rPr>
      </w:pPr>
    </w:p>
    <w:p w14:paraId="64CCA337" w14:textId="77777777" w:rsidR="00013201" w:rsidRPr="00C55BDE" w:rsidRDefault="00013201" w:rsidP="00013201">
      <w:pPr>
        <w:spacing w:after="0" w:line="276" w:lineRule="auto"/>
        <w:jc w:val="both"/>
        <w:rPr>
          <w:rFonts w:ascii="Verdana" w:eastAsia="Century Gothic" w:hAnsi="Verdana" w:cs="Century Gothic"/>
          <w:color w:val="000000" w:themeColor="text1"/>
        </w:rPr>
      </w:pPr>
      <w:r w:rsidRPr="00C55BDE">
        <w:rPr>
          <w:rFonts w:ascii="Verdana" w:eastAsia="Century Gothic" w:hAnsi="Verdana" w:cs="Century Gothic"/>
          <w:color w:val="000000" w:themeColor="text1"/>
        </w:rPr>
        <w:t>De acuerdo con el contenido de su solicitud, esta Agencia resolverá los siguientes problemas jurídicos:</w:t>
      </w:r>
      <w:r>
        <w:rPr>
          <w:rFonts w:ascii="Verdana" w:eastAsia="Century Gothic" w:hAnsi="Verdana" w:cs="Century Gothic"/>
          <w:color w:val="000000" w:themeColor="text1"/>
        </w:rPr>
        <w:t xml:space="preserve"> </w:t>
      </w:r>
      <w:r w:rsidRPr="00C55BDE">
        <w:rPr>
          <w:rFonts w:ascii="Verdana" w:eastAsia="Century Gothic" w:hAnsi="Verdana" w:cs="Century Gothic"/>
          <w:color w:val="000000" w:themeColor="text1"/>
        </w:rPr>
        <w:t>¿</w:t>
      </w:r>
      <w:r>
        <w:rPr>
          <w:rFonts w:ascii="Verdana" w:eastAsia="Century Gothic" w:hAnsi="Verdana" w:cs="Century Gothic"/>
          <w:color w:val="000000" w:themeColor="text1"/>
        </w:rPr>
        <w:t xml:space="preserve">aplican las restricciones </w:t>
      </w:r>
      <w:r w:rsidRPr="00C55BDE">
        <w:rPr>
          <w:rFonts w:ascii="Verdana" w:eastAsia="Times New Roman" w:hAnsi="Verdana" w:cs="Arial"/>
          <w:lang w:eastAsia="es-CO"/>
        </w:rPr>
        <w:t>de la Ley de Garantías Electorales -</w:t>
      </w:r>
      <w:r w:rsidRPr="00C55BDE">
        <w:rPr>
          <w:rFonts w:ascii="Verdana" w:hAnsi="Verdana"/>
          <w:iCs/>
        </w:rPr>
        <w:t xml:space="preserve"> Ley 996 de 2005</w:t>
      </w:r>
      <w:r>
        <w:rPr>
          <w:rFonts w:ascii="Verdana" w:hAnsi="Verdana"/>
          <w:iCs/>
        </w:rPr>
        <w:t xml:space="preserve"> a los convenios o contratos interadministrativos que se celebren entre entidades estatales y los resguardos indígenas</w:t>
      </w:r>
      <w:r w:rsidRPr="00C55BDE">
        <w:rPr>
          <w:rFonts w:ascii="Verdana" w:hAnsi="Verdana"/>
          <w:iCs/>
        </w:rPr>
        <w:t>?</w:t>
      </w:r>
    </w:p>
    <w:p w14:paraId="199E5A96" w14:textId="77777777" w:rsidR="00013201" w:rsidRPr="00C55BDE" w:rsidRDefault="00013201" w:rsidP="00013201">
      <w:pPr>
        <w:spacing w:after="0" w:line="276" w:lineRule="auto"/>
        <w:jc w:val="both"/>
        <w:rPr>
          <w:rFonts w:ascii="Verdana" w:eastAsia="Century Gothic" w:hAnsi="Verdana" w:cs="Century Gothic"/>
          <w:color w:val="000000" w:themeColor="text1"/>
        </w:rPr>
      </w:pPr>
    </w:p>
    <w:p w14:paraId="6B05EBA8" w14:textId="77777777" w:rsidR="00013201" w:rsidRPr="00C55BDE" w:rsidRDefault="00013201" w:rsidP="000132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5D2E6A97" w14:textId="77777777" w:rsidR="00013201" w:rsidRPr="00C55BDE" w:rsidRDefault="00013201" w:rsidP="0001320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13201" w:rsidRPr="00C55BDE" w14:paraId="66FF4AEF" w14:textId="77777777" w:rsidTr="00902708">
        <w:tc>
          <w:tcPr>
            <w:tcW w:w="8828" w:type="dxa"/>
          </w:tcPr>
          <w:p w14:paraId="58BC05AF" w14:textId="77777777" w:rsidR="00013201" w:rsidRPr="00C55BDE" w:rsidRDefault="00013201" w:rsidP="00902708">
            <w:pPr>
              <w:spacing w:after="120" w:line="276" w:lineRule="auto"/>
              <w:jc w:val="both"/>
              <w:rPr>
                <w:rFonts w:ascii="Verdana" w:eastAsia="Calibri" w:hAnsi="Verdana" w:cs="Arial"/>
                <w:lang w:val="es-ES"/>
              </w:rPr>
            </w:pPr>
            <w:r w:rsidRPr="00C55BDE">
              <w:rPr>
                <w:rFonts w:ascii="Verdana" w:eastAsia="Calibri" w:hAnsi="Verdana" w:cs="Arial"/>
                <w:lang w:val="es-ES"/>
              </w:rPr>
              <w:t xml:space="preserve">Las normas </w:t>
            </w:r>
            <w:r>
              <w:rPr>
                <w:rFonts w:ascii="Verdana" w:eastAsia="Calibri" w:hAnsi="Verdana" w:cs="Arial"/>
                <w:lang w:val="es-ES"/>
              </w:rPr>
              <w:t>analizadas en este concepto</w:t>
            </w:r>
            <w:r w:rsidRPr="00C55BDE">
              <w:rPr>
                <w:rFonts w:ascii="Verdana" w:eastAsia="Calibri" w:hAnsi="Verdana" w:cs="Arial"/>
                <w:lang w:val="es-ES"/>
              </w:rPr>
              <w:t xml:space="preserve">, por un lado, conciben a los resguardos indígenas como una instituciones legales y sociopolíticas de carácter especial, que pueden estar conformadas por una o más comunidades </w:t>
            </w:r>
            <w:r w:rsidRPr="00C55BDE">
              <w:rPr>
                <w:rFonts w:ascii="Verdana" w:eastAsia="Calibri" w:hAnsi="Verdana" w:cs="Arial"/>
                <w:lang w:val="es-ES"/>
              </w:rPr>
              <w:lastRenderedPageBreak/>
              <w:t>indígenas, que 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resguardos indígenas no tienen el carácter de Entidades Estatales en el marco del Estatuto General de Contratación de la Administración Pública, ni tampoco tienen capacidad para contratar a luz del artículo 6 de la Ley 80 de 1993.</w:t>
            </w:r>
          </w:p>
          <w:p w14:paraId="4032FAD1" w14:textId="77777777" w:rsidR="00013201" w:rsidRPr="00C55BDE" w:rsidRDefault="00013201" w:rsidP="00902708">
            <w:pPr>
              <w:spacing w:after="120" w:line="276" w:lineRule="auto"/>
              <w:jc w:val="both"/>
              <w:rPr>
                <w:rFonts w:ascii="Verdana" w:eastAsia="Calibri" w:hAnsi="Verdana" w:cs="Arial"/>
                <w:lang w:val="es-ES"/>
              </w:rPr>
            </w:pPr>
            <w:r w:rsidRPr="00C55BDE">
              <w:rPr>
                <w:rFonts w:ascii="Verdana" w:eastAsia="Calibri" w:hAnsi="Verdana" w:cs="Arial"/>
                <w:lang w:val="es-ES"/>
              </w:rPr>
              <w:tab/>
              <w:t>No obstante, el régimen para la transitoria puesta en marcha de los territorios indígenas establecido por el Decreto autónomo 1953 de 2014, a efectos de garantizar la distribución de los recursos de asignación especial del Sistema General de Participaciones</w:t>
            </w:r>
            <w:r>
              <w:rPr>
                <w:rFonts w:ascii="Verdana" w:eastAsia="Calibri" w:hAnsi="Verdana" w:cs="Arial"/>
                <w:lang w:val="es-ES"/>
              </w:rPr>
              <w:t xml:space="preserve"> </w:t>
            </w:r>
            <w:r w:rsidRPr="00C55BDE">
              <w:rPr>
                <w:rFonts w:ascii="Verdana" w:hAnsi="Verdana"/>
              </w:rPr>
              <w:t>-AESGPRI-</w:t>
            </w:r>
            <w:r>
              <w:rPr>
                <w:rFonts w:ascii="Verdana" w:hAnsi="Verdana"/>
              </w:rPr>
              <w:t>,</w:t>
            </w:r>
            <w:r w:rsidRPr="00C55BDE">
              <w:rPr>
                <w:rFonts w:ascii="Verdana" w:hAnsi="Verdana"/>
              </w:rPr>
              <w:t xml:space="preserve"> </w:t>
            </w:r>
            <w:r w:rsidRPr="00C55BDE">
              <w:rPr>
                <w:rFonts w:ascii="Verdana" w:eastAsia="Calibri" w:hAnsi="Verdana" w:cs="Arial"/>
                <w:lang w:val="es-ES"/>
              </w:rPr>
              <w:t xml:space="preserve">que corresponden a los pueblos indígenas, 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Entidades Estatales de acuerdo con el artículo 2 de la Ley 80 de 1993. No obstante, la capacidad jurídica que deriva de este artículo está limitada a lo relacionado con el ejercicio de las funciones públicas y la ejecución de recursos de los que trata el decreto.   </w:t>
            </w:r>
          </w:p>
          <w:p w14:paraId="7ECD0182" w14:textId="77777777" w:rsidR="00013201" w:rsidRDefault="00013201" w:rsidP="00902708">
            <w:pPr>
              <w:spacing w:after="120" w:line="276" w:lineRule="auto"/>
              <w:ind w:firstLine="743"/>
              <w:jc w:val="both"/>
              <w:rPr>
                <w:rFonts w:ascii="Verdana" w:eastAsia="Calibri" w:hAnsi="Verdana" w:cs="Arial"/>
                <w:lang w:val="es-ES"/>
              </w:rPr>
            </w:pPr>
            <w:r w:rsidRPr="00C55BDE">
              <w:rPr>
                <w:rFonts w:ascii="Verdana" w:eastAsia="Calibri" w:hAnsi="Verdana" w:cs="Arial"/>
                <w:lang w:val="es-ES"/>
              </w:rPr>
              <w:t xml:space="preserve">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w:t>
            </w:r>
            <w:r w:rsidRPr="00C55BDE">
              <w:rPr>
                <w:rFonts w:ascii="Verdana" w:eastAsia="Calibri" w:hAnsi="Verdana" w:cs="Arial"/>
                <w:lang w:val="es-ES"/>
              </w:rPr>
              <w:lastRenderedPageBreak/>
              <w:t>funciones que les asigna el decreto</w:t>
            </w:r>
            <w:r w:rsidRPr="00C55BDE">
              <w:rPr>
                <w:rStyle w:val="Refdenotaalpie"/>
                <w:rFonts w:ascii="Verdana" w:eastAsia="Calibri" w:hAnsi="Verdana" w:cs="Arial"/>
                <w:lang w:val="es-ES"/>
              </w:rPr>
              <w:footnoteReference w:id="1"/>
            </w:r>
            <w:r w:rsidRPr="00C55BDE">
              <w:rPr>
                <w:rFonts w:ascii="Verdana" w:eastAsia="Calibri" w:hAnsi="Verdana" w:cs="Arial"/>
                <w:lang w:val="es-ES"/>
              </w:rPr>
              <w:t xml:space="preserve">, prevalentemente relacionadas con la ejecución y administración de recursos del Sistema General de Participaciones, por lo que no estarían facultados para ejecutar negocios jurídicos no relacionados con tales atribuciones. </w:t>
            </w:r>
          </w:p>
          <w:p w14:paraId="19BFD369" w14:textId="77777777" w:rsidR="00013201" w:rsidRPr="0053094D" w:rsidRDefault="00013201" w:rsidP="00902708">
            <w:pPr>
              <w:spacing w:after="120" w:line="276" w:lineRule="auto"/>
              <w:ind w:firstLine="743"/>
              <w:jc w:val="both"/>
              <w:rPr>
                <w:rFonts w:ascii="Verdana" w:eastAsia="Calibri" w:hAnsi="Verdana" w:cs="Arial"/>
                <w:lang w:val="es-ES"/>
              </w:rPr>
            </w:pPr>
            <w:r>
              <w:rPr>
                <w:rFonts w:ascii="Verdana" w:hAnsi="Verdana"/>
              </w:rPr>
              <w:t>T</w:t>
            </w:r>
            <w:r w:rsidRPr="00C55BDE">
              <w:rPr>
                <w:rFonts w:ascii="Verdana" w:hAnsi="Verdana"/>
              </w:rPr>
              <w:t>ratándose de recursos -AESGPRI-</w:t>
            </w:r>
            <w:r>
              <w:rPr>
                <w:rFonts w:ascii="Verdana" w:hAnsi="Verdana"/>
              </w:rPr>
              <w:t>,</w:t>
            </w:r>
            <w:r w:rsidRPr="00C55BDE">
              <w:rPr>
                <w:rFonts w:ascii="Verdana" w:hAnsi="Verdana"/>
              </w:rPr>
              <w:t xml:space="preserve"> debe tenerse </w:t>
            </w:r>
            <w:r>
              <w:rPr>
                <w:rFonts w:ascii="Verdana" w:hAnsi="Verdana"/>
              </w:rPr>
              <w:t>en</w:t>
            </w:r>
            <w:r w:rsidRPr="00C55BDE">
              <w:rPr>
                <w:rFonts w:ascii="Verdana" w:hAnsi="Verdana"/>
              </w:rPr>
              <w:t xml:space="preserve"> </w:t>
            </w:r>
            <w:r>
              <w:rPr>
                <w:rFonts w:ascii="Verdana" w:hAnsi="Verdana"/>
              </w:rPr>
              <w:t xml:space="preserve">cuenta </w:t>
            </w:r>
            <w:r w:rsidRPr="00C55BDE">
              <w:rPr>
                <w:rFonts w:ascii="Verdana" w:hAnsi="Verdana"/>
              </w:rPr>
              <w:t>que</w:t>
            </w:r>
            <w:r>
              <w:rPr>
                <w:rFonts w:ascii="Verdana" w:hAnsi="Verdana"/>
              </w:rPr>
              <w:t>,</w:t>
            </w:r>
            <w:r w:rsidRPr="00C55BDE">
              <w:rPr>
                <w:rFonts w:ascii="Verdana" w:hAnsi="Verdana"/>
              </w:rPr>
              <w:t xml:space="preserve"> </w:t>
            </w:r>
            <w:r>
              <w:rPr>
                <w:rFonts w:ascii="Verdana" w:hAnsi="Verdana"/>
              </w:rPr>
              <w:t>según dispone el</w:t>
            </w:r>
            <w:r w:rsidRPr="00C55BDE">
              <w:rPr>
                <w:rFonts w:ascii="Verdana" w:hAnsi="Verdana"/>
              </w:rPr>
              <w:t xml:space="preserve"> artículo 83 de la Ley 715 de 2001</w:t>
            </w:r>
            <w:r>
              <w:rPr>
                <w:rFonts w:ascii="Verdana" w:hAnsi="Verdana"/>
              </w:rPr>
              <w:t>,</w:t>
            </w:r>
            <w:r w:rsidRPr="00C55BDE">
              <w:rPr>
                <w:rFonts w:ascii="Verdana" w:hAnsi="Verdana"/>
              </w:rPr>
              <w:t xml:space="preserve"> estos</w:t>
            </w:r>
            <w:r>
              <w:rPr>
                <w:rFonts w:ascii="Verdana" w:hAnsi="Verdana"/>
              </w:rPr>
              <w:t xml:space="preserve"> deben ser</w:t>
            </w:r>
            <w:r w:rsidRPr="00C55BDE">
              <w:rPr>
                <w:rFonts w:ascii="Verdana" w:hAnsi="Verdana"/>
              </w:rPr>
              <w:t xml:space="preserve"> girados a cada uno de los municipios en proporción a la población indígena que comprenda y que para su ejecución deberá celebrarse un contrato entre la entidad territorial y las autoridades del resguardo, </w:t>
            </w:r>
            <w:r w:rsidRPr="00C55BDE">
              <w:rPr>
                <w:rFonts w:ascii="Verdana" w:hAnsi="Verdana"/>
                <w:i/>
                <w:iCs/>
              </w:rPr>
              <w:t>antes del 31 de diciembre de cada año</w:t>
            </w:r>
            <w:r w:rsidRPr="00C55BDE">
              <w:rPr>
                <w:rFonts w:ascii="Verdana" w:hAnsi="Verdana"/>
              </w:rPr>
              <w:t>, en la que se determine el uso de los recursos en el año siguiente. Copia de dicho contrato se enviará antes del 20 de enero al Ministerio del Interior.</w:t>
            </w:r>
          </w:p>
          <w:p w14:paraId="6F1E2E4C" w14:textId="77777777" w:rsidR="00013201" w:rsidRDefault="00013201" w:rsidP="00902708">
            <w:pPr>
              <w:spacing w:before="120" w:after="120" w:line="276" w:lineRule="auto"/>
              <w:ind w:firstLine="709"/>
              <w:jc w:val="both"/>
              <w:rPr>
                <w:rFonts w:ascii="Verdana" w:eastAsia="Times New Roman" w:hAnsi="Verdana" w:cs="Arial"/>
                <w:lang w:eastAsia="es-CO"/>
              </w:rPr>
            </w:pPr>
            <w:r>
              <w:rPr>
                <w:rFonts w:ascii="Verdana" w:hAnsi="Verdana" w:cs="Arial"/>
                <w:lang w:val="es-ES"/>
              </w:rPr>
              <w:t>Ahora bien</w:t>
            </w:r>
            <w:r w:rsidRPr="00C55BDE">
              <w:rPr>
                <w:rFonts w:ascii="Verdana" w:hAnsi="Verdana" w:cs="Arial"/>
                <w:lang w:val="es-ES"/>
              </w:rPr>
              <w:t xml:space="preserve">, en lo que respecta a lo dispuesto en el parágrafo </w:t>
            </w:r>
            <w:r w:rsidRPr="00C55BDE">
              <w:rPr>
                <w:rFonts w:ascii="Verdana" w:eastAsia="Times New Roman" w:hAnsi="Verdana" w:cs="Arial"/>
                <w:lang w:eastAsia="es-CO"/>
              </w:rPr>
              <w:t xml:space="preserve">del artículo 38 de la Ley 996 de 2005, se precisa que, este prohíbe a los </w:t>
            </w:r>
            <w:proofErr w:type="gramStart"/>
            <w:r w:rsidRPr="00C55BDE">
              <w:rPr>
                <w:rFonts w:ascii="Verdana" w:eastAsia="Times New Roman" w:hAnsi="Verdana" w:cs="Arial"/>
                <w:lang w:eastAsia="es-CO"/>
              </w:rPr>
              <w:t>Alcaldes</w:t>
            </w:r>
            <w:proofErr w:type="gramEnd"/>
            <w:r w:rsidRPr="00C55BDE">
              <w:rPr>
                <w:rFonts w:ascii="Verdana" w:eastAsia="Times New Roman" w:hAnsi="Verdana" w:cs="Arial"/>
                <w:lang w:eastAsia="es-CO"/>
              </w:rPr>
              <w:t xml:space="preserve">, Gobernadores, </w:t>
            </w:r>
            <w:proofErr w:type="gramStart"/>
            <w:r w:rsidRPr="00C55BDE">
              <w:rPr>
                <w:rFonts w:ascii="Verdana" w:eastAsia="Times New Roman" w:hAnsi="Verdana" w:cs="Arial"/>
                <w:lang w:eastAsia="es-CO"/>
              </w:rPr>
              <w:t>Secretarios</w:t>
            </w:r>
            <w:proofErr w:type="gramEnd"/>
            <w:r w:rsidRPr="00C55BDE">
              <w:rPr>
                <w:rFonts w:ascii="Verdana" w:eastAsia="Times New Roman" w:hAnsi="Verdana" w:cs="Arial"/>
                <w:lang w:eastAsia="es-CO"/>
              </w:rPr>
              <w:t xml:space="preserve">, Gerentes y </w:t>
            </w:r>
            <w:proofErr w:type="gramStart"/>
            <w:r w:rsidRPr="00C55BDE">
              <w:rPr>
                <w:rFonts w:ascii="Verdana" w:eastAsia="Times New Roman" w:hAnsi="Verdana" w:cs="Arial"/>
                <w:lang w:eastAsia="es-CO"/>
              </w:rPr>
              <w:t>Directores</w:t>
            </w:r>
            <w:proofErr w:type="gramEnd"/>
            <w:r w:rsidRPr="00C55BDE">
              <w:rPr>
                <w:rFonts w:ascii="Verdana" w:eastAsia="Times New Roman" w:hAnsi="Verdana" w:cs="Arial"/>
                <w:lang w:eastAsia="es-CO"/>
              </w:rPr>
              <w:t xml:space="preserve"> de las entidades del orden municipal, departamental o distrital celebrar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w:t>
            </w:r>
            <w:r w:rsidRPr="00C55BDE">
              <w:rPr>
                <w:rFonts w:ascii="Verdana" w:eastAsia="Times New Roman" w:hAnsi="Verdana" w:cs="Arial"/>
                <w:i/>
                <w:iCs/>
                <w:lang w:eastAsia="es-CO"/>
              </w:rPr>
              <w:t>para la ejecución de recursos públicos</w:t>
            </w:r>
            <w:r w:rsidRPr="00C55BDE">
              <w:rPr>
                <w:rFonts w:ascii="Verdana" w:eastAsia="Times New Roman" w:hAnsi="Verdana" w:cs="Arial"/>
                <w:lang w:eastAsia="es-CO"/>
              </w:rPr>
              <w:t xml:space="preserve">. En este sentido, si una o ambas partes de la relación contractual es una entidad de aquellas descritas en el parágrafo </w:t>
            </w:r>
            <w:r w:rsidRPr="00C55BDE">
              <w:rPr>
                <w:rFonts w:ascii="Verdana" w:eastAsia="Times New Roman" w:hAnsi="Verdana" w:cs="Arial"/>
                <w:i/>
                <w:lang w:eastAsia="es-CO"/>
              </w:rPr>
              <w:t>ibidem</w:t>
            </w:r>
            <w:r w:rsidRPr="00C55BDE">
              <w:rPr>
                <w:rFonts w:ascii="Verdana" w:eastAsia="Times New Roman" w:hAnsi="Verdana" w:cs="Arial"/>
                <w:lang w:eastAsia="es-CO"/>
              </w:rPr>
              <w:t xml:space="preserve">, no podrá celebrar tales </w:t>
            </w:r>
            <w:r w:rsidRPr="00C55BDE">
              <w:rPr>
                <w:rFonts w:ascii="Verdana" w:eastAsia="Times New Roman" w:hAnsi="Verdana" w:cs="Arial"/>
                <w:i/>
                <w:iCs/>
                <w:lang w:eastAsia="es-CO"/>
              </w:rPr>
              <w:t>convenios</w:t>
            </w:r>
            <w:r w:rsidRPr="00C55BDE">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73E2FA90" w14:textId="77777777" w:rsidR="00013201" w:rsidRDefault="00013201" w:rsidP="00902708">
            <w:pPr>
              <w:spacing w:before="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Además, respecto de los sujetos </w:t>
            </w:r>
            <w:r w:rsidRPr="005173C4">
              <w:rPr>
                <w:rFonts w:ascii="Verdana" w:eastAsia="Times New Roman" w:hAnsi="Verdana" w:cs="Arial"/>
                <w:lang w:eastAsia="es-CO"/>
              </w:rPr>
              <w:t>que tienen prohibido celebrar convenios interadministrativos</w:t>
            </w:r>
            <w:r>
              <w:rPr>
                <w:rFonts w:ascii="Verdana" w:eastAsia="Times New Roman" w:hAnsi="Verdana" w:cs="Arial"/>
                <w:lang w:eastAsia="es-CO"/>
              </w:rPr>
              <w:t xml:space="preserve"> se precisa que</w:t>
            </w:r>
            <w:r w:rsidRPr="005173C4">
              <w:rPr>
                <w:rFonts w:ascii="Verdana" w:eastAsia="Times New Roman" w:hAnsi="Verdana" w:cs="Arial"/>
                <w:lang w:eastAsia="es-CO"/>
              </w:rPr>
              <w:t xml:space="preserve"> </w:t>
            </w:r>
            <w:r>
              <w:rPr>
                <w:rFonts w:ascii="Verdana" w:eastAsia="Times New Roman" w:hAnsi="Verdana" w:cs="Arial"/>
                <w:lang w:eastAsia="es-CO"/>
              </w:rPr>
              <w:t>“l</w:t>
            </w:r>
            <w:r w:rsidRPr="005173C4">
              <w:rPr>
                <w:rFonts w:ascii="Verdana" w:eastAsia="Times New Roman" w:hAnsi="Verdana" w:cs="Arial"/>
                <w:lang w:eastAsia="es-CO"/>
              </w:rPr>
              <w:t xml:space="preserve">a norma señala expresamente los sujetos a quienes aplica la prohibición, es decir: a los </w:t>
            </w:r>
            <w:proofErr w:type="gramStart"/>
            <w:r w:rsidRPr="00C54178">
              <w:rPr>
                <w:rFonts w:ascii="Verdana" w:eastAsia="Times New Roman" w:hAnsi="Verdana" w:cs="Arial"/>
                <w:i/>
                <w:iCs/>
                <w:lang w:eastAsia="es-CO"/>
              </w:rPr>
              <w:t>Alcaldes</w:t>
            </w:r>
            <w:proofErr w:type="gramEnd"/>
            <w:r w:rsidRPr="00C54178">
              <w:rPr>
                <w:rFonts w:ascii="Verdana" w:eastAsia="Times New Roman" w:hAnsi="Verdana" w:cs="Arial"/>
                <w:i/>
                <w:iCs/>
                <w:lang w:eastAsia="es-CO"/>
              </w:rPr>
              <w:t xml:space="preserve">, </w:t>
            </w:r>
            <w:r w:rsidRPr="00C54178">
              <w:rPr>
                <w:rFonts w:ascii="Verdana" w:eastAsia="Times New Roman" w:hAnsi="Verdana" w:cs="Arial"/>
                <w:i/>
                <w:iCs/>
                <w:lang w:eastAsia="es-CO"/>
              </w:rPr>
              <w:lastRenderedPageBreak/>
              <w:t xml:space="preserve">Gobernadores, </w:t>
            </w:r>
            <w:proofErr w:type="gramStart"/>
            <w:r w:rsidRPr="00C54178">
              <w:rPr>
                <w:rFonts w:ascii="Verdana" w:eastAsia="Times New Roman" w:hAnsi="Verdana" w:cs="Arial"/>
                <w:i/>
                <w:iCs/>
                <w:lang w:eastAsia="es-CO"/>
              </w:rPr>
              <w:t>Secretarios</w:t>
            </w:r>
            <w:proofErr w:type="gramEnd"/>
            <w:r w:rsidRPr="00C54178">
              <w:rPr>
                <w:rFonts w:ascii="Verdana" w:eastAsia="Times New Roman" w:hAnsi="Verdana" w:cs="Arial"/>
                <w:i/>
                <w:iCs/>
                <w:lang w:eastAsia="es-CO"/>
              </w:rPr>
              <w:t xml:space="preserve">, Gerentes y </w:t>
            </w:r>
            <w:proofErr w:type="gramStart"/>
            <w:r w:rsidRPr="00C54178">
              <w:rPr>
                <w:rFonts w:ascii="Verdana" w:eastAsia="Times New Roman" w:hAnsi="Verdana" w:cs="Arial"/>
                <w:i/>
                <w:iCs/>
                <w:lang w:eastAsia="es-CO"/>
              </w:rPr>
              <w:t>Directores</w:t>
            </w:r>
            <w:proofErr w:type="gramEnd"/>
            <w:r w:rsidRPr="00C54178">
              <w:rPr>
                <w:rFonts w:ascii="Verdana" w:eastAsia="Times New Roman" w:hAnsi="Verdana" w:cs="Arial"/>
                <w:i/>
                <w:iCs/>
                <w:lang w:eastAsia="es-CO"/>
              </w:rPr>
              <w:t xml:space="preserve"> de las entidades descentralizadas del orden municipal, departamental o distrital</w:t>
            </w:r>
            <w:r w:rsidRPr="005173C4">
              <w:rPr>
                <w:rFonts w:ascii="Verdana" w:eastAsia="Times New Roman" w:hAnsi="Verdana" w:cs="Arial"/>
                <w:lang w:eastAsia="es-CO"/>
              </w:rPr>
              <w:t>. En consecuencia, no se extiende a sujetos adicionales o distintos a los referidos, de modo que no cobija a todos los entes públicos que tienen la facultad de contratar, como ocurre con la prohibición del artículo 33</w:t>
            </w:r>
            <w:r>
              <w:rPr>
                <w:rFonts w:ascii="Verdana" w:eastAsia="Times New Roman" w:hAnsi="Verdana" w:cs="Arial"/>
                <w:lang w:eastAsia="es-CO"/>
              </w:rPr>
              <w:t>”</w:t>
            </w:r>
            <w:r w:rsidRPr="005173C4">
              <w:rPr>
                <w:rFonts w:ascii="Verdana" w:eastAsia="Times New Roman" w:hAnsi="Verdana" w:cs="Arial"/>
                <w:lang w:eastAsia="es-CO"/>
              </w:rPr>
              <w:t>.</w:t>
            </w:r>
            <w:r>
              <w:rPr>
                <w:rFonts w:ascii="Verdana" w:eastAsia="Times New Roman" w:hAnsi="Verdana" w:cs="Arial"/>
                <w:lang w:eastAsia="es-CO"/>
              </w:rPr>
              <w:t xml:space="preserve"> </w:t>
            </w:r>
          </w:p>
          <w:p w14:paraId="65B36850" w14:textId="77777777" w:rsidR="00013201" w:rsidRDefault="00013201" w:rsidP="00902708">
            <w:pPr>
              <w:spacing w:before="12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Así, a la luz de lo analizado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00C55BDE">
              <w:rPr>
                <w:rFonts w:ascii="Verdana" w:eastAsia="Arial" w:hAnsi="Verdana" w:cs="Arial"/>
                <w:lang w:eastAsia="es-ES" w:bidi="es-ES"/>
              </w:rPr>
              <w:t xml:space="preserve">de suspensión provisional parcial del </w:t>
            </w:r>
            <w:r w:rsidRPr="00C55BDE">
              <w:rPr>
                <w:rFonts w:ascii="Verdana" w:hAnsi="Verdana" w:cs="Arial"/>
              </w:rPr>
              <w:t xml:space="preserve">numeral 16.2 de la Circular Externa Única de 2022 expedida por la Agencia Nacional de Contratación Pública -Colombia Compra Eficiente-, y </w:t>
            </w:r>
            <w:r w:rsidRPr="00C55BDE">
              <w:rPr>
                <w:rFonts w:ascii="Verdana" w:eastAsia="Arial" w:hAnsi="Verdana" w:cs="Arial"/>
                <w:lang w:eastAsia="es-ES" w:bidi="es-ES"/>
              </w:rPr>
              <w:t>de los apartes cuestionados del inciso segundo y del inciso cuarto del numeral 16.2 de la Circular Externa Única, versión 3 del 27 de diciembre de 2023,</w:t>
            </w:r>
            <w:r w:rsidRPr="00C55BDE">
              <w:rPr>
                <w:rFonts w:ascii="Verdana" w:eastAsia="Times New Roman" w:hAnsi="Verdana" w:cs="Arial"/>
                <w:lang w:eastAsia="es-CO"/>
              </w:rPr>
              <w:t xml:space="preserve"> no resultaría aplicable la prohibición del parágrafo del artículo 38 de la Ley de Garantías Electorales a los </w:t>
            </w:r>
            <w:r w:rsidRPr="00C55BDE">
              <w:rPr>
                <w:rFonts w:ascii="Verdana" w:eastAsia="Times New Roman" w:hAnsi="Verdana" w:cs="Arial"/>
                <w:i/>
                <w:lang w:eastAsia="es-CO"/>
              </w:rPr>
              <w:t>contratos interadministrativos</w:t>
            </w:r>
            <w:r w:rsidRPr="00C55BDE">
              <w:rPr>
                <w:rFonts w:ascii="Verdana" w:eastAsia="Times New Roman" w:hAnsi="Verdana" w:cs="Arial"/>
                <w:lang w:eastAsia="es-CO"/>
              </w:rPr>
              <w:t>.</w:t>
            </w:r>
          </w:p>
          <w:p w14:paraId="2EB5A499" w14:textId="77777777" w:rsidR="00013201" w:rsidRPr="00C55BDE" w:rsidRDefault="00013201" w:rsidP="00902708">
            <w:pPr>
              <w:spacing w:before="12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De lo expuesto, conforme a lo señalado por el Consejo de Estado, cuando dos entidades públicas celebren un </w:t>
            </w:r>
            <w:r w:rsidRPr="00C55BDE">
              <w:rPr>
                <w:rFonts w:ascii="Verdana" w:eastAsia="Times New Roman" w:hAnsi="Verdana" w:cs="Arial"/>
                <w:i/>
                <w:iCs/>
                <w:lang w:eastAsia="es-CO"/>
              </w:rPr>
              <w:t>contrato interadministrativo,</w:t>
            </w:r>
            <w:r w:rsidRPr="00C55BDE">
              <w:rPr>
                <w:rFonts w:ascii="Verdana" w:eastAsia="Times New Roman" w:hAnsi="Verdana" w:cs="Arial"/>
                <w:lang w:eastAsia="es-CO"/>
              </w:rPr>
              <w:t xml:space="preserve"> independientemente del objeto, dicho contrato puede suscribirse durante el periodo preelectoral. No obstante, es importante mencionar que aún se encuentra por definir la demanda </w:t>
            </w:r>
            <w:r w:rsidRPr="00C55BDE">
              <w:rPr>
                <w:rFonts w:ascii="Verdana" w:eastAsia="Calibri" w:hAnsi="Verdana" w:cs="Arial"/>
                <w:lang w:val="es-ES" w:eastAsia="es-ES"/>
              </w:rPr>
              <w:t xml:space="preserve">de nulidad simple, identificada con el Radicado número 11001-03-26-000-2025-00016-00, en la cual se cuestiona </w:t>
            </w:r>
            <w:r w:rsidRPr="00C55BDE">
              <w:rPr>
                <w:rFonts w:ascii="Verdana" w:eastAsia="Calibri" w:hAnsi="Verdana" w:cs="Arial"/>
                <w:lang w:eastAsia="es-ES"/>
              </w:rPr>
              <w:t>parcialmente el numeral 16.2 de la Circular Externa Única CCE-EICP-MA-06, Versión 03 del 27 de diciembre de 2023.</w:t>
            </w:r>
            <w:r w:rsidRPr="00C55BDE">
              <w:rPr>
                <w:rFonts w:ascii="Verdana" w:eastAsia="Calibri" w:hAnsi="Verdana" w:cs="Arial"/>
                <w:lang w:val="es-ES" w:eastAsia="es-ES"/>
              </w:rPr>
              <w:t xml:space="preserve"> </w:t>
            </w:r>
          </w:p>
          <w:p w14:paraId="09784BC4" w14:textId="77777777" w:rsidR="00013201" w:rsidRPr="00C55BDE" w:rsidRDefault="00013201" w:rsidP="00902708">
            <w:pPr>
              <w:spacing w:before="120" w:after="120" w:line="276" w:lineRule="auto"/>
              <w:ind w:firstLine="709"/>
              <w:jc w:val="both"/>
              <w:rPr>
                <w:rFonts w:ascii="Verdana" w:eastAsia="Times New Roman" w:hAnsi="Verdana" w:cs="Arial"/>
                <w:lang w:eastAsia="es-CO"/>
              </w:rPr>
            </w:pPr>
            <w:r w:rsidRPr="00C55BDE">
              <w:rPr>
                <w:rFonts w:ascii="Verdana" w:eastAsia="Arial" w:hAnsi="Verdana" w:cs="Arial"/>
                <w:bCs/>
                <w:color w:val="000000" w:themeColor="text1"/>
              </w:rPr>
              <w:t xml:space="preserve">En todo caso, vale anotar que es responsabilidad del respectivo ente del Estado examinar </w:t>
            </w:r>
            <w:r w:rsidRPr="00C55BDE">
              <w:rPr>
                <w:rFonts w:ascii="Verdana" w:eastAsia="Arial" w:hAnsi="Verdana" w:cs="Arial"/>
                <w:color w:val="000000" w:themeColor="text1"/>
              </w:rPr>
              <w:t>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6AEA9D85" w14:textId="77777777" w:rsidR="00013201" w:rsidRPr="00C55BDE" w:rsidRDefault="00013201" w:rsidP="0001320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5A9EA55" w14:textId="77777777" w:rsidR="00013201" w:rsidRPr="00C55BDE" w:rsidRDefault="00013201" w:rsidP="000132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228F91D4" w14:textId="77777777" w:rsidR="00013201" w:rsidRPr="00C55BDE" w:rsidRDefault="00013201" w:rsidP="00013201">
      <w:pPr>
        <w:spacing w:after="0" w:line="276" w:lineRule="auto"/>
        <w:jc w:val="both"/>
        <w:rPr>
          <w:rFonts w:ascii="Verdana" w:eastAsia="Calibri" w:hAnsi="Verdana" w:cs="Arial"/>
          <w:color w:val="000000" w:themeColor="text1"/>
          <w:lang w:val="es-ES"/>
        </w:rPr>
      </w:pPr>
    </w:p>
    <w:p w14:paraId="78DA2869" w14:textId="77777777" w:rsidR="00013201" w:rsidRPr="00C55BDE" w:rsidRDefault="00013201" w:rsidP="00013201">
      <w:pPr>
        <w:spacing w:after="120" w:line="276" w:lineRule="auto"/>
        <w:jc w:val="both"/>
        <w:rPr>
          <w:rFonts w:ascii="Verdana" w:eastAsia="Calibri" w:hAnsi="Verdana" w:cs="Arial"/>
          <w:color w:val="000000" w:themeColor="text1"/>
          <w:lang w:val="es-ES"/>
        </w:rPr>
      </w:pPr>
      <w:r w:rsidRPr="00C55BDE">
        <w:rPr>
          <w:rFonts w:ascii="Verdana" w:eastAsia="Calibri" w:hAnsi="Verdana" w:cs="Arial"/>
          <w:color w:val="000000" w:themeColor="text1"/>
          <w:lang w:val="es-ES"/>
        </w:rPr>
        <w:t xml:space="preserve">Lo anterior se sustenta en las siguientes consideraciones: </w:t>
      </w:r>
    </w:p>
    <w:p w14:paraId="644D3F66" w14:textId="77777777" w:rsidR="00013201" w:rsidRPr="00C55BDE" w:rsidRDefault="00013201" w:rsidP="00013201">
      <w:pPr>
        <w:spacing w:after="120" w:line="276" w:lineRule="auto"/>
        <w:jc w:val="both"/>
        <w:rPr>
          <w:rFonts w:ascii="Verdana" w:eastAsia="Calibri" w:hAnsi="Verdana" w:cs="Arial"/>
          <w:color w:val="000000" w:themeColor="text1"/>
          <w:lang w:val="es-ES"/>
        </w:rPr>
      </w:pPr>
      <w:r>
        <w:rPr>
          <w:rFonts w:ascii="Verdana" w:eastAsia="Calibri" w:hAnsi="Verdana" w:cs="Arial"/>
          <w:lang w:val="es-ES"/>
        </w:rPr>
        <w:lastRenderedPageBreak/>
        <w:t xml:space="preserve">i. </w:t>
      </w:r>
      <w:r w:rsidRPr="00C55BDE">
        <w:rPr>
          <w:rFonts w:ascii="Verdana" w:eastAsia="Calibri" w:hAnsi="Verdana" w:cs="Arial"/>
          <w:lang w:val="es-ES"/>
        </w:rPr>
        <w:t>El artículo 329 de la Constitución Política de 1991 dispuso que la conformación de las entidades territoriales indígenas se realizaría conforme a lo dispuesto en la Ley de Ordenamiento Territorial – LOT. En ese sentido, la norma previamente mencionada dispuso que la conformación de las entidades territoriales indígenas se realizaría de acuerdo con lo indicado en la Ley de Ordenamiento Territorial. No obstante, mientras esa ley era expedida por el Congreso de la República, la Constitución contempló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p>
    <w:p w14:paraId="0286249E" w14:textId="77777777" w:rsidR="00013201" w:rsidRPr="00C55BDE" w:rsidRDefault="00013201" w:rsidP="00013201">
      <w:pPr>
        <w:spacing w:after="120" w:line="276" w:lineRule="auto"/>
        <w:ind w:firstLine="680"/>
        <w:jc w:val="both"/>
        <w:rPr>
          <w:rFonts w:ascii="Verdana" w:eastAsia="Calibri" w:hAnsi="Verdana" w:cs="Arial"/>
          <w:lang w:val="es-ES"/>
        </w:rPr>
      </w:pPr>
      <w:r w:rsidRPr="00C55BDE">
        <w:rPr>
          <w:rFonts w:ascii="Verdana" w:eastAsia="Calibri" w:hAnsi="Verdana" w:cs="Arial"/>
          <w:lang w:val="es-ES"/>
        </w:rPr>
        <w:t>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w:t>
      </w:r>
      <w:r w:rsidRPr="00C55BDE">
        <w:rPr>
          <w:rStyle w:val="Refdenotaalpie"/>
          <w:rFonts w:ascii="Verdana" w:eastAsia="Calibri" w:hAnsi="Verdana" w:cs="Arial"/>
          <w:lang w:val="es-ES"/>
        </w:rPr>
        <w:footnoteReference w:id="2"/>
      </w:r>
      <w:r w:rsidRPr="00C55BDE">
        <w:rPr>
          <w:rFonts w:ascii="Verdana" w:eastAsia="Calibri" w:hAnsi="Verdana" w:cs="Arial"/>
          <w:lang w:val="es-ES"/>
        </w:rPr>
        <w:t>. Con base en esto, los cabildos y las asociaciones de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6F377ED6" w14:textId="77777777" w:rsidR="00013201" w:rsidRPr="00C55BDE" w:rsidRDefault="00013201" w:rsidP="00013201">
      <w:pPr>
        <w:spacing w:after="120" w:line="276" w:lineRule="auto"/>
        <w:ind w:firstLine="680"/>
        <w:jc w:val="both"/>
        <w:rPr>
          <w:rFonts w:ascii="Verdana" w:eastAsia="Calibri" w:hAnsi="Verdana" w:cs="Arial"/>
          <w:lang w:val="es-ES"/>
        </w:rPr>
      </w:pPr>
      <w:r w:rsidRPr="00C55BDE">
        <w:rPr>
          <w:rFonts w:ascii="Verdana" w:eastAsia="Calibri" w:hAnsi="Verdana" w:cs="Arial"/>
          <w:lang w:val="es-ES"/>
        </w:rPr>
        <w:t>De otra parte,</w:t>
      </w:r>
      <w:r>
        <w:rPr>
          <w:rFonts w:ascii="Verdana" w:eastAsia="Calibri" w:hAnsi="Verdana" w:cs="Arial"/>
          <w:lang w:val="es-ES"/>
        </w:rPr>
        <w:t xml:space="preserve"> el</w:t>
      </w:r>
      <w:r w:rsidRPr="00C55BDE">
        <w:rPr>
          <w:rFonts w:ascii="Verdana" w:eastAsia="Calibri" w:hAnsi="Verdana" w:cs="Arial"/>
          <w:lang w:val="es-ES"/>
        </w:rPr>
        <w:t xml:space="preserve">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inalienables, imprescriptibles e inembargables”</w:t>
      </w:r>
      <w:r w:rsidRPr="00C55BDE">
        <w:rPr>
          <w:rStyle w:val="Refdenotaalpie"/>
          <w:rFonts w:ascii="Verdana" w:eastAsia="Calibri" w:hAnsi="Verdana" w:cs="Arial"/>
          <w:lang w:val="es-ES"/>
        </w:rPr>
        <w:footnoteReference w:id="3"/>
      </w:r>
      <w:r w:rsidRPr="00C55BDE">
        <w:rPr>
          <w:rFonts w:ascii="Verdana" w:eastAsia="Calibri" w:hAnsi="Verdana" w:cs="Arial"/>
          <w:lang w:val="es-ES"/>
        </w:rPr>
        <w:t xml:space="preserve">. De estos artículos se colige </w:t>
      </w:r>
      <w:r w:rsidRPr="00C55BDE">
        <w:rPr>
          <w:rFonts w:ascii="Verdana" w:eastAsia="Calibri" w:hAnsi="Verdana" w:cs="Arial"/>
          <w:lang w:val="es-ES"/>
        </w:rPr>
        <w:lastRenderedPageBreak/>
        <w:t xml:space="preserve">como los resguardos indígenas son una forma de propiedad colectiva a la que la Constitución le endilga unos atributos que la sustraen de actos traslaticios o de comercio, al igual que con los bienes de uso público.  </w:t>
      </w:r>
    </w:p>
    <w:p w14:paraId="3F09D5D9" w14:textId="77777777" w:rsidR="00013201" w:rsidRPr="00C55BDE" w:rsidRDefault="00013201" w:rsidP="00013201">
      <w:pPr>
        <w:spacing w:before="120" w:line="276" w:lineRule="auto"/>
        <w:ind w:firstLine="680"/>
        <w:jc w:val="both"/>
        <w:rPr>
          <w:rFonts w:ascii="Verdana" w:eastAsia="Calibri" w:hAnsi="Verdana" w:cs="Arial"/>
          <w:lang w:val="es-ES"/>
        </w:rPr>
      </w:pPr>
      <w:r w:rsidRPr="00C55BDE">
        <w:rPr>
          <w:rFonts w:ascii="Verdana" w:eastAsia="Calibri" w:hAnsi="Verdana" w:cs="Arial"/>
          <w:lang w:val="es-ES"/>
        </w:rPr>
        <w:t xml:space="preserve">De acuerdo con esto, la Ley 160 de 1994 </w:t>
      </w:r>
      <w:r w:rsidRPr="00C55BDE">
        <w:rPr>
          <w:rFonts w:ascii="Verdana" w:hAnsi="Verdana"/>
        </w:rPr>
        <w:t>“</w:t>
      </w:r>
      <w:r w:rsidRPr="00C55BDE">
        <w:rPr>
          <w:rFonts w:ascii="Verdana" w:eastAsia="Calibri" w:hAnsi="Verdana" w:cs="Arial"/>
          <w:lang w:val="es-ES"/>
        </w:rPr>
        <w:t>por la cual se crea el Sistema Nacional de Reforma Agraria y Desarrollo Rural Campesino, se establece un subsidio para la adquisición de tierras, se reforma el Instituto Colombiano de la Reforma Agraria y se dictan otras disposiciones”, concibe la constitución, ampliación, saneamiento y reestructuración de resguardos como formas para satisfacer las necesidades de tierras de las comunidades indígenas, tal como se colige de los artículos 12-18</w:t>
      </w:r>
      <w:r w:rsidRPr="00C55BDE">
        <w:rPr>
          <w:rStyle w:val="Refdenotaalpie"/>
          <w:rFonts w:ascii="Verdana" w:eastAsia="Calibri" w:hAnsi="Verdana" w:cs="Arial"/>
          <w:lang w:val="es-ES"/>
        </w:rPr>
        <w:footnoteReference w:id="4"/>
      </w:r>
      <w:r w:rsidRPr="00C55BDE">
        <w:rPr>
          <w:rFonts w:ascii="Verdana" w:eastAsia="Calibri" w:hAnsi="Verdana" w:cs="Arial"/>
          <w:lang w:val="es-ES"/>
        </w:rPr>
        <w:t xml:space="preserve"> y 85 de dicha Ley</w:t>
      </w:r>
      <w:r w:rsidRPr="00C55BDE">
        <w:rPr>
          <w:rStyle w:val="Refdenotaalpie"/>
          <w:rFonts w:ascii="Verdana" w:eastAsia="Calibri" w:hAnsi="Verdana" w:cs="Arial"/>
          <w:lang w:val="es-ES"/>
        </w:rPr>
        <w:footnoteReference w:id="5"/>
      </w:r>
      <w:r w:rsidRPr="00C55BDE">
        <w:rPr>
          <w:rFonts w:ascii="Verdana" w:eastAsia="Calibri" w:hAnsi="Verdana" w:cs="Arial"/>
          <w:lang w:val="es-ES"/>
        </w:rPr>
        <w:t>. De hecho, esta última norma hace parte del Capítulo XIV de la Ley 160 de 1994, específicamente referido a resguardos indígenas, el cual sería reglamentado por el Decreto 2164 de 1995, norma compilada por el Decreto 1071 de 2015, “Por medio del cual se expide el Decreto Único Reglamentario del Sector Administrativo Agropecuario, Pesquero y de Desarrollo Rural”, y contiene las definiciones de resguardo, cabildo y autoridad indígena:</w:t>
      </w:r>
    </w:p>
    <w:p w14:paraId="775DCB35" w14:textId="77777777" w:rsidR="00013201" w:rsidRPr="00C55BDE" w:rsidRDefault="00013201" w:rsidP="00013201">
      <w:pPr>
        <w:spacing w:after="0" w:line="240" w:lineRule="auto"/>
        <w:ind w:left="709" w:right="709"/>
        <w:jc w:val="both"/>
        <w:rPr>
          <w:rFonts w:ascii="Verdana" w:eastAsia="Calibri" w:hAnsi="Verdana" w:cs="Arial"/>
          <w:sz w:val="20"/>
          <w:szCs w:val="20"/>
          <w:lang w:val="es-ES"/>
        </w:rPr>
      </w:pPr>
      <w:r w:rsidRPr="00C55BDE">
        <w:rPr>
          <w:rFonts w:ascii="Verdana" w:hAnsi="Verdana"/>
          <w:color w:val="242424"/>
          <w:sz w:val="20"/>
          <w:szCs w:val="20"/>
          <w:shd w:val="clear" w:color="auto" w:fill="FFFFFF"/>
        </w:rPr>
        <w:t xml:space="preserve">“[…] </w:t>
      </w:r>
      <w:r w:rsidRPr="00C55BDE">
        <w:rPr>
          <w:rFonts w:ascii="Verdana" w:eastAsia="Calibri" w:hAnsi="Verdana" w:cs="Arial"/>
          <w:sz w:val="20"/>
          <w:szCs w:val="20"/>
          <w:lang w:val="es-ES"/>
        </w:rPr>
        <w:t xml:space="preserve">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 </w:t>
      </w:r>
    </w:p>
    <w:p w14:paraId="6449A73D" w14:textId="77777777" w:rsidR="00013201" w:rsidRPr="00C55BDE" w:rsidRDefault="00013201" w:rsidP="00013201">
      <w:pPr>
        <w:spacing w:after="0" w:line="240" w:lineRule="auto"/>
        <w:ind w:left="709" w:right="709"/>
        <w:jc w:val="both"/>
        <w:rPr>
          <w:rFonts w:ascii="Verdana" w:eastAsia="Calibri" w:hAnsi="Verdana" w:cs="Arial"/>
          <w:sz w:val="20"/>
          <w:szCs w:val="20"/>
          <w:lang w:val="es-ES"/>
        </w:rPr>
      </w:pPr>
    </w:p>
    <w:p w14:paraId="78A1BA14" w14:textId="77777777" w:rsidR="00013201" w:rsidRPr="00C55BDE" w:rsidRDefault="00013201" w:rsidP="00013201">
      <w:pPr>
        <w:spacing w:after="0" w:line="240" w:lineRule="auto"/>
        <w:ind w:left="709"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6F6C992F" w14:textId="77777777" w:rsidR="00013201" w:rsidRPr="00C55BDE" w:rsidRDefault="00013201" w:rsidP="00013201">
      <w:pPr>
        <w:spacing w:after="0" w:line="240" w:lineRule="auto"/>
        <w:ind w:left="709" w:right="709"/>
        <w:jc w:val="both"/>
        <w:rPr>
          <w:rFonts w:ascii="Verdana" w:eastAsia="Calibri" w:hAnsi="Verdana" w:cs="Arial"/>
          <w:sz w:val="20"/>
          <w:szCs w:val="20"/>
          <w:lang w:val="es-ES"/>
        </w:rPr>
      </w:pPr>
    </w:p>
    <w:p w14:paraId="343D8D19" w14:textId="77777777" w:rsidR="00013201" w:rsidRPr="00C55BDE" w:rsidRDefault="00013201" w:rsidP="00013201">
      <w:pPr>
        <w:spacing w:after="0" w:line="240" w:lineRule="auto"/>
        <w:ind w:left="709" w:right="709"/>
        <w:jc w:val="both"/>
        <w:rPr>
          <w:rFonts w:ascii="Verdana" w:eastAsia="Calibri" w:hAnsi="Verdana" w:cs="Arial"/>
          <w:sz w:val="20"/>
          <w:szCs w:val="20"/>
          <w:lang w:val="es-ES"/>
        </w:rPr>
      </w:pPr>
      <w:r w:rsidRPr="00C55BDE">
        <w:rPr>
          <w:rFonts w:ascii="Verdana" w:eastAsia="Calibri" w:hAnsi="Verdana" w:cs="Arial"/>
          <w:sz w:val="20"/>
          <w:szCs w:val="20"/>
          <w:lang w:val="es-ES"/>
        </w:rPr>
        <w:lastRenderedPageBreak/>
        <w:t>Parágrafo. Los integrantes de la comunidad indígena del resguardo no podrán enajenar a cualquier título, arrendar por cuenta propia o hipotecar los terrenos que constituyen el resguardo. (Decreto número 2164 de 1995, artículo 21) (Cursiva fuera de texto).</w:t>
      </w:r>
    </w:p>
    <w:p w14:paraId="385AB6A6" w14:textId="77777777" w:rsidR="00013201" w:rsidRPr="00C55BDE" w:rsidRDefault="00013201" w:rsidP="00013201">
      <w:pPr>
        <w:spacing w:after="0" w:line="240" w:lineRule="auto"/>
        <w:ind w:left="709" w:right="709"/>
        <w:jc w:val="both"/>
        <w:rPr>
          <w:rFonts w:ascii="Verdana" w:eastAsia="Calibri" w:hAnsi="Verdana" w:cs="Arial"/>
          <w:sz w:val="20"/>
          <w:szCs w:val="20"/>
          <w:lang w:val="es-ES"/>
        </w:rPr>
      </w:pPr>
    </w:p>
    <w:p w14:paraId="0B1DCB7C" w14:textId="77777777" w:rsidR="00013201" w:rsidRDefault="00013201" w:rsidP="00013201">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r w:rsidRPr="00C55BDE">
        <w:rPr>
          <w:rFonts w:ascii="Verdana" w:hAnsi="Verdana"/>
          <w:color w:val="242424"/>
          <w:sz w:val="20"/>
          <w:szCs w:val="20"/>
          <w:shd w:val="clear" w:color="auto" w:fill="FFFFFF"/>
        </w:rPr>
        <w:t xml:space="preserve"> […]”</w:t>
      </w:r>
    </w:p>
    <w:p w14:paraId="11140AF9" w14:textId="77777777" w:rsidR="00013201" w:rsidRPr="00A575FE" w:rsidRDefault="00013201" w:rsidP="00013201">
      <w:pPr>
        <w:spacing w:after="0" w:line="240" w:lineRule="auto"/>
        <w:ind w:left="708" w:right="709"/>
        <w:jc w:val="both"/>
        <w:rPr>
          <w:rFonts w:ascii="Verdana" w:eastAsia="Calibri" w:hAnsi="Verdana" w:cs="Arial"/>
          <w:sz w:val="20"/>
          <w:szCs w:val="20"/>
          <w:lang w:val="es-ES"/>
        </w:rPr>
      </w:pPr>
    </w:p>
    <w:p w14:paraId="48F5AB67" w14:textId="77777777" w:rsidR="00013201" w:rsidRPr="00C55BDE" w:rsidRDefault="00013201" w:rsidP="00013201">
      <w:pPr>
        <w:spacing w:line="276" w:lineRule="auto"/>
        <w:jc w:val="both"/>
        <w:rPr>
          <w:rFonts w:ascii="Verdana" w:eastAsia="Calibri" w:hAnsi="Verdana" w:cs="Arial"/>
          <w:lang w:val="es-ES"/>
        </w:rPr>
      </w:pPr>
      <w:proofErr w:type="spellStart"/>
      <w:r>
        <w:rPr>
          <w:rFonts w:ascii="Verdana" w:eastAsia="Calibri" w:hAnsi="Verdana" w:cs="Arial"/>
          <w:lang w:val="es-ES"/>
        </w:rPr>
        <w:t>ii</w:t>
      </w:r>
      <w:proofErr w:type="spellEnd"/>
      <w:r>
        <w:rPr>
          <w:rFonts w:ascii="Verdana" w:eastAsia="Calibri" w:hAnsi="Verdana" w:cs="Arial"/>
          <w:lang w:val="es-ES"/>
        </w:rPr>
        <w:t xml:space="preserve">. </w:t>
      </w:r>
      <w:r w:rsidRPr="00C55BDE">
        <w:rPr>
          <w:rFonts w:ascii="Verdana" w:eastAsia="Calibri" w:hAnsi="Verdana" w:cs="Arial"/>
          <w:lang w:val="es-ES"/>
        </w:rPr>
        <w:t xml:space="preserve">Ahora bien, en octubre de 1993 se expidió la Ley 80, “Por la cual se expide el Estatuto General de Contratación de la Administración Pública”. El artículo 2 define las entidades estatales a las cuales le aplican sus disposiciones, e incluye a los territorios indígenas: </w:t>
      </w:r>
    </w:p>
    <w:p w14:paraId="13BD6A0F" w14:textId="77777777" w:rsidR="00013201" w:rsidRPr="00C55BDE" w:rsidRDefault="00013201" w:rsidP="00013201">
      <w:pPr>
        <w:spacing w:after="0" w:line="240" w:lineRule="auto"/>
        <w:ind w:left="708" w:right="709"/>
        <w:jc w:val="both"/>
        <w:rPr>
          <w:rFonts w:ascii="Verdana" w:eastAsia="Calibri" w:hAnsi="Verdana" w:cs="Arial"/>
          <w:sz w:val="20"/>
          <w:szCs w:val="20"/>
          <w:lang w:val="es-ES"/>
        </w:rPr>
      </w:pPr>
      <w:r w:rsidRPr="00C55BDE">
        <w:rPr>
          <w:rFonts w:ascii="Verdana" w:hAnsi="Verdana"/>
          <w:color w:val="242424"/>
          <w:sz w:val="20"/>
          <w:szCs w:val="20"/>
          <w:shd w:val="clear" w:color="auto" w:fill="FFFFFF"/>
        </w:rPr>
        <w:t xml:space="preserve">[…] </w:t>
      </w:r>
      <w:r w:rsidRPr="00C55BDE">
        <w:rPr>
          <w:rFonts w:ascii="Verdana" w:eastAsia="Calibri" w:hAnsi="Verdana" w:cs="Arial"/>
          <w:sz w:val="20"/>
          <w:szCs w:val="20"/>
          <w:lang w:val="es-ES"/>
        </w:rPr>
        <w:t xml:space="preserve">Artículo 2o. De la definición de entidades, servidores y servicios públicos. Para los solos efectos de esta ley: </w:t>
      </w:r>
    </w:p>
    <w:p w14:paraId="649A7A8B" w14:textId="77777777" w:rsidR="00013201" w:rsidRPr="00C55BDE" w:rsidRDefault="00013201" w:rsidP="00013201">
      <w:pPr>
        <w:spacing w:after="0" w:line="240" w:lineRule="auto"/>
        <w:ind w:left="708" w:right="709"/>
        <w:jc w:val="both"/>
        <w:rPr>
          <w:rFonts w:ascii="Verdana" w:eastAsia="Calibri" w:hAnsi="Verdana" w:cs="Arial"/>
          <w:sz w:val="20"/>
          <w:szCs w:val="20"/>
          <w:lang w:val="es-ES"/>
        </w:rPr>
      </w:pPr>
    </w:p>
    <w:p w14:paraId="155C1013" w14:textId="77777777" w:rsidR="00013201" w:rsidRPr="00C55BDE" w:rsidRDefault="00013201" w:rsidP="00013201">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1o. Se denominan entidades estatales: </w:t>
      </w:r>
    </w:p>
    <w:p w14:paraId="07E159C2" w14:textId="77777777" w:rsidR="00013201" w:rsidRPr="00C55BDE" w:rsidRDefault="00013201" w:rsidP="00013201">
      <w:pPr>
        <w:spacing w:after="0" w:line="240" w:lineRule="auto"/>
        <w:ind w:left="708" w:right="709"/>
        <w:jc w:val="both"/>
        <w:rPr>
          <w:rFonts w:ascii="Verdana" w:eastAsia="Calibri" w:hAnsi="Verdana" w:cs="Arial"/>
          <w:sz w:val="20"/>
          <w:szCs w:val="20"/>
          <w:lang w:val="es-ES"/>
        </w:rPr>
      </w:pPr>
    </w:p>
    <w:p w14:paraId="6B3D2B6F" w14:textId="77777777" w:rsidR="00013201" w:rsidRPr="00C55BDE" w:rsidRDefault="00013201" w:rsidP="00013201">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a) La Nación, las regiones, los departamentos, las provincias, el distrito capital y los distritos especiales, las áreas metropolitanas, las asociaciones de municipios, </w:t>
      </w:r>
      <w:r w:rsidRPr="00C55BDE">
        <w:rPr>
          <w:rFonts w:ascii="Verdana" w:eastAsia="Calibri" w:hAnsi="Verdana" w:cs="Arial"/>
          <w:i/>
          <w:sz w:val="20"/>
          <w:szCs w:val="20"/>
          <w:lang w:val="es-ES"/>
        </w:rPr>
        <w:t>los territorios indígenas</w:t>
      </w:r>
      <w:r w:rsidRPr="00C55BDE">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24B837DD" w14:textId="77777777" w:rsidR="00013201" w:rsidRPr="00C55BDE" w:rsidRDefault="00013201" w:rsidP="00013201">
      <w:pPr>
        <w:spacing w:after="0" w:line="240" w:lineRule="auto"/>
        <w:textAlignment w:val="baseline"/>
        <w:rPr>
          <w:rFonts w:ascii="Verdana" w:eastAsia="Times New Roman" w:hAnsi="Verdana" w:cs="Segoe UI"/>
          <w:b/>
          <w:bCs/>
          <w:color w:val="46589C"/>
          <w:lang w:val="es-ES" w:eastAsia="es-CO"/>
        </w:rPr>
      </w:pPr>
    </w:p>
    <w:p w14:paraId="4A43DA8C" w14:textId="77777777" w:rsidR="00013201" w:rsidRPr="00C55BDE" w:rsidRDefault="00013201" w:rsidP="00013201">
      <w:pPr>
        <w:spacing w:after="120" w:line="276" w:lineRule="auto"/>
        <w:ind w:firstLine="708"/>
        <w:jc w:val="both"/>
        <w:rPr>
          <w:rFonts w:ascii="Verdana" w:eastAsia="Calibri" w:hAnsi="Verdana" w:cs="Arial"/>
          <w:lang w:val="es-ES"/>
        </w:rPr>
      </w:pPr>
      <w:r w:rsidRPr="00C55BDE">
        <w:rPr>
          <w:rFonts w:ascii="Verdana" w:eastAsia="Calibri" w:hAnsi="Verdana" w:cs="Arial"/>
          <w:lang w:val="es-ES"/>
        </w:rPr>
        <w:t xml:space="preserve">De acuerdo con la Ley 80 de 1993, los territorios indígenas eran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p>
    <w:p w14:paraId="28240EB8" w14:textId="77777777" w:rsidR="00013201" w:rsidRPr="00C55BDE" w:rsidRDefault="00013201" w:rsidP="00013201">
      <w:pPr>
        <w:spacing w:before="120" w:line="276" w:lineRule="auto"/>
        <w:ind w:firstLine="680"/>
        <w:jc w:val="both"/>
        <w:rPr>
          <w:rFonts w:ascii="Verdana" w:eastAsia="Calibri" w:hAnsi="Verdana" w:cs="Arial"/>
          <w:lang w:val="es-ES"/>
        </w:rPr>
      </w:pPr>
      <w:r w:rsidRPr="00C55BDE">
        <w:rPr>
          <w:rFonts w:ascii="Verdana" w:eastAsia="Calibri" w:hAnsi="Verdana" w:cs="Arial"/>
          <w:lang w:val="es-ES"/>
        </w:rPr>
        <w:lastRenderedPageBreak/>
        <w:t xml:space="preserve">En este contexto, posteriormente, se expediría la Ley 1454 de 2011, “Por la cual se dictan normas orgánicas sobre ordenamiento territorial y se modifican otras disposiciones”, que reguló asuntos relacionados con el ordenamiento territorial. Sin embargo, esta ley no constituyó a los territorios indígenas, como lo demuestra el parágrafo 2° del artículo 37, al disponer que el Gobierno debía presentar al Congreso un proyecto de ley que regulara la materia. </w:t>
      </w:r>
    </w:p>
    <w:p w14:paraId="0A5564DD" w14:textId="77777777" w:rsidR="00013201" w:rsidRPr="00C55BDE" w:rsidRDefault="00013201" w:rsidP="00013201">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Otra disposición de relevancia es el artículo 356 superior, el cual </w:t>
      </w:r>
      <w:r>
        <w:rPr>
          <w:rFonts w:ascii="Verdana" w:eastAsia="Calibri" w:hAnsi="Verdana" w:cs="Arial"/>
          <w:lang w:val="es-ES"/>
        </w:rPr>
        <w:t>se refiere a</w:t>
      </w:r>
      <w:r w:rsidRPr="00C55BDE">
        <w:rPr>
          <w:rFonts w:ascii="Verdana" w:eastAsia="Calibri" w:hAnsi="Verdana" w:cs="Arial"/>
          <w:lang w:val="es-ES"/>
        </w:rPr>
        <w:t xml:space="preserve"> la distribución de los recursos del Sistema General de Participaciones–SGP, </w:t>
      </w:r>
      <w:r>
        <w:rPr>
          <w:rFonts w:ascii="Verdana" w:eastAsia="Calibri" w:hAnsi="Verdana" w:cs="Arial"/>
          <w:lang w:val="es-ES"/>
        </w:rPr>
        <w:t xml:space="preserve">que establece </w:t>
      </w:r>
      <w:r w:rsidRPr="00C55BDE">
        <w:rPr>
          <w:rFonts w:ascii="Verdana" w:eastAsia="Calibri" w:hAnsi="Verdana" w:cs="Arial"/>
          <w:lang w:val="es-ES"/>
        </w:rPr>
        <w:t xml:space="preserve">que “[…] serán beneficiarias las entidades territoriales indígenas, una vez constituidas. Así mismo, la ley establecerá como beneficiarios a los resguardos indígenas, siempre y cuando estos no se hayan constituido en entidad territorial indígena”. A efectos de materializar esta distribución, –y ante la </w:t>
      </w:r>
      <w:proofErr w:type="spellStart"/>
      <w:r w:rsidRPr="00C55BDE">
        <w:rPr>
          <w:rFonts w:ascii="Verdana" w:eastAsia="Calibri" w:hAnsi="Verdana" w:cs="Arial"/>
          <w:lang w:val="es-ES"/>
        </w:rPr>
        <w:t>omisión</w:t>
      </w:r>
      <w:proofErr w:type="spellEnd"/>
      <w:r w:rsidRPr="00C55BDE">
        <w:rPr>
          <w:rFonts w:ascii="Verdana" w:eastAsia="Calibri" w:hAnsi="Verdana" w:cs="Arial"/>
          <w:lang w:val="es-ES"/>
        </w:rPr>
        <w:t xml:space="preserve"> legislativa identificada por la Corte Constitucional en la sentencia C-489 del 2012–, con sustento en el mencionado artículo 56 transitorio  se expidió el Decreto 1953 de 2014, “Por el cual se crea un régimen especial con el fin de poner en funcionamiento los territorios indígenas respecto de la administración de los sistemas propios de los pueblos indígenas hasta que el Congreso expida la ley de qué trata el artículo 329 de la Constitución Política”. </w:t>
      </w:r>
    </w:p>
    <w:p w14:paraId="090B38B9" w14:textId="77777777" w:rsidR="00013201" w:rsidRPr="00C55BDE" w:rsidRDefault="00013201" w:rsidP="00013201">
      <w:pPr>
        <w:spacing w:line="276" w:lineRule="auto"/>
        <w:ind w:firstLine="708"/>
        <w:jc w:val="both"/>
        <w:rPr>
          <w:rFonts w:ascii="Verdana" w:eastAsia="Calibri" w:hAnsi="Verdana" w:cs="Arial"/>
          <w:lang w:val="es-ES"/>
        </w:rPr>
      </w:pPr>
      <w:r w:rsidRPr="00C55BDE">
        <w:rPr>
          <w:rFonts w:ascii="Verdana" w:eastAsia="Calibri" w:hAnsi="Verdana" w:cs="Arial"/>
          <w:lang w:val="es-ES"/>
        </w:rPr>
        <w:t>Los aspectos más relevantes de esta norma son los relacionados con el funcionamiento de los territorios indígenas. Al respecto, dispone que los resguardos indígenas que se ubiquen en ciertos supuestos</w:t>
      </w:r>
      <w:r w:rsidRPr="00C55BDE">
        <w:rPr>
          <w:rStyle w:val="Refdenotaalpie"/>
          <w:rFonts w:ascii="Verdana" w:eastAsia="Calibri" w:hAnsi="Verdana" w:cs="Arial"/>
          <w:lang w:val="es-ES"/>
        </w:rPr>
        <w:footnoteReference w:id="6"/>
      </w:r>
      <w:r w:rsidRPr="00C55BDE">
        <w:rPr>
          <w:rFonts w:ascii="Verdana" w:eastAsia="Calibri" w:hAnsi="Verdana" w:cs="Arial"/>
          <w:lang w:val="es-ES"/>
        </w:rPr>
        <w:t>,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w:t>
      </w:r>
      <w:r w:rsidRPr="00C55BDE">
        <w:rPr>
          <w:rStyle w:val="Refdenotaalpie"/>
          <w:rFonts w:ascii="Verdana" w:eastAsia="Calibri" w:hAnsi="Verdana" w:cs="Arial"/>
          <w:lang w:val="es-ES"/>
        </w:rPr>
        <w:footnoteReference w:id="7"/>
      </w:r>
      <w:r w:rsidRPr="00C55BDE">
        <w:rPr>
          <w:rFonts w:ascii="Verdana" w:eastAsia="Calibri" w:hAnsi="Verdana" w:cs="Arial"/>
          <w:lang w:val="es-ES"/>
        </w:rPr>
        <w:t xml:space="preserve">  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w:t>
      </w:r>
      <w:r w:rsidRPr="00C55BDE">
        <w:rPr>
          <w:rFonts w:ascii="Verdana" w:eastAsia="Calibri" w:hAnsi="Verdana" w:cs="Arial"/>
          <w:lang w:val="es-ES"/>
        </w:rPr>
        <w:lastRenderedPageBreak/>
        <w:t xml:space="preserve">administrar de manera directa los recursos del SGP, consistente en la celebración de contratos de administración con las entidades territoriales respectivas y los representantes legales del resguardo designado por las autoridades propias. </w:t>
      </w:r>
    </w:p>
    <w:p w14:paraId="0E8BBACC" w14:textId="77777777" w:rsidR="00013201" w:rsidRPr="00C55BDE" w:rsidRDefault="00013201" w:rsidP="00013201">
      <w:pPr>
        <w:spacing w:after="120" w:line="276" w:lineRule="auto"/>
        <w:ind w:firstLine="708"/>
        <w:jc w:val="both"/>
        <w:rPr>
          <w:rFonts w:ascii="Verdana" w:eastAsia="Calibri" w:hAnsi="Verdana" w:cs="Arial"/>
          <w:lang w:val="es-ES"/>
        </w:rPr>
      </w:pPr>
      <w:r w:rsidRPr="00C55BDE">
        <w:rPr>
          <w:rFonts w:ascii="Verdana" w:eastAsia="Calibri" w:hAnsi="Verdana" w:cs="Arial"/>
          <w:lang w:val="es-ES"/>
        </w:rPr>
        <w:t>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Pr="00C55BDE">
        <w:rPr>
          <w:rStyle w:val="Refdenotaalpie"/>
          <w:rFonts w:ascii="Verdana" w:eastAsia="Calibri" w:hAnsi="Verdana" w:cs="Arial"/>
          <w:lang w:val="es-ES"/>
        </w:rPr>
        <w:footnoteReference w:id="8"/>
      </w:r>
      <w:r w:rsidRPr="00C55BDE">
        <w:rPr>
          <w:rFonts w:ascii="Verdana" w:eastAsia="Calibri" w:hAnsi="Verdana" w:cs="Arial"/>
          <w:lang w:val="es-ES"/>
        </w:rPr>
        <w:t xml:space="preserve">. </w:t>
      </w:r>
    </w:p>
    <w:p w14:paraId="2189D052" w14:textId="77777777" w:rsidR="00013201" w:rsidRPr="00C55BDE" w:rsidRDefault="00013201" w:rsidP="00013201">
      <w:pPr>
        <w:spacing w:after="120" w:line="276" w:lineRule="auto"/>
        <w:ind w:firstLine="709"/>
        <w:jc w:val="both"/>
        <w:rPr>
          <w:rFonts w:ascii="Verdana" w:eastAsia="Calibri" w:hAnsi="Verdana" w:cs="Arial"/>
          <w:lang w:val="es-ES"/>
        </w:rPr>
      </w:pPr>
      <w:r w:rsidRPr="00C55BDE">
        <w:rPr>
          <w:rFonts w:ascii="Verdana" w:eastAsia="Calibri" w:hAnsi="Verdana" w:cs="Arial"/>
          <w:lang w:val="es-ES"/>
        </w:rPr>
        <w:t xml:space="preserve">Conforme a lo anterior, el Decreto 1953 de 2014 permite que resguardos podrán asociarse para administrar y ejecutar los recursos de la asignación 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de acuerdo con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3F0993B6" w14:textId="77777777" w:rsidR="00013201" w:rsidRPr="00C55BDE" w:rsidRDefault="00013201" w:rsidP="00013201">
      <w:pPr>
        <w:spacing w:after="120" w:line="276" w:lineRule="auto"/>
        <w:jc w:val="both"/>
        <w:rPr>
          <w:rFonts w:ascii="Verdana" w:eastAsia="Calibri" w:hAnsi="Verdana" w:cs="Arial"/>
          <w:lang w:val="es-ES"/>
        </w:rPr>
      </w:pPr>
      <w:r w:rsidRPr="00C55BDE">
        <w:rPr>
          <w:rFonts w:ascii="Verdana" w:eastAsia="Calibri" w:hAnsi="Verdana" w:cs="Arial"/>
          <w:lang w:val="es-ES"/>
        </w:rPr>
        <w:t>  </w:t>
      </w:r>
      <w:r w:rsidRPr="00C55BDE">
        <w:rPr>
          <w:rFonts w:ascii="Verdana" w:eastAsia="Calibri" w:hAnsi="Verdana" w:cs="Arial"/>
          <w:lang w:val="es-ES"/>
        </w:rPr>
        <w:tab/>
        <w:t xml:space="preserve"> Las normas hasta aquí analizadas, por un lado, conciben a los resguardos indígenas como una instituciones legales y sociopolíticas de carácter especial, que pueden estar conformadas por una o más comunidades indígenas, que </w:t>
      </w:r>
      <w:r w:rsidRPr="00C55BDE">
        <w:rPr>
          <w:rFonts w:ascii="Verdana" w:eastAsia="Calibri" w:hAnsi="Verdana" w:cs="Arial"/>
          <w:lang w:val="es-ES"/>
        </w:rPr>
        <w:lastRenderedPageBreak/>
        <w:t>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resguardos indígenas no tienen el carácter de Entidades Estatales en el marco del Estatuto General de Contratación de la Administración Pública, ni tampoco tienen capacidad para contratar a luz del artículo 6 de la Ley 80 de 1993.</w:t>
      </w:r>
    </w:p>
    <w:p w14:paraId="6D747040" w14:textId="77777777" w:rsidR="00013201" w:rsidRPr="00C55BDE" w:rsidRDefault="00013201" w:rsidP="00013201">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No obstante, el régimen para la transitoria puesta en marcha de los territorios indígenas establecido por el Decreto autónomo 1953 de 2014, a efectos de garantizar la distribución de los recursos de asignación especial del Sistema General de Participaciones que corresponden a los pueblos indígenas, 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Entidades Estatales de acuerdo con el artículo 2 de la Ley 80 de 1993. No obstante, la capacidad jurídica que deriva de este artículo está limitada a lo relacionado con el ejercicio de las funciones públicas y la ejecución de recursos de los que trata el decreto.   </w:t>
      </w:r>
    </w:p>
    <w:p w14:paraId="27033DDD" w14:textId="77777777" w:rsidR="00013201" w:rsidRPr="00C55BDE" w:rsidRDefault="00013201" w:rsidP="00013201">
      <w:pPr>
        <w:spacing w:after="120" w:line="276" w:lineRule="auto"/>
        <w:jc w:val="both"/>
        <w:rPr>
          <w:rFonts w:ascii="Verdana" w:eastAsia="Calibri" w:hAnsi="Verdana" w:cs="Arial"/>
          <w:lang w:val="es-ES"/>
        </w:rPr>
      </w:pPr>
      <w:r w:rsidRPr="00C55BDE">
        <w:rPr>
          <w:rFonts w:ascii="Verdana" w:eastAsia="Calibri" w:hAnsi="Verdana" w:cs="Arial"/>
          <w:lang w:val="es-ES"/>
        </w:rPr>
        <w:tab/>
        <w:t>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decreto</w:t>
      </w:r>
      <w:r w:rsidRPr="00C55BDE">
        <w:rPr>
          <w:rStyle w:val="Refdenotaalpie"/>
          <w:rFonts w:ascii="Verdana" w:eastAsia="Calibri" w:hAnsi="Verdana" w:cs="Arial"/>
          <w:lang w:val="es-ES"/>
        </w:rPr>
        <w:footnoteReference w:id="9"/>
      </w:r>
      <w:r w:rsidRPr="00C55BDE">
        <w:rPr>
          <w:rFonts w:ascii="Verdana" w:eastAsia="Calibri" w:hAnsi="Verdana" w:cs="Arial"/>
          <w:lang w:val="es-ES"/>
        </w:rPr>
        <w:t xml:space="preserve">, prevalentemente relacionadas con la ejecución y administración de </w:t>
      </w:r>
      <w:r w:rsidRPr="00C55BDE">
        <w:rPr>
          <w:rFonts w:ascii="Verdana" w:eastAsia="Calibri" w:hAnsi="Verdana" w:cs="Arial"/>
          <w:lang w:val="es-ES"/>
        </w:rPr>
        <w:lastRenderedPageBreak/>
        <w:t xml:space="preserve">recursos del Sistema General de Participaciones, por lo que no estarían facultados para ejecutar negocios jurídicos no relacionados con tales atribuciones. </w:t>
      </w:r>
    </w:p>
    <w:p w14:paraId="42690F71" w14:textId="77777777" w:rsidR="00013201" w:rsidRPr="00C55BDE" w:rsidRDefault="00013201" w:rsidP="00013201">
      <w:pPr>
        <w:spacing w:before="120" w:after="120" w:line="276" w:lineRule="auto"/>
        <w:ind w:firstLine="709"/>
        <w:jc w:val="both"/>
        <w:rPr>
          <w:rFonts w:ascii="Verdana" w:hAnsi="Verdana" w:cs="Arial"/>
        </w:rPr>
      </w:pPr>
      <w:r w:rsidRPr="00C55BDE">
        <w:rPr>
          <w:rFonts w:ascii="Verdana" w:hAnsi="Verdana" w:cs="Arial"/>
          <w:lang w:val="es-ES"/>
        </w:rPr>
        <w:t>Sumado a los anterior, 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538238D1" w14:textId="77777777" w:rsidR="00013201" w:rsidRPr="00C55BDE" w:rsidRDefault="00013201" w:rsidP="00013201">
      <w:pPr>
        <w:spacing w:before="120" w:after="120" w:line="276" w:lineRule="auto"/>
        <w:ind w:firstLine="709"/>
        <w:jc w:val="both"/>
        <w:rPr>
          <w:rFonts w:ascii="Verdana" w:hAnsi="Verdana" w:cs="Arial"/>
          <w:lang w:val="es-ES"/>
        </w:rPr>
      </w:pPr>
      <w:r w:rsidRPr="00C55BDE">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anterior, se entiende que </w:t>
      </w:r>
      <w:r w:rsidRPr="00C55BDE">
        <w:rPr>
          <w:rFonts w:ascii="Verdana" w:hAnsi="Verdana" w:cs="Arial"/>
          <w:i/>
          <w:iCs/>
          <w:lang w:val="es-ES"/>
        </w:rPr>
        <w:t xml:space="preserve">los recursos de la AESGPRI son públicos </w:t>
      </w:r>
      <w:r w:rsidRPr="00C55BDE">
        <w:rPr>
          <w:rFonts w:ascii="Verdana" w:hAnsi="Verdana" w:cs="Arial"/>
          <w:lang w:val="es-ES"/>
        </w:rPr>
        <w:t>y tienen como propósito beneficiar a la población indígena que habita en los resguardos.</w:t>
      </w:r>
    </w:p>
    <w:p w14:paraId="45CA90CD" w14:textId="77777777" w:rsidR="00013201" w:rsidRPr="00C55BDE" w:rsidRDefault="00013201" w:rsidP="00013201">
      <w:pPr>
        <w:spacing w:before="120" w:after="120" w:line="276" w:lineRule="auto"/>
        <w:ind w:firstLine="709"/>
        <w:jc w:val="both"/>
        <w:rPr>
          <w:rFonts w:ascii="Verdana" w:hAnsi="Verdana"/>
        </w:rPr>
      </w:pPr>
      <w:r w:rsidRPr="00C55BDE">
        <w:rPr>
          <w:rFonts w:ascii="Verdana" w:hAnsi="Verdana"/>
        </w:rPr>
        <w:t xml:space="preserve">Ahora bien, tratándose de recursos -AESGPRI- debe tenerse de presente que el artículo 83 de la Ley 715 de 2001 dispone que estos serán girados a cada uno de los municipios en proporción a la población indígena que comprenda y que para su ejecución deberá celebrarse un contrato entre la entidad territorial y las autoridades del resguardo, </w:t>
      </w:r>
      <w:r w:rsidRPr="00C55BDE">
        <w:rPr>
          <w:rFonts w:ascii="Verdana" w:hAnsi="Verdana"/>
          <w:i/>
          <w:iCs/>
        </w:rPr>
        <w:t>antes del 31 de diciembre de cada año</w:t>
      </w:r>
      <w:r w:rsidRPr="00C55BDE">
        <w:rPr>
          <w:rFonts w:ascii="Verdana" w:hAnsi="Verdana"/>
        </w:rPr>
        <w:t>, en la que se determine el uso de los recursos en el año siguiente. Copia de dicho contrato se enviará antes del 20 de enero al Ministerio del Interior.</w:t>
      </w:r>
    </w:p>
    <w:p w14:paraId="0721F160" w14:textId="77777777" w:rsidR="00013201" w:rsidRPr="00C55BDE" w:rsidRDefault="00013201" w:rsidP="00013201">
      <w:pPr>
        <w:spacing w:before="120" w:after="120" w:line="276" w:lineRule="auto"/>
        <w:jc w:val="both"/>
        <w:rPr>
          <w:rFonts w:ascii="Verdana" w:hAnsi="Verdana"/>
        </w:rPr>
      </w:pPr>
      <w:proofErr w:type="spellStart"/>
      <w:r>
        <w:rPr>
          <w:rFonts w:ascii="Verdana" w:hAnsi="Verdana" w:cs="Arial"/>
          <w:lang w:val="es-ES"/>
        </w:rPr>
        <w:t>iii</w:t>
      </w:r>
      <w:proofErr w:type="spellEnd"/>
      <w:r>
        <w:rPr>
          <w:rFonts w:ascii="Verdana" w:hAnsi="Verdana" w:cs="Arial"/>
          <w:lang w:val="es-ES"/>
        </w:rPr>
        <w:t xml:space="preserve">. </w:t>
      </w:r>
      <w:r w:rsidRPr="00C55BDE">
        <w:rPr>
          <w:rFonts w:ascii="Verdana" w:hAnsi="Verdana" w:cs="Arial"/>
          <w:lang w:val="es-ES"/>
        </w:rPr>
        <w:t xml:space="preserve">Frente a las restricciones de Ley de Garantías debe tener en cuenta que el ordenamiento jurídico colombiano contempla medidas para evitar la obtención </w:t>
      </w:r>
      <w:r w:rsidRPr="00C55BDE">
        <w:rPr>
          <w:rFonts w:ascii="Verdana" w:hAnsi="Verdana" w:cs="Arial"/>
          <w:lang w:val="es-ES"/>
        </w:rPr>
        <w:lastRenderedPageBreak/>
        <w:t>de beneficios personales en asuntos propios de la administración pública</w:t>
      </w:r>
      <w:r w:rsidRPr="00C55BDE">
        <w:rPr>
          <w:rFonts w:ascii="Verdana" w:hAnsi="Verdana" w:cs="Arial"/>
          <w:i/>
          <w:lang w:val="es-ES"/>
        </w:rPr>
        <w:t xml:space="preserve">. </w:t>
      </w:r>
      <w:r w:rsidRPr="00C55BDE">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C55BDE">
        <w:rPr>
          <w:rFonts w:ascii="Verdana" w:hAnsi="Verdana"/>
          <w:vertAlign w:val="superscript"/>
          <w:lang w:val="es-ES"/>
        </w:rPr>
        <w:footnoteReference w:id="10"/>
      </w:r>
      <w:r w:rsidRPr="00C55BDE">
        <w:rPr>
          <w:rFonts w:ascii="Verdana" w:hAnsi="Verdana" w:cs="Arial"/>
          <w:lang w:val="es-ES"/>
        </w:rPr>
        <w:t>.</w:t>
      </w:r>
    </w:p>
    <w:p w14:paraId="3C35AEBE" w14:textId="77777777" w:rsidR="00013201" w:rsidRPr="00C55BDE" w:rsidRDefault="00013201" w:rsidP="00013201">
      <w:pPr>
        <w:tabs>
          <w:tab w:val="left" w:pos="426"/>
        </w:tabs>
        <w:spacing w:after="120" w:line="276" w:lineRule="auto"/>
        <w:ind w:firstLine="709"/>
        <w:jc w:val="both"/>
        <w:rPr>
          <w:rFonts w:ascii="Verdana" w:hAnsi="Verdana" w:cs="Arial"/>
          <w:lang w:val="es-ES"/>
        </w:rPr>
      </w:pPr>
      <w:r w:rsidRPr="00C55BDE">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55BDE">
        <w:rPr>
          <w:rFonts w:ascii="Verdana" w:eastAsia="Times New Roman" w:hAnsi="Verdana" w:cs="Arial"/>
          <w:vertAlign w:val="superscript"/>
          <w:lang w:val="es-ES" w:eastAsia="es-CO"/>
        </w:rPr>
        <w:footnoteReference w:id="11"/>
      </w:r>
      <w:r w:rsidRPr="00C55BDE">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lang w:val="es-ES"/>
        </w:rPr>
        <w:t xml:space="preserve"> </w:t>
      </w:r>
    </w:p>
    <w:p w14:paraId="727D71B5" w14:textId="77777777" w:rsidR="00013201" w:rsidRPr="00C55BDE" w:rsidRDefault="00013201" w:rsidP="00013201">
      <w:pPr>
        <w:tabs>
          <w:tab w:val="left" w:pos="426"/>
        </w:tabs>
        <w:spacing w:after="0" w:line="276" w:lineRule="auto"/>
        <w:ind w:firstLine="709"/>
        <w:jc w:val="both"/>
        <w:rPr>
          <w:rFonts w:ascii="Verdana" w:hAnsi="Verdana" w:cs="Arial"/>
          <w:lang w:val="es-ES"/>
        </w:rPr>
      </w:pPr>
      <w:r w:rsidRPr="00C55BDE">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51801FEB" w14:textId="77777777" w:rsidR="00013201" w:rsidRPr="00C55BDE" w:rsidRDefault="00013201" w:rsidP="00013201">
      <w:pPr>
        <w:spacing w:after="0" w:line="276" w:lineRule="auto"/>
        <w:ind w:right="709"/>
        <w:jc w:val="both"/>
        <w:rPr>
          <w:rFonts w:ascii="Verdana" w:eastAsia="Times New Roman" w:hAnsi="Verdana" w:cs="Arial"/>
          <w:lang w:val="es-ES" w:eastAsia="es-CO"/>
        </w:rPr>
      </w:pPr>
    </w:p>
    <w:p w14:paraId="3B555B41" w14:textId="77777777" w:rsidR="00013201" w:rsidRPr="00C55BDE" w:rsidRDefault="00013201" w:rsidP="00013201">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549AA122" w14:textId="77777777" w:rsidR="00013201" w:rsidRPr="00C55BDE" w:rsidRDefault="00013201" w:rsidP="00013201">
      <w:pPr>
        <w:spacing w:after="0" w:line="240" w:lineRule="auto"/>
        <w:ind w:left="709" w:right="709"/>
        <w:contextualSpacing/>
        <w:jc w:val="both"/>
        <w:rPr>
          <w:rFonts w:ascii="Verdana" w:eastAsia="Times New Roman" w:hAnsi="Verdana" w:cs="Arial"/>
          <w:sz w:val="20"/>
          <w:szCs w:val="20"/>
          <w:lang w:val="es-ES" w:eastAsia="es-CO"/>
        </w:rPr>
      </w:pPr>
    </w:p>
    <w:p w14:paraId="4B246AFF" w14:textId="77777777" w:rsidR="00013201" w:rsidRPr="00C55BDE" w:rsidRDefault="00013201" w:rsidP="00013201">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 </w:t>
      </w:r>
    </w:p>
    <w:p w14:paraId="4F2983B7" w14:textId="77777777" w:rsidR="00013201" w:rsidRPr="00C55BDE" w:rsidRDefault="00013201" w:rsidP="00013201">
      <w:pPr>
        <w:spacing w:after="0" w:line="240" w:lineRule="auto"/>
        <w:ind w:left="709" w:right="709"/>
        <w:contextualSpacing/>
        <w:jc w:val="both"/>
        <w:rPr>
          <w:rFonts w:ascii="Verdana" w:eastAsia="Times New Roman" w:hAnsi="Verdana" w:cs="Arial"/>
          <w:sz w:val="20"/>
          <w:szCs w:val="20"/>
          <w:lang w:val="es-ES" w:eastAsia="es-CO"/>
        </w:rPr>
      </w:pPr>
    </w:p>
    <w:p w14:paraId="06AEDD79" w14:textId="77777777" w:rsidR="00013201" w:rsidRPr="00C55BDE" w:rsidRDefault="00013201" w:rsidP="00013201">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w:t>
      </w:r>
      <w:r w:rsidRPr="00C55BDE">
        <w:rPr>
          <w:rFonts w:ascii="Verdana" w:eastAsia="Times New Roman" w:hAnsi="Verdana" w:cs="Arial"/>
          <w:sz w:val="20"/>
          <w:szCs w:val="20"/>
          <w:lang w:val="es-ES" w:eastAsia="es-CO"/>
        </w:rPr>
        <w:lastRenderedPageBreak/>
        <w:t>una ley de garantías debe permitir que, en el debate democrático, sean las ideas y las propuestas las que definan el ascenso al poder, y no el músculo económico de los que se lo disputan”.</w:t>
      </w:r>
      <w:r w:rsidRPr="00C55BDE">
        <w:rPr>
          <w:rFonts w:ascii="Verdana" w:hAnsi="Verdana" w:cs="Arial"/>
          <w:sz w:val="20"/>
          <w:szCs w:val="20"/>
          <w:vertAlign w:val="superscript"/>
          <w:lang w:val="es-ES"/>
        </w:rPr>
        <w:footnoteReference w:id="12"/>
      </w:r>
    </w:p>
    <w:p w14:paraId="7D732433" w14:textId="77777777" w:rsidR="00013201" w:rsidRPr="00C55BDE" w:rsidRDefault="00013201" w:rsidP="00013201">
      <w:pPr>
        <w:spacing w:after="0" w:line="276" w:lineRule="auto"/>
        <w:ind w:left="709" w:right="709"/>
        <w:jc w:val="both"/>
        <w:rPr>
          <w:rFonts w:ascii="Verdana" w:eastAsia="Times New Roman" w:hAnsi="Verdana" w:cs="Arial"/>
          <w:sz w:val="20"/>
          <w:szCs w:val="20"/>
          <w:lang w:val="es-ES" w:eastAsia="es-CO"/>
        </w:rPr>
      </w:pPr>
    </w:p>
    <w:p w14:paraId="4540B00A" w14:textId="77777777" w:rsidR="00013201" w:rsidRPr="00C55BDE" w:rsidRDefault="00013201" w:rsidP="00013201">
      <w:pPr>
        <w:spacing w:after="0" w:line="276" w:lineRule="auto"/>
        <w:ind w:firstLine="709"/>
        <w:jc w:val="both"/>
        <w:rPr>
          <w:rFonts w:ascii="Verdana" w:eastAsia="Times New Roman" w:hAnsi="Verdana" w:cs="Arial"/>
          <w:lang w:val="es-ES" w:eastAsia="es-CO"/>
        </w:rPr>
      </w:pPr>
      <w:r w:rsidRPr="00C55BDE">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DAE3EAE" w14:textId="77777777" w:rsidR="00013201" w:rsidRPr="00C55BDE" w:rsidRDefault="00013201" w:rsidP="00013201">
      <w:pPr>
        <w:spacing w:after="0" w:line="276" w:lineRule="auto"/>
        <w:ind w:firstLine="709"/>
        <w:jc w:val="both"/>
        <w:rPr>
          <w:rFonts w:ascii="Verdana" w:eastAsia="Times New Roman" w:hAnsi="Verdana" w:cs="Arial"/>
          <w:lang w:val="es-ES" w:eastAsia="es-CO"/>
        </w:rPr>
      </w:pPr>
    </w:p>
    <w:p w14:paraId="00A78B42" w14:textId="77777777" w:rsidR="00013201" w:rsidRPr="00C55BDE" w:rsidRDefault="00013201" w:rsidP="00013201">
      <w:pPr>
        <w:spacing w:after="0" w:line="240" w:lineRule="auto"/>
        <w:ind w:left="709" w:right="709"/>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55BDE">
        <w:rPr>
          <w:rFonts w:ascii="Verdana" w:eastAsia="Times New Roman" w:hAnsi="Verdana" w:cs="Arial"/>
          <w:sz w:val="20"/>
          <w:szCs w:val="20"/>
          <w:lang w:val="es-ES" w:eastAsia="es-CO"/>
        </w:rPr>
        <w:t>legis</w:t>
      </w:r>
      <w:proofErr w:type="spellEnd"/>
      <w:r w:rsidRPr="00C55BDE">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69601A0" w14:textId="77777777" w:rsidR="00013201" w:rsidRPr="00C55BDE" w:rsidRDefault="00013201" w:rsidP="00013201">
      <w:pPr>
        <w:spacing w:after="0" w:line="240" w:lineRule="auto"/>
        <w:ind w:right="709"/>
        <w:jc w:val="both"/>
        <w:rPr>
          <w:rFonts w:ascii="Verdana" w:eastAsia="Times New Roman" w:hAnsi="Verdana" w:cs="Arial"/>
          <w:lang w:val="es-ES" w:eastAsia="es-CO"/>
        </w:rPr>
      </w:pPr>
    </w:p>
    <w:p w14:paraId="33C915C4" w14:textId="77777777" w:rsidR="00013201" w:rsidRPr="00C55BDE" w:rsidRDefault="00013201" w:rsidP="00013201">
      <w:pPr>
        <w:spacing w:after="0" w:line="240" w:lineRule="auto"/>
        <w:ind w:left="709" w:right="709"/>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La jurisprudencia de la Corte Constitucional</w:t>
      </w:r>
      <w:r w:rsidRPr="00C55BDE">
        <w:rPr>
          <w:rFonts w:ascii="Verdana" w:eastAsia="Times New Roman" w:hAnsi="Verdana" w:cs="Arial"/>
          <w:sz w:val="20"/>
          <w:szCs w:val="20"/>
          <w:vertAlign w:val="superscript"/>
          <w:lang w:val="es-ES" w:eastAsia="es-CO"/>
        </w:rPr>
        <w:footnoteReference w:id="13"/>
      </w:r>
      <w:r w:rsidRPr="00C55BDE">
        <w:rPr>
          <w:rFonts w:ascii="Verdana" w:eastAsia="Times New Roman" w:hAnsi="Verdana" w:cs="Arial"/>
          <w:sz w:val="20"/>
          <w:szCs w:val="20"/>
          <w:lang w:val="es-ES" w:eastAsia="es-CO"/>
        </w:rPr>
        <w:t> y del Consejo de Estado</w:t>
      </w:r>
      <w:r w:rsidRPr="00C55BDE">
        <w:rPr>
          <w:rFonts w:ascii="Verdana" w:eastAsia="Times New Roman" w:hAnsi="Verdana" w:cs="Arial"/>
          <w:sz w:val="20"/>
          <w:szCs w:val="20"/>
          <w:vertAlign w:val="superscript"/>
          <w:lang w:val="es-ES" w:eastAsia="es-CO"/>
        </w:rPr>
        <w:footnoteReference w:id="14"/>
      </w:r>
      <w:r w:rsidRPr="00C55BDE">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C55BDE">
        <w:rPr>
          <w:rFonts w:ascii="Verdana" w:eastAsia="Times New Roman" w:hAnsi="Verdana" w:cs="Arial"/>
          <w:sz w:val="20"/>
          <w:szCs w:val="20"/>
          <w:lang w:val="es-ES" w:eastAsia="es-CO"/>
        </w:rPr>
        <w:lastRenderedPageBreak/>
        <w:t>o capacidad de obrar, sobrepasar sus precisos términos comporta el desconocimiento de la voluntad del legislador”</w:t>
      </w:r>
      <w:r w:rsidRPr="00C55BDE">
        <w:rPr>
          <w:rFonts w:ascii="Verdana" w:eastAsia="Times New Roman" w:hAnsi="Verdana" w:cs="Arial"/>
          <w:sz w:val="20"/>
          <w:szCs w:val="20"/>
          <w:vertAlign w:val="superscript"/>
          <w:lang w:val="es-ES" w:eastAsia="es-CO"/>
        </w:rPr>
        <w:footnoteReference w:id="15"/>
      </w:r>
      <w:r w:rsidRPr="00C55BDE">
        <w:rPr>
          <w:rFonts w:ascii="Verdana" w:eastAsia="Times New Roman" w:hAnsi="Verdana" w:cs="Arial"/>
          <w:sz w:val="20"/>
          <w:szCs w:val="20"/>
          <w:lang w:val="es-ES" w:eastAsia="es-CO"/>
        </w:rPr>
        <w:t>.</w:t>
      </w:r>
    </w:p>
    <w:p w14:paraId="4454DFD0" w14:textId="77777777" w:rsidR="00013201" w:rsidRPr="00C55BDE" w:rsidRDefault="00013201" w:rsidP="00013201">
      <w:pPr>
        <w:spacing w:after="0" w:line="276" w:lineRule="auto"/>
        <w:jc w:val="both"/>
        <w:rPr>
          <w:rFonts w:ascii="Verdana" w:hAnsi="Verdana" w:cs="Arial"/>
          <w:bCs/>
          <w:lang w:val="es-ES"/>
        </w:rPr>
      </w:pPr>
    </w:p>
    <w:p w14:paraId="071AFFB7" w14:textId="77777777" w:rsidR="00013201" w:rsidRPr="00C55BDE" w:rsidRDefault="00013201" w:rsidP="00013201">
      <w:pPr>
        <w:spacing w:after="120" w:line="276" w:lineRule="auto"/>
        <w:ind w:firstLine="709"/>
        <w:jc w:val="both"/>
        <w:rPr>
          <w:rFonts w:ascii="Verdana" w:eastAsia="Arial" w:hAnsi="Verdana" w:cs="Arial"/>
          <w:lang w:val="es-ES" w:eastAsia="es-ES" w:bidi="es-ES"/>
        </w:rPr>
      </w:pPr>
      <w:r w:rsidRPr="00C55BDE">
        <w:rPr>
          <w:rFonts w:ascii="Verdana" w:eastAsia="Times New Roman" w:hAnsi="Verdana" w:cs="Arial"/>
          <w:lang w:val="es-ES" w:eastAsia="es-CO"/>
        </w:rPr>
        <w:t>De</w:t>
      </w:r>
      <w:r w:rsidRPr="00C55BDE">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14:paraId="31D0B818" w14:textId="77777777" w:rsidR="00013201" w:rsidRPr="00C55BDE" w:rsidRDefault="00013201" w:rsidP="00013201">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En ese orden, las restricciones consagradas en la Ley de Garantías Electorales se dirigen a dos (2) tipos de campañas electorales diferenciadas: las presidenciales y las que se adelanten para la elección de los demás cargos de elección popular, tanto a nivel nacional como territorial.</w:t>
      </w:r>
    </w:p>
    <w:p w14:paraId="2F33356E" w14:textId="77777777" w:rsidR="00013201" w:rsidRPr="00C55BDE" w:rsidRDefault="00013201" w:rsidP="00013201">
      <w:pPr>
        <w:spacing w:after="120" w:line="276" w:lineRule="auto"/>
        <w:ind w:firstLine="708"/>
        <w:jc w:val="both"/>
        <w:rPr>
          <w:rFonts w:ascii="Verdana" w:hAnsi="Verdana" w:cs="Arial"/>
          <w:lang w:val="es-ES"/>
        </w:rPr>
      </w:pPr>
      <w:r w:rsidRPr="00C55BDE">
        <w:rPr>
          <w:rFonts w:ascii="Verdana" w:hAnsi="Verdana" w:cs="Arial"/>
          <w:lang w:val="es-ES"/>
        </w:rPr>
        <w:t xml:space="preserve">Por un lado, el </w:t>
      </w:r>
      <w:r w:rsidRPr="00C55BDE">
        <w:rPr>
          <w:rFonts w:ascii="Verdana" w:hAnsi="Verdana" w:cs="Arial"/>
          <w:i/>
          <w:iCs/>
          <w:lang w:val="es-ES"/>
        </w:rPr>
        <w:t xml:space="preserve">artículo 33 </w:t>
      </w:r>
      <w:r w:rsidRPr="00C55BDE">
        <w:rPr>
          <w:rFonts w:ascii="Verdana" w:hAnsi="Verdana" w:cs="Arial"/>
          <w:lang w:val="es-ES"/>
        </w:rPr>
        <w:t xml:space="preserve">de la Ley 996 de 2005 prohíbe “[…] la contratación directa por parte de </w:t>
      </w:r>
      <w:r w:rsidRPr="00C55BDE">
        <w:rPr>
          <w:rFonts w:ascii="Verdana" w:hAnsi="Verdana" w:cs="Arial"/>
          <w:i/>
          <w:iCs/>
          <w:lang w:val="es-ES"/>
        </w:rPr>
        <w:t>todos los entes del Estado</w:t>
      </w:r>
      <w:r w:rsidRPr="00C55BDE">
        <w:rPr>
          <w:rFonts w:ascii="Verdana" w:hAnsi="Verdana" w:cs="Arial"/>
          <w:lang w:val="es-ES"/>
        </w:rPr>
        <w:t xml:space="preserve">” durante los cuatro (4) meses anteriores a las </w:t>
      </w:r>
      <w:r w:rsidRPr="00C55BDE">
        <w:rPr>
          <w:rFonts w:ascii="Verdana" w:hAnsi="Verdana" w:cs="Arial"/>
          <w:i/>
          <w:iCs/>
          <w:lang w:val="es-ES"/>
        </w:rPr>
        <w:t>elecciones presidenciales</w:t>
      </w:r>
      <w:r w:rsidRPr="00C55BDE">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55BDE">
        <w:rPr>
          <w:rFonts w:ascii="Verdana" w:hAnsi="Verdana" w:cs="Arial"/>
          <w:vertAlign w:val="superscript"/>
          <w:lang w:val="es-ES"/>
        </w:rPr>
        <w:footnoteReference w:id="16"/>
      </w:r>
      <w:r w:rsidRPr="00C55BDE">
        <w:rPr>
          <w:rFonts w:ascii="Verdana" w:hAnsi="Verdana" w:cs="Arial"/>
          <w:lang w:val="es-ES"/>
        </w:rPr>
        <w:t>.</w:t>
      </w:r>
    </w:p>
    <w:p w14:paraId="5A958617" w14:textId="77777777" w:rsidR="00013201" w:rsidRPr="00C55BDE" w:rsidRDefault="00013201" w:rsidP="00013201">
      <w:pPr>
        <w:widowControl w:val="0"/>
        <w:autoSpaceDE w:val="0"/>
        <w:autoSpaceDN w:val="0"/>
        <w:spacing w:after="120" w:line="276" w:lineRule="auto"/>
        <w:ind w:right="113" w:firstLine="709"/>
        <w:jc w:val="both"/>
        <w:rPr>
          <w:rFonts w:ascii="Verdana" w:eastAsia="Arial" w:hAnsi="Verdana" w:cs="Arial"/>
          <w:lang w:val="es-ES" w:eastAsia="es-ES" w:bidi="es-ES"/>
        </w:rPr>
      </w:pPr>
      <w:r w:rsidRPr="00C55BDE">
        <w:rPr>
          <w:rFonts w:ascii="Verdana" w:hAnsi="Verdana" w:cs="Arial"/>
          <w:lang w:val="es-ES"/>
        </w:rPr>
        <w:t xml:space="preserve">Por otro lado, </w:t>
      </w:r>
      <w:r w:rsidRPr="00C55BDE">
        <w:rPr>
          <w:rFonts w:ascii="Verdana" w:hAnsi="Verdana" w:cs="Arial"/>
          <w:i/>
          <w:iCs/>
          <w:lang w:val="es-ES"/>
        </w:rPr>
        <w:t xml:space="preserve">el parágrafo del artículo 38 </w:t>
      </w:r>
      <w:r w:rsidRPr="00C55BDE">
        <w:rPr>
          <w:rFonts w:ascii="Verdana" w:hAnsi="Verdana" w:cs="Arial"/>
          <w:lang w:val="es-ES"/>
        </w:rPr>
        <w:t xml:space="preserve">de la Ley 996 de 2005 prevé una restricción, aplicable respecto de </w:t>
      </w:r>
      <w:r w:rsidRPr="00C55BDE">
        <w:rPr>
          <w:rFonts w:ascii="Verdana" w:hAnsi="Verdana" w:cs="Arial"/>
          <w:i/>
          <w:iCs/>
          <w:lang w:val="es-ES"/>
        </w:rPr>
        <w:t>cualquier tipo de contienda electoral</w:t>
      </w:r>
      <w:r w:rsidRPr="00C55BDE">
        <w:rPr>
          <w:rFonts w:ascii="Verdana"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w:t>
      </w:r>
      <w:r w:rsidRPr="00C55BDE">
        <w:rPr>
          <w:rFonts w:ascii="Verdana" w:hAnsi="Verdana" w:cs="Arial"/>
          <w:lang w:val="es-ES"/>
        </w:rPr>
        <w:lastRenderedPageBreak/>
        <w:t>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hAnsi="Verdana" w:cs="Arial"/>
          <w:vertAlign w:val="superscript"/>
          <w:lang w:val="es-ES"/>
        </w:rPr>
        <w:footnoteReference w:id="17"/>
      </w:r>
      <w:r w:rsidRPr="00C55BDE">
        <w:rPr>
          <w:rFonts w:ascii="Verdana" w:hAnsi="Verdana" w:cs="Arial"/>
          <w:lang w:val="es-ES"/>
        </w:rPr>
        <w:t>.</w:t>
      </w:r>
      <w:r w:rsidRPr="00C55BDE">
        <w:rPr>
          <w:rFonts w:ascii="Verdana" w:eastAsia="Arial" w:hAnsi="Verdana" w:cs="Arial"/>
          <w:lang w:val="es-ES" w:eastAsia="es-ES" w:bidi="es-ES"/>
        </w:rPr>
        <w:t xml:space="preserve"> </w:t>
      </w:r>
    </w:p>
    <w:p w14:paraId="354604FC" w14:textId="77777777" w:rsidR="00013201" w:rsidRPr="00C55BDE" w:rsidRDefault="00013201" w:rsidP="00013201">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5BDE">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5A3A0F36" w14:textId="77777777" w:rsidR="00013201" w:rsidRPr="00C55BDE" w:rsidRDefault="00013201" w:rsidP="00013201">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00667864" w14:textId="77777777" w:rsidR="00013201" w:rsidRPr="00C55BDE" w:rsidRDefault="00013201" w:rsidP="0001320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C55BDE">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C55BDE">
        <w:rPr>
          <w:rFonts w:ascii="Verdana" w:eastAsia="Arial" w:hAnsi="Verdana" w:cs="Arial"/>
          <w:sz w:val="20"/>
          <w:szCs w:val="20"/>
          <w:lang w:val="es-ES" w:eastAsia="es-ES" w:bidi="es-ES"/>
        </w:rPr>
        <w:t>Presidente</w:t>
      </w:r>
      <w:proofErr w:type="gramEnd"/>
      <w:r w:rsidRPr="00C55BDE">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C55BDE">
        <w:rPr>
          <w:rFonts w:ascii="Verdana" w:eastAsia="Arial" w:hAnsi="Verdana" w:cs="Arial"/>
          <w:sz w:val="20"/>
          <w:szCs w:val="20"/>
          <w:vertAlign w:val="superscript"/>
          <w:lang w:val="es-ES" w:eastAsia="es-ES" w:bidi="es-ES"/>
        </w:rPr>
        <w:footnoteReference w:id="18"/>
      </w:r>
    </w:p>
    <w:p w14:paraId="76254BC6" w14:textId="77777777" w:rsidR="00013201" w:rsidRPr="00C55BDE" w:rsidRDefault="00013201" w:rsidP="0001320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0FD8D4A9" w14:textId="77777777" w:rsidR="00013201" w:rsidRPr="00C55BDE" w:rsidRDefault="00013201" w:rsidP="00013201">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C55BDE">
        <w:rPr>
          <w:rFonts w:ascii="Verdana" w:eastAsia="Arial" w:hAnsi="Verdana" w:cs="Arial"/>
          <w:i/>
          <w:lang w:val="es-ES" w:eastAsia="es-ES" w:bidi="es-ES"/>
        </w:rPr>
        <w:t>En primer lugar</w:t>
      </w:r>
      <w:r w:rsidRPr="00C55BDE">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w:t>
      </w:r>
      <w:r w:rsidRPr="00C55BDE">
        <w:rPr>
          <w:rFonts w:ascii="Verdana" w:eastAsia="Arial" w:hAnsi="Verdana" w:cs="Arial"/>
          <w:lang w:val="es-ES" w:eastAsia="es-ES" w:bidi="es-ES"/>
        </w:rPr>
        <w:lastRenderedPageBreak/>
        <w:t xml:space="preserve">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55BDE">
        <w:rPr>
          <w:rFonts w:ascii="Verdana" w:eastAsia="Arial" w:hAnsi="Verdana" w:cs="Arial"/>
          <w:i/>
          <w:lang w:val="es-ES" w:eastAsia="es-ES" w:bidi="es-ES"/>
        </w:rPr>
        <w:t>En segundo lugar</w:t>
      </w:r>
      <w:r w:rsidRPr="00C55BDE">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C62FE49" w14:textId="77777777" w:rsidR="00013201" w:rsidRPr="00C55BDE" w:rsidRDefault="00013201" w:rsidP="00013201">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4CC1F469" w14:textId="77777777" w:rsidR="00013201" w:rsidRPr="00C55BDE" w:rsidRDefault="00013201" w:rsidP="00013201">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o el </w:t>
      </w:r>
      <w:proofErr w:type="gramStart"/>
      <w:r w:rsidRPr="00C55BDE">
        <w:rPr>
          <w:rFonts w:ascii="Verdana" w:eastAsia="Arial" w:hAnsi="Verdana" w:cs="Arial"/>
          <w:lang w:val="es-ES" w:eastAsia="es-ES" w:bidi="es-ES"/>
        </w:rPr>
        <w:t>Vicepresidente</w:t>
      </w:r>
      <w:proofErr w:type="gramEnd"/>
      <w:r w:rsidRPr="00C55BDE">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y el </w:t>
      </w:r>
      <w:proofErr w:type="gramStart"/>
      <w:r w:rsidRPr="00C55BDE">
        <w:rPr>
          <w:rFonts w:ascii="Verdana" w:eastAsia="Arial" w:hAnsi="Verdana" w:cs="Arial"/>
          <w:lang w:val="es-ES" w:eastAsia="es-ES" w:bidi="es-ES"/>
        </w:rPr>
        <w:t>Vicepresidente</w:t>
      </w:r>
      <w:proofErr w:type="gramEnd"/>
      <w:r w:rsidRPr="00C55BDE">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C55BDE">
        <w:rPr>
          <w:rFonts w:ascii="Verdana" w:eastAsia="Arial" w:hAnsi="Verdana" w:cs="Arial"/>
          <w:lang w:val="es-ES" w:eastAsia="es-ES" w:bidi="es-ES"/>
        </w:rPr>
        <w:t>Vicepresidente</w:t>
      </w:r>
      <w:proofErr w:type="gramEnd"/>
      <w:r w:rsidRPr="00C55BDE">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47CA3B55" w14:textId="77777777" w:rsidR="00013201" w:rsidRPr="00C55BDE" w:rsidRDefault="00013201" w:rsidP="00013201">
      <w:pPr>
        <w:spacing w:after="120" w:line="276" w:lineRule="auto"/>
        <w:jc w:val="both"/>
        <w:rPr>
          <w:rFonts w:ascii="Verdana" w:hAnsi="Verdana" w:cs="Arial"/>
          <w:lang w:val="es-ES"/>
        </w:rPr>
      </w:pPr>
      <w:proofErr w:type="spellStart"/>
      <w:r>
        <w:rPr>
          <w:rFonts w:ascii="Verdana" w:hAnsi="Verdana" w:cs="Arial"/>
          <w:lang w:val="es-ES"/>
        </w:rPr>
        <w:t>iv</w:t>
      </w:r>
      <w:proofErr w:type="spellEnd"/>
      <w:r>
        <w:rPr>
          <w:rFonts w:ascii="Verdana" w:hAnsi="Verdana" w:cs="Arial"/>
          <w:lang w:val="es-ES"/>
        </w:rPr>
        <w:t xml:space="preserve">. </w:t>
      </w:r>
      <w:r w:rsidRPr="00C55BDE">
        <w:rPr>
          <w:rFonts w:ascii="Verdana" w:hAnsi="Verdana" w:cs="Arial"/>
          <w:lang w:val="es-ES"/>
        </w:rPr>
        <w:t xml:space="preserve">Ahora bien, para proceder a dar respuesta a la consulta elevada, debe indicarse que respecto del alcance del parágrafo </w:t>
      </w:r>
      <w:r w:rsidRPr="00C55BDE">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w:t>
      </w:r>
      <w:r w:rsidRPr="00C55BDE">
        <w:rPr>
          <w:rFonts w:ascii="Verdana" w:hAnsi="Verdana" w:cs="Arial"/>
        </w:rPr>
        <w:lastRenderedPageBreak/>
        <w:t xml:space="preserve">dentro de los cuatro (4) meses anteriores a las elecciones, no podrán celebrar </w:t>
      </w:r>
      <w:r w:rsidRPr="00C55BDE">
        <w:rPr>
          <w:rFonts w:ascii="Verdana" w:hAnsi="Verdana" w:cs="Arial"/>
          <w:i/>
          <w:iCs/>
        </w:rPr>
        <w:t>convenios interadministrativos</w:t>
      </w:r>
      <w:r w:rsidRPr="00C55BDE">
        <w:rPr>
          <w:rFonts w:ascii="Verdana" w:hAnsi="Verdana" w:cs="Arial"/>
        </w:rPr>
        <w:t xml:space="preserve"> </w:t>
      </w:r>
      <w:r w:rsidRPr="00C55BDE">
        <w:rPr>
          <w:rFonts w:ascii="Verdana" w:hAnsi="Verdana" w:cs="Arial"/>
          <w:i/>
          <w:iCs/>
        </w:rPr>
        <w:t>para la ejecución de recursos públicos</w:t>
      </w:r>
      <w:r w:rsidRPr="00C55BDE">
        <w:rPr>
          <w:rFonts w:ascii="Verdana" w:hAnsi="Verdana" w:cs="Arial"/>
        </w:rPr>
        <w:t>”.</w:t>
      </w:r>
      <w:r w:rsidRPr="00C55BDE">
        <w:rPr>
          <w:rFonts w:ascii="Verdana" w:eastAsia="Times New Roman" w:hAnsi="Verdana" w:cs="Arial"/>
          <w:lang w:val="es-MX" w:eastAsia="x-none"/>
        </w:rPr>
        <w:t xml:space="preserve"> [Énfasis fuera del texto original]</w:t>
      </w:r>
    </w:p>
    <w:p w14:paraId="345307E4" w14:textId="77777777" w:rsidR="00013201" w:rsidRPr="00C55BDE" w:rsidRDefault="00013201" w:rsidP="00013201">
      <w:pPr>
        <w:spacing w:after="120" w:line="276" w:lineRule="auto"/>
        <w:ind w:firstLine="709"/>
        <w:jc w:val="both"/>
        <w:rPr>
          <w:rFonts w:ascii="Verdana" w:hAnsi="Verdana" w:cs="Arial"/>
          <w:lang w:eastAsia="es-ES"/>
        </w:rPr>
      </w:pPr>
      <w:r w:rsidRPr="00C55BDE">
        <w:rPr>
          <w:rFonts w:ascii="Verdana" w:eastAsia="Times New Roman" w:hAnsi="Verdana" w:cs="Arial"/>
          <w:lang w:val="es-ES" w:eastAsia="es-ES"/>
        </w:rPr>
        <w:t xml:space="preserve">Para tales efectos, debe precisarse que </w:t>
      </w:r>
      <w:r w:rsidRPr="00C55BDE">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55BDE">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55BDE">
        <w:rPr>
          <w:rFonts w:ascii="Verdana" w:hAnsi="Verdana" w:cs="Arial"/>
          <w:vertAlign w:val="superscript"/>
          <w:lang w:eastAsia="es-ES"/>
        </w:rPr>
        <w:footnoteReference w:id="19"/>
      </w:r>
      <w:r w:rsidRPr="00C55BDE">
        <w:rPr>
          <w:rFonts w:ascii="Verdana" w:hAnsi="Verdana" w:cs="Arial"/>
          <w:lang w:eastAsia="es-ES"/>
        </w:rPr>
        <w:t>.</w:t>
      </w:r>
    </w:p>
    <w:p w14:paraId="706291C3" w14:textId="77777777" w:rsidR="00013201" w:rsidRPr="00C55BDE" w:rsidRDefault="00013201" w:rsidP="00013201">
      <w:pPr>
        <w:spacing w:after="120" w:line="276" w:lineRule="auto"/>
        <w:ind w:firstLine="709"/>
        <w:jc w:val="both"/>
        <w:rPr>
          <w:rFonts w:ascii="Verdana" w:hAnsi="Verdana" w:cs="Arial"/>
          <w:color w:val="000000" w:themeColor="text1"/>
          <w:lang w:val="es-ES_tradnl"/>
        </w:rPr>
      </w:pPr>
      <w:r w:rsidRPr="00C55BDE">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07EE12D" w14:textId="77777777" w:rsidR="00013201" w:rsidRPr="00C55BDE" w:rsidRDefault="00013201" w:rsidP="00013201">
      <w:pPr>
        <w:spacing w:before="120" w:after="0" w:line="276" w:lineRule="auto"/>
        <w:ind w:firstLine="708"/>
        <w:jc w:val="both"/>
        <w:rPr>
          <w:rFonts w:ascii="Verdana" w:hAnsi="Verdana" w:cs="Arial"/>
          <w:lang w:val="es-ES_tradnl"/>
        </w:rPr>
      </w:pPr>
      <w:r w:rsidRPr="00C55BDE">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C55BDE">
        <w:rPr>
          <w:rFonts w:ascii="Verdana" w:hAnsi="Verdana" w:cs="Arial"/>
          <w:vertAlign w:val="superscript"/>
          <w:lang w:val="es-ES"/>
        </w:rPr>
        <w:footnoteReference w:id="20"/>
      </w:r>
      <w:r w:rsidRPr="00C55BDE">
        <w:rPr>
          <w:rFonts w:ascii="Verdana" w:hAnsi="Verdana" w:cs="Arial"/>
          <w:lang w:val="es-ES"/>
        </w:rPr>
        <w:t>. Nótese que, en este caso, lo que cambia es la modalidad de selección y no la naturaleza de contrato interadministrativo.</w:t>
      </w:r>
    </w:p>
    <w:p w14:paraId="6E912E39" w14:textId="77777777" w:rsidR="00013201" w:rsidRPr="00C55BDE" w:rsidRDefault="00013201" w:rsidP="00013201">
      <w:pPr>
        <w:spacing w:before="120" w:after="0" w:line="276" w:lineRule="auto"/>
        <w:ind w:firstLine="708"/>
        <w:jc w:val="both"/>
        <w:rPr>
          <w:rFonts w:ascii="Verdana" w:hAnsi="Verdana" w:cs="Arial"/>
          <w:lang w:val="es-ES_tradnl"/>
        </w:rPr>
      </w:pPr>
      <w:r w:rsidRPr="00C55BDE">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sidRPr="00C55BDE">
        <w:rPr>
          <w:rFonts w:ascii="Verdana" w:hAnsi="Verdana" w:cs="Arial"/>
          <w:vertAlign w:val="superscript"/>
          <w:lang w:val="es-ES"/>
        </w:rPr>
        <w:footnoteReference w:id="21"/>
      </w:r>
      <w:r w:rsidRPr="00C55BDE">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2A7275C" w14:textId="77777777" w:rsidR="00013201" w:rsidRPr="00C55BDE" w:rsidRDefault="00013201" w:rsidP="00013201">
      <w:pPr>
        <w:spacing w:before="120" w:after="0" w:line="276" w:lineRule="auto"/>
        <w:ind w:firstLine="708"/>
        <w:jc w:val="both"/>
        <w:rPr>
          <w:rFonts w:ascii="Verdana" w:hAnsi="Verdana"/>
          <w:sz w:val="24"/>
          <w:szCs w:val="24"/>
          <w:lang w:eastAsia="es-CO"/>
        </w:rPr>
      </w:pPr>
      <w:r w:rsidRPr="00C55BDE">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55BDE">
        <w:rPr>
          <w:rFonts w:ascii="Verdana" w:hAnsi="Verdana" w:cs="Arial"/>
          <w:vertAlign w:val="superscript"/>
          <w:lang w:val="es-ES"/>
        </w:rPr>
        <w:footnoteReference w:id="22"/>
      </w:r>
      <w:r w:rsidRPr="00C55BDE">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C55BDE">
        <w:rPr>
          <w:rFonts w:ascii="Verdana" w:hAnsi="Verdana"/>
          <w:sz w:val="24"/>
          <w:szCs w:val="24"/>
          <w:lang w:eastAsia="es-CO"/>
        </w:rPr>
        <w:t>.</w:t>
      </w:r>
    </w:p>
    <w:p w14:paraId="719DC890" w14:textId="77777777" w:rsidR="00013201" w:rsidRPr="00C55BDE" w:rsidRDefault="00013201" w:rsidP="00013201">
      <w:pPr>
        <w:spacing w:before="120" w:after="0" w:line="276" w:lineRule="auto"/>
        <w:ind w:firstLine="708"/>
        <w:jc w:val="both"/>
        <w:rPr>
          <w:rFonts w:ascii="Verdana" w:eastAsia="Times New Roman" w:hAnsi="Verdana" w:cs="Arial"/>
          <w:lang w:val="es-MX" w:eastAsia="es-CO"/>
        </w:rPr>
      </w:pPr>
      <w:r w:rsidRPr="00C55BDE">
        <w:rPr>
          <w:rFonts w:ascii="Verdana" w:eastAsia="Arial" w:hAnsi="Verdana" w:cs="Arial"/>
          <w:lang w:val="es-MX" w:eastAsia="es-ES" w:bidi="es-ES"/>
        </w:rPr>
        <w:t>De esta manera, se</w:t>
      </w:r>
      <w:r w:rsidRPr="00C55BDE">
        <w:rPr>
          <w:rFonts w:ascii="Verdana" w:eastAsia="Times New Roman" w:hAnsi="Verdana" w:cs="Arial"/>
          <w:lang w:eastAsia="es-CO"/>
        </w:rPr>
        <w:t xml:space="preserve"> observa entonces que </w:t>
      </w:r>
      <w:r w:rsidRPr="00C55BDE">
        <w:rPr>
          <w:rFonts w:ascii="Verdana" w:eastAsia="Times New Roman" w:hAnsi="Verdana" w:cs="Arial"/>
          <w:lang w:val="es-MX" w:eastAsia="es-CO"/>
        </w:rPr>
        <w:t xml:space="preserve">el parágrafo del artículo 38 de la Ley 996 de 2005 prohíbe a los </w:t>
      </w:r>
      <w:proofErr w:type="gramStart"/>
      <w:r w:rsidRPr="00C55BDE">
        <w:rPr>
          <w:rFonts w:ascii="Verdana" w:eastAsia="Times New Roman" w:hAnsi="Verdana" w:cs="Arial"/>
          <w:lang w:val="es-MX" w:eastAsia="es-CO"/>
        </w:rPr>
        <w:t>Alcaldes</w:t>
      </w:r>
      <w:proofErr w:type="gramEnd"/>
      <w:r w:rsidRPr="00C55BDE">
        <w:rPr>
          <w:rFonts w:ascii="Verdana" w:eastAsia="Times New Roman" w:hAnsi="Verdana" w:cs="Arial"/>
          <w:lang w:val="es-MX" w:eastAsia="es-CO"/>
        </w:rPr>
        <w:t xml:space="preserve">, Gobernadores, </w:t>
      </w:r>
      <w:proofErr w:type="gramStart"/>
      <w:r w:rsidRPr="00C55BDE">
        <w:rPr>
          <w:rFonts w:ascii="Verdana" w:eastAsia="Times New Roman" w:hAnsi="Verdana" w:cs="Arial"/>
          <w:lang w:val="es-MX" w:eastAsia="es-CO"/>
        </w:rPr>
        <w:t>Secretarios</w:t>
      </w:r>
      <w:proofErr w:type="gramEnd"/>
      <w:r w:rsidRPr="00C55BDE">
        <w:rPr>
          <w:rFonts w:ascii="Verdana" w:eastAsia="Times New Roman" w:hAnsi="Verdana" w:cs="Arial"/>
          <w:lang w:val="es-MX" w:eastAsia="es-CO"/>
        </w:rPr>
        <w:t xml:space="preserve">, Gerentes y </w:t>
      </w:r>
      <w:proofErr w:type="gramStart"/>
      <w:r w:rsidRPr="00C55BDE">
        <w:rPr>
          <w:rFonts w:ascii="Verdana" w:eastAsia="Times New Roman" w:hAnsi="Verdana" w:cs="Arial"/>
          <w:lang w:val="es-MX" w:eastAsia="es-CO"/>
        </w:rPr>
        <w:t>Directores</w:t>
      </w:r>
      <w:proofErr w:type="gramEnd"/>
      <w:r w:rsidRPr="00C55BDE">
        <w:rPr>
          <w:rFonts w:ascii="Verdana" w:eastAsia="Times New Roman" w:hAnsi="Verdana" w:cs="Arial"/>
          <w:lang w:val="es-MX" w:eastAsia="es-CO"/>
        </w:rPr>
        <w:t xml:space="preserve"> de las entidades del orden municipal, departamental o distrital celebrar </w:t>
      </w:r>
      <w:r w:rsidRPr="00C55BDE">
        <w:rPr>
          <w:rFonts w:ascii="Verdana" w:eastAsia="Times New Roman" w:hAnsi="Verdana" w:cs="Arial"/>
          <w:i/>
          <w:iCs/>
          <w:lang w:val="es-MX" w:eastAsia="es-CO"/>
        </w:rPr>
        <w:t>convenios interadministrativos</w:t>
      </w:r>
      <w:r w:rsidRPr="00C55BDE">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55BDE">
        <w:rPr>
          <w:rFonts w:ascii="Verdana" w:eastAsia="Times New Roman" w:hAnsi="Verdana" w:cs="Arial"/>
          <w:i/>
          <w:lang w:val="es-MX" w:eastAsia="es-CO"/>
        </w:rPr>
        <w:t>ibidem</w:t>
      </w:r>
      <w:r w:rsidRPr="00C55BDE">
        <w:rPr>
          <w:rFonts w:ascii="Verdana" w:eastAsia="Times New Roman" w:hAnsi="Verdana" w:cs="Arial"/>
          <w:lang w:val="es-MX" w:eastAsia="es-CO"/>
        </w:rPr>
        <w:t xml:space="preserve">, no podrá celebrar tales </w:t>
      </w:r>
      <w:r w:rsidRPr="00C55BDE">
        <w:rPr>
          <w:rFonts w:ascii="Verdana" w:eastAsia="Times New Roman" w:hAnsi="Verdana" w:cs="Arial"/>
          <w:i/>
          <w:iCs/>
          <w:lang w:val="es-MX" w:eastAsia="es-CO"/>
        </w:rPr>
        <w:t>convenios</w:t>
      </w:r>
      <w:r w:rsidRPr="00C55BDE">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4D243BD7" w14:textId="77777777" w:rsidR="00013201" w:rsidRDefault="00013201" w:rsidP="00013201">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C55BDE">
        <w:rPr>
          <w:rFonts w:ascii="Verdana" w:eastAsia="Times New Roman" w:hAnsi="Verdana" w:cs="Arial"/>
          <w:lang w:val="es-MX" w:eastAsia="es-CO"/>
        </w:rPr>
        <w:t>ii</w:t>
      </w:r>
      <w:proofErr w:type="spellEnd"/>
      <w:r w:rsidRPr="00C55BDE">
        <w:rPr>
          <w:rFonts w:ascii="Verdana" w:eastAsia="Times New Roman" w:hAnsi="Verdana" w:cs="Arial"/>
          <w:lang w:val="es-MX" w:eastAsia="es-CO"/>
        </w:rPr>
        <w:t xml:space="preserve">) y </w:t>
      </w:r>
      <w:proofErr w:type="spellStart"/>
      <w:r w:rsidRPr="00C55BDE">
        <w:rPr>
          <w:rFonts w:ascii="Verdana" w:eastAsia="Times New Roman" w:hAnsi="Verdana" w:cs="Arial"/>
          <w:lang w:val="es-MX" w:eastAsia="es-CO"/>
        </w:rPr>
        <w:t>iv</w:t>
      </w:r>
      <w:proofErr w:type="spellEnd"/>
      <w:r w:rsidRPr="00C55BDE">
        <w:rPr>
          <w:rFonts w:ascii="Verdana" w:eastAsia="Times New Roman" w:hAnsi="Verdana" w:cs="Arial"/>
          <w:lang w:val="es-MX" w:eastAsia="es-CO"/>
        </w:rPr>
        <w:t>) del numeral 2</w:t>
      </w:r>
      <w:r w:rsidRPr="00C55BDE">
        <w:rPr>
          <w:rFonts w:ascii="Verdana" w:eastAsia="Times New Roman" w:hAnsi="Verdana" w:cs="Arial"/>
          <w:lang w:eastAsia="es-CO"/>
        </w:rPr>
        <w:t>,</w:t>
      </w:r>
      <w:r w:rsidRPr="00C55BDE">
        <w:rPr>
          <w:rFonts w:ascii="Verdana" w:eastAsia="Times New Roman" w:hAnsi="Verdana" w:cs="Arial"/>
          <w:lang w:val="es-MX" w:eastAsia="es-CO"/>
        </w:rPr>
        <w:t xml:space="preserve"> indica que el </w:t>
      </w:r>
      <w:r w:rsidRPr="00C55BDE">
        <w:rPr>
          <w:rFonts w:ascii="Verdana" w:eastAsia="Times New Roman" w:hAnsi="Verdana" w:cs="Arial"/>
          <w:lang w:eastAsia="es-CO"/>
        </w:rPr>
        <w:t xml:space="preserve">parágrafo del artículo 38 de la Ley 996 de 2005 cobija expresamente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ejecución de </w:t>
      </w:r>
      <w:r w:rsidRPr="00C55BDE">
        <w:rPr>
          <w:rFonts w:ascii="Verdana" w:eastAsia="Times New Roman" w:hAnsi="Verdana" w:cs="Arial"/>
          <w:lang w:eastAsia="es-CO"/>
        </w:rPr>
        <w:lastRenderedPageBreak/>
        <w:t xml:space="preserve">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55BDE">
        <w:rPr>
          <w:rFonts w:ascii="Verdana" w:eastAsia="Times New Roman" w:hAnsi="Verdana" w:cs="Arial"/>
          <w:i/>
          <w:iCs/>
          <w:lang w:eastAsia="es-CO"/>
        </w:rPr>
        <w:t>“aunque se configure alguno de los supuestos de excepción que señaló el inciso final del artículo 33”.</w:t>
      </w:r>
      <w:r w:rsidRPr="00C55BDE">
        <w:rPr>
          <w:rFonts w:ascii="Verdana" w:eastAsia="Times New Roman" w:hAnsi="Verdana" w:cs="Arial"/>
          <w:lang w:eastAsia="es-CO"/>
        </w:rPr>
        <w:t xml:space="preserve"> </w:t>
      </w:r>
    </w:p>
    <w:p w14:paraId="021886F1" w14:textId="77777777" w:rsidR="00013201" w:rsidRPr="00C55BDE" w:rsidRDefault="00013201" w:rsidP="00013201">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Asimismo, respecto de los sujetos </w:t>
      </w:r>
      <w:r w:rsidRPr="005173C4">
        <w:rPr>
          <w:rFonts w:ascii="Verdana" w:eastAsia="Times New Roman" w:hAnsi="Verdana" w:cs="Arial"/>
          <w:lang w:eastAsia="es-CO"/>
        </w:rPr>
        <w:t>que tienen prohibido celebrar convenios interadministrativos</w:t>
      </w:r>
      <w:r>
        <w:rPr>
          <w:rFonts w:ascii="Verdana" w:eastAsia="Times New Roman" w:hAnsi="Verdana" w:cs="Arial"/>
          <w:lang w:eastAsia="es-CO"/>
        </w:rPr>
        <w:t xml:space="preserve"> se precisa que</w:t>
      </w:r>
      <w:r w:rsidRPr="005173C4">
        <w:rPr>
          <w:rFonts w:ascii="Verdana" w:eastAsia="Times New Roman" w:hAnsi="Verdana" w:cs="Arial"/>
          <w:lang w:eastAsia="es-CO"/>
        </w:rPr>
        <w:t xml:space="preserve"> </w:t>
      </w:r>
      <w:r>
        <w:rPr>
          <w:rFonts w:ascii="Verdana" w:eastAsia="Times New Roman" w:hAnsi="Verdana" w:cs="Arial"/>
          <w:lang w:eastAsia="es-CO"/>
        </w:rPr>
        <w:t>“l</w:t>
      </w:r>
      <w:r w:rsidRPr="005173C4">
        <w:rPr>
          <w:rFonts w:ascii="Verdana" w:eastAsia="Times New Roman" w:hAnsi="Verdana" w:cs="Arial"/>
          <w:lang w:eastAsia="es-CO"/>
        </w:rPr>
        <w:t xml:space="preserve">a norma señala expresamente los sujetos a quienes aplica la prohibición, es decir: a los </w:t>
      </w:r>
      <w:proofErr w:type="gramStart"/>
      <w:r w:rsidRPr="00C54178">
        <w:rPr>
          <w:rFonts w:ascii="Verdana" w:eastAsia="Times New Roman" w:hAnsi="Verdana" w:cs="Arial"/>
          <w:i/>
          <w:iCs/>
          <w:lang w:eastAsia="es-CO"/>
        </w:rPr>
        <w:t>Alcaldes</w:t>
      </w:r>
      <w:proofErr w:type="gramEnd"/>
      <w:r w:rsidRPr="00C54178">
        <w:rPr>
          <w:rFonts w:ascii="Verdana" w:eastAsia="Times New Roman" w:hAnsi="Verdana" w:cs="Arial"/>
          <w:i/>
          <w:iCs/>
          <w:lang w:eastAsia="es-CO"/>
        </w:rPr>
        <w:t xml:space="preserve">, Gobernadores, </w:t>
      </w:r>
      <w:proofErr w:type="gramStart"/>
      <w:r w:rsidRPr="00C54178">
        <w:rPr>
          <w:rFonts w:ascii="Verdana" w:eastAsia="Times New Roman" w:hAnsi="Verdana" w:cs="Arial"/>
          <w:i/>
          <w:iCs/>
          <w:lang w:eastAsia="es-CO"/>
        </w:rPr>
        <w:t>Secretarios</w:t>
      </w:r>
      <w:proofErr w:type="gramEnd"/>
      <w:r w:rsidRPr="00C54178">
        <w:rPr>
          <w:rFonts w:ascii="Verdana" w:eastAsia="Times New Roman" w:hAnsi="Verdana" w:cs="Arial"/>
          <w:i/>
          <w:iCs/>
          <w:lang w:eastAsia="es-CO"/>
        </w:rPr>
        <w:t xml:space="preserve">, Gerentes y </w:t>
      </w:r>
      <w:proofErr w:type="gramStart"/>
      <w:r w:rsidRPr="00C54178">
        <w:rPr>
          <w:rFonts w:ascii="Verdana" w:eastAsia="Times New Roman" w:hAnsi="Verdana" w:cs="Arial"/>
          <w:i/>
          <w:iCs/>
          <w:lang w:eastAsia="es-CO"/>
        </w:rPr>
        <w:t>Directores</w:t>
      </w:r>
      <w:proofErr w:type="gramEnd"/>
      <w:r w:rsidRPr="00C54178">
        <w:rPr>
          <w:rFonts w:ascii="Verdana" w:eastAsia="Times New Roman" w:hAnsi="Verdana" w:cs="Arial"/>
          <w:i/>
          <w:iCs/>
          <w:lang w:eastAsia="es-CO"/>
        </w:rPr>
        <w:t xml:space="preserve"> de las entidades descentralizadas del orden municipal, departamental o distrital</w:t>
      </w:r>
      <w:r w:rsidRPr="005173C4">
        <w:rPr>
          <w:rFonts w:ascii="Verdana" w:eastAsia="Times New Roman" w:hAnsi="Verdana" w:cs="Arial"/>
          <w:lang w:eastAsia="es-CO"/>
        </w:rPr>
        <w:t xml:space="preserve">. En consecuencia, no se extiende a sujetos adicionales o distintos a los referidos, </w:t>
      </w:r>
      <w:r w:rsidRPr="000673BA">
        <w:rPr>
          <w:rFonts w:ascii="Verdana" w:eastAsia="Times New Roman" w:hAnsi="Verdana" w:cs="Arial"/>
          <w:i/>
          <w:iCs/>
          <w:lang w:eastAsia="es-CO"/>
        </w:rPr>
        <w:t>de modo que no cobija a todos los entes públicos que tienen la facultad de contratar</w:t>
      </w:r>
      <w:r w:rsidRPr="005173C4">
        <w:rPr>
          <w:rFonts w:ascii="Verdana" w:eastAsia="Times New Roman" w:hAnsi="Verdana" w:cs="Arial"/>
          <w:lang w:eastAsia="es-CO"/>
        </w:rPr>
        <w:t>, como ocurre con la prohibición del artículo 33</w:t>
      </w:r>
      <w:r>
        <w:rPr>
          <w:rFonts w:ascii="Verdana" w:eastAsia="Times New Roman" w:hAnsi="Verdana" w:cs="Arial"/>
          <w:lang w:eastAsia="es-CO"/>
        </w:rPr>
        <w:t>”</w:t>
      </w:r>
      <w:r w:rsidRPr="005173C4">
        <w:rPr>
          <w:rFonts w:ascii="Verdana" w:eastAsia="Times New Roman" w:hAnsi="Verdana" w:cs="Arial"/>
          <w:lang w:eastAsia="es-CO"/>
        </w:rPr>
        <w:t>.</w:t>
      </w:r>
    </w:p>
    <w:p w14:paraId="01FD8B3E" w14:textId="77777777" w:rsidR="00013201" w:rsidRPr="00C55BDE" w:rsidRDefault="00013201" w:rsidP="00013201">
      <w:pPr>
        <w:spacing w:before="120" w:after="0" w:line="276" w:lineRule="auto"/>
        <w:ind w:firstLine="708"/>
        <w:jc w:val="both"/>
        <w:rPr>
          <w:rFonts w:ascii="Verdana" w:eastAsia="Times New Roman" w:hAnsi="Verdana" w:cs="Arial"/>
          <w:lang w:val="es-MX" w:eastAsia="es-CO"/>
        </w:rPr>
      </w:pPr>
      <w:r>
        <w:rPr>
          <w:rFonts w:ascii="Verdana" w:eastAsia="Times New Roman" w:hAnsi="Verdana" w:cs="Arial"/>
          <w:lang w:eastAsia="es-CO"/>
        </w:rPr>
        <w:t>En este contexto, e</w:t>
      </w:r>
      <w:r w:rsidRPr="00C55BDE">
        <w:rPr>
          <w:rFonts w:ascii="Verdana" w:eastAsia="Times New Roman" w:hAnsi="Verdana" w:cs="Arial"/>
          <w:lang w:eastAsia="es-CO"/>
        </w:rPr>
        <w:t xml:space="preserve">s importante tener en cuenta que el ámbito de aplicación de la restricción prevista en el parágrafo del artículo 38 de la Ley 996 de 2005 solo se extiende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w:t>
      </w:r>
      <w:r w:rsidRPr="00C55BDE">
        <w:rPr>
          <w:rFonts w:ascii="Verdana" w:eastAsia="Times New Roman" w:hAnsi="Verdana" w:cs="Arial"/>
          <w:i/>
          <w:iCs/>
          <w:lang w:eastAsia="es-CO"/>
        </w:rPr>
        <w:t>ejecución de recursos públicos</w:t>
      </w:r>
      <w:r w:rsidRPr="00C55BDE">
        <w:rPr>
          <w:rFonts w:ascii="Verdana" w:eastAsia="Times New Roman" w:hAnsi="Verdana" w:cs="Arial"/>
          <w:lang w:eastAsia="es-CO"/>
        </w:rPr>
        <w:t xml:space="preserve">. Esto significa que la prohibición no resulta aplicable a </w:t>
      </w:r>
      <w:r w:rsidRPr="00C55BDE">
        <w:rPr>
          <w:rFonts w:ascii="Verdana" w:eastAsia="Times New Roman" w:hAnsi="Verdana" w:cs="Arial"/>
          <w:i/>
          <w:iCs/>
          <w:lang w:eastAsia="es-CO"/>
        </w:rPr>
        <w:t>convenios interadministrativos a título gratuito,</w:t>
      </w:r>
      <w:r w:rsidRPr="00C55BDE">
        <w:rPr>
          <w:rFonts w:ascii="Verdana" w:eastAsia="Times New Roman" w:hAnsi="Verdana" w:cs="Arial"/>
          <w:lang w:eastAsia="es-CO"/>
        </w:rPr>
        <w:t xml:space="preserve"> los cuales pueden celebrarse válidamente durante la vigencia de la mencionada restricción. </w:t>
      </w:r>
    </w:p>
    <w:p w14:paraId="76D38C22" w14:textId="77777777" w:rsidR="00013201" w:rsidRPr="00C55BDE" w:rsidRDefault="00013201" w:rsidP="00013201">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De esta manera, conforme a lo dispuesto en la Circular referida, si se suscriben </w:t>
      </w:r>
      <w:r w:rsidRPr="00C55BDE">
        <w:rPr>
          <w:rFonts w:ascii="Verdana" w:eastAsia="Times New Roman" w:hAnsi="Verdana" w:cs="Arial"/>
          <w:i/>
          <w:iCs/>
          <w:lang w:eastAsia="es-CO"/>
        </w:rPr>
        <w:t>convenios interadministrativos para la ejecución de recursos públicos</w:t>
      </w:r>
      <w:r w:rsidRPr="00C55BDE">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55BDE">
        <w:rPr>
          <w:rFonts w:ascii="Verdana" w:eastAsia="Times New Roman" w:hAnsi="Verdana" w:cs="Arial"/>
          <w:i/>
          <w:iCs/>
          <w:lang w:eastAsia="es-CO"/>
        </w:rPr>
        <w:t>ibidem</w:t>
      </w:r>
      <w:r w:rsidRPr="00C55BDE">
        <w:rPr>
          <w:rFonts w:ascii="Verdana" w:eastAsia="Times New Roman" w:hAnsi="Verdana" w:cs="Arial"/>
          <w:lang w:eastAsia="es-CO"/>
        </w:rPr>
        <w:t>, independientemente de que se configure alguno de los supuestos de excepción que señaló el inciso final del artículo 33, es decir, que se trate de:</w:t>
      </w:r>
      <w:r w:rsidRPr="00C55BDE">
        <w:rPr>
          <w:rFonts w:ascii="Verdana" w:hAnsi="Verdana" w:cs="Arial"/>
          <w:bCs/>
          <w:lang w:val="es-MX" w:eastAsia="x-none"/>
        </w:rPr>
        <w:t xml:space="preserve"> i) la defensa y seguridad del Estado; </w:t>
      </w:r>
      <w:proofErr w:type="spellStart"/>
      <w:r w:rsidRPr="00C55BDE">
        <w:rPr>
          <w:rFonts w:ascii="Verdana" w:hAnsi="Verdana" w:cs="Arial"/>
          <w:bCs/>
          <w:lang w:val="es-MX" w:eastAsia="x-none"/>
        </w:rPr>
        <w:t>ii</w:t>
      </w:r>
      <w:proofErr w:type="spellEnd"/>
      <w:r w:rsidRPr="00C55BDE">
        <w:rPr>
          <w:rFonts w:ascii="Verdana" w:hAnsi="Verdana" w:cs="Arial"/>
          <w:bCs/>
          <w:lang w:val="es-MX" w:eastAsia="x-none"/>
        </w:rPr>
        <w:t xml:space="preserve">) los contratos de crédito público; </w:t>
      </w:r>
      <w:proofErr w:type="spellStart"/>
      <w:r w:rsidRPr="00C55BDE">
        <w:rPr>
          <w:rFonts w:ascii="Verdana" w:hAnsi="Verdana" w:cs="Arial"/>
          <w:bCs/>
          <w:lang w:val="es-MX" w:eastAsia="x-none"/>
        </w:rPr>
        <w:t>iii</w:t>
      </w:r>
      <w:proofErr w:type="spellEnd"/>
      <w:r w:rsidRPr="00C55BDE">
        <w:rPr>
          <w:rFonts w:ascii="Verdana" w:hAnsi="Verdana" w:cs="Arial"/>
          <w:bCs/>
          <w:lang w:val="es-MX" w:eastAsia="x-none"/>
        </w:rPr>
        <w:t xml:space="preserve">) los requeridos para cubrir las emergencias educativas, sanitarias y desastres; </w:t>
      </w:r>
      <w:proofErr w:type="spellStart"/>
      <w:r w:rsidRPr="00C55BDE">
        <w:rPr>
          <w:rFonts w:ascii="Verdana" w:hAnsi="Verdana" w:cs="Arial"/>
          <w:bCs/>
          <w:lang w:val="es-MX" w:eastAsia="x-none"/>
        </w:rPr>
        <w:t>iv</w:t>
      </w:r>
      <w:proofErr w:type="spellEnd"/>
      <w:r w:rsidRPr="00C55BDE">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55BDE">
        <w:rPr>
          <w:rFonts w:ascii="Verdana" w:hAnsi="Verdana" w:cs="Arial"/>
          <w:bCs/>
          <w:lang w:val="es-MX" w:eastAsia="es-CO"/>
        </w:rPr>
        <w:t xml:space="preserve"> </w:t>
      </w:r>
      <w:r w:rsidRPr="00C55BDE">
        <w:rPr>
          <w:rFonts w:ascii="Verdana" w:eastAsia="Times New Roman" w:hAnsi="Verdana" w:cs="Arial"/>
          <w:lang w:eastAsia="es-CO"/>
        </w:rPr>
        <w:t xml:space="preserve">  </w:t>
      </w:r>
    </w:p>
    <w:p w14:paraId="2CB3F78C" w14:textId="77777777" w:rsidR="00013201" w:rsidRPr="00C55BDE" w:rsidRDefault="00013201" w:rsidP="00013201">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En este punto, teniendo en cuenta lo señalado en el contenido de su petición, vale la pena destacar </w:t>
      </w:r>
      <w:proofErr w:type="gramStart"/>
      <w:r w:rsidRPr="00C55BDE">
        <w:rPr>
          <w:rFonts w:ascii="Verdana" w:eastAsia="Times New Roman" w:hAnsi="Verdana" w:cs="Arial"/>
          <w:lang w:eastAsia="es-CO"/>
        </w:rPr>
        <w:t>que</w:t>
      </w:r>
      <w:proofErr w:type="gramEnd"/>
      <w:r w:rsidRPr="00C55BDE">
        <w:rPr>
          <w:rFonts w:ascii="Verdana" w:eastAsia="Times New Roman" w:hAnsi="Verdana" w:cs="Arial"/>
          <w:lang w:eastAsia="es-CO"/>
        </w:rPr>
        <w:t xml:space="preserve"> </w:t>
      </w:r>
      <w:r w:rsidRPr="00C55BDE">
        <w:rPr>
          <w:rFonts w:ascii="Verdana" w:eastAsia="Arial" w:hAnsi="Verdana" w:cs="Arial"/>
          <w:lang w:val="es-MX" w:eastAsia="es-ES" w:bidi="es-ES"/>
        </w:rPr>
        <w:t xml:space="preserve">mediante auto de 4 de octubre del 2024, el Consejo de Estado, Subsección C de la Sección Tercera, decretó medida de </w:t>
      </w:r>
      <w:r w:rsidRPr="00C55BDE">
        <w:rPr>
          <w:rFonts w:ascii="Verdana" w:eastAsia="Arial" w:hAnsi="Verdana" w:cs="Arial"/>
          <w:lang w:val="es-MX" w:eastAsia="es-ES" w:bidi="es-ES"/>
        </w:rPr>
        <w:lastRenderedPageBreak/>
        <w:t xml:space="preserve">suspensión provisional parcial del </w:t>
      </w:r>
      <w:r w:rsidRPr="00C55BDE">
        <w:rPr>
          <w:rFonts w:ascii="Verdana" w:hAnsi="Verdana" w:cs="Arial"/>
        </w:rPr>
        <w:t>numeral 16.2 de la Circular Externa Única de 2022 expedida por la Agencia Nacional de Contratación Pública -Colombia Compra Eficiente-, concretamente, respecto de los siguientes apartes normativos</w:t>
      </w:r>
      <w:r w:rsidRPr="00C55BDE">
        <w:rPr>
          <w:rFonts w:ascii="Verdana" w:hAnsi="Verdana" w:cs="Arial"/>
          <w:vertAlign w:val="superscript"/>
        </w:rPr>
        <w:footnoteReference w:id="23"/>
      </w:r>
      <w:r w:rsidRPr="00C55BDE">
        <w:rPr>
          <w:rFonts w:ascii="Verdana" w:hAnsi="Verdana" w:cs="Arial"/>
        </w:rPr>
        <w:t xml:space="preserve">: </w:t>
      </w:r>
    </w:p>
    <w:p w14:paraId="0F2C8A28" w14:textId="77777777" w:rsidR="00013201" w:rsidRPr="00C55BDE" w:rsidRDefault="00013201" w:rsidP="00013201">
      <w:pPr>
        <w:spacing w:after="0" w:line="276" w:lineRule="auto"/>
        <w:ind w:firstLine="709"/>
        <w:jc w:val="both"/>
        <w:rPr>
          <w:rFonts w:ascii="Verdana" w:hAnsi="Verdana" w:cs="Arial"/>
        </w:rPr>
      </w:pPr>
    </w:p>
    <w:p w14:paraId="3ABCE145" w14:textId="77777777" w:rsidR="00013201" w:rsidRPr="00C55BDE" w:rsidRDefault="00013201" w:rsidP="00013201">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C55BDE">
        <w:rPr>
          <w:rFonts w:ascii="Verdana" w:hAnsi="Verdana" w:cs="Arial"/>
          <w:sz w:val="20"/>
          <w:szCs w:val="20"/>
          <w:lang w:val="es-MX"/>
        </w:rPr>
        <w:t>i)</w:t>
      </w:r>
      <w:r w:rsidRPr="00C55BDE">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B1AEB81" w14:textId="77777777" w:rsidR="00013201" w:rsidRPr="00C55BDE" w:rsidRDefault="00013201" w:rsidP="00013201">
      <w:pPr>
        <w:spacing w:after="0" w:line="240" w:lineRule="auto"/>
        <w:ind w:left="709" w:right="709"/>
        <w:jc w:val="both"/>
        <w:rPr>
          <w:rFonts w:ascii="Verdana" w:hAnsi="Verdana" w:cs="Arial"/>
          <w:sz w:val="20"/>
          <w:szCs w:val="20"/>
        </w:rPr>
      </w:pPr>
    </w:p>
    <w:p w14:paraId="52C9B317" w14:textId="77777777" w:rsidR="00013201" w:rsidRPr="00C55BDE" w:rsidRDefault="00013201" w:rsidP="00013201">
      <w:pPr>
        <w:spacing w:after="0" w:line="240" w:lineRule="auto"/>
        <w:ind w:left="709" w:right="709"/>
        <w:jc w:val="both"/>
        <w:rPr>
          <w:rFonts w:ascii="Verdana" w:hAnsi="Verdana" w:cs="Arial"/>
          <w:sz w:val="20"/>
          <w:szCs w:val="20"/>
        </w:rPr>
      </w:pPr>
      <w:proofErr w:type="spellStart"/>
      <w:r w:rsidRPr="00C55BDE">
        <w:rPr>
          <w:rFonts w:ascii="Verdana" w:hAnsi="Verdana" w:cs="Arial"/>
          <w:sz w:val="20"/>
          <w:szCs w:val="20"/>
        </w:rPr>
        <w:t>ii</w:t>
      </w:r>
      <w:proofErr w:type="spellEnd"/>
      <w:r w:rsidRPr="00C55BDE">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EE863AE" w14:textId="77777777" w:rsidR="00013201" w:rsidRPr="00C55BDE" w:rsidRDefault="00013201" w:rsidP="00013201">
      <w:pPr>
        <w:spacing w:after="0" w:line="276" w:lineRule="auto"/>
        <w:ind w:left="709" w:right="709"/>
        <w:jc w:val="both"/>
        <w:rPr>
          <w:rFonts w:ascii="Verdana" w:hAnsi="Verdana" w:cs="Arial"/>
        </w:rPr>
      </w:pPr>
    </w:p>
    <w:p w14:paraId="5444DA62" w14:textId="77777777" w:rsidR="00013201" w:rsidRPr="00C55BDE" w:rsidRDefault="00013201" w:rsidP="00013201">
      <w:pPr>
        <w:spacing w:after="120" w:line="276" w:lineRule="auto"/>
        <w:ind w:firstLine="709"/>
        <w:jc w:val="both"/>
        <w:rPr>
          <w:rFonts w:ascii="Verdana" w:eastAsia="Arial" w:hAnsi="Verdana" w:cs="Arial"/>
          <w:i/>
          <w:iCs/>
          <w:lang w:eastAsia="es-ES" w:bidi="es-ES"/>
        </w:rPr>
      </w:pPr>
      <w:r w:rsidRPr="00C55BDE">
        <w:rPr>
          <w:rFonts w:ascii="Verdana" w:eastAsia="Arial" w:hAnsi="Verdana" w:cs="Arial"/>
          <w:lang w:val="es-MX" w:eastAsia="es-ES" w:bidi="es-ES"/>
        </w:rPr>
        <w:t xml:space="preserve">De conformidad con los argumentos de dicha providencia, se parte de la distinción entre los conceptos </w:t>
      </w:r>
      <w:r w:rsidRPr="00C55BDE">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55BDE">
        <w:rPr>
          <w:rFonts w:ascii="Verdana" w:hAnsi="Verdana"/>
          <w:sz w:val="24"/>
          <w:szCs w:val="24"/>
          <w:lang w:eastAsia="es-CO"/>
        </w:rPr>
        <w:t xml:space="preserve"> </w:t>
      </w:r>
      <w:r w:rsidRPr="00C55BDE">
        <w:rPr>
          <w:rFonts w:ascii="Verdana" w:eastAsia="Arial" w:hAnsi="Verdana" w:cs="Arial"/>
          <w:lang w:eastAsia="es-ES" w:bidi="es-ES"/>
        </w:rPr>
        <w:t xml:space="preserve">En este sentido, en relación con el parágrafo del artículo 38 de la Ley 996 de 2005 concluyó que </w:t>
      </w:r>
      <w:r w:rsidRPr="00C55BDE">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w:t>
      </w:r>
      <w:r w:rsidRPr="00C55BDE">
        <w:rPr>
          <w:rFonts w:ascii="Verdana" w:eastAsia="Arial" w:hAnsi="Verdana" w:cs="Arial"/>
          <w:i/>
          <w:iCs/>
          <w:lang w:eastAsia="es-ES" w:bidi="es-ES"/>
        </w:rPr>
        <w:lastRenderedPageBreak/>
        <w:t xml:space="preserve">incorporó en la prohibición una categoría que no quedó comprendida expresa e inequívocamente en la ley. </w:t>
      </w:r>
    </w:p>
    <w:p w14:paraId="707AC913" w14:textId="77777777" w:rsidR="00013201" w:rsidRPr="00C55BDE" w:rsidRDefault="00013201" w:rsidP="00013201">
      <w:pPr>
        <w:spacing w:after="120" w:line="276" w:lineRule="auto"/>
        <w:ind w:firstLine="709"/>
        <w:jc w:val="both"/>
        <w:rPr>
          <w:rFonts w:ascii="Verdana" w:eastAsia="Arial" w:hAnsi="Verdana" w:cs="Arial"/>
          <w:lang w:eastAsia="es-ES" w:bidi="es-ES"/>
        </w:rPr>
      </w:pPr>
      <w:r w:rsidRPr="00C55BDE">
        <w:rPr>
          <w:rFonts w:ascii="Verdana" w:eastAsia="Arial" w:hAnsi="Verdana" w:cs="Arial"/>
          <w:lang w:eastAsia="es-ES" w:bidi="es-ES"/>
        </w:rPr>
        <w:t>De igual manera, mediante auto del 6 de noviembre de 2025, el Consejo de Estado, Subsección A de la Sección Tercera, decretó</w:t>
      </w:r>
      <w:r w:rsidRPr="00C55BDE">
        <w:rPr>
          <w:rFonts w:ascii="Verdana" w:eastAsia="Arial" w:hAnsi="Verdana" w:cs="Arial"/>
          <w:b/>
          <w:bCs/>
          <w:lang w:eastAsia="es-ES" w:bidi="es-ES"/>
        </w:rPr>
        <w:t xml:space="preserve"> </w:t>
      </w:r>
      <w:r w:rsidRPr="00C55BDE">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55BDE">
        <w:rPr>
          <w:rFonts w:ascii="Verdana" w:eastAsia="Arial" w:hAnsi="Verdana" w:cs="Arial"/>
          <w:vertAlign w:val="superscript"/>
          <w:lang w:eastAsia="es-ES" w:bidi="es-ES"/>
        </w:rPr>
        <w:footnoteReference w:id="24"/>
      </w:r>
      <w:r w:rsidRPr="00C55BDE">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C55BDE">
        <w:rPr>
          <w:rFonts w:ascii="Verdana" w:eastAsia="Arial" w:hAnsi="Verdana" w:cs="Arial"/>
          <w:lang w:eastAsia="es-ES" w:bidi="es-ES"/>
        </w:rPr>
        <w:t>legis</w:t>
      </w:r>
      <w:proofErr w:type="spellEnd"/>
      <w:r w:rsidRPr="00C55BDE">
        <w:rPr>
          <w:rFonts w:ascii="Verdana" w:eastAsia="Arial" w:hAnsi="Verdana" w:cs="Arial"/>
          <w:lang w:eastAsia="es-ES" w:bidi="es-ES"/>
        </w:rPr>
        <w:t xml:space="preserve"> o iuris y la interpretación extensiva y reiteró los argumentos sobre la diferencia entre contratos y convenios interadministrativos. </w:t>
      </w:r>
    </w:p>
    <w:p w14:paraId="3180D830" w14:textId="77777777" w:rsidR="00013201" w:rsidRPr="00C55BDE" w:rsidRDefault="00013201" w:rsidP="00013201">
      <w:pPr>
        <w:spacing w:after="120" w:line="276" w:lineRule="auto"/>
        <w:ind w:firstLine="709"/>
        <w:jc w:val="both"/>
        <w:rPr>
          <w:rFonts w:ascii="Verdana" w:eastAsia="Times New Roman" w:hAnsi="Verdana" w:cs="Times New Roman"/>
          <w:lang w:eastAsia="es-ES"/>
        </w:rPr>
      </w:pPr>
      <w:r w:rsidRPr="00C55BDE">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55BDE">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36F26DB3" w14:textId="77777777" w:rsidR="00013201" w:rsidRPr="00C55BDE" w:rsidRDefault="00013201" w:rsidP="00013201">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 xml:space="preserve">La anterior decisión se adoptó al considerar que la Agencia excedió su competencia material al incluir contratos en una restricción que la Ley de Garantías Electorales solo previó para convenios, cuando no es posible aplicar </w:t>
      </w:r>
      <w:r w:rsidRPr="00C55BDE">
        <w:rPr>
          <w:rFonts w:ascii="Verdana" w:eastAsia="Times New Roman" w:hAnsi="Verdana" w:cs="Times New Roman"/>
          <w:lang w:eastAsia="es-ES"/>
        </w:rPr>
        <w:lastRenderedPageBreak/>
        <w:t>por analogía o extensión una norma que establece prohibiciones</w:t>
      </w:r>
      <w:r w:rsidRPr="00C55BDE">
        <w:rPr>
          <w:rStyle w:val="Refdenotaalpie"/>
          <w:rFonts w:ascii="Verdana" w:eastAsia="Times New Roman" w:hAnsi="Verdana" w:cs="Times New Roman"/>
          <w:lang w:eastAsia="es-ES"/>
        </w:rPr>
        <w:footnoteReference w:id="25"/>
      </w:r>
      <w:r w:rsidRPr="00C55BDE">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0D6731B7" w14:textId="77777777" w:rsidR="00013201" w:rsidRPr="00C55BDE" w:rsidRDefault="00013201" w:rsidP="00013201">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4AEAEA1C" w14:textId="77777777" w:rsidR="00013201" w:rsidRPr="00C55BDE" w:rsidRDefault="00013201" w:rsidP="00013201">
      <w:pPr>
        <w:spacing w:after="120" w:line="276" w:lineRule="auto"/>
        <w:ind w:firstLine="709"/>
        <w:jc w:val="both"/>
        <w:rPr>
          <w:rFonts w:ascii="Verdana" w:eastAsia="Times New Roman" w:hAnsi="Verdana" w:cs="Arial"/>
          <w:lang w:eastAsia="es-CO"/>
        </w:rPr>
      </w:pPr>
      <w:r w:rsidRPr="00C55BDE">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55BDE">
        <w:rPr>
          <w:rFonts w:ascii="Verdana" w:eastAsia="Times New Roman" w:hAnsi="Verdana" w:cs="Arial"/>
          <w:i/>
          <w:iCs/>
          <w:lang w:eastAsia="es-CO"/>
        </w:rPr>
        <w:t>contratos interadministrativos</w:t>
      </w:r>
      <w:r w:rsidRPr="00C55BDE">
        <w:rPr>
          <w:rFonts w:ascii="Verdana" w:eastAsia="Times New Roman" w:hAnsi="Verdana" w:cs="Arial"/>
          <w:lang w:eastAsia="es-CO"/>
        </w:rPr>
        <w:t>, esta prohibición solo aplicaría a los convenios interadministrativos que impliquen la ejecución de recursos públicos</w:t>
      </w:r>
      <w:r w:rsidRPr="00C55BDE">
        <w:rPr>
          <w:rStyle w:val="Refdenotaalpie"/>
          <w:rFonts w:ascii="Verdana" w:eastAsia="Times New Roman" w:hAnsi="Verdana" w:cs="Arial"/>
          <w:lang w:eastAsia="es-CO"/>
        </w:rPr>
        <w:footnoteReference w:id="26"/>
      </w:r>
      <w:r w:rsidRPr="00C55BDE">
        <w:rPr>
          <w:rFonts w:ascii="Verdana" w:eastAsia="Times New Roman" w:hAnsi="Verdana" w:cs="Arial"/>
          <w:lang w:eastAsia="es-CO"/>
        </w:rPr>
        <w:t>.</w:t>
      </w:r>
    </w:p>
    <w:p w14:paraId="31240997" w14:textId="77777777" w:rsidR="00013201" w:rsidRPr="00C55BDE" w:rsidRDefault="00013201" w:rsidP="00013201">
      <w:pPr>
        <w:spacing w:after="120" w:line="276" w:lineRule="auto"/>
        <w:ind w:firstLine="708"/>
        <w:jc w:val="both"/>
        <w:rPr>
          <w:rFonts w:ascii="Verdana" w:eastAsia="Times New Roman" w:hAnsi="Verdana" w:cs="Arial"/>
          <w:lang w:eastAsia="es-CO"/>
        </w:rPr>
      </w:pPr>
      <w:r w:rsidRPr="00C55BDE">
        <w:rPr>
          <w:rFonts w:ascii="Verdana"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w:t>
      </w:r>
      <w:r w:rsidRPr="00C55BDE">
        <w:rPr>
          <w:rFonts w:ascii="Verdana" w:hAnsi="Verdana" w:cs="Arial"/>
          <w:bCs/>
          <w:color w:val="000000" w:themeColor="text1"/>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E90C264" w14:textId="77777777" w:rsidR="00013201" w:rsidRPr="00C55BDE" w:rsidRDefault="00013201" w:rsidP="00013201">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27E5CAF" w14:textId="77777777" w:rsidR="00013201" w:rsidRPr="00C55BDE" w:rsidRDefault="00013201" w:rsidP="00013201">
      <w:pPr>
        <w:spacing w:after="0" w:line="276" w:lineRule="auto"/>
        <w:ind w:firstLine="708"/>
        <w:jc w:val="both"/>
        <w:rPr>
          <w:rFonts w:ascii="Verdana" w:hAnsi="Verdana" w:cs="Arial"/>
          <w:bCs/>
          <w:color w:val="000000" w:themeColor="text1"/>
        </w:rPr>
      </w:pPr>
    </w:p>
    <w:p w14:paraId="64B65DB2" w14:textId="77777777" w:rsidR="00013201" w:rsidRPr="00C55BDE" w:rsidRDefault="00013201" w:rsidP="00013201">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Referencias normativas:</w:t>
      </w:r>
    </w:p>
    <w:p w14:paraId="43355160" w14:textId="77777777" w:rsidR="00013201" w:rsidRPr="00C55BDE" w:rsidRDefault="00013201" w:rsidP="00013201">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3201" w:rsidRPr="00C55BDE" w14:paraId="3CA3A1C8" w14:textId="77777777" w:rsidTr="00902708">
        <w:trPr>
          <w:trHeight w:val="491"/>
          <w:jc w:val="center"/>
        </w:trPr>
        <w:tc>
          <w:tcPr>
            <w:tcW w:w="8647" w:type="dxa"/>
          </w:tcPr>
          <w:p w14:paraId="6F7FB64D" w14:textId="77777777" w:rsidR="00013201" w:rsidRPr="00C55BDE" w:rsidRDefault="00013201" w:rsidP="0090270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Constitución Política, artículos 127, 329, 356.</w:t>
            </w:r>
          </w:p>
          <w:p w14:paraId="11818D6E" w14:textId="77777777" w:rsidR="00013201" w:rsidRPr="00C55BDE" w:rsidRDefault="00013201" w:rsidP="0090270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Decreto 1088 de 1993.</w:t>
            </w:r>
          </w:p>
          <w:p w14:paraId="321B6657" w14:textId="77777777" w:rsidR="00013201" w:rsidRPr="00C55BDE" w:rsidRDefault="00013201" w:rsidP="0090270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Decreto 1953 de 2014.</w:t>
            </w:r>
          </w:p>
          <w:p w14:paraId="6031E5FB" w14:textId="77777777" w:rsidR="00013201" w:rsidRPr="00C55BDE" w:rsidRDefault="00013201" w:rsidP="0090270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Ley 80 de 1993, artículo 2.</w:t>
            </w:r>
          </w:p>
          <w:p w14:paraId="7550A7DF" w14:textId="77777777" w:rsidR="00013201" w:rsidRPr="00C55BDE" w:rsidRDefault="00013201" w:rsidP="0090270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Ley 715 de 2001.</w:t>
            </w:r>
          </w:p>
          <w:p w14:paraId="3245001D" w14:textId="77777777" w:rsidR="00013201" w:rsidRPr="00C55BDE" w:rsidRDefault="00013201" w:rsidP="00902708">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eastAsia="Arial MT" w:hAnsi="Verdana" w:cs="Arial"/>
                <w:bCs/>
                <w:lang w:val="es-ES" w:eastAsia="es-ES" w:bidi="es-ES"/>
              </w:rPr>
              <w:t>Ley 996 de 2005, artículos 33 y 38.</w:t>
            </w:r>
          </w:p>
          <w:p w14:paraId="1C2213CE" w14:textId="77777777" w:rsidR="00013201" w:rsidRPr="00C55BDE" w:rsidRDefault="00013201" w:rsidP="00902708">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hAnsi="Verdana" w:cs="Arial"/>
                <w:bCs/>
                <w:color w:val="000000" w:themeColor="text1"/>
                <w:lang w:val="es-ES"/>
              </w:rPr>
              <w:t>Decreto 1068 de 2015, artículo 2.2.1.1.1.</w:t>
            </w:r>
          </w:p>
          <w:p w14:paraId="625E934F" w14:textId="77777777" w:rsidR="00013201" w:rsidRPr="00C55BDE" w:rsidRDefault="00013201" w:rsidP="00902708">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pt-BR"/>
              </w:rPr>
              <w:t>Corte Constitucional. Sentencia C-671 de 2015. M.P. Alberto Rojas Ríos.</w:t>
            </w:r>
          </w:p>
          <w:p w14:paraId="614636DB" w14:textId="77777777" w:rsidR="00013201" w:rsidRPr="00C55BDE" w:rsidRDefault="00013201" w:rsidP="00902708">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Sección Primera. Sentencia de 3 de marzo de 2005, </w:t>
            </w:r>
            <w:proofErr w:type="spellStart"/>
            <w:r w:rsidRPr="00C55BDE">
              <w:rPr>
                <w:rFonts w:ascii="Verdana" w:hAnsi="Verdana" w:cs="Arial"/>
                <w:lang w:val="es-ES"/>
              </w:rPr>
              <w:t>Exp</w:t>
            </w:r>
            <w:proofErr w:type="spellEnd"/>
            <w:r w:rsidRPr="00C55BDE">
              <w:rPr>
                <w:rFonts w:ascii="Verdana" w:hAnsi="Verdana" w:cs="Arial"/>
                <w:lang w:val="es-ES"/>
              </w:rPr>
              <w:t xml:space="preserve">. 2004-00823-01(PI). </w:t>
            </w:r>
          </w:p>
          <w:p w14:paraId="5DB364BF" w14:textId="77777777" w:rsidR="00013201" w:rsidRPr="00C55BDE" w:rsidRDefault="00013201" w:rsidP="00902708">
            <w:pPr>
              <w:numPr>
                <w:ilvl w:val="0"/>
                <w:numId w:val="17"/>
              </w:numPr>
              <w:spacing w:before="120" w:after="120" w:line="276" w:lineRule="auto"/>
              <w:jc w:val="both"/>
              <w:rPr>
                <w:rFonts w:ascii="Verdana" w:hAnsi="Verdana" w:cs="Arial"/>
                <w:lang w:val="es-ES"/>
              </w:rPr>
            </w:pPr>
            <w:r w:rsidRPr="00C55BDE">
              <w:rPr>
                <w:rFonts w:ascii="Verdana" w:hAnsi="Verdana" w:cs="Arial"/>
              </w:rPr>
              <w:t>Consejo de Estado. Sala de Consulta y Servicio Civil. Concepto del 15 de noviembre de 2007. Expediente número 1863. Consejero Ponente: Luis Fernando Álvarez Jaramillo</w:t>
            </w:r>
          </w:p>
          <w:p w14:paraId="462CD086" w14:textId="77777777" w:rsidR="00013201" w:rsidRPr="00C55BDE" w:rsidRDefault="00013201" w:rsidP="00902708">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lastRenderedPageBreak/>
              <w:t xml:space="preserve">Consejo de Estado, Sala de Consulta y Servicio Civil, Concepto de fecha 24 de julio de 2013, Rad. 2166, C. P. Álvaro </w:t>
            </w:r>
            <w:proofErr w:type="spellStart"/>
            <w:r w:rsidRPr="00C55BDE">
              <w:rPr>
                <w:rFonts w:ascii="Verdana" w:hAnsi="Verdana" w:cs="Arial"/>
                <w:lang w:val="es-ES"/>
              </w:rPr>
              <w:t>Namén</w:t>
            </w:r>
            <w:proofErr w:type="spellEnd"/>
            <w:r w:rsidRPr="00C55BDE">
              <w:rPr>
                <w:rFonts w:ascii="Verdana" w:hAnsi="Verdana" w:cs="Arial"/>
                <w:lang w:val="es-ES"/>
              </w:rPr>
              <w:t xml:space="preserve"> Vargas. </w:t>
            </w:r>
          </w:p>
          <w:p w14:paraId="4048760D" w14:textId="77777777" w:rsidR="00013201" w:rsidRPr="00C55BDE" w:rsidRDefault="00013201" w:rsidP="00902708">
            <w:pPr>
              <w:numPr>
                <w:ilvl w:val="0"/>
                <w:numId w:val="17"/>
              </w:numPr>
              <w:spacing w:before="120" w:after="120" w:line="276" w:lineRule="auto"/>
              <w:jc w:val="both"/>
              <w:rPr>
                <w:rFonts w:ascii="Verdana" w:hAnsi="Verdana" w:cs="Arial"/>
                <w:lang w:val="es-ES"/>
              </w:rPr>
            </w:pPr>
            <w:r w:rsidRPr="00C55BDE">
              <w:rPr>
                <w:rFonts w:ascii="Verdana" w:hAnsi="Verdana" w:cs="Arial"/>
              </w:rPr>
              <w:t xml:space="preserve">Consejo de Estado. Sala de Consulta y Servicio Civil. Concepto del 2 de septiembre de 2013 Radicado No: 2168. CP: </w:t>
            </w:r>
            <w:proofErr w:type="spellStart"/>
            <w:r w:rsidRPr="00C55BDE">
              <w:rPr>
                <w:rFonts w:ascii="Verdana" w:hAnsi="Verdana" w:cs="Arial"/>
              </w:rPr>
              <w:t>Alvaro</w:t>
            </w:r>
            <w:proofErr w:type="spellEnd"/>
            <w:r w:rsidRPr="00C55BDE">
              <w:rPr>
                <w:rFonts w:ascii="Verdana" w:hAnsi="Verdana" w:cs="Arial"/>
              </w:rPr>
              <w:t xml:space="preserve"> </w:t>
            </w:r>
            <w:proofErr w:type="spellStart"/>
            <w:r w:rsidRPr="00C55BDE">
              <w:rPr>
                <w:rFonts w:ascii="Verdana" w:hAnsi="Verdana" w:cs="Arial"/>
              </w:rPr>
              <w:t>Namén</w:t>
            </w:r>
            <w:proofErr w:type="spellEnd"/>
            <w:r w:rsidRPr="00C55BDE">
              <w:rPr>
                <w:rFonts w:ascii="Verdana" w:hAnsi="Verdana" w:cs="Arial"/>
              </w:rPr>
              <w:t xml:space="preserve"> Vargas.</w:t>
            </w:r>
          </w:p>
          <w:p w14:paraId="36E5B49A" w14:textId="77777777" w:rsidR="00013201" w:rsidRPr="00C55BDE" w:rsidRDefault="00013201" w:rsidP="00902708">
            <w:pPr>
              <w:numPr>
                <w:ilvl w:val="0"/>
                <w:numId w:val="17"/>
              </w:numPr>
              <w:spacing w:before="120" w:after="120" w:line="276" w:lineRule="auto"/>
              <w:jc w:val="both"/>
              <w:rPr>
                <w:rFonts w:ascii="Verdana" w:hAnsi="Verdana" w:cs="Arial"/>
                <w:lang w:val="es-ES"/>
              </w:rPr>
            </w:pPr>
            <w:r w:rsidRPr="00C55BDE">
              <w:rPr>
                <w:rFonts w:ascii="Verdana" w:hAnsi="Verdana" w:cs="Arial"/>
                <w:lang w:val="es-ES"/>
              </w:rPr>
              <w:t>Consejo de Estado. Sala de Consulta y Servicio Civil. Concepto del 17 de febrero de 2015. C.P. William Zambrano Cetina. Radicación No. 11001-03-06-000-2015-00164-00(2269).</w:t>
            </w:r>
          </w:p>
          <w:p w14:paraId="254E56A8" w14:textId="77777777" w:rsidR="00013201" w:rsidRPr="00C55BDE" w:rsidRDefault="00013201" w:rsidP="00902708">
            <w:pPr>
              <w:numPr>
                <w:ilvl w:val="0"/>
                <w:numId w:val="17"/>
              </w:numPr>
              <w:spacing w:before="120" w:after="120" w:line="276" w:lineRule="auto"/>
              <w:jc w:val="both"/>
              <w:rPr>
                <w:rFonts w:ascii="Verdana" w:hAnsi="Verdana" w:cs="Arial"/>
                <w:lang w:val="es-ES"/>
              </w:rPr>
            </w:pPr>
            <w:r w:rsidRPr="00C55BDE">
              <w:rPr>
                <w:rFonts w:ascii="Verdana" w:hAnsi="Verdana" w:cs="Arial"/>
                <w:lang w:val="es-ES"/>
              </w:rPr>
              <w:t xml:space="preserve">Consejo de Estado, Sala de Consulta y Servicio Civil, Concepto de fecha 8 de mayo de 2018, No. 2382. C. P. Álvaro </w:t>
            </w:r>
            <w:proofErr w:type="spellStart"/>
            <w:r w:rsidRPr="00C55BDE">
              <w:rPr>
                <w:rFonts w:ascii="Verdana" w:hAnsi="Verdana" w:cs="Arial"/>
                <w:lang w:val="es-ES"/>
              </w:rPr>
              <w:t>Namén</w:t>
            </w:r>
            <w:proofErr w:type="spellEnd"/>
            <w:r w:rsidRPr="00C55BDE">
              <w:rPr>
                <w:rFonts w:ascii="Verdana" w:hAnsi="Verdana" w:cs="Arial"/>
                <w:lang w:val="es-ES"/>
              </w:rPr>
              <w:t xml:space="preserve"> Vargas.</w:t>
            </w:r>
          </w:p>
          <w:p w14:paraId="495F3549" w14:textId="77777777" w:rsidR="00013201" w:rsidRPr="00C55BDE" w:rsidRDefault="00013201" w:rsidP="00902708">
            <w:pPr>
              <w:widowControl w:val="0"/>
              <w:numPr>
                <w:ilvl w:val="0"/>
                <w:numId w:val="17"/>
              </w:numPr>
              <w:autoSpaceDE w:val="0"/>
              <w:autoSpaceDN w:val="0"/>
              <w:spacing w:after="120" w:line="276" w:lineRule="auto"/>
              <w:jc w:val="both"/>
              <w:rPr>
                <w:rFonts w:ascii="Verdana" w:hAnsi="Verdana" w:cs="Arial"/>
                <w:lang w:val="es-ES"/>
              </w:rPr>
            </w:pPr>
            <w:proofErr w:type="spellStart"/>
            <w:r w:rsidRPr="00C55BDE">
              <w:rPr>
                <w:rFonts w:ascii="Verdana" w:hAnsi="Verdana" w:cs="Arial"/>
                <w:lang w:val="pt-BR"/>
              </w:rPr>
              <w:t>Consejo</w:t>
            </w:r>
            <w:proofErr w:type="spellEnd"/>
            <w:r w:rsidRPr="00C55BDE">
              <w:rPr>
                <w:rFonts w:ascii="Verdana" w:hAnsi="Verdana" w:cs="Arial"/>
                <w:lang w:val="pt-BR"/>
              </w:rPr>
              <w:t xml:space="preserve"> de Estado, </w:t>
            </w:r>
            <w:proofErr w:type="spellStart"/>
            <w:r w:rsidRPr="00C55BDE">
              <w:rPr>
                <w:rFonts w:ascii="Verdana" w:hAnsi="Verdana" w:cs="Arial"/>
                <w:lang w:val="pt-BR"/>
              </w:rPr>
              <w:t>Sección</w:t>
            </w:r>
            <w:proofErr w:type="spellEnd"/>
            <w:r w:rsidRPr="00C55BDE">
              <w:rPr>
                <w:rFonts w:ascii="Verdana" w:hAnsi="Verdana" w:cs="Arial"/>
                <w:lang w:val="pt-BR"/>
              </w:rPr>
              <w:t xml:space="preserve"> Tercera. Auto </w:t>
            </w:r>
            <w:proofErr w:type="spellStart"/>
            <w:r w:rsidRPr="00C55BDE">
              <w:rPr>
                <w:rFonts w:ascii="Verdana" w:hAnsi="Verdana" w:cs="Arial"/>
                <w:lang w:val="pt-BR"/>
              </w:rPr>
              <w:t>del</w:t>
            </w:r>
            <w:proofErr w:type="spellEnd"/>
            <w:r w:rsidRPr="00C55BDE">
              <w:rPr>
                <w:rFonts w:ascii="Verdana" w:hAnsi="Verdana" w:cs="Arial"/>
                <w:lang w:val="pt-BR"/>
              </w:rPr>
              <w:t xml:space="preserve"> 4 de </w:t>
            </w:r>
            <w:proofErr w:type="spellStart"/>
            <w:r w:rsidRPr="00C55BDE">
              <w:rPr>
                <w:rFonts w:ascii="Verdana" w:hAnsi="Verdana" w:cs="Arial"/>
                <w:lang w:val="pt-BR"/>
              </w:rPr>
              <w:t>octubre</w:t>
            </w:r>
            <w:proofErr w:type="spellEnd"/>
            <w:r w:rsidRPr="00C55BDE">
              <w:rPr>
                <w:rFonts w:ascii="Verdana" w:hAnsi="Verdana" w:cs="Arial"/>
                <w:lang w:val="pt-BR"/>
              </w:rPr>
              <w:t xml:space="preserve"> de 2024. Exp. 70.313. C.P: Fredy Ibarra Martínez.</w:t>
            </w:r>
          </w:p>
          <w:p w14:paraId="648C0B95" w14:textId="77777777" w:rsidR="00013201" w:rsidRPr="00C55BDE" w:rsidRDefault="00013201" w:rsidP="00902708">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6BA539B4" w14:textId="77777777" w:rsidR="00013201" w:rsidRPr="00C55BDE" w:rsidRDefault="00013201" w:rsidP="00902708">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rPr>
              <w:t xml:space="preserve">Circular Externa No. 006 de 2025 </w:t>
            </w:r>
            <w:hyperlink r:id="rId13" w:history="1">
              <w:r w:rsidRPr="00C55BDE">
                <w:rPr>
                  <w:rFonts w:ascii="Verdana" w:hAnsi="Verdana" w:cs="Arial"/>
                  <w:color w:val="0000FF"/>
                  <w:u w:val="single"/>
                </w:rPr>
                <w:t>https://www.colombiacompra.gov.co/archivos/circular/circular-externa-006-de-2025</w:t>
              </w:r>
            </w:hyperlink>
            <w:r w:rsidRPr="00C55BDE">
              <w:rPr>
                <w:rFonts w:ascii="Verdana" w:hAnsi="Verdana" w:cs="Arial"/>
              </w:rPr>
              <w:t xml:space="preserve"> </w:t>
            </w:r>
          </w:p>
        </w:tc>
      </w:tr>
    </w:tbl>
    <w:p w14:paraId="6C824501" w14:textId="77777777" w:rsidR="00013201" w:rsidRPr="00C55BDE" w:rsidRDefault="00013201" w:rsidP="00013201">
      <w:pPr>
        <w:widowControl w:val="0"/>
        <w:autoSpaceDE w:val="0"/>
        <w:autoSpaceDN w:val="0"/>
        <w:spacing w:after="0" w:line="276" w:lineRule="auto"/>
        <w:jc w:val="both"/>
        <w:rPr>
          <w:rFonts w:ascii="Verdana" w:hAnsi="Verdana" w:cs="Arial"/>
          <w:lang w:val="es-ES_tradnl"/>
        </w:rPr>
      </w:pPr>
    </w:p>
    <w:p w14:paraId="5C9E1EEA" w14:textId="77777777" w:rsidR="00013201" w:rsidRPr="00C55BDE" w:rsidRDefault="00013201" w:rsidP="00013201">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Doctrina de la Agencia Nacional de Contratación Pública:</w:t>
      </w:r>
    </w:p>
    <w:p w14:paraId="3914D20C" w14:textId="77777777" w:rsidR="00013201" w:rsidRPr="00C55BDE" w:rsidRDefault="00013201" w:rsidP="00013201">
      <w:pPr>
        <w:widowControl w:val="0"/>
        <w:autoSpaceDE w:val="0"/>
        <w:autoSpaceDN w:val="0"/>
        <w:spacing w:after="0" w:line="276" w:lineRule="auto"/>
        <w:jc w:val="both"/>
        <w:rPr>
          <w:rFonts w:ascii="Verdana" w:hAnsi="Verdana" w:cs="Arial"/>
          <w:lang w:val="es-ES_tradnl"/>
        </w:rPr>
      </w:pPr>
    </w:p>
    <w:p w14:paraId="6ECAE46F" w14:textId="77777777" w:rsidR="00013201" w:rsidRPr="00C55BDE" w:rsidRDefault="00013201" w:rsidP="00013201">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 C-1492 del 21 de noviembre del 2025</w:t>
      </w:r>
      <w:r>
        <w:rPr>
          <w:rFonts w:ascii="Verdana" w:hAnsi="Verdana" w:cs="Arial"/>
          <w:shd w:val="clear" w:color="auto" w:fill="FFFFFF"/>
        </w:rPr>
        <w:t xml:space="preserve"> y C-1608 del 4 de diciembre de 2025</w:t>
      </w:r>
      <w:r w:rsidRPr="00C55BDE">
        <w:rPr>
          <w:rFonts w:ascii="Verdana" w:hAnsi="Verdana" w:cs="Arial"/>
          <w:shd w:val="clear" w:color="auto" w:fill="FFFFFF"/>
        </w:rPr>
        <w:t>.</w:t>
      </w:r>
    </w:p>
    <w:p w14:paraId="78AA5A80" w14:textId="77777777" w:rsidR="00013201" w:rsidRPr="00C55BDE" w:rsidRDefault="00013201" w:rsidP="00013201">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lastRenderedPageBreak/>
        <w:t>Igualmente ha analizado el marco normativo de contratación con Pueblos Indígenas en los conceptos Nro. C-459 del 22 de diciembre del 2023, C-011 del 01 de marzo del 2024, C-012 del 21 de marzo del 2024, C-062 del 07 de junio del 2024, C-371 del 09 de agosto del 2024, C-256 del 30 de agosto del 2024, C-596 del 16 de octubre del 2024</w:t>
      </w:r>
      <w:r w:rsidRPr="00C55BDE">
        <w:rPr>
          <w:rFonts w:ascii="Verdana" w:hAnsi="Verdana" w:cs="Arial"/>
          <w:shd w:val="clear" w:color="auto" w:fill="FFFFFF"/>
          <w:lang w:val="es-ES"/>
        </w:rPr>
        <w:t>, C-484 del 2025, C-891 del 20 de diciembre del 2024, C-714 del 04 de julio del 2025, C-844 del 06 de agosto del 2025, C-1130 del 17 de septiembre del 2025 y C-1585 del 03 de diciembre del 2025.</w:t>
      </w:r>
      <w:r w:rsidRPr="00C55BDE">
        <w:rPr>
          <w:rFonts w:ascii="Verdana" w:hAnsi="Verdana" w:cs="Arial"/>
          <w:shd w:val="clear" w:color="auto" w:fill="FFFFFF"/>
        </w:rPr>
        <w:t xml:space="preserve"> </w:t>
      </w:r>
      <w:r w:rsidRPr="00C55BD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4" w:history="1">
        <w:r w:rsidRPr="00C55BDE">
          <w:rPr>
            <w:rFonts w:ascii="Verdana" w:hAnsi="Verdana" w:cs="Arial"/>
            <w:color w:val="0000FF"/>
            <w:u w:val="single"/>
            <w:shd w:val="clear" w:color="auto" w:fill="FFFFFF"/>
            <w:lang w:val="es-ES_tradnl"/>
          </w:rPr>
          <w:t>https://relatoria.colombiacompra.gov.co/busqueda/conceptos</w:t>
        </w:r>
      </w:hyperlink>
      <w:r w:rsidRPr="00C55BDE">
        <w:rPr>
          <w:rFonts w:ascii="Verdana" w:hAnsi="Verdana" w:cs="Arial"/>
          <w:shd w:val="clear" w:color="auto" w:fill="FFFFFF"/>
          <w:lang w:val="es-ES_tradnl"/>
        </w:rPr>
        <w:t xml:space="preserve">. </w:t>
      </w:r>
      <w:r w:rsidRPr="00C55BDE">
        <w:rPr>
          <w:rFonts w:ascii="Verdana" w:hAnsi="Verdana" w:cs="Arial"/>
          <w:color w:val="FF0000"/>
          <w:shd w:val="clear" w:color="auto" w:fill="FFFFFF"/>
          <w:lang w:val="es-ES_tradnl"/>
        </w:rPr>
        <w:t xml:space="preserve"> </w:t>
      </w:r>
    </w:p>
    <w:p w14:paraId="3A5EDB29" w14:textId="77777777" w:rsidR="00013201" w:rsidRPr="00C55BDE" w:rsidRDefault="00013201" w:rsidP="00013201">
      <w:pPr>
        <w:shd w:val="clear" w:color="auto" w:fill="FFFFFF"/>
        <w:spacing w:after="120" w:line="276" w:lineRule="auto"/>
        <w:jc w:val="both"/>
        <w:rPr>
          <w:rFonts w:ascii="Verdana" w:hAnsi="Verdana"/>
          <w:color w:val="467886"/>
          <w:u w:val="single"/>
        </w:rPr>
      </w:pPr>
      <w:r w:rsidRPr="00C55BDE">
        <w:rPr>
          <w:rFonts w:ascii="Verdana" w:hAnsi="Verdana"/>
          <w:color w:val="000000"/>
          <w:lang w:val="es-ES_tradnl"/>
        </w:rPr>
        <w:t>Informamos</w:t>
      </w:r>
      <w:r w:rsidRPr="00C55BDE">
        <w:rPr>
          <w:rFonts w:ascii="Verdana" w:hAnsi="Verdana"/>
          <w:color w:val="000000"/>
        </w:rPr>
        <w:t xml:space="preserve"> que ya se encuentra disponible la </w:t>
      </w:r>
      <w:r w:rsidRPr="00C55BDE">
        <w:rPr>
          <w:rFonts w:ascii="Verdana" w:hAnsi="Verdana"/>
          <w:b/>
          <w:bCs/>
          <w:color w:val="000000"/>
        </w:rPr>
        <w:t>Guía de lineamientos de transparencia y selección objetiva para el departamento de La Guajira – Objetivo sexto constitucional de la Sentencia T-302 del 2017. </w:t>
      </w:r>
      <w:r w:rsidRPr="00C55BD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55BDE">
        <w:rPr>
          <w:rFonts w:ascii="Verdana" w:hAnsi="Verdana"/>
          <w:color w:val="000000"/>
        </w:rPr>
        <w:t>Wayúu</w:t>
      </w:r>
      <w:proofErr w:type="spellEnd"/>
      <w:r w:rsidRPr="00C55BDE">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C55BDE">
          <w:rPr>
            <w:rFonts w:ascii="Verdana" w:hAnsi="Verdana"/>
            <w:color w:val="0000FF"/>
            <w:u w:val="single"/>
          </w:rPr>
          <w:t>Guía de lineamientos de transparencia y selección objetiva para el departamento de La Guajira – Objetivo sexto constitucional de la Sentencia T-302 del 2017</w:t>
        </w:r>
      </w:hyperlink>
      <w:r w:rsidRPr="00C55BDE">
        <w:rPr>
          <w:rFonts w:ascii="Verdana" w:hAnsi="Verdana"/>
          <w:color w:val="000000"/>
          <w:u w:val="single"/>
        </w:rPr>
        <w:t>.</w:t>
      </w:r>
    </w:p>
    <w:p w14:paraId="640A74B5" w14:textId="77777777" w:rsidR="00013201" w:rsidRPr="00C55BDE" w:rsidRDefault="00013201" w:rsidP="00013201">
      <w:pPr>
        <w:shd w:val="clear" w:color="auto" w:fill="FFFFFF"/>
        <w:spacing w:after="0" w:line="276" w:lineRule="auto"/>
        <w:jc w:val="both"/>
        <w:rPr>
          <w:rFonts w:ascii="Verdana" w:hAnsi="Verdana"/>
          <w:color w:val="467886"/>
          <w:u w:val="single"/>
        </w:rPr>
      </w:pPr>
      <w:r w:rsidRPr="00C55BD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02C222B" w14:textId="77777777" w:rsidR="00013201" w:rsidRPr="00C55BDE" w:rsidRDefault="00013201" w:rsidP="00013201">
      <w:pPr>
        <w:spacing w:after="0"/>
        <w:jc w:val="both"/>
        <w:rPr>
          <w:rFonts w:ascii="Verdana" w:hAnsi="Verdana"/>
        </w:rPr>
      </w:pPr>
    </w:p>
    <w:p w14:paraId="38277A01" w14:textId="77777777" w:rsidR="00013201" w:rsidRPr="00C55BDE" w:rsidRDefault="00013201" w:rsidP="00013201">
      <w:pPr>
        <w:numPr>
          <w:ilvl w:val="0"/>
          <w:numId w:val="15"/>
        </w:numPr>
        <w:spacing w:after="0" w:line="240" w:lineRule="auto"/>
        <w:contextualSpacing/>
        <w:jc w:val="both"/>
        <w:rPr>
          <w:rFonts w:ascii="Verdana" w:eastAsia="Verdana" w:hAnsi="Verdana" w:cs="Verdana"/>
          <w:color w:val="4472C4" w:themeColor="accent1"/>
          <w:u w:val="single"/>
          <w:lang w:val="es-MX"/>
        </w:rPr>
      </w:pPr>
      <w:r w:rsidRPr="00C55BDE">
        <w:rPr>
          <w:rFonts w:ascii="Verdana" w:eastAsia="Verdana" w:hAnsi="Verdana" w:cs="Verdana"/>
          <w:lang w:val="es-MX"/>
        </w:rPr>
        <w:t xml:space="preserve">Línea nacional gratuita o servicio a la ciudadanía (Mesa de servicio): </w:t>
      </w:r>
      <w:r w:rsidRPr="00C55BDE">
        <w:rPr>
          <w:rFonts w:ascii="Verdana" w:hAnsi="Verdana"/>
          <w:color w:val="0000FF"/>
          <w:u w:val="single"/>
          <w:lang w:val="es-ES"/>
        </w:rPr>
        <w:t>01800 0520808</w:t>
      </w:r>
    </w:p>
    <w:p w14:paraId="5D803C8C" w14:textId="77777777" w:rsidR="00013201" w:rsidRPr="00C55BDE" w:rsidRDefault="00013201" w:rsidP="00013201">
      <w:pPr>
        <w:numPr>
          <w:ilvl w:val="0"/>
          <w:numId w:val="15"/>
        </w:numPr>
        <w:spacing w:after="0"/>
        <w:contextualSpacing/>
        <w:rPr>
          <w:rFonts w:ascii="Verdana" w:eastAsia="Verdana" w:hAnsi="Verdana" w:cs="Verdana"/>
          <w:color w:val="4472C4" w:themeColor="accent1"/>
          <w:u w:val="single"/>
          <w:lang w:val="es-MX"/>
        </w:rPr>
      </w:pPr>
      <w:r w:rsidRPr="00C55BDE">
        <w:rPr>
          <w:rFonts w:ascii="Verdana" w:eastAsia="Verdana" w:hAnsi="Verdana" w:cs="Verdana"/>
          <w:lang w:val="es-MX"/>
        </w:rPr>
        <w:t>Línea en Bogotá (Mesa de servicio</w:t>
      </w:r>
      <w:proofErr w:type="gramStart"/>
      <w:r w:rsidRPr="00C55BDE">
        <w:rPr>
          <w:rFonts w:ascii="Verdana" w:eastAsia="Verdana" w:hAnsi="Verdana" w:cs="Verdana"/>
          <w:lang w:val="es-MX"/>
        </w:rPr>
        <w:t>):</w:t>
      </w:r>
      <w:r w:rsidRPr="00C55BDE">
        <w:rPr>
          <w:rFonts w:ascii="Verdana" w:hAnsi="Verdana"/>
          <w:color w:val="0000FF"/>
          <w:u w:val="single"/>
          <w:lang w:val="es-ES"/>
        </w:rPr>
        <w:t>+</w:t>
      </w:r>
      <w:proofErr w:type="gramEnd"/>
      <w:r w:rsidRPr="00C55BDE">
        <w:rPr>
          <w:rFonts w:ascii="Verdana" w:hAnsi="Verdana"/>
          <w:color w:val="0000FF"/>
          <w:u w:val="single"/>
          <w:lang w:val="es-ES"/>
        </w:rPr>
        <w:t>57 601 7456788</w:t>
      </w:r>
    </w:p>
    <w:p w14:paraId="1B9FBA54" w14:textId="77777777" w:rsidR="00013201" w:rsidRPr="00C55BDE" w:rsidRDefault="00013201" w:rsidP="00013201">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MX"/>
        </w:rPr>
        <w:t xml:space="preserve">Correo de radicación de correspondencia: </w:t>
      </w:r>
      <w:hyperlink r:id="rId16" w:history="1">
        <w:r w:rsidRPr="00C55BDE">
          <w:rPr>
            <w:rFonts w:ascii="Verdana" w:eastAsia="Verdana" w:hAnsi="Verdana" w:cs="Verdana"/>
            <w:color w:val="0000FF"/>
            <w:u w:val="single"/>
            <w:lang w:val="es-MX"/>
          </w:rPr>
          <w:t>ventanilladeradicacion@colombiacompra.gov.co</w:t>
        </w:r>
      </w:hyperlink>
    </w:p>
    <w:p w14:paraId="59BBD878" w14:textId="77777777" w:rsidR="00013201" w:rsidRPr="00C55BDE" w:rsidRDefault="00013201" w:rsidP="00013201">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ES"/>
        </w:rPr>
        <w:t xml:space="preserve">Formulario web para PQRSD: </w:t>
      </w:r>
      <w:hyperlink r:id="rId17" w:history="1">
        <w:r w:rsidRPr="00C55BDE">
          <w:rPr>
            <w:rFonts w:ascii="Verdana" w:eastAsia="Verdana" w:hAnsi="Verdana" w:cs="Verdana"/>
            <w:color w:val="0000FF"/>
            <w:u w:val="single"/>
            <w:lang w:val="es-MX"/>
          </w:rPr>
          <w:t>https://www.colombiacompra.gov.co/pqrsd/informacion-importante-antes-de-formular-una-pqrsd</w:t>
        </w:r>
      </w:hyperlink>
    </w:p>
    <w:p w14:paraId="166C5707" w14:textId="77777777" w:rsidR="00013201" w:rsidRPr="00C55BDE" w:rsidRDefault="00013201" w:rsidP="00013201">
      <w:pPr>
        <w:spacing w:after="0" w:line="240" w:lineRule="auto"/>
        <w:ind w:left="720"/>
        <w:jc w:val="both"/>
        <w:rPr>
          <w:rFonts w:ascii="Verdana" w:hAnsi="Verdana"/>
        </w:rPr>
      </w:pPr>
    </w:p>
    <w:p w14:paraId="55535C71" w14:textId="77777777" w:rsidR="00013201" w:rsidRPr="00C55BDE" w:rsidRDefault="00013201" w:rsidP="00013201">
      <w:pPr>
        <w:spacing w:after="0" w:line="276" w:lineRule="auto"/>
        <w:jc w:val="both"/>
        <w:rPr>
          <w:rFonts w:ascii="Verdana" w:hAnsi="Verdana"/>
        </w:rPr>
      </w:pPr>
      <w:r w:rsidRPr="00C55BDE">
        <w:rPr>
          <w:rFonts w:ascii="Verdana" w:hAnsi="Verdana"/>
        </w:rPr>
        <w:lastRenderedPageBreak/>
        <w:t xml:space="preserve">Evalúa el servicio que ofrece la Agencia por el canal de atención de PQRSD en el siguiente enlace: </w:t>
      </w:r>
      <w:hyperlink r:id="rId18" w:history="1">
        <w:r w:rsidRPr="00C55BDE">
          <w:rPr>
            <w:rStyle w:val="Hipervnculo"/>
            <w:rFonts w:ascii="Verdana" w:hAnsi="Verdana"/>
          </w:rPr>
          <w:t>https://forms.office.com/r/pPHyWVs2SZ</w:t>
        </w:r>
      </w:hyperlink>
      <w:r w:rsidRPr="00C55BDE">
        <w:rPr>
          <w:rFonts w:ascii="Verdana" w:hAnsi="Verdana"/>
        </w:rPr>
        <w:t xml:space="preserve"> .¡Ayúdanos a mejorar porque el compromiso es de todos!</w:t>
      </w:r>
    </w:p>
    <w:p w14:paraId="7A0E3E07" w14:textId="77777777" w:rsidR="00013201" w:rsidRPr="00C55BDE" w:rsidRDefault="00013201" w:rsidP="00013201">
      <w:pPr>
        <w:spacing w:after="0" w:line="240" w:lineRule="auto"/>
        <w:rPr>
          <w:rFonts w:ascii="Verdana" w:hAnsi="Verdana"/>
        </w:rPr>
      </w:pPr>
    </w:p>
    <w:p w14:paraId="0F6E90BA" w14:textId="77777777" w:rsidR="00013201" w:rsidRPr="00C55BDE" w:rsidRDefault="00013201" w:rsidP="00013201">
      <w:pPr>
        <w:spacing w:after="0" w:line="240" w:lineRule="auto"/>
        <w:jc w:val="both"/>
        <w:rPr>
          <w:rFonts w:ascii="Verdana" w:hAnsi="Verdana"/>
        </w:rPr>
      </w:pPr>
      <w:r w:rsidRPr="00C55BDE">
        <w:rPr>
          <w:rFonts w:ascii="Verdana" w:hAnsi="Verdana"/>
        </w:rPr>
        <w:t xml:space="preserve">Por último, lo invitamos a seguirnos en las redes sociales en las cuales se difunde información institucional: </w:t>
      </w:r>
    </w:p>
    <w:p w14:paraId="1FB2DE8D" w14:textId="77777777" w:rsidR="00013201" w:rsidRPr="00C55BDE" w:rsidRDefault="00013201" w:rsidP="00013201">
      <w:pPr>
        <w:spacing w:after="0" w:line="240" w:lineRule="auto"/>
        <w:jc w:val="both"/>
        <w:rPr>
          <w:rFonts w:ascii="Verdana" w:hAnsi="Verdana"/>
        </w:rPr>
      </w:pPr>
    </w:p>
    <w:p w14:paraId="2C109CCB" w14:textId="77777777" w:rsidR="00013201" w:rsidRPr="00C55BDE" w:rsidRDefault="00013201" w:rsidP="00013201">
      <w:pPr>
        <w:spacing w:after="0" w:line="240" w:lineRule="auto"/>
        <w:jc w:val="both"/>
        <w:rPr>
          <w:rFonts w:ascii="Verdana" w:hAnsi="Verdana"/>
        </w:rPr>
      </w:pPr>
      <w:r w:rsidRPr="00C55BDE">
        <w:rPr>
          <w:rFonts w:ascii="Verdana" w:hAnsi="Verdana"/>
        </w:rPr>
        <w:t xml:space="preserve">Twitter: </w:t>
      </w:r>
      <w:r w:rsidRPr="00C55BDE">
        <w:rPr>
          <w:rFonts w:ascii="Verdana" w:hAnsi="Verdana"/>
          <w:color w:val="0000FF"/>
          <w:u w:val="single"/>
        </w:rPr>
        <w:t>@colombiacompra</w:t>
      </w:r>
      <w:r w:rsidRPr="00C55BDE">
        <w:rPr>
          <w:rFonts w:ascii="Verdana" w:hAnsi="Verdana"/>
        </w:rPr>
        <w:t xml:space="preserve"> </w:t>
      </w:r>
    </w:p>
    <w:p w14:paraId="145BDBDC" w14:textId="77777777" w:rsidR="00013201" w:rsidRPr="00C55BDE" w:rsidRDefault="00013201" w:rsidP="00013201">
      <w:pPr>
        <w:spacing w:after="0" w:line="240" w:lineRule="auto"/>
        <w:jc w:val="both"/>
        <w:rPr>
          <w:rFonts w:ascii="Verdana" w:hAnsi="Verdana"/>
        </w:rPr>
      </w:pPr>
      <w:r w:rsidRPr="00C55BDE">
        <w:rPr>
          <w:rFonts w:ascii="Verdana" w:hAnsi="Verdana"/>
        </w:rPr>
        <w:t xml:space="preserve">Facebook: </w:t>
      </w:r>
      <w:proofErr w:type="spellStart"/>
      <w:r w:rsidRPr="00C55BDE">
        <w:rPr>
          <w:rFonts w:ascii="Verdana" w:hAnsi="Verdana"/>
          <w:color w:val="0000FF"/>
          <w:u w:val="single"/>
        </w:rPr>
        <w:t>ColombiaCompraEficiente</w:t>
      </w:r>
      <w:proofErr w:type="spellEnd"/>
    </w:p>
    <w:p w14:paraId="230E3EAC" w14:textId="77777777" w:rsidR="00013201" w:rsidRPr="00C55BDE" w:rsidRDefault="00013201" w:rsidP="00013201">
      <w:pPr>
        <w:spacing w:after="0" w:line="240" w:lineRule="auto"/>
        <w:jc w:val="both"/>
        <w:rPr>
          <w:rFonts w:ascii="Verdana" w:hAnsi="Verdana"/>
        </w:rPr>
      </w:pPr>
      <w:r w:rsidRPr="00C55BDE">
        <w:rPr>
          <w:rFonts w:ascii="Verdana" w:hAnsi="Verdana"/>
        </w:rPr>
        <w:t xml:space="preserve">LinkedIn: </w:t>
      </w:r>
      <w:r w:rsidRPr="00C55BDE">
        <w:rPr>
          <w:rFonts w:ascii="Verdana" w:hAnsi="Verdana"/>
          <w:color w:val="0000FF"/>
          <w:u w:val="single"/>
        </w:rPr>
        <w:t>Agencia Nacional de Contratación Pública - Colombia Compra Eficiente</w:t>
      </w:r>
      <w:r w:rsidRPr="00C55BDE">
        <w:rPr>
          <w:rFonts w:ascii="Verdana" w:hAnsi="Verdana"/>
        </w:rPr>
        <w:t xml:space="preserve"> Instagram: </w:t>
      </w:r>
      <w:r w:rsidRPr="00C55BDE">
        <w:rPr>
          <w:rFonts w:ascii="Verdana" w:hAnsi="Verdana"/>
          <w:color w:val="0000FF"/>
          <w:u w:val="single"/>
        </w:rPr>
        <w:t>@colombiacompraeficiente_cce</w:t>
      </w:r>
    </w:p>
    <w:p w14:paraId="7487055A" w14:textId="77777777" w:rsidR="00013201" w:rsidRPr="00C55BDE" w:rsidRDefault="00013201" w:rsidP="00013201">
      <w:pPr>
        <w:widowControl w:val="0"/>
        <w:autoSpaceDE w:val="0"/>
        <w:autoSpaceDN w:val="0"/>
        <w:spacing w:after="120" w:line="276" w:lineRule="auto"/>
        <w:jc w:val="both"/>
        <w:rPr>
          <w:rFonts w:ascii="Verdana" w:hAnsi="Verdana" w:cs="Arial"/>
          <w:color w:val="FF0000"/>
          <w:shd w:val="clear" w:color="auto" w:fill="FFFFFF"/>
          <w:lang w:val="es-ES_tradnl"/>
        </w:rPr>
      </w:pPr>
      <w:r w:rsidRPr="00C55BDE">
        <w:rPr>
          <w:rFonts w:ascii="Verdana" w:hAnsi="Verdana" w:cs="Arial"/>
          <w:color w:val="FF0000"/>
          <w:shd w:val="clear" w:color="auto" w:fill="FFFFFF"/>
          <w:lang w:val="es-ES_tradnl"/>
        </w:rPr>
        <w:t xml:space="preserve">        </w:t>
      </w:r>
    </w:p>
    <w:p w14:paraId="7AE548B9" w14:textId="77777777" w:rsidR="00013201" w:rsidRPr="00C55BDE" w:rsidRDefault="00013201" w:rsidP="00013201">
      <w:pPr>
        <w:widowControl w:val="0"/>
        <w:autoSpaceDE w:val="0"/>
        <w:autoSpaceDN w:val="0"/>
        <w:spacing w:after="0" w:line="276" w:lineRule="auto"/>
        <w:jc w:val="both"/>
        <w:rPr>
          <w:rFonts w:ascii="Verdana" w:hAnsi="Verdana" w:cs="Arial"/>
          <w:lang w:val="es-ES_tradnl"/>
        </w:rPr>
      </w:pPr>
      <w:r w:rsidRPr="00C55BDE">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923EB4D" w14:textId="77777777" w:rsidR="00013201" w:rsidRPr="00C55BDE" w:rsidRDefault="00013201" w:rsidP="00013201">
      <w:pPr>
        <w:widowControl w:val="0"/>
        <w:autoSpaceDE w:val="0"/>
        <w:autoSpaceDN w:val="0"/>
        <w:spacing w:after="0" w:line="276" w:lineRule="auto"/>
        <w:jc w:val="both"/>
        <w:rPr>
          <w:rFonts w:ascii="Verdana" w:hAnsi="Verdana" w:cs="Arial"/>
          <w:lang w:val="es-ES_tradnl"/>
        </w:rPr>
      </w:pPr>
    </w:p>
    <w:p w14:paraId="0206B9D3" w14:textId="77777777" w:rsidR="00013201" w:rsidRPr="00C55BDE" w:rsidRDefault="00013201" w:rsidP="00013201">
      <w:pPr>
        <w:spacing w:after="0" w:line="240" w:lineRule="auto"/>
        <w:rPr>
          <w:rFonts w:ascii="Verdana" w:hAnsi="Verdana" w:cs="Arial"/>
          <w:lang w:val="es-ES_tradnl" w:eastAsia="es-CO"/>
        </w:rPr>
      </w:pPr>
      <w:r w:rsidRPr="00C55BDE">
        <w:rPr>
          <w:rFonts w:ascii="Verdana" w:eastAsia="Times New Roman" w:hAnsi="Verdana" w:cs="Arial"/>
          <w:lang w:val="es-ES" w:eastAsia="es-CO"/>
        </w:rPr>
        <w:t>Atentamente,</w:t>
      </w:r>
      <w:r w:rsidRPr="00C55BDE">
        <w:rPr>
          <w:rFonts w:ascii="Verdana" w:hAnsi="Verdana" w:cs="Arial"/>
          <w:lang w:val="es-ES" w:eastAsia="es-CO"/>
        </w:rPr>
        <w:t xml:space="preserve"> </w:t>
      </w:r>
    </w:p>
    <w:p w14:paraId="571386C1" w14:textId="78E5A9C3" w:rsidR="00013201" w:rsidRDefault="00E10E51" w:rsidP="00013201">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1DAE8398" wp14:editId="4AFB2B78">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318444"/>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013201" w14:paraId="3C90AF61" w14:textId="77777777" w:rsidTr="00902708">
        <w:trPr>
          <w:trHeight w:val="315"/>
        </w:trPr>
        <w:tc>
          <w:tcPr>
            <w:tcW w:w="893" w:type="dxa"/>
            <w:vAlign w:val="center"/>
            <w:hideMark/>
          </w:tcPr>
          <w:p w14:paraId="23256F50" w14:textId="77777777" w:rsidR="00013201" w:rsidRDefault="00013201" w:rsidP="00902708">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E2C0855" w14:textId="77777777" w:rsidR="00013201" w:rsidRDefault="00013201" w:rsidP="00902708">
            <w:pPr>
              <w:spacing w:after="255" w:line="254" w:lineRule="auto"/>
              <w:contextualSpacing/>
              <w:rPr>
                <w:rFonts w:ascii="Verdana" w:eastAsia="Calibri" w:hAnsi="Verdana" w:cs="Times New Roman"/>
                <w:sz w:val="16"/>
                <w:szCs w:val="16"/>
              </w:rPr>
            </w:pPr>
            <w:r>
              <w:rPr>
                <w:rFonts w:ascii="Verdana" w:eastAsia="Calibri" w:hAnsi="Verdana" w:cs="Times New Roman"/>
                <w:sz w:val="16"/>
                <w:szCs w:val="16"/>
              </w:rPr>
              <w:t>Tatiana Baquero Iguarán</w:t>
            </w:r>
          </w:p>
          <w:p w14:paraId="2A488E88" w14:textId="77777777" w:rsidR="00013201" w:rsidRDefault="00013201" w:rsidP="00902708">
            <w:pPr>
              <w:spacing w:after="255" w:line="254" w:lineRule="auto"/>
              <w:contextualSpacing/>
              <w:rPr>
                <w:rFonts w:ascii="Verdana" w:hAnsi="Verdana"/>
                <w:sz w:val="16"/>
                <w:szCs w:val="16"/>
              </w:rPr>
            </w:pPr>
            <w:r>
              <w:rPr>
                <w:rFonts w:ascii="Verdana" w:eastAsia="Calibri" w:hAnsi="Verdana" w:cs="Times New Roman"/>
                <w:sz w:val="16"/>
                <w:szCs w:val="16"/>
              </w:rPr>
              <w:t>Contratista de la Subdirección de Gestión Contractual</w:t>
            </w:r>
          </w:p>
        </w:tc>
      </w:tr>
      <w:tr w:rsidR="00013201" w14:paraId="52233958" w14:textId="77777777" w:rsidTr="00902708">
        <w:trPr>
          <w:trHeight w:val="330"/>
        </w:trPr>
        <w:tc>
          <w:tcPr>
            <w:tcW w:w="893" w:type="dxa"/>
            <w:vAlign w:val="center"/>
            <w:hideMark/>
          </w:tcPr>
          <w:p w14:paraId="15A4EA04" w14:textId="77777777" w:rsidR="00013201" w:rsidRDefault="00013201" w:rsidP="00902708">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B263C2" w14:textId="77777777" w:rsidR="00013201" w:rsidRDefault="00013201" w:rsidP="00902708">
            <w:pPr>
              <w:spacing w:before="100" w:beforeAutospacing="1" w:after="100" w:afterAutospacing="1" w:line="254" w:lineRule="auto"/>
              <w:contextualSpacing/>
              <w:textAlignment w:val="baseline"/>
              <w:rPr>
                <w:rFonts w:ascii="Verdana" w:eastAsia="Times New Roman" w:hAnsi="Verdana"/>
                <w:sz w:val="16"/>
                <w:szCs w:val="16"/>
                <w:lang w:eastAsia="es-ES_tradnl"/>
              </w:rPr>
            </w:pPr>
            <w:r>
              <w:rPr>
                <w:rFonts w:ascii="Verdana" w:eastAsia="Times New Roman" w:hAnsi="Verdana"/>
                <w:sz w:val="16"/>
                <w:szCs w:val="16"/>
                <w:lang w:eastAsia="es-ES_tradnl"/>
              </w:rPr>
              <w:t>Alejandro Sarmiento Cantillo</w:t>
            </w:r>
          </w:p>
          <w:p w14:paraId="40A9EE2E" w14:textId="77777777" w:rsidR="00013201" w:rsidRDefault="00013201" w:rsidP="00902708">
            <w:pPr>
              <w:spacing w:after="255" w:line="254" w:lineRule="auto"/>
              <w:contextualSpacing/>
              <w:textAlignment w:val="baseline"/>
              <w:rPr>
                <w:rFonts w:ascii="Verdana" w:eastAsia="Times New Roman" w:hAnsi="Verdana" w:cs="Segoe UI"/>
                <w:sz w:val="16"/>
                <w:szCs w:val="16"/>
                <w:lang w:eastAsia="es-ES_tradnl"/>
              </w:rPr>
            </w:pPr>
            <w:r>
              <w:rPr>
                <w:rFonts w:ascii="Verdana" w:eastAsia="Times New Roman" w:hAnsi="Verdana"/>
                <w:sz w:val="16"/>
                <w:szCs w:val="16"/>
                <w:lang w:eastAsia="es-ES_tradnl"/>
              </w:rPr>
              <w:t>Gestor T1 ‒ 15 de la Subdirección de Gestión Contractual </w:t>
            </w:r>
          </w:p>
        </w:tc>
      </w:tr>
      <w:tr w:rsidR="00013201" w14:paraId="118CC86E" w14:textId="77777777" w:rsidTr="00902708">
        <w:trPr>
          <w:trHeight w:val="300"/>
        </w:trPr>
        <w:tc>
          <w:tcPr>
            <w:tcW w:w="893" w:type="dxa"/>
            <w:vAlign w:val="center"/>
            <w:hideMark/>
          </w:tcPr>
          <w:p w14:paraId="2C5BCE9F" w14:textId="77777777" w:rsidR="00013201" w:rsidRDefault="00013201" w:rsidP="00902708">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126195" w14:textId="77777777" w:rsidR="00013201" w:rsidRDefault="00013201" w:rsidP="00902708">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val="pt-BR" w:eastAsia="es-ES"/>
              </w:rPr>
              <w:t xml:space="preserve">Carolina Quintero </w:t>
            </w:r>
            <w:proofErr w:type="spellStart"/>
            <w:r>
              <w:rPr>
                <w:rFonts w:ascii="Verdana" w:eastAsia="Calibri" w:hAnsi="Verdana"/>
                <w:sz w:val="16"/>
                <w:szCs w:val="16"/>
                <w:lang w:val="pt-BR" w:eastAsia="es-ES"/>
              </w:rPr>
              <w:t>Gacharná</w:t>
            </w:r>
            <w:proofErr w:type="spellEnd"/>
          </w:p>
          <w:p w14:paraId="31367755" w14:textId="77777777" w:rsidR="00013201" w:rsidRDefault="00013201" w:rsidP="00902708">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eastAsia="es-ES"/>
              </w:rPr>
              <w:t>Subdirectora</w:t>
            </w:r>
            <w:r>
              <w:rPr>
                <w:rFonts w:ascii="Verdana" w:eastAsia="Calibri" w:hAnsi="Verdana"/>
                <w:sz w:val="16"/>
                <w:szCs w:val="16"/>
                <w:lang w:val="pt-BR" w:eastAsia="es-ES"/>
              </w:rPr>
              <w:t xml:space="preserve"> de Gestión Contratual ANCP – CCE</w:t>
            </w:r>
          </w:p>
        </w:tc>
      </w:tr>
    </w:tbl>
    <w:p w14:paraId="60F1E18D" w14:textId="77777777" w:rsidR="00013201" w:rsidRDefault="00013201" w:rsidP="00013201">
      <w:pPr>
        <w:spacing w:after="0" w:line="240" w:lineRule="auto"/>
        <w:rPr>
          <w:rFonts w:ascii="Verdana" w:eastAsia="Times New Roman" w:hAnsi="Verdana" w:cs="Arial"/>
          <w:sz w:val="24"/>
          <w:szCs w:val="24"/>
          <w:lang w:eastAsia="es-ES"/>
        </w:rPr>
      </w:pPr>
    </w:p>
    <w:p w14:paraId="3A66C3E7" w14:textId="77777777" w:rsidR="00013201" w:rsidRDefault="00013201" w:rsidP="00013201"/>
    <w:p w14:paraId="39C43C29" w14:textId="77777777" w:rsidR="00013201" w:rsidRDefault="00013201" w:rsidP="00013201"/>
    <w:p w14:paraId="3844D3F3" w14:textId="77777777" w:rsidR="00013201" w:rsidRPr="00C55BDE" w:rsidRDefault="00013201" w:rsidP="00013201">
      <w:pPr>
        <w:spacing w:after="0"/>
        <w:rPr>
          <w:rFonts w:ascii="Verdana" w:eastAsia="Times New Roman" w:hAnsi="Verdana" w:cs="Segoe UI"/>
          <w:lang w:val="es-ES" w:eastAsia="es-CO"/>
        </w:rPr>
      </w:pPr>
    </w:p>
    <w:p w14:paraId="4383F010" w14:textId="77777777" w:rsidR="00013201" w:rsidRPr="00B32004" w:rsidRDefault="00013201" w:rsidP="00013201"/>
    <w:bookmarkEnd w:id="0"/>
    <w:p w14:paraId="25F2AF7F" w14:textId="77777777" w:rsidR="007D4B2E" w:rsidRPr="00C55BDE" w:rsidRDefault="007D4B2E" w:rsidP="00C15139">
      <w:pPr>
        <w:spacing w:after="0"/>
        <w:rPr>
          <w:rFonts w:ascii="Verdana" w:hAnsi="Verdana"/>
        </w:rPr>
      </w:pPr>
    </w:p>
    <w:sectPr w:rsidR="007D4B2E" w:rsidRPr="00C55BDE"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D2A2E" w14:textId="77777777" w:rsidR="0027509F" w:rsidRDefault="0027509F" w:rsidP="004A1847">
      <w:pPr>
        <w:spacing w:after="0" w:line="240" w:lineRule="auto"/>
      </w:pPr>
      <w:r>
        <w:separator/>
      </w:r>
    </w:p>
  </w:endnote>
  <w:endnote w:type="continuationSeparator" w:id="0">
    <w:p w14:paraId="08507FE3" w14:textId="77777777" w:rsidR="0027509F" w:rsidRDefault="0027509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D1431" w14:textId="77777777" w:rsidR="0027509F" w:rsidRDefault="0027509F" w:rsidP="004A1847">
      <w:pPr>
        <w:spacing w:after="0" w:line="240" w:lineRule="auto"/>
      </w:pPr>
      <w:r>
        <w:separator/>
      </w:r>
    </w:p>
  </w:footnote>
  <w:footnote w:type="continuationSeparator" w:id="0">
    <w:p w14:paraId="2CF3235A" w14:textId="77777777" w:rsidR="0027509F" w:rsidRDefault="0027509F" w:rsidP="004A1847">
      <w:pPr>
        <w:spacing w:after="0" w:line="240" w:lineRule="auto"/>
      </w:pPr>
      <w:r>
        <w:continuationSeparator/>
      </w:r>
    </w:p>
  </w:footnote>
  <w:footnote w:id="1">
    <w:p w14:paraId="42D6F092" w14:textId="77777777" w:rsidR="00013201" w:rsidRPr="00454929" w:rsidRDefault="00013201" w:rsidP="00013201">
      <w:pPr>
        <w:pStyle w:val="Textonotapie"/>
        <w:ind w:firstLine="709"/>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4AD7DA8B" w14:textId="77777777" w:rsidR="00013201" w:rsidRPr="00454929" w:rsidRDefault="00013201" w:rsidP="00013201">
      <w:pPr>
        <w:pStyle w:val="Textonotapie"/>
        <w:ind w:firstLine="709"/>
        <w:jc w:val="both"/>
        <w:rPr>
          <w:rFonts w:ascii="Verdana" w:hAnsi="Verdana" w:cs="Arial"/>
          <w:sz w:val="16"/>
          <w:szCs w:val="16"/>
        </w:rPr>
      </w:pPr>
      <w:r w:rsidRPr="00454929">
        <w:rPr>
          <w:rFonts w:ascii="Verdana" w:hAnsi="Verdana" w:cs="Arial"/>
          <w:sz w:val="16"/>
          <w:szCs w:val="16"/>
        </w:rPr>
        <w:t>“1. Gobernarse por Autoridades Propias de acuerdo con la ley de origen, derecho mayor o derecho propio.</w:t>
      </w:r>
    </w:p>
    <w:p w14:paraId="55E7E79A" w14:textId="77777777" w:rsidR="00013201" w:rsidRPr="00454929" w:rsidRDefault="00013201" w:rsidP="00013201">
      <w:pPr>
        <w:pStyle w:val="Textonotapie"/>
        <w:ind w:firstLine="709"/>
        <w:jc w:val="both"/>
        <w:rPr>
          <w:rFonts w:ascii="Verdana" w:hAnsi="Verdana" w:cs="Arial"/>
          <w:sz w:val="16"/>
          <w:szCs w:val="16"/>
        </w:rPr>
      </w:pPr>
      <w:r w:rsidRPr="00454929">
        <w:rPr>
          <w:rFonts w:ascii="Verdana" w:hAnsi="Verdana" w:cs="Arial"/>
          <w:sz w:val="16"/>
          <w:szCs w:val="16"/>
        </w:rPr>
        <w:t>“2. Ejercer las competencias y derechos establecidos en este decreto, conforme con la Constitución Política, la legislación nacional e internacional que hace parte del bloque de constitucionalidad, la ley de origen, el derecho mayor o derecho propio.</w:t>
      </w:r>
    </w:p>
    <w:p w14:paraId="3CACE85F" w14:textId="77777777" w:rsidR="00013201" w:rsidRPr="00454929" w:rsidRDefault="00013201" w:rsidP="00013201">
      <w:pPr>
        <w:pStyle w:val="Textonotapie"/>
        <w:ind w:firstLine="709"/>
        <w:jc w:val="both"/>
        <w:rPr>
          <w:rFonts w:ascii="Verdana" w:hAnsi="Verdana" w:cs="Arial"/>
          <w:sz w:val="16"/>
          <w:szCs w:val="16"/>
        </w:rPr>
      </w:pPr>
      <w:r w:rsidRPr="00454929">
        <w:rPr>
          <w:rFonts w:ascii="Verdana" w:hAnsi="Verdana" w:cs="Arial"/>
          <w:sz w:val="16"/>
          <w:szCs w:val="16"/>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505B4DCA" w14:textId="77777777" w:rsidR="00013201" w:rsidRPr="00454929" w:rsidRDefault="00013201" w:rsidP="00013201">
      <w:pPr>
        <w:pStyle w:val="Textonotapie"/>
        <w:ind w:firstLine="709"/>
        <w:jc w:val="both"/>
        <w:rPr>
          <w:rFonts w:ascii="Verdana" w:hAnsi="Verdana" w:cs="Arial"/>
          <w:sz w:val="16"/>
          <w:szCs w:val="16"/>
        </w:rPr>
      </w:pPr>
      <w:r w:rsidRPr="00454929">
        <w:rPr>
          <w:rFonts w:ascii="Verdana" w:hAnsi="Verdana" w:cs="Arial"/>
          <w:sz w:val="16"/>
          <w:szCs w:val="16"/>
        </w:rPr>
        <w:t>“4. Darse sus estructuras de gobierno propio y de coordinación para efectos del desarrollo de sus respectivas competencias.</w:t>
      </w:r>
    </w:p>
    <w:p w14:paraId="59C430F2" w14:textId="77777777" w:rsidR="00013201" w:rsidRPr="00454929" w:rsidRDefault="00013201" w:rsidP="00013201">
      <w:pPr>
        <w:pStyle w:val="Textonotapie"/>
        <w:ind w:firstLine="708"/>
        <w:jc w:val="both"/>
        <w:rPr>
          <w:rFonts w:ascii="Verdana" w:hAnsi="Verdana" w:cs="Arial"/>
          <w:sz w:val="16"/>
          <w:szCs w:val="16"/>
        </w:rPr>
      </w:pPr>
      <w:r w:rsidRPr="00454929">
        <w:rPr>
          <w:rFonts w:ascii="Verdana" w:hAnsi="Verdana" w:cs="Arial"/>
          <w:sz w:val="16"/>
          <w:szCs w:val="16"/>
        </w:rPr>
        <w:t>“5. Percibir y administrar los recursos provenientes de fuentes de financiación públicas y/o privadas para el desarrollo de sus funciones y competencias de acuerdo con lo establecido en este decreto”.</w:t>
      </w:r>
    </w:p>
  </w:footnote>
  <w:footnote w:id="2">
    <w:p w14:paraId="5696A9B3" w14:textId="77777777" w:rsidR="00013201" w:rsidRPr="00454929" w:rsidRDefault="00013201" w:rsidP="00013201">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1088 de 1993: “Artículo 1° Aplicabilidad. Los Cabildos y/o Autoridades Tradicionales Indígenas, en representación de sus respectivos territorios indígenas, podrán conformar asociaciones de conformidad con el presente Decreto. </w:t>
      </w:r>
    </w:p>
    <w:p w14:paraId="6CF9268B" w14:textId="77777777" w:rsidR="00013201" w:rsidRPr="00454929" w:rsidRDefault="00013201" w:rsidP="00013201">
      <w:pPr>
        <w:pStyle w:val="Textonotapie"/>
        <w:ind w:firstLine="708"/>
        <w:jc w:val="both"/>
        <w:rPr>
          <w:rFonts w:ascii="Verdana" w:hAnsi="Verdana" w:cs="Arial"/>
          <w:sz w:val="16"/>
          <w:szCs w:val="16"/>
        </w:rPr>
      </w:pPr>
      <w:r w:rsidRPr="00454929">
        <w:rPr>
          <w:rFonts w:ascii="Verdana" w:hAnsi="Verdana" w:cs="Arial"/>
          <w:sz w:val="16"/>
          <w:szCs w:val="16"/>
        </w:rPr>
        <w:t>“Artículo 2° Naturaleza Jurídica. Las asociaciones de que trata el presente Decreto son entidades de Derecho Público de carácter especial, con personería jurídica, patrimonio propio y autonomía administrativa”.</w:t>
      </w:r>
    </w:p>
  </w:footnote>
  <w:footnote w:id="3">
    <w:p w14:paraId="2D489FA1" w14:textId="77777777" w:rsidR="00013201" w:rsidRPr="00454929" w:rsidRDefault="00013201" w:rsidP="00013201">
      <w:pPr>
        <w:shd w:val="clear" w:color="auto" w:fill="FFFFFF"/>
        <w:spacing w:after="0" w:line="240" w:lineRule="auto"/>
        <w:ind w:firstLine="708"/>
        <w:jc w:val="both"/>
        <w:rPr>
          <w:rFonts w:ascii="Verdana" w:hAnsi="Verdana" w:cs="Arial"/>
          <w:color w:val="2D2D2D"/>
          <w:sz w:val="16"/>
          <w:szCs w:val="16"/>
          <w:lang w:eastAsia="es-CO"/>
        </w:rPr>
      </w:pPr>
      <w:r w:rsidRPr="00454929">
        <w:rPr>
          <w:rStyle w:val="Refdenotaalpie"/>
          <w:rFonts w:ascii="Verdana" w:hAnsi="Verdana" w:cs="Arial"/>
          <w:sz w:val="16"/>
          <w:szCs w:val="16"/>
        </w:rPr>
        <w:footnoteRef/>
      </w:r>
      <w:r w:rsidRPr="00454929">
        <w:rPr>
          <w:rFonts w:ascii="Verdana" w:hAnsi="Verdana" w:cs="Arial"/>
          <w:sz w:val="16"/>
          <w:szCs w:val="16"/>
        </w:rPr>
        <w:t xml:space="preserve"> Sobre la noción de Resguardos indígenas la Corte Constitucional: “</w:t>
      </w:r>
      <w:r w:rsidRPr="00454929">
        <w:rPr>
          <w:rFonts w:ascii="Verdana" w:hAnsi="Verdana" w:cs="Arial"/>
          <w:color w:val="2D2D2D"/>
          <w:sz w:val="16"/>
          <w:szCs w:val="16"/>
          <w:lang w:eastAsia="es-CO"/>
        </w:rPr>
        <w:t>Cabe recordar, que los resguardos indígenas se remontan a la época de la colonización española, fueron creados por Cédula Real y deben su nombre al propósito de “</w:t>
      </w:r>
      <w:r w:rsidRPr="00454929">
        <w:rPr>
          <w:rFonts w:ascii="Verdana" w:hAnsi="Verdana" w:cs="Arial"/>
          <w:i/>
          <w:color w:val="2D2D2D"/>
          <w:sz w:val="16"/>
          <w:szCs w:val="16"/>
          <w:lang w:eastAsia="es-CO"/>
        </w:rPr>
        <w:t>resguardar</w:t>
      </w:r>
      <w:r w:rsidRPr="00454929">
        <w:rPr>
          <w:rFonts w:ascii="Verdana" w:hAnsi="Verdana" w:cs="Arial"/>
          <w:color w:val="2D2D2D"/>
          <w:sz w:val="16"/>
          <w:szCs w:val="16"/>
          <w:lang w:eastAsia="es-CO"/>
        </w:rPr>
        <w:t xml:space="preserve">” a las comunidades indígenas del desalojo, el despojo y el exterminio al que estaban siendo sometidas por parte de los denominados conquistadores. </w:t>
      </w:r>
    </w:p>
    <w:p w14:paraId="5620A426" w14:textId="77777777" w:rsidR="00013201" w:rsidRPr="00454929" w:rsidRDefault="00013201" w:rsidP="00013201">
      <w:pPr>
        <w:shd w:val="clear" w:color="auto" w:fill="FFFFFF"/>
        <w:spacing w:after="0" w:line="240" w:lineRule="auto"/>
        <w:ind w:firstLine="708"/>
        <w:jc w:val="both"/>
        <w:rPr>
          <w:rFonts w:ascii="Verdana" w:hAnsi="Verdana" w:cs="Arial"/>
          <w:color w:val="2D2D2D"/>
          <w:sz w:val="16"/>
          <w:szCs w:val="16"/>
          <w:lang w:eastAsia="es-CO"/>
        </w:rPr>
      </w:pPr>
    </w:p>
  </w:footnote>
  <w:footnote w:id="4">
    <w:p w14:paraId="3D463CA4" w14:textId="77777777" w:rsidR="00013201" w:rsidRPr="00454929" w:rsidRDefault="00013201" w:rsidP="00013201">
      <w:pPr>
        <w:pStyle w:val="NormalWeb"/>
        <w:spacing w:before="0" w:beforeAutospacing="0" w:after="0" w:afterAutospacing="0"/>
        <w:ind w:firstLine="708"/>
        <w:jc w:val="both"/>
        <w:rPr>
          <w:rFonts w:ascii="Verdana" w:hAnsi="Verdana" w:cs="Arial"/>
          <w:color w:val="000000"/>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Ley 160 de 1994: “</w:t>
      </w:r>
      <w:r w:rsidRPr="00454929">
        <w:rPr>
          <w:rFonts w:ascii="Verdana" w:hAnsi="Verdana" w:cs="Arial"/>
          <w:color w:val="000000"/>
          <w:sz w:val="16"/>
          <w:szCs w:val="16"/>
        </w:rPr>
        <w:t>Artículo 12. Son funciones del Instituto Colombiano de la Reforma Agraria:  </w:t>
      </w:r>
    </w:p>
    <w:p w14:paraId="4A913C90" w14:textId="77777777" w:rsidR="00013201" w:rsidRPr="00454929" w:rsidRDefault="00013201" w:rsidP="00013201">
      <w:pPr>
        <w:spacing w:after="0" w:line="240" w:lineRule="auto"/>
        <w:ind w:firstLine="708"/>
        <w:jc w:val="both"/>
        <w:rPr>
          <w:rFonts w:ascii="Verdana" w:hAnsi="Verdana" w:cs="Arial"/>
          <w:color w:val="000000"/>
          <w:sz w:val="16"/>
          <w:szCs w:val="16"/>
          <w:lang w:eastAsia="es-CO"/>
        </w:rPr>
      </w:pPr>
      <w:r w:rsidRPr="00454929">
        <w:rPr>
          <w:rFonts w:ascii="Verdana" w:hAnsi="Verdana" w:cs="Arial"/>
          <w:color w:val="000000"/>
          <w:sz w:val="16"/>
          <w:szCs w:val="16"/>
          <w:lang w:eastAsia="es-CO"/>
        </w:rPr>
        <w:t>[…]</w:t>
      </w:r>
    </w:p>
    <w:p w14:paraId="40CD4A1D" w14:textId="77777777" w:rsidR="00013201" w:rsidRPr="00454929" w:rsidRDefault="00013201" w:rsidP="00013201">
      <w:pPr>
        <w:spacing w:after="0" w:line="240" w:lineRule="auto"/>
        <w:ind w:firstLine="708"/>
        <w:jc w:val="both"/>
        <w:rPr>
          <w:rFonts w:ascii="Verdana" w:hAnsi="Verdana" w:cs="Arial"/>
          <w:color w:val="000000"/>
          <w:sz w:val="16"/>
          <w:szCs w:val="16"/>
          <w:lang w:eastAsia="es-CO"/>
        </w:rPr>
      </w:pPr>
      <w:r w:rsidRPr="00454929">
        <w:rPr>
          <w:rFonts w:ascii="Verdana" w:hAnsi="Verdana" w:cs="Arial"/>
          <w:color w:val="000000"/>
          <w:sz w:val="16"/>
          <w:szCs w:val="16"/>
          <w:lang w:eastAsia="es-CO"/>
        </w:rPr>
        <w:t>“18. Estudiar las necesidades de tierras de las comunidades indígenas y constituir, ampliar, sanear y reestructurar los resguardos en beneficio de las respectivas parcialidades […]”.</w:t>
      </w:r>
    </w:p>
    <w:p w14:paraId="1EA1004C" w14:textId="77777777" w:rsidR="00013201" w:rsidRPr="00454929" w:rsidRDefault="00013201" w:rsidP="00013201">
      <w:pPr>
        <w:spacing w:after="0" w:line="240" w:lineRule="auto"/>
        <w:ind w:firstLine="708"/>
        <w:jc w:val="both"/>
        <w:rPr>
          <w:rFonts w:ascii="Verdana" w:hAnsi="Verdana" w:cs="Arial"/>
          <w:color w:val="000000"/>
          <w:sz w:val="16"/>
          <w:szCs w:val="16"/>
          <w:lang w:eastAsia="es-CO"/>
        </w:rPr>
      </w:pPr>
    </w:p>
  </w:footnote>
  <w:footnote w:id="5">
    <w:p w14:paraId="21951B35" w14:textId="77777777" w:rsidR="00013201" w:rsidRPr="00454929" w:rsidRDefault="00013201" w:rsidP="00013201">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Ley 160 de 1994 “Articulo 85. El Instituto estudiará las necesidades de tierras, de las comunidades indígenas, para el efecto de dotarlas de las superficies indispensables que faciliten su adecuado asentamiento y desarrollo, y además llevará a cabo el estudio de los títulos que aquellas presenten con el fin de establecer la existencia legal de los resguardos. </w:t>
      </w:r>
    </w:p>
    <w:p w14:paraId="7041918C" w14:textId="77777777" w:rsidR="00013201" w:rsidRPr="00454929" w:rsidRDefault="00013201" w:rsidP="00013201">
      <w:pPr>
        <w:pStyle w:val="Textonotapie"/>
        <w:ind w:firstLine="708"/>
        <w:jc w:val="both"/>
        <w:rPr>
          <w:rFonts w:ascii="Verdana" w:hAnsi="Verdana" w:cs="Arial"/>
          <w:sz w:val="16"/>
          <w:szCs w:val="16"/>
        </w:rPr>
      </w:pPr>
      <w:r w:rsidRPr="00454929">
        <w:rPr>
          <w:rFonts w:ascii="Verdana" w:hAnsi="Verdana" w:cs="Arial"/>
          <w:sz w:val="16"/>
          <w:szCs w:val="16"/>
        </w:rPr>
        <w:t xml:space="preserve">“Con tal objeto constituirá o ampliará resguardos de tierras y procederá al saneamiento de aquellos que estuvieren ocupados por personas que no pertenezcan a la respectiva parcialidad. </w:t>
      </w:r>
    </w:p>
  </w:footnote>
  <w:footnote w:id="6">
    <w:p w14:paraId="1E79AB23" w14:textId="77777777" w:rsidR="00013201" w:rsidRPr="00454929" w:rsidRDefault="00013201" w:rsidP="00013201">
      <w:pPr>
        <w:pStyle w:val="NormalWeb"/>
        <w:spacing w:before="0" w:beforeAutospacing="0" w:after="0" w:afterAutospacing="0"/>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w:t>
      </w:r>
      <w:r w:rsidRPr="00454929">
        <w:rPr>
          <w:rFonts w:ascii="Verdana" w:hAnsi="Verdana" w:cs="Arial"/>
          <w:color w:val="000000"/>
          <w:sz w:val="16"/>
          <w:szCs w:val="16"/>
        </w:rPr>
        <w:t>Artículo 3°. Funcionamiento de los Territorios Indígenas</w:t>
      </w:r>
      <w:r w:rsidRPr="00454929">
        <w:rPr>
          <w:rFonts w:ascii="Verdana" w:hAnsi="Verdana" w:cs="Arial"/>
          <w:i/>
          <w:color w:val="000000"/>
          <w:sz w:val="16"/>
          <w:szCs w:val="16"/>
        </w:rPr>
        <w:t>. </w:t>
      </w:r>
      <w:r w:rsidRPr="00454929">
        <w:rPr>
          <w:rFonts w:ascii="Verdana" w:hAnsi="Verdana" w:cs="Arial"/>
          <w:color w:val="000000"/>
          <w:sz w:val="16"/>
          <w:szCs w:val="16"/>
        </w:rPr>
        <w:t xml:space="preserve">Los Territorios Indígenas podrán ponerse en funcionamiento, de manera transitoria, de conformidad con las disposiciones del presente decreto, mientras el Congreso expide la Ley Orgánica de Ordenamiento Territorial que crea las entidades territoriales indígenas. </w:t>
      </w:r>
    </w:p>
  </w:footnote>
  <w:footnote w:id="7">
    <w:p w14:paraId="3CA71A2F" w14:textId="77777777" w:rsidR="00013201" w:rsidRPr="00454929" w:rsidRDefault="00013201" w:rsidP="00013201">
      <w:pPr>
        <w:pStyle w:val="Textonotapie"/>
        <w:jc w:val="both"/>
        <w:rPr>
          <w:rFonts w:ascii="Verdana" w:hAnsi="Verdana" w:cs="Arial"/>
          <w:sz w:val="16"/>
          <w:szCs w:val="16"/>
        </w:rPr>
      </w:pPr>
    </w:p>
    <w:p w14:paraId="71A446F3" w14:textId="77777777" w:rsidR="00013201" w:rsidRPr="00454929" w:rsidRDefault="00013201" w:rsidP="00013201">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Ibidem. </w:t>
      </w:r>
    </w:p>
    <w:p w14:paraId="4642DC3A" w14:textId="77777777" w:rsidR="00013201" w:rsidRPr="00454929" w:rsidRDefault="00013201" w:rsidP="00013201">
      <w:pPr>
        <w:pStyle w:val="Textonotapie"/>
        <w:ind w:firstLine="708"/>
        <w:jc w:val="both"/>
        <w:rPr>
          <w:rFonts w:ascii="Verdana" w:hAnsi="Verdana" w:cs="Arial"/>
          <w:sz w:val="16"/>
          <w:szCs w:val="16"/>
        </w:rPr>
      </w:pPr>
    </w:p>
  </w:footnote>
  <w:footnote w:id="8">
    <w:p w14:paraId="0E0771F8" w14:textId="77777777" w:rsidR="00013201" w:rsidRPr="00454929" w:rsidRDefault="00013201" w:rsidP="00013201">
      <w:pPr>
        <w:spacing w:after="0" w:line="240" w:lineRule="auto"/>
        <w:ind w:firstLine="708"/>
        <w:jc w:val="both"/>
        <w:rPr>
          <w:rFonts w:ascii="Verdana" w:eastAsia="Calibri" w:hAnsi="Verdana" w:cs="Arial"/>
          <w:sz w:val="16"/>
          <w:szCs w:val="16"/>
          <w:lang w:val="es-ES"/>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eastAsia="Calibri" w:hAnsi="Verdana" w:cs="Arial"/>
          <w:sz w:val="16"/>
          <w:szCs w:val="16"/>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4EABE2DA" w14:textId="77777777" w:rsidR="00013201" w:rsidRPr="00454929" w:rsidRDefault="00013201" w:rsidP="00013201">
      <w:pPr>
        <w:spacing w:after="0" w:line="240" w:lineRule="auto"/>
        <w:ind w:firstLine="708"/>
        <w:jc w:val="both"/>
        <w:rPr>
          <w:rFonts w:ascii="Verdana" w:eastAsia="Calibri" w:hAnsi="Verdana" w:cs="Arial"/>
          <w:sz w:val="16"/>
          <w:szCs w:val="16"/>
          <w:lang w:val="es-ES"/>
        </w:rPr>
      </w:pPr>
      <w:r w:rsidRPr="00454929">
        <w:rPr>
          <w:rFonts w:ascii="Verdana" w:eastAsia="Calibri" w:hAnsi="Verdana" w:cs="Arial"/>
          <w:sz w:val="16"/>
          <w:szCs w:val="16"/>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9">
    <w:p w14:paraId="332AA208" w14:textId="77777777" w:rsidR="00013201" w:rsidRPr="00454929" w:rsidRDefault="00013201" w:rsidP="00013201">
      <w:pPr>
        <w:pStyle w:val="Textonotapie"/>
        <w:ind w:firstLine="709"/>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0596E8C6" w14:textId="77777777" w:rsidR="00013201" w:rsidRPr="00454929" w:rsidRDefault="00013201" w:rsidP="00013201">
      <w:pPr>
        <w:pStyle w:val="Textonotapie"/>
        <w:ind w:firstLine="709"/>
        <w:jc w:val="both"/>
        <w:rPr>
          <w:rFonts w:ascii="Verdana" w:hAnsi="Verdana" w:cs="Arial"/>
          <w:sz w:val="16"/>
          <w:szCs w:val="16"/>
        </w:rPr>
      </w:pPr>
      <w:r w:rsidRPr="00454929">
        <w:rPr>
          <w:rFonts w:ascii="Verdana" w:hAnsi="Verdana" w:cs="Arial"/>
          <w:sz w:val="16"/>
          <w:szCs w:val="16"/>
        </w:rPr>
        <w:t>“1. Gobernarse por Autoridades Propias de acuerdo con la ley de origen, derecho mayor o derecho propio.</w:t>
      </w:r>
    </w:p>
    <w:p w14:paraId="096C9B92" w14:textId="77777777" w:rsidR="00013201" w:rsidRPr="00454929" w:rsidRDefault="00013201" w:rsidP="00013201">
      <w:pPr>
        <w:pStyle w:val="Textonotapie"/>
        <w:ind w:firstLine="709"/>
        <w:jc w:val="both"/>
        <w:rPr>
          <w:rFonts w:ascii="Verdana" w:hAnsi="Verdana" w:cs="Arial"/>
          <w:sz w:val="16"/>
          <w:szCs w:val="16"/>
        </w:rPr>
      </w:pPr>
      <w:r w:rsidRPr="00454929">
        <w:rPr>
          <w:rFonts w:ascii="Verdana" w:hAnsi="Verdana" w:cs="Arial"/>
          <w:sz w:val="16"/>
          <w:szCs w:val="16"/>
        </w:rPr>
        <w:t>“2. Ejercer las competencias y derechos establecidos en este decreto, conforme con la Constitución Política, la legislación nacional e internacional que hace parte del bloque de constitucionalidad, la ley de origen, el derecho mayor o derecho propio.</w:t>
      </w:r>
    </w:p>
    <w:p w14:paraId="2698E6E3" w14:textId="77777777" w:rsidR="00013201" w:rsidRPr="00454929" w:rsidRDefault="00013201" w:rsidP="00013201">
      <w:pPr>
        <w:pStyle w:val="Textonotapie"/>
        <w:ind w:firstLine="709"/>
        <w:jc w:val="both"/>
        <w:rPr>
          <w:rFonts w:ascii="Verdana" w:hAnsi="Verdana" w:cs="Arial"/>
          <w:sz w:val="16"/>
          <w:szCs w:val="16"/>
        </w:rPr>
      </w:pPr>
      <w:r w:rsidRPr="00454929">
        <w:rPr>
          <w:rFonts w:ascii="Verdana" w:hAnsi="Verdana" w:cs="Arial"/>
          <w:sz w:val="16"/>
          <w:szCs w:val="16"/>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52DE6ACE" w14:textId="77777777" w:rsidR="00013201" w:rsidRPr="00454929" w:rsidRDefault="00013201" w:rsidP="00013201">
      <w:pPr>
        <w:pStyle w:val="Textonotapie"/>
        <w:ind w:firstLine="709"/>
        <w:jc w:val="both"/>
        <w:rPr>
          <w:rFonts w:ascii="Verdana" w:hAnsi="Verdana" w:cs="Arial"/>
          <w:sz w:val="16"/>
          <w:szCs w:val="16"/>
        </w:rPr>
      </w:pPr>
      <w:r w:rsidRPr="00454929">
        <w:rPr>
          <w:rFonts w:ascii="Verdana" w:hAnsi="Verdana" w:cs="Arial"/>
          <w:sz w:val="16"/>
          <w:szCs w:val="16"/>
        </w:rPr>
        <w:t>“4. Darse sus estructuras de gobierno propio y de coordinación para efectos del desarrollo de sus respectivas competencias.</w:t>
      </w:r>
    </w:p>
    <w:p w14:paraId="39B44098" w14:textId="77777777" w:rsidR="00013201" w:rsidRPr="00454929" w:rsidRDefault="00013201" w:rsidP="00013201">
      <w:pPr>
        <w:pStyle w:val="Textonotapie"/>
        <w:ind w:firstLine="708"/>
        <w:jc w:val="both"/>
        <w:rPr>
          <w:rFonts w:ascii="Verdana" w:hAnsi="Verdana" w:cs="Arial"/>
          <w:sz w:val="16"/>
          <w:szCs w:val="16"/>
        </w:rPr>
      </w:pPr>
      <w:r w:rsidRPr="00454929">
        <w:rPr>
          <w:rFonts w:ascii="Verdana" w:hAnsi="Verdana" w:cs="Arial"/>
          <w:sz w:val="16"/>
          <w:szCs w:val="16"/>
        </w:rPr>
        <w:t>“5. Percibir y administrar los recursos provenientes de fuentes de financiación públicas y/o privadas para el desarrollo de sus funciones y competencias de acuerdo con lo establecido en este decreto”.</w:t>
      </w:r>
    </w:p>
  </w:footnote>
  <w:footnote w:id="10">
    <w:p w14:paraId="531EE64D" w14:textId="77777777" w:rsidR="00013201" w:rsidRPr="00454929" w:rsidRDefault="00013201" w:rsidP="00013201">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3760511" w14:textId="77777777" w:rsidR="00013201" w:rsidRPr="00454929" w:rsidRDefault="00013201" w:rsidP="00013201">
      <w:pPr>
        <w:pStyle w:val="Textonotapie"/>
        <w:ind w:firstLine="709"/>
        <w:contextualSpacing/>
        <w:jc w:val="both"/>
        <w:rPr>
          <w:rFonts w:ascii="Verdana" w:hAnsi="Verdana" w:cs="Arial"/>
          <w:sz w:val="16"/>
          <w:szCs w:val="16"/>
        </w:rPr>
      </w:pPr>
      <w:r w:rsidRPr="00454929">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1AD48FF" w14:textId="77777777" w:rsidR="00013201" w:rsidRPr="00454929" w:rsidRDefault="00013201" w:rsidP="00013201">
      <w:pPr>
        <w:pStyle w:val="Textonotapie"/>
        <w:ind w:firstLine="709"/>
        <w:contextualSpacing/>
        <w:jc w:val="both"/>
        <w:rPr>
          <w:rFonts w:ascii="Verdana" w:hAnsi="Verdana" w:cs="Arial"/>
          <w:sz w:val="16"/>
          <w:szCs w:val="16"/>
        </w:rPr>
      </w:pPr>
    </w:p>
  </w:footnote>
  <w:footnote w:id="11">
    <w:p w14:paraId="2FD64717" w14:textId="77777777" w:rsidR="00013201" w:rsidRPr="00454929" w:rsidRDefault="00013201" w:rsidP="00013201">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Gaceta del Congreso de la República No. 71 del 2005.</w:t>
      </w:r>
    </w:p>
    <w:p w14:paraId="4A71F8C6" w14:textId="77777777" w:rsidR="00013201" w:rsidRPr="00454929" w:rsidRDefault="00013201" w:rsidP="00013201">
      <w:pPr>
        <w:pStyle w:val="Textonotapie"/>
        <w:ind w:firstLine="709"/>
        <w:contextualSpacing/>
        <w:jc w:val="both"/>
        <w:rPr>
          <w:rFonts w:ascii="Verdana" w:hAnsi="Verdana" w:cs="Arial"/>
          <w:sz w:val="16"/>
          <w:szCs w:val="16"/>
        </w:rPr>
      </w:pPr>
    </w:p>
  </w:footnote>
  <w:footnote w:id="12">
    <w:p w14:paraId="11619F58" w14:textId="77777777" w:rsidR="00013201" w:rsidRDefault="00013201" w:rsidP="00013201">
      <w:pPr>
        <w:pStyle w:val="Textonotapie"/>
        <w:ind w:firstLine="709"/>
        <w:contextualSpacing/>
        <w:jc w:val="both"/>
        <w:rPr>
          <w:rFonts w:ascii="Verdana" w:hAnsi="Verdana" w:cs="Arial"/>
          <w:sz w:val="16"/>
          <w:szCs w:val="16"/>
          <w:lang w:val="pt-BR"/>
        </w:rPr>
      </w:pPr>
      <w:r w:rsidRPr="00454929">
        <w:rPr>
          <w:rStyle w:val="Refdenotaalpie"/>
          <w:rFonts w:ascii="Verdana" w:hAnsi="Verdana" w:cs="Arial"/>
          <w:sz w:val="16"/>
          <w:szCs w:val="16"/>
        </w:rPr>
        <w:footnoteRef/>
      </w:r>
      <w:r w:rsidRPr="00454929">
        <w:rPr>
          <w:rFonts w:ascii="Verdana" w:hAnsi="Verdana" w:cs="Arial"/>
          <w:sz w:val="16"/>
          <w:szCs w:val="16"/>
          <w:lang w:val="pt-BR"/>
        </w:rPr>
        <w:t xml:space="preserve"> Corte Constitucional, Sentencia C- 1153 de 2005, M.P. Marco Gerardo </w:t>
      </w:r>
      <w:proofErr w:type="spellStart"/>
      <w:r w:rsidRPr="00454929">
        <w:rPr>
          <w:rFonts w:ascii="Verdana" w:hAnsi="Verdana" w:cs="Arial"/>
          <w:sz w:val="16"/>
          <w:szCs w:val="16"/>
          <w:lang w:val="pt-BR"/>
        </w:rPr>
        <w:t>Monroy</w:t>
      </w:r>
      <w:proofErr w:type="spellEnd"/>
      <w:r w:rsidRPr="00454929">
        <w:rPr>
          <w:rFonts w:ascii="Verdana" w:hAnsi="Verdana" w:cs="Arial"/>
          <w:sz w:val="16"/>
          <w:szCs w:val="16"/>
          <w:lang w:val="pt-BR"/>
        </w:rPr>
        <w:t xml:space="preserve"> Cabra.</w:t>
      </w:r>
    </w:p>
    <w:p w14:paraId="692ABD85" w14:textId="77777777" w:rsidR="00013201" w:rsidRPr="00454929" w:rsidRDefault="00013201" w:rsidP="00013201">
      <w:pPr>
        <w:pStyle w:val="Textonotapie"/>
        <w:ind w:firstLine="709"/>
        <w:contextualSpacing/>
        <w:jc w:val="both"/>
        <w:rPr>
          <w:rFonts w:ascii="Verdana" w:hAnsi="Verdana" w:cs="Arial"/>
          <w:sz w:val="16"/>
          <w:szCs w:val="16"/>
          <w:lang w:val="pt-BR"/>
        </w:rPr>
      </w:pPr>
    </w:p>
  </w:footnote>
  <w:footnote w:id="13">
    <w:p w14:paraId="27B58D41" w14:textId="77777777" w:rsidR="00013201" w:rsidRPr="00454929" w:rsidRDefault="00013201" w:rsidP="00013201">
      <w:pPr>
        <w:pStyle w:val="Textonotapie"/>
        <w:ind w:firstLine="709"/>
        <w:contextualSpacing/>
        <w:jc w:val="both"/>
        <w:rPr>
          <w:rFonts w:ascii="Verdana" w:hAnsi="Verdana" w:cs="Arial"/>
          <w:sz w:val="16"/>
          <w:szCs w:val="16"/>
          <w:lang w:val="pt-BR"/>
        </w:rPr>
      </w:pPr>
      <w:r w:rsidRPr="00454929">
        <w:rPr>
          <w:rStyle w:val="Refdenotaalpie"/>
          <w:rFonts w:ascii="Verdana" w:hAnsi="Verdana" w:cs="Arial"/>
          <w:sz w:val="16"/>
          <w:szCs w:val="16"/>
        </w:rPr>
        <w:footnoteRef/>
      </w:r>
      <w:r w:rsidRPr="00454929">
        <w:rPr>
          <w:rFonts w:ascii="Verdana" w:hAnsi="Verdana" w:cs="Arial"/>
          <w:sz w:val="16"/>
          <w:szCs w:val="16"/>
          <w:lang w:val="pt-BR"/>
        </w:rPr>
        <w:t xml:space="preserve"> Corte Constitucional. Sentencias: C-233 de 4 de abril de 2002, expediente: D-3704; C-551 de 9 de </w:t>
      </w:r>
      <w:proofErr w:type="spellStart"/>
      <w:r w:rsidRPr="00454929">
        <w:rPr>
          <w:rFonts w:ascii="Verdana" w:hAnsi="Verdana" w:cs="Arial"/>
          <w:sz w:val="16"/>
          <w:szCs w:val="16"/>
          <w:lang w:val="pt-BR"/>
        </w:rPr>
        <w:t>julio</w:t>
      </w:r>
      <w:proofErr w:type="spellEnd"/>
      <w:r w:rsidRPr="00454929">
        <w:rPr>
          <w:rFonts w:ascii="Verdana" w:hAnsi="Verdana" w:cs="Arial"/>
          <w:sz w:val="16"/>
          <w:szCs w:val="16"/>
          <w:lang w:val="pt-BR"/>
        </w:rPr>
        <w:t xml:space="preserve"> de 2003, expediente: CRF-001 de 9 de </w:t>
      </w:r>
      <w:proofErr w:type="spellStart"/>
      <w:r w:rsidRPr="00454929">
        <w:rPr>
          <w:rFonts w:ascii="Verdana" w:hAnsi="Verdana" w:cs="Arial"/>
          <w:sz w:val="16"/>
          <w:szCs w:val="16"/>
          <w:lang w:val="pt-BR"/>
        </w:rPr>
        <w:t>julio</w:t>
      </w:r>
      <w:proofErr w:type="spellEnd"/>
      <w:r w:rsidRPr="00454929">
        <w:rPr>
          <w:rFonts w:ascii="Verdana" w:hAnsi="Verdana" w:cs="Arial"/>
          <w:sz w:val="16"/>
          <w:szCs w:val="16"/>
          <w:lang w:val="pt-BR"/>
        </w:rPr>
        <w:t xml:space="preserve"> de 2003; C-652 de 5 de agosto de 2003, expediente: D-4330; C-353 de 20 de </w:t>
      </w:r>
      <w:proofErr w:type="spellStart"/>
      <w:r w:rsidRPr="00454929">
        <w:rPr>
          <w:rFonts w:ascii="Verdana" w:hAnsi="Verdana" w:cs="Arial"/>
          <w:sz w:val="16"/>
          <w:szCs w:val="16"/>
          <w:lang w:val="pt-BR"/>
        </w:rPr>
        <w:t>mayo</w:t>
      </w:r>
      <w:proofErr w:type="spellEnd"/>
      <w:r w:rsidRPr="00454929">
        <w:rPr>
          <w:rFonts w:ascii="Verdana" w:hAnsi="Verdana" w:cs="Arial"/>
          <w:sz w:val="16"/>
          <w:szCs w:val="16"/>
          <w:lang w:val="pt-BR"/>
        </w:rPr>
        <w:t xml:space="preserve"> de 2009, expediente: D-7518, C-541 de 30 de </w:t>
      </w:r>
      <w:proofErr w:type="spellStart"/>
      <w:r w:rsidRPr="00454929">
        <w:rPr>
          <w:rFonts w:ascii="Verdana" w:hAnsi="Verdana" w:cs="Arial"/>
          <w:sz w:val="16"/>
          <w:szCs w:val="16"/>
          <w:lang w:val="pt-BR"/>
        </w:rPr>
        <w:t>junio</w:t>
      </w:r>
      <w:proofErr w:type="spellEnd"/>
      <w:r w:rsidRPr="00454929">
        <w:rPr>
          <w:rFonts w:ascii="Verdana" w:hAnsi="Verdana" w:cs="Arial"/>
          <w:sz w:val="16"/>
          <w:szCs w:val="16"/>
          <w:lang w:val="pt-BR"/>
        </w:rPr>
        <w:t xml:space="preserve"> de 2010, expediente: DD7966; entre otras.</w:t>
      </w:r>
    </w:p>
    <w:p w14:paraId="7AF8CCB4" w14:textId="77777777" w:rsidR="00013201" w:rsidRPr="00454929" w:rsidRDefault="00013201" w:rsidP="00013201">
      <w:pPr>
        <w:pStyle w:val="Textonotapie"/>
        <w:ind w:firstLine="709"/>
        <w:contextualSpacing/>
        <w:jc w:val="both"/>
        <w:rPr>
          <w:rFonts w:ascii="Verdana" w:hAnsi="Verdana" w:cs="Arial"/>
          <w:sz w:val="16"/>
          <w:szCs w:val="16"/>
          <w:lang w:val="pt-BR"/>
        </w:rPr>
      </w:pPr>
    </w:p>
  </w:footnote>
  <w:footnote w:id="14">
    <w:p w14:paraId="35D20A48" w14:textId="77777777" w:rsidR="00013201" w:rsidRPr="00454929" w:rsidRDefault="00013201" w:rsidP="00013201">
      <w:pPr>
        <w:pStyle w:val="Textonotapie"/>
        <w:ind w:firstLine="709"/>
        <w:contextualSpacing/>
        <w:jc w:val="both"/>
        <w:rPr>
          <w:rFonts w:ascii="Verdana" w:hAnsi="Verdana" w:cs="Arial"/>
          <w:sz w:val="16"/>
          <w:szCs w:val="16"/>
          <w:lang w:val="es-CO"/>
        </w:rPr>
      </w:pPr>
      <w:r w:rsidRPr="00454929">
        <w:rPr>
          <w:rStyle w:val="Refdenotaalpie"/>
          <w:rFonts w:ascii="Verdana" w:hAnsi="Verdana" w:cs="Arial"/>
          <w:sz w:val="16"/>
          <w:szCs w:val="16"/>
        </w:rPr>
        <w:footnoteRef/>
      </w:r>
      <w:r w:rsidRPr="00454929">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55E12D6B" w14:textId="77777777" w:rsidR="00013201" w:rsidRPr="00454929" w:rsidRDefault="00013201" w:rsidP="00013201">
      <w:pPr>
        <w:pStyle w:val="Textonotapie"/>
        <w:ind w:firstLine="709"/>
        <w:contextualSpacing/>
        <w:jc w:val="both"/>
        <w:rPr>
          <w:rFonts w:ascii="Verdana" w:hAnsi="Verdana" w:cs="Arial"/>
          <w:sz w:val="16"/>
          <w:szCs w:val="16"/>
          <w:lang w:val="es-CO"/>
        </w:rPr>
      </w:pPr>
    </w:p>
  </w:footnote>
  <w:footnote w:id="15">
    <w:p w14:paraId="3A9843BA" w14:textId="77777777" w:rsidR="00013201" w:rsidRDefault="00013201" w:rsidP="00013201">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Consejo de Estado, Sala de Consulta y Servicio Civil de fecha 24 de julio de 2013, Rad. 2166, C. P. Álvaro </w:t>
      </w:r>
      <w:proofErr w:type="spellStart"/>
      <w:r w:rsidRPr="00454929">
        <w:rPr>
          <w:rFonts w:ascii="Verdana" w:hAnsi="Verdana" w:cs="Arial"/>
          <w:sz w:val="16"/>
          <w:szCs w:val="16"/>
        </w:rPr>
        <w:t>Namén</w:t>
      </w:r>
      <w:proofErr w:type="spellEnd"/>
      <w:r w:rsidRPr="00454929">
        <w:rPr>
          <w:rFonts w:ascii="Verdana" w:hAnsi="Verdana" w:cs="Arial"/>
          <w:sz w:val="16"/>
          <w:szCs w:val="16"/>
        </w:rPr>
        <w:t xml:space="preserve"> Vargas.  </w:t>
      </w:r>
    </w:p>
    <w:p w14:paraId="7E6B18F3" w14:textId="77777777" w:rsidR="00013201" w:rsidRPr="00454929" w:rsidRDefault="00013201" w:rsidP="00013201">
      <w:pPr>
        <w:pStyle w:val="Textonotapie"/>
        <w:ind w:firstLine="709"/>
        <w:contextualSpacing/>
        <w:jc w:val="both"/>
        <w:rPr>
          <w:rFonts w:ascii="Verdana" w:hAnsi="Verdana" w:cs="Arial"/>
          <w:sz w:val="16"/>
          <w:szCs w:val="16"/>
        </w:rPr>
      </w:pPr>
    </w:p>
  </w:footnote>
  <w:footnote w:id="16">
    <w:p w14:paraId="6DA90F12" w14:textId="77777777" w:rsidR="00013201" w:rsidRPr="00454929" w:rsidRDefault="00013201" w:rsidP="00013201">
      <w:pPr>
        <w:spacing w:after="0" w:line="240" w:lineRule="auto"/>
        <w:ind w:firstLine="709"/>
        <w:contextualSpacing/>
        <w:jc w:val="both"/>
        <w:rPr>
          <w:rFonts w:ascii="Verdana" w:eastAsia="Times New Roman"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hAnsi="Verdana" w:cs="Arial"/>
          <w:color w:val="000000"/>
          <w:sz w:val="16"/>
          <w:szCs w:val="16"/>
        </w:rPr>
        <w:t>“</w:t>
      </w:r>
      <w:r w:rsidRPr="00454929">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09B41BDB" w14:textId="77777777" w:rsidR="00013201" w:rsidRPr="00454929" w:rsidRDefault="00013201" w:rsidP="00013201">
      <w:pPr>
        <w:spacing w:after="0" w:line="240" w:lineRule="auto"/>
        <w:ind w:firstLine="709"/>
        <w:contextualSpacing/>
        <w:jc w:val="both"/>
        <w:rPr>
          <w:rFonts w:ascii="Verdana" w:eastAsia="Times New Roman" w:hAnsi="Verdana" w:cs="Arial"/>
          <w:sz w:val="16"/>
          <w:szCs w:val="16"/>
        </w:rPr>
      </w:pPr>
      <w:r w:rsidRPr="00454929">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54929">
        <w:rPr>
          <w:rFonts w:ascii="Verdana" w:hAnsi="Verdana" w:cs="Arial"/>
          <w:color w:val="000000" w:themeColor="text1"/>
          <w:sz w:val="16"/>
          <w:szCs w:val="16"/>
        </w:rPr>
        <w:t>”</w:t>
      </w:r>
      <w:r w:rsidRPr="00454929">
        <w:rPr>
          <w:rFonts w:ascii="Verdana" w:eastAsia="Times New Roman" w:hAnsi="Verdana" w:cs="Arial"/>
          <w:sz w:val="16"/>
          <w:szCs w:val="16"/>
        </w:rPr>
        <w:t>.</w:t>
      </w:r>
    </w:p>
    <w:p w14:paraId="5D9D4CD7" w14:textId="77777777" w:rsidR="00013201" w:rsidRPr="00454929" w:rsidRDefault="00013201" w:rsidP="00013201">
      <w:pPr>
        <w:spacing w:after="0" w:line="240" w:lineRule="auto"/>
        <w:ind w:firstLine="709"/>
        <w:contextualSpacing/>
        <w:jc w:val="both"/>
        <w:rPr>
          <w:rFonts w:ascii="Verdana" w:eastAsia="Times New Roman" w:hAnsi="Verdana" w:cs="Arial"/>
          <w:sz w:val="16"/>
          <w:szCs w:val="16"/>
        </w:rPr>
      </w:pPr>
    </w:p>
  </w:footnote>
  <w:footnote w:id="17">
    <w:p w14:paraId="7699BB5B" w14:textId="77777777" w:rsidR="00013201" w:rsidRPr="00454929" w:rsidRDefault="00013201" w:rsidP="00013201">
      <w:pPr>
        <w:pStyle w:val="NormalWeb"/>
        <w:spacing w:before="0" w:beforeAutospacing="0" w:after="0" w:afterAutospacing="0"/>
        <w:ind w:firstLine="709"/>
        <w:contextualSpacing/>
        <w:jc w:val="both"/>
        <w:rPr>
          <w:rFonts w:ascii="Verdana" w:hAnsi="Verdana" w:cs="Arial"/>
          <w:sz w:val="16"/>
          <w:szCs w:val="16"/>
          <w:lang w:val="es-MX"/>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eastAsia="Calibri" w:hAnsi="Verdana" w:cs="Arial"/>
          <w:color w:val="000000"/>
          <w:sz w:val="16"/>
          <w:szCs w:val="16"/>
        </w:rPr>
        <w:t>“</w:t>
      </w:r>
      <w:r w:rsidRPr="00454929">
        <w:rPr>
          <w:rFonts w:ascii="Verdana" w:hAnsi="Verdana" w:cs="Arial"/>
          <w:sz w:val="16"/>
          <w:szCs w:val="16"/>
          <w:lang w:val="es-MX"/>
        </w:rPr>
        <w:t>Artículo 38. Prohibiciones para los servidores públicos. A los empleados del Estado les está prohibido: […]</w:t>
      </w:r>
    </w:p>
    <w:p w14:paraId="02B57771" w14:textId="77777777" w:rsidR="00013201" w:rsidRDefault="00013201" w:rsidP="00013201">
      <w:pPr>
        <w:pStyle w:val="NormalWeb"/>
        <w:spacing w:before="0" w:beforeAutospacing="0" w:after="0" w:afterAutospacing="0"/>
        <w:ind w:firstLine="709"/>
        <w:contextualSpacing/>
        <w:jc w:val="both"/>
        <w:rPr>
          <w:rFonts w:ascii="Verdana" w:hAnsi="Verdana" w:cs="Arial"/>
          <w:sz w:val="16"/>
          <w:szCs w:val="16"/>
          <w:lang w:val="es-MX"/>
        </w:rPr>
      </w:pPr>
      <w:r w:rsidRPr="00454929">
        <w:rPr>
          <w:rStyle w:val="baj"/>
          <w:rFonts w:ascii="Verdana" w:hAnsi="Verdana" w:cs="Arial"/>
          <w:sz w:val="16"/>
          <w:szCs w:val="16"/>
          <w:lang w:val="es-MX"/>
        </w:rPr>
        <w:t>Parágrafo.</w:t>
      </w:r>
      <w:r w:rsidRPr="00454929">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54929">
        <w:rPr>
          <w:rFonts w:ascii="Verdana" w:eastAsia="Calibri" w:hAnsi="Verdana" w:cs="Arial"/>
          <w:color w:val="000000"/>
          <w:sz w:val="16"/>
          <w:szCs w:val="16"/>
        </w:rPr>
        <w:t>”</w:t>
      </w:r>
      <w:r w:rsidRPr="00454929">
        <w:rPr>
          <w:rFonts w:ascii="Verdana" w:hAnsi="Verdana" w:cs="Arial"/>
          <w:sz w:val="16"/>
          <w:szCs w:val="16"/>
          <w:lang w:val="es-MX"/>
        </w:rPr>
        <w:t>.</w:t>
      </w:r>
    </w:p>
    <w:p w14:paraId="06B3D464" w14:textId="77777777" w:rsidR="00013201" w:rsidRPr="00454929" w:rsidRDefault="00013201" w:rsidP="00013201">
      <w:pPr>
        <w:pStyle w:val="NormalWeb"/>
        <w:spacing w:before="0" w:beforeAutospacing="0" w:after="0" w:afterAutospacing="0"/>
        <w:ind w:firstLine="709"/>
        <w:contextualSpacing/>
        <w:jc w:val="both"/>
        <w:rPr>
          <w:rFonts w:ascii="Verdana" w:hAnsi="Verdana" w:cs="Arial"/>
          <w:sz w:val="16"/>
          <w:szCs w:val="16"/>
          <w:lang w:val="es-MX"/>
        </w:rPr>
      </w:pPr>
    </w:p>
  </w:footnote>
  <w:footnote w:id="18">
    <w:p w14:paraId="3BE7A57F" w14:textId="77777777" w:rsidR="00013201" w:rsidRPr="00454929" w:rsidRDefault="00013201" w:rsidP="00013201">
      <w:pPr>
        <w:spacing w:after="0" w:line="240" w:lineRule="auto"/>
        <w:ind w:left="100" w:right="244"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9">
    <w:p w14:paraId="40C4C734" w14:textId="77777777" w:rsidR="00013201" w:rsidRPr="00454929" w:rsidRDefault="00013201" w:rsidP="00013201">
      <w:pPr>
        <w:pStyle w:val="Textonotapie"/>
        <w:ind w:firstLine="709"/>
        <w:contextualSpacing/>
        <w:jc w:val="both"/>
        <w:rPr>
          <w:rFonts w:ascii="Verdana" w:hAnsi="Verdana" w:cs="Arial"/>
          <w:sz w:val="16"/>
          <w:szCs w:val="16"/>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hAnsi="Verdana" w:cs="Arial"/>
          <w:sz w:val="16"/>
          <w:szCs w:val="16"/>
        </w:rPr>
        <w:t>Consejo de Estado -Sección Tercera-. Sentencia del 21 de febrero de 2025. Radicación Número: 68.280. CP: José Roberto Sáchica Méndez.</w:t>
      </w:r>
    </w:p>
    <w:p w14:paraId="581AEAC9" w14:textId="77777777" w:rsidR="00013201" w:rsidRPr="00454929" w:rsidRDefault="00013201" w:rsidP="00013201">
      <w:pPr>
        <w:pStyle w:val="Textonotapie"/>
        <w:ind w:firstLine="709"/>
        <w:contextualSpacing/>
        <w:jc w:val="both"/>
        <w:rPr>
          <w:rFonts w:ascii="Verdana" w:hAnsi="Verdana" w:cs="Arial"/>
          <w:sz w:val="16"/>
          <w:szCs w:val="16"/>
        </w:rPr>
      </w:pPr>
    </w:p>
  </w:footnote>
  <w:footnote w:id="20">
    <w:p w14:paraId="1BADF325" w14:textId="77777777" w:rsidR="00013201" w:rsidRDefault="00013201" w:rsidP="00013201">
      <w:pPr>
        <w:pStyle w:val="Textonotapie"/>
        <w:ind w:firstLine="709"/>
        <w:contextualSpacing/>
        <w:jc w:val="both"/>
        <w:rPr>
          <w:rFonts w:ascii="Verdana" w:hAnsi="Verdana" w:cs="Arial"/>
          <w:sz w:val="16"/>
          <w:szCs w:val="16"/>
        </w:rPr>
      </w:pPr>
      <w:r w:rsidRPr="00454929">
        <w:rPr>
          <w:rFonts w:ascii="Verdana" w:hAnsi="Verdana"/>
          <w:sz w:val="16"/>
          <w:szCs w:val="16"/>
          <w:vertAlign w:val="superscript"/>
        </w:rPr>
        <w:footnoteRef/>
      </w:r>
      <w:r w:rsidRPr="00454929">
        <w:rPr>
          <w:rFonts w:ascii="Verdana" w:hAnsi="Verdana"/>
          <w:sz w:val="16"/>
          <w:szCs w:val="16"/>
          <w:vertAlign w:val="superscript"/>
        </w:rPr>
        <w:t xml:space="preserve"> </w:t>
      </w:r>
      <w:r w:rsidRPr="00454929">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7B5588E9" w14:textId="77777777" w:rsidR="00013201" w:rsidRPr="00454929" w:rsidRDefault="00013201" w:rsidP="00013201">
      <w:pPr>
        <w:pStyle w:val="Textonotapie"/>
        <w:ind w:firstLine="709"/>
        <w:contextualSpacing/>
        <w:jc w:val="both"/>
        <w:rPr>
          <w:rFonts w:ascii="Verdana" w:hAnsi="Verdana" w:cs="Arial"/>
          <w:sz w:val="16"/>
          <w:szCs w:val="16"/>
        </w:rPr>
      </w:pPr>
    </w:p>
  </w:footnote>
  <w:footnote w:id="21">
    <w:p w14:paraId="1B7254DF" w14:textId="77777777" w:rsidR="00013201" w:rsidRPr="00454929" w:rsidRDefault="00013201" w:rsidP="00013201">
      <w:pPr>
        <w:pStyle w:val="Textonotapie"/>
        <w:ind w:firstLine="709"/>
        <w:contextualSpacing/>
        <w:jc w:val="both"/>
        <w:rPr>
          <w:rFonts w:ascii="Verdana" w:hAnsi="Verdana" w:cs="Arial"/>
          <w:sz w:val="16"/>
          <w:szCs w:val="16"/>
        </w:rPr>
      </w:pPr>
      <w:r w:rsidRPr="00454929">
        <w:rPr>
          <w:rFonts w:ascii="Verdana" w:hAnsi="Verdana"/>
          <w:sz w:val="16"/>
          <w:szCs w:val="16"/>
          <w:vertAlign w:val="superscript"/>
        </w:rPr>
        <w:footnoteRef/>
      </w:r>
      <w:r w:rsidRPr="00454929">
        <w:rPr>
          <w:rFonts w:ascii="Verdana" w:hAnsi="Verdana" w:cs="Arial"/>
          <w:sz w:val="16"/>
          <w:szCs w:val="16"/>
          <w:vertAlign w:val="superscript"/>
        </w:rPr>
        <w:t xml:space="preserve"> </w:t>
      </w:r>
      <w:r w:rsidRPr="00454929">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0C2EBD2A" w14:textId="77777777" w:rsidR="00013201" w:rsidRDefault="00013201" w:rsidP="00013201">
      <w:pPr>
        <w:pStyle w:val="Textonotapie"/>
        <w:ind w:firstLine="709"/>
        <w:contextualSpacing/>
        <w:jc w:val="both"/>
        <w:rPr>
          <w:rFonts w:ascii="Verdana" w:hAnsi="Verdana" w:cs="Arial"/>
          <w:sz w:val="16"/>
          <w:szCs w:val="16"/>
        </w:rPr>
      </w:pPr>
      <w:r w:rsidRPr="00454929">
        <w:rPr>
          <w:rFonts w:ascii="Verdana" w:hAnsi="Verdana" w:cs="Arial"/>
          <w:sz w:val="16"/>
          <w:szCs w:val="16"/>
        </w:rPr>
        <w:t>[…]”.</w:t>
      </w:r>
    </w:p>
    <w:p w14:paraId="781BB90A" w14:textId="77777777" w:rsidR="00013201" w:rsidRPr="00454929" w:rsidRDefault="00013201" w:rsidP="00013201">
      <w:pPr>
        <w:pStyle w:val="Textonotapie"/>
        <w:ind w:firstLine="709"/>
        <w:contextualSpacing/>
        <w:jc w:val="both"/>
        <w:rPr>
          <w:rFonts w:ascii="Verdana" w:hAnsi="Verdana" w:cs="Arial"/>
          <w:sz w:val="16"/>
          <w:szCs w:val="16"/>
        </w:rPr>
      </w:pPr>
    </w:p>
  </w:footnote>
  <w:footnote w:id="22">
    <w:p w14:paraId="5A96AB18" w14:textId="77777777" w:rsidR="00013201" w:rsidRPr="00454929" w:rsidRDefault="00013201" w:rsidP="00013201">
      <w:pPr>
        <w:pStyle w:val="Textonotapie"/>
        <w:ind w:firstLine="709"/>
        <w:contextualSpacing/>
        <w:jc w:val="both"/>
        <w:rPr>
          <w:rFonts w:ascii="Verdana" w:hAnsi="Verdana" w:cs="Arial"/>
          <w:sz w:val="16"/>
          <w:szCs w:val="16"/>
        </w:rPr>
      </w:pPr>
      <w:r w:rsidRPr="00454929">
        <w:rPr>
          <w:rFonts w:ascii="Verdana" w:hAnsi="Verdana"/>
          <w:sz w:val="16"/>
          <w:szCs w:val="16"/>
          <w:vertAlign w:val="superscript"/>
        </w:rPr>
        <w:footnoteRef/>
      </w:r>
      <w:r w:rsidRPr="00454929">
        <w:rPr>
          <w:rFonts w:ascii="Verdana" w:hAnsi="Verdana" w:cs="Arial"/>
          <w:sz w:val="16"/>
          <w:szCs w:val="16"/>
          <w:vertAlign w:val="superscript"/>
        </w:rPr>
        <w:t xml:space="preserve"> </w:t>
      </w:r>
      <w:r w:rsidRPr="00454929">
        <w:rPr>
          <w:rFonts w:ascii="Verdana" w:hAnsi="Verdana" w:cs="Arial"/>
          <w:sz w:val="16"/>
          <w:szCs w:val="16"/>
        </w:rPr>
        <w:t>Código Civil: “Artículo 27. Cuando el sentido de la ley sea claro, no se desatenderá su tenor a pretexto de consultar su espíritu”.</w:t>
      </w:r>
    </w:p>
  </w:footnote>
  <w:footnote w:id="23">
    <w:p w14:paraId="612E984D" w14:textId="77777777" w:rsidR="00013201" w:rsidRPr="00454929" w:rsidRDefault="00013201" w:rsidP="00013201">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lang w:val="es-CO"/>
        </w:rPr>
        <w:t xml:space="preserve"> Consejo de Estado, Sección Tercera. Auto del 4 de octubre de 2024. </w:t>
      </w:r>
      <w:proofErr w:type="spellStart"/>
      <w:r w:rsidRPr="00454929">
        <w:rPr>
          <w:rFonts w:ascii="Verdana" w:hAnsi="Verdana"/>
          <w:sz w:val="16"/>
          <w:szCs w:val="16"/>
          <w:lang w:val="es-CO"/>
        </w:rPr>
        <w:t>Exp</w:t>
      </w:r>
      <w:proofErr w:type="spellEnd"/>
      <w:r w:rsidRPr="00454929">
        <w:rPr>
          <w:rFonts w:ascii="Verdana" w:hAnsi="Verdana"/>
          <w:sz w:val="16"/>
          <w:szCs w:val="16"/>
          <w:lang w:val="es-CO"/>
        </w:rPr>
        <w:t>. 70.313. C.P: Fredy Ibarra Martínez.</w:t>
      </w:r>
    </w:p>
  </w:footnote>
  <w:footnote w:id="24">
    <w:p w14:paraId="5395A0FB" w14:textId="77777777" w:rsidR="00013201" w:rsidRPr="00454929" w:rsidRDefault="00013201" w:rsidP="00013201">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La parte resolutiva del auto dispone lo siguiente; “</w:t>
      </w:r>
      <w:r w:rsidRPr="00301509">
        <w:rPr>
          <w:rFonts w:ascii="Verdana" w:hAnsi="Verdana"/>
          <w:bCs/>
          <w:sz w:val="16"/>
          <w:szCs w:val="16"/>
          <w:lang w:val="es-CO"/>
        </w:rPr>
        <w:t>PRIMERO: DECRETAR la</w:t>
      </w:r>
      <w:r w:rsidRPr="00454929">
        <w:rPr>
          <w:rFonts w:ascii="Verdana" w:hAnsi="Verdana"/>
          <w:sz w:val="16"/>
          <w:szCs w:val="16"/>
          <w:lang w:val="es-CO"/>
        </w:rPr>
        <w:t xml:space="preserve"> suspensión provisional de los apartes cuestionados del inciso segundo del numeral 16.2 de la Circular Externa única, versión 3 del 27 de diciembre de 2023, expedida por la Agencia Nacional de Contratación Pública – Colombia Compra Eficiente, según el cual </w:t>
      </w:r>
      <w:r w:rsidRPr="00454929">
        <w:rPr>
          <w:rFonts w:ascii="Verdana" w:hAnsi="Verdana"/>
          <w:i/>
          <w:sz w:val="16"/>
          <w:szCs w:val="16"/>
          <w:lang w:val="es-CO"/>
        </w:rPr>
        <w:t>“[e]</w:t>
      </w:r>
      <w:proofErr w:type="spellStart"/>
      <w:r w:rsidRPr="00454929">
        <w:rPr>
          <w:rFonts w:ascii="Verdana" w:hAnsi="Verdana"/>
          <w:i/>
          <w:sz w:val="16"/>
          <w:szCs w:val="16"/>
          <w:lang w:val="es-CO"/>
        </w:rPr>
        <w:t>sta</w:t>
      </w:r>
      <w:proofErr w:type="spellEnd"/>
      <w:r w:rsidRPr="00454929">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454929">
        <w:rPr>
          <w:rFonts w:ascii="Verdana" w:hAnsi="Verdana"/>
          <w:sz w:val="16"/>
          <w:szCs w:val="16"/>
          <w:lang w:val="es-CO"/>
        </w:rPr>
        <w:t xml:space="preserve">, por las razones expuestas en precedencia. </w:t>
      </w:r>
    </w:p>
    <w:p w14:paraId="2E4DA350" w14:textId="77777777" w:rsidR="00013201" w:rsidRPr="00454929" w:rsidRDefault="00013201" w:rsidP="00013201">
      <w:pPr>
        <w:pStyle w:val="Textonotapie"/>
        <w:ind w:firstLine="709"/>
        <w:contextualSpacing/>
        <w:jc w:val="both"/>
        <w:rPr>
          <w:rFonts w:ascii="Verdana" w:hAnsi="Verdana"/>
          <w:sz w:val="16"/>
          <w:szCs w:val="16"/>
          <w:lang w:val="es-CO"/>
        </w:rPr>
      </w:pPr>
      <w:r w:rsidRPr="00301509">
        <w:rPr>
          <w:rFonts w:ascii="Verdana" w:hAnsi="Verdana"/>
          <w:bCs/>
          <w:sz w:val="16"/>
          <w:szCs w:val="16"/>
          <w:lang w:val="es-CO"/>
        </w:rPr>
        <w:t>SEGUNDO: DECRETAR</w:t>
      </w:r>
      <w:r w:rsidRPr="00454929">
        <w:rPr>
          <w:rFonts w:ascii="Verdana" w:hAnsi="Verdana"/>
          <w:b/>
          <w:sz w:val="16"/>
          <w:szCs w:val="16"/>
          <w:lang w:val="es-CO"/>
        </w:rPr>
        <w:t xml:space="preserve"> </w:t>
      </w:r>
      <w:r w:rsidRPr="00454929">
        <w:rPr>
          <w:rFonts w:ascii="Verdana" w:hAnsi="Verdana"/>
          <w:sz w:val="16"/>
          <w:szCs w:val="16"/>
          <w:lang w:val="es-CO"/>
        </w:rPr>
        <w:t>la suspensión provisional de la expresión “</w:t>
      </w:r>
      <w:r w:rsidRPr="00454929">
        <w:rPr>
          <w:rFonts w:ascii="Verdana" w:hAnsi="Verdana"/>
          <w:i/>
          <w:sz w:val="16"/>
          <w:szCs w:val="16"/>
          <w:lang w:val="es-CO"/>
        </w:rPr>
        <w:t>contratos</w:t>
      </w:r>
      <w:r w:rsidRPr="00454929">
        <w:rPr>
          <w:rFonts w:ascii="Verdana" w:hAnsi="Verdana"/>
          <w:sz w:val="16"/>
          <w:szCs w:val="16"/>
          <w:lang w:val="es-CO"/>
        </w:rPr>
        <w:t xml:space="preserve">” y del párrafo </w:t>
      </w:r>
      <w:r w:rsidRPr="00454929">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454929">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454929">
        <w:rPr>
          <w:rFonts w:ascii="Verdana" w:hAnsi="Verdana"/>
          <w:sz w:val="16"/>
          <w:szCs w:val="16"/>
          <w:lang w:val="es-CO"/>
        </w:rPr>
        <w:t>Exp</w:t>
      </w:r>
      <w:proofErr w:type="spellEnd"/>
      <w:r w:rsidRPr="00454929">
        <w:rPr>
          <w:rFonts w:ascii="Verdana" w:hAnsi="Verdana"/>
          <w:sz w:val="16"/>
          <w:szCs w:val="16"/>
          <w:lang w:val="es-CO"/>
        </w:rPr>
        <w:t xml:space="preserve">. 72.424. C.P: Fernando </w:t>
      </w:r>
      <w:proofErr w:type="spellStart"/>
      <w:r w:rsidRPr="00454929">
        <w:rPr>
          <w:rFonts w:ascii="Verdana" w:hAnsi="Verdana"/>
          <w:sz w:val="16"/>
          <w:szCs w:val="16"/>
          <w:lang w:val="es-CO"/>
        </w:rPr>
        <w:t>Alexei</w:t>
      </w:r>
      <w:proofErr w:type="spellEnd"/>
      <w:r w:rsidRPr="00454929">
        <w:rPr>
          <w:rFonts w:ascii="Verdana" w:hAnsi="Verdana"/>
          <w:sz w:val="16"/>
          <w:szCs w:val="16"/>
          <w:lang w:val="es-CO"/>
        </w:rPr>
        <w:t xml:space="preserve"> Pardo </w:t>
      </w:r>
      <w:proofErr w:type="spellStart"/>
      <w:r w:rsidRPr="00454929">
        <w:rPr>
          <w:rFonts w:ascii="Verdana" w:hAnsi="Verdana"/>
          <w:sz w:val="16"/>
          <w:szCs w:val="16"/>
          <w:lang w:val="es-CO"/>
        </w:rPr>
        <w:t>Florez</w:t>
      </w:r>
      <w:proofErr w:type="spellEnd"/>
      <w:r w:rsidRPr="00454929">
        <w:rPr>
          <w:rFonts w:ascii="Verdana" w:hAnsi="Verdana"/>
          <w:sz w:val="16"/>
          <w:szCs w:val="16"/>
          <w:lang w:val="es-CO"/>
        </w:rPr>
        <w:t xml:space="preserve">. </w:t>
      </w:r>
    </w:p>
  </w:footnote>
  <w:footnote w:id="25">
    <w:p w14:paraId="737EFDA4" w14:textId="77777777" w:rsidR="00013201" w:rsidRDefault="00013201" w:rsidP="00013201">
      <w:pPr>
        <w:spacing w:after="0" w:line="240" w:lineRule="auto"/>
        <w:ind w:firstLine="709"/>
        <w:contextualSpacing/>
        <w:jc w:val="both"/>
        <w:rPr>
          <w:rFonts w:ascii="Verdana" w:eastAsia="Times New Roman" w:hAnsi="Verdana" w:cs="Times New Roman"/>
          <w:sz w:val="16"/>
          <w:szCs w:val="16"/>
          <w:lang w:eastAsia="es-ES"/>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454929">
        <w:rPr>
          <w:rFonts w:ascii="Verdana" w:hAnsi="Verdana"/>
          <w:sz w:val="16"/>
          <w:szCs w:val="16"/>
        </w:rPr>
        <w:t xml:space="preserve">La parte de la providencia señala: </w:t>
      </w:r>
      <w:r w:rsidRPr="00454929">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454929">
        <w:rPr>
          <w:rFonts w:ascii="Verdana" w:eastAsia="Times New Roman" w:hAnsi="Verdana" w:cs="Times New Roman"/>
          <w:sz w:val="16"/>
          <w:szCs w:val="16"/>
          <w:lang w:eastAsia="es-ES"/>
        </w:rPr>
        <w:t>ii</w:t>
      </w:r>
      <w:proofErr w:type="spellEnd"/>
      <w:r w:rsidRPr="00454929">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69D564A7" w14:textId="77777777" w:rsidR="00013201" w:rsidRPr="00454929" w:rsidRDefault="00013201" w:rsidP="00013201">
      <w:pPr>
        <w:spacing w:after="0" w:line="240" w:lineRule="auto"/>
        <w:ind w:firstLine="709"/>
        <w:contextualSpacing/>
        <w:jc w:val="both"/>
        <w:rPr>
          <w:rFonts w:ascii="Verdana" w:eastAsia="Times New Roman" w:hAnsi="Verdana" w:cs="Times New Roman"/>
          <w:sz w:val="16"/>
          <w:szCs w:val="16"/>
          <w:lang w:eastAsia="es-ES"/>
        </w:rPr>
      </w:pPr>
    </w:p>
  </w:footnote>
  <w:footnote w:id="26">
    <w:p w14:paraId="3A83400C" w14:textId="77777777" w:rsidR="00013201" w:rsidRPr="00454929" w:rsidRDefault="00013201" w:rsidP="00013201">
      <w:pPr>
        <w:pStyle w:val="Textonotapie"/>
        <w:ind w:firstLine="709"/>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No </w:t>
      </w:r>
      <w:proofErr w:type="gramStart"/>
      <w:r w:rsidRPr="00454929">
        <w:rPr>
          <w:rFonts w:ascii="Verdana" w:hAnsi="Verdana"/>
          <w:sz w:val="16"/>
          <w:szCs w:val="16"/>
        </w:rPr>
        <w:t>obstante</w:t>
      </w:r>
      <w:proofErr w:type="gramEnd"/>
      <w:r w:rsidRPr="00454929">
        <w:rPr>
          <w:rFonts w:ascii="Verdana" w:hAnsi="Verdana"/>
          <w:sz w:val="16"/>
          <w:szCs w:val="16"/>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201"/>
    <w:rsid w:val="00016F78"/>
    <w:rsid w:val="0002029B"/>
    <w:rsid w:val="00031855"/>
    <w:rsid w:val="00035438"/>
    <w:rsid w:val="000358D2"/>
    <w:rsid w:val="00040801"/>
    <w:rsid w:val="000466BD"/>
    <w:rsid w:val="00046945"/>
    <w:rsid w:val="0005195F"/>
    <w:rsid w:val="00052B57"/>
    <w:rsid w:val="000547F7"/>
    <w:rsid w:val="00061547"/>
    <w:rsid w:val="00061B2A"/>
    <w:rsid w:val="000673BA"/>
    <w:rsid w:val="00071189"/>
    <w:rsid w:val="00071D46"/>
    <w:rsid w:val="00074CDA"/>
    <w:rsid w:val="00082362"/>
    <w:rsid w:val="000838BA"/>
    <w:rsid w:val="000900F5"/>
    <w:rsid w:val="00092DCC"/>
    <w:rsid w:val="000A683E"/>
    <w:rsid w:val="000A6D90"/>
    <w:rsid w:val="000B19B9"/>
    <w:rsid w:val="000C5B06"/>
    <w:rsid w:val="000D0334"/>
    <w:rsid w:val="000D15E3"/>
    <w:rsid w:val="000D5DA7"/>
    <w:rsid w:val="000E3C0C"/>
    <w:rsid w:val="000F6486"/>
    <w:rsid w:val="001131F7"/>
    <w:rsid w:val="00116940"/>
    <w:rsid w:val="00125105"/>
    <w:rsid w:val="00127233"/>
    <w:rsid w:val="0013793B"/>
    <w:rsid w:val="0015683D"/>
    <w:rsid w:val="0015699B"/>
    <w:rsid w:val="00160992"/>
    <w:rsid w:val="00161946"/>
    <w:rsid w:val="0016386A"/>
    <w:rsid w:val="00186559"/>
    <w:rsid w:val="00192440"/>
    <w:rsid w:val="001A0022"/>
    <w:rsid w:val="001A33BF"/>
    <w:rsid w:val="001B04E1"/>
    <w:rsid w:val="001B40D7"/>
    <w:rsid w:val="001C02BF"/>
    <w:rsid w:val="001C7A3B"/>
    <w:rsid w:val="001E4177"/>
    <w:rsid w:val="001F0B24"/>
    <w:rsid w:val="001F7DC6"/>
    <w:rsid w:val="0021326C"/>
    <w:rsid w:val="002133AC"/>
    <w:rsid w:val="00220E51"/>
    <w:rsid w:val="0022400B"/>
    <w:rsid w:val="00225635"/>
    <w:rsid w:val="0022674B"/>
    <w:rsid w:val="002421BB"/>
    <w:rsid w:val="002439E8"/>
    <w:rsid w:val="0025796E"/>
    <w:rsid w:val="0026347A"/>
    <w:rsid w:val="002707A2"/>
    <w:rsid w:val="0027500F"/>
    <w:rsid w:val="0027509F"/>
    <w:rsid w:val="00275223"/>
    <w:rsid w:val="00285515"/>
    <w:rsid w:val="002951A0"/>
    <w:rsid w:val="002962BC"/>
    <w:rsid w:val="002A093D"/>
    <w:rsid w:val="002A0DD0"/>
    <w:rsid w:val="002A49AC"/>
    <w:rsid w:val="002A64FD"/>
    <w:rsid w:val="002C1DC7"/>
    <w:rsid w:val="002C7024"/>
    <w:rsid w:val="002C7A84"/>
    <w:rsid w:val="002E2BF8"/>
    <w:rsid w:val="002E4FD9"/>
    <w:rsid w:val="002E61CB"/>
    <w:rsid w:val="002F0013"/>
    <w:rsid w:val="00301509"/>
    <w:rsid w:val="0030657A"/>
    <w:rsid w:val="00322A85"/>
    <w:rsid w:val="00322EC5"/>
    <w:rsid w:val="00324168"/>
    <w:rsid w:val="00330834"/>
    <w:rsid w:val="003448F4"/>
    <w:rsid w:val="00364792"/>
    <w:rsid w:val="00371077"/>
    <w:rsid w:val="00372C6B"/>
    <w:rsid w:val="00374F5E"/>
    <w:rsid w:val="0037544F"/>
    <w:rsid w:val="00377E3E"/>
    <w:rsid w:val="003820DF"/>
    <w:rsid w:val="003A779E"/>
    <w:rsid w:val="003C6845"/>
    <w:rsid w:val="003D0F4D"/>
    <w:rsid w:val="003D1B64"/>
    <w:rsid w:val="003D5B0D"/>
    <w:rsid w:val="003E0499"/>
    <w:rsid w:val="003E4F80"/>
    <w:rsid w:val="003E6439"/>
    <w:rsid w:val="003E735B"/>
    <w:rsid w:val="003F3941"/>
    <w:rsid w:val="003F614D"/>
    <w:rsid w:val="00406575"/>
    <w:rsid w:val="00410798"/>
    <w:rsid w:val="00411BDC"/>
    <w:rsid w:val="00414C74"/>
    <w:rsid w:val="0042722E"/>
    <w:rsid w:val="00441CBA"/>
    <w:rsid w:val="0044391D"/>
    <w:rsid w:val="0044528D"/>
    <w:rsid w:val="00447D68"/>
    <w:rsid w:val="00454929"/>
    <w:rsid w:val="00466E39"/>
    <w:rsid w:val="00482175"/>
    <w:rsid w:val="004826B6"/>
    <w:rsid w:val="0049672E"/>
    <w:rsid w:val="004A1847"/>
    <w:rsid w:val="004A305D"/>
    <w:rsid w:val="004A6106"/>
    <w:rsid w:val="004D249E"/>
    <w:rsid w:val="004E615E"/>
    <w:rsid w:val="004F21C4"/>
    <w:rsid w:val="004F685F"/>
    <w:rsid w:val="00500CF5"/>
    <w:rsid w:val="00511259"/>
    <w:rsid w:val="0051328D"/>
    <w:rsid w:val="005173C4"/>
    <w:rsid w:val="005254E6"/>
    <w:rsid w:val="0053094D"/>
    <w:rsid w:val="00555728"/>
    <w:rsid w:val="005566E8"/>
    <w:rsid w:val="005675BF"/>
    <w:rsid w:val="00574867"/>
    <w:rsid w:val="00576B1A"/>
    <w:rsid w:val="00591460"/>
    <w:rsid w:val="005A2F05"/>
    <w:rsid w:val="005A65E0"/>
    <w:rsid w:val="005B6132"/>
    <w:rsid w:val="005C3777"/>
    <w:rsid w:val="005C5CDC"/>
    <w:rsid w:val="005D476C"/>
    <w:rsid w:val="00612C39"/>
    <w:rsid w:val="00613744"/>
    <w:rsid w:val="006200BF"/>
    <w:rsid w:val="006204DF"/>
    <w:rsid w:val="006219F8"/>
    <w:rsid w:val="006302F7"/>
    <w:rsid w:val="00646B9F"/>
    <w:rsid w:val="006638D4"/>
    <w:rsid w:val="00665D70"/>
    <w:rsid w:val="00684307"/>
    <w:rsid w:val="006900D9"/>
    <w:rsid w:val="006918E2"/>
    <w:rsid w:val="00694F2A"/>
    <w:rsid w:val="006E7646"/>
    <w:rsid w:val="006F73F6"/>
    <w:rsid w:val="00700FC1"/>
    <w:rsid w:val="00706C16"/>
    <w:rsid w:val="00720881"/>
    <w:rsid w:val="007340C3"/>
    <w:rsid w:val="00746BE7"/>
    <w:rsid w:val="0075235A"/>
    <w:rsid w:val="007551A3"/>
    <w:rsid w:val="00756841"/>
    <w:rsid w:val="007649AB"/>
    <w:rsid w:val="00771CCA"/>
    <w:rsid w:val="00771D0C"/>
    <w:rsid w:val="00782142"/>
    <w:rsid w:val="007833AC"/>
    <w:rsid w:val="0079605D"/>
    <w:rsid w:val="007B268C"/>
    <w:rsid w:val="007B7171"/>
    <w:rsid w:val="007C0C0F"/>
    <w:rsid w:val="007C3DC2"/>
    <w:rsid w:val="007D4B2E"/>
    <w:rsid w:val="007D57F7"/>
    <w:rsid w:val="007E5497"/>
    <w:rsid w:val="007F431E"/>
    <w:rsid w:val="007F494F"/>
    <w:rsid w:val="008036B4"/>
    <w:rsid w:val="00806F5F"/>
    <w:rsid w:val="0081175D"/>
    <w:rsid w:val="00816000"/>
    <w:rsid w:val="00820278"/>
    <w:rsid w:val="008258C9"/>
    <w:rsid w:val="00832214"/>
    <w:rsid w:val="00834510"/>
    <w:rsid w:val="00834C77"/>
    <w:rsid w:val="00844AE9"/>
    <w:rsid w:val="00846D07"/>
    <w:rsid w:val="00861E32"/>
    <w:rsid w:val="00865796"/>
    <w:rsid w:val="00867F95"/>
    <w:rsid w:val="008717DA"/>
    <w:rsid w:val="0087320F"/>
    <w:rsid w:val="008843B6"/>
    <w:rsid w:val="00887563"/>
    <w:rsid w:val="00891928"/>
    <w:rsid w:val="008A446D"/>
    <w:rsid w:val="008B0077"/>
    <w:rsid w:val="008B25F1"/>
    <w:rsid w:val="008C17CB"/>
    <w:rsid w:val="008D180B"/>
    <w:rsid w:val="008E12F2"/>
    <w:rsid w:val="008E492D"/>
    <w:rsid w:val="008E55E5"/>
    <w:rsid w:val="008F0EA7"/>
    <w:rsid w:val="00923EEF"/>
    <w:rsid w:val="00926E3D"/>
    <w:rsid w:val="0093137C"/>
    <w:rsid w:val="00934F4F"/>
    <w:rsid w:val="009419F9"/>
    <w:rsid w:val="009433C7"/>
    <w:rsid w:val="0095685E"/>
    <w:rsid w:val="00957615"/>
    <w:rsid w:val="00961B09"/>
    <w:rsid w:val="00965334"/>
    <w:rsid w:val="0097093E"/>
    <w:rsid w:val="00970FE4"/>
    <w:rsid w:val="009948A2"/>
    <w:rsid w:val="0099559C"/>
    <w:rsid w:val="009A0DFA"/>
    <w:rsid w:val="009A1C6F"/>
    <w:rsid w:val="009B0E84"/>
    <w:rsid w:val="009B2D26"/>
    <w:rsid w:val="009B604C"/>
    <w:rsid w:val="009C1F94"/>
    <w:rsid w:val="009C71FA"/>
    <w:rsid w:val="009C72E7"/>
    <w:rsid w:val="009C7F7E"/>
    <w:rsid w:val="009D3058"/>
    <w:rsid w:val="009F3A13"/>
    <w:rsid w:val="00A122D3"/>
    <w:rsid w:val="00A14468"/>
    <w:rsid w:val="00A17F13"/>
    <w:rsid w:val="00A20739"/>
    <w:rsid w:val="00A23AF9"/>
    <w:rsid w:val="00A32BE2"/>
    <w:rsid w:val="00A332C8"/>
    <w:rsid w:val="00A33C78"/>
    <w:rsid w:val="00A3402F"/>
    <w:rsid w:val="00A43116"/>
    <w:rsid w:val="00A43159"/>
    <w:rsid w:val="00A53532"/>
    <w:rsid w:val="00A575FE"/>
    <w:rsid w:val="00A841B2"/>
    <w:rsid w:val="00A92EC3"/>
    <w:rsid w:val="00A960E5"/>
    <w:rsid w:val="00AA63B5"/>
    <w:rsid w:val="00AB0ADB"/>
    <w:rsid w:val="00AD6C81"/>
    <w:rsid w:val="00AF1BE5"/>
    <w:rsid w:val="00B00C0E"/>
    <w:rsid w:val="00B01B1A"/>
    <w:rsid w:val="00B0381D"/>
    <w:rsid w:val="00B060A3"/>
    <w:rsid w:val="00B354C9"/>
    <w:rsid w:val="00B37969"/>
    <w:rsid w:val="00B44A47"/>
    <w:rsid w:val="00B45858"/>
    <w:rsid w:val="00B714B0"/>
    <w:rsid w:val="00B72CD3"/>
    <w:rsid w:val="00B72FFF"/>
    <w:rsid w:val="00B85A64"/>
    <w:rsid w:val="00BA1D42"/>
    <w:rsid w:val="00BC3D36"/>
    <w:rsid w:val="00BD4350"/>
    <w:rsid w:val="00BD54A6"/>
    <w:rsid w:val="00BD652D"/>
    <w:rsid w:val="00BD7F72"/>
    <w:rsid w:val="00BF2144"/>
    <w:rsid w:val="00BF7425"/>
    <w:rsid w:val="00C04FB3"/>
    <w:rsid w:val="00C0783E"/>
    <w:rsid w:val="00C11D8B"/>
    <w:rsid w:val="00C15139"/>
    <w:rsid w:val="00C16A37"/>
    <w:rsid w:val="00C330EB"/>
    <w:rsid w:val="00C335B7"/>
    <w:rsid w:val="00C413E9"/>
    <w:rsid w:val="00C41DE8"/>
    <w:rsid w:val="00C50D69"/>
    <w:rsid w:val="00C5151D"/>
    <w:rsid w:val="00C5365C"/>
    <w:rsid w:val="00C54178"/>
    <w:rsid w:val="00C541CA"/>
    <w:rsid w:val="00C546CC"/>
    <w:rsid w:val="00C55BDE"/>
    <w:rsid w:val="00C708C9"/>
    <w:rsid w:val="00C754BE"/>
    <w:rsid w:val="00C76B1C"/>
    <w:rsid w:val="00C851C7"/>
    <w:rsid w:val="00C925AC"/>
    <w:rsid w:val="00CA7C8E"/>
    <w:rsid w:val="00CB1D05"/>
    <w:rsid w:val="00CB6357"/>
    <w:rsid w:val="00CC1B26"/>
    <w:rsid w:val="00CC2FD7"/>
    <w:rsid w:val="00CF29BA"/>
    <w:rsid w:val="00CF4966"/>
    <w:rsid w:val="00D177E6"/>
    <w:rsid w:val="00D201E9"/>
    <w:rsid w:val="00D25E73"/>
    <w:rsid w:val="00D302D9"/>
    <w:rsid w:val="00D361FD"/>
    <w:rsid w:val="00D414FE"/>
    <w:rsid w:val="00D423A2"/>
    <w:rsid w:val="00D44E26"/>
    <w:rsid w:val="00D460D0"/>
    <w:rsid w:val="00D520D8"/>
    <w:rsid w:val="00D63AC2"/>
    <w:rsid w:val="00D7383B"/>
    <w:rsid w:val="00D7788A"/>
    <w:rsid w:val="00D82C96"/>
    <w:rsid w:val="00D86621"/>
    <w:rsid w:val="00DA02A1"/>
    <w:rsid w:val="00DA1FBF"/>
    <w:rsid w:val="00DA231B"/>
    <w:rsid w:val="00DB2058"/>
    <w:rsid w:val="00DB2E63"/>
    <w:rsid w:val="00DC2676"/>
    <w:rsid w:val="00DC38B2"/>
    <w:rsid w:val="00DC39FC"/>
    <w:rsid w:val="00DE440E"/>
    <w:rsid w:val="00DE4943"/>
    <w:rsid w:val="00DE79ED"/>
    <w:rsid w:val="00DF5254"/>
    <w:rsid w:val="00E02524"/>
    <w:rsid w:val="00E07A6B"/>
    <w:rsid w:val="00E10E51"/>
    <w:rsid w:val="00E1209B"/>
    <w:rsid w:val="00E13BCD"/>
    <w:rsid w:val="00E15C40"/>
    <w:rsid w:val="00E16408"/>
    <w:rsid w:val="00E20894"/>
    <w:rsid w:val="00E245AB"/>
    <w:rsid w:val="00E27291"/>
    <w:rsid w:val="00E2764C"/>
    <w:rsid w:val="00E27F2E"/>
    <w:rsid w:val="00E36176"/>
    <w:rsid w:val="00E50AFE"/>
    <w:rsid w:val="00E51371"/>
    <w:rsid w:val="00E75C92"/>
    <w:rsid w:val="00E771DC"/>
    <w:rsid w:val="00E826C6"/>
    <w:rsid w:val="00E84EEF"/>
    <w:rsid w:val="00E86265"/>
    <w:rsid w:val="00E8772A"/>
    <w:rsid w:val="00E90F6B"/>
    <w:rsid w:val="00E92C27"/>
    <w:rsid w:val="00E93496"/>
    <w:rsid w:val="00EA0E3D"/>
    <w:rsid w:val="00EB5A8E"/>
    <w:rsid w:val="00EC214E"/>
    <w:rsid w:val="00EC38A7"/>
    <w:rsid w:val="00ED5F50"/>
    <w:rsid w:val="00EE04B9"/>
    <w:rsid w:val="00EE1AA8"/>
    <w:rsid w:val="00EF2E3F"/>
    <w:rsid w:val="00EF5BD7"/>
    <w:rsid w:val="00F01EE6"/>
    <w:rsid w:val="00F07606"/>
    <w:rsid w:val="00F07CE6"/>
    <w:rsid w:val="00F07F01"/>
    <w:rsid w:val="00F10689"/>
    <w:rsid w:val="00F23FEA"/>
    <w:rsid w:val="00F302DC"/>
    <w:rsid w:val="00F31EDC"/>
    <w:rsid w:val="00F32232"/>
    <w:rsid w:val="00F34198"/>
    <w:rsid w:val="00F462B3"/>
    <w:rsid w:val="00F5664F"/>
    <w:rsid w:val="00F60C80"/>
    <w:rsid w:val="00F63C15"/>
    <w:rsid w:val="00F666C4"/>
    <w:rsid w:val="00F76AFC"/>
    <w:rsid w:val="00F775C8"/>
    <w:rsid w:val="00F80590"/>
    <w:rsid w:val="00FA2A14"/>
    <w:rsid w:val="00FA47C0"/>
    <w:rsid w:val="00FB5DD1"/>
    <w:rsid w:val="00FC2B5D"/>
    <w:rsid w:val="00FC6BC9"/>
    <w:rsid w:val="00FD6717"/>
    <w:rsid w:val="00FE31C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sebashdezc@gmail.com"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747D40FE-B337-4A0E-ABEE-B8C5442DA9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34</TotalTime>
  <Pages>29</Pages>
  <Words>9515</Words>
  <Characters>52049</Characters>
  <Application>Microsoft Office Word</Application>
  <DocSecurity>0</DocSecurity>
  <Lines>963</Lines>
  <Paragraphs>183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11</cp:revision>
  <cp:lastPrinted>2023-01-10T21:18:00Z</cp:lastPrinted>
  <dcterms:created xsi:type="dcterms:W3CDTF">2025-12-05T16:58:00Z</dcterms:created>
  <dcterms:modified xsi:type="dcterms:W3CDTF">2025-12-09T16:22:00Z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