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360AA" w14:textId="56305930" w:rsidR="00854ED7" w:rsidRPr="00107753" w:rsidRDefault="00854ED7" w:rsidP="00854ED7">
      <w:pPr>
        <w:spacing w:after="0" w:line="240" w:lineRule="auto"/>
        <w:jc w:val="both"/>
        <w:rPr>
          <w:rFonts w:ascii="Verdana" w:eastAsia="Calibri" w:hAnsi="Verdana" w:cs="Arial"/>
          <w:b/>
          <w:lang w:val="es-ES_tradnl"/>
        </w:rPr>
      </w:pPr>
      <w:bookmarkStart w:id="0" w:name="_Hlk143780582"/>
      <w:r w:rsidRPr="00107753">
        <w:rPr>
          <w:rFonts w:ascii="Verdana" w:eastAsia="Calibri" w:hAnsi="Verdana" w:cs="Arial"/>
          <w:b/>
          <w:lang w:val="es-ES_tradnl" w:eastAsia="es-ES_tradnl"/>
        </w:rPr>
        <w:t xml:space="preserve">PUBLICIDAD – SECOP – Entidades exceptuadas </w:t>
      </w:r>
    </w:p>
    <w:p w14:paraId="127030C1" w14:textId="77777777" w:rsidR="00854ED7" w:rsidRDefault="00854ED7" w:rsidP="00854ED7">
      <w:pPr>
        <w:spacing w:after="0" w:line="240" w:lineRule="auto"/>
        <w:jc w:val="both"/>
        <w:rPr>
          <w:rFonts w:ascii="Verdana" w:eastAsia="Calibri" w:hAnsi="Verdana" w:cs="Arial"/>
          <w:b/>
          <w:sz w:val="20"/>
          <w:szCs w:val="20"/>
          <w:lang w:val="es-ES_tradnl"/>
        </w:rPr>
      </w:pPr>
    </w:p>
    <w:p w14:paraId="35A3E3A1" w14:textId="5CEF3FE4" w:rsidR="00A2386A" w:rsidRPr="00A2386A" w:rsidRDefault="00A2386A" w:rsidP="00854ED7">
      <w:pPr>
        <w:spacing w:after="0" w:line="240" w:lineRule="auto"/>
        <w:jc w:val="both"/>
        <w:rPr>
          <w:rFonts w:ascii="Verdana" w:eastAsia="Calibri" w:hAnsi="Verdana" w:cs="Arial"/>
          <w:bCs/>
          <w:sz w:val="20"/>
          <w:szCs w:val="20"/>
          <w:lang w:val="es-ES_tradnl"/>
        </w:rPr>
      </w:pPr>
      <w:r w:rsidRPr="00A2386A">
        <w:rPr>
          <w:rFonts w:ascii="Verdana" w:eastAsia="Calibri" w:hAnsi="Verdana" w:cs="Arial"/>
          <w:bCs/>
          <w:sz w:val="20"/>
          <w:szCs w:val="20"/>
          <w:lang w:val="es-ES_tradnl"/>
        </w:rPr>
        <w:t>La ley citada establece, en el literal a) del artículo 5, que los sujetos obligados, que son todas las entidades públicas, deben publicar la información relativa a su contratación</w:t>
      </w:r>
      <w:r w:rsidRPr="00A2386A">
        <w:rPr>
          <w:rFonts w:ascii="Verdana" w:eastAsia="Calibri" w:hAnsi="Verdana" w:cs="Arial"/>
          <w:bCs/>
          <w:sz w:val="20"/>
          <w:szCs w:val="20"/>
          <w:lang w:val="es-ES_tradnl"/>
        </w:rPr>
        <w:footnoteReference w:id="1"/>
      </w:r>
      <w:r w:rsidRPr="00A2386A">
        <w:rPr>
          <w:rFonts w:ascii="Verdana" w:eastAsia="Calibri" w:hAnsi="Verdana" w:cs="Arial"/>
          <w:bCs/>
          <w:sz w:val="20"/>
          <w:szCs w:val="20"/>
          <w:lang w:val="es-ES_tradnl"/>
        </w:rPr>
        <w:t>.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p>
    <w:p w14:paraId="43B84D28" w14:textId="77777777" w:rsidR="00854ED7" w:rsidRPr="00107753" w:rsidRDefault="00854ED7" w:rsidP="00854ED7">
      <w:pPr>
        <w:spacing w:after="0" w:line="240" w:lineRule="auto"/>
        <w:jc w:val="both"/>
        <w:rPr>
          <w:rFonts w:ascii="Verdana" w:eastAsia="Calibri" w:hAnsi="Verdana" w:cs="Arial"/>
          <w:color w:val="000000" w:themeColor="text1"/>
          <w:sz w:val="20"/>
          <w:szCs w:val="20"/>
          <w:lang w:val="es-ES_tradnl"/>
        </w:rPr>
      </w:pPr>
    </w:p>
    <w:p w14:paraId="1074DDF6" w14:textId="77777777" w:rsidR="00854ED7" w:rsidRPr="00107753" w:rsidRDefault="00854ED7" w:rsidP="00854ED7">
      <w:pPr>
        <w:spacing w:after="0" w:line="240" w:lineRule="auto"/>
        <w:jc w:val="both"/>
        <w:rPr>
          <w:rFonts w:ascii="Verdana" w:eastAsia="Calibri" w:hAnsi="Verdana" w:cs="Arial"/>
          <w:color w:val="000000" w:themeColor="text1"/>
          <w:sz w:val="20"/>
          <w:szCs w:val="20"/>
          <w:lang w:val="es-ES_tradnl"/>
        </w:rPr>
      </w:pPr>
    </w:p>
    <w:p w14:paraId="6E73E574" w14:textId="77777777" w:rsidR="00854ED7" w:rsidRPr="00107753" w:rsidRDefault="00854ED7" w:rsidP="00854ED7">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PUBLICIDAD – SECOP – Fundamento Normativo – Ley 1712 de 2014 –</w:t>
      </w:r>
      <w:r w:rsidRPr="00107753">
        <w:rPr>
          <w:rFonts w:ascii="Verdana" w:eastAsia="Calibri" w:hAnsi="Verdana" w:cs="Arial"/>
          <w:b/>
          <w:lang w:val="es-ES_tradnl"/>
        </w:rPr>
        <w:t xml:space="preserve"> Decreto 1081 de 2015</w:t>
      </w:r>
      <w:r w:rsidRPr="00107753">
        <w:rPr>
          <w:rFonts w:ascii="Verdana" w:eastAsia="Calibri" w:hAnsi="Verdana" w:cs="Arial"/>
          <w:b/>
          <w:lang w:val="es-ES_tradnl" w:eastAsia="es-ES_tradnl"/>
        </w:rPr>
        <w:t xml:space="preserve"> </w:t>
      </w:r>
    </w:p>
    <w:p w14:paraId="2D37E23C" w14:textId="77777777" w:rsidR="00A2386A" w:rsidRDefault="00A2386A" w:rsidP="00A2386A">
      <w:pPr>
        <w:widowControl w:val="0"/>
        <w:tabs>
          <w:tab w:val="left" w:pos="728"/>
        </w:tabs>
        <w:autoSpaceDE w:val="0"/>
        <w:autoSpaceDN w:val="0"/>
        <w:spacing w:after="120" w:line="276" w:lineRule="auto"/>
        <w:jc w:val="both"/>
        <w:rPr>
          <w:rFonts w:ascii="Verdana" w:eastAsia="Calibri" w:hAnsi="Verdana" w:cs="Arial"/>
          <w:bCs/>
          <w:sz w:val="20"/>
          <w:szCs w:val="20"/>
          <w:lang w:val="es-ES_tradnl"/>
        </w:rPr>
      </w:pPr>
    </w:p>
    <w:p w14:paraId="15D9998B" w14:textId="7F139494" w:rsidR="00A2386A" w:rsidRDefault="00A2386A" w:rsidP="5B60A788">
      <w:pPr>
        <w:widowControl w:val="0"/>
        <w:tabs>
          <w:tab w:val="left" w:pos="728"/>
        </w:tabs>
        <w:autoSpaceDE w:val="0"/>
        <w:autoSpaceDN w:val="0"/>
        <w:spacing w:after="120" w:line="276" w:lineRule="auto"/>
        <w:jc w:val="both"/>
        <w:rPr>
          <w:rFonts w:ascii="Verdana" w:eastAsia="Calibri" w:hAnsi="Verdana" w:cs="Arial"/>
          <w:sz w:val="20"/>
          <w:szCs w:val="20"/>
          <w:lang w:val="es-ES"/>
        </w:rPr>
      </w:pPr>
      <w:r w:rsidRPr="5B60A788">
        <w:rPr>
          <w:rFonts w:ascii="Verdana" w:eastAsia="Calibri" w:hAnsi="Verdana" w:cs="Arial"/>
          <w:sz w:val="20"/>
          <w:szCs w:val="20"/>
          <w:lang w:val="es-ES"/>
        </w:rPr>
        <w:t>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w:t>
      </w:r>
    </w:p>
    <w:p w14:paraId="6518AF8D" w14:textId="77777777" w:rsidR="00A2386A" w:rsidRDefault="00A2386A" w:rsidP="00A2386A">
      <w:pPr>
        <w:widowControl w:val="0"/>
        <w:tabs>
          <w:tab w:val="left" w:pos="728"/>
        </w:tabs>
        <w:autoSpaceDE w:val="0"/>
        <w:autoSpaceDN w:val="0"/>
        <w:spacing w:after="120" w:line="276" w:lineRule="auto"/>
        <w:jc w:val="both"/>
        <w:rPr>
          <w:rFonts w:ascii="Verdana" w:eastAsia="Calibri" w:hAnsi="Verdana" w:cs="Arial"/>
          <w:bCs/>
          <w:sz w:val="20"/>
          <w:szCs w:val="20"/>
          <w:lang w:val="es-ES_tradnl"/>
        </w:rPr>
      </w:pPr>
    </w:p>
    <w:p w14:paraId="2CE0AC32" w14:textId="57E41C26" w:rsidR="00854ED7" w:rsidRPr="00A2386A" w:rsidRDefault="00A2386A" w:rsidP="00A2386A">
      <w:pPr>
        <w:widowControl w:val="0"/>
        <w:tabs>
          <w:tab w:val="left" w:pos="728"/>
        </w:tabs>
        <w:autoSpaceDE w:val="0"/>
        <w:autoSpaceDN w:val="0"/>
        <w:spacing w:after="120" w:line="276" w:lineRule="auto"/>
        <w:jc w:val="both"/>
        <w:rPr>
          <w:rFonts w:ascii="Verdana" w:eastAsia="Calibri" w:hAnsi="Verdana" w:cs="Arial"/>
          <w:bCs/>
          <w:sz w:val="20"/>
          <w:szCs w:val="20"/>
          <w:lang w:val="es-ES_tradnl"/>
        </w:rPr>
      </w:pPr>
      <w:r w:rsidRPr="00A2386A">
        <w:rPr>
          <w:rFonts w:ascii="Verdana" w:eastAsia="Calibri" w:hAnsi="Verdana" w:cs="Arial"/>
          <w:bCs/>
          <w:sz w:val="20"/>
          <w:szCs w:val="20"/>
          <w:lang w:val="es-ES_tradnl"/>
        </w:rPr>
        <w:t>La ley citada establece, en el literal a) del artículo 5, que los sujetos obligados, que son todas las entidades públicas, deben publicar la información relativa a su contratación.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p>
    <w:p w14:paraId="76DBF23E" w14:textId="77777777" w:rsidR="00A2386A" w:rsidRPr="00107753" w:rsidRDefault="00A2386A" w:rsidP="00A2386A">
      <w:pPr>
        <w:spacing w:after="0" w:line="240" w:lineRule="auto"/>
        <w:jc w:val="both"/>
        <w:rPr>
          <w:rFonts w:ascii="Verdana" w:eastAsia="Calibri" w:hAnsi="Verdana" w:cs="Arial"/>
          <w:bCs/>
          <w:sz w:val="20"/>
          <w:szCs w:val="20"/>
          <w:lang w:val="es-ES_tradnl"/>
        </w:rPr>
      </w:pPr>
    </w:p>
    <w:p w14:paraId="423ABFFF" w14:textId="77777777" w:rsidR="00854ED7" w:rsidRPr="00107753" w:rsidRDefault="00854ED7" w:rsidP="00854ED7">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 xml:space="preserve">PUBLICIDAD – SECOP – Fundamento Normativo – </w:t>
      </w:r>
      <w:r w:rsidRPr="00107753">
        <w:rPr>
          <w:rFonts w:ascii="Verdana" w:eastAsia="Calibri" w:hAnsi="Verdana" w:cs="Arial"/>
          <w:b/>
          <w:lang w:val="es-ES_tradnl"/>
        </w:rPr>
        <w:t xml:space="preserve">Ley 1150 de 2007 - </w:t>
      </w:r>
      <w:r w:rsidRPr="00107753">
        <w:rPr>
          <w:rFonts w:ascii="Verdana" w:eastAsia="Calibri" w:hAnsi="Verdana" w:cs="Arial"/>
          <w:b/>
          <w:lang w:val="es-ES_tradnl" w:eastAsia="es-ES_tradnl"/>
        </w:rPr>
        <w:t xml:space="preserve">Ley 2195 de 2022 </w:t>
      </w:r>
    </w:p>
    <w:p w14:paraId="62E47E90" w14:textId="77777777" w:rsidR="00854ED7" w:rsidRPr="00107753" w:rsidRDefault="00854ED7" w:rsidP="00854ED7">
      <w:pPr>
        <w:spacing w:after="0" w:line="240" w:lineRule="auto"/>
        <w:jc w:val="both"/>
        <w:rPr>
          <w:rFonts w:ascii="Verdana" w:eastAsia="Calibri" w:hAnsi="Verdana" w:cs="Arial"/>
          <w:b/>
          <w:sz w:val="20"/>
          <w:szCs w:val="20"/>
          <w:lang w:val="es-ES_tradnl"/>
        </w:rPr>
      </w:pPr>
    </w:p>
    <w:p w14:paraId="72D84DD9" w14:textId="77777777" w:rsidR="00854ED7" w:rsidRPr="00107753" w:rsidRDefault="00854ED7" w:rsidP="00854ED7">
      <w:pPr>
        <w:spacing w:after="0" w:line="240" w:lineRule="auto"/>
        <w:contextualSpacing/>
        <w:jc w:val="both"/>
        <w:rPr>
          <w:rFonts w:ascii="Verdana" w:eastAsia="Calibri" w:hAnsi="Verdana" w:cs="Arial"/>
          <w:sz w:val="20"/>
          <w:szCs w:val="20"/>
          <w:lang w:val="es-ES_tradnl" w:eastAsia="es-ES_tradnl"/>
        </w:rPr>
      </w:pPr>
      <w:r w:rsidRPr="00107753">
        <w:rPr>
          <w:rFonts w:ascii="Verdana" w:hAnsi="Verdana" w:cs="Arial"/>
          <w:sz w:val="20"/>
          <w:szCs w:val="20"/>
          <w:lang w:val="es-ES"/>
        </w:rPr>
        <w:t>Tratándose de los contratos de régimen exceptuado, el deber de publicidad y transparencia fue complementado</w:t>
      </w:r>
      <w:r w:rsidRPr="00107753">
        <w:rPr>
          <w:rFonts w:ascii="Verdana" w:hAnsi="Verdana" w:cs="Arial"/>
          <w:sz w:val="20"/>
          <w:szCs w:val="20"/>
        </w:rPr>
        <w:t xml:space="preserve"> con la Ley 2195 de 2022. </w:t>
      </w:r>
      <w:r w:rsidRPr="00107753">
        <w:rPr>
          <w:rFonts w:ascii="Verdana" w:eastAsia="Calibri" w:hAnsi="Verdana" w:cs="Arial"/>
          <w:sz w:val="20"/>
          <w:szCs w:val="20"/>
          <w:lang w:val="es-ES_tradnl" w:eastAsia="es-ES_tradnl"/>
        </w:rPr>
        <w:t>Según el artículo 1, esta Ley “</w:t>
      </w:r>
      <w:r w:rsidRPr="00107753">
        <w:rPr>
          <w:rFonts w:ascii="Verdana" w:eastAsia="Times New Roman" w:hAnsi="Verdana" w:cs="Arial"/>
          <w:sz w:val="20"/>
          <w:szCs w:val="20"/>
          <w:lang w:val="es-ES_tradnl" w:eastAsia="es-ES_tradnl"/>
        </w:rPr>
        <w:t xml:space="preserve">[…] </w:t>
      </w:r>
      <w:r w:rsidRPr="00107753">
        <w:rPr>
          <w:rFonts w:ascii="Verdana" w:eastAsia="Calibri" w:hAnsi="Verdana" w:cs="Arial"/>
          <w:sz w:val="20"/>
          <w:szCs w:val="20"/>
          <w:lang w:val="es-ES_tradnl" w:eastAsia="es-ES_tradnl"/>
        </w:rPr>
        <w:t xml:space="preserve">tiene por objeto adoptar disposiciones tendientes a prevenir los actos de corrupción, a reforzar la articulación y coordinación de las entidades del Estado y a </w:t>
      </w:r>
      <w:r w:rsidRPr="00107753">
        <w:rPr>
          <w:rFonts w:ascii="Verdana" w:eastAsia="Calibri" w:hAnsi="Verdana" w:cs="Arial"/>
          <w:sz w:val="20"/>
          <w:szCs w:val="20"/>
          <w:lang w:val="es-ES_tradnl" w:eastAsia="es-ES_tradnl"/>
        </w:rPr>
        <w:lastRenderedPageBreak/>
        <w:t xml:space="preserve">recuperar los daños ocasionados por dichos actos con el fin de asegurar promover la cultura de la legalidad e integridad y recuperar la confianza ciudadana y el respeto por lo público”. </w:t>
      </w:r>
    </w:p>
    <w:p w14:paraId="6F2F817A" w14:textId="77777777" w:rsidR="00854ED7" w:rsidRPr="00107753" w:rsidRDefault="00854ED7" w:rsidP="00854ED7">
      <w:pPr>
        <w:spacing w:after="0" w:line="240" w:lineRule="auto"/>
        <w:ind w:firstLine="709"/>
        <w:contextualSpacing/>
        <w:jc w:val="both"/>
        <w:rPr>
          <w:rFonts w:ascii="Verdana" w:eastAsia="Calibri" w:hAnsi="Verdana" w:cs="Arial"/>
          <w:sz w:val="20"/>
          <w:szCs w:val="20"/>
          <w:lang w:val="es-ES_tradnl" w:eastAsia="es-ES_tradnl"/>
        </w:rPr>
      </w:pPr>
    </w:p>
    <w:p w14:paraId="0C872B12" w14:textId="77777777" w:rsidR="00854ED7" w:rsidRPr="00107753" w:rsidRDefault="00854ED7" w:rsidP="00854ED7">
      <w:pPr>
        <w:spacing w:after="0" w:line="240" w:lineRule="auto"/>
        <w:jc w:val="both"/>
        <w:rPr>
          <w:rFonts w:ascii="Verdana" w:hAnsi="Verdana" w:cs="Arial"/>
          <w:sz w:val="20"/>
          <w:szCs w:val="20"/>
        </w:rPr>
      </w:pPr>
      <w:r w:rsidRPr="00107753">
        <w:rPr>
          <w:rFonts w:ascii="Verdana" w:eastAsia="Calibri" w:hAnsi="Verdana" w:cs="Arial"/>
          <w:sz w:val="20"/>
          <w:szCs w:val="20"/>
          <w:lang w:val="es-ES_tradnl" w:eastAsia="es-ES_tradnl"/>
        </w:rPr>
        <w:t xml:space="preserve">Dentro del capítulo VIII, por el cual se expiden “Disposiciones en materia contractual para la moralización y la transparencia”, se ubica </w:t>
      </w:r>
      <w:r w:rsidRPr="00107753">
        <w:rPr>
          <w:rFonts w:ascii="Verdana" w:hAnsi="Verdana" w:cs="Arial"/>
          <w:sz w:val="20"/>
          <w:szCs w:val="20"/>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388C0DDB" w14:textId="77777777" w:rsidR="00854ED7" w:rsidRPr="00705C5F" w:rsidRDefault="00854ED7" w:rsidP="00854ED7">
      <w:pPr>
        <w:spacing w:after="0" w:line="240" w:lineRule="auto"/>
        <w:jc w:val="both"/>
        <w:rPr>
          <w:rFonts w:ascii="Verdana" w:eastAsia="Times New Roman" w:hAnsi="Verdana" w:cs="Arial"/>
          <w:color w:val="000000"/>
          <w:sz w:val="20"/>
          <w:szCs w:val="20"/>
          <w:lang w:eastAsia="es-MX"/>
        </w:rPr>
      </w:pPr>
    </w:p>
    <w:p w14:paraId="7DEF5099" w14:textId="77777777" w:rsidR="00854ED7" w:rsidRDefault="00854ED7" w:rsidP="00C15139">
      <w:pPr>
        <w:spacing w:after="0"/>
        <w:rPr>
          <w:rFonts w:ascii="Verdana" w:hAnsi="Verdana"/>
        </w:rPr>
      </w:pPr>
    </w:p>
    <w:p w14:paraId="0A42E416" w14:textId="77777777" w:rsidR="00854ED7" w:rsidRDefault="00854ED7" w:rsidP="00C15139">
      <w:pPr>
        <w:spacing w:after="0"/>
        <w:rPr>
          <w:rFonts w:ascii="Verdana" w:hAnsi="Verdana"/>
        </w:rPr>
      </w:pPr>
    </w:p>
    <w:p w14:paraId="5D1FEE93" w14:textId="77777777" w:rsidR="00854ED7" w:rsidRDefault="00854ED7" w:rsidP="00C15139">
      <w:pPr>
        <w:spacing w:after="0"/>
        <w:rPr>
          <w:rFonts w:ascii="Verdana" w:hAnsi="Verdana"/>
        </w:rPr>
      </w:pPr>
    </w:p>
    <w:p w14:paraId="6870E5DD" w14:textId="77777777" w:rsidR="00854ED7" w:rsidRDefault="00854ED7" w:rsidP="00C15139">
      <w:pPr>
        <w:spacing w:after="0"/>
        <w:rPr>
          <w:rFonts w:ascii="Verdana" w:hAnsi="Verdana"/>
        </w:rPr>
      </w:pPr>
    </w:p>
    <w:p w14:paraId="05B35AFC" w14:textId="77777777" w:rsidR="00854ED7" w:rsidRDefault="00854ED7" w:rsidP="00C15139">
      <w:pPr>
        <w:spacing w:after="0"/>
        <w:rPr>
          <w:rFonts w:ascii="Verdana" w:hAnsi="Verdana"/>
        </w:rPr>
      </w:pPr>
    </w:p>
    <w:p w14:paraId="053946DF" w14:textId="77777777" w:rsidR="00854ED7" w:rsidRDefault="00854ED7" w:rsidP="00C15139">
      <w:pPr>
        <w:spacing w:after="0"/>
        <w:rPr>
          <w:rFonts w:ascii="Verdana" w:hAnsi="Verdana"/>
        </w:rPr>
      </w:pPr>
    </w:p>
    <w:p w14:paraId="6E67FB2F" w14:textId="77777777" w:rsidR="00854ED7" w:rsidRDefault="00854ED7" w:rsidP="00C15139">
      <w:pPr>
        <w:spacing w:after="0"/>
        <w:rPr>
          <w:rFonts w:ascii="Verdana" w:hAnsi="Verdana"/>
        </w:rPr>
      </w:pPr>
    </w:p>
    <w:p w14:paraId="241CD145" w14:textId="77777777" w:rsidR="00854ED7" w:rsidRDefault="00854ED7" w:rsidP="00C15139">
      <w:pPr>
        <w:spacing w:after="0"/>
        <w:rPr>
          <w:rFonts w:ascii="Verdana" w:hAnsi="Verdana"/>
        </w:rPr>
      </w:pPr>
    </w:p>
    <w:p w14:paraId="719556E0" w14:textId="77777777" w:rsidR="00854ED7" w:rsidRDefault="00854ED7" w:rsidP="00C15139">
      <w:pPr>
        <w:spacing w:after="0"/>
        <w:rPr>
          <w:rFonts w:ascii="Verdana" w:hAnsi="Verdana"/>
        </w:rPr>
      </w:pPr>
    </w:p>
    <w:p w14:paraId="7C862728" w14:textId="77777777" w:rsidR="00854ED7" w:rsidRDefault="00854ED7" w:rsidP="00C15139">
      <w:pPr>
        <w:spacing w:after="0"/>
        <w:rPr>
          <w:rFonts w:ascii="Verdana" w:hAnsi="Verdana"/>
        </w:rPr>
      </w:pPr>
    </w:p>
    <w:p w14:paraId="29845E42" w14:textId="77777777" w:rsidR="00854ED7" w:rsidRDefault="00854ED7" w:rsidP="00C15139">
      <w:pPr>
        <w:spacing w:after="0"/>
        <w:rPr>
          <w:rFonts w:ascii="Verdana" w:hAnsi="Verdana"/>
        </w:rPr>
      </w:pPr>
    </w:p>
    <w:p w14:paraId="44D3D17D" w14:textId="77777777" w:rsidR="00854ED7" w:rsidRDefault="00854ED7" w:rsidP="00C15139">
      <w:pPr>
        <w:spacing w:after="0"/>
        <w:rPr>
          <w:rFonts w:ascii="Verdana" w:hAnsi="Verdana"/>
        </w:rPr>
      </w:pPr>
    </w:p>
    <w:p w14:paraId="004C82CC" w14:textId="77777777" w:rsidR="00854ED7" w:rsidRDefault="00854ED7" w:rsidP="00C15139">
      <w:pPr>
        <w:spacing w:after="0"/>
        <w:rPr>
          <w:rFonts w:ascii="Verdana" w:hAnsi="Verdana"/>
        </w:rPr>
      </w:pPr>
    </w:p>
    <w:p w14:paraId="1BB746E2" w14:textId="77777777" w:rsidR="00A2386A" w:rsidRDefault="00A2386A" w:rsidP="00C15139">
      <w:pPr>
        <w:spacing w:after="0"/>
        <w:rPr>
          <w:rFonts w:ascii="Verdana" w:hAnsi="Verdana"/>
        </w:rPr>
      </w:pPr>
    </w:p>
    <w:p w14:paraId="321BCBF0" w14:textId="77777777" w:rsidR="00A2386A" w:rsidRDefault="00A2386A" w:rsidP="00C15139">
      <w:pPr>
        <w:spacing w:after="0"/>
        <w:rPr>
          <w:rFonts w:ascii="Verdana" w:hAnsi="Verdana"/>
        </w:rPr>
      </w:pPr>
    </w:p>
    <w:p w14:paraId="1B76170F" w14:textId="77777777" w:rsidR="00854ED7" w:rsidRDefault="00854ED7" w:rsidP="00C15139">
      <w:pPr>
        <w:spacing w:after="0"/>
        <w:rPr>
          <w:rFonts w:ascii="Verdana" w:hAnsi="Verdana"/>
        </w:rPr>
      </w:pPr>
    </w:p>
    <w:p w14:paraId="0AB80137" w14:textId="77777777" w:rsidR="00854ED7" w:rsidRDefault="00854ED7" w:rsidP="00C15139">
      <w:pPr>
        <w:spacing w:after="0"/>
        <w:rPr>
          <w:rFonts w:ascii="Verdana" w:hAnsi="Verdana"/>
        </w:rPr>
      </w:pPr>
    </w:p>
    <w:p w14:paraId="1468C46D" w14:textId="57076ECD" w:rsidR="00C15139" w:rsidRPr="0024624F" w:rsidRDefault="00AB24A2" w:rsidP="00C15139">
      <w:pPr>
        <w:spacing w:after="0"/>
        <w:rPr>
          <w:rFonts w:ascii="Verdana" w:hAnsi="Verdana"/>
        </w:rPr>
      </w:pPr>
      <w:r w:rsidRPr="00854ED7">
        <w:rPr>
          <w:rFonts w:ascii="Verdana" w:eastAsia="Calibri" w:hAnsi="Verdana" w:cs="Arial"/>
          <w:b/>
          <w:bCs/>
          <w:noProof/>
          <w:color w:val="000000"/>
          <w:lang w:val="es-ES_tradnl" w:eastAsia="es-ES_tradnl"/>
        </w:rPr>
        <w:lastRenderedPageBreak/>
        <w:drawing>
          <wp:anchor distT="0" distB="0" distL="114300" distR="114300" simplePos="0" relativeHeight="251658240" behindDoc="0" locked="0" layoutInCell="1" allowOverlap="1" wp14:anchorId="5846BBDB" wp14:editId="53329A98">
            <wp:simplePos x="0" y="0"/>
            <wp:positionH relativeFrom="margin">
              <wp:align>right</wp:align>
            </wp:positionH>
            <wp:positionV relativeFrom="paragraph">
              <wp:posOffset>136144</wp:posOffset>
            </wp:positionV>
            <wp:extent cx="2484335" cy="777307"/>
            <wp:effectExtent l="0" t="0" r="0" b="3810"/>
            <wp:wrapNone/>
            <wp:docPr id="94799287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992875"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84335" cy="777307"/>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sidR="00A805FD">
        <w:rPr>
          <w:rFonts w:ascii="Verdana" w:hAnsi="Verdana"/>
        </w:rPr>
        <w:t xml:space="preserve">11 </w:t>
      </w:r>
      <w:proofErr w:type="gramStart"/>
      <w:r w:rsidR="00A805FD">
        <w:rPr>
          <w:rFonts w:ascii="Verdana" w:hAnsi="Verdana"/>
        </w:rPr>
        <w:t>Diciembre</w:t>
      </w:r>
      <w:proofErr w:type="gramEnd"/>
      <w:r w:rsidR="00A805FD">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12443EE0" w14:textId="77777777" w:rsidR="00C15139" w:rsidRDefault="00C15139" w:rsidP="00C15139">
      <w:pPr>
        <w:spacing w:after="0"/>
        <w:rPr>
          <w:rFonts w:ascii="Verdana" w:hAnsi="Verdana"/>
        </w:rPr>
      </w:pPr>
    </w:p>
    <w:p w14:paraId="31A2A2B9" w14:textId="38C64449" w:rsidR="00DA7E97" w:rsidRPr="00A063EB" w:rsidRDefault="00DA7E97" w:rsidP="00DA7E97">
      <w:pPr>
        <w:spacing w:after="0" w:line="240" w:lineRule="auto"/>
        <w:jc w:val="both"/>
        <w:rPr>
          <w:rFonts w:ascii="Verdana" w:eastAsia="Calibri" w:hAnsi="Verdana" w:cs="Arial"/>
          <w:lang w:val="es-ES" w:eastAsia="es-ES"/>
        </w:rPr>
      </w:pPr>
      <w:r w:rsidRPr="00A063EB">
        <w:rPr>
          <w:rFonts w:ascii="Verdana" w:eastAsia="Calibri" w:hAnsi="Verdana" w:cs="Arial"/>
          <w:lang w:val="es-ES" w:eastAsia="es-ES"/>
        </w:rPr>
        <w:t>Señora</w:t>
      </w:r>
    </w:p>
    <w:p w14:paraId="4749700B" w14:textId="77777777" w:rsidR="00DA7E97" w:rsidRPr="00A063EB" w:rsidRDefault="00DA7E97" w:rsidP="00DA7E97">
      <w:pPr>
        <w:spacing w:after="0" w:line="240" w:lineRule="auto"/>
        <w:rPr>
          <w:rFonts w:ascii="Verdana" w:eastAsia="Calibri" w:hAnsi="Verdana" w:cs="Arial"/>
          <w:b/>
          <w:lang w:eastAsia="es-ES_tradnl"/>
        </w:rPr>
      </w:pPr>
      <w:r w:rsidRPr="00A063EB">
        <w:rPr>
          <w:rFonts w:ascii="Verdana" w:eastAsia="Calibri" w:hAnsi="Verdana" w:cs="Arial"/>
          <w:b/>
          <w:lang w:eastAsia="es-ES_tradnl"/>
        </w:rPr>
        <w:t xml:space="preserve">Claudia </w:t>
      </w:r>
      <w:proofErr w:type="spellStart"/>
      <w:r w:rsidRPr="00A063EB">
        <w:rPr>
          <w:rFonts w:ascii="Verdana" w:eastAsia="Calibri" w:hAnsi="Verdana" w:cs="Arial"/>
          <w:b/>
          <w:lang w:eastAsia="es-ES_tradnl"/>
        </w:rPr>
        <w:t>Maria</w:t>
      </w:r>
      <w:proofErr w:type="spellEnd"/>
      <w:r w:rsidRPr="00A063EB">
        <w:rPr>
          <w:rFonts w:ascii="Verdana" w:eastAsia="Calibri" w:hAnsi="Verdana" w:cs="Arial"/>
          <w:b/>
          <w:lang w:eastAsia="es-ES_tradnl"/>
        </w:rPr>
        <w:t xml:space="preserve"> Vélez </w:t>
      </w:r>
      <w:proofErr w:type="spellStart"/>
      <w:r w:rsidRPr="00A063EB">
        <w:rPr>
          <w:rFonts w:ascii="Verdana" w:eastAsia="Calibri" w:hAnsi="Verdana" w:cs="Arial"/>
          <w:b/>
          <w:lang w:eastAsia="es-ES_tradnl"/>
        </w:rPr>
        <w:t>Vélez</w:t>
      </w:r>
      <w:proofErr w:type="spellEnd"/>
    </w:p>
    <w:p w14:paraId="675C31DB" w14:textId="77777777" w:rsidR="00DA7E97" w:rsidRPr="00A063EB" w:rsidRDefault="00DA7E97" w:rsidP="00DA7E97">
      <w:pPr>
        <w:spacing w:after="0" w:line="240" w:lineRule="auto"/>
        <w:rPr>
          <w:rFonts w:ascii="Verdana" w:eastAsia="Calibri" w:hAnsi="Verdana" w:cs="Arial"/>
          <w:bCs/>
          <w:u w:val="single"/>
          <w:lang w:val="es-ES_tradnl" w:eastAsia="es-ES_tradnl"/>
        </w:rPr>
      </w:pPr>
      <w:r w:rsidRPr="00A063EB">
        <w:rPr>
          <w:rFonts w:ascii="Verdana" w:eastAsia="Calibri" w:hAnsi="Verdana" w:cs="Arial"/>
          <w:bCs/>
          <w:u w:val="single"/>
          <w:lang w:eastAsia="es-ES_tradnl"/>
        </w:rPr>
        <w:t>direccionjuridica@cohan.org.co</w:t>
      </w:r>
    </w:p>
    <w:p w14:paraId="56F192EC" w14:textId="2AE08D1F" w:rsidR="00DA7E97" w:rsidRPr="00A063EB" w:rsidRDefault="00DA7E97" w:rsidP="00DA7E97">
      <w:pPr>
        <w:spacing w:after="0" w:line="240" w:lineRule="auto"/>
        <w:rPr>
          <w:rFonts w:ascii="Verdana" w:eastAsia="Calibri" w:hAnsi="Verdana" w:cs="Arial"/>
          <w:b/>
          <w:bCs/>
          <w:color w:val="000000"/>
          <w:lang w:val="es-ES_tradnl" w:eastAsia="es-ES_tradnl"/>
        </w:rPr>
      </w:pPr>
      <w:r w:rsidRPr="00A063EB">
        <w:rPr>
          <w:rFonts w:ascii="Verdana" w:eastAsia="Calibri" w:hAnsi="Verdana" w:cs="Arial"/>
          <w:lang w:val="es-ES" w:eastAsia="es-ES"/>
        </w:rPr>
        <w:t xml:space="preserve">Medellín, Antioquia </w:t>
      </w:r>
    </w:p>
    <w:p w14:paraId="0C9E44F3" w14:textId="77777777" w:rsidR="00DA7E97" w:rsidRDefault="00DA7E97" w:rsidP="00DA7E97">
      <w:pPr>
        <w:spacing w:after="0" w:line="240" w:lineRule="auto"/>
        <w:rPr>
          <w:rFonts w:ascii="Verdana" w:eastAsia="Calibri" w:hAnsi="Verdana" w:cs="Arial"/>
          <w:b/>
          <w:bCs/>
          <w:color w:val="000000"/>
          <w:lang w:val="es-ES_tradnl" w:eastAsia="es-ES_tradnl"/>
        </w:rPr>
      </w:pPr>
    </w:p>
    <w:p w14:paraId="4BAC6152" w14:textId="647426F5" w:rsidR="00854ED7" w:rsidRPr="00A063EB" w:rsidRDefault="00854ED7" w:rsidP="00854ED7">
      <w:pPr>
        <w:spacing w:after="0" w:line="240" w:lineRule="auto"/>
        <w:jc w:val="right"/>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A7E97" w:rsidRPr="00A063EB" w14:paraId="3D127499" w14:textId="77777777" w:rsidTr="00443152">
        <w:trPr>
          <w:trHeight w:val="884"/>
        </w:trPr>
        <w:tc>
          <w:tcPr>
            <w:tcW w:w="2689" w:type="dxa"/>
          </w:tcPr>
          <w:p w14:paraId="2EC7D042" w14:textId="77777777" w:rsidR="00DA7E97" w:rsidRPr="00A063EB" w:rsidRDefault="00DA7E97" w:rsidP="00443152">
            <w:pPr>
              <w:jc w:val="both"/>
              <w:rPr>
                <w:rFonts w:ascii="Verdana" w:eastAsia="Calibri" w:hAnsi="Verdana" w:cs="Arial"/>
                <w:b/>
                <w:bCs/>
                <w:color w:val="7030A0"/>
                <w:lang w:val="es-ES_tradnl" w:eastAsia="es-ES_tradnl"/>
              </w:rPr>
            </w:pPr>
          </w:p>
        </w:tc>
        <w:tc>
          <w:tcPr>
            <w:tcW w:w="6100" w:type="dxa"/>
          </w:tcPr>
          <w:p w14:paraId="428D2D5F" w14:textId="77777777" w:rsidR="00DA7E97" w:rsidRPr="00A063EB" w:rsidRDefault="00DA7E97" w:rsidP="00443152">
            <w:pPr>
              <w:jc w:val="both"/>
              <w:rPr>
                <w:rFonts w:ascii="Verdana" w:eastAsia="Calibri" w:hAnsi="Verdana" w:cs="Arial"/>
                <w:b/>
                <w:bCs/>
                <w:color w:val="7030A0"/>
                <w:lang w:val="es-ES" w:eastAsia="es-ES"/>
              </w:rPr>
            </w:pPr>
            <w:r w:rsidRPr="00A063EB">
              <w:rPr>
                <w:rFonts w:ascii="Verdana" w:eastAsia="Calibri" w:hAnsi="Verdana" w:cs="Arial"/>
                <w:b/>
                <w:bCs/>
                <w:lang w:val="es-ES" w:eastAsia="es-ES"/>
              </w:rPr>
              <w:t>Concepto C – 1594 de 2025</w:t>
            </w:r>
          </w:p>
        </w:tc>
      </w:tr>
      <w:tr w:rsidR="00DA7E97" w:rsidRPr="00A063EB" w14:paraId="3F695101" w14:textId="77777777" w:rsidTr="00443152">
        <w:trPr>
          <w:trHeight w:val="884"/>
        </w:trPr>
        <w:tc>
          <w:tcPr>
            <w:tcW w:w="2689" w:type="dxa"/>
          </w:tcPr>
          <w:p w14:paraId="080FD851" w14:textId="77777777" w:rsidR="00DA7E97" w:rsidRPr="00A063EB" w:rsidRDefault="00DA7E97" w:rsidP="00443152">
            <w:pPr>
              <w:jc w:val="both"/>
              <w:rPr>
                <w:rFonts w:ascii="Verdana" w:eastAsia="Calibri" w:hAnsi="Verdana" w:cs="Arial"/>
                <w:color w:val="000000"/>
                <w:lang w:val="es-ES_tradnl" w:eastAsia="es-ES_tradnl"/>
              </w:rPr>
            </w:pPr>
            <w:r w:rsidRPr="00A063EB">
              <w:rPr>
                <w:rFonts w:ascii="Verdana" w:eastAsia="Calibri" w:hAnsi="Verdana" w:cs="Arial"/>
                <w:b/>
                <w:color w:val="000000"/>
                <w:lang w:val="es-ES_tradnl" w:eastAsia="es-ES_tradnl"/>
              </w:rPr>
              <w:t>Temas:</w:t>
            </w:r>
            <w:r w:rsidRPr="00A063EB">
              <w:rPr>
                <w:rFonts w:ascii="Verdana" w:eastAsia="Calibri" w:hAnsi="Verdana" w:cs="Arial"/>
                <w:color w:val="000000"/>
                <w:lang w:val="es-ES_tradnl" w:eastAsia="es-ES_tradnl"/>
              </w:rPr>
              <w:t xml:space="preserve">                   </w:t>
            </w:r>
          </w:p>
        </w:tc>
        <w:tc>
          <w:tcPr>
            <w:tcW w:w="6100" w:type="dxa"/>
          </w:tcPr>
          <w:p w14:paraId="62EA60E2" w14:textId="77777777" w:rsidR="00DA7E97" w:rsidRPr="00A063EB" w:rsidRDefault="00DA7E97" w:rsidP="00443152">
            <w:pPr>
              <w:spacing w:line="276" w:lineRule="auto"/>
              <w:jc w:val="both"/>
              <w:rPr>
                <w:rFonts w:ascii="Verdana" w:eastAsia="Calibri" w:hAnsi="Verdana" w:cs="Arial"/>
                <w:lang w:val="es-ES" w:eastAsia="es-ES"/>
              </w:rPr>
            </w:pPr>
            <w:r w:rsidRPr="00A063EB">
              <w:rPr>
                <w:rFonts w:ascii="Verdana" w:eastAsia="Calibri" w:hAnsi="Verdana" w:cs="Arial"/>
                <w:lang w:val="es-ES" w:eastAsia="es-ES"/>
              </w:rPr>
              <w:t xml:space="preserve">PUBLICIDAD – SECOP – Entidades exceptuadas / PUBLICIDAD – SECOP – Fundamento Normativo – Ley 1712 de 2014 – Decreto 1081 de 2015 / PUBLICIDAD – SECOP – Fundamento Normativo – Ley 1150 de 2007 – Ley 2195 de 2022                      </w:t>
            </w:r>
          </w:p>
          <w:p w14:paraId="5493A68D" w14:textId="77777777" w:rsidR="00DA7E97" w:rsidRPr="00A063EB" w:rsidRDefault="00DA7E97" w:rsidP="00443152">
            <w:pPr>
              <w:spacing w:line="276" w:lineRule="auto"/>
              <w:jc w:val="both"/>
              <w:rPr>
                <w:rFonts w:ascii="Verdana" w:eastAsia="Calibri" w:hAnsi="Verdana" w:cs="Arial"/>
                <w:lang w:val="es-ES" w:eastAsia="es-ES"/>
              </w:rPr>
            </w:pPr>
            <w:r w:rsidRPr="00A063EB">
              <w:rPr>
                <w:rFonts w:ascii="Verdana" w:eastAsia="Calibri" w:hAnsi="Verdana" w:cs="Arial"/>
                <w:lang w:val="es-ES" w:eastAsia="es-ES"/>
              </w:rPr>
              <w:t xml:space="preserve">  </w:t>
            </w:r>
          </w:p>
        </w:tc>
      </w:tr>
      <w:tr w:rsidR="00DA7E97" w:rsidRPr="00A063EB" w14:paraId="2A195E68" w14:textId="77777777" w:rsidTr="00443152">
        <w:tc>
          <w:tcPr>
            <w:tcW w:w="2689" w:type="dxa"/>
          </w:tcPr>
          <w:p w14:paraId="46556EC7" w14:textId="77777777" w:rsidR="00DA7E97" w:rsidRPr="00A063EB" w:rsidRDefault="00DA7E97" w:rsidP="00443152">
            <w:pPr>
              <w:jc w:val="both"/>
              <w:rPr>
                <w:rFonts w:ascii="Verdana" w:eastAsia="Calibri" w:hAnsi="Verdana" w:cs="Arial"/>
                <w:b/>
                <w:lang w:val="es-ES_tradnl" w:eastAsia="es-ES_tradnl"/>
              </w:rPr>
            </w:pPr>
            <w:r w:rsidRPr="00A063EB">
              <w:rPr>
                <w:rFonts w:ascii="Verdana" w:eastAsia="Calibri" w:hAnsi="Verdana" w:cs="Arial"/>
                <w:b/>
                <w:lang w:val="es-ES_tradnl" w:eastAsia="es-ES_tradnl"/>
              </w:rPr>
              <w:t>Radicación:</w:t>
            </w:r>
            <w:r w:rsidRPr="00A063EB">
              <w:rPr>
                <w:rFonts w:ascii="Verdana" w:eastAsia="Calibri" w:hAnsi="Verdana" w:cs="Arial"/>
                <w:lang w:val="es-ES_tradnl" w:eastAsia="es-ES_tradnl"/>
              </w:rPr>
              <w:t xml:space="preserve">               </w:t>
            </w:r>
          </w:p>
        </w:tc>
        <w:tc>
          <w:tcPr>
            <w:tcW w:w="6100" w:type="dxa"/>
          </w:tcPr>
          <w:p w14:paraId="568792D8" w14:textId="77777777" w:rsidR="00DA7E97" w:rsidRPr="00A063EB" w:rsidRDefault="00DA7E97" w:rsidP="00443152">
            <w:pPr>
              <w:spacing w:line="276" w:lineRule="auto"/>
              <w:jc w:val="both"/>
              <w:rPr>
                <w:rFonts w:ascii="Verdana" w:eastAsia="Calibri" w:hAnsi="Verdana" w:cs="Arial"/>
                <w:lang w:val="es-ES_tradnl" w:eastAsia="es-ES_tradnl"/>
              </w:rPr>
            </w:pPr>
            <w:r w:rsidRPr="00A063EB">
              <w:rPr>
                <w:rFonts w:ascii="Verdana" w:eastAsia="Calibri" w:hAnsi="Verdana" w:cs="Arial"/>
                <w:lang w:val="es-ES_tradnl" w:eastAsia="es-ES_tradnl"/>
              </w:rPr>
              <w:t xml:space="preserve">Respuesta a la consulta con radicado No. </w:t>
            </w:r>
            <w:r w:rsidRPr="00A063EB">
              <w:rPr>
                <w:rFonts w:ascii="Verdana" w:eastAsia="Calibri" w:hAnsi="Verdana" w:cs="Arial"/>
                <w:lang w:eastAsia="es-ES_tradnl"/>
              </w:rPr>
              <w:t>1_2025_10_29_012160</w:t>
            </w:r>
            <w:r w:rsidRPr="00A063EB">
              <w:rPr>
                <w:rFonts w:ascii="Verdana" w:eastAsia="Calibri" w:hAnsi="Verdana" w:cs="Arial"/>
                <w:lang w:val="es-ES_tradnl" w:eastAsia="es-ES_tradnl"/>
              </w:rPr>
              <w:t xml:space="preserve">                                    </w:t>
            </w:r>
          </w:p>
        </w:tc>
      </w:tr>
    </w:tbl>
    <w:p w14:paraId="2A4791E0" w14:textId="77777777" w:rsidR="00DA7E97" w:rsidRPr="00A063EB" w:rsidRDefault="00DA7E97" w:rsidP="00DA7E97">
      <w:pPr>
        <w:spacing w:after="0" w:line="240" w:lineRule="auto"/>
        <w:jc w:val="both"/>
        <w:rPr>
          <w:rFonts w:ascii="Verdana" w:eastAsia="Calibri" w:hAnsi="Verdana" w:cs="Arial"/>
          <w:color w:val="000000"/>
          <w:lang w:val="es-ES_tradnl" w:eastAsia="es-ES_tradnl"/>
        </w:rPr>
      </w:pPr>
    </w:p>
    <w:p w14:paraId="16B40CE7" w14:textId="77777777" w:rsidR="00DA7E97" w:rsidRPr="00A063EB" w:rsidRDefault="00DA7E97" w:rsidP="00DA7E97">
      <w:pPr>
        <w:spacing w:after="0" w:line="240" w:lineRule="auto"/>
        <w:jc w:val="both"/>
        <w:rPr>
          <w:rFonts w:ascii="Verdana" w:eastAsia="Calibri" w:hAnsi="Verdana" w:cs="Arial"/>
          <w:color w:val="000000"/>
          <w:lang w:val="es-ES_tradnl" w:eastAsia="es-ES_tradnl"/>
        </w:rPr>
      </w:pPr>
    </w:p>
    <w:p w14:paraId="145FBB2F" w14:textId="77777777" w:rsidR="00DA7E97" w:rsidRPr="00A063EB" w:rsidRDefault="00DA7E97" w:rsidP="00DA7E97">
      <w:pPr>
        <w:spacing w:after="0" w:line="276" w:lineRule="auto"/>
        <w:jc w:val="both"/>
        <w:rPr>
          <w:rFonts w:ascii="Verdana" w:eastAsia="Calibri" w:hAnsi="Verdana" w:cs="Arial"/>
          <w:lang w:val="es-ES" w:eastAsia="es-ES"/>
        </w:rPr>
      </w:pPr>
      <w:r w:rsidRPr="00A063EB">
        <w:rPr>
          <w:rFonts w:ascii="Verdana" w:eastAsia="Calibri" w:hAnsi="Verdana" w:cs="Arial"/>
          <w:lang w:val="es-ES" w:eastAsia="es-ES"/>
        </w:rPr>
        <w:t xml:space="preserve">Estimada señora Vélez: </w:t>
      </w:r>
    </w:p>
    <w:p w14:paraId="379CB591" w14:textId="77777777" w:rsidR="00DA7E97" w:rsidRPr="00A063EB" w:rsidRDefault="00DA7E97" w:rsidP="00DA7E97">
      <w:pPr>
        <w:tabs>
          <w:tab w:val="left" w:pos="3768"/>
        </w:tabs>
        <w:spacing w:after="0" w:line="276" w:lineRule="auto"/>
        <w:jc w:val="both"/>
        <w:rPr>
          <w:rFonts w:ascii="Verdana" w:eastAsia="Calibri" w:hAnsi="Verdana" w:cs="Arial"/>
          <w:color w:val="000000" w:themeColor="text1"/>
          <w:lang w:val="es-ES" w:eastAsia="es-ES"/>
        </w:rPr>
      </w:pPr>
      <w:r w:rsidRPr="00A063EB">
        <w:rPr>
          <w:rFonts w:ascii="Verdana" w:eastAsia="Calibri" w:hAnsi="Verdana" w:cs="Arial"/>
          <w:color w:val="000000" w:themeColor="text1"/>
          <w:lang w:val="es-ES" w:eastAsia="es-ES"/>
        </w:rPr>
        <w:tab/>
      </w:r>
    </w:p>
    <w:p w14:paraId="11EE5E0F" w14:textId="77777777" w:rsidR="00DA7E97" w:rsidRPr="00A063EB" w:rsidRDefault="00DA7E97" w:rsidP="00DA7E97">
      <w:pPr>
        <w:spacing w:after="0" w:line="276" w:lineRule="auto"/>
        <w:jc w:val="both"/>
        <w:rPr>
          <w:rFonts w:ascii="Verdana" w:eastAsia="Calibri" w:hAnsi="Verdana" w:cs="Arial"/>
          <w:color w:val="7030A0"/>
          <w:lang w:val="es-ES" w:eastAsia="es-ES"/>
        </w:rPr>
      </w:pPr>
      <w:r w:rsidRPr="00A063EB">
        <w:rPr>
          <w:rFonts w:ascii="Verdana" w:eastAsia="Calibri" w:hAnsi="Verdana" w:cs="Arial"/>
          <w:color w:val="000000" w:themeColor="text1"/>
          <w:lang w:val="es-ES" w:eastAsia="es-ES"/>
        </w:rPr>
        <w:t>En ejercicio de la competencia otorgada por los artículos 3, numeral 5º, y 11, numeral 8º, del Decreto Ley 4170 de 2011,</w:t>
      </w:r>
      <w:r w:rsidRPr="00A063EB">
        <w:rPr>
          <w:rFonts w:ascii="Verdana" w:eastAsia="Arial MT" w:hAnsi="Verdana" w:cs="Arial MT"/>
          <w:lang w:val="es-ES" w:eastAsia="es-ES"/>
        </w:rPr>
        <w:t xml:space="preserve"> </w:t>
      </w:r>
      <w:r w:rsidRPr="00A063EB">
        <w:rPr>
          <w:rFonts w:ascii="Verdana" w:hAnsi="Verdana" w:cs="Arial"/>
        </w:rPr>
        <w:t xml:space="preserve">así como lo establecido en el artículo 4 de la Resolución 1707 de 2018 expedida por esta Entidad, </w:t>
      </w:r>
      <w:r w:rsidRPr="00A063EB">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A063EB">
        <w:rPr>
          <w:rFonts w:ascii="Verdana" w:eastAsia="Calibri" w:hAnsi="Verdana" w:cs="Arial"/>
          <w:lang w:val="es-ES" w:eastAsia="es-ES"/>
        </w:rPr>
        <w:t xml:space="preserve">fecha 28 de octubre de 2025 en donde se plantea las siguientes inquietudes: </w:t>
      </w:r>
    </w:p>
    <w:p w14:paraId="009B2BE3" w14:textId="77777777" w:rsidR="00DA7E97" w:rsidRPr="00A063EB" w:rsidRDefault="00DA7E97" w:rsidP="00DA7E97">
      <w:pPr>
        <w:tabs>
          <w:tab w:val="left" w:pos="142"/>
          <w:tab w:val="left" w:pos="284"/>
        </w:tabs>
        <w:spacing w:after="0" w:line="276" w:lineRule="auto"/>
        <w:contextualSpacing/>
        <w:jc w:val="both"/>
        <w:rPr>
          <w:rFonts w:ascii="Verdana" w:eastAsia="Century Gothic" w:hAnsi="Verdana" w:cs="Century Gothic"/>
          <w:b/>
          <w:bCs/>
          <w:lang w:val="es-ES"/>
        </w:rPr>
      </w:pPr>
    </w:p>
    <w:p w14:paraId="5BEF4D0C" w14:textId="77777777" w:rsidR="00DA7E97" w:rsidRPr="00A063EB" w:rsidRDefault="00DA7E97" w:rsidP="00DA7E97">
      <w:pPr>
        <w:spacing w:after="0" w:line="240" w:lineRule="auto"/>
        <w:ind w:left="709" w:right="709"/>
        <w:jc w:val="both"/>
        <w:rPr>
          <w:rFonts w:ascii="Verdana" w:eastAsia="Century Gothic" w:hAnsi="Verdana" w:cs="Century Gothic"/>
          <w:sz w:val="21"/>
          <w:szCs w:val="21"/>
        </w:rPr>
      </w:pPr>
      <w:r w:rsidRPr="00A063EB">
        <w:rPr>
          <w:rFonts w:ascii="Verdana" w:eastAsia="Century Gothic" w:hAnsi="Verdana" w:cs="Century Gothic"/>
          <w:sz w:val="21"/>
          <w:szCs w:val="21"/>
        </w:rPr>
        <w:t>“PRIMERO: Con fundamento en lo anteriormente expuesto, se solicita concepto jurídico en el sentido si, a la Cooperativa de Hospitales de Antioquia-COHAN, le asiste el deber legal de publicar la contratación que realiza en desarrollo de su objeto social. SEGUNDO: Así mismo y de ser positiva la respuesta, se informe sobre el trámite que esta debe surtir para efectos de la publicación de su actividad contractual”. (SIC)</w:t>
      </w:r>
    </w:p>
    <w:p w14:paraId="066BBE4C" w14:textId="77777777" w:rsidR="00DA7E97" w:rsidRPr="00A063EB" w:rsidRDefault="00DA7E97" w:rsidP="00DA7E97">
      <w:pPr>
        <w:tabs>
          <w:tab w:val="left" w:pos="142"/>
          <w:tab w:val="left" w:pos="284"/>
        </w:tabs>
        <w:spacing w:after="0" w:line="276" w:lineRule="auto"/>
        <w:contextualSpacing/>
        <w:jc w:val="both"/>
        <w:rPr>
          <w:rFonts w:ascii="Verdana" w:eastAsia="Century Gothic" w:hAnsi="Verdana" w:cs="Century Gothic"/>
          <w:b/>
          <w:bCs/>
          <w:lang w:val="es-ES"/>
        </w:rPr>
      </w:pPr>
    </w:p>
    <w:p w14:paraId="6E702EFE" w14:textId="77777777" w:rsidR="00DA7E97" w:rsidRPr="00A063EB" w:rsidRDefault="00DA7E97" w:rsidP="00DA7E97">
      <w:pPr>
        <w:spacing w:after="120" w:line="276" w:lineRule="auto"/>
        <w:ind w:firstLine="709"/>
        <w:jc w:val="both"/>
        <w:rPr>
          <w:rFonts w:ascii="Verdana" w:eastAsia="Calibri" w:hAnsi="Verdana" w:cs="Arial"/>
          <w:lang w:val="es-ES_tradnl" w:eastAsia="es-ES_tradnl"/>
        </w:rPr>
      </w:pPr>
      <w:r w:rsidRPr="00A063EB">
        <w:rPr>
          <w:rFonts w:ascii="Verdana" w:eastAsia="Calibri" w:hAnsi="Verdana" w:cs="Arial"/>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60C7A7C1" w14:textId="77777777" w:rsidR="00DA7E97" w:rsidRPr="00A063EB" w:rsidRDefault="00DA7E97" w:rsidP="00DA7E97">
      <w:pPr>
        <w:spacing w:after="0" w:line="276" w:lineRule="auto"/>
        <w:ind w:firstLine="709"/>
        <w:jc w:val="both"/>
        <w:rPr>
          <w:rFonts w:ascii="Verdana" w:eastAsia="Calibri" w:hAnsi="Verdana" w:cs="Arial"/>
          <w:color w:val="000000"/>
          <w:lang w:val="es-ES" w:eastAsia="es-ES"/>
        </w:rPr>
      </w:pPr>
      <w:r w:rsidRPr="00A063EB">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A063EB">
        <w:rPr>
          <w:rFonts w:ascii="Verdana" w:eastAsia="Calibri" w:hAnsi="Verdana" w:cs="Arial"/>
          <w:color w:val="000000"/>
          <w:lang w:val="es-ES" w:eastAsia="es-ES"/>
        </w:rPr>
        <w:t xml:space="preserve"> </w:t>
      </w:r>
    </w:p>
    <w:p w14:paraId="667B7D17" w14:textId="77777777" w:rsidR="00DA7E97" w:rsidRPr="00A063EB" w:rsidRDefault="00DA7E97" w:rsidP="00DA7E97">
      <w:pPr>
        <w:spacing w:after="0" w:line="276" w:lineRule="auto"/>
        <w:ind w:firstLine="709"/>
        <w:jc w:val="both"/>
        <w:rPr>
          <w:rFonts w:ascii="Verdana" w:eastAsia="Calibri" w:hAnsi="Verdana" w:cs="Arial"/>
          <w:color w:val="000000"/>
          <w:lang w:val="es-ES" w:eastAsia="es-ES"/>
        </w:rPr>
      </w:pPr>
    </w:p>
    <w:p w14:paraId="2A7ABD5D" w14:textId="77777777" w:rsidR="00DA7E97" w:rsidRPr="00A063EB" w:rsidRDefault="00DA7E97" w:rsidP="00DA7E97">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A063EB">
        <w:rPr>
          <w:rFonts w:ascii="Verdana" w:eastAsia="Century Gothic" w:hAnsi="Verdana" w:cs="Century Gothic"/>
          <w:b/>
          <w:bCs/>
          <w:lang w:val="es-ES"/>
        </w:rPr>
        <w:t>Problema planteado:</w:t>
      </w:r>
    </w:p>
    <w:p w14:paraId="41BF62BD" w14:textId="77777777" w:rsidR="00DA7E97" w:rsidRPr="00A063EB" w:rsidRDefault="00DA7E97" w:rsidP="00DA7E97">
      <w:pPr>
        <w:tabs>
          <w:tab w:val="left" w:pos="426"/>
        </w:tabs>
        <w:spacing w:after="0" w:line="276" w:lineRule="auto"/>
        <w:jc w:val="both"/>
        <w:rPr>
          <w:rFonts w:ascii="Verdana" w:eastAsia="Century Gothic" w:hAnsi="Verdana" w:cs="Century Gothic"/>
          <w:lang w:val="es-ES"/>
        </w:rPr>
      </w:pPr>
    </w:p>
    <w:p w14:paraId="663BD136" w14:textId="77777777" w:rsidR="00DA7E97" w:rsidRPr="00A063EB" w:rsidRDefault="00DA7E97" w:rsidP="00DA7E97">
      <w:pPr>
        <w:spacing w:after="0" w:line="276" w:lineRule="auto"/>
        <w:jc w:val="both"/>
        <w:rPr>
          <w:rFonts w:ascii="Verdana" w:eastAsia="Century Gothic" w:hAnsi="Verdana" w:cs="Century Gothic"/>
        </w:rPr>
      </w:pPr>
      <w:r w:rsidRPr="00A063EB">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A063EB">
        <w:rPr>
          <w:rFonts w:ascii="Verdana" w:eastAsia="Century Gothic" w:hAnsi="Verdana" w:cs="Century Gothic"/>
        </w:rPr>
        <w:t xml:space="preserve"> siguiente</w:t>
      </w:r>
      <w:r>
        <w:rPr>
          <w:rFonts w:ascii="Verdana" w:eastAsia="Century Gothic" w:hAnsi="Verdana" w:cs="Century Gothic"/>
        </w:rPr>
        <w:t xml:space="preserve"> </w:t>
      </w:r>
      <w:r w:rsidRPr="00A063EB">
        <w:rPr>
          <w:rFonts w:ascii="Verdana" w:eastAsia="Century Gothic" w:hAnsi="Verdana" w:cs="Century Gothic"/>
        </w:rPr>
        <w:t xml:space="preserve">problema jurídico: </w:t>
      </w:r>
      <w:r w:rsidRPr="00EB0E09">
        <w:rPr>
          <w:rFonts w:ascii="Verdana" w:eastAsia="Century Gothic" w:hAnsi="Verdana" w:cs="Century Gothic"/>
        </w:rPr>
        <w:t>¿Están obligadas las entidades de régimen exceptuado, como las entidades sin ánimo de lucro con participación pública o las EPS, a publicar sus procesos en el SECOP?</w:t>
      </w:r>
      <w:r w:rsidRPr="00A063EB">
        <w:t xml:space="preserve"> </w:t>
      </w:r>
    </w:p>
    <w:p w14:paraId="1FD5FBAE" w14:textId="77777777" w:rsidR="00DA7E97" w:rsidRPr="00A063EB" w:rsidRDefault="00DA7E97" w:rsidP="00DA7E97">
      <w:pPr>
        <w:spacing w:after="0" w:line="276" w:lineRule="auto"/>
        <w:jc w:val="both"/>
        <w:rPr>
          <w:rFonts w:ascii="Verdana" w:eastAsia="Calibri" w:hAnsi="Verdana" w:cs="Arial"/>
          <w:color w:val="7030A0"/>
        </w:rPr>
      </w:pPr>
    </w:p>
    <w:p w14:paraId="6F250DBC" w14:textId="77777777" w:rsidR="00DA7E97" w:rsidRPr="00A063EB" w:rsidRDefault="00DA7E97" w:rsidP="00DA7E9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A063EB">
        <w:rPr>
          <w:rFonts w:ascii="Verdana" w:eastAsia="Century Gothic" w:hAnsi="Verdana" w:cs="Century Gothic"/>
          <w:b/>
          <w:bCs/>
          <w:lang w:val="es-ES"/>
        </w:rPr>
        <w:t>Respuesta:</w:t>
      </w:r>
    </w:p>
    <w:p w14:paraId="7B8CE918" w14:textId="77777777" w:rsidR="00DA7E97" w:rsidRPr="00A063EB" w:rsidRDefault="00DA7E97" w:rsidP="00DA7E9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A7E97" w:rsidRPr="00A063EB" w14:paraId="43514DB7" w14:textId="77777777" w:rsidTr="343B82F3">
        <w:trPr>
          <w:jc w:val="center"/>
        </w:trPr>
        <w:tc>
          <w:tcPr>
            <w:tcW w:w="8828" w:type="dxa"/>
          </w:tcPr>
          <w:p w14:paraId="449AF912" w14:textId="77777777" w:rsidR="00DA7E97" w:rsidRPr="00A063EB" w:rsidRDefault="00DA7E97" w:rsidP="00443152">
            <w:pPr>
              <w:widowControl w:val="0"/>
              <w:autoSpaceDE w:val="0"/>
              <w:autoSpaceDN w:val="0"/>
              <w:spacing w:line="276" w:lineRule="auto"/>
              <w:ind w:right="98"/>
              <w:jc w:val="both"/>
              <w:rPr>
                <w:rFonts w:ascii="Verdana" w:eastAsia="Verdana" w:hAnsi="Verdana" w:cs="Verdana"/>
                <w:lang w:val="es-ES"/>
              </w:rPr>
            </w:pPr>
            <w:bookmarkStart w:id="1" w:name="_Hlk171694685"/>
            <w:r w:rsidRPr="00A063EB">
              <w:rPr>
                <w:rFonts w:ascii="Verdana" w:eastAsia="Verdana" w:hAnsi="Verdana" w:cs="Verdana"/>
                <w:lang w:val="es-ES"/>
              </w:rPr>
              <w:t xml:space="preserve">           Sí,</w:t>
            </w:r>
            <w:r w:rsidRPr="00A063EB">
              <w:rPr>
                <w:rFonts w:ascii="Verdana" w:eastAsia="Verdana" w:hAnsi="Verdana" w:cs="Verdana"/>
                <w:spacing w:val="-17"/>
                <w:lang w:val="es-ES"/>
              </w:rPr>
              <w:t xml:space="preserve"> </w:t>
            </w:r>
            <w:r w:rsidRPr="00A063EB">
              <w:rPr>
                <w:rFonts w:ascii="Verdana" w:eastAsia="Verdana" w:hAnsi="Verdana" w:cs="Verdana"/>
                <w:lang w:val="es-ES"/>
              </w:rPr>
              <w:t>las</w:t>
            </w:r>
            <w:r w:rsidRPr="00A063EB">
              <w:rPr>
                <w:rFonts w:ascii="Verdana" w:eastAsia="Verdana" w:hAnsi="Verdana" w:cs="Verdana"/>
                <w:spacing w:val="-15"/>
                <w:lang w:val="es-ES"/>
              </w:rPr>
              <w:t xml:space="preserve"> </w:t>
            </w:r>
            <w:r w:rsidRPr="00EB0E09">
              <w:rPr>
                <w:rFonts w:ascii="Verdana" w:eastAsia="Century Gothic" w:hAnsi="Verdana" w:cs="Century Gothic"/>
              </w:rPr>
              <w:t>entidades de régimen exceptuado, como las entidades sin ánimo de lucro con participación pública o las EPS</w:t>
            </w:r>
            <w:r w:rsidRPr="00A063EB">
              <w:rPr>
                <w:rFonts w:ascii="Verdana" w:eastAsia="Verdana" w:hAnsi="Verdana" w:cs="Verdana"/>
                <w:lang w:val="es-ES"/>
              </w:rPr>
              <w:t xml:space="preserve"> en virtud de lo dispuesto en el artículo 3 de la Ley 1150 de 2007, la Ley 1712 de 2014 y el artículo 53 de la Ley 2195 de 2022, se encuentran obligadas a publicar en el SECOP II los documentos de su actividad contractual cuya fuente de financiación sea con recursos públicos, sin perjuicio de estar sometidas a regímenes de derecho privado.</w:t>
            </w:r>
          </w:p>
          <w:p w14:paraId="08520A99" w14:textId="77777777" w:rsidR="00DA7E97" w:rsidRPr="00A063EB" w:rsidRDefault="00DA7E97" w:rsidP="00443152">
            <w:pPr>
              <w:widowControl w:val="0"/>
              <w:autoSpaceDE w:val="0"/>
              <w:autoSpaceDN w:val="0"/>
              <w:spacing w:line="276" w:lineRule="auto"/>
              <w:ind w:left="105" w:right="113"/>
              <w:jc w:val="both"/>
              <w:rPr>
                <w:rFonts w:ascii="Verdana" w:eastAsia="Verdana" w:hAnsi="Verdana" w:cs="Verdana"/>
                <w:lang w:val="es-ES"/>
              </w:rPr>
            </w:pPr>
            <w:r w:rsidRPr="00A063EB">
              <w:rPr>
                <w:rFonts w:ascii="Verdana" w:eastAsia="Verdana" w:hAnsi="Verdana" w:cs="Verdana"/>
                <w:lang w:val="es-ES"/>
              </w:rPr>
              <w:t xml:space="preserve">          Ahora bien, conforme al artículo 2.2.1.1.1.7.1 del Decreto 1082 de </w:t>
            </w:r>
            <w:r w:rsidRPr="00A063EB">
              <w:rPr>
                <w:rFonts w:ascii="Verdana" w:eastAsia="Verdana" w:hAnsi="Verdana" w:cs="Verdana"/>
                <w:lang w:val="es-ES"/>
              </w:rPr>
              <w:lastRenderedPageBreak/>
              <w:t>2015, tienen la obligación de publicar en el SECOP “[…] los Documentos del Proceso</w:t>
            </w:r>
            <w:r w:rsidRPr="00A063EB">
              <w:rPr>
                <w:rFonts w:ascii="Verdana" w:eastAsia="Verdana" w:hAnsi="Verdana" w:cs="Verdana"/>
                <w:spacing w:val="-11"/>
                <w:lang w:val="es-ES"/>
              </w:rPr>
              <w:t xml:space="preserve"> </w:t>
            </w:r>
            <w:r w:rsidRPr="00A063EB">
              <w:rPr>
                <w:rFonts w:ascii="Verdana" w:eastAsia="Verdana" w:hAnsi="Verdana" w:cs="Verdana"/>
                <w:lang w:val="es-ES"/>
              </w:rPr>
              <w:t>y</w:t>
            </w:r>
            <w:r w:rsidRPr="00A063EB">
              <w:rPr>
                <w:rFonts w:ascii="Verdana" w:eastAsia="Verdana" w:hAnsi="Verdana" w:cs="Verdana"/>
                <w:spacing w:val="-8"/>
                <w:lang w:val="es-ES"/>
              </w:rPr>
              <w:t xml:space="preserve"> </w:t>
            </w:r>
            <w:r w:rsidRPr="00A063EB">
              <w:rPr>
                <w:rFonts w:ascii="Verdana" w:eastAsia="Verdana" w:hAnsi="Verdana" w:cs="Verdana"/>
                <w:lang w:val="es-ES"/>
              </w:rPr>
              <w:t>los</w:t>
            </w:r>
            <w:r w:rsidRPr="00A063EB">
              <w:rPr>
                <w:rFonts w:ascii="Verdana" w:eastAsia="Verdana" w:hAnsi="Verdana" w:cs="Verdana"/>
                <w:spacing w:val="-8"/>
                <w:lang w:val="es-ES"/>
              </w:rPr>
              <w:t xml:space="preserve"> </w:t>
            </w:r>
            <w:r w:rsidRPr="00A063EB">
              <w:rPr>
                <w:rFonts w:ascii="Verdana" w:eastAsia="Verdana" w:hAnsi="Verdana" w:cs="Verdana"/>
                <w:lang w:val="es-ES"/>
              </w:rPr>
              <w:t>actos</w:t>
            </w:r>
            <w:r w:rsidRPr="00A063EB">
              <w:rPr>
                <w:rFonts w:ascii="Verdana" w:eastAsia="Verdana" w:hAnsi="Verdana" w:cs="Verdana"/>
                <w:spacing w:val="-8"/>
                <w:lang w:val="es-ES"/>
              </w:rPr>
              <w:t xml:space="preserve"> </w:t>
            </w:r>
            <w:r w:rsidRPr="00A063EB">
              <w:rPr>
                <w:rFonts w:ascii="Verdana" w:eastAsia="Verdana" w:hAnsi="Verdana" w:cs="Verdana"/>
                <w:lang w:val="es-ES"/>
              </w:rPr>
              <w:t>administrativos</w:t>
            </w:r>
            <w:r w:rsidRPr="00A063EB">
              <w:rPr>
                <w:rFonts w:ascii="Verdana" w:eastAsia="Verdana" w:hAnsi="Verdana" w:cs="Verdana"/>
                <w:spacing w:val="-8"/>
                <w:lang w:val="es-ES"/>
              </w:rPr>
              <w:t xml:space="preserve"> </w:t>
            </w:r>
            <w:r w:rsidRPr="00A063EB">
              <w:rPr>
                <w:rFonts w:ascii="Verdana" w:eastAsia="Verdana" w:hAnsi="Verdana" w:cs="Verdana"/>
                <w:lang w:val="es-ES"/>
              </w:rPr>
              <w:t>del</w:t>
            </w:r>
            <w:r w:rsidRPr="00A063EB">
              <w:rPr>
                <w:rFonts w:ascii="Verdana" w:eastAsia="Verdana" w:hAnsi="Verdana" w:cs="Verdana"/>
                <w:spacing w:val="-8"/>
                <w:lang w:val="es-ES"/>
              </w:rPr>
              <w:t xml:space="preserve"> </w:t>
            </w:r>
            <w:r w:rsidRPr="00A063EB">
              <w:rPr>
                <w:rFonts w:ascii="Verdana" w:eastAsia="Verdana" w:hAnsi="Verdana" w:cs="Verdana"/>
                <w:lang w:val="es-ES"/>
              </w:rPr>
              <w:t>Proceso</w:t>
            </w:r>
            <w:r w:rsidRPr="00A063EB">
              <w:rPr>
                <w:rFonts w:ascii="Verdana" w:eastAsia="Verdana" w:hAnsi="Verdana" w:cs="Verdana"/>
                <w:spacing w:val="-7"/>
                <w:lang w:val="es-ES"/>
              </w:rPr>
              <w:t xml:space="preserve"> </w:t>
            </w:r>
            <w:r w:rsidRPr="00A063EB">
              <w:rPr>
                <w:rFonts w:ascii="Verdana" w:eastAsia="Verdana" w:hAnsi="Verdana" w:cs="Verdana"/>
                <w:lang w:val="es-ES"/>
              </w:rPr>
              <w:t>de</w:t>
            </w:r>
            <w:r w:rsidRPr="00A063EB">
              <w:rPr>
                <w:rFonts w:ascii="Verdana" w:eastAsia="Verdana" w:hAnsi="Verdana" w:cs="Verdana"/>
                <w:spacing w:val="-9"/>
                <w:lang w:val="es-ES"/>
              </w:rPr>
              <w:t xml:space="preserve"> </w:t>
            </w:r>
            <w:r w:rsidRPr="00A063EB">
              <w:rPr>
                <w:rFonts w:ascii="Verdana" w:eastAsia="Verdana" w:hAnsi="Verdana" w:cs="Verdana"/>
                <w:lang w:val="es-ES"/>
              </w:rPr>
              <w:t>Contratación,</w:t>
            </w:r>
            <w:r w:rsidRPr="00A063EB">
              <w:rPr>
                <w:rFonts w:ascii="Verdana" w:eastAsia="Verdana" w:hAnsi="Verdana" w:cs="Verdana"/>
                <w:spacing w:val="-8"/>
                <w:lang w:val="es-ES"/>
              </w:rPr>
              <w:t xml:space="preserve"> </w:t>
            </w:r>
            <w:r w:rsidRPr="00A063EB">
              <w:rPr>
                <w:rFonts w:ascii="Verdana" w:eastAsia="Verdana" w:hAnsi="Verdana" w:cs="Verdana"/>
                <w:lang w:val="es-ES"/>
              </w:rPr>
              <w:t>dentro</w:t>
            </w:r>
            <w:r w:rsidRPr="00A063EB">
              <w:rPr>
                <w:rFonts w:ascii="Verdana" w:eastAsia="Verdana" w:hAnsi="Verdana" w:cs="Verdana"/>
                <w:spacing w:val="-7"/>
                <w:lang w:val="es-ES"/>
              </w:rPr>
              <w:t xml:space="preserve"> </w:t>
            </w:r>
            <w:r w:rsidRPr="00A063EB">
              <w:rPr>
                <w:rFonts w:ascii="Verdana" w:eastAsia="Verdana" w:hAnsi="Verdana" w:cs="Verdana"/>
                <w:lang w:val="es-ES"/>
              </w:rPr>
              <w:t>de</w:t>
            </w:r>
            <w:r w:rsidRPr="00A063EB">
              <w:rPr>
                <w:rFonts w:ascii="Verdana" w:eastAsia="Verdana" w:hAnsi="Verdana" w:cs="Verdana"/>
                <w:spacing w:val="-9"/>
                <w:lang w:val="es-ES"/>
              </w:rPr>
              <w:t xml:space="preserve"> </w:t>
            </w:r>
            <w:r w:rsidRPr="00A063EB">
              <w:rPr>
                <w:rFonts w:ascii="Verdana" w:eastAsia="Verdana" w:hAnsi="Verdana" w:cs="Verdana"/>
                <w:lang w:val="es-ES"/>
              </w:rPr>
              <w:t xml:space="preserve">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w:t>
            </w:r>
            <w:r w:rsidRPr="00A063EB">
              <w:rPr>
                <w:rFonts w:ascii="Verdana" w:eastAsia="Verdana" w:hAnsi="Verdana" w:cs="Verdana"/>
                <w:spacing w:val="-2"/>
                <w:lang w:val="es-ES"/>
              </w:rPr>
              <w:t>adendas;</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(e)</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la</w:t>
            </w:r>
            <w:r w:rsidRPr="00A063EB">
              <w:rPr>
                <w:rFonts w:ascii="Verdana" w:eastAsia="Verdana" w:hAnsi="Verdana" w:cs="Verdana"/>
                <w:spacing w:val="-14"/>
                <w:lang w:val="es-ES"/>
              </w:rPr>
              <w:t xml:space="preserve"> </w:t>
            </w:r>
            <w:r w:rsidRPr="00A063EB">
              <w:rPr>
                <w:rFonts w:ascii="Verdana" w:eastAsia="Verdana" w:hAnsi="Verdana" w:cs="Verdana"/>
                <w:spacing w:val="-2"/>
                <w:lang w:val="es-ES"/>
              </w:rPr>
              <w:t>oferta;</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(f)</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el</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informe</w:t>
            </w:r>
            <w:r w:rsidRPr="00A063EB">
              <w:rPr>
                <w:rFonts w:ascii="Verdana" w:eastAsia="Verdana" w:hAnsi="Verdana" w:cs="Verdana"/>
                <w:spacing w:val="-13"/>
                <w:lang w:val="es-ES"/>
              </w:rPr>
              <w:t xml:space="preserve"> </w:t>
            </w:r>
            <w:r w:rsidRPr="00A063EB">
              <w:rPr>
                <w:rFonts w:ascii="Verdana" w:eastAsia="Verdana" w:hAnsi="Verdana" w:cs="Verdana"/>
                <w:spacing w:val="-2"/>
                <w:lang w:val="es-ES"/>
              </w:rPr>
              <w:t>de</w:t>
            </w:r>
            <w:r w:rsidRPr="00A063EB">
              <w:rPr>
                <w:rFonts w:ascii="Verdana" w:eastAsia="Verdana" w:hAnsi="Verdana" w:cs="Verdana"/>
                <w:spacing w:val="-13"/>
                <w:lang w:val="es-ES"/>
              </w:rPr>
              <w:t xml:space="preserve"> </w:t>
            </w:r>
            <w:r w:rsidRPr="00A063EB">
              <w:rPr>
                <w:rFonts w:ascii="Verdana" w:eastAsia="Verdana" w:hAnsi="Verdana" w:cs="Verdana"/>
                <w:spacing w:val="-2"/>
                <w:lang w:val="es-ES"/>
              </w:rPr>
              <w:t>evaluación;</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(g)</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el</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contrato;</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y</w:t>
            </w:r>
            <w:r w:rsidRPr="00A063EB">
              <w:rPr>
                <w:rFonts w:ascii="Verdana" w:eastAsia="Verdana" w:hAnsi="Verdana" w:cs="Verdana"/>
                <w:spacing w:val="-11"/>
                <w:lang w:val="es-ES"/>
              </w:rPr>
              <w:t xml:space="preserve"> </w:t>
            </w:r>
            <w:r w:rsidRPr="00A063EB">
              <w:rPr>
                <w:rFonts w:ascii="Verdana" w:eastAsia="Verdana" w:hAnsi="Verdana" w:cs="Verdana"/>
                <w:spacing w:val="-2"/>
                <w:lang w:val="es-ES"/>
              </w:rPr>
              <w:t xml:space="preserve">cualquier </w:t>
            </w:r>
            <w:r w:rsidRPr="00A063EB">
              <w:rPr>
                <w:rFonts w:ascii="Verdana" w:eastAsia="Verdana" w:hAnsi="Verdana" w:cs="Verdana"/>
                <w:lang w:val="es-ES"/>
              </w:rPr>
              <w:t xml:space="preserve">otro documento expedido por la Entidad Estatal durante el Proceso de </w:t>
            </w:r>
            <w:r w:rsidRPr="00A063EB">
              <w:rPr>
                <w:rFonts w:ascii="Verdana" w:eastAsia="Verdana" w:hAnsi="Verdana" w:cs="Verdana"/>
                <w:spacing w:val="-2"/>
                <w:lang w:val="es-ES"/>
              </w:rPr>
              <w:t>Contratación”.</w:t>
            </w:r>
          </w:p>
          <w:p w14:paraId="4E6D4801" w14:textId="77777777" w:rsidR="00DA7E97" w:rsidRDefault="00DA7E97" w:rsidP="00443152">
            <w:pPr>
              <w:widowControl w:val="0"/>
              <w:autoSpaceDE w:val="0"/>
              <w:autoSpaceDN w:val="0"/>
              <w:spacing w:before="117" w:line="276" w:lineRule="auto"/>
              <w:ind w:left="105" w:right="100" w:firstLine="710"/>
              <w:jc w:val="both"/>
              <w:rPr>
                <w:rFonts w:ascii="Verdana" w:eastAsia="Verdana" w:hAnsi="Verdana" w:cs="Verdana"/>
                <w:lang w:val="es-ES"/>
              </w:rPr>
            </w:pPr>
            <w:r w:rsidRPr="00A063EB">
              <w:rPr>
                <w:rFonts w:ascii="Verdana" w:eastAsia="Verdana" w:hAnsi="Verdana" w:cs="Verdana"/>
                <w:lang w:val="es-ES"/>
              </w:rPr>
              <w:t>En</w:t>
            </w:r>
            <w:r w:rsidRPr="00A063EB">
              <w:rPr>
                <w:rFonts w:ascii="Verdana" w:eastAsia="Verdana" w:hAnsi="Verdana" w:cs="Verdana"/>
                <w:spacing w:val="-12"/>
                <w:lang w:val="es-ES"/>
              </w:rPr>
              <w:t xml:space="preserve"> </w:t>
            </w:r>
            <w:r w:rsidRPr="00A063EB">
              <w:rPr>
                <w:rFonts w:ascii="Verdana" w:eastAsia="Verdana" w:hAnsi="Verdana" w:cs="Verdana"/>
                <w:lang w:val="es-ES"/>
              </w:rPr>
              <w:t>consecuencia,</w:t>
            </w:r>
            <w:r w:rsidRPr="00A063EB">
              <w:rPr>
                <w:rFonts w:ascii="Verdana" w:eastAsia="Verdana" w:hAnsi="Verdana" w:cs="Verdana"/>
                <w:spacing w:val="-12"/>
                <w:lang w:val="es-ES"/>
              </w:rPr>
              <w:t xml:space="preserve"> </w:t>
            </w:r>
            <w:r w:rsidRPr="00A063EB">
              <w:rPr>
                <w:rFonts w:ascii="Verdana" w:eastAsia="Verdana" w:hAnsi="Verdana" w:cs="Verdana"/>
                <w:lang w:val="es-ES"/>
              </w:rPr>
              <w:t>para</w:t>
            </w:r>
            <w:r w:rsidRPr="00A063EB">
              <w:rPr>
                <w:rFonts w:ascii="Verdana" w:eastAsia="Verdana" w:hAnsi="Verdana" w:cs="Verdana"/>
                <w:spacing w:val="-14"/>
                <w:lang w:val="es-ES"/>
              </w:rPr>
              <w:t xml:space="preserve"> </w:t>
            </w:r>
            <w:r w:rsidRPr="00A063EB">
              <w:rPr>
                <w:rFonts w:ascii="Verdana" w:eastAsia="Verdana" w:hAnsi="Verdana" w:cs="Verdana"/>
                <w:lang w:val="es-ES"/>
              </w:rPr>
              <w:t>identificar</w:t>
            </w:r>
            <w:r w:rsidRPr="00A063EB">
              <w:rPr>
                <w:rFonts w:ascii="Verdana" w:eastAsia="Verdana" w:hAnsi="Verdana" w:cs="Verdana"/>
                <w:spacing w:val="-11"/>
                <w:lang w:val="es-ES"/>
              </w:rPr>
              <w:t xml:space="preserve"> </w:t>
            </w:r>
            <w:r w:rsidRPr="00A063EB">
              <w:rPr>
                <w:rFonts w:ascii="Verdana" w:eastAsia="Verdana" w:hAnsi="Verdana" w:cs="Verdana"/>
                <w:lang w:val="es-ES"/>
              </w:rPr>
              <w:t>los</w:t>
            </w:r>
            <w:r w:rsidRPr="00A063EB">
              <w:rPr>
                <w:rFonts w:ascii="Verdana" w:eastAsia="Verdana" w:hAnsi="Verdana" w:cs="Verdana"/>
                <w:spacing w:val="-12"/>
                <w:lang w:val="es-ES"/>
              </w:rPr>
              <w:t xml:space="preserve"> </w:t>
            </w:r>
            <w:r w:rsidRPr="00A063EB">
              <w:rPr>
                <w:rFonts w:ascii="Verdana" w:eastAsia="Verdana" w:hAnsi="Verdana" w:cs="Verdana"/>
                <w:lang w:val="es-ES"/>
              </w:rPr>
              <w:t>documentos</w:t>
            </w:r>
            <w:r w:rsidRPr="00A063EB">
              <w:rPr>
                <w:rFonts w:ascii="Verdana" w:eastAsia="Verdana" w:hAnsi="Verdana" w:cs="Verdana"/>
                <w:spacing w:val="-12"/>
                <w:lang w:val="es-ES"/>
              </w:rPr>
              <w:t xml:space="preserve"> </w:t>
            </w:r>
            <w:r w:rsidRPr="00A063EB">
              <w:rPr>
                <w:rFonts w:ascii="Verdana" w:eastAsia="Verdana" w:hAnsi="Verdana" w:cs="Verdana"/>
                <w:lang w:val="es-ES"/>
              </w:rPr>
              <w:t>que</w:t>
            </w:r>
            <w:r w:rsidRPr="00A063EB">
              <w:rPr>
                <w:rFonts w:ascii="Verdana" w:eastAsia="Verdana" w:hAnsi="Verdana" w:cs="Verdana"/>
                <w:spacing w:val="-13"/>
                <w:lang w:val="es-ES"/>
              </w:rPr>
              <w:t xml:space="preserve"> </w:t>
            </w:r>
            <w:r w:rsidRPr="00A063EB">
              <w:rPr>
                <w:rFonts w:ascii="Verdana" w:eastAsia="Verdana" w:hAnsi="Verdana" w:cs="Verdana"/>
                <w:lang w:val="es-ES"/>
              </w:rPr>
              <w:t>deben</w:t>
            </w:r>
            <w:r w:rsidRPr="00A063EB">
              <w:rPr>
                <w:rFonts w:ascii="Verdana" w:eastAsia="Verdana" w:hAnsi="Verdana" w:cs="Verdana"/>
                <w:spacing w:val="-12"/>
                <w:lang w:val="es-ES"/>
              </w:rPr>
              <w:t xml:space="preserve"> </w:t>
            </w:r>
            <w:r w:rsidRPr="00A063EB">
              <w:rPr>
                <w:rFonts w:ascii="Verdana" w:eastAsia="Verdana" w:hAnsi="Verdana" w:cs="Verdana"/>
                <w:lang w:val="es-ES"/>
              </w:rPr>
              <w:t>publicarse, es necesario realizar una interpretación sistemática de las disposiciones del Decreto 1082</w:t>
            </w:r>
            <w:r w:rsidRPr="00A063EB">
              <w:rPr>
                <w:rFonts w:ascii="Verdana" w:eastAsia="Verdana" w:hAnsi="Verdana" w:cs="Verdana"/>
                <w:spacing w:val="-1"/>
                <w:lang w:val="es-ES"/>
              </w:rPr>
              <w:t xml:space="preserve"> </w:t>
            </w:r>
            <w:r w:rsidRPr="00A063EB">
              <w:rPr>
                <w:rFonts w:ascii="Verdana" w:eastAsia="Verdana" w:hAnsi="Verdana" w:cs="Verdana"/>
                <w:lang w:val="es-ES"/>
              </w:rPr>
              <w:t>del 2015,</w:t>
            </w:r>
            <w:r w:rsidRPr="00A063EB">
              <w:rPr>
                <w:rFonts w:ascii="Verdana" w:eastAsia="Verdana" w:hAnsi="Verdana" w:cs="Verdana"/>
                <w:spacing w:val="-1"/>
                <w:lang w:val="es-ES"/>
              </w:rPr>
              <w:t xml:space="preserve"> </w:t>
            </w:r>
            <w:r w:rsidRPr="00A063EB">
              <w:rPr>
                <w:rFonts w:ascii="Verdana" w:eastAsia="Verdana" w:hAnsi="Verdana" w:cs="Verdana"/>
                <w:lang w:val="es-ES"/>
              </w:rPr>
              <w:t>comoquiera que el anterior no es</w:t>
            </w:r>
            <w:r w:rsidRPr="00A063EB">
              <w:rPr>
                <w:rFonts w:ascii="Verdana" w:eastAsia="Verdana" w:hAnsi="Verdana" w:cs="Verdana"/>
                <w:spacing w:val="-1"/>
                <w:lang w:val="es-ES"/>
              </w:rPr>
              <w:t xml:space="preserve"> </w:t>
            </w:r>
            <w:r w:rsidRPr="00A063EB">
              <w:rPr>
                <w:rFonts w:ascii="Verdana" w:eastAsia="Verdana" w:hAnsi="Verdana" w:cs="Verdana"/>
                <w:lang w:val="es-ES"/>
              </w:rPr>
              <w:t>un</w:t>
            </w:r>
            <w:r w:rsidRPr="00A063EB">
              <w:rPr>
                <w:rFonts w:ascii="Verdana" w:eastAsia="Verdana" w:hAnsi="Verdana" w:cs="Verdana"/>
                <w:spacing w:val="-1"/>
                <w:lang w:val="es-ES"/>
              </w:rPr>
              <w:t xml:space="preserve"> </w:t>
            </w:r>
            <w:r w:rsidRPr="00A063EB">
              <w:rPr>
                <w:rFonts w:ascii="Verdana" w:eastAsia="Verdana" w:hAnsi="Verdana" w:cs="Verdana"/>
                <w:lang w:val="es-ES"/>
              </w:rPr>
              <w:t>listado taxativo, sino enunciativo, porque además de los documentos enlistados, el artículo 2.2.1.1.1.3.1,</w:t>
            </w:r>
            <w:r w:rsidRPr="00A063EB">
              <w:rPr>
                <w:rFonts w:ascii="Verdana" w:eastAsia="Verdana" w:hAnsi="Verdana" w:cs="Verdana"/>
                <w:spacing w:val="-3"/>
                <w:lang w:val="es-ES"/>
              </w:rPr>
              <w:t xml:space="preserve"> </w:t>
            </w:r>
            <w:r w:rsidRPr="00A063EB">
              <w:rPr>
                <w:rFonts w:ascii="Verdana" w:eastAsia="Verdana" w:hAnsi="Verdana" w:cs="Verdana"/>
                <w:lang w:val="es-ES"/>
              </w:rPr>
              <w:t>recoge</w:t>
            </w:r>
            <w:r w:rsidRPr="00A063EB">
              <w:rPr>
                <w:rFonts w:ascii="Verdana" w:eastAsia="Verdana" w:hAnsi="Verdana" w:cs="Verdana"/>
                <w:spacing w:val="-4"/>
                <w:lang w:val="es-ES"/>
              </w:rPr>
              <w:t xml:space="preserve"> </w:t>
            </w:r>
            <w:r w:rsidRPr="00A063EB">
              <w:rPr>
                <w:rFonts w:ascii="Verdana" w:eastAsia="Verdana" w:hAnsi="Verdana" w:cs="Verdana"/>
                <w:lang w:val="es-ES"/>
              </w:rPr>
              <w:t>en</w:t>
            </w:r>
            <w:r w:rsidRPr="00A063EB">
              <w:rPr>
                <w:rFonts w:ascii="Verdana" w:eastAsia="Verdana" w:hAnsi="Verdana" w:cs="Verdana"/>
                <w:spacing w:val="-7"/>
                <w:lang w:val="es-ES"/>
              </w:rPr>
              <w:t xml:space="preserve"> </w:t>
            </w:r>
            <w:r w:rsidRPr="00A063EB">
              <w:rPr>
                <w:rFonts w:ascii="Verdana" w:eastAsia="Verdana" w:hAnsi="Verdana" w:cs="Verdana"/>
                <w:lang w:val="es-ES"/>
              </w:rPr>
              <w:t>la</w:t>
            </w:r>
            <w:r w:rsidRPr="00A063EB">
              <w:rPr>
                <w:rFonts w:ascii="Verdana" w:eastAsia="Verdana" w:hAnsi="Verdana" w:cs="Verdana"/>
                <w:spacing w:val="-5"/>
                <w:lang w:val="es-ES"/>
              </w:rPr>
              <w:t xml:space="preserve"> </w:t>
            </w:r>
            <w:r w:rsidRPr="00A063EB">
              <w:rPr>
                <w:rFonts w:ascii="Verdana" w:eastAsia="Verdana" w:hAnsi="Verdana" w:cs="Verdana"/>
                <w:lang w:val="es-ES"/>
              </w:rPr>
              <w:t>noción</w:t>
            </w:r>
            <w:r w:rsidRPr="00A063EB">
              <w:rPr>
                <w:rFonts w:ascii="Verdana" w:eastAsia="Verdana" w:hAnsi="Verdana" w:cs="Verdana"/>
                <w:spacing w:val="-7"/>
                <w:lang w:val="es-ES"/>
              </w:rPr>
              <w:t xml:space="preserve"> </w:t>
            </w:r>
            <w:r w:rsidRPr="00A063EB">
              <w:rPr>
                <w:rFonts w:ascii="Verdana" w:eastAsia="Verdana" w:hAnsi="Verdana" w:cs="Verdana"/>
                <w:lang w:val="es-ES"/>
              </w:rPr>
              <w:t>de</w:t>
            </w:r>
            <w:r w:rsidRPr="00A063EB">
              <w:rPr>
                <w:rFonts w:ascii="Verdana" w:eastAsia="Verdana" w:hAnsi="Verdana" w:cs="Verdana"/>
                <w:spacing w:val="-4"/>
                <w:lang w:val="es-ES"/>
              </w:rPr>
              <w:t xml:space="preserve"> </w:t>
            </w:r>
            <w:r w:rsidRPr="00A063EB">
              <w:rPr>
                <w:rFonts w:ascii="Verdana" w:eastAsia="Verdana" w:hAnsi="Verdana" w:cs="Verdana"/>
                <w:lang w:val="es-ES"/>
              </w:rPr>
              <w:t>Documentos</w:t>
            </w:r>
            <w:r w:rsidRPr="00A063EB">
              <w:rPr>
                <w:rFonts w:ascii="Verdana" w:eastAsia="Verdana" w:hAnsi="Verdana" w:cs="Verdana"/>
                <w:spacing w:val="-2"/>
                <w:lang w:val="es-ES"/>
              </w:rPr>
              <w:t xml:space="preserve"> </w:t>
            </w:r>
            <w:r w:rsidRPr="00A063EB">
              <w:rPr>
                <w:rFonts w:ascii="Verdana" w:eastAsia="Verdana" w:hAnsi="Verdana" w:cs="Verdana"/>
                <w:lang w:val="es-ES"/>
              </w:rPr>
              <w:t>del</w:t>
            </w:r>
            <w:r w:rsidRPr="00A063EB">
              <w:rPr>
                <w:rFonts w:ascii="Verdana" w:eastAsia="Verdana" w:hAnsi="Verdana" w:cs="Verdana"/>
                <w:spacing w:val="-2"/>
                <w:lang w:val="es-ES"/>
              </w:rPr>
              <w:t xml:space="preserve"> </w:t>
            </w:r>
            <w:r w:rsidRPr="00A063EB">
              <w:rPr>
                <w:rFonts w:ascii="Verdana" w:eastAsia="Verdana" w:hAnsi="Verdana" w:cs="Verdana"/>
                <w:lang w:val="es-ES"/>
              </w:rPr>
              <w:t>Proceso</w:t>
            </w:r>
            <w:r w:rsidRPr="00A063EB">
              <w:rPr>
                <w:rFonts w:ascii="Verdana" w:eastAsia="Verdana" w:hAnsi="Verdana" w:cs="Verdana"/>
                <w:spacing w:val="-6"/>
                <w:lang w:val="es-ES"/>
              </w:rPr>
              <w:t xml:space="preserve"> </w:t>
            </w:r>
            <w:r w:rsidRPr="00A063EB">
              <w:rPr>
                <w:rFonts w:ascii="Verdana" w:eastAsia="Verdana" w:hAnsi="Verdana" w:cs="Verdana"/>
                <w:lang w:val="es-ES"/>
              </w:rPr>
              <w:t>“cualquier</w:t>
            </w:r>
            <w:r w:rsidRPr="00A063EB">
              <w:rPr>
                <w:rFonts w:ascii="Verdana" w:eastAsia="Verdana" w:hAnsi="Verdana" w:cs="Verdana"/>
                <w:spacing w:val="-2"/>
                <w:lang w:val="es-ES"/>
              </w:rPr>
              <w:t xml:space="preserve"> </w:t>
            </w:r>
            <w:r w:rsidRPr="00A063EB">
              <w:rPr>
                <w:rFonts w:ascii="Verdana" w:eastAsia="Verdana" w:hAnsi="Verdana" w:cs="Verdana"/>
                <w:lang w:val="es-ES"/>
              </w:rPr>
              <w:t>otro documento expedido por la Entidad Estatal durante el Proceso de Contratación”.</w:t>
            </w:r>
            <w:r w:rsidRPr="00A063EB">
              <w:rPr>
                <w:rFonts w:ascii="Verdana" w:eastAsia="Verdana" w:hAnsi="Verdana" w:cs="Verdana"/>
                <w:spacing w:val="-20"/>
                <w:lang w:val="es-ES"/>
              </w:rPr>
              <w:t xml:space="preserve"> </w:t>
            </w:r>
            <w:r w:rsidRPr="00A063EB">
              <w:rPr>
                <w:rFonts w:ascii="Verdana" w:eastAsia="Verdana" w:hAnsi="Verdana" w:cs="Verdana"/>
                <w:lang w:val="es-ES"/>
              </w:rPr>
              <w:t>Este</w:t>
            </w:r>
            <w:r w:rsidRPr="00A063EB">
              <w:rPr>
                <w:rFonts w:ascii="Verdana" w:eastAsia="Verdana" w:hAnsi="Verdana" w:cs="Verdana"/>
                <w:spacing w:val="-19"/>
                <w:lang w:val="es-ES"/>
              </w:rPr>
              <w:t xml:space="preserve"> </w:t>
            </w:r>
            <w:r w:rsidRPr="00A063EB">
              <w:rPr>
                <w:rFonts w:ascii="Verdana" w:eastAsia="Verdana" w:hAnsi="Verdana" w:cs="Verdana"/>
                <w:lang w:val="es-ES"/>
              </w:rPr>
              <w:t>mismo</w:t>
            </w:r>
            <w:r w:rsidRPr="00A063EB">
              <w:rPr>
                <w:rFonts w:ascii="Verdana" w:eastAsia="Verdana" w:hAnsi="Verdana" w:cs="Verdana"/>
                <w:spacing w:val="-19"/>
                <w:lang w:val="es-ES"/>
              </w:rPr>
              <w:t xml:space="preserve"> </w:t>
            </w:r>
            <w:r w:rsidRPr="00A063EB">
              <w:rPr>
                <w:rFonts w:ascii="Verdana" w:eastAsia="Verdana" w:hAnsi="Verdana" w:cs="Verdana"/>
                <w:lang w:val="es-ES"/>
              </w:rPr>
              <w:t>artículo</w:t>
            </w:r>
            <w:r w:rsidRPr="00A063EB">
              <w:rPr>
                <w:rFonts w:ascii="Verdana" w:eastAsia="Verdana" w:hAnsi="Verdana" w:cs="Verdana"/>
                <w:spacing w:val="-20"/>
                <w:lang w:val="es-ES"/>
              </w:rPr>
              <w:t xml:space="preserve"> </w:t>
            </w:r>
            <w:r w:rsidRPr="00A063EB">
              <w:rPr>
                <w:rFonts w:ascii="Verdana" w:eastAsia="Verdana" w:hAnsi="Verdana" w:cs="Verdana"/>
                <w:lang w:val="es-ES"/>
              </w:rPr>
              <w:t>define</w:t>
            </w:r>
            <w:r w:rsidRPr="00A063EB">
              <w:rPr>
                <w:rFonts w:ascii="Verdana" w:eastAsia="Verdana" w:hAnsi="Verdana" w:cs="Verdana"/>
                <w:spacing w:val="-19"/>
                <w:lang w:val="es-ES"/>
              </w:rPr>
              <w:t xml:space="preserve"> </w:t>
            </w:r>
            <w:r w:rsidRPr="00A063EB">
              <w:rPr>
                <w:rFonts w:ascii="Verdana" w:eastAsia="Verdana" w:hAnsi="Verdana" w:cs="Verdana"/>
                <w:lang w:val="es-ES"/>
              </w:rPr>
              <w:t>la</w:t>
            </w:r>
            <w:r w:rsidRPr="00A063EB">
              <w:rPr>
                <w:rFonts w:ascii="Verdana" w:eastAsia="Verdana" w:hAnsi="Verdana" w:cs="Verdana"/>
                <w:spacing w:val="-20"/>
                <w:lang w:val="es-ES"/>
              </w:rPr>
              <w:t xml:space="preserve"> </w:t>
            </w:r>
            <w:r w:rsidRPr="00A063EB">
              <w:rPr>
                <w:rFonts w:ascii="Verdana" w:eastAsia="Verdana" w:hAnsi="Verdana" w:cs="Verdana"/>
                <w:lang w:val="es-ES"/>
              </w:rPr>
              <w:t>expresión</w:t>
            </w:r>
            <w:r w:rsidRPr="00A063EB">
              <w:rPr>
                <w:rFonts w:ascii="Verdana" w:eastAsia="Verdana" w:hAnsi="Verdana" w:cs="Verdana"/>
                <w:spacing w:val="-19"/>
                <w:lang w:val="es-ES"/>
              </w:rPr>
              <w:t xml:space="preserve"> </w:t>
            </w:r>
            <w:r w:rsidRPr="00A063EB">
              <w:rPr>
                <w:rFonts w:ascii="Verdana" w:eastAsia="Verdana" w:hAnsi="Verdana" w:cs="Verdana"/>
                <w:lang w:val="es-ES"/>
              </w:rPr>
              <w:t>Proceso</w:t>
            </w:r>
            <w:r w:rsidRPr="00A063EB">
              <w:rPr>
                <w:rFonts w:ascii="Verdana" w:eastAsia="Verdana" w:hAnsi="Verdana" w:cs="Verdana"/>
                <w:spacing w:val="-19"/>
                <w:lang w:val="es-ES"/>
              </w:rPr>
              <w:t xml:space="preserve"> </w:t>
            </w:r>
            <w:r w:rsidRPr="00A063EB">
              <w:rPr>
                <w:rFonts w:ascii="Verdana" w:eastAsia="Verdana" w:hAnsi="Verdana" w:cs="Verdana"/>
                <w:lang w:val="es-ES"/>
              </w:rPr>
              <w:t>de</w:t>
            </w:r>
            <w:r w:rsidRPr="00A063EB">
              <w:rPr>
                <w:rFonts w:ascii="Verdana" w:eastAsia="Verdana" w:hAnsi="Verdana" w:cs="Verdana"/>
                <w:spacing w:val="-20"/>
                <w:lang w:val="es-ES"/>
              </w:rPr>
              <w:t xml:space="preserve"> </w:t>
            </w:r>
            <w:r w:rsidRPr="00A063EB">
              <w:rPr>
                <w:rFonts w:ascii="Verdana" w:eastAsia="Verdana" w:hAnsi="Verdana" w:cs="Verdana"/>
                <w:lang w:val="es-ES"/>
              </w:rPr>
              <w:t>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51701F96" w14:textId="77777777" w:rsidR="00DA7E97" w:rsidRPr="007F76D7" w:rsidRDefault="00DA7E97" w:rsidP="00443152">
            <w:pPr>
              <w:widowControl w:val="0"/>
              <w:autoSpaceDE w:val="0"/>
              <w:autoSpaceDN w:val="0"/>
              <w:spacing w:before="117" w:line="276" w:lineRule="auto"/>
              <w:ind w:left="105" w:right="100" w:firstLine="710"/>
              <w:jc w:val="both"/>
              <w:rPr>
                <w:rFonts w:ascii="Verdana" w:eastAsia="Calibri" w:hAnsi="Verdana" w:cs="Arial"/>
                <w:lang w:val="es-ES_tradnl"/>
              </w:rPr>
            </w:pPr>
            <w:r w:rsidRPr="00A063EB">
              <w:rPr>
                <w:rFonts w:ascii="Verdana" w:eastAsia="Calibri" w:hAnsi="Verdana" w:cs="Arial"/>
                <w:lang w:val="es-ES"/>
              </w:rPr>
              <w:t xml:space="preserve">En lo que respecta a su naturaleza jurídica las EPS pueden tener carácter público o privado, lo que se extiende la conformación de Entidades Promotoras de Salud de naturaleza mixta, es decir, con participación del Estado y los particulares. Para estos efectos, la Superintendencia Nacional de Salud autorizará como Entidades Promotoras de Salud a entidades de naturaleza pública, privada o mixta, que cumplan con los requisitos del artículo 180 de la Ley 100 de 1993. Asimismo, el literal h del artículo 181 </w:t>
            </w:r>
            <w:r w:rsidRPr="00A063EB">
              <w:rPr>
                <w:rFonts w:ascii="Verdana" w:eastAsia="Calibri" w:hAnsi="Verdana" w:cs="Arial"/>
                <w:i/>
                <w:iCs/>
                <w:lang w:val="es-ES"/>
              </w:rPr>
              <w:t>ibidem</w:t>
            </w:r>
            <w:r w:rsidRPr="00A063EB">
              <w:rPr>
                <w:rFonts w:ascii="Verdana" w:eastAsia="Calibri" w:hAnsi="Verdana" w:cs="Arial"/>
                <w:lang w:val="es-ES"/>
              </w:rPr>
              <w:t xml:space="preserve"> precisa que son EPS </w:t>
            </w:r>
            <w:r w:rsidRPr="00A063EB">
              <w:rPr>
                <w:rFonts w:ascii="Verdana" w:eastAsia="Calibri" w:hAnsi="Verdana" w:cs="Arial"/>
                <w:sz w:val="20"/>
                <w:szCs w:val="20"/>
                <w:lang w:val="es-ES"/>
              </w:rPr>
              <w:t>“</w:t>
            </w:r>
            <w:r w:rsidRPr="00A063EB">
              <w:rPr>
                <w:rFonts w:ascii="Verdana" w:eastAsia="Calibri" w:hAnsi="Verdana" w:cs="Arial"/>
                <w:lang w:val="es-ES"/>
              </w:rPr>
              <w:t xml:space="preserve">Las entidades privadas, solidarias o públicas que se creen con el propósito específico de funcionar como Entidad Promotora de Salud”. </w:t>
            </w:r>
          </w:p>
          <w:p w14:paraId="5578936F" w14:textId="77777777" w:rsidR="00DA7E97" w:rsidRPr="00A063EB" w:rsidRDefault="00DA7E97" w:rsidP="00443152">
            <w:pPr>
              <w:spacing w:line="276" w:lineRule="auto"/>
              <w:jc w:val="both"/>
              <w:rPr>
                <w:rFonts w:ascii="Verdana" w:eastAsia="Calibri" w:hAnsi="Verdana" w:cs="Arial"/>
                <w:lang w:val="es-ES"/>
              </w:rPr>
            </w:pPr>
          </w:p>
          <w:p w14:paraId="0DBCF047" w14:textId="77777777" w:rsidR="00DA7E97" w:rsidRPr="00A063EB" w:rsidRDefault="00DA7E97" w:rsidP="00443152">
            <w:pPr>
              <w:spacing w:after="120" w:line="276" w:lineRule="auto"/>
              <w:ind w:firstLine="737"/>
              <w:jc w:val="both"/>
              <w:rPr>
                <w:rFonts w:ascii="Verdana" w:eastAsia="Calibri" w:hAnsi="Verdana" w:cs="Arial"/>
                <w:lang w:val="es-ES"/>
              </w:rPr>
            </w:pPr>
            <w:r w:rsidRPr="00A063EB">
              <w:rPr>
                <w:rFonts w:ascii="Verdana" w:eastAsia="Calibri" w:hAnsi="Verdana" w:cs="Arial"/>
                <w:lang w:val="es-ES"/>
              </w:rPr>
              <w:t xml:space="preserve">El cumplimiento del deber de publicación de la documentación contractual debe armonizarse con las normas aplicables al tipo de información que estas contienen. Lo anterior significa que, respecto de datos sensibles, </w:t>
            </w:r>
            <w:r w:rsidRPr="00A063EB">
              <w:rPr>
                <w:rFonts w:ascii="Verdana" w:eastAsia="Calibri" w:hAnsi="Verdana" w:cs="Arial"/>
                <w:lang w:val="es-ES"/>
              </w:rPr>
              <w:lastRenderedPageBreak/>
              <w:t xml:space="preserve">información sometida a reserva o de la cual proceda un tratamiento especial que impida su publicidad, las entidades deberán proceder de conformidad con el tratamiento que impongan tales normas. Esto incluye tanto a la información que involucre derechos a la privacidad e intimidad de las personas como aquella amparada por el secreto comercial o industrial. </w:t>
            </w:r>
          </w:p>
          <w:p w14:paraId="245A9D4D" w14:textId="77777777" w:rsidR="00DA7E97" w:rsidRPr="00A063EB" w:rsidRDefault="00DA7E97" w:rsidP="00443152">
            <w:pPr>
              <w:spacing w:line="276" w:lineRule="auto"/>
              <w:ind w:firstLine="737"/>
              <w:jc w:val="both"/>
              <w:rPr>
                <w:rFonts w:ascii="Verdana" w:hAnsi="Verdana"/>
                <w:color w:val="000000"/>
              </w:rPr>
            </w:pPr>
          </w:p>
        </w:tc>
      </w:tr>
      <w:bookmarkEnd w:id="1"/>
    </w:tbl>
    <w:p w14:paraId="211F4EE8" w14:textId="77777777" w:rsidR="00DA7E97" w:rsidRPr="00A063EB" w:rsidRDefault="00DA7E97" w:rsidP="00DA7E97">
      <w:pPr>
        <w:tabs>
          <w:tab w:val="left" w:pos="142"/>
          <w:tab w:val="left" w:pos="284"/>
        </w:tabs>
        <w:spacing w:after="0" w:line="276" w:lineRule="auto"/>
        <w:jc w:val="both"/>
        <w:rPr>
          <w:rFonts w:ascii="Verdana" w:eastAsia="Century Gothic" w:hAnsi="Verdana" w:cs="Century Gothic"/>
          <w:b/>
          <w:bCs/>
          <w:lang w:val="es-ES"/>
        </w:rPr>
      </w:pPr>
    </w:p>
    <w:p w14:paraId="4922E390" w14:textId="77777777" w:rsidR="00DA7E97" w:rsidRPr="00A063EB" w:rsidRDefault="00DA7E97" w:rsidP="00DA7E9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A063EB">
        <w:rPr>
          <w:rFonts w:ascii="Verdana" w:eastAsia="Century Gothic" w:hAnsi="Verdana" w:cs="Century Gothic"/>
          <w:b/>
          <w:bCs/>
          <w:lang w:val="es-ES"/>
        </w:rPr>
        <w:t>Razones de la respuesta:</w:t>
      </w:r>
    </w:p>
    <w:p w14:paraId="5A80D783" w14:textId="77777777" w:rsidR="00DA7E97" w:rsidRPr="00A063EB" w:rsidRDefault="00DA7E97" w:rsidP="00DA7E97">
      <w:pPr>
        <w:spacing w:after="0" w:line="276" w:lineRule="auto"/>
        <w:jc w:val="both"/>
        <w:rPr>
          <w:rFonts w:ascii="Verdana" w:eastAsia="Calibri" w:hAnsi="Verdana" w:cs="Arial"/>
          <w:color w:val="7030A0"/>
          <w:lang w:val="es-ES"/>
        </w:rPr>
      </w:pPr>
    </w:p>
    <w:p w14:paraId="1BD8B261" w14:textId="77777777" w:rsidR="00DA7E97" w:rsidRPr="00A063EB" w:rsidRDefault="00DA7E97" w:rsidP="00DA7E97">
      <w:pPr>
        <w:spacing w:after="0" w:line="276" w:lineRule="auto"/>
        <w:jc w:val="both"/>
        <w:rPr>
          <w:rFonts w:ascii="Verdana" w:eastAsia="Calibri" w:hAnsi="Verdana" w:cs="Arial"/>
          <w:lang w:val="es-ES"/>
        </w:rPr>
      </w:pPr>
      <w:r w:rsidRPr="00A063EB">
        <w:rPr>
          <w:rFonts w:ascii="Verdana" w:eastAsia="Calibri" w:hAnsi="Verdana" w:cs="Arial"/>
          <w:lang w:val="es-ES"/>
        </w:rPr>
        <w:t>Lo anterior se sustenta en las siguientes consideraciones:</w:t>
      </w:r>
    </w:p>
    <w:p w14:paraId="633FFB64" w14:textId="77777777" w:rsidR="00DA7E97" w:rsidRPr="00A063EB" w:rsidRDefault="00DA7E97" w:rsidP="00DA7E97">
      <w:pPr>
        <w:spacing w:after="0" w:line="276" w:lineRule="auto"/>
        <w:jc w:val="both"/>
        <w:rPr>
          <w:rFonts w:ascii="Verdana" w:eastAsia="Calibri" w:hAnsi="Verdana" w:cs="Arial"/>
          <w:lang w:val="es-ES"/>
        </w:rPr>
      </w:pPr>
    </w:p>
    <w:p w14:paraId="289C2876" w14:textId="77777777" w:rsidR="00DA7E97" w:rsidRPr="00A063EB" w:rsidRDefault="00DA7E97" w:rsidP="00DA7E97">
      <w:pPr>
        <w:spacing w:line="276" w:lineRule="auto"/>
        <w:jc w:val="both"/>
        <w:rPr>
          <w:rFonts w:ascii="Verdana" w:hAnsi="Verdana" w:cs="Arial"/>
        </w:rPr>
      </w:pPr>
      <w:r w:rsidRPr="00A063EB">
        <w:rPr>
          <w:rFonts w:ascii="Verdana" w:hAnsi="Verdana" w:cs="Arial"/>
        </w:rPr>
        <w:t xml:space="preserve">En armonía con el artículo 209 constitucional, el numeral 8 del artículo 3 de la Ley 1437 de 2011 dispone que “En virtud del principio de transparencia, la actividad administrativa es del dominio público, por consiguiente, toda persona puede conocer las actuaciones de la administración, salvo reserva legal”. Además, el numeral 9 </w:t>
      </w:r>
      <w:r w:rsidRPr="00A063EB">
        <w:rPr>
          <w:rFonts w:ascii="Verdana" w:hAnsi="Verdana" w:cs="Arial"/>
          <w:i/>
          <w:iCs/>
        </w:rPr>
        <w:t>ibidem</w:t>
      </w:r>
      <w:r w:rsidRPr="00A063EB">
        <w:rPr>
          <w:rFonts w:ascii="Verdana" w:hAnsi="Verdana" w:cs="Arial"/>
        </w:rPr>
        <w:t xml:space="preserve"> precisa lo siguiente: “En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  </w:t>
      </w:r>
    </w:p>
    <w:p w14:paraId="7DC72D22" w14:textId="77777777" w:rsidR="00DA7E97" w:rsidRPr="00A063EB" w:rsidRDefault="00DA7E97" w:rsidP="00DA7E97">
      <w:pPr>
        <w:widowControl w:val="0"/>
        <w:tabs>
          <w:tab w:val="left" w:pos="728"/>
        </w:tabs>
        <w:autoSpaceDE w:val="0"/>
        <w:autoSpaceDN w:val="0"/>
        <w:spacing w:after="0" w:line="276" w:lineRule="auto"/>
        <w:jc w:val="both"/>
        <w:rPr>
          <w:rFonts w:ascii="Verdana" w:eastAsia="Arial" w:hAnsi="Verdana" w:cs="Arial"/>
          <w:lang w:val="es-ES"/>
        </w:rPr>
      </w:pPr>
      <w:r w:rsidRPr="00A063EB">
        <w:rPr>
          <w:rFonts w:ascii="Verdana" w:hAnsi="Verdana" w:cs="Arial"/>
        </w:rPr>
        <w:tab/>
      </w:r>
      <w:r w:rsidRPr="00A063EB">
        <w:rPr>
          <w:rFonts w:ascii="Verdana" w:eastAsia="Arial" w:hAnsi="Verdana" w:cs="Arial"/>
          <w:lang w:val="es-ES"/>
        </w:rPr>
        <w:t>Para la Corte Constitucional el principio de publicidad es la garantía de las personas de conocer las actuaciones judiciales y administrativas y, con base en ese conocimiento, tener la posibilidad de exigir que se realicen conforme a la ley</w:t>
      </w:r>
      <w:r w:rsidRPr="00A063EB">
        <w:rPr>
          <w:rFonts w:ascii="Verdana" w:eastAsia="Arial" w:hAnsi="Verdana" w:cs="Arial"/>
          <w:sz w:val="21"/>
          <w:szCs w:val="21"/>
          <w:vertAlign w:val="superscript"/>
          <w:lang w:val="es-ES"/>
        </w:rPr>
        <w:footnoteReference w:id="2"/>
      </w:r>
      <w:r w:rsidRPr="00A063EB">
        <w:rPr>
          <w:rFonts w:ascii="Verdana" w:eastAsia="Arial" w:hAnsi="Verdana" w:cs="Arial"/>
          <w:sz w:val="21"/>
          <w:szCs w:val="21"/>
          <w:lang w:val="es-ES"/>
        </w:rPr>
        <w:t>.</w:t>
      </w:r>
      <w:r w:rsidRPr="343B82F3">
        <w:rPr>
          <w:rFonts w:ascii="Verdana" w:eastAsia="Arial" w:hAnsi="Verdana" w:cs="Arial"/>
          <w:b/>
          <w:bCs/>
          <w:lang w:val="es-ES"/>
        </w:rPr>
        <w:t xml:space="preserve"> </w:t>
      </w:r>
      <w:r w:rsidRPr="343B82F3">
        <w:rPr>
          <w:rFonts w:ascii="Verdana" w:eastAsia="Arial" w:hAnsi="Verdana" w:cs="Arial"/>
          <w:lang w:val="es-ES"/>
        </w:rPr>
        <w:t xml:space="preserve">Este </w:t>
      </w:r>
      <w:r w:rsidRPr="00A063EB">
        <w:rPr>
          <w:rFonts w:ascii="Verdana" w:eastAsia="Arial" w:hAnsi="Verdana" w:cs="Arial"/>
          <w:lang w:val="es-ES"/>
        </w:rPr>
        <w:t>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A063EB">
        <w:rPr>
          <w:rFonts w:ascii="Verdana" w:eastAsia="Arial" w:hAnsi="Verdana" w:cs="Arial"/>
          <w:vertAlign w:val="superscript"/>
          <w:lang w:val="es-ES"/>
        </w:rPr>
        <w:footnoteReference w:id="3"/>
      </w:r>
      <w:r w:rsidRPr="00A063EB">
        <w:rPr>
          <w:rFonts w:ascii="Verdana" w:eastAsia="Arial" w:hAnsi="Verdana" w:cs="Arial"/>
          <w:lang w:val="es-ES"/>
        </w:rPr>
        <w:t xml:space="preserve">. </w:t>
      </w:r>
    </w:p>
    <w:p w14:paraId="5D1B7CF1" w14:textId="77777777" w:rsidR="00DA7E97" w:rsidRPr="00A063EB" w:rsidRDefault="00DA7E97" w:rsidP="00DA7E97">
      <w:pPr>
        <w:widowControl w:val="0"/>
        <w:tabs>
          <w:tab w:val="left" w:pos="728"/>
        </w:tabs>
        <w:autoSpaceDE w:val="0"/>
        <w:autoSpaceDN w:val="0"/>
        <w:spacing w:after="120" w:line="276" w:lineRule="auto"/>
        <w:jc w:val="both"/>
        <w:rPr>
          <w:rFonts w:ascii="Verdana" w:eastAsia="Arial" w:hAnsi="Verdana" w:cs="Arial"/>
          <w:lang w:val="es-ES"/>
        </w:rPr>
      </w:pPr>
      <w:r>
        <w:rPr>
          <w:rFonts w:ascii="Verdana" w:eastAsia="Arial" w:hAnsi="Verdana" w:cs="Arial"/>
          <w:lang w:val="es-ES"/>
        </w:rPr>
        <w:lastRenderedPageBreak/>
        <w:tab/>
      </w:r>
      <w:r w:rsidRPr="00A063EB">
        <w:rPr>
          <w:rFonts w:ascii="Verdana" w:eastAsia="Arial" w:hAnsi="Verdana" w:cs="Arial"/>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029512AE" w14:textId="77777777" w:rsidR="00DA7E97" w:rsidRPr="00A063EB" w:rsidRDefault="00DA7E97" w:rsidP="00DA7E97">
      <w:pPr>
        <w:widowControl w:val="0"/>
        <w:tabs>
          <w:tab w:val="left" w:pos="728"/>
        </w:tabs>
        <w:autoSpaceDE w:val="0"/>
        <w:autoSpaceDN w:val="0"/>
        <w:spacing w:after="120" w:line="276" w:lineRule="auto"/>
        <w:jc w:val="both"/>
        <w:rPr>
          <w:rFonts w:ascii="Verdana" w:eastAsia="Arial" w:hAnsi="Verdana" w:cs="Arial"/>
          <w:lang w:val="es-ES"/>
        </w:rPr>
      </w:pPr>
      <w:r w:rsidRPr="00A063EB">
        <w:rPr>
          <w:rFonts w:ascii="Verdana" w:eastAsia="Arial" w:hAnsi="Verdana" w:cs="Arial"/>
          <w:lang w:val="es-ES"/>
        </w:rPr>
        <w:tab/>
        <w:t>La ley citada establece, en el literal a) del artículo 5, que los sujetos obligados, que son todas las entidades públicas, deben publicar la información relativa a su contratación</w:t>
      </w:r>
      <w:r w:rsidRPr="00A063EB">
        <w:rPr>
          <w:rFonts w:ascii="Verdana" w:eastAsia="Arial" w:hAnsi="Verdana" w:cs="Arial"/>
          <w:vertAlign w:val="superscript"/>
          <w:lang w:val="es-ES"/>
        </w:rPr>
        <w:footnoteReference w:id="4"/>
      </w:r>
      <w:r w:rsidRPr="00A063EB">
        <w:rPr>
          <w:rFonts w:ascii="Verdana" w:eastAsia="Arial" w:hAnsi="Verdana" w:cs="Arial"/>
          <w:lang w:val="es-ES"/>
        </w:rPr>
        <w:t>.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w:t>
      </w:r>
      <w:r w:rsidRPr="00A063EB">
        <w:rPr>
          <w:rFonts w:ascii="Verdana" w:eastAsia="Arial" w:hAnsi="Verdana" w:cs="Arial"/>
          <w:vertAlign w:val="superscript"/>
          <w:lang w:val="es-ES"/>
        </w:rPr>
        <w:footnoteReference w:id="5"/>
      </w:r>
      <w:r w:rsidRPr="00A063EB">
        <w:rPr>
          <w:rFonts w:ascii="Verdana" w:eastAsia="Arial" w:hAnsi="Verdana" w:cs="Arial"/>
          <w:lang w:val="es-ES"/>
        </w:rPr>
        <w:t>.</w:t>
      </w:r>
    </w:p>
    <w:p w14:paraId="2BFA4A9E" w14:textId="77777777" w:rsidR="00DA7E97" w:rsidRPr="00A063EB" w:rsidRDefault="00DA7E97" w:rsidP="00DA7E97">
      <w:pPr>
        <w:widowControl w:val="0"/>
        <w:tabs>
          <w:tab w:val="left" w:pos="728"/>
        </w:tabs>
        <w:autoSpaceDE w:val="0"/>
        <w:autoSpaceDN w:val="0"/>
        <w:spacing w:after="0" w:line="276" w:lineRule="auto"/>
        <w:jc w:val="both"/>
        <w:rPr>
          <w:rFonts w:ascii="Verdana" w:eastAsia="Arial" w:hAnsi="Verdana" w:cs="Arial"/>
          <w:lang w:val="es-ES"/>
        </w:rPr>
      </w:pPr>
      <w:r w:rsidRPr="00A063EB">
        <w:rPr>
          <w:rFonts w:ascii="Verdana" w:eastAsia="Arial" w:hAnsi="Verdana" w:cs="Arial"/>
          <w:lang w:val="es-ES"/>
        </w:rPr>
        <w:tab/>
        <w:t xml:space="preserve">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w:t>
      </w:r>
      <w:r w:rsidRPr="00A063EB">
        <w:rPr>
          <w:rFonts w:ascii="Verdana" w:eastAsia="Arial" w:hAnsi="Verdana" w:cs="Arial"/>
          <w:lang w:val="es-ES"/>
        </w:rPr>
        <w:lastRenderedPageBreak/>
        <w:t>información pública, acceder a la misma y difundirla o publicarla, según su interés</w:t>
      </w:r>
      <w:r w:rsidRPr="00A063EB">
        <w:rPr>
          <w:rFonts w:ascii="Verdana" w:eastAsia="Arial" w:hAnsi="Verdana" w:cs="Arial"/>
          <w:vertAlign w:val="superscript"/>
          <w:lang w:val="es-ES"/>
        </w:rPr>
        <w:footnoteReference w:id="6"/>
      </w:r>
      <w:r w:rsidRPr="00A063EB">
        <w:rPr>
          <w:rFonts w:ascii="Verdana" w:eastAsia="Arial" w:hAnsi="Verdana" w:cs="Arial"/>
          <w:lang w:val="es-ES"/>
        </w:rPr>
        <w:t>.</w:t>
      </w:r>
    </w:p>
    <w:p w14:paraId="3C0D6C16" w14:textId="77777777" w:rsidR="00DA7E97" w:rsidRPr="00A063EB" w:rsidRDefault="00DA7E97" w:rsidP="00DA7E97">
      <w:pPr>
        <w:widowControl w:val="0"/>
        <w:tabs>
          <w:tab w:val="left" w:pos="728"/>
        </w:tabs>
        <w:autoSpaceDE w:val="0"/>
        <w:autoSpaceDN w:val="0"/>
        <w:spacing w:after="0" w:line="276" w:lineRule="auto"/>
        <w:jc w:val="both"/>
        <w:rPr>
          <w:rFonts w:ascii="Verdana" w:eastAsia="Arial" w:hAnsi="Verdana" w:cs="Arial"/>
          <w:lang w:val="es-ES"/>
        </w:rPr>
      </w:pPr>
    </w:p>
    <w:p w14:paraId="69F86CEB" w14:textId="77777777" w:rsidR="00DA7E97" w:rsidRPr="00A063EB" w:rsidRDefault="00DA7E97" w:rsidP="00DA7E97">
      <w:pPr>
        <w:spacing w:line="276" w:lineRule="auto"/>
        <w:ind w:firstLine="708"/>
        <w:contextualSpacing/>
        <w:jc w:val="both"/>
        <w:rPr>
          <w:rFonts w:ascii="Verdana" w:eastAsia="Calibri" w:hAnsi="Verdana" w:cs="Arial"/>
          <w:lang w:val="es-ES_tradnl" w:eastAsia="es-ES_tradnl"/>
        </w:rPr>
      </w:pPr>
      <w:r w:rsidRPr="00A063EB">
        <w:rPr>
          <w:rFonts w:ascii="Verdana" w:hAnsi="Verdana" w:cs="Arial"/>
          <w:lang w:val="es-ES"/>
        </w:rPr>
        <w:t xml:space="preserve">Tratándose de los contratos de régimen exceptuado, el deber de publicidad y transparencia </w:t>
      </w:r>
      <w:bookmarkStart w:id="3" w:name="_Hlk114572097"/>
      <w:bookmarkStart w:id="4" w:name="_Hlk112856043"/>
      <w:bookmarkStart w:id="5" w:name="_Hlk112245356"/>
      <w:r w:rsidRPr="00A063EB">
        <w:rPr>
          <w:rFonts w:ascii="Verdana" w:hAnsi="Verdana" w:cs="Arial"/>
          <w:lang w:val="es-ES"/>
        </w:rPr>
        <w:t>fue complementado</w:t>
      </w:r>
      <w:r w:rsidRPr="00A063EB">
        <w:rPr>
          <w:rFonts w:ascii="Verdana" w:hAnsi="Verdana" w:cs="Arial"/>
        </w:rPr>
        <w:t xml:space="preserve"> con la Ley 2195 de 2022. </w:t>
      </w:r>
      <w:r w:rsidRPr="00A063EB">
        <w:rPr>
          <w:rFonts w:ascii="Verdana" w:eastAsia="Calibri" w:hAnsi="Verdana" w:cs="Arial"/>
          <w:lang w:val="es-ES_tradnl" w:eastAsia="es-ES_tradnl"/>
        </w:rPr>
        <w:t>Según el artículo 1, esta Ley “</w:t>
      </w:r>
      <w:r w:rsidRPr="00A063EB">
        <w:rPr>
          <w:rFonts w:ascii="Verdana" w:eastAsia="Times New Roman" w:hAnsi="Verdana" w:cs="Arial"/>
          <w:lang w:val="es-ES_tradnl" w:eastAsia="es-ES_tradnl"/>
        </w:rPr>
        <w:t xml:space="preserve">[…] </w:t>
      </w:r>
      <w:r w:rsidRPr="00A063EB">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7A7766E8" w14:textId="77777777" w:rsidR="00DA7E97" w:rsidRPr="00A063EB" w:rsidRDefault="00DA7E97" w:rsidP="00DA7E97">
      <w:pPr>
        <w:spacing w:line="276" w:lineRule="auto"/>
        <w:ind w:firstLine="709"/>
        <w:contextualSpacing/>
        <w:jc w:val="both"/>
        <w:rPr>
          <w:rFonts w:ascii="Verdana" w:eastAsia="Calibri" w:hAnsi="Verdana" w:cs="Arial"/>
          <w:sz w:val="12"/>
          <w:szCs w:val="12"/>
          <w:lang w:val="es-ES_tradnl" w:eastAsia="es-ES_tradnl"/>
        </w:rPr>
      </w:pPr>
    </w:p>
    <w:p w14:paraId="51B3D5EE" w14:textId="77777777" w:rsidR="00DA7E97" w:rsidRPr="00A063EB" w:rsidRDefault="00DA7E97" w:rsidP="00DA7E97">
      <w:pPr>
        <w:spacing w:line="276" w:lineRule="auto"/>
        <w:ind w:firstLine="709"/>
        <w:contextualSpacing/>
        <w:jc w:val="both"/>
        <w:rPr>
          <w:rFonts w:ascii="Verdana" w:hAnsi="Verdana" w:cs="Arial"/>
        </w:rPr>
      </w:pPr>
      <w:r w:rsidRPr="00A063EB">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A063EB">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3"/>
      <w:r w:rsidRPr="00A063EB">
        <w:rPr>
          <w:rFonts w:ascii="Verdana" w:hAnsi="Verdana" w:cs="Arial"/>
        </w:rPr>
        <w:t xml:space="preserve"> </w:t>
      </w:r>
      <w:bookmarkEnd w:id="4"/>
      <w:bookmarkEnd w:id="5"/>
      <w:r w:rsidRPr="00A063EB">
        <w:rPr>
          <w:rFonts w:ascii="Verdana" w:hAnsi="Verdana" w:cs="Arial"/>
        </w:rPr>
        <w:t>Al respecto, la norma citada dispone lo siguiente:</w:t>
      </w:r>
    </w:p>
    <w:p w14:paraId="7B22EAD7" w14:textId="77777777" w:rsidR="00DA7E97" w:rsidRPr="00A063EB" w:rsidRDefault="00DA7E97" w:rsidP="00DA7E97">
      <w:pPr>
        <w:spacing w:line="276" w:lineRule="auto"/>
        <w:ind w:firstLine="301"/>
        <w:contextualSpacing/>
        <w:rPr>
          <w:rFonts w:ascii="Verdana" w:hAnsi="Verdana" w:cs="Arial"/>
        </w:rPr>
      </w:pPr>
    </w:p>
    <w:p w14:paraId="05984314" w14:textId="77777777" w:rsidR="00DA7E97" w:rsidRPr="00A063EB" w:rsidRDefault="00DA7E97" w:rsidP="00DA7E97">
      <w:pPr>
        <w:spacing w:line="240" w:lineRule="auto"/>
        <w:ind w:left="709" w:right="709"/>
        <w:contextualSpacing/>
        <w:jc w:val="both"/>
        <w:rPr>
          <w:rFonts w:ascii="Verdana" w:eastAsia="Calibri" w:hAnsi="Verdana" w:cs="Arial"/>
          <w:sz w:val="21"/>
          <w:szCs w:val="21"/>
        </w:rPr>
      </w:pPr>
      <w:r w:rsidRPr="00A063EB">
        <w:rPr>
          <w:rFonts w:ascii="Verdana" w:eastAsia="Calibri" w:hAnsi="Verdana" w:cs="Arial"/>
          <w:sz w:val="21"/>
          <w:szCs w:val="21"/>
        </w:rPr>
        <w:t>“Adiciónese los siguientes incisos al artículo 13 de la Ley 1150 de 2007, el cual quedará así:</w:t>
      </w:r>
    </w:p>
    <w:p w14:paraId="3D520B3E" w14:textId="77777777" w:rsidR="00DA7E97" w:rsidRPr="00A063EB" w:rsidRDefault="00DA7E97" w:rsidP="00DA7E97">
      <w:pPr>
        <w:spacing w:line="240" w:lineRule="auto"/>
        <w:ind w:left="709" w:right="709"/>
        <w:contextualSpacing/>
        <w:jc w:val="both"/>
        <w:rPr>
          <w:rFonts w:ascii="Verdana" w:eastAsia="Calibri" w:hAnsi="Verdana" w:cs="Arial"/>
          <w:sz w:val="12"/>
          <w:szCs w:val="12"/>
        </w:rPr>
      </w:pPr>
    </w:p>
    <w:p w14:paraId="0F860D1D" w14:textId="77777777" w:rsidR="00DA7E97" w:rsidRPr="00A063EB" w:rsidRDefault="00DA7E97" w:rsidP="00DA7E97">
      <w:pPr>
        <w:spacing w:line="240" w:lineRule="auto"/>
        <w:ind w:left="709" w:right="709"/>
        <w:contextualSpacing/>
        <w:jc w:val="both"/>
        <w:rPr>
          <w:rFonts w:ascii="Verdana" w:eastAsia="Calibri" w:hAnsi="Verdana" w:cs="Arial"/>
          <w:sz w:val="21"/>
          <w:szCs w:val="21"/>
        </w:rPr>
      </w:pPr>
      <w:r w:rsidRPr="00A063EB">
        <w:rPr>
          <w:rFonts w:ascii="Verdana" w:eastAsia="Calibri" w:hAnsi="Verdana" w:cs="Arial"/>
          <w:sz w:val="21"/>
          <w:szCs w:val="21"/>
        </w:rPr>
        <w:t xml:space="preserve">Artículo 13. PRINCIPIOS GENERALES DE LA ACTIVIDAD CONTRACTUAL PARA ENTIDADES NO SOMETIDAS AL ESTATUTO GENERAL DE CONTRATACIÓN DE LA ADMINISTRACIÓN PÚBLICA. </w:t>
      </w:r>
      <w:bookmarkStart w:id="6" w:name="_Hlk153374976"/>
      <w:r w:rsidRPr="00A063EB">
        <w:rPr>
          <w:rFonts w:ascii="Verdana" w:eastAsia="Calibri" w:hAnsi="Verdana" w:cs="Arial"/>
          <w:sz w:val="21"/>
          <w:szCs w:val="21"/>
        </w:rPr>
        <w:t>Las entidades estatales que por disposición legal cuenten con un régimen contractual excepcional al del Estatuto General de Contratación de la Administración Pública</w:t>
      </w:r>
      <w:bookmarkEnd w:id="6"/>
      <w:r w:rsidRPr="00A063EB">
        <w:rPr>
          <w:rFonts w:ascii="Verdana" w:eastAsia="Calibri" w:hAnsi="Verdana" w:cs="Arial"/>
          <w:sz w:val="21"/>
          <w:szCs w:val="21"/>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4B1BEDE" w14:textId="77777777" w:rsidR="00DA7E97" w:rsidRPr="00A063EB" w:rsidRDefault="00DA7E97" w:rsidP="00DA7E97">
      <w:pPr>
        <w:spacing w:line="240" w:lineRule="auto"/>
        <w:ind w:left="709" w:right="709"/>
        <w:contextualSpacing/>
        <w:jc w:val="both"/>
        <w:rPr>
          <w:rFonts w:ascii="Verdana" w:eastAsia="Calibri" w:hAnsi="Verdana" w:cs="Arial"/>
          <w:sz w:val="12"/>
          <w:szCs w:val="12"/>
        </w:rPr>
      </w:pPr>
    </w:p>
    <w:p w14:paraId="51F4205E" w14:textId="77777777" w:rsidR="00DA7E97" w:rsidRPr="00A063EB" w:rsidRDefault="00DA7E97" w:rsidP="00DA7E97">
      <w:pPr>
        <w:spacing w:line="240" w:lineRule="auto"/>
        <w:ind w:left="709" w:right="709"/>
        <w:contextualSpacing/>
        <w:jc w:val="both"/>
        <w:rPr>
          <w:rFonts w:ascii="Verdana" w:eastAsia="Calibri" w:hAnsi="Verdana" w:cs="Arial"/>
          <w:sz w:val="21"/>
          <w:szCs w:val="21"/>
        </w:rPr>
      </w:pPr>
      <w:r w:rsidRPr="00A063EB">
        <w:rPr>
          <w:rFonts w:ascii="Verdana" w:eastAsia="Calibri" w:hAnsi="Verdana" w:cs="Arial"/>
          <w:sz w:val="21"/>
          <w:szCs w:val="21"/>
        </w:rPr>
        <w:t xml:space="preserve">En desarrollo de los anteriores principios, </w:t>
      </w:r>
      <w:bookmarkStart w:id="7" w:name="_Hlk153375008"/>
      <w:r w:rsidRPr="00A063EB">
        <w:rPr>
          <w:rFonts w:ascii="Verdana" w:eastAsia="Calibri" w:hAnsi="Verdana" w:cs="Arial"/>
          <w:sz w:val="21"/>
          <w:szCs w:val="21"/>
        </w:rPr>
        <w:t>deberán publicar los documentos relacionados con su actividad contractual en el Sistema Electrónico para la Contratación Pública –SECOP II– o la plataforma transaccional que haga sus veces</w:t>
      </w:r>
      <w:bookmarkEnd w:id="7"/>
      <w:r w:rsidRPr="00A063EB">
        <w:rPr>
          <w:rFonts w:ascii="Verdana" w:eastAsia="Calibri" w:hAnsi="Verdana" w:cs="Arial"/>
          <w:sz w:val="21"/>
          <w:szCs w:val="21"/>
        </w:rPr>
        <w:t xml:space="preserve">. Para los efectos de este artículo, se </w:t>
      </w:r>
      <w:r w:rsidRPr="00A063EB">
        <w:rPr>
          <w:rFonts w:ascii="Verdana" w:eastAsia="Calibri" w:hAnsi="Verdana" w:cs="Arial"/>
          <w:sz w:val="21"/>
          <w:szCs w:val="21"/>
        </w:rPr>
        <w:lastRenderedPageBreak/>
        <w:t xml:space="preserve">entiende por actividad contractual </w:t>
      </w:r>
      <w:bookmarkStart w:id="8" w:name="_Hlk153375262"/>
      <w:r w:rsidRPr="00A063EB">
        <w:rPr>
          <w:rFonts w:ascii="Verdana" w:eastAsia="Calibri" w:hAnsi="Verdana" w:cs="Arial"/>
          <w:sz w:val="21"/>
          <w:szCs w:val="21"/>
        </w:rPr>
        <w:t xml:space="preserve">los documentos, contratos, actos e información generada por oferentes, contratista, contratante, supervisor o interventor, tanto en la etapa precontractual, como en la contractual y la </w:t>
      </w:r>
      <w:proofErr w:type="spellStart"/>
      <w:r w:rsidRPr="00A063EB">
        <w:rPr>
          <w:rFonts w:ascii="Verdana" w:eastAsia="Calibri" w:hAnsi="Verdana" w:cs="Arial"/>
          <w:sz w:val="21"/>
          <w:szCs w:val="21"/>
        </w:rPr>
        <w:t>postcontractual</w:t>
      </w:r>
      <w:bookmarkEnd w:id="8"/>
      <w:proofErr w:type="spellEnd"/>
      <w:r w:rsidRPr="00A063EB">
        <w:rPr>
          <w:rFonts w:ascii="Verdana" w:eastAsia="Calibri" w:hAnsi="Verdana" w:cs="Arial"/>
          <w:sz w:val="21"/>
          <w:szCs w:val="21"/>
        </w:rPr>
        <w:t>.</w:t>
      </w:r>
    </w:p>
    <w:p w14:paraId="1D8A8833" w14:textId="77777777" w:rsidR="00DA7E97" w:rsidRPr="00A063EB" w:rsidRDefault="00DA7E97" w:rsidP="00DA7E97">
      <w:pPr>
        <w:spacing w:line="240" w:lineRule="auto"/>
        <w:ind w:left="709" w:right="709"/>
        <w:contextualSpacing/>
        <w:jc w:val="both"/>
        <w:rPr>
          <w:rFonts w:ascii="Verdana" w:eastAsia="Calibri" w:hAnsi="Verdana" w:cs="Arial"/>
          <w:i/>
          <w:iCs/>
          <w:sz w:val="12"/>
          <w:szCs w:val="12"/>
        </w:rPr>
      </w:pPr>
    </w:p>
    <w:p w14:paraId="6697BC08" w14:textId="77777777" w:rsidR="00DA7E97" w:rsidRPr="00A063EB" w:rsidRDefault="00DA7E97" w:rsidP="00DA7E97">
      <w:pPr>
        <w:spacing w:line="240" w:lineRule="auto"/>
        <w:ind w:left="709" w:right="709"/>
        <w:contextualSpacing/>
        <w:jc w:val="both"/>
        <w:rPr>
          <w:rFonts w:ascii="Verdana" w:eastAsia="Calibri" w:hAnsi="Verdana" w:cs="Arial"/>
          <w:sz w:val="21"/>
          <w:szCs w:val="21"/>
        </w:rPr>
      </w:pPr>
      <w:r w:rsidRPr="00A063EB">
        <w:rPr>
          <w:rFonts w:ascii="Verdana" w:eastAsia="Calibri" w:hAnsi="Verdana" w:cs="Arial"/>
          <w:sz w:val="21"/>
          <w:szCs w:val="21"/>
        </w:rPr>
        <w:t xml:space="preserve">A partir de la </w:t>
      </w:r>
      <w:proofErr w:type="gramStart"/>
      <w:r w:rsidRPr="00A063EB">
        <w:rPr>
          <w:rFonts w:ascii="Verdana" w:eastAsia="Calibri" w:hAnsi="Verdana" w:cs="Arial"/>
          <w:sz w:val="21"/>
          <w:szCs w:val="21"/>
        </w:rPr>
        <w:t>entrada en vigencia</w:t>
      </w:r>
      <w:proofErr w:type="gramEnd"/>
      <w:r w:rsidRPr="00A063EB">
        <w:rPr>
          <w:rFonts w:ascii="Verdana" w:eastAsia="Calibri" w:hAnsi="Verdana" w:cs="Arial"/>
          <w:sz w:val="21"/>
          <w:szCs w:val="21"/>
        </w:rPr>
        <w:t xml:space="preserve"> de la presente Ley, se establecerá un periodo de transición de seis (6) meses, para que las entidades den cumplimiento efectivo a lo aquí establecido”.</w:t>
      </w:r>
    </w:p>
    <w:p w14:paraId="66155EE3" w14:textId="77777777" w:rsidR="00DA7E97" w:rsidRPr="00A063EB" w:rsidRDefault="00DA7E97" w:rsidP="00DA7E97">
      <w:pPr>
        <w:spacing w:line="276" w:lineRule="auto"/>
        <w:ind w:firstLine="709"/>
        <w:contextualSpacing/>
        <w:jc w:val="both"/>
        <w:rPr>
          <w:rFonts w:ascii="Verdana" w:eastAsia="Calibri" w:hAnsi="Verdana" w:cs="Arial"/>
          <w:lang w:val="es-ES_tradnl"/>
        </w:rPr>
      </w:pPr>
    </w:p>
    <w:p w14:paraId="5CE61E74" w14:textId="77777777" w:rsidR="00DA7E97" w:rsidRPr="00A063EB" w:rsidRDefault="00DA7E97" w:rsidP="00DA7E97">
      <w:pPr>
        <w:spacing w:after="120" w:line="276" w:lineRule="auto"/>
        <w:ind w:firstLine="709"/>
        <w:jc w:val="both"/>
        <w:rPr>
          <w:rFonts w:ascii="Verdana" w:eastAsia="Calibri" w:hAnsi="Verdana" w:cs="Arial"/>
          <w:lang w:val="es-ES_tradnl"/>
        </w:rPr>
      </w:pPr>
      <w:bookmarkStart w:id="9" w:name="_Hlk114556636"/>
      <w:r w:rsidRPr="00A063EB">
        <w:rPr>
          <w:rFonts w:ascii="Verdana" w:hAnsi="Verdana"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A063EB">
        <w:rPr>
          <w:rFonts w:ascii="Verdana" w:eastAsia="Calibri" w:hAnsi="Verdana"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9"/>
    <w:p w14:paraId="032B28E1" w14:textId="77777777" w:rsidR="00DA7E97" w:rsidRPr="00A063EB" w:rsidRDefault="00DA7E97" w:rsidP="00DA7E97">
      <w:pPr>
        <w:spacing w:after="0" w:line="276" w:lineRule="auto"/>
        <w:ind w:firstLine="709"/>
        <w:jc w:val="both"/>
        <w:rPr>
          <w:rFonts w:ascii="Verdana" w:eastAsia="Calibri" w:hAnsi="Verdana" w:cs="Arial"/>
          <w:lang w:val="es-ES"/>
        </w:rPr>
      </w:pPr>
      <w:r w:rsidRPr="00A063EB">
        <w:rPr>
          <w:rFonts w:ascii="Verdana" w:eastAsia="Calibri" w:hAnsi="Verdana" w:cs="Arial"/>
          <w:lang w:val="es-ES"/>
        </w:rPr>
        <w:t>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su actividad contractual desarrollada al margen del Estatuto General de Contratación de la Administración Pública.</w:t>
      </w:r>
    </w:p>
    <w:p w14:paraId="29CBDFF6" w14:textId="77777777" w:rsidR="00DA7E97" w:rsidRPr="00A063EB" w:rsidRDefault="00DA7E97" w:rsidP="00DA7E97">
      <w:pPr>
        <w:spacing w:after="0" w:line="276" w:lineRule="auto"/>
        <w:ind w:firstLine="709"/>
        <w:jc w:val="both"/>
        <w:rPr>
          <w:rFonts w:ascii="Verdana" w:eastAsia="Calibri" w:hAnsi="Verdana" w:cs="Arial"/>
          <w:lang w:val="es-ES_tradnl"/>
        </w:rPr>
      </w:pPr>
    </w:p>
    <w:p w14:paraId="0D5B97E5" w14:textId="77777777" w:rsidR="00DA7E97" w:rsidRPr="00A063EB" w:rsidRDefault="00DA7E97" w:rsidP="00DA7E97">
      <w:pPr>
        <w:spacing w:line="276" w:lineRule="auto"/>
        <w:ind w:firstLine="708"/>
        <w:jc w:val="both"/>
        <w:rPr>
          <w:rFonts w:ascii="Verdana" w:eastAsia="Calibri" w:hAnsi="Verdana" w:cs="Arial"/>
          <w:lang w:val="es-ES_tradnl"/>
        </w:rPr>
      </w:pPr>
      <w:r w:rsidRPr="00A063EB">
        <w:rPr>
          <w:rFonts w:ascii="Verdana" w:eastAsia="Calibri" w:hAnsi="Verdana" w:cs="Arial"/>
          <w:lang w:val="es-ES"/>
        </w:rPr>
        <w:t xml:space="preserve">De acuerdo con el artículo 177 de la Ley 100 de 1993, “Las Entidades Promotoras de Salud son las entidades responsables de la afiliación y el registro de los afiliados y del recaudo de sus cotizaciones, por delegación del Fondo de Solidaridad y Garantía […]”. De acuerdo con la norma precitada, su función principal consiste en “[…] organizar y garantizar, directa o indirectamente, la prestación del Plan de Salud Obligatorio a los afiliados y girar […] la diferencia entre los ingresos por cotizaciones de sus afiliados y el valor de las correspondientes Unidades de Pago por Capitación al Fondo de Solidaridad y Garantía […]”. </w:t>
      </w:r>
    </w:p>
    <w:p w14:paraId="0DDEE72A" w14:textId="77777777" w:rsidR="00DA7E97" w:rsidRPr="00A063EB" w:rsidRDefault="00DA7E97" w:rsidP="00DA7E97">
      <w:pPr>
        <w:spacing w:line="276" w:lineRule="auto"/>
        <w:jc w:val="both"/>
        <w:rPr>
          <w:rFonts w:ascii="Verdana" w:eastAsia="Calibri" w:hAnsi="Verdana" w:cs="Arial"/>
          <w:lang w:val="es-ES"/>
        </w:rPr>
      </w:pPr>
      <w:r w:rsidRPr="00A063EB">
        <w:rPr>
          <w:rFonts w:ascii="Verdana" w:eastAsia="Calibri" w:hAnsi="Verdana" w:cs="Arial"/>
          <w:lang w:val="es-ES_tradnl"/>
        </w:rPr>
        <w:tab/>
      </w:r>
      <w:r w:rsidRPr="00A063EB">
        <w:rPr>
          <w:rFonts w:ascii="Verdana" w:eastAsia="Calibri" w:hAnsi="Verdana" w:cs="Arial"/>
          <w:lang w:val="es-ES"/>
        </w:rPr>
        <w:t xml:space="preserve">En lo que respecta a su naturaleza jurídica las EPS pueden tener carácter público o privado, lo que se extiende la conformación de Entidades Promotoras </w:t>
      </w:r>
      <w:r w:rsidRPr="00A063EB">
        <w:rPr>
          <w:rFonts w:ascii="Verdana" w:eastAsia="Calibri" w:hAnsi="Verdana" w:cs="Arial"/>
          <w:lang w:val="es-ES"/>
        </w:rPr>
        <w:lastRenderedPageBreak/>
        <w:t xml:space="preserve">de Salud de naturaleza mixta, es decir, con participación del Estado y los particulares. Para estos efectos, la Superintendencia Nacional de Salud autorizará como Entidades Promotoras de Salud a entidades de naturaleza pública, privada o mixta, que cumplan con los requisitos del artículo 180 de la Ley 100 de 1993. Asimismo, el literal h del artículo 181 </w:t>
      </w:r>
      <w:r w:rsidRPr="00A063EB">
        <w:rPr>
          <w:rFonts w:ascii="Verdana" w:eastAsia="Calibri" w:hAnsi="Verdana" w:cs="Arial"/>
          <w:i/>
          <w:iCs/>
          <w:lang w:val="es-ES"/>
        </w:rPr>
        <w:t>ibidem</w:t>
      </w:r>
      <w:r w:rsidRPr="00A063EB">
        <w:rPr>
          <w:rFonts w:ascii="Verdana" w:eastAsia="Calibri" w:hAnsi="Verdana" w:cs="Arial"/>
          <w:lang w:val="es-ES"/>
        </w:rPr>
        <w:t xml:space="preserve"> precisa que son EPS </w:t>
      </w:r>
      <w:r w:rsidRPr="00A063EB">
        <w:rPr>
          <w:rFonts w:ascii="Verdana" w:eastAsia="Calibri" w:hAnsi="Verdana" w:cs="Arial"/>
          <w:sz w:val="20"/>
          <w:szCs w:val="20"/>
          <w:lang w:val="es-ES"/>
        </w:rPr>
        <w:t>“</w:t>
      </w:r>
      <w:r w:rsidRPr="00A063EB">
        <w:rPr>
          <w:rFonts w:ascii="Verdana" w:eastAsia="Calibri" w:hAnsi="Verdana" w:cs="Arial"/>
          <w:lang w:val="es-ES"/>
        </w:rPr>
        <w:t xml:space="preserve">Las entidades privadas, solidarias o públicas que se creen con el propósito específico de funcionar como Entidad Promotora de Salud”. </w:t>
      </w:r>
    </w:p>
    <w:p w14:paraId="3B56E7DC" w14:textId="77777777" w:rsidR="00DA7E97" w:rsidRPr="00A063EB" w:rsidRDefault="00DA7E97" w:rsidP="00DA7E97">
      <w:pPr>
        <w:spacing w:line="276" w:lineRule="auto"/>
        <w:jc w:val="both"/>
        <w:rPr>
          <w:rFonts w:ascii="Verdana" w:eastAsia="Calibri" w:hAnsi="Verdana" w:cs="Arial"/>
          <w:lang w:val="es-ES"/>
        </w:rPr>
      </w:pPr>
      <w:r w:rsidRPr="00A063EB">
        <w:rPr>
          <w:rFonts w:ascii="Verdana" w:eastAsia="Calibri" w:hAnsi="Verdana" w:cs="Arial"/>
          <w:lang w:val="es-ES_tradnl"/>
        </w:rPr>
        <w:tab/>
      </w:r>
      <w:r w:rsidRPr="00A063EB">
        <w:rPr>
          <w:rFonts w:ascii="Verdana" w:eastAsia="Calibri" w:hAnsi="Verdana" w:cs="Arial"/>
          <w:lang w:val="es-ES"/>
        </w:rPr>
        <w:t xml:space="preserve">Independientemente de la naturaleza jurídica, el literal c) artículo 3 de la Ley 1150 del 16 de julio de 2007 dispone que el SECOP “Contará con la información oficial de la contratación realizada con </w:t>
      </w:r>
      <w:r w:rsidRPr="00A063EB">
        <w:rPr>
          <w:rFonts w:ascii="Verdana" w:eastAsia="Calibri" w:hAnsi="Verdana" w:cs="Arial"/>
          <w:i/>
          <w:iCs/>
          <w:lang w:val="es-ES"/>
        </w:rPr>
        <w:t>dineros públicos</w:t>
      </w:r>
      <w:r w:rsidRPr="00A063EB">
        <w:rPr>
          <w:rFonts w:ascii="Verdana" w:eastAsia="Calibri" w:hAnsi="Verdana" w:cs="Arial"/>
          <w:lang w:val="es-ES"/>
        </w:rPr>
        <w:t>, para lo cual establecerá los patrones a que haya lugar y se encargará de su difusión a través de canales electrónicos” (Énfasis fuera de texto). Esto significa que el criterio determinante para que las EPS de carácter privado estén obligadas a publicar en el SECOP radica en la celebración de contratos con recursos públicos. Es decir, en aquellos negocios jurídicos que no involucren recursos de esta naturaleza, no surge el deber de publicidad, ya que se trata de un interés netamente privado.</w:t>
      </w:r>
    </w:p>
    <w:p w14:paraId="1009C635" w14:textId="77777777" w:rsidR="00DA7E97" w:rsidRPr="00A063EB" w:rsidRDefault="00DA7E97" w:rsidP="00DA7E97">
      <w:pPr>
        <w:spacing w:after="0" w:line="276" w:lineRule="auto"/>
        <w:jc w:val="both"/>
        <w:rPr>
          <w:rFonts w:ascii="Verdana" w:eastAsia="Calibri" w:hAnsi="Verdana" w:cs="Arial"/>
          <w:lang w:val="es-ES_tradnl"/>
        </w:rPr>
      </w:pPr>
      <w:r w:rsidRPr="00A063EB">
        <w:rPr>
          <w:rFonts w:ascii="Verdana" w:eastAsia="Calibri" w:hAnsi="Verdana" w:cs="Arial"/>
          <w:lang w:val="es-ES_tradnl"/>
        </w:rPr>
        <w:tab/>
        <w:t xml:space="preserve"> </w:t>
      </w:r>
    </w:p>
    <w:p w14:paraId="62058637" w14:textId="77777777" w:rsidR="00DA7E97" w:rsidRPr="00A063EB" w:rsidRDefault="00DA7E97" w:rsidP="00DA7E97">
      <w:pPr>
        <w:spacing w:after="0" w:line="276" w:lineRule="auto"/>
        <w:jc w:val="both"/>
        <w:rPr>
          <w:rFonts w:ascii="Verdana" w:eastAsia="Calibri" w:hAnsi="Verdana" w:cs="Arial"/>
          <w:lang w:val="es-ES_tradnl"/>
        </w:rPr>
      </w:pPr>
      <w:r w:rsidRPr="00A063EB">
        <w:rPr>
          <w:rFonts w:ascii="Verdana" w:eastAsia="Calibri" w:hAnsi="Verdana" w:cs="Arial"/>
          <w:lang w:val="es-ES_tradnl"/>
        </w:rPr>
        <w:t xml:space="preserve"> </w:t>
      </w:r>
    </w:p>
    <w:p w14:paraId="08FAD735" w14:textId="77777777" w:rsidR="00DA7E97" w:rsidRPr="00A063EB" w:rsidRDefault="00DA7E97" w:rsidP="00DA7E97">
      <w:pPr>
        <w:spacing w:after="120" w:line="276" w:lineRule="auto"/>
        <w:ind w:firstLine="708"/>
        <w:jc w:val="both"/>
        <w:rPr>
          <w:rFonts w:ascii="Verdana" w:eastAsia="Calibri" w:hAnsi="Verdana" w:cs="Arial"/>
          <w:color w:val="000000" w:themeColor="text1"/>
          <w:lang w:val="es-ES"/>
        </w:rPr>
      </w:pPr>
      <w:r w:rsidRPr="00A063EB">
        <w:rPr>
          <w:rFonts w:ascii="Verdana" w:eastAsia="Calibri" w:hAnsi="Verdana" w:cs="Arial"/>
          <w:lang w:val="es-ES"/>
        </w:rPr>
        <w:t>Dicho módulo de “régimen especial” existe en tanto en SECOP I</w:t>
      </w:r>
      <w:r w:rsidRPr="00A063EB">
        <w:rPr>
          <w:rFonts w:ascii="Verdana" w:eastAsia="Calibri" w:hAnsi="Verdana" w:cs="Arial"/>
          <w:vertAlign w:val="superscript"/>
          <w:lang w:val="es-ES"/>
        </w:rPr>
        <w:footnoteReference w:id="7"/>
      </w:r>
      <w:r w:rsidRPr="00A063EB">
        <w:rPr>
          <w:rFonts w:ascii="Verdana" w:eastAsia="Calibri" w:hAnsi="Verdana" w:cs="Arial"/>
          <w:lang w:val="es-ES"/>
        </w:rPr>
        <w:t xml:space="preserve"> como en SECOP II, incluso, en esta última plataforma, distingue entre “régimen especial con ofertas”</w:t>
      </w:r>
      <w:r w:rsidRPr="00A063EB">
        <w:rPr>
          <w:rFonts w:ascii="Verdana" w:eastAsia="Calibri" w:hAnsi="Verdana" w:cs="Arial"/>
          <w:vertAlign w:val="superscript"/>
          <w:lang w:val="es-ES"/>
        </w:rPr>
        <w:footnoteReference w:id="8"/>
      </w:r>
      <w:r w:rsidRPr="00A063EB">
        <w:rPr>
          <w:rFonts w:ascii="Verdana" w:eastAsia="Calibri" w:hAnsi="Verdana" w:cs="Arial"/>
          <w:lang w:val="es-ES"/>
        </w:rPr>
        <w:t xml:space="preserve"> y “régimen especial sin ofertas”</w:t>
      </w:r>
      <w:r w:rsidRPr="00A063EB">
        <w:rPr>
          <w:rFonts w:ascii="Verdana" w:eastAsia="Calibri" w:hAnsi="Verdana" w:cs="Arial"/>
          <w:vertAlign w:val="superscript"/>
          <w:lang w:val="es-ES"/>
        </w:rPr>
        <w:footnoteReference w:id="9"/>
      </w:r>
      <w:r w:rsidRPr="00A063EB">
        <w:rPr>
          <w:rFonts w:ascii="Verdana" w:eastAsia="Calibri" w:hAnsi="Verdana" w:cs="Arial"/>
          <w:lang w:val="es-ES"/>
        </w:rPr>
        <w:t xml:space="preserve">. La diferencia es jurídicamente relevante, porque </w:t>
      </w:r>
      <w:r w:rsidRPr="00A063EB">
        <w:rPr>
          <w:rFonts w:ascii="Verdana" w:eastAsia="Calibri" w:hAnsi="Verdana" w:cs="Arial"/>
          <w:color w:val="000000" w:themeColor="text1"/>
          <w:lang w:val="es-ES"/>
        </w:rPr>
        <w:t>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w:t>
      </w:r>
    </w:p>
    <w:p w14:paraId="1A1EBCF6" w14:textId="77777777" w:rsidR="00DA7E97" w:rsidRPr="00A063EB" w:rsidRDefault="00DA7E97" w:rsidP="00DA7E97">
      <w:pPr>
        <w:spacing w:after="0" w:line="276" w:lineRule="auto"/>
        <w:ind w:firstLine="708"/>
        <w:jc w:val="both"/>
        <w:rPr>
          <w:rFonts w:ascii="Verdana" w:eastAsia="Calibri" w:hAnsi="Verdana" w:cs="Arial"/>
          <w:color w:val="000000" w:themeColor="text1"/>
          <w:lang w:val="es-ES"/>
        </w:rPr>
      </w:pPr>
      <w:r w:rsidRPr="00A063EB">
        <w:rPr>
          <w:rFonts w:ascii="Verdana" w:eastAsia="Calibri" w:hAnsi="Verdana" w:cs="Arial"/>
          <w:color w:val="000000" w:themeColor="text1"/>
          <w:lang w:val="es-ES"/>
        </w:rPr>
        <w:t xml:space="preserve">En contraste, el SECOP II permite generar contratos en línea y realizar la firma electrónica de los mismos. Tiene funciones que permiten al proveedor presentar garantías y facturas; y a la entidad, realizar la revisión y aprobación de ambos tipos de documentos en línea. Además, el módulo permite hacer modificaciones contractuales, tanto unilaterales como bilaterales –estas últimas </w:t>
      </w:r>
      <w:r w:rsidRPr="00A063EB">
        <w:rPr>
          <w:rFonts w:ascii="Verdana" w:eastAsia="Calibri" w:hAnsi="Verdana" w:cs="Arial"/>
          <w:color w:val="000000" w:themeColor="text1"/>
          <w:lang w:val="es-ES"/>
        </w:rPr>
        <w:lastRenderedPageBreak/>
        <w:t>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2843DF64" w14:textId="77777777" w:rsidR="00DA7E97" w:rsidRPr="00A063EB" w:rsidRDefault="00DA7E97" w:rsidP="00DA7E97">
      <w:pPr>
        <w:spacing w:after="0" w:line="276" w:lineRule="auto"/>
        <w:ind w:firstLine="708"/>
        <w:jc w:val="both"/>
        <w:rPr>
          <w:rFonts w:ascii="Verdana" w:eastAsia="Calibri" w:hAnsi="Verdana" w:cs="Arial"/>
          <w:bCs/>
          <w:color w:val="000000" w:themeColor="text1"/>
          <w:lang w:val="es-ES_tradnl"/>
        </w:rPr>
      </w:pPr>
    </w:p>
    <w:p w14:paraId="4EDDD7BE" w14:textId="77777777" w:rsidR="00DA7E97" w:rsidRPr="00A063EB" w:rsidRDefault="00DA7E97" w:rsidP="00DA7E97">
      <w:pPr>
        <w:spacing w:after="0" w:line="276" w:lineRule="auto"/>
        <w:jc w:val="both"/>
        <w:rPr>
          <w:rFonts w:ascii="Verdana" w:eastAsia="Calibri" w:hAnsi="Verdana" w:cs="Arial"/>
          <w:lang w:val="es-ES_tradnl"/>
        </w:rPr>
      </w:pPr>
      <w:r w:rsidRPr="00A063EB">
        <w:rPr>
          <w:rFonts w:ascii="Verdana" w:eastAsia="Calibri" w:hAnsi="Verdana" w:cs="Arial"/>
          <w:lang w:val="es-ES_tradnl"/>
        </w:rPr>
        <w:tab/>
        <w:t xml:space="preserve">Por tanto, salvo directriz normativa en contrario, la </w:t>
      </w:r>
      <w:r w:rsidRPr="00A063EB">
        <w:rPr>
          <w:rFonts w:ascii="Verdana" w:eastAsia="Calibri" w:hAnsi="Verdana" w:cs="Arial"/>
          <w:i/>
          <w:iCs/>
          <w:lang w:val="es-ES_tradnl"/>
        </w:rPr>
        <w:t>contratación de los particulares realizada con cargo a recursos públicos</w:t>
      </w:r>
      <w:r w:rsidRPr="00A063EB">
        <w:rPr>
          <w:rFonts w:ascii="Verdana" w:eastAsia="Calibri" w:hAnsi="Verdana" w:cs="Arial"/>
          <w:lang w:val="es-ES_tradnl"/>
        </w:rPr>
        <w:t xml:space="preserve"> puede publicarse en el módulo de “régimen especial” del SECOP I o el SECOP II a elección del sujeto obligado. Se recomienda que, una vez elegida alguna de las alternativas disponibles, todos los contratos se gestionen a través de una misma plataforma. Ello para de estandarizar las publicaciones y centralizar la información de cara a los controles sociales y jurídicos respeto a la inversión del erario. </w:t>
      </w:r>
    </w:p>
    <w:p w14:paraId="2FAA7AC0" w14:textId="77777777" w:rsidR="00DA7E97" w:rsidRPr="00A063EB" w:rsidRDefault="00DA7E97" w:rsidP="00DA7E97">
      <w:pPr>
        <w:spacing w:after="0" w:line="276" w:lineRule="auto"/>
        <w:jc w:val="both"/>
        <w:rPr>
          <w:rFonts w:ascii="Verdana" w:eastAsia="Calibri" w:hAnsi="Verdana" w:cs="Arial"/>
          <w:lang w:val="es-ES_tradnl"/>
        </w:rPr>
      </w:pPr>
    </w:p>
    <w:p w14:paraId="3A33F2B7" w14:textId="77777777" w:rsidR="00DA7E97" w:rsidRPr="00A063EB" w:rsidRDefault="00DA7E97" w:rsidP="00DA7E97">
      <w:pPr>
        <w:widowControl w:val="0"/>
        <w:tabs>
          <w:tab w:val="left" w:pos="728"/>
        </w:tabs>
        <w:autoSpaceDE w:val="0"/>
        <w:autoSpaceDN w:val="0"/>
        <w:spacing w:after="120" w:line="276" w:lineRule="auto"/>
        <w:jc w:val="both"/>
        <w:rPr>
          <w:rFonts w:ascii="Verdana" w:hAnsi="Verdana" w:cs="Arial"/>
          <w:lang w:val="es-ES"/>
        </w:rPr>
      </w:pPr>
      <w:r w:rsidRPr="00A063EB">
        <w:rPr>
          <w:rFonts w:ascii="Verdana" w:eastAsia="Calibri" w:hAnsi="Verdana" w:cs="Arial"/>
          <w:lang w:val="es-ES_tradnl"/>
        </w:rPr>
        <w:tab/>
        <w:t xml:space="preserve">Respecto a los documentos publicables, </w:t>
      </w:r>
      <w:r w:rsidRPr="00A063EB">
        <w:rPr>
          <w:rFonts w:ascii="Verdana" w:hAnsi="Verdana" w:cs="Arial"/>
          <w:lang w:val="es-ES"/>
        </w:rPr>
        <w:t>al artículo 2.2.1.1.1.7.1 del Decreto 1082 de 2015, tienen la obligación de publicar en el SECOP “[…] los Documentos del Proceso y los actos administrativos del Proceso de Contratación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75F31D96" w14:textId="77777777" w:rsidR="00DA7E97" w:rsidRPr="00A063EB" w:rsidRDefault="00DA7E97" w:rsidP="00DA7E97">
      <w:pPr>
        <w:widowControl w:val="0"/>
        <w:autoSpaceDE w:val="0"/>
        <w:autoSpaceDN w:val="0"/>
        <w:spacing w:after="120" w:line="276" w:lineRule="auto"/>
        <w:ind w:firstLine="709"/>
        <w:jc w:val="both"/>
        <w:rPr>
          <w:rFonts w:ascii="Verdana" w:eastAsia="Arial" w:hAnsi="Verdana" w:cs="Arial"/>
          <w:lang w:val="es-ES"/>
        </w:rPr>
      </w:pPr>
      <w:r w:rsidRPr="00A063EB">
        <w:rPr>
          <w:rFonts w:ascii="Verdana" w:eastAsia="Arial" w:hAnsi="Verdana"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En efecto, además de los documentos enlistados, el artículo 2.2.1.1.1.3.1 </w:t>
      </w:r>
      <w:proofErr w:type="spellStart"/>
      <w:r w:rsidRPr="00A063EB">
        <w:rPr>
          <w:rFonts w:ascii="Verdana" w:eastAsia="Arial" w:hAnsi="Verdana" w:cs="Arial"/>
          <w:i/>
          <w:iCs/>
          <w:lang w:val="es-ES"/>
        </w:rPr>
        <w:t>Ibídem</w:t>
      </w:r>
      <w:proofErr w:type="spellEnd"/>
      <w:r w:rsidRPr="00A063EB">
        <w:rPr>
          <w:rFonts w:ascii="Verdana" w:eastAsia="Arial" w:hAnsi="Verdana" w:cs="Arial"/>
          <w:lang w:val="es-ES"/>
        </w:rPr>
        <w:t xml:space="preserve"> recoge en la noción de </w:t>
      </w:r>
      <w:r w:rsidRPr="00A063EB">
        <w:rPr>
          <w:rFonts w:ascii="Verdana" w:eastAsia="Arial" w:hAnsi="Verdana" w:cs="Arial"/>
          <w:i/>
          <w:iCs/>
          <w:lang w:val="es-ES"/>
        </w:rPr>
        <w:t>Documentos del Proceso</w:t>
      </w:r>
      <w:r w:rsidRPr="00A063EB">
        <w:rPr>
          <w:rFonts w:ascii="Verdana" w:eastAsia="Arial" w:hAnsi="Verdana" w:cs="Arial"/>
          <w:lang w:val="es-ES"/>
        </w:rPr>
        <w:t xml:space="preserve"> “cualquier otro documento expedido por la Entidad Estatal durante el </w:t>
      </w:r>
      <w:r w:rsidRPr="00A063EB">
        <w:rPr>
          <w:rFonts w:ascii="Verdana" w:eastAsia="Arial" w:hAnsi="Verdana" w:cs="Arial"/>
          <w:i/>
          <w:iCs/>
          <w:lang w:val="es-ES"/>
        </w:rPr>
        <w:t>Proceso de Contratación”</w:t>
      </w:r>
      <w:r w:rsidRPr="00A063EB">
        <w:rPr>
          <w:rFonts w:ascii="Verdana" w:eastAsia="Arial" w:hAnsi="Verdana" w:cs="Arial"/>
          <w:lang w:val="es-ES"/>
        </w:rPr>
        <w:t xml:space="preserve">. Este mismo artículo define la expresión </w:t>
      </w:r>
      <w:r w:rsidRPr="00A063EB">
        <w:rPr>
          <w:rFonts w:ascii="Verdana" w:eastAsia="Arial" w:hAnsi="Verdana" w:cs="Arial"/>
          <w:i/>
          <w:iCs/>
          <w:lang w:val="es-ES"/>
        </w:rPr>
        <w:t>Proceso de Contratación</w:t>
      </w:r>
      <w:r w:rsidRPr="00A063EB">
        <w:rPr>
          <w:rFonts w:ascii="Verdana" w:eastAsia="Arial" w:hAnsi="Verdana" w:cs="Arial"/>
          <w:lang w:val="es-ES"/>
        </w:rPr>
        <w:t xml:space="preserve"> </w:t>
      </w:r>
      <w:r w:rsidRPr="00A063EB">
        <w:rPr>
          <w:rFonts w:ascii="Verdana" w:eastAsia="Arial" w:hAnsi="Verdana" w:cs="Arial"/>
          <w:lang w:val="es-ES"/>
        </w:rPr>
        <w:lastRenderedPageBreak/>
        <w:t>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0AC2EBCC" w14:textId="77777777" w:rsidR="00DA7E97" w:rsidRPr="00A063EB" w:rsidRDefault="00DA7E97" w:rsidP="00DA7E97">
      <w:pPr>
        <w:widowControl w:val="0"/>
        <w:autoSpaceDE w:val="0"/>
        <w:autoSpaceDN w:val="0"/>
        <w:spacing w:after="120" w:line="276" w:lineRule="auto"/>
        <w:ind w:firstLine="708"/>
        <w:jc w:val="both"/>
        <w:rPr>
          <w:rFonts w:ascii="Verdana" w:eastAsia="Arial" w:hAnsi="Verdana" w:cs="Arial"/>
          <w:lang w:val="es-ES"/>
        </w:rPr>
      </w:pPr>
      <w:r w:rsidRPr="00A063EB">
        <w:rPr>
          <w:rFonts w:ascii="Verdana" w:eastAsia="Arial" w:hAnsi="Verdana" w:cs="Arial"/>
          <w:lang w:val="es-ES"/>
        </w:rPr>
        <w:t xml:space="preserve">En todo caso, de conformidad con la segunda parte del inciso primero del artículo 2.2.1.1.1.7.1 </w:t>
      </w:r>
      <w:r w:rsidRPr="00A063EB">
        <w:rPr>
          <w:rFonts w:ascii="Verdana" w:eastAsia="Arial" w:hAnsi="Verdana" w:cs="Arial"/>
          <w:i/>
          <w:iCs/>
          <w:lang w:val="es-ES"/>
        </w:rPr>
        <w:t>ibidem</w:t>
      </w:r>
      <w:r w:rsidRPr="00A063EB">
        <w:rPr>
          <w:rFonts w:ascii="Verdana" w:eastAsia="Arial" w:hAnsi="Verdana" w:cs="Arial"/>
          <w:lang w:val="es-ES"/>
        </w:rPr>
        <w:t xml:space="preserve">, el deber de publicar las actuaciones realizadas en el marco del proceso de contratación, en lo referente a las ofertas presentadas, solo se predica de la propuesta del adjudicatario, así que no es necesario publicar las demás. </w:t>
      </w:r>
      <w:r w:rsidRPr="00A063EB">
        <w:rPr>
          <w:rFonts w:ascii="Verdana" w:eastAsia="Arial" w:hAnsi="Verdana" w:cs="Arial"/>
          <w:i/>
          <w:iCs/>
          <w:lang w:val="es-ES"/>
        </w:rPr>
        <w:t xml:space="preserve"> </w:t>
      </w:r>
      <w:r w:rsidRPr="00A063EB">
        <w:rPr>
          <w:rFonts w:ascii="Verdana" w:eastAsia="Arial" w:hAnsi="Verdana" w:cs="Arial"/>
          <w:lang w:val="es-ES"/>
        </w:rPr>
        <w:t>Del deber de publicidad, de conformidad con la tercera parte del inciso primero de la referida norma, también se encuentran exentos los documentos de las operaciones que se realicen en bolsa de productos.</w:t>
      </w:r>
    </w:p>
    <w:p w14:paraId="72DC9E97" w14:textId="77777777" w:rsidR="00DA7E97" w:rsidRPr="00A063EB" w:rsidRDefault="00DA7E97" w:rsidP="00DA7E97">
      <w:pPr>
        <w:widowControl w:val="0"/>
        <w:autoSpaceDE w:val="0"/>
        <w:autoSpaceDN w:val="0"/>
        <w:spacing w:after="0" w:line="276" w:lineRule="auto"/>
        <w:ind w:firstLine="709"/>
        <w:jc w:val="both"/>
        <w:rPr>
          <w:rFonts w:ascii="Verdana" w:eastAsia="Arial" w:hAnsi="Verdana" w:cs="Arial"/>
          <w:lang w:val="es-ES"/>
        </w:rPr>
      </w:pPr>
      <w:r w:rsidRPr="00A063EB">
        <w:rPr>
          <w:rFonts w:ascii="Verdana" w:eastAsia="Arial" w:hAnsi="Verdana" w:cs="Arial"/>
          <w:lang w:val="es-ES"/>
        </w:rPr>
        <w:t xml:space="preserve">De lo anterior puede concluirse que, en virtud de lo dispuesto en el artículo 3 de la Ley 1150 de 2007, desarrollado por el artículo 2.2.1.1.1.7.1. del Decreto 1082 de 2015, las entidades están obligadas a publicar en el SECOP todos los documentos relacionados con el </w:t>
      </w:r>
      <w:r w:rsidRPr="00A063EB">
        <w:rPr>
          <w:rFonts w:ascii="Verdana" w:eastAsia="Arial" w:hAnsi="Verdana" w:cs="Arial"/>
          <w:i/>
          <w:iCs/>
          <w:lang w:val="es-ES"/>
        </w:rPr>
        <w:t>Proceso de Contratación</w:t>
      </w:r>
      <w:r w:rsidRPr="00A063EB">
        <w:rPr>
          <w:rFonts w:ascii="Verdana" w:eastAsia="Arial" w:hAnsi="Verdana" w:cs="Arial"/>
          <w:lang w:val="es-ES"/>
        </w:rPr>
        <w:t xml:space="preserve"> expedidos durante las etapas precontractual, de ejecución y </w:t>
      </w:r>
      <w:proofErr w:type="spellStart"/>
      <w:r w:rsidRPr="00A063EB">
        <w:rPr>
          <w:rFonts w:ascii="Verdana" w:eastAsia="Arial" w:hAnsi="Verdana" w:cs="Arial"/>
          <w:lang w:val="es-ES"/>
        </w:rPr>
        <w:t>postcontractual</w:t>
      </w:r>
      <w:proofErr w:type="spellEnd"/>
      <w:r w:rsidRPr="00A063EB">
        <w:rPr>
          <w:rFonts w:ascii="Verdana" w:eastAsia="Arial" w:hAnsi="Verdana" w:cs="Arial"/>
          <w:lang w:val="es-ES"/>
        </w:rPr>
        <w:t xml:space="preserve">. Este deber aplica a todas las modalidades de selección y entidades, y solo se encuentran excluidas las ofertas perdedoras y los documentos expedidos en el marco de operaciones de bolsa de productos. </w:t>
      </w:r>
    </w:p>
    <w:p w14:paraId="14BCEA83" w14:textId="77777777" w:rsidR="00DA7E97" w:rsidRPr="00A063EB" w:rsidRDefault="00DA7E97" w:rsidP="00DA7E97">
      <w:pPr>
        <w:widowControl w:val="0"/>
        <w:autoSpaceDE w:val="0"/>
        <w:autoSpaceDN w:val="0"/>
        <w:spacing w:after="0" w:line="276" w:lineRule="auto"/>
        <w:ind w:firstLine="709"/>
        <w:jc w:val="both"/>
        <w:rPr>
          <w:rFonts w:ascii="Verdana" w:eastAsia="Arial" w:hAnsi="Verdana" w:cs="Arial"/>
          <w:lang w:val="es-ES"/>
        </w:rPr>
      </w:pPr>
    </w:p>
    <w:p w14:paraId="2E7D6D8C" w14:textId="77777777" w:rsidR="00DA7E97" w:rsidRPr="00A063EB" w:rsidRDefault="00DA7E97" w:rsidP="00DA7E97">
      <w:pPr>
        <w:spacing w:after="120" w:line="276" w:lineRule="auto"/>
        <w:ind w:firstLine="708"/>
        <w:jc w:val="both"/>
        <w:rPr>
          <w:rFonts w:ascii="Verdana" w:eastAsia="Arial" w:hAnsi="Verdana" w:cs="Arial"/>
          <w:lang w:val="es-ES"/>
        </w:rPr>
      </w:pPr>
      <w:r w:rsidRPr="00A063EB">
        <w:rPr>
          <w:rFonts w:ascii="Verdana" w:eastAsia="Calibri" w:hAnsi="Verdana" w:cs="Arial"/>
          <w:lang w:val="es-ES"/>
        </w:rPr>
        <w:t xml:space="preserve">Adicionalmente, el deber de publicar la actividad contractual no solo está regulado en el artículo 3 de la Ley 1150 de 2007 y en el </w:t>
      </w:r>
      <w:r w:rsidRPr="00A063EB">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A063EB">
        <w:rPr>
          <w:rFonts w:ascii="Verdana" w:eastAsia="Arial" w:hAnsi="Verdana" w:cs="Arial"/>
          <w:i/>
          <w:iCs/>
          <w:lang w:val="es-ES"/>
        </w:rPr>
        <w:t>Documentos del Proceso</w:t>
      </w:r>
      <w:r w:rsidRPr="00A063EB">
        <w:rPr>
          <w:rFonts w:ascii="Verdana" w:eastAsia="Arial" w:hAnsi="Verdana" w:cs="Arial"/>
          <w:lang w:val="es-ES"/>
        </w:rPr>
        <w:t xml:space="preserve">. </w:t>
      </w:r>
    </w:p>
    <w:p w14:paraId="1CE0520D" w14:textId="77777777" w:rsidR="00DA7E97" w:rsidRPr="00A063EB" w:rsidRDefault="00DA7E97" w:rsidP="00DA7E97">
      <w:pPr>
        <w:spacing w:before="120" w:after="120" w:line="276" w:lineRule="auto"/>
        <w:ind w:firstLine="709"/>
        <w:jc w:val="both"/>
        <w:rPr>
          <w:rFonts w:ascii="Verdana" w:eastAsia="Arial" w:hAnsi="Verdana" w:cs="Arial"/>
          <w:lang w:val="es-ES"/>
        </w:rPr>
      </w:pPr>
      <w:r w:rsidRPr="00A063EB">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sidRPr="00A063EB">
        <w:rPr>
          <w:rFonts w:ascii="Verdana" w:eastAsia="Arial" w:hAnsi="Verdana" w:cs="Arial"/>
          <w:i/>
          <w:iCs/>
          <w:lang w:val="es-ES"/>
        </w:rPr>
        <w:t>información</w:t>
      </w:r>
      <w:r w:rsidRPr="00A063EB">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sidRPr="00A063EB">
        <w:rPr>
          <w:rFonts w:ascii="Verdana" w:eastAsia="Arial" w:hAnsi="Verdana" w:cs="Arial"/>
          <w:i/>
          <w:iCs/>
          <w:lang w:val="es-ES"/>
        </w:rPr>
        <w:t>ibidem</w:t>
      </w:r>
      <w:r w:rsidRPr="00A063EB">
        <w:rPr>
          <w:rFonts w:ascii="Verdana" w:eastAsia="Arial" w:hAnsi="Verdana" w:cs="Arial"/>
          <w:lang w:val="es-ES"/>
        </w:rPr>
        <w:t xml:space="preserve"> </w:t>
      </w:r>
      <w:r w:rsidRPr="00A063EB">
        <w:rPr>
          <w:rFonts w:ascii="Verdana" w:eastAsia="Arial" w:hAnsi="Verdana" w:cs="Arial"/>
          <w:lang w:val="es-ES"/>
        </w:rPr>
        <w:lastRenderedPageBreak/>
        <w:t xml:space="preserve">define la </w:t>
      </w:r>
      <w:r w:rsidRPr="00A063EB">
        <w:rPr>
          <w:rFonts w:ascii="Verdana" w:eastAsia="Arial" w:hAnsi="Verdana" w:cs="Arial"/>
          <w:i/>
          <w:iCs/>
          <w:lang w:val="es-ES"/>
        </w:rPr>
        <w:t>información pública</w:t>
      </w:r>
      <w:r w:rsidRPr="00A063EB">
        <w:rPr>
          <w:rFonts w:ascii="Verdana" w:eastAsia="Arial" w:hAnsi="Verdana" w:cs="Arial"/>
          <w:lang w:val="es-ES"/>
        </w:rPr>
        <w:t xml:space="preserve"> como “[…] toda información que un sujeto obligado </w:t>
      </w:r>
      <w:proofErr w:type="gramStart"/>
      <w:r w:rsidRPr="00A063EB">
        <w:rPr>
          <w:rFonts w:ascii="Verdana" w:eastAsia="Arial" w:hAnsi="Verdana" w:cs="Arial"/>
          <w:lang w:val="es-ES"/>
        </w:rPr>
        <w:t>genere,</w:t>
      </w:r>
      <w:proofErr w:type="gramEnd"/>
      <w:r w:rsidRPr="00A063EB">
        <w:rPr>
          <w:rFonts w:ascii="Verdana" w:eastAsia="Arial" w:hAnsi="Verdana" w:cs="Arial"/>
          <w:lang w:val="es-ES"/>
        </w:rPr>
        <w:t xml:space="preserve"> obtenga, adquiera, o controle en su calidad de tal”.</w:t>
      </w:r>
    </w:p>
    <w:p w14:paraId="64B88D6B" w14:textId="77777777" w:rsidR="00DA7E97" w:rsidRPr="00A063EB" w:rsidRDefault="00DA7E97" w:rsidP="00DA7E97">
      <w:pPr>
        <w:spacing w:after="0" w:line="276" w:lineRule="auto"/>
        <w:ind w:firstLine="709"/>
        <w:jc w:val="both"/>
        <w:rPr>
          <w:rFonts w:ascii="Verdana" w:eastAsia="Calibri" w:hAnsi="Verdana" w:cs="Arial"/>
          <w:lang w:val="es-ES"/>
        </w:rPr>
      </w:pPr>
      <w:r w:rsidRPr="00A063EB">
        <w:rPr>
          <w:rFonts w:ascii="Verdana" w:eastAsia="Arial" w:hAnsi="Verdana" w:cs="Arial"/>
          <w:lang w:val="es-ES"/>
        </w:rPr>
        <w:t xml:space="preserve">Conforme al literal f) del artículo 5 de la Ley 1712 de 2014, son sujetos obligados “Las entidades que administren instituciones parafiscales, fondos o recursos de naturaleza u origen público”. </w:t>
      </w:r>
      <w:r w:rsidRPr="00A063EB">
        <w:rPr>
          <w:rFonts w:ascii="Verdana" w:eastAsia="Calibri" w:hAnsi="Verdana" w:cs="Arial"/>
          <w:lang w:val="es-ES"/>
        </w:rPr>
        <w:t xml:space="preserve">En este contexto, las publicaciones que corresponde efectuar a las entidades que administren recursos públicos, como sujetos obligados por la normativa de la transparencia y acceso a la información pública, antes que una derogación o subrogación del contenido del deber de publicidad regulado en la Ley 1150 de 2007, suponen una ampliación de su alcance, que lo extiende de la simple publicación de la información “producida por la entidad” asociada a la noción de </w:t>
      </w:r>
      <w:r w:rsidRPr="00A063EB">
        <w:rPr>
          <w:rFonts w:ascii="Verdana" w:eastAsia="Calibri" w:hAnsi="Verdana" w:cs="Arial"/>
          <w:i/>
          <w:iCs/>
          <w:lang w:val="es-ES"/>
        </w:rPr>
        <w:t>Documentos del Proceso</w:t>
      </w:r>
      <w:r w:rsidRPr="00A063EB">
        <w:rPr>
          <w:rFonts w:ascii="Verdana" w:eastAsia="Calibri" w:hAnsi="Verdana" w:cs="Arial"/>
          <w:lang w:val="es-ES"/>
        </w:rPr>
        <w:t xml:space="preserve">. Esto implica que la publicación que corresponde a los sujetos obligados en el marco de la Ley 1712 de 2014 se extiende a todo el desarrollo del procedimiento, desde la etapa de planeación hasta el vencimiento de las garantías, incluyendo cada actuación que se produzca en ese lapso. El incumplimiento del deber de publicidad generará la responsabilidad administrativa, penal, fiscal y disciplinaria a que haya lugar, de acuerdo con el régimen sustantivo de los órganos competentes para sancionar. </w:t>
      </w:r>
    </w:p>
    <w:p w14:paraId="171633C4" w14:textId="77777777" w:rsidR="00DA7E97" w:rsidRPr="00A063EB" w:rsidRDefault="00DA7E97" w:rsidP="00DA7E97">
      <w:pPr>
        <w:spacing w:after="0" w:line="276" w:lineRule="auto"/>
        <w:jc w:val="both"/>
        <w:rPr>
          <w:rFonts w:ascii="Verdana" w:eastAsia="Calibri" w:hAnsi="Verdana" w:cs="Arial"/>
          <w:lang w:val="es-ES"/>
        </w:rPr>
      </w:pPr>
    </w:p>
    <w:p w14:paraId="49CC9D46" w14:textId="77777777" w:rsidR="00DA7E97" w:rsidRPr="00A063EB" w:rsidRDefault="00DA7E97" w:rsidP="00DA7E97">
      <w:pPr>
        <w:tabs>
          <w:tab w:val="left" w:pos="426"/>
        </w:tabs>
        <w:spacing w:after="120" w:line="276" w:lineRule="auto"/>
        <w:jc w:val="both"/>
        <w:rPr>
          <w:rFonts w:ascii="Verdana" w:eastAsia="Calibri" w:hAnsi="Verdana" w:cs="Arial"/>
          <w:color w:val="000000"/>
          <w:lang w:val="es-ES" w:eastAsia="en-GB"/>
        </w:rPr>
      </w:pPr>
      <w:r w:rsidRPr="00A063EB">
        <w:rPr>
          <w:rFonts w:ascii="Verdana" w:eastAsia="Calibri" w:hAnsi="Verdana" w:cs="Arial"/>
          <w:lang w:val="es-ES"/>
        </w:rPr>
        <w:tab/>
      </w:r>
      <w:r w:rsidRPr="00A063EB">
        <w:rPr>
          <w:rFonts w:ascii="Verdana" w:eastAsia="Calibri" w:hAnsi="Verdana" w:cs="Arial"/>
          <w:color w:val="000000" w:themeColor="text1"/>
          <w:lang w:val="es-ES" w:eastAsia="en-GB"/>
        </w:rPr>
        <w:t xml:space="preserve">En todo caso, la publicidad de la gestión contractual debe respetar las reservas documentales previstas en el ordenamiento jurídico. En otras palabras, aunque el artículo 74 de la Constitución establezca que la información pública debe ser dada a conocer a la ciudadanía y así los documentos que hagan parte de la actividad contractual puedan catalogarse, </w:t>
      </w:r>
      <w:r w:rsidRPr="00A063EB">
        <w:rPr>
          <w:rFonts w:ascii="Verdana" w:eastAsia="Calibri" w:hAnsi="Verdana" w:cs="Arial"/>
          <w:i/>
          <w:color w:val="000000" w:themeColor="text1"/>
          <w:lang w:val="es-ES" w:eastAsia="en-GB"/>
        </w:rPr>
        <w:t>prima facie,</w:t>
      </w:r>
      <w:r w:rsidRPr="00A063EB">
        <w:rPr>
          <w:rFonts w:ascii="Verdana" w:eastAsia="Calibri" w:hAnsi="Verdana" w:cs="Arial"/>
          <w:color w:val="000000" w:themeColor="text1"/>
          <w:lang w:val="es-ES" w:eastAsia="en-GB"/>
        </w:rPr>
        <w:t xml:space="preserve"> como información pública, cuando dicha documentación contenga información sometida a alguna reserva, que establezca la Constitución o la ley, operan algunas restricciones a su publicidad. </w:t>
      </w:r>
    </w:p>
    <w:p w14:paraId="49BA73AD" w14:textId="77777777" w:rsidR="00DA7E97" w:rsidRPr="00A063EB" w:rsidRDefault="00DA7E97" w:rsidP="00DA7E97">
      <w:pPr>
        <w:tabs>
          <w:tab w:val="left" w:pos="426"/>
        </w:tabs>
        <w:spacing w:after="120" w:line="276" w:lineRule="auto"/>
        <w:jc w:val="both"/>
        <w:rPr>
          <w:rFonts w:ascii="Verdana" w:eastAsia="Calibri" w:hAnsi="Verdana" w:cs="Arial"/>
          <w:color w:val="000000"/>
          <w:lang w:val="es-ES" w:eastAsia="en-GB"/>
        </w:rPr>
      </w:pPr>
      <w:r w:rsidRPr="00A063EB">
        <w:rPr>
          <w:rFonts w:ascii="Verdana" w:eastAsia="Calibri" w:hAnsi="Verdana" w:cs="Arial"/>
          <w:color w:val="000000"/>
          <w:lang w:val="es-ES_tradnl" w:eastAsia="en-GB"/>
        </w:rPr>
        <w:tab/>
      </w:r>
      <w:r w:rsidRPr="00A063EB">
        <w:rPr>
          <w:rFonts w:ascii="Verdana" w:eastAsia="Calibri" w:hAnsi="Verdana" w:cs="Arial"/>
          <w:color w:val="000000"/>
          <w:lang w:val="es-ES_tradnl" w:eastAsia="en-GB"/>
        </w:rPr>
        <w:tab/>
      </w:r>
      <w:r w:rsidRPr="00A063EB">
        <w:rPr>
          <w:rFonts w:ascii="Verdana" w:eastAsia="Calibri" w:hAnsi="Verdana" w:cs="Arial"/>
          <w:color w:val="000000"/>
          <w:lang w:val="es-ES" w:eastAsia="en-GB"/>
        </w:rPr>
        <w:t xml:space="preserve">Sin embargo, esto no necesariamente convierte el documento completo en reservado. En efecto, el principio o regla general consiste en la máxima publicidad de la información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w:t>
      </w:r>
      <w:r w:rsidRPr="00A063EB">
        <w:rPr>
          <w:rFonts w:ascii="Verdana" w:eastAsia="Calibri" w:hAnsi="Verdana" w:cs="Arial"/>
          <w:color w:val="000000"/>
          <w:lang w:val="es-ES" w:eastAsia="en-GB"/>
        </w:rPr>
        <w:lastRenderedPageBreak/>
        <w:t>establece que la reserva de acceso a la información opera respecto al contenido de un documento público, pero no respecto de su existencia</w:t>
      </w:r>
      <w:r w:rsidRPr="00A063EB">
        <w:rPr>
          <w:rFonts w:ascii="Verdana" w:eastAsia="Calibri" w:hAnsi="Verdana" w:cs="Arial"/>
          <w:color w:val="000000"/>
          <w:vertAlign w:val="superscript"/>
          <w:lang w:val="es-ES" w:eastAsia="en-GB"/>
        </w:rPr>
        <w:footnoteReference w:id="10"/>
      </w:r>
      <w:r w:rsidRPr="00A063EB">
        <w:rPr>
          <w:rFonts w:ascii="Verdana" w:eastAsia="Calibri" w:hAnsi="Verdana" w:cs="Arial"/>
          <w:color w:val="000000"/>
          <w:lang w:val="es-ES" w:eastAsia="en-GB"/>
        </w:rPr>
        <w:t>.</w:t>
      </w:r>
    </w:p>
    <w:p w14:paraId="10F4873F" w14:textId="77777777" w:rsidR="00DA7E97" w:rsidRPr="00A063EB" w:rsidRDefault="00DA7E97" w:rsidP="00DA7E97">
      <w:pPr>
        <w:tabs>
          <w:tab w:val="left" w:pos="426"/>
        </w:tabs>
        <w:spacing w:before="120" w:line="276" w:lineRule="auto"/>
        <w:ind w:firstLine="709"/>
        <w:jc w:val="both"/>
        <w:rPr>
          <w:rFonts w:ascii="Verdana" w:eastAsia="Calibri" w:hAnsi="Verdana" w:cs="Arial"/>
          <w:color w:val="000000"/>
          <w:lang w:val="es-ES_tradnl" w:eastAsia="en-GB"/>
        </w:rPr>
      </w:pPr>
      <w:r w:rsidRPr="00A063EB">
        <w:rPr>
          <w:rFonts w:ascii="Verdana" w:eastAsia="Calibri" w:hAnsi="Verdana" w:cs="Arial"/>
          <w:color w:val="000000" w:themeColor="text1"/>
          <w:lang w:val="es-ES" w:eastAsia="en-GB"/>
        </w:rPr>
        <w:t>Por ello, el artículo 74 de la Constitución, en armonía con los artículos 18 y 19 de la Ley 1712 de 2014 y los artículos 24 y 25 de la Ley 1437 de 2011 –de acuerdo con la modificación realizada por la Ley 1755 de 2015–, establecen que el derecho de acceso a la información pública no es absoluto, sino que puede exceptuarse cuando se configuren causales de reserva. Asimismo, existe información que goza de protección especial y no puede divulgarse. La información pública que contiene datos semiprivados o privados, definidos en los literales g) y h) del artículo 3° de la Ley 1266 de 2008, clasificados o reservados, según los artículos 18 y 19 de la Ley 1712 de 2014, o datos personales o sensibles, según lo previsto en los artículos 3° y 5° de la Ley 1581 de 2012 y en el artículo 2.2.2.25.1.3 del Decreto 1074 de 2015, solo podrá divulgarse según las reglas establecidas en dichas normas. </w:t>
      </w:r>
    </w:p>
    <w:p w14:paraId="0FF535BC" w14:textId="77777777" w:rsidR="00DA7E97" w:rsidRPr="00A063EB" w:rsidRDefault="00DA7E97" w:rsidP="00DA7E97">
      <w:pPr>
        <w:tabs>
          <w:tab w:val="left" w:pos="426"/>
        </w:tabs>
        <w:spacing w:after="0" w:line="276" w:lineRule="auto"/>
        <w:ind w:firstLine="709"/>
        <w:jc w:val="both"/>
        <w:rPr>
          <w:rFonts w:ascii="Verdana" w:eastAsia="Calibri" w:hAnsi="Verdana" w:cs="Arial"/>
          <w:color w:val="000000"/>
          <w:lang w:val="es-ES_tradnl" w:eastAsia="en-GB"/>
        </w:rPr>
      </w:pPr>
      <w:r w:rsidRPr="00A063EB">
        <w:rPr>
          <w:rFonts w:ascii="Verdana" w:eastAsia="Calibri" w:hAnsi="Verdana" w:cs="Arial"/>
          <w:color w:val="000000" w:themeColor="text1"/>
          <w:lang w:val="es-ES" w:eastAsia="en-GB"/>
        </w:rPr>
        <w:t xml:space="preserve">Cuando exista información sensible, clasificada o reservada, para proteger la información, los sujetos obligados deben abstenerse de entregar a terceros la información que tiene protección especial o está sometida a reserva. Sin embargo, de acuerdo con el segundo inciso del artículo 25 de la Ley 1437 de 2011, “La restricción por reserva legal no se extenderá a otras piezas del respectivo expediente o actuación que no estén cubiertas por ella”. Por ello, la entidad estatal puede dejar de entregar algún documento o aparte del mismo que contenga datos sensibles, clasificados o reservados, para no divulgarla, pero debe suministrar los demás documentos o los apartados de estos que no gozan de reserva. </w:t>
      </w:r>
    </w:p>
    <w:p w14:paraId="4D1B2977" w14:textId="77777777" w:rsidR="00DA7E97" w:rsidRPr="00A063EB" w:rsidRDefault="00DA7E97" w:rsidP="00DA7E97">
      <w:pPr>
        <w:spacing w:before="120" w:after="0" w:line="276" w:lineRule="auto"/>
        <w:ind w:firstLine="709"/>
        <w:jc w:val="both"/>
        <w:rPr>
          <w:rFonts w:ascii="Verdana" w:eastAsia="Calibri" w:hAnsi="Verdana" w:cs="Arial"/>
          <w:lang w:val="es-ES"/>
        </w:rPr>
      </w:pPr>
      <w:r w:rsidRPr="00A063EB">
        <w:rPr>
          <w:rFonts w:ascii="Verdana" w:eastAsia="Calibri" w:hAnsi="Verdana" w:cs="Arial"/>
          <w:lang w:val="es-ES_tradnl"/>
        </w:rPr>
        <w:t xml:space="preserve">En consecuencia, </w:t>
      </w:r>
      <w:r w:rsidRPr="00A063EB">
        <w:rPr>
          <w:rFonts w:ascii="Verdana" w:eastAsia="Calibri" w:hAnsi="Verdana" w:cs="Arial"/>
          <w:lang w:val="es-ES"/>
        </w:rPr>
        <w:t xml:space="preserve">vale la pena aclarar que el cumplimiento del deber de publicación de la documentación contractual debe armonizarse con las normas aplicables al tipo de información que estas contienen. Lo anterior significa que, respecto de datos sensibles, información sometida a reserva o de la cual proceda un tratamiento especial que impida su publicidad, las entidades deberán proceder de conformidad con el tratamiento que impongan tales normas. Esto </w:t>
      </w:r>
      <w:r w:rsidRPr="00A063EB">
        <w:rPr>
          <w:rFonts w:ascii="Verdana" w:eastAsia="Calibri" w:hAnsi="Verdana" w:cs="Arial"/>
          <w:lang w:val="es-ES"/>
        </w:rPr>
        <w:lastRenderedPageBreak/>
        <w:t>incluye tanto a la información que involucre derechos a la privacidad e intimidad de las personas como aquella amparada por el secreto comercial o industrial</w:t>
      </w:r>
      <w:r w:rsidRPr="00A063EB">
        <w:rPr>
          <w:rFonts w:ascii="Verdana" w:eastAsia="Calibri" w:hAnsi="Verdana" w:cs="Arial"/>
          <w:vertAlign w:val="superscript"/>
          <w:lang w:val="es-ES"/>
        </w:rPr>
        <w:footnoteReference w:id="11"/>
      </w:r>
      <w:r w:rsidRPr="00A063EB">
        <w:rPr>
          <w:rFonts w:ascii="Verdana" w:eastAsia="Calibri" w:hAnsi="Verdana" w:cs="Arial"/>
          <w:lang w:val="es-ES"/>
        </w:rPr>
        <w:t>.</w:t>
      </w:r>
    </w:p>
    <w:p w14:paraId="26128E9A" w14:textId="77777777" w:rsidR="00DA7E97" w:rsidRPr="00A063EB" w:rsidRDefault="00DA7E97" w:rsidP="00DA7E97">
      <w:pPr>
        <w:spacing w:after="0" w:line="276" w:lineRule="auto"/>
        <w:jc w:val="both"/>
        <w:rPr>
          <w:rFonts w:ascii="Verdana" w:eastAsia="Calibri" w:hAnsi="Verdana" w:cs="Arial"/>
          <w:lang w:val="es-ES_tradnl"/>
        </w:rPr>
      </w:pPr>
    </w:p>
    <w:p w14:paraId="30F571A7" w14:textId="77777777" w:rsidR="00DA7E97" w:rsidRPr="00A063EB" w:rsidRDefault="00DA7E97" w:rsidP="00DA7E97">
      <w:pPr>
        <w:spacing w:after="120" w:line="276" w:lineRule="auto"/>
        <w:ind w:firstLine="708"/>
        <w:jc w:val="both"/>
        <w:rPr>
          <w:rFonts w:ascii="Verdana" w:eastAsia="Calibri" w:hAnsi="Verdana" w:cs="Arial"/>
          <w:bCs/>
          <w:color w:val="000000" w:themeColor="text1"/>
        </w:rPr>
      </w:pPr>
      <w:r w:rsidRPr="00A063EB">
        <w:rPr>
          <w:rFonts w:ascii="Verdana" w:eastAsia="Calibri" w:hAnsi="Verdana" w:cs="Arial"/>
          <w:bCs/>
          <w:color w:val="000000" w:themeColor="text1"/>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315E6FD" w14:textId="77777777" w:rsidR="00DA7E97" w:rsidRPr="00A063EB" w:rsidRDefault="00DA7E97" w:rsidP="00DA7E97">
      <w:pPr>
        <w:spacing w:after="0" w:line="276" w:lineRule="auto"/>
        <w:ind w:firstLine="708"/>
        <w:jc w:val="both"/>
        <w:rPr>
          <w:rFonts w:ascii="Verdana" w:eastAsia="Calibri" w:hAnsi="Verdana" w:cs="Arial"/>
          <w:bCs/>
          <w:color w:val="000000" w:themeColor="text1"/>
        </w:rPr>
      </w:pPr>
      <w:r w:rsidRPr="00A063EB">
        <w:rPr>
          <w:rFonts w:ascii="Verdana" w:eastAsia="Calibri" w:hAnsi="Verdana" w:cs="Arial"/>
          <w:bCs/>
          <w:color w:val="000000" w:themeColor="text1"/>
        </w:rPr>
        <w:t xml:space="preserve">Dentro de este marco, cada sujeto obligado al deber de publicidad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A4B5127" w14:textId="77777777" w:rsidR="00DA7E97" w:rsidRPr="00A063EB" w:rsidRDefault="00DA7E97" w:rsidP="00DA7E97">
      <w:pPr>
        <w:tabs>
          <w:tab w:val="left" w:pos="709"/>
        </w:tabs>
        <w:spacing w:after="0" w:line="276" w:lineRule="auto"/>
        <w:jc w:val="both"/>
        <w:rPr>
          <w:rFonts w:ascii="Verdana" w:eastAsia="Calibri" w:hAnsi="Verdana" w:cs="Arial"/>
          <w:color w:val="000000" w:themeColor="text1"/>
        </w:rPr>
      </w:pPr>
    </w:p>
    <w:p w14:paraId="06750576" w14:textId="77777777" w:rsidR="00DA7E97" w:rsidRPr="00A063EB" w:rsidRDefault="00DA7E97" w:rsidP="00DA7E9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A063EB">
        <w:rPr>
          <w:rFonts w:ascii="Verdana" w:eastAsia="Century Gothic" w:hAnsi="Verdana" w:cs="Century Gothic"/>
          <w:b/>
          <w:bCs/>
          <w:lang w:val="es-ES"/>
        </w:rPr>
        <w:t>Referencias normativas:</w:t>
      </w:r>
    </w:p>
    <w:p w14:paraId="525F2D7F" w14:textId="77777777" w:rsidR="00DA7E97" w:rsidRPr="00A063EB" w:rsidRDefault="00DA7E97" w:rsidP="00DA7E9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A7E97" w:rsidRPr="00A063EB" w14:paraId="4BD163AA" w14:textId="77777777" w:rsidTr="00443152">
        <w:trPr>
          <w:trHeight w:val="870"/>
          <w:jc w:val="center"/>
        </w:trPr>
        <w:tc>
          <w:tcPr>
            <w:tcW w:w="8647" w:type="dxa"/>
          </w:tcPr>
          <w:p w14:paraId="286152BB"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lastRenderedPageBreak/>
              <w:t>Constitución Política de Colombia, artículos 74 y 209.</w:t>
            </w:r>
          </w:p>
          <w:p w14:paraId="38AF917F"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100 de 1993, artículos 177, 180 y 181.</w:t>
            </w:r>
          </w:p>
          <w:p w14:paraId="426D8C81"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1150 de 2007, artículos 3, 13 y 33.</w:t>
            </w:r>
          </w:p>
          <w:p w14:paraId="7FB402C2"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1266 de 2008, artículo 3.</w:t>
            </w:r>
          </w:p>
          <w:p w14:paraId="37DABAC6"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1437 de 2011, artículos 3, 21, 28, 24, 25 y 112.</w:t>
            </w:r>
          </w:p>
          <w:p w14:paraId="5D3BFFCA"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 xml:space="preserve">Ley 1581 de 2012, artículos 3 y 5. </w:t>
            </w:r>
          </w:p>
          <w:p w14:paraId="61D0DB9F"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1712 de 2014, artículos 5, 6, 11, 18, 19 y 21.</w:t>
            </w:r>
          </w:p>
          <w:p w14:paraId="24864A8A"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Ley 2195 de 2022, artículos 1 y 53.</w:t>
            </w:r>
          </w:p>
          <w:p w14:paraId="4EE65990"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Decreto Ley 4170 de 2011, artículo 1.</w:t>
            </w:r>
          </w:p>
          <w:p w14:paraId="7606C373"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 xml:space="preserve">Decreto 1074 de 2015, artículo </w:t>
            </w:r>
            <w:r w:rsidRPr="00A063EB">
              <w:rPr>
                <w:rFonts w:ascii="Verdana" w:eastAsia="Calibri" w:hAnsi="Verdana" w:cs="Arial"/>
                <w:color w:val="000000"/>
                <w:lang w:val="es-ES_tradnl" w:eastAsia="en-GB"/>
              </w:rPr>
              <w:t>2.2.2.25.1.3.</w:t>
            </w:r>
          </w:p>
          <w:p w14:paraId="7C850052"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Decreto 1081 de 2015, artículo 2.1.1.2.1.7.</w:t>
            </w:r>
          </w:p>
          <w:p w14:paraId="156A3936" w14:textId="77777777" w:rsidR="00DA7E97" w:rsidRPr="00A063EB" w:rsidRDefault="00DA7E97" w:rsidP="00443152">
            <w:pPr>
              <w:widowControl w:val="0"/>
              <w:numPr>
                <w:ilvl w:val="0"/>
                <w:numId w:val="17"/>
              </w:numPr>
              <w:autoSpaceDE w:val="0"/>
              <w:autoSpaceDN w:val="0"/>
              <w:spacing w:after="120" w:line="276" w:lineRule="auto"/>
              <w:ind w:left="714" w:hanging="357"/>
              <w:jc w:val="both"/>
              <w:rPr>
                <w:rFonts w:ascii="Verdana" w:hAnsi="Verdana" w:cs="Arial"/>
                <w:color w:val="000000" w:themeColor="text1"/>
                <w:lang w:val="es-ES_tradnl"/>
              </w:rPr>
            </w:pPr>
            <w:r w:rsidRPr="00A063EB">
              <w:rPr>
                <w:rFonts w:ascii="Verdana" w:hAnsi="Verdana" w:cs="Arial"/>
                <w:lang w:val="es-ES"/>
              </w:rPr>
              <w:t>Decreto 1082 de 2015, artículos 2.2.1.1.1.3.1 y 2.2.1.1.1.7.1.</w:t>
            </w:r>
          </w:p>
          <w:p w14:paraId="272183FE" w14:textId="77777777" w:rsidR="00DA7E97" w:rsidRPr="00EB0E09" w:rsidRDefault="00DA7E97" w:rsidP="00443152">
            <w:pPr>
              <w:widowControl w:val="0"/>
              <w:autoSpaceDE w:val="0"/>
              <w:autoSpaceDN w:val="0"/>
              <w:spacing w:after="120" w:line="276" w:lineRule="auto"/>
              <w:ind w:left="357"/>
              <w:jc w:val="both"/>
              <w:rPr>
                <w:rFonts w:ascii="Verdana" w:hAnsi="Verdana" w:cs="Arial"/>
                <w:color w:val="000000" w:themeColor="text1"/>
                <w:lang w:val="es-ES_tradnl"/>
              </w:rPr>
            </w:pPr>
            <w:r w:rsidRPr="00EB0E09">
              <w:rPr>
                <w:rFonts w:ascii="Verdana" w:hAnsi="Verdana" w:cs="Arial"/>
                <w:color w:val="000000" w:themeColor="text1"/>
                <w:lang w:val="es-ES_tradnl"/>
              </w:rPr>
              <w:t xml:space="preserve"> </w:t>
            </w:r>
          </w:p>
        </w:tc>
      </w:tr>
    </w:tbl>
    <w:p w14:paraId="3AE95A08" w14:textId="77777777" w:rsidR="00DA7E97" w:rsidRPr="00A063EB" w:rsidRDefault="00DA7E97" w:rsidP="00DA7E97">
      <w:pPr>
        <w:widowControl w:val="0"/>
        <w:autoSpaceDE w:val="0"/>
        <w:autoSpaceDN w:val="0"/>
        <w:spacing w:after="0" w:line="276" w:lineRule="auto"/>
        <w:jc w:val="both"/>
        <w:rPr>
          <w:rFonts w:ascii="Verdana" w:hAnsi="Verdana" w:cs="Arial"/>
        </w:rPr>
      </w:pPr>
    </w:p>
    <w:p w14:paraId="252FC69D" w14:textId="77777777" w:rsidR="00DA7E97" w:rsidRPr="00A063EB" w:rsidRDefault="00DA7E97" w:rsidP="00DA7E97">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A063EB">
        <w:rPr>
          <w:rFonts w:ascii="Verdana" w:eastAsia="Century Gothic" w:hAnsi="Verdana" w:cs="Century Gothic"/>
          <w:b/>
          <w:bCs/>
          <w:lang w:val="es-ES"/>
        </w:rPr>
        <w:t>Doctrina de la Agencia Nacional de Contratación Pública:</w:t>
      </w:r>
    </w:p>
    <w:p w14:paraId="34E3497B" w14:textId="77777777" w:rsidR="00DA7E97" w:rsidRPr="00A063EB" w:rsidRDefault="00DA7E97" w:rsidP="00DA7E97">
      <w:pPr>
        <w:widowControl w:val="0"/>
        <w:autoSpaceDE w:val="0"/>
        <w:autoSpaceDN w:val="0"/>
        <w:spacing w:after="0" w:line="276" w:lineRule="auto"/>
        <w:jc w:val="both"/>
        <w:rPr>
          <w:rFonts w:ascii="Verdana" w:hAnsi="Verdana" w:cs="Arial"/>
        </w:rPr>
      </w:pPr>
    </w:p>
    <w:p w14:paraId="0E86C25D" w14:textId="77777777" w:rsidR="00DA7E97" w:rsidRPr="00A063EB" w:rsidRDefault="00DA7E97" w:rsidP="00DA7E97">
      <w:pPr>
        <w:widowControl w:val="0"/>
        <w:autoSpaceDE w:val="0"/>
        <w:autoSpaceDN w:val="0"/>
        <w:spacing w:after="0" w:line="276" w:lineRule="auto"/>
        <w:jc w:val="both"/>
        <w:rPr>
          <w:rFonts w:ascii="Verdana" w:hAnsi="Verdana"/>
        </w:rPr>
      </w:pPr>
      <w:r w:rsidRPr="00A063EB">
        <w:rPr>
          <w:rFonts w:ascii="Verdana" w:hAnsi="Verdana" w:cs="Arial"/>
          <w:shd w:val="clear" w:color="auto" w:fill="FFFFFF"/>
        </w:rPr>
        <w:t xml:space="preserve">Esta Subdirección se ha pronunciado sobre los fundamentos normativos del deber de publicar la documentación contractual en las Sistema Electrónico de Contratación Pública–SECOP–, han sido materia de estudio de la doctrina de esta Subdirección en los Conceptos CU-003 del 15 de enero de 2020 y CU-367 del 23 de julio de 2020, reiterados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 C-074 del 10 de marzo de 2022, C-083 del 18 de marzo de 2022, C-135 del 28 de marzo de 2022, C-332 del 24 de mayo de 2022, C-337 del 25 de mayo de 2022, C-355 del 2 de junio de 2022, C-379 del 22 de junio de 2022 y C-794 del 10 de julio de 2025. De igual manera, esta Subdirección se ha referido al alcance de lo dispuesto en el artículo 53 de la Ley 2195 de 2022 en los conceptos C-049 del 7 de marzo de 2022, C-120 del </w:t>
      </w:r>
      <w:r w:rsidRPr="00A063EB">
        <w:rPr>
          <w:rFonts w:ascii="Verdana" w:hAnsi="Verdana" w:cs="Arial"/>
          <w:shd w:val="clear" w:color="auto" w:fill="FFFFFF"/>
        </w:rPr>
        <w:lastRenderedPageBreak/>
        <w:t>22 de marzo de 2022, C-124 del 22 de marzo de 2022, C-132 del 28 de marzo de 2022, C-337 del 25 de mayo de 2022, C-348 del 13 de junio de 2022, C-357 del 13 de junio de 2022, C-422 del 13 de julio de 2022, C-475 del 26 de julio de 2022, C-480 del 18 de julio de 2022, C-492 del 2 de agosto de 2022, C-495 del 2 de agosto de 2022, C-510 del 8 de agosto de 2022, C-508 de 30 de agosto de 2022, C-457 del 24 de octubre de 2023, C-460 del 30 de noviembre de 2023, C-592 del 7 de octubre de 2024 y C-794 del 2 de julio de 2025</w:t>
      </w:r>
      <w:r w:rsidRPr="00A063EB">
        <w:rPr>
          <w:rFonts w:ascii="Verdana" w:hAnsi="Verdana"/>
        </w:rPr>
        <w:t xml:space="preserve">. </w:t>
      </w:r>
      <w:r w:rsidRPr="00A063EB">
        <w:rPr>
          <w:rFonts w:ascii="Verdana" w:hAnsi="Verdana" w:cs="Arial"/>
          <w:shd w:val="clear" w:color="auto" w:fill="FFFFFF"/>
        </w:rPr>
        <w:t xml:space="preserve">Estos y otros se encuentran disponibles para consulta en el Sistema de relatoría de la Agencia, al cual puede accederse a través del siguiente enlace: </w:t>
      </w:r>
      <w:hyperlink r:id="rId11" w:history="1">
        <w:r w:rsidRPr="00A063EB">
          <w:rPr>
            <w:rFonts w:ascii="Verdana" w:hAnsi="Verdana" w:cs="Arial"/>
            <w:color w:val="0000FF"/>
            <w:u w:val="single"/>
            <w:shd w:val="clear" w:color="auto" w:fill="FFFFFF"/>
          </w:rPr>
          <w:t>https://relatoria.colombiacompra.gov.co/busqueda/conceptos</w:t>
        </w:r>
      </w:hyperlink>
      <w:r w:rsidRPr="00A063EB">
        <w:rPr>
          <w:rFonts w:ascii="Verdana" w:hAnsi="Verdana" w:cs="Arial"/>
          <w:shd w:val="clear" w:color="auto" w:fill="FFFFFF"/>
        </w:rPr>
        <w:t xml:space="preserve">. </w:t>
      </w:r>
      <w:r w:rsidRPr="00A063EB">
        <w:rPr>
          <w:rFonts w:ascii="Verdana" w:hAnsi="Verdana" w:cs="Arial"/>
          <w:color w:val="FF0000"/>
          <w:shd w:val="clear" w:color="auto" w:fill="FFFFFF"/>
          <w:lang w:val="es-ES"/>
        </w:rPr>
        <w:t xml:space="preserve"> </w:t>
      </w:r>
    </w:p>
    <w:p w14:paraId="62DB129F" w14:textId="77777777" w:rsidR="00DA7E97" w:rsidRPr="00A063EB" w:rsidRDefault="00DA7E97" w:rsidP="00DA7E97">
      <w:pPr>
        <w:widowControl w:val="0"/>
        <w:autoSpaceDE w:val="0"/>
        <w:autoSpaceDN w:val="0"/>
        <w:spacing w:after="0" w:line="276" w:lineRule="auto"/>
        <w:jc w:val="both"/>
        <w:rPr>
          <w:rFonts w:ascii="Verdana" w:hAnsi="Verdana" w:cs="Arial"/>
          <w:color w:val="000000" w:themeColor="text1"/>
          <w:shd w:val="clear" w:color="auto" w:fill="FFFFFF"/>
        </w:rPr>
      </w:pPr>
    </w:p>
    <w:p w14:paraId="09663761" w14:textId="77777777" w:rsidR="00DA7E97" w:rsidRPr="00A063EB" w:rsidRDefault="00DA7E97" w:rsidP="00DA7E97">
      <w:pPr>
        <w:widowControl w:val="0"/>
        <w:autoSpaceDE w:val="0"/>
        <w:autoSpaceDN w:val="0"/>
        <w:spacing w:after="0" w:line="276" w:lineRule="auto"/>
        <w:jc w:val="both"/>
        <w:rPr>
          <w:rFonts w:ascii="Verdana" w:hAnsi="Verdana" w:cs="Arial"/>
          <w:color w:val="FF0000"/>
          <w:shd w:val="clear" w:color="auto" w:fill="FFFFFF"/>
          <w:lang w:val="es-ES_tradnl"/>
        </w:rPr>
      </w:pPr>
      <w:r w:rsidRPr="00A063EB">
        <w:rPr>
          <w:rFonts w:ascii="Verdana" w:hAnsi="Verdana" w:cs="Arial"/>
          <w:color w:val="000000" w:themeColor="text1"/>
          <w:shd w:val="clear" w:color="auto" w:fill="FFFFFF"/>
          <w:lang w:val="es-ES_tradnl"/>
        </w:rPr>
        <w:t xml:space="preserve"> </w:t>
      </w:r>
      <w:r w:rsidRPr="00A063EB">
        <w:rPr>
          <w:rFonts w:ascii="Verdana" w:hAnsi="Verdana" w:cs="Arial"/>
          <w:color w:val="FF0000"/>
          <w:shd w:val="clear" w:color="auto" w:fill="FFFFFF"/>
          <w:lang w:val="es-ES_tradnl"/>
        </w:rPr>
        <w:t xml:space="preserve">        </w:t>
      </w:r>
    </w:p>
    <w:p w14:paraId="31674102" w14:textId="77777777" w:rsidR="00DA7E97" w:rsidRPr="00A063EB" w:rsidRDefault="00DA7E97" w:rsidP="00DA7E97">
      <w:pPr>
        <w:widowControl w:val="0"/>
        <w:autoSpaceDE w:val="0"/>
        <w:autoSpaceDN w:val="0"/>
        <w:spacing w:after="0" w:line="276" w:lineRule="auto"/>
        <w:jc w:val="both"/>
        <w:rPr>
          <w:rFonts w:ascii="Verdana" w:hAnsi="Verdana" w:cs="Arial"/>
          <w:lang w:val="es-ES_tradnl"/>
        </w:rPr>
      </w:pPr>
      <w:r w:rsidRPr="00A063EB">
        <w:rPr>
          <w:rFonts w:ascii="Verdana" w:hAnsi="Verdana" w:cs="Arial"/>
        </w:rPr>
        <w:t xml:space="preserve">Este concepto tiene el alcance previsto en el artículo 28 del Código de Procedimiento Administrativo y de lo Contencioso Administrativo </w:t>
      </w:r>
      <w:r w:rsidRPr="00A063EB">
        <w:rPr>
          <w:rFonts w:ascii="Verdana" w:hAnsi="Verdana" w:cs="Arial"/>
          <w:lang w:val="es-ES_tradnl"/>
        </w:rPr>
        <w:t>y las expresiones aquí utilizadas con mayúscula inicial deben ser entendidas con el significado que les otorga el artículo 2.2.1.1.1.3.1. del Decreto 1082 de 2015.</w:t>
      </w:r>
    </w:p>
    <w:p w14:paraId="6135A91D" w14:textId="77777777" w:rsidR="00DA7E97" w:rsidRPr="00A063EB" w:rsidRDefault="00DA7E97" w:rsidP="00DA7E97">
      <w:pPr>
        <w:widowControl w:val="0"/>
        <w:autoSpaceDE w:val="0"/>
        <w:autoSpaceDN w:val="0"/>
        <w:spacing w:after="0" w:line="276" w:lineRule="auto"/>
        <w:jc w:val="both"/>
        <w:rPr>
          <w:rFonts w:ascii="Verdana" w:hAnsi="Verdana" w:cs="Arial"/>
        </w:rPr>
      </w:pPr>
    </w:p>
    <w:p w14:paraId="62A5B0FF" w14:textId="77777777" w:rsidR="00DA7E97" w:rsidRPr="00A063EB" w:rsidRDefault="00DA7E97" w:rsidP="00DA7E97">
      <w:pPr>
        <w:spacing w:after="0" w:line="240" w:lineRule="auto"/>
        <w:rPr>
          <w:rFonts w:ascii="Verdana" w:hAnsi="Verdana" w:cs="Arial"/>
          <w:lang w:eastAsia="es-CO"/>
        </w:rPr>
      </w:pPr>
      <w:r w:rsidRPr="00A063EB">
        <w:rPr>
          <w:rFonts w:ascii="Verdana" w:eastAsia="Times New Roman" w:hAnsi="Verdana" w:cs="Arial"/>
          <w:lang w:eastAsia="es-CO"/>
        </w:rPr>
        <w:t>Atentamente,</w:t>
      </w:r>
      <w:r w:rsidRPr="00A063EB">
        <w:rPr>
          <w:rFonts w:ascii="Verdana" w:hAnsi="Verdana" w:cs="Arial"/>
          <w:lang w:eastAsia="es-CO"/>
        </w:rPr>
        <w:t xml:space="preserve"> </w:t>
      </w:r>
    </w:p>
    <w:p w14:paraId="09842352" w14:textId="77777777" w:rsidR="00DA7E97" w:rsidRPr="00A063EB" w:rsidRDefault="00DA7E97" w:rsidP="00DA7E97">
      <w:pPr>
        <w:spacing w:after="0" w:line="240" w:lineRule="auto"/>
        <w:rPr>
          <w:rFonts w:ascii="Verdana" w:hAnsi="Verdana" w:cs="Arial"/>
          <w:lang w:eastAsia="es-CO"/>
        </w:rPr>
      </w:pPr>
    </w:p>
    <w:p w14:paraId="2D4BBDDB" w14:textId="58D5A714" w:rsidR="00DA7E97" w:rsidRPr="00A063EB" w:rsidRDefault="00854ED7" w:rsidP="00DA7E97">
      <w:pPr>
        <w:spacing w:after="0" w:line="240" w:lineRule="auto"/>
        <w:jc w:val="center"/>
      </w:pPr>
      <w:r w:rsidRPr="002C3AD6">
        <w:rPr>
          <w:rFonts w:ascii="Century Gothic" w:hAnsi="Century Gothic"/>
          <w:noProof/>
        </w:rPr>
        <w:drawing>
          <wp:inline distT="0" distB="0" distL="0" distR="0" wp14:anchorId="17779C16" wp14:editId="62ABA81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stretch>
                      <a:fillRect/>
                    </a:stretch>
                  </pic:blipFill>
                  <pic:spPr>
                    <a:xfrm>
                      <a:off x="0" y="0"/>
                      <a:ext cx="3772426" cy="1400370"/>
                    </a:xfrm>
                    <a:prstGeom prst="rect">
                      <a:avLst/>
                    </a:prstGeom>
                  </pic:spPr>
                </pic:pic>
              </a:graphicData>
            </a:graphic>
          </wp:inline>
        </w:drawing>
      </w:r>
    </w:p>
    <w:p w14:paraId="4DBF55D2" w14:textId="77777777" w:rsidR="00DA7E97" w:rsidRPr="00A063EB" w:rsidRDefault="00DA7E97" w:rsidP="00DA7E97">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A7E97" w:rsidRPr="00A063EB" w14:paraId="622D3BFB" w14:textId="77777777" w:rsidTr="00443152">
        <w:trPr>
          <w:trHeight w:val="315"/>
        </w:trPr>
        <w:tc>
          <w:tcPr>
            <w:tcW w:w="893" w:type="dxa"/>
            <w:vAlign w:val="center"/>
            <w:hideMark/>
          </w:tcPr>
          <w:p w14:paraId="404C3C45"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47B0FAE2"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 xml:space="preserve">Diana Carolina Blanco Rodriguez </w:t>
            </w:r>
          </w:p>
          <w:p w14:paraId="6B958571"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Contratista de la Subdirección de Gestión Contractual</w:t>
            </w:r>
          </w:p>
        </w:tc>
      </w:tr>
      <w:tr w:rsidR="00DA7E97" w:rsidRPr="00A063EB" w14:paraId="498E56F4" w14:textId="77777777" w:rsidTr="00443152">
        <w:trPr>
          <w:trHeight w:val="330"/>
        </w:trPr>
        <w:tc>
          <w:tcPr>
            <w:tcW w:w="893" w:type="dxa"/>
            <w:vAlign w:val="center"/>
            <w:hideMark/>
          </w:tcPr>
          <w:p w14:paraId="7C62F6CE"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7BA328E1"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Diana Lucía Saavedra Castañeda</w:t>
            </w:r>
          </w:p>
          <w:p w14:paraId="3D643D3E"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Contratista de la Subdirección de Gestión Contractual </w:t>
            </w:r>
          </w:p>
        </w:tc>
      </w:tr>
      <w:tr w:rsidR="00DA7E97" w:rsidRPr="00A063EB" w14:paraId="513071BA" w14:textId="77777777" w:rsidTr="00443152">
        <w:trPr>
          <w:trHeight w:val="300"/>
        </w:trPr>
        <w:tc>
          <w:tcPr>
            <w:tcW w:w="893" w:type="dxa"/>
            <w:vAlign w:val="center"/>
            <w:hideMark/>
          </w:tcPr>
          <w:p w14:paraId="74AAA9E7" w14:textId="77777777" w:rsidR="00DA7E97" w:rsidRPr="00A063EB" w:rsidRDefault="00DA7E97" w:rsidP="00443152">
            <w:pPr>
              <w:spacing w:line="276" w:lineRule="auto"/>
              <w:jc w:val="both"/>
              <w:rPr>
                <w:rFonts w:ascii="Verdana" w:hAnsi="Verdana"/>
                <w:sz w:val="16"/>
                <w:szCs w:val="16"/>
              </w:rPr>
            </w:pPr>
            <w:r w:rsidRPr="00A063EB">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5244E5E6" w14:textId="77777777" w:rsidR="00DA7E97" w:rsidRPr="00A063EB" w:rsidRDefault="00DA7E97" w:rsidP="00443152">
            <w:pPr>
              <w:spacing w:line="276" w:lineRule="auto"/>
              <w:jc w:val="both"/>
              <w:rPr>
                <w:rFonts w:ascii="Verdana" w:hAnsi="Verdana"/>
                <w:sz w:val="16"/>
                <w:szCs w:val="16"/>
                <w:lang w:val="pt-BR"/>
              </w:rPr>
            </w:pPr>
            <w:r w:rsidRPr="00A063EB">
              <w:rPr>
                <w:rFonts w:ascii="Verdana" w:hAnsi="Verdana"/>
                <w:sz w:val="16"/>
                <w:szCs w:val="16"/>
                <w:lang w:val="pt-BR"/>
              </w:rPr>
              <w:t xml:space="preserve">Carolina Quintero </w:t>
            </w:r>
            <w:proofErr w:type="spellStart"/>
            <w:r w:rsidRPr="00A063EB">
              <w:rPr>
                <w:rFonts w:ascii="Verdana" w:hAnsi="Verdana"/>
                <w:sz w:val="16"/>
                <w:szCs w:val="16"/>
                <w:lang w:val="pt-BR"/>
              </w:rPr>
              <w:t>Gacharná</w:t>
            </w:r>
            <w:proofErr w:type="spellEnd"/>
          </w:p>
          <w:p w14:paraId="38348072" w14:textId="77777777" w:rsidR="00DA7E97" w:rsidRPr="00A063EB" w:rsidRDefault="00DA7E97" w:rsidP="00443152">
            <w:pPr>
              <w:spacing w:line="276" w:lineRule="auto"/>
              <w:jc w:val="both"/>
              <w:rPr>
                <w:rFonts w:ascii="Verdana" w:hAnsi="Verdana"/>
                <w:sz w:val="16"/>
                <w:szCs w:val="16"/>
                <w:lang w:val="pt-BR"/>
              </w:rPr>
            </w:pPr>
            <w:r w:rsidRPr="00A063EB">
              <w:rPr>
                <w:rFonts w:ascii="Verdana" w:hAnsi="Verdana"/>
                <w:sz w:val="16"/>
                <w:szCs w:val="16"/>
              </w:rPr>
              <w:t>Subdirectora</w:t>
            </w:r>
            <w:r w:rsidRPr="00A063EB">
              <w:rPr>
                <w:rFonts w:ascii="Verdana" w:hAnsi="Verdana"/>
                <w:sz w:val="16"/>
                <w:szCs w:val="16"/>
                <w:lang w:val="pt-BR"/>
              </w:rPr>
              <w:t xml:space="preserve"> de Gestión Contratual ANCP – CCE</w:t>
            </w:r>
          </w:p>
        </w:tc>
      </w:tr>
      <w:bookmarkEnd w:id="0"/>
    </w:tbl>
    <w:p w14:paraId="241BD50B" w14:textId="4735429E" w:rsidR="00A063EB" w:rsidRPr="0024624F" w:rsidRDefault="00A063EB" w:rsidP="00C15139">
      <w:pPr>
        <w:spacing w:after="0"/>
        <w:rPr>
          <w:rFonts w:ascii="Verdana" w:hAnsi="Verdana"/>
        </w:rPr>
      </w:pPr>
    </w:p>
    <w:sectPr w:rsidR="00A063EB" w:rsidRPr="0024624F"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9B488" w14:textId="77777777" w:rsidR="00975E5F" w:rsidRDefault="00975E5F" w:rsidP="004A1847">
      <w:pPr>
        <w:spacing w:after="0" w:line="240" w:lineRule="auto"/>
      </w:pPr>
      <w:r>
        <w:separator/>
      </w:r>
    </w:p>
  </w:endnote>
  <w:endnote w:type="continuationSeparator" w:id="0">
    <w:p w14:paraId="4DD05141" w14:textId="77777777" w:rsidR="00975E5F" w:rsidRDefault="00975E5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D1A01" w14:textId="77777777" w:rsidR="00975E5F" w:rsidRDefault="00975E5F" w:rsidP="004A1847">
      <w:pPr>
        <w:spacing w:after="0" w:line="240" w:lineRule="auto"/>
      </w:pPr>
      <w:r>
        <w:separator/>
      </w:r>
    </w:p>
  </w:footnote>
  <w:footnote w:type="continuationSeparator" w:id="0">
    <w:p w14:paraId="23B30682" w14:textId="77777777" w:rsidR="00975E5F" w:rsidRDefault="00975E5F" w:rsidP="004A1847">
      <w:pPr>
        <w:spacing w:after="0" w:line="240" w:lineRule="auto"/>
      </w:pPr>
      <w:r>
        <w:continuationSeparator/>
      </w:r>
    </w:p>
  </w:footnote>
  <w:footnote w:id="1">
    <w:p w14:paraId="6172F454" w14:textId="77777777" w:rsidR="00A2386A" w:rsidRPr="00726DF9" w:rsidRDefault="00A2386A" w:rsidP="00A2386A">
      <w:pPr>
        <w:pStyle w:val="Textonotapie"/>
        <w:ind w:right="49" w:firstLine="709"/>
        <w:jc w:val="both"/>
        <w:rPr>
          <w:rFonts w:ascii="Verdana" w:hAnsi="Verdana" w:cs="Arial"/>
          <w:color w:val="000000" w:themeColor="text1"/>
          <w:sz w:val="12"/>
          <w:szCs w:val="12"/>
        </w:rPr>
      </w:pPr>
      <w:r w:rsidRPr="00726DF9">
        <w:rPr>
          <w:rStyle w:val="Refdenotaalpie"/>
          <w:rFonts w:ascii="Verdana" w:hAnsi="Verdana" w:cs="Arial"/>
          <w:color w:val="000000" w:themeColor="text1"/>
          <w:sz w:val="12"/>
          <w:szCs w:val="12"/>
        </w:rPr>
        <w:footnoteRef/>
      </w:r>
      <w:r w:rsidRPr="00726DF9">
        <w:rPr>
          <w:rFonts w:ascii="Verdana" w:hAnsi="Verdana" w:cs="Arial"/>
          <w:color w:val="000000" w:themeColor="text1"/>
          <w:sz w:val="12"/>
          <w:szCs w:val="12"/>
        </w:rPr>
        <w:t xml:space="preserve"> Ley 1712 de 2014: “Artículo 5. Ámbito de aplicación. Las disposiciones de esta ley serán aplicables a las siguientes personas en calidad de sujetos obligados: </w:t>
      </w:r>
    </w:p>
    <w:p w14:paraId="121426F1" w14:textId="77777777" w:rsidR="00A2386A" w:rsidRPr="00726DF9" w:rsidRDefault="00A2386A" w:rsidP="00A2386A">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2">
    <w:p w14:paraId="60FE0CF0"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Style w:val="Refdenotaalpie"/>
          <w:rFonts w:ascii="Verdana" w:hAnsi="Verdana" w:cs="Arial"/>
          <w:color w:val="000000" w:themeColor="text1"/>
          <w:sz w:val="12"/>
          <w:szCs w:val="12"/>
        </w:rPr>
        <w:footnoteRef/>
      </w:r>
      <w:r w:rsidRPr="00726DF9">
        <w:rPr>
          <w:rFonts w:ascii="Verdana" w:hAnsi="Verdana" w:cs="Arial"/>
          <w:color w:val="000000" w:themeColor="text1"/>
          <w:sz w:val="12"/>
          <w:szCs w:val="12"/>
        </w:rPr>
        <w:t xml:space="preserve"> Corte Constitucional. Sentencia C- 341 del 4 de junio de 2014. M. P. Mauricio González Cuervo.</w:t>
      </w:r>
    </w:p>
  </w:footnote>
  <w:footnote w:id="3">
    <w:p w14:paraId="0D435019" w14:textId="77777777" w:rsidR="00DA7E97" w:rsidRPr="008112FA" w:rsidRDefault="00DA7E97" w:rsidP="00DA7E97">
      <w:pPr>
        <w:pStyle w:val="Textonotapie"/>
        <w:ind w:right="49" w:firstLine="709"/>
        <w:jc w:val="both"/>
        <w:rPr>
          <w:rFonts w:ascii="Verdana" w:hAnsi="Verdana" w:cs="Arial"/>
          <w:color w:val="000000" w:themeColor="text1"/>
          <w:sz w:val="16"/>
          <w:szCs w:val="16"/>
        </w:rPr>
      </w:pPr>
      <w:r w:rsidRPr="00726DF9">
        <w:rPr>
          <w:rStyle w:val="Refdenotaalpie"/>
          <w:rFonts w:ascii="Verdana" w:hAnsi="Verdana" w:cs="Arial"/>
          <w:color w:val="000000" w:themeColor="text1"/>
          <w:sz w:val="12"/>
          <w:szCs w:val="12"/>
        </w:rPr>
        <w:footnoteRef/>
      </w:r>
      <w:r w:rsidRPr="00726DF9">
        <w:rPr>
          <w:rFonts w:ascii="Verdana" w:hAnsi="Verdana" w:cs="Arial"/>
          <w:color w:val="000000" w:themeColor="text1"/>
          <w:sz w:val="12"/>
          <w:szCs w:val="12"/>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A647AB0"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Lo anterior, sin perjuicio de las publicaciones previstas en el numeral 3 del artículo 30 de la Ley 80 de 1993.</w:t>
      </w:r>
    </w:p>
    <w:p w14:paraId="2BC3A734"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 xml:space="preserve">Con el fin de materializar los objetivos a que se refiere el inciso anterior, el Gobierno Nacional desarrollará el Sistema Electrónico para la Contratación Pública, Secop, el cual: </w:t>
      </w:r>
    </w:p>
    <w:p w14:paraId="0BF233A3"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w:t>
      </w:r>
    </w:p>
    <w:p w14:paraId="65B39B1A"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 xml:space="preserve">c) Contará con la información oficial de la contratación realizada con dineros públicos, para lo cual establecerá los patrones a que haya lugar y se encargará de su difusión a través de canales electrónico”. </w:t>
      </w:r>
    </w:p>
  </w:footnote>
  <w:footnote w:id="4">
    <w:p w14:paraId="365218B3"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Style w:val="Refdenotaalpie"/>
          <w:rFonts w:ascii="Verdana" w:hAnsi="Verdana" w:cs="Arial"/>
          <w:color w:val="000000" w:themeColor="text1"/>
          <w:sz w:val="12"/>
          <w:szCs w:val="12"/>
        </w:rPr>
        <w:footnoteRef/>
      </w:r>
      <w:r w:rsidRPr="00726DF9">
        <w:rPr>
          <w:rFonts w:ascii="Verdana" w:hAnsi="Verdana" w:cs="Arial"/>
          <w:color w:val="000000" w:themeColor="text1"/>
          <w:sz w:val="12"/>
          <w:szCs w:val="12"/>
        </w:rPr>
        <w:t xml:space="preserve"> Ley 1712 de 2014: “Artículo 5. Ámbito de aplicación. Las disposiciones de esta ley serán aplicables a las siguientes personas en calidad de sujetos obligados: </w:t>
      </w:r>
    </w:p>
    <w:p w14:paraId="068A6638"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5">
    <w:p w14:paraId="068027FF"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Fonts w:ascii="Verdana" w:hAnsi="Verdana" w:cs="Arial"/>
          <w:color w:val="000000" w:themeColor="text1"/>
          <w:sz w:val="12"/>
          <w:szCs w:val="12"/>
          <w:vertAlign w:val="superscript"/>
          <w:lang w:val="es-ES" w:eastAsia="es-ES"/>
        </w:rPr>
        <w:footnoteRef/>
      </w:r>
      <w:r w:rsidRPr="00726DF9">
        <w:rPr>
          <w:rFonts w:ascii="Verdana" w:hAnsi="Verdana" w:cs="Arial"/>
          <w:color w:val="000000" w:themeColor="text1"/>
          <w:sz w:val="12"/>
          <w:szCs w:val="12"/>
          <w:vertAlign w:val="superscript"/>
          <w:lang w:val="es-ES" w:eastAsia="es-ES"/>
        </w:rPr>
        <w:t xml:space="preserve"> </w:t>
      </w:r>
      <w:r w:rsidRPr="00726DF9">
        <w:rPr>
          <w:rFonts w:ascii="Verdana" w:hAnsi="Verdana" w:cs="Arial"/>
          <w:color w:val="000000" w:themeColor="text1"/>
          <w:sz w:val="12"/>
          <w:szCs w:val="12"/>
          <w:lang w:val="es-ES" w:eastAsia="es-ES"/>
        </w:rPr>
        <w:t>“</w:t>
      </w:r>
      <w:r w:rsidRPr="00726DF9">
        <w:rPr>
          <w:rFonts w:ascii="Verdana" w:hAnsi="Verdana" w:cs="Arial"/>
          <w:color w:val="000000" w:themeColor="text1"/>
          <w:sz w:val="12"/>
          <w:szCs w:val="12"/>
        </w:rPr>
        <w:t xml:space="preserve">Artículo </w:t>
      </w:r>
      <w:bookmarkStart w:id="2" w:name="_Hlk153373407"/>
      <w:r w:rsidRPr="00726DF9">
        <w:rPr>
          <w:rFonts w:ascii="Verdana" w:hAnsi="Verdana" w:cs="Arial"/>
          <w:color w:val="000000" w:themeColor="text1"/>
          <w:sz w:val="12"/>
          <w:szCs w:val="12"/>
        </w:rPr>
        <w:t>2.1.1.2.1.7</w:t>
      </w:r>
      <w:bookmarkEnd w:id="2"/>
      <w:r w:rsidRPr="00726DF9">
        <w:rPr>
          <w:rFonts w:ascii="Verdana" w:hAnsi="Verdana" w:cs="Arial"/>
          <w:color w:val="000000" w:themeColor="text1"/>
          <w:sz w:val="12"/>
          <w:szCs w:val="12"/>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7D8B1735" w14:textId="77777777" w:rsidR="00DA7E97" w:rsidRPr="00726DF9" w:rsidRDefault="00DA7E97" w:rsidP="00DA7E97">
      <w:pPr>
        <w:pStyle w:val="Textonotapie"/>
        <w:ind w:right="49" w:firstLine="709"/>
        <w:jc w:val="both"/>
        <w:rPr>
          <w:rFonts w:ascii="Verdana" w:hAnsi="Verdana" w:cs="Arial"/>
          <w:color w:val="000000" w:themeColor="text1"/>
          <w:sz w:val="12"/>
          <w:szCs w:val="12"/>
          <w:lang w:val="es-ES" w:eastAsia="es-ES"/>
        </w:rPr>
      </w:pPr>
      <w:r w:rsidRPr="00726DF9">
        <w:rPr>
          <w:rFonts w:ascii="Verdana" w:hAnsi="Verdana" w:cs="Arial"/>
          <w:color w:val="000000" w:themeColor="text1"/>
          <w:sz w:val="12"/>
          <w:szCs w:val="12"/>
        </w:rPr>
        <w:t>[…].</w:t>
      </w:r>
    </w:p>
    <w:p w14:paraId="5C064796" w14:textId="77777777" w:rsidR="00DA7E97" w:rsidRPr="008112FA" w:rsidRDefault="00DA7E97" w:rsidP="00DA7E97">
      <w:pPr>
        <w:pStyle w:val="Textonotapie"/>
        <w:ind w:right="49" w:firstLine="709"/>
        <w:jc w:val="both"/>
        <w:rPr>
          <w:rFonts w:ascii="Verdana" w:hAnsi="Verdana" w:cs="Arial"/>
          <w:color w:val="000000" w:themeColor="text1"/>
          <w:sz w:val="16"/>
          <w:szCs w:val="16"/>
          <w:lang w:val="es-ES" w:eastAsia="es-ES"/>
        </w:rPr>
      </w:pPr>
      <w:r w:rsidRPr="00726DF9">
        <w:rPr>
          <w:rFonts w:ascii="Verdana" w:hAnsi="Verdana" w:cs="Arial"/>
          <w:color w:val="000000" w:themeColor="text1"/>
          <w:sz w:val="12"/>
          <w:szCs w:val="12"/>
          <w:lang w:val="es-ES" w:eastAsia="es-ES"/>
        </w:rPr>
        <w:t xml:space="preserve">Los sujetos obligados que contratan con recursos públicos y recursos </w:t>
      </w:r>
      <w:proofErr w:type="gramStart"/>
      <w:r w:rsidRPr="00726DF9">
        <w:rPr>
          <w:rFonts w:ascii="Verdana" w:hAnsi="Verdana" w:cs="Arial"/>
          <w:color w:val="000000" w:themeColor="text1"/>
          <w:sz w:val="12"/>
          <w:szCs w:val="12"/>
          <w:lang w:val="es-ES" w:eastAsia="es-ES"/>
        </w:rPr>
        <w:t>privados,</w:t>
      </w:r>
      <w:proofErr w:type="gramEnd"/>
      <w:r w:rsidRPr="00726DF9">
        <w:rPr>
          <w:rFonts w:ascii="Verdana" w:hAnsi="Verdana" w:cs="Arial"/>
          <w:color w:val="000000" w:themeColor="text1"/>
          <w:sz w:val="12"/>
          <w:szCs w:val="12"/>
          <w:lang w:val="es-ES" w:eastAsia="es-ES"/>
        </w:rPr>
        <w:t xml:space="preserve"> deben publicar la información de su gestión contractual con cargo a recursos públicos en el Sistema Electrónico para la Contratación Pública [SECOP]”.</w:t>
      </w:r>
    </w:p>
  </w:footnote>
  <w:footnote w:id="6">
    <w:p w14:paraId="77F51EBB" w14:textId="77777777" w:rsidR="00DA7E97" w:rsidRPr="00726DF9" w:rsidRDefault="00DA7E97" w:rsidP="00DA7E97">
      <w:pPr>
        <w:pStyle w:val="Textonotapie"/>
        <w:ind w:right="49" w:firstLine="709"/>
        <w:jc w:val="both"/>
        <w:rPr>
          <w:rFonts w:ascii="Verdana" w:hAnsi="Verdana" w:cs="Arial"/>
          <w:color w:val="000000" w:themeColor="text1"/>
          <w:sz w:val="12"/>
          <w:szCs w:val="12"/>
        </w:rPr>
      </w:pPr>
      <w:r w:rsidRPr="00726DF9">
        <w:rPr>
          <w:rStyle w:val="Refdenotaalpie"/>
          <w:rFonts w:ascii="Verdana" w:hAnsi="Verdana" w:cs="Arial"/>
          <w:color w:val="000000" w:themeColor="text1"/>
          <w:sz w:val="12"/>
          <w:szCs w:val="12"/>
        </w:rPr>
        <w:footnoteRef/>
      </w:r>
      <w:r w:rsidRPr="00726DF9">
        <w:rPr>
          <w:rFonts w:ascii="Verdana" w:hAnsi="Verdana" w:cs="Arial"/>
          <w:color w:val="000000" w:themeColor="text1"/>
          <w:sz w:val="12"/>
          <w:szCs w:val="12"/>
        </w:rPr>
        <w:t xml:space="preserve"> C</w:t>
      </w:r>
      <w:r w:rsidRPr="00726DF9">
        <w:rPr>
          <w:rFonts w:ascii="Verdana" w:hAnsi="Verdana" w:cs="Arial"/>
          <w:color w:val="000000" w:themeColor="text1"/>
          <w:sz w:val="12"/>
          <w:szCs w:val="12"/>
          <w:lang w:val="es-ES" w:eastAsia="es-ES"/>
        </w:rPr>
        <w:t xml:space="preserve">orte Constitucional. Sentencia C-274 de 9 de mayo de 2013. M.P. María Victoria Calle Correa. </w:t>
      </w:r>
    </w:p>
  </w:footnote>
  <w:footnote w:id="7">
    <w:p w14:paraId="11A8D297" w14:textId="77777777" w:rsidR="00DA7E97" w:rsidRPr="00726DF9" w:rsidRDefault="00DA7E97" w:rsidP="00DA7E97">
      <w:pPr>
        <w:pStyle w:val="Textonotapie"/>
        <w:ind w:firstLine="708"/>
        <w:jc w:val="both"/>
        <w:rPr>
          <w:rFonts w:ascii="Verdana" w:hAnsi="Verdana"/>
          <w:sz w:val="12"/>
          <w:szCs w:val="12"/>
          <w:lang w:val="es-CO"/>
        </w:rPr>
      </w:pPr>
      <w:r w:rsidRPr="00726DF9">
        <w:rPr>
          <w:rStyle w:val="Refdenotaalpie"/>
          <w:rFonts w:ascii="Verdana" w:hAnsi="Verdana"/>
          <w:sz w:val="12"/>
          <w:szCs w:val="12"/>
        </w:rPr>
        <w:footnoteRef/>
      </w:r>
      <w:r w:rsidRPr="00726DF9">
        <w:rPr>
          <w:rFonts w:ascii="Verdana" w:hAnsi="Verdana"/>
          <w:sz w:val="12"/>
          <w:szCs w:val="12"/>
        </w:rPr>
        <w:t xml:space="preserve"> La guía puede consultarse en el siguiente enlace </w:t>
      </w:r>
      <w:hyperlink r:id="rId1" w:history="1">
        <w:r w:rsidRPr="00726DF9">
          <w:rPr>
            <w:rStyle w:val="Hipervnculo"/>
            <w:rFonts w:ascii="Verdana" w:hAnsi="Verdana"/>
            <w:sz w:val="12"/>
            <w:szCs w:val="12"/>
          </w:rPr>
          <w:t>https://www.colombiacompra.gov.co/archivos/manual/publicacion-regimen-especial</w:t>
        </w:r>
      </w:hyperlink>
      <w:r w:rsidRPr="00726DF9">
        <w:rPr>
          <w:rFonts w:ascii="Verdana" w:hAnsi="Verdana"/>
          <w:sz w:val="12"/>
          <w:szCs w:val="12"/>
        </w:rPr>
        <w:t xml:space="preserve">.  </w:t>
      </w:r>
    </w:p>
  </w:footnote>
  <w:footnote w:id="8">
    <w:p w14:paraId="14A398A4" w14:textId="77777777" w:rsidR="00DA7E97" w:rsidRPr="00726DF9" w:rsidRDefault="00DA7E97" w:rsidP="00DA7E97">
      <w:pPr>
        <w:pStyle w:val="Textonotapie"/>
        <w:ind w:firstLine="708"/>
        <w:jc w:val="both"/>
        <w:rPr>
          <w:rFonts w:ascii="Verdana" w:hAnsi="Verdana"/>
          <w:sz w:val="12"/>
          <w:szCs w:val="12"/>
        </w:rPr>
      </w:pPr>
      <w:r w:rsidRPr="00726DF9">
        <w:rPr>
          <w:rStyle w:val="Refdenotaalpie"/>
          <w:rFonts w:ascii="Verdana" w:hAnsi="Verdana"/>
          <w:sz w:val="12"/>
          <w:szCs w:val="12"/>
        </w:rPr>
        <w:footnoteRef/>
      </w:r>
      <w:r w:rsidRPr="00726DF9">
        <w:rPr>
          <w:rFonts w:ascii="Verdana" w:hAnsi="Verdana"/>
          <w:sz w:val="12"/>
          <w:szCs w:val="12"/>
        </w:rPr>
        <w:t xml:space="preserve"> La guía puede consultarse en el siguiente enlace </w:t>
      </w:r>
      <w:hyperlink r:id="rId2" w:history="1">
        <w:r w:rsidRPr="00726DF9">
          <w:rPr>
            <w:rStyle w:val="Hipervnculo"/>
            <w:rFonts w:ascii="Verdana" w:hAnsi="Verdana"/>
            <w:sz w:val="12"/>
            <w:szCs w:val="12"/>
          </w:rPr>
          <w:t>https://www.colombiacompra.gov.co/base-conocimiento/regimen-especial-con-oferta</w:t>
        </w:r>
      </w:hyperlink>
      <w:r w:rsidRPr="00726DF9">
        <w:rPr>
          <w:rFonts w:ascii="Verdana" w:hAnsi="Verdana"/>
          <w:sz w:val="12"/>
          <w:szCs w:val="12"/>
        </w:rPr>
        <w:t xml:space="preserve">. </w:t>
      </w:r>
    </w:p>
  </w:footnote>
  <w:footnote w:id="9">
    <w:p w14:paraId="63237E61" w14:textId="77777777" w:rsidR="00DA7E97" w:rsidRPr="008112FA" w:rsidRDefault="00DA7E97" w:rsidP="00DA7E97">
      <w:pPr>
        <w:pStyle w:val="Textonotapie"/>
        <w:ind w:firstLine="708"/>
        <w:jc w:val="both"/>
        <w:rPr>
          <w:rFonts w:ascii="Verdana" w:hAnsi="Verdana"/>
          <w:sz w:val="16"/>
          <w:szCs w:val="16"/>
          <w:lang w:val="es-CO"/>
        </w:rPr>
      </w:pPr>
      <w:r w:rsidRPr="00726DF9">
        <w:rPr>
          <w:rStyle w:val="Refdenotaalpie"/>
          <w:rFonts w:ascii="Verdana" w:hAnsi="Verdana"/>
          <w:sz w:val="12"/>
          <w:szCs w:val="12"/>
        </w:rPr>
        <w:footnoteRef/>
      </w:r>
      <w:r w:rsidRPr="00726DF9">
        <w:rPr>
          <w:rFonts w:ascii="Verdana" w:hAnsi="Verdana"/>
          <w:sz w:val="12"/>
          <w:szCs w:val="12"/>
        </w:rPr>
        <w:t xml:space="preserve"> La guía puede consultarse en el siguiente enlace </w:t>
      </w:r>
      <w:hyperlink r:id="rId3" w:history="1">
        <w:r w:rsidRPr="00726DF9">
          <w:rPr>
            <w:rStyle w:val="Hipervnculo"/>
            <w:rFonts w:ascii="Verdana" w:hAnsi="Verdana"/>
            <w:sz w:val="12"/>
            <w:szCs w:val="12"/>
          </w:rPr>
          <w:t>https://www.colombiacompra.gov.co/base-conocimiento/regimen-especial-sin-oferta-secop-ii</w:t>
        </w:r>
      </w:hyperlink>
      <w:r w:rsidRPr="00726DF9">
        <w:rPr>
          <w:rFonts w:ascii="Verdana" w:hAnsi="Verdana"/>
          <w:sz w:val="12"/>
          <w:szCs w:val="12"/>
        </w:rPr>
        <w:t>.</w:t>
      </w:r>
      <w:r w:rsidRPr="008112FA">
        <w:rPr>
          <w:rFonts w:ascii="Verdana" w:hAnsi="Verdana"/>
          <w:sz w:val="16"/>
          <w:szCs w:val="16"/>
        </w:rPr>
        <w:t xml:space="preserve"> </w:t>
      </w:r>
    </w:p>
  </w:footnote>
  <w:footnote w:id="10">
    <w:p w14:paraId="63B42EEB" w14:textId="77777777" w:rsidR="00DA7E97" w:rsidRPr="00CE5FF3" w:rsidRDefault="00DA7E97" w:rsidP="00DA7E97">
      <w:pPr>
        <w:pStyle w:val="Textonotapie"/>
        <w:ind w:firstLine="708"/>
        <w:jc w:val="both"/>
        <w:rPr>
          <w:rFonts w:ascii="Verdana" w:hAnsi="Verdana" w:cs="Arial"/>
          <w:sz w:val="12"/>
          <w:szCs w:val="12"/>
        </w:rPr>
      </w:pPr>
      <w:r w:rsidRPr="00CE5FF3">
        <w:rPr>
          <w:rStyle w:val="Refdenotaalpie"/>
          <w:rFonts w:ascii="Verdana" w:hAnsi="Verdana" w:cs="Arial"/>
          <w:sz w:val="12"/>
          <w:szCs w:val="12"/>
        </w:rPr>
        <w:footnoteRef/>
      </w:r>
      <w:r w:rsidRPr="00CE5FF3">
        <w:rPr>
          <w:rFonts w:ascii="Verdana" w:hAnsi="Verdana" w:cs="Arial"/>
          <w:sz w:val="12"/>
          <w:szCs w:val="12"/>
        </w:rPr>
        <w:t xml:space="preserve"> “Artículo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w:t>
      </w:r>
      <w:proofErr w:type="gramStart"/>
      <w:r w:rsidRPr="00CE5FF3">
        <w:rPr>
          <w:rFonts w:ascii="Verdana" w:hAnsi="Verdana" w:cs="Arial"/>
          <w:sz w:val="12"/>
          <w:szCs w:val="12"/>
        </w:rPr>
        <w:t>público</w:t>
      </w:r>
      <w:proofErr w:type="gramEnd"/>
      <w:r w:rsidRPr="00CE5FF3">
        <w:rPr>
          <w:rFonts w:ascii="Verdana" w:hAnsi="Verdana" w:cs="Arial"/>
          <w:sz w:val="12"/>
          <w:szCs w:val="12"/>
        </w:rPr>
        <w:t xml:space="preserve"> pero no de su existencia.</w:t>
      </w:r>
    </w:p>
    <w:p w14:paraId="1278EBDA" w14:textId="77777777" w:rsidR="00DA7E97" w:rsidRPr="00CE5FF3" w:rsidRDefault="00DA7E97" w:rsidP="00DA7E97">
      <w:pPr>
        <w:pStyle w:val="Textonotapie"/>
        <w:ind w:firstLine="708"/>
        <w:jc w:val="both"/>
        <w:rPr>
          <w:rFonts w:ascii="Verdana" w:hAnsi="Verdana" w:cs="Arial"/>
          <w:sz w:val="12"/>
          <w:szCs w:val="12"/>
        </w:rPr>
      </w:pPr>
      <w:r w:rsidRPr="00CE5FF3">
        <w:rPr>
          <w:rFonts w:ascii="Verdana" w:hAnsi="Verdana" w:cs="Arial"/>
          <w:sz w:val="12"/>
          <w:szCs w:val="12"/>
        </w:rPr>
        <w:t xml:space="preserve">Ninguna </w:t>
      </w:r>
      <w:proofErr w:type="gramStart"/>
      <w:r w:rsidRPr="00CE5FF3">
        <w:rPr>
          <w:rFonts w:ascii="Verdana" w:hAnsi="Verdana" w:cs="Arial"/>
          <w:sz w:val="12"/>
          <w:szCs w:val="12"/>
        </w:rPr>
        <w:t>autoridad pública</w:t>
      </w:r>
      <w:proofErr w:type="gramEnd"/>
      <w:r w:rsidRPr="00CE5FF3">
        <w:rPr>
          <w:rFonts w:ascii="Verdana" w:hAnsi="Verdana" w:cs="Arial"/>
          <w:sz w:val="12"/>
          <w:szCs w:val="12"/>
        </w:rPr>
        <w:t xml:space="preserve"> puede negarse a indicar si un documento obra o no en su poder o negar la divulgación de un documento, salvo que el daño causado al interés protegido sea mayor al interés público de obtener acceso a la información.</w:t>
      </w:r>
    </w:p>
    <w:p w14:paraId="43FCD50C" w14:textId="77777777" w:rsidR="00DA7E97" w:rsidRPr="008112FA" w:rsidRDefault="00DA7E97" w:rsidP="00DA7E97">
      <w:pPr>
        <w:pStyle w:val="Textonotapie"/>
        <w:ind w:firstLine="708"/>
        <w:jc w:val="both"/>
        <w:rPr>
          <w:rFonts w:ascii="Verdana" w:hAnsi="Verdana" w:cs="Arial"/>
          <w:sz w:val="16"/>
          <w:szCs w:val="16"/>
          <w:lang w:val="es-CO"/>
        </w:rPr>
      </w:pPr>
      <w:r w:rsidRPr="00CE5FF3">
        <w:rPr>
          <w:rFonts w:ascii="Verdana" w:hAnsi="Verdana" w:cs="Arial"/>
          <w:sz w:val="12"/>
          <w:szCs w:val="12"/>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11">
    <w:p w14:paraId="558618CE"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Style w:val="Refdenotaalpie"/>
          <w:rFonts w:ascii="Verdana" w:hAnsi="Verdana" w:cs="Arial"/>
          <w:sz w:val="12"/>
          <w:szCs w:val="12"/>
        </w:rPr>
        <w:footnoteRef/>
      </w:r>
      <w:r w:rsidRPr="00CE5FF3">
        <w:rPr>
          <w:rFonts w:ascii="Verdana" w:hAnsi="Verdana" w:cs="Arial"/>
          <w:sz w:val="12"/>
          <w:szCs w:val="12"/>
        </w:rPr>
        <w:t xml:space="preserve"> Ley 1437 de 2011: “Artículo 24. Informaciones y documentos reservados. Solo tendrán carácter reservado las informaciones y documentos expresamente sometidos a reserva por la Constitución Política o la ley, y en especial:  </w:t>
      </w:r>
    </w:p>
    <w:p w14:paraId="147282D0"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1. Los relacionados con la defensa o seguridad nacionales.  </w:t>
      </w:r>
    </w:p>
    <w:p w14:paraId="08110F3A"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2. Las instrucciones en materia diplomática o sobre negociaciones reservadas.  </w:t>
      </w:r>
    </w:p>
    <w:p w14:paraId="1181D740"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3D2B680D"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45437E3C"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5. Los datos referentes a la información financiera y comercial, en los términos de la Ley Estatutaria 1266 de 2008.  </w:t>
      </w:r>
    </w:p>
    <w:p w14:paraId="494E9086"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6. Los protegidos por el secreto comercial o industrial, así como los planes estratégicos de las empresas públicas de servicios públicos.  </w:t>
      </w:r>
    </w:p>
    <w:p w14:paraId="660B3E84"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7. Los amparados por el secreto profesional.  </w:t>
      </w:r>
    </w:p>
    <w:p w14:paraId="586A45FD" w14:textId="77777777" w:rsidR="00DA7E97" w:rsidRPr="00CE5FF3" w:rsidRDefault="00DA7E97" w:rsidP="00DA7E97">
      <w:pPr>
        <w:pStyle w:val="Textonotapie"/>
        <w:ind w:firstLine="708"/>
        <w:contextualSpacing/>
        <w:jc w:val="both"/>
        <w:rPr>
          <w:rFonts w:ascii="Verdana" w:hAnsi="Verdana" w:cs="Arial"/>
          <w:sz w:val="12"/>
          <w:szCs w:val="12"/>
        </w:rPr>
      </w:pPr>
      <w:r w:rsidRPr="00CE5FF3">
        <w:rPr>
          <w:rFonts w:ascii="Verdana" w:hAnsi="Verdana" w:cs="Arial"/>
          <w:sz w:val="12"/>
          <w:szCs w:val="12"/>
        </w:rPr>
        <w:t xml:space="preserve">8. Los datos genéticos humanos.  </w:t>
      </w:r>
    </w:p>
    <w:p w14:paraId="000BD44E" w14:textId="77777777" w:rsidR="00DA7E97" w:rsidRPr="008112FA" w:rsidRDefault="00DA7E97" w:rsidP="00DA7E97">
      <w:pPr>
        <w:pStyle w:val="Textonotapie"/>
        <w:ind w:firstLine="708"/>
        <w:contextualSpacing/>
        <w:jc w:val="both"/>
        <w:rPr>
          <w:rFonts w:ascii="Verdana" w:hAnsi="Verdana" w:cs="Arial"/>
          <w:sz w:val="16"/>
          <w:szCs w:val="16"/>
        </w:rPr>
      </w:pPr>
      <w:r w:rsidRPr="00CE5FF3">
        <w:rPr>
          <w:rFonts w:ascii="Verdana" w:hAnsi="Verdana" w:cs="Arial"/>
          <w:sz w:val="12"/>
          <w:szCs w:val="12"/>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r w:rsidRPr="008112FA">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BEF"/>
    <w:rsid w:val="00061B2A"/>
    <w:rsid w:val="00082362"/>
    <w:rsid w:val="000A683E"/>
    <w:rsid w:val="000B19B9"/>
    <w:rsid w:val="000D0334"/>
    <w:rsid w:val="000D3EE5"/>
    <w:rsid w:val="000D5DA7"/>
    <w:rsid w:val="000F6486"/>
    <w:rsid w:val="00116940"/>
    <w:rsid w:val="00125105"/>
    <w:rsid w:val="00127233"/>
    <w:rsid w:val="0015699B"/>
    <w:rsid w:val="001933A9"/>
    <w:rsid w:val="001A33BF"/>
    <w:rsid w:val="001B779B"/>
    <w:rsid w:val="001E4177"/>
    <w:rsid w:val="001F0B24"/>
    <w:rsid w:val="001F7DC6"/>
    <w:rsid w:val="0022400B"/>
    <w:rsid w:val="002421BB"/>
    <w:rsid w:val="0025796E"/>
    <w:rsid w:val="002679E8"/>
    <w:rsid w:val="002707A2"/>
    <w:rsid w:val="002951A0"/>
    <w:rsid w:val="002962BC"/>
    <w:rsid w:val="002A093D"/>
    <w:rsid w:val="002A0DD0"/>
    <w:rsid w:val="002A49AC"/>
    <w:rsid w:val="002A64FD"/>
    <w:rsid w:val="002C0D4D"/>
    <w:rsid w:val="002C7A84"/>
    <w:rsid w:val="002E2BF8"/>
    <w:rsid w:val="002E4FD9"/>
    <w:rsid w:val="002F2AAC"/>
    <w:rsid w:val="002F5F2C"/>
    <w:rsid w:val="00305314"/>
    <w:rsid w:val="0030657A"/>
    <w:rsid w:val="00322A85"/>
    <w:rsid w:val="00324168"/>
    <w:rsid w:val="00330834"/>
    <w:rsid w:val="00337FF9"/>
    <w:rsid w:val="003448F4"/>
    <w:rsid w:val="00374F5E"/>
    <w:rsid w:val="00377E3E"/>
    <w:rsid w:val="003A779E"/>
    <w:rsid w:val="003A7D55"/>
    <w:rsid w:val="003C71D6"/>
    <w:rsid w:val="003D0F4D"/>
    <w:rsid w:val="003D5B0D"/>
    <w:rsid w:val="003E0499"/>
    <w:rsid w:val="003E36AE"/>
    <w:rsid w:val="003E4F80"/>
    <w:rsid w:val="003E6439"/>
    <w:rsid w:val="003F3941"/>
    <w:rsid w:val="003F72F5"/>
    <w:rsid w:val="00406575"/>
    <w:rsid w:val="00407969"/>
    <w:rsid w:val="00414C74"/>
    <w:rsid w:val="0042722E"/>
    <w:rsid w:val="0044528D"/>
    <w:rsid w:val="00466E39"/>
    <w:rsid w:val="004A1847"/>
    <w:rsid w:val="004A305D"/>
    <w:rsid w:val="004B29C3"/>
    <w:rsid w:val="004F21C4"/>
    <w:rsid w:val="004F685F"/>
    <w:rsid w:val="005021E9"/>
    <w:rsid w:val="005566E8"/>
    <w:rsid w:val="00574867"/>
    <w:rsid w:val="00591460"/>
    <w:rsid w:val="00595FB5"/>
    <w:rsid w:val="005A65E0"/>
    <w:rsid w:val="005C3777"/>
    <w:rsid w:val="005C5CDC"/>
    <w:rsid w:val="005D476C"/>
    <w:rsid w:val="006200BF"/>
    <w:rsid w:val="006219F8"/>
    <w:rsid w:val="00625ED6"/>
    <w:rsid w:val="006302F7"/>
    <w:rsid w:val="006316AE"/>
    <w:rsid w:val="00646B9F"/>
    <w:rsid w:val="00665D70"/>
    <w:rsid w:val="00677905"/>
    <w:rsid w:val="006867FB"/>
    <w:rsid w:val="006900D9"/>
    <w:rsid w:val="006C4593"/>
    <w:rsid w:val="00706C16"/>
    <w:rsid w:val="00726DF9"/>
    <w:rsid w:val="007340C3"/>
    <w:rsid w:val="0075235A"/>
    <w:rsid w:val="007564AC"/>
    <w:rsid w:val="00756841"/>
    <w:rsid w:val="007649AB"/>
    <w:rsid w:val="00771D0C"/>
    <w:rsid w:val="00777CC4"/>
    <w:rsid w:val="007833AC"/>
    <w:rsid w:val="007B268C"/>
    <w:rsid w:val="007B7171"/>
    <w:rsid w:val="007C0C0F"/>
    <w:rsid w:val="007C3DC2"/>
    <w:rsid w:val="007E5497"/>
    <w:rsid w:val="007F6861"/>
    <w:rsid w:val="00806F5F"/>
    <w:rsid w:val="00820278"/>
    <w:rsid w:val="008258C9"/>
    <w:rsid w:val="00844598"/>
    <w:rsid w:val="00844AE9"/>
    <w:rsid w:val="00854ED7"/>
    <w:rsid w:val="00867F95"/>
    <w:rsid w:val="008843B6"/>
    <w:rsid w:val="00891928"/>
    <w:rsid w:val="008A446D"/>
    <w:rsid w:val="008B1334"/>
    <w:rsid w:val="008B25F1"/>
    <w:rsid w:val="008D180B"/>
    <w:rsid w:val="008E4266"/>
    <w:rsid w:val="008F0EA7"/>
    <w:rsid w:val="00923EEF"/>
    <w:rsid w:val="009419F9"/>
    <w:rsid w:val="0095685E"/>
    <w:rsid w:val="00961B09"/>
    <w:rsid w:val="00965334"/>
    <w:rsid w:val="0097093E"/>
    <w:rsid w:val="00975E5F"/>
    <w:rsid w:val="00980B14"/>
    <w:rsid w:val="009A0DFA"/>
    <w:rsid w:val="009A1C6F"/>
    <w:rsid w:val="009B2D26"/>
    <w:rsid w:val="009B3F30"/>
    <w:rsid w:val="009C71FA"/>
    <w:rsid w:val="009C72E7"/>
    <w:rsid w:val="009C7F7E"/>
    <w:rsid w:val="009D3058"/>
    <w:rsid w:val="009F3A13"/>
    <w:rsid w:val="009F6B0A"/>
    <w:rsid w:val="00A063EB"/>
    <w:rsid w:val="00A122D3"/>
    <w:rsid w:val="00A14468"/>
    <w:rsid w:val="00A17F13"/>
    <w:rsid w:val="00A20739"/>
    <w:rsid w:val="00A2386A"/>
    <w:rsid w:val="00A23AF9"/>
    <w:rsid w:val="00A33C78"/>
    <w:rsid w:val="00A37A0B"/>
    <w:rsid w:val="00A805FD"/>
    <w:rsid w:val="00AB0ADB"/>
    <w:rsid w:val="00AB24A2"/>
    <w:rsid w:val="00B00C0E"/>
    <w:rsid w:val="00B01B1A"/>
    <w:rsid w:val="00B0381D"/>
    <w:rsid w:val="00B44A47"/>
    <w:rsid w:val="00B72CD3"/>
    <w:rsid w:val="00B72FFF"/>
    <w:rsid w:val="00B96BED"/>
    <w:rsid w:val="00BC3D36"/>
    <w:rsid w:val="00BD54A6"/>
    <w:rsid w:val="00BD7256"/>
    <w:rsid w:val="00BD7F72"/>
    <w:rsid w:val="00BE28FB"/>
    <w:rsid w:val="00BF7425"/>
    <w:rsid w:val="00C04FB3"/>
    <w:rsid w:val="00C11D8B"/>
    <w:rsid w:val="00C15139"/>
    <w:rsid w:val="00C330EB"/>
    <w:rsid w:val="00C50D69"/>
    <w:rsid w:val="00C5365C"/>
    <w:rsid w:val="00C6377A"/>
    <w:rsid w:val="00C73FE9"/>
    <w:rsid w:val="00C754BE"/>
    <w:rsid w:val="00C76B1C"/>
    <w:rsid w:val="00C925AC"/>
    <w:rsid w:val="00CB6357"/>
    <w:rsid w:val="00CC1B26"/>
    <w:rsid w:val="00CE4704"/>
    <w:rsid w:val="00CE5FF3"/>
    <w:rsid w:val="00CE78AA"/>
    <w:rsid w:val="00D361FD"/>
    <w:rsid w:val="00D423A2"/>
    <w:rsid w:val="00D44E26"/>
    <w:rsid w:val="00D51BFA"/>
    <w:rsid w:val="00D520D8"/>
    <w:rsid w:val="00D63AC2"/>
    <w:rsid w:val="00D7383B"/>
    <w:rsid w:val="00D7788A"/>
    <w:rsid w:val="00D91B25"/>
    <w:rsid w:val="00DA231B"/>
    <w:rsid w:val="00DA7E97"/>
    <w:rsid w:val="00DC39FC"/>
    <w:rsid w:val="00DF5254"/>
    <w:rsid w:val="00E02524"/>
    <w:rsid w:val="00E16408"/>
    <w:rsid w:val="00E16D59"/>
    <w:rsid w:val="00E20894"/>
    <w:rsid w:val="00E245AB"/>
    <w:rsid w:val="00E2764C"/>
    <w:rsid w:val="00E27F2E"/>
    <w:rsid w:val="00E50AFE"/>
    <w:rsid w:val="00E75C92"/>
    <w:rsid w:val="00E771DC"/>
    <w:rsid w:val="00E8772A"/>
    <w:rsid w:val="00E90F6B"/>
    <w:rsid w:val="00E92C27"/>
    <w:rsid w:val="00E9332F"/>
    <w:rsid w:val="00EA0E3D"/>
    <w:rsid w:val="00EC38A7"/>
    <w:rsid w:val="00EC65AC"/>
    <w:rsid w:val="00EE1AA8"/>
    <w:rsid w:val="00F23FEA"/>
    <w:rsid w:val="00F31EDC"/>
    <w:rsid w:val="00F462B3"/>
    <w:rsid w:val="00F5664F"/>
    <w:rsid w:val="00F666C4"/>
    <w:rsid w:val="00F76AFC"/>
    <w:rsid w:val="00F94011"/>
    <w:rsid w:val="00FA47C0"/>
    <w:rsid w:val="00FB5DD1"/>
    <w:rsid w:val="00FC2B5D"/>
    <w:rsid w:val="00FE6A96"/>
    <w:rsid w:val="00FF1449"/>
    <w:rsid w:val="00FF7963"/>
    <w:rsid w:val="071B8F93"/>
    <w:rsid w:val="09908A09"/>
    <w:rsid w:val="0FF4CCA8"/>
    <w:rsid w:val="13CFC91B"/>
    <w:rsid w:val="19A2EC2C"/>
    <w:rsid w:val="1D038577"/>
    <w:rsid w:val="2859CA1B"/>
    <w:rsid w:val="32A4F9CF"/>
    <w:rsid w:val="343B82F3"/>
    <w:rsid w:val="356CEDFD"/>
    <w:rsid w:val="5B60A788"/>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D5CA978-AE14-4341-9B65-D955FD1C4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063E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regimen-especial-sin-oferta-secop-ii" TargetMode="External"/><Relationship Id="rId2" Type="http://schemas.openxmlformats.org/officeDocument/2006/relationships/hyperlink" Target="https://www.colombiacompra.gov.co/base-conocimiento/regimen-especial-con-oferta" TargetMode="External"/><Relationship Id="rId1" Type="http://schemas.openxmlformats.org/officeDocument/2006/relationships/hyperlink" Target="https://www.colombiacompra.gov.co/archivos/manual/publicacion-regimen-espe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2D38ED1-10E0-4243-AAE2-75CE3BD468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17</Pages>
  <Words>5622</Words>
  <Characters>29518</Characters>
  <Application>Microsoft Office Word</Application>
  <DocSecurity>0</DocSecurity>
  <Lines>578</Lines>
  <Paragraphs>110</Paragraphs>
  <ScaleCrop>false</ScaleCrop>
  <Company/>
  <LinksUpToDate>false</LinksUpToDate>
  <CharactersWithSpaces>35030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9</cp:revision>
  <cp:lastPrinted>2023-01-10T21:18:00Z</cp:lastPrinted>
  <dcterms:created xsi:type="dcterms:W3CDTF">2025-12-11T22:19:00Z</dcterms:created>
  <dcterms:modified xsi:type="dcterms:W3CDTF">2025-12-18T16:47:00Z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