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5CD238" w14:textId="77777777" w:rsidR="00896406" w:rsidRPr="00CA3AFC" w:rsidRDefault="00896406" w:rsidP="00896406">
      <w:pPr>
        <w:spacing w:after="0" w:line="240" w:lineRule="auto"/>
        <w:rPr>
          <w:rFonts w:ascii="Verdana" w:eastAsia="Calibri" w:hAnsi="Verdana" w:cs="Arial"/>
          <w:b/>
          <w:color w:val="000000" w:themeColor="text1"/>
          <w:lang w:val="es-ES_tradnl"/>
        </w:rPr>
      </w:pPr>
      <w:bookmarkStart w:id="0" w:name="_Hlk143780582"/>
      <w:r w:rsidRPr="00CA3AFC">
        <w:rPr>
          <w:rFonts w:ascii="Verdana" w:eastAsia="Calibri" w:hAnsi="Verdana" w:cs="Arial"/>
          <w:b/>
          <w:color w:val="000000" w:themeColor="text1"/>
          <w:lang w:val="es-ES_tradnl"/>
        </w:rPr>
        <w:t xml:space="preserve">LEY DE GARANTÍAS ELECTORALES ‒ Tipos de restricciones ‒ Ámbito temporal </w:t>
      </w:r>
    </w:p>
    <w:p w14:paraId="62F98F00" w14:textId="77777777" w:rsidR="00896406" w:rsidRPr="00CA3AFC" w:rsidRDefault="00896406" w:rsidP="00896406">
      <w:pPr>
        <w:spacing w:after="0" w:line="240" w:lineRule="auto"/>
        <w:rPr>
          <w:rFonts w:ascii="Verdana" w:eastAsia="Calibri" w:hAnsi="Verdana" w:cs="Arial"/>
          <w:b/>
          <w:color w:val="000000" w:themeColor="text1"/>
          <w:lang w:val="es-ES_tradnl"/>
        </w:rPr>
      </w:pPr>
    </w:p>
    <w:p w14:paraId="1AEFD921" w14:textId="77777777" w:rsidR="00896406" w:rsidRPr="00CA3AFC" w:rsidRDefault="00896406" w:rsidP="00896406">
      <w:pPr>
        <w:spacing w:after="0" w:line="240" w:lineRule="auto"/>
        <w:jc w:val="both"/>
        <w:rPr>
          <w:rFonts w:ascii="Verdana" w:eastAsia="Calibri" w:hAnsi="Verdana" w:cs="Arial"/>
          <w:color w:val="000000" w:themeColor="text1"/>
          <w:lang w:val="es-ES"/>
        </w:rPr>
      </w:pPr>
      <w:r w:rsidRPr="00CA3AFC">
        <w:rPr>
          <w:rFonts w:ascii="Verdana" w:eastAsia="Calibri" w:hAnsi="Verdana" w:cs="Arial"/>
          <w:color w:val="000000" w:themeColor="text1"/>
          <w:lang w:val="es-ES"/>
        </w:rPr>
        <w:t>[…] la Ley 996 de 2005 establece dos (2) tipos de restricciones en materia de contratación, las cuales coinciden parcialmente. En primer lugar,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En segundo lugar,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7E699090" w14:textId="77777777" w:rsidR="00896406" w:rsidRPr="00CA3AFC" w:rsidRDefault="00896406" w:rsidP="00896406">
      <w:pPr>
        <w:spacing w:after="0" w:line="240" w:lineRule="auto"/>
        <w:rPr>
          <w:rFonts w:ascii="Verdana" w:eastAsia="Calibri" w:hAnsi="Verdana" w:cs="Arial"/>
          <w:b/>
          <w:color w:val="000000" w:themeColor="text1"/>
          <w:lang w:val="es-ES_tradnl"/>
        </w:rPr>
      </w:pPr>
    </w:p>
    <w:p w14:paraId="32DBF2C1" w14:textId="77777777" w:rsidR="00896406" w:rsidRPr="00CA3AFC" w:rsidRDefault="00896406" w:rsidP="00896406">
      <w:pPr>
        <w:spacing w:after="0" w:line="240" w:lineRule="auto"/>
        <w:rPr>
          <w:rFonts w:ascii="Verdana" w:eastAsia="Calibri" w:hAnsi="Verdana" w:cs="Arial"/>
          <w:b/>
          <w:color w:val="000000" w:themeColor="text1"/>
          <w:lang w:val="es-ES_tradnl"/>
        </w:rPr>
      </w:pPr>
      <w:r w:rsidRPr="00CA3AFC">
        <w:rPr>
          <w:rFonts w:ascii="Verdana" w:eastAsia="Calibri" w:hAnsi="Verdana" w:cs="Arial"/>
          <w:b/>
          <w:color w:val="000000" w:themeColor="text1"/>
          <w:lang w:val="es-ES_tradnl"/>
        </w:rPr>
        <w:t xml:space="preserve">LEY DE GARANTÍAS ELECTORALES ─ Prohibición ‒ Contratación directa ‒ Alcance – Excepciones </w:t>
      </w:r>
    </w:p>
    <w:p w14:paraId="3AFC9521" w14:textId="77777777" w:rsidR="00896406" w:rsidRPr="00CA3AFC" w:rsidRDefault="00896406" w:rsidP="00896406">
      <w:pPr>
        <w:spacing w:after="0" w:line="240" w:lineRule="auto"/>
        <w:rPr>
          <w:rFonts w:ascii="Verdana" w:eastAsia="Calibri" w:hAnsi="Verdana" w:cs="Arial"/>
          <w:b/>
          <w:color w:val="000000" w:themeColor="text1"/>
          <w:lang w:val="es-ES_tradnl"/>
        </w:rPr>
      </w:pPr>
    </w:p>
    <w:p w14:paraId="3A389287" w14:textId="77777777" w:rsidR="00FD4F35" w:rsidRPr="00667CD6" w:rsidRDefault="00FD4F35" w:rsidP="00FD4F35">
      <w:pPr>
        <w:spacing w:before="120" w:after="0" w:line="276" w:lineRule="auto"/>
        <w:jc w:val="both"/>
        <w:rPr>
          <w:rFonts w:ascii="Verdana" w:eastAsia="Times New Roman" w:hAnsi="Verdana" w:cs="Arial"/>
          <w:lang w:eastAsia="es-CO"/>
        </w:rPr>
      </w:pPr>
      <w:r w:rsidRPr="00667CD6">
        <w:rPr>
          <w:rFonts w:ascii="Verdana" w:eastAsia="Times New Roman" w:hAnsi="Verdana" w:cs="Arial"/>
          <w:lang w:eastAsia="es-CO"/>
        </w:rPr>
        <w:t xml:space="preserve">De esta manera, conforme a lo dispuesto en la Circular referida, si se suscriben </w:t>
      </w:r>
      <w:r w:rsidRPr="00667CD6">
        <w:rPr>
          <w:rFonts w:ascii="Verdana" w:eastAsia="Times New Roman" w:hAnsi="Verdana" w:cs="Arial"/>
          <w:i/>
          <w:iCs/>
          <w:lang w:eastAsia="es-CO"/>
        </w:rPr>
        <w:t>convenios interadministrativos para la ejecución de recursos públicos</w:t>
      </w:r>
      <w:r w:rsidRPr="00667CD6">
        <w:rPr>
          <w:rFonts w:ascii="Verdana" w:eastAsia="Times New Roman" w:hAnsi="Verdana" w:cs="Arial"/>
          <w:lang w:eastAsia="es-CO"/>
        </w:rPr>
        <w:t xml:space="preserve"> por los alcaldes, gobernadores, secretarios, gerentes y directores de las entidades del orden municipal, departamental o distrital, aplicará la prohibición del parágrafo del artículo 38 </w:t>
      </w:r>
      <w:r w:rsidRPr="00667CD6">
        <w:rPr>
          <w:rFonts w:ascii="Verdana" w:eastAsia="Times New Roman" w:hAnsi="Verdana" w:cs="Arial"/>
          <w:i/>
          <w:iCs/>
          <w:lang w:eastAsia="es-CO"/>
        </w:rPr>
        <w:t>ibidem</w:t>
      </w:r>
      <w:r w:rsidRPr="00667CD6">
        <w:rPr>
          <w:rFonts w:ascii="Verdana" w:eastAsia="Times New Roman" w:hAnsi="Verdana" w:cs="Arial"/>
          <w:lang w:eastAsia="es-CO"/>
        </w:rPr>
        <w:t>, independientemente de que se configure alguno de los supuestos de excepción que señaló el inciso final del artículo 33, es decir, que se trate de:</w:t>
      </w:r>
      <w:r w:rsidRPr="00667CD6">
        <w:rPr>
          <w:rFonts w:ascii="Verdana" w:hAnsi="Verdana" w:cs="Arial"/>
          <w:bCs/>
          <w:lang w:val="es-MX" w:eastAsia="x-none"/>
        </w:rPr>
        <w:t xml:space="preserve"> i) la defensa y seguridad del Estado; </w:t>
      </w:r>
      <w:proofErr w:type="spellStart"/>
      <w:r w:rsidRPr="00667CD6">
        <w:rPr>
          <w:rFonts w:ascii="Verdana" w:hAnsi="Verdana" w:cs="Arial"/>
          <w:bCs/>
          <w:lang w:val="es-MX" w:eastAsia="x-none"/>
        </w:rPr>
        <w:t>ii</w:t>
      </w:r>
      <w:proofErr w:type="spellEnd"/>
      <w:r w:rsidRPr="00667CD6">
        <w:rPr>
          <w:rFonts w:ascii="Verdana" w:hAnsi="Verdana" w:cs="Arial"/>
          <w:bCs/>
          <w:lang w:val="es-MX" w:eastAsia="x-none"/>
        </w:rPr>
        <w:t xml:space="preserve">) los contratos de crédito público; </w:t>
      </w:r>
      <w:proofErr w:type="spellStart"/>
      <w:r w:rsidRPr="00667CD6">
        <w:rPr>
          <w:rFonts w:ascii="Verdana" w:hAnsi="Verdana" w:cs="Arial"/>
          <w:bCs/>
          <w:lang w:val="es-MX" w:eastAsia="x-none"/>
        </w:rPr>
        <w:t>iii</w:t>
      </w:r>
      <w:proofErr w:type="spellEnd"/>
      <w:r w:rsidRPr="00667CD6">
        <w:rPr>
          <w:rFonts w:ascii="Verdana" w:hAnsi="Verdana" w:cs="Arial"/>
          <w:bCs/>
          <w:lang w:val="es-MX" w:eastAsia="x-none"/>
        </w:rPr>
        <w:t xml:space="preserve">) los requeridos para cubrir las emergencias educativas, sanitarias y desastres; </w:t>
      </w:r>
      <w:proofErr w:type="spellStart"/>
      <w:r w:rsidRPr="00667CD6">
        <w:rPr>
          <w:rFonts w:ascii="Verdana" w:hAnsi="Verdana" w:cs="Arial"/>
          <w:bCs/>
          <w:lang w:val="es-MX" w:eastAsia="x-none"/>
        </w:rPr>
        <w:t>iv</w:t>
      </w:r>
      <w:proofErr w:type="spellEnd"/>
      <w:r w:rsidRPr="00667CD6">
        <w:rPr>
          <w:rFonts w:ascii="Verdana"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667CD6">
        <w:rPr>
          <w:rFonts w:ascii="Verdana" w:hAnsi="Verdana" w:cs="Arial"/>
          <w:bCs/>
          <w:lang w:val="es-MX" w:eastAsia="es-CO"/>
        </w:rPr>
        <w:t xml:space="preserve"> </w:t>
      </w:r>
      <w:r w:rsidRPr="00667CD6">
        <w:rPr>
          <w:rFonts w:ascii="Verdana" w:eastAsia="Times New Roman" w:hAnsi="Verdana" w:cs="Arial"/>
          <w:lang w:eastAsia="es-CO"/>
        </w:rPr>
        <w:t xml:space="preserve">  </w:t>
      </w:r>
    </w:p>
    <w:p w14:paraId="06FDF2CE" w14:textId="77777777" w:rsidR="00896406" w:rsidRPr="00CA3AFC" w:rsidRDefault="00896406" w:rsidP="00896406">
      <w:pPr>
        <w:spacing w:after="0" w:line="240" w:lineRule="auto"/>
        <w:jc w:val="both"/>
        <w:rPr>
          <w:rFonts w:ascii="Verdana" w:eastAsia="Calibri" w:hAnsi="Verdana" w:cs="Arial"/>
          <w:b/>
          <w:color w:val="000000" w:themeColor="text1"/>
          <w:lang w:val="es-ES_tradnl"/>
        </w:rPr>
      </w:pPr>
    </w:p>
    <w:p w14:paraId="57587963" w14:textId="77777777" w:rsidR="00896406" w:rsidRPr="00CA3AFC" w:rsidRDefault="00896406" w:rsidP="00896406">
      <w:pPr>
        <w:spacing w:after="0" w:line="240" w:lineRule="auto"/>
        <w:jc w:val="both"/>
        <w:rPr>
          <w:rFonts w:ascii="Verdana" w:eastAsia="Calibri" w:hAnsi="Verdana" w:cs="Arial"/>
          <w:b/>
          <w:color w:val="000000" w:themeColor="text1"/>
          <w:lang w:val="es-ES_tradnl"/>
        </w:rPr>
      </w:pPr>
      <w:r w:rsidRPr="00CA3AFC">
        <w:rPr>
          <w:rFonts w:ascii="Verdana" w:eastAsia="Calibri" w:hAnsi="Verdana" w:cs="Arial"/>
          <w:b/>
          <w:color w:val="000000" w:themeColor="text1"/>
          <w:lang w:val="es-ES_tradnl"/>
        </w:rPr>
        <w:t>LEY DE GARANTÍAS ELECTORALES ‒ Prohibición del artículo 33 ‒ Destinatarios</w:t>
      </w:r>
    </w:p>
    <w:p w14:paraId="7835BFC6" w14:textId="77777777" w:rsidR="00896406" w:rsidRPr="00CA3AFC" w:rsidRDefault="00896406" w:rsidP="00896406">
      <w:pPr>
        <w:spacing w:after="0" w:line="240" w:lineRule="auto"/>
        <w:jc w:val="both"/>
        <w:rPr>
          <w:rFonts w:ascii="Verdana" w:eastAsia="Calibri" w:hAnsi="Verdana" w:cs="Arial"/>
          <w:bCs/>
          <w:color w:val="000000" w:themeColor="text1"/>
          <w:lang w:val="es-ES_tradnl"/>
        </w:rPr>
      </w:pPr>
    </w:p>
    <w:p w14:paraId="56A7A4E1" w14:textId="77777777" w:rsidR="002D6EE1" w:rsidRPr="00F10E52" w:rsidRDefault="002D6EE1" w:rsidP="002D6EE1">
      <w:pPr>
        <w:spacing w:after="120" w:line="276" w:lineRule="auto"/>
        <w:jc w:val="both"/>
        <w:rPr>
          <w:rFonts w:ascii="Verdana" w:eastAsia="Calibri" w:hAnsi="Verdana" w:cs="Arial"/>
        </w:rPr>
      </w:pPr>
      <w:r w:rsidRPr="00F10E52">
        <w:rPr>
          <w:rFonts w:ascii="Verdana" w:eastAsia="Calibri" w:hAnsi="Verdana" w:cs="Arial"/>
        </w:rPr>
        <w:lastRenderedPageBreak/>
        <w:t xml:space="preserve">Por un lado, el artículo 33 de la Ley 996 de 2005 prohíbe </w:t>
      </w:r>
      <w:r>
        <w:rPr>
          <w:rFonts w:ascii="Verdana" w:eastAsia="Calibri" w:hAnsi="Verdana" w:cs="Arial"/>
        </w:rPr>
        <w:t>“</w:t>
      </w:r>
      <w:r w:rsidRPr="00F10E52">
        <w:rPr>
          <w:rFonts w:ascii="Verdana" w:eastAsia="Calibri" w:hAnsi="Verdana" w:cs="Arial"/>
          <w:bCs/>
        </w:rPr>
        <w:t xml:space="preserve">[…] </w:t>
      </w:r>
      <w:r w:rsidRPr="00F10E52">
        <w:rPr>
          <w:rFonts w:ascii="Verdana" w:eastAsia="Calibri" w:hAnsi="Verdana" w:cs="Arial"/>
        </w:rPr>
        <w:t>la contratación directa por parte de todos los entes del Estado</w:t>
      </w:r>
      <w:r>
        <w:rPr>
          <w:rFonts w:ascii="Verdana" w:eastAsia="Calibri" w:hAnsi="Verdana" w:cs="Arial"/>
          <w:bCs/>
        </w:rPr>
        <w:t>”</w:t>
      </w:r>
      <w:r w:rsidRPr="00F10E52">
        <w:rPr>
          <w:rFonts w:ascii="Verdana" w:eastAsia="Calibri" w:hAnsi="Verdana" w:cs="Arial"/>
        </w:rPr>
        <w:t xml:space="preserve"> durante los cuatro (4) meses anteriores a las elecciones presidenciales, salvo </w:t>
      </w:r>
      <w:r>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 xml:space="preserve">lo referente a la defensa y seguridad del Estado, los contratos de crédito público, los requeridos para cubrir las </w:t>
      </w:r>
      <w:r w:rsidRPr="003D0447">
        <w:rPr>
          <w:rFonts w:ascii="Verdana" w:eastAsia="Calibri" w:hAnsi="Verdana" w:cs="Arial"/>
          <w:i/>
        </w:rPr>
        <w:t>emergencias educativas</w:t>
      </w:r>
      <w:r w:rsidRPr="00F10E52">
        <w:rPr>
          <w:rFonts w:ascii="Verdana" w:eastAsia="Calibri" w:hAnsi="Verdana" w:cs="Arial"/>
        </w:rPr>
        <w:t>,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Fonts w:ascii="Verdana" w:eastAsia="Calibri" w:hAnsi="Verdana" w:cs="Arial"/>
          <w:bCs/>
        </w:rPr>
        <w:t>”</w:t>
      </w:r>
      <w:r w:rsidRPr="00F10E52">
        <w:rPr>
          <w:rFonts w:ascii="Verdana" w:eastAsia="Calibri" w:hAnsi="Verdana" w:cs="Arial"/>
        </w:rPr>
        <w:t>.</w:t>
      </w:r>
    </w:p>
    <w:p w14:paraId="6155F167" w14:textId="77777777" w:rsidR="00896406" w:rsidRPr="00CA3AFC" w:rsidRDefault="00896406" w:rsidP="00896406">
      <w:pPr>
        <w:spacing w:after="0" w:line="240" w:lineRule="auto"/>
        <w:jc w:val="both"/>
        <w:rPr>
          <w:rFonts w:ascii="Verdana" w:hAnsi="Verdana" w:cs="Arial"/>
          <w:b/>
          <w:lang w:val="es-MX" w:eastAsia="es-ES_tradnl"/>
        </w:rPr>
      </w:pPr>
    </w:p>
    <w:p w14:paraId="391AEC5D" w14:textId="77777777" w:rsidR="00896406" w:rsidRPr="00CA3AFC" w:rsidRDefault="00896406" w:rsidP="00896406">
      <w:pPr>
        <w:spacing w:after="0" w:line="240" w:lineRule="auto"/>
        <w:jc w:val="both"/>
        <w:rPr>
          <w:rFonts w:ascii="Verdana" w:hAnsi="Verdana" w:cs="Arial"/>
          <w:b/>
          <w:lang w:val="es-MX" w:eastAsia="es-ES_tradnl"/>
        </w:rPr>
      </w:pPr>
      <w:r w:rsidRPr="00CA3AFC">
        <w:rPr>
          <w:rFonts w:ascii="Verdana" w:hAnsi="Verdana" w:cs="Arial"/>
          <w:b/>
          <w:lang w:val="es-MX" w:eastAsia="es-ES_tradnl"/>
        </w:rPr>
        <w:t>CONTRATOS Y CONVENIOS INTERADMINISTRATIVOS – Definición – Criterio orgánico</w:t>
      </w:r>
    </w:p>
    <w:p w14:paraId="58EA6D7F" w14:textId="77777777" w:rsidR="00896406" w:rsidRPr="00CA3AFC" w:rsidRDefault="00896406" w:rsidP="00896406">
      <w:pPr>
        <w:spacing w:after="0" w:line="240" w:lineRule="auto"/>
        <w:jc w:val="both"/>
        <w:rPr>
          <w:rFonts w:ascii="Verdana" w:hAnsi="Verdana" w:cs="Arial"/>
          <w:b/>
          <w:lang w:val="es-MX" w:eastAsia="es-ES_tradnl"/>
        </w:rPr>
      </w:pPr>
    </w:p>
    <w:p w14:paraId="6B484E76" w14:textId="77777777" w:rsidR="002D6EE1" w:rsidRDefault="002D6EE1" w:rsidP="002D6EE1">
      <w:pPr>
        <w:widowControl w:val="0"/>
        <w:autoSpaceDE w:val="0"/>
        <w:autoSpaceDN w:val="0"/>
        <w:spacing w:after="120" w:line="276" w:lineRule="auto"/>
        <w:jc w:val="both"/>
        <w:rPr>
          <w:rFonts w:ascii="Verdana" w:eastAsia="Arial" w:hAnsi="Verdana" w:cs="Arial"/>
          <w:lang w:val="es-ES" w:eastAsia="es-ES" w:bidi="es-ES"/>
        </w:rPr>
      </w:pPr>
      <w:r w:rsidRPr="00F10E52">
        <w:rPr>
          <w:rFonts w:ascii="Verdana" w:eastAsia="Calibri" w:hAnsi="Verdana" w:cs="Arial"/>
        </w:rPr>
        <w:t xml:space="preserve">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w:t>
      </w:r>
      <w:r>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Pr>
          <w:rFonts w:ascii="Verdana" w:eastAsia="Calibri" w:hAnsi="Verdana" w:cs="Arial"/>
          <w:bCs/>
        </w:rPr>
        <w:t>”</w:t>
      </w:r>
      <w:r w:rsidRPr="00F10E52">
        <w:rPr>
          <w:rFonts w:ascii="Verdana" w:eastAsia="Calibri" w:hAnsi="Verdana" w:cs="Arial"/>
        </w:rPr>
        <w:t>.</w:t>
      </w:r>
      <w:r w:rsidRPr="00F10E52">
        <w:rPr>
          <w:rFonts w:ascii="Verdana" w:eastAsia="Arial" w:hAnsi="Verdana" w:cs="Arial"/>
          <w:lang w:val="es-ES" w:eastAsia="es-ES" w:bidi="es-ES"/>
        </w:rPr>
        <w:t xml:space="preserve"> </w:t>
      </w:r>
    </w:p>
    <w:p w14:paraId="2B106B44" w14:textId="77777777" w:rsidR="00896406" w:rsidRDefault="00896406" w:rsidP="00C15139">
      <w:pPr>
        <w:spacing w:after="0"/>
        <w:rPr>
          <w:rFonts w:ascii="Verdana" w:eastAsia="Calibri" w:hAnsi="Verdana" w:cs="Arial"/>
          <w:lang w:bidi="es-ES"/>
        </w:rPr>
      </w:pPr>
    </w:p>
    <w:p w14:paraId="6972D230" w14:textId="77777777" w:rsidR="002D6EE1" w:rsidRDefault="002D6EE1" w:rsidP="00C15139">
      <w:pPr>
        <w:spacing w:after="0"/>
        <w:rPr>
          <w:rFonts w:ascii="Verdana" w:hAnsi="Verdana"/>
        </w:rPr>
      </w:pPr>
    </w:p>
    <w:p w14:paraId="52D7F1DE" w14:textId="77777777" w:rsidR="002D6EE1" w:rsidRDefault="002D6EE1" w:rsidP="00C15139">
      <w:pPr>
        <w:spacing w:after="0"/>
        <w:rPr>
          <w:rFonts w:ascii="Verdana" w:hAnsi="Verdana"/>
        </w:rPr>
      </w:pPr>
    </w:p>
    <w:p w14:paraId="1D65AE36" w14:textId="77777777" w:rsidR="002D6EE1" w:rsidRDefault="002D6EE1" w:rsidP="00C15139">
      <w:pPr>
        <w:spacing w:after="0"/>
        <w:rPr>
          <w:rFonts w:ascii="Verdana" w:hAnsi="Verdana"/>
        </w:rPr>
      </w:pPr>
    </w:p>
    <w:p w14:paraId="010B9BE2" w14:textId="77777777" w:rsidR="002D6EE1" w:rsidRDefault="002D6EE1" w:rsidP="00C15139">
      <w:pPr>
        <w:spacing w:after="0"/>
        <w:rPr>
          <w:rFonts w:ascii="Verdana" w:hAnsi="Verdana"/>
        </w:rPr>
      </w:pPr>
    </w:p>
    <w:p w14:paraId="6F94E31D" w14:textId="77777777" w:rsidR="002D6EE1" w:rsidRDefault="002D6EE1" w:rsidP="00C15139">
      <w:pPr>
        <w:spacing w:after="0"/>
        <w:rPr>
          <w:rFonts w:ascii="Verdana" w:hAnsi="Verdana"/>
        </w:rPr>
      </w:pPr>
    </w:p>
    <w:p w14:paraId="66A4A72F" w14:textId="77777777" w:rsidR="002D6EE1" w:rsidRDefault="002D6EE1" w:rsidP="00C15139">
      <w:pPr>
        <w:spacing w:after="0"/>
        <w:rPr>
          <w:rFonts w:ascii="Verdana" w:hAnsi="Verdana"/>
        </w:rPr>
      </w:pPr>
    </w:p>
    <w:p w14:paraId="26692372" w14:textId="77777777" w:rsidR="002D6EE1" w:rsidRDefault="002D6EE1" w:rsidP="00C15139">
      <w:pPr>
        <w:spacing w:after="0"/>
        <w:rPr>
          <w:rFonts w:ascii="Verdana" w:hAnsi="Verdana"/>
        </w:rPr>
      </w:pPr>
    </w:p>
    <w:p w14:paraId="1EF9AC89" w14:textId="77777777" w:rsidR="00896406" w:rsidRDefault="00896406" w:rsidP="00C15139">
      <w:pPr>
        <w:spacing w:after="0"/>
        <w:rPr>
          <w:rFonts w:ascii="Verdana" w:hAnsi="Verdana"/>
        </w:rPr>
      </w:pPr>
    </w:p>
    <w:p w14:paraId="49EB07C3" w14:textId="77777777" w:rsidR="002D6EE1" w:rsidRDefault="002D6EE1" w:rsidP="00C15139">
      <w:pPr>
        <w:spacing w:after="0"/>
        <w:rPr>
          <w:rFonts w:ascii="Verdana" w:hAnsi="Verdana"/>
        </w:rPr>
      </w:pPr>
    </w:p>
    <w:p w14:paraId="7D05E271" w14:textId="77777777" w:rsidR="002D6EE1" w:rsidRDefault="002D6EE1" w:rsidP="00C15139">
      <w:pPr>
        <w:spacing w:after="0"/>
        <w:rPr>
          <w:rFonts w:ascii="Verdana" w:hAnsi="Verdana"/>
        </w:rPr>
      </w:pPr>
    </w:p>
    <w:p w14:paraId="064D6FEA" w14:textId="77777777" w:rsidR="002D6EE1" w:rsidRDefault="002D6EE1" w:rsidP="00C15139">
      <w:pPr>
        <w:spacing w:after="0"/>
        <w:rPr>
          <w:rFonts w:ascii="Verdana" w:hAnsi="Verdana"/>
        </w:rPr>
      </w:pPr>
    </w:p>
    <w:p w14:paraId="7EF7FCBF" w14:textId="77777777" w:rsidR="002D6EE1" w:rsidRDefault="002D6EE1" w:rsidP="00C15139">
      <w:pPr>
        <w:spacing w:after="0"/>
        <w:rPr>
          <w:rFonts w:ascii="Verdana" w:hAnsi="Verdana"/>
        </w:rPr>
      </w:pPr>
    </w:p>
    <w:p w14:paraId="6D6416A4" w14:textId="77777777" w:rsidR="002D6EE1" w:rsidRDefault="002D6EE1" w:rsidP="00C15139">
      <w:pPr>
        <w:spacing w:after="0"/>
        <w:rPr>
          <w:rFonts w:ascii="Verdana" w:hAnsi="Verdana"/>
        </w:rPr>
      </w:pPr>
    </w:p>
    <w:p w14:paraId="3C6B2381" w14:textId="77777777" w:rsidR="002D6EE1" w:rsidRDefault="002D6EE1" w:rsidP="00C15139">
      <w:pPr>
        <w:spacing w:after="0"/>
        <w:rPr>
          <w:rFonts w:ascii="Verdana" w:hAnsi="Verdana"/>
        </w:rPr>
      </w:pPr>
    </w:p>
    <w:p w14:paraId="6499056E" w14:textId="77777777" w:rsidR="002D6EE1" w:rsidRDefault="002D6EE1" w:rsidP="00C15139">
      <w:pPr>
        <w:spacing w:after="0"/>
        <w:rPr>
          <w:rFonts w:ascii="Verdana" w:hAnsi="Verdana"/>
        </w:rPr>
      </w:pPr>
    </w:p>
    <w:p w14:paraId="00610B7A" w14:textId="69572654" w:rsidR="002D6EE1" w:rsidRDefault="000061D3" w:rsidP="00C15139">
      <w:pPr>
        <w:spacing w:after="0"/>
        <w:rPr>
          <w:rFonts w:ascii="Verdana" w:hAnsi="Verdana"/>
        </w:rPr>
      </w:pPr>
      <w:r w:rsidRPr="00F06E53">
        <w:rPr>
          <w:rFonts w:ascii="Verdana" w:eastAsia="Calibri" w:hAnsi="Verdana" w:cs="Arial"/>
          <w:noProof/>
          <w:color w:val="000000"/>
          <w:lang w:val="es-ES_tradnl" w:eastAsia="es-ES_tradnl"/>
        </w:rPr>
        <w:lastRenderedPageBreak/>
        <w:drawing>
          <wp:anchor distT="0" distB="0" distL="114300" distR="114300" simplePos="0" relativeHeight="251658240" behindDoc="1" locked="0" layoutInCell="1" allowOverlap="1" wp14:anchorId="09DEE89F" wp14:editId="517B9D76">
            <wp:simplePos x="0" y="0"/>
            <wp:positionH relativeFrom="column">
              <wp:posOffset>3253740</wp:posOffset>
            </wp:positionH>
            <wp:positionV relativeFrom="paragraph">
              <wp:posOffset>5080</wp:posOffset>
            </wp:positionV>
            <wp:extent cx="2446020" cy="815340"/>
            <wp:effectExtent l="0" t="0" r="0" b="3810"/>
            <wp:wrapNone/>
            <wp:docPr id="167399973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3999736" name=""/>
                    <pic:cNvPicPr/>
                  </pic:nvPicPr>
                  <pic:blipFill>
                    <a:blip r:embed="rId10">
                      <a:extLst>
                        <a:ext uri="{28A0092B-C50C-407E-A947-70E740481C1C}">
                          <a14:useLocalDpi xmlns:a14="http://schemas.microsoft.com/office/drawing/2010/main" val="0"/>
                        </a:ext>
                      </a:extLst>
                    </a:blip>
                    <a:stretch>
                      <a:fillRect/>
                    </a:stretch>
                  </pic:blipFill>
                  <pic:spPr>
                    <a:xfrm>
                      <a:off x="0" y="0"/>
                      <a:ext cx="2446020" cy="815340"/>
                    </a:xfrm>
                    <a:prstGeom prst="rect">
                      <a:avLst/>
                    </a:prstGeom>
                  </pic:spPr>
                </pic:pic>
              </a:graphicData>
            </a:graphic>
          </wp:anchor>
        </w:drawing>
      </w:r>
    </w:p>
    <w:p w14:paraId="13968B05" w14:textId="742FB577" w:rsidR="0021743D" w:rsidRDefault="00C15139" w:rsidP="00C15139">
      <w:pPr>
        <w:spacing w:after="0"/>
        <w:rPr>
          <w:rFonts w:ascii="Verdana" w:hAnsi="Verdana"/>
        </w:rPr>
      </w:pPr>
      <w:r w:rsidRPr="0024624F">
        <w:rPr>
          <w:rFonts w:ascii="Verdana" w:hAnsi="Verdana"/>
        </w:rPr>
        <w:t xml:space="preserve">Bogotá D.C., </w:t>
      </w:r>
      <w:r w:rsidR="00A078EE">
        <w:rPr>
          <w:rFonts w:ascii="Verdana" w:hAnsi="Verdana"/>
        </w:rPr>
        <w:t xml:space="preserve">10 </w:t>
      </w:r>
      <w:proofErr w:type="gramStart"/>
      <w:r w:rsidR="00A078EE">
        <w:rPr>
          <w:rFonts w:ascii="Verdana" w:hAnsi="Verdana"/>
        </w:rPr>
        <w:t>Diciembre</w:t>
      </w:r>
      <w:proofErr w:type="gramEnd"/>
      <w:r w:rsidR="00A078EE">
        <w:rPr>
          <w:rFonts w:ascii="Verdana" w:hAnsi="Verdana"/>
        </w:rPr>
        <w:t xml:space="preserve"> 2025</w:t>
      </w:r>
      <w:r w:rsidRPr="000E2B93">
        <w:rPr>
          <w:rFonts w:ascii="Verdana" w:hAnsi="Verdana"/>
        </w:rPr>
        <w:tab/>
      </w:r>
      <w:r w:rsidRPr="000E2B93">
        <w:rPr>
          <w:rFonts w:ascii="Verdana" w:hAnsi="Verdana"/>
        </w:rPr>
        <w:br/>
      </w:r>
    </w:p>
    <w:p w14:paraId="299410C6" w14:textId="77777777" w:rsidR="0021743D" w:rsidRDefault="0021743D" w:rsidP="00C15139">
      <w:pPr>
        <w:spacing w:after="0"/>
        <w:rPr>
          <w:rFonts w:ascii="Verdana" w:hAnsi="Verdana"/>
        </w:rPr>
      </w:pPr>
    </w:p>
    <w:p w14:paraId="29F04BD7" w14:textId="77777777" w:rsidR="0021743D" w:rsidRPr="007215D5" w:rsidRDefault="0021743D" w:rsidP="0021743D">
      <w:pPr>
        <w:spacing w:after="0" w:line="240" w:lineRule="auto"/>
        <w:rPr>
          <w:rFonts w:ascii="Verdana" w:eastAsia="Calibri" w:hAnsi="Verdana" w:cs="Times New Roman"/>
          <w:lang w:val="es-MX"/>
        </w:rPr>
      </w:pPr>
      <w:r w:rsidRPr="007215D5">
        <w:rPr>
          <w:rFonts w:ascii="Verdana" w:eastAsia="Calibri" w:hAnsi="Verdana" w:cs="Times New Roman"/>
          <w:lang w:val="es-MX"/>
        </w:rPr>
        <w:t>Señor</w:t>
      </w:r>
    </w:p>
    <w:p w14:paraId="029A4B2E" w14:textId="5D93D8E2" w:rsidR="0021743D" w:rsidRPr="00A7743F" w:rsidRDefault="0021743D" w:rsidP="0021743D">
      <w:pPr>
        <w:spacing w:after="0" w:line="256" w:lineRule="auto"/>
        <w:rPr>
          <w:rFonts w:ascii="Verdana" w:eastAsia="Calibri" w:hAnsi="Verdana" w:cs="Times New Roman"/>
          <w:b/>
          <w:bCs/>
        </w:rPr>
      </w:pPr>
      <w:r w:rsidRPr="00A7743F">
        <w:rPr>
          <w:rFonts w:ascii="Verdana" w:eastAsia="Calibri" w:hAnsi="Verdana" w:cs="Times New Roman"/>
          <w:b/>
          <w:bCs/>
        </w:rPr>
        <w:t>Tomas Hernando Roa Hoyos</w:t>
      </w:r>
    </w:p>
    <w:p w14:paraId="7442CF8B" w14:textId="77777777" w:rsidR="0021743D" w:rsidRDefault="0021743D" w:rsidP="0021743D">
      <w:pPr>
        <w:spacing w:after="0" w:line="256" w:lineRule="auto"/>
        <w:rPr>
          <w:rFonts w:ascii="Verdana" w:eastAsia="Calibri" w:hAnsi="Verdana" w:cs="Times New Roman"/>
        </w:rPr>
      </w:pPr>
      <w:hyperlink r:id="rId11" w:history="1">
        <w:r w:rsidRPr="00FA0304">
          <w:rPr>
            <w:rStyle w:val="Hipervnculo"/>
            <w:rFonts w:ascii="Verdana" w:eastAsia="Calibri" w:hAnsi="Verdana" w:cs="Times New Roman"/>
          </w:rPr>
          <w:t>thomashroa@gmail.com</w:t>
        </w:r>
      </w:hyperlink>
    </w:p>
    <w:p w14:paraId="4220EB4E" w14:textId="24E602C5" w:rsidR="0021743D" w:rsidRDefault="0021743D" w:rsidP="0021743D">
      <w:pPr>
        <w:spacing w:after="0" w:line="256" w:lineRule="auto"/>
        <w:rPr>
          <w:rFonts w:ascii="Verdana" w:eastAsia="Calibri" w:hAnsi="Verdana" w:cs="Times New Roman"/>
        </w:rPr>
      </w:pPr>
      <w:r>
        <w:rPr>
          <w:rFonts w:ascii="Verdana" w:eastAsia="Calibri" w:hAnsi="Verdana" w:cs="Times New Roman"/>
        </w:rPr>
        <w:t xml:space="preserve">Yopal, Casanare. </w:t>
      </w:r>
    </w:p>
    <w:p w14:paraId="03EFD7CC" w14:textId="77777777" w:rsidR="0021743D" w:rsidRDefault="0021743D" w:rsidP="0021743D">
      <w:pPr>
        <w:spacing w:after="0" w:line="240" w:lineRule="auto"/>
        <w:rPr>
          <w:rFonts w:ascii="Verdana" w:eastAsia="Calibri" w:hAnsi="Verdana" w:cs="Arial"/>
          <w:color w:val="000000"/>
          <w:lang w:val="es-ES_tradnl" w:eastAsia="es-ES_tradnl"/>
        </w:rPr>
      </w:pPr>
    </w:p>
    <w:p w14:paraId="64A0472C" w14:textId="21B9A0B6" w:rsidR="00F06E53" w:rsidRPr="00AB2F12" w:rsidRDefault="00F06E53" w:rsidP="00F06E53">
      <w:pPr>
        <w:spacing w:after="0" w:line="240" w:lineRule="auto"/>
        <w:jc w:val="right"/>
        <w:rPr>
          <w:rFonts w:ascii="Verdana" w:eastAsia="Calibri" w:hAnsi="Verdana" w:cs="Arial"/>
          <w:color w:val="000000"/>
          <w:lang w:val="es-ES_tradnl" w:eastAsia="es-ES_tradnl"/>
        </w:rPr>
      </w:pPr>
    </w:p>
    <w:tbl>
      <w:tblPr>
        <w:tblStyle w:val="Tablaconcuadrcula"/>
        <w:tblW w:w="87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95"/>
        <w:gridCol w:w="6162"/>
        <w:gridCol w:w="319"/>
      </w:tblGrid>
      <w:tr w:rsidR="0021743D" w:rsidRPr="00AB2F12" w14:paraId="505F99D4" w14:textId="77777777" w:rsidTr="000F44AA">
        <w:trPr>
          <w:trHeight w:val="273"/>
        </w:trPr>
        <w:tc>
          <w:tcPr>
            <w:tcW w:w="2295" w:type="dxa"/>
          </w:tcPr>
          <w:p w14:paraId="23365306" w14:textId="77777777" w:rsidR="0021743D" w:rsidRPr="00AB2F12" w:rsidRDefault="0021743D" w:rsidP="000F44AA">
            <w:pPr>
              <w:jc w:val="both"/>
              <w:rPr>
                <w:rFonts w:ascii="Verdana" w:eastAsia="Calibri" w:hAnsi="Verdana" w:cs="Arial"/>
                <w:b/>
                <w:bCs/>
                <w:color w:val="7030A0"/>
                <w:lang w:val="es-ES_tradnl" w:eastAsia="es-ES_tradnl"/>
              </w:rPr>
            </w:pPr>
          </w:p>
        </w:tc>
        <w:tc>
          <w:tcPr>
            <w:tcW w:w="6481" w:type="dxa"/>
            <w:gridSpan w:val="2"/>
          </w:tcPr>
          <w:p w14:paraId="761BE392" w14:textId="77777777" w:rsidR="0021743D" w:rsidRPr="00AB2F12" w:rsidRDefault="0021743D" w:rsidP="000F44AA">
            <w:pPr>
              <w:jc w:val="both"/>
              <w:rPr>
                <w:rFonts w:ascii="Verdana" w:eastAsia="Calibri" w:hAnsi="Verdana" w:cs="Arial"/>
                <w:b/>
                <w:bCs/>
                <w:lang w:val="es-ES" w:eastAsia="es-ES"/>
              </w:rPr>
            </w:pPr>
            <w:r w:rsidRPr="00AB2F12">
              <w:rPr>
                <w:rFonts w:ascii="Verdana" w:eastAsia="Calibri" w:hAnsi="Verdana" w:cs="Arial"/>
                <w:b/>
                <w:bCs/>
                <w:lang w:val="es-ES" w:eastAsia="es-ES"/>
              </w:rPr>
              <w:t>Concepto C- 15</w:t>
            </w:r>
            <w:r>
              <w:rPr>
                <w:rFonts w:ascii="Verdana" w:eastAsia="Calibri" w:hAnsi="Verdana" w:cs="Arial"/>
                <w:b/>
                <w:bCs/>
                <w:lang w:val="es-ES" w:eastAsia="es-ES"/>
              </w:rPr>
              <w:t>9</w:t>
            </w:r>
            <w:r w:rsidRPr="00AB2F12">
              <w:rPr>
                <w:rFonts w:ascii="Verdana" w:eastAsia="Calibri" w:hAnsi="Verdana" w:cs="Arial"/>
                <w:b/>
                <w:bCs/>
                <w:lang w:val="es-ES" w:eastAsia="es-ES"/>
              </w:rPr>
              <w:t>7 de 2025</w:t>
            </w:r>
          </w:p>
          <w:p w14:paraId="26F64270" w14:textId="77777777" w:rsidR="0021743D" w:rsidRPr="00AB2F12" w:rsidRDefault="0021743D" w:rsidP="000F44AA">
            <w:pPr>
              <w:jc w:val="both"/>
              <w:rPr>
                <w:rFonts w:ascii="Verdana" w:eastAsia="Calibri" w:hAnsi="Verdana" w:cs="Arial"/>
                <w:b/>
                <w:bCs/>
                <w:color w:val="7030A0"/>
                <w:lang w:val="es-ES" w:eastAsia="es-ES"/>
              </w:rPr>
            </w:pPr>
          </w:p>
        </w:tc>
      </w:tr>
      <w:tr w:rsidR="0021743D" w:rsidRPr="00280D79" w14:paraId="44220093" w14:textId="77777777" w:rsidTr="000F44AA">
        <w:trPr>
          <w:trHeight w:val="1583"/>
        </w:trPr>
        <w:tc>
          <w:tcPr>
            <w:tcW w:w="2295" w:type="dxa"/>
          </w:tcPr>
          <w:p w14:paraId="7E9D3D5E" w14:textId="77777777" w:rsidR="0021743D" w:rsidRPr="00593A5F" w:rsidRDefault="0021743D" w:rsidP="000F44AA">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481" w:type="dxa"/>
            <w:gridSpan w:val="2"/>
          </w:tcPr>
          <w:p w14:paraId="714839CE" w14:textId="77777777" w:rsidR="0021743D" w:rsidRPr="00280D79" w:rsidRDefault="0021743D" w:rsidP="000F44AA">
            <w:pPr>
              <w:jc w:val="both"/>
              <w:rPr>
                <w:rFonts w:ascii="Verdana" w:eastAsia="Calibri" w:hAnsi="Verdana" w:cs="Arial"/>
                <w:b/>
                <w:lang w:val="es-ES" w:eastAsia="es-ES"/>
              </w:rPr>
            </w:pPr>
            <w:r w:rsidRPr="007C11D3">
              <w:rPr>
                <w:rFonts w:ascii="Verdana" w:eastAsia="Calibri" w:hAnsi="Verdana" w:cs="Arial"/>
                <w:lang w:val="es-ES" w:eastAsia="es-ES"/>
              </w:rPr>
              <w:t xml:space="preserve">LEY DE GARANTÍAS ELECTORALES ‒ Tipos de restricciones ‒ Ámbito temporal / LEY DE GARANTÍAS ELECTORALES ─ Prohibición ‒ Contratación directa ‒ Alcance – Excepciones / LEY DE GARANTÍAS ELECTORALES ‒ Prohibición del artículo 33 ‒ Destinatarios </w:t>
            </w:r>
            <w:r>
              <w:rPr>
                <w:rFonts w:ascii="Verdana" w:eastAsia="Calibri" w:hAnsi="Verdana" w:cs="Arial"/>
                <w:lang w:val="es-ES" w:eastAsia="es-ES"/>
              </w:rPr>
              <w:t xml:space="preserve">/ </w:t>
            </w:r>
            <w:r w:rsidRPr="00BD5624">
              <w:rPr>
                <w:rFonts w:ascii="Verdana" w:eastAsia="Calibri" w:hAnsi="Verdana" w:cs="Arial"/>
                <w:lang w:val="es-ES" w:eastAsia="es-ES"/>
              </w:rPr>
              <w:t>CONTRATOS Y CONVENIOS INTERADMINISTRATIVOS – Definición – Criterio orgánico</w:t>
            </w:r>
          </w:p>
          <w:p w14:paraId="7ADE7B02" w14:textId="77777777" w:rsidR="0021743D" w:rsidRPr="00280D79" w:rsidRDefault="0021743D" w:rsidP="000F44AA">
            <w:pPr>
              <w:jc w:val="both"/>
              <w:rPr>
                <w:rFonts w:ascii="Verdana" w:eastAsia="Calibri" w:hAnsi="Verdana" w:cs="Arial"/>
                <w:b/>
                <w:highlight w:val="yellow"/>
                <w:lang w:val="es-ES" w:eastAsia="es-ES"/>
              </w:rPr>
            </w:pPr>
          </w:p>
        </w:tc>
      </w:tr>
      <w:tr w:rsidR="0021743D" w:rsidRPr="00593A5F" w14:paraId="3F94EDB6" w14:textId="77777777" w:rsidTr="000F44AA">
        <w:trPr>
          <w:trHeight w:val="545"/>
        </w:trPr>
        <w:tc>
          <w:tcPr>
            <w:tcW w:w="2295" w:type="dxa"/>
          </w:tcPr>
          <w:p w14:paraId="677CE330" w14:textId="77777777" w:rsidR="0021743D" w:rsidRPr="006730E9" w:rsidRDefault="0021743D" w:rsidP="000F44AA">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481" w:type="dxa"/>
            <w:gridSpan w:val="2"/>
          </w:tcPr>
          <w:p w14:paraId="3D2495D5" w14:textId="77777777" w:rsidR="0021743D" w:rsidRPr="006730E9" w:rsidRDefault="0021743D" w:rsidP="000F44AA">
            <w:pPr>
              <w:jc w:val="both"/>
              <w:rPr>
                <w:rFonts w:ascii="Verdana" w:eastAsia="Calibri" w:hAnsi="Verdana" w:cs="Arial"/>
                <w:lang w:val="es-ES_tradnl" w:eastAsia="es-ES_tradnl"/>
              </w:rPr>
            </w:pPr>
            <w:r w:rsidRPr="007121A5">
              <w:rPr>
                <w:rFonts w:ascii="Verdana" w:eastAsia="Calibri" w:hAnsi="Verdana" w:cs="Arial"/>
                <w:lang w:val="es-ES_tradnl" w:eastAsia="es-ES_tradnl"/>
              </w:rPr>
              <w:t xml:space="preserve">Respuesta a consulta con radicado No. </w:t>
            </w:r>
            <w:r w:rsidRPr="00A7743F">
              <w:rPr>
                <w:rFonts w:ascii="Verdana" w:eastAsia="Calibri" w:hAnsi="Verdana" w:cs="Arial"/>
                <w:lang w:eastAsia="es-ES_tradnl"/>
              </w:rPr>
              <w:t>1_2025_10_29_012190</w:t>
            </w:r>
          </w:p>
        </w:tc>
      </w:tr>
      <w:tr w:rsidR="0021743D" w:rsidRPr="00DB23D2" w14:paraId="1EFE03E9" w14:textId="77777777" w:rsidTr="000F44AA">
        <w:trPr>
          <w:gridAfter w:val="1"/>
          <w:wAfter w:w="319" w:type="dxa"/>
          <w:trHeight w:val="242"/>
        </w:trPr>
        <w:tc>
          <w:tcPr>
            <w:tcW w:w="8457" w:type="dxa"/>
            <w:gridSpan w:val="2"/>
          </w:tcPr>
          <w:p w14:paraId="4F703715" w14:textId="77777777" w:rsidR="0021743D" w:rsidRPr="00DB23D2" w:rsidRDefault="0021743D" w:rsidP="000F44AA">
            <w:pPr>
              <w:spacing w:line="276" w:lineRule="auto"/>
              <w:jc w:val="both"/>
              <w:rPr>
                <w:rFonts w:ascii="Verdana" w:eastAsia="Calibri" w:hAnsi="Verdana" w:cs="Arial"/>
                <w:lang w:val="es-ES_tradnl" w:eastAsia="es-ES"/>
              </w:rPr>
            </w:pPr>
          </w:p>
        </w:tc>
      </w:tr>
    </w:tbl>
    <w:p w14:paraId="11E8CEF9" w14:textId="77777777" w:rsidR="0021743D" w:rsidRPr="006730E9" w:rsidRDefault="0021743D" w:rsidP="0021743D">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Pr>
          <w:rFonts w:ascii="Verdana" w:eastAsia="Calibri" w:hAnsi="Verdana" w:cs="Arial"/>
          <w:lang w:val="es-ES" w:eastAsia="es-ES"/>
        </w:rPr>
        <w:t xml:space="preserve">o </w:t>
      </w:r>
      <w:r w:rsidRPr="006730E9">
        <w:rPr>
          <w:rFonts w:ascii="Verdana" w:eastAsia="Calibri" w:hAnsi="Verdana" w:cs="Arial"/>
          <w:lang w:val="es-ES" w:eastAsia="es-ES"/>
        </w:rPr>
        <w:t>señor</w:t>
      </w:r>
      <w:r>
        <w:rPr>
          <w:rFonts w:ascii="Verdana" w:eastAsia="Calibri" w:hAnsi="Verdana" w:cs="Arial"/>
          <w:lang w:val="es-ES" w:eastAsia="es-ES"/>
        </w:rPr>
        <w:t xml:space="preserve"> Roa;</w:t>
      </w:r>
    </w:p>
    <w:p w14:paraId="2B58EB51" w14:textId="77777777" w:rsidR="0021743D" w:rsidRDefault="0021743D" w:rsidP="0021743D">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 xml:space="preserve"> </w:t>
      </w:r>
      <w:r>
        <w:rPr>
          <w:rFonts w:ascii="Verdana" w:eastAsia="Calibri" w:hAnsi="Verdana" w:cs="Arial"/>
          <w:color w:val="000000" w:themeColor="text1"/>
          <w:lang w:val="es-ES" w:eastAsia="es-ES"/>
        </w:rPr>
        <w:tab/>
      </w:r>
    </w:p>
    <w:p w14:paraId="0D48597F" w14:textId="77777777" w:rsidR="0021743D" w:rsidRPr="006730E9" w:rsidRDefault="0021743D" w:rsidP="0021743D">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la Agencia Nacional de Contratación Pública –Colombia Compra Eficiente– responde su solicitud</w:t>
      </w:r>
      <w:r>
        <w:rPr>
          <w:rFonts w:ascii="Verdana" w:eastAsia="Calibri" w:hAnsi="Verdana" w:cs="Arial"/>
          <w:lang w:val="es-ES" w:eastAsia="es-ES"/>
        </w:rPr>
        <w:t xml:space="preserve"> traslada por competencia por la Procuraduría general de la Nación y radicada en esta entidad </w:t>
      </w:r>
      <w:r w:rsidRPr="00E5644F">
        <w:rPr>
          <w:rFonts w:ascii="Verdana" w:eastAsia="Calibri" w:hAnsi="Verdana" w:cs="Arial"/>
          <w:lang w:val="es-ES" w:eastAsia="es-ES"/>
        </w:rPr>
        <w:t xml:space="preserve">el </w:t>
      </w:r>
      <w:r>
        <w:rPr>
          <w:rFonts w:ascii="Verdana" w:eastAsia="Calibri" w:hAnsi="Verdana" w:cs="Arial"/>
          <w:lang w:val="es-ES" w:eastAsia="es-ES"/>
        </w:rPr>
        <w:t xml:space="preserve">29 </w:t>
      </w:r>
      <w:r w:rsidRPr="00656A22">
        <w:rPr>
          <w:rFonts w:ascii="Verdana" w:eastAsia="Calibri" w:hAnsi="Verdana" w:cs="Arial"/>
          <w:lang w:val="es-ES" w:eastAsia="es-ES"/>
        </w:rPr>
        <w:t xml:space="preserve">de </w:t>
      </w:r>
      <w:r>
        <w:rPr>
          <w:rFonts w:ascii="Verdana" w:eastAsia="Calibri" w:hAnsi="Verdana" w:cs="Arial"/>
          <w:lang w:val="es-ES" w:eastAsia="es-ES"/>
        </w:rPr>
        <w:t>octubre</w:t>
      </w:r>
      <w:r w:rsidRPr="00656A22">
        <w:rPr>
          <w:rFonts w:ascii="Verdana" w:eastAsia="Calibri" w:hAnsi="Verdana" w:cs="Arial"/>
          <w:lang w:val="es-ES" w:eastAsia="es-ES"/>
        </w:rPr>
        <w:t xml:space="preserve"> de 2025,</w:t>
      </w:r>
      <w:r w:rsidRPr="00E5644F">
        <w:rPr>
          <w:rFonts w:ascii="Verdana" w:eastAsia="Calibri" w:hAnsi="Verdana" w:cs="Arial"/>
          <w:lang w:val="es-ES" w:eastAsia="es-ES"/>
        </w:rPr>
        <w:t xml:space="preserve"> en</w:t>
      </w:r>
      <w:r w:rsidRPr="006730E9">
        <w:rPr>
          <w:rFonts w:ascii="Verdana" w:eastAsia="Calibri" w:hAnsi="Verdana" w:cs="Arial"/>
          <w:lang w:val="es-ES" w:eastAsia="es-ES"/>
        </w:rPr>
        <w:t xml:space="preserve"> la cual manifiesta lo siguiente: </w:t>
      </w:r>
    </w:p>
    <w:p w14:paraId="2B9E1329" w14:textId="77777777" w:rsidR="0021743D" w:rsidRPr="00326382" w:rsidRDefault="0021743D" w:rsidP="0021743D">
      <w:pPr>
        <w:spacing w:after="0" w:line="276" w:lineRule="auto"/>
        <w:ind w:left="709" w:right="474"/>
        <w:jc w:val="both"/>
        <w:rPr>
          <w:rFonts w:ascii="Verdana" w:hAnsi="Verdana" w:cs="Arial"/>
          <w:sz w:val="20"/>
          <w:szCs w:val="20"/>
          <w:shd w:val="clear" w:color="auto" w:fill="FFFFFF"/>
        </w:rPr>
      </w:pPr>
      <w:bookmarkStart w:id="1" w:name="_Hlk95313578"/>
    </w:p>
    <w:bookmarkEnd w:id="1"/>
    <w:p w14:paraId="6A51E44F" w14:textId="77777777" w:rsidR="0021743D" w:rsidRDefault="0021743D" w:rsidP="0021743D">
      <w:pPr>
        <w:tabs>
          <w:tab w:val="left" w:pos="142"/>
          <w:tab w:val="left" w:pos="567"/>
        </w:tabs>
        <w:spacing w:after="0" w:line="240" w:lineRule="auto"/>
        <w:ind w:right="709"/>
        <w:jc w:val="both"/>
        <w:rPr>
          <w:rFonts w:ascii="Verdana" w:eastAsia="Century Gothic" w:hAnsi="Verdana" w:cs="Century Gothic"/>
          <w:i/>
          <w:iCs/>
          <w:sz w:val="20"/>
          <w:szCs w:val="20"/>
        </w:rPr>
      </w:pPr>
      <w:r>
        <w:rPr>
          <w:rFonts w:ascii="Verdana" w:eastAsia="Century Gothic" w:hAnsi="Verdana" w:cs="Century Gothic"/>
          <w:i/>
          <w:iCs/>
          <w:sz w:val="20"/>
          <w:szCs w:val="20"/>
        </w:rPr>
        <w:t xml:space="preserve">          </w:t>
      </w:r>
      <w:r w:rsidRPr="00EA70F7">
        <w:rPr>
          <w:rFonts w:ascii="Verdana" w:eastAsia="Century Gothic" w:hAnsi="Verdana" w:cs="Century Gothic"/>
          <w:i/>
          <w:iCs/>
          <w:sz w:val="20"/>
          <w:szCs w:val="20"/>
        </w:rPr>
        <w:t xml:space="preserve">“(…) </w:t>
      </w:r>
    </w:p>
    <w:p w14:paraId="62B0916D" w14:textId="77777777" w:rsidR="0021743D" w:rsidRDefault="0021743D" w:rsidP="0021743D">
      <w:pPr>
        <w:tabs>
          <w:tab w:val="left" w:pos="142"/>
          <w:tab w:val="left" w:pos="567"/>
        </w:tabs>
        <w:spacing w:after="0" w:line="240" w:lineRule="auto"/>
        <w:ind w:left="709" w:right="709"/>
        <w:jc w:val="both"/>
        <w:rPr>
          <w:rFonts w:ascii="Verdana" w:eastAsia="Century Gothic" w:hAnsi="Verdana" w:cs="Century Gothic"/>
          <w:i/>
          <w:iCs/>
          <w:sz w:val="20"/>
          <w:szCs w:val="20"/>
        </w:rPr>
      </w:pPr>
    </w:p>
    <w:p w14:paraId="2AC7DD90" w14:textId="77777777" w:rsidR="0021743D" w:rsidRPr="00EA70F7" w:rsidRDefault="0021743D" w:rsidP="0021743D">
      <w:pPr>
        <w:tabs>
          <w:tab w:val="left" w:pos="142"/>
          <w:tab w:val="left" w:pos="567"/>
        </w:tabs>
        <w:spacing w:after="0" w:line="240" w:lineRule="auto"/>
        <w:ind w:left="709" w:right="709"/>
        <w:jc w:val="both"/>
        <w:rPr>
          <w:rFonts w:ascii="Verdana" w:eastAsia="Century Gothic" w:hAnsi="Verdana" w:cs="Century Gothic"/>
          <w:i/>
          <w:iCs/>
          <w:sz w:val="20"/>
          <w:szCs w:val="20"/>
        </w:rPr>
      </w:pPr>
      <w:r w:rsidRPr="00A7743F">
        <w:rPr>
          <w:rFonts w:ascii="Verdana" w:eastAsia="Century Gothic" w:hAnsi="Verdana" w:cs="Century Gothic"/>
          <w:i/>
          <w:iCs/>
          <w:sz w:val="20"/>
          <w:szCs w:val="20"/>
        </w:rPr>
        <w:t xml:space="preserve">Respetuosamente solicito su concepto acerca de si las entidades públicas (Municipios) pueden, en vigencia de la Ley de Garantías, celebrar convenios interadministrativos para garantizar la prestación de los servicios del Centro de Servicios Judiciales para Adolescentes - CESPA y Centro Transitorio - CETRA. Aplican las restricciones de la Ley de Garantías a los convenios interadministrativos que tienen como objeto garantizar los servicios y el funcionamiento de los Centros de Servicios Judiciales para Adolescentes - CESPA y Centros Transitorios - CETRA. o puede aplicarse </w:t>
      </w:r>
      <w:r w:rsidRPr="00A7743F">
        <w:rPr>
          <w:rFonts w:ascii="Verdana" w:eastAsia="Century Gothic" w:hAnsi="Verdana" w:cs="Century Gothic"/>
          <w:i/>
          <w:iCs/>
          <w:sz w:val="20"/>
          <w:szCs w:val="20"/>
        </w:rPr>
        <w:lastRenderedPageBreak/>
        <w:t>alguna excepción a este tipo de convenios. En caso de que deban aplicarse las prohibiciones de la Ley de Garantías a los convenios cuya finalidad es garantizar los servicios y el funcionamiento de los Centros de Servicios Judiciales para Adolescentes - CESPA y Centros Transitorios - CETRA, resulta viable prorrogar y adicionar los convenios vigentes, cuyo plazo inicial se extiende hasta el día 31/12/2025</w:t>
      </w:r>
      <w:proofErr w:type="gramStart"/>
      <w:r w:rsidRPr="00A7743F">
        <w:rPr>
          <w:rFonts w:ascii="Verdana" w:eastAsia="Century Gothic" w:hAnsi="Verdana" w:cs="Century Gothic"/>
          <w:i/>
          <w:iCs/>
          <w:sz w:val="20"/>
          <w:szCs w:val="20"/>
        </w:rPr>
        <w:t>. :</w:t>
      </w:r>
      <w:proofErr w:type="gramEnd"/>
      <w:r>
        <w:rPr>
          <w:rFonts w:ascii="Verdana" w:eastAsia="Century Gothic" w:hAnsi="Verdana" w:cs="Century Gothic"/>
          <w:i/>
          <w:iCs/>
          <w:sz w:val="20"/>
          <w:szCs w:val="20"/>
        </w:rPr>
        <w:t xml:space="preserve"> </w:t>
      </w:r>
      <w:r w:rsidRPr="00EA70F7">
        <w:rPr>
          <w:rFonts w:ascii="Verdana" w:eastAsia="Century Gothic" w:hAnsi="Verdana" w:cs="Century Gothic"/>
          <w:i/>
          <w:iCs/>
          <w:sz w:val="20"/>
          <w:szCs w:val="20"/>
        </w:rPr>
        <w:t xml:space="preserve">(…)”. </w:t>
      </w:r>
    </w:p>
    <w:p w14:paraId="508BA46B" w14:textId="77777777" w:rsidR="0021743D" w:rsidRDefault="0021743D" w:rsidP="0021743D">
      <w:pPr>
        <w:spacing w:after="0" w:line="276" w:lineRule="auto"/>
        <w:ind w:firstLine="709"/>
        <w:jc w:val="both"/>
        <w:rPr>
          <w:rFonts w:ascii="Verdana" w:eastAsia="Calibri" w:hAnsi="Verdana" w:cs="Arial"/>
          <w:lang w:val="es-ES" w:eastAsia="es-ES"/>
        </w:rPr>
      </w:pPr>
    </w:p>
    <w:p w14:paraId="182F852D" w14:textId="77777777" w:rsidR="0021743D" w:rsidRPr="00AA3B9F" w:rsidRDefault="0021743D" w:rsidP="0021743D">
      <w:pPr>
        <w:spacing w:after="120" w:line="276" w:lineRule="auto"/>
        <w:ind w:firstLine="709"/>
        <w:jc w:val="both"/>
        <w:rPr>
          <w:rFonts w:ascii="Verdana" w:eastAsia="Calibri" w:hAnsi="Verdana" w:cs="Arial"/>
          <w:lang w:val="es-ES_tradnl" w:eastAsia="es-ES_tradnl"/>
        </w:rPr>
      </w:pPr>
      <w:r w:rsidRPr="00AA3B9F">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eastAsia="Calibri" w:hAnsi="Verdana" w:cs="Arial"/>
          <w:lang w:val="es-ES" w:eastAsia="es-ES"/>
        </w:rPr>
        <w:t>la Agencia Nacional de Contratación Pública –</w:t>
      </w:r>
      <w:r w:rsidRPr="00AA3B9F">
        <w:rPr>
          <w:rFonts w:ascii="Verdana" w:eastAsia="Calibri" w:hAnsi="Verdana" w:cs="Arial"/>
          <w:lang w:val="es-ES" w:eastAsia="es-ES"/>
        </w:rPr>
        <w:t xml:space="preserve">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Pr>
          <w:rFonts w:ascii="Verdana" w:eastAsia="Calibri" w:hAnsi="Verdana" w:cs="Arial"/>
          <w:lang w:val="es-ES" w:eastAsia="es-ES"/>
        </w:rPr>
        <w:t>E</w:t>
      </w:r>
      <w:r w:rsidRPr="00AA3B9F">
        <w:rPr>
          <w:rFonts w:ascii="Verdana" w:eastAsia="Calibri" w:hAnsi="Verdana" w:cs="Arial"/>
          <w:lang w:val="es-ES" w:eastAsia="es-ES"/>
        </w:rPr>
        <w:t xml:space="preserve">ntidades </w:t>
      </w:r>
      <w:r>
        <w:rPr>
          <w:rFonts w:ascii="Verdana" w:eastAsia="Calibri" w:hAnsi="Verdana" w:cs="Arial"/>
          <w:lang w:val="es-ES" w:eastAsia="es-ES"/>
        </w:rPr>
        <w:t xml:space="preserve">Estatales </w:t>
      </w:r>
      <w:r w:rsidRPr="00AA3B9F">
        <w:rPr>
          <w:rFonts w:ascii="Verdana" w:eastAsia="Calibri" w:hAnsi="Verdana"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14:paraId="7214BCD4" w14:textId="77777777" w:rsidR="0021743D" w:rsidRDefault="0021743D" w:rsidP="0021743D">
      <w:pPr>
        <w:spacing w:after="0" w:line="276" w:lineRule="auto"/>
        <w:ind w:firstLine="709"/>
        <w:jc w:val="both"/>
      </w:pPr>
      <w:r w:rsidRPr="00AA3B9F">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val="es-ES" w:eastAsia="es-ES"/>
        </w:rPr>
        <w:t>señala</w:t>
      </w:r>
      <w:r w:rsidRPr="00AA3B9F">
        <w:rPr>
          <w:rFonts w:ascii="Verdana" w:eastAsia="Calibri" w:hAnsi="Verdana" w:cs="Arial"/>
          <w:lang w:val="es-ES" w:eastAsia="es-ES"/>
        </w:rPr>
        <w:t>ndo unas consideraciones sobre las normas generales</w:t>
      </w:r>
      <w:r>
        <w:rPr>
          <w:rFonts w:ascii="Verdana" w:eastAsia="Calibri" w:hAnsi="Verdana" w:cs="Arial"/>
          <w:lang w:val="es-ES" w:eastAsia="es-ES"/>
        </w:rPr>
        <w:t xml:space="preserve"> que rigen el Sistema de Compras y Contratación Pública</w:t>
      </w:r>
      <w:r w:rsidRPr="00AA3B9F">
        <w:rPr>
          <w:rFonts w:ascii="Verdana" w:eastAsia="Calibri" w:hAnsi="Verdana" w:cs="Arial"/>
          <w:lang w:val="es-ES" w:eastAsia="es-ES"/>
        </w:rPr>
        <w:t xml:space="preserve"> relacionadas con los problemas jurídicos de su consulta.</w:t>
      </w:r>
      <w:r w:rsidRPr="00E21BD1">
        <w:t xml:space="preserve"> </w:t>
      </w:r>
    </w:p>
    <w:p w14:paraId="209CF4AC" w14:textId="77777777" w:rsidR="0021743D" w:rsidRDefault="0021743D" w:rsidP="0021743D">
      <w:pPr>
        <w:pStyle w:val="Prrafodelista"/>
        <w:tabs>
          <w:tab w:val="left" w:pos="142"/>
          <w:tab w:val="left" w:pos="284"/>
        </w:tabs>
        <w:spacing w:after="0" w:line="240" w:lineRule="auto"/>
        <w:ind w:left="425" w:right="1185"/>
        <w:jc w:val="both"/>
        <w:rPr>
          <w:rFonts w:ascii="Verdana" w:eastAsia="Century Gothic" w:hAnsi="Verdana" w:cs="Century Gothic"/>
          <w:i/>
          <w:iCs/>
          <w:lang w:val="es-CO"/>
        </w:rPr>
      </w:pPr>
    </w:p>
    <w:p w14:paraId="40633470" w14:textId="77777777" w:rsidR="0021743D" w:rsidRDefault="0021743D" w:rsidP="0021743D">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 xml:space="preserve"> jurídico </w:t>
      </w:r>
      <w:r w:rsidRPr="00593A5F">
        <w:rPr>
          <w:rFonts w:ascii="Verdana" w:eastAsia="Century Gothic" w:hAnsi="Verdana" w:cs="Century Gothic"/>
          <w:b/>
          <w:bCs/>
        </w:rPr>
        <w:t>planteado:</w:t>
      </w:r>
    </w:p>
    <w:p w14:paraId="38DF913E" w14:textId="77777777" w:rsidR="0021743D" w:rsidRDefault="0021743D" w:rsidP="0021743D">
      <w:pPr>
        <w:pStyle w:val="Prrafodelista"/>
        <w:tabs>
          <w:tab w:val="left" w:pos="142"/>
          <w:tab w:val="left" w:pos="284"/>
        </w:tabs>
        <w:spacing w:after="0" w:line="276" w:lineRule="auto"/>
        <w:ind w:left="0"/>
        <w:jc w:val="both"/>
        <w:rPr>
          <w:rFonts w:ascii="Verdana" w:eastAsia="Century Gothic" w:hAnsi="Verdana" w:cs="Century Gothic"/>
          <w:b/>
          <w:bCs/>
        </w:rPr>
      </w:pPr>
    </w:p>
    <w:p w14:paraId="73D3C838" w14:textId="77777777" w:rsidR="0021743D" w:rsidRPr="009015F2" w:rsidRDefault="0021743D" w:rsidP="0021743D">
      <w:pPr>
        <w:spacing w:after="0" w:line="276" w:lineRule="auto"/>
        <w:jc w:val="both"/>
        <w:rPr>
          <w:rFonts w:ascii="Verdana" w:eastAsia="Century Gothic" w:hAnsi="Verdana" w:cs="Century Gothic"/>
        </w:rPr>
      </w:pPr>
      <w:r w:rsidRPr="00E21BD1">
        <w:rPr>
          <w:rFonts w:ascii="Verdana" w:eastAsia="Calibri" w:hAnsi="Verdana" w:cs="Arial"/>
          <w:lang w:eastAsia="es-ES"/>
        </w:rPr>
        <w:t xml:space="preserve">De acuerdo con el contenido de su solicitud, esta Agencia resolverá </w:t>
      </w:r>
      <w:r>
        <w:rPr>
          <w:rFonts w:ascii="Verdana" w:eastAsia="Calibri" w:hAnsi="Verdana" w:cs="Arial"/>
          <w:lang w:eastAsia="es-ES"/>
        </w:rPr>
        <w:t xml:space="preserve">el </w:t>
      </w:r>
      <w:r w:rsidRPr="00E21BD1">
        <w:rPr>
          <w:rFonts w:ascii="Verdana" w:eastAsia="Calibri" w:hAnsi="Verdana" w:cs="Arial"/>
          <w:lang w:eastAsia="es-ES"/>
        </w:rPr>
        <w:t>siguiente problema jurídico:</w:t>
      </w:r>
      <w:bookmarkStart w:id="2" w:name="_Hlk196737317"/>
      <w:r>
        <w:rPr>
          <w:rFonts w:ascii="Verdana" w:eastAsia="Century Gothic" w:hAnsi="Verdana" w:cs="Century Gothic"/>
        </w:rPr>
        <w:t xml:space="preserve"> </w:t>
      </w:r>
      <w:r>
        <w:rPr>
          <w:rFonts w:ascii="Verdana" w:hAnsi="Verdana"/>
        </w:rPr>
        <w:t>C</w:t>
      </w:r>
      <w:r w:rsidRPr="00AF1ED2">
        <w:rPr>
          <w:rFonts w:ascii="Verdana" w:hAnsi="Verdana"/>
        </w:rPr>
        <w:t>onsiderando las restricciones establecidas por</w:t>
      </w:r>
      <w:r>
        <w:rPr>
          <w:rFonts w:ascii="Verdana" w:hAnsi="Verdana"/>
        </w:rPr>
        <w:t xml:space="preserve"> la</w:t>
      </w:r>
      <w:r w:rsidRPr="00AF1ED2">
        <w:rPr>
          <w:rFonts w:ascii="Verdana" w:hAnsi="Verdana"/>
        </w:rPr>
        <w:t xml:space="preserve"> </w:t>
      </w:r>
      <w:r w:rsidRPr="00E41707">
        <w:rPr>
          <w:rFonts w:ascii="Verdana" w:eastAsia="Century Gothic" w:hAnsi="Verdana" w:cs="Century Gothic"/>
        </w:rPr>
        <w:t>Ley 996 de 2005 –Ley de Garantías Electorales</w:t>
      </w:r>
      <w:r>
        <w:rPr>
          <w:rFonts w:ascii="Verdana" w:eastAsia="Century Gothic" w:hAnsi="Verdana" w:cs="Century Gothic"/>
        </w:rPr>
        <w:t xml:space="preserve">- </w:t>
      </w:r>
      <w:r w:rsidRPr="00AF1ED2">
        <w:rPr>
          <w:rFonts w:ascii="Verdana" w:hAnsi="Verdana"/>
        </w:rPr>
        <w:t xml:space="preserve">¿Es permitido celebrar convenios interadministrativos durante un período </w:t>
      </w:r>
      <w:r>
        <w:rPr>
          <w:rFonts w:ascii="Verdana" w:hAnsi="Verdana"/>
        </w:rPr>
        <w:t>de elecciones atípicas</w:t>
      </w:r>
      <w:r w:rsidRPr="00025914">
        <w:rPr>
          <w:rFonts w:ascii="Verdana" w:hAnsi="Verdana" w:cs="Arial"/>
          <w:bCs/>
          <w:lang w:val="es-ES_tradnl"/>
        </w:rPr>
        <w:t>?</w:t>
      </w:r>
      <w:r w:rsidRPr="008303DD">
        <w:rPr>
          <w:rFonts w:ascii="Verdana" w:eastAsia="Calibri" w:hAnsi="Verdana" w:cs="Arial"/>
          <w:lang w:eastAsia="es-ES"/>
        </w:rPr>
        <w:t xml:space="preserve"> </w:t>
      </w:r>
    </w:p>
    <w:p w14:paraId="1EB4FE3D" w14:textId="77777777" w:rsidR="0021743D" w:rsidRDefault="0021743D" w:rsidP="0021743D">
      <w:pPr>
        <w:spacing w:after="0" w:line="276" w:lineRule="auto"/>
        <w:jc w:val="both"/>
        <w:rPr>
          <w:rFonts w:ascii="Verdana" w:eastAsia="Calibri" w:hAnsi="Verdana" w:cs="Arial"/>
          <w:lang w:eastAsia="es-ES"/>
        </w:rPr>
      </w:pPr>
    </w:p>
    <w:bookmarkEnd w:id="2"/>
    <w:p w14:paraId="208A213C" w14:textId="77777777" w:rsidR="0021743D" w:rsidRDefault="0021743D" w:rsidP="0021743D">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Respuesta:</w:t>
      </w:r>
    </w:p>
    <w:p w14:paraId="6E29C1AD" w14:textId="77777777" w:rsidR="0021743D" w:rsidRPr="00593A5F" w:rsidRDefault="0021743D" w:rsidP="0021743D">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21743D" w:rsidRPr="00593A5F" w14:paraId="06C29336" w14:textId="77777777" w:rsidTr="000F44AA">
        <w:tc>
          <w:tcPr>
            <w:tcW w:w="8828" w:type="dxa"/>
          </w:tcPr>
          <w:p w14:paraId="52F8039B" w14:textId="77777777" w:rsidR="0021743D" w:rsidRPr="00E41707" w:rsidRDefault="0021743D" w:rsidP="000F44AA">
            <w:pPr>
              <w:spacing w:after="120" w:line="276" w:lineRule="auto"/>
              <w:jc w:val="both"/>
              <w:rPr>
                <w:rFonts w:ascii="Verdana" w:eastAsia="Calibri" w:hAnsi="Verdana" w:cs="Arial"/>
                <w:lang w:val="es-ES"/>
              </w:rPr>
            </w:pPr>
            <w:r w:rsidRPr="003D0447">
              <w:rPr>
                <w:rFonts w:ascii="Verdana" w:hAnsi="Verdana"/>
                <w:bCs/>
                <w:lang w:val="es-MX" w:eastAsia="es-CO"/>
              </w:rPr>
              <w:lastRenderedPageBreak/>
              <w:t xml:space="preserve">De acuerdo con la interpretación de las normas generales del sistema de compras y contratación pública, sin perjuicio de que </w:t>
            </w:r>
            <w:r w:rsidRPr="003D0447">
              <w:rPr>
                <w:rFonts w:ascii="Verdana" w:eastAsia="Calibri" w:hAnsi="Verdana"/>
                <w:color w:val="000000"/>
                <w:shd w:val="clear" w:color="auto" w:fill="FFFFFF"/>
                <w:lang w:val="es-MX"/>
              </w:rPr>
              <w:t>cada entidad defina la viabilidad técnica, jurídica y financiera de celebrar determinado contrato estatal en específico,</w:t>
            </w:r>
            <w:r w:rsidRPr="003D0447">
              <w:rPr>
                <w:rFonts w:ascii="Verdana" w:hAnsi="Verdana"/>
                <w:bCs/>
                <w:lang w:val="es-MX" w:eastAsia="es-CO"/>
              </w:rPr>
              <w:t xml:space="preserve"> es posible afirmar que l</w:t>
            </w:r>
            <w:r w:rsidRPr="003D0447">
              <w:rPr>
                <w:rFonts w:ascii="Verdana" w:hAnsi="Verdana"/>
                <w:lang w:eastAsia="es-ES" w:bidi="es-ES"/>
              </w:rPr>
              <w:t xml:space="preserve">a Ley 996 de 2005 establece dos (2) tipos de restricciones en materia de contratación, las cuales coinciden parcialmente. </w:t>
            </w:r>
          </w:p>
          <w:p w14:paraId="0FAF3198" w14:textId="77777777" w:rsidR="0021743D" w:rsidRDefault="0021743D" w:rsidP="000F44AA">
            <w:pPr>
              <w:pStyle w:val="Textoindependiente"/>
              <w:spacing w:after="120" w:line="276" w:lineRule="auto"/>
              <w:ind w:firstLine="709"/>
              <w:jc w:val="both"/>
              <w:rPr>
                <w:rFonts w:ascii="Verdana" w:hAnsi="Verdana"/>
                <w:lang w:eastAsia="es-ES" w:bidi="es-ES"/>
              </w:rPr>
            </w:pPr>
            <w:r w:rsidRPr="003D0447">
              <w:rPr>
                <w:rFonts w:ascii="Verdana" w:hAnsi="Verdana"/>
                <w:i/>
                <w:iCs/>
                <w:lang w:eastAsia="es-ES" w:bidi="es-ES"/>
              </w:rPr>
              <w:t>En primer lugar</w:t>
            </w:r>
            <w:r w:rsidRPr="003D0447">
              <w:rPr>
                <w:rFonts w:ascii="Verdana" w:hAnsi="Verdana"/>
                <w:lang w:eastAsia="es-ES" w:bidi="es-ES"/>
              </w:rPr>
              <w:t xml:space="preserve">, la del artículo 33 que opera solo respecto de las elecciones presidenciales, en virtud de la cual queda proscrita la contratación directa dentro de los cuatro (4) meses anteriores a la celebración de los comicios, salvo las excepciones contempladas en el inciso segundo del mismo artículo.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p>
          <w:p w14:paraId="4F0E575B" w14:textId="77777777" w:rsidR="0021743D" w:rsidRPr="003D0447" w:rsidRDefault="0021743D" w:rsidP="000F44AA">
            <w:pPr>
              <w:pStyle w:val="Textoindependiente"/>
              <w:spacing w:after="120" w:line="276" w:lineRule="auto"/>
              <w:ind w:firstLine="709"/>
              <w:jc w:val="both"/>
              <w:rPr>
                <w:rFonts w:ascii="Verdana" w:hAnsi="Verdana"/>
                <w:lang w:eastAsia="es-ES" w:bidi="es-ES"/>
              </w:rPr>
            </w:pPr>
            <w:r w:rsidRPr="003D0447">
              <w:rPr>
                <w:rFonts w:ascii="Verdana" w:hAnsi="Verdana"/>
                <w:i/>
                <w:iCs/>
                <w:lang w:eastAsia="es-ES" w:bidi="es-ES"/>
              </w:rPr>
              <w:t>En segundo lugar</w:t>
            </w:r>
            <w:r w:rsidRPr="003D0447">
              <w:rPr>
                <w:rFonts w:ascii="Verdana" w:hAnsi="Verdana"/>
                <w:lang w:eastAsia="es-ES" w:bidi="es-ES"/>
              </w:rPr>
              <w:t xml:space="preserve">, también se encuentra la prohibición del parágrafo del artículo 38, el cual debe aplicarse </w:t>
            </w:r>
            <w:r w:rsidRPr="009D05BA">
              <w:rPr>
                <w:rFonts w:ascii="Verdana" w:hAnsi="Verdana"/>
                <w:i/>
                <w:lang w:eastAsia="es-ES" w:bidi="es-ES"/>
              </w:rPr>
              <w:t>respecto de cualquier tipo de contienda electoral</w:t>
            </w:r>
            <w:r w:rsidRPr="003D0447">
              <w:rPr>
                <w:rFonts w:ascii="Verdana" w:hAnsi="Verdana"/>
                <w:lang w:eastAsia="es-ES" w:bidi="es-ES"/>
              </w:rPr>
              <w:t>, y que prohíbe la celebración de convenios interadministrativos que impliquen la ejecución de recursos públicos dentro de los cuatro (4) meses anteriores a la respectiva jornada de votaciones.</w:t>
            </w:r>
          </w:p>
          <w:p w14:paraId="743A0E4E" w14:textId="77777777" w:rsidR="0021743D" w:rsidRPr="00461891" w:rsidRDefault="0021743D" w:rsidP="000F44AA">
            <w:pPr>
              <w:spacing w:after="120" w:line="276" w:lineRule="auto"/>
              <w:ind w:firstLine="709"/>
              <w:jc w:val="both"/>
              <w:rPr>
                <w:rFonts w:ascii="Verdana" w:eastAsia="Calibri" w:hAnsi="Verdana" w:cs="Arial"/>
              </w:rPr>
            </w:pPr>
            <w:r w:rsidRPr="00461891">
              <w:rPr>
                <w:rFonts w:ascii="Verdana" w:eastAsia="Arial" w:hAnsi="Verdana" w:cs="Arial"/>
                <w:lang w:val="es-ES" w:eastAsia="es-ES" w:bidi="es-ES"/>
              </w:rPr>
              <w:t xml:space="preserve">De esta manera, tratándose de elecciones en general, excluyendo las correspondientes al </w:t>
            </w:r>
            <w:proofErr w:type="gramStart"/>
            <w:r w:rsidRPr="00461891">
              <w:rPr>
                <w:rFonts w:ascii="Verdana" w:eastAsia="Arial" w:hAnsi="Verdana" w:cs="Arial"/>
                <w:lang w:val="es-ES" w:eastAsia="es-ES" w:bidi="es-ES"/>
              </w:rPr>
              <w:t>Presidente</w:t>
            </w:r>
            <w:proofErr w:type="gramEnd"/>
            <w:r w:rsidRPr="00461891">
              <w:rPr>
                <w:rFonts w:ascii="Verdana" w:eastAsia="Arial" w:hAnsi="Verdana" w:cs="Arial"/>
                <w:lang w:val="es-ES" w:eastAsia="es-ES" w:bidi="es-ES"/>
              </w:rPr>
              <w:t xml:space="preserve"> de la República, las restricciones que resultan aplicables son las contenidas en el parágrafo del artículo 38. Es decir, cuando se convoca a elecciones para cargos de elección popular los </w:t>
            </w:r>
            <w:r w:rsidRPr="00461891">
              <w:rPr>
                <w:rFonts w:ascii="Verdana" w:eastAsia="Calibri" w:hAnsi="Verdana" w:cs="Arial"/>
              </w:rPr>
              <w:t xml:space="preserve">Gobernadores, </w:t>
            </w:r>
            <w:proofErr w:type="gramStart"/>
            <w:r w:rsidRPr="00461891">
              <w:rPr>
                <w:rFonts w:ascii="Verdana" w:eastAsia="Calibri" w:hAnsi="Verdana" w:cs="Arial"/>
              </w:rPr>
              <w:t>Alcaldes</w:t>
            </w:r>
            <w:proofErr w:type="gramEnd"/>
            <w:r w:rsidRPr="00461891">
              <w:rPr>
                <w:rFonts w:ascii="Verdana" w:eastAsia="Calibri" w:hAnsi="Verdana" w:cs="Arial"/>
              </w:rPr>
              <w:t xml:space="preserve"> Municipales y/o Distritales, </w:t>
            </w:r>
            <w:proofErr w:type="gramStart"/>
            <w:r w:rsidRPr="00461891">
              <w:rPr>
                <w:rFonts w:ascii="Verdana" w:eastAsia="Calibri" w:hAnsi="Verdana" w:cs="Arial"/>
              </w:rPr>
              <w:t>Secretarios</w:t>
            </w:r>
            <w:proofErr w:type="gramEnd"/>
            <w:r w:rsidRPr="00461891">
              <w:rPr>
                <w:rFonts w:ascii="Verdana" w:eastAsia="Calibri" w:hAnsi="Verdana" w:cs="Arial"/>
              </w:rPr>
              <w:t xml:space="preserve">, Gerentes y directores de Entidades Descentralizadas del orden Municipal, Departamental o Distrital, no podrán celebrar convenios interadministrativos para la ejecución de recursos públicos, dentro de los cuatro (4) meses anteriores a las elecciones. </w:t>
            </w:r>
          </w:p>
          <w:p w14:paraId="526B08F4" w14:textId="77777777" w:rsidR="0021743D" w:rsidRDefault="0021743D" w:rsidP="000F44AA">
            <w:pPr>
              <w:spacing w:after="120" w:line="276" w:lineRule="auto"/>
              <w:ind w:firstLine="709"/>
              <w:jc w:val="both"/>
              <w:rPr>
                <w:rFonts w:ascii="Verdana" w:eastAsia="Calibri" w:hAnsi="Verdana" w:cs="Times New Roman"/>
                <w:lang w:val="es-ES"/>
              </w:rPr>
            </w:pPr>
            <w:r>
              <w:rPr>
                <w:rFonts w:ascii="Verdana" w:eastAsia="Calibri" w:hAnsi="Verdana" w:cs="Arial"/>
                <w:bCs/>
                <w:color w:val="000000" w:themeColor="text1"/>
              </w:rPr>
              <w:t>Finalmente</w:t>
            </w:r>
            <w:r>
              <w:rPr>
                <w:rFonts w:ascii="Verdana" w:eastAsia="Calibri" w:hAnsi="Verdana" w:cs="Times New Roman"/>
                <w:lang w:val="es-ES"/>
              </w:rPr>
              <w:t>,</w:t>
            </w:r>
            <w:r w:rsidRPr="00DB4737">
              <w:rPr>
                <w:rFonts w:ascii="Verdana" w:eastAsia="Calibri" w:hAnsi="Verdana" w:cs="Times New Roman"/>
                <w:lang w:val="es-ES"/>
              </w:rPr>
              <w:t xml:space="preserve"> debe advertirse que el análisis en torno </w:t>
            </w:r>
            <w:r>
              <w:rPr>
                <w:rFonts w:ascii="Verdana" w:eastAsia="Calibri" w:hAnsi="Verdana" w:cs="Times New Roman"/>
                <w:lang w:val="es-ES"/>
              </w:rPr>
              <w:t>a un proceso de contratación especifico debe</w:t>
            </w:r>
            <w:r w:rsidRPr="0012388D">
              <w:rPr>
                <w:rFonts w:ascii="Verdana" w:eastAsia="Calibri" w:hAnsi="Verdana" w:cs="Times New Roman"/>
                <w:lang w:val="es-ES"/>
              </w:rPr>
              <w:t xml:space="preserve"> ser realizado por quienes tengan interés en ello.</w:t>
            </w:r>
            <w:r w:rsidRPr="00DB4737">
              <w:rPr>
                <w:rFonts w:ascii="Verdana" w:eastAsia="Calibri" w:hAnsi="Verdana" w:cs="Times New Roman"/>
                <w:lang w:val="es-ES"/>
              </w:rPr>
              <w:t xml:space="preserve"> De esta forma, las afirmaciones aquí realizadas no pueden ser interpretadas como juicios de valor sobre circunstancias concretas relacionadas con los </w:t>
            </w:r>
            <w:r w:rsidRPr="00DB4737">
              <w:rPr>
                <w:rFonts w:ascii="Verdana" w:eastAsia="Calibri" w:hAnsi="Verdana" w:cs="Times New Roman"/>
                <w:lang w:val="es-ES"/>
              </w:rPr>
              <w:lastRenderedPageBreak/>
              <w:t>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6F435FE4" w14:textId="77777777" w:rsidR="0021743D" w:rsidRPr="00E529C2" w:rsidRDefault="0021743D" w:rsidP="000F44AA">
            <w:pPr>
              <w:spacing w:line="276" w:lineRule="auto"/>
              <w:ind w:firstLine="709"/>
              <w:jc w:val="both"/>
              <w:rPr>
                <w:rFonts w:ascii="Verdana" w:eastAsia="Calibri" w:hAnsi="Verdana" w:cs="Times New Roman"/>
                <w:lang w:val="es-ES"/>
              </w:rPr>
            </w:pP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tc>
      </w:tr>
    </w:tbl>
    <w:p w14:paraId="719628F3" w14:textId="77777777" w:rsidR="0021743D" w:rsidRDefault="0021743D" w:rsidP="0021743D">
      <w:pPr>
        <w:tabs>
          <w:tab w:val="left" w:pos="142"/>
          <w:tab w:val="left" w:pos="284"/>
        </w:tabs>
        <w:spacing w:after="0" w:line="276" w:lineRule="auto"/>
        <w:jc w:val="both"/>
        <w:rPr>
          <w:rFonts w:ascii="Verdana" w:eastAsia="Century Gothic" w:hAnsi="Verdana" w:cs="Century Gothic"/>
          <w:b/>
          <w:bCs/>
          <w:lang w:val="es-ES"/>
        </w:rPr>
      </w:pPr>
    </w:p>
    <w:p w14:paraId="28ADE42C" w14:textId="77777777" w:rsidR="0021743D" w:rsidRDefault="0021743D" w:rsidP="0021743D">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Razones de la respuesta:</w:t>
      </w:r>
    </w:p>
    <w:p w14:paraId="3217230F" w14:textId="77777777" w:rsidR="0021743D" w:rsidRDefault="0021743D" w:rsidP="0021743D">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3CA8BD55" w14:textId="77777777" w:rsidR="0021743D" w:rsidRPr="00F10E52" w:rsidRDefault="0021743D" w:rsidP="0021743D">
      <w:pPr>
        <w:spacing w:line="276" w:lineRule="auto"/>
        <w:jc w:val="both"/>
        <w:rPr>
          <w:rFonts w:ascii="Verdana" w:eastAsia="Times New Roman" w:hAnsi="Verdana" w:cs="Arial"/>
          <w:bCs/>
          <w:lang w:eastAsia="es-CO"/>
        </w:rPr>
      </w:pPr>
      <w:r w:rsidRPr="00F10E52">
        <w:rPr>
          <w:rFonts w:ascii="Verdana" w:eastAsia="Calibri" w:hAnsi="Verdana" w:cs="Arial"/>
          <w:bCs/>
        </w:rPr>
        <w:t>El ordenamiento jurídico colombiano contempla previsiones claras para evitar la obtención de beneficios personales en asuntos propios de la administración pública</w:t>
      </w:r>
      <w:r w:rsidRPr="00F10E52">
        <w:rPr>
          <w:rFonts w:ascii="Verdana" w:eastAsia="Calibri" w:hAnsi="Verdana" w:cs="Arial"/>
          <w:bCs/>
          <w:i/>
          <w:iCs/>
        </w:rPr>
        <w:t xml:space="preserve">. </w:t>
      </w:r>
      <w:r w:rsidRPr="00F10E52">
        <w:rPr>
          <w:rFonts w:ascii="Verdana" w:eastAsia="Calibri" w:hAnsi="Verdana" w:cs="Arial"/>
          <w:bCs/>
        </w:rPr>
        <w:t>Por ejemplo, el artículo 127 de la Constitución Política establece una prohibición contractual a los servidores públicos y</w:t>
      </w:r>
      <w:r>
        <w:rPr>
          <w:rFonts w:ascii="Verdana" w:eastAsia="Calibri" w:hAnsi="Verdana" w:cs="Arial"/>
          <w:bCs/>
        </w:rPr>
        <w:t>,</w:t>
      </w:r>
      <w:r w:rsidRPr="00F10E52">
        <w:rPr>
          <w:rFonts w:ascii="Verdana" w:eastAsia="Calibri" w:hAnsi="Verdana" w:cs="Arial"/>
          <w:bCs/>
        </w:rPr>
        <w:t xml:space="preserve"> en cuanto</w:t>
      </w:r>
      <w:r>
        <w:rPr>
          <w:rFonts w:ascii="Verdana" w:eastAsia="Calibri" w:hAnsi="Verdana" w:cs="Arial"/>
          <w:bCs/>
        </w:rPr>
        <w:t>,</w:t>
      </w:r>
      <w:r w:rsidRPr="00F10E52">
        <w:rPr>
          <w:rFonts w:ascii="Verdana" w:eastAsia="Calibri" w:hAnsi="Verdana" w:cs="Arial"/>
          <w:bCs/>
        </w:rPr>
        <w:t xml:space="preserve"> a aspectos políticos establece restricciones a ciertos empleados del Estado, incluso en época no electoral</w:t>
      </w:r>
      <w:r w:rsidRPr="00F10E52">
        <w:rPr>
          <w:rStyle w:val="Refdenotaalpie"/>
          <w:rFonts w:ascii="Verdana" w:eastAsia="Calibri" w:hAnsi="Verdana" w:cs="Arial"/>
          <w:bCs/>
        </w:rPr>
        <w:footnoteReference w:id="1"/>
      </w:r>
      <w:r w:rsidRPr="00F10E52">
        <w:rPr>
          <w:rFonts w:ascii="Verdana" w:eastAsia="Calibri" w:hAnsi="Verdana" w:cs="Arial"/>
          <w:bCs/>
        </w:rPr>
        <w:t xml:space="preserve">. </w:t>
      </w:r>
    </w:p>
    <w:p w14:paraId="30743946" w14:textId="77777777" w:rsidR="0021743D" w:rsidRDefault="0021743D" w:rsidP="0021743D">
      <w:pPr>
        <w:tabs>
          <w:tab w:val="left" w:pos="426"/>
        </w:tabs>
        <w:spacing w:after="120" w:line="276" w:lineRule="auto"/>
        <w:ind w:firstLine="709"/>
        <w:jc w:val="both"/>
        <w:rPr>
          <w:rFonts w:ascii="Verdana" w:eastAsia="Calibri" w:hAnsi="Verdana" w:cs="Arial"/>
          <w:noProof/>
          <w:lang w:val="es-ES_tradnl"/>
        </w:rPr>
      </w:pPr>
      <w:r w:rsidRPr="00F10E52">
        <w:rPr>
          <w:rFonts w:ascii="Verdana" w:eastAsia="Times New Roman" w:hAnsi="Verdana" w:cs="Arial"/>
          <w:bCs/>
          <w:lang w:eastAsia="es-CO"/>
        </w:rPr>
        <w:t xml:space="preserve">En el mismo sentido, la Ley 996 de 2005, conocida como </w:t>
      </w:r>
      <w:r>
        <w:rPr>
          <w:rFonts w:ascii="Verdana" w:eastAsia="Times New Roman" w:hAnsi="Verdana" w:cs="Arial"/>
          <w:bCs/>
          <w:lang w:eastAsia="es-CO"/>
        </w:rPr>
        <w:t>“</w:t>
      </w:r>
      <w:r w:rsidRPr="00F10E52">
        <w:rPr>
          <w:rFonts w:ascii="Verdana" w:eastAsia="Times New Roman" w:hAnsi="Verdana" w:cs="Arial"/>
          <w:bCs/>
          <w:lang w:eastAsia="es-CO"/>
        </w:rPr>
        <w:t>Ley de Garantías Electorales</w:t>
      </w:r>
      <w:r>
        <w:rPr>
          <w:rFonts w:ascii="Verdana" w:eastAsia="Times New Roman" w:hAnsi="Verdana" w:cs="Arial"/>
          <w:bCs/>
          <w:lang w:eastAsia="es-CO"/>
        </w:rPr>
        <w:t>”</w:t>
      </w:r>
      <w:r w:rsidRPr="00F10E52">
        <w:rPr>
          <w:rFonts w:ascii="Verdana" w:eastAsia="Times New Roman" w:hAnsi="Verdana" w:cs="Arial"/>
          <w:bCs/>
          <w:lang w:eastAsia="es-CO"/>
        </w:rPr>
        <w:t>,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F10E52">
        <w:rPr>
          <w:rStyle w:val="Refdenotaalpie"/>
          <w:rFonts w:ascii="Verdana" w:eastAsia="Times New Roman" w:hAnsi="Verdana" w:cs="Arial"/>
          <w:bCs/>
          <w:lang w:eastAsia="es-CO"/>
        </w:rPr>
        <w:footnoteReference w:id="2"/>
      </w:r>
      <w:r w:rsidRPr="00F10E52">
        <w:rPr>
          <w:rFonts w:ascii="Verdana" w:eastAsia="Times New Roman" w:hAnsi="Verdana" w:cs="Arial"/>
          <w:bCs/>
          <w:lang w:eastAsia="es-CO"/>
        </w:rPr>
        <w:t xml:space="preserve">. En esta medida, introduce limitaciones para realizar nombramientos, postulaciones, </w:t>
      </w:r>
      <w:r w:rsidRPr="00F10E52">
        <w:rPr>
          <w:rFonts w:ascii="Verdana" w:eastAsia="Times New Roman" w:hAnsi="Verdana" w:cs="Arial"/>
          <w:bCs/>
          <w:lang w:eastAsia="es-CO"/>
        </w:rPr>
        <w:lastRenderedPageBreak/>
        <w:t>contrataciones o cualquier otro tipo de actividad que implique destinación de recursos públicos bajo el devenir propio de las entidades estatales.</w:t>
      </w:r>
      <w:r w:rsidRPr="00F10E52">
        <w:rPr>
          <w:rFonts w:ascii="Verdana" w:eastAsia="Calibri" w:hAnsi="Verdana" w:cs="Arial"/>
          <w:noProof/>
          <w:lang w:val="es-ES_tradnl"/>
        </w:rPr>
        <w:t xml:space="preserve"> </w:t>
      </w:r>
    </w:p>
    <w:p w14:paraId="75C612A2" w14:textId="77777777" w:rsidR="0021743D" w:rsidRPr="00F10E52" w:rsidRDefault="0021743D" w:rsidP="0021743D">
      <w:pPr>
        <w:tabs>
          <w:tab w:val="left" w:pos="426"/>
        </w:tabs>
        <w:spacing w:before="120" w:after="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es-CO"/>
        </w:rPr>
        <w:t>En armonía con lo anterior, la Corte Constitucional ha abordado la definición de la Ley de Garantías Electorales. De esta manera, explica que tiene como propósito:</w:t>
      </w:r>
    </w:p>
    <w:p w14:paraId="4AC5D9BF" w14:textId="77777777" w:rsidR="0021743D" w:rsidRDefault="0021743D" w:rsidP="0021743D">
      <w:pPr>
        <w:spacing w:after="0" w:line="276" w:lineRule="auto"/>
        <w:ind w:left="709" w:right="709"/>
        <w:jc w:val="both"/>
        <w:rPr>
          <w:rFonts w:ascii="Verdana" w:eastAsia="Times New Roman" w:hAnsi="Verdana" w:cs="Arial"/>
          <w:lang w:val="es-ES" w:eastAsia="es-CO"/>
        </w:rPr>
      </w:pPr>
    </w:p>
    <w:p w14:paraId="233F48D5" w14:textId="77777777" w:rsidR="0021743D" w:rsidRPr="003D0447" w:rsidRDefault="0021743D" w:rsidP="0021743D">
      <w:pPr>
        <w:spacing w:after="0" w:line="240" w:lineRule="auto"/>
        <w:ind w:left="709" w:right="709"/>
        <w:jc w:val="both"/>
        <w:rPr>
          <w:rFonts w:ascii="Verdana" w:eastAsia="Times New Roman" w:hAnsi="Verdana" w:cs="Arial"/>
          <w:sz w:val="20"/>
          <w:szCs w:val="20"/>
          <w:lang w:val="es-ES" w:eastAsia="es-CO"/>
        </w:rPr>
      </w:pPr>
      <w:r>
        <w:rPr>
          <w:rFonts w:ascii="Verdana" w:eastAsia="Times New Roman" w:hAnsi="Verdana" w:cs="Arial"/>
          <w:sz w:val="20"/>
          <w:szCs w:val="20"/>
          <w:lang w:val="es-ES" w:eastAsia="es-CO"/>
        </w:rPr>
        <w:t>“</w:t>
      </w:r>
      <w:r w:rsidRPr="003D0447">
        <w:rPr>
          <w:rFonts w:ascii="Verdana" w:eastAsia="Times New Roman" w:hAnsi="Verdana" w:cs="Arial"/>
          <w:sz w:val="20"/>
          <w:szCs w:val="20"/>
          <w:lang w:val="es-ES" w:eastAsia="es-CO"/>
        </w:rPr>
        <w:t xml:space="preserve">[…] </w:t>
      </w:r>
    </w:p>
    <w:p w14:paraId="4DD9E20E" w14:textId="77777777" w:rsidR="0021743D" w:rsidRPr="009B20C5" w:rsidRDefault="0021743D" w:rsidP="0021743D">
      <w:pPr>
        <w:spacing w:after="0" w:line="240" w:lineRule="auto"/>
        <w:ind w:left="709" w:right="709"/>
        <w:jc w:val="both"/>
        <w:rPr>
          <w:rFonts w:ascii="Verdana" w:eastAsia="Times New Roman" w:hAnsi="Verdana" w:cs="Arial"/>
          <w:bCs/>
          <w:sz w:val="20"/>
          <w:szCs w:val="20"/>
          <w:lang w:eastAsia="es-CO"/>
        </w:rPr>
      </w:pPr>
      <w:r w:rsidRPr="009B20C5">
        <w:rPr>
          <w:rFonts w:ascii="Verdana" w:eastAsia="Times New Roman" w:hAnsi="Verdana" w:cs="Arial"/>
          <w:bCs/>
          <w:sz w:val="20"/>
          <w:szCs w:val="20"/>
          <w:lang w:eastAsia="es-CO"/>
        </w:rPr>
        <w:t>La definición de reglas claras que permitan acceder a los canales de expresión democrática de manera efectiva e igualitaria. El objetivo de una ley de garantías es definir esas reglas.</w:t>
      </w:r>
    </w:p>
    <w:p w14:paraId="3AC20249" w14:textId="77777777" w:rsidR="0021743D" w:rsidRPr="00143D05" w:rsidRDefault="0021743D" w:rsidP="0021743D">
      <w:pPr>
        <w:spacing w:after="0" w:line="240" w:lineRule="auto"/>
        <w:ind w:left="709" w:right="709"/>
        <w:jc w:val="both"/>
        <w:rPr>
          <w:rFonts w:ascii="Verdana" w:eastAsia="Times New Roman" w:hAnsi="Verdana" w:cs="Arial"/>
          <w:bCs/>
          <w:sz w:val="20"/>
          <w:szCs w:val="20"/>
          <w:lang w:eastAsia="es-CO"/>
        </w:rPr>
      </w:pPr>
    </w:p>
    <w:p w14:paraId="3FDE8422" w14:textId="77777777" w:rsidR="0021743D" w:rsidRPr="003D0447" w:rsidRDefault="0021743D" w:rsidP="0021743D">
      <w:pPr>
        <w:spacing w:after="0" w:line="240" w:lineRule="auto"/>
        <w:ind w:left="709" w:right="709"/>
        <w:jc w:val="both"/>
        <w:rPr>
          <w:rFonts w:ascii="Verdana" w:eastAsia="Times New Roman" w:hAnsi="Verdana" w:cs="Arial"/>
          <w:sz w:val="20"/>
          <w:szCs w:val="20"/>
          <w:lang w:eastAsia="es-CO"/>
        </w:rPr>
      </w:pPr>
      <w:r w:rsidRPr="009B20C5">
        <w:rPr>
          <w:rFonts w:ascii="Verdana" w:eastAsia="Times New Roman" w:hAnsi="Verdana" w:cs="Arial"/>
          <w:bCs/>
          <w:sz w:val="20"/>
          <w:szCs w:val="20"/>
          <w:lang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9B20C5">
        <w:rPr>
          <w:rStyle w:val="Refdenotaalpie"/>
          <w:rFonts w:ascii="Verdana" w:hAnsi="Verdana" w:cs="Arial"/>
          <w:sz w:val="20"/>
          <w:szCs w:val="20"/>
        </w:rPr>
        <w:footnoteReference w:id="3"/>
      </w:r>
      <w:r>
        <w:rPr>
          <w:rFonts w:ascii="Verdana" w:eastAsia="Times New Roman" w:hAnsi="Verdana" w:cs="Arial"/>
          <w:bCs/>
          <w:sz w:val="20"/>
          <w:szCs w:val="20"/>
          <w:lang w:eastAsia="es-CO"/>
        </w:rPr>
        <w:t xml:space="preserve"> </w:t>
      </w:r>
      <w:r w:rsidRPr="003D0447">
        <w:rPr>
          <w:rFonts w:ascii="Verdana" w:eastAsia="Times New Roman" w:hAnsi="Verdana" w:cs="Arial"/>
          <w:bCs/>
          <w:sz w:val="20"/>
          <w:szCs w:val="20"/>
          <w:lang w:eastAsia="es-CO"/>
        </w:rPr>
        <w:t>[…]</w:t>
      </w:r>
      <w:r>
        <w:rPr>
          <w:rFonts w:ascii="Verdana" w:eastAsia="Times New Roman" w:hAnsi="Verdana" w:cs="Arial"/>
          <w:bCs/>
          <w:sz w:val="20"/>
          <w:szCs w:val="20"/>
          <w:lang w:eastAsia="es-CO"/>
        </w:rPr>
        <w:t>”</w:t>
      </w:r>
      <w:r w:rsidRPr="003D0447">
        <w:rPr>
          <w:rFonts w:ascii="Verdana" w:eastAsia="Times New Roman" w:hAnsi="Verdana" w:cs="Arial"/>
          <w:bCs/>
          <w:sz w:val="20"/>
          <w:szCs w:val="20"/>
          <w:lang w:eastAsia="es-CO"/>
        </w:rPr>
        <w:t xml:space="preserve"> </w:t>
      </w:r>
    </w:p>
    <w:p w14:paraId="567FEF7B" w14:textId="77777777" w:rsidR="0021743D" w:rsidRDefault="0021743D" w:rsidP="0021743D">
      <w:pPr>
        <w:spacing w:after="0" w:line="276" w:lineRule="auto"/>
        <w:ind w:firstLine="709"/>
        <w:jc w:val="both"/>
        <w:rPr>
          <w:rFonts w:ascii="Verdana" w:eastAsia="Times New Roman" w:hAnsi="Verdana" w:cs="Arial"/>
          <w:bCs/>
          <w:lang w:eastAsia="es-CO"/>
        </w:rPr>
      </w:pPr>
      <w:bookmarkStart w:id="3" w:name="_Hlk78818186"/>
    </w:p>
    <w:p w14:paraId="05132771" w14:textId="77777777" w:rsidR="0021743D" w:rsidRDefault="0021743D" w:rsidP="0021743D">
      <w:pPr>
        <w:spacing w:after="12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es-CO"/>
        </w:rPr>
        <w:t xml:space="preserve">En este contexto, la Ley de Garantías Electorales establece el marco jurídico para el desarrollo de las elecciones, procurando condiciones de igualdad y transparencia para los aspirantes y paralelamente se incluyen restricciones en el actuar de los servidores públicos, evitando interferencias en la contienda electoral, así como la posible desviación de recursos públicos en aspiraciones electorales. </w:t>
      </w:r>
      <w:bookmarkEnd w:id="3"/>
      <w:r w:rsidRPr="00F10E52">
        <w:rPr>
          <w:rFonts w:ascii="Verdana" w:eastAsia="Times New Roman" w:hAnsi="Verdana" w:cs="Arial"/>
          <w:bCs/>
          <w:lang w:eastAsia="es-CO"/>
        </w:rPr>
        <w:t xml:space="preserve">Por ello, varias de las disposiciones de la Ley 996 de 2005, al contener normas prohibitivas, no admiten una interpretación amplia, sino que deben interpretarse restrictivamente. </w:t>
      </w:r>
    </w:p>
    <w:p w14:paraId="4ADCC0CA" w14:textId="77777777" w:rsidR="0021743D" w:rsidRPr="00F10E52" w:rsidRDefault="0021743D" w:rsidP="0021743D">
      <w:pPr>
        <w:spacing w:after="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es-CO"/>
        </w:rPr>
        <w:t>En efecto, la Sala de Consulta y Servicio Civil del Consejo de Estado al analizar la referida ley, precisó lo siguiente:</w:t>
      </w:r>
    </w:p>
    <w:p w14:paraId="11DCDBB4" w14:textId="77777777" w:rsidR="0021743D" w:rsidRPr="00F10E52" w:rsidRDefault="0021743D" w:rsidP="0021743D">
      <w:pPr>
        <w:spacing w:after="0" w:line="276" w:lineRule="auto"/>
        <w:ind w:firstLine="709"/>
        <w:jc w:val="both"/>
        <w:rPr>
          <w:rFonts w:ascii="Verdana" w:eastAsia="Times New Roman" w:hAnsi="Verdana" w:cs="Arial"/>
          <w:bCs/>
          <w:lang w:eastAsia="es-CO"/>
        </w:rPr>
      </w:pPr>
    </w:p>
    <w:p w14:paraId="60E54575" w14:textId="77777777" w:rsidR="0021743D" w:rsidRPr="009B20C5" w:rsidRDefault="0021743D" w:rsidP="0021743D">
      <w:pPr>
        <w:spacing w:after="0" w:line="240" w:lineRule="auto"/>
        <w:ind w:left="709" w:right="709"/>
        <w:jc w:val="both"/>
        <w:rPr>
          <w:rFonts w:ascii="Verdana" w:eastAsia="Times New Roman" w:hAnsi="Verdana" w:cs="Arial"/>
          <w:bCs/>
          <w:sz w:val="20"/>
          <w:szCs w:val="20"/>
          <w:lang w:eastAsia="es-CO"/>
        </w:rPr>
      </w:pPr>
      <w:r w:rsidRPr="009B20C5">
        <w:rPr>
          <w:rFonts w:ascii="Verdana" w:eastAsia="Times New Roman" w:hAnsi="Verdana" w:cs="Arial"/>
          <w:bCs/>
          <w:sz w:val="20"/>
          <w:szCs w:val="20"/>
          <w:lang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9B20C5">
        <w:rPr>
          <w:rFonts w:ascii="Verdana" w:eastAsia="Times New Roman" w:hAnsi="Verdana" w:cs="Arial"/>
          <w:bCs/>
          <w:sz w:val="20"/>
          <w:szCs w:val="20"/>
          <w:lang w:eastAsia="es-CO"/>
        </w:rPr>
        <w:t>legis</w:t>
      </w:r>
      <w:proofErr w:type="spellEnd"/>
      <w:r w:rsidRPr="009B20C5">
        <w:rPr>
          <w:rFonts w:ascii="Verdana" w:eastAsia="Times New Roman" w:hAnsi="Verdana" w:cs="Arial"/>
          <w:bCs/>
          <w:sz w:val="20"/>
          <w:szCs w:val="20"/>
          <w:lang w:eastAsia="es-CO"/>
        </w:rPr>
        <w:t xml:space="preserve"> o iuris y la interpretación extensiva. Las normas legales de contenido </w:t>
      </w:r>
      <w:r w:rsidRPr="009B20C5">
        <w:rPr>
          <w:rFonts w:ascii="Verdana" w:eastAsia="Times New Roman" w:hAnsi="Verdana" w:cs="Arial"/>
          <w:bCs/>
          <w:sz w:val="20"/>
          <w:szCs w:val="20"/>
          <w:lang w:eastAsia="es-CO"/>
        </w:rPr>
        <w:lastRenderedPageBreak/>
        <w:t>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56A674C4" w14:textId="77777777" w:rsidR="0021743D" w:rsidRPr="009B20C5" w:rsidRDefault="0021743D" w:rsidP="0021743D">
      <w:pPr>
        <w:spacing w:after="0" w:line="240" w:lineRule="auto"/>
        <w:ind w:left="709" w:right="709"/>
        <w:jc w:val="both"/>
        <w:rPr>
          <w:rFonts w:ascii="Verdana" w:eastAsia="Times New Roman" w:hAnsi="Verdana" w:cs="Arial"/>
          <w:bCs/>
          <w:sz w:val="20"/>
          <w:szCs w:val="20"/>
          <w:lang w:eastAsia="es-CO"/>
        </w:rPr>
      </w:pPr>
    </w:p>
    <w:p w14:paraId="4ADA662F" w14:textId="77777777" w:rsidR="0021743D" w:rsidRPr="009B20C5" w:rsidRDefault="0021743D" w:rsidP="0021743D">
      <w:pPr>
        <w:spacing w:after="0" w:line="240" w:lineRule="auto"/>
        <w:ind w:left="709" w:right="709"/>
        <w:jc w:val="both"/>
        <w:rPr>
          <w:rFonts w:ascii="Verdana" w:eastAsia="Times New Roman" w:hAnsi="Verdana" w:cs="Arial"/>
          <w:bCs/>
          <w:sz w:val="20"/>
          <w:szCs w:val="20"/>
          <w:lang w:eastAsia="es-CO"/>
        </w:rPr>
      </w:pPr>
      <w:r w:rsidRPr="009B20C5">
        <w:rPr>
          <w:rFonts w:ascii="Verdana" w:eastAsia="Times New Roman" w:hAnsi="Verdana" w:cs="Arial"/>
          <w:bCs/>
          <w:sz w:val="20"/>
          <w:szCs w:val="20"/>
          <w:lang w:eastAsia="es-CO"/>
        </w:rPr>
        <w:t>La jurisprudencia de la Corte Constitucional</w:t>
      </w:r>
      <w:r w:rsidRPr="009B20C5">
        <w:rPr>
          <w:rStyle w:val="Refdenotaalpie"/>
          <w:rFonts w:ascii="Verdana" w:eastAsia="Times New Roman" w:hAnsi="Verdana" w:cs="Arial"/>
          <w:bCs/>
          <w:sz w:val="20"/>
          <w:szCs w:val="20"/>
          <w:lang w:eastAsia="es-CO"/>
        </w:rPr>
        <w:footnoteReference w:id="4"/>
      </w:r>
      <w:r w:rsidRPr="009B20C5">
        <w:rPr>
          <w:rFonts w:ascii="Verdana" w:eastAsia="Times New Roman" w:hAnsi="Verdana" w:cs="Arial"/>
          <w:bCs/>
          <w:sz w:val="20"/>
          <w:szCs w:val="20"/>
          <w:lang w:eastAsia="es-CO"/>
        </w:rPr>
        <w:t> y del Consejo de Estado</w:t>
      </w:r>
      <w:r w:rsidRPr="009B20C5">
        <w:rPr>
          <w:rStyle w:val="Refdenotaalpie"/>
          <w:rFonts w:ascii="Verdana" w:eastAsia="Times New Roman" w:hAnsi="Verdana" w:cs="Arial"/>
          <w:bCs/>
          <w:sz w:val="20"/>
          <w:szCs w:val="20"/>
          <w:lang w:eastAsia="es-CO"/>
        </w:rPr>
        <w:footnoteReference w:id="5"/>
      </w:r>
      <w:r w:rsidRPr="009B20C5">
        <w:rPr>
          <w:rFonts w:ascii="Verdana" w:eastAsia="Times New Roman" w:hAnsi="Verdana" w:cs="Arial"/>
          <w:bCs/>
          <w:sz w:val="20"/>
          <w:szCs w:val="20"/>
          <w:lang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9B20C5">
        <w:rPr>
          <w:rStyle w:val="Refdenotaalpie"/>
          <w:rFonts w:ascii="Verdana" w:eastAsia="Times New Roman" w:hAnsi="Verdana" w:cs="Arial"/>
          <w:bCs/>
          <w:sz w:val="20"/>
          <w:szCs w:val="20"/>
          <w:lang w:eastAsia="es-CO"/>
        </w:rPr>
        <w:footnoteReference w:id="6"/>
      </w:r>
      <w:r w:rsidRPr="009B20C5">
        <w:rPr>
          <w:rFonts w:ascii="Verdana" w:eastAsia="Times New Roman" w:hAnsi="Verdana" w:cs="Arial"/>
          <w:bCs/>
          <w:sz w:val="20"/>
          <w:szCs w:val="20"/>
          <w:lang w:eastAsia="es-CO"/>
        </w:rPr>
        <w:t>.</w:t>
      </w:r>
    </w:p>
    <w:p w14:paraId="378EF0E4" w14:textId="77777777" w:rsidR="0021743D" w:rsidRPr="009B20C5" w:rsidRDefault="0021743D" w:rsidP="0021743D">
      <w:pPr>
        <w:spacing w:after="0" w:line="240" w:lineRule="auto"/>
        <w:ind w:left="709" w:right="709"/>
        <w:jc w:val="both"/>
        <w:rPr>
          <w:rFonts w:ascii="Verdana" w:eastAsia="Times New Roman" w:hAnsi="Verdana" w:cs="Arial"/>
          <w:bCs/>
          <w:sz w:val="20"/>
          <w:szCs w:val="20"/>
          <w:lang w:eastAsia="es-CO"/>
        </w:rPr>
      </w:pPr>
    </w:p>
    <w:p w14:paraId="01BC302D" w14:textId="77777777" w:rsidR="0021743D" w:rsidRPr="00F10E52" w:rsidRDefault="0021743D" w:rsidP="0021743D">
      <w:pPr>
        <w:spacing w:after="120" w:line="276" w:lineRule="auto"/>
        <w:jc w:val="both"/>
        <w:rPr>
          <w:rFonts w:ascii="Verdana" w:eastAsia="Arial" w:hAnsi="Verdana" w:cs="Arial"/>
          <w:lang w:val="es-ES" w:eastAsia="es-ES" w:bidi="es-ES"/>
        </w:rPr>
      </w:pPr>
      <w:r w:rsidRPr="00F10E52">
        <w:rPr>
          <w:rFonts w:ascii="Verdana" w:eastAsia="Times New Roman" w:hAnsi="Verdana" w:cs="Arial"/>
          <w:bCs/>
          <w:lang w:eastAsia="es-CO"/>
        </w:rPr>
        <w:tab/>
        <w:t>De</w:t>
      </w:r>
      <w:r w:rsidRPr="00F10E52">
        <w:rPr>
          <w:rFonts w:ascii="Verdana" w:eastAsia="Arial" w:hAnsi="Verdana" w:cs="Arial"/>
          <w:lang w:val="es-ES" w:eastAsia="es-ES" w:bidi="es-ES"/>
        </w:rPr>
        <w:t xml:space="preserve"> conformidad con lo anterior, </w:t>
      </w:r>
      <w:bookmarkStart w:id="4" w:name="_Hlk77236098"/>
      <w:r w:rsidRPr="00F10E52">
        <w:rPr>
          <w:rFonts w:ascii="Verdana" w:eastAsia="Arial" w:hAnsi="Verdana" w:cs="Arial"/>
          <w:lang w:val="es-ES" w:eastAsia="es-ES" w:bidi="es-ES"/>
        </w:rPr>
        <w:t>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Específicamente, las restricciones consagradas en la citada ley se dirigen a dos (2) tipos de campañas electorales claramente diferenciadas: las presidenciales y las demás que se adelanten para la elección de los demás cargos de elección popular, tanto a nivel nacional como a nivel territorial.</w:t>
      </w:r>
      <w:bookmarkEnd w:id="4"/>
    </w:p>
    <w:p w14:paraId="2B90DD8E" w14:textId="77777777" w:rsidR="0021743D" w:rsidRPr="00F10E52" w:rsidRDefault="0021743D" w:rsidP="0021743D">
      <w:pPr>
        <w:spacing w:after="120" w:line="276" w:lineRule="auto"/>
        <w:ind w:firstLine="708"/>
        <w:jc w:val="both"/>
        <w:rPr>
          <w:rFonts w:ascii="Verdana" w:eastAsia="Calibri" w:hAnsi="Verdana" w:cs="Arial"/>
        </w:rPr>
      </w:pPr>
      <w:r w:rsidRPr="00F10E52">
        <w:rPr>
          <w:rFonts w:ascii="Verdana" w:eastAsia="Calibri" w:hAnsi="Verdana" w:cs="Arial"/>
        </w:rPr>
        <w:t xml:space="preserve">Por un lado, el artículo 33 de la Ley 996 de 2005 prohíbe </w:t>
      </w:r>
      <w:r>
        <w:rPr>
          <w:rFonts w:ascii="Verdana" w:eastAsia="Calibri" w:hAnsi="Verdana" w:cs="Arial"/>
        </w:rPr>
        <w:t>“</w:t>
      </w:r>
      <w:r w:rsidRPr="00F10E52">
        <w:rPr>
          <w:rFonts w:ascii="Verdana" w:eastAsia="Calibri" w:hAnsi="Verdana" w:cs="Arial"/>
          <w:bCs/>
        </w:rPr>
        <w:t xml:space="preserve">[…] </w:t>
      </w:r>
      <w:r w:rsidRPr="00F10E52">
        <w:rPr>
          <w:rFonts w:ascii="Verdana" w:eastAsia="Calibri" w:hAnsi="Verdana" w:cs="Arial"/>
        </w:rPr>
        <w:t>la contratación directa por parte de todos los entes del Estado</w:t>
      </w:r>
      <w:r>
        <w:rPr>
          <w:rFonts w:ascii="Verdana" w:eastAsia="Calibri" w:hAnsi="Verdana" w:cs="Arial"/>
          <w:bCs/>
        </w:rPr>
        <w:t>”</w:t>
      </w:r>
      <w:r w:rsidRPr="00F10E52">
        <w:rPr>
          <w:rFonts w:ascii="Verdana" w:eastAsia="Calibri" w:hAnsi="Verdana" w:cs="Arial"/>
        </w:rPr>
        <w:t xml:space="preserve"> durante los cuatro (4) meses anteriores a las elecciones presidenciales, salvo </w:t>
      </w:r>
      <w:r>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 xml:space="preserve">lo referente a la defensa y seguridad del Estado, los contratos de crédito público, los requeridos para cubrir las </w:t>
      </w:r>
      <w:r w:rsidRPr="003D0447">
        <w:rPr>
          <w:rFonts w:ascii="Verdana" w:eastAsia="Calibri" w:hAnsi="Verdana" w:cs="Arial"/>
          <w:i/>
        </w:rPr>
        <w:t>emergencias educativas</w:t>
      </w:r>
      <w:r w:rsidRPr="00F10E52">
        <w:rPr>
          <w:rFonts w:ascii="Verdana" w:eastAsia="Calibri" w:hAnsi="Verdana" w:cs="Arial"/>
        </w:rPr>
        <w:t xml:space="preserve">, sanitarias y desastres, así como también </w:t>
      </w:r>
      <w:r w:rsidRPr="00F10E52">
        <w:rPr>
          <w:rFonts w:ascii="Verdana" w:eastAsia="Calibri" w:hAnsi="Verdana" w:cs="Arial"/>
        </w:rPr>
        <w:lastRenderedPageBreak/>
        <w:t>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Fonts w:ascii="Verdana" w:eastAsia="Calibri" w:hAnsi="Verdana" w:cs="Arial"/>
          <w:bCs/>
        </w:rPr>
        <w:t>”</w:t>
      </w:r>
      <w:r w:rsidRPr="00F10E52">
        <w:rPr>
          <w:rFonts w:ascii="Verdana" w:eastAsia="Calibri" w:hAnsi="Verdana" w:cs="Arial"/>
        </w:rPr>
        <w:t>.</w:t>
      </w:r>
    </w:p>
    <w:p w14:paraId="6F9054B2" w14:textId="77777777" w:rsidR="0021743D" w:rsidRDefault="0021743D" w:rsidP="0021743D">
      <w:pPr>
        <w:widowControl w:val="0"/>
        <w:autoSpaceDE w:val="0"/>
        <w:autoSpaceDN w:val="0"/>
        <w:spacing w:after="120" w:line="276" w:lineRule="auto"/>
        <w:ind w:firstLine="708"/>
        <w:jc w:val="both"/>
        <w:rPr>
          <w:rFonts w:ascii="Verdana" w:eastAsia="Arial" w:hAnsi="Verdana" w:cs="Arial"/>
          <w:lang w:val="es-ES" w:eastAsia="es-ES" w:bidi="es-ES"/>
        </w:rPr>
      </w:pPr>
      <w:r w:rsidRPr="00F10E52">
        <w:rPr>
          <w:rFonts w:ascii="Verdana" w:eastAsia="Calibri" w:hAnsi="Verdana" w:cs="Arial"/>
        </w:rPr>
        <w:t xml:space="preserve">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w:t>
      </w:r>
      <w:r>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Pr>
          <w:rFonts w:ascii="Verdana" w:eastAsia="Calibri" w:hAnsi="Verdana" w:cs="Arial"/>
          <w:bCs/>
        </w:rPr>
        <w:t>”</w:t>
      </w:r>
      <w:r w:rsidRPr="00F10E52">
        <w:rPr>
          <w:rFonts w:ascii="Verdana" w:eastAsia="Calibri" w:hAnsi="Verdana" w:cs="Arial"/>
        </w:rPr>
        <w:t>.</w:t>
      </w:r>
      <w:r w:rsidRPr="00F10E52">
        <w:rPr>
          <w:rFonts w:ascii="Verdana" w:eastAsia="Arial" w:hAnsi="Verdana" w:cs="Arial"/>
          <w:lang w:val="es-ES" w:eastAsia="es-ES" w:bidi="es-ES"/>
        </w:rPr>
        <w:t xml:space="preserve"> </w:t>
      </w:r>
    </w:p>
    <w:p w14:paraId="0F0E25C8" w14:textId="77777777" w:rsidR="0021743D" w:rsidRPr="00F10E52" w:rsidRDefault="0021743D" w:rsidP="0021743D">
      <w:pPr>
        <w:widowControl w:val="0"/>
        <w:autoSpaceDE w:val="0"/>
        <w:autoSpaceDN w:val="0"/>
        <w:spacing w:before="120" w:after="0" w:line="276" w:lineRule="auto"/>
        <w:ind w:firstLine="708"/>
        <w:jc w:val="both"/>
        <w:rPr>
          <w:rFonts w:ascii="Verdana" w:eastAsia="Arial" w:hAnsi="Verdana" w:cs="Arial"/>
          <w:lang w:val="es-ES" w:eastAsia="es-ES" w:bidi="es-ES"/>
        </w:rPr>
      </w:pPr>
      <w:r w:rsidRPr="00F10E52">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 que:</w:t>
      </w:r>
    </w:p>
    <w:p w14:paraId="2CCC1989" w14:textId="77777777" w:rsidR="0021743D" w:rsidRPr="003D0447" w:rsidRDefault="0021743D" w:rsidP="0021743D">
      <w:pPr>
        <w:widowControl w:val="0"/>
        <w:autoSpaceDE w:val="0"/>
        <w:autoSpaceDN w:val="0"/>
        <w:spacing w:after="0" w:line="276" w:lineRule="auto"/>
        <w:ind w:left="709" w:right="709"/>
        <w:jc w:val="both"/>
        <w:rPr>
          <w:rFonts w:ascii="Verdana" w:eastAsia="Arial" w:hAnsi="Verdana" w:cs="Arial"/>
          <w:lang w:val="es-ES" w:eastAsia="es-ES" w:bidi="es-ES"/>
        </w:rPr>
      </w:pPr>
    </w:p>
    <w:p w14:paraId="2CFC793C" w14:textId="77777777" w:rsidR="0021743D" w:rsidRPr="009B20C5" w:rsidRDefault="0021743D" w:rsidP="0021743D">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48E0C270">
        <w:rPr>
          <w:rFonts w:ascii="Verdana" w:eastAsia="Arial" w:hAnsi="Verdana" w:cs="Arial"/>
          <w:sz w:val="20"/>
          <w:szCs w:val="20"/>
          <w:lang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5" w:name="_Hlk76109421"/>
      <w:r w:rsidRPr="48E0C270">
        <w:rPr>
          <w:rFonts w:ascii="Verdana" w:eastAsia="Arial" w:hAnsi="Verdana" w:cs="Arial"/>
          <w:sz w:val="20"/>
          <w:szCs w:val="20"/>
          <w:lang w:eastAsia="es-ES" w:bidi="es-ES"/>
        </w:rPr>
        <w:t>se integran parcialmente</w:t>
      </w:r>
      <w:bookmarkEnd w:id="5"/>
      <w:r w:rsidRPr="48E0C270">
        <w:rPr>
          <w:rFonts w:ascii="Verdana" w:eastAsia="Arial" w:hAnsi="Verdana" w:cs="Arial"/>
          <w:sz w:val="20"/>
          <w:szCs w:val="20"/>
          <w:lang w:eastAsia="es-ES" w:bidi="es-ES"/>
        </w:rPr>
        <w:t xml:space="preserv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w:t>
      </w:r>
      <w:proofErr w:type="gramStart"/>
      <w:r w:rsidRPr="48E0C270">
        <w:rPr>
          <w:rFonts w:ascii="Verdana" w:eastAsia="Arial" w:hAnsi="Verdana" w:cs="Arial"/>
          <w:sz w:val="20"/>
          <w:szCs w:val="20"/>
          <w:lang w:eastAsia="es-ES" w:bidi="es-ES"/>
        </w:rPr>
        <w:t>Presidente</w:t>
      </w:r>
      <w:proofErr w:type="gramEnd"/>
      <w:r w:rsidRPr="48E0C270">
        <w:rPr>
          <w:rFonts w:ascii="Verdana" w:eastAsia="Arial" w:hAnsi="Verdana" w:cs="Arial"/>
          <w:sz w:val="20"/>
          <w:szCs w:val="20"/>
          <w:lang w:eastAsia="es-ES" w:bidi="es-ES"/>
        </w:rPr>
        <w:t xml:space="preserve"> de la República, a las autoridades territoriales allí mencionadas sólo se aplican las restricciones contenidas en el parágrafo del artículo 38”.</w:t>
      </w:r>
      <w:r w:rsidRPr="48E0C270">
        <w:rPr>
          <w:rFonts w:ascii="Verdana" w:eastAsia="Arial" w:hAnsi="Verdana" w:cs="Arial"/>
          <w:sz w:val="20"/>
          <w:szCs w:val="20"/>
          <w:vertAlign w:val="superscript"/>
          <w:lang w:eastAsia="es-ES" w:bidi="es-ES"/>
        </w:rPr>
        <w:footnoteReference w:id="7"/>
      </w:r>
    </w:p>
    <w:p w14:paraId="6CC3ABD1" w14:textId="77777777" w:rsidR="0021743D" w:rsidRDefault="0021743D" w:rsidP="0021743D">
      <w:pPr>
        <w:spacing w:after="0" w:line="276" w:lineRule="auto"/>
        <w:ind w:firstLine="709"/>
        <w:jc w:val="both"/>
        <w:rPr>
          <w:rFonts w:ascii="Verdana" w:eastAsia="Arial" w:hAnsi="Verdana" w:cs="Arial"/>
          <w:lang w:val="es-ES" w:eastAsia="es-ES" w:bidi="es-ES"/>
        </w:rPr>
      </w:pPr>
    </w:p>
    <w:p w14:paraId="29A35388" w14:textId="77777777" w:rsidR="0021743D" w:rsidRPr="00F10E52" w:rsidRDefault="0021743D" w:rsidP="0021743D">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De conformidad con lo anterior</w:t>
      </w:r>
      <w:bookmarkStart w:id="6" w:name="_Hlk99438241"/>
      <w:r w:rsidRPr="00F10E52">
        <w:rPr>
          <w:rFonts w:ascii="Verdana" w:eastAsia="Arial" w:hAnsi="Verdana" w:cs="Arial"/>
          <w:lang w:val="es-ES" w:eastAsia="es-ES" w:bidi="es-ES"/>
        </w:rPr>
        <w:t xml:space="preserve">, </w:t>
      </w:r>
      <w:bookmarkStart w:id="7" w:name="_Hlk77236420"/>
      <w:bookmarkStart w:id="8" w:name="_Hlk78818435"/>
      <w:bookmarkStart w:id="9" w:name="_Hlk75780333"/>
      <w:r w:rsidRPr="00F10E52">
        <w:rPr>
          <w:rFonts w:ascii="Verdana" w:eastAsia="Arial" w:hAnsi="Verdana" w:cs="Arial"/>
          <w:lang w:val="es-ES" w:eastAsia="es-ES" w:bidi="es-ES"/>
        </w:rPr>
        <w:t xml:space="preserve">la Ley 996 de 2005 establece dos (2) tipos de restricciones en materia de contratación, las cuales coinciden parcialmente. </w:t>
      </w:r>
      <w:r w:rsidRPr="00F10E52">
        <w:rPr>
          <w:rFonts w:ascii="Verdana" w:eastAsia="Arial" w:hAnsi="Verdana" w:cs="Arial"/>
          <w:i/>
          <w:iCs/>
          <w:lang w:val="es-ES" w:eastAsia="es-ES" w:bidi="es-ES"/>
        </w:rPr>
        <w:t>En primer lugar</w:t>
      </w:r>
      <w:r w:rsidRPr="00F10E52">
        <w:rPr>
          <w:rFonts w:ascii="Verdana" w:eastAsia="Arial" w:hAnsi="Verdana" w:cs="Arial"/>
          <w:lang w:val="es-ES" w:eastAsia="es-ES" w:bidi="es-ES"/>
        </w:rPr>
        <w:t xml:space="preserve">, la del artículo 33 que opera solo respecto de las elecciones presidenciales, en virtud de la cual queda proscrita la contratación directa dentro </w:t>
      </w:r>
      <w:r w:rsidRPr="00F10E52">
        <w:rPr>
          <w:rFonts w:ascii="Verdana" w:eastAsia="Arial" w:hAnsi="Verdana" w:cs="Arial"/>
          <w:lang w:val="es-ES" w:eastAsia="es-ES" w:bidi="es-ES"/>
        </w:rPr>
        <w:lastRenderedPageBreak/>
        <w:t xml:space="preserve">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F10E52">
        <w:rPr>
          <w:rFonts w:ascii="Verdana" w:eastAsia="Arial" w:hAnsi="Verdana" w:cs="Arial"/>
          <w:i/>
          <w:iCs/>
          <w:lang w:val="es-ES" w:eastAsia="es-ES" w:bidi="es-ES"/>
        </w:rPr>
        <w:t>En segundo lugar</w:t>
      </w:r>
      <w:r w:rsidRPr="00F10E52">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7"/>
    </w:p>
    <w:bookmarkEnd w:id="6"/>
    <w:bookmarkEnd w:id="8"/>
    <w:p w14:paraId="79C863BE" w14:textId="77777777" w:rsidR="0021743D" w:rsidRPr="00F10E52" w:rsidRDefault="0021743D" w:rsidP="0021743D">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 xml:space="preserve">Ambas restricciones no son excluyentes, lo que permite concluir que en el período preelectoral para elección de </w:t>
      </w:r>
      <w:proofErr w:type="gramStart"/>
      <w:r w:rsidRPr="00F10E52">
        <w:rPr>
          <w:rFonts w:ascii="Verdana" w:eastAsia="Arial" w:hAnsi="Verdana" w:cs="Arial"/>
          <w:lang w:val="es-ES" w:eastAsia="es-ES" w:bidi="es-ES"/>
        </w:rPr>
        <w:t>Presidente</w:t>
      </w:r>
      <w:proofErr w:type="gramEnd"/>
      <w:r w:rsidRPr="00F10E52">
        <w:rPr>
          <w:rFonts w:ascii="Verdana" w:eastAsia="Arial" w:hAnsi="Verdana" w:cs="Arial"/>
          <w:lang w:val="es-ES" w:eastAsia="es-ES" w:bidi="es-ES"/>
        </w:rPr>
        <w:t xml:space="preserve"> de la República, a todos los entes del Estado, incluidos los territoriales, aplican las restricciones del artículo 33 con sus excepciones, así como las del parágrafo del artículo 38. </w:t>
      </w:r>
    </w:p>
    <w:bookmarkEnd w:id="9"/>
    <w:p w14:paraId="17A759FA" w14:textId="77777777" w:rsidR="0021743D" w:rsidRDefault="0021743D" w:rsidP="0021743D">
      <w:pPr>
        <w:spacing w:after="120" w:line="276" w:lineRule="auto"/>
        <w:ind w:firstLine="708"/>
        <w:jc w:val="both"/>
        <w:rPr>
          <w:rFonts w:ascii="Verdana" w:eastAsia="Times New Roman" w:hAnsi="Verdana" w:cs="Arial"/>
          <w:lang w:val="es-MX" w:eastAsia="x-none"/>
        </w:rPr>
      </w:pPr>
      <w:r w:rsidRPr="003D0447">
        <w:rPr>
          <w:rFonts w:ascii="Verdana" w:hAnsi="Verdana" w:cs="Arial"/>
          <w:bCs/>
          <w:color w:val="000000"/>
          <w:lang w:val="es-ES" w:eastAsia="es-CO"/>
        </w:rPr>
        <w:t xml:space="preserve">Teniendo en cuenta la consulta planteada, </w:t>
      </w:r>
      <w:r w:rsidRPr="00461891">
        <w:rPr>
          <w:rFonts w:ascii="Verdana" w:eastAsia="Calibri" w:hAnsi="Verdana" w:cs="Arial"/>
          <w:lang w:eastAsia="es-ES" w:bidi="es-ES"/>
        </w:rPr>
        <w:t xml:space="preserve">resulta necesario precisar el alcance de la prohibición </w:t>
      </w:r>
      <w:r w:rsidRPr="00461891">
        <w:rPr>
          <w:rFonts w:ascii="Verdana" w:eastAsia="Arial" w:hAnsi="Verdana" w:cs="Arial"/>
          <w:lang w:val="es-ES" w:eastAsia="es-ES" w:bidi="es-ES"/>
        </w:rPr>
        <w:t>establecida en e</w:t>
      </w:r>
      <w:r w:rsidRPr="00461891">
        <w:rPr>
          <w:rFonts w:ascii="Verdana" w:eastAsia="Calibri" w:hAnsi="Verdana" w:cs="Arial"/>
        </w:rPr>
        <w:t xml:space="preserve">l parágrafo del artículo 38 de la Ley 996 de 2005. La citada norma dispone que “[l]os Gobernadores, </w:t>
      </w:r>
      <w:proofErr w:type="gramStart"/>
      <w:r w:rsidRPr="00461891">
        <w:rPr>
          <w:rFonts w:ascii="Verdana" w:eastAsia="Calibri" w:hAnsi="Verdana" w:cs="Arial"/>
        </w:rPr>
        <w:t>Alcaldes</w:t>
      </w:r>
      <w:proofErr w:type="gramEnd"/>
      <w:r w:rsidRPr="00461891">
        <w:rPr>
          <w:rFonts w:ascii="Verdana" w:eastAsia="Calibri" w:hAnsi="Verdana" w:cs="Arial"/>
        </w:rPr>
        <w:t xml:space="preserve"> Municipales y/o Distritales, </w:t>
      </w:r>
      <w:proofErr w:type="gramStart"/>
      <w:r w:rsidRPr="00461891">
        <w:rPr>
          <w:rFonts w:ascii="Verdana" w:eastAsia="Calibri" w:hAnsi="Verdana" w:cs="Arial"/>
        </w:rPr>
        <w:t>Secretarios</w:t>
      </w:r>
      <w:proofErr w:type="gramEnd"/>
      <w:r w:rsidRPr="00461891">
        <w:rPr>
          <w:rFonts w:ascii="Verdana" w:eastAsia="Calibri" w:hAnsi="Verdana" w:cs="Arial"/>
        </w:rPr>
        <w:t xml:space="preserve">, Gerentes y directores de Entidades Descentralizadas del orden Municipal, Departamental o Distrital, dentro de los cuatro (4) meses anteriores a las elecciones, no podrán celebrar </w:t>
      </w:r>
      <w:r w:rsidRPr="00461891">
        <w:rPr>
          <w:rFonts w:ascii="Verdana" w:eastAsia="Calibri" w:hAnsi="Verdana" w:cs="Arial"/>
          <w:i/>
          <w:iCs/>
        </w:rPr>
        <w:t>convenios interadministrativos</w:t>
      </w:r>
      <w:r w:rsidRPr="00461891">
        <w:rPr>
          <w:rFonts w:ascii="Verdana" w:eastAsia="Calibri" w:hAnsi="Verdana" w:cs="Arial"/>
        </w:rPr>
        <w:t xml:space="preserve"> para la ejecución de recursos públicos”.</w:t>
      </w:r>
      <w:r w:rsidRPr="00461891">
        <w:rPr>
          <w:rFonts w:ascii="Verdana" w:eastAsia="Times New Roman" w:hAnsi="Verdana" w:cs="Arial"/>
          <w:lang w:val="es-MX" w:eastAsia="x-none"/>
        </w:rPr>
        <w:t xml:space="preserve"> [Énfasis fuera del texto original]</w:t>
      </w:r>
    </w:p>
    <w:p w14:paraId="0A33794E" w14:textId="77777777" w:rsidR="0021743D" w:rsidRPr="00667CD6" w:rsidRDefault="0021743D" w:rsidP="0021743D">
      <w:pPr>
        <w:spacing w:after="120" w:line="276" w:lineRule="auto"/>
        <w:ind w:firstLine="709"/>
        <w:jc w:val="both"/>
        <w:rPr>
          <w:rFonts w:ascii="Verdana" w:hAnsi="Verdana" w:cs="Arial"/>
          <w:lang w:eastAsia="es-ES"/>
        </w:rPr>
      </w:pPr>
      <w:r w:rsidRPr="2035D652">
        <w:rPr>
          <w:rFonts w:ascii="Verdana" w:eastAsia="Times New Roman" w:hAnsi="Verdana" w:cs="Arial"/>
          <w:lang w:val="es-ES" w:eastAsia="es-ES"/>
        </w:rPr>
        <w:t xml:space="preserve">Para tales efectos, debe precisarse que </w:t>
      </w:r>
      <w:r w:rsidRPr="00667CD6">
        <w:rPr>
          <w:rFonts w:ascii="Verdana" w:eastAsia="Times New Roman" w:hAnsi="Verdana" w:cs="Arial"/>
          <w:color w:val="000000" w:themeColor="text1"/>
          <w:lang w:val="es-ES" w:eastAsia="es-CO"/>
        </w:rPr>
        <w:t xml:space="preserve">los contratos o convenios interadministrativos están determinados por un criterio orgánico, pues es necesario que los extremos de la relación contractual sean entidades públicas, </w:t>
      </w:r>
      <w:r w:rsidRPr="00667CD6">
        <w:rPr>
          <w:rFonts w:ascii="Verdana" w:hAnsi="Verdana" w:cs="Arial"/>
          <w:lang w:eastAsia="es-ES"/>
        </w:rPr>
        <w:t>independientemente de las normas que regulan la relación contractual. En este sentido, los convenios interadministrativos solo pueden ser celebrados entre entidades públicas, pues a éstas corresponde la realización de los fines y tareas que el legislador les ha asignado</w:t>
      </w:r>
      <w:r w:rsidRPr="00667CD6">
        <w:rPr>
          <w:rFonts w:ascii="Verdana" w:hAnsi="Verdana" w:cs="Arial"/>
          <w:vertAlign w:val="superscript"/>
          <w:lang w:eastAsia="es-ES"/>
        </w:rPr>
        <w:footnoteReference w:id="8"/>
      </w:r>
      <w:r w:rsidRPr="00667CD6">
        <w:rPr>
          <w:rFonts w:ascii="Verdana" w:hAnsi="Verdana" w:cs="Arial"/>
          <w:lang w:eastAsia="es-ES"/>
        </w:rPr>
        <w:t>.</w:t>
      </w:r>
    </w:p>
    <w:p w14:paraId="73C162A0" w14:textId="77777777" w:rsidR="0021743D" w:rsidRPr="00667CD6" w:rsidRDefault="0021743D" w:rsidP="0021743D">
      <w:pPr>
        <w:spacing w:after="120" w:line="276" w:lineRule="auto"/>
        <w:ind w:firstLine="709"/>
        <w:jc w:val="both"/>
        <w:rPr>
          <w:rFonts w:ascii="Verdana" w:hAnsi="Verdana" w:cs="Arial"/>
          <w:color w:val="000000" w:themeColor="text1"/>
          <w:lang w:val="es-ES_tradnl"/>
        </w:rPr>
      </w:pPr>
      <w:r w:rsidRPr="00667CD6">
        <w:rPr>
          <w:rFonts w:ascii="Verdana" w:hAnsi="Verdana" w:cs="Arial"/>
          <w:color w:val="000000" w:themeColor="text1"/>
          <w:lang w:val="es-ES_tradnl"/>
        </w:rPr>
        <w:lastRenderedPageBreak/>
        <w:t>Si bien los contratos o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de convenios con una Entidad Estatal de régimen especial y no por ello dejará de ser un contrato o convenio interadministrativo.</w:t>
      </w:r>
    </w:p>
    <w:p w14:paraId="5CF1844B" w14:textId="77777777" w:rsidR="0021743D" w:rsidRPr="00667CD6" w:rsidRDefault="0021743D" w:rsidP="0021743D">
      <w:pPr>
        <w:spacing w:before="120" w:after="0" w:line="276" w:lineRule="auto"/>
        <w:ind w:firstLine="708"/>
        <w:jc w:val="both"/>
        <w:rPr>
          <w:rFonts w:ascii="Verdana" w:hAnsi="Verdana" w:cs="Arial"/>
          <w:lang w:val="es-ES_tradnl"/>
        </w:rPr>
      </w:pPr>
      <w:r w:rsidRPr="2035D652">
        <w:rPr>
          <w:rFonts w:ascii="Verdana" w:hAnsi="Verdana" w:cs="Arial"/>
          <w:lang w:val="es-ES"/>
        </w:rPr>
        <w:t>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susceptible de pluralidad de oferentes</w:t>
      </w:r>
      <w:r w:rsidRPr="2035D652">
        <w:rPr>
          <w:rFonts w:ascii="Verdana" w:hAnsi="Verdana" w:cs="Arial"/>
          <w:vertAlign w:val="superscript"/>
          <w:lang w:val="es-ES"/>
        </w:rPr>
        <w:footnoteReference w:id="9"/>
      </w:r>
      <w:r w:rsidRPr="2035D652">
        <w:rPr>
          <w:rFonts w:ascii="Verdana" w:hAnsi="Verdana" w:cs="Arial"/>
          <w:lang w:val="es-ES"/>
        </w:rPr>
        <w:t>. Nótese que, en este caso, lo que cambia es la modalidad de selección y no la naturaleza de contrato interadministrativo.</w:t>
      </w:r>
    </w:p>
    <w:p w14:paraId="386D07F0" w14:textId="77777777" w:rsidR="0021743D" w:rsidRPr="00667CD6" w:rsidRDefault="0021743D" w:rsidP="0021743D">
      <w:pPr>
        <w:spacing w:before="120" w:after="0" w:line="276" w:lineRule="auto"/>
        <w:ind w:firstLine="708"/>
        <w:jc w:val="both"/>
        <w:rPr>
          <w:rFonts w:ascii="Verdana" w:hAnsi="Verdana" w:cs="Arial"/>
          <w:lang w:val="es-ES_tradnl"/>
        </w:rPr>
      </w:pPr>
      <w:r w:rsidRPr="2035D652">
        <w:rPr>
          <w:rFonts w:ascii="Verdana" w:hAnsi="Verdana" w:cs="Arial"/>
          <w:lang w:val="es-ES"/>
        </w:rPr>
        <w:t>Además, es necesario tener en cuenta que para que un contrato o convenio interadministrativo exista debe cumplir con los siguientes elementos: acuerdo sobre el objeto y la contraprestación y que conste por escrito</w:t>
      </w:r>
      <w:r w:rsidRPr="2035D652">
        <w:rPr>
          <w:rFonts w:ascii="Verdana" w:hAnsi="Verdana" w:cs="Arial"/>
          <w:vertAlign w:val="superscript"/>
          <w:lang w:val="es-ES"/>
        </w:rPr>
        <w:footnoteReference w:id="10"/>
      </w:r>
      <w:r w:rsidRPr="2035D652">
        <w:rPr>
          <w:rFonts w:ascii="Verdana" w:hAnsi="Verdana" w:cs="Arial"/>
          <w:lang w:val="es-ES"/>
        </w:rPr>
        <w:t>. Entonces, si ambas partes son entidades estatales, pueden celebrar convenios interadministrativos, porque las disposiciones que regulan esta tipología hacen referencia a la calidad de los sujetos que intervienen en la contratación, que deben ser entidades estatales o de derecho público.</w:t>
      </w:r>
    </w:p>
    <w:p w14:paraId="49D66218" w14:textId="77777777" w:rsidR="0021743D" w:rsidRPr="00667CD6" w:rsidRDefault="0021743D" w:rsidP="0021743D">
      <w:pPr>
        <w:spacing w:before="120" w:after="0" w:line="276" w:lineRule="auto"/>
        <w:ind w:firstLine="708"/>
        <w:jc w:val="both"/>
        <w:rPr>
          <w:rFonts w:ascii="Verdana" w:hAnsi="Verdana"/>
          <w:sz w:val="24"/>
          <w:szCs w:val="24"/>
          <w:lang w:eastAsia="es-CO"/>
        </w:rPr>
      </w:pPr>
      <w:r w:rsidRPr="2035D652">
        <w:rPr>
          <w:rFonts w:ascii="Verdana" w:hAnsi="Verdana" w:cs="Arial"/>
          <w:lang w:val="es-ES"/>
        </w:rPr>
        <w:t xml:space="preserve">Sobre este aspecto, se resalta que la Corte Constitucional señaló en la Sentencia C–671 de 2015 que “Lo que hace interadministrativo a un contrato o convenio no es el procedimiento de selección aplicable, sino la calidad de los sujetos contratantes, esto es que las dos partes de la relación jurídica contractual formen parte de la administración pública”. Así las cosas, atendiendo </w:t>
      </w:r>
      <w:r w:rsidRPr="2035D652">
        <w:rPr>
          <w:rFonts w:ascii="Verdana" w:hAnsi="Verdana" w:cs="Arial"/>
          <w:lang w:val="es-ES"/>
        </w:rPr>
        <w:lastRenderedPageBreak/>
        <w:t>a la literalidad de las normas enunciadas, no cabe una interpretación diferente</w:t>
      </w:r>
      <w:r w:rsidRPr="2035D652">
        <w:rPr>
          <w:rFonts w:ascii="Verdana" w:hAnsi="Verdana" w:cs="Arial"/>
          <w:vertAlign w:val="superscript"/>
          <w:lang w:val="es-ES"/>
        </w:rPr>
        <w:footnoteReference w:id="11"/>
      </w:r>
      <w:r w:rsidRPr="2035D652">
        <w:rPr>
          <w:rFonts w:ascii="Verdana" w:hAnsi="Verdana" w:cs="Arial"/>
          <w:lang w:val="es-ES"/>
        </w:rPr>
        <w:t>, pues, de acuerdo con lo anotado, esta clase de acuerdos de voluntades se definen por un criterio orgánico, por lo que uno de sus elementos esenciales es que en los extremos de la relación jurídico negocial concurran personas de derecho público</w:t>
      </w:r>
      <w:r w:rsidRPr="00667CD6">
        <w:rPr>
          <w:rFonts w:ascii="Verdana" w:hAnsi="Verdana"/>
          <w:sz w:val="24"/>
          <w:szCs w:val="24"/>
          <w:lang w:eastAsia="es-CO"/>
        </w:rPr>
        <w:t>.</w:t>
      </w:r>
    </w:p>
    <w:p w14:paraId="407E1FBD" w14:textId="77777777" w:rsidR="0021743D" w:rsidRPr="00667CD6" w:rsidRDefault="0021743D" w:rsidP="0021743D">
      <w:pPr>
        <w:spacing w:before="120" w:after="0" w:line="276" w:lineRule="auto"/>
        <w:ind w:firstLine="708"/>
        <w:jc w:val="both"/>
        <w:rPr>
          <w:rFonts w:ascii="Verdana" w:eastAsia="Times New Roman" w:hAnsi="Verdana" w:cs="Arial"/>
          <w:lang w:val="es-MX" w:eastAsia="es-CO"/>
        </w:rPr>
      </w:pPr>
      <w:r w:rsidRPr="00667CD6">
        <w:rPr>
          <w:rFonts w:ascii="Verdana" w:eastAsia="Arial" w:hAnsi="Verdana" w:cs="Arial"/>
          <w:lang w:val="es-MX" w:eastAsia="es-ES" w:bidi="es-ES"/>
        </w:rPr>
        <w:t>De esta manera, se</w:t>
      </w:r>
      <w:r w:rsidRPr="00667CD6">
        <w:rPr>
          <w:rFonts w:ascii="Verdana" w:eastAsia="Times New Roman" w:hAnsi="Verdana" w:cs="Arial"/>
          <w:lang w:eastAsia="es-CO"/>
        </w:rPr>
        <w:t xml:space="preserve"> observa entonces que </w:t>
      </w:r>
      <w:r w:rsidRPr="00667CD6">
        <w:rPr>
          <w:rFonts w:ascii="Verdana" w:eastAsia="Times New Roman" w:hAnsi="Verdana" w:cs="Arial"/>
          <w:lang w:val="es-MX" w:eastAsia="es-CO"/>
        </w:rPr>
        <w:t xml:space="preserve">el parágrafo del artículo 38 de la Ley 996 de 2005 prohíbe a los </w:t>
      </w:r>
      <w:proofErr w:type="gramStart"/>
      <w:r w:rsidRPr="00667CD6">
        <w:rPr>
          <w:rFonts w:ascii="Verdana" w:eastAsia="Times New Roman" w:hAnsi="Verdana" w:cs="Arial"/>
          <w:lang w:val="es-MX" w:eastAsia="es-CO"/>
        </w:rPr>
        <w:t>Alcaldes</w:t>
      </w:r>
      <w:proofErr w:type="gramEnd"/>
      <w:r w:rsidRPr="00667CD6">
        <w:rPr>
          <w:rFonts w:ascii="Verdana" w:eastAsia="Times New Roman" w:hAnsi="Verdana" w:cs="Arial"/>
          <w:lang w:val="es-MX" w:eastAsia="es-CO"/>
        </w:rPr>
        <w:t xml:space="preserve">, Gobernadores, </w:t>
      </w:r>
      <w:proofErr w:type="gramStart"/>
      <w:r w:rsidRPr="00667CD6">
        <w:rPr>
          <w:rFonts w:ascii="Verdana" w:eastAsia="Times New Roman" w:hAnsi="Verdana" w:cs="Arial"/>
          <w:lang w:val="es-MX" w:eastAsia="es-CO"/>
        </w:rPr>
        <w:t>Secretarios</w:t>
      </w:r>
      <w:proofErr w:type="gramEnd"/>
      <w:r w:rsidRPr="00667CD6">
        <w:rPr>
          <w:rFonts w:ascii="Verdana" w:eastAsia="Times New Roman" w:hAnsi="Verdana" w:cs="Arial"/>
          <w:lang w:val="es-MX" w:eastAsia="es-CO"/>
        </w:rPr>
        <w:t xml:space="preserve">, Gerentes y </w:t>
      </w:r>
      <w:proofErr w:type="gramStart"/>
      <w:r w:rsidRPr="00667CD6">
        <w:rPr>
          <w:rFonts w:ascii="Verdana" w:eastAsia="Times New Roman" w:hAnsi="Verdana" w:cs="Arial"/>
          <w:lang w:val="es-MX" w:eastAsia="es-CO"/>
        </w:rPr>
        <w:t>Directores</w:t>
      </w:r>
      <w:proofErr w:type="gramEnd"/>
      <w:r w:rsidRPr="00667CD6">
        <w:rPr>
          <w:rFonts w:ascii="Verdana" w:eastAsia="Times New Roman" w:hAnsi="Verdana" w:cs="Arial"/>
          <w:lang w:val="es-MX" w:eastAsia="es-CO"/>
        </w:rPr>
        <w:t xml:space="preserve"> de las entidades del orden municipal, departamental o distrital celebrar </w:t>
      </w:r>
      <w:r w:rsidRPr="00667CD6">
        <w:rPr>
          <w:rFonts w:ascii="Verdana" w:eastAsia="Times New Roman" w:hAnsi="Verdana" w:cs="Arial"/>
          <w:i/>
          <w:iCs/>
          <w:lang w:val="es-MX" w:eastAsia="es-CO"/>
        </w:rPr>
        <w:t>convenios interadministrativos</w:t>
      </w:r>
      <w:r w:rsidRPr="00667CD6">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667CD6">
        <w:rPr>
          <w:rFonts w:ascii="Verdana" w:eastAsia="Times New Roman" w:hAnsi="Verdana" w:cs="Arial"/>
          <w:i/>
          <w:lang w:val="es-MX" w:eastAsia="es-CO"/>
        </w:rPr>
        <w:t>ibidem</w:t>
      </w:r>
      <w:r w:rsidRPr="00667CD6">
        <w:rPr>
          <w:rFonts w:ascii="Verdana" w:eastAsia="Times New Roman" w:hAnsi="Verdana" w:cs="Arial"/>
          <w:lang w:val="es-MX" w:eastAsia="es-CO"/>
        </w:rPr>
        <w:t xml:space="preserve">, no podrá celebrar tales </w:t>
      </w:r>
      <w:r w:rsidRPr="00667CD6">
        <w:rPr>
          <w:rFonts w:ascii="Verdana" w:eastAsia="Times New Roman" w:hAnsi="Verdana" w:cs="Arial"/>
          <w:i/>
          <w:iCs/>
          <w:lang w:val="es-MX" w:eastAsia="es-CO"/>
        </w:rPr>
        <w:t>convenios</w:t>
      </w:r>
      <w:r w:rsidRPr="00667CD6">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w:t>
      </w:r>
    </w:p>
    <w:p w14:paraId="41947A84" w14:textId="77777777" w:rsidR="0021743D" w:rsidRPr="00667CD6" w:rsidRDefault="0021743D" w:rsidP="0021743D">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val="es-MX" w:eastAsia="es-CO"/>
        </w:rPr>
        <w:t xml:space="preserve">Respecto del alcance de esta prohibición la Circular Externa No. 006 de 2025 expedida por la ANCP -CCE, en los literales </w:t>
      </w:r>
      <w:proofErr w:type="spellStart"/>
      <w:r w:rsidRPr="00667CD6">
        <w:rPr>
          <w:rFonts w:ascii="Verdana" w:eastAsia="Times New Roman" w:hAnsi="Verdana" w:cs="Arial"/>
          <w:lang w:val="es-MX" w:eastAsia="es-CO"/>
        </w:rPr>
        <w:t>ii</w:t>
      </w:r>
      <w:proofErr w:type="spellEnd"/>
      <w:r w:rsidRPr="00667CD6">
        <w:rPr>
          <w:rFonts w:ascii="Verdana" w:eastAsia="Times New Roman" w:hAnsi="Verdana" w:cs="Arial"/>
          <w:lang w:val="es-MX" w:eastAsia="es-CO"/>
        </w:rPr>
        <w:t xml:space="preserve">) y </w:t>
      </w:r>
      <w:proofErr w:type="spellStart"/>
      <w:r w:rsidRPr="00667CD6">
        <w:rPr>
          <w:rFonts w:ascii="Verdana" w:eastAsia="Times New Roman" w:hAnsi="Verdana" w:cs="Arial"/>
          <w:lang w:val="es-MX" w:eastAsia="es-CO"/>
        </w:rPr>
        <w:t>iv</w:t>
      </w:r>
      <w:proofErr w:type="spellEnd"/>
      <w:r w:rsidRPr="00667CD6">
        <w:rPr>
          <w:rFonts w:ascii="Verdana" w:eastAsia="Times New Roman" w:hAnsi="Verdana" w:cs="Arial"/>
          <w:lang w:val="es-MX" w:eastAsia="es-CO"/>
        </w:rPr>
        <w:t>) del numeral 2</w:t>
      </w:r>
      <w:r w:rsidRPr="00667CD6">
        <w:rPr>
          <w:rFonts w:ascii="Verdana" w:eastAsia="Times New Roman" w:hAnsi="Verdana" w:cs="Arial"/>
          <w:lang w:eastAsia="es-CO"/>
        </w:rPr>
        <w:t>,</w:t>
      </w:r>
      <w:r w:rsidRPr="00667CD6">
        <w:rPr>
          <w:rFonts w:ascii="Verdana" w:eastAsia="Times New Roman" w:hAnsi="Verdana" w:cs="Arial"/>
          <w:lang w:val="es-MX" w:eastAsia="es-CO"/>
        </w:rPr>
        <w:t xml:space="preserve"> indica que el </w:t>
      </w:r>
      <w:r w:rsidRPr="00667CD6">
        <w:rPr>
          <w:rFonts w:ascii="Verdana" w:eastAsia="Times New Roman" w:hAnsi="Verdana" w:cs="Arial"/>
          <w:lang w:eastAsia="es-CO"/>
        </w:rPr>
        <w:t xml:space="preserve">parágrafo del artículo 38 de la Ley 996 de 2005 cobija expresamente a los </w:t>
      </w:r>
      <w:r w:rsidRPr="00667CD6">
        <w:rPr>
          <w:rFonts w:ascii="Verdana" w:eastAsia="Times New Roman" w:hAnsi="Verdana" w:cs="Arial"/>
          <w:i/>
          <w:iCs/>
          <w:lang w:eastAsia="es-CO"/>
        </w:rPr>
        <w:t>convenios interadministrativos</w:t>
      </w:r>
      <w:r w:rsidRPr="00667CD6">
        <w:rPr>
          <w:rFonts w:ascii="Verdana" w:eastAsia="Times New Roman" w:hAnsi="Verdana" w:cs="Arial"/>
          <w:lang w:eastAsia="es-CO"/>
        </w:rPr>
        <w:t xml:space="preserve"> en los que se contemple la ejecución de recursos públicos. Además, precisa que el parágrafo referido no estableció ningún supuesto que exceptúe la aplicación de esta prohibición, por lo que la restricción referida a la celebración de convenios interadministrativos aplicará a los sujetos allí señalados, </w:t>
      </w:r>
      <w:r w:rsidRPr="00667CD6">
        <w:rPr>
          <w:rFonts w:ascii="Verdana" w:eastAsia="Times New Roman" w:hAnsi="Verdana" w:cs="Arial"/>
          <w:i/>
          <w:iCs/>
          <w:lang w:eastAsia="es-CO"/>
        </w:rPr>
        <w:t>“aunque se configure alguno de los supuestos de excepción que señaló el inciso final del artículo 33”.</w:t>
      </w:r>
      <w:r w:rsidRPr="00667CD6">
        <w:rPr>
          <w:rFonts w:ascii="Verdana" w:eastAsia="Times New Roman" w:hAnsi="Verdana" w:cs="Arial"/>
          <w:lang w:eastAsia="es-CO"/>
        </w:rPr>
        <w:t xml:space="preserve"> </w:t>
      </w:r>
    </w:p>
    <w:p w14:paraId="782CE028" w14:textId="77777777" w:rsidR="0021743D" w:rsidRPr="00667CD6" w:rsidRDefault="0021743D" w:rsidP="0021743D">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eastAsia="es-CO"/>
        </w:rPr>
        <w:t xml:space="preserve">Sin embargo, es importante tener en cuenta que el ámbito de aplicación de la restricción prevista en el parágrafo del artículo 38 de la Ley 996 de 2005 solo se extiende a los </w:t>
      </w:r>
      <w:r w:rsidRPr="00667CD6">
        <w:rPr>
          <w:rFonts w:ascii="Verdana" w:eastAsia="Times New Roman" w:hAnsi="Verdana" w:cs="Arial"/>
          <w:i/>
          <w:iCs/>
          <w:lang w:eastAsia="es-CO"/>
        </w:rPr>
        <w:t>convenios interadministrativos</w:t>
      </w:r>
      <w:r w:rsidRPr="00667CD6">
        <w:rPr>
          <w:rFonts w:ascii="Verdana" w:eastAsia="Times New Roman" w:hAnsi="Verdana" w:cs="Arial"/>
          <w:lang w:eastAsia="es-CO"/>
        </w:rPr>
        <w:t xml:space="preserve"> en los que se contemple la </w:t>
      </w:r>
      <w:r w:rsidRPr="00667CD6">
        <w:rPr>
          <w:rFonts w:ascii="Verdana" w:eastAsia="Times New Roman" w:hAnsi="Verdana" w:cs="Arial"/>
          <w:i/>
          <w:iCs/>
          <w:lang w:eastAsia="es-CO"/>
        </w:rPr>
        <w:t>ejecución de recursos públicos</w:t>
      </w:r>
      <w:r w:rsidRPr="00667CD6">
        <w:rPr>
          <w:rFonts w:ascii="Verdana" w:eastAsia="Times New Roman" w:hAnsi="Verdana" w:cs="Arial"/>
          <w:lang w:eastAsia="es-CO"/>
        </w:rPr>
        <w:t xml:space="preserve">. Esto significa que la prohibición no resulta aplicable a </w:t>
      </w:r>
      <w:r w:rsidRPr="00667CD6">
        <w:rPr>
          <w:rFonts w:ascii="Verdana" w:eastAsia="Times New Roman" w:hAnsi="Verdana" w:cs="Arial"/>
          <w:i/>
          <w:iCs/>
          <w:lang w:eastAsia="es-CO"/>
        </w:rPr>
        <w:t>convenios interadministrativos a título gratuito,</w:t>
      </w:r>
      <w:r w:rsidRPr="00667CD6">
        <w:rPr>
          <w:rFonts w:ascii="Verdana" w:eastAsia="Times New Roman" w:hAnsi="Verdana" w:cs="Arial"/>
          <w:lang w:eastAsia="es-CO"/>
        </w:rPr>
        <w:t xml:space="preserve"> los cuales pueden celebrarse válidamente durante la vigencia de la mencionada restricción. </w:t>
      </w:r>
    </w:p>
    <w:p w14:paraId="6CA0664D" w14:textId="77777777" w:rsidR="0021743D" w:rsidRPr="00667CD6" w:rsidRDefault="0021743D" w:rsidP="0021743D">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eastAsia="es-CO"/>
        </w:rPr>
        <w:t xml:space="preserve">De esta manera, conforme a lo dispuesto en la Circular referida, si se suscriben </w:t>
      </w:r>
      <w:r w:rsidRPr="00667CD6">
        <w:rPr>
          <w:rFonts w:ascii="Verdana" w:eastAsia="Times New Roman" w:hAnsi="Verdana" w:cs="Arial"/>
          <w:i/>
          <w:iCs/>
          <w:lang w:eastAsia="es-CO"/>
        </w:rPr>
        <w:t>convenios interadministrativos para la ejecución de recursos públicos</w:t>
      </w:r>
      <w:r w:rsidRPr="00667CD6">
        <w:rPr>
          <w:rFonts w:ascii="Verdana" w:eastAsia="Times New Roman" w:hAnsi="Verdana" w:cs="Arial"/>
          <w:lang w:eastAsia="es-CO"/>
        </w:rPr>
        <w:t xml:space="preserve"> por los alcaldes, gobernadores, secretarios, gerentes y directores de las </w:t>
      </w:r>
      <w:r w:rsidRPr="00667CD6">
        <w:rPr>
          <w:rFonts w:ascii="Verdana" w:eastAsia="Times New Roman" w:hAnsi="Verdana" w:cs="Arial"/>
          <w:lang w:eastAsia="es-CO"/>
        </w:rPr>
        <w:lastRenderedPageBreak/>
        <w:t xml:space="preserve">entidades del orden municipal, departamental o distrital, aplicará la prohibición del parágrafo del artículo 38 </w:t>
      </w:r>
      <w:r w:rsidRPr="00667CD6">
        <w:rPr>
          <w:rFonts w:ascii="Verdana" w:eastAsia="Times New Roman" w:hAnsi="Verdana" w:cs="Arial"/>
          <w:i/>
          <w:iCs/>
          <w:lang w:eastAsia="es-CO"/>
        </w:rPr>
        <w:t>ibidem</w:t>
      </w:r>
      <w:r w:rsidRPr="00667CD6">
        <w:rPr>
          <w:rFonts w:ascii="Verdana" w:eastAsia="Times New Roman" w:hAnsi="Verdana" w:cs="Arial"/>
          <w:lang w:eastAsia="es-CO"/>
        </w:rPr>
        <w:t>, independientemente de que se configure alguno de los supuestos de excepción que señaló el inciso final del artículo 33, es decir, que se trate de:</w:t>
      </w:r>
      <w:r w:rsidRPr="00667CD6">
        <w:rPr>
          <w:rFonts w:ascii="Verdana" w:hAnsi="Verdana" w:cs="Arial"/>
          <w:bCs/>
          <w:lang w:val="es-MX" w:eastAsia="x-none"/>
        </w:rPr>
        <w:t xml:space="preserve"> i) la defensa y seguridad del Estado; </w:t>
      </w:r>
      <w:proofErr w:type="spellStart"/>
      <w:r w:rsidRPr="00667CD6">
        <w:rPr>
          <w:rFonts w:ascii="Verdana" w:hAnsi="Verdana" w:cs="Arial"/>
          <w:bCs/>
          <w:lang w:val="es-MX" w:eastAsia="x-none"/>
        </w:rPr>
        <w:t>ii</w:t>
      </w:r>
      <w:proofErr w:type="spellEnd"/>
      <w:r w:rsidRPr="00667CD6">
        <w:rPr>
          <w:rFonts w:ascii="Verdana" w:hAnsi="Verdana" w:cs="Arial"/>
          <w:bCs/>
          <w:lang w:val="es-MX" w:eastAsia="x-none"/>
        </w:rPr>
        <w:t xml:space="preserve">) los contratos de crédito público; </w:t>
      </w:r>
      <w:proofErr w:type="spellStart"/>
      <w:r w:rsidRPr="00667CD6">
        <w:rPr>
          <w:rFonts w:ascii="Verdana" w:hAnsi="Verdana" w:cs="Arial"/>
          <w:bCs/>
          <w:lang w:val="es-MX" w:eastAsia="x-none"/>
        </w:rPr>
        <w:t>iii</w:t>
      </w:r>
      <w:proofErr w:type="spellEnd"/>
      <w:r w:rsidRPr="00667CD6">
        <w:rPr>
          <w:rFonts w:ascii="Verdana" w:hAnsi="Verdana" w:cs="Arial"/>
          <w:bCs/>
          <w:lang w:val="es-MX" w:eastAsia="x-none"/>
        </w:rPr>
        <w:t xml:space="preserve">) los requeridos para cubrir las emergencias educativas, sanitarias y desastres; </w:t>
      </w:r>
      <w:proofErr w:type="spellStart"/>
      <w:r w:rsidRPr="00667CD6">
        <w:rPr>
          <w:rFonts w:ascii="Verdana" w:hAnsi="Verdana" w:cs="Arial"/>
          <w:bCs/>
          <w:lang w:val="es-MX" w:eastAsia="x-none"/>
        </w:rPr>
        <w:t>iv</w:t>
      </w:r>
      <w:proofErr w:type="spellEnd"/>
      <w:r w:rsidRPr="00667CD6">
        <w:rPr>
          <w:rFonts w:ascii="Verdana"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667CD6">
        <w:rPr>
          <w:rFonts w:ascii="Verdana" w:hAnsi="Verdana" w:cs="Arial"/>
          <w:bCs/>
          <w:lang w:val="es-MX" w:eastAsia="es-CO"/>
        </w:rPr>
        <w:t xml:space="preserve"> </w:t>
      </w:r>
      <w:r w:rsidRPr="00667CD6">
        <w:rPr>
          <w:rFonts w:ascii="Verdana" w:eastAsia="Times New Roman" w:hAnsi="Verdana" w:cs="Arial"/>
          <w:lang w:eastAsia="es-CO"/>
        </w:rPr>
        <w:t xml:space="preserve">  </w:t>
      </w:r>
    </w:p>
    <w:p w14:paraId="608176E8" w14:textId="77777777" w:rsidR="0021743D" w:rsidRPr="00667CD6" w:rsidRDefault="0021743D" w:rsidP="0021743D">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eastAsia="es-CO"/>
        </w:rPr>
        <w:t xml:space="preserve">En este punto, </w:t>
      </w:r>
      <w:r>
        <w:rPr>
          <w:rFonts w:ascii="Verdana" w:eastAsia="Times New Roman" w:hAnsi="Verdana" w:cs="Arial"/>
          <w:lang w:eastAsia="es-CO"/>
        </w:rPr>
        <w:t>teniendo en cuenta lo señalado en el contenido de su petición</w:t>
      </w:r>
      <w:r w:rsidRPr="00667CD6">
        <w:rPr>
          <w:rFonts w:ascii="Verdana" w:eastAsia="Times New Roman" w:hAnsi="Verdana" w:cs="Arial"/>
          <w:lang w:eastAsia="es-CO"/>
        </w:rPr>
        <w:t xml:space="preserve">, vale la pena destacar </w:t>
      </w:r>
      <w:proofErr w:type="gramStart"/>
      <w:r w:rsidRPr="00667CD6">
        <w:rPr>
          <w:rFonts w:ascii="Verdana" w:eastAsia="Times New Roman" w:hAnsi="Verdana" w:cs="Arial"/>
          <w:lang w:eastAsia="es-CO"/>
        </w:rPr>
        <w:t>que</w:t>
      </w:r>
      <w:proofErr w:type="gramEnd"/>
      <w:r w:rsidRPr="00667CD6">
        <w:rPr>
          <w:rFonts w:ascii="Verdana" w:eastAsia="Times New Roman" w:hAnsi="Verdana" w:cs="Arial"/>
          <w:lang w:eastAsia="es-CO"/>
        </w:rPr>
        <w:t xml:space="preserve"> </w:t>
      </w:r>
      <w:r w:rsidRPr="00667CD6">
        <w:rPr>
          <w:rFonts w:ascii="Verdana" w:eastAsia="Arial" w:hAnsi="Verdana" w:cs="Arial"/>
          <w:lang w:val="es-MX" w:eastAsia="es-ES" w:bidi="es-ES"/>
        </w:rPr>
        <w:t xml:space="preserve">mediante auto de 4 de octubre del 2024, el Consejo de Estado, Subsección C de la Sección Tercera, decretó medida de suspensión provisional parcial del </w:t>
      </w:r>
      <w:r w:rsidRPr="00667CD6">
        <w:rPr>
          <w:rFonts w:ascii="Verdana" w:hAnsi="Verdana" w:cs="Arial"/>
        </w:rPr>
        <w:t>numeral 16.2 de la Circular Externa Única de 2022 expedida por la Agencia Nacional de Contratación Pública -Colombia Compra Eficiente-, concretamente, respecto de los siguientes apartes normativos</w:t>
      </w:r>
      <w:r w:rsidRPr="00667CD6">
        <w:rPr>
          <w:rFonts w:ascii="Verdana" w:hAnsi="Verdana" w:cs="Arial"/>
          <w:vertAlign w:val="superscript"/>
        </w:rPr>
        <w:footnoteReference w:id="12"/>
      </w:r>
      <w:r w:rsidRPr="00667CD6">
        <w:rPr>
          <w:rFonts w:ascii="Verdana" w:hAnsi="Verdana" w:cs="Arial"/>
        </w:rPr>
        <w:t xml:space="preserve">: </w:t>
      </w:r>
    </w:p>
    <w:p w14:paraId="61BB8183" w14:textId="77777777" w:rsidR="0021743D" w:rsidRPr="00667CD6" w:rsidRDefault="0021743D" w:rsidP="0021743D">
      <w:pPr>
        <w:spacing w:after="0" w:line="276" w:lineRule="auto"/>
        <w:ind w:firstLine="709"/>
        <w:jc w:val="both"/>
        <w:rPr>
          <w:rFonts w:ascii="Verdana" w:hAnsi="Verdana" w:cs="Arial"/>
        </w:rPr>
      </w:pPr>
    </w:p>
    <w:p w14:paraId="7164799F" w14:textId="77777777" w:rsidR="0021743D" w:rsidRPr="00667CD6" w:rsidRDefault="0021743D" w:rsidP="0021743D">
      <w:pPr>
        <w:spacing w:after="0" w:line="240" w:lineRule="auto"/>
        <w:ind w:left="709" w:right="709"/>
        <w:jc w:val="both"/>
        <w:rPr>
          <w:rFonts w:ascii="Verdana" w:hAnsi="Verdana" w:cs="Arial"/>
          <w:sz w:val="20"/>
          <w:szCs w:val="20"/>
        </w:rPr>
      </w:pPr>
      <w:r w:rsidRPr="00667CD6">
        <w:rPr>
          <w:rFonts w:ascii="Verdana" w:hAnsi="Verdana" w:cs="Arial"/>
          <w:sz w:val="20"/>
          <w:szCs w:val="20"/>
          <w:lang w:val="es-MX"/>
        </w:rPr>
        <w:t>i)</w:t>
      </w:r>
      <w:r w:rsidRPr="00667CD6">
        <w:rPr>
          <w:rFonts w:ascii="Verdana" w:hAnsi="Verdana" w:cs="Arial"/>
          <w:sz w:val="20"/>
          <w:szCs w:val="20"/>
        </w:rPr>
        <w:t xml:space="preserve"> el inciso segundo 2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
    <w:p w14:paraId="369AAC58" w14:textId="77777777" w:rsidR="0021743D" w:rsidRPr="00667CD6" w:rsidRDefault="0021743D" w:rsidP="0021743D">
      <w:pPr>
        <w:spacing w:after="0" w:line="240" w:lineRule="auto"/>
        <w:ind w:left="709" w:right="709"/>
        <w:jc w:val="both"/>
        <w:rPr>
          <w:rFonts w:ascii="Verdana" w:hAnsi="Verdana" w:cs="Arial"/>
          <w:sz w:val="20"/>
          <w:szCs w:val="20"/>
        </w:rPr>
      </w:pPr>
    </w:p>
    <w:p w14:paraId="66D26EE1" w14:textId="77777777" w:rsidR="0021743D" w:rsidRPr="00667CD6" w:rsidRDefault="0021743D" w:rsidP="0021743D">
      <w:pPr>
        <w:spacing w:after="0" w:line="240" w:lineRule="auto"/>
        <w:ind w:left="709" w:right="709"/>
        <w:jc w:val="both"/>
        <w:rPr>
          <w:rFonts w:ascii="Verdana" w:hAnsi="Verdana" w:cs="Arial"/>
          <w:sz w:val="20"/>
          <w:szCs w:val="20"/>
        </w:rPr>
      </w:pPr>
      <w:proofErr w:type="spellStart"/>
      <w:r w:rsidRPr="00667CD6">
        <w:rPr>
          <w:rFonts w:ascii="Verdana" w:hAnsi="Verdana" w:cs="Arial"/>
          <w:sz w:val="20"/>
          <w:szCs w:val="20"/>
        </w:rPr>
        <w:t>ii</w:t>
      </w:r>
      <w:proofErr w:type="spellEnd"/>
      <w:r w:rsidRPr="00667CD6">
        <w:rPr>
          <w:rFonts w:ascii="Verdana" w:hAnsi="Verdana" w:cs="Arial"/>
          <w:sz w:val="20"/>
          <w:szCs w:val="20"/>
        </w:rPr>
        <w:t xml:space="preserve">) la expresión y el siguiente párrafo contenidos en el inciso cuarto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 </w:t>
      </w:r>
    </w:p>
    <w:p w14:paraId="31F48F72" w14:textId="77777777" w:rsidR="0021743D" w:rsidRPr="00667CD6" w:rsidRDefault="0021743D" w:rsidP="0021743D">
      <w:pPr>
        <w:spacing w:after="0" w:line="276" w:lineRule="auto"/>
        <w:ind w:left="709" w:right="709"/>
        <w:jc w:val="both"/>
        <w:rPr>
          <w:rFonts w:ascii="Verdana" w:hAnsi="Verdana" w:cs="Arial"/>
        </w:rPr>
      </w:pPr>
    </w:p>
    <w:p w14:paraId="0E2FDCDD" w14:textId="77777777" w:rsidR="0021743D" w:rsidRPr="00667CD6" w:rsidRDefault="0021743D" w:rsidP="0021743D">
      <w:pPr>
        <w:spacing w:after="120" w:line="276" w:lineRule="auto"/>
        <w:ind w:firstLine="709"/>
        <w:jc w:val="both"/>
        <w:rPr>
          <w:rFonts w:ascii="Verdana" w:eastAsia="Arial" w:hAnsi="Verdana" w:cs="Arial"/>
          <w:i/>
          <w:iCs/>
          <w:lang w:eastAsia="es-ES" w:bidi="es-ES"/>
        </w:rPr>
      </w:pPr>
      <w:r w:rsidRPr="00667CD6">
        <w:rPr>
          <w:rFonts w:ascii="Verdana" w:eastAsia="Arial" w:hAnsi="Verdana" w:cs="Arial"/>
          <w:lang w:val="es-MX" w:eastAsia="es-ES" w:bidi="es-ES"/>
        </w:rPr>
        <w:t xml:space="preserve">De conformidad con los argumentos de dicha providencia, se parte de la distinción entre los conceptos </w:t>
      </w:r>
      <w:r w:rsidRPr="00667CD6">
        <w:rPr>
          <w:rFonts w:ascii="Verdana" w:eastAsia="Arial" w:hAnsi="Verdana" w:cs="Arial"/>
          <w:lang w:eastAsia="es-ES" w:bidi="es-ES"/>
        </w:rPr>
        <w:t xml:space="preserve">de “convenio” y “contrato” interadministrativos, </w:t>
      </w:r>
      <w:r w:rsidRPr="00667CD6">
        <w:rPr>
          <w:rFonts w:ascii="Verdana" w:eastAsia="Arial" w:hAnsi="Verdana" w:cs="Arial"/>
          <w:lang w:eastAsia="es-ES" w:bidi="es-ES"/>
        </w:rPr>
        <w:lastRenderedPageBreak/>
        <w:t>para diferenciarlos en su naturaleza, contenido y alcance, lo cual ha servido de fundamento para que tanto la Sección Tercera como también la Sala de Consulta y Servicio Civil de esa Corporación hayan realzado la distinción entre uno y otro negocio jurídico.</w:t>
      </w:r>
      <w:r w:rsidRPr="00667CD6">
        <w:rPr>
          <w:rFonts w:ascii="Verdana" w:hAnsi="Verdana"/>
          <w:sz w:val="24"/>
          <w:szCs w:val="24"/>
          <w:lang w:eastAsia="es-CO"/>
        </w:rPr>
        <w:t xml:space="preserve"> </w:t>
      </w:r>
      <w:r w:rsidRPr="00667CD6">
        <w:rPr>
          <w:rFonts w:ascii="Verdana" w:eastAsia="Arial" w:hAnsi="Verdana" w:cs="Arial"/>
          <w:lang w:eastAsia="es-ES" w:bidi="es-ES"/>
        </w:rPr>
        <w:t xml:space="preserve">En este sentido, en relación con el parágrafo del artículo 38 de la Ley 996 de 2005 concluyó que </w:t>
      </w:r>
      <w:r w:rsidRPr="00667CD6">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667CD6">
        <w:rPr>
          <w:rFonts w:ascii="Verdana" w:eastAsia="Arial" w:hAnsi="Verdana" w:cs="Arial"/>
          <w:lang w:eastAsia="es-ES" w:bidi="es-ES"/>
        </w:rPr>
        <w:t xml:space="preserve">Por tal motivo, para efectos de decretar la medida de suspensión provisional de los apartes señalados del numeral 16.2 de la Circular Externa Única, argumentó que </w:t>
      </w:r>
      <w:r w:rsidRPr="00667CD6">
        <w:rPr>
          <w:rFonts w:ascii="Verdana" w:eastAsia="Arial" w:hAnsi="Verdana" w:cs="Arial"/>
          <w:i/>
          <w:iCs/>
          <w:lang w:eastAsia="es-ES" w:bidi="es-ES"/>
        </w:rPr>
        <w:t xml:space="preserve">“con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 </w:t>
      </w:r>
    </w:p>
    <w:p w14:paraId="5D38B298" w14:textId="77777777" w:rsidR="0021743D" w:rsidRPr="00667CD6" w:rsidRDefault="0021743D" w:rsidP="0021743D">
      <w:pPr>
        <w:spacing w:after="120" w:line="276" w:lineRule="auto"/>
        <w:ind w:firstLine="709"/>
        <w:jc w:val="both"/>
        <w:rPr>
          <w:rFonts w:ascii="Verdana" w:eastAsia="Arial" w:hAnsi="Verdana" w:cs="Arial"/>
          <w:lang w:eastAsia="es-ES" w:bidi="es-ES"/>
        </w:rPr>
      </w:pPr>
      <w:r w:rsidRPr="00667CD6">
        <w:rPr>
          <w:rFonts w:ascii="Verdana" w:eastAsia="Arial" w:hAnsi="Verdana" w:cs="Arial"/>
          <w:lang w:eastAsia="es-ES" w:bidi="es-ES"/>
        </w:rPr>
        <w:t>De igual manera, mediante auto del 6 de noviembre de 2025, el Consejo de Estado, Subsección A de la Sección Tercera, decretó</w:t>
      </w:r>
      <w:r w:rsidRPr="00667CD6">
        <w:rPr>
          <w:rFonts w:ascii="Verdana" w:eastAsia="Arial" w:hAnsi="Verdana" w:cs="Arial"/>
          <w:b/>
          <w:bCs/>
          <w:lang w:eastAsia="es-ES" w:bidi="es-ES"/>
        </w:rPr>
        <w:t xml:space="preserve"> </w:t>
      </w:r>
      <w:r w:rsidRPr="00667CD6">
        <w:rPr>
          <w:rFonts w:ascii="Verdana" w:eastAsia="Arial" w:hAnsi="Verdana" w:cs="Arial"/>
          <w:lang w:eastAsia="es-ES" w:bidi="es-ES"/>
        </w:rPr>
        <w:t>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w:t>
      </w:r>
      <w:r w:rsidRPr="00667CD6">
        <w:rPr>
          <w:rFonts w:ascii="Verdana" w:eastAsia="Arial" w:hAnsi="Verdana" w:cs="Arial"/>
          <w:vertAlign w:val="superscript"/>
          <w:lang w:eastAsia="es-ES" w:bidi="es-ES"/>
        </w:rPr>
        <w:footnoteReference w:id="13"/>
      </w:r>
      <w:r w:rsidRPr="00667CD6">
        <w:rPr>
          <w:rFonts w:ascii="Verdana" w:eastAsia="Arial" w:hAnsi="Verdana" w:cs="Arial"/>
          <w:lang w:eastAsia="es-ES" w:bidi="es-ES"/>
        </w:rPr>
        <w:t xml:space="preserve">. Para tales efectos, el alto tribunal resaltó la interpretación restrictiva de las normas que contienen prohibiciones, como la del parágrafo del artículo 38 de la Ley 996 de 2005, por manera que se excluye la analogía </w:t>
      </w:r>
      <w:proofErr w:type="spellStart"/>
      <w:r w:rsidRPr="00667CD6">
        <w:rPr>
          <w:rFonts w:ascii="Verdana" w:eastAsia="Arial" w:hAnsi="Verdana" w:cs="Arial"/>
          <w:lang w:eastAsia="es-ES" w:bidi="es-ES"/>
        </w:rPr>
        <w:t>legis</w:t>
      </w:r>
      <w:proofErr w:type="spellEnd"/>
      <w:r w:rsidRPr="00667CD6">
        <w:rPr>
          <w:rFonts w:ascii="Verdana" w:eastAsia="Arial" w:hAnsi="Verdana" w:cs="Arial"/>
          <w:lang w:eastAsia="es-ES" w:bidi="es-ES"/>
        </w:rPr>
        <w:t xml:space="preserve"> o iuris y la interpretación </w:t>
      </w:r>
      <w:r w:rsidRPr="00667CD6">
        <w:rPr>
          <w:rFonts w:ascii="Verdana" w:eastAsia="Arial" w:hAnsi="Verdana" w:cs="Arial"/>
          <w:lang w:eastAsia="es-ES" w:bidi="es-ES"/>
        </w:rPr>
        <w:lastRenderedPageBreak/>
        <w:t xml:space="preserve">extensiva y reiteró los argumentos sobre la diferencia entre contratos y convenios interadministrativos. </w:t>
      </w:r>
    </w:p>
    <w:p w14:paraId="632866C8" w14:textId="77777777" w:rsidR="0021743D" w:rsidRDefault="0021743D" w:rsidP="0021743D">
      <w:pPr>
        <w:spacing w:after="120" w:line="276" w:lineRule="auto"/>
        <w:ind w:firstLine="709"/>
        <w:jc w:val="both"/>
        <w:rPr>
          <w:rFonts w:ascii="Verdana" w:eastAsia="Times New Roman" w:hAnsi="Verdana" w:cs="Times New Roman"/>
          <w:lang w:eastAsia="es-ES"/>
        </w:rPr>
      </w:pPr>
      <w:r w:rsidRPr="31E4E861">
        <w:rPr>
          <w:rFonts w:ascii="Verdana" w:eastAsia="Arial" w:hAnsi="Verdana" w:cs="Arial"/>
          <w:lang w:eastAsia="es-ES" w:bidi="es-ES"/>
        </w:rPr>
        <w:t xml:space="preserve">Finalmente, mediante sentencia del 17 de octubre de 2025, emitida por la Sala de lo Contencioso Administrativo del Consejo de Estado, dentro del expediente </w:t>
      </w:r>
      <w:r w:rsidRPr="31E4E861">
        <w:rPr>
          <w:rFonts w:ascii="Verdana" w:eastAsia="Times New Roman" w:hAnsi="Verdana" w:cs="Times New Roman"/>
          <w:lang w:eastAsia="es-ES"/>
        </w:rPr>
        <w:t xml:space="preserve">11001-03-26-000-2023-00139-00, se declaró la nulidad parcial del numeral 16.2 de la Circular Externa Única de 2022 expedida por la Agencia Nacional de Contratación Pública - Colombia Compra Eficiente que indicaba: “Esta restricción es aplicable tanto a los convenios como a los contratos interadministrativos…”. </w:t>
      </w:r>
    </w:p>
    <w:p w14:paraId="1FFBE046" w14:textId="77777777" w:rsidR="0021743D" w:rsidRDefault="0021743D" w:rsidP="0021743D">
      <w:pPr>
        <w:spacing w:after="120" w:line="276" w:lineRule="auto"/>
        <w:ind w:firstLine="709"/>
        <w:jc w:val="both"/>
        <w:rPr>
          <w:rFonts w:ascii="Verdana" w:eastAsia="Times New Roman" w:hAnsi="Verdana" w:cs="Times New Roman"/>
          <w:lang w:eastAsia="es-ES"/>
        </w:rPr>
      </w:pPr>
      <w:r w:rsidRPr="2035D652">
        <w:rPr>
          <w:rFonts w:ascii="Verdana" w:eastAsia="Times New Roman" w:hAnsi="Verdana" w:cs="Times New Roman"/>
          <w:lang w:eastAsia="es-ES"/>
        </w:rPr>
        <w:t>La anterior decisión se adoptó al considerar que la Agencia excedió su competencia material al incluir contratos en una restricción que la Ley de Garantías Electorales solo previó para convenios, cuando no es posible aplicar por analogía o extensión una norma que establece prohibiciones</w:t>
      </w:r>
      <w:r w:rsidRPr="2035D652">
        <w:rPr>
          <w:rStyle w:val="Refdenotaalpie"/>
          <w:rFonts w:ascii="Verdana" w:eastAsia="Times New Roman" w:hAnsi="Verdana" w:cs="Times New Roman"/>
          <w:lang w:eastAsia="es-ES"/>
        </w:rPr>
        <w:footnoteReference w:id="14"/>
      </w:r>
      <w:r w:rsidRPr="2035D652">
        <w:rPr>
          <w:rFonts w:ascii="Verdana" w:eastAsia="Times New Roman" w:hAnsi="Verdana" w:cs="Times New Roman"/>
          <w:lang w:eastAsia="es-ES"/>
        </w:rPr>
        <w:t xml:space="preserve">. Sobre el particular, la Sala concluyó que contratos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 </w:t>
      </w:r>
    </w:p>
    <w:p w14:paraId="1CD79A33" w14:textId="77777777" w:rsidR="0021743D" w:rsidRPr="00670659" w:rsidRDefault="0021743D" w:rsidP="0021743D">
      <w:pPr>
        <w:spacing w:after="120" w:line="276" w:lineRule="auto"/>
        <w:ind w:firstLine="709"/>
        <w:jc w:val="both"/>
        <w:rPr>
          <w:rFonts w:ascii="Verdana" w:eastAsia="Times New Roman" w:hAnsi="Verdana" w:cs="Times New Roman"/>
          <w:lang w:eastAsia="es-ES"/>
        </w:rPr>
      </w:pPr>
      <w:r w:rsidRPr="2035D652">
        <w:rPr>
          <w:rFonts w:ascii="Verdana" w:eastAsia="Times New Roman" w:hAnsi="Verdana" w:cs="Times New Roman"/>
          <w:lang w:eastAsia="es-ES"/>
        </w:rPr>
        <w:t xml:space="preserve">A juicio de la Sala, aunque el propósito de la Circular Externa era legítimo —evitar el uso indebido de recursos en época electoral—, el numeral 16.2. desconoció el alcance literal del artículo 38 de la Ley 996 de 2005 y los límites de la potestad reglamentaria, lo que configuró un vicio de contenido. </w:t>
      </w:r>
    </w:p>
    <w:p w14:paraId="164355EB" w14:textId="77777777" w:rsidR="0021743D" w:rsidRPr="009D05BA" w:rsidRDefault="0021743D" w:rsidP="0021743D">
      <w:pPr>
        <w:spacing w:after="120" w:line="276" w:lineRule="auto"/>
        <w:ind w:firstLine="709"/>
        <w:jc w:val="both"/>
        <w:rPr>
          <w:rFonts w:ascii="Verdana" w:eastAsia="Times New Roman" w:hAnsi="Verdana" w:cs="Arial"/>
          <w:lang w:eastAsia="es-CO"/>
        </w:rPr>
      </w:pPr>
      <w:r w:rsidRPr="00667CD6">
        <w:rPr>
          <w:rFonts w:ascii="Verdana" w:eastAsia="Times New Roman" w:hAnsi="Verdana" w:cs="Arial"/>
          <w:lang w:eastAsia="es-CO"/>
        </w:rPr>
        <w:t>Así las cosas, a la luz de lo expuesto por el Consejo de Estado</w:t>
      </w:r>
      <w:r>
        <w:rPr>
          <w:rFonts w:ascii="Verdana" w:eastAsia="Times New Roman" w:hAnsi="Verdana" w:cs="Arial"/>
          <w:lang w:eastAsia="es-CO"/>
        </w:rPr>
        <w:t xml:space="preserve">, </w:t>
      </w:r>
      <w:r w:rsidRPr="2035D652">
        <w:rPr>
          <w:rFonts w:ascii="Verdana" w:eastAsia="Times New Roman" w:hAnsi="Verdana" w:cs="Arial"/>
          <w:lang w:eastAsia="es-CO"/>
        </w:rPr>
        <w:t>en la sentencia expedida por la Sección Tercera de la Sala de lo Contencioso Administrativo del 17 de octubre de 2025</w:t>
      </w:r>
      <w:r>
        <w:rPr>
          <w:rFonts w:ascii="Verdana" w:eastAsia="Times New Roman" w:hAnsi="Verdana" w:cs="Arial"/>
          <w:lang w:eastAsia="es-CO"/>
        </w:rPr>
        <w:t>,</w:t>
      </w:r>
      <w:r w:rsidRPr="00667CD6">
        <w:rPr>
          <w:rFonts w:ascii="Verdana" w:eastAsia="Times New Roman" w:hAnsi="Verdana" w:cs="Arial"/>
          <w:lang w:eastAsia="es-CO"/>
        </w:rPr>
        <w:t xml:space="preserve"> en los autos del 4 de octubre de 2024 </w:t>
      </w:r>
      <w:r w:rsidRPr="00667CD6">
        <w:rPr>
          <w:rFonts w:ascii="Verdana" w:eastAsia="Times New Roman" w:hAnsi="Verdana" w:cs="Arial"/>
          <w:lang w:eastAsia="es-CO"/>
        </w:rPr>
        <w:lastRenderedPageBreak/>
        <w:t xml:space="preserve">y 6 de noviembre de 2025, no resultaría aplicable la prohibición del parágrafo del artículo 38 de la Ley de Garantías Electorales a los </w:t>
      </w:r>
      <w:r w:rsidRPr="00667CD6">
        <w:rPr>
          <w:rFonts w:ascii="Verdana" w:eastAsia="Times New Roman" w:hAnsi="Verdana" w:cs="Arial"/>
          <w:i/>
          <w:iCs/>
          <w:lang w:eastAsia="es-CO"/>
        </w:rPr>
        <w:t>contratos interadministrativos</w:t>
      </w:r>
      <w:r>
        <w:rPr>
          <w:rFonts w:ascii="Verdana" w:eastAsia="Times New Roman" w:hAnsi="Verdana" w:cs="Arial"/>
          <w:lang w:eastAsia="es-CO"/>
        </w:rPr>
        <w:t>, esta prohibición solo aplicaría a los convenios interadministrativos que impliquen la ejecución de recursos públicos</w:t>
      </w:r>
      <w:r>
        <w:rPr>
          <w:rStyle w:val="Refdenotaalpie"/>
          <w:rFonts w:ascii="Verdana" w:eastAsia="Times New Roman" w:hAnsi="Verdana" w:cs="Arial"/>
          <w:lang w:eastAsia="es-CO"/>
        </w:rPr>
        <w:footnoteReference w:id="15"/>
      </w:r>
      <w:r>
        <w:rPr>
          <w:rFonts w:ascii="Verdana" w:eastAsia="Times New Roman" w:hAnsi="Verdana" w:cs="Arial"/>
          <w:lang w:eastAsia="es-CO"/>
        </w:rPr>
        <w:t>.</w:t>
      </w:r>
    </w:p>
    <w:p w14:paraId="3043E579" w14:textId="77777777" w:rsidR="0021743D" w:rsidRPr="00461891" w:rsidRDefault="0021743D" w:rsidP="0021743D">
      <w:pPr>
        <w:spacing w:after="120" w:line="276" w:lineRule="auto"/>
        <w:ind w:firstLine="708"/>
        <w:jc w:val="both"/>
        <w:rPr>
          <w:rFonts w:ascii="Verdana" w:eastAsia="Calibri" w:hAnsi="Verdana" w:cs="Arial"/>
        </w:rPr>
      </w:pPr>
      <w:r w:rsidRPr="00461891">
        <w:rPr>
          <w:rFonts w:ascii="Verdana" w:eastAsia="Arial" w:hAnsi="Verdana" w:cs="Arial"/>
          <w:lang w:val="es-ES" w:eastAsia="es-ES" w:bidi="es-ES"/>
        </w:rPr>
        <w:t xml:space="preserve">Precisado lo anterior, en relación con el problema jurídico planteado se tiene que, tratándose de elecciones en general, excluyendo las correspondientes al </w:t>
      </w:r>
      <w:proofErr w:type="gramStart"/>
      <w:r w:rsidRPr="00461891">
        <w:rPr>
          <w:rFonts w:ascii="Verdana" w:eastAsia="Arial" w:hAnsi="Verdana" w:cs="Arial"/>
          <w:lang w:val="es-ES" w:eastAsia="es-ES" w:bidi="es-ES"/>
        </w:rPr>
        <w:t>Presidente</w:t>
      </w:r>
      <w:proofErr w:type="gramEnd"/>
      <w:r w:rsidRPr="00461891">
        <w:rPr>
          <w:rFonts w:ascii="Verdana" w:eastAsia="Arial" w:hAnsi="Verdana" w:cs="Arial"/>
          <w:lang w:val="es-ES" w:eastAsia="es-ES" w:bidi="es-ES"/>
        </w:rPr>
        <w:t xml:space="preserve"> de la República, las restricciones que resultan aplicables son las contenidas en el parágrafo del artículo 38. Es decir, cuando se convoca a elecciones para cargos de elección popular los </w:t>
      </w:r>
      <w:r w:rsidRPr="00461891">
        <w:rPr>
          <w:rFonts w:ascii="Verdana" w:eastAsia="Calibri" w:hAnsi="Verdana" w:cs="Arial"/>
        </w:rPr>
        <w:t xml:space="preserve">Gobernadores, </w:t>
      </w:r>
      <w:proofErr w:type="gramStart"/>
      <w:r w:rsidRPr="00461891">
        <w:rPr>
          <w:rFonts w:ascii="Verdana" w:eastAsia="Calibri" w:hAnsi="Verdana" w:cs="Arial"/>
        </w:rPr>
        <w:t>Alcaldes</w:t>
      </w:r>
      <w:proofErr w:type="gramEnd"/>
      <w:r w:rsidRPr="00461891">
        <w:rPr>
          <w:rFonts w:ascii="Verdana" w:eastAsia="Calibri" w:hAnsi="Verdana" w:cs="Arial"/>
        </w:rPr>
        <w:t xml:space="preserve"> Municipales y/o Distritales, </w:t>
      </w:r>
      <w:proofErr w:type="gramStart"/>
      <w:r w:rsidRPr="00461891">
        <w:rPr>
          <w:rFonts w:ascii="Verdana" w:eastAsia="Calibri" w:hAnsi="Verdana" w:cs="Arial"/>
        </w:rPr>
        <w:t>Secretarios</w:t>
      </w:r>
      <w:proofErr w:type="gramEnd"/>
      <w:r w:rsidRPr="00461891">
        <w:rPr>
          <w:rFonts w:ascii="Verdana" w:eastAsia="Calibri" w:hAnsi="Verdana" w:cs="Arial"/>
        </w:rPr>
        <w:t xml:space="preserve">, Gerentes y directores de Entidades Descentralizadas del orden Municipal, Departamental o Distrital, no podrán celebrar convenios interadministrativos para la ejecución de recursos públicos, dentro de los cuatro (4) meses anteriores a las elecciones. Esta prohibición aplica incluso cuando se trate de elecciones atípicas de alcaldes o gobernadores, esto es, elecciones que se realicen por fuera del calendario ordinario electoral. </w:t>
      </w:r>
    </w:p>
    <w:p w14:paraId="37C72946" w14:textId="77777777" w:rsidR="0021743D" w:rsidRPr="00461891" w:rsidRDefault="0021743D" w:rsidP="0021743D">
      <w:pPr>
        <w:spacing w:after="120" w:line="276" w:lineRule="auto"/>
        <w:ind w:firstLine="709"/>
        <w:jc w:val="both"/>
        <w:rPr>
          <w:rFonts w:ascii="Verdana" w:eastAsia="Calibri" w:hAnsi="Verdana" w:cs="Arial"/>
        </w:rPr>
      </w:pPr>
      <w:r w:rsidRPr="00461891">
        <w:rPr>
          <w:rFonts w:ascii="Verdana" w:eastAsia="Calibri" w:hAnsi="Verdana" w:cs="Arial"/>
        </w:rPr>
        <w:t>En efecto, al analizar el contenido del parágrafo del artículo 38 de la Ley 996 de 2005 se evidencia que la prohibición se refiere de forma general a las “elecciones” sin realizar distinción respecto de si esta jornada de votación se realizará dentro del calendario electoral ordinario o de forma atípica. Este último tipo de elecciones “son eventos electorales que se realizan por fuera del calendario electoral ordinario, con el fin de cubrir la vacancia absoluta de un mandatario y elegir una autoridad por el tiempo que resta del periodo constitucional del cargo, cuando esta vacancia se registra faltando 18 meses o más para la terminación de dicho periodo”</w:t>
      </w:r>
      <w:r w:rsidRPr="00461891">
        <w:rPr>
          <w:rFonts w:ascii="Verdana" w:eastAsia="Calibri" w:hAnsi="Verdana" w:cs="Arial"/>
          <w:vertAlign w:val="superscript"/>
        </w:rPr>
        <w:footnoteReference w:id="16"/>
      </w:r>
      <w:r w:rsidRPr="00461891">
        <w:rPr>
          <w:rFonts w:ascii="Verdana" w:eastAsia="Calibri" w:hAnsi="Verdana" w:cs="Arial"/>
        </w:rPr>
        <w:t>. Su convocatoria puede derivar de diferentes situaciones como la muerte del gobernador o el alcalde, la renuncia aceptada, incapacidad física permanente, la declaratoria de nulidad por su elección, la interdicción judicial, la destitución, la revocatoria del mandato y la incapacidad por enfermedad superior a ciento ochenta (180) días</w:t>
      </w:r>
      <w:r w:rsidRPr="00461891">
        <w:rPr>
          <w:rFonts w:ascii="Verdana" w:eastAsia="Calibri" w:hAnsi="Verdana" w:cs="Arial"/>
          <w:vertAlign w:val="superscript"/>
        </w:rPr>
        <w:footnoteReference w:id="17"/>
      </w:r>
      <w:r w:rsidRPr="00461891">
        <w:rPr>
          <w:rFonts w:ascii="Verdana" w:eastAsia="Calibri" w:hAnsi="Verdana" w:cs="Arial"/>
        </w:rPr>
        <w:t>.</w:t>
      </w:r>
    </w:p>
    <w:p w14:paraId="6E8745DB" w14:textId="77777777" w:rsidR="0021743D" w:rsidRPr="00461891" w:rsidRDefault="0021743D" w:rsidP="0021743D">
      <w:pPr>
        <w:spacing w:after="120" w:line="276" w:lineRule="auto"/>
        <w:ind w:firstLine="709"/>
        <w:jc w:val="both"/>
        <w:rPr>
          <w:rFonts w:ascii="Verdana" w:eastAsia="Calibri" w:hAnsi="Verdana" w:cs="Arial"/>
        </w:rPr>
      </w:pPr>
      <w:r w:rsidRPr="00461891">
        <w:rPr>
          <w:rFonts w:ascii="Verdana" w:eastAsia="Calibri" w:hAnsi="Verdana" w:cs="Arial"/>
        </w:rPr>
        <w:t xml:space="preserve">En tal sentido, aunque las elecciones atípicas se efectúan fuera de las fechas establecidas en la Ley, por circunstancias excepcionales que requieren </w:t>
      </w:r>
      <w:r w:rsidRPr="00461891">
        <w:rPr>
          <w:rFonts w:ascii="Verdana" w:eastAsia="Calibri" w:hAnsi="Verdana" w:cs="Arial"/>
        </w:rPr>
        <w:lastRenderedPageBreak/>
        <w:t xml:space="preserve">una convocatoria urgente, tienen el mismo propósito de las elecciones ordinarias de asegurar la provisión de un cargo de elección popular. Por tanto, la naturaleza y el fin de las elecciones atípicas son idénticos a los de las elecciones ordinarias, ya que ambas buscan asegurar el adecuado funcionamiento de las instituciones públicas y salvaguardar la democracia. </w:t>
      </w:r>
    </w:p>
    <w:p w14:paraId="568FE42F" w14:textId="77777777" w:rsidR="0021743D" w:rsidRPr="00461891" w:rsidRDefault="0021743D" w:rsidP="0021743D">
      <w:pPr>
        <w:spacing w:after="0" w:line="276" w:lineRule="auto"/>
        <w:ind w:firstLine="709"/>
        <w:jc w:val="both"/>
        <w:rPr>
          <w:rFonts w:ascii="Verdana" w:eastAsia="Calibri" w:hAnsi="Verdana" w:cs="Arial"/>
        </w:rPr>
      </w:pPr>
      <w:r w:rsidRPr="00461891">
        <w:rPr>
          <w:rFonts w:ascii="Verdana" w:eastAsia="Calibri" w:hAnsi="Verdana" w:cs="Arial"/>
        </w:rPr>
        <w:t xml:space="preserve">Aunado a lo anterior, como se expuso, el propósito de la Ley 996 de 2005 es asegurar condiciones de igualdad y transparencia para todos los aspirantes en el proceso electoral, de manera que los participantes tengan las mismas oportunidades y no enfrenten ventajas indebidas durante la contienda electoral. Al mismo tiempo, la Ley establece restricciones que previenen la desviación de recursos públicos con fines electorales, prohibiendo que los fondos y bienes del Estado sean utilizados para beneficiar a ciertos aspirantes. De este modo, en la Ley de Garantías se plantea como objetivos: </w:t>
      </w:r>
    </w:p>
    <w:p w14:paraId="6931C234" w14:textId="77777777" w:rsidR="0021743D" w:rsidRPr="00461891" w:rsidRDefault="0021743D" w:rsidP="0021743D">
      <w:pPr>
        <w:spacing w:after="0" w:line="276" w:lineRule="auto"/>
        <w:ind w:firstLine="709"/>
        <w:jc w:val="both"/>
        <w:rPr>
          <w:rFonts w:ascii="Verdana" w:eastAsia="Calibri" w:hAnsi="Verdana" w:cs="Arial"/>
        </w:rPr>
      </w:pPr>
    </w:p>
    <w:p w14:paraId="34F42AA5" w14:textId="77777777" w:rsidR="0021743D" w:rsidRPr="00461891" w:rsidRDefault="0021743D" w:rsidP="0021743D">
      <w:pPr>
        <w:spacing w:after="0" w:line="240" w:lineRule="auto"/>
        <w:ind w:left="709" w:right="709"/>
        <w:jc w:val="both"/>
        <w:rPr>
          <w:rFonts w:ascii="Verdana" w:eastAsia="Calibri" w:hAnsi="Verdana" w:cs="Arial"/>
          <w:sz w:val="20"/>
          <w:szCs w:val="20"/>
        </w:rPr>
      </w:pPr>
      <w:r w:rsidRPr="00461891">
        <w:rPr>
          <w:rFonts w:ascii="Verdana" w:eastAsia="Calibri" w:hAnsi="Verdana" w:cs="Arial"/>
          <w:sz w:val="20"/>
          <w:szCs w:val="20"/>
        </w:rPr>
        <w:t>“a) garantizar la igualdad y equidad entre los candidatos que aspiran a ocupar cargos de elección popular, b) evitar que la voluntad de los electores sea influenciada por la acción u omisión de los servidores públicos, c) asegurar la objetividad y transparencia en las decisiones administrativas, d) impedir que el empleo público se utilice para obtener votos de los servidores o sus allegados, e) proteger al empleado que tiene una inclinación política distinta al nominador, y f) imposibilitar que las vinculaciones al Estado se utilicen como un mecanismo para buscar favores políticos durante las contiendas electorales”</w:t>
      </w:r>
      <w:r w:rsidRPr="00461891">
        <w:rPr>
          <w:rFonts w:ascii="Verdana" w:eastAsia="Calibri" w:hAnsi="Verdana" w:cs="Arial"/>
          <w:sz w:val="20"/>
          <w:szCs w:val="20"/>
          <w:vertAlign w:val="superscript"/>
        </w:rPr>
        <w:footnoteReference w:id="18"/>
      </w:r>
      <w:r w:rsidRPr="00461891">
        <w:rPr>
          <w:rFonts w:ascii="Verdana" w:eastAsia="Calibri" w:hAnsi="Verdana" w:cs="Arial"/>
          <w:sz w:val="20"/>
          <w:szCs w:val="20"/>
        </w:rPr>
        <w:t>. </w:t>
      </w:r>
    </w:p>
    <w:p w14:paraId="1614C90C" w14:textId="77777777" w:rsidR="0021743D" w:rsidRPr="00461891" w:rsidRDefault="0021743D" w:rsidP="0021743D">
      <w:pPr>
        <w:widowControl w:val="0"/>
        <w:autoSpaceDE w:val="0"/>
        <w:autoSpaceDN w:val="0"/>
        <w:spacing w:after="0" w:line="276" w:lineRule="auto"/>
        <w:ind w:firstLine="709"/>
        <w:contextualSpacing/>
        <w:jc w:val="both"/>
        <w:rPr>
          <w:rFonts w:ascii="Verdana" w:eastAsia="Calibri" w:hAnsi="Verdana" w:cs="Arial"/>
          <w:lang w:eastAsia="es-ES" w:bidi="es-ES"/>
        </w:rPr>
      </w:pPr>
    </w:p>
    <w:p w14:paraId="36718150" w14:textId="77777777" w:rsidR="0021743D" w:rsidRPr="00461891" w:rsidRDefault="0021743D" w:rsidP="0021743D">
      <w:pPr>
        <w:widowControl w:val="0"/>
        <w:autoSpaceDE w:val="0"/>
        <w:autoSpaceDN w:val="0"/>
        <w:spacing w:after="0" w:line="276" w:lineRule="auto"/>
        <w:ind w:firstLine="709"/>
        <w:contextualSpacing/>
        <w:jc w:val="both"/>
        <w:rPr>
          <w:rFonts w:ascii="Verdana" w:eastAsia="Calibri" w:hAnsi="Verdana" w:cs="Arial"/>
          <w:lang w:eastAsia="es-ES" w:bidi="es-ES"/>
        </w:rPr>
      </w:pPr>
      <w:r w:rsidRPr="00461891">
        <w:rPr>
          <w:rFonts w:ascii="Verdana" w:eastAsia="Calibri" w:hAnsi="Verdana" w:cs="Arial"/>
          <w:lang w:eastAsia="es-ES" w:bidi="es-ES"/>
        </w:rPr>
        <w:t>Así las cosas, las restricciones establecidas en la Ley de Garantías Electorales buscan cumplir el propósito de proteger la democracia participativa y la igualdad entre candidatos, independientemente de la naturaleza de la elección. Por ello, la Ley de Garantías debe ser aplicada sin distinción asegurando que, tanto en elecciones ordinarias como las atípicas, se mantenga la integridad del proceso electoral. Sobre el particular, el Consejo Nacional Electoral en concepto 9519 del 14 de octubre de 2020</w:t>
      </w:r>
      <w:r w:rsidRPr="00461891">
        <w:rPr>
          <w:rFonts w:ascii="Verdana" w:eastAsia="Calibri" w:hAnsi="Verdana" w:cs="Arial"/>
          <w:vertAlign w:val="superscript"/>
          <w:lang w:eastAsia="es-ES" w:bidi="es-ES"/>
        </w:rPr>
        <w:footnoteReference w:id="19"/>
      </w:r>
      <w:r w:rsidRPr="00461891">
        <w:rPr>
          <w:rFonts w:ascii="Verdana" w:eastAsia="Calibri" w:hAnsi="Verdana" w:cs="Arial"/>
          <w:lang w:eastAsia="es-ES" w:bidi="es-ES"/>
        </w:rPr>
        <w:t xml:space="preserve">, frente a la aplicación de la ley de garantías en elecciones atípicas señaló lo siguiente: </w:t>
      </w:r>
    </w:p>
    <w:p w14:paraId="3B7ABD7E" w14:textId="77777777" w:rsidR="0021743D" w:rsidRPr="00461891" w:rsidRDefault="0021743D" w:rsidP="0021743D">
      <w:pPr>
        <w:widowControl w:val="0"/>
        <w:autoSpaceDE w:val="0"/>
        <w:autoSpaceDN w:val="0"/>
        <w:spacing w:after="0" w:line="276" w:lineRule="auto"/>
        <w:ind w:firstLine="709"/>
        <w:contextualSpacing/>
        <w:jc w:val="both"/>
        <w:rPr>
          <w:rFonts w:ascii="Verdana" w:eastAsia="Calibri" w:hAnsi="Verdana" w:cs="Arial"/>
          <w:lang w:eastAsia="es-ES" w:bidi="es-ES"/>
        </w:rPr>
      </w:pPr>
    </w:p>
    <w:p w14:paraId="6EC46609" w14:textId="77777777" w:rsidR="0021743D" w:rsidRPr="00461891" w:rsidRDefault="0021743D" w:rsidP="0021743D">
      <w:pPr>
        <w:widowControl w:val="0"/>
        <w:autoSpaceDE w:val="0"/>
        <w:autoSpaceDN w:val="0"/>
        <w:spacing w:after="0" w:line="240" w:lineRule="auto"/>
        <w:ind w:left="709" w:right="709"/>
        <w:contextualSpacing/>
        <w:jc w:val="both"/>
        <w:rPr>
          <w:rFonts w:ascii="Verdana" w:eastAsia="Calibri" w:hAnsi="Verdana" w:cs="Arial"/>
          <w:sz w:val="20"/>
          <w:szCs w:val="20"/>
          <w:lang w:eastAsia="es-ES" w:bidi="es-ES"/>
        </w:rPr>
      </w:pPr>
      <w:r w:rsidRPr="00461891">
        <w:rPr>
          <w:rFonts w:ascii="Verdana" w:eastAsia="Calibri" w:hAnsi="Verdana" w:cs="Arial"/>
          <w:sz w:val="20"/>
          <w:szCs w:val="20"/>
          <w:lang w:eastAsia="es-ES" w:bidi="es-ES"/>
        </w:rPr>
        <w:t xml:space="preserve">“En esta elección atípica como evento electoral extraordinario que se realiza por fuera del calendario electoral ordinario, con el fin de cubrir la </w:t>
      </w:r>
      <w:r w:rsidRPr="00461891">
        <w:rPr>
          <w:rFonts w:ascii="Verdana" w:eastAsia="Calibri" w:hAnsi="Verdana" w:cs="Arial"/>
          <w:sz w:val="20"/>
          <w:szCs w:val="20"/>
          <w:lang w:eastAsia="es-ES" w:bidi="es-ES"/>
        </w:rPr>
        <w:lastRenderedPageBreak/>
        <w:t xml:space="preserve">vacancia absoluta de un mandatario y elegir una autoridad por el tiempo que resta del periodo constitucional del cargo, siempre y cuando esta vacancia se registre faltando 18 meses o más para la terminación de dicho periodo, como es el caso concreto </w:t>
      </w:r>
      <w:r w:rsidRPr="00461891">
        <w:rPr>
          <w:rFonts w:ascii="Verdana" w:eastAsia="Calibri" w:hAnsi="Verdana" w:cs="Arial"/>
          <w:i/>
          <w:iCs/>
          <w:sz w:val="20"/>
          <w:szCs w:val="20"/>
          <w:lang w:eastAsia="es-ES" w:bidi="es-ES"/>
        </w:rPr>
        <w:t>solo le es aplicable de la Ley 996 de 2005 el parágrafo del artículo 38</w:t>
      </w:r>
      <w:r w:rsidRPr="00461891">
        <w:rPr>
          <w:rFonts w:ascii="Verdana" w:eastAsia="Calibri" w:hAnsi="Verdana" w:cs="Arial"/>
          <w:sz w:val="20"/>
          <w:szCs w:val="20"/>
          <w:lang w:eastAsia="es-ES" w:bidi="es-ES"/>
        </w:rPr>
        <w:t xml:space="preserve"> y enunciado en el numeral 3.1.2 de los fundamentos jurídicos.</w:t>
      </w:r>
    </w:p>
    <w:p w14:paraId="7F8B4A3F" w14:textId="77777777" w:rsidR="0021743D" w:rsidRPr="00461891" w:rsidRDefault="0021743D" w:rsidP="0021743D">
      <w:pPr>
        <w:widowControl w:val="0"/>
        <w:autoSpaceDE w:val="0"/>
        <w:autoSpaceDN w:val="0"/>
        <w:spacing w:after="0" w:line="240" w:lineRule="auto"/>
        <w:ind w:left="709" w:right="709" w:firstLine="709"/>
        <w:contextualSpacing/>
        <w:jc w:val="both"/>
        <w:rPr>
          <w:rFonts w:ascii="Verdana" w:eastAsia="Calibri" w:hAnsi="Verdana" w:cs="Arial"/>
          <w:sz w:val="20"/>
          <w:szCs w:val="20"/>
          <w:lang w:eastAsia="es-ES" w:bidi="es-ES"/>
        </w:rPr>
      </w:pPr>
    </w:p>
    <w:p w14:paraId="1DAC5125" w14:textId="77777777" w:rsidR="0021743D" w:rsidRPr="00461891" w:rsidRDefault="0021743D" w:rsidP="0021743D">
      <w:pPr>
        <w:widowControl w:val="0"/>
        <w:autoSpaceDE w:val="0"/>
        <w:autoSpaceDN w:val="0"/>
        <w:spacing w:after="0" w:line="240" w:lineRule="auto"/>
        <w:ind w:left="709" w:right="709"/>
        <w:contextualSpacing/>
        <w:jc w:val="both"/>
        <w:rPr>
          <w:rFonts w:ascii="Verdana" w:hAnsi="Verdana"/>
          <w:sz w:val="20"/>
          <w:szCs w:val="20"/>
        </w:rPr>
      </w:pPr>
      <w:r w:rsidRPr="00461891">
        <w:rPr>
          <w:rFonts w:ascii="Verdana" w:hAnsi="Verdana"/>
          <w:sz w:val="20"/>
          <w:szCs w:val="20"/>
        </w:rPr>
        <w:t xml:space="preserve">Por lo expuesto, en los procesos </w:t>
      </w:r>
      <w:proofErr w:type="spellStart"/>
      <w:r w:rsidRPr="00461891">
        <w:rPr>
          <w:rFonts w:ascii="Verdana" w:hAnsi="Verdana"/>
          <w:sz w:val="20"/>
          <w:szCs w:val="20"/>
        </w:rPr>
        <w:t>pre-electorales</w:t>
      </w:r>
      <w:proofErr w:type="spellEnd"/>
      <w:r w:rsidRPr="00461891">
        <w:rPr>
          <w:rFonts w:ascii="Verdana" w:hAnsi="Verdana"/>
          <w:sz w:val="20"/>
          <w:szCs w:val="20"/>
        </w:rPr>
        <w:t xml:space="preserve"> de estas elecciones atípicos para Alcaldía Municipal, deben seguirse las siguientes reglas: </w:t>
      </w:r>
    </w:p>
    <w:p w14:paraId="76B1AE76" w14:textId="77777777" w:rsidR="0021743D" w:rsidRPr="00461891" w:rsidRDefault="0021743D" w:rsidP="0021743D">
      <w:pPr>
        <w:widowControl w:val="0"/>
        <w:autoSpaceDE w:val="0"/>
        <w:autoSpaceDN w:val="0"/>
        <w:spacing w:after="0" w:line="240" w:lineRule="auto"/>
        <w:ind w:left="709" w:right="709"/>
        <w:contextualSpacing/>
        <w:jc w:val="both"/>
        <w:rPr>
          <w:rFonts w:ascii="Verdana" w:hAnsi="Verdana"/>
          <w:sz w:val="20"/>
          <w:szCs w:val="20"/>
        </w:rPr>
      </w:pPr>
    </w:p>
    <w:p w14:paraId="197EE3A6" w14:textId="77777777" w:rsidR="0021743D" w:rsidRPr="00461891" w:rsidRDefault="0021743D" w:rsidP="0021743D">
      <w:pPr>
        <w:widowControl w:val="0"/>
        <w:autoSpaceDE w:val="0"/>
        <w:autoSpaceDN w:val="0"/>
        <w:spacing w:after="0" w:line="240" w:lineRule="auto"/>
        <w:ind w:left="709" w:right="709"/>
        <w:contextualSpacing/>
        <w:jc w:val="both"/>
        <w:rPr>
          <w:rFonts w:ascii="Verdana" w:hAnsi="Verdana"/>
          <w:sz w:val="20"/>
          <w:szCs w:val="20"/>
        </w:rPr>
      </w:pPr>
      <w:r w:rsidRPr="00461891">
        <w:rPr>
          <w:rFonts w:ascii="Verdana" w:hAnsi="Verdana"/>
          <w:sz w:val="20"/>
          <w:szCs w:val="20"/>
        </w:rPr>
        <w:t xml:space="preserve">a) Los gobernadores, alcaldes municipales o distritales, secretarios, gerentes y directores de las entidades descentralizadas del orden municipal, departamental o distrital no pueden celebrar convenios interadministrativos para la ejecución de recursos públicos, ni participar, promover o destinar recursos públicos de las entidades a su cargo, como tampoco de las que participen como miembros de sus juntas directivas, en o para reuniones de carácter proselitista dentro de los cuatro (4) meses anteriores a las elecciones. </w:t>
      </w:r>
    </w:p>
    <w:p w14:paraId="33F017AB" w14:textId="77777777" w:rsidR="0021743D" w:rsidRPr="00461891" w:rsidRDefault="0021743D" w:rsidP="0021743D">
      <w:pPr>
        <w:widowControl w:val="0"/>
        <w:autoSpaceDE w:val="0"/>
        <w:autoSpaceDN w:val="0"/>
        <w:spacing w:after="0" w:line="240" w:lineRule="auto"/>
        <w:ind w:left="709" w:right="709"/>
        <w:contextualSpacing/>
        <w:jc w:val="both"/>
        <w:rPr>
          <w:rFonts w:ascii="Verdana" w:hAnsi="Verdana"/>
          <w:sz w:val="20"/>
          <w:szCs w:val="20"/>
        </w:rPr>
      </w:pPr>
    </w:p>
    <w:p w14:paraId="1CC8D616" w14:textId="77777777" w:rsidR="0021743D" w:rsidRPr="00461891" w:rsidRDefault="0021743D" w:rsidP="0021743D">
      <w:pPr>
        <w:widowControl w:val="0"/>
        <w:autoSpaceDE w:val="0"/>
        <w:autoSpaceDN w:val="0"/>
        <w:spacing w:after="0" w:line="240" w:lineRule="auto"/>
        <w:ind w:left="709" w:right="709"/>
        <w:contextualSpacing/>
        <w:jc w:val="both"/>
        <w:rPr>
          <w:rFonts w:ascii="Verdana" w:hAnsi="Verdana"/>
          <w:sz w:val="20"/>
          <w:szCs w:val="20"/>
        </w:rPr>
      </w:pPr>
      <w:r w:rsidRPr="00461891">
        <w:rPr>
          <w:rFonts w:ascii="Verdana" w:hAnsi="Verdana"/>
          <w:sz w:val="20"/>
          <w:szCs w:val="20"/>
        </w:rPr>
        <w:t>(….)</w:t>
      </w:r>
    </w:p>
    <w:p w14:paraId="5FC9D119" w14:textId="77777777" w:rsidR="0021743D" w:rsidRPr="00461891" w:rsidRDefault="0021743D" w:rsidP="0021743D">
      <w:pPr>
        <w:widowControl w:val="0"/>
        <w:autoSpaceDE w:val="0"/>
        <w:autoSpaceDN w:val="0"/>
        <w:spacing w:after="0" w:line="240" w:lineRule="auto"/>
        <w:ind w:left="709" w:right="709"/>
        <w:contextualSpacing/>
        <w:jc w:val="both"/>
        <w:rPr>
          <w:rFonts w:ascii="Verdana" w:hAnsi="Verdana"/>
          <w:sz w:val="20"/>
          <w:szCs w:val="20"/>
        </w:rPr>
      </w:pPr>
    </w:p>
    <w:p w14:paraId="5C679461" w14:textId="77777777" w:rsidR="0021743D" w:rsidRPr="00461891" w:rsidRDefault="0021743D" w:rsidP="0021743D">
      <w:pPr>
        <w:widowControl w:val="0"/>
        <w:autoSpaceDE w:val="0"/>
        <w:autoSpaceDN w:val="0"/>
        <w:spacing w:after="0" w:line="240" w:lineRule="auto"/>
        <w:ind w:left="709" w:right="709"/>
        <w:contextualSpacing/>
        <w:jc w:val="both"/>
        <w:rPr>
          <w:rFonts w:ascii="Verdana" w:eastAsia="Calibri" w:hAnsi="Verdana" w:cs="Arial"/>
          <w:sz w:val="20"/>
          <w:szCs w:val="20"/>
          <w:lang w:eastAsia="es-ES" w:bidi="es-ES"/>
        </w:rPr>
      </w:pPr>
      <w:r w:rsidRPr="00461891">
        <w:rPr>
          <w:rFonts w:ascii="Verdana" w:hAnsi="Verdana"/>
          <w:sz w:val="20"/>
          <w:szCs w:val="20"/>
        </w:rPr>
        <w:t>Ahora bien, como se referenció previamente, las normas vigentes establecen que entre el Decreto que convoca a elecciones complementarias, y la votación para las mismas transcurren aproximadamente 60 días o lo que es lo mismo, dos (2) meses. En consecuencia, si la norma establece un plazo aproximado de 60 días para que se celebren las votaciones complementarias, no es posible aplicar al efecto la prohibición de modificar nómina y de celebrar convenios interadministrativos, dentro de los cuatro (4) meses anteriores a las elecciones, contemplados en el parágrafo del artículo 38 de la Ley 996 de 2005”. (Énfasis por fuera de texto)</w:t>
      </w:r>
    </w:p>
    <w:p w14:paraId="0CB44773" w14:textId="77777777" w:rsidR="0021743D" w:rsidRPr="00461891" w:rsidRDefault="0021743D" w:rsidP="0021743D">
      <w:pPr>
        <w:widowControl w:val="0"/>
        <w:autoSpaceDE w:val="0"/>
        <w:autoSpaceDN w:val="0"/>
        <w:spacing w:after="0" w:line="276" w:lineRule="auto"/>
        <w:ind w:firstLine="709"/>
        <w:contextualSpacing/>
        <w:jc w:val="both"/>
        <w:rPr>
          <w:rFonts w:ascii="Verdana" w:eastAsia="Calibri" w:hAnsi="Verdana" w:cs="Arial"/>
          <w:lang w:eastAsia="es-ES" w:bidi="es-ES"/>
        </w:rPr>
      </w:pPr>
    </w:p>
    <w:p w14:paraId="7B25C411" w14:textId="77777777" w:rsidR="0021743D" w:rsidRPr="00461891" w:rsidRDefault="0021743D" w:rsidP="0021743D">
      <w:pPr>
        <w:widowControl w:val="0"/>
        <w:autoSpaceDE w:val="0"/>
        <w:autoSpaceDN w:val="0"/>
        <w:spacing w:after="120" w:line="276" w:lineRule="auto"/>
        <w:ind w:firstLine="709"/>
        <w:jc w:val="both"/>
        <w:rPr>
          <w:rFonts w:ascii="Verdana" w:eastAsia="Calibri" w:hAnsi="Verdana" w:cs="Arial"/>
          <w:lang w:eastAsia="es-ES" w:bidi="es-ES"/>
        </w:rPr>
      </w:pPr>
      <w:r w:rsidRPr="00461891">
        <w:rPr>
          <w:rFonts w:ascii="Verdana" w:eastAsia="Calibri" w:hAnsi="Verdana" w:cs="Arial"/>
          <w:lang w:eastAsia="es-ES" w:bidi="es-ES"/>
        </w:rPr>
        <w:t xml:space="preserve">Bajo estas consideraciones, se concluye que para las elecciones atípicas de alcaldía resulta aplicable las restricciones señaladas en el parágrafo del artículo 38 de la Ley 996 de 2005, lo que significa que, en materia de contratación estatal, los Alcaldes, los Gobernadores, Alcaldes Municipales y/o Distritales, Secretarios, Gerentes y directores de Entidades Descentralizadas del orden Municipal, Departamental o Distrital, no podrán celebrar convenios interadministrativos para la ejecución de recursos públicos, dentro del periodo en que se convocó a las elecciones atípicas y su votación. </w:t>
      </w:r>
    </w:p>
    <w:p w14:paraId="72DFB057" w14:textId="77777777" w:rsidR="0021743D" w:rsidRPr="00461891" w:rsidRDefault="0021743D" w:rsidP="0021743D">
      <w:pPr>
        <w:widowControl w:val="0"/>
        <w:autoSpaceDE w:val="0"/>
        <w:autoSpaceDN w:val="0"/>
        <w:spacing w:after="0" w:line="276" w:lineRule="auto"/>
        <w:ind w:firstLine="709"/>
        <w:contextualSpacing/>
        <w:jc w:val="both"/>
        <w:rPr>
          <w:rFonts w:ascii="Verdana" w:eastAsia="Calibri" w:hAnsi="Verdana" w:cs="Arial"/>
          <w:lang w:eastAsia="es-ES" w:bidi="es-ES"/>
        </w:rPr>
      </w:pPr>
      <w:r w:rsidRPr="00461891">
        <w:rPr>
          <w:rFonts w:ascii="Verdana" w:eastAsia="Calibri" w:hAnsi="Verdana" w:cs="Arial"/>
          <w:lang w:eastAsia="es-ES" w:bidi="es-ES"/>
        </w:rPr>
        <w:t xml:space="preserve">Naturalmente, en este caso, las restricciones del parágrafo del artículo 38, como lo expone el Consejo Nacional Electoral, no podrán aplicarse dentro del </w:t>
      </w:r>
      <w:r w:rsidRPr="00461891">
        <w:rPr>
          <w:rFonts w:ascii="Verdana" w:eastAsia="Calibri" w:hAnsi="Verdana" w:cs="Arial"/>
          <w:lang w:eastAsia="es-ES" w:bidi="es-ES"/>
        </w:rPr>
        <w:lastRenderedPageBreak/>
        <w:t xml:space="preserve">plazo señalado en la norma, por ello, tendrán lugar respecto del plazo que transcurre entre el momento en que se convoca a elecciones y el día en que se realizan efectivamente conforme con la normatividad vigente. </w:t>
      </w:r>
    </w:p>
    <w:p w14:paraId="0A7CF6AA" w14:textId="77777777" w:rsidR="0021743D" w:rsidRPr="00FD34E6" w:rsidRDefault="0021743D" w:rsidP="0021743D">
      <w:pPr>
        <w:spacing w:after="0" w:line="276" w:lineRule="auto"/>
        <w:ind w:firstLine="709"/>
        <w:jc w:val="both"/>
        <w:rPr>
          <w:rFonts w:ascii="Verdana" w:eastAsia="Calibri" w:hAnsi="Verdana" w:cs="Times New Roman"/>
          <w:lang w:val="es-ES"/>
        </w:rPr>
      </w:pPr>
    </w:p>
    <w:p w14:paraId="770F9160" w14:textId="77777777" w:rsidR="0021743D" w:rsidRPr="0060676F" w:rsidRDefault="0021743D" w:rsidP="0021743D">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60676F">
        <w:rPr>
          <w:rFonts w:ascii="Verdana" w:eastAsia="Century Gothic" w:hAnsi="Verdana" w:cs="Century Gothic"/>
          <w:b/>
          <w:bCs/>
        </w:rPr>
        <w:t>Referencias normativas, jurisprudenciales y otras fuentes:</w:t>
      </w:r>
    </w:p>
    <w:p w14:paraId="2B4903DE" w14:textId="77777777" w:rsidR="0021743D" w:rsidRPr="00593A5F" w:rsidRDefault="0021743D" w:rsidP="0021743D">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21743D" w:rsidRPr="00593A5F" w14:paraId="67A7EF3E" w14:textId="77777777" w:rsidTr="000F44AA">
        <w:trPr>
          <w:trHeight w:val="870"/>
        </w:trPr>
        <w:tc>
          <w:tcPr>
            <w:tcW w:w="8647" w:type="dxa"/>
          </w:tcPr>
          <w:p w14:paraId="2B261605" w14:textId="77777777" w:rsidR="0021743D" w:rsidRPr="006675C3" w:rsidRDefault="0021743D" w:rsidP="000F44AA">
            <w:pPr>
              <w:widowControl w:val="0"/>
              <w:numPr>
                <w:ilvl w:val="0"/>
                <w:numId w:val="17"/>
              </w:numPr>
              <w:autoSpaceDE w:val="0"/>
              <w:autoSpaceDN w:val="0"/>
              <w:spacing w:line="276" w:lineRule="auto"/>
              <w:jc w:val="both"/>
              <w:rPr>
                <w:rFonts w:ascii="Verdana" w:eastAsia="Arial MT" w:hAnsi="Verdana" w:cs="Arial"/>
                <w:lang w:val="es-ES" w:eastAsia="es-ES" w:bidi="es-ES"/>
              </w:rPr>
            </w:pPr>
            <w:r w:rsidRPr="006675C3">
              <w:rPr>
                <w:rFonts w:ascii="Verdana" w:eastAsia="Arial MT" w:hAnsi="Verdana" w:cs="Arial"/>
                <w:lang w:val="es-ES" w:eastAsia="es-ES" w:bidi="es-ES"/>
              </w:rPr>
              <w:t>Constitución Política, artículo 127.</w:t>
            </w:r>
          </w:p>
          <w:p w14:paraId="6F278465" w14:textId="77777777" w:rsidR="0021743D" w:rsidRPr="006675C3" w:rsidRDefault="0021743D" w:rsidP="000F44AA">
            <w:pPr>
              <w:widowControl w:val="0"/>
              <w:numPr>
                <w:ilvl w:val="0"/>
                <w:numId w:val="17"/>
              </w:numPr>
              <w:autoSpaceDE w:val="0"/>
              <w:autoSpaceDN w:val="0"/>
              <w:spacing w:line="276" w:lineRule="auto"/>
              <w:jc w:val="both"/>
              <w:rPr>
                <w:rFonts w:ascii="Verdana" w:eastAsia="Arial MT" w:hAnsi="Verdana" w:cs="Arial"/>
                <w:lang w:val="es-ES" w:eastAsia="es-ES" w:bidi="es-ES"/>
              </w:rPr>
            </w:pPr>
            <w:r w:rsidRPr="006675C3">
              <w:rPr>
                <w:rFonts w:ascii="Verdana" w:eastAsia="Arial MT" w:hAnsi="Verdana" w:cs="Arial"/>
                <w:bCs/>
                <w:lang w:val="es-ES" w:eastAsia="es-ES" w:bidi="es-ES"/>
              </w:rPr>
              <w:t>Ley 996 de 2005, artículos 33 y 38.</w:t>
            </w:r>
          </w:p>
          <w:p w14:paraId="5A0F1AF0" w14:textId="77777777" w:rsidR="0021743D" w:rsidRPr="006675C3" w:rsidRDefault="0021743D" w:rsidP="000F44AA">
            <w:pPr>
              <w:widowControl w:val="0"/>
              <w:numPr>
                <w:ilvl w:val="0"/>
                <w:numId w:val="17"/>
              </w:numPr>
              <w:autoSpaceDE w:val="0"/>
              <w:autoSpaceDN w:val="0"/>
              <w:spacing w:line="276" w:lineRule="auto"/>
              <w:jc w:val="both"/>
              <w:rPr>
                <w:rFonts w:ascii="Verdana" w:eastAsia="Arial MT" w:hAnsi="Verdana" w:cs="Arial"/>
                <w:lang w:val="es-ES" w:eastAsia="es-ES" w:bidi="es-ES"/>
              </w:rPr>
            </w:pPr>
            <w:r w:rsidRPr="006675C3">
              <w:rPr>
                <w:rFonts w:ascii="Verdana" w:hAnsi="Verdana" w:cs="Arial"/>
                <w:bCs/>
                <w:color w:val="000000" w:themeColor="text1"/>
                <w:lang w:val="es-ES"/>
              </w:rPr>
              <w:t>Decreto 1068 de 2015, artículo 2.2.1.1.1.</w:t>
            </w:r>
          </w:p>
          <w:p w14:paraId="108959F5" w14:textId="77777777" w:rsidR="0021743D" w:rsidRPr="006675C3" w:rsidRDefault="0021743D" w:rsidP="000F44AA">
            <w:pPr>
              <w:widowControl w:val="0"/>
              <w:numPr>
                <w:ilvl w:val="0"/>
                <w:numId w:val="17"/>
              </w:numPr>
              <w:autoSpaceDE w:val="0"/>
              <w:autoSpaceDN w:val="0"/>
              <w:spacing w:line="276" w:lineRule="auto"/>
              <w:jc w:val="both"/>
              <w:rPr>
                <w:rFonts w:ascii="Verdana" w:hAnsi="Verdana" w:cs="Arial"/>
                <w:lang w:val="es-ES"/>
              </w:rPr>
            </w:pPr>
            <w:r w:rsidRPr="006675C3">
              <w:rPr>
                <w:rFonts w:ascii="Verdana" w:hAnsi="Verdana" w:cs="Arial"/>
                <w:lang w:val="pt-BR"/>
              </w:rPr>
              <w:t>Corte Constitucional. Sentencia C-671 de 2015. M.P. Alberto Rojas Ríos.</w:t>
            </w:r>
          </w:p>
          <w:p w14:paraId="004CCDA5" w14:textId="77777777" w:rsidR="0021743D" w:rsidRPr="006675C3" w:rsidRDefault="0021743D" w:rsidP="000F44AA">
            <w:pPr>
              <w:widowControl w:val="0"/>
              <w:numPr>
                <w:ilvl w:val="0"/>
                <w:numId w:val="17"/>
              </w:numPr>
              <w:autoSpaceDE w:val="0"/>
              <w:autoSpaceDN w:val="0"/>
              <w:spacing w:line="276" w:lineRule="auto"/>
              <w:jc w:val="both"/>
              <w:rPr>
                <w:rFonts w:ascii="Verdana" w:hAnsi="Verdana" w:cs="Arial"/>
                <w:lang w:val="es-ES"/>
              </w:rPr>
            </w:pPr>
            <w:r w:rsidRPr="006675C3">
              <w:rPr>
                <w:rFonts w:ascii="Verdana" w:hAnsi="Verdana" w:cs="Arial"/>
                <w:lang w:val="es-ES"/>
              </w:rPr>
              <w:t xml:space="preserve">Consejo de Estado, Sección Primera. Sentencia de 3 de marzo de 2005, </w:t>
            </w:r>
            <w:proofErr w:type="spellStart"/>
            <w:r w:rsidRPr="006675C3">
              <w:rPr>
                <w:rFonts w:ascii="Verdana" w:hAnsi="Verdana" w:cs="Arial"/>
                <w:lang w:val="es-ES"/>
              </w:rPr>
              <w:t>Exp</w:t>
            </w:r>
            <w:proofErr w:type="spellEnd"/>
            <w:r w:rsidRPr="006675C3">
              <w:rPr>
                <w:rFonts w:ascii="Verdana" w:hAnsi="Verdana" w:cs="Arial"/>
                <w:lang w:val="es-ES"/>
              </w:rPr>
              <w:t xml:space="preserve">. 2004-00823-01(PI). </w:t>
            </w:r>
          </w:p>
          <w:p w14:paraId="1D79EAEA" w14:textId="77777777" w:rsidR="0021743D" w:rsidRPr="006675C3" w:rsidRDefault="0021743D" w:rsidP="000F44AA">
            <w:pPr>
              <w:numPr>
                <w:ilvl w:val="0"/>
                <w:numId w:val="17"/>
              </w:numPr>
              <w:spacing w:line="276" w:lineRule="auto"/>
              <w:jc w:val="both"/>
              <w:rPr>
                <w:rFonts w:ascii="Verdana" w:hAnsi="Verdana" w:cs="Arial"/>
                <w:lang w:val="es-ES"/>
              </w:rPr>
            </w:pPr>
            <w:r w:rsidRPr="006675C3">
              <w:rPr>
                <w:rFonts w:ascii="Verdana" w:hAnsi="Verdana" w:cs="Arial"/>
              </w:rPr>
              <w:t>Consejo de Estado. Sala de Consulta y Servicio Civil. Concepto del 15 de noviembre de 2007. Expediente número 1863. Consejero Ponente: Luis Fernando Álvarez Jaramillo</w:t>
            </w:r>
          </w:p>
          <w:p w14:paraId="6935E0C8" w14:textId="77777777" w:rsidR="0021743D" w:rsidRPr="006675C3" w:rsidRDefault="0021743D" w:rsidP="000F44AA">
            <w:pPr>
              <w:widowControl w:val="0"/>
              <w:numPr>
                <w:ilvl w:val="0"/>
                <w:numId w:val="17"/>
              </w:numPr>
              <w:autoSpaceDE w:val="0"/>
              <w:autoSpaceDN w:val="0"/>
              <w:spacing w:line="276" w:lineRule="auto"/>
              <w:jc w:val="both"/>
              <w:rPr>
                <w:rFonts w:ascii="Verdana" w:hAnsi="Verdana" w:cs="Arial"/>
                <w:lang w:val="es-ES"/>
              </w:rPr>
            </w:pPr>
            <w:r w:rsidRPr="006675C3">
              <w:rPr>
                <w:rFonts w:ascii="Verdana" w:hAnsi="Verdana" w:cs="Arial"/>
                <w:lang w:val="es-ES"/>
              </w:rPr>
              <w:t xml:space="preserve">Consejo de Estado, Sala de Consulta y Servicio Civil, Concepto de fecha 24 de julio de 2013, Rad. 2166, C. P. Álvaro Namén Vargas. </w:t>
            </w:r>
          </w:p>
          <w:p w14:paraId="52FD55B6" w14:textId="77777777" w:rsidR="0021743D" w:rsidRPr="006675C3" w:rsidRDefault="0021743D" w:rsidP="000F44AA">
            <w:pPr>
              <w:numPr>
                <w:ilvl w:val="0"/>
                <w:numId w:val="17"/>
              </w:numPr>
              <w:spacing w:line="276" w:lineRule="auto"/>
              <w:jc w:val="both"/>
              <w:rPr>
                <w:rFonts w:ascii="Verdana" w:hAnsi="Verdana" w:cs="Arial"/>
                <w:lang w:val="es-ES"/>
              </w:rPr>
            </w:pPr>
            <w:r w:rsidRPr="006675C3">
              <w:rPr>
                <w:rFonts w:ascii="Verdana" w:hAnsi="Verdana" w:cs="Arial"/>
              </w:rPr>
              <w:t>Consejo de Estado. Sala de Consulta y Servicio Civil. Concepto del 2 de septiembre de 2013 Radicado No: 2168. CP: Alvaro Namén Vargas.</w:t>
            </w:r>
          </w:p>
          <w:p w14:paraId="5BCE0706" w14:textId="77777777" w:rsidR="0021743D" w:rsidRPr="006675C3" w:rsidRDefault="0021743D" w:rsidP="000F44AA">
            <w:pPr>
              <w:numPr>
                <w:ilvl w:val="0"/>
                <w:numId w:val="17"/>
              </w:numPr>
              <w:spacing w:line="276" w:lineRule="auto"/>
              <w:jc w:val="both"/>
              <w:rPr>
                <w:rFonts w:ascii="Verdana" w:hAnsi="Verdana" w:cs="Arial"/>
                <w:lang w:val="es-ES"/>
              </w:rPr>
            </w:pPr>
            <w:r w:rsidRPr="006675C3">
              <w:rPr>
                <w:rFonts w:ascii="Verdana" w:hAnsi="Verdana" w:cs="Arial"/>
                <w:lang w:val="es-ES"/>
              </w:rPr>
              <w:t>Consejo de Estado. Sala de Consulta y Servicio Civil. Concepto del 17 de febrero de 2015. C.P. William Zambrano Cetina. Radicación No. 11001-03-06-000-2015-00164-00(2269).</w:t>
            </w:r>
          </w:p>
          <w:p w14:paraId="09F05E34" w14:textId="77777777" w:rsidR="0021743D" w:rsidRPr="006675C3" w:rsidRDefault="0021743D" w:rsidP="000F44AA">
            <w:pPr>
              <w:numPr>
                <w:ilvl w:val="0"/>
                <w:numId w:val="17"/>
              </w:numPr>
              <w:spacing w:line="276" w:lineRule="auto"/>
              <w:jc w:val="both"/>
              <w:rPr>
                <w:rFonts w:ascii="Verdana" w:hAnsi="Verdana" w:cs="Arial"/>
                <w:lang w:val="es-ES"/>
              </w:rPr>
            </w:pPr>
            <w:r w:rsidRPr="006675C3">
              <w:rPr>
                <w:rFonts w:ascii="Verdana" w:hAnsi="Verdana" w:cs="Arial"/>
                <w:lang w:val="es-ES"/>
              </w:rPr>
              <w:t>Consejo de Estado, Sala de Consulta y Servicio Civil, Concepto de fecha 8 de mayo de 2018, No. 2382. C. P. Álvaro Namén Vargas.</w:t>
            </w:r>
          </w:p>
          <w:p w14:paraId="655AAF61" w14:textId="77777777" w:rsidR="0021743D" w:rsidRPr="006675C3" w:rsidRDefault="0021743D" w:rsidP="000F44AA">
            <w:pPr>
              <w:widowControl w:val="0"/>
              <w:numPr>
                <w:ilvl w:val="0"/>
                <w:numId w:val="17"/>
              </w:numPr>
              <w:autoSpaceDE w:val="0"/>
              <w:autoSpaceDN w:val="0"/>
              <w:spacing w:line="276" w:lineRule="auto"/>
              <w:jc w:val="both"/>
              <w:rPr>
                <w:rFonts w:ascii="Verdana" w:hAnsi="Verdana" w:cs="Arial"/>
                <w:lang w:val="es-ES"/>
              </w:rPr>
            </w:pPr>
            <w:proofErr w:type="spellStart"/>
            <w:r w:rsidRPr="006675C3">
              <w:rPr>
                <w:rFonts w:ascii="Verdana" w:hAnsi="Verdana" w:cs="Arial"/>
                <w:lang w:val="pt-BR"/>
              </w:rPr>
              <w:t>Consejo</w:t>
            </w:r>
            <w:proofErr w:type="spellEnd"/>
            <w:r w:rsidRPr="006675C3">
              <w:rPr>
                <w:rFonts w:ascii="Verdana" w:hAnsi="Verdana" w:cs="Arial"/>
                <w:lang w:val="pt-BR"/>
              </w:rPr>
              <w:t xml:space="preserve"> de Estado, </w:t>
            </w:r>
            <w:proofErr w:type="spellStart"/>
            <w:r w:rsidRPr="006675C3">
              <w:rPr>
                <w:rFonts w:ascii="Verdana" w:hAnsi="Verdana" w:cs="Arial"/>
                <w:lang w:val="pt-BR"/>
              </w:rPr>
              <w:t>Sección</w:t>
            </w:r>
            <w:proofErr w:type="spellEnd"/>
            <w:r w:rsidRPr="006675C3">
              <w:rPr>
                <w:rFonts w:ascii="Verdana" w:hAnsi="Verdana" w:cs="Arial"/>
                <w:lang w:val="pt-BR"/>
              </w:rPr>
              <w:t xml:space="preserve"> Tercera. Auto </w:t>
            </w:r>
            <w:proofErr w:type="spellStart"/>
            <w:r w:rsidRPr="006675C3">
              <w:rPr>
                <w:rFonts w:ascii="Verdana" w:hAnsi="Verdana" w:cs="Arial"/>
                <w:lang w:val="pt-BR"/>
              </w:rPr>
              <w:t>del</w:t>
            </w:r>
            <w:proofErr w:type="spellEnd"/>
            <w:r w:rsidRPr="006675C3">
              <w:rPr>
                <w:rFonts w:ascii="Verdana" w:hAnsi="Verdana" w:cs="Arial"/>
                <w:lang w:val="pt-BR"/>
              </w:rPr>
              <w:t xml:space="preserve"> 4 de </w:t>
            </w:r>
            <w:proofErr w:type="spellStart"/>
            <w:r w:rsidRPr="006675C3">
              <w:rPr>
                <w:rFonts w:ascii="Verdana" w:hAnsi="Verdana" w:cs="Arial"/>
                <w:lang w:val="pt-BR"/>
              </w:rPr>
              <w:t>octubre</w:t>
            </w:r>
            <w:proofErr w:type="spellEnd"/>
            <w:r w:rsidRPr="006675C3">
              <w:rPr>
                <w:rFonts w:ascii="Verdana" w:hAnsi="Verdana" w:cs="Arial"/>
                <w:lang w:val="pt-BR"/>
              </w:rPr>
              <w:t xml:space="preserve"> de 2024. Exp. 70.313. C.P: Fredy Ibarra Martínez.</w:t>
            </w:r>
          </w:p>
          <w:p w14:paraId="630708CF" w14:textId="77777777" w:rsidR="0021743D" w:rsidRPr="006675C3" w:rsidRDefault="0021743D" w:rsidP="000F44AA">
            <w:pPr>
              <w:widowControl w:val="0"/>
              <w:numPr>
                <w:ilvl w:val="0"/>
                <w:numId w:val="17"/>
              </w:numPr>
              <w:autoSpaceDE w:val="0"/>
              <w:autoSpaceDN w:val="0"/>
              <w:spacing w:line="276" w:lineRule="auto"/>
              <w:jc w:val="both"/>
              <w:rPr>
                <w:rFonts w:ascii="Verdana" w:hAnsi="Verdana" w:cs="Arial"/>
                <w:lang w:val="es-ES"/>
              </w:rPr>
            </w:pPr>
            <w:r w:rsidRPr="006675C3">
              <w:rPr>
                <w:rFonts w:ascii="Verdana" w:eastAsia="Times New Roman" w:hAnsi="Verdana" w:cs="Times New Roman"/>
                <w:lang w:eastAsia="es-ES_tradnl"/>
              </w:rPr>
              <w:t xml:space="preserve">Consejo de Estado. Sala de lo Contencioso Administrativo. Sección Tercera. Subsección B. 17 de octubre de 2025. Magistrado Ponente: Fredy Ibarra Martínez.  </w:t>
            </w:r>
          </w:p>
          <w:p w14:paraId="1FE9CE9C" w14:textId="77777777" w:rsidR="0021743D" w:rsidRPr="00FD34E6" w:rsidRDefault="0021743D" w:rsidP="000F44AA">
            <w:pPr>
              <w:pStyle w:val="Prrafodelista"/>
              <w:widowControl w:val="0"/>
              <w:numPr>
                <w:ilvl w:val="0"/>
                <w:numId w:val="17"/>
              </w:numPr>
              <w:autoSpaceDE w:val="0"/>
              <w:autoSpaceDN w:val="0"/>
              <w:spacing w:line="276" w:lineRule="auto"/>
              <w:jc w:val="both"/>
              <w:rPr>
                <w:rFonts w:ascii="Verdana" w:hAnsi="Verdana" w:cs="Arial"/>
                <w:color w:val="000000" w:themeColor="text1"/>
              </w:rPr>
            </w:pPr>
            <w:r w:rsidRPr="006675C3">
              <w:rPr>
                <w:rFonts w:ascii="Verdana" w:hAnsi="Verdana" w:cs="Arial"/>
              </w:rPr>
              <w:t xml:space="preserve">Circular Externa No. 006 de 2025 </w:t>
            </w:r>
            <w:hyperlink r:id="rId12" w:history="1">
              <w:r w:rsidRPr="006675C3">
                <w:rPr>
                  <w:rFonts w:ascii="Verdana" w:hAnsi="Verdana" w:cs="Arial"/>
                  <w:color w:val="0000FF"/>
                  <w:u w:val="single"/>
                </w:rPr>
                <w:t>https://www.colombiacompra.gov.co/archivos/circular/circular-externa-006-de-2025</w:t>
              </w:r>
            </w:hyperlink>
          </w:p>
        </w:tc>
      </w:tr>
    </w:tbl>
    <w:p w14:paraId="3091FCAF" w14:textId="77777777" w:rsidR="0021743D" w:rsidRDefault="0021743D" w:rsidP="0021743D">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6B979346" w14:textId="77777777" w:rsidR="0021743D" w:rsidRDefault="0021743D" w:rsidP="0021743D">
      <w:pPr>
        <w:pStyle w:val="Prrafodelista"/>
        <w:numPr>
          <w:ilvl w:val="0"/>
          <w:numId w:val="16"/>
        </w:numPr>
        <w:tabs>
          <w:tab w:val="left" w:pos="142"/>
          <w:tab w:val="left" w:pos="284"/>
        </w:tabs>
        <w:spacing w:after="0" w:line="276" w:lineRule="auto"/>
        <w:ind w:left="284"/>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30F9CC22" w14:textId="77777777" w:rsidR="0021743D" w:rsidRPr="00593A5F" w:rsidRDefault="0021743D" w:rsidP="0021743D">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7A18F6CF" w14:textId="77777777" w:rsidR="0021743D" w:rsidRPr="00AE7E03" w:rsidRDefault="0021743D" w:rsidP="0021743D">
      <w:pPr>
        <w:widowControl w:val="0"/>
        <w:autoSpaceDE w:val="0"/>
        <w:autoSpaceDN w:val="0"/>
        <w:spacing w:after="0" w:line="276" w:lineRule="auto"/>
        <w:jc w:val="both"/>
        <w:rPr>
          <w:rFonts w:ascii="Verdana" w:eastAsia="Arial" w:hAnsi="Verdana" w:cs="Arial"/>
          <w:lang w:val="es-MX" w:eastAsia="es-ES"/>
        </w:rPr>
      </w:pPr>
      <w:r w:rsidRPr="00EA47ED">
        <w:rPr>
          <w:rFonts w:ascii="Verdana" w:hAnsi="Verdana" w:cs="Arial"/>
          <w:shd w:val="clear" w:color="auto" w:fill="FFFFFF"/>
        </w:rPr>
        <w:lastRenderedPageBreak/>
        <w:t xml:space="preserve">Sobre la finalidad y propósito de la Ley de Garantías Electorales, la ANCP- CCE se ha pronunciado en los Conceptos 4201913000004536 de 17 de julio de 2019, 4201912000005556 del 12 de septiembre de 2019, 4201913000005175 del 13 de septiembre de 2019, 4201913000006452 del 07 de octubre de 2019, 4201913000005082 del 17 de octubre de 2019,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w:t>
      </w:r>
      <w:r>
        <w:rPr>
          <w:rFonts w:ascii="Verdana" w:hAnsi="Verdana" w:cs="Arial"/>
          <w:shd w:val="clear" w:color="auto" w:fill="FFFFFF"/>
        </w:rPr>
        <w:t xml:space="preserve">C-163 del 29 de marzo de 2022, </w:t>
      </w:r>
      <w:r w:rsidRPr="00EA47ED">
        <w:rPr>
          <w:rFonts w:ascii="Verdana" w:hAnsi="Verdana" w:cs="Arial"/>
          <w:shd w:val="clear" w:color="auto" w:fill="FFFFFF"/>
        </w:rPr>
        <w:t>C-180 del 21 de marzo de 2025, C-317 del 25 de abril de 2025, C-510 del 4 de junio de 2025, C -635 del 27 de junio de 2025</w:t>
      </w:r>
      <w:r>
        <w:rPr>
          <w:rFonts w:ascii="Verdana" w:hAnsi="Verdana" w:cs="Arial"/>
          <w:shd w:val="clear" w:color="auto" w:fill="FFFFFF"/>
        </w:rPr>
        <w:t xml:space="preserve">, </w:t>
      </w:r>
      <w:r w:rsidRPr="00EA47ED">
        <w:rPr>
          <w:rFonts w:ascii="Verdana" w:hAnsi="Verdana" w:cs="Arial"/>
          <w:shd w:val="clear" w:color="auto" w:fill="FFFFFF"/>
        </w:rPr>
        <w:t>C–750 de 17 de julio 2025</w:t>
      </w:r>
      <w:r>
        <w:rPr>
          <w:rFonts w:ascii="Verdana" w:hAnsi="Verdana" w:cs="Arial"/>
          <w:shd w:val="clear" w:color="auto" w:fill="FFFFFF"/>
        </w:rPr>
        <w:t xml:space="preserve"> y C-1411 del 07 de noviembre de 2025, </w:t>
      </w:r>
      <w:r>
        <w:rPr>
          <w:rFonts w:ascii="Verdana" w:eastAsia="Aptos" w:hAnsi="Verdana" w:cs="Arial"/>
          <w:shd w:val="clear" w:color="auto" w:fill="FFFFFF"/>
          <w:lang w:val="es-ES"/>
        </w:rPr>
        <w:t>e</w:t>
      </w:r>
      <w:r w:rsidRPr="00406AA6">
        <w:rPr>
          <w:rFonts w:ascii="Verdana" w:eastAsia="Aptos" w:hAnsi="Verdana" w:cs="Arial"/>
          <w:shd w:val="clear" w:color="auto" w:fill="FFFFFF"/>
          <w:lang w:val="es-ES"/>
        </w:rPr>
        <w:t>ntre otros</w:t>
      </w:r>
      <w:r>
        <w:rPr>
          <w:rFonts w:ascii="Verdana" w:hAnsi="Verdana" w:cs="Arial"/>
          <w:shd w:val="clear" w:color="auto" w:fill="FFFFFF"/>
        </w:rPr>
        <w:t xml:space="preserve">. </w:t>
      </w:r>
      <w:r w:rsidRPr="009A5D6C">
        <w:rPr>
          <w:rFonts w:ascii="Verdana" w:eastAsia="Calibri" w:hAnsi="Verdana" w:cs="Times New Roman"/>
        </w:rPr>
        <w:t>Estos se encuentran</w:t>
      </w:r>
      <w:r w:rsidRPr="00185EE9">
        <w:rPr>
          <w:rFonts w:ascii="Verdana" w:eastAsia="Calibri" w:hAnsi="Verdana" w:cs="Times New Roman"/>
        </w:rPr>
        <w:t xml:space="preserve">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2AC167D3" w14:textId="77777777" w:rsidR="0021743D" w:rsidRPr="0065720B" w:rsidRDefault="0021743D" w:rsidP="0021743D">
      <w:pPr>
        <w:widowControl w:val="0"/>
        <w:autoSpaceDE w:val="0"/>
        <w:autoSpaceDN w:val="0"/>
        <w:spacing w:after="0" w:line="276" w:lineRule="auto"/>
        <w:jc w:val="both"/>
        <w:rPr>
          <w:rStyle w:val="normaltextrun"/>
          <w:rFonts w:ascii="Verdana" w:eastAsia="Calibri" w:hAnsi="Verdana" w:cs="Arial"/>
          <w:lang w:val="es-ES_tradnl" w:eastAsia="en-GB"/>
        </w:rPr>
      </w:pPr>
      <w:hyperlink r:id="rId13" w:history="1">
        <w:r w:rsidRPr="006675C3">
          <w:rPr>
            <w:rStyle w:val="Hipervnculo"/>
            <w:rFonts w:ascii="Verdana" w:eastAsia="Calibri" w:hAnsi="Verdana" w:cs="Times New Roman"/>
            <w:lang w:val="es-ES"/>
          </w:rPr>
          <w:t>https://relatoria.colombiacompra.gov.co/busqueda/conceptos</w:t>
        </w:r>
      </w:hyperlink>
      <w:r w:rsidRPr="006675C3">
        <w:rPr>
          <w:rFonts w:ascii="Verdana" w:eastAsia="Calibri" w:hAnsi="Verdana" w:cs="Times New Roman"/>
        </w:rPr>
        <w:t>.</w:t>
      </w:r>
    </w:p>
    <w:p w14:paraId="58B8D09C" w14:textId="77777777" w:rsidR="0021743D" w:rsidRPr="006675C3" w:rsidRDefault="0021743D" w:rsidP="0021743D">
      <w:pPr>
        <w:widowControl w:val="0"/>
        <w:autoSpaceDE w:val="0"/>
        <w:autoSpaceDN w:val="0"/>
        <w:spacing w:after="0" w:line="276" w:lineRule="auto"/>
        <w:jc w:val="both"/>
        <w:rPr>
          <w:rFonts w:ascii="Verdana" w:hAnsi="Verdana" w:cs="Arial"/>
          <w:color w:val="000000" w:themeColor="text1"/>
          <w:shd w:val="clear" w:color="auto" w:fill="FFFFFF"/>
        </w:rPr>
      </w:pPr>
    </w:p>
    <w:p w14:paraId="4527CB09" w14:textId="77777777" w:rsidR="0021743D" w:rsidRPr="00505CD6" w:rsidRDefault="0021743D" w:rsidP="0021743D">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22A4F45C" w14:textId="77777777" w:rsidR="0021743D" w:rsidRPr="00505CD6" w:rsidRDefault="0021743D" w:rsidP="0021743D">
      <w:pPr>
        <w:widowControl w:val="0"/>
        <w:autoSpaceDE w:val="0"/>
        <w:autoSpaceDN w:val="0"/>
        <w:spacing w:after="0" w:line="276" w:lineRule="auto"/>
        <w:jc w:val="both"/>
        <w:rPr>
          <w:rFonts w:ascii="Verdana" w:hAnsi="Verdana" w:cs="Arial"/>
        </w:rPr>
      </w:pPr>
    </w:p>
    <w:p w14:paraId="2D3F29F7" w14:textId="77777777" w:rsidR="0021743D" w:rsidRPr="00CB5B93" w:rsidRDefault="0021743D" w:rsidP="0021743D">
      <w:pPr>
        <w:spacing w:after="0" w:line="276" w:lineRule="auto"/>
        <w:jc w:val="both"/>
        <w:rPr>
          <w:rFonts w:ascii="Verdana" w:hAnsi="Verdana"/>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6B39B993" w14:textId="402FDD93" w:rsidR="0021743D" w:rsidRDefault="00B13F4E" w:rsidP="0021743D">
      <w:pPr>
        <w:spacing w:line="276" w:lineRule="auto"/>
        <w:jc w:val="center"/>
        <w:rPr>
          <w:noProof/>
        </w:rPr>
      </w:pPr>
      <w:r w:rsidRPr="002C3AD6">
        <w:rPr>
          <w:rFonts w:ascii="Century Gothic" w:hAnsi="Century Gothic"/>
          <w:noProof/>
        </w:rPr>
        <w:drawing>
          <wp:inline distT="0" distB="0" distL="0" distR="0" wp14:anchorId="07541677" wp14:editId="3FEE8056">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4"/>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21743D" w:rsidRPr="00593A5F" w14:paraId="742CC58B" w14:textId="77777777" w:rsidTr="000F44AA">
        <w:trPr>
          <w:trHeight w:val="315"/>
        </w:trPr>
        <w:tc>
          <w:tcPr>
            <w:tcW w:w="893" w:type="dxa"/>
            <w:vAlign w:val="center"/>
            <w:hideMark/>
          </w:tcPr>
          <w:p w14:paraId="20913C3B" w14:textId="77777777" w:rsidR="0021743D" w:rsidRPr="003751C7" w:rsidRDefault="0021743D" w:rsidP="000F44AA">
            <w:pPr>
              <w:contextualSpacing/>
              <w:rPr>
                <w:rFonts w:ascii="Verdana" w:hAnsi="Verdana" w:cs="Arial"/>
                <w:sz w:val="16"/>
                <w:szCs w:val="16"/>
                <w:lang w:val="es-ES" w:eastAsia="es-ES"/>
              </w:rPr>
            </w:pPr>
            <w:r w:rsidRPr="003751C7">
              <w:rPr>
                <w:rFonts w:ascii="Verdana" w:hAnsi="Verdana" w:cs="Arial"/>
                <w:sz w:val="16"/>
                <w:szCs w:val="16"/>
                <w:lang w:val="es-ES" w:eastAsia="es-ES"/>
              </w:rPr>
              <w:lastRenderedPageBreak/>
              <w:t>Elaboró:</w:t>
            </w:r>
          </w:p>
        </w:tc>
        <w:tc>
          <w:tcPr>
            <w:tcW w:w="5628" w:type="dxa"/>
            <w:tcBorders>
              <w:top w:val="nil"/>
              <w:left w:val="nil"/>
              <w:bottom w:val="dotted" w:sz="4" w:space="0" w:color="7F7F7F" w:themeColor="text1" w:themeTint="80"/>
              <w:right w:val="nil"/>
            </w:tcBorders>
            <w:vAlign w:val="center"/>
            <w:hideMark/>
          </w:tcPr>
          <w:p w14:paraId="7EC078C6" w14:textId="77777777" w:rsidR="0021743D" w:rsidRPr="007911EE" w:rsidRDefault="0021743D" w:rsidP="000F44AA">
            <w:pPr>
              <w:contextualSpacing/>
              <w:rPr>
                <w:rFonts w:ascii="Verdana" w:hAnsi="Verdana"/>
                <w:sz w:val="16"/>
                <w:szCs w:val="16"/>
              </w:rPr>
            </w:pPr>
            <w:r>
              <w:rPr>
                <w:rFonts w:ascii="Verdana" w:hAnsi="Verdana"/>
                <w:sz w:val="16"/>
                <w:szCs w:val="16"/>
              </w:rPr>
              <w:t xml:space="preserve">Diana Carolina Blanco Rodriguez </w:t>
            </w:r>
          </w:p>
          <w:p w14:paraId="38E63FDD" w14:textId="77777777" w:rsidR="0021743D" w:rsidRPr="007911EE" w:rsidRDefault="0021743D" w:rsidP="000F44AA">
            <w:pPr>
              <w:contextualSpacing/>
              <w:rPr>
                <w:rFonts w:ascii="Verdana" w:eastAsia="Arial" w:hAnsi="Verdana" w:cs="Arial"/>
                <w:sz w:val="16"/>
                <w:szCs w:val="16"/>
              </w:rPr>
            </w:pPr>
            <w:r w:rsidRPr="007911EE">
              <w:rPr>
                <w:rFonts w:ascii="Verdana" w:hAnsi="Verdana"/>
                <w:sz w:val="16"/>
                <w:szCs w:val="16"/>
              </w:rPr>
              <w:t>Contratista de la Subdirección de Gestión Contractual</w:t>
            </w:r>
          </w:p>
        </w:tc>
      </w:tr>
      <w:tr w:rsidR="0021743D" w:rsidRPr="00593A5F" w14:paraId="60BA7D34" w14:textId="77777777" w:rsidTr="000F44AA">
        <w:trPr>
          <w:trHeight w:val="330"/>
        </w:trPr>
        <w:tc>
          <w:tcPr>
            <w:tcW w:w="893" w:type="dxa"/>
            <w:vAlign w:val="center"/>
            <w:hideMark/>
          </w:tcPr>
          <w:p w14:paraId="74A3518A" w14:textId="77777777" w:rsidR="0021743D" w:rsidRPr="003751C7" w:rsidRDefault="0021743D" w:rsidP="000F44AA">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87C18A3" w14:textId="77777777" w:rsidR="0021743D" w:rsidRDefault="0021743D" w:rsidP="000F44AA">
            <w:pPr>
              <w:spacing w:line="276" w:lineRule="auto"/>
              <w:contextualSpacing/>
              <w:jc w:val="both"/>
              <w:rPr>
                <w:rFonts w:ascii="Verdana" w:hAnsi="Verdana"/>
                <w:sz w:val="16"/>
                <w:szCs w:val="16"/>
              </w:rPr>
            </w:pPr>
            <w:r>
              <w:rPr>
                <w:rFonts w:ascii="Verdana" w:hAnsi="Verdana"/>
                <w:sz w:val="16"/>
                <w:szCs w:val="16"/>
              </w:rPr>
              <w:t>Diana Lucia Saavedra</w:t>
            </w:r>
          </w:p>
          <w:p w14:paraId="0BCA08A6" w14:textId="77777777" w:rsidR="0021743D" w:rsidRPr="007911EE" w:rsidRDefault="0021743D" w:rsidP="000F44AA">
            <w:pPr>
              <w:spacing w:line="276" w:lineRule="auto"/>
              <w:contextualSpacing/>
              <w:jc w:val="both"/>
              <w:rPr>
                <w:rFonts w:ascii="Verdana" w:hAnsi="Verdana" w:cstheme="minorHAnsi"/>
                <w:sz w:val="16"/>
                <w:szCs w:val="16"/>
              </w:rPr>
            </w:pPr>
            <w:r>
              <w:rPr>
                <w:rStyle w:val="normaltextrun"/>
                <w:rFonts w:ascii="Verdana" w:eastAsia="Arial" w:hAnsi="Verdana"/>
                <w:sz w:val="16"/>
                <w:szCs w:val="16"/>
              </w:rPr>
              <w:t xml:space="preserve">Contratista </w:t>
            </w:r>
            <w:r w:rsidRPr="00CD7324">
              <w:rPr>
                <w:rStyle w:val="normaltextrun"/>
                <w:rFonts w:ascii="Verdana" w:eastAsia="Arial" w:hAnsi="Verdana"/>
                <w:sz w:val="16"/>
                <w:szCs w:val="16"/>
              </w:rPr>
              <w:t>de la</w:t>
            </w:r>
            <w:r w:rsidRPr="007911EE">
              <w:rPr>
                <w:rStyle w:val="normaltextrun"/>
                <w:rFonts w:ascii="Verdana" w:eastAsia="Arial" w:hAnsi="Verdana" w:cs="Arial"/>
                <w:sz w:val="16"/>
                <w:szCs w:val="16"/>
              </w:rPr>
              <w:t xml:space="preserve"> Subdirección de Gestión Contractual</w:t>
            </w:r>
          </w:p>
        </w:tc>
      </w:tr>
      <w:tr w:rsidR="0021743D" w:rsidRPr="00593A5F" w14:paraId="3B50D0FE" w14:textId="77777777" w:rsidTr="000F44AA">
        <w:trPr>
          <w:trHeight w:val="330"/>
        </w:trPr>
        <w:tc>
          <w:tcPr>
            <w:tcW w:w="893" w:type="dxa"/>
            <w:vAlign w:val="center"/>
          </w:tcPr>
          <w:p w14:paraId="6D6216DE" w14:textId="77777777" w:rsidR="0021743D" w:rsidRPr="003751C7" w:rsidRDefault="0021743D" w:rsidP="000F44AA">
            <w:pPr>
              <w:contextualSpacing/>
              <w:rPr>
                <w:rFonts w:ascii="Verdana" w:hAnsi="Verdana" w:cs="Arial"/>
                <w:sz w:val="16"/>
                <w:szCs w:val="16"/>
                <w:lang w:val="es-ES" w:eastAsia="es-ES"/>
              </w:rPr>
            </w:pPr>
            <w:r w:rsidRPr="00EB1CF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71440D3" w14:textId="77777777" w:rsidR="0021743D" w:rsidRDefault="0021743D" w:rsidP="000F44AA">
            <w:pPr>
              <w:spacing w:line="276" w:lineRule="auto"/>
              <w:contextualSpacing/>
              <w:jc w:val="both"/>
              <w:rPr>
                <w:rFonts w:ascii="Verdana" w:hAnsi="Verdana"/>
                <w:sz w:val="16"/>
                <w:szCs w:val="16"/>
              </w:rPr>
            </w:pPr>
            <w:r>
              <w:rPr>
                <w:rFonts w:ascii="Verdana" w:hAnsi="Verdana"/>
                <w:sz w:val="16"/>
                <w:szCs w:val="16"/>
              </w:rPr>
              <w:t xml:space="preserve">Carolina Quintero Gacharná </w:t>
            </w:r>
          </w:p>
          <w:p w14:paraId="0F07DA5D" w14:textId="77777777" w:rsidR="0021743D" w:rsidRDefault="0021743D" w:rsidP="000F44AA">
            <w:pPr>
              <w:spacing w:line="276" w:lineRule="auto"/>
              <w:contextualSpacing/>
              <w:jc w:val="both"/>
              <w:rPr>
                <w:rFonts w:ascii="Verdana" w:hAnsi="Verdana"/>
                <w:sz w:val="16"/>
                <w:szCs w:val="16"/>
              </w:rPr>
            </w:pPr>
            <w:r w:rsidRPr="00EB1CF7">
              <w:rPr>
                <w:rFonts w:ascii="Verdana" w:eastAsia="Calibri" w:hAnsi="Verdana" w:cs="Arial"/>
                <w:sz w:val="16"/>
                <w:szCs w:val="16"/>
                <w:lang w:eastAsia="es-ES"/>
              </w:rPr>
              <w:t>Subdirectora</w:t>
            </w:r>
            <w:r w:rsidRPr="00EB1CF7">
              <w:rPr>
                <w:rFonts w:ascii="Verdana" w:eastAsia="Calibri" w:hAnsi="Verdana" w:cs="Arial"/>
                <w:sz w:val="16"/>
                <w:szCs w:val="16"/>
                <w:lang w:val="pt-BR" w:eastAsia="es-ES"/>
              </w:rPr>
              <w:t xml:space="preserve"> de Gestión Contratual </w:t>
            </w:r>
            <w:r>
              <w:rPr>
                <w:rFonts w:ascii="Verdana" w:eastAsia="Calibri" w:hAnsi="Verdana" w:cs="Arial"/>
                <w:sz w:val="16"/>
                <w:szCs w:val="16"/>
                <w:lang w:val="pt-BR" w:eastAsia="es-ES"/>
              </w:rPr>
              <w:t xml:space="preserve">- </w:t>
            </w:r>
            <w:r w:rsidRPr="00EB1CF7">
              <w:rPr>
                <w:rFonts w:ascii="Verdana" w:eastAsia="Calibri" w:hAnsi="Verdana" w:cs="Arial"/>
                <w:sz w:val="16"/>
                <w:szCs w:val="16"/>
                <w:lang w:val="pt-BR" w:eastAsia="es-ES"/>
              </w:rPr>
              <w:t>ANCP – CCE</w:t>
            </w:r>
          </w:p>
        </w:tc>
      </w:tr>
    </w:tbl>
    <w:p w14:paraId="266E6463" w14:textId="77777777" w:rsidR="0021743D" w:rsidRPr="00F30C63" w:rsidRDefault="0021743D" w:rsidP="0021743D"/>
    <w:p w14:paraId="740DE1B5" w14:textId="77777777" w:rsidR="0021743D" w:rsidRPr="0041746B" w:rsidRDefault="0021743D" w:rsidP="0021743D"/>
    <w:p w14:paraId="1468C46D" w14:textId="115FF704" w:rsidR="00C15139" w:rsidRPr="0024624F" w:rsidRDefault="00C15139" w:rsidP="00C15139">
      <w:pPr>
        <w:spacing w:after="0"/>
        <w:rPr>
          <w:rFonts w:ascii="Verdana" w:hAnsi="Verdana"/>
        </w:rPr>
      </w:pPr>
      <w:r w:rsidRPr="0024624F">
        <w:rPr>
          <w:rFonts w:ascii="Verdana" w:hAnsi="Verdana"/>
        </w:rPr>
        <w:tab/>
      </w:r>
    </w:p>
    <w:bookmarkEnd w:id="0"/>
    <w:p w14:paraId="12443EE0" w14:textId="77777777" w:rsidR="00C15139" w:rsidRPr="0024624F" w:rsidRDefault="00C15139" w:rsidP="00C15139">
      <w:pPr>
        <w:spacing w:after="0"/>
        <w:rPr>
          <w:rFonts w:ascii="Verdana" w:hAnsi="Verdana"/>
        </w:rPr>
      </w:pPr>
    </w:p>
    <w:sectPr w:rsidR="00C15139" w:rsidRPr="0024624F"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077FAE" w14:textId="77777777" w:rsidR="00423B45" w:rsidRDefault="00423B45" w:rsidP="004A1847">
      <w:pPr>
        <w:spacing w:after="0" w:line="240" w:lineRule="auto"/>
      </w:pPr>
      <w:r>
        <w:separator/>
      </w:r>
    </w:p>
  </w:endnote>
  <w:endnote w:type="continuationSeparator" w:id="0">
    <w:p w14:paraId="08F8B793" w14:textId="77777777" w:rsidR="00423B45" w:rsidRDefault="00423B45"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0"/>
    <w:family w:val="auto"/>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84819" w14:textId="77777777" w:rsidR="00423B45" w:rsidRDefault="00423B45" w:rsidP="004A1847">
      <w:pPr>
        <w:spacing w:after="0" w:line="240" w:lineRule="auto"/>
      </w:pPr>
      <w:r>
        <w:separator/>
      </w:r>
    </w:p>
  </w:footnote>
  <w:footnote w:type="continuationSeparator" w:id="0">
    <w:p w14:paraId="4B8FE968" w14:textId="77777777" w:rsidR="00423B45" w:rsidRDefault="00423B45" w:rsidP="004A1847">
      <w:pPr>
        <w:spacing w:after="0" w:line="240" w:lineRule="auto"/>
      </w:pPr>
      <w:r>
        <w:continuationSeparator/>
      </w:r>
    </w:p>
  </w:footnote>
  <w:footnote w:id="1">
    <w:p w14:paraId="7B96923B" w14:textId="77777777" w:rsidR="0021743D" w:rsidRPr="009B20C5" w:rsidRDefault="0021743D" w:rsidP="0021743D">
      <w:pPr>
        <w:pStyle w:val="Textonotapie"/>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El artículo 127 de la Constitución Política señala: </w:t>
      </w:r>
      <w:r>
        <w:rPr>
          <w:rFonts w:ascii="Verdana" w:hAnsi="Verdana" w:cs="Arial"/>
          <w:sz w:val="16"/>
          <w:szCs w:val="16"/>
        </w:rPr>
        <w:t>“</w:t>
      </w:r>
      <w:r w:rsidRPr="009B20C5">
        <w:rPr>
          <w:rFonts w:ascii="Verdana" w:hAnsi="Verdana" w:cs="Arial"/>
          <w:sz w:val="16"/>
          <w:szCs w:val="16"/>
        </w:rPr>
        <w:t xml:space="preserve">Los servidores públicos no podrán celebrar, por si o por interpuesta persona, o en representación de otro, contrato alguno con entidades públicas o con personas privadas que manejen o administren recursos públicos, salvo las excepciones legales. </w:t>
      </w:r>
    </w:p>
    <w:p w14:paraId="5A74ECE0" w14:textId="77777777" w:rsidR="0021743D" w:rsidRPr="009B20C5" w:rsidRDefault="0021743D" w:rsidP="0021743D">
      <w:pPr>
        <w:pStyle w:val="Textonotapie"/>
        <w:ind w:firstLine="709"/>
        <w:jc w:val="both"/>
        <w:rPr>
          <w:rFonts w:ascii="Verdana" w:hAnsi="Verdana" w:cs="Arial"/>
          <w:sz w:val="16"/>
          <w:szCs w:val="16"/>
        </w:rPr>
      </w:pPr>
      <w:r w:rsidRPr="009B20C5">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r>
        <w:rPr>
          <w:rFonts w:ascii="Verdana" w:hAnsi="Verdana" w:cs="Arial"/>
          <w:sz w:val="16"/>
          <w:szCs w:val="16"/>
        </w:rPr>
        <w:t>”</w:t>
      </w:r>
      <w:r w:rsidRPr="0069134B">
        <w:rPr>
          <w:rFonts w:ascii="Verdana" w:hAnsi="Verdana" w:cs="Arial"/>
          <w:sz w:val="16"/>
          <w:szCs w:val="16"/>
        </w:rPr>
        <w:t>.</w:t>
      </w:r>
    </w:p>
  </w:footnote>
  <w:footnote w:id="2">
    <w:p w14:paraId="52B02890" w14:textId="77777777" w:rsidR="0021743D" w:rsidRPr="009B20C5" w:rsidRDefault="0021743D" w:rsidP="0021743D">
      <w:pPr>
        <w:pStyle w:val="Textonotapie"/>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Gaceta del Congreso de la República No. 71 del 2005.</w:t>
      </w:r>
    </w:p>
  </w:footnote>
  <w:footnote w:id="3">
    <w:p w14:paraId="4B10F853" w14:textId="77777777" w:rsidR="0021743D" w:rsidRPr="009B20C5" w:rsidRDefault="0021743D" w:rsidP="0021743D">
      <w:pPr>
        <w:pStyle w:val="Textonotapie"/>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Corte Constitucional, Sentencia C- 1153 de 2005, M.P. Marco Gerardo Monroy Cabra.</w:t>
      </w:r>
    </w:p>
  </w:footnote>
  <w:footnote w:id="4">
    <w:p w14:paraId="65136416" w14:textId="77777777" w:rsidR="0021743D" w:rsidRPr="009B20C5" w:rsidRDefault="0021743D" w:rsidP="0021743D">
      <w:pPr>
        <w:pStyle w:val="Textonotapie"/>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5">
    <w:p w14:paraId="33F39B53" w14:textId="77777777" w:rsidR="0021743D" w:rsidRPr="009B20C5" w:rsidRDefault="0021743D" w:rsidP="0021743D">
      <w:pPr>
        <w:pStyle w:val="Textonotapie"/>
        <w:ind w:firstLine="709"/>
        <w:jc w:val="both"/>
        <w:rPr>
          <w:rFonts w:ascii="Verdana" w:hAnsi="Verdana" w:cs="Arial"/>
          <w:sz w:val="16"/>
          <w:szCs w:val="16"/>
          <w:lang w:val="es-CO"/>
        </w:rPr>
      </w:pPr>
      <w:r w:rsidRPr="009B20C5">
        <w:rPr>
          <w:rStyle w:val="Refdenotaalpie"/>
          <w:rFonts w:ascii="Verdana" w:hAnsi="Verdana" w:cs="Arial"/>
          <w:sz w:val="16"/>
          <w:szCs w:val="16"/>
        </w:rPr>
        <w:footnoteRef/>
      </w:r>
      <w:r w:rsidRPr="009B20C5">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w:t>
      </w:r>
      <w:r w:rsidRPr="009B20C5">
        <w:rPr>
          <w:rFonts w:ascii="Verdana" w:hAnsi="Verdana" w:cs="Arial"/>
          <w:sz w:val="16"/>
          <w:szCs w:val="16"/>
          <w:lang w:val="es-CO"/>
        </w:rPr>
        <w:t>otras</w:t>
      </w:r>
      <w:r w:rsidRPr="0069134B">
        <w:rPr>
          <w:rFonts w:ascii="Verdana" w:hAnsi="Verdana" w:cs="Arial"/>
          <w:sz w:val="16"/>
          <w:szCs w:val="16"/>
          <w:lang w:val="es-CO"/>
        </w:rPr>
        <w:t>.</w:t>
      </w:r>
      <w:r>
        <w:rPr>
          <w:rFonts w:ascii="Verdana" w:hAnsi="Verdana" w:cs="Arial"/>
          <w:sz w:val="16"/>
          <w:szCs w:val="16"/>
          <w:lang w:val="es-CO"/>
        </w:rPr>
        <w:t>.</w:t>
      </w:r>
    </w:p>
  </w:footnote>
  <w:footnote w:id="6">
    <w:p w14:paraId="239A983F" w14:textId="77777777" w:rsidR="0021743D" w:rsidRPr="009B20C5" w:rsidRDefault="0021743D" w:rsidP="0021743D">
      <w:pPr>
        <w:pStyle w:val="Textonotapie"/>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Consejo de Estado, Sala de Consulta y Servicio Civil de fecha 24 de julio de 2013, radicado 2166, </w:t>
      </w:r>
      <w:r w:rsidRPr="009B20C5">
        <w:rPr>
          <w:rFonts w:ascii="Verdana" w:hAnsi="Verdana" w:cs="Arial"/>
          <w:sz w:val="16"/>
          <w:szCs w:val="16"/>
        </w:rPr>
        <w:t xml:space="preserve">Consejero Ponente: Álvaro </w:t>
      </w:r>
      <w:r w:rsidRPr="009B20C5">
        <w:rPr>
          <w:rFonts w:ascii="Verdana" w:hAnsi="Verdana" w:cs="Arial"/>
          <w:sz w:val="16"/>
          <w:szCs w:val="16"/>
        </w:rPr>
        <w:t xml:space="preserve">Namén Vargas.  </w:t>
      </w:r>
    </w:p>
  </w:footnote>
  <w:footnote w:id="7">
    <w:p w14:paraId="7CCF5B3C" w14:textId="77777777" w:rsidR="0021743D" w:rsidRPr="0069134B" w:rsidRDefault="0021743D" w:rsidP="0021743D">
      <w:pPr>
        <w:spacing w:after="0" w:line="240" w:lineRule="auto"/>
        <w:ind w:firstLine="709"/>
        <w:jc w:val="both"/>
        <w:rPr>
          <w:rFonts w:ascii="Verdana" w:hAnsi="Verdana" w:cs="Arial"/>
          <w:sz w:val="16"/>
          <w:szCs w:val="16"/>
          <w:lang w:val="es-ES"/>
        </w:rPr>
      </w:pPr>
      <w:r w:rsidRPr="009B20C5">
        <w:rPr>
          <w:rStyle w:val="Refdenotaalpie"/>
          <w:rFonts w:ascii="Verdana" w:hAnsi="Verdana" w:cs="Arial"/>
          <w:sz w:val="16"/>
          <w:szCs w:val="16"/>
        </w:rPr>
        <w:footnoteRef/>
      </w:r>
      <w:r w:rsidRPr="009B20C5">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8">
    <w:p w14:paraId="39EC0F66" w14:textId="77777777" w:rsidR="0021743D" w:rsidRPr="009D05BA" w:rsidRDefault="0021743D" w:rsidP="0021743D">
      <w:pPr>
        <w:pStyle w:val="Textonotapie"/>
        <w:ind w:firstLine="709"/>
        <w:contextualSpacing/>
        <w:jc w:val="both"/>
        <w:rPr>
          <w:rFonts w:ascii="Verdana" w:hAnsi="Verdana" w:cs="Arial"/>
          <w:sz w:val="16"/>
          <w:szCs w:val="16"/>
        </w:rPr>
      </w:pPr>
      <w:r w:rsidRPr="009D05BA">
        <w:rPr>
          <w:rStyle w:val="Refdenotaalpie"/>
          <w:rFonts w:ascii="Verdana" w:hAnsi="Verdana"/>
          <w:sz w:val="16"/>
          <w:szCs w:val="16"/>
        </w:rPr>
        <w:footnoteRef/>
      </w:r>
      <w:r w:rsidRPr="009D05BA">
        <w:rPr>
          <w:rFonts w:ascii="Verdana" w:hAnsi="Verdana"/>
          <w:sz w:val="16"/>
          <w:szCs w:val="16"/>
        </w:rPr>
        <w:t xml:space="preserve"> </w:t>
      </w:r>
      <w:r w:rsidRPr="009D05BA">
        <w:rPr>
          <w:rFonts w:ascii="Verdana" w:hAnsi="Verdana" w:cs="Arial"/>
          <w:sz w:val="16"/>
          <w:szCs w:val="16"/>
        </w:rPr>
        <w:t>Consejo de Estado -Sección Tercera-. Sentencia del 21 de febrero de 2025. Radicación Número: 68.280. CP: José Roberto Sáchica Méndez.</w:t>
      </w:r>
    </w:p>
  </w:footnote>
  <w:footnote w:id="9">
    <w:p w14:paraId="3017869C" w14:textId="77777777" w:rsidR="0021743D" w:rsidRPr="009D05BA" w:rsidRDefault="0021743D" w:rsidP="0021743D">
      <w:pPr>
        <w:pStyle w:val="Textonotapie"/>
        <w:ind w:firstLine="709"/>
        <w:contextualSpacing/>
        <w:jc w:val="both"/>
        <w:rPr>
          <w:rFonts w:ascii="Verdana" w:hAnsi="Verdana" w:cs="Arial"/>
          <w:sz w:val="16"/>
          <w:szCs w:val="16"/>
        </w:rPr>
      </w:pPr>
      <w:r w:rsidRPr="009D05BA">
        <w:rPr>
          <w:rFonts w:ascii="Verdana" w:hAnsi="Verdana"/>
          <w:sz w:val="16"/>
          <w:szCs w:val="16"/>
          <w:vertAlign w:val="superscript"/>
        </w:rPr>
        <w:footnoteRef/>
      </w:r>
      <w:r w:rsidRPr="009D05BA">
        <w:rPr>
          <w:rFonts w:ascii="Verdana" w:hAnsi="Verdana"/>
          <w:sz w:val="16"/>
          <w:szCs w:val="16"/>
          <w:vertAlign w:val="superscript"/>
        </w:rPr>
        <w:t xml:space="preserve"> </w:t>
      </w:r>
      <w:r w:rsidRPr="009D05BA">
        <w:rPr>
          <w:rFonts w:ascii="Verdana" w:hAnsi="Verdana" w:cs="Arial"/>
          <w:sz w:val="16"/>
          <w:szCs w:val="16"/>
        </w:rPr>
        <w:t>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w:t>
      </w:r>
    </w:p>
  </w:footnote>
  <w:footnote w:id="10">
    <w:p w14:paraId="1193DE40" w14:textId="77777777" w:rsidR="0021743D" w:rsidRPr="009D05BA" w:rsidRDefault="0021743D" w:rsidP="0021743D">
      <w:pPr>
        <w:pStyle w:val="Textonotapie"/>
        <w:ind w:firstLine="709"/>
        <w:contextualSpacing/>
        <w:jc w:val="both"/>
        <w:rPr>
          <w:rFonts w:ascii="Verdana" w:hAnsi="Verdana" w:cs="Arial"/>
          <w:sz w:val="16"/>
          <w:szCs w:val="16"/>
        </w:rPr>
      </w:pPr>
      <w:r w:rsidRPr="009D05BA">
        <w:rPr>
          <w:rFonts w:ascii="Verdana" w:hAnsi="Verdana"/>
          <w:sz w:val="16"/>
          <w:szCs w:val="16"/>
          <w:vertAlign w:val="superscript"/>
        </w:rPr>
        <w:footnoteRef/>
      </w:r>
      <w:r w:rsidRPr="009D05BA">
        <w:rPr>
          <w:rFonts w:ascii="Verdana" w:hAnsi="Verdana" w:cs="Arial"/>
          <w:sz w:val="16"/>
          <w:szCs w:val="16"/>
          <w:vertAlign w:val="superscript"/>
        </w:rPr>
        <w:t xml:space="preserve"> </w:t>
      </w:r>
      <w:r w:rsidRPr="009D05BA">
        <w:rPr>
          <w:rFonts w:ascii="Verdana" w:hAnsi="Verdana" w:cs="Arial"/>
          <w:sz w:val="16"/>
          <w:szCs w:val="16"/>
        </w:rPr>
        <w:t>Ley 80 de 1993: “Artículo 41. Del perfeccionamiento del contrato. Los contratos del Estado se perfeccionan cuando se logre acuerdo sobre el objeto y la contraprestación y éste se eleve a escrito.</w:t>
      </w:r>
    </w:p>
    <w:p w14:paraId="70C1ECFA" w14:textId="77777777" w:rsidR="0021743D" w:rsidRPr="009D05BA" w:rsidRDefault="0021743D" w:rsidP="0021743D">
      <w:pPr>
        <w:pStyle w:val="Textonotapie"/>
        <w:ind w:firstLine="709"/>
        <w:contextualSpacing/>
        <w:jc w:val="both"/>
        <w:rPr>
          <w:rFonts w:ascii="Verdana" w:hAnsi="Verdana" w:cs="Arial"/>
          <w:sz w:val="16"/>
          <w:szCs w:val="16"/>
        </w:rPr>
      </w:pPr>
      <w:r w:rsidRPr="009D05BA">
        <w:rPr>
          <w:rFonts w:ascii="Verdana" w:hAnsi="Verdana" w:cs="Arial"/>
          <w:sz w:val="16"/>
          <w:szCs w:val="16"/>
        </w:rPr>
        <w:t>[…]”.</w:t>
      </w:r>
    </w:p>
  </w:footnote>
  <w:footnote w:id="11">
    <w:p w14:paraId="5AAD27B5" w14:textId="77777777" w:rsidR="0021743D" w:rsidRPr="009D05BA" w:rsidRDefault="0021743D" w:rsidP="0021743D">
      <w:pPr>
        <w:pStyle w:val="Textonotapie"/>
        <w:ind w:firstLine="709"/>
        <w:contextualSpacing/>
        <w:jc w:val="both"/>
        <w:rPr>
          <w:rFonts w:ascii="Verdana" w:hAnsi="Verdana" w:cs="Arial"/>
          <w:sz w:val="16"/>
          <w:szCs w:val="16"/>
        </w:rPr>
      </w:pPr>
      <w:r w:rsidRPr="009D05BA">
        <w:rPr>
          <w:rFonts w:ascii="Verdana" w:hAnsi="Verdana"/>
          <w:sz w:val="16"/>
          <w:szCs w:val="16"/>
          <w:vertAlign w:val="superscript"/>
        </w:rPr>
        <w:footnoteRef/>
      </w:r>
      <w:r w:rsidRPr="009D05BA">
        <w:rPr>
          <w:rFonts w:ascii="Verdana" w:hAnsi="Verdana" w:cs="Arial"/>
          <w:sz w:val="16"/>
          <w:szCs w:val="16"/>
          <w:vertAlign w:val="superscript"/>
        </w:rPr>
        <w:t xml:space="preserve"> </w:t>
      </w:r>
      <w:r w:rsidRPr="009D05BA">
        <w:rPr>
          <w:rFonts w:ascii="Verdana" w:hAnsi="Verdana" w:cs="Arial"/>
          <w:sz w:val="16"/>
          <w:szCs w:val="16"/>
        </w:rPr>
        <w:t>Código Civil: “Artículo 27. Cuando el sentido de la ley sea claro, no se desatenderá su tenor a pretexto de consultar su espíritu”.</w:t>
      </w:r>
    </w:p>
  </w:footnote>
  <w:footnote w:id="12">
    <w:p w14:paraId="3FD93261" w14:textId="77777777" w:rsidR="0021743D" w:rsidRPr="009D05BA" w:rsidRDefault="0021743D" w:rsidP="0021743D">
      <w:pPr>
        <w:pStyle w:val="Textonotapie"/>
        <w:ind w:firstLine="709"/>
        <w:contextualSpacing/>
        <w:jc w:val="both"/>
        <w:rPr>
          <w:rFonts w:ascii="Verdana" w:hAnsi="Verdana"/>
          <w:sz w:val="16"/>
          <w:szCs w:val="16"/>
          <w:lang w:val="es-CO"/>
        </w:rPr>
      </w:pPr>
      <w:r w:rsidRPr="009D05BA">
        <w:rPr>
          <w:rStyle w:val="Refdenotaalpie"/>
          <w:rFonts w:ascii="Verdana" w:hAnsi="Verdana"/>
          <w:sz w:val="16"/>
          <w:szCs w:val="16"/>
        </w:rPr>
        <w:footnoteRef/>
      </w:r>
      <w:r w:rsidRPr="009D05BA">
        <w:rPr>
          <w:rFonts w:ascii="Verdana" w:hAnsi="Verdana"/>
          <w:sz w:val="16"/>
          <w:szCs w:val="16"/>
          <w:lang w:val="es-CO"/>
        </w:rPr>
        <w:t xml:space="preserve"> Consejo de Estado, Sección Tercera. Auto del 4 de octubre de 2024. </w:t>
      </w:r>
      <w:r w:rsidRPr="009D05BA">
        <w:rPr>
          <w:rFonts w:ascii="Verdana" w:hAnsi="Verdana"/>
          <w:sz w:val="16"/>
          <w:szCs w:val="16"/>
          <w:lang w:val="es-CO"/>
        </w:rPr>
        <w:t>Exp. 70.313. C.P: Fredy Ibarra Martínez.</w:t>
      </w:r>
    </w:p>
  </w:footnote>
  <w:footnote w:id="13">
    <w:p w14:paraId="0A6E9519" w14:textId="77777777" w:rsidR="0021743D" w:rsidRPr="009D05BA" w:rsidRDefault="0021743D" w:rsidP="0021743D">
      <w:pPr>
        <w:pStyle w:val="Textonotapie"/>
        <w:ind w:firstLine="709"/>
        <w:contextualSpacing/>
        <w:jc w:val="both"/>
        <w:rPr>
          <w:rFonts w:ascii="Verdana" w:hAnsi="Verdana"/>
          <w:sz w:val="16"/>
          <w:szCs w:val="16"/>
          <w:lang w:val="es-CO"/>
        </w:rPr>
      </w:pPr>
      <w:r w:rsidRPr="009D05BA">
        <w:rPr>
          <w:rStyle w:val="Refdenotaalpie"/>
          <w:rFonts w:ascii="Verdana" w:hAnsi="Verdana"/>
          <w:sz w:val="16"/>
          <w:szCs w:val="16"/>
        </w:rPr>
        <w:footnoteRef/>
      </w:r>
      <w:r w:rsidRPr="009D05BA">
        <w:rPr>
          <w:rFonts w:ascii="Verdana" w:hAnsi="Verdana"/>
          <w:sz w:val="16"/>
          <w:szCs w:val="16"/>
        </w:rPr>
        <w:t xml:space="preserve"> La parte resolutiva del auto dispone lo siguiente; “</w:t>
      </w:r>
      <w:r w:rsidRPr="009D05BA">
        <w:rPr>
          <w:rFonts w:ascii="Verdana" w:hAnsi="Verdana"/>
          <w:b/>
          <w:sz w:val="16"/>
          <w:szCs w:val="16"/>
          <w:lang w:val="es-CO"/>
        </w:rPr>
        <w:t xml:space="preserve">PRIMERO: DECRETAR </w:t>
      </w:r>
      <w:r w:rsidRPr="009D05BA">
        <w:rPr>
          <w:rFonts w:ascii="Verdana" w:hAnsi="Verdana"/>
          <w:sz w:val="16"/>
          <w:szCs w:val="16"/>
          <w:lang w:val="es-CO"/>
        </w:rPr>
        <w:t xml:space="preserve">la suspensión provisional de los apartes cuestionados del inciso segundo del numeral 16.2 de la Circular Externa única, versión 3 del 27 de diciembre de 2023, expedida por la Agencia Nacional de Contratación Pública – Colombia Compra Eficiente, según el cual </w:t>
      </w:r>
      <w:r w:rsidRPr="009D05BA">
        <w:rPr>
          <w:rFonts w:ascii="Verdana" w:hAnsi="Verdana"/>
          <w:i/>
          <w:sz w:val="16"/>
          <w:szCs w:val="16"/>
          <w:lang w:val="es-CO"/>
        </w:rPr>
        <w:t>“[e]</w:t>
      </w:r>
      <w:r w:rsidRPr="009D05BA">
        <w:rPr>
          <w:rFonts w:ascii="Verdana" w:hAnsi="Verdana"/>
          <w:i/>
          <w:sz w:val="16"/>
          <w:szCs w:val="16"/>
          <w:lang w:val="es-CO"/>
        </w:rPr>
        <w:t>sta restricción es aplicable (…)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sidRPr="009D05BA">
        <w:rPr>
          <w:rFonts w:ascii="Verdana" w:hAnsi="Verdana"/>
          <w:sz w:val="16"/>
          <w:szCs w:val="16"/>
          <w:lang w:val="es-CO"/>
        </w:rPr>
        <w:t xml:space="preserve">, por las razones expuestas en precedencia. </w:t>
      </w:r>
    </w:p>
    <w:p w14:paraId="4F5A9C19" w14:textId="77777777" w:rsidR="0021743D" w:rsidRPr="009D05BA" w:rsidRDefault="0021743D" w:rsidP="0021743D">
      <w:pPr>
        <w:pStyle w:val="Textonotapie"/>
        <w:ind w:firstLine="709"/>
        <w:contextualSpacing/>
        <w:jc w:val="both"/>
        <w:rPr>
          <w:rFonts w:ascii="Verdana" w:hAnsi="Verdana"/>
          <w:sz w:val="16"/>
          <w:szCs w:val="16"/>
          <w:lang w:val="es-CO"/>
        </w:rPr>
      </w:pPr>
      <w:r w:rsidRPr="009D05BA">
        <w:rPr>
          <w:rFonts w:ascii="Verdana" w:hAnsi="Verdana"/>
          <w:b/>
          <w:sz w:val="16"/>
          <w:szCs w:val="16"/>
          <w:lang w:val="es-CO"/>
        </w:rPr>
        <w:t xml:space="preserve">SEGUNDO: DECRETAR </w:t>
      </w:r>
      <w:r w:rsidRPr="009D05BA">
        <w:rPr>
          <w:rFonts w:ascii="Verdana" w:hAnsi="Verdana"/>
          <w:sz w:val="16"/>
          <w:szCs w:val="16"/>
          <w:lang w:val="es-CO"/>
        </w:rPr>
        <w:t>la suspensión provisional de la expresión “</w:t>
      </w:r>
      <w:r w:rsidRPr="009D05BA">
        <w:rPr>
          <w:rFonts w:ascii="Verdana" w:hAnsi="Verdana"/>
          <w:i/>
          <w:sz w:val="16"/>
          <w:szCs w:val="16"/>
          <w:lang w:val="es-CO"/>
        </w:rPr>
        <w:t>contratos</w:t>
      </w:r>
      <w:r w:rsidRPr="009D05BA">
        <w:rPr>
          <w:rFonts w:ascii="Verdana" w:hAnsi="Verdana"/>
          <w:sz w:val="16"/>
          <w:szCs w:val="16"/>
          <w:lang w:val="es-CO"/>
        </w:rPr>
        <w:t xml:space="preserve">” y del párrafo </w:t>
      </w:r>
      <w:r w:rsidRPr="009D05BA">
        <w:rPr>
          <w:rFonts w:ascii="Verdana" w:hAnsi="Verdana"/>
          <w:i/>
          <w:sz w:val="16"/>
          <w:szCs w:val="16"/>
          <w:lang w:val="es-CO"/>
        </w:rPr>
        <w:t>“[e]n este sentido, la prohibición que establece el parágrafo del artículo 38 de la Ley de Garantías consiste en evitar que los recursos del Estado se ejecuten para lograr apoyos indebidos mediante la suscripción de contratos (…) que, para efectos de la Ley de Garantías, tienen la misma connotación y propósito</w:t>
      </w:r>
      <w:r w:rsidRPr="009D05BA">
        <w:rPr>
          <w:rFonts w:ascii="Verdana" w:hAnsi="Verdana"/>
          <w:sz w:val="16"/>
          <w:szCs w:val="16"/>
          <w:lang w:val="es-CO"/>
        </w:rPr>
        <w:t xml:space="preserve">”, contenidos en el inciso cuarto del numeral 16.2 de la Circular Externa única, versión 3 del 27 de diciembre de 2023, expedida por la Agencia Nacional de Contratación Pública – Colombia Compra Eficiente, por las razones expuestas de manera precedente”. Consejo de Estado, Sección Tercera. Auto del 6 de noviembre de 2025. Exp. 72.424. C.P: Fernando Alexei Pardo Florez. </w:t>
      </w:r>
    </w:p>
  </w:footnote>
  <w:footnote w:id="14">
    <w:p w14:paraId="622357E0" w14:textId="77777777" w:rsidR="0021743D" w:rsidRPr="009D05BA" w:rsidRDefault="0021743D" w:rsidP="0021743D">
      <w:pPr>
        <w:spacing w:after="0" w:line="240" w:lineRule="auto"/>
        <w:ind w:firstLine="709"/>
        <w:contextualSpacing/>
        <w:jc w:val="both"/>
        <w:rPr>
          <w:rFonts w:ascii="Verdana" w:eastAsia="Times New Roman" w:hAnsi="Verdana" w:cs="Times New Roman"/>
          <w:sz w:val="16"/>
          <w:szCs w:val="16"/>
          <w:lang w:eastAsia="es-ES"/>
        </w:rPr>
      </w:pPr>
      <w:r w:rsidRPr="009D05BA">
        <w:rPr>
          <w:rStyle w:val="Refdenotaalpie"/>
          <w:rFonts w:ascii="Verdana" w:hAnsi="Verdana"/>
          <w:sz w:val="16"/>
          <w:szCs w:val="16"/>
        </w:rPr>
        <w:footnoteRef/>
      </w:r>
      <w:r w:rsidRPr="009D05BA">
        <w:rPr>
          <w:rFonts w:ascii="Verdana" w:hAnsi="Verdana"/>
          <w:sz w:val="16"/>
          <w:szCs w:val="16"/>
        </w:rPr>
        <w:t xml:space="preserve"> </w:t>
      </w:r>
      <w:r w:rsidRPr="009D05BA">
        <w:rPr>
          <w:rFonts w:ascii="Verdana" w:eastAsia="Times New Roman" w:hAnsi="Verdana" w:cs="Times New Roman"/>
          <w:sz w:val="16"/>
          <w:szCs w:val="16"/>
          <w:lang w:eastAsia="es-ES"/>
        </w:rPr>
        <w:t xml:space="preserve">Consejo de Estado. Sala de lo Contencioso Administrativo. Sección Tercera. Subsección B. 17 de octubre de 2025. Magistrado Ponente: Fredy Ibarra Martínez.  </w:t>
      </w:r>
      <w:r w:rsidRPr="009D05BA">
        <w:rPr>
          <w:rFonts w:ascii="Verdana" w:hAnsi="Verdana"/>
          <w:sz w:val="16"/>
          <w:szCs w:val="16"/>
        </w:rPr>
        <w:t xml:space="preserve">La parte de la providencia señala: </w:t>
      </w:r>
      <w:r w:rsidRPr="009D05BA">
        <w:rPr>
          <w:rFonts w:ascii="Verdana" w:eastAsia="Times New Roman" w:hAnsi="Verdana" w:cs="Times New Roman"/>
          <w:sz w:val="16"/>
          <w:szCs w:val="16"/>
          <w:lang w:eastAsia="es-ES"/>
        </w:rPr>
        <w:t xml:space="preserve">Declárase la nulidad parcial del numeral 16.2 de la Circular Externa Única de 2022 expedida por la Agencia Nacional de Contratación Pública -Colombia Compra Eficiente-, concretamente, de los siguientes apartes normativos: i) el inciso tercero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r w:rsidRPr="009D05BA">
        <w:rPr>
          <w:rFonts w:ascii="Verdana" w:eastAsia="Times New Roman" w:hAnsi="Verdana" w:cs="Times New Roman"/>
          <w:sz w:val="16"/>
          <w:szCs w:val="16"/>
          <w:lang w:eastAsia="es-ES"/>
        </w:rPr>
        <w:t>ii) la expresión y el siguiente párrafo contenidos en el inciso quinto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footnote>
  <w:footnote w:id="15">
    <w:p w14:paraId="00EF22B1" w14:textId="77777777" w:rsidR="0021743D" w:rsidRPr="009D05BA" w:rsidRDefault="0021743D" w:rsidP="0021743D">
      <w:pPr>
        <w:pStyle w:val="Textonotapie"/>
        <w:ind w:firstLine="709"/>
        <w:rPr>
          <w:rFonts w:ascii="Verdana" w:hAnsi="Verdana"/>
          <w:sz w:val="16"/>
          <w:szCs w:val="16"/>
          <w:lang w:val="es-CO"/>
        </w:rPr>
      </w:pPr>
      <w:r w:rsidRPr="009D05BA">
        <w:rPr>
          <w:rStyle w:val="Refdenotaalpie"/>
          <w:rFonts w:ascii="Verdana" w:hAnsi="Verdana"/>
          <w:sz w:val="16"/>
          <w:szCs w:val="16"/>
        </w:rPr>
        <w:footnoteRef/>
      </w:r>
      <w:r w:rsidRPr="009D05BA">
        <w:rPr>
          <w:rFonts w:ascii="Verdana" w:hAnsi="Verdana"/>
          <w:sz w:val="16"/>
          <w:szCs w:val="16"/>
        </w:rPr>
        <w:t xml:space="preserve"> No </w:t>
      </w:r>
      <w:r w:rsidRPr="009D05BA">
        <w:rPr>
          <w:rFonts w:ascii="Verdana" w:hAnsi="Verdana"/>
          <w:sz w:val="16"/>
          <w:szCs w:val="16"/>
        </w:rPr>
        <w:t>obstante lo anterior, es importante mencionar que aún se encuentra por definir la demanda de nulidad simple, identificada con el Radicado número 11001-03-26-000-2025-00016-00, en la cual se cuestiona parcialmente el numeral 16.2 de la Circular Externa Única CCE-EICP-MA-06, Versión 03 del 27 de diciembre de 2023.</w:t>
      </w:r>
    </w:p>
  </w:footnote>
  <w:footnote w:id="16">
    <w:p w14:paraId="71128C81" w14:textId="77777777" w:rsidR="0021743D" w:rsidRPr="008B24D8" w:rsidRDefault="0021743D" w:rsidP="0021743D">
      <w:pPr>
        <w:pStyle w:val="Textonotapie"/>
        <w:ind w:firstLine="709"/>
        <w:rPr>
          <w:rFonts w:ascii="Verdana" w:hAnsi="Verdana"/>
          <w:sz w:val="16"/>
          <w:szCs w:val="16"/>
          <w:lang w:val="es-CO"/>
        </w:rPr>
      </w:pPr>
      <w:r w:rsidRPr="008B24D8">
        <w:rPr>
          <w:rStyle w:val="Refdenotaalpie"/>
          <w:rFonts w:ascii="Verdana" w:hAnsi="Verdana"/>
          <w:sz w:val="16"/>
          <w:szCs w:val="16"/>
        </w:rPr>
        <w:footnoteRef/>
      </w:r>
      <w:r w:rsidRPr="008B24D8">
        <w:rPr>
          <w:rFonts w:ascii="Verdana" w:hAnsi="Verdana"/>
          <w:sz w:val="16"/>
          <w:szCs w:val="16"/>
        </w:rPr>
        <w:t xml:space="preserve"> </w:t>
      </w:r>
      <w:hyperlink r:id="rId1" w:history="1">
        <w:r w:rsidRPr="008B24D8">
          <w:rPr>
            <w:rStyle w:val="Hipervnculo"/>
            <w:rFonts w:ascii="Verdana" w:hAnsi="Verdana"/>
            <w:sz w:val="16"/>
            <w:szCs w:val="16"/>
          </w:rPr>
          <w:t>https://registraduria.gov.co/Que-son-las-elecciones-atipicas.html</w:t>
        </w:r>
      </w:hyperlink>
      <w:r w:rsidRPr="008B24D8">
        <w:rPr>
          <w:rFonts w:ascii="Verdana" w:hAnsi="Verdana"/>
          <w:sz w:val="16"/>
          <w:szCs w:val="16"/>
        </w:rPr>
        <w:t xml:space="preserve"> </w:t>
      </w:r>
    </w:p>
  </w:footnote>
  <w:footnote w:id="17">
    <w:p w14:paraId="6FA53782" w14:textId="77777777" w:rsidR="0021743D" w:rsidRPr="008B24D8" w:rsidRDefault="0021743D" w:rsidP="0021743D">
      <w:pPr>
        <w:pStyle w:val="Textonotapie"/>
        <w:ind w:firstLine="709"/>
        <w:rPr>
          <w:rFonts w:ascii="Verdana" w:hAnsi="Verdana"/>
          <w:sz w:val="16"/>
          <w:szCs w:val="16"/>
          <w:lang w:val="es-CO"/>
        </w:rPr>
      </w:pPr>
      <w:r w:rsidRPr="008B24D8">
        <w:rPr>
          <w:rStyle w:val="Refdenotaalpie"/>
          <w:rFonts w:ascii="Verdana" w:hAnsi="Verdana"/>
          <w:sz w:val="16"/>
          <w:szCs w:val="16"/>
        </w:rPr>
        <w:footnoteRef/>
      </w:r>
      <w:r w:rsidRPr="008B24D8">
        <w:rPr>
          <w:rFonts w:ascii="Verdana" w:hAnsi="Verdana"/>
          <w:sz w:val="16"/>
          <w:szCs w:val="16"/>
        </w:rPr>
        <w:t xml:space="preserve"> </w:t>
      </w:r>
      <w:r w:rsidRPr="008B24D8">
        <w:rPr>
          <w:rFonts w:ascii="Verdana" w:hAnsi="Verdana"/>
          <w:sz w:val="16"/>
          <w:szCs w:val="16"/>
          <w:lang w:val="es-CO"/>
        </w:rPr>
        <w:t>Ley 136 de 1994. Artículo 98</w:t>
      </w:r>
    </w:p>
  </w:footnote>
  <w:footnote w:id="18">
    <w:p w14:paraId="304F6B57" w14:textId="77777777" w:rsidR="0021743D" w:rsidRPr="008B24D8" w:rsidRDefault="0021743D" w:rsidP="0021743D">
      <w:pPr>
        <w:pStyle w:val="Textonotapie"/>
        <w:ind w:firstLine="709"/>
        <w:contextualSpacing/>
        <w:jc w:val="both"/>
        <w:rPr>
          <w:rFonts w:ascii="Verdana" w:hAnsi="Verdana" w:cs="Arial"/>
          <w:sz w:val="16"/>
          <w:szCs w:val="16"/>
        </w:rPr>
      </w:pPr>
      <w:r w:rsidRPr="009D05BA">
        <w:rPr>
          <w:rStyle w:val="Refdenotaalpie"/>
          <w:rFonts w:ascii="Verdana" w:hAnsi="Verdana"/>
          <w:sz w:val="16"/>
          <w:szCs w:val="16"/>
        </w:rPr>
        <w:footnoteRef/>
      </w:r>
      <w:r w:rsidRPr="009D05BA">
        <w:rPr>
          <w:rFonts w:ascii="Verdana" w:hAnsi="Verdana"/>
          <w:sz w:val="16"/>
          <w:szCs w:val="16"/>
        </w:rPr>
        <w:t xml:space="preserve"> </w:t>
      </w:r>
      <w:r w:rsidRPr="008B24D8">
        <w:rPr>
          <w:rFonts w:ascii="Verdana" w:hAnsi="Verdana" w:cs="Arial"/>
          <w:sz w:val="16"/>
          <w:szCs w:val="16"/>
        </w:rPr>
        <w:t>Consejo de Estado. Sala de Consulta y Servicio Civil. Concepto del 20 de febrero de 2018. Expediente número 12366. Consejero Ponente: Oscar Darío Amaya Navas.</w:t>
      </w:r>
    </w:p>
  </w:footnote>
  <w:footnote w:id="19">
    <w:p w14:paraId="71D5BED8" w14:textId="77777777" w:rsidR="0021743D" w:rsidRPr="009D05BA" w:rsidRDefault="0021743D" w:rsidP="0021743D">
      <w:pPr>
        <w:pStyle w:val="Textonotapie"/>
        <w:ind w:firstLine="709"/>
        <w:rPr>
          <w:rFonts w:ascii="Verdana" w:hAnsi="Verdana"/>
          <w:sz w:val="16"/>
          <w:szCs w:val="16"/>
          <w:lang w:val="es-CO"/>
        </w:rPr>
      </w:pPr>
      <w:r w:rsidRPr="009D05BA">
        <w:rPr>
          <w:rStyle w:val="Refdenotaalpie"/>
          <w:rFonts w:ascii="Verdana" w:hAnsi="Verdana"/>
          <w:sz w:val="16"/>
          <w:szCs w:val="16"/>
        </w:rPr>
        <w:footnoteRef/>
      </w:r>
      <w:r w:rsidRPr="009D05BA">
        <w:rPr>
          <w:rFonts w:ascii="Verdana" w:hAnsi="Verdana"/>
          <w:sz w:val="16"/>
          <w:szCs w:val="16"/>
        </w:rPr>
        <w:t xml:space="preserve"> Disponible en: </w:t>
      </w:r>
      <w:hyperlink r:id="rId2" w:history="1">
        <w:r w:rsidRPr="009D05BA">
          <w:rPr>
            <w:rStyle w:val="Hipervnculo"/>
            <w:rFonts w:ascii="Verdana" w:hAnsi="Verdana"/>
            <w:sz w:val="16"/>
            <w:szCs w:val="16"/>
          </w:rPr>
          <w:t>https://relatoria.cne.gov.co/relatoria/</w:t>
        </w:r>
      </w:hyperlink>
      <w:r w:rsidRPr="009D05BA">
        <w:rPr>
          <w:rFonts w:ascii="Verdana" w:hAnsi="Verdana"/>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18679D0"/>
    <w:multiLevelType w:val="hybridMultilevel"/>
    <w:tmpl w:val="F2F430A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418594436">
    <w:abstractNumId w:val="0"/>
  </w:num>
  <w:num w:numId="17" w16cid:durableId="151330400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61D3"/>
    <w:rsid w:val="00016F78"/>
    <w:rsid w:val="00046945"/>
    <w:rsid w:val="00061B2A"/>
    <w:rsid w:val="00082362"/>
    <w:rsid w:val="000A683E"/>
    <w:rsid w:val="000B19B9"/>
    <w:rsid w:val="000D0334"/>
    <w:rsid w:val="000D5DA7"/>
    <w:rsid w:val="000F6486"/>
    <w:rsid w:val="00116940"/>
    <w:rsid w:val="00121466"/>
    <w:rsid w:val="00125105"/>
    <w:rsid w:val="00127233"/>
    <w:rsid w:val="0015699B"/>
    <w:rsid w:val="001A33BF"/>
    <w:rsid w:val="001D2B1E"/>
    <w:rsid w:val="001E4177"/>
    <w:rsid w:val="001F0B24"/>
    <w:rsid w:val="001F7DC6"/>
    <w:rsid w:val="0021743D"/>
    <w:rsid w:val="0022400B"/>
    <w:rsid w:val="002421BB"/>
    <w:rsid w:val="0025796E"/>
    <w:rsid w:val="002707A2"/>
    <w:rsid w:val="002951A0"/>
    <w:rsid w:val="002962BC"/>
    <w:rsid w:val="002A093D"/>
    <w:rsid w:val="002A0DD0"/>
    <w:rsid w:val="002A49AC"/>
    <w:rsid w:val="002A64FD"/>
    <w:rsid w:val="002C7A84"/>
    <w:rsid w:val="002D6EE1"/>
    <w:rsid w:val="002E2BF8"/>
    <w:rsid w:val="002E4FD9"/>
    <w:rsid w:val="00305314"/>
    <w:rsid w:val="0030657A"/>
    <w:rsid w:val="00307D62"/>
    <w:rsid w:val="00322A85"/>
    <w:rsid w:val="00324168"/>
    <w:rsid w:val="00330834"/>
    <w:rsid w:val="003448F4"/>
    <w:rsid w:val="00374905"/>
    <w:rsid w:val="00374F5E"/>
    <w:rsid w:val="00377E3E"/>
    <w:rsid w:val="003918BB"/>
    <w:rsid w:val="003A779E"/>
    <w:rsid w:val="003D0F4D"/>
    <w:rsid w:val="003D5B0D"/>
    <w:rsid w:val="003E0499"/>
    <w:rsid w:val="003E4F80"/>
    <w:rsid w:val="003E6439"/>
    <w:rsid w:val="003F3941"/>
    <w:rsid w:val="00406575"/>
    <w:rsid w:val="00414C74"/>
    <w:rsid w:val="00423B45"/>
    <w:rsid w:val="0042722E"/>
    <w:rsid w:val="0044528D"/>
    <w:rsid w:val="00454BCF"/>
    <w:rsid w:val="00466E39"/>
    <w:rsid w:val="004A1847"/>
    <w:rsid w:val="004A305D"/>
    <w:rsid w:val="004F21C4"/>
    <w:rsid w:val="004F685F"/>
    <w:rsid w:val="005566E8"/>
    <w:rsid w:val="00574867"/>
    <w:rsid w:val="00591460"/>
    <w:rsid w:val="005A65E0"/>
    <w:rsid w:val="005C3777"/>
    <w:rsid w:val="005C5CDC"/>
    <w:rsid w:val="005D476C"/>
    <w:rsid w:val="006200BF"/>
    <w:rsid w:val="006219F8"/>
    <w:rsid w:val="006302F7"/>
    <w:rsid w:val="00632ABC"/>
    <w:rsid w:val="00646B9F"/>
    <w:rsid w:val="00665D70"/>
    <w:rsid w:val="006900D9"/>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96406"/>
    <w:rsid w:val="008A446D"/>
    <w:rsid w:val="008B25F1"/>
    <w:rsid w:val="008D180B"/>
    <w:rsid w:val="008F0EA7"/>
    <w:rsid w:val="00923EEF"/>
    <w:rsid w:val="009419F9"/>
    <w:rsid w:val="0095685E"/>
    <w:rsid w:val="00961B09"/>
    <w:rsid w:val="00965334"/>
    <w:rsid w:val="009703B8"/>
    <w:rsid w:val="0097093E"/>
    <w:rsid w:val="009A0DFA"/>
    <w:rsid w:val="009A1C6F"/>
    <w:rsid w:val="009B2D26"/>
    <w:rsid w:val="009C71FA"/>
    <w:rsid w:val="009C72E7"/>
    <w:rsid w:val="009C7F7E"/>
    <w:rsid w:val="009D3058"/>
    <w:rsid w:val="009D3E97"/>
    <w:rsid w:val="009F3A13"/>
    <w:rsid w:val="00A078EE"/>
    <w:rsid w:val="00A122D3"/>
    <w:rsid w:val="00A14468"/>
    <w:rsid w:val="00A17F13"/>
    <w:rsid w:val="00A20739"/>
    <w:rsid w:val="00A23AF9"/>
    <w:rsid w:val="00A33C78"/>
    <w:rsid w:val="00AB0ADB"/>
    <w:rsid w:val="00B00C0E"/>
    <w:rsid w:val="00B01B1A"/>
    <w:rsid w:val="00B0381D"/>
    <w:rsid w:val="00B13F4E"/>
    <w:rsid w:val="00B44A47"/>
    <w:rsid w:val="00B72CD3"/>
    <w:rsid w:val="00B72FFF"/>
    <w:rsid w:val="00BB6AB2"/>
    <w:rsid w:val="00BC3D36"/>
    <w:rsid w:val="00BD54A6"/>
    <w:rsid w:val="00BD7F72"/>
    <w:rsid w:val="00BF7425"/>
    <w:rsid w:val="00C015AC"/>
    <w:rsid w:val="00C04FB3"/>
    <w:rsid w:val="00C11D8B"/>
    <w:rsid w:val="00C15139"/>
    <w:rsid w:val="00C330EB"/>
    <w:rsid w:val="00C50D69"/>
    <w:rsid w:val="00C5365C"/>
    <w:rsid w:val="00C6377A"/>
    <w:rsid w:val="00C754BE"/>
    <w:rsid w:val="00C76B1C"/>
    <w:rsid w:val="00C925AC"/>
    <w:rsid w:val="00CB6357"/>
    <w:rsid w:val="00CC1B26"/>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06E53"/>
    <w:rsid w:val="00F23FEA"/>
    <w:rsid w:val="00F31EDC"/>
    <w:rsid w:val="00F462B3"/>
    <w:rsid w:val="00F5664F"/>
    <w:rsid w:val="00F666C4"/>
    <w:rsid w:val="00F76AFC"/>
    <w:rsid w:val="00FA47C0"/>
    <w:rsid w:val="00FB5DD1"/>
    <w:rsid w:val="00FC2B5D"/>
    <w:rsid w:val="00FD4F35"/>
    <w:rsid w:val="00FF1449"/>
    <w:rsid w:val="00FF7963"/>
    <w:rsid w:val="0125F8B4"/>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21743D"/>
    <w:rPr>
      <w:rFonts w:ascii="Geomanist Light" w:hAnsi="Geomanist Light"/>
      <w:lang w:val="es-ES"/>
    </w:rPr>
  </w:style>
  <w:style w:type="paragraph" w:customStyle="1" w:styleId="Appelnotedebasde">
    <w:name w:val="Appel note de bas de..."/>
    <w:basedOn w:val="Normal"/>
    <w:link w:val="Refdenotaalpie"/>
    <w:uiPriority w:val="99"/>
    <w:rsid w:val="0021743D"/>
    <w:pPr>
      <w:spacing w:line="240" w:lineRule="exact"/>
    </w:pPr>
    <w:rPr>
      <w:vertAlign w:val="superscript"/>
    </w:rPr>
  </w:style>
  <w:style w:type="paragraph" w:styleId="Textoindependiente">
    <w:name w:val="Body Text"/>
    <w:basedOn w:val="Normal"/>
    <w:link w:val="TextoindependienteCar"/>
    <w:uiPriority w:val="1"/>
    <w:qFormat/>
    <w:rsid w:val="0021743D"/>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21743D"/>
    <w:rPr>
      <w:rFonts w:ascii="Arial" w:eastAsia="Arial" w:hAnsi="Arial" w:cs="Arial"/>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colombiacompra.gov.co/archivos/circular/circular-externa-006-de-2025"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thomashroa@gmail.com"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footnotes.xml.rels><?xml version="1.0" encoding="UTF-8" standalone="yes"?>
<Relationships xmlns="http://schemas.openxmlformats.org/package/2006/relationships"><Relationship Id="rId2" Type="http://schemas.openxmlformats.org/officeDocument/2006/relationships/hyperlink" Target="https://relatoria.cne.gov.co/relatoria/" TargetMode="External"/><Relationship Id="rId1" Type="http://schemas.openxmlformats.org/officeDocument/2006/relationships/hyperlink" Target="https://registraduria.gov.co/Que-son-las-elecciones-atipicas.htm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7F55F2A3-8EEC-430D-9061-47E4C2582A1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9</TotalTime>
  <Pages>21</Pages>
  <Words>6574</Words>
  <Characters>36031</Characters>
  <Application>Microsoft Office Word</Application>
  <DocSecurity>0</DocSecurity>
  <Lines>750</Lines>
  <Paragraphs>137</Paragraphs>
  <ScaleCrop>false</ScaleCrop>
  <Company/>
  <LinksUpToDate>false</LinksUpToDate>
  <CharactersWithSpaces>42468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Keila Margarita Reyes Cassiani</cp:lastModifiedBy>
  <cp:revision>9</cp:revision>
  <cp:lastPrinted>2023-01-10T21:18:00Z</cp:lastPrinted>
  <dcterms:created xsi:type="dcterms:W3CDTF">2025-12-10T21:46:00Z</dcterms:created>
  <dcterms:modified xsi:type="dcterms:W3CDTF">2025-12-17T20:58:00Z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