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D864B4" w14:textId="257C5C14" w:rsidR="00A22876" w:rsidRPr="00A22876" w:rsidRDefault="00A22876" w:rsidP="00A22876">
      <w:pPr>
        <w:jc w:val="both"/>
        <w:rPr>
          <w:rFonts w:ascii="Verdana" w:hAnsi="Verdana" w:cs="Arial"/>
          <w:b/>
          <w:color w:val="000000" w:themeColor="text1"/>
          <w:lang w:val="es-ES_tradnl"/>
        </w:rPr>
      </w:pPr>
      <w:bookmarkStart w:id="0" w:name="_Hlk143780582"/>
      <w:r w:rsidRPr="00A22876">
        <w:rPr>
          <w:rFonts w:ascii="Verdana" w:hAnsi="Verdana" w:cs="Arial"/>
          <w:b/>
          <w:color w:val="000000" w:themeColor="text1"/>
          <w:lang w:val="es-ES_tradnl"/>
        </w:rPr>
        <w:t xml:space="preserve">LEY DE GARANTÍAS ELECTORALES ‒ Finalidad </w:t>
      </w:r>
    </w:p>
    <w:p w14:paraId="298B11A9" w14:textId="32581E28" w:rsidR="00A22876" w:rsidRDefault="00A22876" w:rsidP="00A22876">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152B18E3" w14:textId="349B3136" w:rsidR="00A22876" w:rsidRDefault="00A22876" w:rsidP="00A22876">
      <w:pPr>
        <w:jc w:val="both"/>
        <w:rPr>
          <w:rFonts w:ascii="Verdana" w:hAnsi="Verdana" w:cs="Arial"/>
          <w:b/>
          <w:color w:val="000000" w:themeColor="text1"/>
          <w:lang w:val="es-ES_tradnl"/>
        </w:rPr>
      </w:pPr>
      <w:r w:rsidRPr="00A22876">
        <w:rPr>
          <w:rFonts w:ascii="Verdana" w:hAnsi="Verdana" w:cs="Arial"/>
          <w:b/>
          <w:color w:val="000000" w:themeColor="text1"/>
          <w:lang w:val="es-ES_tradnl"/>
        </w:rPr>
        <w:t xml:space="preserve">LEY DE GARANTÍAS ELECTORALES ‒ Tipos de restricciones </w:t>
      </w:r>
    </w:p>
    <w:p w14:paraId="40BBAC06" w14:textId="2F7AB6A3" w:rsidR="00A22876" w:rsidRPr="00A22876" w:rsidRDefault="00A22876" w:rsidP="00A22876">
      <w:pPr>
        <w:spacing w:after="120" w:line="276" w:lineRule="auto"/>
        <w:jc w:val="both"/>
        <w:rPr>
          <w:rFonts w:ascii="Verdana" w:eastAsia="Times New Roman" w:hAnsi="Verdana" w:cs="Arial"/>
          <w:lang w:val="es-MX" w:eastAsia="es-CO"/>
        </w:rPr>
      </w:pPr>
      <w:r w:rsidRPr="00E2397D">
        <w:rPr>
          <w:rFonts w:ascii="Verdana" w:eastAsia="Arial" w:hAnsi="Verdana" w:cs="Arial"/>
          <w:lang w:val="es-MX" w:eastAsia="es-ES" w:bidi="es-ES"/>
        </w:rPr>
        <w:t>s</w:t>
      </w:r>
      <w:r w:rsidRPr="00E2397D">
        <w:rPr>
          <w:rFonts w:ascii="Verdana" w:eastAsia="Times New Roman" w:hAnsi="Verdana" w:cs="Arial"/>
          <w:lang w:eastAsia="es-CO"/>
        </w:rPr>
        <w:t xml:space="preserve">e observa entonces 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67C89FDB" w14:textId="11BD4A15" w:rsidR="00A22876" w:rsidRDefault="00A22876" w:rsidP="00A22876">
      <w:pPr>
        <w:jc w:val="both"/>
        <w:rPr>
          <w:rFonts w:ascii="Verdana" w:eastAsia="Times New Roman" w:hAnsi="Verdana" w:cs="Arial"/>
          <w:b/>
          <w:bCs/>
          <w:lang w:eastAsia="es-ES_tradnl"/>
        </w:rPr>
      </w:pPr>
      <w:r w:rsidRPr="00A22876">
        <w:rPr>
          <w:rFonts w:ascii="Verdana" w:eastAsia="Times New Roman" w:hAnsi="Verdana" w:cs="Arial"/>
          <w:b/>
          <w:bCs/>
          <w:lang w:eastAsia="es-ES_tradnl"/>
        </w:rPr>
        <w:t>LEY DE GARANTÍAS ELECTORALES - Aplicación en contratos de colaboración y convenios de asociación</w:t>
      </w:r>
    </w:p>
    <w:p w14:paraId="25CFCA51" w14:textId="750C5BE0" w:rsidR="00A22876" w:rsidRPr="00A22876" w:rsidRDefault="00A22876" w:rsidP="00A22876">
      <w:pPr>
        <w:jc w:val="both"/>
        <w:rPr>
          <w:rFonts w:ascii="Verdana" w:hAnsi="Verdana" w:cs="Arial"/>
          <w:b/>
          <w:bCs/>
          <w:color w:val="000000" w:themeColor="text1"/>
          <w:lang w:val="es-ES_tradnl"/>
        </w:rPr>
      </w:pPr>
      <w:r>
        <w:rPr>
          <w:rFonts w:ascii="Verdana" w:eastAsia="Calibri" w:hAnsi="Verdana" w:cs="Arial"/>
          <w:color w:val="000000"/>
        </w:rPr>
        <w:t xml:space="preserve">los convenios de asociación </w:t>
      </w:r>
      <w:r w:rsidRPr="697BF333">
        <w:rPr>
          <w:rFonts w:ascii="Verdana" w:eastAsia="Calibri" w:hAnsi="Verdana" w:cs="Arial"/>
          <w:lang w:val="es-ES"/>
        </w:rPr>
        <w:t xml:space="preserve">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si entra dentro del ámbito de aplicación de la mencionada prohibición, de manera que no es posible su aplicación en vigencia de la restricción a la contratación directa.  </w:t>
      </w:r>
    </w:p>
    <w:p w14:paraId="78EA83E8" w14:textId="77777777" w:rsidR="00A22876" w:rsidRDefault="00A22876" w:rsidP="00C15139">
      <w:pPr>
        <w:spacing w:after="0"/>
        <w:rPr>
          <w:rFonts w:ascii="Verdana" w:hAnsi="Verdana"/>
        </w:rPr>
      </w:pPr>
    </w:p>
    <w:p w14:paraId="62A5D300" w14:textId="77777777" w:rsidR="00A22876" w:rsidRDefault="00A22876" w:rsidP="00C15139">
      <w:pPr>
        <w:spacing w:after="0"/>
        <w:rPr>
          <w:rFonts w:ascii="Verdana" w:hAnsi="Verdana"/>
        </w:rPr>
      </w:pPr>
    </w:p>
    <w:p w14:paraId="12443EE0" w14:textId="4D4B6E05" w:rsidR="00C15139" w:rsidRPr="0024624F" w:rsidRDefault="00A22876" w:rsidP="00C15139">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1BE6A93E" wp14:editId="596C4C4A">
            <wp:simplePos x="0" y="0"/>
            <wp:positionH relativeFrom="column">
              <wp:posOffset>3070004</wp:posOffset>
            </wp:positionH>
            <wp:positionV relativeFrom="paragraph">
              <wp:posOffset>64881</wp:posOffset>
            </wp:positionV>
            <wp:extent cx="2520950" cy="7493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520950" cy="74930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11 Diciembre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bookmarkEnd w:id="0"/>
    <w:p w14:paraId="4C301F8E" w14:textId="77777777" w:rsidR="003B5C8D" w:rsidRPr="0051487B" w:rsidRDefault="003B5C8D" w:rsidP="003B5C8D">
      <w:pPr>
        <w:spacing w:after="0" w:line="240" w:lineRule="auto"/>
        <w:jc w:val="both"/>
        <w:rPr>
          <w:rFonts w:ascii="Verdana" w:eastAsia="Calibri" w:hAnsi="Verdana" w:cs="Arial"/>
          <w:lang w:val="de-DE" w:eastAsia="es-ES"/>
        </w:rPr>
      </w:pPr>
      <w:r w:rsidRPr="0051487B">
        <w:rPr>
          <w:rFonts w:ascii="Verdana" w:eastAsia="Calibri" w:hAnsi="Verdana" w:cs="Arial"/>
          <w:lang w:val="de-DE" w:eastAsia="es-ES"/>
        </w:rPr>
        <w:t>Señor</w:t>
      </w:r>
      <w:r>
        <w:rPr>
          <w:rFonts w:ascii="Verdana" w:eastAsia="Calibri" w:hAnsi="Verdana" w:cs="Arial"/>
          <w:lang w:val="de-DE" w:eastAsia="es-ES"/>
        </w:rPr>
        <w:t>a</w:t>
      </w:r>
    </w:p>
    <w:p w14:paraId="6D375776" w14:textId="77777777" w:rsidR="003B5C8D" w:rsidRPr="0051487B" w:rsidRDefault="003B5C8D" w:rsidP="003B5C8D">
      <w:pPr>
        <w:spacing w:after="0" w:line="240" w:lineRule="auto"/>
        <w:rPr>
          <w:rFonts w:ascii="Verdana" w:eastAsia="Calibri" w:hAnsi="Verdana" w:cs="Arial"/>
          <w:b/>
          <w:lang w:val="de-DE" w:eastAsia="es-ES"/>
        </w:rPr>
      </w:pPr>
      <w:r>
        <w:rPr>
          <w:rFonts w:ascii="Verdana" w:eastAsia="Calibri" w:hAnsi="Verdana" w:cs="Arial"/>
          <w:b/>
          <w:lang w:val="de-DE" w:eastAsia="es-ES"/>
        </w:rPr>
        <w:t>Andrea Stephania Leyva Villegas</w:t>
      </w:r>
    </w:p>
    <w:p w14:paraId="7F2331A4" w14:textId="77777777" w:rsidR="003B5C8D" w:rsidRPr="0051487B" w:rsidRDefault="00BF652E" w:rsidP="003B5C8D">
      <w:pPr>
        <w:spacing w:after="0" w:line="240" w:lineRule="auto"/>
        <w:rPr>
          <w:rFonts w:ascii="Verdana" w:hAnsi="Verdana" w:cs="ArialMT"/>
          <w:lang w:val="de-DE"/>
        </w:rPr>
      </w:pPr>
      <w:hyperlink r:id="rId11" w:history="1">
        <w:r w:rsidR="003B5C8D" w:rsidRPr="00471BA5">
          <w:rPr>
            <w:rStyle w:val="Hipervnculo"/>
            <w:rFonts w:ascii="Verdana" w:hAnsi="Verdana" w:cs="ArialMT"/>
            <w:lang w:val="de-DE"/>
          </w:rPr>
          <w:t>leyvavillegasandrea@gmail.com</w:t>
        </w:r>
      </w:hyperlink>
      <w:r w:rsidR="003B5C8D">
        <w:rPr>
          <w:rFonts w:ascii="Verdana" w:hAnsi="Verdana" w:cs="ArialMT"/>
          <w:lang w:val="de-DE"/>
        </w:rPr>
        <w:t xml:space="preserve"> </w:t>
      </w:r>
      <w:r w:rsidR="003B5C8D" w:rsidRPr="0051487B">
        <w:rPr>
          <w:rFonts w:ascii="Verdana" w:hAnsi="Verdana" w:cs="ArialMT"/>
          <w:lang w:val="de-DE"/>
        </w:rPr>
        <w:t xml:space="preserve">   </w:t>
      </w:r>
    </w:p>
    <w:p w14:paraId="04345073" w14:textId="79758512" w:rsidR="003B5C8D" w:rsidRPr="00C53B42" w:rsidRDefault="00902D11" w:rsidP="003B5C8D">
      <w:pPr>
        <w:spacing w:after="0" w:line="240" w:lineRule="auto"/>
        <w:rPr>
          <w:rFonts w:ascii="Verdana" w:hAnsi="Verdana" w:cs="ArialMT"/>
        </w:rPr>
      </w:pPr>
      <w:r>
        <w:rPr>
          <w:rFonts w:ascii="Verdana" w:eastAsia="Calibri" w:hAnsi="Verdana" w:cs="Arial"/>
          <w:lang w:val="es-ES" w:eastAsia="es-ES"/>
        </w:rPr>
        <w:t>Cali, Valle del Cauca</w:t>
      </w:r>
    </w:p>
    <w:p w14:paraId="65FF0698" w14:textId="77777777" w:rsidR="003B5C8D" w:rsidRPr="00C53B42" w:rsidRDefault="003B5C8D" w:rsidP="003B5C8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3B5C8D" w:rsidRPr="00C53B42" w14:paraId="44359D03" w14:textId="77777777" w:rsidTr="0014503A">
        <w:trPr>
          <w:trHeight w:val="218"/>
        </w:trPr>
        <w:tc>
          <w:tcPr>
            <w:tcW w:w="2175" w:type="dxa"/>
          </w:tcPr>
          <w:p w14:paraId="03ACE59D" w14:textId="77777777" w:rsidR="003B5C8D" w:rsidRPr="00C53B42" w:rsidRDefault="003B5C8D" w:rsidP="0014503A">
            <w:pPr>
              <w:jc w:val="both"/>
              <w:rPr>
                <w:rFonts w:ascii="Verdana" w:eastAsia="Calibri" w:hAnsi="Verdana" w:cs="Arial"/>
                <w:b/>
                <w:bCs/>
                <w:color w:val="7030A0"/>
                <w:lang w:val="es-ES_tradnl" w:eastAsia="es-ES_tradnl"/>
              </w:rPr>
            </w:pPr>
          </w:p>
        </w:tc>
        <w:tc>
          <w:tcPr>
            <w:tcW w:w="6614" w:type="dxa"/>
            <w:hideMark/>
          </w:tcPr>
          <w:p w14:paraId="1AF17D32" w14:textId="77777777" w:rsidR="003B5C8D" w:rsidRDefault="003B5C8D" w:rsidP="0014503A">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1599</w:t>
            </w:r>
            <w:r w:rsidRPr="00C53B42">
              <w:rPr>
                <w:rFonts w:ascii="Verdana" w:eastAsia="Calibri" w:hAnsi="Verdana" w:cs="Arial"/>
                <w:b/>
                <w:bCs/>
                <w:lang w:val="es-ES" w:eastAsia="es-ES"/>
              </w:rPr>
              <w:t xml:space="preserve"> de 2025</w:t>
            </w:r>
          </w:p>
          <w:p w14:paraId="3D5CB3BE" w14:textId="77777777" w:rsidR="003B5C8D" w:rsidRPr="00C53B42" w:rsidRDefault="003B5C8D" w:rsidP="0014503A">
            <w:pPr>
              <w:jc w:val="both"/>
              <w:rPr>
                <w:rFonts w:ascii="Verdana" w:eastAsia="Calibri" w:hAnsi="Verdana" w:cs="Arial"/>
                <w:b/>
                <w:bCs/>
                <w:lang w:val="es-ES" w:eastAsia="es-ES"/>
              </w:rPr>
            </w:pPr>
          </w:p>
          <w:p w14:paraId="28684BED" w14:textId="77777777" w:rsidR="003B5C8D" w:rsidRPr="00C53B42" w:rsidRDefault="003B5C8D" w:rsidP="0014503A">
            <w:pPr>
              <w:jc w:val="both"/>
              <w:rPr>
                <w:rFonts w:ascii="Verdana" w:eastAsia="Calibri" w:hAnsi="Verdana" w:cs="Arial"/>
                <w:b/>
                <w:bCs/>
                <w:lang w:val="es-ES" w:eastAsia="es-ES"/>
              </w:rPr>
            </w:pPr>
          </w:p>
        </w:tc>
      </w:tr>
      <w:tr w:rsidR="003B5C8D" w:rsidRPr="00C53B42" w14:paraId="45C4C219" w14:textId="77777777" w:rsidTr="0014503A">
        <w:trPr>
          <w:trHeight w:val="884"/>
        </w:trPr>
        <w:tc>
          <w:tcPr>
            <w:tcW w:w="2175" w:type="dxa"/>
            <w:hideMark/>
          </w:tcPr>
          <w:p w14:paraId="57D554BB" w14:textId="77777777" w:rsidR="003B5C8D" w:rsidRPr="00C53B42" w:rsidRDefault="003B5C8D" w:rsidP="0014503A">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2E205F34" w14:textId="77777777" w:rsidR="003B5C8D" w:rsidRDefault="003B5C8D" w:rsidP="0014503A">
            <w:pPr>
              <w:jc w:val="both"/>
              <w:rPr>
                <w:rFonts w:ascii="Verdana" w:hAnsi="Verdana" w:cs="Arial"/>
                <w:bCs/>
                <w:color w:val="000000" w:themeColor="text1"/>
                <w:lang w:val="es-ES_tradnl"/>
              </w:rPr>
            </w:pPr>
            <w:r w:rsidRPr="00C53B42">
              <w:rPr>
                <w:rFonts w:ascii="Verdana" w:hAnsi="Verdana" w:cs="Arial"/>
                <w:bCs/>
                <w:color w:val="000000" w:themeColor="text1"/>
                <w:lang w:val="es-ES_tradnl"/>
              </w:rPr>
              <w:t xml:space="preserve">LEY DE </w:t>
            </w:r>
            <w:r w:rsidRPr="00430973">
              <w:rPr>
                <w:rFonts w:ascii="Verdana" w:hAnsi="Verdana" w:cs="Arial"/>
                <w:bCs/>
                <w:color w:val="000000" w:themeColor="text1"/>
                <w:lang w:val="es-ES_tradnl"/>
              </w:rPr>
              <w:t>GARANTÍAS ELECTORALES ‒ Finalidad / LEY DE GARANTÍAS ELECTORALES ‒ Tipos de restricciones</w:t>
            </w:r>
            <w:r>
              <w:rPr>
                <w:rFonts w:ascii="Verdana" w:hAnsi="Verdana" w:cs="Arial"/>
                <w:bCs/>
                <w:color w:val="000000" w:themeColor="text1"/>
                <w:lang w:val="es-ES_tradnl"/>
              </w:rPr>
              <w:t xml:space="preserve"> / </w:t>
            </w:r>
            <w:r>
              <w:rPr>
                <w:rFonts w:ascii="Verdana" w:eastAsia="Times New Roman" w:hAnsi="Verdana" w:cs="Arial"/>
                <w:lang w:eastAsia="es-ES_tradnl"/>
              </w:rPr>
              <w:t>LEY DE GARANTÍAS ELECTORALES - Aplicación en contratos de colaboración y convenios de asociación</w:t>
            </w:r>
          </w:p>
          <w:p w14:paraId="2AF11C7E" w14:textId="77777777" w:rsidR="003B5C8D" w:rsidRDefault="003B5C8D" w:rsidP="0014503A">
            <w:pPr>
              <w:jc w:val="both"/>
              <w:rPr>
                <w:rFonts w:ascii="Verdana" w:hAnsi="Verdana" w:cs="Arial"/>
                <w:bCs/>
                <w:color w:val="000000" w:themeColor="text1"/>
                <w:lang w:val="es-ES_tradnl"/>
              </w:rPr>
            </w:pPr>
          </w:p>
          <w:p w14:paraId="7EDED600" w14:textId="77777777" w:rsidR="003B5C8D" w:rsidRPr="00C53B42" w:rsidRDefault="003B5C8D" w:rsidP="0014503A">
            <w:pPr>
              <w:jc w:val="both"/>
              <w:rPr>
                <w:rFonts w:ascii="Verdana" w:eastAsia="Calibri" w:hAnsi="Verdana" w:cs="Arial"/>
                <w:lang w:val="es-ES" w:eastAsia="es-ES"/>
              </w:rPr>
            </w:pPr>
          </w:p>
        </w:tc>
      </w:tr>
      <w:tr w:rsidR="003B5C8D" w14:paraId="3640470D" w14:textId="77777777" w:rsidTr="0014503A">
        <w:trPr>
          <w:trHeight w:val="360"/>
        </w:trPr>
        <w:tc>
          <w:tcPr>
            <w:tcW w:w="2175" w:type="dxa"/>
            <w:hideMark/>
          </w:tcPr>
          <w:p w14:paraId="28571BEA" w14:textId="77777777" w:rsidR="003B5C8D" w:rsidRPr="00C53B42" w:rsidRDefault="003B5C8D" w:rsidP="0014503A">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30D6A9E3" w14:textId="77777777" w:rsidR="003B5C8D" w:rsidRPr="00C53B42" w:rsidRDefault="003B5C8D" w:rsidP="0014503A">
            <w:pPr>
              <w:jc w:val="both"/>
              <w:rPr>
                <w:rFonts w:ascii="Verdana" w:eastAsia="Calibri" w:hAnsi="Verdana" w:cs="Arial"/>
                <w:lang w:val="es-ES_tradnl" w:eastAsia="es-ES_tradnl"/>
              </w:rPr>
            </w:pPr>
            <w:r w:rsidRPr="00C53B42">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374855">
              <w:rPr>
                <w:rFonts w:ascii="Verdana" w:eastAsia="Calibri" w:hAnsi="Verdana" w:cs="Arial"/>
                <w:lang w:val="es-ES_tradnl" w:eastAsia="es-ES_tradnl"/>
              </w:rPr>
              <w:t>1_2025_10_29_012217</w:t>
            </w:r>
          </w:p>
        </w:tc>
      </w:tr>
    </w:tbl>
    <w:p w14:paraId="5AF2928A" w14:textId="77777777" w:rsidR="003B5C8D" w:rsidRDefault="003B5C8D" w:rsidP="003B5C8D">
      <w:pPr>
        <w:spacing w:after="0" w:line="240" w:lineRule="auto"/>
        <w:jc w:val="both"/>
        <w:rPr>
          <w:rFonts w:ascii="Verdana" w:eastAsia="Calibri" w:hAnsi="Verdana" w:cs="Arial"/>
          <w:color w:val="000000"/>
          <w:lang w:val="es-ES_tradnl" w:eastAsia="es-ES_tradnl"/>
        </w:rPr>
      </w:pPr>
    </w:p>
    <w:p w14:paraId="26ECA9A7" w14:textId="77777777" w:rsidR="003B5C8D" w:rsidRDefault="003B5C8D" w:rsidP="003B5C8D">
      <w:pPr>
        <w:spacing w:after="0" w:line="240" w:lineRule="auto"/>
        <w:jc w:val="both"/>
        <w:rPr>
          <w:rFonts w:ascii="Verdana" w:eastAsia="Calibri" w:hAnsi="Verdana" w:cs="Arial"/>
          <w:color w:val="000000"/>
          <w:lang w:val="es-ES_tradnl" w:eastAsia="es-ES_tradnl"/>
        </w:rPr>
      </w:pPr>
    </w:p>
    <w:p w14:paraId="60352643" w14:textId="77777777" w:rsidR="003B5C8D" w:rsidRDefault="003B5C8D" w:rsidP="003B5C8D">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Estimada señora Leyva,</w:t>
      </w:r>
    </w:p>
    <w:p w14:paraId="7209B3D3" w14:textId="77777777" w:rsidR="003B5C8D" w:rsidRDefault="003B5C8D" w:rsidP="003B5C8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9449D89" w14:textId="77777777" w:rsidR="003B5C8D" w:rsidRDefault="003B5C8D" w:rsidP="003B5C8D">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del 29 de octubre de 2025, en la cual manifiesta lo siguiente: </w:t>
      </w:r>
    </w:p>
    <w:p w14:paraId="585C8296" w14:textId="77777777" w:rsidR="003B5C8D" w:rsidRDefault="003B5C8D" w:rsidP="003B5C8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00A8B08" w14:textId="77777777" w:rsidR="003B5C8D" w:rsidRPr="0009275E" w:rsidRDefault="003B5C8D" w:rsidP="003B5C8D">
      <w:pPr>
        <w:autoSpaceDE w:val="0"/>
        <w:autoSpaceDN w:val="0"/>
        <w:adjustRightInd w:val="0"/>
        <w:spacing w:after="0" w:line="240" w:lineRule="auto"/>
        <w:ind w:left="709" w:right="709"/>
        <w:jc w:val="both"/>
        <w:rPr>
          <w:rFonts w:ascii="Verdana" w:hAnsi="Verdana"/>
          <w:sz w:val="20"/>
          <w:szCs w:val="20"/>
        </w:rPr>
      </w:pPr>
      <w:r w:rsidRPr="0009275E">
        <w:rPr>
          <w:rFonts w:ascii="Verdana" w:eastAsia="Century Gothic" w:hAnsi="Verdana" w:cs="Century Gothic"/>
          <w:sz w:val="20"/>
          <w:szCs w:val="20"/>
          <w:lang w:val="es-ES"/>
        </w:rPr>
        <w:t>“</w:t>
      </w:r>
      <w:r w:rsidRPr="0009275E">
        <w:rPr>
          <w:rFonts w:ascii="Verdana" w:hAnsi="Verdana"/>
          <w:sz w:val="20"/>
          <w:szCs w:val="20"/>
        </w:rPr>
        <w:t xml:space="preserve">Conforme a las restricciones para la celebración de contratos y convenios interadministrativos con ocasión a la Ley 996 de 2005, quisiera saber: </w:t>
      </w:r>
    </w:p>
    <w:p w14:paraId="5F84AA3D" w14:textId="77777777" w:rsidR="003B5C8D" w:rsidRPr="0009275E" w:rsidRDefault="003B5C8D" w:rsidP="003B5C8D">
      <w:pPr>
        <w:autoSpaceDE w:val="0"/>
        <w:autoSpaceDN w:val="0"/>
        <w:adjustRightInd w:val="0"/>
        <w:spacing w:after="0" w:line="240" w:lineRule="auto"/>
        <w:ind w:left="709" w:right="709"/>
        <w:jc w:val="both"/>
        <w:rPr>
          <w:rFonts w:ascii="Verdana" w:hAnsi="Verdana"/>
          <w:sz w:val="20"/>
          <w:szCs w:val="20"/>
        </w:rPr>
      </w:pPr>
      <w:r w:rsidRPr="0009275E">
        <w:rPr>
          <w:rFonts w:ascii="Verdana" w:hAnsi="Verdana"/>
          <w:sz w:val="20"/>
          <w:szCs w:val="20"/>
        </w:rPr>
        <w:t xml:space="preserve">1) Puede una entidad pública suscribir contratos interadministrativos posterior al 07 de noviembre de 2025, basado es las restricciones de la Ley 996 de 2005? </w:t>
      </w:r>
    </w:p>
    <w:p w14:paraId="7F83DB92" w14:textId="77777777" w:rsidR="003B5C8D" w:rsidRPr="0009275E" w:rsidRDefault="003B5C8D" w:rsidP="003B5C8D">
      <w:pPr>
        <w:autoSpaceDE w:val="0"/>
        <w:autoSpaceDN w:val="0"/>
        <w:adjustRightInd w:val="0"/>
        <w:spacing w:after="0" w:line="240" w:lineRule="auto"/>
        <w:ind w:left="709" w:right="709"/>
        <w:jc w:val="both"/>
        <w:rPr>
          <w:rFonts w:ascii="Verdana" w:hAnsi="Verdana"/>
          <w:sz w:val="20"/>
          <w:szCs w:val="20"/>
        </w:rPr>
      </w:pPr>
      <w:r w:rsidRPr="0009275E">
        <w:rPr>
          <w:rFonts w:ascii="Verdana" w:hAnsi="Verdana"/>
          <w:sz w:val="20"/>
          <w:szCs w:val="20"/>
        </w:rPr>
        <w:t xml:space="preserve">2) Al adelantar un proceso competitivo, entiéndase proceso de selección a través de las modalidades de selección distintas a la Contratación Directa, entiéndase: Licitación Pública, Concurso de Méritos, Selección Abreviada, Mínima Cuantía, qué hago cuando el adjudicatario resulta ser una Entidad Pública y se encuentra vigente la restricciones respecto de la suscripción de convenios y contratos interadministrativos? </w:t>
      </w:r>
    </w:p>
    <w:p w14:paraId="008B6216" w14:textId="77777777" w:rsidR="003B5C8D" w:rsidRPr="0009275E" w:rsidRDefault="003B5C8D" w:rsidP="003B5C8D">
      <w:pPr>
        <w:autoSpaceDE w:val="0"/>
        <w:autoSpaceDN w:val="0"/>
        <w:adjustRightInd w:val="0"/>
        <w:spacing w:after="0" w:line="240" w:lineRule="auto"/>
        <w:ind w:left="709" w:right="709"/>
        <w:jc w:val="both"/>
        <w:rPr>
          <w:rFonts w:ascii="Verdana" w:eastAsia="Century Gothic" w:hAnsi="Verdana" w:cs="Century Gothic"/>
          <w:sz w:val="20"/>
          <w:szCs w:val="20"/>
          <w:lang w:val="es-ES"/>
        </w:rPr>
      </w:pPr>
      <w:r w:rsidRPr="0009275E">
        <w:rPr>
          <w:rFonts w:ascii="Verdana" w:hAnsi="Verdana"/>
          <w:sz w:val="20"/>
          <w:szCs w:val="20"/>
        </w:rPr>
        <w:t>3) A la modalidad de contratación directa prevista en el Decreto 092 de 2017, se le aplica la restricción con ocasión adelantar procesos por contratación directa según la Ley 996 de 2005?</w:t>
      </w:r>
      <w:r w:rsidRPr="0009275E">
        <w:rPr>
          <w:rFonts w:ascii="Verdana" w:eastAsia="Century Gothic" w:hAnsi="Verdana" w:cs="Century Gothic"/>
          <w:sz w:val="20"/>
          <w:szCs w:val="20"/>
          <w:lang w:val="es-ES"/>
        </w:rPr>
        <w:t>”</w:t>
      </w:r>
    </w:p>
    <w:p w14:paraId="7E3E84C9" w14:textId="77777777" w:rsidR="003B5C8D" w:rsidRPr="00924340" w:rsidRDefault="003B5C8D" w:rsidP="003B5C8D">
      <w:pPr>
        <w:autoSpaceDE w:val="0"/>
        <w:autoSpaceDN w:val="0"/>
        <w:adjustRightInd w:val="0"/>
        <w:spacing w:after="0" w:line="276" w:lineRule="auto"/>
        <w:ind w:left="851" w:right="616"/>
        <w:jc w:val="both"/>
        <w:rPr>
          <w:rFonts w:ascii="Verdana" w:eastAsia="Century Gothic" w:hAnsi="Verdana" w:cs="Century Gothic"/>
          <w:b/>
        </w:rPr>
      </w:pPr>
    </w:p>
    <w:p w14:paraId="3F7905F6" w14:textId="77777777" w:rsidR="003B5C8D" w:rsidRDefault="003B5C8D" w:rsidP="003B5C8D">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20E685D0" w14:textId="77777777" w:rsidR="003B5C8D" w:rsidRDefault="003B5C8D" w:rsidP="003B5C8D">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del caso en concreto planteado, pero señalando algunas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46A82F10" w14:textId="77777777" w:rsidR="003B5C8D" w:rsidRDefault="003B5C8D" w:rsidP="003B5C8D">
      <w:pPr>
        <w:spacing w:after="0" w:line="276" w:lineRule="auto"/>
        <w:ind w:firstLine="709"/>
        <w:jc w:val="both"/>
        <w:rPr>
          <w:rFonts w:ascii="Verdana" w:eastAsia="Calibri" w:hAnsi="Verdana" w:cs="Arial"/>
          <w:color w:val="000000"/>
          <w:lang w:val="es-ES" w:eastAsia="es-ES"/>
        </w:rPr>
      </w:pPr>
    </w:p>
    <w:p w14:paraId="3D2262FD" w14:textId="77777777" w:rsidR="003B5C8D" w:rsidRDefault="003B5C8D" w:rsidP="003B5C8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6B3C4625" w14:textId="77777777" w:rsidR="003B5C8D" w:rsidRDefault="003B5C8D" w:rsidP="003B5C8D">
      <w:pPr>
        <w:tabs>
          <w:tab w:val="left" w:pos="426"/>
        </w:tabs>
        <w:spacing w:after="0" w:line="276" w:lineRule="auto"/>
        <w:jc w:val="both"/>
        <w:rPr>
          <w:rFonts w:ascii="Verdana" w:eastAsia="Century Gothic" w:hAnsi="Verdana" w:cs="Century Gothic"/>
          <w:lang w:val="es-ES"/>
        </w:rPr>
      </w:pPr>
    </w:p>
    <w:p w14:paraId="025BE92A" w14:textId="4806FC00" w:rsidR="003B5C8D" w:rsidRDefault="003B5C8D" w:rsidP="003B5C8D">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i) </w:t>
      </w:r>
      <w:r w:rsidRPr="005649AA">
        <w:rPr>
          <w:rFonts w:ascii="Verdana" w:eastAsia="Century Gothic" w:hAnsi="Verdana" w:cs="Century Gothic"/>
        </w:rPr>
        <w:t>¿</w:t>
      </w:r>
      <w:r w:rsidR="00CD58ED">
        <w:rPr>
          <w:rFonts w:ascii="Verdana" w:eastAsia="Century Gothic" w:hAnsi="Verdana" w:cs="Century Gothic"/>
        </w:rPr>
        <w:t>L</w:t>
      </w:r>
      <w:r w:rsidRPr="004E1038">
        <w:rPr>
          <w:rFonts w:ascii="Verdana" w:eastAsia="Century Gothic" w:hAnsi="Verdana" w:cs="Century Gothic"/>
        </w:rPr>
        <w:t>a restricción contenida en el</w:t>
      </w:r>
      <w:r w:rsidRPr="004E1038">
        <w:rPr>
          <w:rFonts w:ascii="Verdana" w:eastAsia="Century Gothic" w:hAnsi="Verdana" w:cs="Century Gothic"/>
          <w:lang w:val="es-ES"/>
        </w:rPr>
        <w:t xml:space="preserve"> parágrafo del artículo 38 de la Ley 996 de 2005 aplica a</w:t>
      </w:r>
      <w:r>
        <w:rPr>
          <w:rFonts w:ascii="Verdana" w:eastAsia="Century Gothic" w:hAnsi="Verdana" w:cs="Century Gothic"/>
          <w:lang w:val="es-ES"/>
        </w:rPr>
        <w:t xml:space="preserve"> contratos y</w:t>
      </w:r>
      <w:r w:rsidRPr="004E1038">
        <w:rPr>
          <w:rFonts w:ascii="Verdana" w:eastAsia="Century Gothic" w:hAnsi="Verdana" w:cs="Century Gothic"/>
          <w:lang w:val="es-ES"/>
        </w:rPr>
        <w:t xml:space="preserve"> convenios interadministrativos</w:t>
      </w:r>
      <w:r w:rsidRPr="004E1038">
        <w:rPr>
          <w:rFonts w:ascii="Verdana" w:eastAsia="Century Gothic" w:hAnsi="Verdana" w:cs="Century Gothic"/>
        </w:rPr>
        <w:t>?</w:t>
      </w:r>
      <w:r>
        <w:rPr>
          <w:rFonts w:ascii="Verdana" w:eastAsia="Century Gothic" w:hAnsi="Verdana" w:cs="Century Gothic"/>
        </w:rPr>
        <w:t xml:space="preserve"> y ii) ¿</w:t>
      </w:r>
      <w:r w:rsidR="00CD58ED">
        <w:rPr>
          <w:rFonts w:ascii="Verdana" w:eastAsia="Calibri" w:hAnsi="Verdana" w:cs="Arial"/>
          <w:color w:val="000000"/>
          <w:lang w:eastAsia="es-ES"/>
        </w:rPr>
        <w:t>L</w:t>
      </w:r>
      <w:r w:rsidRPr="000D3A6E">
        <w:rPr>
          <w:rFonts w:ascii="Verdana" w:eastAsia="Calibri" w:hAnsi="Verdana" w:cs="Arial"/>
          <w:color w:val="000000"/>
          <w:lang w:eastAsia="es-ES"/>
        </w:rPr>
        <w:t xml:space="preserve">a </w:t>
      </w:r>
      <w:r>
        <w:rPr>
          <w:rFonts w:ascii="Verdana" w:eastAsia="Calibri" w:hAnsi="Verdana" w:cs="Arial"/>
          <w:color w:val="000000"/>
          <w:lang w:eastAsia="es-ES"/>
        </w:rPr>
        <w:t>restricción a la contratación directa establecida en el artículo 33 de la Ley 996 de 2005 aplica a los convenios de asociación del</w:t>
      </w:r>
      <w:r w:rsidRPr="000D3A6E">
        <w:rPr>
          <w:rFonts w:ascii="Verdana" w:eastAsia="Century Gothic" w:hAnsi="Verdana" w:cs="Century Gothic"/>
        </w:rPr>
        <w:t xml:space="preserve"> artículo 5 del Decreto 092 de 2017</w:t>
      </w:r>
      <w:r>
        <w:rPr>
          <w:rFonts w:ascii="Verdana" w:eastAsia="Century Gothic" w:hAnsi="Verdana" w:cs="Century Gothic"/>
        </w:rPr>
        <w:t>?</w:t>
      </w:r>
    </w:p>
    <w:p w14:paraId="1B0C9D24" w14:textId="77777777" w:rsidR="003B5C8D" w:rsidRDefault="003B5C8D" w:rsidP="003B5C8D">
      <w:pPr>
        <w:spacing w:after="0" w:line="276" w:lineRule="auto"/>
        <w:jc w:val="both"/>
        <w:rPr>
          <w:rFonts w:ascii="Verdana" w:eastAsia="Calibri" w:hAnsi="Verdana" w:cs="Arial"/>
          <w:color w:val="7030A0"/>
          <w:lang w:val="es-ES"/>
        </w:rPr>
      </w:pPr>
    </w:p>
    <w:p w14:paraId="4DF5405A" w14:textId="77777777" w:rsidR="003B5C8D" w:rsidRDefault="003B5C8D" w:rsidP="003B5C8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54B2981B" w14:textId="77777777" w:rsidR="003B5C8D" w:rsidRDefault="003B5C8D" w:rsidP="003B5C8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B5C8D" w:rsidRPr="00DE5508" w14:paraId="586029BD" w14:textId="77777777" w:rsidTr="0014503A">
        <w:tc>
          <w:tcPr>
            <w:tcW w:w="8828" w:type="dxa"/>
            <w:tcBorders>
              <w:top w:val="dotted" w:sz="4" w:space="0" w:color="auto"/>
              <w:left w:val="dotted" w:sz="4" w:space="0" w:color="auto"/>
              <w:bottom w:val="dotted" w:sz="4" w:space="0" w:color="auto"/>
              <w:right w:val="dotted" w:sz="4" w:space="0" w:color="auto"/>
            </w:tcBorders>
          </w:tcPr>
          <w:p w14:paraId="628234B9" w14:textId="77777777" w:rsidR="003B5C8D" w:rsidRPr="00374855" w:rsidRDefault="003B5C8D" w:rsidP="003B5C8D">
            <w:pPr>
              <w:pStyle w:val="Prrafodelista"/>
              <w:numPr>
                <w:ilvl w:val="0"/>
                <w:numId w:val="18"/>
              </w:numPr>
              <w:spacing w:after="120" w:line="276" w:lineRule="auto"/>
              <w:ind w:left="31" w:firstLine="0"/>
              <w:jc w:val="both"/>
              <w:rPr>
                <w:rFonts w:ascii="Verdana" w:eastAsia="Arial" w:hAnsi="Verdana" w:cs="Arial"/>
                <w:color w:val="000000"/>
              </w:rPr>
            </w:pPr>
            <w:r w:rsidRPr="00374855">
              <w:rPr>
                <w:rFonts w:ascii="Verdana" w:hAnsi="Verdana" w:cs="BCDHEE+Verdana"/>
                <w:color w:val="000000"/>
              </w:rPr>
              <w:t xml:space="preserve">El parágrafo del artículo 38 de la Ley 996 de 2005 prohíbe a los gobernadores, alcaldes municipales o distritales, secretarios, gerentes y directores de entidades descentralizadas del orden municipal, departamental o distrital </w:t>
            </w:r>
            <w:r w:rsidRPr="00374855">
              <w:rPr>
                <w:rFonts w:ascii="Verdana" w:eastAsia="Arial" w:hAnsi="Verdana" w:cs="Arial"/>
                <w:color w:val="000000"/>
              </w:rPr>
              <w:t xml:space="preserve">“[…] celebrar convenios interadministrativos para la ejecución de recursos públicos, ni participar, promover y destinar recursos públicos de las </w:t>
            </w:r>
            <w:r w:rsidRPr="00374855">
              <w:rPr>
                <w:rFonts w:ascii="Verdana" w:eastAsia="Arial" w:hAnsi="Verdana" w:cs="Arial"/>
                <w:color w:val="000000"/>
              </w:rPr>
              <w:lastRenderedPageBreak/>
              <w:t xml:space="preserve">entidades a su cargo, como tampoco de las que participen como miembros de sus juntas directivas, en o para reuniones de carácter proselitista”. </w:t>
            </w:r>
          </w:p>
          <w:p w14:paraId="382D9325" w14:textId="77777777" w:rsidR="003B5C8D" w:rsidRDefault="003B5C8D" w:rsidP="0014503A">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r w:rsidRPr="00E2397D">
              <w:rPr>
                <w:rFonts w:ascii="Verdana" w:eastAsia="Times New Roman" w:hAnsi="Verdana" w:cs="Arial"/>
                <w:lang w:eastAsia="es-CO"/>
              </w:rPr>
              <w:t xml:space="preserve">e observa entonces 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4772C889" w14:textId="77777777" w:rsidR="003B5C8D" w:rsidRDefault="003B5C8D" w:rsidP="0014503A">
            <w:pPr>
              <w:spacing w:before="120" w:line="276" w:lineRule="auto"/>
              <w:ind w:firstLine="708"/>
              <w:jc w:val="both"/>
              <w:rPr>
                <w:rFonts w:ascii="Verdana" w:eastAsia="Times New Roman" w:hAnsi="Verdana" w:cs="Arial"/>
                <w:lang w:eastAsia="es-CO"/>
              </w:rPr>
            </w:pPr>
            <w:r w:rsidRPr="00BC3A80">
              <w:rPr>
                <w:rFonts w:ascii="Verdana" w:eastAsia="Times New Roman" w:hAnsi="Verdana" w:cs="Arial"/>
                <w:lang w:val="es-MX" w:eastAsia="es-CO"/>
              </w:rPr>
              <w:t>Respecto del alcance de esta prohibición la Circular Externa No. 006 de 2025 expedida por la ANCP -CCE, en los literales ii) y iv) del numeral 2</w:t>
            </w:r>
            <w:r w:rsidRPr="00BC3A80">
              <w:rPr>
                <w:rFonts w:ascii="Verdana" w:eastAsia="Times New Roman" w:hAnsi="Verdana" w:cs="Arial"/>
                <w:lang w:eastAsia="es-CO"/>
              </w:rPr>
              <w:t>,</w:t>
            </w:r>
            <w:r w:rsidRPr="00BC3A80">
              <w:rPr>
                <w:rFonts w:ascii="Verdana" w:eastAsia="Times New Roman" w:hAnsi="Verdana" w:cs="Arial"/>
                <w:lang w:val="es-MX" w:eastAsia="es-CO"/>
              </w:rPr>
              <w:t xml:space="preserve"> indica que el </w:t>
            </w:r>
            <w:r w:rsidRPr="00BC3A80">
              <w:rPr>
                <w:rFonts w:ascii="Verdana" w:eastAsia="Times New Roman" w:hAnsi="Verdana" w:cs="Arial"/>
                <w:lang w:eastAsia="es-CO"/>
              </w:rPr>
              <w:t xml:space="preserve">parágrafo del artículo 38 de la Ley 996 de 2005 cobija expresamente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BC3A80">
              <w:rPr>
                <w:rFonts w:ascii="Verdana" w:eastAsia="Times New Roman" w:hAnsi="Verdana" w:cs="Arial"/>
                <w:i/>
                <w:iCs/>
                <w:lang w:eastAsia="es-CO"/>
              </w:rPr>
              <w:t>“aunque se configure alguno de los supuestos de excepción que señaló el inciso final del artículo 33”.</w:t>
            </w:r>
            <w:r w:rsidRPr="00BC3A80">
              <w:rPr>
                <w:rFonts w:ascii="Verdana" w:eastAsia="Times New Roman" w:hAnsi="Verdana" w:cs="Arial"/>
                <w:lang w:eastAsia="es-CO"/>
              </w:rPr>
              <w:t xml:space="preserve"> </w:t>
            </w:r>
          </w:p>
          <w:p w14:paraId="1983FE4C" w14:textId="77777777" w:rsidR="003B5C8D" w:rsidRPr="00BC3A80" w:rsidRDefault="003B5C8D" w:rsidP="0014503A">
            <w:pPr>
              <w:spacing w:before="12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w:t>
            </w:r>
            <w:r w:rsidRPr="00BC3A80">
              <w:rPr>
                <w:rFonts w:ascii="Verdana" w:eastAsia="Times New Roman" w:hAnsi="Verdana" w:cs="Arial"/>
                <w:i/>
                <w:iCs/>
                <w:lang w:eastAsia="es-CO"/>
              </w:rPr>
              <w:t>ejecución de recursos públicos</w:t>
            </w:r>
            <w:r w:rsidRPr="00BC3A80">
              <w:rPr>
                <w:rFonts w:ascii="Verdana" w:eastAsia="Times New Roman" w:hAnsi="Verdana" w:cs="Arial"/>
                <w:lang w:eastAsia="es-CO"/>
              </w:rPr>
              <w:t xml:space="preserve">. Esto significa que la prohibición no resulta aplicable a </w:t>
            </w:r>
            <w:r w:rsidRPr="00BC3A80">
              <w:rPr>
                <w:rFonts w:ascii="Verdana" w:eastAsia="Times New Roman" w:hAnsi="Verdana" w:cs="Arial"/>
                <w:i/>
                <w:iCs/>
                <w:lang w:eastAsia="es-CO"/>
              </w:rPr>
              <w:t>convenios interadministrativos a título gratuito,</w:t>
            </w:r>
            <w:r w:rsidRPr="00BC3A80">
              <w:rPr>
                <w:rFonts w:ascii="Verdana" w:eastAsia="Times New Roman" w:hAnsi="Verdana" w:cs="Arial"/>
                <w:lang w:eastAsia="es-CO"/>
              </w:rPr>
              <w:t xml:space="preserve"> los cuales pueden celebrarse válidamente durante la vigencia de la mencionada restricción. </w:t>
            </w:r>
          </w:p>
          <w:p w14:paraId="77BF6ADE" w14:textId="77777777" w:rsidR="003B5C8D" w:rsidRDefault="003B5C8D" w:rsidP="0014503A">
            <w:pPr>
              <w:spacing w:before="120" w:line="276" w:lineRule="auto"/>
              <w:ind w:firstLine="708"/>
              <w:jc w:val="both"/>
              <w:rPr>
                <w:rFonts w:ascii="Verdana" w:eastAsia="Arial" w:hAnsi="Verdana" w:cs="Arial"/>
                <w:color w:val="000000"/>
              </w:rPr>
            </w:pPr>
            <w:r>
              <w:rPr>
                <w:rFonts w:ascii="Verdana" w:eastAsia="Times New Roman" w:hAnsi="Verdana" w:cs="Arial"/>
                <w:lang w:eastAsia="es-CO"/>
              </w:rPr>
              <w:t>Por último, se resalta que a</w:t>
            </w:r>
            <w:r w:rsidRPr="00BC3A80">
              <w:rPr>
                <w:rFonts w:ascii="Verdana" w:eastAsia="Times New Roman" w:hAnsi="Verdana" w:cs="Arial"/>
                <w:lang w:eastAsia="es-CO"/>
              </w:rPr>
              <w:t xml:space="preserve"> la luz de lo expuesto por el Consejo de Estado en los autos del 4 de octubre de 2024 y 6 de noviembre de 2025,</w:t>
            </w:r>
            <w:r>
              <w:rPr>
                <w:rFonts w:ascii="Verdana" w:eastAsia="Times New Roman" w:hAnsi="Verdana" w:cs="Arial"/>
                <w:lang w:eastAsia="es-CO"/>
              </w:rPr>
              <w:t xml:space="preserve"> y en la Sentencia del 17 de octubre de 2025,</w:t>
            </w:r>
            <w:r w:rsidRPr="00BC3A80">
              <w:rPr>
                <w:rFonts w:ascii="Verdana" w:eastAsia="Times New Roman" w:hAnsi="Verdana" w:cs="Arial"/>
                <w:lang w:eastAsia="es-CO"/>
              </w:rPr>
              <w:t xml:space="preserve"> no resultaría aplicable la prohibición del parágrafo del artículo 38 de la Ley de Garantías Electorales a los </w:t>
            </w:r>
            <w:r w:rsidRPr="00BC3A80">
              <w:rPr>
                <w:rFonts w:ascii="Verdana" w:eastAsia="Times New Roman" w:hAnsi="Verdana" w:cs="Arial"/>
                <w:i/>
                <w:iCs/>
                <w:lang w:eastAsia="es-CO"/>
              </w:rPr>
              <w:t>contratos interadministrativos</w:t>
            </w:r>
            <w:r>
              <w:rPr>
                <w:rFonts w:ascii="Verdana" w:eastAsia="Times New Roman" w:hAnsi="Verdana" w:cs="Arial"/>
                <w:lang w:eastAsia="es-CO"/>
              </w:rPr>
              <w:t xml:space="preserve"> sino únicamente a los </w:t>
            </w:r>
            <w:r w:rsidRPr="002A503A">
              <w:rPr>
                <w:rFonts w:ascii="Verdana" w:eastAsia="Times New Roman" w:hAnsi="Verdana" w:cs="Arial"/>
                <w:i/>
                <w:iCs/>
                <w:lang w:eastAsia="es-CO"/>
              </w:rPr>
              <w:t>convenios interadministrativos</w:t>
            </w:r>
            <w:r>
              <w:rPr>
                <w:rFonts w:ascii="Verdana" w:eastAsia="Times New Roman" w:hAnsi="Verdana" w:cs="Arial"/>
                <w:lang w:eastAsia="es-CO"/>
              </w:rPr>
              <w:t>.</w:t>
            </w:r>
          </w:p>
          <w:p w14:paraId="0573CEDF" w14:textId="77777777" w:rsidR="003B5C8D" w:rsidRDefault="003B5C8D" w:rsidP="0014503A">
            <w:pPr>
              <w:spacing w:after="120" w:line="276" w:lineRule="auto"/>
              <w:jc w:val="both"/>
              <w:rPr>
                <w:rFonts w:ascii="Verdana" w:hAnsi="Verdana" w:cs="BCDHEE+Verdana"/>
                <w:color w:val="000000"/>
              </w:rPr>
            </w:pPr>
          </w:p>
          <w:p w14:paraId="46D3FD2E" w14:textId="4EFE54D4" w:rsidR="003B5C8D" w:rsidRDefault="003B5C8D" w:rsidP="00407E09">
            <w:pPr>
              <w:spacing w:after="120" w:line="276" w:lineRule="auto"/>
              <w:jc w:val="both"/>
              <w:rPr>
                <w:rFonts w:ascii="Verdana" w:eastAsia="Times New Roman" w:hAnsi="Verdana" w:cs="Open Sans"/>
                <w:lang w:eastAsia="es-CO"/>
              </w:rPr>
            </w:pPr>
            <w:r>
              <w:rPr>
                <w:rFonts w:ascii="Verdana" w:hAnsi="Verdana" w:cs="BCDHEE+Verdana"/>
                <w:color w:val="000000"/>
              </w:rPr>
              <w:lastRenderedPageBreak/>
              <w:t xml:space="preserve">ii. </w:t>
            </w:r>
            <w:r w:rsidR="00407E09">
              <w:rPr>
                <w:rFonts w:ascii="Verdana" w:eastAsia="Times New Roman" w:hAnsi="Verdana" w:cs="Open Sans"/>
                <w:lang w:eastAsia="es-CO"/>
              </w:rPr>
              <w:t>E</w:t>
            </w:r>
            <w:r w:rsidRPr="00B3605D">
              <w:rPr>
                <w:rFonts w:ascii="Verdana" w:eastAsia="Times New Roman" w:hAnsi="Verdana" w:cs="Open Sans"/>
                <w:lang w:eastAsia="es-CO"/>
              </w:rPr>
              <w:t xml:space="preserv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2"/>
            </w:r>
            <w:r>
              <w:rPr>
                <w:rFonts w:ascii="Verdana" w:eastAsia="Times New Roman" w:hAnsi="Verdana" w:cs="Open Sans"/>
                <w:lang w:eastAsia="es-CO"/>
              </w:rPr>
              <w:t>.</w:t>
            </w:r>
          </w:p>
          <w:p w14:paraId="4DA4A214" w14:textId="77777777" w:rsidR="003B5C8D" w:rsidRDefault="003B5C8D" w:rsidP="0014503A">
            <w:pPr>
              <w:spacing w:after="120" w:line="276" w:lineRule="auto"/>
              <w:ind w:firstLine="740"/>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3FEAC756" w14:textId="77777777" w:rsidR="003B5C8D" w:rsidRDefault="003B5C8D" w:rsidP="0014503A">
            <w:pPr>
              <w:spacing w:before="120" w:after="120" w:line="276" w:lineRule="auto"/>
              <w:ind w:firstLine="709"/>
              <w:jc w:val="both"/>
              <w:rPr>
                <w:rFonts w:ascii="Verdana" w:eastAsia="Calibri" w:hAnsi="Verdana" w:cs="Arial"/>
                <w:lang w:val="es-ES"/>
              </w:rPr>
            </w:pPr>
            <w:r>
              <w:rPr>
                <w:rFonts w:ascii="Verdana" w:eastAsia="Times New Roman" w:hAnsi="Verdana" w:cs="Arial"/>
                <w:lang w:val="es-MX" w:eastAsia="es-CO"/>
              </w:rPr>
              <w:t>Ahora bien, para dar respuesta al problema jurídico planteado, debe advertirse que e</w:t>
            </w:r>
            <w:r w:rsidRPr="00377ED6">
              <w:rPr>
                <w:rFonts w:ascii="Verdana" w:eastAsia="Calibri" w:hAnsi="Verdana" w:cs="Arial"/>
                <w:lang w:val="es-ES"/>
              </w:rPr>
              <w:t xml:space="preserv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ii) los convenios de asociación, para el desarrollo conjunto de actividades relacionadas con las funciones de las entidades estatales, en desarrollo del artículo 96 de la Ley 489 de 1998. </w:t>
            </w:r>
          </w:p>
          <w:p w14:paraId="2CEE0190" w14:textId="77777777" w:rsidR="003B5C8D" w:rsidRDefault="003B5C8D" w:rsidP="0014503A">
            <w:pPr>
              <w:spacing w:before="120" w:after="120" w:line="276" w:lineRule="auto"/>
              <w:ind w:firstLine="709"/>
              <w:jc w:val="both"/>
              <w:rPr>
                <w:rFonts w:ascii="Verdana" w:eastAsia="Calibri" w:hAnsi="Verdana" w:cs="Arial"/>
                <w:lang w:val="es-ES"/>
              </w:rPr>
            </w:pPr>
            <w:r>
              <w:rPr>
                <w:rFonts w:ascii="Verdana" w:eastAsia="Calibri" w:hAnsi="Verdana" w:cs="Arial"/>
                <w:lang w:val="es-ES"/>
              </w:rPr>
              <w:t xml:space="preserve">Para celebrar el primer tipo de contratos, </w:t>
            </w:r>
            <w:r w:rsidRPr="00377ED6">
              <w:rPr>
                <w:rFonts w:ascii="Verdana" w:eastAsia="Calibri" w:hAnsi="Verdana" w:cs="Arial"/>
                <w:lang w:val="es-ES"/>
              </w:rPr>
              <w:t xml:space="preserve">según lo establece el artículo 3 del Decreto 092 de 2017, la entidad debe adelantar un proceso competitivo para seleccionar la entidad sin ánimo de lucro </w:t>
            </w:r>
            <w:r>
              <w:rPr>
                <w:rFonts w:ascii="Verdana" w:eastAsia="Calibri" w:hAnsi="Verdana" w:cs="Arial"/>
                <w:lang w:val="es-ES"/>
              </w:rPr>
              <w:t xml:space="preserve">que ejecutará el contrato. De acuerdo con esto, la celebración de los contratos los que se refiere el artículo 355 superior, regidos por los artículos 2, 3 y 4 del Decreto 092 de 2017, no se </w:t>
            </w:r>
            <w:r>
              <w:rPr>
                <w:rFonts w:ascii="Verdana" w:eastAsia="Calibri" w:hAnsi="Verdana" w:cs="Arial"/>
                <w:lang w:val="es-ES"/>
              </w:rPr>
              <w:lastRenderedPageBreak/>
              <w:t xml:space="preserve">afecta por la restricción del artículo 33 de la Ley 996 de 2005, en la medida en que su suscripción debe darse previo desarrollo de proceso competitivo.  </w:t>
            </w:r>
          </w:p>
          <w:p w14:paraId="41BECA8D" w14:textId="3E38C4EC" w:rsidR="003B5C8D" w:rsidRDefault="003B5C8D" w:rsidP="0014503A">
            <w:pPr>
              <w:spacing w:before="120" w:after="120" w:line="276" w:lineRule="auto"/>
              <w:ind w:firstLine="709"/>
              <w:jc w:val="both"/>
              <w:rPr>
                <w:rFonts w:ascii="Verdana" w:eastAsia="Calibri" w:hAnsi="Verdana" w:cs="Arial"/>
                <w:lang w:val="es-ES"/>
              </w:rPr>
            </w:pPr>
            <w:r w:rsidRPr="697BF333">
              <w:rPr>
                <w:rFonts w:ascii="Verdana" w:eastAsia="Calibri" w:hAnsi="Verdana" w:cs="Arial"/>
                <w:lang w:val="es-ES"/>
              </w:rPr>
              <w:t xml:space="preserve">De otro lado, la celebración de los </w:t>
            </w:r>
            <w:r w:rsidRPr="697BF333">
              <w:rPr>
                <w:rFonts w:ascii="Verdana" w:eastAsia="Calibri" w:hAnsi="Verdana" w:cs="Arial"/>
                <w:i/>
                <w:lang w:val="es-ES"/>
              </w:rPr>
              <w:t xml:space="preserve">convenios de asociación </w:t>
            </w:r>
            <w:r w:rsidRPr="697BF333">
              <w:rPr>
                <w:rFonts w:ascii="Verdana" w:eastAsia="Calibri" w:hAnsi="Verdana" w:cs="Arial"/>
                <w:lang w:val="es-ES"/>
              </w:rPr>
              <w:t>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w:t>
            </w:r>
            <w:r w:rsidR="00407E09">
              <w:rPr>
                <w:rFonts w:ascii="Verdana" w:eastAsia="Calibri" w:hAnsi="Verdana" w:cs="Arial"/>
                <w:lang w:val="es-ES"/>
              </w:rPr>
              <w:t>,</w:t>
            </w:r>
            <w:r w:rsidRPr="697BF333">
              <w:rPr>
                <w:rFonts w:ascii="Verdana" w:eastAsia="Calibri" w:hAnsi="Verdana" w:cs="Arial"/>
                <w:lang w:val="es-ES"/>
              </w:rPr>
              <w:t xml:space="preserve"> a excepción de la posibilidad celebrar convenios de asociación de manera directa, en aquellos casos en los que una entidad sin ánimo de lucro aporte el 30% de los recursos en dinero requeridos, supuesto que, al excluir la pluralidad de oferentes, si entra dentro del ámbito de aplicación de la mencionada prohibición, de manera que no es posible su aplicación en vigencia de la restricción a la contratación directa.  </w:t>
            </w:r>
          </w:p>
          <w:p w14:paraId="4F6D69E0" w14:textId="77777777" w:rsidR="003B5C8D" w:rsidRPr="00374855" w:rsidRDefault="003B5C8D" w:rsidP="0014503A">
            <w:pPr>
              <w:spacing w:after="120" w:line="276" w:lineRule="auto"/>
              <w:ind w:firstLine="740"/>
              <w:jc w:val="both"/>
              <w:rPr>
                <w:rFonts w:ascii="Verdana" w:hAnsi="Verdana" w:cs="BCDHEE+Verdana"/>
                <w:color w:val="000000"/>
              </w:rPr>
            </w:pPr>
            <w:r>
              <w:rPr>
                <w:rFonts w:ascii="Verdana" w:eastAsia="Times New Roman" w:hAnsi="Verdana" w:cs="Arial"/>
                <w:lang w:val="es-MX" w:eastAsia="x-none"/>
              </w:rPr>
              <w:t>Sin perjuicio de lo anterior</w:t>
            </w:r>
            <w:r w:rsidRPr="00F02C5A">
              <w:rPr>
                <w:rFonts w:ascii="Verdana" w:eastAsia="Times New Roman" w:hAnsi="Verdana" w:cs="Arial"/>
                <w:lang w:val="es-MX" w:eastAsia="x-none"/>
              </w:rPr>
              <w:t xml:space="preserve">, la restricción prevista en </w:t>
            </w:r>
            <w:r>
              <w:rPr>
                <w:rFonts w:ascii="Verdana" w:eastAsia="Times New Roman" w:hAnsi="Verdana" w:cs="Arial"/>
                <w:lang w:val="es-MX" w:eastAsia="x-none"/>
              </w:rPr>
              <w:t xml:space="preserve">el artículo 33 de la </w:t>
            </w:r>
            <w:r w:rsidRPr="00F02C5A">
              <w:rPr>
                <w:rFonts w:ascii="Verdana" w:eastAsia="Times New Roman" w:hAnsi="Verdana" w:cs="Arial"/>
                <w:lang w:val="es-MX" w:eastAsia="x-none"/>
              </w:rPr>
              <w:t>Ley de Garantías Electorales</w:t>
            </w:r>
            <w:r>
              <w:rPr>
                <w:rFonts w:ascii="Verdana" w:eastAsia="Times New Roman" w:hAnsi="Verdana" w:cs="Arial"/>
                <w:lang w:val="es-MX" w:eastAsia="x-none"/>
              </w:rPr>
              <w:t xml:space="preserve"> contempla algunas excepciones</w:t>
            </w:r>
            <w:r w:rsidRPr="00F02C5A">
              <w:rPr>
                <w:rFonts w:ascii="Verdana" w:eastAsia="Times New Roman" w:hAnsi="Verdana" w:cs="Arial"/>
                <w:lang w:val="es-MX" w:eastAsia="x-none"/>
              </w:rPr>
              <w:t xml:space="preserve">, con fundamento en las cuales podrán las entidades públicas adelantar procedimientos de </w:t>
            </w:r>
            <w:r>
              <w:rPr>
                <w:rFonts w:ascii="Verdana" w:eastAsia="Times New Roman" w:hAnsi="Verdana" w:cs="Arial"/>
                <w:lang w:val="es-MX" w:eastAsia="x-none"/>
              </w:rPr>
              <w:t>contratación</w:t>
            </w:r>
            <w:r w:rsidRPr="00F02C5A">
              <w:rPr>
                <w:rFonts w:ascii="Verdana" w:eastAsia="Times New Roman" w:hAnsi="Verdana" w:cs="Arial"/>
                <w:lang w:val="es-MX" w:eastAsia="x-none"/>
              </w:rPr>
              <w:t xml:space="preserve"> directa en períodos previos a la contienda electoral por la Presidencia, </w:t>
            </w:r>
            <w:r>
              <w:rPr>
                <w:rFonts w:ascii="Verdana" w:eastAsia="Times New Roman" w:hAnsi="Verdana" w:cs="Arial"/>
                <w:lang w:val="es-MX" w:eastAsia="x-none"/>
              </w:rPr>
              <w:t xml:space="preserve">siempre que se subsuma en los supuestos contemplados de </w:t>
            </w:r>
            <w:r w:rsidRPr="00F02C5A">
              <w:rPr>
                <w:rFonts w:ascii="Verdana" w:eastAsia="Times New Roman" w:hAnsi="Verdana" w:cs="Arial"/>
                <w:lang w:val="es-MX" w:eastAsia="x-none"/>
              </w:rPr>
              <w:t>manera taxativa en el inciso final del citado artículo 33 de la Ley 996 de 2005.</w:t>
            </w:r>
            <w:r>
              <w:rPr>
                <w:rFonts w:ascii="Verdana" w:eastAsia="Times New Roman" w:hAnsi="Verdana" w:cs="Arial"/>
                <w:lang w:val="es-MX" w:eastAsia="x-none"/>
              </w:rPr>
              <w:t xml:space="preserve"> Por lo tanto, será</w:t>
            </w:r>
            <w:r w:rsidRPr="00F02C5A">
              <w:rPr>
                <w:rFonts w:ascii="Verdana" w:eastAsia="Times New Roman" w:hAnsi="Verdana" w:cs="Arial"/>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3838A5F" w14:textId="77777777" w:rsidR="003B5C8D" w:rsidRPr="00DE5508" w:rsidRDefault="003B5C8D" w:rsidP="0014503A">
            <w:pPr>
              <w:spacing w:after="120" w:line="276" w:lineRule="auto"/>
              <w:ind w:firstLine="709"/>
              <w:jc w:val="both"/>
              <w:rPr>
                <w:rFonts w:ascii="Verdana" w:hAnsi="Verdana"/>
              </w:rPr>
            </w:pPr>
            <w:r w:rsidRPr="00DE5508">
              <w:rPr>
                <w:rFonts w:ascii="Verdana" w:hAnsi="Verdana"/>
              </w:rPr>
              <w:t>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7C2E1F95" w14:textId="77777777" w:rsidR="003B5C8D" w:rsidRPr="00DE5508" w:rsidRDefault="003B5C8D" w:rsidP="003B5C8D">
      <w:pPr>
        <w:tabs>
          <w:tab w:val="left" w:pos="142"/>
          <w:tab w:val="left" w:pos="284"/>
        </w:tabs>
        <w:spacing w:after="0" w:line="276" w:lineRule="auto"/>
        <w:jc w:val="both"/>
        <w:rPr>
          <w:rFonts w:ascii="Verdana" w:eastAsia="Century Gothic" w:hAnsi="Verdana" w:cs="Century Gothic"/>
          <w:b/>
          <w:bCs/>
          <w:lang w:val="es-ES"/>
        </w:rPr>
      </w:pPr>
    </w:p>
    <w:p w14:paraId="107E94DD" w14:textId="77777777" w:rsidR="003B5C8D" w:rsidRDefault="003B5C8D" w:rsidP="003B5C8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lastRenderedPageBreak/>
        <w:t>Razones de la respuesta:</w:t>
      </w:r>
    </w:p>
    <w:p w14:paraId="63218DF7" w14:textId="77777777" w:rsidR="003B5C8D" w:rsidRDefault="003B5C8D" w:rsidP="003B5C8D">
      <w:pPr>
        <w:spacing w:after="0" w:line="276" w:lineRule="auto"/>
        <w:jc w:val="both"/>
        <w:rPr>
          <w:rFonts w:ascii="Verdana" w:eastAsia="Calibri" w:hAnsi="Verdana" w:cs="Arial"/>
          <w:color w:val="7030A0"/>
          <w:lang w:val="es-ES"/>
        </w:rPr>
      </w:pPr>
    </w:p>
    <w:p w14:paraId="195038F7" w14:textId="77777777" w:rsidR="003B5C8D" w:rsidRDefault="003B5C8D" w:rsidP="003B5C8D">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35A6155A" w14:textId="77777777" w:rsidR="003B5C8D" w:rsidRDefault="003B5C8D" w:rsidP="003B5C8D">
      <w:pPr>
        <w:widowControl w:val="0"/>
        <w:autoSpaceDE w:val="0"/>
        <w:autoSpaceDN w:val="0"/>
        <w:spacing w:after="0" w:line="276" w:lineRule="auto"/>
        <w:ind w:right="176"/>
        <w:jc w:val="both"/>
        <w:rPr>
          <w:rFonts w:ascii="Verdana" w:eastAsia="Calibri" w:hAnsi="Verdana" w:cs="Arial"/>
          <w:lang w:val="es-ES"/>
        </w:rPr>
      </w:pPr>
    </w:p>
    <w:p w14:paraId="3F8DEB52" w14:textId="77777777" w:rsidR="003B5C8D" w:rsidRDefault="003B5C8D" w:rsidP="003B5C8D">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42898986" w14:textId="77777777" w:rsidR="003B5C8D" w:rsidRPr="006B14B5" w:rsidRDefault="003B5C8D" w:rsidP="003B5C8D">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316DA043" w14:textId="77777777" w:rsidR="003B5C8D" w:rsidRPr="00E2397D" w:rsidRDefault="003B5C8D" w:rsidP="003B5C8D">
      <w:pPr>
        <w:spacing w:after="0" w:line="276" w:lineRule="auto"/>
        <w:ind w:right="709"/>
        <w:contextualSpacing/>
        <w:jc w:val="both"/>
        <w:rPr>
          <w:rFonts w:ascii="Verdana" w:eastAsia="Times New Roman" w:hAnsi="Verdana" w:cs="Arial"/>
          <w:lang w:val="es-ES" w:eastAsia="es-CO"/>
        </w:rPr>
      </w:pPr>
    </w:p>
    <w:p w14:paraId="55AA0839" w14:textId="77777777" w:rsidR="003B5C8D" w:rsidRPr="00E2397D" w:rsidRDefault="003B5C8D" w:rsidP="003B5C8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770A6365" w14:textId="77777777" w:rsidR="003B5C8D" w:rsidRPr="00E2397D" w:rsidRDefault="003B5C8D" w:rsidP="003B5C8D">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64942116" w14:textId="77777777" w:rsidR="003B5C8D" w:rsidRPr="00E2397D" w:rsidRDefault="003B5C8D" w:rsidP="003B5C8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21C62B86" w14:textId="77777777" w:rsidR="003B5C8D" w:rsidRPr="00E2397D" w:rsidRDefault="003B5C8D" w:rsidP="003B5C8D">
      <w:pPr>
        <w:spacing w:after="0" w:line="276" w:lineRule="auto"/>
        <w:ind w:firstLine="709"/>
        <w:jc w:val="both"/>
        <w:rPr>
          <w:rFonts w:ascii="Verdana" w:eastAsia="Times New Roman" w:hAnsi="Verdana" w:cs="Arial"/>
          <w:lang w:val="es-MX" w:eastAsia="es-CO"/>
        </w:rPr>
      </w:pPr>
    </w:p>
    <w:p w14:paraId="4A80880C" w14:textId="77777777" w:rsidR="003B5C8D" w:rsidRPr="00E2397D" w:rsidRDefault="003B5C8D" w:rsidP="003B5C8D">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w:t>
      </w:r>
      <w:r w:rsidRPr="00E2397D">
        <w:rPr>
          <w:rFonts w:ascii="Verdana" w:eastAsia="Times New Roman" w:hAnsi="Verdana" w:cs="Arial"/>
          <w:lang w:val="es-MX" w:eastAsia="es-CO"/>
        </w:rPr>
        <w:lastRenderedPageBreak/>
        <w:t>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3FF0226E" w14:textId="77777777" w:rsidR="003B5C8D" w:rsidRPr="00886C02" w:rsidRDefault="003B5C8D" w:rsidP="003B5C8D">
      <w:pPr>
        <w:spacing w:after="0" w:line="276" w:lineRule="auto"/>
        <w:ind w:firstLine="709"/>
        <w:jc w:val="both"/>
        <w:rPr>
          <w:rFonts w:ascii="Verdana" w:eastAsia="Times New Roman" w:hAnsi="Verdana" w:cs="Arial"/>
          <w:lang w:val="es-MX" w:eastAsia="es-CO"/>
        </w:rPr>
      </w:pPr>
    </w:p>
    <w:p w14:paraId="7A65A947" w14:textId="77777777" w:rsidR="003B5C8D" w:rsidRPr="00E2397D" w:rsidRDefault="003B5C8D" w:rsidP="003B5C8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91C0866" w14:textId="77777777" w:rsidR="003B5C8D" w:rsidRPr="00E2397D" w:rsidRDefault="003B5C8D" w:rsidP="003B5C8D">
      <w:pPr>
        <w:spacing w:after="0" w:line="240" w:lineRule="auto"/>
        <w:ind w:right="709"/>
        <w:contextualSpacing/>
        <w:jc w:val="both"/>
        <w:rPr>
          <w:rFonts w:ascii="Verdana" w:eastAsia="Times New Roman" w:hAnsi="Verdana" w:cs="Arial"/>
          <w:lang w:val="es-MX" w:eastAsia="es-CO"/>
        </w:rPr>
      </w:pPr>
    </w:p>
    <w:p w14:paraId="337AF16B" w14:textId="77777777" w:rsidR="003B5C8D" w:rsidRPr="00E2397D" w:rsidRDefault="003B5C8D" w:rsidP="003B5C8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0E8C70D6" w14:textId="77777777" w:rsidR="003B5C8D" w:rsidRPr="00E2397D" w:rsidRDefault="003B5C8D" w:rsidP="003B5C8D">
      <w:pPr>
        <w:spacing w:after="0" w:line="276" w:lineRule="auto"/>
        <w:jc w:val="both"/>
        <w:rPr>
          <w:rFonts w:ascii="Verdana" w:eastAsia="Calibri" w:hAnsi="Verdana" w:cs="Arial"/>
          <w:bCs/>
          <w:lang w:val="es-ES_tradnl"/>
        </w:rPr>
      </w:pPr>
    </w:p>
    <w:p w14:paraId="3CD188DA" w14:textId="77777777" w:rsidR="003B5C8D" w:rsidRPr="00B3605D" w:rsidRDefault="003B5C8D" w:rsidP="003B5C8D">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w:t>
      </w:r>
      <w:r w:rsidRPr="00B3605D">
        <w:rPr>
          <w:rFonts w:ascii="Verdana" w:eastAsia="Arial" w:hAnsi="Verdana" w:cs="Arial"/>
          <w:lang w:val="es-ES" w:eastAsia="es-ES" w:bidi="es-ES"/>
        </w:rPr>
        <w:lastRenderedPageBreak/>
        <w:t xml:space="preserve">siquiera sospecha de que, por ese medio, en los periodos previos a la contienda electoral, se altere las condiciones de igualdad entre los candidatos. </w:t>
      </w:r>
    </w:p>
    <w:p w14:paraId="4D7BD522" w14:textId="77777777" w:rsidR="003B5C8D" w:rsidRPr="00D61E29" w:rsidRDefault="003B5C8D" w:rsidP="003B5C8D">
      <w:pPr>
        <w:spacing w:after="0" w:line="276" w:lineRule="auto"/>
        <w:ind w:firstLine="708"/>
        <w:jc w:val="both"/>
        <w:rPr>
          <w:rFonts w:ascii="Verdana" w:eastAsia="Times New Roman" w:hAnsi="Verdana" w:cs="Open Sans"/>
          <w:lang w:eastAsia="es-CO"/>
        </w:rPr>
      </w:pPr>
      <w:r>
        <w:rPr>
          <w:rFonts w:ascii="Verdana" w:eastAsia="Times New Roman" w:hAnsi="Verdana" w:cs="Open Sans"/>
          <w:iCs/>
          <w:lang w:val="es-ES" w:eastAsia="es-CO"/>
        </w:rPr>
        <w:t xml:space="preserve">Para resolver el primer problema jurídico de esta consulta, es necesario analizar </w:t>
      </w:r>
      <w:r w:rsidRPr="00D61E29">
        <w:rPr>
          <w:rFonts w:ascii="Verdana" w:eastAsia="Times New Roman" w:hAnsi="Verdana" w:cs="Open Sans"/>
          <w:lang w:eastAsia="es-CO"/>
        </w:rPr>
        <w:t xml:space="preserve">el parágrafo del artículo 38 </w:t>
      </w:r>
      <w:r>
        <w:rPr>
          <w:rFonts w:ascii="Verdana" w:eastAsia="Times New Roman" w:hAnsi="Verdana" w:cs="Open Sans"/>
          <w:lang w:eastAsia="es-CO"/>
        </w:rPr>
        <w:t xml:space="preserve">de la Ley de Garantía Electorales que </w:t>
      </w:r>
      <w:r w:rsidRPr="00D61E29">
        <w:rPr>
          <w:rFonts w:ascii="Verdana" w:eastAsia="Calibri" w:hAnsi="Verdana" w:cs="Arial"/>
        </w:rPr>
        <w:t>prevé una restricción, aplicable respecto de cualquier tipo de contienda electoral, como sigue:</w:t>
      </w:r>
    </w:p>
    <w:p w14:paraId="22AC4D33" w14:textId="77777777" w:rsidR="003B5C8D" w:rsidRDefault="003B5C8D" w:rsidP="003B5C8D">
      <w:pPr>
        <w:pStyle w:val="NormalWeb"/>
        <w:spacing w:before="0" w:beforeAutospacing="0" w:after="0" w:afterAutospacing="0" w:line="276" w:lineRule="auto"/>
        <w:ind w:left="709" w:right="616"/>
        <w:jc w:val="both"/>
        <w:rPr>
          <w:rStyle w:val="baj"/>
          <w:rFonts w:ascii="Verdana" w:eastAsiaTheme="minorHAnsi" w:hAnsi="Verdana" w:cs="Open Sans"/>
          <w:b/>
          <w:sz w:val="20"/>
          <w:szCs w:val="20"/>
          <w:lang w:eastAsia="en-US"/>
        </w:rPr>
      </w:pPr>
    </w:p>
    <w:p w14:paraId="471A5AD2" w14:textId="77777777" w:rsidR="003B5C8D" w:rsidRPr="00D61E29" w:rsidRDefault="003B5C8D" w:rsidP="003B5C8D">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591AF418" w14:textId="77777777" w:rsidR="003B5C8D" w:rsidRPr="00D61E29" w:rsidRDefault="003B5C8D" w:rsidP="003B5C8D">
      <w:pPr>
        <w:pStyle w:val="NormalWeb"/>
        <w:spacing w:before="0" w:beforeAutospacing="0" w:after="0" w:afterAutospacing="0"/>
        <w:ind w:left="709" w:right="709"/>
        <w:jc w:val="both"/>
        <w:rPr>
          <w:rFonts w:ascii="Verdana" w:hAnsi="Verdana" w:cs="Open Sans"/>
          <w:sz w:val="20"/>
          <w:szCs w:val="20"/>
        </w:rPr>
      </w:pPr>
    </w:p>
    <w:p w14:paraId="7A131355" w14:textId="77777777" w:rsidR="003B5C8D" w:rsidRPr="00D61E29" w:rsidRDefault="003B5C8D" w:rsidP="003B5C8D">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Tampoco podrán inaugurar obras públicas o dar inicio a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48D9A32F" w14:textId="77777777" w:rsidR="003B5C8D" w:rsidRDefault="003B5C8D" w:rsidP="003B5C8D">
      <w:pPr>
        <w:pStyle w:val="NormalWeb"/>
        <w:spacing w:before="0" w:beforeAutospacing="0" w:after="0" w:afterAutospacing="0"/>
        <w:ind w:left="709" w:right="709"/>
        <w:jc w:val="both"/>
        <w:rPr>
          <w:rFonts w:ascii="Verdana" w:hAnsi="Verdana" w:cs="Open Sans"/>
          <w:sz w:val="20"/>
          <w:szCs w:val="20"/>
        </w:rPr>
      </w:pPr>
    </w:p>
    <w:p w14:paraId="60560CED" w14:textId="77777777" w:rsidR="003B5C8D" w:rsidRPr="00D61E29" w:rsidRDefault="003B5C8D" w:rsidP="003B5C8D">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603ACB8B" w14:textId="77777777" w:rsidR="003B5C8D" w:rsidRDefault="003B5C8D" w:rsidP="003B5C8D">
      <w:pPr>
        <w:pStyle w:val="NormalWeb"/>
        <w:spacing w:before="0" w:beforeAutospacing="0" w:after="0" w:afterAutospacing="0"/>
        <w:ind w:left="709" w:right="709"/>
        <w:jc w:val="both"/>
        <w:rPr>
          <w:rFonts w:ascii="Verdana" w:hAnsi="Verdana" w:cs="Open Sans"/>
          <w:sz w:val="20"/>
          <w:szCs w:val="20"/>
        </w:rPr>
      </w:pPr>
    </w:p>
    <w:p w14:paraId="4A9F7F78" w14:textId="77777777" w:rsidR="003B5C8D" w:rsidRPr="00D61E29" w:rsidRDefault="003B5C8D" w:rsidP="003B5C8D">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r>
        <w:rPr>
          <w:rFonts w:ascii="Verdana" w:hAnsi="Verdana" w:cs="Open Sans"/>
          <w:sz w:val="20"/>
          <w:szCs w:val="20"/>
        </w:rPr>
        <w:t>”</w:t>
      </w:r>
      <w:r w:rsidRPr="00D61E29">
        <w:rPr>
          <w:rFonts w:ascii="Verdana" w:hAnsi="Verdana" w:cs="Open Sans"/>
          <w:sz w:val="20"/>
          <w:szCs w:val="20"/>
        </w:rPr>
        <w:t>.</w:t>
      </w:r>
    </w:p>
    <w:p w14:paraId="63E9EE9E" w14:textId="77777777" w:rsidR="003B5C8D" w:rsidRDefault="003B5C8D" w:rsidP="003B5C8D">
      <w:pPr>
        <w:widowControl w:val="0"/>
        <w:autoSpaceDE w:val="0"/>
        <w:autoSpaceDN w:val="0"/>
        <w:spacing w:after="0" w:line="276" w:lineRule="auto"/>
        <w:ind w:right="113"/>
        <w:contextualSpacing/>
        <w:jc w:val="both"/>
      </w:pPr>
    </w:p>
    <w:p w14:paraId="2073FCF1" w14:textId="77777777" w:rsidR="003B5C8D" w:rsidRDefault="003B5C8D" w:rsidP="003B5C8D">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r w:rsidRPr="00E2397D">
        <w:rPr>
          <w:rFonts w:ascii="Verdana" w:eastAsia="Times New Roman" w:hAnsi="Verdana" w:cs="Arial"/>
          <w:lang w:eastAsia="es-CO"/>
        </w:rPr>
        <w:t xml:space="preserve">e observa entonces </w:t>
      </w:r>
      <w:bookmarkStart w:id="1"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lastRenderedPageBreak/>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1"/>
    </w:p>
    <w:p w14:paraId="1CBB5F5A" w14:textId="77777777" w:rsidR="003B5C8D" w:rsidRPr="00BC3A80" w:rsidRDefault="003B5C8D" w:rsidP="003B5C8D">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val="es-MX" w:eastAsia="es-CO"/>
        </w:rPr>
        <w:t>Respecto del alcance de esta prohibición la Circular Externa No. 006 de 2025 expedida por la ANCP -CCE, en los literales ii) y iv) del numeral 2</w:t>
      </w:r>
      <w:r w:rsidRPr="00BC3A80">
        <w:rPr>
          <w:rFonts w:ascii="Verdana" w:eastAsia="Times New Roman" w:hAnsi="Verdana" w:cs="Arial"/>
          <w:lang w:eastAsia="es-CO"/>
        </w:rPr>
        <w:t>,</w:t>
      </w:r>
      <w:r w:rsidRPr="00BC3A80">
        <w:rPr>
          <w:rFonts w:ascii="Verdana" w:eastAsia="Times New Roman" w:hAnsi="Verdana" w:cs="Arial"/>
          <w:lang w:val="es-MX" w:eastAsia="es-CO"/>
        </w:rPr>
        <w:t xml:space="preserve"> indica que el </w:t>
      </w:r>
      <w:r w:rsidRPr="00BC3A80">
        <w:rPr>
          <w:rFonts w:ascii="Verdana" w:eastAsia="Times New Roman" w:hAnsi="Verdana" w:cs="Arial"/>
          <w:lang w:eastAsia="es-CO"/>
        </w:rPr>
        <w:t xml:space="preserve">parágrafo del artículo 38 de la Ley 996 de 2005 cobija expresamente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BC3A80">
        <w:rPr>
          <w:rFonts w:ascii="Verdana" w:eastAsia="Times New Roman" w:hAnsi="Verdana" w:cs="Arial"/>
          <w:i/>
          <w:iCs/>
          <w:lang w:eastAsia="es-CO"/>
        </w:rPr>
        <w:t>“aunque se configure alguno de los supuestos de excepción que señaló el inciso final del artículo 33”.</w:t>
      </w:r>
      <w:r w:rsidRPr="00BC3A80">
        <w:rPr>
          <w:rFonts w:ascii="Verdana" w:eastAsia="Times New Roman" w:hAnsi="Verdana" w:cs="Arial"/>
          <w:lang w:eastAsia="es-CO"/>
        </w:rPr>
        <w:t xml:space="preserve"> </w:t>
      </w:r>
    </w:p>
    <w:p w14:paraId="5B45C334" w14:textId="77777777" w:rsidR="003B5C8D" w:rsidRPr="00BC3A80" w:rsidRDefault="003B5C8D" w:rsidP="003B5C8D">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w:t>
      </w:r>
      <w:r w:rsidRPr="00BC3A80">
        <w:rPr>
          <w:rFonts w:ascii="Verdana" w:eastAsia="Times New Roman" w:hAnsi="Verdana" w:cs="Arial"/>
          <w:i/>
          <w:iCs/>
          <w:lang w:eastAsia="es-CO"/>
        </w:rPr>
        <w:t>ejecución de recursos públicos</w:t>
      </w:r>
      <w:r w:rsidRPr="00BC3A80">
        <w:rPr>
          <w:rFonts w:ascii="Verdana" w:eastAsia="Times New Roman" w:hAnsi="Verdana" w:cs="Arial"/>
          <w:lang w:eastAsia="es-CO"/>
        </w:rPr>
        <w:t xml:space="preserve">. Esto significa que la prohibición no resulta aplicable a </w:t>
      </w:r>
      <w:r w:rsidRPr="00BC3A80">
        <w:rPr>
          <w:rFonts w:ascii="Verdana" w:eastAsia="Times New Roman" w:hAnsi="Verdana" w:cs="Arial"/>
          <w:i/>
          <w:iCs/>
          <w:lang w:eastAsia="es-CO"/>
        </w:rPr>
        <w:t>convenios interadministrativos a título gratuito,</w:t>
      </w:r>
      <w:r w:rsidRPr="00BC3A80">
        <w:rPr>
          <w:rFonts w:ascii="Verdana" w:eastAsia="Times New Roman" w:hAnsi="Verdana" w:cs="Arial"/>
          <w:lang w:eastAsia="es-CO"/>
        </w:rPr>
        <w:t xml:space="preserve"> los cuales pueden celebrarse válidamente durante la vigencia de la mencionada restricción. </w:t>
      </w:r>
    </w:p>
    <w:p w14:paraId="1E5E94FC" w14:textId="77777777" w:rsidR="003B5C8D" w:rsidRPr="00BC3A80" w:rsidRDefault="003B5C8D" w:rsidP="003B5C8D">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De esta manera, conforme a lo dispuesto en la Circular referida, si se suscriben </w:t>
      </w:r>
      <w:r w:rsidRPr="00BC3A80">
        <w:rPr>
          <w:rFonts w:ascii="Verdana" w:eastAsia="Times New Roman" w:hAnsi="Verdana" w:cs="Arial"/>
          <w:i/>
          <w:iCs/>
          <w:lang w:eastAsia="es-CO"/>
        </w:rPr>
        <w:t>convenios interadministrativos para la ejecución de recursos públicos</w:t>
      </w:r>
      <w:r w:rsidRPr="00BC3A80">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BC3A80">
        <w:rPr>
          <w:rFonts w:ascii="Verdana" w:eastAsia="Times New Roman" w:hAnsi="Verdana" w:cs="Arial"/>
          <w:i/>
          <w:iCs/>
          <w:lang w:eastAsia="es-CO"/>
        </w:rPr>
        <w:t>ibidem</w:t>
      </w:r>
      <w:r w:rsidRPr="00BC3A80">
        <w:rPr>
          <w:rFonts w:ascii="Verdana" w:eastAsia="Times New Roman" w:hAnsi="Verdana" w:cs="Arial"/>
          <w:lang w:eastAsia="es-CO"/>
        </w:rPr>
        <w:t>, independientemente de que se configure alguno de los supuestos de excepción que señaló el inciso final del artículo 33, es decir, que se trate de:</w:t>
      </w:r>
      <w:r w:rsidRPr="00BC3A80">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C3A80">
        <w:rPr>
          <w:rFonts w:ascii="Verdana" w:hAnsi="Verdana" w:cs="Arial"/>
          <w:bCs/>
          <w:lang w:val="es-MX" w:eastAsia="es-CO"/>
        </w:rPr>
        <w:t xml:space="preserve"> </w:t>
      </w:r>
      <w:r w:rsidRPr="00BC3A80">
        <w:rPr>
          <w:rFonts w:ascii="Verdana" w:eastAsia="Times New Roman" w:hAnsi="Verdana" w:cs="Arial"/>
          <w:lang w:eastAsia="es-CO"/>
        </w:rPr>
        <w:t xml:space="preserve">  </w:t>
      </w:r>
    </w:p>
    <w:p w14:paraId="2D863B06" w14:textId="77777777" w:rsidR="003B5C8D" w:rsidRPr="00BC3A80" w:rsidRDefault="003B5C8D" w:rsidP="003B5C8D">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En este punto, vale la pena destacar que </w:t>
      </w:r>
      <w:r w:rsidRPr="00BC3A80">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BC3A80">
        <w:rPr>
          <w:rFonts w:ascii="Verdana" w:hAnsi="Verdana" w:cs="Arial"/>
        </w:rPr>
        <w:t xml:space="preserve">numeral 16.2 de la Circular Externa </w:t>
      </w:r>
      <w:r w:rsidRPr="00BC3A80">
        <w:rPr>
          <w:rFonts w:ascii="Verdana" w:hAnsi="Verdana" w:cs="Arial"/>
        </w:rPr>
        <w:lastRenderedPageBreak/>
        <w:t>Única de 2022 expedida por la Agencia Nacional de Contratación Pública -Colombia Compra Eficiente-, concretamente, respecto de los siguientes apartes normativos</w:t>
      </w:r>
      <w:r w:rsidRPr="00BC3A80">
        <w:rPr>
          <w:rFonts w:ascii="Verdana" w:hAnsi="Verdana" w:cs="Arial"/>
          <w:vertAlign w:val="superscript"/>
        </w:rPr>
        <w:footnoteReference w:id="8"/>
      </w:r>
      <w:r w:rsidRPr="00BC3A80">
        <w:rPr>
          <w:rFonts w:ascii="Verdana" w:hAnsi="Verdana" w:cs="Arial"/>
        </w:rPr>
        <w:t>:</w:t>
      </w:r>
      <w:r w:rsidRPr="00BC3A80">
        <w:rPr>
          <w:rFonts w:cs="Arial"/>
        </w:rPr>
        <w:t xml:space="preserve"> </w:t>
      </w:r>
    </w:p>
    <w:p w14:paraId="119326DB" w14:textId="77777777" w:rsidR="003B5C8D" w:rsidRPr="00BC3A80" w:rsidRDefault="003B5C8D" w:rsidP="003B5C8D">
      <w:pPr>
        <w:spacing w:after="0" w:line="276" w:lineRule="auto"/>
        <w:ind w:firstLine="709"/>
        <w:jc w:val="both"/>
        <w:rPr>
          <w:rFonts w:cs="Arial"/>
        </w:rPr>
      </w:pPr>
    </w:p>
    <w:p w14:paraId="55465295" w14:textId="77777777" w:rsidR="003B5C8D" w:rsidRPr="00BC3A80" w:rsidRDefault="003B5C8D" w:rsidP="003B5C8D">
      <w:pPr>
        <w:spacing w:after="0" w:line="240" w:lineRule="auto"/>
        <w:ind w:left="709" w:right="709"/>
        <w:jc w:val="both"/>
        <w:rPr>
          <w:rFonts w:ascii="Verdana" w:hAnsi="Verdana" w:cs="Arial"/>
          <w:sz w:val="20"/>
          <w:szCs w:val="20"/>
        </w:rPr>
      </w:pPr>
      <w:r w:rsidRPr="00BC3A80">
        <w:rPr>
          <w:rFonts w:ascii="Verdana" w:hAnsi="Verdana" w:cs="Arial"/>
          <w:sz w:val="20"/>
          <w:szCs w:val="20"/>
          <w:lang w:val="es-MX"/>
        </w:rPr>
        <w:t>i)</w:t>
      </w:r>
      <w:r w:rsidRPr="00BC3A80">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05DB12B9" w14:textId="77777777" w:rsidR="003B5C8D" w:rsidRPr="00BC3A80" w:rsidRDefault="003B5C8D" w:rsidP="003B5C8D">
      <w:pPr>
        <w:spacing w:after="0" w:line="240" w:lineRule="auto"/>
        <w:ind w:left="709" w:right="709"/>
        <w:jc w:val="both"/>
        <w:rPr>
          <w:rFonts w:ascii="Verdana" w:hAnsi="Verdana" w:cs="Arial"/>
          <w:sz w:val="20"/>
          <w:szCs w:val="20"/>
        </w:rPr>
      </w:pPr>
    </w:p>
    <w:p w14:paraId="4069E899" w14:textId="77777777" w:rsidR="003B5C8D" w:rsidRPr="00BC3A80" w:rsidRDefault="003B5C8D" w:rsidP="003B5C8D">
      <w:pPr>
        <w:spacing w:after="0" w:line="240" w:lineRule="auto"/>
        <w:ind w:left="709" w:right="709"/>
        <w:jc w:val="both"/>
        <w:rPr>
          <w:rFonts w:ascii="Verdana" w:hAnsi="Verdana" w:cs="Arial"/>
          <w:sz w:val="20"/>
          <w:szCs w:val="20"/>
        </w:rPr>
      </w:pPr>
      <w:r w:rsidRPr="00BC3A80">
        <w:rPr>
          <w:rFonts w:ascii="Verdana"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3A0D018F" w14:textId="77777777" w:rsidR="003B5C8D" w:rsidRPr="00BC3A80" w:rsidRDefault="003B5C8D" w:rsidP="003B5C8D">
      <w:pPr>
        <w:spacing w:after="0" w:line="276" w:lineRule="auto"/>
        <w:ind w:left="709" w:right="709"/>
        <w:jc w:val="both"/>
        <w:rPr>
          <w:rFonts w:ascii="Verdana" w:hAnsi="Verdana" w:cs="Arial"/>
        </w:rPr>
      </w:pPr>
    </w:p>
    <w:p w14:paraId="2001ABD5" w14:textId="77777777" w:rsidR="003B5C8D" w:rsidRPr="00BC3A80" w:rsidRDefault="003B5C8D" w:rsidP="003B5C8D">
      <w:pPr>
        <w:spacing w:after="120" w:line="276" w:lineRule="auto"/>
        <w:ind w:firstLine="709"/>
        <w:jc w:val="both"/>
        <w:rPr>
          <w:rFonts w:ascii="Verdana" w:eastAsia="Arial" w:hAnsi="Verdana" w:cs="Arial"/>
          <w:i/>
          <w:iCs/>
          <w:lang w:eastAsia="es-ES" w:bidi="es-ES"/>
        </w:rPr>
      </w:pPr>
      <w:r w:rsidRPr="00BC3A80">
        <w:rPr>
          <w:rFonts w:ascii="Verdana" w:eastAsia="Arial" w:hAnsi="Verdana" w:cs="Arial"/>
          <w:lang w:val="es-MX" w:eastAsia="es-ES" w:bidi="es-ES"/>
        </w:rPr>
        <w:t xml:space="preserve">De conformidad con los argumentos de dicha providencia, se parte de la distinción entre los conceptos </w:t>
      </w:r>
      <w:r w:rsidRPr="00BC3A80">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BC3A80">
        <w:rPr>
          <w:rFonts w:ascii="Times New Roman" w:hAnsi="Times New Roman"/>
          <w:sz w:val="24"/>
          <w:szCs w:val="24"/>
          <w:lang w:eastAsia="es-CO"/>
        </w:rPr>
        <w:t xml:space="preserve"> </w:t>
      </w:r>
      <w:r w:rsidRPr="00BC3A80">
        <w:rPr>
          <w:rFonts w:ascii="Verdana" w:eastAsia="Arial" w:hAnsi="Verdana" w:cs="Arial"/>
          <w:lang w:eastAsia="es-ES" w:bidi="es-ES"/>
        </w:rPr>
        <w:t xml:space="preserve">En este sentido, en relación con el parágrafo del artículo 38 de la Ley 996 de 2005 concluyó que </w:t>
      </w:r>
      <w:r w:rsidRPr="00BC3A80">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BC3A80">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BC3A80">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i/>
          <w:iCs/>
          <w:lang w:eastAsia="es-ES" w:bidi="es-ES"/>
        </w:rPr>
        <w:t>”</w:t>
      </w:r>
      <w:r w:rsidRPr="00BC3A80">
        <w:rPr>
          <w:rFonts w:ascii="Verdana" w:eastAsia="Arial" w:hAnsi="Verdana" w:cs="Arial"/>
          <w:i/>
          <w:iCs/>
          <w:lang w:eastAsia="es-ES" w:bidi="es-ES"/>
        </w:rPr>
        <w:t xml:space="preserve">. </w:t>
      </w:r>
    </w:p>
    <w:p w14:paraId="7B29DEE5" w14:textId="77777777" w:rsidR="003B5C8D" w:rsidRDefault="003B5C8D" w:rsidP="003B5C8D">
      <w:pPr>
        <w:spacing w:after="120" w:line="276" w:lineRule="auto"/>
        <w:ind w:firstLine="709"/>
        <w:jc w:val="both"/>
        <w:rPr>
          <w:rFonts w:ascii="Verdana" w:eastAsia="Arial" w:hAnsi="Verdana" w:cs="Arial"/>
          <w:lang w:eastAsia="es-ES" w:bidi="es-ES"/>
        </w:rPr>
      </w:pPr>
      <w:r w:rsidRPr="00BC3A80">
        <w:rPr>
          <w:rFonts w:ascii="Verdana" w:eastAsia="Arial" w:hAnsi="Verdana" w:cs="Arial"/>
          <w:lang w:eastAsia="es-ES" w:bidi="es-ES"/>
        </w:rPr>
        <w:lastRenderedPageBreak/>
        <w:t>De igual manera, mediante auto del 6 de noviembre de 2025, el Consejo de Estado, Subsección A de la Sección Tercera, decretó</w:t>
      </w:r>
      <w:r w:rsidRPr="00BC3A80">
        <w:rPr>
          <w:rFonts w:ascii="Verdana" w:eastAsia="Arial" w:hAnsi="Verdana" w:cs="Arial"/>
          <w:b/>
          <w:bCs/>
          <w:lang w:eastAsia="es-ES" w:bidi="es-ES"/>
        </w:rPr>
        <w:t xml:space="preserve"> </w:t>
      </w:r>
      <w:r w:rsidRPr="00BC3A80">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BC3A80">
        <w:rPr>
          <w:rFonts w:ascii="Verdana" w:eastAsia="Arial" w:hAnsi="Verdana" w:cs="Arial"/>
          <w:vertAlign w:val="superscript"/>
          <w:lang w:eastAsia="es-ES" w:bidi="es-ES"/>
        </w:rPr>
        <w:footnoteReference w:id="9"/>
      </w:r>
      <w:r w:rsidRPr="00BC3A80">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w:t>
      </w:r>
      <w:r>
        <w:rPr>
          <w:rFonts w:ascii="Verdana" w:eastAsia="Arial" w:hAnsi="Verdana" w:cs="Arial"/>
          <w:lang w:eastAsia="es-ES" w:bidi="es-ES"/>
        </w:rPr>
        <w:t>de</w:t>
      </w:r>
      <w:r w:rsidRPr="00BC3A80">
        <w:rPr>
          <w:rFonts w:ascii="Verdana" w:eastAsia="Arial" w:hAnsi="Verdana" w:cs="Arial"/>
          <w:lang w:eastAsia="es-ES" w:bidi="es-ES"/>
        </w:rPr>
        <w:t xml:space="preserve"> manera que se excluye la analogía legis o iuris y la interpretación extensiva y reiteró los argumentos sobre la diferencia entre contratos y convenios interadministrativos. </w:t>
      </w:r>
    </w:p>
    <w:p w14:paraId="1058F333" w14:textId="77777777" w:rsidR="003B5C8D" w:rsidRDefault="003B5C8D" w:rsidP="003B5C8D">
      <w:pPr>
        <w:spacing w:after="120" w:line="276" w:lineRule="auto"/>
        <w:ind w:firstLine="709"/>
        <w:jc w:val="both"/>
        <w:rPr>
          <w:rFonts w:ascii="Verdana" w:eastAsia="Arial" w:hAnsi="Verdana" w:cs="Arial"/>
          <w:lang w:eastAsia="es-ES" w:bidi="es-ES"/>
        </w:rPr>
      </w:pPr>
      <w:r>
        <w:rPr>
          <w:rFonts w:ascii="Verdana" w:eastAsia="Arial" w:hAnsi="Verdana" w:cs="Arial"/>
          <w:lang w:eastAsia="es-ES" w:bidi="es-ES"/>
        </w:rPr>
        <w:t>En línea con lo anterior, el Consejo de Estado</w:t>
      </w:r>
      <w:r>
        <w:rPr>
          <w:rStyle w:val="Refdenotaalpie"/>
          <w:rFonts w:ascii="Verdana" w:eastAsia="Arial" w:hAnsi="Verdana" w:cs="Arial"/>
          <w:lang w:eastAsia="es-ES" w:bidi="es-ES"/>
        </w:rPr>
        <w:footnoteReference w:id="10"/>
      </w:r>
      <w:r>
        <w:rPr>
          <w:rFonts w:ascii="Verdana" w:eastAsia="Arial" w:hAnsi="Verdana" w:cs="Arial"/>
          <w:lang w:eastAsia="es-ES" w:bidi="es-ES"/>
        </w:rPr>
        <w:t xml:space="preserve">, Sección Tercera – Subsección B, en Sentencia del 17 de octubre de 2025, declaró la nulidad parcial </w:t>
      </w:r>
      <w:r w:rsidRPr="002A503A">
        <w:t xml:space="preserve"> </w:t>
      </w:r>
      <w:r w:rsidRPr="002A503A">
        <w:rPr>
          <w:rFonts w:ascii="Verdana" w:eastAsia="Arial" w:hAnsi="Verdana" w:cs="Arial"/>
          <w:lang w:eastAsia="es-ES" w:bidi="es-ES"/>
        </w:rPr>
        <w:t xml:space="preserve">del numeral 16.2 de la Circular Externa Única de 2022 expedida por la Agencia Nacional de Contratación Pública -Colombia Compra Eficiente-, concretamente, de los siguientes apartes normativos: </w:t>
      </w:r>
    </w:p>
    <w:p w14:paraId="3F76B6AE" w14:textId="77777777" w:rsidR="003B5C8D" w:rsidRPr="002A503A" w:rsidRDefault="003B5C8D" w:rsidP="003B5C8D">
      <w:pPr>
        <w:spacing w:after="120" w:line="276" w:lineRule="auto"/>
        <w:ind w:left="708" w:firstLine="709"/>
        <w:jc w:val="both"/>
        <w:rPr>
          <w:rFonts w:ascii="Verdana" w:eastAsia="Arial" w:hAnsi="Verdana" w:cs="Arial"/>
          <w:sz w:val="20"/>
          <w:szCs w:val="20"/>
          <w:lang w:eastAsia="es-ES" w:bidi="es-ES"/>
        </w:rPr>
      </w:pPr>
      <w:r w:rsidRPr="002A503A">
        <w:rPr>
          <w:rFonts w:ascii="Verdana" w:eastAsia="Arial" w:hAnsi="Verdana" w:cs="Arial"/>
          <w:sz w:val="20"/>
          <w:szCs w:val="20"/>
          <w:lang w:eastAsia="es-ES" w:bidi="es-ES"/>
        </w:rPr>
        <w:t xml:space="preserve">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w:t>
      </w:r>
      <w:r w:rsidRPr="002A503A">
        <w:rPr>
          <w:rFonts w:ascii="Verdana" w:eastAsia="Arial" w:hAnsi="Verdana" w:cs="Arial"/>
          <w:sz w:val="20"/>
          <w:szCs w:val="20"/>
          <w:lang w:eastAsia="es-ES" w:bidi="es-ES"/>
        </w:rPr>
        <w:lastRenderedPageBreak/>
        <w:t>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484B122B" w14:textId="77777777" w:rsidR="003B5C8D" w:rsidRPr="00B04FA0" w:rsidRDefault="003B5C8D" w:rsidP="003B5C8D">
      <w:pPr>
        <w:spacing w:after="120" w:line="276" w:lineRule="auto"/>
        <w:ind w:firstLine="709"/>
        <w:jc w:val="both"/>
        <w:rPr>
          <w:rFonts w:ascii="Verdana" w:eastAsia="Times New Roman" w:hAnsi="Verdana" w:cs="Arial"/>
          <w:lang w:eastAsia="es-CO"/>
        </w:rPr>
      </w:pPr>
      <w:r w:rsidRPr="00BC3A80">
        <w:rPr>
          <w:rFonts w:ascii="Verdana" w:eastAsia="Times New Roman" w:hAnsi="Verdana" w:cs="Arial"/>
          <w:lang w:eastAsia="es-CO"/>
        </w:rPr>
        <w:t>Así las cosas, a la luz de lo expuesto por el Consejo de Estado en los autos del 4 de octubre de 2024 y 6 de noviembre de 2025,</w:t>
      </w:r>
      <w:r>
        <w:rPr>
          <w:rFonts w:ascii="Verdana" w:eastAsia="Times New Roman" w:hAnsi="Verdana" w:cs="Arial"/>
          <w:lang w:eastAsia="es-CO"/>
        </w:rPr>
        <w:t xml:space="preserve"> y en la Sentencia del 17 de octubre de 2025,</w:t>
      </w:r>
      <w:r w:rsidRPr="00BC3A80">
        <w:rPr>
          <w:rFonts w:ascii="Verdana" w:eastAsia="Times New Roman" w:hAnsi="Verdana" w:cs="Arial"/>
          <w:lang w:eastAsia="es-CO"/>
        </w:rPr>
        <w:t xml:space="preserve"> no resultaría aplicable la prohibición del parágrafo del artículo 38 de la Ley de Garantías Electorales a los </w:t>
      </w:r>
      <w:r w:rsidRPr="00BC3A80">
        <w:rPr>
          <w:rFonts w:ascii="Verdana" w:eastAsia="Times New Roman" w:hAnsi="Verdana" w:cs="Arial"/>
          <w:i/>
          <w:iCs/>
          <w:lang w:eastAsia="es-CO"/>
        </w:rPr>
        <w:t>contratos interadministrativos</w:t>
      </w:r>
      <w:r>
        <w:rPr>
          <w:rFonts w:ascii="Verdana" w:eastAsia="Times New Roman" w:hAnsi="Verdana" w:cs="Arial"/>
          <w:lang w:eastAsia="es-CO"/>
        </w:rPr>
        <w:t xml:space="preserve"> sino únicamente a los </w:t>
      </w:r>
      <w:r w:rsidRPr="002A503A">
        <w:rPr>
          <w:rFonts w:ascii="Verdana" w:eastAsia="Times New Roman" w:hAnsi="Verdana" w:cs="Arial"/>
          <w:i/>
          <w:iCs/>
          <w:lang w:eastAsia="es-CO"/>
        </w:rPr>
        <w:t>convenios interadministrativos</w:t>
      </w:r>
      <w:r>
        <w:rPr>
          <w:rFonts w:ascii="Verdana" w:eastAsia="Times New Roman" w:hAnsi="Verdana" w:cs="Arial"/>
          <w:lang w:eastAsia="es-CO"/>
        </w:rPr>
        <w:t>.</w:t>
      </w:r>
      <w:r w:rsidRPr="00BC3A80">
        <w:rPr>
          <w:rFonts w:ascii="Verdana" w:eastAsia="Times New Roman" w:hAnsi="Verdana" w:cs="Arial"/>
          <w:lang w:eastAsia="es-CO"/>
        </w:rPr>
        <w:t xml:space="preserve"> </w:t>
      </w:r>
    </w:p>
    <w:p w14:paraId="0304D71D" w14:textId="77777777" w:rsidR="003B5C8D" w:rsidRDefault="003B5C8D" w:rsidP="003B5C8D">
      <w:pPr>
        <w:autoSpaceDE w:val="0"/>
        <w:autoSpaceDN w:val="0"/>
        <w:adjustRightInd w:val="0"/>
        <w:spacing w:after="120" w:line="240" w:lineRule="auto"/>
        <w:ind w:firstLine="708"/>
        <w:jc w:val="both"/>
        <w:rPr>
          <w:rFonts w:ascii="Verdana" w:hAnsi="Verdana" w:cs="BCDHEE+Verdana"/>
          <w:color w:val="000000"/>
        </w:rPr>
      </w:pPr>
      <w:r w:rsidRPr="00947721">
        <w:rPr>
          <w:rFonts w:ascii="Verdana" w:hAnsi="Verdana" w:cs="BCDHEE+Verdana"/>
          <w:color w:val="000000"/>
        </w:rPr>
        <w:t>Finalmente, sobre las fechas en que aplica la Ley de garantías, se debe tener en cuenta que el Consejo Nacional Electoral mediante Resolución No. 2581 del 5 de marzo de 2025 fijó el calendario electoral para las elecciones al Congreso de la República que serán el 8 de marzo de 2026</w:t>
      </w:r>
      <w:r>
        <w:rPr>
          <w:rFonts w:ascii="Verdana" w:hAnsi="Verdana" w:cs="BCDHEE+Verdana"/>
          <w:color w:val="000000"/>
        </w:rPr>
        <w:t>. E</w:t>
      </w:r>
      <w:r w:rsidRPr="00947721">
        <w:rPr>
          <w:rFonts w:ascii="Verdana" w:hAnsi="Verdana" w:cs="BCDHEE+Verdana"/>
          <w:color w:val="000000"/>
        </w:rPr>
        <w:t>n esa medida, de acuerdo con el artículo 38 de la Ley 996 de 2005, la restricción inici</w:t>
      </w:r>
      <w:r>
        <w:rPr>
          <w:rFonts w:ascii="Verdana" w:hAnsi="Verdana" w:cs="BCDHEE+Verdana"/>
          <w:color w:val="000000"/>
        </w:rPr>
        <w:t>ó</w:t>
      </w:r>
      <w:r w:rsidRPr="00947721">
        <w:rPr>
          <w:rFonts w:ascii="Verdana" w:hAnsi="Verdana" w:cs="BCDHEE+Verdana"/>
          <w:color w:val="000000"/>
        </w:rPr>
        <w:t xml:space="preserve"> el 8 de noviembre de 2025, es decir, </w:t>
      </w:r>
      <w:r>
        <w:rPr>
          <w:rFonts w:ascii="Verdana" w:hAnsi="Verdana" w:cs="BCDHEE+Verdana"/>
          <w:color w:val="000000"/>
        </w:rPr>
        <w:t>cuatro (</w:t>
      </w:r>
      <w:r w:rsidRPr="00947721">
        <w:rPr>
          <w:rFonts w:ascii="Verdana" w:hAnsi="Verdana" w:cs="BCDHEE+Verdana"/>
          <w:color w:val="000000"/>
        </w:rPr>
        <w:t>4</w:t>
      </w:r>
      <w:r>
        <w:rPr>
          <w:rFonts w:ascii="Verdana" w:hAnsi="Verdana" w:cs="BCDHEE+Verdana"/>
          <w:color w:val="000000"/>
        </w:rPr>
        <w:t>)</w:t>
      </w:r>
      <w:r w:rsidRPr="00947721">
        <w:rPr>
          <w:rFonts w:ascii="Verdana" w:hAnsi="Verdana" w:cs="BCDHEE+Verdana"/>
          <w:color w:val="000000"/>
        </w:rPr>
        <w:t xml:space="preserve">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6BBD1EB1" w14:textId="77777777" w:rsidR="003B5C8D" w:rsidRDefault="003B5C8D" w:rsidP="003B5C8D">
      <w:pPr>
        <w:pStyle w:val="Prrafodelista"/>
        <w:spacing w:after="0" w:line="276" w:lineRule="auto"/>
        <w:ind w:left="0" w:firstLine="567"/>
        <w:jc w:val="both"/>
        <w:rPr>
          <w:rFonts w:ascii="Verdana" w:hAnsi="Verdana" w:cs="BCDHEE+Verdana"/>
          <w:color w:val="000000"/>
        </w:rPr>
      </w:pPr>
      <w:r>
        <w:rPr>
          <w:rFonts w:ascii="Verdana" w:hAnsi="Verdana" w:cs="BCDHEE+Verdana"/>
          <w:color w:val="000000"/>
        </w:rPr>
        <w:t>En relación con el segundo problema jurídico, la restricción a la contratación directa se encuentra en el articulo 33 de la Ley 996 de 2005, como sigue:</w:t>
      </w:r>
    </w:p>
    <w:p w14:paraId="514F5E1E" w14:textId="77777777" w:rsidR="003B5C8D" w:rsidRPr="00A545DE" w:rsidRDefault="003B5C8D" w:rsidP="003B5C8D">
      <w:pPr>
        <w:pStyle w:val="Prrafodelista"/>
        <w:spacing w:after="0" w:line="276" w:lineRule="auto"/>
        <w:ind w:left="1080"/>
        <w:jc w:val="both"/>
        <w:rPr>
          <w:rFonts w:ascii="Verdana" w:eastAsia="Arial" w:hAnsi="Verdana" w:cs="Arial"/>
          <w:lang w:eastAsia="es-ES" w:bidi="es-ES"/>
        </w:rPr>
      </w:pPr>
    </w:p>
    <w:p w14:paraId="6CDA925E" w14:textId="77777777" w:rsidR="003B5C8D" w:rsidRPr="00FC54ED" w:rsidRDefault="003B5C8D" w:rsidP="003B5C8D">
      <w:pPr>
        <w:spacing w:after="0" w:line="240" w:lineRule="auto"/>
        <w:ind w:left="708" w:right="703"/>
        <w:jc w:val="both"/>
        <w:rPr>
          <w:rFonts w:ascii="Verdana" w:eastAsia="Times New Roman" w:hAnsi="Verdana" w:cs="Open Sans"/>
          <w:sz w:val="20"/>
          <w:szCs w:val="20"/>
          <w:lang w:eastAsia="es-CO"/>
        </w:rPr>
      </w:pPr>
      <w:bookmarkStart w:id="2"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2"/>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182E0874" w14:textId="77777777" w:rsidR="003B5C8D" w:rsidRPr="00FC54ED" w:rsidRDefault="003B5C8D" w:rsidP="003B5C8D">
      <w:pPr>
        <w:spacing w:after="0" w:line="240" w:lineRule="auto"/>
        <w:ind w:left="708" w:right="703"/>
        <w:jc w:val="both"/>
        <w:rPr>
          <w:rFonts w:ascii="Verdana" w:eastAsia="Times New Roman" w:hAnsi="Verdana" w:cs="Open Sans"/>
          <w:sz w:val="20"/>
          <w:szCs w:val="20"/>
          <w:lang w:eastAsia="es-CO"/>
        </w:rPr>
      </w:pPr>
    </w:p>
    <w:p w14:paraId="3906F79F" w14:textId="77777777" w:rsidR="003B5C8D" w:rsidRPr="00B3605D" w:rsidRDefault="003B5C8D" w:rsidP="003B5C8D">
      <w:pPr>
        <w:spacing w:after="0" w:line="240" w:lineRule="auto"/>
        <w:ind w:left="708"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5B56726A" w14:textId="77777777" w:rsidR="003B5C8D" w:rsidRDefault="003B5C8D" w:rsidP="003B5C8D">
      <w:pPr>
        <w:spacing w:after="0" w:line="276" w:lineRule="auto"/>
        <w:ind w:right="618" w:firstLine="708"/>
        <w:jc w:val="both"/>
        <w:rPr>
          <w:rFonts w:ascii="Verdana" w:eastAsia="Times New Roman" w:hAnsi="Verdana" w:cs="Open Sans"/>
          <w:lang w:eastAsia="es-CO"/>
        </w:rPr>
      </w:pPr>
    </w:p>
    <w:p w14:paraId="1E703CAE" w14:textId="77777777" w:rsidR="003B5C8D" w:rsidRDefault="003B5C8D" w:rsidP="003B5C8D">
      <w:pPr>
        <w:spacing w:after="120" w:line="276" w:lineRule="auto"/>
        <w:ind w:firstLine="708"/>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11"/>
      </w:r>
      <w:r>
        <w:rPr>
          <w:rFonts w:ascii="Verdana" w:eastAsia="Times New Roman" w:hAnsi="Verdana" w:cs="Open Sans"/>
          <w:lang w:eastAsia="es-CO"/>
        </w:rPr>
        <w:t>.</w:t>
      </w:r>
    </w:p>
    <w:p w14:paraId="52D48F77" w14:textId="77777777" w:rsidR="003B5C8D" w:rsidRDefault="003B5C8D" w:rsidP="003B5C8D">
      <w:pPr>
        <w:spacing w:after="120" w:line="276" w:lineRule="auto"/>
        <w:ind w:firstLine="708"/>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3F90A12C" w14:textId="77777777" w:rsidR="003B5C8D" w:rsidRDefault="003B5C8D" w:rsidP="003B5C8D">
      <w:pPr>
        <w:spacing w:after="120" w:line="276" w:lineRule="auto"/>
        <w:ind w:firstLine="708"/>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2A83DFC4" w14:textId="77777777" w:rsidR="003B5C8D" w:rsidRDefault="003B5C8D" w:rsidP="003B5C8D">
      <w:pPr>
        <w:spacing w:after="0" w:line="276" w:lineRule="auto"/>
        <w:ind w:firstLine="708"/>
        <w:jc w:val="both"/>
        <w:rPr>
          <w:rFonts w:ascii="Verdana" w:hAnsi="Verdana"/>
        </w:rPr>
      </w:pPr>
      <w:r w:rsidRPr="006A640E">
        <w:rPr>
          <w:rFonts w:ascii="Verdana" w:hAnsi="Verdana"/>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w:t>
      </w:r>
      <w:r w:rsidRPr="006A640E">
        <w:rPr>
          <w:rFonts w:ascii="Verdana" w:hAnsi="Verdana"/>
        </w:rPr>
        <w:lastRenderedPageBreak/>
        <w:t>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hAnsi="Verdana"/>
        </w:rPr>
        <w:t>.</w:t>
      </w:r>
    </w:p>
    <w:p w14:paraId="202C2052" w14:textId="77777777" w:rsidR="003B5C8D" w:rsidRPr="00A90DCC" w:rsidRDefault="003B5C8D" w:rsidP="003B5C8D">
      <w:pPr>
        <w:spacing w:before="120" w:after="120" w:line="276" w:lineRule="auto"/>
        <w:ind w:firstLine="709"/>
        <w:jc w:val="both"/>
        <w:rPr>
          <w:rFonts w:ascii="Verdana" w:eastAsia="Calibri" w:hAnsi="Verdana" w:cs="Arial"/>
          <w:lang w:val="es-ES"/>
        </w:rPr>
      </w:pPr>
      <w:r>
        <w:rPr>
          <w:rFonts w:ascii="Verdana" w:eastAsia="Times New Roman" w:hAnsi="Verdana" w:cs="Arial"/>
          <w:bCs/>
          <w:lang w:eastAsia="es-CO"/>
        </w:rPr>
        <w:t xml:space="preserve">Ahora bien, para dar respuesta al problema jurídico planteado, </w:t>
      </w:r>
      <w:r w:rsidRPr="00A90DCC">
        <w:rPr>
          <w:rFonts w:ascii="Verdana" w:eastAsia="Times New Roman" w:hAnsi="Verdana" w:cs="Arial"/>
          <w:bCs/>
          <w:lang w:eastAsia="es-CO"/>
        </w:rPr>
        <w:t xml:space="preserve">es necesario poner en contexto los contratos del artículo 355 de la Constitución Política y los convenios de asociación </w:t>
      </w:r>
      <w:r w:rsidRPr="00A90DCC">
        <w:rPr>
          <w:rFonts w:ascii="Verdana" w:eastAsia="Calibri" w:hAnsi="Verdana" w:cs="Arial"/>
          <w:lang w:val="es-ES"/>
        </w:rPr>
        <w:t>del artículo 96 de la Ley 489 de 19</w:t>
      </w:r>
      <w:r w:rsidRPr="00377ED6">
        <w:rPr>
          <w:rFonts w:ascii="Verdana" w:eastAsia="Calibri" w:hAnsi="Verdana" w:cs="Arial"/>
          <w:lang w:val="es-ES"/>
        </w:rPr>
        <w:t>98</w:t>
      </w:r>
      <w:r>
        <w:rPr>
          <w:rFonts w:ascii="Verdana" w:eastAsia="Calibri" w:hAnsi="Verdana" w:cs="Arial"/>
          <w:lang w:val="es-ES"/>
        </w:rPr>
        <w:t>, con el fin de determinar si a este tipo de negocios jurídicos le es aplicable el artículo 33 de la Ley 996 de 2005.</w:t>
      </w:r>
      <w:r w:rsidRPr="00377ED6">
        <w:rPr>
          <w:rFonts w:ascii="Verdana" w:eastAsia="Calibri" w:hAnsi="Verdana" w:cs="Arial"/>
          <w:lang w:val="es-ES"/>
        </w:rPr>
        <w:t xml:space="preserve"> </w:t>
      </w:r>
    </w:p>
    <w:p w14:paraId="57E0B384" w14:textId="77777777" w:rsidR="003B5C8D" w:rsidRPr="00377ED6" w:rsidRDefault="003B5C8D" w:rsidP="003B5C8D">
      <w:pPr>
        <w:spacing w:before="120" w:after="120" w:line="276" w:lineRule="auto"/>
        <w:ind w:firstLine="709"/>
        <w:jc w:val="both"/>
        <w:rPr>
          <w:rFonts w:ascii="Verdana" w:eastAsia="Calibri" w:hAnsi="Verdana" w:cs="Arial"/>
          <w:lang w:val="es-ES"/>
        </w:rPr>
      </w:pPr>
      <w:bookmarkStart w:id="3" w:name="_Hlk38819155"/>
      <w:r w:rsidRPr="00377ED6">
        <w:rPr>
          <w:rFonts w:ascii="Verdana" w:eastAsia="Calibri" w:hAnsi="Verdana" w:cs="Arial"/>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ii) los convenios de asociación, para el desarrollo conjunto de actividades relacionadas con las funciones de las entidades estatales, en desarrollo del artículo 96 de la Ley 489 de 1998. </w:t>
      </w:r>
      <w:bookmarkEnd w:id="3"/>
    </w:p>
    <w:p w14:paraId="6253C4F7" w14:textId="77777777" w:rsidR="003B5C8D" w:rsidRDefault="003B5C8D" w:rsidP="003B5C8D">
      <w:pPr>
        <w:spacing w:before="120" w:after="120" w:line="276" w:lineRule="auto"/>
        <w:ind w:firstLine="709"/>
        <w:jc w:val="both"/>
        <w:rPr>
          <w:rFonts w:ascii="Verdana" w:eastAsia="Calibri" w:hAnsi="Verdana" w:cs="Arial"/>
          <w:lang w:val="es-ES"/>
        </w:rPr>
      </w:pPr>
      <w:bookmarkStart w:id="4" w:name="_Hlk95756032"/>
      <w:r w:rsidRPr="00377ED6">
        <w:rPr>
          <w:rFonts w:ascii="Verdana" w:eastAsia="Calibri" w:hAnsi="Verdana" w:cs="Arial"/>
          <w:lang w:val="es-ES"/>
        </w:rPr>
        <w:t xml:space="preserve">Los </w:t>
      </w:r>
      <w:r w:rsidRPr="00377ED6">
        <w:rPr>
          <w:rFonts w:ascii="Verdana" w:eastAsia="Calibri" w:hAnsi="Verdana" w:cs="Arial"/>
          <w:i/>
          <w:iCs/>
          <w:lang w:val="es-ES"/>
        </w:rPr>
        <w:t>contratos del artículo 355 de la Constitución Política</w:t>
      </w:r>
      <w:r w:rsidRPr="00377ED6">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42B814CB" w14:textId="77777777" w:rsidR="003B5C8D" w:rsidRDefault="003B5C8D" w:rsidP="003B5C8D">
      <w:pPr>
        <w:spacing w:before="120" w:after="120" w:line="276" w:lineRule="auto"/>
        <w:ind w:firstLine="709"/>
        <w:jc w:val="both"/>
        <w:rPr>
          <w:rFonts w:ascii="Verdana" w:eastAsia="Calibri" w:hAnsi="Verdana" w:cs="Arial"/>
          <w:lang w:val="es-ES"/>
        </w:rPr>
      </w:pPr>
      <w:r w:rsidRPr="00377ED6">
        <w:rPr>
          <w:rFonts w:ascii="Verdana" w:eastAsia="Calibri" w:hAnsi="Verdana" w:cs="Arial"/>
          <w:lang w:val="es-ES"/>
        </w:rPr>
        <w:t xml:space="preserve">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ii) que no haya una contraprestación directa a favor de la entidad estatal, es decir, que el programa o actividad a desarrollar este dirigida al beneficio de la población en general, ya que cuando se adquieren bienes o servicios o se ejecutan obras en una relación </w:t>
      </w:r>
      <w:r w:rsidRPr="00377ED6">
        <w:rPr>
          <w:rFonts w:ascii="Verdana" w:eastAsia="Calibri" w:hAnsi="Verdana" w:cs="Arial"/>
          <w:lang w:val="es-ES"/>
        </w:rPr>
        <w:lastRenderedPageBreak/>
        <w:t>conmutativa, las normas aplicables son las del Estatuto General de Contratación. Solo cuando se reúnan estas condiciones es procedente celebrar contratos del artículo 355 de la Constitución Política; de lo contrario, se aplicarán las normas del Estatuto General de Contratación de la Administración Pública.</w:t>
      </w:r>
    </w:p>
    <w:p w14:paraId="2B027A27" w14:textId="77777777" w:rsidR="003B5C8D" w:rsidRDefault="003B5C8D" w:rsidP="003B5C8D">
      <w:pPr>
        <w:spacing w:before="120" w:line="276" w:lineRule="auto"/>
        <w:ind w:firstLine="708"/>
        <w:jc w:val="both"/>
        <w:rPr>
          <w:rFonts w:ascii="Verdana" w:eastAsia="Calibri" w:hAnsi="Verdana" w:cs="Arial"/>
          <w:lang w:val="es-ES"/>
        </w:rPr>
      </w:pPr>
      <w:r w:rsidRPr="5F8BC1B5">
        <w:rPr>
          <w:rFonts w:ascii="Verdana" w:eastAsia="Calibri" w:hAnsi="Verdana" w:cs="Arial"/>
          <w:lang w:val="es-ES"/>
        </w:rPr>
        <w:t xml:space="preserve">Ahora bien, por disposición del artículo 4 del Decreto </w:t>
      </w:r>
      <w:r>
        <w:rPr>
          <w:rFonts w:ascii="Verdana" w:eastAsia="Calibri" w:hAnsi="Verdana" w:cs="Arial"/>
          <w:lang w:val="es-ES"/>
        </w:rPr>
        <w:t>0</w:t>
      </w:r>
      <w:r w:rsidRPr="5F8BC1B5">
        <w:rPr>
          <w:rFonts w:ascii="Verdana" w:eastAsia="Calibri" w:hAnsi="Verdana" w:cs="Arial"/>
          <w:lang w:val="es-ES"/>
        </w:rPr>
        <w:t xml:space="preserve">92 de 2017, las entidades estatales deberán adelantar procesos competitivos cuando en el marco de planeación se evidencie que el programa o actividad que se requiere desarrollar es ofrecido por más de una ESAL. Para tales casos el referido artículo establece que, en el desarrollo de los respectivos procedimientos, la entidad estatal deberá garantizar las siguientes fases: (i) definición y publicación de los indicadores de idoneidad, experiencia, eficacia, eficiencia, economía y de manejo del Riesgo y los criterios de ponderación para comparar las ofertas; (ii) definición de un plazo razonable para que las entidades privadas sin ánimo de lucro de reconocida idoneidad presenten a la Entidad Estatal sus ofertas y los documentos que acrediten su idoneidad, y (iii) evaluación de las ofertas por parte de la Entidad Estatal teniendo en cuenta los criterios definidos para el efecto. </w:t>
      </w:r>
    </w:p>
    <w:p w14:paraId="1914EBCF" w14:textId="77777777" w:rsidR="003B5C8D" w:rsidRDefault="003B5C8D" w:rsidP="003B5C8D">
      <w:pPr>
        <w:spacing w:before="120" w:after="120" w:line="276" w:lineRule="auto"/>
        <w:ind w:firstLine="709"/>
        <w:jc w:val="both"/>
        <w:rPr>
          <w:rFonts w:ascii="Verdana" w:eastAsia="Calibri" w:hAnsi="Verdana" w:cs="Arial"/>
          <w:lang w:val="es-ES"/>
        </w:rPr>
      </w:pPr>
      <w:r>
        <w:rPr>
          <w:rFonts w:ascii="Verdana" w:eastAsia="Calibri" w:hAnsi="Verdana" w:cs="Arial"/>
          <w:lang w:val="es-ES"/>
        </w:rPr>
        <w:t xml:space="preserve">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bookmarkEnd w:id="4"/>
    <w:p w14:paraId="52A71C2B" w14:textId="77777777" w:rsidR="003B5C8D" w:rsidRPr="00377ED6" w:rsidRDefault="003B5C8D" w:rsidP="003B5C8D">
      <w:pPr>
        <w:spacing w:before="120" w:after="120" w:line="276" w:lineRule="auto"/>
        <w:ind w:firstLine="709"/>
        <w:jc w:val="both"/>
        <w:rPr>
          <w:rFonts w:ascii="Verdana" w:eastAsia="Calibri" w:hAnsi="Verdana" w:cs="Arial"/>
          <w:bCs/>
          <w:lang w:val="es-ES_tradnl"/>
        </w:rPr>
      </w:pPr>
      <w:r w:rsidRPr="00377ED6">
        <w:rPr>
          <w:rFonts w:ascii="Verdana" w:eastAsia="Calibri" w:hAnsi="Verdana" w:cs="Arial"/>
          <w:bCs/>
          <w:lang w:val="es-ES_tradnl"/>
        </w:rPr>
        <w:t xml:space="preserve">De otro lado, </w:t>
      </w:r>
      <w:r>
        <w:rPr>
          <w:rFonts w:ascii="Verdana" w:eastAsia="Calibri" w:hAnsi="Verdana" w:cs="Arial"/>
          <w:bCs/>
          <w:lang w:val="es-ES_tradnl"/>
        </w:rPr>
        <w:t xml:space="preserve">la celebración de </w:t>
      </w:r>
      <w:r w:rsidRPr="00377ED6">
        <w:rPr>
          <w:rFonts w:ascii="Verdana" w:eastAsia="Calibri" w:hAnsi="Verdana" w:cs="Arial"/>
          <w:bCs/>
          <w:lang w:val="es-ES_tradnl"/>
        </w:rPr>
        <w:t xml:space="preserve">los </w:t>
      </w:r>
      <w:r w:rsidRPr="00377ED6">
        <w:rPr>
          <w:rFonts w:ascii="Verdana" w:eastAsia="Calibri" w:hAnsi="Verdana" w:cs="Arial"/>
          <w:bCs/>
          <w:i/>
          <w:lang w:val="es-ES_tradnl"/>
        </w:rPr>
        <w:t>convenios de asociación</w:t>
      </w:r>
      <w:r w:rsidRPr="00377ED6">
        <w:rPr>
          <w:rFonts w:ascii="Verdana" w:eastAsia="Calibri" w:hAnsi="Verdana" w:cs="Arial"/>
          <w:bCs/>
          <w:lang w:val="es-ES_tradnl"/>
        </w:rPr>
        <w:t xml:space="preserve">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377ED6">
        <w:rPr>
          <w:rFonts w:ascii="Verdana" w:hAnsi="Verdana" w:cs="Arial"/>
          <w:vertAlign w:val="superscript"/>
        </w:rPr>
        <w:footnoteReference w:id="12"/>
      </w:r>
      <w:r w:rsidRPr="00377ED6">
        <w:rPr>
          <w:rFonts w:ascii="Verdana" w:eastAsia="Calibri" w:hAnsi="Verdana" w:cs="Arial"/>
          <w:bCs/>
          <w:lang w:val="es-ES_tradnl"/>
        </w:rPr>
        <w:t xml:space="preserve">. En estos convenios existen aportes dirigidos, especialmente, a lograr la ejecución del convenio. De todos modos, la entidad deberá adelantar un proceso competitivo, </w:t>
      </w:r>
      <w:r w:rsidRPr="00B47839">
        <w:rPr>
          <w:rFonts w:ascii="Verdana" w:eastAsia="Calibri" w:hAnsi="Verdana" w:cs="Arial"/>
          <w:bCs/>
          <w:lang w:val="es-ES_tradnl"/>
        </w:rPr>
        <w:t>salvo cuando la ESAL comprometa recursos en dinero para la ejecución de estas actividades, en una proporción no inferior al 30% del valor total del convenio.</w:t>
      </w:r>
      <w:r>
        <w:rPr>
          <w:rFonts w:ascii="Verdana" w:eastAsia="Calibri" w:hAnsi="Verdana" w:cs="Arial"/>
          <w:bCs/>
          <w:lang w:val="es-ES_tradnl"/>
        </w:rPr>
        <w:t xml:space="preserve"> </w:t>
      </w:r>
      <w:r w:rsidRPr="00377ED6">
        <w:rPr>
          <w:rFonts w:ascii="Verdana" w:eastAsia="Calibri" w:hAnsi="Verdana" w:cs="Arial"/>
          <w:bCs/>
          <w:lang w:val="es-ES_tradnl"/>
        </w:rPr>
        <w:t xml:space="preserve">El convenio de asociación no es conmutativo, y por tanto, la entidad no instruye al contratista </w:t>
      </w:r>
      <w:r w:rsidRPr="00377ED6">
        <w:rPr>
          <w:rFonts w:ascii="Verdana" w:eastAsia="Calibri" w:hAnsi="Verdana" w:cs="Arial"/>
          <w:bCs/>
          <w:lang w:val="es-ES_tradnl"/>
        </w:rPr>
        <w:lastRenderedPageBreak/>
        <w:t>para desarrollar los programas o actividades previstas, sino que se asocia con él para el cumplimiento de objetivos comunes</w:t>
      </w:r>
      <w:r w:rsidRPr="00377ED6">
        <w:rPr>
          <w:rFonts w:ascii="Verdana" w:hAnsi="Verdana" w:cs="Arial"/>
          <w:vertAlign w:val="superscript"/>
        </w:rPr>
        <w:footnoteReference w:id="13"/>
      </w:r>
      <w:r w:rsidRPr="00377ED6">
        <w:rPr>
          <w:rFonts w:ascii="Verdana" w:eastAsia="Calibri" w:hAnsi="Verdana" w:cs="Arial"/>
          <w:bCs/>
          <w:lang w:val="es-ES_tradnl"/>
        </w:rPr>
        <w:t>.</w:t>
      </w:r>
    </w:p>
    <w:p w14:paraId="6FF091C2" w14:textId="77777777" w:rsidR="003B5C8D" w:rsidRPr="00377ED6" w:rsidRDefault="003B5C8D" w:rsidP="003B5C8D">
      <w:pPr>
        <w:spacing w:before="120" w:after="120" w:line="276" w:lineRule="auto"/>
        <w:ind w:firstLine="709"/>
        <w:jc w:val="both"/>
        <w:rPr>
          <w:rFonts w:ascii="Verdana" w:eastAsia="Calibri" w:hAnsi="Verdana" w:cs="Arial"/>
          <w:bCs/>
        </w:rPr>
      </w:pPr>
      <w:r w:rsidRPr="00377ED6">
        <w:rPr>
          <w:rFonts w:ascii="Verdana" w:eastAsia="Calibri" w:hAnsi="Verdana" w:cs="Arial"/>
          <w:bCs/>
          <w:lang w:val="es-ES_tradnl"/>
        </w:rPr>
        <w:t>La normativa vigente no impide que varias entidades suscriban conjuntamente el convenio de asociación y tampoco que dos o más ESAL pueden hacerlo, a través de las figuras asociativas autorizadas por la ley, por ejemplo, como unión temporal o como consorcio</w:t>
      </w:r>
      <w:r w:rsidRPr="00377ED6">
        <w:rPr>
          <w:rFonts w:ascii="Verdana" w:eastAsia="Calibri" w:hAnsi="Verdana" w:cs="Arial"/>
          <w:bCs/>
        </w:rPr>
        <w:t>.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7B14AE24" w14:textId="77777777" w:rsidR="003B5C8D" w:rsidRPr="00377ED6" w:rsidRDefault="003B5C8D" w:rsidP="003B5C8D">
      <w:pPr>
        <w:spacing w:before="120" w:after="120" w:line="276" w:lineRule="auto"/>
        <w:ind w:firstLine="709"/>
        <w:jc w:val="both"/>
        <w:rPr>
          <w:rFonts w:ascii="Verdana" w:hAnsi="Verdana"/>
        </w:rPr>
      </w:pPr>
      <w:r w:rsidRPr="00377ED6">
        <w:rPr>
          <w:rFonts w:ascii="Verdana" w:hAnsi="Verdana" w:cs="Arial"/>
          <w:color w:val="000000" w:themeColor="text1"/>
        </w:rPr>
        <w:t xml:space="preserve">La noción “seleccionar de forma objetiva”, contenida en la disposición </w:t>
      </w:r>
      <w:r w:rsidRPr="00377ED6">
        <w:rPr>
          <w:rFonts w:ascii="Verdana" w:hAnsi="Verdana" w:cs="Arial"/>
          <w:i/>
          <w:iCs/>
          <w:color w:val="000000" w:themeColor="text1"/>
        </w:rPr>
        <w:t xml:space="preserve">sub examine </w:t>
      </w:r>
      <w:r w:rsidRPr="00377ED6">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14:paraId="6369A638" w14:textId="77777777" w:rsidR="003B5C8D" w:rsidRPr="00377ED6" w:rsidRDefault="003B5C8D" w:rsidP="003B5C8D">
      <w:pPr>
        <w:spacing w:after="0" w:line="276" w:lineRule="auto"/>
        <w:ind w:firstLine="708"/>
        <w:jc w:val="both"/>
        <w:rPr>
          <w:rFonts w:ascii="Verdana" w:hAnsi="Verdana" w:cs="Arial"/>
          <w:color w:val="000000" w:themeColor="text1"/>
          <w:lang w:val="es-MX"/>
        </w:rPr>
      </w:pPr>
      <w:r w:rsidRPr="00377ED6">
        <w:rPr>
          <w:rFonts w:ascii="Verdana" w:hAnsi="Verdana" w:cs="Arial"/>
          <w:color w:val="000000" w:themeColor="text1"/>
          <w:lang w:val="es-MX"/>
        </w:rPr>
        <w:t>Es importante aclarar que los negocios jurídicos que regula el Decreto 092 de 2017 “</w:t>
      </w:r>
      <w:r>
        <w:rPr>
          <w:rFonts w:ascii="Verdana" w:hAnsi="Verdana" w:cs="Arial"/>
          <w:color w:val="000000" w:themeColor="text1"/>
          <w:lang w:val="es-MX"/>
        </w:rPr>
        <w:t xml:space="preserve">(…) </w:t>
      </w:r>
      <w:r w:rsidRPr="00377ED6">
        <w:rPr>
          <w:rFonts w:ascii="Verdana" w:hAnsi="Verdana" w:cs="Arial"/>
          <w:color w:val="000000" w:themeColor="text1"/>
          <w:lang w:val="es-MX"/>
        </w:rPr>
        <w:t xml:space="preserve">son esencialmente distintos a los contratos para la adquisición y </w:t>
      </w:r>
      <w:r w:rsidRPr="00377ED6">
        <w:rPr>
          <w:rFonts w:ascii="Verdana" w:hAnsi="Verdana" w:cs="Arial"/>
          <w:color w:val="000000" w:themeColor="text1"/>
          <w:lang w:val="es-MX"/>
        </w:rPr>
        <w:lastRenderedPageBreak/>
        <w:t>aprovisionamiento de bienes, obras o servicios regulados por el estatuto de contratación y</w:t>
      </w:r>
      <w:r>
        <w:rPr>
          <w:rFonts w:ascii="Verdana" w:hAnsi="Verdana" w:cs="Arial"/>
          <w:color w:val="000000" w:themeColor="text1"/>
          <w:lang w:val="es-MX"/>
        </w:rPr>
        <w:t xml:space="preserve"> </w:t>
      </w:r>
      <w:r w:rsidRPr="00377ED6">
        <w:rPr>
          <w:rFonts w:ascii="Verdana" w:hAnsi="Verdana" w:cs="Arial"/>
          <w:color w:val="000000" w:themeColor="text1"/>
          <w:lang w:val="es-MX"/>
        </w:rPr>
        <w:t xml:space="preserve">[como tal,] no hacen parte del sistema de compra pública. </w:t>
      </w:r>
      <w:r>
        <w:rPr>
          <w:rFonts w:ascii="Verdana" w:hAnsi="Verdana" w:cs="Arial"/>
          <w:color w:val="000000" w:themeColor="text1"/>
          <w:lang w:val="es-MX"/>
        </w:rPr>
        <w:t xml:space="preserve">(…) </w:t>
      </w:r>
      <w:r w:rsidRPr="00377ED6">
        <w:rPr>
          <w:rFonts w:ascii="Verdana" w:hAnsi="Verdana" w:cs="Arial"/>
          <w:color w:val="000000" w:themeColor="text1"/>
          <w:lang w:val="es-MX"/>
        </w:rPr>
        <w:t>De acuerdo con lo anterior, si la entidad estatal adquiere o se abastece de un bien, obra o servicio en un contrato conmutativo en el cual el proveedor es una [ESAL], debe aplicar el régimen contenido en las Leyes 80 de 1993 y 1150 de 2007, y no el Decreto 092 de 2017”</w:t>
      </w:r>
      <w:r w:rsidRPr="00377ED6">
        <w:rPr>
          <w:rFonts w:ascii="Verdana" w:hAnsi="Verdana" w:cs="Arial"/>
          <w:color w:val="000000" w:themeColor="text1"/>
          <w:vertAlign w:val="superscript"/>
          <w:lang w:val="es-MX"/>
        </w:rPr>
        <w:footnoteReference w:id="14"/>
      </w:r>
      <w:r w:rsidRPr="00377ED6">
        <w:rPr>
          <w:rFonts w:ascii="Verdana" w:hAnsi="Verdana" w:cs="Arial"/>
          <w:color w:val="000000" w:themeColor="text1"/>
          <w:lang w:val="es-MX"/>
        </w:rPr>
        <w:t>. Así lo consideró la Sala de Consulta y Servicio Civil del Consejo de Estado:</w:t>
      </w:r>
    </w:p>
    <w:p w14:paraId="671A9805" w14:textId="77777777" w:rsidR="003B5C8D" w:rsidRPr="00377ED6" w:rsidRDefault="003B5C8D" w:rsidP="003B5C8D">
      <w:pPr>
        <w:spacing w:after="0" w:line="276" w:lineRule="auto"/>
        <w:jc w:val="both"/>
        <w:rPr>
          <w:rFonts w:ascii="Verdana" w:hAnsi="Verdana" w:cs="Arial"/>
          <w:color w:val="000000" w:themeColor="text1"/>
          <w:lang w:val="es-MX"/>
        </w:rPr>
      </w:pPr>
    </w:p>
    <w:p w14:paraId="0246E451" w14:textId="77777777" w:rsidR="003B5C8D" w:rsidRPr="003E7CD1" w:rsidRDefault="003B5C8D" w:rsidP="003B5C8D">
      <w:pPr>
        <w:spacing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y por lo tanto, se tipifican dentro de cualquiera de las modalidades de contratación de la ley 80 de 1.993, debiendo sujetarse a los procedimientos allí previstos, en especial los de escogencia del contratista.</w:t>
      </w:r>
    </w:p>
    <w:p w14:paraId="74B1AB80" w14:textId="77777777" w:rsidR="003B5C8D" w:rsidRPr="003E7CD1" w:rsidRDefault="003B5C8D" w:rsidP="003B5C8D">
      <w:pPr>
        <w:spacing w:after="0" w:line="240" w:lineRule="auto"/>
        <w:ind w:left="708"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sería, por ejemplo, contratos de prestación de servicios o de obra pública”</w:t>
      </w:r>
      <w:r w:rsidRPr="003E7CD1">
        <w:rPr>
          <w:rFonts w:ascii="Verdana" w:hAnsi="Verdana" w:cs="Arial"/>
          <w:color w:val="000000" w:themeColor="text1"/>
          <w:sz w:val="20"/>
          <w:szCs w:val="20"/>
          <w:vertAlign w:val="superscript"/>
        </w:rPr>
        <w:t xml:space="preserve"> </w:t>
      </w:r>
      <w:r w:rsidRPr="003E7CD1">
        <w:rPr>
          <w:rFonts w:ascii="Verdana" w:hAnsi="Verdana" w:cs="Arial"/>
          <w:color w:val="000000" w:themeColor="text1"/>
          <w:sz w:val="20"/>
          <w:szCs w:val="20"/>
          <w:vertAlign w:val="superscript"/>
        </w:rPr>
        <w:footnoteReference w:id="15"/>
      </w:r>
      <w:r w:rsidRPr="003E7CD1">
        <w:rPr>
          <w:rFonts w:ascii="Verdana" w:eastAsia="Calibri" w:hAnsi="Verdana" w:cs="Arial"/>
          <w:color w:val="000000" w:themeColor="text1"/>
          <w:sz w:val="20"/>
          <w:szCs w:val="20"/>
        </w:rPr>
        <w:t>.</w:t>
      </w:r>
    </w:p>
    <w:p w14:paraId="5F0D308E" w14:textId="77777777" w:rsidR="003B5C8D" w:rsidRPr="00377ED6" w:rsidRDefault="003B5C8D" w:rsidP="003B5C8D">
      <w:pPr>
        <w:spacing w:after="0" w:line="276" w:lineRule="auto"/>
        <w:ind w:firstLine="708"/>
        <w:jc w:val="both"/>
        <w:rPr>
          <w:rFonts w:ascii="Verdana" w:eastAsia="Calibri" w:hAnsi="Verdana" w:cs="Arial"/>
          <w:color w:val="000000" w:themeColor="text1"/>
        </w:rPr>
      </w:pPr>
      <w:bookmarkStart w:id="5" w:name="_Hlk95756200"/>
    </w:p>
    <w:p w14:paraId="180CAD73" w14:textId="77777777" w:rsidR="003B5C8D" w:rsidRPr="00377ED6" w:rsidRDefault="003B5C8D" w:rsidP="003B5C8D">
      <w:pPr>
        <w:spacing w:after="0" w:line="276" w:lineRule="auto"/>
        <w:ind w:firstLine="708"/>
        <w:jc w:val="both"/>
        <w:rPr>
          <w:rFonts w:ascii="Verdana" w:eastAsia="Calibri" w:hAnsi="Verdana" w:cs="Arial"/>
          <w:color w:val="000000" w:themeColor="text1"/>
        </w:rPr>
      </w:pPr>
      <w:r w:rsidRPr="00377ED6">
        <w:rPr>
          <w:rFonts w:ascii="Verdana" w:eastAsia="Calibri" w:hAnsi="Verdana" w:cs="Arial"/>
          <w:color w:val="000000" w:themeColor="text1"/>
        </w:rPr>
        <w:t xml:space="preserve">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5"/>
      <w:r w:rsidRPr="00377ED6">
        <w:rPr>
          <w:rFonts w:ascii="Verdana" w:eastAsia="Calibri" w:hAnsi="Verdana" w:cs="Arial"/>
          <w:color w:val="000000" w:themeColor="text1"/>
        </w:rPr>
        <w:t>Así lo reconoció la Corte Constitucional en la sentencia C-287 del 18 de abril de 2012, en la que sostuvo lo siguiente:</w:t>
      </w:r>
    </w:p>
    <w:p w14:paraId="3966E3E7" w14:textId="77777777" w:rsidR="003B5C8D" w:rsidRPr="00377ED6" w:rsidRDefault="003B5C8D" w:rsidP="003B5C8D">
      <w:pPr>
        <w:spacing w:after="0" w:line="240" w:lineRule="auto"/>
        <w:ind w:firstLine="709"/>
        <w:jc w:val="both"/>
        <w:rPr>
          <w:rFonts w:ascii="Verdana" w:eastAsia="Calibri" w:hAnsi="Verdana" w:cs="Arial"/>
          <w:color w:val="000000" w:themeColor="text1"/>
        </w:rPr>
      </w:pPr>
    </w:p>
    <w:p w14:paraId="3B41E791" w14:textId="77777777" w:rsidR="003B5C8D" w:rsidRPr="003E7CD1" w:rsidRDefault="003B5C8D" w:rsidP="003B5C8D">
      <w:pPr>
        <w:spacing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lastRenderedPageBreak/>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6A5D6690" w14:textId="77777777" w:rsidR="003B5C8D" w:rsidRPr="003E7CD1" w:rsidRDefault="003B5C8D" w:rsidP="003B5C8D">
      <w:pPr>
        <w:spacing w:after="0"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i/>
          <w:iCs/>
          <w:color w:val="000000" w:themeColor="text1"/>
          <w:sz w:val="20"/>
          <w:szCs w:val="20"/>
        </w:rPr>
        <w:t>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w:t>
      </w:r>
      <w:r w:rsidRPr="003E7CD1">
        <w:rPr>
          <w:rFonts w:ascii="Verdana" w:eastAsia="Calibri" w:hAnsi="Verdana" w:cs="Arial"/>
          <w:color w:val="000000" w:themeColor="text1"/>
          <w:sz w:val="20"/>
          <w:szCs w:val="20"/>
        </w:rPr>
        <w:t>.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 (Cursivas propias)</w:t>
      </w:r>
    </w:p>
    <w:p w14:paraId="1C3487B1" w14:textId="77777777" w:rsidR="003B5C8D" w:rsidRPr="00377ED6" w:rsidRDefault="003B5C8D" w:rsidP="003B5C8D">
      <w:pPr>
        <w:spacing w:after="0" w:line="276" w:lineRule="auto"/>
        <w:ind w:firstLine="709"/>
        <w:jc w:val="both"/>
        <w:rPr>
          <w:rFonts w:ascii="Verdana" w:eastAsia="Calibri" w:hAnsi="Verdana" w:cs="Arial"/>
          <w:color w:val="000000" w:themeColor="text1"/>
        </w:rPr>
      </w:pPr>
    </w:p>
    <w:p w14:paraId="264661ED" w14:textId="77777777" w:rsidR="003B5C8D" w:rsidRPr="00377ED6" w:rsidRDefault="003B5C8D" w:rsidP="003B5C8D">
      <w:pPr>
        <w:spacing w:after="120" w:line="276" w:lineRule="auto"/>
        <w:ind w:firstLine="709"/>
        <w:jc w:val="both"/>
        <w:rPr>
          <w:rFonts w:ascii="Verdana" w:eastAsia="Calibri" w:hAnsi="Verdana" w:cs="Arial"/>
          <w:color w:val="000000" w:themeColor="text1"/>
        </w:rPr>
      </w:pPr>
      <w:r w:rsidRPr="00377ED6">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752785A7" w14:textId="77777777" w:rsidR="003B5C8D" w:rsidRPr="00377ED6" w:rsidRDefault="003B5C8D" w:rsidP="003B5C8D">
      <w:pPr>
        <w:spacing w:line="276" w:lineRule="auto"/>
        <w:ind w:firstLine="709"/>
        <w:jc w:val="both"/>
        <w:rPr>
          <w:rFonts w:ascii="Verdana" w:eastAsia="Calibri" w:hAnsi="Verdana" w:cs="Arial"/>
          <w:color w:val="000000" w:themeColor="text1"/>
        </w:rPr>
      </w:pPr>
      <w:r w:rsidRPr="00377ED6">
        <w:rPr>
          <w:rFonts w:ascii="Verdana" w:hAnsi="Verdana" w:cs="Arial"/>
          <w:color w:val="000000" w:themeColor="text1"/>
        </w:rPr>
        <w:t xml:space="preserve">Es importante tener en cuenta que la contratación con entidades sin ánimo de lucro se rige por el Decreto 092 de 2017, salvo lo que ha sido objeto de suspensión provisional por parte del Consejo de Estado. Por lo tanto, las entidades públicas que desean celebrar </w:t>
      </w:r>
      <w:r w:rsidRPr="00377ED6">
        <w:rPr>
          <w:rFonts w:ascii="Verdana" w:hAnsi="Verdana" w:cs="Arial"/>
          <w:i/>
          <w:iCs/>
          <w:color w:val="000000" w:themeColor="text1"/>
        </w:rPr>
        <w:t>contratos del artículo 355 de la Constitución Política</w:t>
      </w:r>
      <w:r w:rsidRPr="00377ED6">
        <w:rPr>
          <w:rFonts w:ascii="Verdana" w:hAnsi="Verdana" w:cs="Arial"/>
          <w:color w:val="000000" w:themeColor="text1"/>
        </w:rPr>
        <w:t xml:space="preserve"> deberán contratar con ESAL de reconocida idoneidad realizando un proceso competitivo, y teniendo en cuenta lo siguiente: i) no debe condicionarse el proceso de contratación a la inexistencia de oferta en el mercado de bienes y servicios; ii) tampoco debe condicionarse a que la contratación con las ESAL garantice la optimización de los recursos públicos en términos de eficiencia, eficacia, economía y manejo del riesgo; iii) el objeto del </w:t>
      </w:r>
      <w:r w:rsidRPr="00377ED6">
        <w:rPr>
          <w:rFonts w:ascii="Verdana" w:hAnsi="Verdana" w:cs="Arial"/>
          <w:color w:val="000000" w:themeColor="text1"/>
        </w:rPr>
        <w:lastRenderedPageBreak/>
        <w:t>contrato debe estar acorde con el plan nacional o seccional de desarrollo; iv)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iii); y v) el contrato no debe establecer una relación conmutativa en el cual haya una contraprestación directa a favor de la entidad, ni instrucciones precisas dadas por esta al contratista para cumplir con el objeto del contrato.</w:t>
      </w:r>
    </w:p>
    <w:p w14:paraId="083F5F97" w14:textId="77777777" w:rsidR="003B5C8D" w:rsidRDefault="003B5C8D" w:rsidP="003B5C8D">
      <w:pPr>
        <w:spacing w:after="120" w:line="276" w:lineRule="auto"/>
        <w:ind w:firstLine="709"/>
        <w:jc w:val="both"/>
        <w:rPr>
          <w:rFonts w:ascii="Verdana" w:eastAsia="Calibri" w:hAnsi="Verdana" w:cs="Arial"/>
          <w:color w:val="000000"/>
        </w:rPr>
      </w:pPr>
      <w:r>
        <w:rPr>
          <w:rFonts w:ascii="Verdana" w:eastAsia="Calibri" w:hAnsi="Verdana" w:cs="Arial"/>
          <w:color w:val="000000" w:themeColor="text1"/>
        </w:rPr>
        <w:t>De esta manera</w:t>
      </w:r>
      <w:r w:rsidRPr="00377ED6">
        <w:rPr>
          <w:rFonts w:ascii="Verdana" w:eastAsia="Calibri" w:hAnsi="Verdana" w:cs="Arial"/>
          <w:color w:val="000000" w:themeColor="text1"/>
        </w:rPr>
        <w:t xml:space="preserve">, si se pretende realizar un </w:t>
      </w:r>
      <w:r w:rsidRPr="00377ED6">
        <w:rPr>
          <w:rFonts w:ascii="Verdana" w:eastAsia="Calibri" w:hAnsi="Verdana" w:cs="Arial"/>
          <w:i/>
          <w:iCs/>
          <w:color w:val="000000" w:themeColor="text1"/>
        </w:rPr>
        <w:t>convenio de asociación</w:t>
      </w:r>
      <w:r w:rsidRPr="00377ED6">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w:t>
      </w:r>
      <w:r>
        <w:rPr>
          <w:rFonts w:ascii="Verdana" w:eastAsia="Calibri" w:hAnsi="Verdana" w:cs="Arial"/>
          <w:color w:val="000000" w:themeColor="text1"/>
        </w:rPr>
        <w:t>Por lo tanto</w:t>
      </w:r>
      <w:r w:rsidRPr="00377ED6">
        <w:rPr>
          <w:rFonts w:ascii="Verdana" w:eastAsia="Calibri" w:hAnsi="Verdana" w:cs="Arial"/>
          <w:color w:val="000000" w:themeColor="text1"/>
        </w:rPr>
        <w:t>, deben estar sujetos a competencia, salvo en aquellos casos en que una entidad sin ánimo de lucro comprometa recursos en dinero por un valor igual o superior al 30% del valor total del convenio</w:t>
      </w:r>
      <w:r w:rsidRPr="00377ED6">
        <w:rPr>
          <w:rFonts w:ascii="Verdana" w:hAnsi="Verdana" w:cs="Arial"/>
          <w:color w:val="000000" w:themeColor="text1"/>
          <w:vertAlign w:val="superscript"/>
        </w:rPr>
        <w:footnoteReference w:id="16"/>
      </w:r>
      <w:r w:rsidRPr="00377ED6">
        <w:rPr>
          <w:rFonts w:ascii="Verdana" w:eastAsia="Calibri" w:hAnsi="Verdana" w:cs="Arial"/>
          <w:color w:val="000000" w:themeColor="text1"/>
        </w:rPr>
        <w:t xml:space="preserve">, y siempre que la entidad estatal verifique previamente que no existe ninguna otra entidad sin ánimo de lucro que ofrezca aportes iguales o superiores al 30%. </w:t>
      </w:r>
      <w:r>
        <w:rPr>
          <w:rFonts w:ascii="Verdana" w:eastAsia="Calibri" w:hAnsi="Verdana" w:cs="Arial"/>
          <w:color w:val="000000" w:themeColor="text1"/>
        </w:rPr>
        <w:t xml:space="preserve">En ese orden, en vigencia de la </w:t>
      </w:r>
      <w:r w:rsidRPr="00377ED6">
        <w:rPr>
          <w:rFonts w:ascii="Verdana" w:eastAsia="Calibri" w:hAnsi="Verdana" w:cs="Arial"/>
          <w:color w:val="000000"/>
        </w:rPr>
        <w:t>restricci</w:t>
      </w:r>
      <w:r>
        <w:rPr>
          <w:rFonts w:ascii="Verdana" w:eastAsia="Calibri" w:hAnsi="Verdana" w:cs="Arial"/>
          <w:color w:val="000000"/>
        </w:rPr>
        <w:t>ón</w:t>
      </w:r>
      <w:r w:rsidRPr="00377ED6">
        <w:rPr>
          <w:rFonts w:ascii="Verdana" w:eastAsia="Calibri" w:hAnsi="Verdana" w:cs="Arial"/>
          <w:color w:val="000000"/>
        </w:rPr>
        <w:t xml:space="preserve"> prevista en el artículo 33 de la Ley de Garantías</w:t>
      </w:r>
      <w:r>
        <w:rPr>
          <w:rFonts w:ascii="Verdana" w:eastAsia="Calibri" w:hAnsi="Verdana" w:cs="Arial"/>
          <w:color w:val="000000"/>
        </w:rPr>
        <w:t xml:space="preserve"> Electorales, según el artículo 5 del Decreto 092 de 2017, solo podrán celebrarse convenios previo desarrollo de proceso competitivo.</w:t>
      </w:r>
    </w:p>
    <w:p w14:paraId="0242EA84" w14:textId="77777777" w:rsidR="003B5C8D" w:rsidRDefault="003B5C8D" w:rsidP="003B5C8D">
      <w:pPr>
        <w:spacing w:before="120" w:after="120" w:line="276" w:lineRule="auto"/>
        <w:ind w:firstLine="709"/>
        <w:jc w:val="both"/>
        <w:rPr>
          <w:rFonts w:ascii="Verdana" w:eastAsia="Calibri" w:hAnsi="Verdana" w:cs="Arial"/>
          <w:lang w:val="es-ES"/>
        </w:rPr>
      </w:pPr>
      <w:r>
        <w:rPr>
          <w:rFonts w:ascii="Verdana" w:eastAsia="Calibri" w:hAnsi="Verdana" w:cs="Arial"/>
          <w:color w:val="000000"/>
        </w:rPr>
        <w:t xml:space="preserve">En otras palabras, los convenios de asociación </w:t>
      </w:r>
      <w:r w:rsidRPr="697BF333">
        <w:rPr>
          <w:rFonts w:ascii="Verdana" w:eastAsia="Calibri" w:hAnsi="Verdana" w:cs="Arial"/>
          <w:lang w:val="es-ES"/>
        </w:rPr>
        <w:t xml:space="preserve">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si entra dentro del ámbito de aplicación de la mencionada prohibición, de manera que no es posible su aplicación en vigencia de la restricción a la contratación directa.  </w:t>
      </w:r>
    </w:p>
    <w:p w14:paraId="5C2B8871" w14:textId="77777777" w:rsidR="003B5C8D" w:rsidRPr="008179F0" w:rsidRDefault="003B5C8D" w:rsidP="003B5C8D">
      <w:pPr>
        <w:ind w:firstLine="709"/>
        <w:jc w:val="both"/>
      </w:pPr>
      <w:r>
        <w:rPr>
          <w:rFonts w:ascii="Verdana" w:eastAsia="Times New Roman" w:hAnsi="Verdana" w:cs="Arial"/>
          <w:lang w:val="es-MX" w:eastAsia="x-none"/>
        </w:rPr>
        <w:lastRenderedPageBreak/>
        <w:t>Sin perjuicio de lo anterior</w:t>
      </w:r>
      <w:r w:rsidRPr="00F02C5A">
        <w:rPr>
          <w:rFonts w:ascii="Verdana" w:eastAsia="Times New Roman" w:hAnsi="Verdana" w:cs="Arial"/>
          <w:lang w:val="es-MX" w:eastAsia="x-none"/>
        </w:rPr>
        <w:t xml:space="preserve">, la restricción prevista en </w:t>
      </w:r>
      <w:r>
        <w:rPr>
          <w:rFonts w:ascii="Verdana" w:eastAsia="Times New Roman" w:hAnsi="Verdana" w:cs="Arial"/>
          <w:lang w:val="es-MX" w:eastAsia="x-none"/>
        </w:rPr>
        <w:t xml:space="preserve">el artículo 33 de la </w:t>
      </w:r>
      <w:r w:rsidRPr="00F02C5A">
        <w:rPr>
          <w:rFonts w:ascii="Verdana" w:eastAsia="Times New Roman" w:hAnsi="Verdana" w:cs="Arial"/>
          <w:lang w:val="es-MX" w:eastAsia="x-none"/>
        </w:rPr>
        <w:t>Ley de Garantías Electorales</w:t>
      </w:r>
      <w:r>
        <w:rPr>
          <w:rFonts w:ascii="Verdana" w:eastAsia="Times New Roman" w:hAnsi="Verdana" w:cs="Arial"/>
          <w:lang w:val="es-MX" w:eastAsia="x-none"/>
        </w:rPr>
        <w:t xml:space="preserve"> contempla algunas excepciones</w:t>
      </w:r>
      <w:r w:rsidRPr="00F02C5A">
        <w:rPr>
          <w:rFonts w:ascii="Verdana" w:eastAsia="Times New Roman" w:hAnsi="Verdana" w:cs="Arial"/>
          <w:lang w:val="es-MX" w:eastAsia="x-none"/>
        </w:rPr>
        <w:t xml:space="preserve">, con fundamento en las cuales podrán las entidades públicas adelantar procedimientos de </w:t>
      </w:r>
      <w:r>
        <w:rPr>
          <w:rFonts w:ascii="Verdana" w:eastAsia="Times New Roman" w:hAnsi="Verdana" w:cs="Arial"/>
          <w:lang w:val="es-MX" w:eastAsia="x-none"/>
        </w:rPr>
        <w:t>contratación</w:t>
      </w:r>
      <w:r w:rsidRPr="00F02C5A">
        <w:rPr>
          <w:rFonts w:ascii="Verdana" w:eastAsia="Times New Roman" w:hAnsi="Verdana" w:cs="Arial"/>
          <w:lang w:val="es-MX" w:eastAsia="x-none"/>
        </w:rPr>
        <w:t xml:space="preserve"> directa en períodos previos a la contienda electoral por la Presidencia, </w:t>
      </w:r>
      <w:r>
        <w:rPr>
          <w:rFonts w:ascii="Verdana" w:eastAsia="Times New Roman" w:hAnsi="Verdana" w:cs="Arial"/>
          <w:lang w:val="es-MX" w:eastAsia="x-none"/>
        </w:rPr>
        <w:t xml:space="preserve">siempre que se subsuma en los supuestos contemplados de </w:t>
      </w:r>
      <w:r w:rsidRPr="00F02C5A">
        <w:rPr>
          <w:rFonts w:ascii="Verdana" w:eastAsia="Times New Roman" w:hAnsi="Verdana" w:cs="Arial"/>
          <w:lang w:val="es-MX" w:eastAsia="x-none"/>
        </w:rPr>
        <w:t>manera taxativa en el inciso final del citado artículo 33 de la Ley 996 de 2005.</w:t>
      </w:r>
      <w:r>
        <w:rPr>
          <w:rFonts w:ascii="Verdana" w:eastAsia="Times New Roman" w:hAnsi="Verdana" w:cs="Arial"/>
          <w:lang w:val="es-MX" w:eastAsia="x-none"/>
        </w:rPr>
        <w:t xml:space="preserve"> Por lo tanto, será</w:t>
      </w:r>
      <w:r w:rsidRPr="00F02C5A">
        <w:rPr>
          <w:rFonts w:ascii="Verdana" w:eastAsia="Times New Roman" w:hAnsi="Verdana" w:cs="Arial"/>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D1E43A1" w14:textId="77777777" w:rsidR="003B5C8D" w:rsidRPr="00E61635" w:rsidRDefault="003B5C8D" w:rsidP="003B5C8D">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D15232C" w14:textId="77777777" w:rsidR="003B5C8D" w:rsidRDefault="003B5C8D" w:rsidP="003B5C8D">
      <w:pPr>
        <w:widowControl w:val="0"/>
        <w:autoSpaceDE w:val="0"/>
        <w:autoSpaceDN w:val="0"/>
        <w:spacing w:after="0" w:line="276" w:lineRule="auto"/>
        <w:jc w:val="both"/>
        <w:rPr>
          <w:rFonts w:ascii="Verdana" w:hAnsi="Verdana" w:cs="Arial"/>
        </w:rPr>
      </w:pPr>
    </w:p>
    <w:p w14:paraId="0EF324DB" w14:textId="77777777" w:rsidR="003B5C8D" w:rsidRDefault="003B5C8D" w:rsidP="003B5C8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20D99F2E" w14:textId="77777777" w:rsidR="003B5C8D" w:rsidRDefault="003B5C8D" w:rsidP="003B5C8D">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3B5C8D" w14:paraId="5627E53E" w14:textId="77777777" w:rsidTr="0014503A">
        <w:trPr>
          <w:trHeight w:val="870"/>
        </w:trPr>
        <w:tc>
          <w:tcPr>
            <w:tcW w:w="8647" w:type="dxa"/>
            <w:tcBorders>
              <w:top w:val="dotted" w:sz="4" w:space="0" w:color="auto"/>
              <w:left w:val="dotted" w:sz="4" w:space="0" w:color="auto"/>
              <w:bottom w:val="dotted" w:sz="4" w:space="0" w:color="auto"/>
              <w:right w:val="dotted" w:sz="4" w:space="0" w:color="auto"/>
            </w:tcBorders>
            <w:hideMark/>
          </w:tcPr>
          <w:p w14:paraId="57BC7556" w14:textId="77777777" w:rsidR="003B5C8D" w:rsidRPr="0009275E" w:rsidRDefault="003B5C8D" w:rsidP="0014503A">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 artículos 33 y 38 parágrafo.</w:t>
            </w:r>
          </w:p>
          <w:p w14:paraId="73EE44F9" w14:textId="77777777" w:rsidR="003B5C8D" w:rsidRPr="00B3605D" w:rsidRDefault="003B5C8D" w:rsidP="0014503A">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Pr>
                <w:rFonts w:ascii="Verdana" w:eastAsia="Arial MT" w:hAnsi="Verdana" w:cs="Arial"/>
                <w:bCs/>
                <w:lang w:val="es-ES" w:eastAsia="es-ES" w:bidi="es-ES"/>
              </w:rPr>
              <w:t xml:space="preserve">Decreto 092 de 2017: artículos 3, 4 y 5 </w:t>
            </w:r>
          </w:p>
          <w:p w14:paraId="16D8F168" w14:textId="77777777" w:rsidR="003B5C8D" w:rsidRPr="00274DBA" w:rsidRDefault="003B5C8D" w:rsidP="0014503A">
            <w:pPr>
              <w:widowControl w:val="0"/>
              <w:numPr>
                <w:ilvl w:val="0"/>
                <w:numId w:val="17"/>
              </w:numPr>
              <w:autoSpaceDE w:val="0"/>
              <w:autoSpaceDN w:val="0"/>
              <w:spacing w:after="120" w:line="276" w:lineRule="auto"/>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1BB1DA75" w14:textId="77777777" w:rsidR="003B5C8D" w:rsidRDefault="003B5C8D" w:rsidP="0014503A">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Namén Vargas.  </w:t>
            </w:r>
          </w:p>
          <w:p w14:paraId="11166C69" w14:textId="77777777" w:rsidR="003B5C8D" w:rsidRPr="0009275E" w:rsidRDefault="003B5C8D" w:rsidP="0014503A">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60146E">
              <w:rPr>
                <w:rFonts w:ascii="Verdana" w:hAnsi="Verdana"/>
                <w:lang w:val="es-ES"/>
              </w:rPr>
              <w:t>Consejo de Estado. Sala de Consulta y Servicio Civil. Concepto del 12 de junio de 2018. Exp. 2371. C.P. Oscar Darío Amaya Navas</w:t>
            </w:r>
          </w:p>
          <w:p w14:paraId="2449AA93" w14:textId="77777777" w:rsidR="003B5C8D" w:rsidRPr="0060146E" w:rsidRDefault="003B5C8D" w:rsidP="0014503A">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09275E">
              <w:rPr>
                <w:rFonts w:ascii="Verdana" w:eastAsia="Arial MT" w:hAnsi="Verdana" w:cs="Arial"/>
                <w:lang w:val="es-ES" w:eastAsia="es-ES" w:bidi="es-ES"/>
              </w:rPr>
              <w:t>Consejo de Estado, Sección Tercera. Sentencia del 17 de octubre de 2025. Exp. 70.313. C.P: Fredy Ibarra Martínez</w:t>
            </w:r>
          </w:p>
          <w:p w14:paraId="3921863F" w14:textId="77777777" w:rsidR="003B5C8D" w:rsidRPr="006A640E" w:rsidRDefault="003B5C8D" w:rsidP="0014503A">
            <w:pPr>
              <w:widowControl w:val="0"/>
              <w:autoSpaceDE w:val="0"/>
              <w:autoSpaceDN w:val="0"/>
              <w:spacing w:after="120" w:line="276" w:lineRule="auto"/>
              <w:ind w:left="360"/>
              <w:jc w:val="both"/>
              <w:rPr>
                <w:rFonts w:ascii="Verdana" w:eastAsia="Arial MT" w:hAnsi="Verdana" w:cs="Arial"/>
                <w:lang w:val="es-ES" w:eastAsia="es-ES" w:bidi="es-ES"/>
              </w:rPr>
            </w:pPr>
          </w:p>
        </w:tc>
      </w:tr>
    </w:tbl>
    <w:p w14:paraId="53926ADE" w14:textId="77777777" w:rsidR="003B5C8D" w:rsidRDefault="003B5C8D" w:rsidP="003B5C8D">
      <w:pPr>
        <w:widowControl w:val="0"/>
        <w:autoSpaceDE w:val="0"/>
        <w:autoSpaceDN w:val="0"/>
        <w:spacing w:after="0" w:line="276" w:lineRule="auto"/>
        <w:jc w:val="both"/>
        <w:rPr>
          <w:rFonts w:ascii="Verdana" w:hAnsi="Verdana" w:cs="Arial"/>
        </w:rPr>
      </w:pPr>
    </w:p>
    <w:p w14:paraId="331A9D57" w14:textId="77777777" w:rsidR="003B5C8D" w:rsidRDefault="003B5C8D" w:rsidP="003B5C8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1F12F284" w14:textId="77777777" w:rsidR="003B5C8D" w:rsidRDefault="003B5C8D" w:rsidP="003B5C8D">
      <w:pPr>
        <w:widowControl w:val="0"/>
        <w:autoSpaceDE w:val="0"/>
        <w:autoSpaceDN w:val="0"/>
        <w:spacing w:after="0" w:line="276" w:lineRule="auto"/>
        <w:jc w:val="both"/>
        <w:rPr>
          <w:rFonts w:ascii="Verdana" w:hAnsi="Verdana" w:cs="Arial"/>
        </w:rPr>
      </w:pPr>
    </w:p>
    <w:p w14:paraId="34EE789D" w14:textId="77777777" w:rsidR="003B5C8D" w:rsidRPr="00FE3C84" w:rsidRDefault="003B5C8D" w:rsidP="003B5C8D">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w:t>
      </w:r>
      <w:r>
        <w:rPr>
          <w:rFonts w:ascii="Verdana" w:hAnsi="Verdana" w:cs="Arial"/>
          <w:shd w:val="clear" w:color="auto" w:fill="FFFFFF"/>
          <w:lang w:val="es-ES"/>
        </w:rPr>
        <w:t xml:space="preserve">C-1179 del 8 de abril de 2022, </w:t>
      </w:r>
      <w:r w:rsidRPr="00CF7C16">
        <w:rPr>
          <w:rFonts w:ascii="Verdana" w:hAnsi="Verdana" w:cs="Arial"/>
          <w:shd w:val="clear" w:color="auto" w:fill="FFFFFF"/>
          <w:lang w:val="es-ES"/>
        </w:rPr>
        <w:t xml:space="preserve">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sidRPr="00CF7C16">
        <w:rPr>
          <w:rFonts w:ascii="Verdana" w:hAnsi="Verdana" w:cs="Arial"/>
          <w:shd w:val="clear" w:color="auto" w:fill="FFFFFF"/>
          <w:lang w:val="es-ES"/>
        </w:rPr>
        <w:t xml:space="preserve"> </w:t>
      </w:r>
      <w:r>
        <w:rPr>
          <w:rFonts w:ascii="Verdana" w:hAnsi="Verdana" w:cs="Arial"/>
          <w:shd w:val="clear" w:color="auto" w:fill="FFFFFF"/>
          <w:lang w:val="es-ES"/>
        </w:rPr>
        <w:t xml:space="preserve">C-1186 de 2025, C-1568 del 14 de noviembre de 2025, </w:t>
      </w:r>
      <w:r w:rsidRPr="00CF7C16">
        <w:rPr>
          <w:rFonts w:ascii="Verdana" w:hAnsi="Verdana" w:cs="Arial"/>
          <w:shd w:val="clear" w:color="auto" w:fill="FFFFFF"/>
          <w:lang w:val="es-ES"/>
        </w:rPr>
        <w:t>entre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3B95DD87" w14:textId="77777777" w:rsidR="003B5C8D" w:rsidRDefault="003B5C8D" w:rsidP="003B5C8D">
      <w:pPr>
        <w:spacing w:after="0" w:line="276" w:lineRule="auto"/>
        <w:jc w:val="both"/>
        <w:rPr>
          <w:rFonts w:ascii="Verdana" w:hAnsi="Verdana"/>
        </w:rPr>
      </w:pPr>
    </w:p>
    <w:p w14:paraId="7F604A3F" w14:textId="77777777" w:rsidR="003B5C8D" w:rsidRDefault="003B5C8D" w:rsidP="003B5C8D">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2C0D5AA9" w14:textId="77777777" w:rsidR="003B5C8D" w:rsidRDefault="003B5C8D" w:rsidP="003B5C8D">
      <w:pPr>
        <w:spacing w:after="0" w:line="276" w:lineRule="auto"/>
        <w:jc w:val="both"/>
        <w:rPr>
          <w:rFonts w:ascii="Verdana" w:hAnsi="Verdana"/>
        </w:rPr>
      </w:pPr>
    </w:p>
    <w:p w14:paraId="175BBDF8" w14:textId="77777777" w:rsidR="003B5C8D" w:rsidRDefault="003B5C8D" w:rsidP="003B5C8D">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35938BE4" w14:textId="77777777" w:rsidR="003B5C8D" w:rsidRDefault="003B5C8D" w:rsidP="003B5C8D">
      <w:pPr>
        <w:spacing w:after="0" w:line="276" w:lineRule="auto"/>
        <w:jc w:val="both"/>
        <w:rPr>
          <w:rFonts w:ascii="Verdana" w:hAnsi="Verdana"/>
        </w:rPr>
      </w:pPr>
      <w:r>
        <w:rPr>
          <w:rFonts w:ascii="Verdana" w:hAnsi="Verdana"/>
        </w:rPr>
        <w:t xml:space="preserve">Facebook: </w:t>
      </w:r>
      <w:r>
        <w:rPr>
          <w:rStyle w:val="Hipervnculo"/>
          <w:rFonts w:ascii="Verdana" w:hAnsi="Verdana"/>
          <w:color w:val="4472C4" w:themeColor="accent1"/>
        </w:rPr>
        <w:t>ColombiaCompraEficiente</w:t>
      </w:r>
    </w:p>
    <w:p w14:paraId="786A7787" w14:textId="77777777" w:rsidR="003B5C8D" w:rsidRDefault="003B5C8D" w:rsidP="003B5C8D">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27785DBF" w14:textId="77777777" w:rsidR="003B5C8D" w:rsidRDefault="003B5C8D" w:rsidP="003B5C8D">
      <w:pPr>
        <w:widowControl w:val="0"/>
        <w:autoSpaceDE w:val="0"/>
        <w:autoSpaceDN w:val="0"/>
        <w:spacing w:after="0" w:line="276" w:lineRule="auto"/>
        <w:jc w:val="both"/>
        <w:rPr>
          <w:rFonts w:ascii="Verdana" w:hAnsi="Verdana" w:cs="Arial"/>
        </w:rPr>
      </w:pPr>
    </w:p>
    <w:p w14:paraId="4FB12AD9" w14:textId="77777777" w:rsidR="003B5C8D" w:rsidRDefault="003B5C8D" w:rsidP="003B5C8D">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5AC5A517" w14:textId="77777777" w:rsidR="003B5C8D" w:rsidRDefault="003B5C8D" w:rsidP="003B5C8D">
      <w:pPr>
        <w:widowControl w:val="0"/>
        <w:autoSpaceDE w:val="0"/>
        <w:autoSpaceDN w:val="0"/>
        <w:spacing w:after="0" w:line="276" w:lineRule="auto"/>
        <w:jc w:val="both"/>
        <w:rPr>
          <w:rFonts w:ascii="Verdana" w:hAnsi="Verdana" w:cs="Arial"/>
        </w:rPr>
      </w:pPr>
    </w:p>
    <w:p w14:paraId="6B5B5086" w14:textId="77777777" w:rsidR="003B5C8D" w:rsidRDefault="003B5C8D" w:rsidP="003B5C8D">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292D1779" w14:textId="2A4ED7BD" w:rsidR="003B5C8D" w:rsidRDefault="00A22876" w:rsidP="003B5C8D">
      <w:pPr>
        <w:spacing w:after="0" w:line="276" w:lineRule="auto"/>
        <w:jc w:val="center"/>
      </w:pPr>
      <w:r>
        <w:rPr>
          <w:noProof/>
        </w:rPr>
        <w:drawing>
          <wp:inline distT="0" distB="0" distL="0" distR="0" wp14:anchorId="2DB731B2" wp14:editId="67FA50CE">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B5C8D" w14:paraId="02CFC229" w14:textId="77777777" w:rsidTr="0014503A">
        <w:trPr>
          <w:trHeight w:val="315"/>
        </w:trPr>
        <w:tc>
          <w:tcPr>
            <w:tcW w:w="893" w:type="dxa"/>
            <w:vAlign w:val="center"/>
            <w:hideMark/>
          </w:tcPr>
          <w:p w14:paraId="41EA3AEC" w14:textId="77777777" w:rsidR="003B5C8D" w:rsidRDefault="003B5C8D" w:rsidP="0014503A">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1E351E4" w14:textId="77777777" w:rsidR="003B5C8D" w:rsidRDefault="003B5C8D" w:rsidP="0014503A">
            <w:pPr>
              <w:spacing w:after="255"/>
              <w:contextualSpacing/>
              <w:rPr>
                <w:rFonts w:ascii="Verdana" w:eastAsia="Arial" w:hAnsi="Verdana" w:cs="Arial"/>
                <w:sz w:val="16"/>
                <w:szCs w:val="16"/>
              </w:rPr>
            </w:pPr>
            <w:r>
              <w:rPr>
                <w:rStyle w:val="normaltextrun"/>
                <w:rFonts w:ascii="Verdana" w:hAnsi="Verdana"/>
                <w:sz w:val="16"/>
                <w:szCs w:val="16"/>
              </w:rPr>
              <w:t>Catalina Cubides Estupiñan</w:t>
            </w:r>
          </w:p>
          <w:p w14:paraId="18C96FB9" w14:textId="77777777" w:rsidR="003B5C8D" w:rsidRDefault="003B5C8D" w:rsidP="0014503A">
            <w:pPr>
              <w:spacing w:after="255"/>
              <w:contextualSpacing/>
              <w:rPr>
                <w:rFonts w:ascii="Verdana" w:eastAsia="Arial" w:hAnsi="Verdana" w:cs="Arial"/>
                <w:sz w:val="16"/>
                <w:szCs w:val="16"/>
              </w:rPr>
            </w:pPr>
            <w:r>
              <w:rPr>
                <w:rStyle w:val="normaltextrun"/>
                <w:rFonts w:ascii="Verdana" w:eastAsia="Arial" w:hAnsi="Verdana" w:cs="Arial"/>
                <w:sz w:val="16"/>
                <w:szCs w:val="16"/>
              </w:rPr>
              <w:lastRenderedPageBreak/>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3B5C8D" w14:paraId="15A050EB" w14:textId="77777777" w:rsidTr="0014503A">
        <w:trPr>
          <w:trHeight w:val="330"/>
        </w:trPr>
        <w:tc>
          <w:tcPr>
            <w:tcW w:w="893" w:type="dxa"/>
            <w:vAlign w:val="center"/>
            <w:hideMark/>
          </w:tcPr>
          <w:p w14:paraId="775849FA" w14:textId="77777777" w:rsidR="003B5C8D" w:rsidRDefault="003B5C8D" w:rsidP="0014503A">
            <w:pPr>
              <w:spacing w:after="255"/>
              <w:contextualSpacing/>
              <w:rPr>
                <w:rFonts w:ascii="Verdana" w:hAnsi="Verdana" w:cs="Arial"/>
                <w:sz w:val="16"/>
                <w:szCs w:val="16"/>
                <w:lang w:val="es-ES" w:eastAsia="es-ES"/>
              </w:rPr>
            </w:pPr>
            <w:r>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11AE6AC" w14:textId="77777777" w:rsidR="003B5C8D" w:rsidRDefault="003B5C8D" w:rsidP="0014503A">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Lucía Saavedra Castañeda</w:t>
            </w:r>
          </w:p>
          <w:p w14:paraId="50101FC9" w14:textId="77777777" w:rsidR="003B5C8D" w:rsidRDefault="003B5C8D" w:rsidP="0014503A">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3B5C8D" w14:paraId="10471800" w14:textId="77777777" w:rsidTr="0014503A">
        <w:trPr>
          <w:trHeight w:val="300"/>
        </w:trPr>
        <w:tc>
          <w:tcPr>
            <w:tcW w:w="893" w:type="dxa"/>
            <w:vAlign w:val="center"/>
            <w:hideMark/>
          </w:tcPr>
          <w:p w14:paraId="424CF441" w14:textId="77777777" w:rsidR="003B5C8D" w:rsidRDefault="003B5C8D" w:rsidP="0014503A">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D4333E3" w14:textId="77777777" w:rsidR="003B5C8D" w:rsidRDefault="003B5C8D" w:rsidP="0014503A">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Carolina Quintero Gacharná</w:t>
            </w:r>
          </w:p>
          <w:p w14:paraId="362A4FE0" w14:textId="77777777" w:rsidR="003B5C8D" w:rsidRDefault="003B5C8D" w:rsidP="0014503A">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Contractual ANCP – CCE </w:t>
            </w:r>
          </w:p>
        </w:tc>
      </w:tr>
    </w:tbl>
    <w:p w14:paraId="12706064" w14:textId="77777777" w:rsidR="003B5C8D" w:rsidRPr="001249F1" w:rsidRDefault="003B5C8D" w:rsidP="003B5C8D"/>
    <w:p w14:paraId="7C2E8C21" w14:textId="77777777" w:rsidR="003B5C8D" w:rsidRPr="0044528D" w:rsidRDefault="003B5C8D" w:rsidP="003B5C8D">
      <w:pPr>
        <w:spacing w:after="0"/>
        <w:rPr>
          <w:rFonts w:ascii="Verdana" w:eastAsia="Times New Roman" w:hAnsi="Verdana" w:cs="Segoe UI"/>
          <w:b/>
          <w:bCs/>
          <w:color w:val="46589C"/>
          <w:lang w:val="es-ES" w:eastAsia="es-CO"/>
        </w:rPr>
      </w:pPr>
    </w:p>
    <w:p w14:paraId="20C2C9D9" w14:textId="77777777" w:rsidR="003B5C8D" w:rsidRPr="00046945" w:rsidRDefault="003B5C8D" w:rsidP="003B5C8D">
      <w:pPr>
        <w:spacing w:after="0"/>
        <w:rPr>
          <w:rFonts w:ascii="Verdana" w:eastAsia="Times New Roman" w:hAnsi="Verdana" w:cs="Segoe UI"/>
          <w:sz w:val="18"/>
          <w:szCs w:val="18"/>
          <w:lang w:eastAsia="es-CO"/>
        </w:rPr>
      </w:pPr>
    </w:p>
    <w:p w14:paraId="6BC6470C" w14:textId="77777777" w:rsidR="003B5C8D" w:rsidRPr="0044528D" w:rsidRDefault="003B5C8D" w:rsidP="003B5C8D">
      <w:pPr>
        <w:spacing w:after="0"/>
        <w:rPr>
          <w:rFonts w:ascii="Verdana" w:hAnsi="Verdana"/>
        </w:rPr>
      </w:pPr>
    </w:p>
    <w:p w14:paraId="30A0808F" w14:textId="77777777" w:rsidR="003B5C8D" w:rsidRPr="0015699B" w:rsidRDefault="003B5C8D" w:rsidP="003B5C8D">
      <w:pPr>
        <w:spacing w:after="0"/>
        <w:rPr>
          <w:rFonts w:ascii="Verdana" w:eastAsia="Times New Roman" w:hAnsi="Verdana" w:cs="Segoe UI"/>
          <w:lang w:eastAsia="es-CO"/>
        </w:rPr>
      </w:pPr>
    </w:p>
    <w:p w14:paraId="0F293BF4" w14:textId="4D2CC9ED" w:rsidR="00127233" w:rsidRPr="0015699B" w:rsidRDefault="00127233" w:rsidP="003B5C8D">
      <w:pPr>
        <w:spacing w:after="0"/>
        <w:rPr>
          <w:rFonts w:ascii="Verdana" w:eastAsia="Times New Roman" w:hAnsi="Verdana" w:cs="Segoe UI"/>
          <w:lang w:eastAsia="es-CO"/>
        </w:rPr>
      </w:pPr>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D1F8E3" w14:textId="77777777" w:rsidR="00BF652E" w:rsidRDefault="00BF652E" w:rsidP="004A1847">
      <w:pPr>
        <w:spacing w:after="0" w:line="240" w:lineRule="auto"/>
      </w:pPr>
      <w:r>
        <w:separator/>
      </w:r>
    </w:p>
  </w:endnote>
  <w:endnote w:type="continuationSeparator" w:id="0">
    <w:p w14:paraId="3A037D9C" w14:textId="77777777" w:rsidR="00BF652E" w:rsidRDefault="00BF652E" w:rsidP="004A1847">
      <w:pPr>
        <w:spacing w:after="0" w:line="240" w:lineRule="auto"/>
      </w:pPr>
      <w:r>
        <w:continuationSeparator/>
      </w:r>
    </w:p>
  </w:endnote>
  <w:endnote w:type="continuationNotice" w:id="1">
    <w:p w14:paraId="378D510F" w14:textId="77777777" w:rsidR="00BF652E" w:rsidRDefault="00BF65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CDHEE+Verdana">
    <w:altName w:val="Verdana"/>
    <w:panose1 w:val="00000000000000000000"/>
    <w:charset w:val="00"/>
    <w:family w:val="swiss"/>
    <w:notTrueType/>
    <w:pitch w:val="default"/>
    <w:sig w:usb0="00000003" w:usb1="00000000" w:usb2="00000000" w:usb3="00000000" w:csb0="00000001"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8766DC" w14:textId="77777777" w:rsidR="00BF652E" w:rsidRDefault="00BF652E" w:rsidP="004A1847">
      <w:pPr>
        <w:spacing w:after="0" w:line="240" w:lineRule="auto"/>
      </w:pPr>
      <w:r>
        <w:separator/>
      </w:r>
    </w:p>
  </w:footnote>
  <w:footnote w:type="continuationSeparator" w:id="0">
    <w:p w14:paraId="7D77A1BD" w14:textId="77777777" w:rsidR="00BF652E" w:rsidRDefault="00BF652E" w:rsidP="004A1847">
      <w:pPr>
        <w:spacing w:after="0" w:line="240" w:lineRule="auto"/>
      </w:pPr>
      <w:r>
        <w:continuationSeparator/>
      </w:r>
    </w:p>
  </w:footnote>
  <w:footnote w:type="continuationNotice" w:id="1">
    <w:p w14:paraId="106074DD" w14:textId="77777777" w:rsidR="00BF652E" w:rsidRDefault="00BF652E">
      <w:pPr>
        <w:spacing w:after="0" w:line="240" w:lineRule="auto"/>
      </w:pPr>
    </w:p>
  </w:footnote>
  <w:footnote w:id="2">
    <w:p w14:paraId="76E48329" w14:textId="77777777" w:rsidR="003B5C8D" w:rsidRPr="00C05384" w:rsidRDefault="003B5C8D" w:rsidP="003B5C8D">
      <w:pPr>
        <w:pStyle w:val="Textonotapie"/>
        <w:ind w:firstLine="709"/>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 w:id="3">
    <w:p w14:paraId="3788B4FB" w14:textId="77777777" w:rsidR="003B5C8D" w:rsidRPr="00C05384" w:rsidRDefault="003B5C8D" w:rsidP="003B5C8D">
      <w:pPr>
        <w:pStyle w:val="Textonotapie"/>
        <w:contextualSpacing/>
        <w:jc w:val="both"/>
        <w:rPr>
          <w:rFonts w:ascii="Verdana" w:hAnsi="Verdana" w:cs="Arial"/>
          <w:sz w:val="16"/>
          <w:szCs w:val="16"/>
        </w:rPr>
      </w:pPr>
      <w:r>
        <w:rPr>
          <w:rFonts w:ascii="Verdana" w:hAnsi="Verdana" w:cs="Arial"/>
          <w:sz w:val="16"/>
          <w:szCs w:val="16"/>
        </w:rPr>
        <w:tab/>
      </w: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footnote>
  <w:footnote w:id="4">
    <w:p w14:paraId="1293C90B" w14:textId="77777777" w:rsidR="003B5C8D" w:rsidRPr="00C05384" w:rsidRDefault="003B5C8D" w:rsidP="003B5C8D">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Monroy Cabra.</w:t>
      </w:r>
    </w:p>
  </w:footnote>
  <w:footnote w:id="5">
    <w:p w14:paraId="4A9465E4" w14:textId="77777777" w:rsidR="003B5C8D" w:rsidRPr="00C05384" w:rsidRDefault="003B5C8D" w:rsidP="003B5C8D">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3A15ACD4" w14:textId="77777777" w:rsidR="003B5C8D" w:rsidRPr="00C05384" w:rsidRDefault="003B5C8D" w:rsidP="003B5C8D">
      <w:pPr>
        <w:pStyle w:val="Textonotapie"/>
        <w:ind w:firstLine="709"/>
        <w:contextualSpacing/>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6C94020D" w14:textId="77777777" w:rsidR="003B5C8D" w:rsidRPr="00C05384" w:rsidRDefault="003B5C8D" w:rsidP="003B5C8D">
      <w:pPr>
        <w:pStyle w:val="Textonotapie"/>
        <w:ind w:firstLine="709"/>
        <w:contextualSpacing/>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footnote>
  <w:footnote w:id="8">
    <w:p w14:paraId="051FA00B" w14:textId="77777777" w:rsidR="003B5C8D" w:rsidRPr="00E657A2" w:rsidRDefault="003B5C8D" w:rsidP="003B5C8D">
      <w:pPr>
        <w:pStyle w:val="Textonotapie"/>
        <w:ind w:firstLine="709"/>
        <w:jc w:val="both"/>
        <w:rPr>
          <w:rFonts w:ascii="Verdana" w:hAnsi="Verdana" w:cs="Arial"/>
          <w:sz w:val="16"/>
          <w:szCs w:val="16"/>
          <w:lang w:val="es-CO"/>
        </w:rPr>
      </w:pPr>
      <w:r w:rsidRPr="00E657A2">
        <w:rPr>
          <w:rStyle w:val="Refdenotaalpie"/>
          <w:rFonts w:ascii="Verdana" w:hAnsi="Verdana"/>
          <w:sz w:val="16"/>
          <w:szCs w:val="16"/>
        </w:rPr>
        <w:footnoteRef/>
      </w:r>
      <w:r w:rsidRPr="00E657A2">
        <w:rPr>
          <w:rFonts w:ascii="Verdana" w:hAnsi="Verdana"/>
          <w:sz w:val="16"/>
          <w:szCs w:val="16"/>
          <w:lang w:val="es-CO"/>
        </w:rPr>
        <w:t xml:space="preserve"> Consejo de Estado, Sección Tercera. Auto del 4 de octubre de 2024. Exp. 70.313. C.P: Fredy Ibarra Martínez</w:t>
      </w:r>
    </w:p>
  </w:footnote>
  <w:footnote w:id="9">
    <w:p w14:paraId="294B6817" w14:textId="77777777" w:rsidR="003B5C8D" w:rsidRPr="00E657A2" w:rsidRDefault="003B5C8D" w:rsidP="003B5C8D">
      <w:pPr>
        <w:pStyle w:val="Textonotapie"/>
        <w:ind w:firstLine="709"/>
        <w:jc w:val="both"/>
        <w:rPr>
          <w:rFonts w:ascii="Verdana" w:hAnsi="Verdana"/>
          <w:sz w:val="16"/>
          <w:szCs w:val="16"/>
          <w:lang w:val="es-CO"/>
        </w:rPr>
      </w:pPr>
      <w:r w:rsidRPr="00E657A2">
        <w:rPr>
          <w:rStyle w:val="Refdenotaalpie"/>
          <w:sz w:val="16"/>
          <w:szCs w:val="16"/>
        </w:rPr>
        <w:footnoteRef/>
      </w:r>
      <w:r w:rsidRPr="00E657A2">
        <w:rPr>
          <w:sz w:val="16"/>
          <w:szCs w:val="16"/>
        </w:rPr>
        <w:t xml:space="preserve"> L</w:t>
      </w:r>
      <w:r w:rsidRPr="00E657A2">
        <w:rPr>
          <w:rFonts w:ascii="Verdana" w:hAnsi="Verdana"/>
          <w:sz w:val="16"/>
          <w:szCs w:val="16"/>
        </w:rPr>
        <w:t>a parte resolutiva del auto dispone lo siguiente; “</w:t>
      </w:r>
      <w:r w:rsidRPr="00E657A2">
        <w:rPr>
          <w:rFonts w:ascii="Verdana" w:hAnsi="Verdana"/>
          <w:b/>
          <w:bCs/>
          <w:sz w:val="16"/>
          <w:szCs w:val="16"/>
          <w:lang w:val="es-CO"/>
        </w:rPr>
        <w:t xml:space="preserve">PRIMERO: DECRETAR </w:t>
      </w:r>
      <w:r w:rsidRPr="00E657A2">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E657A2">
        <w:rPr>
          <w:rFonts w:ascii="Verdana" w:hAnsi="Verdana"/>
          <w:i/>
          <w:iCs/>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E657A2">
        <w:rPr>
          <w:rFonts w:ascii="Verdana" w:hAnsi="Verdana"/>
          <w:sz w:val="16"/>
          <w:szCs w:val="16"/>
          <w:lang w:val="es-CO"/>
        </w:rPr>
        <w:t xml:space="preserve">, por las razones expuestas en precedencia. </w:t>
      </w:r>
    </w:p>
    <w:p w14:paraId="4CE506A2" w14:textId="77777777" w:rsidR="003B5C8D" w:rsidRPr="00E657A2" w:rsidRDefault="003B5C8D" w:rsidP="003B5C8D">
      <w:pPr>
        <w:pStyle w:val="Textonotapie"/>
        <w:ind w:firstLine="709"/>
        <w:jc w:val="both"/>
        <w:rPr>
          <w:rFonts w:ascii="Verdana" w:hAnsi="Verdana" w:cs="Arial"/>
          <w:sz w:val="16"/>
          <w:szCs w:val="16"/>
          <w:lang w:val="es-CO"/>
        </w:rPr>
      </w:pPr>
      <w:r w:rsidRPr="00E657A2">
        <w:rPr>
          <w:rFonts w:ascii="Verdana" w:hAnsi="Verdana"/>
          <w:b/>
          <w:bCs/>
          <w:sz w:val="16"/>
          <w:szCs w:val="16"/>
          <w:lang w:val="es-CO"/>
        </w:rPr>
        <w:t xml:space="preserve">SEGUNDO: DECRETAR </w:t>
      </w:r>
      <w:r w:rsidRPr="00E657A2">
        <w:rPr>
          <w:rFonts w:ascii="Verdana" w:hAnsi="Verdana"/>
          <w:sz w:val="16"/>
          <w:szCs w:val="16"/>
          <w:lang w:val="es-CO"/>
        </w:rPr>
        <w:t>la suspensión provisional de la expresión “</w:t>
      </w:r>
      <w:r w:rsidRPr="00E657A2">
        <w:rPr>
          <w:rFonts w:ascii="Verdana" w:hAnsi="Verdana"/>
          <w:i/>
          <w:iCs/>
          <w:sz w:val="16"/>
          <w:szCs w:val="16"/>
          <w:lang w:val="es-CO"/>
        </w:rPr>
        <w:t>contratos</w:t>
      </w:r>
      <w:r w:rsidRPr="00E657A2">
        <w:rPr>
          <w:rFonts w:ascii="Verdana" w:hAnsi="Verdana"/>
          <w:sz w:val="16"/>
          <w:szCs w:val="16"/>
          <w:lang w:val="es-CO"/>
        </w:rPr>
        <w:t xml:space="preserve">” y del párrafo </w:t>
      </w:r>
      <w:r w:rsidRPr="00E657A2">
        <w:rPr>
          <w:rFonts w:ascii="Verdana" w:hAnsi="Verdana"/>
          <w:i/>
          <w:iCs/>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E657A2">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10">
    <w:p w14:paraId="093C4B3F" w14:textId="77777777" w:rsidR="003B5C8D" w:rsidRPr="002A503A" w:rsidRDefault="003B5C8D" w:rsidP="003B5C8D">
      <w:pPr>
        <w:pStyle w:val="Textonotapie"/>
        <w:rPr>
          <w:lang w:val="es-ES"/>
        </w:rPr>
      </w:pPr>
      <w:r>
        <w:rPr>
          <w:rStyle w:val="Refdenotaalpie"/>
        </w:rPr>
        <w:footnoteRef/>
      </w:r>
      <w:r>
        <w:t xml:space="preserve"> </w:t>
      </w:r>
      <w:r w:rsidRPr="00E657A2">
        <w:rPr>
          <w:rFonts w:ascii="Verdana" w:hAnsi="Verdana"/>
          <w:sz w:val="16"/>
          <w:szCs w:val="16"/>
          <w:lang w:val="es-CO"/>
        </w:rPr>
        <w:t xml:space="preserve">Consejo de Estado, Sección Tercera. </w:t>
      </w:r>
      <w:r>
        <w:rPr>
          <w:rFonts w:ascii="Verdana" w:hAnsi="Verdana"/>
          <w:sz w:val="16"/>
          <w:szCs w:val="16"/>
          <w:lang w:val="es-CO"/>
        </w:rPr>
        <w:t>Sentencia</w:t>
      </w:r>
      <w:r w:rsidRPr="00E657A2">
        <w:rPr>
          <w:rFonts w:ascii="Verdana" w:hAnsi="Verdana"/>
          <w:sz w:val="16"/>
          <w:szCs w:val="16"/>
          <w:lang w:val="es-CO"/>
        </w:rPr>
        <w:t xml:space="preserve"> del </w:t>
      </w:r>
      <w:r>
        <w:rPr>
          <w:rFonts w:ascii="Verdana" w:hAnsi="Verdana"/>
          <w:sz w:val="16"/>
          <w:szCs w:val="16"/>
          <w:lang w:val="es-CO"/>
        </w:rPr>
        <w:t>17</w:t>
      </w:r>
      <w:r w:rsidRPr="00E657A2">
        <w:rPr>
          <w:rFonts w:ascii="Verdana" w:hAnsi="Verdana"/>
          <w:sz w:val="16"/>
          <w:szCs w:val="16"/>
          <w:lang w:val="es-CO"/>
        </w:rPr>
        <w:t xml:space="preserve"> de octubre de 202</w:t>
      </w:r>
      <w:r>
        <w:rPr>
          <w:rFonts w:ascii="Verdana" w:hAnsi="Verdana"/>
          <w:sz w:val="16"/>
          <w:szCs w:val="16"/>
          <w:lang w:val="es-CO"/>
        </w:rPr>
        <w:t>5</w:t>
      </w:r>
      <w:r w:rsidRPr="00E657A2">
        <w:rPr>
          <w:rFonts w:ascii="Verdana" w:hAnsi="Verdana"/>
          <w:sz w:val="16"/>
          <w:szCs w:val="16"/>
          <w:lang w:val="es-CO"/>
        </w:rPr>
        <w:t>. Exp. 70.313. C.P: Fredy Ibarra Martínez</w:t>
      </w:r>
    </w:p>
  </w:footnote>
  <w:footnote w:id="11">
    <w:p w14:paraId="691F73EB" w14:textId="77777777" w:rsidR="003B5C8D" w:rsidRPr="00C05384" w:rsidRDefault="003B5C8D" w:rsidP="003B5C8D">
      <w:pPr>
        <w:pStyle w:val="Textonotapie"/>
        <w:ind w:firstLine="709"/>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 w:id="12">
    <w:p w14:paraId="76AEFBDF" w14:textId="77777777" w:rsidR="003B5C8D" w:rsidRPr="00B47839" w:rsidRDefault="003B5C8D" w:rsidP="003B5C8D">
      <w:pPr>
        <w:pStyle w:val="Textonotapie"/>
        <w:ind w:firstLine="708"/>
        <w:jc w:val="both"/>
        <w:rPr>
          <w:rFonts w:ascii="Verdana" w:hAnsi="Verdana" w:cs="Arial"/>
          <w:sz w:val="16"/>
          <w:szCs w:val="16"/>
        </w:rPr>
      </w:pPr>
      <w:r w:rsidRPr="00B47839">
        <w:rPr>
          <w:rStyle w:val="Refdenotaalpie"/>
          <w:rFonts w:ascii="Verdana" w:hAnsi="Verdana" w:cs="Arial"/>
          <w:sz w:val="16"/>
          <w:szCs w:val="16"/>
        </w:rPr>
        <w:footnoteRef/>
      </w:r>
      <w:r w:rsidRPr="00B47839">
        <w:rPr>
          <w:rFonts w:ascii="Verdana" w:hAnsi="Verdana" w:cs="Arial"/>
          <w:sz w:val="16"/>
          <w:szCs w:val="16"/>
        </w:rPr>
        <w:t xml:space="preserve"> Concepto del 3 de septiembre de 2019, con radicado No. 2201913000006512.</w:t>
      </w:r>
    </w:p>
    <w:p w14:paraId="3201A3BB" w14:textId="77777777" w:rsidR="003B5C8D" w:rsidRPr="00B47839" w:rsidRDefault="003B5C8D" w:rsidP="003B5C8D">
      <w:pPr>
        <w:pStyle w:val="Textonotapie"/>
        <w:ind w:firstLine="708"/>
        <w:jc w:val="both"/>
        <w:rPr>
          <w:rFonts w:ascii="Verdana" w:hAnsi="Verdana" w:cs="Arial"/>
          <w:sz w:val="16"/>
          <w:szCs w:val="16"/>
        </w:rPr>
      </w:pPr>
    </w:p>
  </w:footnote>
  <w:footnote w:id="13">
    <w:p w14:paraId="03F31162" w14:textId="77777777" w:rsidR="003B5C8D" w:rsidRPr="00B47839" w:rsidRDefault="003B5C8D" w:rsidP="003B5C8D">
      <w:pPr>
        <w:pStyle w:val="Textonotapie"/>
        <w:ind w:firstLine="708"/>
        <w:jc w:val="both"/>
        <w:rPr>
          <w:rFonts w:ascii="Verdana" w:hAnsi="Verdana" w:cs="Arial"/>
          <w:sz w:val="16"/>
          <w:szCs w:val="16"/>
        </w:rPr>
      </w:pPr>
      <w:r w:rsidRPr="00B47839">
        <w:rPr>
          <w:rStyle w:val="Refdenotaalpie"/>
          <w:rFonts w:ascii="Verdana" w:hAnsi="Verdana" w:cs="Arial"/>
          <w:sz w:val="16"/>
          <w:szCs w:val="16"/>
        </w:rPr>
        <w:footnoteRef/>
      </w:r>
      <w:r w:rsidRPr="00B47839">
        <w:rPr>
          <w:rFonts w:ascii="Verdana" w:hAnsi="Verdana" w:cs="Arial"/>
          <w:sz w:val="16"/>
          <w:szCs w:val="16"/>
        </w:rPr>
        <w:t xml:space="preserve"> Sobre la naturaleza de los convenios de asociación, se reitera lo expuesto en el concepto del 19 de noviembre de 2019, con radicado No. 2201913000008611.</w:t>
      </w:r>
    </w:p>
  </w:footnote>
  <w:footnote w:id="14">
    <w:p w14:paraId="1EEE84EA" w14:textId="77777777" w:rsidR="003B5C8D" w:rsidRPr="00B47839" w:rsidRDefault="003B5C8D" w:rsidP="003B5C8D">
      <w:pPr>
        <w:pStyle w:val="Textonotapie"/>
        <w:ind w:firstLine="708"/>
        <w:jc w:val="both"/>
        <w:rPr>
          <w:rFonts w:ascii="Verdana" w:hAnsi="Verdana" w:cs="Arial"/>
          <w:color w:val="000000" w:themeColor="text1"/>
          <w:sz w:val="16"/>
          <w:szCs w:val="16"/>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Cfr. Concepto del 21 de agosto de 2019, dictado dentro del radicado No. 2201913000006047.</w:t>
      </w:r>
    </w:p>
    <w:p w14:paraId="3F6DD435" w14:textId="77777777" w:rsidR="003B5C8D" w:rsidRPr="00B47839" w:rsidRDefault="003B5C8D" w:rsidP="003B5C8D">
      <w:pPr>
        <w:pStyle w:val="Textonotapie"/>
        <w:ind w:firstLine="708"/>
        <w:jc w:val="both"/>
        <w:rPr>
          <w:rFonts w:ascii="Verdana" w:hAnsi="Verdana" w:cs="Arial"/>
          <w:color w:val="000000" w:themeColor="text1"/>
          <w:sz w:val="16"/>
          <w:szCs w:val="16"/>
        </w:rPr>
      </w:pPr>
    </w:p>
  </w:footnote>
  <w:footnote w:id="15">
    <w:p w14:paraId="7372CEDE" w14:textId="77777777" w:rsidR="003B5C8D" w:rsidRPr="00B47839" w:rsidRDefault="003B5C8D" w:rsidP="003B5C8D">
      <w:pPr>
        <w:pStyle w:val="Textonotapie"/>
        <w:ind w:firstLine="708"/>
        <w:jc w:val="both"/>
        <w:rPr>
          <w:rFonts w:ascii="Verdana" w:hAnsi="Verdana" w:cs="Arial"/>
          <w:color w:val="000000" w:themeColor="text1"/>
          <w:sz w:val="16"/>
          <w:szCs w:val="16"/>
          <w:lang w:val="es-ES"/>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Concepto del 24 de febrero de 2005. Radicado:1626, C.P. Gloria Duque Hernández.</w:t>
      </w:r>
    </w:p>
  </w:footnote>
  <w:footnote w:id="16">
    <w:p w14:paraId="1676FDC8" w14:textId="77777777" w:rsidR="003B5C8D" w:rsidRPr="00B47839" w:rsidRDefault="003B5C8D" w:rsidP="003B5C8D">
      <w:pPr>
        <w:pStyle w:val="Textonotapie"/>
        <w:ind w:firstLine="708"/>
        <w:jc w:val="both"/>
        <w:rPr>
          <w:rFonts w:ascii="Verdana" w:hAnsi="Verdana" w:cs="Arial"/>
          <w:color w:val="000000" w:themeColor="text1"/>
          <w:sz w:val="16"/>
          <w:szCs w:val="16"/>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Decreto 092 de 2017,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98"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E3A25A8"/>
    <w:multiLevelType w:val="hybridMultilevel"/>
    <w:tmpl w:val="0862EA26"/>
    <w:lvl w:ilvl="0" w:tplc="6A9A2EF6">
      <w:start w:val="1"/>
      <w:numFmt w:val="lowerRoman"/>
      <w:lvlText w:val="%1."/>
      <w:lvlJc w:val="left"/>
      <w:pPr>
        <w:ind w:left="1080" w:hanging="720"/>
      </w:pPr>
      <w:rPr>
        <w:rFonts w:eastAsiaTheme="minorHAnsi" w:cs="BCDHEE+Verdana"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6"/>
  </w:num>
  <w:num w:numId="8">
    <w:abstractNumId w:val="13"/>
  </w:num>
  <w:num w:numId="9">
    <w:abstractNumId w:val="8"/>
  </w:num>
  <w:num w:numId="10">
    <w:abstractNumId w:val="12"/>
  </w:num>
  <w:num w:numId="11">
    <w:abstractNumId w:val="9"/>
  </w:num>
  <w:num w:numId="12">
    <w:abstractNumId w:val="1"/>
  </w:num>
  <w:num w:numId="13">
    <w:abstractNumId w:val="4"/>
  </w:num>
  <w:num w:numId="14">
    <w:abstractNumId w:val="15"/>
  </w:num>
  <w:num w:numId="15">
    <w:abstractNumId w:val="11"/>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B5C8D"/>
    <w:rsid w:val="003D0F4D"/>
    <w:rsid w:val="003D5B0D"/>
    <w:rsid w:val="003E0499"/>
    <w:rsid w:val="003E4F80"/>
    <w:rsid w:val="003E6439"/>
    <w:rsid w:val="003F3941"/>
    <w:rsid w:val="00406575"/>
    <w:rsid w:val="00407E09"/>
    <w:rsid w:val="00414C74"/>
    <w:rsid w:val="0042722E"/>
    <w:rsid w:val="0044528D"/>
    <w:rsid w:val="00466E39"/>
    <w:rsid w:val="00487F73"/>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02D11"/>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2876"/>
    <w:rsid w:val="00A23AF9"/>
    <w:rsid w:val="00A33C78"/>
    <w:rsid w:val="00AB0ADB"/>
    <w:rsid w:val="00AE77EA"/>
    <w:rsid w:val="00B00C0E"/>
    <w:rsid w:val="00B01B1A"/>
    <w:rsid w:val="00B0381D"/>
    <w:rsid w:val="00B44A47"/>
    <w:rsid w:val="00B72CD3"/>
    <w:rsid w:val="00B72FFF"/>
    <w:rsid w:val="00BC3D36"/>
    <w:rsid w:val="00BD54A6"/>
    <w:rsid w:val="00BD7F72"/>
    <w:rsid w:val="00BF652E"/>
    <w:rsid w:val="00BF7425"/>
    <w:rsid w:val="00C04FB3"/>
    <w:rsid w:val="00C11D8B"/>
    <w:rsid w:val="00C15139"/>
    <w:rsid w:val="00C330EB"/>
    <w:rsid w:val="00C50D69"/>
    <w:rsid w:val="00C5365C"/>
    <w:rsid w:val="00C754BE"/>
    <w:rsid w:val="00C76B1C"/>
    <w:rsid w:val="00C925AC"/>
    <w:rsid w:val="00CB6357"/>
    <w:rsid w:val="00CC1B26"/>
    <w:rsid w:val="00CD58ED"/>
    <w:rsid w:val="00D361FD"/>
    <w:rsid w:val="00D423A2"/>
    <w:rsid w:val="00D44E26"/>
    <w:rsid w:val="00D520D8"/>
    <w:rsid w:val="00D63AC2"/>
    <w:rsid w:val="00D7383B"/>
    <w:rsid w:val="00D7788A"/>
    <w:rsid w:val="00DA231B"/>
    <w:rsid w:val="00DC39FC"/>
    <w:rsid w:val="00DF4135"/>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D6D66"/>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B5C8D"/>
    <w:rPr>
      <w:rFonts w:ascii="Geomanist Light" w:hAnsi="Geomanist Light"/>
      <w:lang w:val="es-ES"/>
    </w:rPr>
  </w:style>
  <w:style w:type="paragraph" w:customStyle="1" w:styleId="Appelnotedebasde">
    <w:name w:val="Appel note de bas de..."/>
    <w:basedOn w:val="Normal"/>
    <w:link w:val="Refdenotaalpie"/>
    <w:uiPriority w:val="99"/>
    <w:rsid w:val="003B5C8D"/>
    <w:pPr>
      <w:spacing w:line="240" w:lineRule="exact"/>
    </w:pPr>
    <w:rPr>
      <w:vertAlign w:val="superscript"/>
    </w:rPr>
  </w:style>
  <w:style w:type="character" w:customStyle="1" w:styleId="baj">
    <w:name w:val="b_aj"/>
    <w:basedOn w:val="Fuentedeprrafopredeter"/>
    <w:rsid w:val="003B5C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eyvavillegasandrea@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F36BAAC9-5298-456A-8863-E74E3A94967A}"/>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23</Pages>
  <Words>7809</Words>
  <Characters>42950</Characters>
  <Application>Microsoft Office Word</Application>
  <DocSecurity>0</DocSecurity>
  <Lines>357</Lines>
  <Paragraphs>101</Paragraphs>
  <ScaleCrop>false</ScaleCrop>
  <Company/>
  <LinksUpToDate>false</LinksUpToDate>
  <CharactersWithSpaces>50658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2025-12-11T12:42:00Z</dcterms:created>
  <dcterms:modified xsi:type="dcterms:W3CDTF">2025-12-23T12:07:00Z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