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82D4A" w14:textId="77777777" w:rsidR="00A5383E" w:rsidRPr="008F42CB" w:rsidRDefault="00A5383E" w:rsidP="00A5383E">
      <w:pPr>
        <w:spacing w:after="0" w:line="240" w:lineRule="auto"/>
        <w:rPr>
          <w:rFonts w:ascii="Verdana" w:hAnsi="Verdana" w:cs="Arial"/>
          <w:b/>
          <w:bCs/>
          <w:lang w:val="es-MX" w:eastAsia="es-ES"/>
        </w:rPr>
      </w:pPr>
      <w:r w:rsidRPr="008F42CB">
        <w:rPr>
          <w:rFonts w:ascii="Verdana" w:hAnsi="Verdana" w:cs="Arial"/>
          <w:b/>
          <w:bCs/>
          <w:lang w:val="es-MX" w:eastAsia="es-ES"/>
        </w:rPr>
        <w:t>LEY DE GARANTÍAS ELECTORALES ‒ Finalidad</w:t>
      </w:r>
    </w:p>
    <w:p w14:paraId="32CE5437" w14:textId="77777777" w:rsidR="00A5383E" w:rsidRPr="008F42CB" w:rsidRDefault="00A5383E" w:rsidP="00A5383E">
      <w:pPr>
        <w:spacing w:after="0" w:line="240" w:lineRule="auto"/>
        <w:rPr>
          <w:rFonts w:ascii="Verdana" w:hAnsi="Verdana" w:cs="Arial"/>
          <w:lang w:val="es-MX" w:eastAsia="es-ES"/>
        </w:rPr>
      </w:pPr>
    </w:p>
    <w:p w14:paraId="30817DC6" w14:textId="77777777" w:rsidR="00A5383E" w:rsidRPr="00F6299A" w:rsidRDefault="00A5383E" w:rsidP="00A5383E">
      <w:pPr>
        <w:tabs>
          <w:tab w:val="left" w:pos="426"/>
        </w:tabs>
        <w:spacing w:after="120" w:line="240" w:lineRule="auto"/>
        <w:jc w:val="both"/>
        <w:rPr>
          <w:rFonts w:ascii="Verdana" w:eastAsia="Times New Roman" w:hAnsi="Verdana" w:cs="Arial"/>
          <w:sz w:val="20"/>
          <w:szCs w:val="20"/>
          <w:lang w:eastAsia="es-CO"/>
        </w:rPr>
      </w:pPr>
      <w:r w:rsidRPr="00F6299A">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F6299A">
        <w:rPr>
          <w:rFonts w:ascii="Verdana" w:eastAsia="Calibri" w:hAnsi="Verdana" w:cs="Arial"/>
          <w:i/>
          <w:sz w:val="20"/>
          <w:szCs w:val="20"/>
        </w:rPr>
        <w:t xml:space="preserve">. </w:t>
      </w:r>
      <w:r w:rsidRPr="00F6299A">
        <w:rPr>
          <w:rFonts w:ascii="Verdana" w:eastAsia="Calibri" w:hAnsi="Verdana" w:cs="Arial"/>
          <w:sz w:val="20"/>
          <w:szCs w:val="20"/>
        </w:rPr>
        <w:t xml:space="preserve">Por ejemplo, el artículo 127 de la Constitución Política establece una prohibición contractual a los servidores públicos y, en cuanto a aspectos políticos, establece restricciones a ciertos empleados del Estado, incluso en época no electoral. </w:t>
      </w:r>
    </w:p>
    <w:p w14:paraId="72C2ECD1" w14:textId="77777777" w:rsidR="00A5383E" w:rsidRDefault="00A5383E" w:rsidP="00A5383E">
      <w:pPr>
        <w:spacing w:after="0" w:line="240" w:lineRule="auto"/>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r w:rsidRPr="002F271B">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B04109A" w14:textId="77777777" w:rsidR="00A5383E" w:rsidRPr="002F271B" w:rsidRDefault="00A5383E" w:rsidP="00A5383E">
      <w:pPr>
        <w:spacing w:after="0" w:line="240" w:lineRule="auto"/>
        <w:jc w:val="both"/>
        <w:rPr>
          <w:rFonts w:ascii="Verdana" w:eastAsia="Times New Roman" w:hAnsi="Verdana" w:cs="Arial"/>
          <w:sz w:val="20"/>
          <w:szCs w:val="20"/>
          <w:lang w:eastAsia="es-CO"/>
        </w:rPr>
      </w:pPr>
    </w:p>
    <w:p w14:paraId="25FDB565" w14:textId="77777777" w:rsidR="00A5383E" w:rsidRDefault="00A5383E" w:rsidP="00A5383E">
      <w:pPr>
        <w:spacing w:after="0" w:line="240" w:lineRule="auto"/>
        <w:jc w:val="both"/>
        <w:rPr>
          <w:rFonts w:ascii="Verdana" w:hAnsi="Verdana" w:cs="Arial"/>
          <w:b/>
          <w:bCs/>
          <w:lang w:val="es-MX" w:eastAsia="es-ES"/>
        </w:rPr>
      </w:pPr>
      <w:r w:rsidRPr="008F42CB">
        <w:rPr>
          <w:rFonts w:ascii="Verdana" w:hAnsi="Verdana" w:cs="Arial"/>
          <w:b/>
          <w:bCs/>
          <w:lang w:val="es-MX" w:eastAsia="es-ES"/>
        </w:rPr>
        <w:t xml:space="preserve">LEY DE GARANTÍAS ELECTORALES ‒ Tipos de restricciones ‒ Ámbito temporal – Celebración </w:t>
      </w:r>
      <w:r>
        <w:rPr>
          <w:rFonts w:ascii="Verdana" w:hAnsi="Verdana" w:cs="Arial"/>
          <w:b/>
          <w:bCs/>
          <w:lang w:val="es-MX" w:eastAsia="es-ES"/>
        </w:rPr>
        <w:t>–</w:t>
      </w:r>
      <w:r w:rsidRPr="008F42CB">
        <w:rPr>
          <w:rFonts w:ascii="Verdana" w:hAnsi="Verdana" w:cs="Arial"/>
          <w:b/>
          <w:bCs/>
          <w:lang w:val="es-MX" w:eastAsia="es-ES"/>
        </w:rPr>
        <w:t xml:space="preserve"> Límite</w:t>
      </w:r>
    </w:p>
    <w:p w14:paraId="1124A82E" w14:textId="77777777" w:rsidR="00A5383E" w:rsidRDefault="00A5383E" w:rsidP="00A5383E">
      <w:pPr>
        <w:spacing w:after="0" w:line="276" w:lineRule="auto"/>
        <w:jc w:val="both"/>
        <w:rPr>
          <w:rFonts w:ascii="Verdana" w:hAnsi="Verdana" w:cs="Arial"/>
          <w:b/>
          <w:bCs/>
          <w:lang w:val="es-MX" w:eastAsia="es-ES"/>
        </w:rPr>
      </w:pPr>
    </w:p>
    <w:p w14:paraId="4654A0F0" w14:textId="77777777" w:rsidR="00A5383E" w:rsidRPr="00F6299A" w:rsidRDefault="00A5383E" w:rsidP="00A5383E">
      <w:pPr>
        <w:spacing w:after="0" w:line="240" w:lineRule="auto"/>
        <w:jc w:val="both"/>
        <w:rPr>
          <w:rFonts w:ascii="Verdana" w:eastAsia="Arial" w:hAnsi="Verdana" w:cs="Arial"/>
          <w:sz w:val="20"/>
          <w:szCs w:val="20"/>
          <w:lang w:val="es-ES" w:eastAsia="es-ES" w:bidi="es-ES"/>
        </w:rPr>
      </w:pPr>
      <w:r w:rsidRPr="00F6299A">
        <w:rPr>
          <w:rFonts w:ascii="Verdana" w:eastAsia="Times New Roman" w:hAnsi="Verdana" w:cs="Arial"/>
          <w:sz w:val="20"/>
          <w:szCs w:val="20"/>
          <w:lang w:val="es-MX" w:eastAsia="es-CO"/>
        </w:rPr>
        <w:t>De</w:t>
      </w:r>
      <w:r w:rsidRPr="00F6299A">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7AEE1D1" w14:textId="77777777" w:rsidR="00A5383E" w:rsidRPr="00F6299A" w:rsidRDefault="00A5383E" w:rsidP="00A5383E">
      <w:pPr>
        <w:spacing w:after="0" w:line="240" w:lineRule="auto"/>
        <w:ind w:firstLine="709"/>
        <w:jc w:val="both"/>
        <w:rPr>
          <w:rFonts w:ascii="Verdana" w:eastAsia="Arial" w:hAnsi="Verdana" w:cs="Arial"/>
          <w:sz w:val="20"/>
          <w:szCs w:val="20"/>
          <w:lang w:val="es-ES" w:eastAsia="es-ES" w:bidi="es-ES"/>
        </w:rPr>
      </w:pPr>
    </w:p>
    <w:p w14:paraId="4B19E578" w14:textId="77777777" w:rsidR="00A5383E" w:rsidRPr="00F6299A" w:rsidRDefault="00A5383E" w:rsidP="00A5383E">
      <w:pPr>
        <w:spacing w:after="120" w:line="240" w:lineRule="auto"/>
        <w:jc w:val="both"/>
        <w:rPr>
          <w:rFonts w:ascii="Verdana" w:eastAsia="Arial" w:hAnsi="Verdana" w:cs="Arial"/>
          <w:sz w:val="20"/>
          <w:szCs w:val="20"/>
          <w:lang w:val="es-ES" w:eastAsia="es-ES" w:bidi="es-ES"/>
        </w:rPr>
      </w:pPr>
      <w:r w:rsidRPr="00F6299A">
        <w:rPr>
          <w:rFonts w:ascii="Verdana" w:eastAsia="Arial" w:hAnsi="Verdana" w:cs="Arial"/>
          <w:sz w:val="20"/>
          <w:szCs w:val="20"/>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3B84FE91" w14:textId="77777777" w:rsidR="00A5383E" w:rsidRPr="00F6299A" w:rsidRDefault="00A5383E" w:rsidP="00A5383E">
      <w:pPr>
        <w:spacing w:after="120" w:line="240" w:lineRule="auto"/>
        <w:jc w:val="both"/>
        <w:rPr>
          <w:rFonts w:ascii="Verdana" w:eastAsia="Calibri" w:hAnsi="Verdana" w:cs="Arial"/>
          <w:sz w:val="20"/>
          <w:szCs w:val="20"/>
        </w:rPr>
      </w:pPr>
      <w:r w:rsidRPr="00F6299A">
        <w:rPr>
          <w:rFonts w:ascii="Verdana" w:eastAsia="Calibri" w:hAnsi="Verdana" w:cs="Arial"/>
          <w:sz w:val="20"/>
          <w:szCs w:val="20"/>
        </w:rPr>
        <w:t xml:space="preserve">Por un lado, el </w:t>
      </w:r>
      <w:r w:rsidRPr="00F6299A">
        <w:rPr>
          <w:rFonts w:ascii="Verdana" w:eastAsia="Calibri" w:hAnsi="Verdana" w:cs="Arial"/>
          <w:i/>
          <w:iCs/>
          <w:sz w:val="20"/>
          <w:szCs w:val="20"/>
        </w:rPr>
        <w:t>artículo 33 de la Ley 996 de 2005</w:t>
      </w:r>
      <w:r w:rsidRPr="00F6299A">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826CF92" w14:textId="77777777" w:rsidR="00A5383E" w:rsidRDefault="00A5383E" w:rsidP="00A5383E">
      <w:pPr>
        <w:spacing w:after="0" w:line="240" w:lineRule="auto"/>
        <w:jc w:val="both"/>
        <w:rPr>
          <w:rFonts w:ascii="Verdana" w:eastAsia="Calibri" w:hAnsi="Verdana" w:cs="Arial"/>
          <w:sz w:val="20"/>
          <w:szCs w:val="20"/>
          <w:lang w:val="es-MX"/>
        </w:rPr>
      </w:pPr>
      <w:r w:rsidRPr="00F6299A">
        <w:rPr>
          <w:rFonts w:ascii="Verdana" w:eastAsia="Calibri" w:hAnsi="Verdana" w:cs="Arial"/>
          <w:sz w:val="20"/>
          <w:szCs w:val="20"/>
        </w:rPr>
        <w:t xml:space="preserve">Por otro lado, </w:t>
      </w:r>
      <w:r w:rsidRPr="00F6299A">
        <w:rPr>
          <w:rFonts w:ascii="Verdana" w:eastAsia="Calibri" w:hAnsi="Verdana" w:cs="Arial"/>
          <w:i/>
          <w:iCs/>
          <w:sz w:val="20"/>
          <w:szCs w:val="20"/>
        </w:rPr>
        <w:t>el parágrafo del artículo 38 de la Ley 996 de 2005</w:t>
      </w:r>
      <w:r w:rsidRPr="00F6299A">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F6299A">
        <w:rPr>
          <w:rFonts w:ascii="Verdana" w:eastAsia="Calibri" w:hAnsi="Verdana" w:cs="Arial"/>
          <w:sz w:val="20"/>
          <w:szCs w:val="20"/>
          <w:lang w:val="es-MX"/>
        </w:rPr>
        <w:t xml:space="preserve">celebrar convenios interadministrativos para la ejecución de recursos públicos, ni participar, promover y destinar recursos públicos de las entidades a su cargo, como tampoco de las </w:t>
      </w:r>
      <w:r w:rsidRPr="00F6299A">
        <w:rPr>
          <w:rFonts w:ascii="Verdana" w:eastAsia="Calibri" w:hAnsi="Verdana" w:cs="Arial"/>
          <w:sz w:val="20"/>
          <w:szCs w:val="20"/>
          <w:lang w:val="es-MX"/>
        </w:rPr>
        <w:lastRenderedPageBreak/>
        <w:t>que participen como miembros de sus juntas directivas, en o para reuniones de carácter proselitista.</w:t>
      </w:r>
    </w:p>
    <w:p w14:paraId="03F61E83" w14:textId="77777777" w:rsidR="00A5383E" w:rsidRDefault="00A5383E" w:rsidP="00A5383E">
      <w:pPr>
        <w:spacing w:after="0" w:line="240" w:lineRule="auto"/>
        <w:jc w:val="both"/>
        <w:rPr>
          <w:rFonts w:ascii="Verdana" w:eastAsia="Calibri" w:hAnsi="Verdana" w:cs="Arial"/>
          <w:sz w:val="20"/>
          <w:szCs w:val="20"/>
          <w:lang w:val="es-MX"/>
        </w:rPr>
      </w:pPr>
    </w:p>
    <w:p w14:paraId="13FD2E7B" w14:textId="77777777" w:rsidR="00A5383E" w:rsidRPr="00805E81" w:rsidRDefault="00A5383E" w:rsidP="00A5383E">
      <w:pPr>
        <w:spacing w:after="0" w:line="240" w:lineRule="auto"/>
        <w:jc w:val="both"/>
        <w:rPr>
          <w:rFonts w:ascii="Verdana" w:eastAsia="Calibri" w:hAnsi="Verdana" w:cs="Arial"/>
          <w:b/>
          <w:bCs/>
          <w:lang w:val="es-MX"/>
        </w:rPr>
      </w:pPr>
      <w:r w:rsidRPr="00805E81">
        <w:rPr>
          <w:rFonts w:ascii="Verdana" w:eastAsia="Calibri" w:hAnsi="Verdana" w:cs="Arial"/>
          <w:b/>
          <w:bCs/>
          <w:lang w:val="es-MX"/>
        </w:rPr>
        <w:t xml:space="preserve">LEY DE GARANTÍAS – Prohibición de contratación directa – LEY 996 DE 2025 – Artículo 33 </w:t>
      </w:r>
    </w:p>
    <w:p w14:paraId="72ECE292" w14:textId="77777777" w:rsidR="00A5383E" w:rsidRDefault="00A5383E" w:rsidP="00A5383E">
      <w:pPr>
        <w:spacing w:after="0" w:line="240" w:lineRule="auto"/>
        <w:jc w:val="both"/>
        <w:rPr>
          <w:rFonts w:ascii="Verdana" w:eastAsia="Calibri" w:hAnsi="Verdana" w:cs="Arial"/>
          <w:sz w:val="20"/>
          <w:szCs w:val="20"/>
          <w:lang w:val="es-MX"/>
        </w:rPr>
      </w:pPr>
    </w:p>
    <w:p w14:paraId="04BCFC98" w14:textId="77777777" w:rsidR="00A5383E" w:rsidRDefault="00A5383E" w:rsidP="00A5383E">
      <w:pPr>
        <w:spacing w:after="0" w:line="240" w:lineRule="auto"/>
        <w:jc w:val="both"/>
        <w:rPr>
          <w:rFonts w:ascii="Verdana" w:eastAsia="Times New Roman" w:hAnsi="Verdana" w:cs="Arial"/>
          <w:sz w:val="20"/>
          <w:szCs w:val="20"/>
          <w:lang w:val="es-MX"/>
        </w:rPr>
      </w:pPr>
      <w:r w:rsidRPr="00805E81">
        <w:rPr>
          <w:rFonts w:ascii="Verdana" w:eastAsia="Times New Roman" w:hAnsi="Verdana" w:cs="Arial"/>
          <w:sz w:val="20"/>
          <w:szCs w:val="20"/>
          <w:lang w:val="es-MX"/>
        </w:rPr>
        <w:t xml:space="preserve">El ámbito material de la prohibición contenida en esta disposición está delimitado por la expresión </w:t>
      </w:r>
      <w:r w:rsidRPr="00805E81">
        <w:rPr>
          <w:rFonts w:ascii="Verdana" w:eastAsia="Calibri" w:hAnsi="Verdana" w:cs="Arial"/>
          <w:sz w:val="20"/>
          <w:szCs w:val="20"/>
          <w:lang w:val="es-MX"/>
        </w:rPr>
        <w:t>“</w:t>
      </w:r>
      <w:r w:rsidRPr="00805E81">
        <w:rPr>
          <w:rFonts w:ascii="Verdana" w:eastAsia="Times New Roman" w:hAnsi="Verdana" w:cs="Arial"/>
          <w:sz w:val="20"/>
          <w:szCs w:val="20"/>
          <w:lang w:val="es-MX"/>
        </w:rPr>
        <w:t>queda prohibida la contratación directa</w:t>
      </w:r>
      <w:r w:rsidRPr="00805E81">
        <w:rPr>
          <w:rFonts w:ascii="Verdana" w:eastAsia="Calibri" w:hAnsi="Verdana" w:cs="Arial"/>
          <w:sz w:val="20"/>
          <w:szCs w:val="20"/>
          <w:lang w:val="es-MX"/>
        </w:rPr>
        <w:t>”</w:t>
      </w:r>
      <w:r>
        <w:rPr>
          <w:rFonts w:ascii="Verdana" w:eastAsia="Times New Roman" w:hAnsi="Verdana" w:cs="Arial"/>
          <w:sz w:val="20"/>
          <w:szCs w:val="20"/>
          <w:lang w:val="es-MX"/>
        </w:rPr>
        <w:t xml:space="preserve"> […] </w:t>
      </w:r>
      <w:r w:rsidRPr="00805E81">
        <w:rPr>
          <w:rFonts w:ascii="Verdana" w:eastAsia="Times New Roman" w:hAnsi="Verdana" w:cs="Arial"/>
          <w:sz w:val="20"/>
          <w:szCs w:val="20"/>
          <w:lang w:val="es-MX"/>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w:t>
      </w:r>
    </w:p>
    <w:p w14:paraId="613308F1" w14:textId="77777777" w:rsidR="00A5383E" w:rsidRDefault="00A5383E" w:rsidP="00A5383E">
      <w:pPr>
        <w:spacing w:after="0" w:line="240" w:lineRule="auto"/>
        <w:jc w:val="both"/>
        <w:rPr>
          <w:rFonts w:ascii="Verdana" w:eastAsia="Times New Roman" w:hAnsi="Verdana" w:cs="Arial"/>
          <w:sz w:val="20"/>
          <w:szCs w:val="20"/>
          <w:lang w:val="es-MX"/>
        </w:rPr>
      </w:pPr>
    </w:p>
    <w:p w14:paraId="7DEAE874" w14:textId="77777777" w:rsidR="00A5383E" w:rsidRDefault="00A5383E" w:rsidP="00A5383E">
      <w:pPr>
        <w:spacing w:after="0" w:line="240" w:lineRule="auto"/>
        <w:jc w:val="both"/>
        <w:rPr>
          <w:rFonts w:ascii="Verdana" w:eastAsia="Calibri" w:hAnsi="Verdana" w:cs="Arial"/>
          <w:b/>
          <w:bCs/>
          <w:lang w:val="es-MX"/>
        </w:rPr>
      </w:pPr>
      <w:r w:rsidRPr="00457026">
        <w:rPr>
          <w:rFonts w:ascii="Verdana" w:eastAsia="Calibri" w:hAnsi="Verdana" w:cs="Arial"/>
          <w:b/>
          <w:bCs/>
          <w:lang w:val="es-MX"/>
        </w:rPr>
        <w:t xml:space="preserve">LEY DE GARANTÍAS – Excepciones contratación directa </w:t>
      </w:r>
      <w:r>
        <w:rPr>
          <w:rFonts w:ascii="Verdana" w:eastAsia="Calibri" w:hAnsi="Verdana" w:cs="Arial"/>
          <w:b/>
          <w:bCs/>
          <w:lang w:val="es-MX"/>
        </w:rPr>
        <w:t xml:space="preserve">– LEY DE GARANTÍAS – Empresas Sociales del Estado – Excepción – Posibilidad de contratar directamente </w:t>
      </w:r>
    </w:p>
    <w:p w14:paraId="37E4A15A" w14:textId="77777777" w:rsidR="00A5383E" w:rsidRDefault="00A5383E" w:rsidP="00A5383E">
      <w:pPr>
        <w:spacing w:after="0" w:line="240" w:lineRule="auto"/>
        <w:jc w:val="both"/>
        <w:rPr>
          <w:rFonts w:ascii="Verdana" w:eastAsia="Calibri" w:hAnsi="Verdana" w:cs="Arial"/>
          <w:b/>
          <w:bCs/>
          <w:lang w:val="es-MX"/>
        </w:rPr>
      </w:pPr>
    </w:p>
    <w:p w14:paraId="590ED33C" w14:textId="77777777" w:rsidR="00A5383E" w:rsidRPr="00457026" w:rsidRDefault="00A5383E" w:rsidP="00A5383E">
      <w:pPr>
        <w:spacing w:after="0" w:line="240" w:lineRule="auto"/>
        <w:jc w:val="both"/>
        <w:rPr>
          <w:rFonts w:ascii="Verdana" w:eastAsia="Times New Roman" w:hAnsi="Verdana" w:cs="Arial"/>
          <w:sz w:val="20"/>
          <w:szCs w:val="20"/>
          <w:lang w:val="es-MX" w:eastAsia="es-CO"/>
        </w:rPr>
      </w:pPr>
      <w:r w:rsidRPr="00457026">
        <w:rPr>
          <w:rFonts w:ascii="Verdana" w:eastAsia="Times New Roman" w:hAnsi="Verdana" w:cs="Arial"/>
          <w:sz w:val="20"/>
          <w:szCs w:val="20"/>
          <w:lang w:val="es-MX"/>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457026">
        <w:rPr>
          <w:rFonts w:ascii="Verdana" w:eastAsia="Times New Roman" w:hAnsi="Verdana" w:cs="Arial"/>
          <w:sz w:val="20"/>
          <w:szCs w:val="20"/>
          <w:lang w:val="es-MX"/>
        </w:rPr>
        <w:t>ii</w:t>
      </w:r>
      <w:proofErr w:type="spellEnd"/>
      <w:r w:rsidRPr="00457026">
        <w:rPr>
          <w:rFonts w:ascii="Verdana" w:eastAsia="Times New Roman" w:hAnsi="Verdana" w:cs="Arial"/>
          <w:sz w:val="20"/>
          <w:szCs w:val="20"/>
          <w:lang w:val="es-MX"/>
        </w:rPr>
        <w:t xml:space="preserve">) los contratos de crédito público; </w:t>
      </w:r>
      <w:proofErr w:type="spellStart"/>
      <w:r w:rsidRPr="00457026">
        <w:rPr>
          <w:rFonts w:ascii="Verdana" w:eastAsia="Times New Roman" w:hAnsi="Verdana" w:cs="Arial"/>
          <w:sz w:val="20"/>
          <w:szCs w:val="20"/>
          <w:lang w:val="es-MX"/>
        </w:rPr>
        <w:t>iii</w:t>
      </w:r>
      <w:proofErr w:type="spellEnd"/>
      <w:r w:rsidRPr="00457026">
        <w:rPr>
          <w:rFonts w:ascii="Verdana" w:eastAsia="Times New Roman" w:hAnsi="Verdana" w:cs="Arial"/>
          <w:sz w:val="20"/>
          <w:szCs w:val="20"/>
          <w:lang w:val="es-MX"/>
        </w:rPr>
        <w:t xml:space="preserve">) los requeridos para cubrir las emergencias educativas, sanitarias y desastres; </w:t>
      </w:r>
      <w:proofErr w:type="spellStart"/>
      <w:r w:rsidRPr="00457026">
        <w:rPr>
          <w:rFonts w:ascii="Verdana" w:eastAsia="Times New Roman" w:hAnsi="Verdana" w:cs="Arial"/>
          <w:sz w:val="20"/>
          <w:szCs w:val="20"/>
          <w:lang w:val="es-MX"/>
        </w:rPr>
        <w:t>iv</w:t>
      </w:r>
      <w:proofErr w:type="spellEnd"/>
      <w:r w:rsidRPr="00457026">
        <w:rPr>
          <w:rFonts w:ascii="Verdana" w:eastAsia="Times New Roman" w:hAnsi="Verdana" w:cs="Arial"/>
          <w:sz w:val="20"/>
          <w:szCs w:val="20"/>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457026">
        <w:rPr>
          <w:rFonts w:ascii="Verdana" w:eastAsia="Times New Roman" w:hAnsi="Verdana" w:cs="Arial"/>
          <w:i/>
          <w:sz w:val="20"/>
          <w:szCs w:val="20"/>
          <w:lang w:val="es-MX"/>
        </w:rPr>
        <w:t>los que deban realizar las entidades sanitarias y hospitalarias.</w:t>
      </w:r>
      <w:r w:rsidRPr="00457026">
        <w:rPr>
          <w:rFonts w:ascii="Verdana" w:eastAsia="Times New Roman" w:hAnsi="Verdana" w:cs="Arial"/>
          <w:bCs/>
          <w:sz w:val="20"/>
          <w:szCs w:val="20"/>
          <w:lang w:val="es-MX" w:eastAsia="es-CO"/>
        </w:rPr>
        <w:t xml:space="preserve"> </w:t>
      </w:r>
    </w:p>
    <w:p w14:paraId="28CA80F6" w14:textId="77777777" w:rsidR="00A5383E" w:rsidRDefault="00A5383E" w:rsidP="00A5383E">
      <w:pPr>
        <w:spacing w:after="0" w:line="240" w:lineRule="auto"/>
        <w:jc w:val="both"/>
        <w:rPr>
          <w:rFonts w:ascii="Verdana" w:eastAsia="Calibri" w:hAnsi="Verdana" w:cs="Arial"/>
          <w:b/>
          <w:bCs/>
          <w:lang w:val="es-MX"/>
        </w:rPr>
      </w:pPr>
    </w:p>
    <w:p w14:paraId="7BC220E0" w14:textId="77777777" w:rsidR="00A5383E" w:rsidRPr="00457026" w:rsidRDefault="00A5383E" w:rsidP="00A5383E">
      <w:pPr>
        <w:spacing w:after="0" w:line="240" w:lineRule="auto"/>
        <w:jc w:val="both"/>
        <w:rPr>
          <w:rFonts w:ascii="Verdana" w:eastAsia="Calibri" w:hAnsi="Verdana" w:cs="Arial"/>
          <w:sz w:val="20"/>
          <w:szCs w:val="20"/>
          <w:lang w:val="es-ES"/>
        </w:rPr>
      </w:pPr>
      <w:r w:rsidRPr="00457026">
        <w:rPr>
          <w:rFonts w:ascii="Verdana" w:eastAsia="Calibri" w:hAnsi="Verdana" w:cs="Arial"/>
          <w:sz w:val="20"/>
          <w:szCs w:val="20"/>
          <w:lang w:val="es-MX"/>
        </w:rPr>
        <w:t>[…]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w:t>
      </w:r>
    </w:p>
    <w:p w14:paraId="6824FB10" w14:textId="77777777" w:rsidR="00A5383E" w:rsidRDefault="00A5383E" w:rsidP="00C317E7">
      <w:pPr>
        <w:spacing w:after="0" w:line="240" w:lineRule="auto"/>
        <w:jc w:val="both"/>
        <w:rPr>
          <w:rFonts w:ascii="Verdana" w:eastAsia="Calibri" w:hAnsi="Verdana" w:cs="Arial"/>
          <w:color w:val="000000" w:themeColor="text1"/>
          <w:lang w:val="es-ES"/>
        </w:rPr>
      </w:pPr>
    </w:p>
    <w:p w14:paraId="440D58F7" w14:textId="612D38A5" w:rsidR="00B321C3" w:rsidRPr="00B321C3" w:rsidRDefault="00B321C3" w:rsidP="00B321C3">
      <w:pPr>
        <w:spacing w:after="0"/>
        <w:jc w:val="both"/>
        <w:rPr>
          <w:rFonts w:ascii="Verdana" w:hAnsi="Verdana"/>
          <w:b/>
          <w:bCs/>
        </w:rPr>
      </w:pPr>
      <w:r w:rsidRPr="00B321C3">
        <w:rPr>
          <w:rFonts w:ascii="Verdana" w:eastAsia="Aptos" w:hAnsi="Verdana" w:cs="Arial"/>
          <w:b/>
          <w:bCs/>
          <w:lang w:val="es-MX" w:eastAsia="es-ES_tradnl"/>
        </w:rPr>
        <w:t xml:space="preserve">INTERADMINISTRATIVOS – Circular Externa Única – Auto de suspensión </w:t>
      </w:r>
    </w:p>
    <w:p w14:paraId="4F1AD20C" w14:textId="77777777" w:rsidR="00B321C3" w:rsidRPr="00667CD6" w:rsidRDefault="00B321C3" w:rsidP="00B321C3">
      <w:pPr>
        <w:spacing w:after="0"/>
        <w:jc w:val="both"/>
        <w:rPr>
          <w:rFonts w:ascii="Verdana" w:hAnsi="Verdana"/>
          <w:b/>
        </w:rPr>
      </w:pPr>
    </w:p>
    <w:p w14:paraId="52F8F9CA" w14:textId="77777777" w:rsidR="00B321C3" w:rsidRPr="00667CD6" w:rsidRDefault="00B321C3" w:rsidP="00B321C3">
      <w:pPr>
        <w:spacing w:after="0" w:line="240" w:lineRule="auto"/>
        <w:jc w:val="both"/>
        <w:rPr>
          <w:rFonts w:ascii="Verdana" w:hAnsi="Verdana"/>
          <w:sz w:val="18"/>
          <w:szCs w:val="20"/>
        </w:rPr>
      </w:pPr>
      <w:r w:rsidRPr="00667CD6">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667CD6">
        <w:rPr>
          <w:rFonts w:ascii="Verdana" w:hAnsi="Verdana"/>
          <w:sz w:val="20"/>
        </w:rPr>
        <w:t>numeral 16.2 de la Circular Externa Única de 2022 expedida por la Agencia Nacional de Contratación Pública -Colombia Compra Eficiente-, concretamente, respecto de los siguientes apartes normativos</w:t>
      </w:r>
      <w:r w:rsidRPr="00667CD6">
        <w:rPr>
          <w:rFonts w:ascii="Verdana" w:hAnsi="Verdana"/>
          <w:sz w:val="18"/>
          <w:szCs w:val="20"/>
        </w:rPr>
        <w:t xml:space="preserve"> </w:t>
      </w:r>
    </w:p>
    <w:p w14:paraId="349395A6" w14:textId="77777777" w:rsidR="00B321C3" w:rsidRPr="00667CD6" w:rsidRDefault="00B321C3" w:rsidP="00B321C3">
      <w:pPr>
        <w:spacing w:after="0" w:line="240" w:lineRule="auto"/>
        <w:ind w:left="709" w:right="709"/>
        <w:jc w:val="both"/>
        <w:rPr>
          <w:rFonts w:ascii="Verdana" w:hAnsi="Verdana"/>
          <w:sz w:val="20"/>
        </w:rPr>
      </w:pPr>
    </w:p>
    <w:p w14:paraId="1CE0BDED" w14:textId="77777777" w:rsidR="00B321C3" w:rsidRPr="00667CD6" w:rsidRDefault="00B321C3" w:rsidP="00B321C3">
      <w:pPr>
        <w:spacing w:after="0" w:line="240" w:lineRule="auto"/>
        <w:jc w:val="both"/>
        <w:rPr>
          <w:rFonts w:ascii="Verdana" w:eastAsia="Arial" w:hAnsi="Verdana" w:cs="Arial"/>
          <w:i/>
          <w:iCs/>
          <w:sz w:val="20"/>
          <w:lang w:eastAsia="es-ES" w:bidi="es-ES"/>
        </w:rPr>
      </w:pPr>
      <w:r w:rsidRPr="00667CD6">
        <w:rPr>
          <w:rFonts w:ascii="Verdana" w:eastAsia="Arial" w:hAnsi="Verdana" w:cs="Arial"/>
          <w:sz w:val="20"/>
          <w:lang w:val="es-MX" w:eastAsia="es-ES" w:bidi="es-ES"/>
        </w:rPr>
        <w:lastRenderedPageBreak/>
        <w:t xml:space="preserve">De conformidad con los argumentos de dicha providencia, se parte de la distinción entre los conceptos </w:t>
      </w:r>
      <w:r w:rsidRPr="00667CD6">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667CD6">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A80A381" w14:textId="77777777" w:rsidR="00B321C3" w:rsidRPr="00B321C3" w:rsidRDefault="00B321C3" w:rsidP="00C317E7">
      <w:pPr>
        <w:spacing w:after="0" w:line="240" w:lineRule="auto"/>
        <w:jc w:val="both"/>
        <w:rPr>
          <w:rFonts w:ascii="Verdana" w:eastAsia="Calibri" w:hAnsi="Verdana" w:cs="Arial"/>
          <w:color w:val="000000" w:themeColor="text1"/>
        </w:rPr>
      </w:pPr>
    </w:p>
    <w:p w14:paraId="0BB21F36" w14:textId="77777777" w:rsidR="00A5383E" w:rsidRDefault="00A5383E" w:rsidP="00C317E7">
      <w:pPr>
        <w:spacing w:after="0" w:line="240" w:lineRule="auto"/>
        <w:jc w:val="both"/>
        <w:rPr>
          <w:rFonts w:ascii="Verdana" w:eastAsia="Calibri" w:hAnsi="Verdana" w:cs="Arial"/>
          <w:color w:val="000000" w:themeColor="text1"/>
        </w:rPr>
      </w:pPr>
    </w:p>
    <w:p w14:paraId="5AEA6474" w14:textId="77777777" w:rsidR="00A5383E" w:rsidRDefault="00A5383E" w:rsidP="00C317E7">
      <w:pPr>
        <w:spacing w:after="0" w:line="240" w:lineRule="auto"/>
        <w:jc w:val="both"/>
        <w:rPr>
          <w:rFonts w:ascii="Verdana" w:eastAsia="Calibri" w:hAnsi="Verdana" w:cs="Arial"/>
          <w:color w:val="000000" w:themeColor="text1"/>
        </w:rPr>
      </w:pPr>
    </w:p>
    <w:p w14:paraId="004FEDDF" w14:textId="77777777" w:rsidR="00A5383E" w:rsidRDefault="00A5383E" w:rsidP="00C317E7">
      <w:pPr>
        <w:spacing w:after="0" w:line="240" w:lineRule="auto"/>
        <w:jc w:val="both"/>
        <w:rPr>
          <w:rFonts w:ascii="Verdana" w:eastAsia="Calibri" w:hAnsi="Verdana" w:cs="Arial"/>
          <w:color w:val="000000" w:themeColor="text1"/>
        </w:rPr>
      </w:pPr>
    </w:p>
    <w:p w14:paraId="65EF1504" w14:textId="77777777" w:rsidR="00A5383E" w:rsidRDefault="00A5383E" w:rsidP="00C317E7">
      <w:pPr>
        <w:spacing w:after="0" w:line="240" w:lineRule="auto"/>
        <w:jc w:val="both"/>
        <w:rPr>
          <w:rFonts w:ascii="Verdana" w:eastAsia="Calibri" w:hAnsi="Verdana" w:cs="Arial"/>
          <w:color w:val="000000" w:themeColor="text1"/>
        </w:rPr>
      </w:pPr>
    </w:p>
    <w:p w14:paraId="24DFD3FD" w14:textId="77777777" w:rsidR="00A5383E" w:rsidRDefault="00A5383E" w:rsidP="00C317E7">
      <w:pPr>
        <w:spacing w:after="0" w:line="240" w:lineRule="auto"/>
        <w:jc w:val="both"/>
        <w:rPr>
          <w:rFonts w:ascii="Verdana" w:eastAsia="Calibri" w:hAnsi="Verdana" w:cs="Arial"/>
          <w:color w:val="000000" w:themeColor="text1"/>
        </w:rPr>
      </w:pPr>
    </w:p>
    <w:p w14:paraId="20CEAA70" w14:textId="77777777" w:rsidR="00A5383E" w:rsidRDefault="00A5383E" w:rsidP="00C317E7">
      <w:pPr>
        <w:spacing w:after="0" w:line="240" w:lineRule="auto"/>
        <w:jc w:val="both"/>
        <w:rPr>
          <w:rFonts w:ascii="Verdana" w:eastAsia="Calibri" w:hAnsi="Verdana" w:cs="Arial"/>
          <w:color w:val="000000" w:themeColor="text1"/>
        </w:rPr>
      </w:pPr>
    </w:p>
    <w:p w14:paraId="31674B01" w14:textId="77777777" w:rsidR="00A5383E" w:rsidRDefault="00A5383E" w:rsidP="00C317E7">
      <w:pPr>
        <w:spacing w:after="0" w:line="240" w:lineRule="auto"/>
        <w:jc w:val="both"/>
        <w:rPr>
          <w:rFonts w:ascii="Verdana" w:eastAsia="Calibri" w:hAnsi="Verdana" w:cs="Arial"/>
          <w:color w:val="000000" w:themeColor="text1"/>
        </w:rPr>
      </w:pPr>
    </w:p>
    <w:p w14:paraId="5B89C7D5" w14:textId="77777777" w:rsidR="00B321C3" w:rsidRDefault="00B321C3" w:rsidP="00C317E7">
      <w:pPr>
        <w:spacing w:after="0" w:line="240" w:lineRule="auto"/>
        <w:jc w:val="both"/>
        <w:rPr>
          <w:rFonts w:ascii="Verdana" w:eastAsia="Calibri" w:hAnsi="Verdana" w:cs="Arial"/>
          <w:color w:val="000000" w:themeColor="text1"/>
        </w:rPr>
      </w:pPr>
    </w:p>
    <w:p w14:paraId="300DE1C0" w14:textId="77777777" w:rsidR="00B321C3" w:rsidRDefault="00B321C3" w:rsidP="00C317E7">
      <w:pPr>
        <w:spacing w:after="0" w:line="240" w:lineRule="auto"/>
        <w:jc w:val="both"/>
        <w:rPr>
          <w:rFonts w:ascii="Verdana" w:eastAsia="Calibri" w:hAnsi="Verdana" w:cs="Arial"/>
          <w:color w:val="000000" w:themeColor="text1"/>
        </w:rPr>
      </w:pPr>
    </w:p>
    <w:p w14:paraId="7CABA362" w14:textId="77777777" w:rsidR="00B321C3" w:rsidRDefault="00B321C3" w:rsidP="00C317E7">
      <w:pPr>
        <w:spacing w:after="0" w:line="240" w:lineRule="auto"/>
        <w:jc w:val="both"/>
        <w:rPr>
          <w:rFonts w:ascii="Verdana" w:eastAsia="Calibri" w:hAnsi="Verdana" w:cs="Arial"/>
          <w:color w:val="000000" w:themeColor="text1"/>
        </w:rPr>
      </w:pPr>
    </w:p>
    <w:p w14:paraId="4506B8C3" w14:textId="77777777" w:rsidR="00B321C3" w:rsidRDefault="00B321C3" w:rsidP="00C317E7">
      <w:pPr>
        <w:spacing w:after="0" w:line="240" w:lineRule="auto"/>
        <w:jc w:val="both"/>
        <w:rPr>
          <w:rFonts w:ascii="Verdana" w:eastAsia="Calibri" w:hAnsi="Verdana" w:cs="Arial"/>
          <w:color w:val="000000" w:themeColor="text1"/>
        </w:rPr>
      </w:pPr>
    </w:p>
    <w:p w14:paraId="270C1477" w14:textId="77777777" w:rsidR="00B321C3" w:rsidRDefault="00B321C3" w:rsidP="00C317E7">
      <w:pPr>
        <w:spacing w:after="0" w:line="240" w:lineRule="auto"/>
        <w:jc w:val="both"/>
        <w:rPr>
          <w:rFonts w:ascii="Verdana" w:eastAsia="Calibri" w:hAnsi="Verdana" w:cs="Arial"/>
          <w:color w:val="000000" w:themeColor="text1"/>
        </w:rPr>
      </w:pPr>
    </w:p>
    <w:p w14:paraId="7E38DBB4" w14:textId="77777777" w:rsidR="00B321C3" w:rsidRDefault="00B321C3" w:rsidP="00C317E7">
      <w:pPr>
        <w:spacing w:after="0" w:line="240" w:lineRule="auto"/>
        <w:jc w:val="both"/>
        <w:rPr>
          <w:rFonts w:ascii="Verdana" w:eastAsia="Calibri" w:hAnsi="Verdana" w:cs="Arial"/>
          <w:color w:val="000000" w:themeColor="text1"/>
        </w:rPr>
      </w:pPr>
    </w:p>
    <w:p w14:paraId="62818F10" w14:textId="77777777" w:rsidR="00B321C3" w:rsidRDefault="00B321C3" w:rsidP="00C317E7">
      <w:pPr>
        <w:spacing w:after="0" w:line="240" w:lineRule="auto"/>
        <w:jc w:val="both"/>
        <w:rPr>
          <w:rFonts w:ascii="Verdana" w:eastAsia="Calibri" w:hAnsi="Verdana" w:cs="Arial"/>
          <w:color w:val="000000" w:themeColor="text1"/>
        </w:rPr>
      </w:pPr>
    </w:p>
    <w:p w14:paraId="64C00688" w14:textId="77777777" w:rsidR="00B321C3" w:rsidRDefault="00B321C3" w:rsidP="00C317E7">
      <w:pPr>
        <w:spacing w:after="0" w:line="240" w:lineRule="auto"/>
        <w:jc w:val="both"/>
        <w:rPr>
          <w:rFonts w:ascii="Verdana" w:eastAsia="Calibri" w:hAnsi="Verdana" w:cs="Arial"/>
          <w:color w:val="000000" w:themeColor="text1"/>
        </w:rPr>
      </w:pPr>
    </w:p>
    <w:p w14:paraId="433F0C75" w14:textId="77777777" w:rsidR="00B321C3" w:rsidRDefault="00B321C3" w:rsidP="00C317E7">
      <w:pPr>
        <w:spacing w:after="0" w:line="240" w:lineRule="auto"/>
        <w:jc w:val="both"/>
        <w:rPr>
          <w:rFonts w:ascii="Verdana" w:eastAsia="Calibri" w:hAnsi="Verdana" w:cs="Arial"/>
          <w:color w:val="000000" w:themeColor="text1"/>
        </w:rPr>
      </w:pPr>
    </w:p>
    <w:p w14:paraId="4373AE7F" w14:textId="77777777" w:rsidR="00B321C3" w:rsidRDefault="00B321C3" w:rsidP="00C317E7">
      <w:pPr>
        <w:spacing w:after="0" w:line="240" w:lineRule="auto"/>
        <w:jc w:val="both"/>
        <w:rPr>
          <w:rFonts w:ascii="Verdana" w:eastAsia="Calibri" w:hAnsi="Verdana" w:cs="Arial"/>
          <w:color w:val="000000" w:themeColor="text1"/>
        </w:rPr>
      </w:pPr>
    </w:p>
    <w:p w14:paraId="5EA21892" w14:textId="77777777" w:rsidR="00B321C3" w:rsidRDefault="00B321C3" w:rsidP="00C317E7">
      <w:pPr>
        <w:spacing w:after="0" w:line="240" w:lineRule="auto"/>
        <w:jc w:val="both"/>
        <w:rPr>
          <w:rFonts w:ascii="Verdana" w:eastAsia="Calibri" w:hAnsi="Verdana" w:cs="Arial"/>
          <w:color w:val="000000" w:themeColor="text1"/>
        </w:rPr>
      </w:pPr>
    </w:p>
    <w:p w14:paraId="0241F270" w14:textId="77777777" w:rsidR="00B321C3" w:rsidRDefault="00B321C3" w:rsidP="00C317E7">
      <w:pPr>
        <w:spacing w:after="0" w:line="240" w:lineRule="auto"/>
        <w:jc w:val="both"/>
        <w:rPr>
          <w:rFonts w:ascii="Verdana" w:eastAsia="Calibri" w:hAnsi="Verdana" w:cs="Arial"/>
          <w:color w:val="000000" w:themeColor="text1"/>
        </w:rPr>
      </w:pPr>
    </w:p>
    <w:p w14:paraId="564F25B4" w14:textId="77777777" w:rsidR="00B321C3" w:rsidRDefault="00B321C3" w:rsidP="00C317E7">
      <w:pPr>
        <w:spacing w:after="0" w:line="240" w:lineRule="auto"/>
        <w:jc w:val="both"/>
        <w:rPr>
          <w:rFonts w:ascii="Verdana" w:eastAsia="Calibri" w:hAnsi="Verdana" w:cs="Arial"/>
          <w:color w:val="000000" w:themeColor="text1"/>
        </w:rPr>
      </w:pPr>
    </w:p>
    <w:p w14:paraId="2E51A8BF" w14:textId="77777777" w:rsidR="00B321C3" w:rsidRDefault="00B321C3" w:rsidP="00C317E7">
      <w:pPr>
        <w:spacing w:after="0" w:line="240" w:lineRule="auto"/>
        <w:jc w:val="both"/>
        <w:rPr>
          <w:rFonts w:ascii="Verdana" w:eastAsia="Calibri" w:hAnsi="Verdana" w:cs="Arial"/>
          <w:color w:val="000000" w:themeColor="text1"/>
        </w:rPr>
      </w:pPr>
    </w:p>
    <w:p w14:paraId="1E477682" w14:textId="77777777" w:rsidR="00B321C3" w:rsidRDefault="00B321C3" w:rsidP="00C317E7">
      <w:pPr>
        <w:spacing w:after="0" w:line="240" w:lineRule="auto"/>
        <w:jc w:val="both"/>
        <w:rPr>
          <w:rFonts w:ascii="Verdana" w:eastAsia="Calibri" w:hAnsi="Verdana" w:cs="Arial"/>
          <w:color w:val="000000" w:themeColor="text1"/>
        </w:rPr>
      </w:pPr>
    </w:p>
    <w:p w14:paraId="4E4AEE0C" w14:textId="77777777" w:rsidR="00B321C3" w:rsidRDefault="00B321C3" w:rsidP="00C317E7">
      <w:pPr>
        <w:spacing w:after="0" w:line="240" w:lineRule="auto"/>
        <w:jc w:val="both"/>
        <w:rPr>
          <w:rFonts w:ascii="Verdana" w:eastAsia="Calibri" w:hAnsi="Verdana" w:cs="Arial"/>
          <w:color w:val="000000" w:themeColor="text1"/>
        </w:rPr>
      </w:pPr>
    </w:p>
    <w:p w14:paraId="775F302A" w14:textId="77777777" w:rsidR="00B321C3" w:rsidRDefault="00B321C3" w:rsidP="00C317E7">
      <w:pPr>
        <w:spacing w:after="0" w:line="240" w:lineRule="auto"/>
        <w:jc w:val="both"/>
        <w:rPr>
          <w:rFonts w:ascii="Verdana" w:eastAsia="Calibri" w:hAnsi="Verdana" w:cs="Arial"/>
          <w:color w:val="000000" w:themeColor="text1"/>
        </w:rPr>
      </w:pPr>
    </w:p>
    <w:p w14:paraId="5B09F97E" w14:textId="77777777" w:rsidR="00F538EF" w:rsidRDefault="00F538EF" w:rsidP="00C317E7">
      <w:pPr>
        <w:spacing w:after="0" w:line="240" w:lineRule="auto"/>
        <w:jc w:val="both"/>
        <w:rPr>
          <w:rFonts w:ascii="Verdana" w:eastAsia="Calibri" w:hAnsi="Verdana" w:cs="Arial"/>
          <w:color w:val="000000" w:themeColor="text1"/>
        </w:rPr>
      </w:pPr>
    </w:p>
    <w:p w14:paraId="4B363BC6" w14:textId="77777777" w:rsidR="00F538EF" w:rsidRDefault="00F538EF" w:rsidP="00C317E7">
      <w:pPr>
        <w:spacing w:after="0" w:line="240" w:lineRule="auto"/>
        <w:jc w:val="both"/>
        <w:rPr>
          <w:rFonts w:ascii="Verdana" w:eastAsia="Calibri" w:hAnsi="Verdana" w:cs="Arial"/>
          <w:color w:val="000000" w:themeColor="text1"/>
        </w:rPr>
      </w:pPr>
    </w:p>
    <w:p w14:paraId="66E82AF1" w14:textId="77777777" w:rsidR="00F538EF" w:rsidRDefault="00F538EF" w:rsidP="00C317E7">
      <w:pPr>
        <w:spacing w:after="0" w:line="240" w:lineRule="auto"/>
        <w:jc w:val="both"/>
        <w:rPr>
          <w:rFonts w:ascii="Verdana" w:eastAsia="Calibri" w:hAnsi="Verdana" w:cs="Arial"/>
          <w:color w:val="000000" w:themeColor="text1"/>
        </w:rPr>
      </w:pPr>
    </w:p>
    <w:p w14:paraId="63C023E4" w14:textId="7A9FFE35" w:rsidR="00C317E7" w:rsidRPr="006B67D8" w:rsidRDefault="006B67D8" w:rsidP="00C317E7">
      <w:pPr>
        <w:spacing w:after="0" w:line="240" w:lineRule="auto"/>
        <w:jc w:val="both"/>
        <w:rPr>
          <w:rFonts w:ascii="Verdana" w:eastAsia="Calibri" w:hAnsi="Verdana" w:cs="Arial"/>
          <w:color w:val="000000" w:themeColor="text1"/>
          <w:lang w:val="es-ES"/>
        </w:rPr>
      </w:pPr>
      <w:r w:rsidRPr="00E2215A">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9 </w:t>
      </w:r>
      <w:r w:rsidRPr="00E2215A">
        <w:rPr>
          <w:rFonts w:ascii="Verdana" w:eastAsia="Calibri" w:hAnsi="Verdana" w:cs="Arial"/>
          <w:color w:val="000000" w:themeColor="text1"/>
        </w:rPr>
        <w:t>de</w:t>
      </w:r>
      <w:r>
        <w:rPr>
          <w:rFonts w:ascii="Verdana" w:eastAsia="Calibri" w:hAnsi="Verdana" w:cs="Arial"/>
          <w:color w:val="000000" w:themeColor="text1"/>
        </w:rPr>
        <w:t xml:space="preserve"> diciembre</w:t>
      </w:r>
      <w:r w:rsidRPr="00E2215A">
        <w:rPr>
          <w:rFonts w:ascii="Verdana" w:eastAsia="Calibri" w:hAnsi="Verdana" w:cs="Arial"/>
          <w:color w:val="000000" w:themeColor="text1"/>
        </w:rPr>
        <w:t xml:space="preserve"> de 2025 </w:t>
      </w:r>
    </w:p>
    <w:p w14:paraId="5D2DD0A5" w14:textId="77777777" w:rsidR="00C317E7" w:rsidRPr="00343E12" w:rsidRDefault="00C317E7" w:rsidP="00C317E7">
      <w:pPr>
        <w:spacing w:after="0" w:line="240" w:lineRule="auto"/>
        <w:jc w:val="both"/>
        <w:rPr>
          <w:rFonts w:ascii="Verdana" w:eastAsia="Calibri" w:hAnsi="Verdana" w:cs="Arial"/>
          <w:lang w:eastAsia="es-ES"/>
        </w:rPr>
      </w:pPr>
      <w:bookmarkStart w:id="0" w:name="_Hlk197462763"/>
      <w:bookmarkStart w:id="1" w:name="_Hlk197529996"/>
    </w:p>
    <w:p w14:paraId="41AA3C95" w14:textId="7A22BB18" w:rsidR="00C317E7" w:rsidRPr="00343E12" w:rsidRDefault="00F538EF" w:rsidP="00C317E7">
      <w:pPr>
        <w:spacing w:after="0" w:line="240" w:lineRule="auto"/>
        <w:jc w:val="both"/>
        <w:rPr>
          <w:rFonts w:ascii="Verdana" w:eastAsia="Calibri" w:hAnsi="Verdana" w:cs="Arial"/>
          <w:lang w:eastAsia="es-ES"/>
        </w:rPr>
      </w:pPr>
      <w:r w:rsidRPr="00F538EF">
        <w:rPr>
          <w:rFonts w:ascii="Verdana" w:eastAsia="Calibri" w:hAnsi="Verdana" w:cs="Arial"/>
          <w:noProof/>
          <w:lang w:eastAsia="es-ES"/>
        </w:rPr>
        <w:drawing>
          <wp:anchor distT="0" distB="0" distL="114300" distR="114300" simplePos="0" relativeHeight="251660288" behindDoc="1" locked="0" layoutInCell="1" allowOverlap="1" wp14:anchorId="01A1B596" wp14:editId="14195CD0">
            <wp:simplePos x="0" y="0"/>
            <wp:positionH relativeFrom="column">
              <wp:posOffset>3064427</wp:posOffset>
            </wp:positionH>
            <wp:positionV relativeFrom="paragraph">
              <wp:posOffset>10518</wp:posOffset>
            </wp:positionV>
            <wp:extent cx="3314700" cy="1009650"/>
            <wp:effectExtent l="0" t="0" r="0" b="0"/>
            <wp:wrapTight wrapText="bothSides">
              <wp:wrapPolygon edited="0">
                <wp:start x="0" y="0"/>
                <wp:lineTo x="0" y="21192"/>
                <wp:lineTo x="21476" y="21192"/>
                <wp:lineTo x="21476" y="0"/>
                <wp:lineTo x="0" y="0"/>
              </wp:wrapPolygon>
            </wp:wrapTight>
            <wp:docPr id="78716531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16531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314700" cy="1009650"/>
                    </a:xfrm>
                    <a:prstGeom prst="rect">
                      <a:avLst/>
                    </a:prstGeom>
                  </pic:spPr>
                </pic:pic>
              </a:graphicData>
            </a:graphic>
          </wp:anchor>
        </w:drawing>
      </w:r>
    </w:p>
    <w:p w14:paraId="3AE2F686" w14:textId="7B0140E0" w:rsidR="00C317E7" w:rsidRDefault="00C317E7" w:rsidP="00C317E7">
      <w:pPr>
        <w:spacing w:after="0" w:line="240" w:lineRule="auto"/>
        <w:jc w:val="both"/>
        <w:rPr>
          <w:rFonts w:ascii="Verdana" w:eastAsia="Calibri" w:hAnsi="Verdana" w:cs="Arial"/>
          <w:lang w:eastAsia="es-ES"/>
        </w:rPr>
      </w:pPr>
    </w:p>
    <w:p w14:paraId="301836B7" w14:textId="3B7ECF1D" w:rsidR="00C317E7" w:rsidRPr="00343E12" w:rsidRDefault="00C317E7" w:rsidP="00C317E7">
      <w:pPr>
        <w:spacing w:after="0" w:line="240" w:lineRule="auto"/>
        <w:jc w:val="both"/>
        <w:rPr>
          <w:rFonts w:ascii="Verdana" w:eastAsia="Calibri" w:hAnsi="Verdana" w:cs="Arial"/>
          <w:lang w:eastAsia="es-ES"/>
        </w:rPr>
      </w:pPr>
      <w:r w:rsidRPr="00343E12">
        <w:rPr>
          <w:rFonts w:ascii="Verdana" w:eastAsia="Calibri" w:hAnsi="Verdana" w:cs="Arial"/>
          <w:lang w:eastAsia="es-ES"/>
        </w:rPr>
        <w:t>Señor</w:t>
      </w:r>
    </w:p>
    <w:p w14:paraId="2BF7E1A0" w14:textId="77777777" w:rsidR="00C317E7" w:rsidRPr="00343E12" w:rsidRDefault="00C317E7" w:rsidP="00C317E7">
      <w:pPr>
        <w:spacing w:after="0" w:line="240" w:lineRule="auto"/>
        <w:jc w:val="both"/>
        <w:rPr>
          <w:rFonts w:ascii="Verdana" w:eastAsia="Calibri" w:hAnsi="Verdana" w:cs="Arial"/>
          <w:b/>
          <w:lang w:eastAsia="es-ES_tradnl"/>
        </w:rPr>
      </w:pPr>
      <w:r w:rsidRPr="00343E12">
        <w:rPr>
          <w:rFonts w:ascii="Verdana" w:eastAsia="Calibri" w:hAnsi="Verdana" w:cs="Arial"/>
          <w:b/>
          <w:lang w:eastAsia="es-ES_tradnl"/>
        </w:rPr>
        <w:t xml:space="preserve">Julián Eduardo Sánchez Cobo </w:t>
      </w:r>
    </w:p>
    <w:p w14:paraId="5F97741D" w14:textId="77777777" w:rsidR="00C317E7" w:rsidRPr="00343E12" w:rsidRDefault="00C317E7" w:rsidP="00C317E7">
      <w:pPr>
        <w:spacing w:after="0" w:line="240" w:lineRule="auto"/>
        <w:jc w:val="both"/>
        <w:rPr>
          <w:rFonts w:ascii="Verdana" w:eastAsia="Calibri" w:hAnsi="Verdana" w:cs="Arial"/>
          <w:b/>
          <w:lang w:eastAsia="es-ES_tradnl"/>
        </w:rPr>
      </w:pPr>
      <w:hyperlink r:id="rId11" w:history="1">
        <w:r w:rsidRPr="00343E12">
          <w:rPr>
            <w:rFonts w:ascii="Verdana" w:eastAsia="Calibri" w:hAnsi="Verdana" w:cs="Arial"/>
            <w:b/>
            <w:color w:val="0000FF"/>
            <w:u w:val="single"/>
            <w:lang w:eastAsia="es-ES_tradnl"/>
          </w:rPr>
          <w:t>juliansanchezcobo0612@gmail.com</w:t>
        </w:r>
      </w:hyperlink>
      <w:r w:rsidRPr="00343E12">
        <w:rPr>
          <w:rFonts w:ascii="Verdana" w:eastAsia="Calibri" w:hAnsi="Verdana" w:cs="Arial"/>
          <w:b/>
          <w:lang w:eastAsia="es-ES_tradnl"/>
        </w:rPr>
        <w:t xml:space="preserve"> </w:t>
      </w:r>
    </w:p>
    <w:p w14:paraId="504E7731" w14:textId="77777777" w:rsidR="00C317E7" w:rsidRPr="00343E12" w:rsidRDefault="00C317E7" w:rsidP="00C317E7">
      <w:pPr>
        <w:spacing w:after="0" w:line="240" w:lineRule="auto"/>
        <w:jc w:val="both"/>
        <w:rPr>
          <w:rFonts w:ascii="Verdana" w:eastAsia="Calibri" w:hAnsi="Verdana" w:cs="Arial"/>
          <w:bCs/>
          <w:lang w:eastAsia="es-ES_tradnl"/>
        </w:rPr>
      </w:pPr>
      <w:r w:rsidRPr="00343E12">
        <w:rPr>
          <w:rFonts w:ascii="Verdana" w:eastAsia="Calibri" w:hAnsi="Verdana" w:cs="Arial"/>
          <w:bCs/>
          <w:lang w:eastAsia="es-ES_tradnl"/>
        </w:rPr>
        <w:t>Guacarí, Valle del Cauca</w:t>
      </w:r>
    </w:p>
    <w:p w14:paraId="6D3F79E6" w14:textId="77777777" w:rsidR="00C317E7" w:rsidRPr="00343E12" w:rsidRDefault="00C317E7" w:rsidP="00C317E7">
      <w:pPr>
        <w:spacing w:after="0" w:line="240" w:lineRule="auto"/>
        <w:jc w:val="both"/>
        <w:rPr>
          <w:rFonts w:ascii="Verdana" w:eastAsia="Aptos" w:hAnsi="Verdana" w:cs="Times New Roman"/>
          <w:lang w:val="it-CH"/>
        </w:rPr>
      </w:pPr>
    </w:p>
    <w:p w14:paraId="37346A5C" w14:textId="77777777" w:rsidR="00C317E7" w:rsidRPr="00343E12" w:rsidRDefault="00C317E7" w:rsidP="00C317E7">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317E7" w:rsidRPr="00343E12" w14:paraId="225A4B38" w14:textId="77777777" w:rsidTr="00931C85">
        <w:trPr>
          <w:trHeight w:val="162"/>
        </w:trPr>
        <w:tc>
          <w:tcPr>
            <w:tcW w:w="3119" w:type="dxa"/>
          </w:tcPr>
          <w:p w14:paraId="70E1245C" w14:textId="77777777" w:rsidR="00C317E7" w:rsidRPr="00343E12" w:rsidRDefault="00C317E7" w:rsidP="00931C85">
            <w:pPr>
              <w:jc w:val="both"/>
              <w:rPr>
                <w:rFonts w:ascii="Verdana" w:eastAsia="Calibri" w:hAnsi="Verdana" w:cs="Arial"/>
                <w:b/>
                <w:bCs/>
                <w:color w:val="7030A0"/>
                <w:lang w:val="it-CH" w:eastAsia="es-ES_tradnl"/>
              </w:rPr>
            </w:pPr>
          </w:p>
        </w:tc>
        <w:tc>
          <w:tcPr>
            <w:tcW w:w="5670" w:type="dxa"/>
          </w:tcPr>
          <w:p w14:paraId="083CCE91" w14:textId="77777777" w:rsidR="00C317E7" w:rsidRPr="00343E12" w:rsidRDefault="00C317E7" w:rsidP="00931C85">
            <w:pPr>
              <w:jc w:val="both"/>
              <w:rPr>
                <w:rFonts w:ascii="Verdana" w:eastAsia="Calibri" w:hAnsi="Verdana" w:cs="Arial"/>
                <w:b/>
                <w:bCs/>
                <w:lang w:eastAsia="es-ES"/>
              </w:rPr>
            </w:pPr>
            <w:r w:rsidRPr="00343E12">
              <w:rPr>
                <w:rFonts w:ascii="Verdana" w:eastAsia="Calibri" w:hAnsi="Verdana" w:cs="Arial"/>
                <w:b/>
                <w:bCs/>
                <w:lang w:eastAsia="es-ES"/>
              </w:rPr>
              <w:t>Concepto C- 1603 de 2025</w:t>
            </w:r>
          </w:p>
          <w:p w14:paraId="1FCD4EF2" w14:textId="77777777" w:rsidR="00C317E7" w:rsidRPr="00343E12" w:rsidRDefault="00C317E7" w:rsidP="00931C85">
            <w:pPr>
              <w:jc w:val="both"/>
              <w:rPr>
                <w:rFonts w:ascii="Verdana" w:eastAsia="Calibri" w:hAnsi="Verdana" w:cs="Arial"/>
                <w:b/>
                <w:bCs/>
                <w:color w:val="7030A0"/>
                <w:lang w:eastAsia="es-ES"/>
              </w:rPr>
            </w:pPr>
          </w:p>
        </w:tc>
      </w:tr>
      <w:tr w:rsidR="00C317E7" w:rsidRPr="00343E12" w14:paraId="7F7853A2" w14:textId="77777777" w:rsidTr="00931C85">
        <w:trPr>
          <w:trHeight w:val="884"/>
        </w:trPr>
        <w:tc>
          <w:tcPr>
            <w:tcW w:w="3119" w:type="dxa"/>
          </w:tcPr>
          <w:p w14:paraId="7D046ABF" w14:textId="77777777" w:rsidR="00C317E7" w:rsidRPr="00343E12" w:rsidRDefault="00C317E7" w:rsidP="00931C85">
            <w:pPr>
              <w:jc w:val="both"/>
              <w:rPr>
                <w:rFonts w:ascii="Verdana" w:eastAsia="Calibri" w:hAnsi="Verdana" w:cs="Arial"/>
                <w:color w:val="000000"/>
                <w:lang w:eastAsia="es-ES_tradnl"/>
              </w:rPr>
            </w:pPr>
            <w:r w:rsidRPr="00343E12">
              <w:rPr>
                <w:rFonts w:ascii="Verdana" w:eastAsia="Calibri" w:hAnsi="Verdana" w:cs="Arial"/>
                <w:b/>
                <w:color w:val="000000"/>
                <w:lang w:eastAsia="es-ES_tradnl"/>
              </w:rPr>
              <w:t>Temas:</w:t>
            </w:r>
            <w:r w:rsidRPr="00343E12">
              <w:rPr>
                <w:rFonts w:ascii="Verdana" w:eastAsia="Calibri" w:hAnsi="Verdana" w:cs="Arial"/>
                <w:color w:val="000000"/>
                <w:lang w:eastAsia="es-ES_tradnl"/>
              </w:rPr>
              <w:t xml:space="preserve">                   </w:t>
            </w:r>
          </w:p>
        </w:tc>
        <w:tc>
          <w:tcPr>
            <w:tcW w:w="5670" w:type="dxa"/>
          </w:tcPr>
          <w:p w14:paraId="2D802590" w14:textId="77777777" w:rsidR="00C317E7" w:rsidRPr="00343E12" w:rsidRDefault="00C317E7" w:rsidP="00931C85">
            <w:pPr>
              <w:jc w:val="both"/>
              <w:rPr>
                <w:rFonts w:ascii="Verdana" w:eastAsia="Times New Roman" w:hAnsi="Verdana" w:cs="Arial"/>
                <w:color w:val="000000"/>
                <w:lang w:val="es-ES"/>
              </w:rPr>
            </w:pPr>
            <w:r w:rsidRPr="00343E12">
              <w:rPr>
                <w:rFonts w:ascii="Verdana" w:eastAsia="Aptos" w:hAnsi="Verdana"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Excepciones – Destinatarios - Entidades sanitarias y hospitalarias / </w:t>
            </w:r>
            <w:r w:rsidRPr="00343E12">
              <w:rPr>
                <w:rFonts w:ascii="Verdana" w:eastAsia="Aptos" w:hAnsi="Verdana" w:cs="Arial"/>
                <w:lang w:val="es-MX" w:eastAsia="es-ES_tradnl"/>
              </w:rPr>
              <w:t>CONVENIOS INTERADMINISTRATIVOS – Criterio orgánico / CONTRATOS Y CONVENIOS INTERADMINISTRATIVOS – Circular Externa Única – Auto de suspensión</w:t>
            </w:r>
          </w:p>
          <w:p w14:paraId="282DC8AD" w14:textId="77777777" w:rsidR="00C317E7" w:rsidRPr="00343E12" w:rsidRDefault="00C317E7" w:rsidP="00931C85">
            <w:pPr>
              <w:jc w:val="both"/>
              <w:rPr>
                <w:rFonts w:ascii="Verdana" w:eastAsia="Calibri" w:hAnsi="Verdana" w:cs="Arial"/>
                <w:lang w:val="es-ES_tradnl" w:eastAsia="es-ES"/>
              </w:rPr>
            </w:pPr>
          </w:p>
        </w:tc>
      </w:tr>
      <w:tr w:rsidR="00C317E7" w:rsidRPr="00343E12" w14:paraId="3E76ABB6" w14:textId="77777777" w:rsidTr="00931C85">
        <w:tc>
          <w:tcPr>
            <w:tcW w:w="3119" w:type="dxa"/>
          </w:tcPr>
          <w:p w14:paraId="462D764C" w14:textId="77777777" w:rsidR="00C317E7" w:rsidRPr="00343E12" w:rsidRDefault="00C317E7" w:rsidP="00931C85">
            <w:pPr>
              <w:jc w:val="both"/>
              <w:rPr>
                <w:rFonts w:ascii="Verdana" w:eastAsia="Calibri" w:hAnsi="Verdana" w:cs="Arial"/>
                <w:b/>
                <w:lang w:eastAsia="es-ES_tradnl"/>
              </w:rPr>
            </w:pPr>
            <w:r w:rsidRPr="00343E12">
              <w:rPr>
                <w:rFonts w:ascii="Verdana" w:eastAsia="Calibri" w:hAnsi="Verdana" w:cs="Arial"/>
                <w:b/>
                <w:lang w:eastAsia="es-ES_tradnl"/>
              </w:rPr>
              <w:t>Radicación:</w:t>
            </w:r>
            <w:r w:rsidRPr="00343E12">
              <w:rPr>
                <w:rFonts w:ascii="Verdana" w:eastAsia="Calibri" w:hAnsi="Verdana" w:cs="Arial"/>
                <w:lang w:eastAsia="es-ES_tradnl"/>
              </w:rPr>
              <w:t xml:space="preserve">               </w:t>
            </w:r>
          </w:p>
        </w:tc>
        <w:tc>
          <w:tcPr>
            <w:tcW w:w="5670" w:type="dxa"/>
          </w:tcPr>
          <w:p w14:paraId="5920129B" w14:textId="77777777" w:rsidR="00C317E7" w:rsidRPr="00343E12" w:rsidRDefault="00C317E7" w:rsidP="00931C85">
            <w:pPr>
              <w:jc w:val="both"/>
              <w:rPr>
                <w:rFonts w:ascii="Verdana" w:eastAsia="Calibri" w:hAnsi="Verdana" w:cs="Arial"/>
                <w:lang w:eastAsia="es-ES_tradnl"/>
              </w:rPr>
            </w:pPr>
            <w:r w:rsidRPr="00343E12">
              <w:rPr>
                <w:rFonts w:ascii="Verdana" w:eastAsia="Calibri" w:hAnsi="Verdana" w:cs="Arial"/>
                <w:lang w:eastAsia="es-ES_tradnl"/>
              </w:rPr>
              <w:t xml:space="preserve">Respuesta a consulta con radicado 1_2025_10_30_012252 </w:t>
            </w:r>
          </w:p>
        </w:tc>
      </w:tr>
    </w:tbl>
    <w:p w14:paraId="69A63211" w14:textId="77777777" w:rsidR="00C317E7" w:rsidRPr="00343E12" w:rsidRDefault="00C317E7" w:rsidP="00C317E7">
      <w:pPr>
        <w:spacing w:after="0" w:line="276" w:lineRule="auto"/>
        <w:jc w:val="both"/>
        <w:rPr>
          <w:rFonts w:ascii="Verdana" w:eastAsia="Calibri" w:hAnsi="Verdana" w:cs="Arial"/>
          <w:lang w:eastAsia="es-ES_tradnl"/>
        </w:rPr>
      </w:pPr>
    </w:p>
    <w:p w14:paraId="27DBA4EC" w14:textId="77777777" w:rsidR="00C317E7" w:rsidRPr="00343E12" w:rsidRDefault="00C317E7" w:rsidP="00C317E7">
      <w:pPr>
        <w:spacing w:after="0" w:line="276" w:lineRule="auto"/>
        <w:jc w:val="both"/>
        <w:rPr>
          <w:rFonts w:ascii="Verdana" w:eastAsia="Calibri" w:hAnsi="Verdana" w:cs="Arial"/>
          <w:lang w:eastAsia="es-ES_tradnl"/>
        </w:rPr>
      </w:pPr>
    </w:p>
    <w:p w14:paraId="3052B70B" w14:textId="77777777" w:rsidR="00C317E7" w:rsidRPr="00343E12" w:rsidRDefault="00C317E7" w:rsidP="00C317E7">
      <w:pPr>
        <w:spacing w:after="0" w:line="276" w:lineRule="auto"/>
        <w:jc w:val="both"/>
        <w:rPr>
          <w:rFonts w:ascii="Verdana" w:eastAsia="Calibri" w:hAnsi="Verdana" w:cs="Arial"/>
          <w:lang w:eastAsia="es-ES"/>
        </w:rPr>
      </w:pPr>
      <w:r w:rsidRPr="00343E12">
        <w:rPr>
          <w:rFonts w:ascii="Verdana" w:eastAsia="Calibri" w:hAnsi="Verdana" w:cs="Arial"/>
          <w:lang w:eastAsia="es-ES"/>
        </w:rPr>
        <w:t xml:space="preserve">Estimado señor Sánchez: </w:t>
      </w:r>
    </w:p>
    <w:p w14:paraId="7044FB82" w14:textId="77777777" w:rsidR="00C317E7" w:rsidRPr="00343E12" w:rsidRDefault="00C317E7" w:rsidP="00C317E7">
      <w:pPr>
        <w:tabs>
          <w:tab w:val="left" w:pos="3768"/>
        </w:tabs>
        <w:spacing w:after="0" w:line="240" w:lineRule="auto"/>
        <w:jc w:val="both"/>
        <w:rPr>
          <w:rFonts w:ascii="Verdana" w:eastAsia="Calibri" w:hAnsi="Verdana" w:cs="Arial"/>
          <w:lang w:eastAsia="es-ES"/>
        </w:rPr>
      </w:pPr>
    </w:p>
    <w:p w14:paraId="21719441" w14:textId="77777777" w:rsidR="00C317E7" w:rsidRPr="00343E12" w:rsidRDefault="00C317E7" w:rsidP="00C317E7">
      <w:pPr>
        <w:tabs>
          <w:tab w:val="left" w:pos="3768"/>
        </w:tabs>
        <w:spacing w:after="0" w:line="276" w:lineRule="auto"/>
        <w:jc w:val="both"/>
        <w:rPr>
          <w:rFonts w:ascii="Verdana" w:eastAsia="Calibri" w:hAnsi="Verdana" w:cs="Arial"/>
          <w:lang w:eastAsia="es-ES"/>
        </w:rPr>
      </w:pPr>
      <w:r w:rsidRPr="00343E12">
        <w:rPr>
          <w:rFonts w:ascii="Verdana" w:eastAsia="Calibri" w:hAnsi="Verdana" w:cs="Arial"/>
          <w:color w:val="000000"/>
          <w:lang w:eastAsia="es-ES"/>
        </w:rPr>
        <w:t>En ejercicio de la competencia otorgada por los artículos 3, numeral 5º, y 11, numeral 8º, del Decreto Ley 4170 de 2011,</w:t>
      </w:r>
      <w:r w:rsidRPr="00343E12">
        <w:rPr>
          <w:rFonts w:ascii="Verdana" w:eastAsia="Arial MT" w:hAnsi="Verdana" w:cs="Arial MT"/>
          <w:lang w:eastAsia="es-ES"/>
        </w:rPr>
        <w:t xml:space="preserve"> </w:t>
      </w:r>
      <w:r w:rsidRPr="00343E12">
        <w:rPr>
          <w:rFonts w:ascii="Verdana" w:eastAsia="Aptos" w:hAnsi="Verdana" w:cs="Arial"/>
        </w:rPr>
        <w:t xml:space="preserve">así como lo establecido en el artículo 4 de la Resolución 1707 de 2018 expedida por esta Entidad, </w:t>
      </w:r>
      <w:r w:rsidRPr="00343E12">
        <w:rPr>
          <w:rFonts w:ascii="Verdana" w:eastAsia="Calibri" w:hAnsi="Verdana" w:cs="Arial"/>
          <w:color w:val="000000"/>
          <w:lang w:eastAsia="es-ES"/>
        </w:rPr>
        <w:t xml:space="preserve">la Agencia Nacional de Contratación </w:t>
      </w:r>
      <w:r w:rsidRPr="00343E12">
        <w:rPr>
          <w:rFonts w:ascii="Verdana" w:eastAsia="Calibri" w:hAnsi="Verdana" w:cs="Arial"/>
          <w:lang w:eastAsia="es-ES"/>
        </w:rPr>
        <w:t xml:space="preserve">Pública – Colombia Compra Eficiente– responde su solicitud de consulta de fecha 30 de octubre de 2025, previamente trasladado por el Departamento Administrativo de la Función Pública mediante radicado 20256000526441 del 29 de octubre de 2025, en la cual manifiesta lo siguiente: </w:t>
      </w:r>
    </w:p>
    <w:p w14:paraId="1D5135FE" w14:textId="77777777" w:rsidR="00C317E7" w:rsidRPr="00343E12" w:rsidRDefault="00C317E7" w:rsidP="00C317E7">
      <w:pPr>
        <w:tabs>
          <w:tab w:val="left" w:pos="142"/>
          <w:tab w:val="left" w:pos="284"/>
        </w:tabs>
        <w:spacing w:after="0" w:line="276" w:lineRule="auto"/>
        <w:ind w:left="142"/>
        <w:jc w:val="both"/>
        <w:rPr>
          <w:rFonts w:ascii="Verdana" w:eastAsia="Century Gothic" w:hAnsi="Verdana" w:cs="Century Gothic"/>
          <w:b/>
          <w:bCs/>
          <w:i/>
          <w:iCs/>
          <w:sz w:val="20"/>
          <w:szCs w:val="20"/>
        </w:rPr>
      </w:pPr>
    </w:p>
    <w:p w14:paraId="4F91037A" w14:textId="77777777" w:rsidR="00C317E7" w:rsidRPr="00343E12" w:rsidRDefault="00C317E7" w:rsidP="00C317E7">
      <w:pPr>
        <w:spacing w:after="0" w:line="240" w:lineRule="auto"/>
        <w:ind w:left="709" w:right="709"/>
        <w:jc w:val="both"/>
        <w:rPr>
          <w:rFonts w:ascii="Verdana" w:eastAsia="Century Gothic" w:hAnsi="Verdana" w:cs="Century Gothic"/>
          <w:sz w:val="20"/>
          <w:szCs w:val="20"/>
        </w:rPr>
      </w:pPr>
      <w:bookmarkStart w:id="2" w:name="_Hlk192699624"/>
      <w:bookmarkStart w:id="3" w:name="_Hlk199394899"/>
      <w:r w:rsidRPr="00343E12">
        <w:rPr>
          <w:rFonts w:ascii="Verdana" w:eastAsia="Century Gothic" w:hAnsi="Verdana" w:cs="Century Gothic"/>
          <w:sz w:val="20"/>
          <w:szCs w:val="20"/>
        </w:rPr>
        <w:lastRenderedPageBreak/>
        <w:t>“</w:t>
      </w:r>
      <w:bookmarkEnd w:id="2"/>
      <w:bookmarkEnd w:id="3"/>
      <w:r w:rsidRPr="00343E12">
        <w:rPr>
          <w:rFonts w:ascii="Verdana" w:eastAsia="Century Gothic" w:hAnsi="Verdana" w:cs="Century Gothic"/>
          <w:sz w:val="20"/>
          <w:szCs w:val="20"/>
        </w:rPr>
        <w:t xml:space="preserve">De manera atenta y respetuosa, me permito solicitar información y orientación jurídica respecto a la aplicación de la Ley de Garantías Electorales (Ley 996 de 2005) para el caso específico de los Hospitales Públicos E.S.E. de nivel 1, con ocasión del proceso electoral correspondiente a la vigencia 2026. En particular, se requiere aclarar si las Empresas Sociales del Estado, en su calidad de entidades descentralizadas del orden territorial con personería jurídica, autonomía administrativa y patrimonio propio, están sujetas de manera integral a las restricciones establecidas por dicha ley, en iguales condiciones que el resto de entidades públicas del nivel central, o si por su naturaleza jurídica y operativa aplican criterios diferenciados o excepciones específicas, especialmente en materia de: </w:t>
      </w:r>
    </w:p>
    <w:p w14:paraId="093F2DA0" w14:textId="77777777" w:rsidR="00C317E7" w:rsidRPr="00343E12" w:rsidRDefault="00C317E7" w:rsidP="00C317E7">
      <w:pPr>
        <w:spacing w:after="0" w:line="240" w:lineRule="auto"/>
        <w:ind w:left="709" w:right="709"/>
        <w:jc w:val="both"/>
        <w:rPr>
          <w:rFonts w:ascii="Verdana" w:eastAsia="Century Gothic" w:hAnsi="Verdana" w:cs="Century Gothic"/>
          <w:sz w:val="20"/>
          <w:szCs w:val="20"/>
        </w:rPr>
      </w:pPr>
      <w:r w:rsidRPr="00343E12">
        <w:rPr>
          <w:rFonts w:ascii="Verdana" w:eastAsia="Century Gothic" w:hAnsi="Verdana" w:cs="Century Gothic"/>
          <w:sz w:val="20"/>
          <w:szCs w:val="20"/>
        </w:rPr>
        <w:t xml:space="preserve">• Celebración de contratos (licitación, contratación directa, convenios, prestación de servicios). </w:t>
      </w:r>
    </w:p>
    <w:p w14:paraId="57C5FF7B" w14:textId="77777777" w:rsidR="00C317E7" w:rsidRPr="00343E12" w:rsidRDefault="00C317E7" w:rsidP="00C317E7">
      <w:pPr>
        <w:spacing w:after="0" w:line="240" w:lineRule="auto"/>
        <w:ind w:left="709" w:right="709"/>
        <w:jc w:val="both"/>
        <w:rPr>
          <w:rFonts w:ascii="Verdana" w:eastAsia="Century Gothic" w:hAnsi="Verdana" w:cs="Century Gothic"/>
          <w:sz w:val="20"/>
          <w:szCs w:val="20"/>
        </w:rPr>
      </w:pPr>
      <w:r w:rsidRPr="00343E12">
        <w:rPr>
          <w:rFonts w:ascii="Verdana" w:eastAsia="Century Gothic" w:hAnsi="Verdana" w:cs="Century Gothic"/>
          <w:sz w:val="20"/>
          <w:szCs w:val="20"/>
        </w:rPr>
        <w:t xml:space="preserve">• Vinculación de personal bajo modalidad de contrato de prestación de servicios. </w:t>
      </w:r>
    </w:p>
    <w:p w14:paraId="61E6FFE7" w14:textId="77777777" w:rsidR="00C317E7" w:rsidRPr="00343E12" w:rsidRDefault="00C317E7" w:rsidP="00C317E7">
      <w:pPr>
        <w:spacing w:after="0" w:line="240" w:lineRule="auto"/>
        <w:ind w:left="709" w:right="709"/>
        <w:jc w:val="both"/>
        <w:rPr>
          <w:rFonts w:ascii="Verdana" w:eastAsia="Century Gothic" w:hAnsi="Verdana" w:cs="Century Gothic"/>
          <w:sz w:val="20"/>
          <w:szCs w:val="20"/>
        </w:rPr>
      </w:pPr>
      <w:r w:rsidRPr="00343E12">
        <w:rPr>
          <w:rFonts w:ascii="Verdana" w:eastAsia="Century Gothic" w:hAnsi="Verdana" w:cs="Century Gothic"/>
          <w:sz w:val="20"/>
          <w:szCs w:val="20"/>
        </w:rPr>
        <w:t xml:space="preserve">• Ejecución de recursos públicos asignados para el cumplimiento de funciones misionales. </w:t>
      </w:r>
    </w:p>
    <w:p w14:paraId="75F4222C" w14:textId="77777777" w:rsidR="00C317E7" w:rsidRPr="00343E12" w:rsidRDefault="00C317E7" w:rsidP="00C317E7">
      <w:pPr>
        <w:spacing w:after="0" w:line="240" w:lineRule="auto"/>
        <w:ind w:left="709" w:right="709"/>
        <w:jc w:val="both"/>
        <w:rPr>
          <w:rFonts w:ascii="Verdana" w:eastAsia="Century Gothic" w:hAnsi="Verdana" w:cs="Century Gothic"/>
          <w:sz w:val="20"/>
          <w:szCs w:val="20"/>
        </w:rPr>
      </w:pPr>
      <w:r w:rsidRPr="00343E12">
        <w:rPr>
          <w:rFonts w:ascii="Verdana" w:eastAsia="Century Gothic" w:hAnsi="Verdana" w:cs="Century Gothic"/>
          <w:sz w:val="20"/>
          <w:szCs w:val="20"/>
        </w:rPr>
        <w:t>• Restricciones administrativas durante el periodo preelectoral. Agradecemos de antemano su colaboración para contar con un concepto claro y actualizado sobre el marco normativo aplicable, lo cual es fundamental para garantizar el cumplimiento de la ley, prevenir posibles inhabilidades o sanciones, y asegurar la continuidad de la gestión institucional en el marco de la legalidad.”</w:t>
      </w:r>
    </w:p>
    <w:p w14:paraId="31CFE959" w14:textId="77777777" w:rsidR="00C317E7" w:rsidRPr="00343E12" w:rsidRDefault="00C317E7" w:rsidP="00C317E7">
      <w:pPr>
        <w:spacing w:after="0" w:line="240" w:lineRule="auto"/>
        <w:ind w:left="709" w:right="709"/>
        <w:jc w:val="both"/>
        <w:rPr>
          <w:rFonts w:ascii="Verdana" w:eastAsia="Aptos" w:hAnsi="Verdana" w:cs="Times New Roman"/>
          <w:sz w:val="20"/>
          <w:szCs w:val="20"/>
        </w:rPr>
      </w:pPr>
    </w:p>
    <w:p w14:paraId="1037BC73" w14:textId="77777777" w:rsidR="00C317E7" w:rsidRPr="00343E12" w:rsidRDefault="00C317E7" w:rsidP="00C317E7">
      <w:pPr>
        <w:spacing w:before="120" w:after="0" w:line="276" w:lineRule="auto"/>
        <w:ind w:firstLine="709"/>
        <w:jc w:val="both"/>
        <w:rPr>
          <w:rFonts w:ascii="Verdana" w:eastAsia="Calibri" w:hAnsi="Verdana" w:cs="Arial"/>
          <w:color w:val="000000"/>
          <w:szCs w:val="24"/>
          <w:lang w:eastAsia="es-ES_tradnl"/>
        </w:rPr>
      </w:pPr>
      <w:r w:rsidRPr="00343E1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5453555" w14:textId="77777777" w:rsidR="00C317E7" w:rsidRPr="00343E12" w:rsidRDefault="00C317E7" w:rsidP="00C317E7">
      <w:pPr>
        <w:spacing w:before="120" w:after="0" w:line="276" w:lineRule="auto"/>
        <w:ind w:firstLine="709"/>
        <w:jc w:val="both"/>
        <w:rPr>
          <w:rFonts w:ascii="Verdana" w:eastAsia="Calibri" w:hAnsi="Verdana" w:cs="Arial"/>
          <w:color w:val="000000"/>
          <w:szCs w:val="24"/>
          <w:lang w:eastAsia="es-ES_tradnl"/>
        </w:rPr>
      </w:pPr>
      <w:r w:rsidRPr="00343E1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w:t>
      </w:r>
      <w:r w:rsidRPr="00343E12">
        <w:rPr>
          <w:rFonts w:ascii="Verdana" w:eastAsia="Calibri" w:hAnsi="Verdana" w:cs="Arial"/>
          <w:color w:val="000000"/>
          <w:lang w:eastAsia="es-ES"/>
        </w:rPr>
        <w:lastRenderedPageBreak/>
        <w:t xml:space="preserve">en su petición, pero señalando algunas consideraciones sobre las normas generales relacionadas con el problema jurídico de su consulta.  </w:t>
      </w:r>
    </w:p>
    <w:p w14:paraId="0B1BE881" w14:textId="77777777" w:rsidR="00C317E7" w:rsidRPr="00343E12" w:rsidRDefault="00C317E7" w:rsidP="00C317E7">
      <w:pPr>
        <w:spacing w:after="0"/>
        <w:ind w:firstLine="709"/>
        <w:jc w:val="both"/>
        <w:rPr>
          <w:rFonts w:ascii="Verdana" w:eastAsia="Calibri" w:hAnsi="Verdana" w:cs="Arial"/>
          <w:color w:val="000000"/>
          <w:lang w:eastAsia="es-ES"/>
        </w:rPr>
      </w:pPr>
    </w:p>
    <w:p w14:paraId="48B3628C" w14:textId="77777777" w:rsidR="00C317E7" w:rsidRPr="00343E12" w:rsidRDefault="00C317E7" w:rsidP="00C317E7">
      <w:pPr>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343E12">
        <w:rPr>
          <w:rFonts w:ascii="Verdana" w:eastAsia="Century Gothic" w:hAnsi="Verdana" w:cs="Century Gothic"/>
          <w:b/>
          <w:bCs/>
        </w:rPr>
        <w:t>Problema planteado:</w:t>
      </w:r>
    </w:p>
    <w:p w14:paraId="24D86BDA" w14:textId="77777777" w:rsidR="00C317E7" w:rsidRPr="00343E12" w:rsidRDefault="00C317E7" w:rsidP="00C317E7">
      <w:pPr>
        <w:spacing w:after="0" w:line="276" w:lineRule="auto"/>
        <w:jc w:val="both"/>
        <w:rPr>
          <w:rFonts w:ascii="Verdana" w:eastAsia="Calibri" w:hAnsi="Verdana" w:cs="Arial"/>
          <w:color w:val="000000"/>
          <w:highlight w:val="yellow"/>
          <w:lang w:eastAsia="es-ES"/>
        </w:rPr>
      </w:pPr>
    </w:p>
    <w:p w14:paraId="1DAE5F9E" w14:textId="77777777" w:rsidR="00C317E7" w:rsidRPr="00343E12" w:rsidRDefault="00C317E7" w:rsidP="00C317E7">
      <w:pPr>
        <w:spacing w:after="0" w:line="276" w:lineRule="auto"/>
        <w:jc w:val="both"/>
        <w:rPr>
          <w:rFonts w:ascii="Verdana" w:eastAsia="Calibri" w:hAnsi="Verdana" w:cs="Arial"/>
          <w:color w:val="000000"/>
          <w:lang w:eastAsia="es-ES"/>
        </w:rPr>
      </w:pPr>
      <w:r w:rsidRPr="00343E12">
        <w:rPr>
          <w:rFonts w:ascii="Verdana" w:eastAsia="Calibri" w:hAnsi="Verdana" w:cs="Arial"/>
          <w:color w:val="000000"/>
          <w:lang w:eastAsia="es-ES"/>
        </w:rPr>
        <w:t xml:space="preserve">De acuerdo con el contenido de su solicitud, esta Agencia resolverá el siguiente problema jurídico: ¿Cuáles son las restricciones aplicables, en materia de contratación estatal, a las Empresas Sociales del Estado durante </w:t>
      </w:r>
      <w:r>
        <w:rPr>
          <w:rFonts w:ascii="Verdana" w:eastAsia="Calibri" w:hAnsi="Verdana" w:cs="Arial"/>
          <w:color w:val="000000"/>
          <w:lang w:eastAsia="es-ES"/>
        </w:rPr>
        <w:t xml:space="preserve">los </w:t>
      </w:r>
      <w:r w:rsidRPr="00343E12">
        <w:rPr>
          <w:rFonts w:ascii="Verdana" w:eastAsia="Calibri" w:hAnsi="Verdana" w:cs="Arial"/>
          <w:color w:val="000000"/>
          <w:lang w:eastAsia="es-ES"/>
        </w:rPr>
        <w:t>periodo</w:t>
      </w:r>
      <w:r>
        <w:rPr>
          <w:rFonts w:ascii="Verdana" w:eastAsia="Calibri" w:hAnsi="Verdana" w:cs="Arial"/>
          <w:color w:val="000000"/>
          <w:lang w:eastAsia="es-ES"/>
        </w:rPr>
        <w:t>s</w:t>
      </w:r>
      <w:r w:rsidRPr="00343E12">
        <w:rPr>
          <w:rFonts w:ascii="Verdana" w:eastAsia="Calibri" w:hAnsi="Verdana" w:cs="Arial"/>
          <w:color w:val="000000"/>
          <w:lang w:eastAsia="es-ES"/>
        </w:rPr>
        <w:t xml:space="preserve"> en que rige la Ley de Garantías Electorales? </w:t>
      </w:r>
    </w:p>
    <w:p w14:paraId="4596E692" w14:textId="77777777" w:rsidR="00C317E7" w:rsidRPr="00343E12" w:rsidRDefault="00C317E7" w:rsidP="00C317E7">
      <w:pPr>
        <w:spacing w:after="0" w:line="276" w:lineRule="auto"/>
        <w:jc w:val="both"/>
        <w:rPr>
          <w:rFonts w:ascii="Verdana" w:eastAsia="Calibri" w:hAnsi="Verdana" w:cs="Times New Roman"/>
          <w:i/>
          <w:iCs/>
          <w:lang w:val="es-ES"/>
        </w:rPr>
      </w:pPr>
    </w:p>
    <w:p w14:paraId="49185564" w14:textId="77777777" w:rsidR="00C317E7" w:rsidRPr="00343E12" w:rsidRDefault="00C317E7" w:rsidP="00C317E7">
      <w:pPr>
        <w:spacing w:after="0" w:line="276" w:lineRule="auto"/>
        <w:jc w:val="both"/>
        <w:rPr>
          <w:rFonts w:ascii="Verdana" w:eastAsia="Century Gothic" w:hAnsi="Verdana" w:cs="Century Gothic"/>
          <w:b/>
          <w:bCs/>
        </w:rPr>
      </w:pPr>
      <w:r w:rsidRPr="00343E12">
        <w:rPr>
          <w:rFonts w:ascii="Verdana" w:eastAsia="Century Gothic" w:hAnsi="Verdana" w:cs="Century Gothic"/>
          <w:b/>
          <w:bCs/>
        </w:rPr>
        <w:t>2. Respuesta:</w:t>
      </w:r>
    </w:p>
    <w:p w14:paraId="4590BBD0" w14:textId="77777777" w:rsidR="00C317E7" w:rsidRPr="00343E12" w:rsidRDefault="00C317E7" w:rsidP="00C317E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317E7" w:rsidRPr="00343E12" w14:paraId="7D3DC79C" w14:textId="77777777" w:rsidTr="00931C85">
        <w:tc>
          <w:tcPr>
            <w:tcW w:w="8828" w:type="dxa"/>
          </w:tcPr>
          <w:p w14:paraId="5C81F646" w14:textId="77777777" w:rsidR="00C317E7" w:rsidRDefault="00C317E7" w:rsidP="00931C85">
            <w:pPr>
              <w:spacing w:after="120" w:line="276" w:lineRule="auto"/>
              <w:ind w:firstLine="709"/>
              <w:jc w:val="both"/>
              <w:rPr>
                <w:rFonts w:ascii="Verdana" w:eastAsia="Arial" w:hAnsi="Verdana" w:cs="Arial"/>
                <w:lang w:eastAsia="es-ES" w:bidi="es-ES"/>
              </w:rPr>
            </w:pPr>
            <w:r>
              <w:rPr>
                <w:rFonts w:ascii="Verdana" w:eastAsia="Calibri" w:hAnsi="Verdana" w:cs="Arial"/>
                <w:lang w:val="es-ES"/>
              </w:rPr>
              <w:t>i)</w:t>
            </w:r>
            <w:r w:rsidRPr="000C5BB0">
              <w:t xml:space="preserve"> </w:t>
            </w:r>
            <w:r>
              <w:rPr>
                <w:rFonts w:ascii="Verdana" w:eastAsia="Arial" w:hAnsi="Verdana" w:cs="Arial"/>
                <w:lang w:eastAsia="es-ES" w:bidi="es-ES"/>
              </w:rPr>
              <w:t>L</w:t>
            </w:r>
            <w:r w:rsidRPr="00FF007A">
              <w:rPr>
                <w:rFonts w:ascii="Verdana" w:eastAsia="Arial" w:hAnsi="Verdana" w:cs="Arial"/>
                <w:lang w:eastAsia="es-ES" w:bidi="es-ES"/>
              </w:rPr>
              <w:t>a Ley de Garantías se dirigen a dos (2) tipos de campañas electorales diferenciadas</w:t>
            </w:r>
            <w:r>
              <w:rPr>
                <w:rFonts w:ascii="Verdana" w:eastAsia="Arial" w:hAnsi="Verdana" w:cs="Arial"/>
                <w:lang w:eastAsia="es-ES" w:bidi="es-ES"/>
              </w:rPr>
              <w:t xml:space="preserve">: i) </w:t>
            </w:r>
            <w:r w:rsidRPr="00FF007A">
              <w:rPr>
                <w:rFonts w:ascii="Verdana" w:eastAsia="Arial" w:hAnsi="Verdana" w:cs="Arial"/>
                <w:lang w:eastAsia="es-ES" w:bidi="es-ES"/>
              </w:rPr>
              <w:t xml:space="preserve">la del artículo 33 que </w:t>
            </w:r>
            <w:proofErr w:type="gramStart"/>
            <w:r w:rsidRPr="00FF007A">
              <w:rPr>
                <w:rFonts w:ascii="Verdana" w:eastAsia="Arial" w:hAnsi="Verdana" w:cs="Arial"/>
                <w:lang w:eastAsia="es-ES" w:bidi="es-ES"/>
              </w:rPr>
              <w:t>aplica  respecto</w:t>
            </w:r>
            <w:proofErr w:type="gramEnd"/>
            <w:r w:rsidRPr="00FF007A">
              <w:rPr>
                <w:rFonts w:ascii="Verdana" w:eastAsia="Arial" w:hAnsi="Verdana" w:cs="Arial"/>
                <w:lang w:eastAsia="es-ES" w:bidi="es-ES"/>
              </w:rPr>
              <w:t xml:space="preserve">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eastAsia="es-ES" w:bidi="es-ES"/>
              </w:rPr>
              <w:t xml:space="preserve">;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eastAsia="es-ES" w:bidi="es-ES"/>
              </w:rPr>
              <w:t>.</w:t>
            </w:r>
          </w:p>
          <w:p w14:paraId="00D1C1DC" w14:textId="77777777" w:rsidR="00C317E7" w:rsidRDefault="00C317E7" w:rsidP="00931C85">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0A06D404" w14:textId="77777777" w:rsidR="00C317E7" w:rsidRDefault="00C317E7" w:rsidP="00931C85">
            <w:pPr>
              <w:spacing w:after="120" w:line="276" w:lineRule="auto"/>
              <w:ind w:firstLine="709"/>
              <w:jc w:val="both"/>
              <w:rPr>
                <w:rFonts w:ascii="Verdana" w:eastAsia="Calibri" w:hAnsi="Verdana" w:cs="Arial"/>
              </w:rPr>
            </w:pPr>
          </w:p>
          <w:p w14:paraId="43004EAF" w14:textId="77777777" w:rsidR="00C317E7" w:rsidRDefault="00C317E7" w:rsidP="00931C85">
            <w:pPr>
              <w:spacing w:after="120" w:line="276" w:lineRule="auto"/>
              <w:ind w:firstLine="709"/>
              <w:jc w:val="both"/>
              <w:rPr>
                <w:rFonts w:ascii="Verdana" w:eastAsia="Calibri" w:hAnsi="Verdana" w:cs="Arial"/>
              </w:rPr>
            </w:pPr>
            <w:r>
              <w:rPr>
                <w:rFonts w:ascii="Verdana" w:eastAsia="Calibri" w:hAnsi="Verdana" w:cs="Arial"/>
              </w:rPr>
              <w:lastRenderedPageBreak/>
              <w:t>P</w:t>
            </w:r>
            <w:r w:rsidRPr="000C5BB0">
              <w:rPr>
                <w:rFonts w:ascii="Verdana" w:eastAsia="Calibri" w:hAnsi="Verdana" w:cs="Arial"/>
              </w:rPr>
              <w:t xml:space="preserve">ara las elecciones presidenciales, </w:t>
            </w:r>
            <w:r>
              <w:rPr>
                <w:rFonts w:ascii="Verdana" w:eastAsia="Calibri" w:hAnsi="Verdana" w:cs="Arial"/>
              </w:rPr>
              <w:t>las restricciones a aplicar son las del artículo 33 de la Ley 996 de 2005, por lo cual, dentro de los 4 meses anteriores a la elección presidencial, es decir desde el 31 de enero de 2026, y hasta el momento de la celebración de la segunda vuelta, si fuere el caso, q</w:t>
            </w:r>
            <w:r w:rsidRPr="008772F9">
              <w:rPr>
                <w:rFonts w:ascii="Verdana" w:eastAsia="Calibri" w:hAnsi="Verdana" w:cs="Arial"/>
              </w:rPr>
              <w:t>ueda prohibida la contratación directa por parte de todos los entes del Estado</w:t>
            </w:r>
            <w:r>
              <w:rPr>
                <w:rFonts w:ascii="Verdana" w:eastAsia="Calibri" w:hAnsi="Verdana" w:cs="Arial"/>
              </w:rPr>
              <w:t>, dentro de lo cual se incluye los contratos de prestación de servicios profesionales y de apoyo a la gestión</w:t>
            </w:r>
            <w:r w:rsidRPr="008772F9">
              <w:rPr>
                <w:rFonts w:ascii="Verdana" w:eastAsia="Calibri" w:hAnsi="Verdana" w:cs="Arial"/>
              </w:rPr>
              <w:t>.</w:t>
            </w:r>
          </w:p>
          <w:p w14:paraId="7DD75B83" w14:textId="77777777" w:rsidR="00C317E7" w:rsidRDefault="00C317E7" w:rsidP="00931C85">
            <w:pPr>
              <w:spacing w:after="120" w:line="276" w:lineRule="auto"/>
              <w:ind w:firstLine="709"/>
              <w:jc w:val="both"/>
              <w:rPr>
                <w:rFonts w:ascii="Verdana" w:eastAsia="Times New Roman" w:hAnsi="Verdana" w:cs="Arial"/>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49DEA122" w14:textId="77777777" w:rsidR="00C317E7" w:rsidRDefault="00C317E7" w:rsidP="00931C85">
            <w:pP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7CD86898" w14:textId="77777777" w:rsidR="00C317E7" w:rsidRDefault="00C317E7" w:rsidP="00931C85">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153187DB" w14:textId="77777777" w:rsidR="00C317E7" w:rsidRDefault="00C317E7" w:rsidP="00931C85">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lastRenderedPageBreak/>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2835A11F" w14:textId="77777777" w:rsidR="00C317E7" w:rsidRDefault="00C317E7" w:rsidP="00931C85">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2C72DD75" w14:textId="77777777" w:rsidR="00C317E7" w:rsidRDefault="00C317E7" w:rsidP="00931C85">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o contratos interadministrativos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w:t>
            </w:r>
            <w:r w:rsidRPr="00FF007A">
              <w:rPr>
                <w:rFonts w:ascii="Verdana" w:eastAsia="Arial" w:hAnsi="Verdana" w:cs="Arial"/>
                <w:bCs/>
                <w:color w:val="000000" w:themeColor="text1"/>
              </w:rPr>
              <w:lastRenderedPageBreak/>
              <w:t xml:space="preserve">no contempló ninguna excepción, de modo que aplicará, aunque se trate de entidades sanitarias u hospitalarias. </w:t>
            </w:r>
          </w:p>
          <w:p w14:paraId="4DA69803" w14:textId="77777777" w:rsidR="00C317E7" w:rsidRDefault="00C317E7" w:rsidP="00931C85">
            <w:pPr>
              <w:spacing w:after="120" w:line="276" w:lineRule="auto"/>
              <w:ind w:firstLine="709"/>
              <w:jc w:val="both"/>
              <w:rPr>
                <w:rFonts w:ascii="Verdana" w:eastAsia="Calibri" w:hAnsi="Verdana" w:cs="Arial"/>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0B228203" w14:textId="77777777" w:rsidR="00C317E7" w:rsidRPr="00667CD6" w:rsidRDefault="00C317E7" w:rsidP="00931C85">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Finalmente</w:t>
            </w:r>
            <w:r w:rsidRPr="31E4E861">
              <w:rPr>
                <w:rFonts w:ascii="Verdana" w:eastAsia="Times New Roman" w:hAnsi="Verdana" w:cs="Arial"/>
                <w:lang w:eastAsia="es-CO"/>
              </w:rPr>
              <w:t xml:space="preserve">, 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31E4E861">
              <w:rPr>
                <w:rFonts w:ascii="Verdana" w:eastAsia="Arial" w:hAnsi="Verdana" w:cs="Arial"/>
                <w:lang w:eastAsia="es-ES" w:bidi="es-ES"/>
              </w:rPr>
              <w:t xml:space="preserve">de suspensión provisional parcial del </w:t>
            </w:r>
            <w:r w:rsidRPr="31E4E861">
              <w:rPr>
                <w:rFonts w:ascii="Verdana" w:hAnsi="Verdana" w:cs="Arial"/>
              </w:rPr>
              <w:t xml:space="preserve">numeral 16.2 de la Circular Externa Única de 2022 expedida por la Agencia Nacional de Contratación Pública -Colombia Compra Eficiente-, y </w:t>
            </w:r>
            <w:r w:rsidRPr="31E4E861">
              <w:rPr>
                <w:rFonts w:ascii="Verdana" w:eastAsia="Arial" w:hAnsi="Verdana" w:cs="Arial"/>
                <w:lang w:eastAsia="es-ES" w:bidi="es-ES"/>
              </w:rPr>
              <w:t>de los apartes cuestionados del inciso segundo y del inciso cuarto del numeral 16.2 de la Circular Externa Única, versión 3 del 27 de diciembre de 2023,</w:t>
            </w:r>
            <w:r w:rsidRPr="31E4E861">
              <w:rPr>
                <w:rFonts w:ascii="Verdana" w:eastAsia="Times New Roman" w:hAnsi="Verdana" w:cs="Arial"/>
                <w:lang w:eastAsia="es-CO"/>
              </w:rPr>
              <w:t xml:space="preserve"> no resultaría aplicable la prohibición del parágrafo del artículo 38 de la Ley de Garantías Electorales a los </w:t>
            </w:r>
            <w:r w:rsidRPr="31E4E861">
              <w:rPr>
                <w:rFonts w:ascii="Verdana" w:eastAsia="Times New Roman" w:hAnsi="Verdana" w:cs="Arial"/>
                <w:i/>
                <w:lang w:eastAsia="es-CO"/>
              </w:rPr>
              <w:t>contratos interadministrativos</w:t>
            </w:r>
            <w:r w:rsidRPr="31E4E861">
              <w:rPr>
                <w:rFonts w:ascii="Verdana" w:eastAsia="Times New Roman" w:hAnsi="Verdana" w:cs="Arial"/>
                <w:lang w:eastAsia="es-CO"/>
              </w:rPr>
              <w:t>.</w:t>
            </w:r>
          </w:p>
          <w:p w14:paraId="45E2552D" w14:textId="77777777" w:rsidR="00C317E7" w:rsidRPr="00667CD6" w:rsidRDefault="00C317E7" w:rsidP="00931C85">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Así las cosas, conforme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 </w:t>
            </w:r>
            <w:r w:rsidRPr="00EF3792">
              <w:rPr>
                <w:rFonts w:ascii="Verdana" w:eastAsia="Times New Roman" w:hAnsi="Verdana" w:cs="Arial"/>
                <w:lang w:eastAsia="es-CO"/>
              </w:rPr>
              <w:t xml:space="preserve">Lo anterior, sin perjuicio de que entre </w:t>
            </w:r>
            <w:r>
              <w:rPr>
                <w:rFonts w:ascii="Verdana" w:eastAsia="Times New Roman" w:hAnsi="Verdana" w:cs="Arial"/>
                <w:lang w:eastAsia="es-CO"/>
              </w:rPr>
              <w:t>a regir</w:t>
            </w:r>
            <w:r w:rsidRPr="00EF3792">
              <w:rPr>
                <w:rFonts w:ascii="Verdana" w:eastAsia="Times New Roman" w:hAnsi="Verdana" w:cs="Arial"/>
                <w:lang w:eastAsia="es-CO"/>
              </w:rPr>
              <w:t xml:space="preserve"> el artículo 33 de la Ley 996, no se podrán celebrar los contratos interadministrativos mediante la modalidad de contratación directa.</w:t>
            </w:r>
          </w:p>
          <w:p w14:paraId="16EA8002" w14:textId="77777777" w:rsidR="00C317E7" w:rsidRPr="00667CD6" w:rsidRDefault="00C317E7" w:rsidP="00931C85">
            <w:pPr>
              <w:spacing w:after="120" w:line="276" w:lineRule="auto"/>
              <w:ind w:firstLine="708"/>
              <w:jc w:val="both"/>
              <w:rPr>
                <w:rFonts w:ascii="Verdana" w:eastAsia="Times New Roman" w:hAnsi="Verdana" w:cs="Arial"/>
                <w:lang w:eastAsia="es-CO"/>
              </w:rPr>
            </w:pPr>
            <w:r w:rsidRPr="605533EB">
              <w:rPr>
                <w:rFonts w:ascii="Verdana" w:eastAsia="Times New Roman" w:hAnsi="Verdana" w:cs="Arial"/>
                <w:lang w:eastAsia="es-CO"/>
              </w:rPr>
              <w:t xml:space="preserve">No obstante, lo anterior,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3D3D8C57" w14:textId="77777777" w:rsidR="00C317E7" w:rsidRPr="002C790A" w:rsidRDefault="00C317E7" w:rsidP="00931C85">
            <w:pPr>
              <w:spacing w:after="120" w:line="276" w:lineRule="auto"/>
              <w:ind w:firstLine="709"/>
              <w:jc w:val="both"/>
              <w:rPr>
                <w:rFonts w:ascii="Verdana" w:eastAsia="Arial" w:hAnsi="Verdana" w:cs="Arial"/>
                <w:bCs/>
                <w:color w:val="000000" w:themeColor="text1"/>
              </w:rPr>
            </w:pPr>
            <w:r w:rsidRPr="00667CD6">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w:t>
            </w:r>
            <w:r>
              <w:rPr>
                <w:rFonts w:ascii="Verdana" w:eastAsia="Arial" w:hAnsi="Verdana" w:cs="Arial"/>
                <w:bCs/>
                <w:color w:val="000000" w:themeColor="text1"/>
              </w:rPr>
              <w:t xml:space="preserve"> </w:t>
            </w:r>
            <w:r w:rsidRPr="00667CD6">
              <w:rPr>
                <w:rFonts w:ascii="Verdana" w:eastAsia="Arial" w:hAnsi="Verdana" w:cs="Arial"/>
                <w:bCs/>
                <w:color w:val="000000" w:themeColor="text1"/>
              </w:rPr>
              <w:t xml:space="preserve">excepciones, de manera que pueda realizar la contratación directa durante el periodo de la prohibición. </w:t>
            </w:r>
            <w:r w:rsidRPr="00667CD6">
              <w:rPr>
                <w:rFonts w:ascii="Verdana" w:eastAsia="Arial" w:hAnsi="Verdana" w:cs="Arial"/>
                <w:bCs/>
                <w:color w:val="000000" w:themeColor="text1"/>
              </w:rPr>
              <w:lastRenderedPageBreak/>
              <w:t xml:space="preserve">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461F9BFD" w14:textId="77777777" w:rsidR="00C317E7" w:rsidRPr="00343E12" w:rsidRDefault="00C317E7" w:rsidP="00C317E7">
      <w:pPr>
        <w:tabs>
          <w:tab w:val="left" w:pos="142"/>
          <w:tab w:val="left" w:pos="284"/>
        </w:tabs>
        <w:spacing w:after="0" w:line="276" w:lineRule="auto"/>
        <w:jc w:val="both"/>
        <w:rPr>
          <w:rFonts w:ascii="Verdana" w:eastAsia="Century Gothic" w:hAnsi="Verdana" w:cs="Century Gothic"/>
          <w:b/>
          <w:bCs/>
        </w:rPr>
      </w:pPr>
    </w:p>
    <w:p w14:paraId="45B01D8A" w14:textId="77777777" w:rsidR="00C317E7" w:rsidRPr="00343E12" w:rsidRDefault="00C317E7" w:rsidP="00C317E7">
      <w:pPr>
        <w:tabs>
          <w:tab w:val="left" w:pos="142"/>
          <w:tab w:val="left" w:pos="284"/>
        </w:tabs>
        <w:spacing w:after="0" w:line="276" w:lineRule="auto"/>
        <w:jc w:val="both"/>
        <w:rPr>
          <w:rFonts w:ascii="Verdana" w:eastAsia="Century Gothic" w:hAnsi="Verdana" w:cs="Century Gothic"/>
          <w:b/>
          <w:bCs/>
        </w:rPr>
      </w:pPr>
      <w:r w:rsidRPr="4F9965BF">
        <w:rPr>
          <w:rFonts w:ascii="Verdana" w:eastAsia="Century Gothic" w:hAnsi="Verdana" w:cs="Century Gothic"/>
          <w:b/>
          <w:bCs/>
        </w:rPr>
        <w:t>3. Razones de la respuesta:</w:t>
      </w:r>
    </w:p>
    <w:p w14:paraId="106A0ECD" w14:textId="77777777" w:rsidR="00C317E7" w:rsidRPr="00343E12" w:rsidRDefault="00C317E7" w:rsidP="00C317E7">
      <w:pPr>
        <w:tabs>
          <w:tab w:val="left" w:pos="142"/>
          <w:tab w:val="left" w:pos="284"/>
        </w:tabs>
        <w:spacing w:after="0" w:line="276" w:lineRule="auto"/>
        <w:jc w:val="both"/>
        <w:rPr>
          <w:rFonts w:ascii="Verdana" w:eastAsia="Calibri" w:hAnsi="Verdana" w:cs="Arial"/>
        </w:rPr>
      </w:pPr>
    </w:p>
    <w:p w14:paraId="4FC695E1" w14:textId="77777777" w:rsidR="00C317E7" w:rsidRPr="00343E12" w:rsidRDefault="00C317E7" w:rsidP="00C317E7">
      <w:pPr>
        <w:tabs>
          <w:tab w:val="left" w:pos="142"/>
          <w:tab w:val="left" w:pos="284"/>
        </w:tabs>
        <w:spacing w:after="0" w:line="276" w:lineRule="auto"/>
        <w:jc w:val="both"/>
        <w:rPr>
          <w:rFonts w:ascii="Verdana" w:eastAsia="Calibri" w:hAnsi="Verdana" w:cs="Arial"/>
        </w:rPr>
      </w:pPr>
      <w:r w:rsidRPr="00343E12">
        <w:rPr>
          <w:rFonts w:ascii="Verdana" w:eastAsia="Calibri" w:hAnsi="Verdana" w:cs="Arial"/>
        </w:rPr>
        <w:t xml:space="preserve">Lo anterior se sustenta en las siguientes consideraciones: </w:t>
      </w:r>
    </w:p>
    <w:p w14:paraId="1070B68D" w14:textId="77777777" w:rsidR="00C317E7" w:rsidRPr="00343E12" w:rsidRDefault="00C317E7" w:rsidP="00C317E7">
      <w:pPr>
        <w:tabs>
          <w:tab w:val="left" w:pos="142"/>
          <w:tab w:val="left" w:pos="284"/>
        </w:tabs>
        <w:spacing w:after="0" w:line="240" w:lineRule="auto"/>
        <w:jc w:val="both"/>
        <w:rPr>
          <w:rFonts w:ascii="Verdana" w:eastAsia="Calibri" w:hAnsi="Verdana" w:cs="Arial"/>
        </w:rPr>
      </w:pPr>
    </w:p>
    <w:p w14:paraId="4F180295" w14:textId="77777777" w:rsidR="00C317E7" w:rsidRPr="00343E12" w:rsidRDefault="00C317E7" w:rsidP="00C317E7">
      <w:pPr>
        <w:tabs>
          <w:tab w:val="left" w:pos="142"/>
          <w:tab w:val="left" w:pos="284"/>
        </w:tabs>
        <w:spacing w:after="120" w:line="276" w:lineRule="auto"/>
        <w:jc w:val="both"/>
        <w:rPr>
          <w:rFonts w:ascii="Verdana" w:eastAsia="Calibri" w:hAnsi="Verdana" w:cs="Arial"/>
        </w:rPr>
      </w:pPr>
      <w:bookmarkStart w:id="4" w:name="_Hlk204856061"/>
      <w:bookmarkStart w:id="5" w:name="_Hlk204854194"/>
      <w:r>
        <w:rPr>
          <w:rFonts w:ascii="Verdana" w:eastAsia="Calibri" w:hAnsi="Verdana" w:cs="Arial"/>
        </w:rPr>
        <w:t>i)</w:t>
      </w:r>
      <w:r w:rsidRPr="00343E12">
        <w:rPr>
          <w:rFonts w:ascii="Verdana" w:eastAsia="Calibri" w:hAnsi="Verdana" w:cs="Arial"/>
        </w:rPr>
        <w:t>El ordenamiento jurídico colombiano contempla previsiones claras para evitar la obtención de beneficios personales en asuntos propios de la administración pública</w:t>
      </w:r>
      <w:r w:rsidRPr="00343E12">
        <w:rPr>
          <w:rFonts w:ascii="Verdana" w:eastAsia="Calibri" w:hAnsi="Verdana" w:cs="Arial"/>
          <w:i/>
        </w:rPr>
        <w:t xml:space="preserve">. </w:t>
      </w:r>
      <w:r w:rsidRPr="00343E1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43E12">
        <w:rPr>
          <w:rFonts w:ascii="Verdana" w:eastAsia="Aptos" w:hAnsi="Verdana" w:cs="Times New Roman"/>
          <w:vertAlign w:val="superscript"/>
        </w:rPr>
        <w:footnoteReference w:id="1"/>
      </w:r>
      <w:r w:rsidRPr="00343E12">
        <w:rPr>
          <w:rFonts w:ascii="Verdana" w:eastAsia="Calibri" w:hAnsi="Verdana" w:cs="Arial"/>
        </w:rPr>
        <w:t>.</w:t>
      </w:r>
    </w:p>
    <w:p w14:paraId="6727F348" w14:textId="77777777" w:rsidR="00C317E7" w:rsidRPr="00343E12" w:rsidRDefault="00C317E7" w:rsidP="00C317E7">
      <w:pPr>
        <w:tabs>
          <w:tab w:val="left" w:pos="142"/>
          <w:tab w:val="left" w:pos="284"/>
        </w:tabs>
        <w:spacing w:after="120" w:line="276" w:lineRule="auto"/>
        <w:ind w:firstLine="142"/>
        <w:jc w:val="both"/>
        <w:rPr>
          <w:rFonts w:ascii="Verdana" w:eastAsia="Calibri" w:hAnsi="Verdana" w:cs="Arial"/>
        </w:rPr>
      </w:pPr>
      <w:r w:rsidRPr="00343E12">
        <w:rPr>
          <w:rFonts w:ascii="Verdana" w:eastAsia="Calibri" w:hAnsi="Verdana" w:cs="Arial"/>
        </w:rPr>
        <w:tab/>
      </w:r>
      <w:r w:rsidRPr="00343E12">
        <w:rPr>
          <w:rFonts w:ascii="Verdana" w:eastAsia="Calibri" w:hAnsi="Verdana" w:cs="Arial"/>
        </w:rPr>
        <w:tab/>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En esta medida, introduce limitaciones para realizar nombramientos, postulaciones, contrataciones o cualquier otro tipo de actividad que implique destinación de recursos públicos bajo el devenir propio de las entidades estatales.</w:t>
      </w:r>
    </w:p>
    <w:p w14:paraId="02ACF33E" w14:textId="77777777" w:rsidR="00C317E7" w:rsidRPr="00343E12" w:rsidRDefault="00C317E7" w:rsidP="00C317E7">
      <w:pPr>
        <w:tabs>
          <w:tab w:val="left" w:pos="142"/>
          <w:tab w:val="left" w:pos="284"/>
        </w:tabs>
        <w:spacing w:after="120" w:line="276" w:lineRule="auto"/>
        <w:ind w:firstLine="142"/>
        <w:jc w:val="both"/>
        <w:rPr>
          <w:rFonts w:ascii="Verdana" w:eastAsia="Calibri" w:hAnsi="Verdana" w:cs="Arial"/>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FFC3C15"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ES" w:eastAsia="es-CO"/>
        </w:rPr>
        <w:lastRenderedPageBreak/>
        <w:t xml:space="preserve">“[…] </w:t>
      </w:r>
      <w:r w:rsidRPr="00343E12">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A99D210"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p>
    <w:p w14:paraId="0A1C97E4"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 xml:space="preserve">[…] </w:t>
      </w:r>
    </w:p>
    <w:p w14:paraId="05FBC4C6"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p>
    <w:p w14:paraId="26B88339"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43E12">
        <w:rPr>
          <w:rFonts w:ascii="Verdana" w:eastAsia="Calibri" w:hAnsi="Verdana" w:cs="Arial"/>
          <w:sz w:val="20"/>
          <w:szCs w:val="20"/>
          <w:vertAlign w:val="superscript"/>
          <w:lang w:val="es-MX"/>
        </w:rPr>
        <w:footnoteReference w:id="3"/>
      </w:r>
      <w:r w:rsidRPr="00343E12">
        <w:rPr>
          <w:rFonts w:ascii="Verdana" w:eastAsia="Times New Roman" w:hAnsi="Verdana" w:cs="Arial"/>
          <w:sz w:val="20"/>
          <w:szCs w:val="20"/>
          <w:lang w:val="es-MX" w:eastAsia="es-CO"/>
        </w:rPr>
        <w:t>.</w:t>
      </w:r>
    </w:p>
    <w:p w14:paraId="0F8EEA64" w14:textId="77777777" w:rsidR="00C317E7" w:rsidRPr="00343E12" w:rsidRDefault="00C317E7" w:rsidP="00C317E7">
      <w:pPr>
        <w:spacing w:after="0" w:line="240" w:lineRule="auto"/>
        <w:ind w:firstLine="709"/>
        <w:jc w:val="both"/>
        <w:rPr>
          <w:rFonts w:ascii="Verdana" w:eastAsia="Times New Roman" w:hAnsi="Verdana" w:cs="Arial"/>
          <w:lang w:val="es-MX" w:eastAsia="es-CO"/>
        </w:rPr>
      </w:pPr>
    </w:p>
    <w:p w14:paraId="78C2B925" w14:textId="77777777" w:rsidR="00C317E7" w:rsidRPr="00343E12" w:rsidRDefault="00C317E7" w:rsidP="00C317E7">
      <w:pPr>
        <w:spacing w:after="120" w:line="276" w:lineRule="auto"/>
        <w:ind w:firstLine="709"/>
        <w:jc w:val="both"/>
        <w:rPr>
          <w:rFonts w:ascii="Verdana" w:eastAsia="Times New Roman" w:hAnsi="Verdana" w:cs="Arial"/>
          <w:lang w:val="es-MX" w:eastAsia="es-CO"/>
        </w:rPr>
      </w:pPr>
      <w:r w:rsidRPr="00343E1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6145B0D5"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43E12">
        <w:rPr>
          <w:rFonts w:ascii="Verdana" w:eastAsia="Times New Roman" w:hAnsi="Verdana" w:cs="Arial"/>
          <w:sz w:val="20"/>
          <w:szCs w:val="20"/>
          <w:lang w:val="es-MX" w:eastAsia="es-CO"/>
        </w:rPr>
        <w:t>legis</w:t>
      </w:r>
      <w:proofErr w:type="spellEnd"/>
      <w:r w:rsidRPr="00343E12">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99DC6E7" w14:textId="77777777" w:rsidR="00C317E7" w:rsidRPr="00343E12" w:rsidRDefault="00C317E7" w:rsidP="00C317E7">
      <w:pPr>
        <w:spacing w:after="0" w:line="240" w:lineRule="auto"/>
        <w:ind w:right="709"/>
        <w:contextualSpacing/>
        <w:jc w:val="both"/>
        <w:rPr>
          <w:rFonts w:ascii="Verdana" w:eastAsia="Times New Roman" w:hAnsi="Verdana" w:cs="Arial"/>
          <w:lang w:val="es-MX" w:eastAsia="es-CO"/>
        </w:rPr>
      </w:pPr>
    </w:p>
    <w:p w14:paraId="44E4587F" w14:textId="77777777" w:rsidR="00C317E7" w:rsidRPr="00343E12" w:rsidRDefault="00C317E7" w:rsidP="00C317E7">
      <w:pPr>
        <w:spacing w:after="0" w:line="240" w:lineRule="auto"/>
        <w:ind w:left="709" w:right="709"/>
        <w:contextualSpacing/>
        <w:jc w:val="both"/>
        <w:rPr>
          <w:rFonts w:ascii="Verdana" w:eastAsia="Times New Roman" w:hAnsi="Verdana" w:cs="Arial"/>
          <w:sz w:val="20"/>
          <w:szCs w:val="20"/>
          <w:lang w:val="es-MX" w:eastAsia="es-CO"/>
        </w:rPr>
      </w:pPr>
      <w:r w:rsidRPr="00343E12">
        <w:rPr>
          <w:rFonts w:ascii="Verdana" w:eastAsia="Times New Roman" w:hAnsi="Verdana" w:cs="Arial"/>
          <w:sz w:val="20"/>
          <w:szCs w:val="20"/>
          <w:lang w:val="es-MX" w:eastAsia="es-CO"/>
        </w:rPr>
        <w:lastRenderedPageBreak/>
        <w:t>La jurisprudencia de la Corte Constitucional</w:t>
      </w:r>
      <w:r w:rsidRPr="00343E12">
        <w:rPr>
          <w:rFonts w:ascii="Verdana" w:eastAsia="Times New Roman" w:hAnsi="Verdana" w:cs="Arial"/>
          <w:sz w:val="20"/>
          <w:szCs w:val="20"/>
          <w:vertAlign w:val="superscript"/>
          <w:lang w:val="es-MX" w:eastAsia="es-CO"/>
        </w:rPr>
        <w:footnoteReference w:id="4"/>
      </w:r>
      <w:r w:rsidRPr="00343E12">
        <w:rPr>
          <w:rFonts w:ascii="Verdana" w:eastAsia="Times New Roman" w:hAnsi="Verdana" w:cs="Arial"/>
          <w:sz w:val="20"/>
          <w:szCs w:val="20"/>
          <w:lang w:val="es-MX" w:eastAsia="es-CO"/>
        </w:rPr>
        <w:t> y del Consejo de Estado</w:t>
      </w:r>
      <w:r w:rsidRPr="00343E12">
        <w:rPr>
          <w:rFonts w:ascii="Verdana" w:eastAsia="Times New Roman" w:hAnsi="Verdana" w:cs="Arial"/>
          <w:sz w:val="20"/>
          <w:szCs w:val="20"/>
          <w:vertAlign w:val="superscript"/>
          <w:lang w:val="es-MX" w:eastAsia="es-CO"/>
        </w:rPr>
        <w:footnoteReference w:id="5"/>
      </w:r>
      <w:r w:rsidRPr="00343E12">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43E12">
        <w:rPr>
          <w:rFonts w:ascii="Verdana" w:eastAsia="Times New Roman" w:hAnsi="Verdana" w:cs="Arial"/>
          <w:sz w:val="20"/>
          <w:szCs w:val="20"/>
          <w:vertAlign w:val="superscript"/>
          <w:lang w:val="es-MX" w:eastAsia="es-CO"/>
        </w:rPr>
        <w:footnoteReference w:id="6"/>
      </w:r>
      <w:r w:rsidRPr="00343E12">
        <w:rPr>
          <w:rFonts w:ascii="Verdana" w:eastAsia="Times New Roman" w:hAnsi="Verdana" w:cs="Arial"/>
          <w:sz w:val="20"/>
          <w:szCs w:val="20"/>
          <w:lang w:val="es-MX" w:eastAsia="es-CO"/>
        </w:rPr>
        <w:t>.</w:t>
      </w:r>
    </w:p>
    <w:p w14:paraId="0723CC0B" w14:textId="77777777" w:rsidR="00C317E7" w:rsidRPr="00343E12" w:rsidRDefault="00C317E7" w:rsidP="00C317E7">
      <w:pPr>
        <w:spacing w:after="0" w:line="276" w:lineRule="auto"/>
        <w:jc w:val="both"/>
        <w:rPr>
          <w:rFonts w:ascii="Verdana" w:eastAsia="Calibri" w:hAnsi="Verdana" w:cs="Arial"/>
          <w:bCs/>
          <w:lang w:val="es-ES_tradnl"/>
        </w:rPr>
      </w:pPr>
    </w:p>
    <w:p w14:paraId="0357758D" w14:textId="77777777" w:rsidR="00C317E7" w:rsidRPr="00343E12" w:rsidRDefault="00C317E7" w:rsidP="00C317E7">
      <w:pPr>
        <w:spacing w:after="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6" w:name="_Hlk77236098"/>
      <w:bookmarkStart w:id="7"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D455480" w14:textId="77777777" w:rsidR="00C317E7" w:rsidRPr="00343E12" w:rsidRDefault="00C317E7" w:rsidP="00C317E7">
      <w:pPr>
        <w:spacing w:after="0" w:line="240" w:lineRule="auto"/>
        <w:ind w:firstLine="709"/>
        <w:jc w:val="both"/>
        <w:rPr>
          <w:rFonts w:ascii="Verdana" w:eastAsia="Arial" w:hAnsi="Verdana" w:cs="Arial"/>
          <w:lang w:val="es-ES" w:eastAsia="es-ES" w:bidi="es-ES"/>
        </w:rPr>
      </w:pPr>
    </w:p>
    <w:p w14:paraId="77C787C4" w14:textId="77777777" w:rsidR="00C317E7" w:rsidRPr="00343E12" w:rsidRDefault="00C317E7" w:rsidP="00C317E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3CB05F2B" w14:textId="77777777" w:rsidR="00C317E7" w:rsidRPr="00343E12" w:rsidRDefault="00C317E7" w:rsidP="00C317E7">
      <w:pPr>
        <w:spacing w:after="120" w:line="276" w:lineRule="auto"/>
        <w:ind w:firstLine="708"/>
        <w:jc w:val="both"/>
        <w:rPr>
          <w:rFonts w:ascii="Verdana" w:eastAsia="Calibri" w:hAnsi="Verdana" w:cs="Arial"/>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w:t>
      </w:r>
      <w:r w:rsidRPr="00343E12">
        <w:rPr>
          <w:rFonts w:ascii="Verdana" w:eastAsia="Calibri" w:hAnsi="Verdana" w:cs="Arial"/>
        </w:rPr>
        <w:lastRenderedPageBreak/>
        <w:t>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553FBCED" w14:textId="77777777" w:rsidR="00C317E7" w:rsidRPr="00343E12" w:rsidRDefault="00C317E7" w:rsidP="00C317E7">
      <w:pPr>
        <w:widowControl w:val="0"/>
        <w:autoSpaceDE w:val="0"/>
        <w:autoSpaceDN w:val="0"/>
        <w:spacing w:after="120" w:line="276" w:lineRule="auto"/>
        <w:ind w:right="113" w:firstLine="709"/>
        <w:jc w:val="both"/>
        <w:rPr>
          <w:rFonts w:ascii="Verdana" w:eastAsia="Arial" w:hAnsi="Verdana" w:cs="Arial"/>
          <w:lang w:val="es-ES" w:eastAsia="es-ES" w:bidi="es-ES"/>
        </w:rPr>
      </w:pPr>
      <w:r w:rsidRPr="00343E12">
        <w:rPr>
          <w:rFonts w:ascii="Verdana" w:eastAsia="Calibri" w:hAnsi="Verdana" w:cs="Arial"/>
        </w:rPr>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7"/>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093FB4CE" w14:textId="77777777" w:rsidR="00C317E7" w:rsidRPr="00343E12" w:rsidRDefault="00C317E7" w:rsidP="00C317E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C07FB1B" w14:textId="77777777" w:rsidR="00C317E7" w:rsidRPr="00343E12" w:rsidRDefault="00C317E7" w:rsidP="00C317E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9392476" w14:textId="77777777" w:rsidR="00C317E7" w:rsidRPr="00343E12" w:rsidRDefault="00C317E7" w:rsidP="00C317E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343E12">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343E12">
        <w:rPr>
          <w:rFonts w:ascii="Verdana" w:eastAsia="Arial" w:hAnsi="Verdana" w:cs="Arial"/>
          <w:sz w:val="20"/>
          <w:szCs w:val="20"/>
          <w:lang w:eastAsia="es-ES" w:bidi="es-ES"/>
        </w:rPr>
        <w:t>Presidente</w:t>
      </w:r>
      <w:proofErr w:type="gramEnd"/>
      <w:r w:rsidRPr="00343E12">
        <w:rPr>
          <w:rFonts w:ascii="Verdana" w:eastAsia="Arial" w:hAnsi="Verdana" w:cs="Arial"/>
          <w:sz w:val="20"/>
          <w:szCs w:val="20"/>
          <w:lang w:eastAsia="es-ES" w:bidi="es-ES"/>
        </w:rPr>
        <w:t xml:space="preserve"> de la República, a las autoridades territoriales allí mencionadas sólo se aplican las restricciones </w:t>
      </w:r>
      <w:r w:rsidRPr="00343E12">
        <w:rPr>
          <w:rFonts w:ascii="Verdana" w:eastAsia="Arial" w:hAnsi="Verdana" w:cs="Arial"/>
          <w:sz w:val="20"/>
          <w:szCs w:val="20"/>
          <w:lang w:eastAsia="es-ES" w:bidi="es-ES"/>
        </w:rPr>
        <w:lastRenderedPageBreak/>
        <w:t>contenidas en el parágrafo del artículo 38”</w:t>
      </w:r>
      <w:r w:rsidRPr="00343E12">
        <w:rPr>
          <w:rFonts w:ascii="Verdana" w:eastAsia="Arial" w:hAnsi="Verdana" w:cs="Arial"/>
          <w:sz w:val="20"/>
          <w:szCs w:val="20"/>
          <w:vertAlign w:val="superscript"/>
          <w:lang w:eastAsia="es-ES" w:bidi="es-ES"/>
        </w:rPr>
        <w:footnoteReference w:id="9"/>
      </w:r>
      <w:r w:rsidRPr="00343E12">
        <w:rPr>
          <w:rFonts w:ascii="Verdana" w:eastAsia="Arial" w:hAnsi="Verdana" w:cs="Arial"/>
          <w:sz w:val="20"/>
          <w:szCs w:val="20"/>
          <w:lang w:eastAsia="es-ES" w:bidi="es-ES"/>
        </w:rPr>
        <w:t>.</w:t>
      </w:r>
    </w:p>
    <w:p w14:paraId="70387AD6" w14:textId="77777777" w:rsidR="00C317E7" w:rsidRPr="00343E12" w:rsidRDefault="00C317E7" w:rsidP="00C317E7">
      <w:pPr>
        <w:widowControl w:val="0"/>
        <w:autoSpaceDE w:val="0"/>
        <w:autoSpaceDN w:val="0"/>
        <w:spacing w:after="0" w:line="240" w:lineRule="auto"/>
        <w:contextualSpacing/>
        <w:rPr>
          <w:rFonts w:ascii="Verdana" w:eastAsia="Arial" w:hAnsi="Verdana" w:cs="Arial"/>
          <w:lang w:val="es-ES" w:eastAsia="es-ES" w:bidi="es-ES"/>
        </w:rPr>
      </w:pPr>
    </w:p>
    <w:p w14:paraId="41CD57E2" w14:textId="77777777" w:rsidR="00C317E7" w:rsidRPr="00343E12" w:rsidRDefault="00C317E7" w:rsidP="00C317E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343E12">
        <w:rPr>
          <w:rFonts w:ascii="Verdana" w:eastAsia="Arial" w:hAnsi="Verdana" w:cs="Arial"/>
          <w:i/>
          <w:iCs/>
          <w:lang w:val="es-ES" w:eastAsia="es-ES" w:bidi="es-ES"/>
        </w:rPr>
        <w:t>En primer lugar</w:t>
      </w:r>
      <w:r w:rsidRPr="00343E12">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DB1418E" w14:textId="77777777" w:rsidR="00C317E7" w:rsidRPr="00343E12" w:rsidRDefault="00C317E7" w:rsidP="00C317E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i/>
          <w:iCs/>
          <w:lang w:val="es-ES" w:eastAsia="es-ES" w:bidi="es-ES"/>
        </w:rPr>
        <w:t>En segundo lugar</w:t>
      </w:r>
      <w:r w:rsidRPr="00343E1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42CD73B" w14:textId="77777777" w:rsidR="00C317E7" w:rsidRPr="00343E12" w:rsidRDefault="00C317E7" w:rsidP="00C317E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1749A29E" w14:textId="77777777" w:rsidR="00C317E7" w:rsidRPr="00343E12" w:rsidRDefault="00C317E7" w:rsidP="00C317E7">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o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343E12">
        <w:rPr>
          <w:rFonts w:ascii="Verdana" w:eastAsia="Arial" w:hAnsi="Verdana" w:cs="Arial"/>
          <w:lang w:val="es-ES" w:eastAsia="es-ES" w:bidi="es-ES"/>
        </w:rPr>
        <w:lastRenderedPageBreak/>
        <w:t xml:space="preserve">momento en que estas restricciones empiezan a regir para el </w:t>
      </w:r>
      <w:proofErr w:type="gramStart"/>
      <w:r w:rsidRPr="00343E12">
        <w:rPr>
          <w:rFonts w:ascii="Verdana" w:eastAsia="Arial" w:hAnsi="Verdana" w:cs="Arial"/>
          <w:lang w:val="es-ES" w:eastAsia="es-ES" w:bidi="es-ES"/>
        </w:rPr>
        <w:t>Presidente</w:t>
      </w:r>
      <w:proofErr w:type="gramEnd"/>
      <w:r w:rsidRPr="00343E12">
        <w:rPr>
          <w:rFonts w:ascii="Verdana" w:eastAsia="Arial" w:hAnsi="Verdana" w:cs="Arial"/>
          <w:lang w:val="es-ES" w:eastAsia="es-ES" w:bidi="es-ES"/>
        </w:rPr>
        <w:t xml:space="preserve"> y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343E12">
        <w:rPr>
          <w:rFonts w:ascii="Verdana" w:eastAsia="Arial" w:hAnsi="Verdana" w:cs="Arial"/>
          <w:lang w:val="es-ES" w:eastAsia="es-ES" w:bidi="es-ES"/>
        </w:rPr>
        <w:t>Vicepresidente</w:t>
      </w:r>
      <w:proofErr w:type="gramEnd"/>
      <w:r w:rsidRPr="00343E12">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EF03301" w14:textId="77777777" w:rsidR="00C317E7" w:rsidRPr="00343E12" w:rsidRDefault="00C317E7" w:rsidP="00C317E7">
      <w:pPr>
        <w:widowControl w:val="0"/>
        <w:spacing w:after="120" w:line="276" w:lineRule="auto"/>
        <w:ind w:right="113" w:firstLine="709"/>
        <w:jc w:val="both"/>
        <w:rPr>
          <w:rFonts w:ascii="Verdana" w:eastAsia="Times New Roman" w:hAnsi="Verdana" w:cs="Arial"/>
          <w:bCs/>
          <w:lang w:eastAsia="es-CO"/>
        </w:rPr>
      </w:pPr>
      <w:r w:rsidRPr="00343E12">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43E12">
        <w:rPr>
          <w:rFonts w:ascii="Verdana" w:eastAsia="Times New Roman" w:hAnsi="Verdana" w:cs="Arial"/>
          <w:bCs/>
          <w:lang w:eastAsia="es-CO"/>
        </w:rPr>
        <w:t>1. </w:t>
      </w:r>
      <w:r w:rsidRPr="00343E12">
        <w:rPr>
          <w:rFonts w:ascii="Verdana" w:eastAsia="Times New Roman" w:hAnsi="Verdana" w:cs="Arial"/>
          <w:bCs/>
          <w:i/>
          <w:iCs/>
          <w:lang w:eastAsia="es-CO"/>
        </w:rPr>
        <w:t>Gral.</w:t>
      </w:r>
      <w:r w:rsidRPr="00343E12">
        <w:rPr>
          <w:rFonts w:ascii="Verdana" w:eastAsia="Times New Roman" w:hAnsi="Verdana" w:cs="Arial"/>
          <w:bCs/>
          <w:lang w:eastAsia="es-CO"/>
        </w:rPr>
        <w:t xml:space="preserve"> Otorgar o firmar un contrato. 2. </w:t>
      </w:r>
      <w:proofErr w:type="spellStart"/>
      <w:r w:rsidRPr="00343E12">
        <w:rPr>
          <w:rFonts w:ascii="Verdana" w:eastAsia="Times New Roman" w:hAnsi="Verdana" w:cs="Arial"/>
          <w:bCs/>
          <w:i/>
          <w:iCs/>
          <w:lang w:eastAsia="es-CO"/>
        </w:rPr>
        <w:t>Proc</w:t>
      </w:r>
      <w:proofErr w:type="spellEnd"/>
      <w:r w:rsidRPr="00343E12">
        <w:rPr>
          <w:rFonts w:ascii="Verdana" w:eastAsia="Times New Roman" w:hAnsi="Verdana" w:cs="Arial"/>
          <w:bCs/>
          <w:i/>
          <w:iCs/>
          <w:lang w:eastAsia="es-CO"/>
        </w:rPr>
        <w:t>.</w:t>
      </w:r>
      <w:r w:rsidRPr="00343E1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5FE1A2A0" w14:textId="77777777" w:rsidR="00C317E7" w:rsidRPr="00343E12" w:rsidRDefault="00C317E7" w:rsidP="00C317E7">
      <w:pPr>
        <w:spacing w:after="12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43E1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343E12">
        <w:rPr>
          <w:rFonts w:ascii="Verdana" w:eastAsia="Times New Roman" w:hAnsi="Verdana" w:cs="Arial"/>
          <w:bCs/>
          <w:i/>
          <w:lang w:val="es-ES" w:eastAsia="es-CO"/>
        </w:rPr>
        <w:t>ibídem</w:t>
      </w:r>
      <w:proofErr w:type="spellEnd"/>
      <w:r w:rsidRPr="00343E1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E28B84D" w14:textId="77777777" w:rsidR="00C317E7" w:rsidRPr="00343E12" w:rsidRDefault="00C317E7" w:rsidP="00C317E7">
      <w:pPr>
        <w:spacing w:after="12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B335C8F" w14:textId="77777777" w:rsidR="00C317E7" w:rsidRPr="00343E12" w:rsidRDefault="00C317E7" w:rsidP="00C317E7">
      <w:pPr>
        <w:spacing w:after="0" w:line="276" w:lineRule="auto"/>
        <w:ind w:firstLine="708"/>
        <w:jc w:val="both"/>
        <w:rPr>
          <w:rFonts w:ascii="Verdana" w:eastAsia="Times New Roman" w:hAnsi="Verdana" w:cs="Arial"/>
          <w:bCs/>
          <w:lang w:val="es-ES" w:eastAsia="es-CO"/>
        </w:rPr>
      </w:pPr>
      <w:r w:rsidRPr="00343E12">
        <w:rPr>
          <w:rFonts w:ascii="Verdana" w:eastAsia="Times New Roman" w:hAnsi="Verdana" w:cs="Arial"/>
          <w:bCs/>
          <w:lang w:val="es-ES" w:eastAsia="es-CO"/>
        </w:rPr>
        <w:lastRenderedPageBreak/>
        <w:t xml:space="preserve">Así mismo, </w:t>
      </w:r>
      <w:r w:rsidRPr="00343E12">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343E12">
        <w:rPr>
          <w:rFonts w:ascii="Verdana" w:eastAsia="Times New Roman" w:hAnsi="Verdana" w:cs="Arial"/>
          <w:bCs/>
          <w:lang w:val="es-MX" w:eastAsia="es-CO"/>
        </w:rPr>
        <w:t>entrada en vigencia</w:t>
      </w:r>
      <w:proofErr w:type="gramEnd"/>
      <w:r w:rsidRPr="00343E12">
        <w:rPr>
          <w:rFonts w:ascii="Verdana" w:eastAsia="Times New Roman" w:hAnsi="Verdana" w:cs="Arial"/>
          <w:bCs/>
          <w:lang w:val="es-MX" w:eastAsia="es-CO"/>
        </w:rPr>
        <w:t xml:space="preserve"> de las prohibiciones anotadas, así como la cesión de </w:t>
      </w:r>
      <w:proofErr w:type="gramStart"/>
      <w:r w:rsidRPr="00343E12">
        <w:rPr>
          <w:rFonts w:ascii="Verdana" w:eastAsia="Times New Roman" w:hAnsi="Verdana" w:cs="Arial"/>
          <w:bCs/>
          <w:lang w:val="es-MX" w:eastAsia="es-CO"/>
        </w:rPr>
        <w:t>los mismos</w:t>
      </w:r>
      <w:proofErr w:type="gramEnd"/>
      <w:r w:rsidRPr="00343E12">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0"/>
      </w:r>
      <w:r w:rsidRPr="00343E12">
        <w:rPr>
          <w:rFonts w:ascii="Verdana" w:eastAsia="Times New Roman" w:hAnsi="Verdana" w:cs="Arial"/>
          <w:bCs/>
          <w:lang w:val="es-MX" w:eastAsia="es-CO"/>
        </w:rPr>
        <w:t xml:space="preserve">. </w:t>
      </w:r>
    </w:p>
    <w:p w14:paraId="6C7293B7" w14:textId="77777777" w:rsidR="00C317E7" w:rsidRPr="00343E12" w:rsidRDefault="00C317E7" w:rsidP="00C317E7">
      <w:pPr>
        <w:spacing w:after="0" w:line="240" w:lineRule="auto"/>
        <w:jc w:val="both"/>
        <w:rPr>
          <w:rFonts w:ascii="Verdana" w:eastAsia="Arial" w:hAnsi="Verdana" w:cs="Arial"/>
          <w:lang w:val="es-ES" w:eastAsia="es-ES" w:bidi="es-ES"/>
        </w:rPr>
      </w:pPr>
    </w:p>
    <w:p w14:paraId="0299D569" w14:textId="77777777" w:rsidR="00C317E7" w:rsidRPr="00343E12" w:rsidRDefault="00C317E7" w:rsidP="00C317E7">
      <w:pPr>
        <w:spacing w:after="0" w:line="276" w:lineRule="auto"/>
        <w:ind w:firstLine="709"/>
        <w:jc w:val="both"/>
        <w:rPr>
          <w:rFonts w:ascii="Verdana" w:eastAsia="Times New Roman" w:hAnsi="Verdana" w:cs="Arial"/>
          <w:i/>
          <w:lang w:val="es-MX" w:eastAsia="es-CO" w:bidi="es-ES"/>
        </w:rPr>
      </w:pPr>
      <w:r w:rsidRPr="00343E12">
        <w:rPr>
          <w:rFonts w:ascii="Verdana" w:eastAsia="Arial" w:hAnsi="Verdana" w:cs="Arial"/>
          <w:lang w:val="es-ES" w:eastAsia="es-ES" w:bidi="es-ES"/>
        </w:rPr>
        <w:t xml:space="preserve">Ahora bien, </w:t>
      </w:r>
      <w:r w:rsidRPr="00343E12">
        <w:rPr>
          <w:rFonts w:ascii="Verdana" w:eastAsia="Calibri" w:hAnsi="Verdana" w:cs="Arial"/>
          <w:lang w:eastAsia="es-ES" w:bidi="es-ES"/>
        </w:rPr>
        <w:t xml:space="preserve">para responder al problema jurídico planteado resulta necesario precisar el alcance de la prohibición </w:t>
      </w:r>
      <w:r w:rsidRPr="00343E12">
        <w:rPr>
          <w:rFonts w:ascii="Verdana" w:eastAsia="Arial" w:hAnsi="Verdana" w:cs="Arial"/>
          <w:lang w:val="es-ES" w:eastAsia="es-ES" w:bidi="es-ES"/>
        </w:rPr>
        <w:t>establecida en e</w:t>
      </w:r>
      <w:r w:rsidRPr="00343E12">
        <w:rPr>
          <w:rFonts w:ascii="Verdana" w:eastAsia="Calibri" w:hAnsi="Verdana" w:cs="Arial"/>
        </w:rPr>
        <w:t xml:space="preserve">l </w:t>
      </w:r>
      <w:r w:rsidRPr="00343E12">
        <w:rPr>
          <w:rFonts w:ascii="Verdana" w:eastAsia="Times New Roman" w:hAnsi="Verdana" w:cs="Arial"/>
          <w:lang w:val="es-MX"/>
        </w:rPr>
        <w:t>artículo 33 de la Ley 996 de 2005.</w:t>
      </w:r>
      <w:bookmarkStart w:id="10" w:name="_Hlk78820161"/>
      <w:r w:rsidRPr="00343E12">
        <w:rPr>
          <w:rFonts w:ascii="Verdana" w:eastAsia="Times New Roman" w:hAnsi="Verdana" w:cs="Arial"/>
          <w:lang w:val="es-MX"/>
        </w:rPr>
        <w:t xml:space="preserve"> El ámbito material de la prohibición contenida en esta disposición está delimitado por la expresión </w:t>
      </w:r>
      <w:r w:rsidRPr="00343E12">
        <w:rPr>
          <w:rFonts w:ascii="Verdana" w:eastAsia="Calibri" w:hAnsi="Verdana" w:cs="Arial"/>
          <w:lang w:val="es-MX"/>
        </w:rPr>
        <w:t>“</w:t>
      </w:r>
      <w:r w:rsidRPr="00343E12">
        <w:rPr>
          <w:rFonts w:ascii="Verdana" w:eastAsia="Times New Roman" w:hAnsi="Verdana" w:cs="Arial"/>
          <w:lang w:val="es-MX"/>
        </w:rPr>
        <w:t>queda prohibida la contratación directa</w:t>
      </w:r>
      <w:r w:rsidRPr="00343E12">
        <w:rPr>
          <w:rFonts w:ascii="Verdana" w:eastAsia="Calibri" w:hAnsi="Verdana" w:cs="Arial"/>
          <w:lang w:val="es-MX"/>
        </w:rPr>
        <w:t>”</w:t>
      </w:r>
      <w:r w:rsidRPr="00343E12">
        <w:rPr>
          <w:rFonts w:ascii="Verdana" w:eastAsia="Times New Roman" w:hAnsi="Verdana" w:cs="Arial"/>
          <w:lang w:val="es-MX"/>
        </w:rPr>
        <w:t xml:space="preserve">. </w:t>
      </w:r>
      <w:r w:rsidRPr="00343E12">
        <w:rPr>
          <w:rFonts w:ascii="Verdana" w:eastAsia="Times New Roman" w:hAnsi="Verdana" w:cs="Arial"/>
          <w:lang w:val="es-MX" w:eastAsia="es-CO"/>
        </w:rPr>
        <w:t xml:space="preserve">A propósito de </w:t>
      </w:r>
      <w:r w:rsidRPr="00343E12">
        <w:rPr>
          <w:rFonts w:ascii="Verdana" w:eastAsia="Times New Roman" w:hAnsi="Verdana" w:cs="Arial"/>
          <w:lang w:eastAsia="es-CO"/>
        </w:rPr>
        <w:t>esta restricción de la Ley de Garantías Electorales, la Sala de Consulta y Servicio Civil del Consejo de Estado ha considerado que:</w:t>
      </w:r>
    </w:p>
    <w:p w14:paraId="629CCF6B" w14:textId="77777777" w:rsidR="00C317E7" w:rsidRPr="00343E12" w:rsidRDefault="00C317E7" w:rsidP="00C317E7">
      <w:pPr>
        <w:spacing w:after="0" w:line="276" w:lineRule="auto"/>
        <w:ind w:left="708" w:right="709"/>
        <w:jc w:val="both"/>
        <w:rPr>
          <w:rFonts w:ascii="Verdana" w:eastAsia="Calibri" w:hAnsi="Verdana" w:cs="Arial"/>
          <w:lang w:val="es-MX"/>
        </w:rPr>
      </w:pPr>
    </w:p>
    <w:p w14:paraId="34CE3782" w14:textId="77777777" w:rsidR="00C317E7" w:rsidRPr="00343E12" w:rsidRDefault="00C317E7" w:rsidP="00C317E7">
      <w:pPr>
        <w:spacing w:after="0" w:line="240" w:lineRule="auto"/>
        <w:ind w:left="709" w:right="709"/>
        <w:jc w:val="both"/>
        <w:rPr>
          <w:rFonts w:ascii="Verdana" w:eastAsia="Calibri" w:hAnsi="Verdana" w:cs="Arial"/>
          <w:sz w:val="20"/>
          <w:szCs w:val="20"/>
          <w:lang w:val="es-MX"/>
        </w:rPr>
      </w:pPr>
      <w:r w:rsidRPr="00343E1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43E12">
        <w:rPr>
          <w:rFonts w:ascii="Verdana" w:eastAsia="Times New Roman" w:hAnsi="Verdana" w:cs="Arial"/>
          <w:sz w:val="20"/>
          <w:szCs w:val="20"/>
          <w:vertAlign w:val="superscript"/>
          <w:lang w:eastAsia="es-CO"/>
        </w:rPr>
        <w:footnoteReference w:id="11"/>
      </w:r>
      <w:r w:rsidRPr="00343E12">
        <w:rPr>
          <w:rFonts w:ascii="Verdana" w:eastAsia="Calibri" w:hAnsi="Verdana" w:cs="Arial"/>
          <w:sz w:val="20"/>
          <w:szCs w:val="20"/>
          <w:lang w:val="es-MX"/>
        </w:rPr>
        <w:t>.</w:t>
      </w:r>
    </w:p>
    <w:p w14:paraId="66343577" w14:textId="77777777" w:rsidR="00C317E7" w:rsidRPr="00343E12" w:rsidRDefault="00C317E7" w:rsidP="00C317E7">
      <w:pPr>
        <w:spacing w:after="0" w:line="240" w:lineRule="auto"/>
        <w:ind w:left="709" w:right="709"/>
        <w:jc w:val="both"/>
        <w:rPr>
          <w:rFonts w:ascii="Verdana" w:eastAsia="Calibri" w:hAnsi="Verdana" w:cs="Arial"/>
          <w:sz w:val="20"/>
          <w:szCs w:val="20"/>
          <w:lang w:val="es-MX"/>
        </w:rPr>
      </w:pPr>
    </w:p>
    <w:p w14:paraId="7BF3FBC1" w14:textId="77777777" w:rsidR="00C317E7" w:rsidRPr="00343E12" w:rsidRDefault="00C317E7" w:rsidP="00C317E7">
      <w:pPr>
        <w:spacing w:after="0" w:line="240" w:lineRule="auto"/>
        <w:ind w:left="709" w:right="709"/>
        <w:jc w:val="both"/>
        <w:rPr>
          <w:rFonts w:ascii="Verdana" w:eastAsia="Calibri" w:hAnsi="Verdana" w:cs="Arial"/>
          <w:sz w:val="20"/>
          <w:szCs w:val="20"/>
          <w:lang w:val="es-MX"/>
        </w:rPr>
      </w:pPr>
      <w:r w:rsidRPr="00343E12">
        <w:rPr>
          <w:rFonts w:ascii="Verdana" w:eastAsia="Calibri" w:hAnsi="Verdana" w:cs="Arial"/>
          <w:sz w:val="20"/>
          <w:szCs w:val="20"/>
          <w:lang w:val="es-MX"/>
        </w:rPr>
        <w:t xml:space="preserve">Esta Sala ha entendido </w:t>
      </w:r>
      <w:proofErr w:type="gramStart"/>
      <w:r w:rsidRPr="00343E12">
        <w:rPr>
          <w:rFonts w:ascii="Verdana" w:eastAsia="Calibri" w:hAnsi="Verdana" w:cs="Arial"/>
          <w:sz w:val="20"/>
          <w:szCs w:val="20"/>
          <w:lang w:val="es-MX"/>
        </w:rPr>
        <w:t>que</w:t>
      </w:r>
      <w:proofErr w:type="gramEnd"/>
      <w:r w:rsidRPr="00343E12">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43E12">
        <w:rPr>
          <w:rFonts w:ascii="Verdana" w:eastAsia="Times New Roman" w:hAnsi="Verdana" w:cs="Arial"/>
          <w:sz w:val="20"/>
          <w:szCs w:val="20"/>
          <w:vertAlign w:val="superscript"/>
          <w:lang w:val="es-MX"/>
        </w:rPr>
        <w:footnoteReference w:id="12"/>
      </w:r>
      <w:r w:rsidRPr="00343E12">
        <w:rPr>
          <w:rFonts w:ascii="Verdana" w:eastAsia="Times New Roman" w:hAnsi="Verdana" w:cs="Arial"/>
          <w:sz w:val="20"/>
          <w:szCs w:val="20"/>
          <w:vertAlign w:val="superscript"/>
          <w:lang w:val="es-MX"/>
        </w:rPr>
        <w:t>.</w:t>
      </w:r>
      <w:r w:rsidRPr="00343E1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43E12">
        <w:rPr>
          <w:rFonts w:ascii="Verdana" w:eastAsia="Times New Roman" w:hAnsi="Verdana" w:cs="Arial"/>
          <w:sz w:val="20"/>
          <w:szCs w:val="20"/>
          <w:vertAlign w:val="superscript"/>
          <w:lang w:eastAsia="es-CO"/>
        </w:rPr>
        <w:footnoteReference w:id="13"/>
      </w:r>
      <w:r w:rsidRPr="00343E12">
        <w:rPr>
          <w:rFonts w:ascii="Verdana" w:eastAsia="Calibri" w:hAnsi="Verdana" w:cs="Arial"/>
          <w:sz w:val="20"/>
          <w:szCs w:val="20"/>
          <w:lang w:val="es-MX"/>
        </w:rPr>
        <w:t xml:space="preserve"> .</w:t>
      </w:r>
    </w:p>
    <w:p w14:paraId="5A0E2009" w14:textId="77777777" w:rsidR="00C317E7" w:rsidRPr="00343E12" w:rsidRDefault="00C317E7" w:rsidP="00C317E7">
      <w:pPr>
        <w:shd w:val="clear" w:color="auto" w:fill="FFFFFF"/>
        <w:spacing w:after="0" w:line="276" w:lineRule="auto"/>
        <w:ind w:firstLine="709"/>
        <w:jc w:val="both"/>
        <w:rPr>
          <w:rFonts w:ascii="Verdana" w:eastAsia="Times New Roman" w:hAnsi="Verdana" w:cs="Arial"/>
          <w:lang w:eastAsia="x-none"/>
        </w:rPr>
      </w:pPr>
    </w:p>
    <w:p w14:paraId="6AEFDC19" w14:textId="77777777" w:rsidR="00C317E7" w:rsidRPr="00343E12" w:rsidRDefault="00C317E7" w:rsidP="00C317E7">
      <w:pPr>
        <w:spacing w:after="120" w:line="276" w:lineRule="auto"/>
        <w:ind w:firstLine="708"/>
        <w:jc w:val="both"/>
        <w:rPr>
          <w:rFonts w:ascii="Verdana" w:eastAsia="Times New Roman" w:hAnsi="Verdana" w:cs="Arial"/>
          <w:bCs/>
          <w:lang w:eastAsia="x-none"/>
        </w:rPr>
      </w:pPr>
      <w:r w:rsidRPr="00343E12">
        <w:rPr>
          <w:rFonts w:ascii="Verdana" w:eastAsia="Times New Roman" w:hAnsi="Verdana" w:cs="Arial"/>
          <w:lang w:eastAsia="x-none"/>
        </w:rPr>
        <w:lastRenderedPageBreak/>
        <w:t xml:space="preserve">De acuerdo con el citado concepto, la prohibición del artículo 33 de la Ley de Garantías Electorales se refiere a </w:t>
      </w:r>
      <w:r w:rsidRPr="00343E12">
        <w:rPr>
          <w:rFonts w:ascii="Verdana" w:eastAsia="Times New Roman" w:hAnsi="Verdana" w:cs="Arial"/>
          <w:sz w:val="19"/>
          <w:szCs w:val="19"/>
          <w:lang w:eastAsia="en-GB"/>
        </w:rPr>
        <w:t>“</w:t>
      </w:r>
      <w:r w:rsidRPr="00343E12">
        <w:rPr>
          <w:rFonts w:ascii="Verdana" w:eastAsia="Times New Roman" w:hAnsi="Verdana" w:cs="Arial"/>
          <w:lang w:eastAsia="x-none"/>
        </w:rPr>
        <w:t>cualquier sistema que no implique convocatoria pública y posibilidad de pluralidad de oferentes</w:t>
      </w:r>
      <w:r w:rsidRPr="00343E12">
        <w:rPr>
          <w:rFonts w:ascii="Verdana" w:eastAsia="Times New Roman" w:hAnsi="Verdana" w:cs="Arial"/>
          <w:lang w:eastAsia="en-GB"/>
        </w:rPr>
        <w:t>”</w:t>
      </w:r>
      <w:r w:rsidRPr="00343E12">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343E12">
        <w:rPr>
          <w:rFonts w:ascii="Verdana" w:eastAsia="Times New Roman" w:hAnsi="Verdana" w:cs="Arial"/>
          <w:lang w:val="es-ES_tradnl" w:eastAsia="x-none"/>
        </w:rPr>
        <w:t>y la mínima cuantía</w:t>
      </w:r>
      <w:r w:rsidRPr="00343E12" w:rsidDel="00A85D9F">
        <w:rPr>
          <w:rFonts w:ascii="Verdana" w:eastAsia="Times New Roman" w:hAnsi="Verdana" w:cs="Arial"/>
          <w:lang w:eastAsia="x-none"/>
        </w:rPr>
        <w:t xml:space="preserve"> </w:t>
      </w:r>
      <w:r w:rsidRPr="00343E12">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43E12">
        <w:rPr>
          <w:rFonts w:ascii="Verdana" w:eastAsia="Times New Roman" w:hAnsi="Verdana" w:cs="Arial"/>
          <w:vertAlign w:val="superscript"/>
          <w:lang w:val="en-GB" w:eastAsia="x-none"/>
        </w:rPr>
        <w:footnoteReference w:id="14"/>
      </w:r>
      <w:r w:rsidRPr="00343E12">
        <w:rPr>
          <w:rFonts w:ascii="Verdana" w:eastAsia="Times New Roman" w:hAnsi="Verdana" w:cs="Arial"/>
          <w:lang w:eastAsia="x-none"/>
        </w:rPr>
        <w:t xml:space="preserve"> y sistematizó las causales de contratación directa</w:t>
      </w:r>
      <w:r w:rsidRPr="00343E12">
        <w:rPr>
          <w:rFonts w:ascii="Verdana" w:eastAsia="Times New Roman" w:hAnsi="Verdana" w:cs="Arial"/>
          <w:vertAlign w:val="superscript"/>
          <w:lang w:val="en-GB" w:eastAsia="x-none"/>
        </w:rPr>
        <w:footnoteReference w:id="15"/>
      </w:r>
      <w:r w:rsidRPr="00343E12">
        <w:rPr>
          <w:rFonts w:ascii="Verdana" w:eastAsia="Times New Roman" w:hAnsi="Verdana" w:cs="Arial"/>
          <w:lang w:eastAsia="x-none"/>
        </w:rPr>
        <w:t xml:space="preserve">, </w:t>
      </w:r>
      <w:r w:rsidRPr="00343E12">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EDB9B54" w14:textId="77777777" w:rsidR="00C317E7" w:rsidRPr="00343E12" w:rsidRDefault="00C317E7" w:rsidP="00C317E7">
      <w:pPr>
        <w:spacing w:after="120" w:line="276" w:lineRule="auto"/>
        <w:ind w:firstLine="708"/>
        <w:jc w:val="both"/>
        <w:rPr>
          <w:rFonts w:ascii="Verdana" w:eastAsia="Times New Roman" w:hAnsi="Verdana" w:cs="Arial"/>
          <w:lang w:val="es-MX"/>
        </w:rPr>
      </w:pPr>
      <w:r w:rsidRPr="00343E12">
        <w:rPr>
          <w:rFonts w:ascii="Verdana" w:eastAsia="Times New Roman" w:hAnsi="Verdana" w:cs="Arial"/>
          <w:lang w:eastAsia="x-none"/>
        </w:rPr>
        <w:t xml:space="preserve">De esta forma, con fundamento en la evolución de la normativa sobre la contratación pública, se ha depurado la noción de </w:t>
      </w:r>
      <w:r w:rsidRPr="00343E12">
        <w:rPr>
          <w:rFonts w:ascii="Verdana" w:eastAsia="Times New Roman" w:hAnsi="Verdana" w:cs="Arial"/>
          <w:sz w:val="19"/>
          <w:szCs w:val="19"/>
          <w:lang w:eastAsia="en-GB"/>
        </w:rPr>
        <w:t>“</w:t>
      </w:r>
      <w:r w:rsidRPr="00343E12">
        <w:rPr>
          <w:rFonts w:ascii="Verdana" w:eastAsia="Times New Roman" w:hAnsi="Verdana" w:cs="Arial"/>
          <w:lang w:eastAsia="x-none"/>
        </w:rPr>
        <w:t>contratación directa</w:t>
      </w:r>
      <w:r w:rsidRPr="00343E12">
        <w:rPr>
          <w:rFonts w:ascii="Verdana" w:eastAsia="Times New Roman" w:hAnsi="Verdana" w:cs="Arial"/>
          <w:lang w:eastAsia="en-GB"/>
        </w:rPr>
        <w:t>”</w:t>
      </w:r>
      <w:r w:rsidRPr="00343E12">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43E12">
        <w:rPr>
          <w:rFonts w:ascii="Verdana" w:eastAsia="Times New Roman" w:hAnsi="Verdana" w:cs="Arial"/>
          <w:vertAlign w:val="superscript"/>
          <w:lang w:val="en-GB"/>
        </w:rPr>
        <w:footnoteReference w:id="16"/>
      </w:r>
      <w:r w:rsidRPr="00343E12">
        <w:rPr>
          <w:rFonts w:ascii="Verdana" w:eastAsia="Times New Roman" w:hAnsi="Verdana" w:cs="Arial"/>
          <w:lang w:eastAsia="x-none"/>
        </w:rPr>
        <w:t>, han establecido sistemas de contratación que implican convocatoria pública y participación de varios oferentes</w:t>
      </w:r>
      <w:r w:rsidRPr="00343E12">
        <w:rPr>
          <w:rFonts w:ascii="Verdana" w:eastAsia="Times New Roman" w:hAnsi="Verdana" w:cs="Arial"/>
          <w:lang w:eastAsia="en-GB"/>
        </w:rPr>
        <w:t>”</w:t>
      </w:r>
      <w:r w:rsidRPr="00343E12">
        <w:rPr>
          <w:rFonts w:ascii="Verdana" w:eastAsia="Times New Roman" w:hAnsi="Verdana" w:cs="Arial"/>
          <w:lang w:eastAsia="x-none"/>
        </w:rPr>
        <w:t xml:space="preserve">. </w:t>
      </w:r>
    </w:p>
    <w:p w14:paraId="19E29CE4" w14:textId="77777777" w:rsidR="00C317E7" w:rsidRPr="00343E12" w:rsidRDefault="00C317E7" w:rsidP="00C317E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lang w:val="es-MX"/>
        </w:rPr>
        <w:t>E</w:t>
      </w:r>
      <w:r w:rsidRPr="00343E12">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343E12">
        <w:rPr>
          <w:rFonts w:ascii="Verdana" w:eastAsia="Times New Roman" w:hAnsi="Verdana" w:cs="Arial"/>
          <w:lang w:eastAsia="x-none"/>
        </w:rPr>
        <w:lastRenderedPageBreak/>
        <w:t>inscribirse en forma previa se haga de manera pública, y que se permita la participación de una pluralidad de oferentes</w:t>
      </w:r>
      <w:r w:rsidRPr="00343E12">
        <w:rPr>
          <w:rFonts w:ascii="Verdana" w:eastAsia="Times New Roman" w:hAnsi="Verdana" w:cs="Arial"/>
          <w:vertAlign w:val="superscript"/>
          <w:lang w:eastAsia="x-none"/>
        </w:rPr>
        <w:footnoteReference w:id="17"/>
      </w:r>
      <w:r w:rsidRPr="00343E12">
        <w:rPr>
          <w:rFonts w:ascii="Verdana" w:eastAsia="Times New Roman" w:hAnsi="Verdana" w:cs="Arial"/>
          <w:lang w:eastAsia="x-none"/>
        </w:rPr>
        <w:t xml:space="preserve">. </w:t>
      </w:r>
    </w:p>
    <w:p w14:paraId="25A99339" w14:textId="77777777" w:rsidR="00C317E7" w:rsidRPr="00343E12" w:rsidRDefault="00C317E7" w:rsidP="00C317E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00343E12">
        <w:rPr>
          <w:rFonts w:ascii="Verdana" w:eastAsia="Times New Roman" w:hAnsi="Verdana" w:cs="Arial"/>
          <w:lang w:val="es-MX" w:eastAsia="es-CO"/>
        </w:rPr>
        <w:t xml:space="preserve"> Electorales</w:t>
      </w:r>
      <w:r w:rsidRPr="00343E12">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343E12">
        <w:rPr>
          <w:rFonts w:ascii="Verdana" w:eastAsia="Times New Roman" w:hAnsi="Verdana" w:cs="Arial"/>
          <w:lang w:val="es-MX" w:eastAsia="es-CO"/>
        </w:rPr>
        <w:t>“</w:t>
      </w:r>
      <w:r w:rsidRPr="00343E12">
        <w:rPr>
          <w:rFonts w:ascii="Verdana" w:eastAsia="Times New Roman" w:hAnsi="Verdana" w:cs="Arial"/>
          <w:bCs/>
          <w:lang w:val="es-MX" w:eastAsia="es-CO"/>
        </w:rPr>
        <w:t>contratación directa</w:t>
      </w:r>
      <w:r w:rsidRPr="00343E12">
        <w:rPr>
          <w:rFonts w:ascii="Verdana" w:eastAsia="Times New Roman" w:hAnsi="Verdana" w:cs="Arial"/>
          <w:lang w:val="es-MX" w:eastAsia="es-CO"/>
        </w:rPr>
        <w:t>”.</w:t>
      </w:r>
    </w:p>
    <w:p w14:paraId="7581B49D" w14:textId="77777777" w:rsidR="00C317E7" w:rsidRPr="00343E12" w:rsidRDefault="00C317E7" w:rsidP="00C317E7">
      <w:pPr>
        <w:spacing w:after="120" w:line="276" w:lineRule="auto"/>
        <w:ind w:firstLine="708"/>
        <w:jc w:val="both"/>
        <w:rPr>
          <w:rFonts w:ascii="Verdana" w:eastAsia="Times New Roman" w:hAnsi="Verdana" w:cs="Arial"/>
          <w:bCs/>
          <w:lang w:val="es-MX" w:eastAsia="x-none"/>
        </w:rPr>
      </w:pPr>
      <w:r w:rsidRPr="00343E12">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43E12">
        <w:rPr>
          <w:rFonts w:ascii="Verdana" w:eastAsia="Times New Roman" w:hAnsi="Verdana" w:cs="Arial"/>
          <w:vertAlign w:val="superscript"/>
          <w:lang w:eastAsia="x-none"/>
        </w:rPr>
        <w:footnoteReference w:id="18"/>
      </w:r>
      <w:r w:rsidRPr="00343E12">
        <w:rPr>
          <w:rFonts w:ascii="Verdana" w:eastAsia="Times New Roman" w:hAnsi="Verdana" w:cs="Arial"/>
          <w:bCs/>
          <w:lang w:val="es-MX" w:eastAsia="x-none"/>
        </w:rPr>
        <w:t>.</w:t>
      </w:r>
      <w:r w:rsidRPr="00343E12">
        <w:rPr>
          <w:rFonts w:ascii="Verdana" w:eastAsia="Times New Roman" w:hAnsi="Verdana" w:cs="Arial"/>
          <w:vertAlign w:val="superscript"/>
          <w:lang w:eastAsia="x-none"/>
        </w:rPr>
        <w:t xml:space="preserve"> </w:t>
      </w:r>
    </w:p>
    <w:p w14:paraId="0BFAF31C" w14:textId="77777777" w:rsidR="00C317E7" w:rsidRPr="00343E12" w:rsidRDefault="00C317E7" w:rsidP="00C317E7">
      <w:pPr>
        <w:spacing w:after="120" w:line="276" w:lineRule="auto"/>
        <w:ind w:firstLine="708"/>
        <w:jc w:val="both"/>
        <w:rPr>
          <w:rFonts w:ascii="Verdana" w:eastAsia="Times New Roman" w:hAnsi="Verdana" w:cs="Arial"/>
          <w:lang w:eastAsia="x-none"/>
        </w:rPr>
      </w:pPr>
      <w:r w:rsidRPr="00343E12">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343E1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54D2741" w14:textId="77777777" w:rsidR="00C317E7" w:rsidRPr="00343E12" w:rsidRDefault="00C317E7" w:rsidP="00C317E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343E12">
        <w:rPr>
          <w:rFonts w:ascii="Verdana" w:eastAsia="Times New Roman" w:hAnsi="Verdana" w:cs="Arial"/>
          <w:bCs/>
          <w:lang w:val="es-MX" w:eastAsia="es-CO"/>
        </w:rPr>
        <w:t>entrada en vigencia</w:t>
      </w:r>
      <w:proofErr w:type="gramEnd"/>
      <w:r w:rsidRPr="00343E12">
        <w:rPr>
          <w:rFonts w:ascii="Verdana" w:eastAsia="Times New Roman" w:hAnsi="Verdana" w:cs="Arial"/>
          <w:bCs/>
          <w:lang w:val="es-MX" w:eastAsia="es-CO"/>
        </w:rPr>
        <w:t xml:space="preserve"> de las prohibiciones anotadas, así como la cesión de </w:t>
      </w:r>
      <w:proofErr w:type="gramStart"/>
      <w:r w:rsidRPr="00343E12">
        <w:rPr>
          <w:rFonts w:ascii="Verdana" w:eastAsia="Times New Roman" w:hAnsi="Verdana" w:cs="Arial"/>
          <w:bCs/>
          <w:lang w:val="es-MX" w:eastAsia="es-CO"/>
        </w:rPr>
        <w:t>los mismos</w:t>
      </w:r>
      <w:proofErr w:type="gramEnd"/>
      <w:r w:rsidRPr="00343E12">
        <w:rPr>
          <w:rFonts w:ascii="Verdana" w:eastAsia="Times New Roman" w:hAnsi="Verdana" w:cs="Arial"/>
          <w:bCs/>
          <w:lang w:val="es-MX" w:eastAsia="es-CO"/>
        </w:rPr>
        <w:t>, pueden tener lugar en el período de aplicación de la Ley de Garantías</w:t>
      </w:r>
      <w:r w:rsidRPr="00343E12">
        <w:rPr>
          <w:rFonts w:ascii="Verdana" w:eastAsia="Times New Roman" w:hAnsi="Verdana" w:cs="Arial"/>
          <w:lang w:val="es-MX" w:eastAsia="es-CO"/>
        </w:rPr>
        <w:t xml:space="preserve"> Electorales</w:t>
      </w:r>
      <w:r w:rsidRPr="00343E12">
        <w:rPr>
          <w:rFonts w:ascii="Verdana" w:eastAsia="Times New Roman" w:hAnsi="Verdana" w:cs="Arial"/>
          <w:bCs/>
          <w:lang w:val="es-MX" w:eastAsia="es-CO"/>
        </w:rPr>
        <w:t xml:space="preserve">, sin que ello haga nugatoria la restricción de la contratación directa y siempre que cumplan los principios de planeación, transparencia y </w:t>
      </w:r>
      <w:r w:rsidRPr="00343E12">
        <w:rPr>
          <w:rFonts w:ascii="Verdana" w:eastAsia="Times New Roman" w:hAnsi="Verdana" w:cs="Arial"/>
          <w:bCs/>
          <w:lang w:val="es-MX" w:eastAsia="es-CO"/>
        </w:rPr>
        <w:lastRenderedPageBreak/>
        <w:t>responsabilidad</w:t>
      </w:r>
      <w:r w:rsidRPr="00343E12">
        <w:rPr>
          <w:rFonts w:ascii="Verdana" w:eastAsia="Times New Roman" w:hAnsi="Verdana" w:cs="Arial"/>
          <w:bCs/>
          <w:vertAlign w:val="superscript"/>
          <w:lang w:val="es-MX" w:eastAsia="es-CO"/>
        </w:rPr>
        <w:footnoteReference w:id="19"/>
      </w:r>
      <w:r w:rsidRPr="00343E12">
        <w:rPr>
          <w:rFonts w:ascii="Verdana" w:eastAsia="Times New Roman" w:hAnsi="Verdana" w:cs="Arial"/>
          <w:bCs/>
          <w:lang w:val="es-MX" w:eastAsia="es-CO"/>
        </w:rPr>
        <w:t xml:space="preserve">. Además, también es posible que contratos celebrados previamente se continúen ejecutando con normalidad. </w:t>
      </w:r>
    </w:p>
    <w:p w14:paraId="6BE7B749" w14:textId="77777777" w:rsidR="00C317E7" w:rsidRPr="00343E12" w:rsidRDefault="00C317E7" w:rsidP="00C317E7">
      <w:pPr>
        <w:spacing w:after="120" w:line="276" w:lineRule="auto"/>
        <w:ind w:firstLine="708"/>
        <w:jc w:val="both"/>
        <w:rPr>
          <w:rFonts w:ascii="Verdana" w:eastAsia="Times New Roman" w:hAnsi="Verdana" w:cs="Arial"/>
          <w:lang w:val="es-MX" w:eastAsia="es-CO"/>
        </w:rPr>
      </w:pPr>
      <w:r w:rsidRPr="00343E12">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43E12">
        <w:rPr>
          <w:rFonts w:ascii="Verdana" w:eastAsia="Times New Roman" w:hAnsi="Verdana" w:cs="Arial"/>
          <w:lang w:val="es-MX"/>
        </w:rPr>
        <w:t>ii</w:t>
      </w:r>
      <w:proofErr w:type="spellEnd"/>
      <w:r w:rsidRPr="00343E12">
        <w:rPr>
          <w:rFonts w:ascii="Verdana" w:eastAsia="Times New Roman" w:hAnsi="Verdana" w:cs="Arial"/>
          <w:lang w:val="es-MX"/>
        </w:rPr>
        <w:t xml:space="preserve">) los contratos de crédito público; </w:t>
      </w:r>
      <w:proofErr w:type="spellStart"/>
      <w:r w:rsidRPr="00343E12">
        <w:rPr>
          <w:rFonts w:ascii="Verdana" w:eastAsia="Times New Roman" w:hAnsi="Verdana" w:cs="Arial"/>
          <w:lang w:val="es-MX"/>
        </w:rPr>
        <w:t>iii</w:t>
      </w:r>
      <w:proofErr w:type="spellEnd"/>
      <w:r w:rsidRPr="00343E12">
        <w:rPr>
          <w:rFonts w:ascii="Verdana" w:eastAsia="Times New Roman" w:hAnsi="Verdana" w:cs="Arial"/>
          <w:lang w:val="es-MX"/>
        </w:rPr>
        <w:t xml:space="preserve">) los requeridos para cubrir las emergencias educativas, sanitarias y desastres; </w:t>
      </w:r>
      <w:proofErr w:type="spellStart"/>
      <w:r w:rsidRPr="00343E12">
        <w:rPr>
          <w:rFonts w:ascii="Verdana" w:eastAsia="Times New Roman" w:hAnsi="Verdana" w:cs="Arial"/>
          <w:lang w:val="es-MX"/>
        </w:rPr>
        <w:t>iv</w:t>
      </w:r>
      <w:proofErr w:type="spellEnd"/>
      <w:r w:rsidRPr="00343E12">
        <w:rPr>
          <w:rFonts w:ascii="Verdana" w:eastAsia="Times New Roman" w:hAnsi="Verdana" w:cs="Arial"/>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343E12">
        <w:rPr>
          <w:rFonts w:ascii="Verdana" w:eastAsia="Times New Roman" w:hAnsi="Verdana" w:cs="Arial"/>
          <w:i/>
          <w:lang w:val="es-MX"/>
        </w:rPr>
        <w:t>los que deban realizar las entidades sanitarias y hospitalarias.</w:t>
      </w:r>
      <w:r w:rsidRPr="00343E12">
        <w:rPr>
          <w:rFonts w:ascii="Verdana" w:eastAsia="Times New Roman" w:hAnsi="Verdana" w:cs="Arial"/>
          <w:bCs/>
          <w:lang w:val="es-MX" w:eastAsia="es-CO"/>
        </w:rPr>
        <w:t xml:space="preserve"> </w:t>
      </w:r>
    </w:p>
    <w:p w14:paraId="336F6115" w14:textId="77777777" w:rsidR="00C317E7" w:rsidRPr="00343E12" w:rsidRDefault="00C317E7" w:rsidP="00C317E7">
      <w:pPr>
        <w:spacing w:after="120" w:line="276" w:lineRule="auto"/>
        <w:ind w:firstLine="708"/>
        <w:jc w:val="both"/>
        <w:rPr>
          <w:rFonts w:ascii="Verdana" w:eastAsia="Times New Roman" w:hAnsi="Verdana" w:cs="Arial"/>
          <w:bCs/>
          <w:lang w:val="es-MX" w:eastAsia="es-CO"/>
        </w:rPr>
      </w:pPr>
      <w:r w:rsidRPr="00343E12">
        <w:rPr>
          <w:rFonts w:ascii="Verdana" w:eastAsia="Times New Roman" w:hAnsi="Verdana" w:cs="Arial"/>
          <w:lang w:val="es-MX" w:eastAsia="es-CO"/>
        </w:rPr>
        <w:t>Conforme a las anteriores excepciones, es</w:t>
      </w:r>
      <w:r w:rsidRPr="00343E12">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2EC3C51" w14:textId="77777777" w:rsidR="00C317E7" w:rsidRPr="00343E12" w:rsidRDefault="00C317E7" w:rsidP="00C317E7">
      <w:pPr>
        <w:spacing w:after="120" w:line="276" w:lineRule="auto"/>
        <w:ind w:firstLine="709"/>
        <w:jc w:val="both"/>
        <w:rPr>
          <w:rFonts w:ascii="Verdana" w:eastAsia="Times New Roman" w:hAnsi="Verdana" w:cs="Arial"/>
          <w:lang w:val="es-MX"/>
        </w:rPr>
      </w:pPr>
      <w:r w:rsidRPr="00343E12">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43E12">
        <w:rPr>
          <w:rFonts w:ascii="Verdana" w:eastAsia="Calibri" w:hAnsi="Verdana" w:cs="Arial"/>
          <w:vertAlign w:val="superscript"/>
          <w:lang w:val="es-MX"/>
        </w:rPr>
        <w:footnoteReference w:id="20"/>
      </w:r>
      <w:r w:rsidRPr="00343E12">
        <w:rPr>
          <w:rFonts w:ascii="Verdana" w:eastAsia="Times New Roman" w:hAnsi="Verdana" w:cs="Arial"/>
          <w:lang w:val="es-MX"/>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w:t>
      </w:r>
      <w:r w:rsidRPr="00343E12">
        <w:rPr>
          <w:rFonts w:ascii="Verdana" w:eastAsia="Times New Roman" w:hAnsi="Verdana" w:cs="Arial"/>
          <w:lang w:val="es-MX"/>
        </w:rPr>
        <w:lastRenderedPageBreak/>
        <w:t>del Estado en el cumplimiento de sus fines, en procura de la igualdad entre los candidatos como garantía electoral.</w:t>
      </w:r>
    </w:p>
    <w:p w14:paraId="4BD2D986" w14:textId="77777777" w:rsidR="00C317E7" w:rsidRPr="00343E12" w:rsidRDefault="00C317E7" w:rsidP="00C317E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En este punto, es pertinente analizar el quinto evento</w:t>
      </w:r>
      <w:r w:rsidRPr="00343E12">
        <w:rPr>
          <w:rFonts w:ascii="Verdana" w:eastAsia="Aptos" w:hAnsi="Verdana" w:cs="Arial"/>
          <w:i/>
          <w:iCs/>
          <w:color w:val="000000"/>
          <w:lang w:val="es-ES"/>
        </w:rPr>
        <w:t xml:space="preserve"> </w:t>
      </w:r>
      <w:r w:rsidRPr="00343E12">
        <w:rPr>
          <w:rFonts w:ascii="Verdana" w:eastAsia="Aptos" w:hAnsi="Verdana" w:cs="Arial"/>
          <w:color w:val="000000"/>
          <w:lang w:val="es-ES"/>
        </w:rPr>
        <w:t xml:space="preserve">exceptuado de la prohibición, relacionado con la contratación por parte de las entidades sanitarias y hospitalarias, </w:t>
      </w:r>
      <w:r w:rsidRPr="00343E12">
        <w:rPr>
          <w:rFonts w:ascii="Verdana" w:eastAsia="Aptos" w:hAnsi="Verdana" w:cs="Arial"/>
          <w:color w:val="000000"/>
        </w:rPr>
        <w:t>a efectos de determinar si la excepción referida es aplicable a los contratos suscritos por las Empresas Sociales del Estado –ESE-</w:t>
      </w:r>
      <w:r w:rsidRPr="00343E12">
        <w:rPr>
          <w:rFonts w:ascii="Verdana" w:eastAsia="Aptos" w:hAnsi="Verdana" w:cs="Arial"/>
          <w:color w:val="000000"/>
          <w:lang w:val="es-ES"/>
        </w:rPr>
        <w:t xml:space="preserve">. Para ello, debe tenerse en cuenta el artículo 94 de la Ley 100 de 1993, que dispone </w:t>
      </w:r>
      <w:r w:rsidRPr="00343E12">
        <w:rPr>
          <w:rFonts w:ascii="Verdana" w:eastAsia="Aptos" w:hAnsi="Verdana" w:cs="Arial"/>
          <w:color w:val="000000"/>
          <w:lang w:val="es-ES" w:eastAsia="es-CO"/>
        </w:rPr>
        <w:t>“</w:t>
      </w:r>
      <w:r w:rsidRPr="00343E12">
        <w:rPr>
          <w:rFonts w:ascii="Verdana" w:eastAsia="Aptos" w:hAnsi="Verdana" w:cs="Arial"/>
          <w:color w:val="00000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72EFCB4F" w14:textId="77777777" w:rsidR="00C317E7" w:rsidRPr="00343E12" w:rsidRDefault="00C317E7" w:rsidP="00C317E7">
      <w:pPr>
        <w:tabs>
          <w:tab w:val="left" w:pos="426"/>
        </w:tabs>
        <w:spacing w:after="120" w:line="276" w:lineRule="auto"/>
        <w:ind w:firstLine="709"/>
        <w:jc w:val="both"/>
        <w:rPr>
          <w:rFonts w:ascii="Verdana" w:eastAsia="Aptos" w:hAnsi="Verdana" w:cs="Arial"/>
          <w:color w:val="000000"/>
        </w:rPr>
      </w:pPr>
      <w:r w:rsidRPr="00343E12">
        <w:rPr>
          <w:rFonts w:ascii="Verdana" w:eastAsia="Aptos" w:hAnsi="Verdana" w:cs="Arial"/>
          <w:color w:val="000000"/>
          <w:lang w:val="es-ES"/>
        </w:rPr>
        <w:t xml:space="preserve">Es decir que, a partir de la </w:t>
      </w:r>
      <w:proofErr w:type="gramStart"/>
      <w:r w:rsidRPr="00343E12">
        <w:rPr>
          <w:rFonts w:ascii="Verdana" w:eastAsia="Aptos" w:hAnsi="Verdana" w:cs="Arial"/>
          <w:color w:val="000000"/>
          <w:lang w:val="es-ES"/>
        </w:rPr>
        <w:t>entrada en vigencia</w:t>
      </w:r>
      <w:proofErr w:type="gramEnd"/>
      <w:r w:rsidRPr="00343E12">
        <w:rPr>
          <w:rFonts w:ascii="Verdana" w:eastAsia="Aptos" w:hAnsi="Verdana" w:cs="Arial"/>
          <w:color w:val="000000"/>
          <w:lang w:val="es-ES"/>
        </w:rPr>
        <w:t xml:space="preserve"> de la Ley 100 de 1993, las Empresas Sociales del Estado son las entidades públicas que tienen a su cargo la prestación de servicios de salud de manera directa. Igualmente, el artículo 197 de la misma disposición</w:t>
      </w:r>
      <w:r w:rsidRPr="00343E12">
        <w:rPr>
          <w:rFonts w:ascii="Verdana" w:eastAsia="Aptos" w:hAnsi="Verdana" w:cs="Arial"/>
          <w:color w:val="000000"/>
          <w:vertAlign w:val="superscript"/>
          <w:lang w:val="es-ES_tradnl"/>
        </w:rPr>
        <w:footnoteReference w:id="21"/>
      </w:r>
      <w:r w:rsidRPr="00343E12">
        <w:rPr>
          <w:rFonts w:ascii="Verdana" w:eastAsia="Aptos" w:hAnsi="Verdana" w:cs="Arial"/>
          <w:color w:val="000000"/>
          <w:lang w:val="es-ES"/>
        </w:rPr>
        <w:t xml:space="preserve"> otorgó un término de seis (6) meses a las entidades territoriales prestadoras del servicio de salud para restructurarlas en Empresas Sociales del Estado. </w:t>
      </w:r>
    </w:p>
    <w:p w14:paraId="74578989" w14:textId="77777777" w:rsidR="00C317E7" w:rsidRPr="00343E12" w:rsidRDefault="00C317E7" w:rsidP="00C317E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5D444614" w14:textId="77777777" w:rsidR="00C317E7" w:rsidRPr="00343E12" w:rsidRDefault="00C317E7" w:rsidP="00C317E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w:t>
      </w:r>
      <w:r w:rsidRPr="00343E12">
        <w:rPr>
          <w:rFonts w:ascii="Verdana" w:eastAsia="Aptos" w:hAnsi="Verdana" w:cs="Arial"/>
          <w:color w:val="000000"/>
          <w:lang w:val="es-ES"/>
        </w:rPr>
        <w:lastRenderedPageBreak/>
        <w:t xml:space="preserve">sino además la imposición del mandato de reestructuración de aquellas entidades en Empresas Sociales del Estado. </w:t>
      </w:r>
    </w:p>
    <w:p w14:paraId="1F414A1B" w14:textId="77777777" w:rsidR="00C317E7" w:rsidRPr="00343E12" w:rsidRDefault="00C317E7" w:rsidP="00C317E7">
      <w:pPr>
        <w:tabs>
          <w:tab w:val="left" w:pos="426"/>
        </w:tabs>
        <w:spacing w:after="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26C4A34F" w14:textId="77777777" w:rsidR="00C317E7" w:rsidRPr="00343E12" w:rsidRDefault="00C317E7" w:rsidP="00C317E7">
      <w:pPr>
        <w:tabs>
          <w:tab w:val="left" w:pos="426"/>
        </w:tabs>
        <w:spacing w:after="0" w:line="240" w:lineRule="auto"/>
        <w:ind w:left="709" w:right="709"/>
        <w:jc w:val="both"/>
        <w:rPr>
          <w:rFonts w:ascii="Verdana" w:eastAsia="Aptos" w:hAnsi="Verdana" w:cs="Arial"/>
          <w:color w:val="000000"/>
          <w:sz w:val="20"/>
          <w:szCs w:val="20"/>
          <w:shd w:val="clear" w:color="auto" w:fill="FFFFFF"/>
          <w:lang w:val="es-ES"/>
        </w:rPr>
      </w:pPr>
      <w:r w:rsidRPr="00343E12">
        <w:rPr>
          <w:rFonts w:ascii="Verdana" w:eastAsia="Aptos" w:hAnsi="Verdana" w:cs="Arial"/>
          <w:color w:val="000000"/>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00343E12">
        <w:rPr>
          <w:rFonts w:ascii="Verdana" w:eastAsia="Aptos" w:hAnsi="Verdana" w:cs="Arial"/>
          <w:i/>
          <w:iCs/>
          <w:color w:val="000000"/>
          <w:sz w:val="20"/>
          <w:szCs w:val="20"/>
          <w:shd w:val="clear" w:color="auto" w:fill="FFFFFF"/>
          <w:lang w:val="es-ES"/>
        </w:rPr>
        <w:t xml:space="preserve">no son otras distintas que las Empresas Sociales del estado y todas aquellas instituciones públicas </w:t>
      </w:r>
      <w:proofErr w:type="gramStart"/>
      <w:r w:rsidRPr="00343E12">
        <w:rPr>
          <w:rFonts w:ascii="Verdana" w:eastAsia="Aptos" w:hAnsi="Verdana" w:cs="Arial"/>
          <w:i/>
          <w:iCs/>
          <w:color w:val="000000"/>
          <w:sz w:val="20"/>
          <w:szCs w:val="20"/>
          <w:shd w:val="clear" w:color="auto" w:fill="FFFFFF"/>
          <w:lang w:val="es-ES"/>
        </w:rPr>
        <w:t>que</w:t>
      </w:r>
      <w:proofErr w:type="gramEnd"/>
      <w:r w:rsidRPr="00343E12">
        <w:rPr>
          <w:rFonts w:ascii="Verdana" w:eastAsia="Aptos" w:hAnsi="Verdana" w:cs="Arial"/>
          <w:i/>
          <w:iCs/>
          <w:color w:val="000000"/>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343E12">
        <w:rPr>
          <w:rFonts w:ascii="Verdana" w:eastAsia="Aptos" w:hAnsi="Verdana" w:cs="Arial"/>
          <w:color w:val="000000"/>
          <w:sz w:val="20"/>
          <w:szCs w:val="20"/>
          <w:shd w:val="clear" w:color="auto" w:fill="FFFFFF"/>
          <w:lang w:val="es-ES"/>
        </w:rPr>
        <w:t xml:space="preserve"> (…)”.  </w:t>
      </w:r>
    </w:p>
    <w:p w14:paraId="60B9DBB3" w14:textId="77777777" w:rsidR="00C317E7" w:rsidRPr="00343E12" w:rsidRDefault="00C317E7" w:rsidP="00C317E7">
      <w:pPr>
        <w:tabs>
          <w:tab w:val="left" w:pos="426"/>
        </w:tabs>
        <w:spacing w:after="0" w:line="276" w:lineRule="auto"/>
        <w:ind w:left="709" w:right="709"/>
        <w:jc w:val="both"/>
        <w:rPr>
          <w:rFonts w:ascii="Verdana" w:eastAsia="Aptos" w:hAnsi="Verdana" w:cs="Arial"/>
          <w:color w:val="000000"/>
          <w:lang w:val="es-ES"/>
        </w:rPr>
      </w:pPr>
    </w:p>
    <w:p w14:paraId="552E3F3D" w14:textId="77777777" w:rsidR="00C317E7" w:rsidRPr="00343E12" w:rsidRDefault="00C317E7" w:rsidP="00C317E7">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6A3CDF80" w14:textId="77777777" w:rsidR="00C317E7" w:rsidRPr="00343E12" w:rsidRDefault="00C317E7" w:rsidP="00C317E7">
      <w:pPr>
        <w:tabs>
          <w:tab w:val="left" w:pos="426"/>
        </w:tabs>
        <w:spacing w:before="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3C571142" w14:textId="77777777" w:rsidR="00C317E7" w:rsidRPr="00343E12" w:rsidRDefault="00C317E7" w:rsidP="00C317E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343E12">
        <w:rPr>
          <w:rFonts w:ascii="Verdana" w:eastAsia="Times New Roman" w:hAnsi="Verdana" w:cs="Arial"/>
          <w:lang w:val="es-MX" w:eastAsia="es-CO"/>
        </w:rPr>
        <w:t>ii</w:t>
      </w:r>
      <w:proofErr w:type="spellEnd"/>
      <w:r w:rsidRPr="00343E12">
        <w:rPr>
          <w:rFonts w:ascii="Verdana" w:eastAsia="Times New Roman" w:hAnsi="Verdana" w:cs="Arial"/>
          <w:lang w:val="es-MX" w:eastAsia="es-CO"/>
        </w:rPr>
        <w:t xml:space="preserve">) y </w:t>
      </w:r>
      <w:proofErr w:type="spellStart"/>
      <w:r w:rsidRPr="00343E12">
        <w:rPr>
          <w:rFonts w:ascii="Verdana" w:eastAsia="Times New Roman" w:hAnsi="Verdana" w:cs="Arial"/>
          <w:lang w:val="es-MX" w:eastAsia="es-CO"/>
        </w:rPr>
        <w:t>iv</w:t>
      </w:r>
      <w:proofErr w:type="spellEnd"/>
      <w:r w:rsidRPr="00343E12">
        <w:rPr>
          <w:rFonts w:ascii="Verdana" w:eastAsia="Times New Roman" w:hAnsi="Verdana" w:cs="Arial"/>
          <w:lang w:val="es-MX" w:eastAsia="es-CO"/>
        </w:rPr>
        <w:t>) del numeral 2</w:t>
      </w:r>
      <w:r w:rsidRPr="00343E12">
        <w:rPr>
          <w:rFonts w:ascii="Verdana" w:eastAsia="Times New Roman" w:hAnsi="Verdana" w:cs="Arial"/>
          <w:lang w:eastAsia="es-CO"/>
        </w:rPr>
        <w:t>,</w:t>
      </w:r>
      <w:r w:rsidRPr="00343E12">
        <w:rPr>
          <w:rFonts w:ascii="Verdana" w:eastAsia="Times New Roman" w:hAnsi="Verdana" w:cs="Arial"/>
          <w:lang w:val="es-MX" w:eastAsia="es-CO"/>
        </w:rPr>
        <w:t xml:space="preserve"> indica </w:t>
      </w:r>
      <w:r w:rsidRPr="00343E12">
        <w:rPr>
          <w:rFonts w:ascii="Verdana" w:eastAsia="Times New Roman" w:hAnsi="Verdana" w:cs="Arial"/>
          <w:lang w:val="es-MX" w:eastAsia="es-CO"/>
        </w:rPr>
        <w:lastRenderedPageBreak/>
        <w:t xml:space="preserve">que el </w:t>
      </w:r>
      <w:r w:rsidRPr="00343E12">
        <w:rPr>
          <w:rFonts w:ascii="Verdana" w:eastAsia="Times New Roman" w:hAnsi="Verdana" w:cs="Arial"/>
          <w:lang w:eastAsia="es-CO"/>
        </w:rPr>
        <w:t xml:space="preserve">parágrafo del artículo 38 de la Ley 996 de 2005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733DF00F" w14:textId="77777777" w:rsidR="00C317E7" w:rsidRPr="00343E12" w:rsidRDefault="00C317E7" w:rsidP="00C317E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2A2F5C8C" w14:textId="77777777" w:rsidR="00C317E7" w:rsidRPr="00343E12" w:rsidRDefault="00C317E7" w:rsidP="00C317E7">
      <w:pPr>
        <w:spacing w:before="120" w:after="0" w:line="276" w:lineRule="auto"/>
        <w:ind w:firstLine="708"/>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independientemente de que se configure alguno de los supuestos de excepción que señaló el inciso final del artículo 33, es decir, que se trate de:</w:t>
      </w:r>
      <w:r w:rsidRPr="00343E12">
        <w:rPr>
          <w:rFonts w:ascii="Verdana" w:eastAsia="Aptos" w:hAnsi="Verdana" w:cs="Arial"/>
          <w:bCs/>
          <w:lang w:val="es-MX" w:eastAsia="x-none"/>
        </w:rPr>
        <w:t xml:space="preserve"> i) la defensa y seguridad del Estado; </w:t>
      </w:r>
      <w:proofErr w:type="spellStart"/>
      <w:r w:rsidRPr="00343E12">
        <w:rPr>
          <w:rFonts w:ascii="Verdana" w:eastAsia="Aptos" w:hAnsi="Verdana" w:cs="Arial"/>
          <w:bCs/>
          <w:lang w:val="es-MX" w:eastAsia="x-none"/>
        </w:rPr>
        <w:t>ii</w:t>
      </w:r>
      <w:proofErr w:type="spellEnd"/>
      <w:r w:rsidRPr="00343E12">
        <w:rPr>
          <w:rFonts w:ascii="Verdana" w:eastAsia="Aptos" w:hAnsi="Verdana" w:cs="Arial"/>
          <w:bCs/>
          <w:lang w:val="es-MX" w:eastAsia="x-none"/>
        </w:rPr>
        <w:t xml:space="preserve">) los contratos de crédito público; </w:t>
      </w:r>
      <w:proofErr w:type="spellStart"/>
      <w:r w:rsidRPr="00343E12">
        <w:rPr>
          <w:rFonts w:ascii="Verdana" w:eastAsia="Aptos" w:hAnsi="Verdana" w:cs="Arial"/>
          <w:bCs/>
          <w:lang w:val="es-MX" w:eastAsia="x-none"/>
        </w:rPr>
        <w:t>iii</w:t>
      </w:r>
      <w:proofErr w:type="spellEnd"/>
      <w:r w:rsidRPr="00343E12">
        <w:rPr>
          <w:rFonts w:ascii="Verdana" w:eastAsia="Aptos" w:hAnsi="Verdana" w:cs="Arial"/>
          <w:bCs/>
          <w:lang w:val="es-MX" w:eastAsia="x-none"/>
        </w:rPr>
        <w:t xml:space="preserve">)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75FE2C51" w14:textId="77777777" w:rsidR="00C317E7" w:rsidRPr="00343E12" w:rsidRDefault="00C317E7" w:rsidP="00C317E7">
      <w:pPr>
        <w:spacing w:before="120" w:after="0" w:line="276" w:lineRule="auto"/>
        <w:ind w:firstLine="708"/>
        <w:jc w:val="both"/>
        <w:rPr>
          <w:rFonts w:ascii="Verdana" w:eastAsia="Times New Roman" w:hAnsi="Verdana" w:cs="Arial"/>
          <w:lang w:eastAsia="es-CO"/>
        </w:rPr>
      </w:pPr>
      <w:bookmarkStart w:id="11" w:name="_Hlk215234154"/>
      <w:r w:rsidRPr="00343E12">
        <w:rPr>
          <w:rFonts w:ascii="Verdana" w:eastAsia="Times New Roman" w:hAnsi="Verdana" w:cs="Arial"/>
          <w:lang w:eastAsia="es-CO"/>
        </w:rPr>
        <w:t xml:space="preserve">En este punto, teniendo en cuenta lo señalado en el contenido de su petición, vale la pena destacar </w:t>
      </w:r>
      <w:proofErr w:type="gramStart"/>
      <w:r w:rsidRPr="00343E12">
        <w:rPr>
          <w:rFonts w:ascii="Verdana" w:eastAsia="Times New Roman" w:hAnsi="Verdana" w:cs="Arial"/>
          <w:lang w:eastAsia="es-CO"/>
        </w:rPr>
        <w:t>que</w:t>
      </w:r>
      <w:proofErr w:type="gramEnd"/>
      <w:r w:rsidRPr="00343E12">
        <w:rPr>
          <w:rFonts w:ascii="Verdana" w:eastAsia="Times New Roman" w:hAnsi="Verdana" w:cs="Arial"/>
          <w:lang w:eastAsia="es-CO"/>
        </w:rPr>
        <w:t xml:space="preserve"> </w:t>
      </w:r>
      <w:r w:rsidRPr="00343E12">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343E12">
        <w:rPr>
          <w:rFonts w:ascii="Verdana" w:eastAsia="Aptos" w:hAnsi="Verdana" w:cs="Arial"/>
        </w:rPr>
        <w:t>numeral 16.2 de la Circular Externa Única de 2022 expedida por la Agencia Nacional de Contratación Pública -Colombia Compra Eficiente-, concretamente, respecto de los siguientes apartes normativos</w:t>
      </w:r>
      <w:r w:rsidRPr="00343E12">
        <w:rPr>
          <w:rFonts w:ascii="Verdana" w:eastAsia="Aptos" w:hAnsi="Verdana" w:cs="Arial"/>
          <w:vertAlign w:val="superscript"/>
        </w:rPr>
        <w:footnoteReference w:id="22"/>
      </w:r>
      <w:r w:rsidRPr="00343E12">
        <w:rPr>
          <w:rFonts w:ascii="Verdana" w:eastAsia="Aptos" w:hAnsi="Verdana" w:cs="Arial"/>
        </w:rPr>
        <w:t xml:space="preserve">: </w:t>
      </w:r>
    </w:p>
    <w:p w14:paraId="32F707E1" w14:textId="77777777" w:rsidR="00C317E7" w:rsidRPr="00343E12" w:rsidRDefault="00C317E7" w:rsidP="00C317E7">
      <w:pPr>
        <w:spacing w:after="0" w:line="276" w:lineRule="auto"/>
        <w:ind w:firstLine="709"/>
        <w:jc w:val="both"/>
        <w:rPr>
          <w:rFonts w:ascii="Verdana" w:eastAsia="Aptos" w:hAnsi="Verdana" w:cs="Arial"/>
        </w:rPr>
      </w:pPr>
    </w:p>
    <w:p w14:paraId="49F5FE4E" w14:textId="77777777" w:rsidR="00C317E7" w:rsidRPr="00343E12" w:rsidRDefault="00C317E7" w:rsidP="00C317E7">
      <w:pPr>
        <w:spacing w:after="0" w:line="240" w:lineRule="auto"/>
        <w:ind w:left="709" w:right="709"/>
        <w:jc w:val="both"/>
        <w:rPr>
          <w:rFonts w:ascii="Verdana" w:eastAsia="Aptos" w:hAnsi="Verdana" w:cs="Arial"/>
          <w:sz w:val="20"/>
          <w:szCs w:val="20"/>
        </w:rPr>
      </w:pPr>
      <w:r w:rsidRPr="00343E12">
        <w:rPr>
          <w:rFonts w:ascii="Verdana" w:eastAsia="Aptos" w:hAnsi="Verdana" w:cs="Arial"/>
          <w:sz w:val="20"/>
          <w:szCs w:val="20"/>
          <w:lang w:val="es-MX"/>
        </w:rPr>
        <w:t>i)</w:t>
      </w:r>
      <w:r w:rsidRPr="00343E12">
        <w:rPr>
          <w:rFonts w:ascii="Verdana" w:eastAsia="Aptos"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D29DFAF" w14:textId="77777777" w:rsidR="00C317E7" w:rsidRPr="00343E12" w:rsidRDefault="00C317E7" w:rsidP="00C317E7">
      <w:pPr>
        <w:spacing w:after="0" w:line="240" w:lineRule="auto"/>
        <w:ind w:left="709" w:right="709"/>
        <w:jc w:val="both"/>
        <w:rPr>
          <w:rFonts w:ascii="Verdana" w:eastAsia="Aptos" w:hAnsi="Verdana" w:cs="Arial"/>
          <w:sz w:val="20"/>
          <w:szCs w:val="20"/>
        </w:rPr>
      </w:pPr>
    </w:p>
    <w:p w14:paraId="4A772540" w14:textId="77777777" w:rsidR="00C317E7" w:rsidRPr="00343E12" w:rsidRDefault="00C317E7" w:rsidP="00C317E7">
      <w:pPr>
        <w:spacing w:after="0" w:line="240" w:lineRule="auto"/>
        <w:ind w:left="709" w:right="709"/>
        <w:jc w:val="both"/>
        <w:rPr>
          <w:rFonts w:ascii="Verdana" w:eastAsia="Aptos" w:hAnsi="Verdana" w:cs="Arial"/>
          <w:sz w:val="20"/>
          <w:szCs w:val="20"/>
        </w:rPr>
      </w:pPr>
      <w:proofErr w:type="spellStart"/>
      <w:r w:rsidRPr="00343E12">
        <w:rPr>
          <w:rFonts w:ascii="Verdana" w:eastAsia="Aptos" w:hAnsi="Verdana" w:cs="Arial"/>
          <w:sz w:val="20"/>
          <w:szCs w:val="20"/>
        </w:rPr>
        <w:t>ii</w:t>
      </w:r>
      <w:proofErr w:type="spellEnd"/>
      <w:r w:rsidRPr="00343E12">
        <w:rPr>
          <w:rFonts w:ascii="Verdana" w:eastAsia="Aptos"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7DCD8A6" w14:textId="77777777" w:rsidR="00C317E7" w:rsidRPr="00343E12" w:rsidRDefault="00C317E7" w:rsidP="00C317E7">
      <w:pPr>
        <w:spacing w:after="0" w:line="276" w:lineRule="auto"/>
        <w:ind w:left="709" w:right="709"/>
        <w:jc w:val="both"/>
        <w:rPr>
          <w:rFonts w:ascii="Verdana" w:eastAsia="Aptos" w:hAnsi="Verdana" w:cs="Arial"/>
        </w:rPr>
      </w:pPr>
    </w:p>
    <w:p w14:paraId="4E702E52" w14:textId="77777777" w:rsidR="00C317E7" w:rsidRPr="00343E12" w:rsidRDefault="00C317E7" w:rsidP="00C317E7">
      <w:pPr>
        <w:spacing w:after="120" w:line="276" w:lineRule="auto"/>
        <w:ind w:firstLine="709"/>
        <w:jc w:val="both"/>
        <w:rPr>
          <w:rFonts w:ascii="Verdana" w:eastAsia="Arial" w:hAnsi="Verdana" w:cs="Arial"/>
          <w:i/>
          <w:iCs/>
          <w:lang w:eastAsia="es-ES" w:bidi="es-ES"/>
        </w:rPr>
      </w:pPr>
      <w:r w:rsidRPr="00343E12">
        <w:rPr>
          <w:rFonts w:ascii="Verdana" w:eastAsia="Arial" w:hAnsi="Verdana" w:cs="Arial"/>
          <w:lang w:val="es-MX" w:eastAsia="es-ES" w:bidi="es-ES"/>
        </w:rPr>
        <w:t xml:space="preserve">De conformidad con los argumentos de dicha providencia, se parte de la distinción entre los conceptos </w:t>
      </w:r>
      <w:r w:rsidRPr="00343E12">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43E12">
        <w:rPr>
          <w:rFonts w:ascii="Verdana" w:eastAsia="Aptos" w:hAnsi="Verdana" w:cs="Times New Roman"/>
          <w:sz w:val="24"/>
          <w:szCs w:val="24"/>
          <w:lang w:eastAsia="es-CO"/>
        </w:rPr>
        <w:t xml:space="preserve"> </w:t>
      </w:r>
      <w:r w:rsidRPr="00343E12">
        <w:rPr>
          <w:rFonts w:ascii="Verdana" w:eastAsia="Arial" w:hAnsi="Verdana" w:cs="Arial"/>
          <w:lang w:eastAsia="es-ES" w:bidi="es-ES"/>
        </w:rPr>
        <w:t xml:space="preserve">En este sentido, en relación con el parágrafo del artículo 38 de la Ley 996 de 2005 concluyó que </w:t>
      </w:r>
      <w:r w:rsidRPr="00343E12">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43E12">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43E12">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0ADEDB6" w14:textId="77777777" w:rsidR="00C317E7" w:rsidRPr="00343E12" w:rsidRDefault="00C317E7" w:rsidP="00C317E7">
      <w:pPr>
        <w:spacing w:after="120" w:line="276" w:lineRule="auto"/>
        <w:ind w:firstLine="709"/>
        <w:jc w:val="both"/>
        <w:rPr>
          <w:rFonts w:ascii="Verdana" w:eastAsia="Arial" w:hAnsi="Verdana" w:cs="Arial"/>
          <w:lang w:eastAsia="es-ES" w:bidi="es-ES"/>
        </w:rPr>
      </w:pPr>
      <w:r w:rsidRPr="00343E12">
        <w:rPr>
          <w:rFonts w:ascii="Verdana" w:eastAsia="Arial" w:hAnsi="Verdana" w:cs="Arial"/>
          <w:lang w:eastAsia="es-ES" w:bidi="es-ES"/>
        </w:rPr>
        <w:t>De igual manera, mediante auto del 6 de noviembre de 2025, el Consejo de Estado, Subsección A de la Sección Tercera, decretó</w:t>
      </w:r>
      <w:r w:rsidRPr="00343E12">
        <w:rPr>
          <w:rFonts w:ascii="Verdana" w:eastAsia="Arial" w:hAnsi="Verdana" w:cs="Arial"/>
          <w:b/>
          <w:bCs/>
          <w:lang w:eastAsia="es-ES" w:bidi="es-ES"/>
        </w:rPr>
        <w:t xml:space="preserve"> </w:t>
      </w:r>
      <w:r w:rsidRPr="00343E12">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343E12">
        <w:rPr>
          <w:rFonts w:ascii="Verdana" w:eastAsia="Arial" w:hAnsi="Verdana" w:cs="Arial"/>
          <w:lang w:eastAsia="es-ES" w:bidi="es-ES"/>
        </w:rPr>
        <w:lastRenderedPageBreak/>
        <w:t>Eficiente relacionados con los contratos interadministrativos</w:t>
      </w:r>
      <w:r w:rsidRPr="00343E12">
        <w:rPr>
          <w:rFonts w:ascii="Verdana" w:eastAsia="Arial" w:hAnsi="Verdana" w:cs="Arial"/>
          <w:vertAlign w:val="superscript"/>
          <w:lang w:eastAsia="es-ES" w:bidi="es-ES"/>
        </w:rPr>
        <w:footnoteReference w:id="23"/>
      </w:r>
      <w:r w:rsidRPr="00343E12">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343E12">
        <w:rPr>
          <w:rFonts w:ascii="Verdana" w:eastAsia="Arial" w:hAnsi="Verdana" w:cs="Arial"/>
          <w:lang w:eastAsia="es-ES" w:bidi="es-ES"/>
        </w:rPr>
        <w:t>legis</w:t>
      </w:r>
      <w:proofErr w:type="spellEnd"/>
      <w:r w:rsidRPr="00343E12">
        <w:rPr>
          <w:rFonts w:ascii="Verdana" w:eastAsia="Arial" w:hAnsi="Verdana" w:cs="Arial"/>
          <w:lang w:eastAsia="es-ES" w:bidi="es-ES"/>
        </w:rPr>
        <w:t xml:space="preserve"> o iuris y la interpretación extensiva y reiteró los argumentos sobre la diferencia entre contratos y convenios interadministrativos. </w:t>
      </w:r>
    </w:p>
    <w:p w14:paraId="6B852480" w14:textId="77777777" w:rsidR="00C317E7" w:rsidRPr="00343E12" w:rsidRDefault="00C317E7" w:rsidP="00C317E7">
      <w:pPr>
        <w:spacing w:after="120" w:line="276" w:lineRule="auto"/>
        <w:ind w:firstLine="709"/>
        <w:jc w:val="both"/>
        <w:rPr>
          <w:rFonts w:ascii="Verdana" w:eastAsia="Times New Roman" w:hAnsi="Verdana" w:cs="Times New Roman"/>
          <w:lang w:eastAsia="es-ES"/>
        </w:rPr>
      </w:pPr>
      <w:r w:rsidRPr="00343E12">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343E12">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6DD623FB" w14:textId="77777777" w:rsidR="00C317E7" w:rsidRPr="00343E12" w:rsidRDefault="00C317E7" w:rsidP="00C317E7">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43E12">
        <w:rPr>
          <w:rFonts w:ascii="Verdana" w:eastAsia="Times New Roman" w:hAnsi="Verdana" w:cs="Times New Roman"/>
          <w:vertAlign w:val="superscript"/>
          <w:lang w:eastAsia="es-ES"/>
        </w:rPr>
        <w:footnoteReference w:id="24"/>
      </w:r>
      <w:r w:rsidRPr="00343E12">
        <w:rPr>
          <w:rFonts w:ascii="Verdana" w:eastAsia="Times New Roman" w:hAnsi="Verdana" w:cs="Times New Roman"/>
          <w:lang w:eastAsia="es-ES"/>
        </w:rPr>
        <w:t xml:space="preserve">. Sobre el </w:t>
      </w:r>
      <w:r w:rsidRPr="00343E1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4B2F3A29" w14:textId="77777777" w:rsidR="00C317E7" w:rsidRPr="00343E12" w:rsidRDefault="00C317E7" w:rsidP="00C317E7">
      <w:pPr>
        <w:spacing w:after="120" w:line="276" w:lineRule="auto"/>
        <w:ind w:firstLine="709"/>
        <w:jc w:val="both"/>
        <w:rPr>
          <w:rFonts w:ascii="Verdana" w:eastAsia="Times New Roman" w:hAnsi="Verdana" w:cs="Times New Roman"/>
          <w:lang w:eastAsia="es-ES"/>
        </w:rPr>
      </w:pPr>
      <w:r w:rsidRPr="00343E1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DD718F9" w14:textId="77777777" w:rsidR="00C317E7" w:rsidRPr="00343E12" w:rsidRDefault="00C317E7" w:rsidP="00C317E7">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43E12">
        <w:rPr>
          <w:rFonts w:ascii="Verdana" w:eastAsia="Times New Roman" w:hAnsi="Verdana" w:cs="Arial"/>
          <w:i/>
          <w:iCs/>
          <w:lang w:eastAsia="es-CO"/>
        </w:rPr>
        <w:t>contratos interadministrativos</w:t>
      </w:r>
      <w:r w:rsidRPr="00343E12">
        <w:rPr>
          <w:rFonts w:ascii="Verdana" w:eastAsia="Times New Roman" w:hAnsi="Verdana" w:cs="Arial"/>
          <w:lang w:eastAsia="es-CO"/>
        </w:rPr>
        <w:t>, esta prohibición solo aplicaría a los convenios interadministrativos que impliquen la ejecución de recursos públicos</w:t>
      </w:r>
      <w:r w:rsidRPr="00343E12">
        <w:rPr>
          <w:rFonts w:ascii="Verdana" w:eastAsia="Times New Roman" w:hAnsi="Verdana" w:cs="Arial"/>
          <w:vertAlign w:val="superscript"/>
          <w:lang w:eastAsia="es-CO"/>
        </w:rPr>
        <w:footnoteReference w:id="25"/>
      </w:r>
      <w:r w:rsidRPr="00343E12">
        <w:rPr>
          <w:rFonts w:ascii="Verdana" w:eastAsia="Times New Roman" w:hAnsi="Verdana" w:cs="Arial"/>
          <w:lang w:eastAsia="es-CO"/>
        </w:rPr>
        <w:t>.</w:t>
      </w:r>
    </w:p>
    <w:p w14:paraId="6FE5FFBE" w14:textId="77777777" w:rsidR="00C317E7" w:rsidRPr="00343E12" w:rsidRDefault="00C317E7" w:rsidP="00C317E7">
      <w:pPr>
        <w:spacing w:after="120" w:line="276" w:lineRule="auto"/>
        <w:ind w:firstLine="708"/>
        <w:jc w:val="both"/>
        <w:rPr>
          <w:rFonts w:ascii="Verdana" w:eastAsia="Times New Roman" w:hAnsi="Verdana" w:cs="Arial"/>
          <w:lang w:eastAsia="es-CO"/>
        </w:rPr>
      </w:pPr>
      <w:r w:rsidRPr="00343E12">
        <w:rPr>
          <w:rFonts w:ascii="Verdana" w:eastAsia="Aptos" w:hAnsi="Verdana" w:cs="Arial"/>
          <w:bCs/>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343E12">
        <w:rPr>
          <w:rFonts w:ascii="Verdana" w:eastAsia="Aptos" w:hAnsi="Verdana" w:cs="Arial"/>
          <w:bCs/>
          <w:color w:val="000000"/>
        </w:rPr>
        <w:lastRenderedPageBreak/>
        <w:t>correspondiente y, en caso de conflicto, a las autoridades judiciales, fiscales y disciplinarias.</w:t>
      </w:r>
    </w:p>
    <w:p w14:paraId="6590FC74" w14:textId="77777777" w:rsidR="00C317E7" w:rsidRPr="00343E12" w:rsidRDefault="00C317E7" w:rsidP="00C317E7">
      <w:pPr>
        <w:spacing w:after="0" w:line="276" w:lineRule="auto"/>
        <w:ind w:firstLine="708"/>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11"/>
      <w:r w:rsidRPr="00343E12">
        <w:rPr>
          <w:rFonts w:ascii="Verdana" w:eastAsia="Aptos" w:hAnsi="Verdana" w:cs="Arial"/>
          <w:bCs/>
          <w:color w:val="000000"/>
        </w:rPr>
        <w:t xml:space="preserve"> </w:t>
      </w:r>
    </w:p>
    <w:p w14:paraId="0631E5A8" w14:textId="77777777" w:rsidR="00C317E7" w:rsidRPr="00343E12" w:rsidRDefault="00C317E7" w:rsidP="00C317E7">
      <w:pPr>
        <w:spacing w:after="0" w:line="276" w:lineRule="auto"/>
        <w:ind w:firstLine="708"/>
        <w:jc w:val="both"/>
        <w:rPr>
          <w:rFonts w:ascii="Verdana" w:eastAsia="Aptos" w:hAnsi="Verdana" w:cs="Arial"/>
          <w:bCs/>
          <w:color w:val="000000"/>
        </w:rPr>
      </w:pPr>
    </w:p>
    <w:bookmarkEnd w:id="4"/>
    <w:bookmarkEnd w:id="10"/>
    <w:p w14:paraId="434406A4" w14:textId="77777777" w:rsidR="00C317E7" w:rsidRPr="00343E12" w:rsidRDefault="00C317E7" w:rsidP="00C317E7">
      <w:pPr>
        <w:tabs>
          <w:tab w:val="left" w:pos="142"/>
          <w:tab w:val="left" w:pos="284"/>
        </w:tabs>
        <w:spacing w:after="0" w:line="276" w:lineRule="auto"/>
        <w:rPr>
          <w:rFonts w:ascii="Verdana" w:eastAsia="Century Gothic" w:hAnsi="Verdana" w:cs="Century Gothic"/>
          <w:b/>
          <w:bCs/>
        </w:rPr>
      </w:pPr>
      <w:r w:rsidRPr="00343E12">
        <w:rPr>
          <w:rFonts w:ascii="Verdana" w:eastAsia="Century Gothic" w:hAnsi="Verdana" w:cs="Century Gothic"/>
          <w:b/>
          <w:bCs/>
        </w:rPr>
        <w:t>4. Referencias normativas:</w:t>
      </w:r>
    </w:p>
    <w:bookmarkEnd w:id="5"/>
    <w:p w14:paraId="23BFACA7" w14:textId="77777777" w:rsidR="00C317E7" w:rsidRPr="00343E12" w:rsidRDefault="00C317E7" w:rsidP="00C317E7">
      <w:pPr>
        <w:widowControl w:val="0"/>
        <w:autoSpaceDE w:val="0"/>
        <w:autoSpaceDN w:val="0"/>
        <w:spacing w:after="0" w:line="276" w:lineRule="auto"/>
        <w:jc w:val="both"/>
        <w:rPr>
          <w:rFonts w:ascii="Verdana" w:eastAsia="Aptos"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317E7" w:rsidRPr="00343E12" w14:paraId="6DDEBC44" w14:textId="77777777" w:rsidTr="00931C85">
        <w:trPr>
          <w:trHeight w:val="870"/>
          <w:jc w:val="center"/>
        </w:trPr>
        <w:tc>
          <w:tcPr>
            <w:tcW w:w="8647" w:type="dxa"/>
          </w:tcPr>
          <w:p w14:paraId="0B4F4BCD"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7C1BB5BC"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Ley 80 de 1993. Artículos: 39 y 41.</w:t>
            </w:r>
          </w:p>
          <w:p w14:paraId="4E17EB53"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1150 de 2007. Artículo 2. </w:t>
            </w:r>
          </w:p>
          <w:p w14:paraId="06ABBD13"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996 de 2025. Artículos: 9, 33 y 38. </w:t>
            </w:r>
          </w:p>
          <w:p w14:paraId="0581474A"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100 de 1993. Artículos: 100 y 197. </w:t>
            </w:r>
          </w:p>
          <w:p w14:paraId="4B989D00"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lo Contencioso Administrativo. Sección Primera. Sentencia de 3 de marzo de 2005. Radicado: 25001-23-15-000-2004-00823-01(PI). C.P: Camilo Arciniegas Andrade. </w:t>
            </w:r>
          </w:p>
          <w:p w14:paraId="38CBEEE7"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Consulta y Servicio Civil. 24 de julio de 2013, radicado: 11001-03-06-000-2013-00407-00 (2166). C.P. Álvaro </w:t>
            </w:r>
            <w:proofErr w:type="spellStart"/>
            <w:r w:rsidRPr="00343E12">
              <w:rPr>
                <w:rFonts w:ascii="Verdana" w:eastAsia="Times New Roman" w:hAnsi="Verdana" w:cs="Arial"/>
                <w:color w:val="000000"/>
                <w:lang w:eastAsia="es-CO"/>
              </w:rPr>
              <w:t>Namén</w:t>
            </w:r>
            <w:proofErr w:type="spellEnd"/>
            <w:r w:rsidRPr="00343E12">
              <w:rPr>
                <w:rFonts w:ascii="Verdana" w:eastAsia="Times New Roman" w:hAnsi="Verdana" w:cs="Arial"/>
                <w:color w:val="000000"/>
                <w:lang w:eastAsia="es-CO"/>
              </w:rPr>
              <w:t xml:space="preserve"> Vargas.</w:t>
            </w:r>
          </w:p>
          <w:p w14:paraId="0298EEF6"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17 de febrero de 2015. Radicado: 11001-03-06-000-2015-00164-00 (2269). C.P. William Zambrano Cetina.</w:t>
            </w:r>
          </w:p>
          <w:p w14:paraId="4013FB14"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Consulta y Servicio Civil. Concepto del 2 de septiembre de 2013. Radicación: 11001-03-06-000-2013-00412-00 (2168). Consejero Ponente: Álvaro </w:t>
            </w:r>
            <w:proofErr w:type="spellStart"/>
            <w:r w:rsidRPr="00343E12">
              <w:rPr>
                <w:rFonts w:ascii="Verdana" w:eastAsia="Times New Roman" w:hAnsi="Verdana" w:cs="Arial"/>
                <w:color w:val="000000"/>
                <w:lang w:eastAsia="es-CO"/>
              </w:rPr>
              <w:t>Namén</w:t>
            </w:r>
            <w:proofErr w:type="spellEnd"/>
            <w:r w:rsidRPr="00343E12">
              <w:rPr>
                <w:rFonts w:ascii="Verdana" w:eastAsia="Times New Roman" w:hAnsi="Verdana" w:cs="Arial"/>
                <w:color w:val="000000"/>
                <w:lang w:eastAsia="es-CO"/>
              </w:rPr>
              <w:t xml:space="preserve"> Vargas.</w:t>
            </w:r>
          </w:p>
          <w:p w14:paraId="59941272"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lastRenderedPageBreak/>
              <w:t xml:space="preserve">Consejo de Estado. Sala de Consulta y Servicio Civil. Concepto de 8 de mayo de 2018. Radicación: 11001-03-06-000-2018-00095-00 (2382). Consejero Ponente: Álvaro </w:t>
            </w:r>
            <w:proofErr w:type="spellStart"/>
            <w:r w:rsidRPr="00343E12">
              <w:rPr>
                <w:rFonts w:ascii="Verdana" w:eastAsia="Times New Roman" w:hAnsi="Verdana" w:cs="Arial"/>
                <w:color w:val="000000"/>
                <w:lang w:eastAsia="es-CO"/>
              </w:rPr>
              <w:t>Namén</w:t>
            </w:r>
            <w:proofErr w:type="spellEnd"/>
            <w:r w:rsidRPr="00343E12">
              <w:rPr>
                <w:rFonts w:ascii="Verdana" w:eastAsia="Times New Roman" w:hAnsi="Verdana" w:cs="Arial"/>
                <w:color w:val="000000"/>
                <w:lang w:eastAsia="es-CO"/>
              </w:rPr>
              <w:t xml:space="preserve"> Vargas.</w:t>
            </w:r>
          </w:p>
          <w:p w14:paraId="20948AA4"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C- 1153 de 2005. M.P. Marco Gerardo Monroy Cabra.</w:t>
            </w:r>
          </w:p>
          <w:p w14:paraId="7D976647"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343BB48B"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C-551 de 9 de julio de 2003. M.P: Eduardo Montealegre </w:t>
            </w:r>
            <w:proofErr w:type="spellStart"/>
            <w:r w:rsidRPr="00343E12">
              <w:rPr>
                <w:rFonts w:ascii="Verdana" w:eastAsia="Times New Roman" w:hAnsi="Verdana" w:cs="Arial"/>
                <w:color w:val="000000"/>
                <w:lang w:eastAsia="es-CO"/>
              </w:rPr>
              <w:t>Lynnet</w:t>
            </w:r>
            <w:proofErr w:type="spellEnd"/>
            <w:r w:rsidRPr="00343E12">
              <w:rPr>
                <w:rFonts w:ascii="Verdana" w:eastAsia="Times New Roman" w:hAnsi="Verdana" w:cs="Arial"/>
                <w:color w:val="000000"/>
                <w:lang w:eastAsia="es-CO"/>
              </w:rPr>
              <w:t>.</w:t>
            </w:r>
          </w:p>
          <w:p w14:paraId="718A10FC"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58BA813E"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05FCFE5F"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C-1153 de 2005 de 11 de noviembre de 2005. M.P: Marco Gerardo Monroy Cabra.</w:t>
            </w:r>
          </w:p>
          <w:p w14:paraId="55B723A1" w14:textId="77777777" w:rsidR="00C317E7" w:rsidRPr="00343E12" w:rsidRDefault="00C317E7" w:rsidP="00931C85">
            <w:pPr>
              <w:numPr>
                <w:ilvl w:val="0"/>
                <w:numId w:val="3"/>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Circular única Externa. En </w:t>
            </w:r>
            <w:hyperlink r:id="rId12" w:history="1">
              <w:r w:rsidRPr="00343E12">
                <w:rPr>
                  <w:rFonts w:ascii="Verdana" w:eastAsia="Times New Roman" w:hAnsi="Verdana" w:cs="Arial"/>
                  <w:color w:val="0000FF"/>
                  <w:u w:val="single"/>
                  <w:lang w:eastAsia="es-CO"/>
                </w:rPr>
                <w:t>circular_externa_unica_version_3_vf49.pdf</w:t>
              </w:r>
            </w:hyperlink>
          </w:p>
        </w:tc>
      </w:tr>
    </w:tbl>
    <w:p w14:paraId="14E9624F" w14:textId="77777777" w:rsidR="00C317E7" w:rsidRPr="00343E12" w:rsidRDefault="00C317E7" w:rsidP="00C317E7">
      <w:pPr>
        <w:widowControl w:val="0"/>
        <w:autoSpaceDE w:val="0"/>
        <w:autoSpaceDN w:val="0"/>
        <w:spacing w:after="0" w:line="276" w:lineRule="auto"/>
        <w:jc w:val="both"/>
        <w:rPr>
          <w:rFonts w:ascii="Verdana" w:eastAsia="Aptos" w:hAnsi="Verdana" w:cs="Arial"/>
        </w:rPr>
      </w:pPr>
    </w:p>
    <w:p w14:paraId="586D2FDD" w14:textId="77777777" w:rsidR="00C317E7" w:rsidRPr="00343E12" w:rsidRDefault="00C317E7" w:rsidP="00C317E7">
      <w:pPr>
        <w:tabs>
          <w:tab w:val="left" w:pos="142"/>
          <w:tab w:val="left" w:pos="284"/>
        </w:tabs>
        <w:spacing w:after="0" w:line="276" w:lineRule="auto"/>
        <w:jc w:val="both"/>
        <w:rPr>
          <w:rFonts w:ascii="Verdana" w:eastAsia="Century Gothic" w:hAnsi="Verdana" w:cs="Century Gothic"/>
          <w:b/>
          <w:bCs/>
        </w:rPr>
      </w:pPr>
      <w:r w:rsidRPr="00343E12">
        <w:rPr>
          <w:rFonts w:ascii="Verdana" w:eastAsia="Century Gothic" w:hAnsi="Verdana" w:cs="Century Gothic"/>
          <w:b/>
          <w:bCs/>
        </w:rPr>
        <w:t>5. Doctrina de la Agencia Nacional de Contratación Pública:</w:t>
      </w:r>
    </w:p>
    <w:p w14:paraId="6FD20FD8" w14:textId="77777777" w:rsidR="00C317E7" w:rsidRPr="00343E12" w:rsidRDefault="00C317E7" w:rsidP="00C317E7">
      <w:pPr>
        <w:widowControl w:val="0"/>
        <w:autoSpaceDE w:val="0"/>
        <w:autoSpaceDN w:val="0"/>
        <w:spacing w:after="0" w:line="240" w:lineRule="auto"/>
        <w:jc w:val="both"/>
        <w:rPr>
          <w:rFonts w:ascii="Verdana" w:eastAsia="Aptos" w:hAnsi="Verdana" w:cs="Arial"/>
          <w:highlight w:val="yellow"/>
          <w:shd w:val="clear" w:color="auto" w:fill="FFFFFF"/>
          <w:lang w:val="es-ES"/>
        </w:rPr>
      </w:pPr>
    </w:p>
    <w:p w14:paraId="68B6B426" w14:textId="77777777" w:rsidR="00C317E7" w:rsidRPr="00343E12" w:rsidRDefault="00C317E7" w:rsidP="00C317E7">
      <w:pPr>
        <w:widowControl w:val="0"/>
        <w:autoSpaceDE w:val="0"/>
        <w:autoSpaceDN w:val="0"/>
        <w:spacing w:after="0" w:line="276" w:lineRule="auto"/>
        <w:jc w:val="both"/>
        <w:rPr>
          <w:rFonts w:ascii="Verdana" w:eastAsia="Aptos" w:hAnsi="Verdana" w:cs="Arial"/>
          <w:shd w:val="clear" w:color="auto" w:fill="FFFFFF"/>
        </w:rPr>
      </w:pPr>
      <w:r w:rsidRPr="00343E12">
        <w:rPr>
          <w:rFonts w:ascii="Verdana" w:eastAsia="Aptos"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y C-1492 de 21 de noviembre de 2025. </w:t>
      </w:r>
      <w:r w:rsidRPr="00343E12">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343E12">
          <w:rPr>
            <w:rFonts w:ascii="Verdana" w:eastAsia="Aptos" w:hAnsi="Verdana" w:cs="Arial"/>
            <w:color w:val="0000FF"/>
            <w:u w:val="single"/>
            <w:shd w:val="clear" w:color="auto" w:fill="FFFFFF"/>
            <w:lang w:val="es-ES_tradnl"/>
          </w:rPr>
          <w:t>https://relatoria.colombiacompra.gov.co/busqueda/conceptos</w:t>
        </w:r>
      </w:hyperlink>
      <w:r w:rsidRPr="00343E12">
        <w:rPr>
          <w:rFonts w:ascii="Verdana" w:eastAsia="Aptos" w:hAnsi="Verdana" w:cs="Arial"/>
          <w:shd w:val="clear" w:color="auto" w:fill="FFFFFF"/>
          <w:lang w:val="es-ES_tradnl"/>
        </w:rPr>
        <w:t xml:space="preserve">. </w:t>
      </w:r>
      <w:r w:rsidRPr="00343E12">
        <w:rPr>
          <w:rFonts w:ascii="Verdana" w:eastAsia="Aptos" w:hAnsi="Verdana" w:cs="Arial"/>
          <w:color w:val="FF0000"/>
          <w:shd w:val="clear" w:color="auto" w:fill="FFFFFF"/>
          <w:lang w:val="es-ES_tradnl"/>
        </w:rPr>
        <w:t xml:space="preserve"> </w:t>
      </w:r>
    </w:p>
    <w:p w14:paraId="4429F830" w14:textId="77777777" w:rsidR="00C317E7" w:rsidRPr="00343E12" w:rsidRDefault="00C317E7" w:rsidP="00C317E7">
      <w:pPr>
        <w:widowControl w:val="0"/>
        <w:autoSpaceDE w:val="0"/>
        <w:autoSpaceDN w:val="0"/>
        <w:spacing w:after="120" w:line="276" w:lineRule="auto"/>
        <w:jc w:val="both"/>
        <w:rPr>
          <w:rFonts w:ascii="Verdana" w:eastAsia="Calibri" w:hAnsi="Verdana" w:cs="Arial"/>
          <w:color w:val="000000"/>
          <w:lang w:eastAsia="es-ES_tradnl"/>
        </w:rPr>
      </w:pPr>
    </w:p>
    <w:p w14:paraId="19230FDF" w14:textId="77777777" w:rsidR="00C317E7" w:rsidRPr="00343E12" w:rsidRDefault="00C317E7" w:rsidP="00C317E7">
      <w:pPr>
        <w:spacing w:after="120" w:line="276" w:lineRule="auto"/>
        <w:jc w:val="both"/>
        <w:rPr>
          <w:rFonts w:ascii="Verdana" w:eastAsia="Calibri" w:hAnsi="Verdana" w:cs="Times New Roman"/>
        </w:rPr>
      </w:pPr>
      <w:r w:rsidRPr="00343E12">
        <w:rPr>
          <w:rFonts w:ascii="Verdana" w:eastAsia="Aptos" w:hAnsi="Verdana" w:cs="Times New Roman"/>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124ADF5" w14:textId="77777777" w:rsidR="00C317E7" w:rsidRPr="00343E12" w:rsidRDefault="00C317E7" w:rsidP="00C317E7">
      <w:pPr>
        <w:numPr>
          <w:ilvl w:val="0"/>
          <w:numId w:val="1"/>
        </w:numPr>
        <w:spacing w:after="0" w:line="276" w:lineRule="auto"/>
        <w:jc w:val="both"/>
        <w:rPr>
          <w:rFonts w:ascii="Verdana" w:eastAsia="Aptos" w:hAnsi="Verdana" w:cs="Times New Roman"/>
        </w:rPr>
      </w:pPr>
      <w:r w:rsidRPr="00343E12">
        <w:rPr>
          <w:rFonts w:ascii="Verdana" w:eastAsia="Aptos" w:hAnsi="Verdana" w:cs="Times New Roman"/>
        </w:rPr>
        <w:t>Línea nacional gratuita o servicio a la ciudadanía: 01800 0520808</w:t>
      </w:r>
    </w:p>
    <w:p w14:paraId="273288F1" w14:textId="77777777" w:rsidR="00C317E7" w:rsidRPr="00343E12" w:rsidRDefault="00C317E7" w:rsidP="00C317E7">
      <w:pPr>
        <w:numPr>
          <w:ilvl w:val="0"/>
          <w:numId w:val="1"/>
        </w:numPr>
        <w:spacing w:after="0" w:line="276" w:lineRule="auto"/>
        <w:jc w:val="both"/>
        <w:rPr>
          <w:rFonts w:ascii="Verdana" w:eastAsia="Aptos" w:hAnsi="Verdana" w:cs="Times New Roman"/>
        </w:rPr>
      </w:pPr>
      <w:r w:rsidRPr="00343E12">
        <w:rPr>
          <w:rFonts w:ascii="Verdana" w:eastAsia="Aptos" w:hAnsi="Verdana" w:cs="Times New Roman"/>
        </w:rPr>
        <w:t>Línea en Bogotá (Mesa de servicio): +57 601 7456788</w:t>
      </w:r>
    </w:p>
    <w:p w14:paraId="58BC3F9E" w14:textId="77777777" w:rsidR="00C317E7" w:rsidRPr="00343E12" w:rsidRDefault="00C317E7" w:rsidP="00C317E7">
      <w:pPr>
        <w:numPr>
          <w:ilvl w:val="0"/>
          <w:numId w:val="1"/>
        </w:numPr>
        <w:spacing w:after="0" w:line="276" w:lineRule="auto"/>
        <w:jc w:val="both"/>
        <w:rPr>
          <w:rFonts w:ascii="Verdana" w:eastAsia="Aptos" w:hAnsi="Verdana" w:cs="Times New Roman"/>
        </w:rPr>
      </w:pPr>
      <w:r w:rsidRPr="00343E12">
        <w:rPr>
          <w:rFonts w:ascii="Verdana" w:eastAsia="Aptos" w:hAnsi="Verdana" w:cs="Times New Roman"/>
        </w:rPr>
        <w:t>Línea de servicio y atención al ciudadano: +57 601 7956600</w:t>
      </w:r>
    </w:p>
    <w:p w14:paraId="48E187D5" w14:textId="77777777" w:rsidR="00C317E7" w:rsidRPr="00343E12" w:rsidRDefault="00C317E7" w:rsidP="00C317E7">
      <w:pPr>
        <w:numPr>
          <w:ilvl w:val="0"/>
          <w:numId w:val="1"/>
        </w:numPr>
        <w:spacing w:after="0" w:line="276" w:lineRule="auto"/>
        <w:jc w:val="both"/>
        <w:rPr>
          <w:rFonts w:ascii="Verdana" w:eastAsia="Aptos" w:hAnsi="Verdana" w:cs="Times New Roman"/>
        </w:rPr>
      </w:pPr>
      <w:r w:rsidRPr="00343E12">
        <w:rPr>
          <w:rFonts w:ascii="Verdana" w:eastAsia="Aptos" w:hAnsi="Verdana" w:cs="Times New Roman"/>
        </w:rPr>
        <w:t xml:space="preserve">Página web: </w:t>
      </w:r>
      <w:hyperlink r:id="rId14" w:history="1">
        <w:r w:rsidRPr="00343E12">
          <w:rPr>
            <w:rFonts w:ascii="Verdana" w:eastAsia="Aptos" w:hAnsi="Verdana" w:cs="Times New Roman"/>
            <w:color w:val="0000FF"/>
            <w:u w:val="single"/>
          </w:rPr>
          <w:t>www.colombiacompra.gov.co</w:t>
        </w:r>
      </w:hyperlink>
    </w:p>
    <w:p w14:paraId="0F24E4C0" w14:textId="77777777" w:rsidR="00C317E7" w:rsidRPr="00343E12" w:rsidRDefault="00C317E7" w:rsidP="00C317E7">
      <w:pPr>
        <w:spacing w:before="120" w:after="0" w:line="276" w:lineRule="auto"/>
        <w:jc w:val="both"/>
        <w:rPr>
          <w:rFonts w:ascii="Verdana" w:eastAsia="Aptos" w:hAnsi="Verdana" w:cs="Times New Roman"/>
        </w:rPr>
      </w:pPr>
      <w:r w:rsidRPr="00343E12">
        <w:rPr>
          <w:rFonts w:ascii="Verdana" w:eastAsia="Aptos" w:hAnsi="Verdana" w:cs="Times New Roman"/>
        </w:rPr>
        <w:t xml:space="preserve">Por último, lo invitamos a seguirnos en las redes sociales en las cuales se difunde información institucional: </w:t>
      </w:r>
    </w:p>
    <w:p w14:paraId="15686295" w14:textId="77777777" w:rsidR="00C317E7" w:rsidRPr="00343E12" w:rsidRDefault="00C317E7" w:rsidP="00C317E7">
      <w:pPr>
        <w:spacing w:after="0" w:line="276" w:lineRule="auto"/>
        <w:jc w:val="both"/>
        <w:rPr>
          <w:rFonts w:ascii="Verdana" w:eastAsia="Aptos" w:hAnsi="Verdana" w:cs="Times New Roman"/>
        </w:rPr>
      </w:pPr>
    </w:p>
    <w:p w14:paraId="609AB6E2" w14:textId="77777777" w:rsidR="00C317E7" w:rsidRPr="00343E12" w:rsidRDefault="00C317E7" w:rsidP="00C317E7">
      <w:pPr>
        <w:spacing w:after="0" w:line="276" w:lineRule="auto"/>
        <w:jc w:val="both"/>
        <w:rPr>
          <w:rFonts w:ascii="Verdana" w:eastAsia="Aptos" w:hAnsi="Verdana" w:cs="Times New Roman"/>
        </w:rPr>
      </w:pPr>
      <w:r w:rsidRPr="00343E12">
        <w:rPr>
          <w:rFonts w:ascii="Verdana" w:eastAsia="Aptos" w:hAnsi="Verdana" w:cs="Times New Roman"/>
        </w:rPr>
        <w:t xml:space="preserve">Twitter: </w:t>
      </w:r>
      <w:r w:rsidRPr="00343E12">
        <w:rPr>
          <w:rFonts w:ascii="Verdana" w:eastAsia="Aptos" w:hAnsi="Verdana" w:cs="Times New Roman"/>
          <w:color w:val="0000FF"/>
          <w:u w:val="single"/>
        </w:rPr>
        <w:t>@colombiacompra</w:t>
      </w:r>
      <w:r w:rsidRPr="00343E12">
        <w:rPr>
          <w:rFonts w:ascii="Verdana" w:eastAsia="Aptos" w:hAnsi="Verdana" w:cs="Times New Roman"/>
        </w:rPr>
        <w:t xml:space="preserve"> </w:t>
      </w:r>
    </w:p>
    <w:p w14:paraId="2A66E441" w14:textId="77777777" w:rsidR="00C317E7" w:rsidRPr="00343E12" w:rsidRDefault="00C317E7" w:rsidP="00C317E7">
      <w:pPr>
        <w:spacing w:after="0" w:line="276" w:lineRule="auto"/>
        <w:jc w:val="both"/>
        <w:rPr>
          <w:rFonts w:ascii="Verdana" w:eastAsia="Aptos" w:hAnsi="Verdana" w:cs="Times New Roman"/>
        </w:rPr>
      </w:pPr>
      <w:r w:rsidRPr="00343E12">
        <w:rPr>
          <w:rFonts w:ascii="Verdana" w:eastAsia="Aptos" w:hAnsi="Verdana" w:cs="Times New Roman"/>
        </w:rPr>
        <w:t xml:space="preserve">Facebook: </w:t>
      </w:r>
      <w:proofErr w:type="spellStart"/>
      <w:r w:rsidRPr="00343E12">
        <w:rPr>
          <w:rFonts w:ascii="Verdana" w:eastAsia="Aptos" w:hAnsi="Verdana" w:cs="Times New Roman"/>
          <w:color w:val="0000FF"/>
          <w:u w:val="single"/>
        </w:rPr>
        <w:t>ColombiaCompraEficiente</w:t>
      </w:r>
      <w:proofErr w:type="spellEnd"/>
    </w:p>
    <w:p w14:paraId="484F5785" w14:textId="77777777" w:rsidR="00C317E7" w:rsidRPr="00343E12" w:rsidRDefault="00C317E7" w:rsidP="00C317E7">
      <w:pPr>
        <w:spacing w:after="0" w:line="276" w:lineRule="auto"/>
        <w:jc w:val="both"/>
        <w:rPr>
          <w:rFonts w:ascii="Verdana" w:eastAsia="Aptos" w:hAnsi="Verdana" w:cs="Times New Roman"/>
        </w:rPr>
      </w:pPr>
      <w:r w:rsidRPr="00343E12">
        <w:rPr>
          <w:rFonts w:ascii="Verdana" w:eastAsia="Aptos" w:hAnsi="Verdana" w:cs="Times New Roman"/>
        </w:rPr>
        <w:t xml:space="preserve">LinkedIn: </w:t>
      </w:r>
      <w:r w:rsidRPr="00343E12">
        <w:rPr>
          <w:rFonts w:ascii="Verdana" w:eastAsia="Aptos" w:hAnsi="Verdana" w:cs="Times New Roman"/>
          <w:color w:val="0000FF"/>
          <w:u w:val="single"/>
        </w:rPr>
        <w:t>Agencia Nacional de Contratación Pública - Colombia Compra Eficiente</w:t>
      </w:r>
      <w:r w:rsidRPr="00343E12">
        <w:rPr>
          <w:rFonts w:ascii="Verdana" w:eastAsia="Aptos" w:hAnsi="Verdana" w:cs="Times New Roman"/>
        </w:rPr>
        <w:t xml:space="preserve"> Instagram: </w:t>
      </w:r>
      <w:r w:rsidRPr="00343E12">
        <w:rPr>
          <w:rFonts w:ascii="Verdana" w:eastAsia="Aptos" w:hAnsi="Verdana" w:cs="Times New Roman"/>
          <w:color w:val="0000FF"/>
          <w:u w:val="single"/>
        </w:rPr>
        <w:t>@colombiacompraeficiente_cce</w:t>
      </w:r>
    </w:p>
    <w:p w14:paraId="26DD7537" w14:textId="77777777" w:rsidR="00C317E7" w:rsidRPr="00343E12" w:rsidRDefault="00C317E7" w:rsidP="00C317E7">
      <w:pPr>
        <w:spacing w:before="120" w:after="0" w:line="276" w:lineRule="auto"/>
        <w:jc w:val="both"/>
        <w:rPr>
          <w:rFonts w:ascii="Verdana" w:eastAsia="Aptos" w:hAnsi="Verdana" w:cs="Times New Roman"/>
        </w:rPr>
      </w:pPr>
    </w:p>
    <w:p w14:paraId="18E6880A" w14:textId="77777777" w:rsidR="00C317E7" w:rsidRPr="00343E12" w:rsidRDefault="00C317E7" w:rsidP="00C317E7">
      <w:pPr>
        <w:spacing w:before="120" w:after="0" w:line="276" w:lineRule="auto"/>
        <w:jc w:val="both"/>
        <w:rPr>
          <w:rFonts w:ascii="Verdana" w:eastAsia="Aptos" w:hAnsi="Verdana" w:cs="Times New Roman"/>
        </w:rPr>
      </w:pPr>
      <w:r w:rsidRPr="00343E12">
        <w:rPr>
          <w:rFonts w:ascii="Verdana" w:eastAsia="Aptos"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EFD9EEE" w14:textId="77777777" w:rsidR="00C317E7" w:rsidRPr="00343E12" w:rsidRDefault="00C317E7" w:rsidP="00C317E7">
      <w:pPr>
        <w:spacing w:after="0" w:line="276" w:lineRule="auto"/>
        <w:jc w:val="both"/>
        <w:rPr>
          <w:rFonts w:ascii="Verdana" w:eastAsia="Calibri" w:hAnsi="Verdana" w:cs="Times New Roman"/>
        </w:rPr>
      </w:pPr>
    </w:p>
    <w:p w14:paraId="64621A48" w14:textId="19967720" w:rsidR="00C317E7" w:rsidRPr="00343E12" w:rsidRDefault="00C317E7" w:rsidP="0018515D">
      <w:pPr>
        <w:spacing w:after="0" w:line="276" w:lineRule="auto"/>
        <w:jc w:val="both"/>
        <w:rPr>
          <w:rFonts w:ascii="Verdana" w:eastAsia="Calibri" w:hAnsi="Verdana" w:cs="Times New Roman"/>
        </w:rPr>
      </w:pPr>
      <w:r w:rsidRPr="00343E12">
        <w:rPr>
          <w:rFonts w:ascii="Verdana" w:eastAsia="Calibri" w:hAnsi="Verdana" w:cs="Times New Roman"/>
        </w:rPr>
        <w:t>Atentamente,</w:t>
      </w:r>
    </w:p>
    <w:p w14:paraId="33C41502" w14:textId="6637B570" w:rsidR="00C317E7" w:rsidRPr="0018515D" w:rsidRDefault="0018515D" w:rsidP="0018515D">
      <w:pPr>
        <w:spacing w:after="0" w:line="256" w:lineRule="auto"/>
        <w:jc w:val="center"/>
        <w:rPr>
          <w:rFonts w:ascii="Aptos" w:eastAsia="Aptos" w:hAnsi="Aptos" w:cs="Times New Roman"/>
          <w:noProof/>
        </w:rPr>
      </w:pPr>
      <w:r>
        <w:rPr>
          <w:rFonts w:ascii="Verdana" w:hAnsi="Verdana" w:cs="Arial"/>
          <w:noProof/>
          <w:color w:val="000000"/>
          <w:lang w:val="es-ES_tradnl" w:eastAsia="es-CO"/>
        </w:rPr>
        <w:drawing>
          <wp:inline distT="0" distB="0" distL="0" distR="0" wp14:anchorId="64A0E40D" wp14:editId="4902618F">
            <wp:extent cx="3468458" cy="1491303"/>
            <wp:effectExtent l="0" t="0" r="0" b="0"/>
            <wp:docPr id="18711046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104674" name="Imagen 1" descr="Texto&#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3485205" cy="1498504"/>
                    </a:xfrm>
                    <a:prstGeom prst="rect">
                      <a:avLst/>
                    </a:prstGeom>
                  </pic:spPr>
                </pic:pic>
              </a:graphicData>
            </a:graphic>
          </wp:inline>
        </w:drawing>
      </w:r>
      <w:bookmarkEnd w:id="0"/>
      <w:bookmarkEnd w:id="1"/>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17E7" w:rsidRPr="00343E12" w14:paraId="303374D4" w14:textId="77777777" w:rsidTr="00931C85">
        <w:trPr>
          <w:trHeight w:val="315"/>
        </w:trPr>
        <w:tc>
          <w:tcPr>
            <w:tcW w:w="893" w:type="dxa"/>
            <w:vAlign w:val="center"/>
            <w:hideMark/>
          </w:tcPr>
          <w:p w14:paraId="0466BFED" w14:textId="77777777" w:rsidR="00C317E7" w:rsidRPr="00343E12" w:rsidRDefault="00C317E7" w:rsidP="00931C85">
            <w:pPr>
              <w:contextualSpacing/>
              <w:rPr>
                <w:rFonts w:ascii="Verdana" w:eastAsia="Aptos" w:hAnsi="Verdana" w:cs="Arial"/>
                <w:color w:val="000000"/>
                <w:sz w:val="16"/>
                <w:szCs w:val="16"/>
                <w:lang w:val="es-ES" w:eastAsia="es-ES"/>
              </w:rPr>
            </w:pPr>
            <w:r w:rsidRPr="00343E12">
              <w:rPr>
                <w:rFonts w:ascii="Verdana" w:eastAsia="Aptos"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74DDA489" w14:textId="77777777" w:rsidR="00C317E7" w:rsidRPr="00343E12" w:rsidRDefault="00C317E7" w:rsidP="00931C85">
            <w:pPr>
              <w:contextualSpacing/>
              <w:rPr>
                <w:rFonts w:ascii="Verdana" w:eastAsia="Arial" w:hAnsi="Verdana" w:cs="Arial"/>
                <w:color w:val="000000"/>
                <w:sz w:val="16"/>
                <w:szCs w:val="16"/>
              </w:rPr>
            </w:pPr>
            <w:r w:rsidRPr="00343E12">
              <w:rPr>
                <w:rFonts w:ascii="Verdana" w:eastAsia="Arial" w:hAnsi="Verdana" w:cs="Arial"/>
                <w:color w:val="000000"/>
                <w:sz w:val="16"/>
                <w:szCs w:val="16"/>
              </w:rPr>
              <w:t xml:space="preserve">Andreina Cerpa Muñoz </w:t>
            </w:r>
          </w:p>
          <w:p w14:paraId="75FE19DF" w14:textId="77777777" w:rsidR="00C317E7" w:rsidRPr="00343E12" w:rsidRDefault="00C317E7" w:rsidP="00931C85">
            <w:pPr>
              <w:contextualSpacing/>
              <w:rPr>
                <w:rFonts w:ascii="Verdana" w:eastAsia="Arial" w:hAnsi="Verdana" w:cs="Arial"/>
                <w:color w:val="000000"/>
                <w:sz w:val="16"/>
                <w:szCs w:val="16"/>
              </w:rPr>
            </w:pPr>
            <w:r w:rsidRPr="00343E12">
              <w:rPr>
                <w:rFonts w:ascii="Verdana" w:eastAsia="Arial" w:hAnsi="Verdana" w:cs="Arial"/>
                <w:color w:val="000000"/>
                <w:sz w:val="16"/>
                <w:szCs w:val="16"/>
              </w:rPr>
              <w:t>Analista T2-02 de la Subdirección de Gestión Contractual</w:t>
            </w:r>
          </w:p>
        </w:tc>
      </w:tr>
      <w:tr w:rsidR="00C317E7" w:rsidRPr="00343E12" w14:paraId="11228CCB" w14:textId="77777777" w:rsidTr="00931C85">
        <w:trPr>
          <w:trHeight w:val="330"/>
        </w:trPr>
        <w:tc>
          <w:tcPr>
            <w:tcW w:w="893" w:type="dxa"/>
            <w:vAlign w:val="center"/>
            <w:hideMark/>
          </w:tcPr>
          <w:p w14:paraId="4115A363" w14:textId="77777777" w:rsidR="00C317E7" w:rsidRPr="00343E12" w:rsidRDefault="00C317E7" w:rsidP="00931C85">
            <w:pPr>
              <w:contextualSpacing/>
              <w:rPr>
                <w:rFonts w:ascii="Verdana" w:eastAsia="Aptos" w:hAnsi="Verdana" w:cs="Arial"/>
                <w:color w:val="000000"/>
                <w:sz w:val="16"/>
                <w:szCs w:val="16"/>
                <w:lang w:val="es-ES" w:eastAsia="es-ES"/>
              </w:rPr>
            </w:pPr>
            <w:r w:rsidRPr="00343E12">
              <w:rPr>
                <w:rFonts w:ascii="Verdana" w:eastAsia="Aptos" w:hAnsi="Verdana" w:cs="Arial"/>
                <w:color w:val="000000"/>
                <w:sz w:val="16"/>
                <w:szCs w:val="16"/>
                <w:lang w:val="es-ES"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7629D38B" w14:textId="77777777" w:rsidR="00C317E7" w:rsidRPr="00343E12" w:rsidRDefault="00C317E7" w:rsidP="00931C85">
            <w:pPr>
              <w:contextualSpacing/>
              <w:textAlignment w:val="baseline"/>
              <w:rPr>
                <w:rFonts w:ascii="Verdana" w:eastAsia="Times New Roman" w:hAnsi="Verdana" w:cs="Segoe UI"/>
                <w:color w:val="000000"/>
                <w:sz w:val="16"/>
                <w:szCs w:val="16"/>
                <w:lang w:eastAsia="es-CO"/>
              </w:rPr>
            </w:pPr>
            <w:r w:rsidRPr="00343E12">
              <w:rPr>
                <w:rFonts w:ascii="Verdana" w:eastAsia="Times New Roman" w:hAnsi="Verdana" w:cs="Segoe UI"/>
                <w:color w:val="000000"/>
                <w:sz w:val="16"/>
                <w:szCs w:val="16"/>
                <w:lang w:eastAsia="es-CO"/>
              </w:rPr>
              <w:t xml:space="preserve">Juan Carlos González </w:t>
            </w:r>
          </w:p>
          <w:p w14:paraId="3DA57FBF" w14:textId="77777777" w:rsidR="00C317E7" w:rsidRPr="00343E12" w:rsidRDefault="00C317E7" w:rsidP="00931C85">
            <w:pPr>
              <w:contextualSpacing/>
              <w:textAlignment w:val="baseline"/>
              <w:rPr>
                <w:rFonts w:ascii="Verdana" w:eastAsia="Times New Roman" w:hAnsi="Verdana" w:cs="Segoe UI"/>
                <w:color w:val="000000"/>
                <w:sz w:val="16"/>
                <w:szCs w:val="16"/>
                <w:lang w:eastAsia="es-CO"/>
              </w:rPr>
            </w:pPr>
            <w:r w:rsidRPr="00343E12">
              <w:rPr>
                <w:rFonts w:ascii="Verdana" w:eastAsia="Times New Roman" w:hAnsi="Verdana" w:cs="Arial"/>
                <w:color w:val="000000"/>
                <w:sz w:val="16"/>
                <w:szCs w:val="16"/>
                <w:lang w:val="es-ES" w:eastAsia="es-CO"/>
              </w:rPr>
              <w:t>Contratista de la Subdirección de Gestión Contractual</w:t>
            </w:r>
            <w:r w:rsidRPr="00343E12">
              <w:rPr>
                <w:rFonts w:ascii="Verdana" w:eastAsia="Times New Roman" w:hAnsi="Verdana" w:cs="Arial"/>
                <w:color w:val="000000"/>
                <w:sz w:val="16"/>
                <w:szCs w:val="16"/>
                <w:lang w:eastAsia="es-CO"/>
              </w:rPr>
              <w:t> </w:t>
            </w:r>
          </w:p>
        </w:tc>
      </w:tr>
      <w:tr w:rsidR="00C317E7" w:rsidRPr="00343E12" w14:paraId="4946C1E8" w14:textId="77777777" w:rsidTr="00931C85">
        <w:trPr>
          <w:trHeight w:val="300"/>
        </w:trPr>
        <w:tc>
          <w:tcPr>
            <w:tcW w:w="893" w:type="dxa"/>
            <w:vAlign w:val="center"/>
          </w:tcPr>
          <w:p w14:paraId="75800961" w14:textId="77777777" w:rsidR="00C317E7" w:rsidRPr="00343E12" w:rsidRDefault="00C317E7" w:rsidP="00931C85">
            <w:pPr>
              <w:contextualSpacing/>
              <w:rPr>
                <w:rFonts w:ascii="Verdana" w:eastAsia="Aptos" w:hAnsi="Verdana" w:cs="Arial"/>
                <w:color w:val="000000"/>
                <w:sz w:val="16"/>
                <w:szCs w:val="16"/>
                <w:lang w:val="es-ES" w:eastAsia="es-ES"/>
              </w:rPr>
            </w:pPr>
            <w:r w:rsidRPr="00343E12">
              <w:rPr>
                <w:rFonts w:ascii="Verdana" w:eastAsia="Aptos"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4BF4D2F0" w14:textId="77777777" w:rsidR="00C317E7" w:rsidRPr="00343E12" w:rsidRDefault="00C317E7" w:rsidP="00931C85">
            <w:pPr>
              <w:contextualSpacing/>
              <w:rPr>
                <w:rFonts w:ascii="Verdana" w:eastAsia="Calibri" w:hAnsi="Verdana" w:cs="Arial"/>
                <w:color w:val="000000"/>
                <w:sz w:val="16"/>
                <w:szCs w:val="16"/>
                <w:lang w:val="pt-BR" w:eastAsia="es-ES"/>
              </w:rPr>
            </w:pPr>
            <w:r w:rsidRPr="00343E12">
              <w:rPr>
                <w:rFonts w:ascii="Verdana" w:eastAsia="Calibri" w:hAnsi="Verdana" w:cs="Arial"/>
                <w:color w:val="000000"/>
                <w:sz w:val="16"/>
                <w:szCs w:val="16"/>
                <w:lang w:val="pt-BR" w:eastAsia="es-ES"/>
              </w:rPr>
              <w:t xml:space="preserve">Carolina Quintero </w:t>
            </w:r>
            <w:proofErr w:type="spellStart"/>
            <w:r w:rsidRPr="00343E12">
              <w:rPr>
                <w:rFonts w:ascii="Verdana" w:eastAsia="Calibri" w:hAnsi="Verdana" w:cs="Arial"/>
                <w:color w:val="000000"/>
                <w:sz w:val="16"/>
                <w:szCs w:val="16"/>
                <w:lang w:val="pt-BR" w:eastAsia="es-ES"/>
              </w:rPr>
              <w:t>Gacharná</w:t>
            </w:r>
            <w:proofErr w:type="spellEnd"/>
          </w:p>
          <w:p w14:paraId="0A4D0F0B" w14:textId="77777777" w:rsidR="00C317E7" w:rsidRPr="00343E12" w:rsidRDefault="00C317E7" w:rsidP="00931C85">
            <w:pPr>
              <w:contextualSpacing/>
              <w:rPr>
                <w:rFonts w:ascii="Verdana" w:eastAsia="Calibri" w:hAnsi="Verdana" w:cs="Arial"/>
                <w:color w:val="000000"/>
                <w:sz w:val="16"/>
                <w:szCs w:val="16"/>
                <w:lang w:val="pt-BR" w:eastAsia="es-ES"/>
              </w:rPr>
            </w:pPr>
            <w:r w:rsidRPr="00343E12">
              <w:rPr>
                <w:rFonts w:ascii="Verdana" w:eastAsia="Calibri" w:hAnsi="Verdana" w:cs="Arial"/>
                <w:color w:val="000000"/>
                <w:sz w:val="16"/>
                <w:szCs w:val="16"/>
                <w:lang w:eastAsia="es-ES"/>
              </w:rPr>
              <w:t>Subdirectora</w:t>
            </w:r>
            <w:r w:rsidRPr="00343E12">
              <w:rPr>
                <w:rFonts w:ascii="Verdana" w:eastAsia="Calibri" w:hAnsi="Verdana" w:cs="Arial"/>
                <w:color w:val="000000"/>
                <w:sz w:val="16"/>
                <w:szCs w:val="16"/>
                <w:lang w:val="pt-BR" w:eastAsia="es-ES"/>
              </w:rPr>
              <w:t xml:space="preserve"> de Gestión </w:t>
            </w:r>
            <w:proofErr w:type="spellStart"/>
            <w:r w:rsidRPr="00343E12">
              <w:rPr>
                <w:rFonts w:ascii="Verdana" w:eastAsia="Calibri" w:hAnsi="Verdana" w:cs="Arial"/>
                <w:color w:val="000000"/>
                <w:sz w:val="16"/>
                <w:szCs w:val="16"/>
                <w:lang w:val="pt-BR" w:eastAsia="es-ES"/>
              </w:rPr>
              <w:t>Contractual</w:t>
            </w:r>
            <w:proofErr w:type="spellEnd"/>
            <w:r w:rsidRPr="00343E12">
              <w:rPr>
                <w:rFonts w:ascii="Verdana" w:eastAsia="Calibri" w:hAnsi="Verdana" w:cs="Arial"/>
                <w:color w:val="000000"/>
                <w:sz w:val="16"/>
                <w:szCs w:val="16"/>
                <w:lang w:val="pt-BR" w:eastAsia="es-ES"/>
              </w:rPr>
              <w:t xml:space="preserve"> ANCP – CCE</w:t>
            </w:r>
          </w:p>
        </w:tc>
      </w:tr>
    </w:tbl>
    <w:p w14:paraId="3A89C1DD" w14:textId="77777777" w:rsidR="00C317E7" w:rsidRPr="00343E12" w:rsidRDefault="00C317E7" w:rsidP="00C317E7">
      <w:pPr>
        <w:spacing w:after="0"/>
        <w:rPr>
          <w:rFonts w:ascii="Verdana" w:eastAsia="Aptos" w:hAnsi="Verdana" w:cs="Times New Roman"/>
        </w:rPr>
      </w:pPr>
    </w:p>
    <w:p w14:paraId="51DF1A4B" w14:textId="77777777" w:rsidR="00C317E7" w:rsidRPr="00A45F89" w:rsidRDefault="00C317E7" w:rsidP="00C317E7"/>
    <w:p w14:paraId="1B1CC1BF" w14:textId="77777777" w:rsidR="000F5A42" w:rsidRDefault="000F5A42"/>
    <w:sectPr w:rsidR="000F5A42" w:rsidSect="00C317E7">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2E873" w14:textId="77777777" w:rsidR="00FF7CE5" w:rsidRDefault="00FF7CE5" w:rsidP="00C317E7">
      <w:pPr>
        <w:spacing w:after="0" w:line="240" w:lineRule="auto"/>
      </w:pPr>
      <w:r>
        <w:separator/>
      </w:r>
    </w:p>
  </w:endnote>
  <w:endnote w:type="continuationSeparator" w:id="0">
    <w:p w14:paraId="6E465A94" w14:textId="77777777" w:rsidR="00FF7CE5" w:rsidRDefault="00FF7CE5" w:rsidP="00C31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FE23D" w14:textId="77777777" w:rsidR="00C317E7" w:rsidRDefault="00C317E7">
    <w:pPr>
      <w:pStyle w:val="Piedepgina"/>
    </w:pPr>
  </w:p>
  <w:p w14:paraId="74E70E1B" w14:textId="77777777" w:rsidR="00C317E7" w:rsidRPr="00174B77" w:rsidRDefault="00C317E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343E12">
      <w:rPr>
        <w:rFonts w:ascii="Verdana" w:eastAsia="Times New Roman" w:hAnsi="Verdana" w:cs="Times New Roman"/>
        <w:b/>
        <w:bCs/>
        <w:sz w:val="16"/>
        <w:szCs w:val="16"/>
        <w:lang w:val="es-ES"/>
      </w:rPr>
      <w:t xml:space="preserve">pág. </w:t>
    </w:r>
    <w:r w:rsidRPr="00343E1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343E12">
      <w:rPr>
        <w:rFonts w:ascii="Verdana" w:eastAsia="Times New Roman" w:hAnsi="Verdana"/>
        <w:b/>
        <w:bCs/>
        <w:sz w:val="16"/>
        <w:szCs w:val="16"/>
      </w:rPr>
      <w:fldChar w:fldCharType="separate"/>
    </w:r>
    <w:r w:rsidRPr="00343E12">
      <w:rPr>
        <w:rFonts w:ascii="Verdana" w:eastAsia="Times New Roman" w:hAnsi="Verdana"/>
        <w:b/>
        <w:bCs/>
        <w:sz w:val="16"/>
        <w:szCs w:val="16"/>
      </w:rPr>
      <w:t>1</w:t>
    </w:r>
    <w:r w:rsidRPr="00343E1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F151ABE" w14:textId="77777777" w:rsidR="00C317E7" w:rsidRDefault="00C317E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7AFCB75" w14:textId="77777777" w:rsidR="00C317E7" w:rsidRPr="00E41027" w:rsidRDefault="00C317E7" w:rsidP="00D520D8">
    <w:pPr>
      <w:spacing w:after="0"/>
      <w:jc w:val="both"/>
      <w:rPr>
        <w:rFonts w:ascii="Verdana" w:hAnsi="Verdana"/>
        <w:sz w:val="18"/>
        <w:szCs w:val="18"/>
      </w:rPr>
    </w:pPr>
    <w:r w:rsidRPr="00E41027">
      <w:rPr>
        <w:rFonts w:ascii="Verdana" w:hAnsi="Verdana"/>
        <w:sz w:val="18"/>
        <w:szCs w:val="18"/>
      </w:rPr>
      <w:t>Mesa de servicio: (+57) 601 7456788</w:t>
    </w:r>
  </w:p>
  <w:p w14:paraId="3E1D1894" w14:textId="77777777" w:rsidR="00C317E7" w:rsidRDefault="00C317E7" w:rsidP="356CEDFD">
    <w:pPr>
      <w:pBdr>
        <w:top w:val="nil"/>
        <w:left w:val="nil"/>
        <w:bottom w:val="nil"/>
        <w:right w:val="nil"/>
        <w:between w:val="nil"/>
      </w:pBdr>
      <w:tabs>
        <w:tab w:val="center" w:pos="4419"/>
        <w:tab w:val="right" w:pos="8838"/>
        <w:tab w:val="center" w:pos="5400"/>
      </w:tabs>
      <w:spacing w:after="0"/>
      <w:jc w:val="right"/>
    </w:pPr>
    <w:r w:rsidRPr="00343E12">
      <w:rPr>
        <w:rFonts w:ascii="Century Gothic" w:eastAsia="Geo" w:hAnsi="Century Gothic" w:cs="Geo"/>
        <w:b/>
        <w:bCs/>
        <w:color w:val="000000"/>
        <w:sz w:val="16"/>
        <w:szCs w:val="16"/>
        <w:lang w:eastAsia="es-CO"/>
      </w:rPr>
      <w:t xml:space="preserve">Código: </w:t>
    </w:r>
    <w:r w:rsidRPr="00343E12">
      <w:rPr>
        <w:rFonts w:ascii="Century Gothic" w:eastAsia="Geo" w:hAnsi="Century Gothic" w:cs="Geo"/>
        <w:color w:val="000000"/>
        <w:sz w:val="16"/>
        <w:szCs w:val="16"/>
        <w:lang w:eastAsia="es-CO"/>
      </w:rPr>
      <w:t xml:space="preserve">CCE-REC-FM-17 </w:t>
    </w:r>
    <w:r w:rsidRPr="00343E12">
      <w:rPr>
        <w:rFonts w:ascii="Century Gothic" w:eastAsia="Geo" w:hAnsi="Century Gothic" w:cs="Geo"/>
        <w:b/>
        <w:bCs/>
        <w:color w:val="000000"/>
        <w:sz w:val="16"/>
        <w:szCs w:val="16"/>
        <w:lang w:eastAsia="es-CO"/>
      </w:rPr>
      <w:t>V</w:t>
    </w:r>
    <w:r w:rsidRPr="00343E12">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BBE6A" w14:textId="77777777" w:rsidR="00FF7CE5" w:rsidRDefault="00FF7CE5" w:rsidP="00C317E7">
      <w:pPr>
        <w:spacing w:after="0" w:line="240" w:lineRule="auto"/>
      </w:pPr>
      <w:r>
        <w:separator/>
      </w:r>
    </w:p>
  </w:footnote>
  <w:footnote w:type="continuationSeparator" w:id="0">
    <w:p w14:paraId="051EE668" w14:textId="77777777" w:rsidR="00FF7CE5" w:rsidRDefault="00FF7CE5" w:rsidP="00C317E7">
      <w:pPr>
        <w:spacing w:after="0" w:line="240" w:lineRule="auto"/>
      </w:pPr>
      <w:r>
        <w:continuationSeparator/>
      </w:r>
    </w:p>
  </w:footnote>
  <w:footnote w:id="1">
    <w:p w14:paraId="04FB435F" w14:textId="77777777" w:rsidR="00C317E7" w:rsidRPr="006A36BB" w:rsidRDefault="00C317E7" w:rsidP="00C317E7">
      <w:pPr>
        <w:pStyle w:val="Textonotapie"/>
        <w:ind w:firstLine="709"/>
        <w:jc w:val="both"/>
        <w:rPr>
          <w:rFonts w:ascii="Verdana" w:hAnsi="Verdana" w:cs="Arial"/>
          <w:sz w:val="14"/>
          <w:szCs w:val="14"/>
        </w:rPr>
      </w:pPr>
      <w:r w:rsidRPr="006A36BB">
        <w:rPr>
          <w:rStyle w:val="Refdenotaalpie"/>
          <w:rFonts w:ascii="Verdana" w:hAnsi="Verdana" w:cs="Arial"/>
          <w:sz w:val="14"/>
          <w:szCs w:val="14"/>
        </w:rPr>
        <w:footnoteRef/>
      </w:r>
      <w:r w:rsidRPr="006A36BB">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6543A1A" w14:textId="77777777" w:rsidR="00C317E7" w:rsidRPr="006A36BB" w:rsidRDefault="00C317E7" w:rsidP="00C317E7">
      <w:pPr>
        <w:pStyle w:val="Textonotapie"/>
        <w:ind w:firstLine="709"/>
        <w:jc w:val="both"/>
        <w:rPr>
          <w:rFonts w:ascii="Verdana" w:hAnsi="Verdana" w:cs="Arial"/>
          <w:sz w:val="14"/>
          <w:szCs w:val="14"/>
        </w:rPr>
      </w:pPr>
      <w:r w:rsidRPr="006A36BB">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845BFD3" w14:textId="77777777" w:rsidR="00C317E7" w:rsidRPr="003F2A9C" w:rsidRDefault="00C317E7" w:rsidP="00C317E7">
      <w:pPr>
        <w:pStyle w:val="Textonotapie"/>
        <w:ind w:firstLine="709"/>
        <w:jc w:val="both"/>
        <w:rPr>
          <w:rFonts w:ascii="Verdana" w:hAnsi="Verdana" w:cs="Arial"/>
          <w:sz w:val="16"/>
          <w:szCs w:val="16"/>
        </w:rPr>
      </w:pPr>
    </w:p>
  </w:footnote>
  <w:footnote w:id="2">
    <w:p w14:paraId="06DCED54" w14:textId="77777777" w:rsidR="00C317E7" w:rsidRPr="006A36BB" w:rsidRDefault="00C317E7" w:rsidP="00C317E7">
      <w:pPr>
        <w:pStyle w:val="Textonotapie"/>
        <w:ind w:firstLine="709"/>
        <w:jc w:val="both"/>
        <w:rPr>
          <w:rFonts w:ascii="Verdana" w:hAnsi="Verdana" w:cs="Arial"/>
          <w:sz w:val="14"/>
          <w:szCs w:val="14"/>
        </w:rPr>
      </w:pPr>
      <w:r w:rsidRPr="006A36BB">
        <w:rPr>
          <w:rStyle w:val="Refdenotaalpie"/>
          <w:rFonts w:ascii="Verdana" w:hAnsi="Verdana"/>
          <w:sz w:val="14"/>
          <w:szCs w:val="14"/>
        </w:rPr>
        <w:footnoteRef/>
      </w:r>
      <w:r w:rsidRPr="006A36BB">
        <w:rPr>
          <w:rFonts w:ascii="Verdana" w:hAnsi="Verdana"/>
          <w:sz w:val="14"/>
          <w:szCs w:val="14"/>
        </w:rPr>
        <w:t xml:space="preserve"> </w:t>
      </w:r>
      <w:r w:rsidRPr="006A36BB">
        <w:rPr>
          <w:rFonts w:ascii="Verdana" w:hAnsi="Verdana" w:cs="Arial"/>
          <w:sz w:val="14"/>
          <w:szCs w:val="14"/>
        </w:rPr>
        <w:t>Gaceta del Congreso de la República No. 71 del 2005.</w:t>
      </w:r>
    </w:p>
    <w:p w14:paraId="648963AA" w14:textId="77777777" w:rsidR="00C317E7" w:rsidRPr="006A36BB" w:rsidRDefault="00C317E7" w:rsidP="00C317E7">
      <w:pPr>
        <w:pStyle w:val="Textonotapie"/>
        <w:jc w:val="both"/>
        <w:rPr>
          <w:rFonts w:ascii="Verdana" w:hAnsi="Verdana"/>
          <w:sz w:val="14"/>
          <w:szCs w:val="14"/>
        </w:rPr>
      </w:pPr>
    </w:p>
  </w:footnote>
  <w:footnote w:id="3">
    <w:p w14:paraId="05C15AC9" w14:textId="77777777" w:rsidR="00C317E7" w:rsidRPr="00507686" w:rsidRDefault="00C317E7" w:rsidP="00C317E7">
      <w:pPr>
        <w:pStyle w:val="Textonotapie"/>
        <w:ind w:firstLine="709"/>
        <w:jc w:val="both"/>
        <w:rPr>
          <w:rFonts w:ascii="Verdana" w:hAnsi="Verdana" w:cs="Arial"/>
          <w:sz w:val="14"/>
          <w:szCs w:val="14"/>
          <w:lang w:val="pt-BR"/>
        </w:rPr>
      </w:pPr>
      <w:r w:rsidRPr="00507686">
        <w:rPr>
          <w:rStyle w:val="Refdenotaalpie"/>
          <w:rFonts w:ascii="Verdana" w:hAnsi="Verdana" w:cs="Arial"/>
          <w:sz w:val="14"/>
          <w:szCs w:val="14"/>
        </w:rPr>
        <w:footnoteRef/>
      </w:r>
      <w:r w:rsidRPr="00507686">
        <w:rPr>
          <w:rFonts w:ascii="Verdana" w:hAnsi="Verdana" w:cs="Arial"/>
          <w:sz w:val="14"/>
          <w:szCs w:val="14"/>
          <w:lang w:val="pt-BR"/>
        </w:rPr>
        <w:t xml:space="preserve"> Corte Constitucional, Sentencia C- 1153 de 2005, M.P. Marco Gerardo Monroy Cabra.</w:t>
      </w:r>
    </w:p>
  </w:footnote>
  <w:footnote w:id="4">
    <w:p w14:paraId="65C48551" w14:textId="77777777" w:rsidR="00C317E7" w:rsidRPr="00507686" w:rsidRDefault="00C317E7" w:rsidP="00C317E7">
      <w:pPr>
        <w:pStyle w:val="Textonotapie"/>
        <w:ind w:firstLine="709"/>
        <w:jc w:val="both"/>
        <w:rPr>
          <w:rFonts w:ascii="Verdana" w:hAnsi="Verdana" w:cs="Arial"/>
          <w:sz w:val="14"/>
          <w:szCs w:val="14"/>
          <w:lang w:val="es-CO"/>
        </w:rPr>
      </w:pPr>
      <w:r w:rsidRPr="00507686">
        <w:rPr>
          <w:rStyle w:val="Refdenotaalpie"/>
          <w:rFonts w:ascii="Verdana" w:hAnsi="Verdana" w:cs="Arial"/>
          <w:sz w:val="14"/>
          <w:szCs w:val="14"/>
        </w:rPr>
        <w:footnoteRef/>
      </w:r>
      <w:r w:rsidRPr="00507686">
        <w:rPr>
          <w:rFonts w:ascii="Verdana" w:hAnsi="Verdana" w:cs="Arial"/>
          <w:sz w:val="14"/>
          <w:szCs w:val="14"/>
          <w:lang w:val="pt-BR"/>
        </w:rPr>
        <w:t xml:space="preserve"> </w:t>
      </w:r>
      <w:r w:rsidRPr="00507686">
        <w:rPr>
          <w:rFonts w:ascii="Verdana" w:hAnsi="Verdana" w:cs="Arial"/>
          <w:sz w:val="14"/>
          <w:szCs w:val="14"/>
          <w:lang w:val="es-CO"/>
        </w:rPr>
        <w:t>Corte Constitucional. Sentencias: C-233 de 4 de abril de 2002. M.P: Álvaro Tafur Galvis; C-551 de 9 de julio de 2003</w:t>
      </w:r>
      <w:r>
        <w:rPr>
          <w:rFonts w:ascii="Verdana" w:hAnsi="Verdana" w:cs="Arial"/>
          <w:sz w:val="14"/>
          <w:szCs w:val="14"/>
          <w:lang w:val="es-CO"/>
        </w:rPr>
        <w:t>. M.P: Eduardo Montealegre Lynnet</w:t>
      </w:r>
      <w:r w:rsidRPr="00507686">
        <w:rPr>
          <w:rFonts w:ascii="Verdana" w:hAnsi="Verdana" w:cs="Arial"/>
          <w:sz w:val="14"/>
          <w:szCs w:val="14"/>
          <w:lang w:val="es-CO"/>
        </w:rPr>
        <w:t>; C-353 de 20 de mayo de 2009</w:t>
      </w:r>
      <w:r>
        <w:rPr>
          <w:rFonts w:ascii="Verdana" w:hAnsi="Verdana" w:cs="Arial"/>
          <w:sz w:val="14"/>
          <w:szCs w:val="14"/>
          <w:lang w:val="es-CO"/>
        </w:rPr>
        <w:t xml:space="preserve">. M.P: Jorge Iván Palacio Palacio; </w:t>
      </w:r>
      <w:r w:rsidRPr="00507686">
        <w:rPr>
          <w:rFonts w:ascii="Verdana" w:hAnsi="Verdana" w:cs="Arial"/>
          <w:sz w:val="14"/>
          <w:szCs w:val="14"/>
          <w:lang w:val="es-CO"/>
        </w:rPr>
        <w:t>C-541 de 30 de junio de 2010</w:t>
      </w:r>
      <w:r>
        <w:rPr>
          <w:rFonts w:ascii="Verdana" w:hAnsi="Verdana" w:cs="Arial"/>
          <w:sz w:val="14"/>
          <w:szCs w:val="14"/>
          <w:lang w:val="es-CO"/>
        </w:rPr>
        <w:t>. M.P: Gabriel Eduardo Mendoza Martelo</w:t>
      </w:r>
      <w:r w:rsidRPr="00507686">
        <w:rPr>
          <w:rFonts w:ascii="Verdana" w:hAnsi="Verdana" w:cs="Arial"/>
          <w:sz w:val="14"/>
          <w:szCs w:val="14"/>
          <w:lang w:val="es-CO"/>
        </w:rPr>
        <w:t>; entre otras.</w:t>
      </w:r>
    </w:p>
    <w:p w14:paraId="3F3B6C63" w14:textId="77777777" w:rsidR="00C317E7" w:rsidRPr="00507686" w:rsidRDefault="00C317E7" w:rsidP="00C317E7">
      <w:pPr>
        <w:pStyle w:val="Textonotapie"/>
        <w:ind w:firstLine="709"/>
        <w:jc w:val="both"/>
        <w:rPr>
          <w:rFonts w:ascii="Verdana" w:hAnsi="Verdana" w:cs="Arial"/>
          <w:sz w:val="14"/>
          <w:szCs w:val="14"/>
          <w:lang w:val="pt-BR"/>
        </w:rPr>
      </w:pPr>
    </w:p>
  </w:footnote>
  <w:footnote w:id="5">
    <w:p w14:paraId="65B9E462" w14:textId="77777777" w:rsidR="00C317E7" w:rsidRPr="00885D3D" w:rsidRDefault="00C317E7" w:rsidP="00C317E7">
      <w:pPr>
        <w:pStyle w:val="Textonotapie"/>
        <w:ind w:firstLine="709"/>
        <w:jc w:val="both"/>
        <w:rPr>
          <w:rFonts w:ascii="Verdana" w:hAnsi="Verdana" w:cs="Arial"/>
          <w:sz w:val="14"/>
          <w:szCs w:val="14"/>
          <w:lang w:val="es-ES"/>
        </w:rPr>
      </w:pPr>
      <w:r w:rsidRPr="00507686">
        <w:rPr>
          <w:rStyle w:val="Refdenotaalpie"/>
          <w:rFonts w:ascii="Verdana" w:hAnsi="Verdana" w:cs="Arial"/>
          <w:sz w:val="14"/>
          <w:szCs w:val="14"/>
        </w:rPr>
        <w:footnoteRef/>
      </w:r>
      <w:r w:rsidRPr="00507686">
        <w:rPr>
          <w:rFonts w:ascii="Verdana" w:hAnsi="Verdana" w:cs="Arial"/>
          <w:sz w:val="14"/>
          <w:szCs w:val="14"/>
          <w:lang w:val="es-CO"/>
        </w:rPr>
        <w:t xml:space="preserve"> Consejo de Estado</w:t>
      </w:r>
      <w:r>
        <w:rPr>
          <w:rFonts w:ascii="Verdana" w:hAnsi="Verdana" w:cs="Arial"/>
          <w:sz w:val="14"/>
          <w:szCs w:val="14"/>
          <w:lang w:val="es-CO"/>
        </w:rPr>
        <w:t>.</w:t>
      </w:r>
      <w:r w:rsidRPr="00507686">
        <w:rPr>
          <w:rFonts w:ascii="Verdana" w:hAnsi="Verdana" w:cs="Arial"/>
          <w:sz w:val="14"/>
          <w:szCs w:val="14"/>
          <w:lang w:val="es-CO"/>
        </w:rPr>
        <w:t xml:space="preserve"> Sala de lo Contencioso Administrativo</w:t>
      </w:r>
      <w:r>
        <w:rPr>
          <w:rFonts w:ascii="Verdana" w:hAnsi="Verdana" w:cs="Arial"/>
          <w:sz w:val="14"/>
          <w:szCs w:val="14"/>
          <w:lang w:val="es-CO"/>
        </w:rPr>
        <w:t>.</w:t>
      </w:r>
      <w:r w:rsidRPr="00507686">
        <w:rPr>
          <w:rFonts w:ascii="Verdana" w:hAnsi="Verdana" w:cs="Arial"/>
          <w:sz w:val="14"/>
          <w:szCs w:val="14"/>
          <w:lang w:val="es-CO"/>
        </w:rPr>
        <w:t xml:space="preserve"> Sección Primera. Sentencia de 3 de marzo de 2005</w:t>
      </w:r>
      <w:r>
        <w:rPr>
          <w:rFonts w:ascii="Verdana" w:hAnsi="Verdana" w:cs="Arial"/>
          <w:sz w:val="14"/>
          <w:szCs w:val="14"/>
          <w:lang w:val="es-CO"/>
        </w:rPr>
        <w:t xml:space="preserve">. Radicado: </w:t>
      </w:r>
      <w:r w:rsidRPr="00885D3D">
        <w:rPr>
          <w:rFonts w:ascii="Verdana" w:hAnsi="Verdana" w:cs="Arial"/>
          <w:sz w:val="14"/>
          <w:szCs w:val="14"/>
          <w:lang w:val="es-ES"/>
        </w:rPr>
        <w:t>25001-23-15-000-2004-00823-01</w:t>
      </w:r>
      <w:r>
        <w:rPr>
          <w:rFonts w:ascii="Verdana" w:hAnsi="Verdana" w:cs="Arial"/>
          <w:sz w:val="14"/>
          <w:szCs w:val="14"/>
          <w:lang w:val="es-ES"/>
        </w:rPr>
        <w:t xml:space="preserve"> </w:t>
      </w:r>
      <w:r w:rsidRPr="00885D3D">
        <w:rPr>
          <w:rFonts w:ascii="Verdana" w:hAnsi="Verdana" w:cs="Arial"/>
          <w:sz w:val="14"/>
          <w:szCs w:val="14"/>
          <w:lang w:val="es-ES"/>
        </w:rPr>
        <w:t>(PI).</w:t>
      </w:r>
      <w:r>
        <w:rPr>
          <w:rFonts w:ascii="Verdana" w:hAnsi="Verdana" w:cs="Arial"/>
          <w:sz w:val="14"/>
          <w:szCs w:val="14"/>
          <w:lang w:val="es-ES"/>
        </w:rPr>
        <w:t xml:space="preserve"> </w:t>
      </w:r>
      <w:r>
        <w:rPr>
          <w:rFonts w:ascii="Verdana" w:hAnsi="Verdana" w:cs="Arial"/>
          <w:sz w:val="14"/>
          <w:szCs w:val="14"/>
          <w:lang w:val="es-CO"/>
        </w:rPr>
        <w:t xml:space="preserve">C.P: Camilo Arciniegas Andrade. </w:t>
      </w:r>
      <w:r w:rsidRPr="00507686">
        <w:rPr>
          <w:rFonts w:ascii="Verdana" w:hAnsi="Verdana" w:cs="Arial"/>
          <w:sz w:val="14"/>
          <w:szCs w:val="14"/>
          <w:lang w:val="es-CO"/>
        </w:rPr>
        <w:t xml:space="preserve">Ver también, de la Sección Tercera. </w:t>
      </w:r>
    </w:p>
    <w:p w14:paraId="277B7C50" w14:textId="77777777" w:rsidR="00C317E7" w:rsidRPr="00507686" w:rsidRDefault="00C317E7" w:rsidP="00C317E7">
      <w:pPr>
        <w:pStyle w:val="Textonotapie"/>
        <w:ind w:firstLine="709"/>
        <w:jc w:val="both"/>
        <w:rPr>
          <w:rFonts w:ascii="Verdana" w:hAnsi="Verdana" w:cs="Arial"/>
          <w:sz w:val="14"/>
          <w:szCs w:val="14"/>
          <w:lang w:val="es-CO"/>
        </w:rPr>
      </w:pPr>
    </w:p>
  </w:footnote>
  <w:footnote w:id="6">
    <w:p w14:paraId="475CD471" w14:textId="77777777" w:rsidR="00C317E7" w:rsidRPr="00507686" w:rsidRDefault="00C317E7" w:rsidP="00C317E7">
      <w:pPr>
        <w:pStyle w:val="Textonotapie"/>
        <w:ind w:firstLine="709"/>
        <w:jc w:val="both"/>
        <w:rPr>
          <w:rFonts w:ascii="Verdana" w:hAnsi="Verdana" w:cs="Arial"/>
          <w:sz w:val="14"/>
          <w:szCs w:val="14"/>
        </w:rPr>
      </w:pPr>
      <w:r w:rsidRPr="00F13985">
        <w:rPr>
          <w:rStyle w:val="Refdenotaalpie"/>
          <w:rFonts w:ascii="Verdana" w:hAnsi="Verdana" w:cs="Arial"/>
          <w:sz w:val="14"/>
          <w:szCs w:val="14"/>
        </w:rPr>
        <w:footnoteRef/>
      </w:r>
      <w:r w:rsidRPr="00F13985">
        <w:rPr>
          <w:rFonts w:ascii="Verdana" w:hAnsi="Verdana" w:cs="Arial"/>
          <w:sz w:val="14"/>
          <w:szCs w:val="14"/>
        </w:rPr>
        <w:t xml:space="preserve"> Consejo de Estado, Sala de Consulta y Servicio Civil. 24 de julio de 2013. Radicado: </w:t>
      </w:r>
      <w:r w:rsidRPr="00F13985">
        <w:rPr>
          <w:rFonts w:ascii="Verdana" w:hAnsi="Verdana" w:cs="Arial"/>
          <w:sz w:val="14"/>
          <w:szCs w:val="14"/>
          <w:lang w:val="es-CO"/>
        </w:rPr>
        <w:t xml:space="preserve">11001-03-06-000-2013-00407-00 </w:t>
      </w:r>
      <w:r w:rsidRPr="00F13985">
        <w:rPr>
          <w:rFonts w:ascii="Verdana" w:hAnsi="Verdana" w:cs="Arial"/>
          <w:sz w:val="14"/>
          <w:szCs w:val="14"/>
        </w:rPr>
        <w:t>(2166). C.P. Álvaro Namén Vargas.</w:t>
      </w:r>
      <w:r w:rsidRPr="00507686">
        <w:rPr>
          <w:rFonts w:ascii="Verdana" w:hAnsi="Verdana" w:cs="Arial"/>
          <w:sz w:val="14"/>
          <w:szCs w:val="14"/>
        </w:rPr>
        <w:t xml:space="preserve">  </w:t>
      </w:r>
    </w:p>
  </w:footnote>
  <w:footnote w:id="7">
    <w:p w14:paraId="4F4EC28D" w14:textId="77777777" w:rsidR="00C317E7" w:rsidRPr="00ED7DF7" w:rsidRDefault="00C317E7" w:rsidP="00C317E7">
      <w:pPr>
        <w:spacing w:after="0" w:line="240" w:lineRule="auto"/>
        <w:ind w:firstLine="709"/>
        <w:jc w:val="both"/>
        <w:rPr>
          <w:rFonts w:ascii="Verdana" w:eastAsia="Times New Roman" w:hAnsi="Verdana" w:cs="Arial"/>
          <w:sz w:val="14"/>
          <w:szCs w:val="14"/>
        </w:rPr>
      </w:pPr>
      <w:r w:rsidRPr="00ED7DF7">
        <w:rPr>
          <w:rStyle w:val="Refdenotaalpie"/>
          <w:rFonts w:ascii="Verdana" w:hAnsi="Verdana" w:cs="Arial"/>
          <w:sz w:val="14"/>
          <w:szCs w:val="14"/>
        </w:rPr>
        <w:footnoteRef/>
      </w:r>
      <w:r w:rsidRPr="00ED7DF7">
        <w:rPr>
          <w:rFonts w:ascii="Verdana" w:hAnsi="Verdana" w:cs="Arial"/>
          <w:sz w:val="14"/>
          <w:szCs w:val="14"/>
        </w:rPr>
        <w:t xml:space="preserve"> </w:t>
      </w:r>
      <w:bookmarkStart w:id="8" w:name="33"/>
      <w:r w:rsidRPr="00ED7DF7">
        <w:rPr>
          <w:rFonts w:ascii="Verdana" w:eastAsia="Calibri" w:hAnsi="Verdana" w:cs="Arial"/>
          <w:color w:val="000000"/>
          <w:sz w:val="14"/>
          <w:szCs w:val="14"/>
        </w:rPr>
        <w:t>“</w:t>
      </w:r>
      <w:r w:rsidRPr="00ED7DF7">
        <w:rPr>
          <w:rFonts w:ascii="Verdana" w:eastAsia="Times New Roman" w:hAnsi="Verdana" w:cs="Arial"/>
          <w:sz w:val="14"/>
          <w:szCs w:val="14"/>
        </w:rPr>
        <w:t>Artículo 33. Restricciones a la contratación pública.</w:t>
      </w:r>
      <w:bookmarkEnd w:id="8"/>
      <w:r w:rsidRPr="00ED7DF7">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1B8A6A59" w14:textId="77777777" w:rsidR="00C317E7" w:rsidRPr="00ED7DF7" w:rsidRDefault="00C317E7" w:rsidP="00C317E7">
      <w:pPr>
        <w:spacing w:after="0" w:line="240" w:lineRule="auto"/>
        <w:ind w:firstLine="709"/>
        <w:jc w:val="both"/>
        <w:rPr>
          <w:rFonts w:ascii="Verdana" w:eastAsia="Times New Roman" w:hAnsi="Verdana" w:cs="Arial"/>
          <w:sz w:val="14"/>
          <w:szCs w:val="14"/>
        </w:rPr>
      </w:pPr>
      <w:r w:rsidRPr="00ED7DF7">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D7DF7">
        <w:rPr>
          <w:rFonts w:ascii="Verdana" w:eastAsia="Calibri" w:hAnsi="Verdana" w:cs="Arial"/>
          <w:color w:val="000000"/>
          <w:sz w:val="14"/>
          <w:szCs w:val="14"/>
        </w:rPr>
        <w:t>”</w:t>
      </w:r>
      <w:r w:rsidRPr="00ED7DF7">
        <w:rPr>
          <w:rFonts w:ascii="Verdana" w:eastAsia="Times New Roman" w:hAnsi="Verdana" w:cs="Arial"/>
          <w:sz w:val="14"/>
          <w:szCs w:val="14"/>
        </w:rPr>
        <w:t>.</w:t>
      </w:r>
    </w:p>
    <w:p w14:paraId="281EAAFB" w14:textId="77777777" w:rsidR="00C317E7" w:rsidRPr="00ED7DF7" w:rsidRDefault="00C317E7" w:rsidP="00C317E7">
      <w:pPr>
        <w:spacing w:after="0" w:line="240" w:lineRule="auto"/>
        <w:ind w:firstLine="709"/>
        <w:jc w:val="both"/>
        <w:rPr>
          <w:rFonts w:ascii="Verdana" w:eastAsia="Times New Roman" w:hAnsi="Verdana" w:cs="Arial"/>
          <w:sz w:val="14"/>
          <w:szCs w:val="14"/>
        </w:rPr>
      </w:pPr>
    </w:p>
  </w:footnote>
  <w:footnote w:id="8">
    <w:p w14:paraId="3B922012" w14:textId="77777777" w:rsidR="00C317E7" w:rsidRPr="00ED7DF7" w:rsidRDefault="00C317E7" w:rsidP="00C317E7">
      <w:pPr>
        <w:pStyle w:val="NormalWeb"/>
        <w:spacing w:before="0" w:beforeAutospacing="0" w:after="0" w:afterAutospacing="0"/>
        <w:ind w:firstLine="709"/>
        <w:jc w:val="both"/>
        <w:rPr>
          <w:rFonts w:ascii="Verdana" w:hAnsi="Verdana" w:cs="Arial"/>
          <w:sz w:val="14"/>
          <w:szCs w:val="14"/>
          <w:lang w:val="es-MX"/>
        </w:rPr>
      </w:pPr>
      <w:r w:rsidRPr="00343E12">
        <w:rPr>
          <w:rStyle w:val="Refdenotaalpie"/>
          <w:rFonts w:ascii="Verdana" w:eastAsiaTheme="majorEastAsia" w:hAnsi="Verdana" w:cs="Arial"/>
          <w:sz w:val="14"/>
          <w:szCs w:val="14"/>
        </w:rPr>
        <w:footnoteRef/>
      </w:r>
      <w:r w:rsidRPr="00ED7DF7">
        <w:rPr>
          <w:rFonts w:ascii="Verdana" w:hAnsi="Verdana" w:cs="Arial"/>
          <w:sz w:val="14"/>
          <w:szCs w:val="14"/>
        </w:rPr>
        <w:t xml:space="preserve"> </w:t>
      </w:r>
      <w:bookmarkStart w:id="9" w:name="38"/>
      <w:r w:rsidRPr="00ED7DF7">
        <w:rPr>
          <w:rFonts w:ascii="Verdana" w:eastAsia="Calibri" w:hAnsi="Verdana" w:cs="Arial"/>
          <w:color w:val="000000"/>
          <w:sz w:val="14"/>
          <w:szCs w:val="14"/>
        </w:rPr>
        <w:t>“</w:t>
      </w:r>
      <w:r w:rsidRPr="00ED7DF7">
        <w:rPr>
          <w:rFonts w:ascii="Verdana" w:hAnsi="Verdana" w:cs="Arial"/>
          <w:sz w:val="14"/>
          <w:szCs w:val="14"/>
          <w:lang w:val="es-MX"/>
        </w:rPr>
        <w:t>Artículo 38. Prohibiciones para los servidores públicos. A los empleados del Estado les está prohibido:</w:t>
      </w:r>
      <w:bookmarkEnd w:id="9"/>
      <w:r w:rsidRPr="00ED7DF7">
        <w:rPr>
          <w:rFonts w:ascii="Verdana" w:hAnsi="Verdana" w:cs="Arial"/>
          <w:sz w:val="14"/>
          <w:szCs w:val="14"/>
          <w:lang w:val="es-MX"/>
        </w:rPr>
        <w:t xml:space="preserve"> </w:t>
      </w:r>
      <w:r>
        <w:rPr>
          <w:rFonts w:ascii="Verdana" w:hAnsi="Verdana" w:cs="Arial"/>
          <w:sz w:val="14"/>
          <w:szCs w:val="14"/>
          <w:lang w:val="es-MX"/>
        </w:rPr>
        <w:t>(…)</w:t>
      </w:r>
    </w:p>
    <w:p w14:paraId="6FE537EA" w14:textId="77777777" w:rsidR="00C317E7" w:rsidRPr="00ED7DF7" w:rsidRDefault="00C317E7" w:rsidP="00C317E7">
      <w:pPr>
        <w:pStyle w:val="NormalWeb"/>
        <w:spacing w:before="0" w:beforeAutospacing="0" w:after="0" w:afterAutospacing="0"/>
        <w:ind w:firstLine="709"/>
        <w:jc w:val="both"/>
        <w:rPr>
          <w:rFonts w:ascii="Verdana" w:hAnsi="Verdana" w:cs="Arial"/>
          <w:sz w:val="14"/>
          <w:szCs w:val="14"/>
          <w:lang w:val="es-MX"/>
        </w:rPr>
      </w:pPr>
      <w:r w:rsidRPr="00ED7DF7">
        <w:rPr>
          <w:rStyle w:val="baj"/>
          <w:rFonts w:ascii="Verdana" w:hAnsi="Verdana" w:cs="Arial"/>
          <w:sz w:val="14"/>
          <w:szCs w:val="14"/>
          <w:lang w:val="es-MX"/>
        </w:rPr>
        <w:t>Parágrafo.</w:t>
      </w:r>
      <w:r w:rsidRPr="00ED7DF7">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D7DF7">
        <w:rPr>
          <w:rFonts w:ascii="Verdana" w:eastAsia="Calibri" w:hAnsi="Verdana" w:cs="Arial"/>
          <w:color w:val="000000"/>
          <w:sz w:val="14"/>
          <w:szCs w:val="14"/>
        </w:rPr>
        <w:t>”</w:t>
      </w:r>
      <w:r w:rsidRPr="00ED7DF7">
        <w:rPr>
          <w:rFonts w:ascii="Verdana" w:hAnsi="Verdana" w:cs="Arial"/>
          <w:sz w:val="14"/>
          <w:szCs w:val="14"/>
          <w:lang w:val="es-MX"/>
        </w:rPr>
        <w:t>.</w:t>
      </w:r>
    </w:p>
  </w:footnote>
  <w:footnote w:id="9">
    <w:p w14:paraId="479F02FE" w14:textId="77777777" w:rsidR="00C317E7" w:rsidRPr="00ED7DF7" w:rsidRDefault="00C317E7" w:rsidP="00C317E7">
      <w:pPr>
        <w:spacing w:after="0" w:line="240" w:lineRule="auto"/>
        <w:ind w:left="100" w:right="244" w:firstLine="709"/>
        <w:jc w:val="both"/>
        <w:rPr>
          <w:rFonts w:ascii="Verdana" w:hAnsi="Verdana" w:cs="Arial"/>
          <w:sz w:val="14"/>
          <w:szCs w:val="14"/>
          <w:lang w:val="es-ES"/>
        </w:rPr>
      </w:pPr>
      <w:r w:rsidRPr="00ED7DF7">
        <w:rPr>
          <w:rStyle w:val="Refdenotaalpie"/>
          <w:rFonts w:ascii="Verdana" w:hAnsi="Verdana" w:cs="Arial"/>
          <w:sz w:val="14"/>
          <w:szCs w:val="14"/>
        </w:rPr>
        <w:footnoteRef/>
      </w:r>
      <w:r w:rsidRPr="00ED7DF7">
        <w:rPr>
          <w:rFonts w:ascii="Verdana" w:hAnsi="Verdana" w:cs="Arial"/>
          <w:sz w:val="14"/>
          <w:szCs w:val="14"/>
        </w:rPr>
        <w:t xml:space="preserve"> Consejo de Estado. Sala de Consulta y Servicio Civil. Concepto del 17 de febrero de 2015. Radica</w:t>
      </w:r>
      <w:r>
        <w:rPr>
          <w:rFonts w:ascii="Verdana" w:hAnsi="Verdana" w:cs="Arial"/>
          <w:sz w:val="14"/>
          <w:szCs w:val="14"/>
        </w:rPr>
        <w:t xml:space="preserve">do: </w:t>
      </w:r>
      <w:r w:rsidRPr="00ED7DF7">
        <w:rPr>
          <w:rFonts w:ascii="Verdana" w:hAnsi="Verdana" w:cs="Arial"/>
          <w:sz w:val="14"/>
          <w:szCs w:val="14"/>
        </w:rPr>
        <w:t>11001-03-06-000-2015-00164-00</w:t>
      </w:r>
      <w:r>
        <w:rPr>
          <w:rFonts w:ascii="Verdana" w:hAnsi="Verdana" w:cs="Arial"/>
          <w:sz w:val="14"/>
          <w:szCs w:val="14"/>
        </w:rPr>
        <w:t xml:space="preserve"> </w:t>
      </w:r>
      <w:r w:rsidRPr="00ED7DF7">
        <w:rPr>
          <w:rFonts w:ascii="Verdana" w:hAnsi="Verdana" w:cs="Arial"/>
          <w:sz w:val="14"/>
          <w:szCs w:val="14"/>
        </w:rPr>
        <w:t>(2269).</w:t>
      </w:r>
      <w:r>
        <w:rPr>
          <w:rFonts w:ascii="Verdana" w:hAnsi="Verdana" w:cs="Arial"/>
          <w:sz w:val="14"/>
          <w:szCs w:val="14"/>
        </w:rPr>
        <w:t xml:space="preserve"> </w:t>
      </w:r>
      <w:r w:rsidRPr="00ED7DF7">
        <w:rPr>
          <w:rFonts w:ascii="Verdana" w:hAnsi="Verdana" w:cs="Arial"/>
          <w:sz w:val="14"/>
          <w:szCs w:val="14"/>
        </w:rPr>
        <w:t>C.P. William Zambrano Cetina.</w:t>
      </w:r>
    </w:p>
  </w:footnote>
  <w:footnote w:id="10">
    <w:p w14:paraId="3A42B532" w14:textId="77777777" w:rsidR="00C317E7" w:rsidRPr="00773BA0" w:rsidRDefault="00C317E7" w:rsidP="00C317E7">
      <w:pPr>
        <w:pStyle w:val="Textonotapie"/>
        <w:ind w:firstLine="708"/>
        <w:jc w:val="both"/>
        <w:rPr>
          <w:rFonts w:ascii="Verdana" w:hAnsi="Verdana" w:cs="Arial"/>
          <w:sz w:val="14"/>
          <w:szCs w:val="14"/>
        </w:rPr>
      </w:pPr>
      <w:r w:rsidRPr="00773BA0">
        <w:rPr>
          <w:rStyle w:val="Refdenotaalpie"/>
          <w:rFonts w:ascii="Verdana" w:hAnsi="Verdana" w:cs="Arial"/>
          <w:sz w:val="14"/>
          <w:szCs w:val="14"/>
        </w:rPr>
        <w:footnoteRef/>
      </w:r>
      <w:r w:rsidRPr="00773BA0">
        <w:rPr>
          <w:rFonts w:ascii="Verdana" w:hAnsi="Verdana" w:cs="Arial"/>
          <w:sz w:val="14"/>
          <w:szCs w:val="14"/>
        </w:rPr>
        <w:t xml:space="preserve"> Colombia Compra Eficiente. Circular Externa Única. Numeral 16.5. </w:t>
      </w:r>
    </w:p>
    <w:p w14:paraId="2C2E20B9" w14:textId="77777777" w:rsidR="00C317E7" w:rsidRPr="00773BA0" w:rsidRDefault="00C317E7" w:rsidP="00C317E7">
      <w:pPr>
        <w:pStyle w:val="Textonotapie"/>
        <w:ind w:firstLine="708"/>
        <w:jc w:val="both"/>
        <w:rPr>
          <w:rFonts w:ascii="Verdana" w:hAnsi="Verdana" w:cs="Arial"/>
          <w:sz w:val="14"/>
          <w:szCs w:val="14"/>
        </w:rPr>
      </w:pPr>
    </w:p>
  </w:footnote>
  <w:footnote w:id="11">
    <w:p w14:paraId="00AA1FB8" w14:textId="77777777" w:rsidR="00C317E7" w:rsidRDefault="00C317E7" w:rsidP="00C317E7">
      <w:pPr>
        <w:pStyle w:val="Textonotapie"/>
        <w:ind w:right="51" w:firstLine="709"/>
        <w:jc w:val="both"/>
        <w:rPr>
          <w:rFonts w:ascii="Verdana" w:hAnsi="Verdana" w:cs="Arial"/>
          <w:sz w:val="14"/>
          <w:szCs w:val="14"/>
        </w:rPr>
      </w:pPr>
      <w:r w:rsidRPr="00773BA0">
        <w:rPr>
          <w:rStyle w:val="Refdenotaalpie"/>
          <w:rFonts w:ascii="Verdana" w:hAnsi="Verdana" w:cs="Arial"/>
          <w:sz w:val="14"/>
          <w:szCs w:val="14"/>
        </w:rPr>
        <w:footnoteRef/>
      </w:r>
      <w:r w:rsidRPr="00773BA0">
        <w:rPr>
          <w:rFonts w:ascii="Verdana" w:hAnsi="Verdana" w:cs="Arial"/>
          <w:sz w:val="14"/>
          <w:szCs w:val="14"/>
        </w:rPr>
        <w:t xml:space="preserve"> “</w:t>
      </w:r>
      <w:r w:rsidRPr="00773BA0">
        <w:rPr>
          <w:rFonts w:ascii="Verdana" w:hAnsi="Verdana" w:cs="Arial"/>
          <w:sz w:val="14"/>
          <w:szCs w:val="14"/>
          <w:lang w:val="es-ES"/>
        </w:rPr>
        <w:t xml:space="preserve">[25] </w:t>
      </w:r>
      <w:r w:rsidRPr="00773BA0">
        <w:rPr>
          <w:rFonts w:ascii="Verdana" w:hAnsi="Verdana" w:cs="Arial"/>
          <w:sz w:val="14"/>
          <w:szCs w:val="14"/>
        </w:rPr>
        <w:t>Cfr. Consejo de Estado. Sección Tercera. Sentencia de 3 de diciembre de 2007. Radicados: 24.715, 25.206, 25.409, 24.524, 27.834, 25.410, 26.105, 28.244, 31.447 -acumulados-“.</w:t>
      </w:r>
    </w:p>
    <w:p w14:paraId="198F8666" w14:textId="77777777" w:rsidR="00C317E7" w:rsidRPr="003F2A9C" w:rsidRDefault="00C317E7" w:rsidP="00C317E7">
      <w:pPr>
        <w:pStyle w:val="Textonotapie"/>
        <w:ind w:right="51" w:firstLine="709"/>
        <w:jc w:val="both"/>
        <w:rPr>
          <w:rFonts w:ascii="Verdana" w:hAnsi="Verdana" w:cs="Arial"/>
          <w:sz w:val="16"/>
          <w:szCs w:val="16"/>
        </w:rPr>
      </w:pPr>
    </w:p>
  </w:footnote>
  <w:footnote w:id="12">
    <w:p w14:paraId="3223C582" w14:textId="77777777" w:rsidR="00C317E7" w:rsidRPr="00773BA0" w:rsidRDefault="00C317E7" w:rsidP="00C317E7">
      <w:pPr>
        <w:pStyle w:val="Textonotapie"/>
        <w:ind w:right="51" w:firstLine="709"/>
        <w:jc w:val="both"/>
        <w:rPr>
          <w:rFonts w:ascii="Verdana" w:hAnsi="Verdana" w:cs="Arial"/>
          <w:sz w:val="14"/>
          <w:szCs w:val="14"/>
        </w:rPr>
      </w:pPr>
      <w:r w:rsidRPr="00773BA0">
        <w:rPr>
          <w:rStyle w:val="Refdenotaalpie"/>
          <w:rFonts w:ascii="Verdana" w:hAnsi="Verdana" w:cs="Arial"/>
          <w:sz w:val="14"/>
          <w:szCs w:val="14"/>
        </w:rPr>
        <w:footnoteRef/>
      </w:r>
      <w:r w:rsidRPr="00773BA0">
        <w:rPr>
          <w:rFonts w:ascii="Verdana" w:hAnsi="Verdana" w:cs="Arial"/>
          <w:sz w:val="14"/>
          <w:szCs w:val="14"/>
        </w:rPr>
        <w:t xml:space="preserve"> “</w:t>
      </w:r>
      <w:r w:rsidRPr="00773BA0">
        <w:rPr>
          <w:rFonts w:ascii="Verdana" w:hAnsi="Verdana" w:cs="Arial"/>
          <w:sz w:val="14"/>
          <w:szCs w:val="14"/>
          <w:lang w:val="es-ES"/>
        </w:rPr>
        <w:t xml:space="preserve">[26] </w:t>
      </w:r>
      <w:r w:rsidRPr="00773BA0">
        <w:rPr>
          <w:rFonts w:ascii="Verdana" w:hAnsi="Verdana" w:cs="Arial"/>
          <w:sz w:val="14"/>
          <w:szCs w:val="14"/>
        </w:rPr>
        <w:t>Al respecto ver el concepto 1712 de 2 de febrero de 2006. Consejo de Estado Sala de Consulta y Servicio Civil”.</w:t>
      </w:r>
    </w:p>
  </w:footnote>
  <w:footnote w:id="13">
    <w:p w14:paraId="215CD206" w14:textId="77777777" w:rsidR="00C317E7" w:rsidRPr="00773BA0" w:rsidRDefault="00C317E7" w:rsidP="00C317E7">
      <w:pPr>
        <w:pStyle w:val="Textonotapie"/>
        <w:ind w:firstLine="709"/>
        <w:jc w:val="both"/>
        <w:rPr>
          <w:rFonts w:ascii="Verdana" w:hAnsi="Verdana" w:cs="Arial"/>
          <w:sz w:val="14"/>
          <w:szCs w:val="14"/>
        </w:rPr>
      </w:pPr>
      <w:r w:rsidRPr="00773BA0">
        <w:rPr>
          <w:rStyle w:val="Refdenotaalpie"/>
          <w:rFonts w:ascii="Verdana" w:hAnsi="Verdana" w:cs="Arial"/>
          <w:sz w:val="14"/>
          <w:szCs w:val="14"/>
        </w:rPr>
        <w:footnoteRef/>
      </w:r>
      <w:r w:rsidRPr="00773BA0">
        <w:rPr>
          <w:rFonts w:ascii="Verdana" w:hAnsi="Verdana" w:cs="Arial"/>
          <w:sz w:val="14"/>
          <w:szCs w:val="14"/>
        </w:rPr>
        <w:t xml:space="preserve"> Consejo de Estado. Sala de Consulta y Servicio Civil. Concepto del 2 de septiembre de 2013. Radicación: 11001-03-06-000-2013-00412-00 (2168). Consejero Ponente: Álvaro Namén Vargas.</w:t>
      </w:r>
    </w:p>
    <w:p w14:paraId="00F1FE72" w14:textId="77777777" w:rsidR="00C317E7" w:rsidRPr="00773BA0" w:rsidRDefault="00C317E7" w:rsidP="00C317E7">
      <w:pPr>
        <w:pStyle w:val="Textonotapie"/>
        <w:ind w:firstLine="709"/>
        <w:jc w:val="both"/>
        <w:rPr>
          <w:rFonts w:ascii="Verdana" w:hAnsi="Verdana" w:cs="Arial"/>
          <w:sz w:val="14"/>
          <w:szCs w:val="14"/>
        </w:rPr>
      </w:pPr>
    </w:p>
  </w:footnote>
  <w:footnote w:id="14">
    <w:p w14:paraId="5EBB1778" w14:textId="77777777" w:rsidR="00C317E7" w:rsidRPr="00773BA0" w:rsidRDefault="00C317E7" w:rsidP="00C317E7">
      <w:pPr>
        <w:pStyle w:val="Textonotapie"/>
        <w:ind w:firstLine="709"/>
        <w:jc w:val="both"/>
        <w:rPr>
          <w:rFonts w:ascii="Verdana" w:hAnsi="Verdana" w:cs="Arial"/>
          <w:sz w:val="14"/>
          <w:szCs w:val="14"/>
          <w:lang w:val="es-ES"/>
        </w:rPr>
      </w:pPr>
      <w:r w:rsidRPr="00773BA0">
        <w:rPr>
          <w:rStyle w:val="Refdenotaalpie"/>
          <w:rFonts w:ascii="Verdana" w:hAnsi="Verdana" w:cs="Arial"/>
          <w:sz w:val="14"/>
          <w:szCs w:val="14"/>
        </w:rPr>
        <w:footnoteRef/>
      </w:r>
      <w:r w:rsidRPr="00773BA0">
        <w:rPr>
          <w:rFonts w:ascii="Verdana" w:hAnsi="Verdana" w:cs="Arial"/>
          <w:sz w:val="14"/>
          <w:szCs w:val="14"/>
        </w:rPr>
        <w:t xml:space="preserve"> </w:t>
      </w:r>
      <w:r w:rsidRPr="00773BA0">
        <w:rPr>
          <w:rFonts w:ascii="Verdana" w:hAnsi="Verdana" w:cs="Arial"/>
          <w:sz w:val="14"/>
          <w:szCs w:val="14"/>
          <w:lang w:val="es-ES"/>
        </w:rPr>
        <w:t xml:space="preserve">Artículo 2. </w:t>
      </w:r>
    </w:p>
    <w:p w14:paraId="4A8033B1" w14:textId="77777777" w:rsidR="00C317E7" w:rsidRPr="00773BA0" w:rsidRDefault="00C317E7" w:rsidP="00C317E7">
      <w:pPr>
        <w:pStyle w:val="Textonotapie"/>
        <w:ind w:firstLine="709"/>
        <w:jc w:val="both"/>
        <w:rPr>
          <w:rFonts w:ascii="Verdana" w:hAnsi="Verdana" w:cs="Arial"/>
          <w:sz w:val="14"/>
          <w:szCs w:val="14"/>
          <w:lang w:val="es-ES"/>
        </w:rPr>
      </w:pPr>
    </w:p>
  </w:footnote>
  <w:footnote w:id="15">
    <w:p w14:paraId="334BF9DF" w14:textId="77777777" w:rsidR="00C317E7" w:rsidRDefault="00C317E7" w:rsidP="00C317E7">
      <w:pPr>
        <w:pStyle w:val="Textonotapie"/>
        <w:ind w:firstLine="709"/>
        <w:jc w:val="both"/>
        <w:rPr>
          <w:rFonts w:ascii="Verdana" w:hAnsi="Verdana" w:cs="Arial"/>
          <w:sz w:val="14"/>
          <w:szCs w:val="14"/>
          <w:lang w:val="es-ES"/>
        </w:rPr>
      </w:pPr>
      <w:r w:rsidRPr="00773BA0">
        <w:rPr>
          <w:rStyle w:val="Refdenotaalpie"/>
          <w:rFonts w:ascii="Verdana" w:hAnsi="Verdana" w:cs="Arial"/>
          <w:sz w:val="14"/>
          <w:szCs w:val="14"/>
        </w:rPr>
        <w:footnoteRef/>
      </w:r>
      <w:r w:rsidRPr="00773BA0">
        <w:rPr>
          <w:rFonts w:ascii="Verdana" w:hAnsi="Verdana" w:cs="Arial"/>
          <w:sz w:val="14"/>
          <w:szCs w:val="14"/>
        </w:rPr>
        <w:t xml:space="preserve"> </w:t>
      </w:r>
      <w:r w:rsidRPr="00773BA0">
        <w:rPr>
          <w:rFonts w:ascii="Verdana" w:hAnsi="Verdana" w:cs="Arial"/>
          <w:i/>
          <w:sz w:val="14"/>
          <w:szCs w:val="14"/>
          <w:lang w:val="es-ES"/>
        </w:rPr>
        <w:t>Ídem</w:t>
      </w:r>
      <w:r w:rsidRPr="00773BA0">
        <w:rPr>
          <w:rFonts w:ascii="Verdana" w:hAnsi="Verdana" w:cs="Arial"/>
          <w:sz w:val="14"/>
          <w:szCs w:val="14"/>
          <w:lang w:val="es-ES"/>
        </w:rPr>
        <w:t>.</w:t>
      </w:r>
    </w:p>
    <w:p w14:paraId="04BDC16C" w14:textId="77777777" w:rsidR="00C317E7" w:rsidRPr="00773BA0" w:rsidRDefault="00C317E7" w:rsidP="00C317E7">
      <w:pPr>
        <w:pStyle w:val="Textonotapie"/>
        <w:ind w:firstLine="709"/>
        <w:jc w:val="both"/>
        <w:rPr>
          <w:rFonts w:ascii="Verdana" w:hAnsi="Verdana" w:cs="Arial"/>
          <w:sz w:val="14"/>
          <w:szCs w:val="14"/>
          <w:lang w:val="es-ES"/>
        </w:rPr>
      </w:pPr>
    </w:p>
  </w:footnote>
  <w:footnote w:id="16">
    <w:p w14:paraId="7EB204CD" w14:textId="77777777" w:rsidR="00C317E7" w:rsidRPr="00773BA0" w:rsidRDefault="00C317E7" w:rsidP="00C317E7">
      <w:pPr>
        <w:pStyle w:val="Textonotapie"/>
        <w:ind w:firstLine="709"/>
        <w:jc w:val="both"/>
        <w:rPr>
          <w:rFonts w:ascii="Verdana" w:hAnsi="Verdana" w:cs="Arial"/>
          <w:sz w:val="14"/>
          <w:szCs w:val="14"/>
          <w:lang w:val="es-ES"/>
        </w:rPr>
      </w:pPr>
      <w:r w:rsidRPr="00773BA0">
        <w:rPr>
          <w:rStyle w:val="Refdenotaalpie"/>
          <w:rFonts w:ascii="Verdana" w:hAnsi="Verdana" w:cs="Arial"/>
          <w:sz w:val="14"/>
          <w:szCs w:val="14"/>
        </w:rPr>
        <w:footnoteRef/>
      </w:r>
      <w:r w:rsidRPr="00773BA0">
        <w:rPr>
          <w:rStyle w:val="Refdenotaalpie"/>
          <w:rFonts w:ascii="Verdana" w:hAnsi="Verdana" w:cs="Arial"/>
          <w:sz w:val="14"/>
          <w:szCs w:val="14"/>
        </w:rPr>
        <w:t xml:space="preserve"> </w:t>
      </w:r>
      <w:r w:rsidRPr="00773BA0">
        <w:rPr>
          <w:rFonts w:ascii="Verdana" w:hAnsi="Verdana" w:cs="Arial"/>
          <w:sz w:val="14"/>
          <w:szCs w:val="14"/>
          <w:lang w:val="es-ES"/>
        </w:rPr>
        <w:t xml:space="preserve">“[…] A este respecto, cabe recordar que el artículo 860 del Código de Comercio regula la licitación en el derecho privado”. </w:t>
      </w:r>
    </w:p>
    <w:p w14:paraId="0E6F3200" w14:textId="77777777" w:rsidR="00C317E7" w:rsidRPr="00773BA0" w:rsidRDefault="00C317E7" w:rsidP="00C317E7">
      <w:pPr>
        <w:pStyle w:val="Textonotapie"/>
        <w:ind w:firstLine="709"/>
        <w:jc w:val="both"/>
        <w:rPr>
          <w:rFonts w:ascii="Verdana" w:hAnsi="Verdana" w:cs="Arial"/>
          <w:sz w:val="14"/>
          <w:szCs w:val="14"/>
          <w:lang w:val="es-ES"/>
        </w:rPr>
      </w:pPr>
    </w:p>
  </w:footnote>
  <w:footnote w:id="17">
    <w:p w14:paraId="5ADDD17C" w14:textId="77777777" w:rsidR="00C317E7" w:rsidRPr="00773BA0" w:rsidRDefault="00C317E7" w:rsidP="00C317E7">
      <w:pPr>
        <w:shd w:val="clear" w:color="auto" w:fill="FFFFFF"/>
        <w:spacing w:after="0" w:line="240" w:lineRule="auto"/>
        <w:ind w:firstLine="709"/>
        <w:jc w:val="both"/>
        <w:rPr>
          <w:rFonts w:ascii="Verdana" w:hAnsi="Verdana" w:cs="Arial"/>
          <w:sz w:val="14"/>
          <w:szCs w:val="14"/>
          <w:lang w:val="es-ES"/>
        </w:rPr>
      </w:pPr>
      <w:r w:rsidRPr="00773BA0">
        <w:rPr>
          <w:rStyle w:val="Refdenotaalpie"/>
          <w:rFonts w:ascii="Verdana" w:hAnsi="Verdana" w:cs="Arial"/>
          <w:sz w:val="14"/>
          <w:szCs w:val="14"/>
        </w:rPr>
        <w:footnoteRef/>
      </w:r>
      <w:r w:rsidRPr="00773BA0">
        <w:rPr>
          <w:rStyle w:val="Refdenotaalpie"/>
          <w:rFonts w:ascii="Verdana" w:hAnsi="Verdana" w:cs="Arial"/>
          <w:sz w:val="14"/>
          <w:szCs w:val="14"/>
        </w:rPr>
        <w:t xml:space="preserve"> </w:t>
      </w:r>
      <w:r w:rsidRPr="00773BA0">
        <w:rPr>
          <w:rFonts w:ascii="Verdana" w:hAnsi="Verdana" w:cs="Arial"/>
          <w:sz w:val="14"/>
          <w:szCs w:val="14"/>
          <w:lang w:val="es-ES"/>
        </w:rPr>
        <w:t>Consejo de Estado. Sala de Consulta y Servicio Civil</w:t>
      </w:r>
      <w:r>
        <w:rPr>
          <w:rFonts w:ascii="Verdana" w:hAnsi="Verdana" w:cs="Arial"/>
          <w:sz w:val="14"/>
          <w:szCs w:val="14"/>
          <w:lang w:val="es-ES"/>
        </w:rPr>
        <w:t>.</w:t>
      </w:r>
      <w:r w:rsidRPr="00773BA0">
        <w:rPr>
          <w:rFonts w:ascii="Verdana" w:hAnsi="Verdana" w:cs="Arial"/>
          <w:sz w:val="14"/>
          <w:szCs w:val="14"/>
          <w:lang w:val="es-ES"/>
        </w:rPr>
        <w:t xml:space="preserve"> Concepto de 8 de mayo de 2018. Radicación: 11001-03-06-000-2018-00095-00</w:t>
      </w:r>
      <w:r>
        <w:rPr>
          <w:rFonts w:ascii="Verdana" w:hAnsi="Verdana" w:cs="Arial"/>
          <w:sz w:val="14"/>
          <w:szCs w:val="14"/>
          <w:lang w:val="es-ES"/>
        </w:rPr>
        <w:t xml:space="preserve"> </w:t>
      </w:r>
      <w:r w:rsidRPr="00773BA0">
        <w:rPr>
          <w:rFonts w:ascii="Verdana" w:hAnsi="Verdana" w:cs="Arial"/>
          <w:sz w:val="14"/>
          <w:szCs w:val="14"/>
          <w:lang w:val="es-ES"/>
        </w:rPr>
        <w:t>(2382). Consejero Ponente: Álvaro Namén Vargas.</w:t>
      </w:r>
    </w:p>
    <w:p w14:paraId="0ABA77B0" w14:textId="77777777" w:rsidR="00C317E7" w:rsidRPr="00773BA0" w:rsidRDefault="00C317E7" w:rsidP="00C317E7">
      <w:pPr>
        <w:shd w:val="clear" w:color="auto" w:fill="FFFFFF"/>
        <w:spacing w:after="0" w:line="240" w:lineRule="auto"/>
        <w:ind w:firstLine="709"/>
        <w:jc w:val="both"/>
        <w:rPr>
          <w:rFonts w:ascii="Verdana" w:hAnsi="Verdana" w:cs="Arial"/>
          <w:sz w:val="14"/>
          <w:szCs w:val="14"/>
          <w:lang w:val="es-ES"/>
        </w:rPr>
      </w:pPr>
    </w:p>
  </w:footnote>
  <w:footnote w:id="18">
    <w:p w14:paraId="2E8E5528" w14:textId="77777777" w:rsidR="00C317E7" w:rsidRPr="003F2A9C" w:rsidRDefault="00C317E7" w:rsidP="00C317E7">
      <w:pPr>
        <w:pStyle w:val="Textonotapie"/>
        <w:ind w:firstLine="709"/>
        <w:jc w:val="both"/>
        <w:rPr>
          <w:rFonts w:ascii="Verdana" w:hAnsi="Verdana" w:cs="Arial"/>
          <w:sz w:val="16"/>
          <w:szCs w:val="16"/>
        </w:rPr>
      </w:pPr>
      <w:r w:rsidRPr="00773BA0">
        <w:rPr>
          <w:rStyle w:val="Refdenotaalpie"/>
          <w:rFonts w:ascii="Verdana" w:hAnsi="Verdana" w:cs="Arial"/>
          <w:sz w:val="14"/>
          <w:szCs w:val="14"/>
        </w:rPr>
        <w:footnoteRef/>
      </w:r>
      <w:r w:rsidRPr="00773BA0">
        <w:rPr>
          <w:rFonts w:ascii="Verdana" w:hAnsi="Verdana" w:cs="Arial"/>
          <w:sz w:val="14"/>
          <w:szCs w:val="14"/>
        </w:rPr>
        <w:t xml:space="preserve"> </w:t>
      </w:r>
      <w:r>
        <w:rPr>
          <w:rFonts w:ascii="Verdana" w:hAnsi="Verdana" w:cs="Arial"/>
          <w:sz w:val="14"/>
          <w:szCs w:val="14"/>
        </w:rPr>
        <w:t>Ibídem.</w:t>
      </w:r>
    </w:p>
  </w:footnote>
  <w:footnote w:id="19">
    <w:p w14:paraId="2565BE8B" w14:textId="77777777" w:rsidR="00C317E7" w:rsidRPr="0080472B" w:rsidRDefault="00C317E7" w:rsidP="00C317E7">
      <w:pPr>
        <w:pStyle w:val="Textonotapie"/>
        <w:ind w:firstLine="708"/>
        <w:jc w:val="both"/>
        <w:rPr>
          <w:rFonts w:ascii="Verdana" w:hAnsi="Verdana" w:cs="Arial"/>
          <w:sz w:val="14"/>
          <w:szCs w:val="14"/>
        </w:rPr>
      </w:pPr>
      <w:r w:rsidRPr="0080472B">
        <w:rPr>
          <w:rStyle w:val="Refdenotaalpie"/>
          <w:rFonts w:ascii="Verdana" w:hAnsi="Verdana" w:cs="Arial"/>
          <w:sz w:val="14"/>
          <w:szCs w:val="14"/>
        </w:rPr>
        <w:footnoteRef/>
      </w:r>
      <w:r w:rsidRPr="0080472B">
        <w:rPr>
          <w:rFonts w:ascii="Verdana" w:hAnsi="Verdana" w:cs="Arial"/>
          <w:sz w:val="14"/>
          <w:szCs w:val="14"/>
        </w:rPr>
        <w:t xml:space="preserve"> Colombia Compra Eficiente. Circular Única</w:t>
      </w:r>
      <w:r>
        <w:rPr>
          <w:rFonts w:ascii="Verdana" w:hAnsi="Verdana" w:cs="Arial"/>
          <w:sz w:val="14"/>
          <w:szCs w:val="14"/>
        </w:rPr>
        <w:t xml:space="preserve"> </w:t>
      </w:r>
      <w:r w:rsidRPr="0080472B">
        <w:rPr>
          <w:rFonts w:ascii="Verdana" w:hAnsi="Verdana" w:cs="Arial"/>
          <w:sz w:val="14"/>
          <w:szCs w:val="14"/>
        </w:rPr>
        <w:t>Externa.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r>
        <w:rPr>
          <w:rFonts w:ascii="Verdana" w:hAnsi="Verdana" w:cs="Arial"/>
          <w:sz w:val="14"/>
          <w:szCs w:val="14"/>
        </w:rPr>
        <w:t xml:space="preserve"> En </w:t>
      </w:r>
      <w:hyperlink r:id="rId1" w:history="1">
        <w:r w:rsidRPr="004253D5">
          <w:rPr>
            <w:rStyle w:val="Hipervnculo"/>
            <w:rFonts w:ascii="Verdana" w:hAnsi="Verdana" w:cs="Arial"/>
            <w:sz w:val="14"/>
            <w:szCs w:val="14"/>
            <w:lang w:val="es-CO"/>
          </w:rPr>
          <w:t>circular_externa_unica_version_3_vf49.pdf</w:t>
        </w:r>
      </w:hyperlink>
    </w:p>
    <w:p w14:paraId="4B4B9A42" w14:textId="77777777" w:rsidR="00C317E7" w:rsidRPr="0080472B" w:rsidRDefault="00C317E7" w:rsidP="00C317E7">
      <w:pPr>
        <w:pStyle w:val="Textonotapie"/>
        <w:ind w:firstLine="708"/>
        <w:jc w:val="both"/>
        <w:rPr>
          <w:rFonts w:ascii="Verdana" w:hAnsi="Verdana" w:cs="Arial"/>
          <w:sz w:val="14"/>
          <w:szCs w:val="14"/>
        </w:rPr>
      </w:pPr>
    </w:p>
  </w:footnote>
  <w:footnote w:id="20">
    <w:p w14:paraId="2E69C5EC" w14:textId="77777777" w:rsidR="00C317E7" w:rsidRPr="003F2A9C" w:rsidRDefault="00C317E7" w:rsidP="00C317E7">
      <w:pPr>
        <w:pStyle w:val="Textonotapie"/>
        <w:ind w:firstLine="709"/>
        <w:jc w:val="both"/>
        <w:rPr>
          <w:rFonts w:ascii="Verdana" w:hAnsi="Verdana" w:cs="Arial"/>
          <w:sz w:val="16"/>
          <w:szCs w:val="16"/>
        </w:rPr>
      </w:pPr>
      <w:r w:rsidRPr="0080472B">
        <w:rPr>
          <w:rStyle w:val="Refdenotaalpie"/>
          <w:rFonts w:ascii="Verdana" w:hAnsi="Verdana" w:cs="Arial"/>
          <w:sz w:val="14"/>
          <w:szCs w:val="14"/>
        </w:rPr>
        <w:footnoteRef/>
      </w:r>
      <w:r w:rsidRPr="0080472B">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r w:rsidRPr="003F2A9C">
        <w:rPr>
          <w:rFonts w:ascii="Verdana" w:hAnsi="Verdana" w:cs="Arial"/>
          <w:sz w:val="16"/>
          <w:szCs w:val="16"/>
        </w:rPr>
        <w:t>.</w:t>
      </w:r>
    </w:p>
    <w:p w14:paraId="2ADAB073" w14:textId="77777777" w:rsidR="00C317E7" w:rsidRPr="003F2A9C" w:rsidRDefault="00C317E7" w:rsidP="00C317E7">
      <w:pPr>
        <w:pStyle w:val="Textonotapie"/>
        <w:ind w:firstLine="709"/>
        <w:jc w:val="both"/>
        <w:rPr>
          <w:rFonts w:ascii="Verdana" w:hAnsi="Verdana" w:cs="Arial"/>
          <w:sz w:val="16"/>
          <w:szCs w:val="16"/>
        </w:rPr>
      </w:pPr>
    </w:p>
  </w:footnote>
  <w:footnote w:id="21">
    <w:p w14:paraId="22AFEAB8" w14:textId="77777777" w:rsidR="00C317E7" w:rsidRPr="00343E12" w:rsidRDefault="00C317E7" w:rsidP="00C317E7">
      <w:pPr>
        <w:pStyle w:val="Textonotapie"/>
        <w:ind w:firstLine="708"/>
        <w:jc w:val="both"/>
        <w:rPr>
          <w:rFonts w:ascii="Verdana" w:hAnsi="Verdana" w:cs="Arial"/>
          <w:color w:val="000000"/>
          <w:sz w:val="16"/>
          <w:szCs w:val="16"/>
          <w:lang w:val="es-ES"/>
        </w:rPr>
      </w:pPr>
      <w:r w:rsidRPr="00343E12">
        <w:rPr>
          <w:rStyle w:val="Refdenotaalpie"/>
          <w:rFonts w:ascii="Verdana" w:hAnsi="Verdana" w:cs="Arial"/>
          <w:color w:val="000000"/>
          <w:sz w:val="16"/>
          <w:szCs w:val="16"/>
        </w:rPr>
        <w:footnoteRef/>
      </w:r>
      <w:r w:rsidRPr="00343E12">
        <w:rPr>
          <w:rFonts w:ascii="Verdana" w:hAnsi="Verdana" w:cs="Arial"/>
          <w:color w:val="000000"/>
          <w:sz w:val="16"/>
          <w:szCs w:val="16"/>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2">
    <w:p w14:paraId="51CC5E7F" w14:textId="77777777" w:rsidR="00C317E7" w:rsidRPr="004D7A1D" w:rsidRDefault="00C317E7" w:rsidP="00C317E7">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Exp. 70.313. C.P: Fredy Ibarra Martínez.</w:t>
      </w:r>
    </w:p>
  </w:footnote>
  <w:footnote w:id="23">
    <w:p w14:paraId="28521D2F" w14:textId="77777777" w:rsidR="00C317E7" w:rsidRPr="001D30AB" w:rsidRDefault="00C317E7" w:rsidP="00C317E7">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14:paraId="71364EE4" w14:textId="77777777" w:rsidR="00C317E7" w:rsidRPr="00591AA5" w:rsidRDefault="00C317E7" w:rsidP="00C317E7">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4">
    <w:p w14:paraId="4B7D7138" w14:textId="77777777" w:rsidR="00C317E7" w:rsidRPr="001D30AB" w:rsidRDefault="00C317E7" w:rsidP="00C317E7">
      <w:pPr>
        <w:spacing w:after="0" w:line="240" w:lineRule="auto"/>
        <w:ind w:firstLine="709"/>
        <w:contextualSpacing/>
        <w:jc w:val="both"/>
        <w:rPr>
          <w:rFonts w:ascii="Verdana" w:eastAsia="Times New Roman" w:hAnsi="Verdana"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266D5CDE" w14:textId="77777777" w:rsidR="00C317E7" w:rsidRPr="001D30AB" w:rsidRDefault="00C317E7" w:rsidP="00C317E7">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07D3A" w14:textId="77777777" w:rsidR="00C317E7" w:rsidRDefault="00C317E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6C140EB" wp14:editId="6EE47D1E">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EA0CA94" wp14:editId="0988722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E20E5F9" w14:textId="77777777" w:rsidR="00C317E7" w:rsidRDefault="00C317E7">
    <w:pPr>
      <w:pStyle w:val="Encabezado"/>
    </w:pPr>
  </w:p>
  <w:p w14:paraId="2F235B5F" w14:textId="77777777" w:rsidR="00C317E7" w:rsidRPr="004A305D" w:rsidRDefault="00C317E7" w:rsidP="00B01B1A">
    <w:pPr>
      <w:spacing w:after="0" w:line="120" w:lineRule="auto"/>
      <w:rPr>
        <w:rFonts w:ascii="Century Gothic" w:eastAsia="Geo" w:hAnsi="Century Gothic" w:cs="Geo"/>
        <w:sz w:val="16"/>
        <w:szCs w:val="16"/>
        <w:lang w:eastAsia="es-CO"/>
      </w:rPr>
    </w:pPr>
  </w:p>
  <w:p w14:paraId="7A752426" w14:textId="77777777" w:rsidR="00C317E7" w:rsidRDefault="00C317E7" w:rsidP="00844AE9">
    <w:pPr>
      <w:spacing w:after="0" w:line="240" w:lineRule="auto"/>
      <w:rPr>
        <w:rFonts w:ascii="Verdana" w:hAnsi="Verdana"/>
        <w:sz w:val="24"/>
        <w:szCs w:val="24"/>
      </w:rPr>
    </w:pPr>
  </w:p>
  <w:p w14:paraId="7AF8C16F" w14:textId="77777777" w:rsidR="00C317E7" w:rsidRPr="00C925AC" w:rsidRDefault="00C317E7" w:rsidP="00844AE9">
    <w:pPr>
      <w:spacing w:after="0" w:line="240" w:lineRule="auto"/>
      <w:rPr>
        <w:rFonts w:ascii="Verdana" w:hAnsi="Verdana"/>
        <w:sz w:val="24"/>
        <w:szCs w:val="24"/>
      </w:rPr>
    </w:pPr>
  </w:p>
  <w:p w14:paraId="3421B470" w14:textId="77777777" w:rsidR="00C317E7" w:rsidRPr="00C925AC" w:rsidRDefault="00C317E7"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341274352">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7E7"/>
    <w:rsid w:val="00022D64"/>
    <w:rsid w:val="000F5A42"/>
    <w:rsid w:val="0018515D"/>
    <w:rsid w:val="00267851"/>
    <w:rsid w:val="006371DF"/>
    <w:rsid w:val="006B67D8"/>
    <w:rsid w:val="00A12218"/>
    <w:rsid w:val="00A5383E"/>
    <w:rsid w:val="00A90678"/>
    <w:rsid w:val="00B275ED"/>
    <w:rsid w:val="00B321C3"/>
    <w:rsid w:val="00C317E7"/>
    <w:rsid w:val="00F538EF"/>
    <w:rsid w:val="00FF7C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D46C0"/>
  <w15:chartTrackingRefBased/>
  <w15:docId w15:val="{91590E2B-A077-498F-B3A5-167339DE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7E7"/>
    <w:rPr>
      <w:kern w:val="0"/>
      <w14:ligatures w14:val="none"/>
    </w:rPr>
  </w:style>
  <w:style w:type="paragraph" w:styleId="Ttulo1">
    <w:name w:val="heading 1"/>
    <w:basedOn w:val="Normal"/>
    <w:next w:val="Normal"/>
    <w:link w:val="Ttulo1Car"/>
    <w:uiPriority w:val="9"/>
    <w:qFormat/>
    <w:rsid w:val="00C317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317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317E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317E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317E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317E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317E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317E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317E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17E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317E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317E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317E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317E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317E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317E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317E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317E7"/>
    <w:rPr>
      <w:rFonts w:eastAsiaTheme="majorEastAsia" w:cstheme="majorBidi"/>
      <w:color w:val="272727" w:themeColor="text1" w:themeTint="D8"/>
    </w:rPr>
  </w:style>
  <w:style w:type="paragraph" w:styleId="Ttulo">
    <w:name w:val="Title"/>
    <w:basedOn w:val="Normal"/>
    <w:next w:val="Normal"/>
    <w:link w:val="TtuloCar"/>
    <w:uiPriority w:val="10"/>
    <w:qFormat/>
    <w:rsid w:val="00C317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317E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317E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317E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317E7"/>
    <w:pPr>
      <w:spacing w:before="160"/>
      <w:jc w:val="center"/>
    </w:pPr>
    <w:rPr>
      <w:i/>
      <w:iCs/>
      <w:color w:val="404040" w:themeColor="text1" w:themeTint="BF"/>
    </w:rPr>
  </w:style>
  <w:style w:type="character" w:customStyle="1" w:styleId="CitaCar">
    <w:name w:val="Cita Car"/>
    <w:basedOn w:val="Fuentedeprrafopredeter"/>
    <w:link w:val="Cita"/>
    <w:uiPriority w:val="29"/>
    <w:rsid w:val="00C317E7"/>
    <w:rPr>
      <w:i/>
      <w:iCs/>
      <w:color w:val="404040" w:themeColor="text1" w:themeTint="BF"/>
    </w:rPr>
  </w:style>
  <w:style w:type="paragraph" w:styleId="Prrafodelista">
    <w:name w:val="List Paragraph"/>
    <w:basedOn w:val="Normal"/>
    <w:uiPriority w:val="34"/>
    <w:qFormat/>
    <w:rsid w:val="00C317E7"/>
    <w:pPr>
      <w:ind w:left="720"/>
      <w:contextualSpacing/>
    </w:pPr>
  </w:style>
  <w:style w:type="character" w:styleId="nfasisintenso">
    <w:name w:val="Intense Emphasis"/>
    <w:basedOn w:val="Fuentedeprrafopredeter"/>
    <w:uiPriority w:val="21"/>
    <w:qFormat/>
    <w:rsid w:val="00C317E7"/>
    <w:rPr>
      <w:i/>
      <w:iCs/>
      <w:color w:val="0F4761" w:themeColor="accent1" w:themeShade="BF"/>
    </w:rPr>
  </w:style>
  <w:style w:type="paragraph" w:styleId="Citadestacada">
    <w:name w:val="Intense Quote"/>
    <w:basedOn w:val="Normal"/>
    <w:next w:val="Normal"/>
    <w:link w:val="CitadestacadaCar"/>
    <w:uiPriority w:val="30"/>
    <w:qFormat/>
    <w:rsid w:val="00C317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317E7"/>
    <w:rPr>
      <w:i/>
      <w:iCs/>
      <w:color w:val="0F4761" w:themeColor="accent1" w:themeShade="BF"/>
    </w:rPr>
  </w:style>
  <w:style w:type="character" w:styleId="Referenciaintensa">
    <w:name w:val="Intense Reference"/>
    <w:basedOn w:val="Fuentedeprrafopredeter"/>
    <w:uiPriority w:val="32"/>
    <w:qFormat/>
    <w:rsid w:val="00C317E7"/>
    <w:rPr>
      <w:b/>
      <w:bCs/>
      <w:smallCaps/>
      <w:color w:val="0F4761" w:themeColor="accent1" w:themeShade="BF"/>
      <w:spacing w:val="5"/>
    </w:rPr>
  </w:style>
  <w:style w:type="paragraph" w:styleId="Encabezado">
    <w:name w:val="header"/>
    <w:basedOn w:val="Normal"/>
    <w:link w:val="EncabezadoCar"/>
    <w:uiPriority w:val="99"/>
    <w:unhideWhenUsed/>
    <w:rsid w:val="00C317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17E7"/>
    <w:rPr>
      <w:kern w:val="0"/>
      <w14:ligatures w14:val="none"/>
    </w:rPr>
  </w:style>
  <w:style w:type="paragraph" w:styleId="Piedepgina">
    <w:name w:val="footer"/>
    <w:basedOn w:val="Normal"/>
    <w:link w:val="PiedepginaCar"/>
    <w:uiPriority w:val="99"/>
    <w:unhideWhenUsed/>
    <w:rsid w:val="00C317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17E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C317E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C317E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C317E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C317E7"/>
    <w:rPr>
      <w:vertAlign w:val="superscript"/>
    </w:rPr>
  </w:style>
  <w:style w:type="table" w:styleId="Tablaconcuadrcula">
    <w:name w:val="Table Grid"/>
    <w:basedOn w:val="Tablanormal"/>
    <w:uiPriority w:val="39"/>
    <w:qFormat/>
    <w:rsid w:val="00C317E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317E7"/>
    <w:rPr>
      <w:color w:val="0000FF"/>
      <w:u w:val="single"/>
    </w:rPr>
  </w:style>
  <w:style w:type="paragraph" w:styleId="NormalWeb">
    <w:name w:val="Normal (Web)"/>
    <w:basedOn w:val="Normal"/>
    <w:link w:val="NormalWebCar"/>
    <w:uiPriority w:val="99"/>
    <w:unhideWhenUsed/>
    <w:rsid w:val="00C317E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C317E7"/>
    <w:pPr>
      <w:spacing w:line="240" w:lineRule="exact"/>
    </w:pPr>
    <w:rPr>
      <w:kern w:val="2"/>
      <w:vertAlign w:val="superscript"/>
      <w14:ligatures w14:val="standardContextual"/>
    </w:rPr>
  </w:style>
  <w:style w:type="character" w:customStyle="1" w:styleId="NormalWebCar">
    <w:name w:val="Normal (Web) Car"/>
    <w:link w:val="NormalWeb"/>
    <w:uiPriority w:val="99"/>
    <w:locked/>
    <w:rsid w:val="00C317E7"/>
    <w:rPr>
      <w:rFonts w:ascii="Times New Roman" w:eastAsia="Times New Roman" w:hAnsi="Times New Roman" w:cs="Times New Roman"/>
      <w:kern w:val="0"/>
      <w:sz w:val="24"/>
      <w:szCs w:val="24"/>
      <w:lang w:eastAsia="es-CO"/>
      <w14:ligatures w14:val="none"/>
    </w:rPr>
  </w:style>
  <w:style w:type="character" w:customStyle="1" w:styleId="baj">
    <w:name w:val="b_aj"/>
    <w:basedOn w:val="Fuentedeprrafopredeter"/>
    <w:rsid w:val="00C317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peraciones.colombiacompra.gov.co/sites/cce_public/files/cce_circulares/circular_externa_unica_version_3_vf49.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nsanchezcobo0612@gmail.com" TargetMode="External"/><Relationship Id="rId5" Type="http://schemas.openxmlformats.org/officeDocument/2006/relationships/styles" Target="styles.xml"/><Relationship Id="rId15" Type="http://schemas.openxmlformats.org/officeDocument/2006/relationships/image" Target="media/image2.jpe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6B83B3-07E3-4E12-AE25-6F09F50E9A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ECCD58-1342-4213-BD3C-B645F251E5DD}">
  <ds:schemaRefs>
    <ds:schemaRef ds:uri="http://schemas.microsoft.com/sharepoint/v3/contenttype/forms"/>
  </ds:schemaRefs>
</ds:datastoreItem>
</file>

<file path=customXml/itemProps3.xml><?xml version="1.0" encoding="utf-8"?>
<ds:datastoreItem xmlns:ds="http://schemas.openxmlformats.org/officeDocument/2006/customXml" ds:itemID="{59C0DDA5-D891-45C5-890C-E72643EF42F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29</Pages>
  <Words>9282</Words>
  <Characters>50591</Characters>
  <Application>Microsoft Office Word</Application>
  <DocSecurity>0</DocSecurity>
  <Lines>954</Lines>
  <Paragraphs>180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Sergio Andrés Rivera Cano</cp:lastModifiedBy>
  <cp:revision>10</cp:revision>
  <dcterms:created xsi:type="dcterms:W3CDTF">2025-12-09T20:31:00Z</dcterms:created>
  <dcterms:modified xsi:type="dcterms:W3CDTF">2025-12-10T15:17:00Z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