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EC4AE5" w14:textId="77777777" w:rsidR="00E35644" w:rsidRPr="00E35644" w:rsidRDefault="00E35644" w:rsidP="00E35644">
      <w:pPr>
        <w:spacing w:after="0" w:line="240" w:lineRule="auto"/>
        <w:rPr>
          <w:rFonts w:ascii="Verdana" w:hAnsi="Verdana"/>
          <w:b/>
          <w:bCs/>
          <w:lang w:val="es-ES_tradnl"/>
        </w:rPr>
      </w:pPr>
      <w:bookmarkStart w:id="0" w:name="_Hlk143780582"/>
      <w:r w:rsidRPr="00E35644">
        <w:rPr>
          <w:rFonts w:ascii="Verdana" w:hAnsi="Verdana"/>
          <w:b/>
          <w:bCs/>
          <w:lang w:val="es-ES_tradnl"/>
        </w:rPr>
        <w:t xml:space="preserve">CONTRATOS ESTATALES – Régimen jurídico </w:t>
      </w:r>
    </w:p>
    <w:p w14:paraId="2D73E9FE" w14:textId="49F756CF" w:rsidR="00E35644" w:rsidRPr="00E35644" w:rsidRDefault="00E35644" w:rsidP="00E35644">
      <w:pPr>
        <w:spacing w:after="0" w:line="240" w:lineRule="auto"/>
        <w:jc w:val="both"/>
        <w:rPr>
          <w:rFonts w:ascii="Verdana" w:hAnsi="Verdana"/>
          <w:bCs/>
          <w:sz w:val="20"/>
          <w:lang w:val="es-ES_tradnl"/>
        </w:rPr>
      </w:pPr>
    </w:p>
    <w:p w14:paraId="04E21B47" w14:textId="6D9C7CF8" w:rsidR="00E35644" w:rsidRDefault="00E35644" w:rsidP="00E35644">
      <w:pPr>
        <w:spacing w:after="0" w:line="240" w:lineRule="auto"/>
        <w:jc w:val="both"/>
        <w:rPr>
          <w:rFonts w:ascii="Verdana" w:hAnsi="Verdana"/>
          <w:bCs/>
          <w:sz w:val="20"/>
        </w:rPr>
      </w:pPr>
      <w:r w:rsidRPr="00E35644">
        <w:rPr>
          <w:rFonts w:ascii="Verdana" w:hAnsi="Verdana"/>
          <w:bCs/>
          <w:sz w:val="20"/>
          <w:lang w:val="es-ES"/>
        </w:rPr>
        <w:t xml:space="preserve">Respecto al régimen jurídico de las </w:t>
      </w:r>
      <w:r w:rsidRPr="00E35644">
        <w:rPr>
          <w:rFonts w:ascii="Verdana" w:hAnsi="Verdana"/>
          <w:bCs/>
          <w:i/>
          <w:iCs/>
          <w:sz w:val="20"/>
          <w:lang w:val="es-ES"/>
        </w:rPr>
        <w:t>entidades sometidas</w:t>
      </w:r>
      <w:r w:rsidRPr="00E35644">
        <w:rPr>
          <w:rFonts w:ascii="Verdana" w:hAnsi="Verdana"/>
          <w:bCs/>
          <w:sz w:val="20"/>
          <w:lang w:val="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E35644">
        <w:rPr>
          <w:rFonts w:ascii="Verdana" w:hAnsi="Verdana"/>
          <w:bCs/>
          <w:sz w:val="20"/>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277315A1" w14:textId="77777777" w:rsidR="00E35644" w:rsidRPr="00E35644" w:rsidRDefault="00E35644" w:rsidP="00E35644">
      <w:pPr>
        <w:spacing w:after="0" w:line="240" w:lineRule="auto"/>
        <w:jc w:val="both"/>
        <w:rPr>
          <w:rFonts w:ascii="Verdana" w:hAnsi="Verdana"/>
          <w:bCs/>
          <w:sz w:val="20"/>
        </w:rPr>
      </w:pPr>
    </w:p>
    <w:p w14:paraId="713D17A8" w14:textId="77777777" w:rsidR="00E35644" w:rsidRPr="00E35644" w:rsidRDefault="00E35644" w:rsidP="00E35644">
      <w:pPr>
        <w:spacing w:after="0" w:line="240" w:lineRule="auto"/>
        <w:jc w:val="both"/>
        <w:rPr>
          <w:rFonts w:ascii="Verdana" w:hAnsi="Verdana"/>
          <w:bCs/>
          <w:sz w:val="20"/>
        </w:rPr>
      </w:pPr>
      <w:r w:rsidRPr="00E35644">
        <w:rPr>
          <w:rFonts w:ascii="Verdana" w:hAnsi="Verdana"/>
          <w:bCs/>
          <w:sz w:val="20"/>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30CA0D01" w14:textId="77777777" w:rsidR="00E35644" w:rsidRPr="00E35644" w:rsidRDefault="00E35644" w:rsidP="00E35644">
      <w:pPr>
        <w:spacing w:after="0" w:line="240" w:lineRule="auto"/>
        <w:rPr>
          <w:rFonts w:ascii="Verdana" w:hAnsi="Verdana"/>
          <w:bCs/>
        </w:rPr>
      </w:pPr>
    </w:p>
    <w:p w14:paraId="753C00DE" w14:textId="77777777" w:rsidR="00E35644" w:rsidRPr="00E35644" w:rsidRDefault="00E35644" w:rsidP="00E35644">
      <w:pPr>
        <w:spacing w:after="0" w:line="240" w:lineRule="auto"/>
        <w:rPr>
          <w:rFonts w:ascii="Verdana" w:hAnsi="Verdana"/>
          <w:b/>
          <w:bCs/>
          <w:lang w:val="es-ES"/>
        </w:rPr>
      </w:pPr>
      <w:r w:rsidRPr="00E35644">
        <w:rPr>
          <w:rFonts w:ascii="Verdana" w:hAnsi="Verdana"/>
          <w:b/>
          <w:bCs/>
          <w:lang w:val="es-ES_tradnl"/>
        </w:rPr>
        <w:t>CONTRATOS ESTATALES – Capacidad jurídica – Requisitos esenciales</w:t>
      </w:r>
      <w:r w:rsidRPr="00E35644">
        <w:rPr>
          <w:rFonts w:ascii="Verdana" w:hAnsi="Verdana"/>
          <w:b/>
          <w:bCs/>
          <w:lang w:val="es-ES"/>
        </w:rPr>
        <w:t xml:space="preserve"> </w:t>
      </w:r>
    </w:p>
    <w:p w14:paraId="0CD869DA" w14:textId="3DB70EAF" w:rsidR="00E35644" w:rsidRDefault="00E35644" w:rsidP="00E35644">
      <w:pPr>
        <w:spacing w:after="0" w:line="240" w:lineRule="auto"/>
        <w:rPr>
          <w:rFonts w:ascii="Verdana" w:hAnsi="Verdana"/>
          <w:bCs/>
          <w:lang w:val="es-ES"/>
        </w:rPr>
      </w:pPr>
    </w:p>
    <w:p w14:paraId="007A6FA6" w14:textId="7BA21ED3" w:rsidR="00E35644" w:rsidRDefault="00E35644" w:rsidP="00E35644">
      <w:pPr>
        <w:spacing w:after="0" w:line="240" w:lineRule="auto"/>
        <w:jc w:val="both"/>
        <w:rPr>
          <w:rFonts w:ascii="Verdana" w:hAnsi="Verdana"/>
          <w:bCs/>
          <w:sz w:val="20"/>
          <w:lang w:val="es-ES"/>
        </w:rPr>
      </w:pPr>
      <w:r w:rsidRPr="00E35644">
        <w:rPr>
          <w:rFonts w:ascii="Verdana" w:hAnsi="Verdana"/>
          <w:bCs/>
          <w:sz w:val="20"/>
          <w:lang w:val="es-ES"/>
        </w:rPr>
        <w:t>Más allá de la tipicidad o no del negocio, es necesario tener en cuenta que la capacidad contractual para celebrar contratos estatales está regulada en el artículo 6 de la Ley 80 de 1993. De conformidad con la norma citada, “Pueden celebrar contratos con las entidades estatales las personas consideradas legalmente capaces en las disposiciones vigentes […]”. De acuerdo con la modificación de la Ley 2160 de 2021, la norma agrega lo siguiente: “[…] También podrán celebrar contratos con las entidades estatales los Cabildos Indígenas, las asociaciones de Autoridades Tradicionales Indígenas, los consejos comunitarios de las comunidades negras regulados por la Ley 70 de 1993 […] las organizaciones de base de comunidades negras, afrocolombianas, raizales y palenqueras y las demás formas y expresiones organizativas […]; y los consorcios y uniones temporales”.</w:t>
      </w:r>
    </w:p>
    <w:p w14:paraId="15857892" w14:textId="77777777" w:rsidR="00E35644" w:rsidRPr="00E35644" w:rsidRDefault="00E35644" w:rsidP="00E35644">
      <w:pPr>
        <w:spacing w:after="0" w:line="240" w:lineRule="auto"/>
        <w:jc w:val="both"/>
        <w:rPr>
          <w:rFonts w:ascii="Verdana" w:hAnsi="Verdana"/>
          <w:bCs/>
          <w:sz w:val="20"/>
          <w:lang w:val="es-ES"/>
        </w:rPr>
      </w:pPr>
    </w:p>
    <w:p w14:paraId="7419F397" w14:textId="2F1A4FF5" w:rsidR="00E35644" w:rsidRDefault="00E35644" w:rsidP="00E35644">
      <w:pPr>
        <w:spacing w:after="0" w:line="240" w:lineRule="auto"/>
        <w:jc w:val="both"/>
        <w:rPr>
          <w:rFonts w:ascii="Verdana" w:hAnsi="Verdana"/>
          <w:bCs/>
          <w:sz w:val="20"/>
        </w:rPr>
      </w:pPr>
      <w:r w:rsidRPr="00E35644">
        <w:rPr>
          <w:rFonts w:ascii="Verdana" w:hAnsi="Verdana"/>
          <w:bCs/>
          <w:sz w:val="20"/>
        </w:rPr>
        <w:t xml:space="preserve">Asimismo, para efectos de individualizar sus requisitos esenciales, el artículo 1501 del Código Civil dispone que corresponden a “[…] aquellas cosas sin las cuales, o no produce efecto alguno, o degeneran en otro contrato diferente […]”. Es decir, “[…] no es admisible un juicio de comparación con las figuras típicas del ordenamiento, en virtud de la indeterminación inherente antes de su perfeccionamiento, pues […] este es fruto de la mera autonomía privada de las partes, la cual da vida a una figura absolutamente extraña a los tipos contractuales establecidos por las normas jurídicas del ordenamiento jurídico y por la costumbre […]”. </w:t>
      </w:r>
    </w:p>
    <w:p w14:paraId="1F7A4724" w14:textId="77777777" w:rsidR="00E35644" w:rsidRPr="00E35644" w:rsidRDefault="00E35644" w:rsidP="00E35644">
      <w:pPr>
        <w:spacing w:after="0" w:line="240" w:lineRule="auto"/>
        <w:jc w:val="both"/>
        <w:rPr>
          <w:rFonts w:ascii="Verdana" w:hAnsi="Verdana"/>
          <w:bCs/>
          <w:sz w:val="20"/>
        </w:rPr>
      </w:pPr>
    </w:p>
    <w:p w14:paraId="22A2E237" w14:textId="77777777" w:rsidR="00E35644" w:rsidRPr="00E35644" w:rsidRDefault="00E35644" w:rsidP="00E35644">
      <w:pPr>
        <w:spacing w:after="0" w:line="240" w:lineRule="auto"/>
        <w:jc w:val="both"/>
        <w:rPr>
          <w:rFonts w:ascii="Verdana" w:hAnsi="Verdana"/>
          <w:bCs/>
          <w:sz w:val="20"/>
          <w:lang w:val="es-ES"/>
        </w:rPr>
      </w:pPr>
      <w:r w:rsidRPr="00E35644">
        <w:rPr>
          <w:rFonts w:ascii="Verdana" w:hAnsi="Verdana"/>
          <w:bCs/>
          <w:sz w:val="20"/>
          <w:lang w:val="es-ES"/>
        </w:rPr>
        <w:t xml:space="preserve">Al margen de la tipicidad o no del negocio, la existencia de los contratos estatales, es decir, la producción de efectos jurídicos en los términos del artículo 1501 </w:t>
      </w:r>
      <w:r w:rsidRPr="00E35644">
        <w:rPr>
          <w:rFonts w:ascii="Verdana" w:hAnsi="Verdana"/>
          <w:bCs/>
          <w:i/>
          <w:sz w:val="20"/>
          <w:lang w:val="es-ES"/>
        </w:rPr>
        <w:t>ibídem</w:t>
      </w:r>
      <w:r w:rsidRPr="00E35644">
        <w:rPr>
          <w:rFonts w:ascii="Verdana" w:hAnsi="Verdana"/>
          <w:bCs/>
          <w:sz w:val="20"/>
          <w:lang w:val="es-ES"/>
        </w:rPr>
        <w:t xml:space="preserve">, depende de la regulación del inciso primero de los artículos 39 y 41 del Estatuto General </w:t>
      </w:r>
      <w:r w:rsidRPr="00E35644">
        <w:rPr>
          <w:rFonts w:ascii="Verdana" w:hAnsi="Verdana"/>
          <w:bCs/>
          <w:sz w:val="20"/>
          <w:lang w:val="es-ES"/>
        </w:rPr>
        <w:lastRenderedPageBreak/>
        <w:t>de Contratación de la Administración Pública.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p>
    <w:p w14:paraId="32BB2D89" w14:textId="2145FF61" w:rsidR="00E35644" w:rsidRPr="00E35644" w:rsidRDefault="00E35644" w:rsidP="00E35644">
      <w:pPr>
        <w:spacing w:after="0" w:line="240" w:lineRule="auto"/>
        <w:rPr>
          <w:rFonts w:ascii="Verdana" w:hAnsi="Verdana"/>
          <w:bCs/>
        </w:rPr>
      </w:pPr>
    </w:p>
    <w:p w14:paraId="7F107D28" w14:textId="6E534DB1" w:rsidR="00E35644" w:rsidRPr="00E35644" w:rsidRDefault="00E35644" w:rsidP="00E35644">
      <w:pPr>
        <w:spacing w:after="0" w:line="240" w:lineRule="auto"/>
        <w:jc w:val="both"/>
        <w:rPr>
          <w:rFonts w:ascii="Verdana" w:hAnsi="Verdana"/>
          <w:b/>
          <w:bCs/>
          <w:lang w:val="es-ES"/>
        </w:rPr>
      </w:pPr>
      <w:r w:rsidRPr="00E35644">
        <w:rPr>
          <w:rFonts w:ascii="Verdana" w:hAnsi="Verdana"/>
          <w:b/>
          <w:bCs/>
          <w:lang w:val="es-ES"/>
        </w:rPr>
        <w:t xml:space="preserve">DETALLES O SOUVENIRS – Reglas del Sistema de Compra Pública – Medidas de Austeridad del Gasto Público – Eficiencia - Economía.  </w:t>
      </w:r>
    </w:p>
    <w:p w14:paraId="0B85B20B" w14:textId="77777777" w:rsidR="00E35644" w:rsidRPr="00E35644" w:rsidRDefault="00E35644" w:rsidP="00E35644">
      <w:pPr>
        <w:spacing w:after="0" w:line="240" w:lineRule="auto"/>
        <w:rPr>
          <w:rFonts w:ascii="Verdana" w:hAnsi="Verdana"/>
          <w:lang w:val="es-ES"/>
        </w:rPr>
      </w:pPr>
    </w:p>
    <w:p w14:paraId="019803C2" w14:textId="5C9CCFCB" w:rsidR="00E35644" w:rsidRDefault="00E35644" w:rsidP="00E35644">
      <w:pPr>
        <w:spacing w:after="0" w:line="240" w:lineRule="auto"/>
        <w:jc w:val="both"/>
        <w:rPr>
          <w:rFonts w:ascii="Verdana" w:hAnsi="Verdana"/>
          <w:sz w:val="20"/>
        </w:rPr>
      </w:pPr>
      <w:r w:rsidRPr="00E35644">
        <w:rPr>
          <w:rFonts w:ascii="Verdana" w:hAnsi="Verdana"/>
          <w:iCs/>
          <w:sz w:val="20"/>
          <w:lang w:val="es-ES"/>
        </w:rPr>
        <w:t xml:space="preserve">Teniendo en cuenta lo expuesto, es pertinente señalar que no hay restricciones o prohibiciones expresas dentro de las reglas del Sistema de Compras Públicas, por parte de las entidades públicas de entregar todo tipo de bienes, ya sean libretas, lapiceros, pocillos, souvenirs, anchetas, reconocimientos, placas, electrodomésticos, entre otros, con el fin de desarrollar de actividades estratégicas que se enfoquen en el objeto misional de la entidad. En todo caso, la entrega de este tipo de bienes </w:t>
      </w:r>
      <w:r w:rsidRPr="00E35644">
        <w:rPr>
          <w:rFonts w:ascii="Verdana" w:hAnsi="Verdana"/>
          <w:sz w:val="20"/>
        </w:rPr>
        <w:t xml:space="preserve">debe enmarcarse dentro de los principios de transparencia, eficiencia y responsabilidad que rigen la administración del recurso público. </w:t>
      </w:r>
    </w:p>
    <w:p w14:paraId="06DC9849" w14:textId="77777777" w:rsidR="00E35644" w:rsidRPr="00E35644" w:rsidRDefault="00E35644" w:rsidP="00E35644">
      <w:pPr>
        <w:spacing w:after="0" w:line="240" w:lineRule="auto"/>
        <w:jc w:val="both"/>
        <w:rPr>
          <w:rFonts w:ascii="Verdana" w:hAnsi="Verdana"/>
          <w:iCs/>
          <w:sz w:val="20"/>
          <w:lang w:val="es-ES"/>
        </w:rPr>
      </w:pPr>
    </w:p>
    <w:p w14:paraId="3FD4E592" w14:textId="198E2927" w:rsidR="00E35644" w:rsidRDefault="00E35644" w:rsidP="00E35644">
      <w:pPr>
        <w:spacing w:after="0" w:line="240" w:lineRule="auto"/>
        <w:jc w:val="both"/>
        <w:rPr>
          <w:rFonts w:ascii="Verdana" w:hAnsi="Verdana"/>
          <w:sz w:val="20"/>
        </w:rPr>
      </w:pPr>
      <w:r w:rsidRPr="00E35644">
        <w:rPr>
          <w:rFonts w:ascii="Verdana" w:hAnsi="Verdana"/>
          <w:sz w:val="20"/>
          <w:lang w:val="es-ES"/>
        </w:rPr>
        <w:t>De igual modo</w:t>
      </w:r>
      <w:r w:rsidRPr="00E35644">
        <w:rPr>
          <w:rFonts w:ascii="Verdana" w:hAnsi="Verdana"/>
          <w:sz w:val="20"/>
        </w:rPr>
        <w:t xml:space="preserve">, resulta indispensable que las entidades observen las reglas de austeridad del gasto público emitidas por el Gobierno Nacional y, en su defecto, por las autoridades territoriales. Al respecto, se destaca el artículo 19 de la Ley 2155 de 2021, prescribe que con fundamento en el artículo 209 de la Constitución Política y con el cometido de reducir el Gasto Público, es necesario una implementación de una política de austeridad, con el objetivo de optimizar la eficiencia y efectividad en el uso de los recursos públicos. Dicha ley señala que el Gobierno Nacional anualmente reglamentará mediante decreto un Plan de Austeridad del gasto para cada vigencia fiscal aplicable a los órganos que hacen parte del Presupuesto General de la Nación. </w:t>
      </w:r>
    </w:p>
    <w:p w14:paraId="7DCD8399" w14:textId="77777777" w:rsidR="00E35644" w:rsidRPr="00E35644" w:rsidRDefault="00E35644" w:rsidP="00E35644">
      <w:pPr>
        <w:spacing w:after="0" w:line="240" w:lineRule="auto"/>
        <w:jc w:val="both"/>
        <w:rPr>
          <w:rFonts w:ascii="Verdana" w:hAnsi="Verdana"/>
          <w:sz w:val="20"/>
        </w:rPr>
      </w:pPr>
    </w:p>
    <w:p w14:paraId="5BC64952" w14:textId="6577DF70" w:rsidR="00E35644" w:rsidRPr="00E35644" w:rsidRDefault="00E35644" w:rsidP="00E35644">
      <w:pPr>
        <w:spacing w:after="0" w:line="240" w:lineRule="auto"/>
        <w:jc w:val="both"/>
        <w:rPr>
          <w:rFonts w:ascii="Verdana" w:hAnsi="Verdana"/>
          <w:sz w:val="20"/>
        </w:rPr>
      </w:pPr>
      <w:r w:rsidRPr="00E35644">
        <w:rPr>
          <w:rFonts w:ascii="Verdana" w:hAnsi="Verdana"/>
          <w:sz w:val="20"/>
        </w:rPr>
        <w:t xml:space="preserve">En este mismo sentido, el Decreto 1068 de 2015 </w:t>
      </w:r>
      <w:r w:rsidRPr="00E35644">
        <w:rPr>
          <w:rFonts w:ascii="Verdana" w:hAnsi="Verdana"/>
          <w:bCs/>
          <w:iCs/>
          <w:sz w:val="20"/>
        </w:rPr>
        <w:t>“Por medio del cual se expide el Decreto Único Reglamentario del Sector</w:t>
      </w:r>
      <w:r w:rsidRPr="00E35644">
        <w:rPr>
          <w:rFonts w:ascii="Verdana" w:hAnsi="Verdana"/>
          <w:bCs/>
          <w:sz w:val="20"/>
        </w:rPr>
        <w:t> </w:t>
      </w:r>
      <w:r w:rsidRPr="00E35644">
        <w:rPr>
          <w:rFonts w:ascii="Verdana" w:hAnsi="Verdana"/>
          <w:bCs/>
          <w:iCs/>
          <w:sz w:val="20"/>
        </w:rPr>
        <w:t xml:space="preserve">Hacienda y Crédito Público” establece una serie de reglas </w:t>
      </w:r>
      <w:r w:rsidRPr="00E35644">
        <w:rPr>
          <w:rFonts w:ascii="Verdana" w:hAnsi="Verdana"/>
          <w:sz w:val="20"/>
        </w:rPr>
        <w:t xml:space="preserve">que buscan garantizar que los recursos se utilicen de manera racional y que cualquier incentivo otorgado tenga un propósito claro y justificado, evitando gastos superfluos o privilegios que puedan interpretarse como un uso ineficiente del presupuesto. Al respecto, se destaca el </w:t>
      </w:r>
      <w:r w:rsidRPr="00E35644">
        <w:rPr>
          <w:rFonts w:ascii="Verdana" w:hAnsi="Verdana"/>
          <w:bCs/>
          <w:sz w:val="20"/>
        </w:rPr>
        <w:t xml:space="preserve">Artículo 2.8.4.5.1. del Decreto 1068 de 2015, que prescribe: “[…] </w:t>
      </w:r>
      <w:r w:rsidRPr="00E35644">
        <w:rPr>
          <w:rFonts w:ascii="Verdana" w:hAnsi="Verdana"/>
          <w:sz w:val="20"/>
        </w:rPr>
        <w:t>De acuerdo con lo establecido en el artículo 10 de la Ley 1474 de 2011, las entidades públicas podrán adelantar directa o indirectamente, actividades de divulgación de sus programas y políticas, para dar cumplimiento a la finalidad de la respectiva entidad en un marco de austeridad en el gasto y reducción real de costos, acorde con los criterios de efectividad, transparencia y objetividad”.</w:t>
      </w:r>
    </w:p>
    <w:p w14:paraId="653FDAC0" w14:textId="2FA4F330" w:rsidR="00E35644" w:rsidRDefault="00E35644" w:rsidP="00361ACD">
      <w:pPr>
        <w:spacing w:after="0"/>
        <w:rPr>
          <w:rFonts w:ascii="Verdana" w:hAnsi="Verdana"/>
        </w:rPr>
      </w:pPr>
    </w:p>
    <w:p w14:paraId="661254BF" w14:textId="2C823518" w:rsidR="00E35644" w:rsidRDefault="00E35644" w:rsidP="00361ACD">
      <w:pPr>
        <w:spacing w:after="0"/>
        <w:rPr>
          <w:rFonts w:ascii="Verdana" w:hAnsi="Verdana"/>
        </w:rPr>
      </w:pPr>
    </w:p>
    <w:p w14:paraId="1A3B936B" w14:textId="77777777" w:rsidR="00E35644" w:rsidRDefault="00E35644" w:rsidP="00361ACD">
      <w:pPr>
        <w:spacing w:after="0"/>
        <w:rPr>
          <w:rFonts w:ascii="Verdana" w:hAnsi="Verdana"/>
        </w:rPr>
      </w:pPr>
    </w:p>
    <w:p w14:paraId="4C137C9A" w14:textId="665BA7C3" w:rsidR="00361ACD" w:rsidRPr="009037F6" w:rsidRDefault="00361ACD" w:rsidP="00361ACD">
      <w:pPr>
        <w:spacing w:after="0"/>
        <w:rPr>
          <w:rFonts w:ascii="Verdana" w:hAnsi="Verdana"/>
        </w:rPr>
      </w:pPr>
      <w:r w:rsidRPr="0024624F">
        <w:rPr>
          <w:rFonts w:ascii="Verdana" w:hAnsi="Verdana"/>
        </w:rPr>
        <w:lastRenderedPageBreak/>
        <w:t xml:space="preserve">Bogotá D.C., </w:t>
      </w:r>
      <w:r w:rsidR="00C928E9">
        <w:rPr>
          <w:rFonts w:ascii="Verdana" w:hAnsi="Verdana"/>
        </w:rPr>
        <w:t>11 de diciembre de 2025</w:t>
      </w:r>
      <w:r>
        <w:rPr>
          <w:rFonts w:ascii="Verdana" w:hAnsi="Verdana"/>
        </w:rPr>
        <w:tab/>
      </w:r>
    </w:p>
    <w:p w14:paraId="58C3E86E" w14:textId="1C885B4A" w:rsidR="00C928E9" w:rsidRDefault="00C928E9" w:rsidP="00361ACD">
      <w:pPr>
        <w:spacing w:after="0" w:line="240" w:lineRule="auto"/>
        <w:rPr>
          <w:rFonts w:ascii="Verdana" w:hAnsi="Verdana"/>
        </w:rPr>
      </w:pPr>
      <w:r w:rsidRPr="00C928E9">
        <w:rPr>
          <w:rFonts w:ascii="Verdana" w:hAnsi="Verdana"/>
          <w:noProof/>
          <w:lang w:val="en-US"/>
        </w:rPr>
        <w:drawing>
          <wp:anchor distT="0" distB="0" distL="114300" distR="114300" simplePos="0" relativeHeight="251658240" behindDoc="0" locked="0" layoutInCell="1" allowOverlap="1" wp14:anchorId="394B5592" wp14:editId="3F550EDD">
            <wp:simplePos x="0" y="0"/>
            <wp:positionH relativeFrom="column">
              <wp:posOffset>2815590</wp:posOffset>
            </wp:positionH>
            <wp:positionV relativeFrom="paragraph">
              <wp:posOffset>8544</wp:posOffset>
            </wp:positionV>
            <wp:extent cx="2763520" cy="76327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63520" cy="7632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7980DF" w14:textId="77777777" w:rsidR="00C928E9" w:rsidRDefault="00C928E9" w:rsidP="00361ACD">
      <w:pPr>
        <w:spacing w:after="0" w:line="240" w:lineRule="auto"/>
        <w:rPr>
          <w:rFonts w:ascii="Verdana" w:hAnsi="Verdana"/>
        </w:rPr>
      </w:pPr>
    </w:p>
    <w:p w14:paraId="229FF43E" w14:textId="4C02A532" w:rsidR="00361ACD" w:rsidRPr="009037F6" w:rsidRDefault="00361ACD" w:rsidP="00361ACD">
      <w:pPr>
        <w:spacing w:after="0" w:line="240" w:lineRule="auto"/>
        <w:rPr>
          <w:rFonts w:ascii="Verdana" w:hAnsi="Verdana"/>
        </w:rPr>
      </w:pPr>
    </w:p>
    <w:p w14:paraId="6D69AF42" w14:textId="4644F947" w:rsidR="00361ACD" w:rsidRPr="009037F6" w:rsidRDefault="00361ACD" w:rsidP="00361ACD">
      <w:pPr>
        <w:spacing w:after="0" w:line="240" w:lineRule="auto"/>
        <w:rPr>
          <w:rFonts w:ascii="Verdana" w:eastAsia="Calibri" w:hAnsi="Verdana" w:cs="Times New Roman"/>
          <w:lang w:val="es-MX"/>
        </w:rPr>
      </w:pPr>
      <w:r w:rsidRPr="009037F6">
        <w:rPr>
          <w:rFonts w:ascii="Verdana" w:eastAsia="Calibri" w:hAnsi="Verdana" w:cs="Times New Roman"/>
          <w:lang w:val="es-MX"/>
        </w:rPr>
        <w:t>Señor</w:t>
      </w:r>
    </w:p>
    <w:p w14:paraId="0A7574C9" w14:textId="6514F539" w:rsidR="00361ACD" w:rsidRPr="009037F6" w:rsidRDefault="00C928E9" w:rsidP="00361ACD">
      <w:pPr>
        <w:spacing w:after="0" w:line="240" w:lineRule="auto"/>
        <w:rPr>
          <w:rFonts w:ascii="Verdana" w:eastAsia="Calibri" w:hAnsi="Verdana" w:cs="Times New Roman"/>
          <w:b/>
        </w:rPr>
      </w:pPr>
      <w:r w:rsidRPr="00C928E9">
        <w:rPr>
          <w:rFonts w:ascii="Verdana" w:eastAsia="Calibri" w:hAnsi="Verdana" w:cs="Times New Roman"/>
          <w:noProof/>
          <w:lang w:val="en-US"/>
        </w:rPr>
        <w:drawing>
          <wp:anchor distT="0" distB="0" distL="114300" distR="114300" simplePos="0" relativeHeight="251659264" behindDoc="0" locked="0" layoutInCell="1" allowOverlap="1" wp14:anchorId="1DAFBD7F" wp14:editId="78669F2B">
            <wp:simplePos x="0" y="0"/>
            <wp:positionH relativeFrom="margin">
              <wp:posOffset>2826385</wp:posOffset>
            </wp:positionH>
            <wp:positionV relativeFrom="paragraph">
              <wp:posOffset>28575</wp:posOffset>
            </wp:positionV>
            <wp:extent cx="2763520" cy="74803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63520" cy="748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61ACD">
        <w:rPr>
          <w:rFonts w:ascii="Verdana" w:eastAsia="Calibri" w:hAnsi="Verdana" w:cs="Times New Roman"/>
          <w:b/>
        </w:rPr>
        <w:t>Mateo Mira Ocampo</w:t>
      </w:r>
    </w:p>
    <w:p w14:paraId="570DF598" w14:textId="77777777" w:rsidR="00361ACD" w:rsidRDefault="000A2B5F" w:rsidP="00361ACD">
      <w:pPr>
        <w:spacing w:after="0" w:line="240" w:lineRule="auto"/>
        <w:rPr>
          <w:rFonts w:ascii="Verdana" w:eastAsia="Calibri" w:hAnsi="Verdana" w:cs="Times New Roman"/>
        </w:rPr>
      </w:pPr>
      <w:hyperlink r:id="rId13" w:history="1">
        <w:r w:rsidR="00361ACD" w:rsidRPr="00AE071C">
          <w:rPr>
            <w:rStyle w:val="Hipervnculo"/>
            <w:rFonts w:ascii="Verdana" w:eastAsia="Calibri" w:hAnsi="Verdana" w:cs="Times New Roman"/>
          </w:rPr>
          <w:t>mateomiraocampo@gmail.com</w:t>
        </w:r>
      </w:hyperlink>
    </w:p>
    <w:p w14:paraId="4D93B95C" w14:textId="5D1761EF" w:rsidR="00361ACD" w:rsidRDefault="00361ACD" w:rsidP="00361ACD">
      <w:pPr>
        <w:spacing w:after="0" w:line="240" w:lineRule="auto"/>
        <w:rPr>
          <w:rFonts w:ascii="Verdana" w:eastAsia="Calibri" w:hAnsi="Verdana" w:cs="Times New Roman"/>
        </w:rPr>
      </w:pPr>
      <w:r>
        <w:rPr>
          <w:rFonts w:ascii="Verdana" w:eastAsia="Calibri" w:hAnsi="Verdana" w:cs="Times New Roman"/>
        </w:rPr>
        <w:t>Gomez Plata, Antioquia</w:t>
      </w:r>
    </w:p>
    <w:p w14:paraId="46C4E241" w14:textId="3BA67C01" w:rsidR="00C928E9" w:rsidRDefault="00C928E9" w:rsidP="00361ACD">
      <w:pPr>
        <w:spacing w:after="0" w:line="240" w:lineRule="auto"/>
        <w:rPr>
          <w:rFonts w:ascii="Verdana" w:eastAsia="Calibri" w:hAnsi="Verdana" w:cs="Times New Roman"/>
        </w:rPr>
      </w:pPr>
    </w:p>
    <w:p w14:paraId="691F81A5" w14:textId="77777777" w:rsidR="00361ACD" w:rsidRPr="009037F6" w:rsidRDefault="00361ACD" w:rsidP="00361ACD">
      <w:pPr>
        <w:spacing w:after="0" w:line="240" w:lineRule="auto"/>
        <w:rPr>
          <w:rFonts w:ascii="Verdana" w:eastAsia="Calibri" w:hAnsi="Verdana" w:cs="Times New Roman"/>
        </w:rPr>
      </w:pPr>
    </w:p>
    <w:p w14:paraId="78BD8CF3" w14:textId="77777777" w:rsidR="00361ACD" w:rsidRPr="009037F6" w:rsidRDefault="00361ACD" w:rsidP="00361ACD">
      <w:pPr>
        <w:spacing w:after="0" w:line="256" w:lineRule="auto"/>
        <w:rPr>
          <w:rFonts w:ascii="Verdana" w:eastAsia="Calibri" w:hAnsi="Verdana" w:cs="Times New Roman"/>
          <w:b/>
          <w:bCs/>
          <w:lang w:val="es-ES"/>
        </w:rPr>
      </w:pPr>
      <w:r w:rsidRPr="009037F6">
        <w:rPr>
          <w:rFonts w:ascii="Verdana" w:eastAsia="Calibri" w:hAnsi="Verdana" w:cs="Times New Roman"/>
          <w:b/>
          <w:bCs/>
          <w:lang w:val="es-ES"/>
        </w:rPr>
        <w:t xml:space="preserve">                                    </w:t>
      </w:r>
      <w:r>
        <w:rPr>
          <w:rFonts w:ascii="Verdana" w:eastAsia="Calibri" w:hAnsi="Verdana" w:cs="Times New Roman"/>
          <w:b/>
          <w:bCs/>
          <w:lang w:val="es-ES"/>
        </w:rPr>
        <w:t>Concepto C–1604</w:t>
      </w:r>
      <w:r w:rsidRPr="009037F6">
        <w:rPr>
          <w:rFonts w:ascii="Verdana" w:eastAsia="Calibri" w:hAnsi="Verdana" w:cs="Times New Roman"/>
          <w:b/>
          <w:bCs/>
          <w:lang w:val="es-ES"/>
        </w:rPr>
        <w:t xml:space="preserve"> de 2025</w:t>
      </w:r>
    </w:p>
    <w:p w14:paraId="1AD549B4" w14:textId="77777777" w:rsidR="00361ACD" w:rsidRPr="009037F6" w:rsidRDefault="00361ACD" w:rsidP="00361ACD">
      <w:pPr>
        <w:spacing w:after="0" w:line="256"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361ACD" w:rsidRPr="009037F6" w14:paraId="731AA6B6" w14:textId="77777777" w:rsidTr="009759B1">
        <w:trPr>
          <w:trHeight w:val="645"/>
        </w:trPr>
        <w:tc>
          <w:tcPr>
            <w:tcW w:w="2685" w:type="dxa"/>
            <w:hideMark/>
          </w:tcPr>
          <w:p w14:paraId="037948F3" w14:textId="77777777" w:rsidR="00361ACD" w:rsidRPr="009037F6" w:rsidRDefault="00361ACD" w:rsidP="009759B1">
            <w:pPr>
              <w:spacing w:line="256" w:lineRule="auto"/>
              <w:rPr>
                <w:rFonts w:ascii="Verdana" w:hAnsi="Verdana"/>
                <w:b/>
                <w:bCs/>
                <w:lang w:val="es-ES_tradnl"/>
              </w:rPr>
            </w:pPr>
            <w:r w:rsidRPr="009037F6">
              <w:rPr>
                <w:rFonts w:ascii="Verdana" w:hAnsi="Verdana"/>
                <w:b/>
                <w:bCs/>
                <w:lang w:val="es-ES_tradnl"/>
              </w:rPr>
              <w:t xml:space="preserve">Temas:                  </w:t>
            </w:r>
          </w:p>
        </w:tc>
        <w:tc>
          <w:tcPr>
            <w:tcW w:w="6241" w:type="dxa"/>
            <w:hideMark/>
          </w:tcPr>
          <w:p w14:paraId="5EF03B7D" w14:textId="77777777" w:rsidR="00361ACD" w:rsidRDefault="00361ACD" w:rsidP="009759B1">
            <w:pPr>
              <w:snapToGrid w:val="0"/>
              <w:spacing w:line="276" w:lineRule="auto"/>
              <w:contextualSpacing/>
              <w:jc w:val="both"/>
              <w:rPr>
                <w:rFonts w:ascii="Verdana" w:hAnsi="Verdana" w:cs="Arial"/>
                <w:bCs/>
                <w:lang w:val="es-ES" w:eastAsia="es-ES"/>
              </w:rPr>
            </w:pPr>
            <w:r w:rsidRPr="00513BF7">
              <w:rPr>
                <w:rFonts w:ascii="Verdana" w:hAnsi="Verdana" w:cs="Arial"/>
                <w:bCs/>
                <w:lang w:val="es-ES_tradnl" w:eastAsia="es-ES"/>
              </w:rPr>
              <w:t>CONTRATOS ESTATALES – Régimen jurídico</w:t>
            </w:r>
            <w:r w:rsidRPr="00513BF7">
              <w:rPr>
                <w:rFonts w:ascii="Verdana" w:hAnsi="Verdana" w:cs="Arial"/>
                <w:bCs/>
                <w:lang w:val="es-ES_tradnl" w:eastAsia="es-ES" w:bidi="es-ES"/>
              </w:rPr>
              <w:t xml:space="preserve"> / CONTRATOS ESTATALES – Capacidad jurídica – Requisitos esenciales</w:t>
            </w:r>
            <w:r w:rsidRPr="009037F6">
              <w:rPr>
                <w:rFonts w:ascii="Verdana" w:hAnsi="Verdana" w:cs="Arial"/>
                <w:bCs/>
                <w:lang w:val="es-ES" w:eastAsia="es-ES"/>
              </w:rPr>
              <w:t xml:space="preserve"> </w:t>
            </w:r>
            <w:r>
              <w:rPr>
                <w:rFonts w:ascii="Verdana" w:hAnsi="Verdana" w:cs="Arial"/>
                <w:bCs/>
                <w:lang w:val="es-ES" w:eastAsia="es-ES"/>
              </w:rPr>
              <w:t xml:space="preserve">/ DETALLES O SOUVENIRS – Reglas del Sistema de Compra Pública – Medidas de Austeridad del Gasto Público – Eficiencia - Economía. </w:t>
            </w:r>
            <w:r w:rsidRPr="009037F6">
              <w:rPr>
                <w:rFonts w:ascii="Verdana" w:hAnsi="Verdana" w:cs="Arial"/>
                <w:bCs/>
                <w:lang w:val="es-ES" w:eastAsia="es-ES"/>
              </w:rPr>
              <w:t xml:space="preserve"> </w:t>
            </w:r>
          </w:p>
          <w:p w14:paraId="41270081" w14:textId="77777777" w:rsidR="00361ACD" w:rsidRPr="009037F6" w:rsidRDefault="00361ACD" w:rsidP="009759B1">
            <w:pPr>
              <w:snapToGrid w:val="0"/>
              <w:spacing w:line="276" w:lineRule="auto"/>
              <w:contextualSpacing/>
              <w:jc w:val="both"/>
              <w:rPr>
                <w:rFonts w:ascii="Verdana" w:hAnsi="Verdana" w:cs="Arial"/>
                <w:bCs/>
                <w:lang w:val="es-ES" w:eastAsia="es-ES"/>
              </w:rPr>
            </w:pPr>
            <w:r w:rsidRPr="009037F6">
              <w:rPr>
                <w:rFonts w:ascii="Verdana" w:hAnsi="Verdana" w:cs="Arial"/>
                <w:bCs/>
                <w:lang w:val="es-ES" w:eastAsia="es-ES"/>
              </w:rPr>
              <w:t xml:space="preserve">            </w:t>
            </w:r>
          </w:p>
          <w:p w14:paraId="104B2364" w14:textId="77777777" w:rsidR="00361ACD" w:rsidRPr="009037F6" w:rsidRDefault="00361ACD" w:rsidP="009759B1">
            <w:pPr>
              <w:spacing w:line="276" w:lineRule="auto"/>
              <w:jc w:val="both"/>
              <w:rPr>
                <w:rFonts w:ascii="Verdana" w:hAnsi="Verdana" w:cs="Arial"/>
                <w:bCs/>
                <w:lang w:val="es-ES_tradnl" w:eastAsia="es-ES"/>
              </w:rPr>
            </w:pPr>
          </w:p>
        </w:tc>
        <w:tc>
          <w:tcPr>
            <w:tcW w:w="6237" w:type="dxa"/>
          </w:tcPr>
          <w:p w14:paraId="2D997498" w14:textId="77777777" w:rsidR="00361ACD" w:rsidRPr="009037F6" w:rsidRDefault="00361ACD" w:rsidP="009759B1">
            <w:pPr>
              <w:spacing w:line="276" w:lineRule="auto"/>
              <w:rPr>
                <w:rFonts w:ascii="Verdana" w:hAnsi="Verdana"/>
                <w:lang w:val="es-ES"/>
              </w:rPr>
            </w:pPr>
          </w:p>
        </w:tc>
      </w:tr>
      <w:tr w:rsidR="00361ACD" w:rsidRPr="009037F6" w14:paraId="4D244F86" w14:textId="77777777" w:rsidTr="009759B1">
        <w:tc>
          <w:tcPr>
            <w:tcW w:w="2685" w:type="dxa"/>
          </w:tcPr>
          <w:p w14:paraId="607A767F" w14:textId="77777777" w:rsidR="00361ACD" w:rsidRPr="009037F6" w:rsidRDefault="00361ACD" w:rsidP="009759B1">
            <w:pPr>
              <w:spacing w:line="256" w:lineRule="auto"/>
              <w:rPr>
                <w:rFonts w:ascii="Verdana" w:hAnsi="Verdana"/>
                <w:b/>
                <w:bCs/>
                <w:lang w:val="es-ES_tradnl"/>
              </w:rPr>
            </w:pPr>
            <w:r w:rsidRPr="009037F6">
              <w:rPr>
                <w:rFonts w:ascii="Verdana" w:hAnsi="Verdana"/>
                <w:b/>
                <w:bCs/>
                <w:lang w:val="es-ES_tradnl"/>
              </w:rPr>
              <w:t xml:space="preserve">Radicación:               </w:t>
            </w:r>
          </w:p>
        </w:tc>
        <w:tc>
          <w:tcPr>
            <w:tcW w:w="6241" w:type="dxa"/>
          </w:tcPr>
          <w:p w14:paraId="5520D302" w14:textId="77777777" w:rsidR="00361ACD" w:rsidRPr="009037F6" w:rsidRDefault="00361ACD" w:rsidP="009759B1">
            <w:pPr>
              <w:spacing w:line="257" w:lineRule="auto"/>
              <w:jc w:val="both"/>
              <w:rPr>
                <w:rFonts w:ascii="Verdana" w:hAnsi="Verdana"/>
                <w:lang w:val="es-ES_tradnl"/>
              </w:rPr>
            </w:pPr>
            <w:r w:rsidRPr="009037F6">
              <w:rPr>
                <w:rFonts w:ascii="Verdana" w:hAnsi="Verdana"/>
                <w:lang w:val="es-ES_tradnl"/>
              </w:rPr>
              <w:t>Res</w:t>
            </w:r>
            <w:r>
              <w:rPr>
                <w:rFonts w:ascii="Verdana" w:hAnsi="Verdana"/>
                <w:lang w:val="es-ES_tradnl"/>
              </w:rPr>
              <w:t xml:space="preserve">puesta a consulta con radicado No. </w:t>
            </w:r>
            <w:r w:rsidRPr="00C963BE">
              <w:rPr>
                <w:rFonts w:ascii="Verdana" w:hAnsi="Verdana"/>
              </w:rPr>
              <w:t> 1_2025_10_30_012240</w:t>
            </w:r>
            <w:r>
              <w:rPr>
                <w:rFonts w:ascii="Verdana" w:hAnsi="Verdana"/>
              </w:rPr>
              <w:t xml:space="preserve"> y </w:t>
            </w:r>
            <w:r w:rsidRPr="00871AAC">
              <w:rPr>
                <w:rFonts w:ascii="Verdana" w:hAnsi="Verdana"/>
              </w:rPr>
              <w:t>1_2025_10_31_012333</w:t>
            </w:r>
            <w:r>
              <w:rPr>
                <w:rFonts w:ascii="Verdana" w:hAnsi="Verdana"/>
              </w:rPr>
              <w:t xml:space="preserve"> (acumulado)</w:t>
            </w:r>
          </w:p>
          <w:p w14:paraId="674BCAA4" w14:textId="77777777" w:rsidR="00361ACD" w:rsidRPr="009037F6" w:rsidRDefault="00361ACD" w:rsidP="009759B1">
            <w:pPr>
              <w:spacing w:line="257" w:lineRule="auto"/>
              <w:jc w:val="both"/>
              <w:rPr>
                <w:rFonts w:ascii="Verdana" w:hAnsi="Verdana"/>
              </w:rPr>
            </w:pPr>
          </w:p>
          <w:p w14:paraId="61A9EA64" w14:textId="77777777" w:rsidR="00361ACD" w:rsidRPr="009037F6" w:rsidRDefault="00361ACD" w:rsidP="009759B1">
            <w:pPr>
              <w:spacing w:line="257" w:lineRule="auto"/>
              <w:jc w:val="both"/>
              <w:rPr>
                <w:rFonts w:ascii="Verdana" w:hAnsi="Verdana"/>
              </w:rPr>
            </w:pPr>
          </w:p>
        </w:tc>
        <w:tc>
          <w:tcPr>
            <w:tcW w:w="6237" w:type="dxa"/>
          </w:tcPr>
          <w:p w14:paraId="4E91DEFC" w14:textId="77777777" w:rsidR="00361ACD" w:rsidRPr="009037F6" w:rsidRDefault="00361ACD" w:rsidP="009759B1">
            <w:pPr>
              <w:spacing w:line="256" w:lineRule="auto"/>
              <w:rPr>
                <w:rFonts w:ascii="Verdana" w:hAnsi="Verdana"/>
              </w:rPr>
            </w:pPr>
            <w:r>
              <w:rPr>
                <w:rFonts w:ascii="Verdana" w:hAnsi="Verdana"/>
              </w:rPr>
              <w:t>s</w:t>
            </w:r>
          </w:p>
        </w:tc>
      </w:tr>
    </w:tbl>
    <w:p w14:paraId="050BA9B1" w14:textId="77777777" w:rsidR="00361ACD" w:rsidRPr="009037F6" w:rsidRDefault="00361ACD" w:rsidP="00361ACD">
      <w:pPr>
        <w:spacing w:after="0" w:line="256" w:lineRule="auto"/>
        <w:rPr>
          <w:rFonts w:ascii="Verdana" w:eastAsia="Calibri" w:hAnsi="Verdana" w:cs="Times New Roman"/>
          <w:lang w:val="es-ES"/>
        </w:rPr>
      </w:pPr>
      <w:r>
        <w:rPr>
          <w:rFonts w:ascii="Verdana" w:eastAsia="Calibri" w:hAnsi="Verdana" w:cs="Times New Roman"/>
          <w:lang w:val="es-ES"/>
        </w:rPr>
        <w:t>Estimado</w:t>
      </w:r>
      <w:r w:rsidRPr="009037F6">
        <w:rPr>
          <w:rFonts w:ascii="Verdana" w:eastAsia="Calibri" w:hAnsi="Verdana" w:cs="Times New Roman"/>
          <w:lang w:val="es-ES"/>
        </w:rPr>
        <w:t xml:space="preserve">: </w:t>
      </w:r>
    </w:p>
    <w:p w14:paraId="2B798EE5" w14:textId="77777777" w:rsidR="00361ACD" w:rsidRPr="009037F6" w:rsidRDefault="00361ACD" w:rsidP="00361ACD">
      <w:pPr>
        <w:spacing w:after="0" w:line="256" w:lineRule="auto"/>
        <w:rPr>
          <w:rFonts w:ascii="Verdana" w:eastAsia="Calibri" w:hAnsi="Verdana" w:cs="Times New Roman"/>
          <w:lang w:val="es-ES"/>
        </w:rPr>
      </w:pPr>
    </w:p>
    <w:p w14:paraId="716BA561" w14:textId="77777777" w:rsidR="00361ACD" w:rsidRPr="009037F6" w:rsidRDefault="00361ACD" w:rsidP="00361ACD">
      <w:pPr>
        <w:spacing w:after="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N°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e las solicitudes de consulta del 30 y 31 de octubre de 2025</w:t>
      </w:r>
      <w:r w:rsidRPr="009037F6">
        <w:rPr>
          <w:rFonts w:ascii="Verdana" w:eastAsia="Calibri" w:hAnsi="Verdana" w:cs="Times New Roman"/>
          <w:bCs/>
          <w:lang w:val="es-ES" w:bidi="es-ES"/>
        </w:rPr>
        <w:t xml:space="preserve">, en la cual manifiesta: </w:t>
      </w:r>
    </w:p>
    <w:p w14:paraId="49B4714D" w14:textId="77777777" w:rsidR="00361ACD" w:rsidRPr="009037F6" w:rsidRDefault="00361ACD" w:rsidP="00361ACD">
      <w:pPr>
        <w:spacing w:after="0" w:line="240" w:lineRule="auto"/>
        <w:ind w:right="709"/>
        <w:jc w:val="both"/>
        <w:rPr>
          <w:rFonts w:ascii="Verdana" w:eastAsia="Calibri" w:hAnsi="Verdana" w:cs="Times New Roman"/>
          <w:bCs/>
          <w:sz w:val="20"/>
          <w:szCs w:val="20"/>
          <w:lang w:bidi="es-ES"/>
        </w:rPr>
      </w:pPr>
    </w:p>
    <w:p w14:paraId="2A6B6294" w14:textId="77777777" w:rsidR="00361ACD" w:rsidRPr="00E27341" w:rsidRDefault="00361ACD" w:rsidP="00361ACD">
      <w:pPr>
        <w:spacing w:after="0" w:line="240" w:lineRule="auto"/>
        <w:ind w:left="709"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 xml:space="preserve">[…] </w:t>
      </w:r>
      <w:r w:rsidRPr="00E27341">
        <w:rPr>
          <w:rFonts w:ascii="Verdana" w:eastAsia="Calibri" w:hAnsi="Verdana" w:cs="Times New Roman"/>
          <w:bCs/>
          <w:sz w:val="20"/>
          <w:szCs w:val="20"/>
          <w:lang w:bidi="es-ES"/>
        </w:rPr>
        <w:t xml:space="preserve">mi consulta es sobre la pertinencia o sustento jurídico que tiene los municipios o entidades estatales para realizar la entrega de recordatorios (libretas, lapiceros, pocillos etc), suvenirs, anchetas, reconocimientos, placas, electrodomésticos o semejantes. Abundan en secop 1 y 2 procesos que dentro de sus obligaciones tienen contempladas este tipo "suministros" (que en la mayoría de los casos están camuflados) pero </w:t>
      </w:r>
      <w:r w:rsidRPr="00E27341">
        <w:rPr>
          <w:rFonts w:ascii="Verdana" w:eastAsia="Calibri" w:hAnsi="Verdana" w:cs="Times New Roman"/>
          <w:bCs/>
          <w:sz w:val="20"/>
          <w:szCs w:val="20"/>
          <w:lang w:bidi="es-ES"/>
        </w:rPr>
        <w:lastRenderedPageBreak/>
        <w:t>quisiera conocer si existe un sustento para los mismos, es valido</w:t>
      </w:r>
      <w:r>
        <w:rPr>
          <w:rFonts w:ascii="Verdana" w:eastAsia="Calibri" w:hAnsi="Verdana" w:cs="Times New Roman"/>
          <w:bCs/>
          <w:sz w:val="20"/>
          <w:szCs w:val="20"/>
          <w:lang w:bidi="es-ES"/>
        </w:rPr>
        <w:t xml:space="preserve"> (sic)</w:t>
      </w:r>
      <w:r w:rsidRPr="00E27341">
        <w:rPr>
          <w:rFonts w:ascii="Verdana" w:eastAsia="Calibri" w:hAnsi="Verdana" w:cs="Times New Roman"/>
          <w:bCs/>
          <w:sz w:val="20"/>
          <w:szCs w:val="20"/>
          <w:lang w:bidi="es-ES"/>
        </w:rPr>
        <w:t xml:space="preserve"> aclarar que no hablo de que estos se entreguen a funcionarios de la administración con fundamento en el Plan de Bienestar Laboral sino a la comunidad en general como estrategias para incentivar la participación o en el desarrollo de actividades o eventos etc. De antemano entiendo que este tipo de consultas pueden ser engorrosas pero lo hago con fines académicos y profesionales.</w:t>
      </w:r>
    </w:p>
    <w:p w14:paraId="74B185CE" w14:textId="77777777" w:rsidR="00361ACD" w:rsidRPr="00E27341" w:rsidRDefault="00361ACD" w:rsidP="00361ACD">
      <w:pPr>
        <w:spacing w:after="0" w:line="240" w:lineRule="auto"/>
        <w:ind w:right="709"/>
        <w:jc w:val="both"/>
        <w:rPr>
          <w:rFonts w:ascii="Verdana" w:eastAsia="Calibri" w:hAnsi="Verdana" w:cs="Times New Roman"/>
          <w:bCs/>
          <w:sz w:val="21"/>
          <w:szCs w:val="21"/>
          <w:lang w:bidi="es-ES"/>
        </w:rPr>
      </w:pPr>
    </w:p>
    <w:p w14:paraId="596718F6" w14:textId="77777777" w:rsidR="00361ACD" w:rsidRPr="009037F6" w:rsidRDefault="00361ACD" w:rsidP="00361ACD">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w:t>
      </w:r>
      <w:bookmarkStart w:id="1" w:name="_GoBack"/>
      <w:bookmarkEnd w:id="1"/>
      <w:r w:rsidRPr="009037F6">
        <w:rPr>
          <w:rFonts w:ascii="Verdana" w:eastAsia="Calibri" w:hAnsi="Verdana" w:cs="Times New Roman"/>
          <w:lang w:val="es-ES"/>
        </w:rPr>
        <w:t>participes del sistema de compra pública.</w:t>
      </w:r>
    </w:p>
    <w:p w14:paraId="63356936" w14:textId="77777777" w:rsidR="00361ACD" w:rsidRPr="009037F6" w:rsidRDefault="00361ACD" w:rsidP="00361ACD">
      <w:pPr>
        <w:spacing w:after="12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el problema jurídico de su consulta. </w:t>
      </w:r>
    </w:p>
    <w:p w14:paraId="13122046" w14:textId="77777777" w:rsidR="00361ACD" w:rsidRPr="009037F6" w:rsidRDefault="00361ACD" w:rsidP="00361ACD">
      <w:pPr>
        <w:spacing w:after="0" w:line="256" w:lineRule="auto"/>
        <w:rPr>
          <w:rFonts w:ascii="Verdana" w:eastAsia="Calibri" w:hAnsi="Verdana" w:cs="Times New Roman"/>
          <w:lang w:val="es-ES"/>
        </w:rPr>
      </w:pPr>
    </w:p>
    <w:p w14:paraId="396CE73C" w14:textId="77777777" w:rsidR="00361ACD" w:rsidRPr="009037F6" w:rsidRDefault="00361ACD" w:rsidP="00361ACD">
      <w:pPr>
        <w:numPr>
          <w:ilvl w:val="0"/>
          <w:numId w:val="16"/>
        </w:numPr>
        <w:spacing w:after="0" w:line="256" w:lineRule="auto"/>
        <w:contextualSpacing/>
        <w:rPr>
          <w:rFonts w:ascii="Verdana" w:eastAsia="Calibri" w:hAnsi="Verdana" w:cs="Times New Roman"/>
          <w:b/>
          <w:bCs/>
          <w:lang w:val="es-ES"/>
        </w:rPr>
      </w:pPr>
      <w:r w:rsidRPr="009037F6">
        <w:rPr>
          <w:rFonts w:ascii="Verdana" w:eastAsia="Calibri" w:hAnsi="Verdana" w:cs="Times New Roman"/>
          <w:b/>
          <w:bCs/>
          <w:lang w:val="es-ES"/>
        </w:rPr>
        <w:t>Problema planteado:</w:t>
      </w:r>
    </w:p>
    <w:p w14:paraId="21EFBF6B" w14:textId="77777777" w:rsidR="00361ACD" w:rsidRPr="009037F6" w:rsidRDefault="00361ACD" w:rsidP="00361ACD">
      <w:pPr>
        <w:spacing w:after="0" w:line="256" w:lineRule="auto"/>
        <w:rPr>
          <w:rFonts w:ascii="Verdana" w:eastAsia="Calibri" w:hAnsi="Verdana" w:cs="Times New Roman"/>
        </w:rPr>
      </w:pPr>
    </w:p>
    <w:p w14:paraId="058F1E74" w14:textId="77777777" w:rsidR="00361ACD" w:rsidRPr="00C963BE" w:rsidRDefault="00361ACD" w:rsidP="00361ACD">
      <w:pPr>
        <w:spacing w:after="0" w:line="276" w:lineRule="auto"/>
        <w:jc w:val="both"/>
        <w:rPr>
          <w:rFonts w:ascii="Verdana" w:eastAsia="Calibri" w:hAnsi="Verdana" w:cs="Times New Roman"/>
          <w:iCs/>
          <w:lang w:val="es-ES"/>
        </w:rPr>
      </w:pPr>
      <w:r w:rsidRPr="009037F6">
        <w:rPr>
          <w:rFonts w:ascii="Verdana" w:eastAsia="Calibri" w:hAnsi="Verdana" w:cs="Times New Roman"/>
        </w:rPr>
        <w:t>De acuerdo con</w:t>
      </w:r>
      <w:r>
        <w:rPr>
          <w:rFonts w:ascii="Verdana" w:eastAsia="Calibri" w:hAnsi="Verdana" w:cs="Times New Roman"/>
        </w:rPr>
        <w:t xml:space="preserve"> el contenido de su solicitud</w:t>
      </w:r>
      <w:r w:rsidRPr="009037F6">
        <w:rPr>
          <w:rFonts w:ascii="Verdana" w:eastAsia="Calibri" w:hAnsi="Verdana" w:cs="Times New Roman"/>
        </w:rPr>
        <w:t>, esta Agencia procede a resolver</w:t>
      </w:r>
      <w:r>
        <w:rPr>
          <w:rFonts w:ascii="Verdana" w:eastAsia="Calibri" w:hAnsi="Verdana" w:cs="Times New Roman"/>
        </w:rPr>
        <w:t xml:space="preserve"> el siguiente problema jurídico</w:t>
      </w:r>
      <w:r w:rsidRPr="009037F6">
        <w:rPr>
          <w:rFonts w:ascii="Verdana" w:eastAsia="Calibri" w:hAnsi="Verdana" w:cs="Times New Roman"/>
          <w:iCs/>
          <w:lang w:val="es-ES"/>
        </w:rPr>
        <w:t xml:space="preserve">: </w:t>
      </w:r>
      <w:r>
        <w:rPr>
          <w:rFonts w:ascii="Verdana" w:eastAsia="Calibri" w:hAnsi="Verdana" w:cs="Times New Roman"/>
          <w:iCs/>
          <w:lang w:val="es-ES"/>
        </w:rPr>
        <w:t>¿Es procedente que las entidades públicas entreguen recordatorios -</w:t>
      </w:r>
      <w:r w:rsidRPr="00C963BE">
        <w:rPr>
          <w:rFonts w:ascii="Verdana" w:eastAsia="Calibri" w:hAnsi="Verdana" w:cs="Times New Roman"/>
          <w:iCs/>
          <w:lang w:val="es-ES"/>
        </w:rPr>
        <w:t>li</w:t>
      </w:r>
      <w:r>
        <w:rPr>
          <w:rFonts w:ascii="Verdana" w:eastAsia="Calibri" w:hAnsi="Verdana" w:cs="Times New Roman"/>
          <w:iCs/>
          <w:lang w:val="es-ES"/>
        </w:rPr>
        <w:t>bretas, lapiceros, pocillos</w:t>
      </w:r>
      <w:r w:rsidRPr="00C963BE">
        <w:rPr>
          <w:rFonts w:ascii="Verdana" w:eastAsia="Calibri" w:hAnsi="Verdana" w:cs="Times New Roman"/>
          <w:iCs/>
          <w:lang w:val="es-ES"/>
        </w:rPr>
        <w:t>, s</w:t>
      </w:r>
      <w:r>
        <w:rPr>
          <w:rFonts w:ascii="Verdana" w:eastAsia="Calibri" w:hAnsi="Verdana" w:cs="Times New Roman"/>
          <w:iCs/>
          <w:lang w:val="es-ES"/>
        </w:rPr>
        <w:t>o</w:t>
      </w:r>
      <w:r w:rsidRPr="00C963BE">
        <w:rPr>
          <w:rFonts w:ascii="Verdana" w:eastAsia="Calibri" w:hAnsi="Verdana" w:cs="Times New Roman"/>
          <w:iCs/>
          <w:lang w:val="es-ES"/>
        </w:rPr>
        <w:t>uvenirs, anchetas, reconocimientos, placas, electrodomésticos o semejantes</w:t>
      </w:r>
      <w:r>
        <w:rPr>
          <w:rFonts w:ascii="Verdana" w:eastAsia="Calibri" w:hAnsi="Verdana" w:cs="Times New Roman"/>
          <w:iCs/>
          <w:lang w:val="es-ES"/>
        </w:rPr>
        <w:t>-</w:t>
      </w:r>
      <w:r w:rsidRPr="00C963BE">
        <w:rPr>
          <w:rFonts w:ascii="Verdana" w:eastAsia="Calibri" w:hAnsi="Verdana" w:cs="Times New Roman"/>
          <w:iCs/>
          <w:lang w:val="es-ES"/>
        </w:rPr>
        <w:t xml:space="preserve"> a la comunidad como estrategia para incentivar la participación o en</w:t>
      </w:r>
      <w:r>
        <w:rPr>
          <w:rFonts w:ascii="Verdana" w:eastAsia="Calibri" w:hAnsi="Verdana" w:cs="Times New Roman"/>
          <w:iCs/>
          <w:lang w:val="es-ES"/>
        </w:rPr>
        <w:t xml:space="preserve"> el desarrollo de actividades misionales?</w:t>
      </w:r>
    </w:p>
    <w:p w14:paraId="5E8FEC8E" w14:textId="77777777" w:rsidR="00361ACD" w:rsidRPr="009037F6" w:rsidRDefault="00361ACD" w:rsidP="00361ACD">
      <w:pPr>
        <w:spacing w:after="0" w:line="276" w:lineRule="auto"/>
        <w:jc w:val="both"/>
        <w:rPr>
          <w:rFonts w:ascii="Verdana" w:eastAsia="Calibri" w:hAnsi="Verdana" w:cs="Times New Roman"/>
          <w:i/>
          <w:iCs/>
          <w:lang w:val="es-ES"/>
        </w:rPr>
      </w:pPr>
    </w:p>
    <w:p w14:paraId="5272E810" w14:textId="77777777" w:rsidR="00361ACD" w:rsidRPr="009037F6" w:rsidRDefault="00361ACD" w:rsidP="00361ACD">
      <w:pPr>
        <w:numPr>
          <w:ilvl w:val="0"/>
          <w:numId w:val="16"/>
        </w:numPr>
        <w:spacing w:after="0" w:line="256" w:lineRule="auto"/>
        <w:contextualSpacing/>
        <w:rPr>
          <w:rFonts w:ascii="Verdana" w:eastAsia="Calibri" w:hAnsi="Verdana" w:cs="Times New Roman"/>
          <w:b/>
          <w:bCs/>
          <w:lang w:val="es-ES"/>
        </w:rPr>
      </w:pPr>
      <w:r w:rsidRPr="009037F6">
        <w:rPr>
          <w:rFonts w:ascii="Verdana" w:eastAsia="Calibri" w:hAnsi="Verdana" w:cs="Times New Roman"/>
          <w:b/>
          <w:bCs/>
          <w:lang w:val="es-ES"/>
        </w:rPr>
        <w:lastRenderedPageBreak/>
        <w:t>Respuesta:</w:t>
      </w:r>
    </w:p>
    <w:p w14:paraId="1D3D9DE8" w14:textId="77777777" w:rsidR="00361ACD" w:rsidRPr="009037F6" w:rsidRDefault="00361ACD" w:rsidP="00361ACD">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361ACD" w:rsidRPr="009037F6" w14:paraId="3816CDD3" w14:textId="77777777" w:rsidTr="009759B1">
        <w:trPr>
          <w:trHeight w:val="345"/>
          <w:jc w:val="center"/>
        </w:trPr>
        <w:tc>
          <w:tcPr>
            <w:tcW w:w="8784" w:type="dxa"/>
            <w:tcBorders>
              <w:bottom w:val="single" w:sz="4" w:space="0" w:color="auto"/>
            </w:tcBorders>
          </w:tcPr>
          <w:p w14:paraId="5FDF9CEE" w14:textId="77777777" w:rsidR="00361ACD" w:rsidRPr="00782ED2" w:rsidRDefault="00361ACD" w:rsidP="009759B1">
            <w:pPr>
              <w:spacing w:before="120" w:after="120" w:line="276" w:lineRule="auto"/>
              <w:jc w:val="both"/>
              <w:rPr>
                <w:rFonts w:ascii="Verdana" w:eastAsia="Calibri" w:hAnsi="Verdana" w:cs="Arial"/>
                <w:iCs/>
                <w:color w:val="000000" w:themeColor="text1"/>
                <w:lang w:val="es-ES"/>
              </w:rPr>
            </w:pPr>
            <w:r>
              <w:rPr>
                <w:rFonts w:ascii="Verdana" w:hAnsi="Verdana"/>
              </w:rPr>
              <w:t xml:space="preserve">En cuanto al problema jurídico, objeto de consulta, </w:t>
            </w:r>
            <w:r>
              <w:rPr>
                <w:rFonts w:ascii="Verdana" w:eastAsia="Calibri" w:hAnsi="Verdana" w:cs="Arial"/>
                <w:iCs/>
                <w:color w:val="000000" w:themeColor="text1"/>
                <w:lang w:val="es-ES"/>
              </w:rPr>
              <w:t xml:space="preserve">es pertinente señalar que no hay restricciones o prohibiciones expresas dentro de las reglas del Sistema de Compras Públicas, por parte de las entidades públicas de entregar todo tipo de bienes, ya sean </w:t>
            </w:r>
            <w:r w:rsidRPr="00782ED2">
              <w:rPr>
                <w:rFonts w:ascii="Verdana" w:eastAsia="Calibri" w:hAnsi="Verdana" w:cs="Arial"/>
                <w:iCs/>
                <w:color w:val="000000" w:themeColor="text1"/>
                <w:lang w:val="es-ES"/>
              </w:rPr>
              <w:t>libretas, lapiceros, pocillos, souvenirs, anchetas, reconocimientos, placas</w:t>
            </w:r>
            <w:r>
              <w:rPr>
                <w:rFonts w:ascii="Verdana" w:eastAsia="Calibri" w:hAnsi="Verdana" w:cs="Arial"/>
                <w:iCs/>
                <w:color w:val="000000" w:themeColor="text1"/>
                <w:lang w:val="es-ES"/>
              </w:rPr>
              <w:t xml:space="preserve">, electrodomésticos, entre otros, con el fin de desarrollar actividades estratégicas que se enfoquen en el objeto misional de la entidad. En todo caso, la entrega de este tipo de bienes </w:t>
            </w:r>
            <w:r w:rsidRPr="00782ED2">
              <w:rPr>
                <w:rFonts w:ascii="Verdana" w:hAnsi="Verdana"/>
              </w:rPr>
              <w:t xml:space="preserve">debe enmarcarse dentro de los principios de transparencia, eficiencia y responsabilidad que rigen la administración del recurso público. </w:t>
            </w:r>
          </w:p>
          <w:p w14:paraId="20943386" w14:textId="77777777" w:rsidR="00361ACD" w:rsidRDefault="00361ACD" w:rsidP="009759B1">
            <w:pPr>
              <w:shd w:val="clear" w:color="auto" w:fill="FFFFFF"/>
              <w:spacing w:before="120" w:after="120" w:line="276" w:lineRule="auto"/>
              <w:ind w:firstLine="567"/>
              <w:jc w:val="both"/>
              <w:rPr>
                <w:rFonts w:ascii="Verdana" w:hAnsi="Verdana"/>
              </w:rPr>
            </w:pPr>
            <w:r>
              <w:rPr>
                <w:rFonts w:ascii="Verdana" w:hAnsi="Verdana"/>
                <w:lang w:val="es-ES"/>
              </w:rPr>
              <w:t>De igual modo</w:t>
            </w:r>
            <w:r w:rsidRPr="00782ED2">
              <w:rPr>
                <w:rFonts w:ascii="Verdana" w:hAnsi="Verdana"/>
              </w:rPr>
              <w:t>, resulta indispensable que las entidades observen las reglas de austeridad del gasto público emitidas por el Gobierno</w:t>
            </w:r>
            <w:r>
              <w:rPr>
                <w:rFonts w:ascii="Verdana" w:hAnsi="Verdana"/>
              </w:rPr>
              <w:t xml:space="preserve"> Nacional y, en su defecto</w:t>
            </w:r>
            <w:r w:rsidRPr="00782ED2">
              <w:rPr>
                <w:rFonts w:ascii="Verdana" w:hAnsi="Verdana"/>
              </w:rPr>
              <w:t xml:space="preserve">, por las autoridades territoriales. </w:t>
            </w:r>
            <w:r>
              <w:rPr>
                <w:rFonts w:ascii="Verdana" w:hAnsi="Verdana"/>
              </w:rPr>
              <w:t xml:space="preserve">Al respecto, se destaca </w:t>
            </w:r>
            <w:r w:rsidRPr="001D02CC">
              <w:rPr>
                <w:rFonts w:ascii="Verdana" w:hAnsi="Verdana"/>
              </w:rPr>
              <w:t>el artículo 19 de la Ley 2155 de 2021,</w:t>
            </w:r>
            <w:r>
              <w:rPr>
                <w:rFonts w:ascii="Verdana" w:hAnsi="Verdana"/>
              </w:rPr>
              <w:t xml:space="preserve"> prescribe que con fundamento en el artículo 209 de la Constitución Política y con el cometido de reducir el Gasto Público, es necesario una implementación de </w:t>
            </w:r>
            <w:r w:rsidRPr="001D02CC">
              <w:rPr>
                <w:rFonts w:ascii="Verdana" w:hAnsi="Verdana"/>
              </w:rPr>
              <w:t>una política de austeridad</w:t>
            </w:r>
            <w:r>
              <w:rPr>
                <w:rFonts w:ascii="Verdana" w:hAnsi="Verdana"/>
              </w:rPr>
              <w:t>,</w:t>
            </w:r>
            <w:r w:rsidRPr="001D02CC">
              <w:rPr>
                <w:rFonts w:ascii="Verdana" w:hAnsi="Verdana"/>
              </w:rPr>
              <w:t xml:space="preserve"> con el objetivo de optimizar la eficiencia y efectividad en el uso de los recursos públicos. Dicha ley señala que el Gobierno Nacional anualmente reglamentará mediante decreto un Plan de Austeridad del gasto para cada vigencia fiscal aplicable a los órganos que hacen parte del Presupuesto General de la Nación.</w:t>
            </w:r>
            <w:r>
              <w:rPr>
                <w:rFonts w:ascii="Verdana" w:hAnsi="Verdana"/>
              </w:rPr>
              <w:t xml:space="preserve"> </w:t>
            </w:r>
          </w:p>
          <w:p w14:paraId="70896615" w14:textId="77777777" w:rsidR="00361ACD" w:rsidRPr="00D532D4" w:rsidRDefault="00361ACD" w:rsidP="009759B1">
            <w:pPr>
              <w:shd w:val="clear" w:color="auto" w:fill="FFFFFF"/>
              <w:spacing w:before="120" w:after="120" w:line="276" w:lineRule="auto"/>
              <w:ind w:firstLine="567"/>
              <w:jc w:val="both"/>
              <w:rPr>
                <w:rFonts w:ascii="Verdana" w:hAnsi="Verdana"/>
                <w:bCs/>
              </w:rPr>
            </w:pPr>
            <w:r>
              <w:rPr>
                <w:rFonts w:ascii="Verdana" w:hAnsi="Verdana"/>
              </w:rPr>
              <w:t xml:space="preserve">En este mismo sentido, el Decreto 1068 de 2015 </w:t>
            </w:r>
            <w:r w:rsidRPr="00D532D4">
              <w:rPr>
                <w:rFonts w:ascii="Verdana" w:hAnsi="Verdana"/>
                <w:bCs/>
                <w:iCs/>
              </w:rPr>
              <w:t>“Por medio del cual se expide el Decreto Único Reglamentario del Sector</w:t>
            </w:r>
            <w:r w:rsidRPr="00D532D4">
              <w:rPr>
                <w:rFonts w:ascii="Verdana" w:hAnsi="Verdana"/>
                <w:bCs/>
              </w:rPr>
              <w:t> </w:t>
            </w:r>
            <w:r w:rsidRPr="00D532D4">
              <w:rPr>
                <w:rFonts w:ascii="Verdana" w:hAnsi="Verdana"/>
                <w:bCs/>
                <w:iCs/>
              </w:rPr>
              <w:t>Hacienda y Crédito Público”</w:t>
            </w:r>
            <w:r>
              <w:rPr>
                <w:rFonts w:ascii="Verdana" w:hAnsi="Verdana"/>
                <w:bCs/>
                <w:iCs/>
              </w:rPr>
              <w:t xml:space="preserve"> establece una serie de reglas </w:t>
            </w:r>
            <w:r>
              <w:rPr>
                <w:rFonts w:ascii="Verdana" w:hAnsi="Verdana"/>
              </w:rPr>
              <w:t xml:space="preserve">que buscan </w:t>
            </w:r>
            <w:r w:rsidRPr="00782ED2">
              <w:rPr>
                <w:rFonts w:ascii="Verdana" w:hAnsi="Verdana"/>
              </w:rPr>
              <w:t xml:space="preserve">garantizar que los recursos se utilicen de manera racional y que cualquier incentivo otorgado tenga un propósito claro y justificado, evitando gastos superfluos o privilegios que puedan interpretarse como un uso ineficiente del presupuesto. </w:t>
            </w:r>
            <w:r>
              <w:rPr>
                <w:rFonts w:ascii="Verdana" w:hAnsi="Verdana"/>
              </w:rPr>
              <w:t xml:space="preserve">Al respecto, se destaca el </w:t>
            </w:r>
            <w:r w:rsidRPr="00D532D4">
              <w:rPr>
                <w:rFonts w:ascii="Verdana" w:hAnsi="Verdana"/>
                <w:bCs/>
              </w:rPr>
              <w:t>Artículo 2.8.4.5.1.</w:t>
            </w:r>
            <w:r>
              <w:rPr>
                <w:rFonts w:ascii="Verdana" w:hAnsi="Verdana"/>
                <w:bCs/>
              </w:rPr>
              <w:t xml:space="preserve"> del Decreto 1068 de 2015, que prescribe: “[…] </w:t>
            </w:r>
            <w:r w:rsidRPr="00D532D4">
              <w:rPr>
                <w:rFonts w:ascii="Verdana" w:hAnsi="Verdana"/>
              </w:rPr>
              <w:t>De acuerdo con lo establecido en el artículo 10 de la Ley 1474 de 2011, las entidades públicas podrán adelantar directa o indirectamente, actividades de divulgación de sus programas y políticas, para dar cumplimiento a la finalidad de la respectiva entidad en un marco de austeridad en el gasto y reducción real de costos, acorde con los criterios de efectivid</w:t>
            </w:r>
            <w:r>
              <w:rPr>
                <w:rFonts w:ascii="Verdana" w:hAnsi="Verdana"/>
              </w:rPr>
              <w:t xml:space="preserve">ad, transparencia y objetividad”. Esto, sin perjuicio del artículo 2.8.4.5.2. del Decreto 1068 de </w:t>
            </w:r>
            <w:r>
              <w:rPr>
                <w:rFonts w:ascii="Verdana" w:hAnsi="Verdana"/>
              </w:rPr>
              <w:lastRenderedPageBreak/>
              <w:t>2015, que prescribe las actividades no comprendidas</w:t>
            </w:r>
            <w:r>
              <w:rPr>
                <w:rFonts w:ascii="Verdana" w:hAnsi="Verdana"/>
                <w:bCs/>
              </w:rPr>
              <w:t xml:space="preserve"> como actividades de divulgación de sus programas y políticas. De esta manera, la</w:t>
            </w:r>
            <w:r w:rsidRPr="00782ED2">
              <w:rPr>
                <w:rFonts w:ascii="Verdana" w:hAnsi="Verdana"/>
              </w:rPr>
              <w:t xml:space="preserve"> austeridad no implica eliminar toda forma</w:t>
            </w:r>
            <w:r>
              <w:rPr>
                <w:rFonts w:ascii="Verdana" w:hAnsi="Verdana"/>
              </w:rPr>
              <w:t xml:space="preserve"> de entrega de bienes o productos</w:t>
            </w:r>
            <w:r w:rsidRPr="00782ED2">
              <w:rPr>
                <w:rFonts w:ascii="Verdana" w:hAnsi="Verdana"/>
              </w:rPr>
              <w:t>, sino asegurar que estos se ajust</w:t>
            </w:r>
            <w:r>
              <w:rPr>
                <w:rFonts w:ascii="Verdana" w:hAnsi="Verdana"/>
              </w:rPr>
              <w:t xml:space="preserve">en a criterios de pertinencia, </w:t>
            </w:r>
            <w:r w:rsidRPr="00782ED2">
              <w:rPr>
                <w:rFonts w:ascii="Verdana" w:hAnsi="Verdana"/>
              </w:rPr>
              <w:t>proporcionalidad</w:t>
            </w:r>
            <w:r>
              <w:rPr>
                <w:rFonts w:ascii="Verdana" w:hAnsi="Verdana"/>
              </w:rPr>
              <w:t>, economía y eficiencia</w:t>
            </w:r>
            <w:r w:rsidRPr="00782ED2">
              <w:rPr>
                <w:rFonts w:ascii="Verdana" w:hAnsi="Verdana"/>
              </w:rPr>
              <w:t>.</w:t>
            </w:r>
          </w:p>
          <w:p w14:paraId="621E1BA1" w14:textId="77777777" w:rsidR="00361ACD" w:rsidRPr="009037F6" w:rsidRDefault="00361ACD" w:rsidP="009759B1">
            <w:pPr>
              <w:spacing w:before="120" w:after="12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5DE2E56D" w14:textId="77777777" w:rsidR="00361ACD" w:rsidRPr="009037F6" w:rsidRDefault="00361ACD" w:rsidP="00361ACD">
      <w:pPr>
        <w:spacing w:after="0" w:line="276" w:lineRule="auto"/>
        <w:jc w:val="both"/>
        <w:rPr>
          <w:rFonts w:ascii="Verdana" w:eastAsia="Calibri" w:hAnsi="Verdana" w:cs="Arial"/>
          <w:bCs/>
          <w:color w:val="000000" w:themeColor="text1"/>
        </w:rPr>
      </w:pPr>
    </w:p>
    <w:p w14:paraId="64887544" w14:textId="77777777" w:rsidR="00361ACD" w:rsidRPr="009037F6" w:rsidRDefault="00361ACD" w:rsidP="00361ACD">
      <w:pPr>
        <w:numPr>
          <w:ilvl w:val="0"/>
          <w:numId w:val="16"/>
        </w:numPr>
        <w:tabs>
          <w:tab w:val="left" w:pos="2268"/>
        </w:tabs>
        <w:spacing w:after="0" w:line="256" w:lineRule="auto"/>
        <w:rPr>
          <w:rFonts w:ascii="Verdana" w:eastAsia="Calibri" w:hAnsi="Verdana" w:cs="Times New Roman"/>
          <w:b/>
          <w:bCs/>
          <w:lang w:val="es-ES"/>
        </w:rPr>
      </w:pPr>
      <w:r w:rsidRPr="009037F6">
        <w:rPr>
          <w:rFonts w:ascii="Verdana" w:eastAsia="Calibri" w:hAnsi="Verdana" w:cs="Times New Roman"/>
          <w:b/>
          <w:bCs/>
          <w:lang w:val="es-ES"/>
        </w:rPr>
        <w:t>Razones de la respuesta:</w:t>
      </w:r>
    </w:p>
    <w:p w14:paraId="62079668" w14:textId="77777777" w:rsidR="00361ACD" w:rsidRPr="009037F6" w:rsidRDefault="00361ACD" w:rsidP="00361ACD">
      <w:pPr>
        <w:spacing w:after="0" w:line="256" w:lineRule="auto"/>
        <w:rPr>
          <w:rFonts w:ascii="Verdana" w:eastAsia="Calibri" w:hAnsi="Verdana" w:cs="Times New Roman"/>
          <w:b/>
          <w:bCs/>
          <w:lang w:val="es-ES"/>
        </w:rPr>
      </w:pPr>
    </w:p>
    <w:p w14:paraId="5821F26A" w14:textId="77777777" w:rsidR="00361ACD" w:rsidRPr="009037F6" w:rsidRDefault="00361ACD" w:rsidP="00361ACD">
      <w:pPr>
        <w:spacing w:after="0" w:line="276" w:lineRule="auto"/>
        <w:jc w:val="both"/>
        <w:rPr>
          <w:rFonts w:ascii="Verdana" w:eastAsia="Calibri" w:hAnsi="Verdana" w:cs="Arial"/>
          <w:lang w:val="es-ES"/>
        </w:rPr>
      </w:pPr>
      <w:r w:rsidRPr="009037F6">
        <w:rPr>
          <w:rFonts w:ascii="Verdana" w:eastAsia="Calibri" w:hAnsi="Verdana" w:cs="Arial"/>
          <w:lang w:val="es-ES"/>
        </w:rPr>
        <w:t>Lo anterior se sustenta en las siguientes consideraciones:</w:t>
      </w:r>
    </w:p>
    <w:p w14:paraId="295DB629" w14:textId="77777777" w:rsidR="00361ACD" w:rsidRPr="009037F6" w:rsidRDefault="00361ACD" w:rsidP="00361ACD">
      <w:pPr>
        <w:spacing w:after="0" w:line="276" w:lineRule="auto"/>
        <w:jc w:val="both"/>
        <w:rPr>
          <w:rFonts w:ascii="Verdana" w:eastAsia="Calibri" w:hAnsi="Verdana" w:cs="Arial"/>
          <w:lang w:val="es-ES"/>
        </w:rPr>
      </w:pPr>
    </w:p>
    <w:p w14:paraId="0B21FAB8" w14:textId="77777777" w:rsidR="00361ACD" w:rsidRPr="000353BD" w:rsidRDefault="00361ACD" w:rsidP="00361ACD">
      <w:pPr>
        <w:spacing w:after="120" w:line="276" w:lineRule="auto"/>
        <w:jc w:val="both"/>
        <w:rPr>
          <w:rFonts w:ascii="Verdana" w:hAnsi="Verdana" w:cs="Arial"/>
        </w:rPr>
      </w:pPr>
      <w:bookmarkStart w:id="2" w:name="_Hlk78820161"/>
      <w:bookmarkStart w:id="3" w:name="_Hlk37703813"/>
      <w:r w:rsidRPr="000353BD">
        <w:rPr>
          <w:rFonts w:ascii="Verdana" w:eastAsia="Calibri" w:hAnsi="Verdana" w:cs="Arial"/>
        </w:rPr>
        <w:t xml:space="preserve">i. </w:t>
      </w:r>
      <w:r w:rsidRPr="000353BD">
        <w:rPr>
          <w:rFonts w:ascii="Verdana" w:eastAsia="Calibri" w:hAnsi="Verdana" w:cs="Arial"/>
          <w:lang w:val="es-ES"/>
        </w:rPr>
        <w:t xml:space="preserve">Respecto al régimen jurídico de las </w:t>
      </w:r>
      <w:r w:rsidRPr="000353BD">
        <w:rPr>
          <w:rFonts w:ascii="Verdana" w:eastAsia="Calibri" w:hAnsi="Verdana" w:cs="Arial"/>
          <w:i/>
          <w:iCs/>
          <w:lang w:val="es-ES"/>
        </w:rPr>
        <w:t>entidades sometidas</w:t>
      </w:r>
      <w:r w:rsidRPr="000353BD">
        <w:rPr>
          <w:rFonts w:ascii="Verdana" w:eastAsia="Calibri" w:hAnsi="Verdana" w:cs="Arial"/>
          <w:lang w:val="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0353BD">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319C24AF" w14:textId="77777777" w:rsidR="00361ACD" w:rsidRPr="000353BD" w:rsidRDefault="00361ACD" w:rsidP="00361ACD">
      <w:pPr>
        <w:spacing w:after="120" w:line="276" w:lineRule="auto"/>
        <w:ind w:firstLine="709"/>
        <w:jc w:val="both"/>
        <w:rPr>
          <w:rFonts w:ascii="Verdana" w:hAnsi="Verdana" w:cs="Arial"/>
        </w:rPr>
      </w:pPr>
      <w:r w:rsidRPr="000353BD">
        <w:rPr>
          <w:rFonts w:ascii="Verdana" w:hAnsi="Verdana" w:cs="Arial"/>
        </w:rPr>
        <w:t xml:space="preserve">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w:t>
      </w:r>
      <w:r w:rsidRPr="000353BD">
        <w:rPr>
          <w:rFonts w:ascii="Verdana" w:hAnsi="Verdana" w:cs="Arial"/>
        </w:rPr>
        <w:lastRenderedPageBreak/>
        <w:t>comerciales y las previstas en esta ley, correspondan a su esencia y naturaleza” –art. 40, inciso primero–.</w:t>
      </w:r>
    </w:p>
    <w:p w14:paraId="4E381E1F" w14:textId="77777777" w:rsidR="00361ACD" w:rsidRPr="000353BD" w:rsidRDefault="00361ACD" w:rsidP="00361ACD">
      <w:pPr>
        <w:spacing w:after="0" w:line="276" w:lineRule="auto"/>
        <w:ind w:firstLine="708"/>
        <w:jc w:val="both"/>
        <w:rPr>
          <w:rFonts w:ascii="Verdana" w:hAnsi="Verdana" w:cs="Arial"/>
        </w:rPr>
      </w:pPr>
      <w:r w:rsidRPr="000353BD">
        <w:rPr>
          <w:rFonts w:ascii="Verdana" w:hAnsi="Verdana" w:cs="Arial"/>
        </w:rPr>
        <w:t>De esta manera, los contratos de las entidades sujetas al Estatuto General de Contratación se rigen generalmente por el derecho privado y excepcionalmente por el derecho público, pues las normas civiles y comerciales son el derecho común de los contratos estatales</w:t>
      </w:r>
      <w:r w:rsidRPr="000353BD">
        <w:rPr>
          <w:rFonts w:ascii="Verdana" w:hAnsi="Verdana" w:cs="Arial"/>
          <w:vertAlign w:val="superscript"/>
        </w:rPr>
        <w:footnoteReference w:id="1"/>
      </w:r>
      <w:r w:rsidRPr="000353BD">
        <w:rPr>
          <w:rFonts w:ascii="Verdana" w:hAnsi="Verdana" w:cs="Arial"/>
        </w:rPr>
        <w:t>. Para la doctrina, la mixtura del régimen contractual:</w:t>
      </w:r>
    </w:p>
    <w:p w14:paraId="59E86F37" w14:textId="77777777" w:rsidR="00361ACD" w:rsidRPr="000353BD" w:rsidRDefault="00361ACD" w:rsidP="00361ACD">
      <w:pPr>
        <w:spacing w:after="0" w:line="276" w:lineRule="auto"/>
        <w:ind w:firstLine="709"/>
        <w:jc w:val="both"/>
        <w:rPr>
          <w:rFonts w:ascii="Verdana" w:hAnsi="Verdana" w:cs="Arial"/>
        </w:rPr>
      </w:pPr>
    </w:p>
    <w:p w14:paraId="44FF76A8" w14:textId="77777777" w:rsidR="00361ACD" w:rsidRPr="000353BD" w:rsidRDefault="00361ACD" w:rsidP="00361ACD">
      <w:pPr>
        <w:spacing w:after="0" w:line="240" w:lineRule="auto"/>
        <w:ind w:left="709" w:right="709"/>
        <w:jc w:val="both"/>
        <w:rPr>
          <w:rFonts w:ascii="Verdana" w:hAnsi="Verdana" w:cs="Arial"/>
          <w:sz w:val="21"/>
          <w:szCs w:val="21"/>
        </w:rPr>
      </w:pPr>
      <w:r w:rsidRPr="000353BD">
        <w:rPr>
          <w:rFonts w:ascii="Verdana" w:hAnsi="Verdana" w:cs="Arial"/>
          <w:sz w:val="21"/>
          <w:szCs w:val="21"/>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1777F788" w14:textId="77777777" w:rsidR="00361ACD" w:rsidRPr="000353BD" w:rsidRDefault="00361ACD" w:rsidP="00361ACD">
      <w:pPr>
        <w:spacing w:after="0" w:line="240" w:lineRule="auto"/>
        <w:ind w:left="709" w:right="709"/>
        <w:jc w:val="both"/>
        <w:rPr>
          <w:rFonts w:ascii="Verdana" w:hAnsi="Verdana" w:cs="Arial"/>
          <w:sz w:val="21"/>
          <w:szCs w:val="21"/>
        </w:rPr>
      </w:pPr>
    </w:p>
    <w:p w14:paraId="705FD07B" w14:textId="77777777" w:rsidR="00361ACD" w:rsidRPr="000353BD" w:rsidRDefault="00361ACD" w:rsidP="00361ACD">
      <w:pPr>
        <w:spacing w:after="0" w:line="240" w:lineRule="auto"/>
        <w:ind w:left="709" w:right="709"/>
        <w:jc w:val="both"/>
        <w:rPr>
          <w:rFonts w:ascii="Verdana" w:hAnsi="Verdana" w:cs="Arial"/>
          <w:sz w:val="21"/>
          <w:szCs w:val="21"/>
        </w:rPr>
      </w:pPr>
      <w:r w:rsidRPr="000353BD">
        <w:rPr>
          <w:rFonts w:ascii="Verdana" w:hAnsi="Verdana" w:cs="Arial"/>
          <w:sz w:val="21"/>
          <w:szCs w:val="21"/>
        </w:rPr>
        <w:t>En otras palabras, extremos como los indicados no son ni de derecho público ni de derecho privado, sino, simplemente, de derecho propio, aplicables a toda relación contractual, con prescindencia de la naturaleza de los sujetos involucrados en la misma”</w:t>
      </w:r>
      <w:r w:rsidRPr="000353BD">
        <w:rPr>
          <w:rFonts w:ascii="Verdana" w:hAnsi="Verdana" w:cs="Arial"/>
          <w:sz w:val="21"/>
          <w:szCs w:val="21"/>
          <w:vertAlign w:val="superscript"/>
        </w:rPr>
        <w:footnoteReference w:id="2"/>
      </w:r>
      <w:r w:rsidRPr="000353BD">
        <w:rPr>
          <w:rFonts w:ascii="Verdana" w:hAnsi="Verdana" w:cs="Arial"/>
          <w:sz w:val="21"/>
          <w:szCs w:val="21"/>
        </w:rPr>
        <w:t xml:space="preserve">. </w:t>
      </w:r>
    </w:p>
    <w:p w14:paraId="26CDE1BE" w14:textId="77777777" w:rsidR="00361ACD" w:rsidRPr="000353BD" w:rsidRDefault="00361ACD" w:rsidP="00361ACD">
      <w:pPr>
        <w:spacing w:after="0" w:line="276" w:lineRule="auto"/>
        <w:ind w:left="709" w:right="709"/>
        <w:jc w:val="both"/>
        <w:rPr>
          <w:rFonts w:ascii="Verdana" w:hAnsi="Verdana" w:cs="Arial"/>
        </w:rPr>
      </w:pPr>
      <w:r w:rsidRPr="000353BD">
        <w:rPr>
          <w:rFonts w:ascii="Verdana" w:hAnsi="Verdana" w:cs="Arial"/>
        </w:rPr>
        <w:t xml:space="preserve"> </w:t>
      </w:r>
    </w:p>
    <w:p w14:paraId="4359EE98" w14:textId="77777777" w:rsidR="00361ACD" w:rsidRPr="000353BD" w:rsidRDefault="00361ACD" w:rsidP="00361ACD">
      <w:pPr>
        <w:spacing w:after="120" w:line="276" w:lineRule="auto"/>
        <w:jc w:val="both"/>
        <w:rPr>
          <w:rFonts w:ascii="Verdana" w:hAnsi="Verdana" w:cs="Arial"/>
        </w:rPr>
      </w:pPr>
      <w:r w:rsidRPr="000353BD">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6C231C60" w14:textId="77777777" w:rsidR="00361ACD" w:rsidRPr="000353BD" w:rsidRDefault="00361ACD" w:rsidP="00361ACD">
      <w:pPr>
        <w:spacing w:after="0" w:line="276" w:lineRule="auto"/>
        <w:jc w:val="both"/>
        <w:rPr>
          <w:rFonts w:ascii="Verdana" w:hAnsi="Verdana" w:cs="Arial"/>
        </w:rPr>
      </w:pPr>
    </w:p>
    <w:p w14:paraId="1A0482F1" w14:textId="77777777" w:rsidR="00361ACD" w:rsidRPr="000353BD" w:rsidRDefault="00361ACD" w:rsidP="00361ACD">
      <w:pPr>
        <w:spacing w:after="0" w:line="276" w:lineRule="auto"/>
        <w:jc w:val="both"/>
        <w:rPr>
          <w:rFonts w:ascii="Verdana" w:hAnsi="Verdana" w:cs="Arial"/>
        </w:rPr>
      </w:pPr>
      <w:r w:rsidRPr="000353BD">
        <w:rPr>
          <w:rFonts w:ascii="Verdana" w:hAnsi="Verdana" w:cs="Arial"/>
        </w:rPr>
        <w:t xml:space="preserve">ii. Esta precisión es importante, porque el grueso de los </w:t>
      </w:r>
      <w:r w:rsidRPr="000353BD">
        <w:rPr>
          <w:rFonts w:ascii="Verdana" w:hAnsi="Verdana" w:cs="Arial"/>
          <w:i/>
          <w:iCs/>
        </w:rPr>
        <w:t>contratos típicos</w:t>
      </w:r>
      <w:r w:rsidRPr="000353BD">
        <w:rPr>
          <w:rFonts w:ascii="Verdana" w:hAnsi="Verdana" w:cs="Arial"/>
        </w:rPr>
        <w:t xml:space="preserve"> –v. gr. compraventa, arrendamiento, mutuo, comodato, depósito, suministro, transporte, etc.– se encuentran en el Código Civil y en el Código de Comercio, por lo que encuentran gran parte de su régimen jurídico. Sin embargo, no obsta para la existencia de </w:t>
      </w:r>
      <w:r w:rsidRPr="000353BD">
        <w:rPr>
          <w:rFonts w:ascii="Verdana" w:hAnsi="Verdana" w:cs="Arial"/>
          <w:i/>
          <w:iCs/>
        </w:rPr>
        <w:t>contratos atípicos</w:t>
      </w:r>
      <w:r w:rsidRPr="000353BD">
        <w:rPr>
          <w:rFonts w:ascii="Verdana" w:hAnsi="Verdana" w:cs="Arial"/>
        </w:rPr>
        <w:t>, pues –aunque no corresponden a un marco legal predefinido– en ellos obra con mayor alcance la libertad contractual. Como explica la doctrina:</w:t>
      </w:r>
    </w:p>
    <w:p w14:paraId="3A2018F7" w14:textId="77777777" w:rsidR="00361ACD" w:rsidRPr="000353BD" w:rsidRDefault="00361ACD" w:rsidP="00361ACD">
      <w:pPr>
        <w:spacing w:after="0" w:line="276" w:lineRule="auto"/>
        <w:jc w:val="both"/>
        <w:rPr>
          <w:rFonts w:ascii="Verdana" w:hAnsi="Verdana" w:cs="Arial"/>
        </w:rPr>
      </w:pPr>
    </w:p>
    <w:p w14:paraId="7C6A8528" w14:textId="77777777" w:rsidR="00361ACD" w:rsidRPr="000353BD" w:rsidRDefault="00361ACD" w:rsidP="00361ACD">
      <w:pPr>
        <w:spacing w:after="0" w:line="240" w:lineRule="auto"/>
        <w:ind w:left="709" w:right="709"/>
        <w:jc w:val="both"/>
        <w:rPr>
          <w:rFonts w:ascii="Verdana" w:hAnsi="Verdana" w:cs="Arial"/>
          <w:sz w:val="21"/>
          <w:szCs w:val="21"/>
        </w:rPr>
      </w:pPr>
      <w:r w:rsidRPr="000353BD">
        <w:rPr>
          <w:rFonts w:ascii="Verdana" w:hAnsi="Verdana" w:cs="Arial"/>
          <w:sz w:val="21"/>
          <w:szCs w:val="21"/>
        </w:rPr>
        <w:t>“En los actos jurídicos atípicos se refleja en su mayor alcance, el postulado de la autonomía de la voluntad privada, pues es en ellos donde los interesados, consultando su mejor conveniencia, determinan los efectos que han de producir, su alcance, sus condiciones y modalidades, aunque las respectivas estipulaciones no se amolden a los actos patrones reglamentados por la ley. ‘Bajo nuestro régimen jurídico —explica la Corte Suprema de Justicia—, la ley reglamenta ciertos tipos de contratos, lo cual no impide al tráfico moverse dentro de especies de convenciones distintas que satisfagan necesidades no previstas por el legislador, debido a que él obtiene sus materiales del pasado y se halla a menudo en retardo respecto de los hechos económicos’"</w:t>
      </w:r>
      <w:r w:rsidRPr="000353BD">
        <w:rPr>
          <w:rFonts w:ascii="Verdana" w:hAnsi="Verdana" w:cs="Arial"/>
          <w:sz w:val="21"/>
          <w:szCs w:val="21"/>
          <w:vertAlign w:val="superscript"/>
        </w:rPr>
        <w:footnoteReference w:id="3"/>
      </w:r>
      <w:r w:rsidRPr="000353BD">
        <w:rPr>
          <w:rFonts w:ascii="Verdana" w:hAnsi="Verdana" w:cs="Arial"/>
          <w:sz w:val="21"/>
          <w:szCs w:val="21"/>
        </w:rPr>
        <w:t>.</w:t>
      </w:r>
    </w:p>
    <w:p w14:paraId="1D835009" w14:textId="77777777" w:rsidR="00361ACD" w:rsidRPr="000353BD" w:rsidRDefault="00361ACD" w:rsidP="00361ACD">
      <w:pPr>
        <w:spacing w:after="0" w:line="276" w:lineRule="auto"/>
        <w:jc w:val="both"/>
        <w:rPr>
          <w:rFonts w:ascii="Verdana" w:hAnsi="Verdana" w:cs="Arial"/>
        </w:rPr>
      </w:pPr>
    </w:p>
    <w:p w14:paraId="51A23087" w14:textId="77777777" w:rsidR="00361ACD" w:rsidRPr="000353BD" w:rsidRDefault="00361ACD" w:rsidP="00361ACD">
      <w:pPr>
        <w:spacing w:line="276" w:lineRule="auto"/>
        <w:ind w:firstLine="567"/>
        <w:jc w:val="both"/>
        <w:rPr>
          <w:rFonts w:ascii="Verdana" w:eastAsia="Calibri" w:hAnsi="Verdana"/>
          <w:color w:val="000000" w:themeColor="text1"/>
          <w:lang w:val="es-ES_tradnl"/>
        </w:rPr>
      </w:pPr>
      <w:r w:rsidRPr="000353BD">
        <w:rPr>
          <w:rFonts w:ascii="Verdana" w:eastAsia="Calibri" w:hAnsi="Verdana"/>
          <w:color w:val="000000" w:themeColor="text1"/>
          <w:lang w:val="es-ES_tradnl"/>
        </w:rPr>
        <w:t xml:space="preserve">El inciso primero del precitado artículo 32 de la Ley 80 de 1993 define los contratos estatales como “[…] todos los actos jurídicos generadores de obligaciones […] derivados del ejercicio de la autonomía de la voluntad […]”, por lo que </w:t>
      </w:r>
      <w:bookmarkStart w:id="4" w:name="_Hlk81430928"/>
      <w:r w:rsidRPr="000353BD">
        <w:rPr>
          <w:rFonts w:ascii="Verdana" w:eastAsia="Calibri" w:hAnsi="Verdana"/>
          <w:color w:val="000000" w:themeColor="text1"/>
          <w:lang w:val="es-ES_tradnl"/>
        </w:rPr>
        <w:t xml:space="preserve">las partes están facultadas para suscribir </w:t>
      </w:r>
      <w:r w:rsidRPr="000353BD">
        <w:rPr>
          <w:rFonts w:ascii="Verdana" w:eastAsia="Calibri" w:hAnsi="Verdana"/>
          <w:i/>
          <w:iCs/>
          <w:color w:val="000000" w:themeColor="text1"/>
          <w:lang w:val="es-ES_tradnl"/>
        </w:rPr>
        <w:t>contratos mixtos</w:t>
      </w:r>
      <w:r w:rsidRPr="000353BD">
        <w:rPr>
          <w:rFonts w:ascii="Verdana" w:eastAsia="Calibri" w:hAnsi="Verdana"/>
          <w:color w:val="000000" w:themeColor="text1"/>
          <w:lang w:val="es-ES_tradnl"/>
        </w:rPr>
        <w:t>. Como una forma de contratación atípica, estos se caracterizan por acumular prestaciones de varios contratos nominados para satisfacer una necesidad común, es decir, “Su finalidad económica es única y condensa el propósito perseguido por los contratantes. Las diversas prestaciones, aunque corresponden a diversos contratos típicos, se subordinan a esa finalidad e intención de las partes</w:t>
      </w:r>
      <w:bookmarkEnd w:id="4"/>
      <w:r w:rsidRPr="000353BD">
        <w:rPr>
          <w:rFonts w:ascii="Verdana" w:eastAsia="Calibri" w:hAnsi="Verdana"/>
          <w:color w:val="000000" w:themeColor="text1"/>
          <w:lang w:val="es-ES_tradnl"/>
        </w:rPr>
        <w:t>”</w:t>
      </w:r>
      <w:r w:rsidRPr="000353BD">
        <w:rPr>
          <w:rFonts w:ascii="Verdana" w:eastAsia="Calibri" w:hAnsi="Verdana"/>
          <w:color w:val="000000" w:themeColor="text1"/>
          <w:vertAlign w:val="superscript"/>
          <w:lang w:val="es-ES_tradnl"/>
        </w:rPr>
        <w:footnoteReference w:id="4"/>
      </w:r>
      <w:r w:rsidRPr="000353BD">
        <w:rPr>
          <w:rFonts w:ascii="Verdana" w:eastAsia="Calibri" w:hAnsi="Verdana"/>
          <w:color w:val="000000" w:themeColor="text1"/>
          <w:lang w:val="es-ES_tradnl"/>
        </w:rPr>
        <w:t xml:space="preserve">. </w:t>
      </w:r>
    </w:p>
    <w:p w14:paraId="562C7AEA" w14:textId="77777777" w:rsidR="00361ACD" w:rsidRPr="000353BD" w:rsidRDefault="00361ACD" w:rsidP="00361ACD">
      <w:pPr>
        <w:spacing w:before="120" w:line="276" w:lineRule="auto"/>
        <w:ind w:firstLine="708"/>
        <w:jc w:val="both"/>
        <w:rPr>
          <w:rFonts w:ascii="Verdana" w:eastAsia="Calibri" w:hAnsi="Verdana"/>
          <w:color w:val="000000" w:themeColor="text1"/>
          <w:lang w:val="es-ES_tradnl"/>
        </w:rPr>
      </w:pPr>
      <w:r w:rsidRPr="000353BD">
        <w:rPr>
          <w:rFonts w:ascii="Verdana" w:eastAsia="Calibri" w:hAnsi="Verdana"/>
          <w:color w:val="000000" w:themeColor="text1"/>
        </w:rPr>
        <w:lastRenderedPageBreak/>
        <w:t xml:space="preserve">En este contexto, es importante diferenciar los </w:t>
      </w:r>
      <w:r w:rsidRPr="000353BD">
        <w:rPr>
          <w:rFonts w:ascii="Verdana" w:eastAsia="Calibri" w:hAnsi="Verdana"/>
          <w:color w:val="000000" w:themeColor="text1"/>
          <w:sz w:val="20"/>
          <w:szCs w:val="20"/>
        </w:rPr>
        <w:t>“</w:t>
      </w:r>
      <w:r w:rsidRPr="000353BD">
        <w:rPr>
          <w:rFonts w:ascii="Verdana" w:eastAsia="Calibri" w:hAnsi="Verdana"/>
          <w:color w:val="000000" w:themeColor="text1"/>
        </w:rPr>
        <w:t xml:space="preserve">contratos mixtos” de las “uniones de contratos”. En el </w:t>
      </w:r>
      <w:r w:rsidRPr="000353BD">
        <w:rPr>
          <w:rFonts w:ascii="Verdana" w:eastAsia="Calibri" w:hAnsi="Verdana"/>
          <w:i/>
          <w:iCs/>
          <w:color w:val="000000" w:themeColor="text1"/>
        </w:rPr>
        <w:t>contrato mixto</w:t>
      </w:r>
      <w:r w:rsidRPr="000353BD">
        <w:rPr>
          <w:rFonts w:ascii="Verdana" w:eastAsia="Calibri" w:hAnsi="Verdana"/>
          <w:color w:val="000000" w:themeColor="text1"/>
        </w:rPr>
        <w:t xml:space="preserve"> existe un solo acuerdo con elementos de diversos tipos de contrato, mientras que en las </w:t>
      </w:r>
      <w:r w:rsidRPr="000353BD">
        <w:rPr>
          <w:rFonts w:ascii="Verdana" w:eastAsia="Calibri" w:hAnsi="Verdana"/>
          <w:i/>
          <w:iCs/>
          <w:color w:val="000000" w:themeColor="text1"/>
        </w:rPr>
        <w:t>uniones de contrato</w:t>
      </w:r>
      <w:r w:rsidRPr="000353BD">
        <w:rPr>
          <w:rFonts w:ascii="Verdana" w:eastAsia="Calibri" w:hAnsi="Verdana"/>
          <w:color w:val="000000" w:themeColor="text1"/>
        </w:rPr>
        <w:t xml:space="preserve"> cada uno de ellos mantiene su régimen y autonomía. Para esta distinción corresponde identificar la causa del contrato, es decir, el móvil para celebrarlo: si existe unidad causal corresponde a un </w:t>
      </w:r>
      <w:r w:rsidRPr="000353BD">
        <w:rPr>
          <w:rFonts w:ascii="Verdana" w:eastAsia="Calibri" w:hAnsi="Verdana"/>
          <w:color w:val="000000" w:themeColor="text1"/>
          <w:sz w:val="20"/>
          <w:szCs w:val="20"/>
        </w:rPr>
        <w:t>“</w:t>
      </w:r>
      <w:r w:rsidRPr="000353BD">
        <w:rPr>
          <w:rFonts w:ascii="Verdana" w:eastAsia="Calibri" w:hAnsi="Verdana"/>
          <w:color w:val="000000" w:themeColor="text1"/>
        </w:rPr>
        <w:t>contrato mixto”; de lo contrario, es una “unión de contratos”</w:t>
      </w:r>
      <w:r w:rsidRPr="000353BD">
        <w:rPr>
          <w:rFonts w:ascii="Verdana" w:eastAsia="Calibri" w:hAnsi="Verdana"/>
          <w:color w:val="000000" w:themeColor="text1"/>
          <w:vertAlign w:val="superscript"/>
        </w:rPr>
        <w:footnoteReference w:id="5"/>
      </w:r>
      <w:r w:rsidRPr="000353BD">
        <w:rPr>
          <w:rFonts w:ascii="Verdana" w:eastAsia="Calibri" w:hAnsi="Verdana"/>
          <w:color w:val="000000" w:themeColor="text1"/>
        </w:rPr>
        <w:t>.</w:t>
      </w:r>
      <w:r w:rsidRPr="000353BD">
        <w:rPr>
          <w:rFonts w:ascii="Verdana" w:eastAsia="Calibri" w:hAnsi="Verdana"/>
          <w:color w:val="000000" w:themeColor="text1"/>
          <w:lang w:val="es-ES_tradnl"/>
        </w:rPr>
        <w:t xml:space="preserve"> </w:t>
      </w:r>
    </w:p>
    <w:p w14:paraId="037454FA" w14:textId="77777777" w:rsidR="00361ACD" w:rsidRPr="000353BD" w:rsidRDefault="00361ACD" w:rsidP="00361ACD">
      <w:pPr>
        <w:spacing w:before="120" w:line="276" w:lineRule="auto"/>
        <w:ind w:firstLine="708"/>
        <w:jc w:val="both"/>
        <w:rPr>
          <w:rFonts w:ascii="Verdana" w:eastAsia="Calibri" w:hAnsi="Verdana"/>
          <w:color w:val="000000" w:themeColor="text1"/>
          <w:lang w:val="es-ES"/>
        </w:rPr>
      </w:pPr>
      <w:r w:rsidRPr="000353BD">
        <w:rPr>
          <w:rFonts w:ascii="Verdana" w:eastAsia="Calibri" w:hAnsi="Verdana"/>
          <w:color w:val="000000" w:themeColor="text1"/>
          <w:lang w:val="es-ES"/>
        </w:rPr>
        <w:t>Más allá de la tipicidad o no del negocio, es necesario tener en cuenta que la capacidad contractual para celebrar contratos estatales está regulada en el artículo 6 de la Ley 80 de 1993. De conformidad con la norma citada, “Pueden celebrar contratos con las entidades estatales las personas consideradas legalmente capaces en las disposiciones vigentes […]”. De acuerdo con la modificación de la Ley 2160 de 2021, la norma agrega lo siguiente: “[…] También podrán celebrar contratos con las entidades estatales los Cabildos Indígenas, las asociaciones de Autoridades Tradicionales Indígenas, los consejos comunitarios de las comunidades negras regulados por la Ley 70 de 1993 […] las organizaciones de base de comunidades negras, afrocolombianas, raizales y palenqueras y las demás formas y expresiones organizativas […]; y los consorcios y uniones temporales”.</w:t>
      </w:r>
    </w:p>
    <w:p w14:paraId="20ECB8DD" w14:textId="77777777" w:rsidR="00361ACD" w:rsidRPr="000353BD" w:rsidRDefault="00361ACD" w:rsidP="00361ACD">
      <w:pPr>
        <w:spacing w:before="120" w:line="276" w:lineRule="auto"/>
        <w:ind w:firstLine="708"/>
        <w:jc w:val="both"/>
        <w:rPr>
          <w:rFonts w:ascii="Verdana" w:eastAsia="Calibri" w:hAnsi="Verdana"/>
          <w:color w:val="000000" w:themeColor="text1"/>
        </w:rPr>
      </w:pPr>
      <w:r w:rsidRPr="000353BD">
        <w:rPr>
          <w:rFonts w:ascii="Verdana" w:eastAsia="Calibri" w:hAnsi="Verdana"/>
          <w:color w:val="000000" w:themeColor="text1"/>
        </w:rPr>
        <w:t>Asimismo, para efectos de individualizar sus requisitos esenciales, el artículo 1501 del Código Civil dispone que corresponden a “[…] aquellas cosas sin las cuales, o no produce efecto alguno, o degeneran en otro contrato diferente […]”. Es decir, “[…] no es admisible un juicio de comparación con las figuras típicas del ordenamiento, en virtud de la indeterminación inherente antes de su perfeccionamiento, pues […] este es fruto de la mera autonomía privada de las partes, la cual da vida a una figura absolutamente extraña a los tipos contractuales establecidos por las normas jurídicas del ordenamiento jurídico y por la costumbre […]”</w:t>
      </w:r>
      <w:r w:rsidRPr="000353BD">
        <w:rPr>
          <w:rFonts w:ascii="Verdana" w:eastAsia="Calibri" w:hAnsi="Verdana"/>
          <w:color w:val="000000" w:themeColor="text1"/>
          <w:vertAlign w:val="superscript"/>
        </w:rPr>
        <w:footnoteReference w:id="6"/>
      </w:r>
      <w:r w:rsidRPr="000353BD">
        <w:rPr>
          <w:rFonts w:ascii="Verdana" w:eastAsia="Calibri" w:hAnsi="Verdana"/>
          <w:color w:val="000000" w:themeColor="text1"/>
        </w:rPr>
        <w:t xml:space="preserve">. </w:t>
      </w:r>
    </w:p>
    <w:p w14:paraId="347CB90C" w14:textId="77777777" w:rsidR="00361ACD" w:rsidRPr="000353BD" w:rsidRDefault="00361ACD" w:rsidP="00361ACD">
      <w:pPr>
        <w:spacing w:after="0" w:line="276" w:lineRule="auto"/>
        <w:ind w:firstLine="708"/>
        <w:jc w:val="both"/>
        <w:rPr>
          <w:rFonts w:ascii="Verdana" w:eastAsia="Calibri" w:hAnsi="Verdana"/>
          <w:color w:val="000000" w:themeColor="text1"/>
          <w:lang w:val="es-ES"/>
        </w:rPr>
      </w:pPr>
      <w:r w:rsidRPr="000353BD">
        <w:rPr>
          <w:rFonts w:ascii="Verdana" w:eastAsia="Calibri" w:hAnsi="Verdana"/>
          <w:color w:val="000000" w:themeColor="text1"/>
          <w:lang w:val="es-ES"/>
        </w:rPr>
        <w:t xml:space="preserve">Al margen de la tipicidad o no del negocio, la existencia de los contratos estatales, es decir, la producción de efectos jurídicos en los términos del artículo </w:t>
      </w:r>
      <w:r w:rsidRPr="000353BD">
        <w:rPr>
          <w:rFonts w:ascii="Verdana" w:eastAsia="Calibri" w:hAnsi="Verdana"/>
          <w:color w:val="000000" w:themeColor="text1"/>
          <w:lang w:val="es-ES"/>
        </w:rPr>
        <w:lastRenderedPageBreak/>
        <w:t xml:space="preserve">1501 </w:t>
      </w:r>
      <w:r w:rsidRPr="000353BD">
        <w:rPr>
          <w:rFonts w:ascii="Verdana" w:eastAsia="Calibri" w:hAnsi="Verdana"/>
          <w:i/>
          <w:color w:val="000000" w:themeColor="text1"/>
          <w:lang w:val="es-ES"/>
        </w:rPr>
        <w:t>ibídem</w:t>
      </w:r>
      <w:r w:rsidRPr="000353BD">
        <w:rPr>
          <w:rFonts w:ascii="Verdana" w:eastAsia="Calibri" w:hAnsi="Verdana"/>
          <w:color w:val="000000" w:themeColor="text1"/>
          <w:lang w:val="es-ES"/>
        </w:rPr>
        <w:t>, depende de la regulación del inciso primero de los artículos 39 y 41 del Estatuto General de Contratación de la Administración Pública.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p>
    <w:p w14:paraId="2FD3D521" w14:textId="77777777" w:rsidR="00361ACD" w:rsidRPr="000353BD" w:rsidRDefault="00361ACD" w:rsidP="00361ACD">
      <w:pPr>
        <w:spacing w:after="0" w:line="276" w:lineRule="auto"/>
        <w:jc w:val="both"/>
        <w:rPr>
          <w:rFonts w:ascii="Verdana" w:eastAsia="Calibri" w:hAnsi="Verdana" w:cs="Arial"/>
        </w:rPr>
      </w:pPr>
    </w:p>
    <w:p w14:paraId="6CA42FAC" w14:textId="77777777" w:rsidR="00361ACD" w:rsidRDefault="00361ACD" w:rsidP="00361ACD">
      <w:pPr>
        <w:spacing w:after="120" w:line="276" w:lineRule="auto"/>
        <w:jc w:val="both"/>
        <w:rPr>
          <w:rFonts w:ascii="Verdana" w:eastAsia="Calibri" w:hAnsi="Verdana" w:cs="Arial"/>
          <w:iCs/>
          <w:color w:val="000000" w:themeColor="text1"/>
          <w:lang w:val="es-ES_tradnl"/>
        </w:rPr>
      </w:pPr>
      <w:r>
        <w:rPr>
          <w:rFonts w:ascii="Verdana" w:eastAsia="Calibri" w:hAnsi="Verdana" w:cs="Arial"/>
          <w:color w:val="000000" w:themeColor="text1"/>
        </w:rPr>
        <w:t xml:space="preserve">iii. En torno a la procedencia de entregar </w:t>
      </w:r>
      <w:r w:rsidRPr="006F2238">
        <w:rPr>
          <w:rFonts w:ascii="Verdana" w:eastAsia="Calibri" w:hAnsi="Verdana" w:cs="Arial"/>
          <w:iCs/>
          <w:color w:val="000000" w:themeColor="text1"/>
          <w:lang w:val="es-ES"/>
        </w:rPr>
        <w:t>recordatorios -libretas, lapiceros, pocillos, souvenirs, anchetas, reconocimientos, placas, electrodomésticos o semejantes- a la comunidad como estrategia para incentivar la participación o en el desarrollo de actividades misionales</w:t>
      </w:r>
      <w:r>
        <w:rPr>
          <w:rFonts w:ascii="Verdana" w:eastAsia="Calibri" w:hAnsi="Verdana" w:cs="Arial"/>
          <w:iCs/>
          <w:color w:val="000000" w:themeColor="text1"/>
          <w:lang w:val="es-ES"/>
        </w:rPr>
        <w:t xml:space="preserve">, es pertinente señalar que este tipo de bienes y servicios se adelantan mediante contratos típicos, como el de suministro o compraventa, o en </w:t>
      </w:r>
      <w:r w:rsidRPr="00560892">
        <w:rPr>
          <w:rFonts w:ascii="Verdana" w:eastAsia="Calibri" w:hAnsi="Verdana" w:cs="Arial"/>
          <w:iCs/>
          <w:color w:val="000000" w:themeColor="text1"/>
          <w:lang w:val="es-ES_tradnl"/>
        </w:rPr>
        <w:t>contratos de operación logística</w:t>
      </w:r>
      <w:r>
        <w:rPr>
          <w:rFonts w:ascii="Verdana" w:eastAsia="Calibri" w:hAnsi="Verdana" w:cs="Arial"/>
          <w:iCs/>
          <w:color w:val="000000" w:themeColor="text1"/>
          <w:lang w:val="es-ES_tradnl"/>
        </w:rPr>
        <w:t xml:space="preserve">, los cuales </w:t>
      </w:r>
      <w:r w:rsidRPr="00560892">
        <w:rPr>
          <w:rFonts w:ascii="Verdana" w:eastAsia="Calibri" w:hAnsi="Verdana" w:cs="Arial"/>
          <w:iCs/>
          <w:color w:val="000000" w:themeColor="text1"/>
          <w:lang w:val="es-ES_tradnl"/>
        </w:rPr>
        <w:t xml:space="preserve">corresponden a </w:t>
      </w:r>
      <w:r w:rsidRPr="00560892">
        <w:rPr>
          <w:rFonts w:ascii="Verdana" w:eastAsia="Calibri" w:hAnsi="Verdana" w:cs="Arial"/>
          <w:i/>
          <w:iCs/>
          <w:color w:val="000000" w:themeColor="text1"/>
          <w:lang w:val="es-ES_tradnl"/>
        </w:rPr>
        <w:t>contratos mixtos</w:t>
      </w:r>
      <w:r w:rsidRPr="00560892">
        <w:rPr>
          <w:rFonts w:ascii="Verdana" w:eastAsia="Calibri" w:hAnsi="Verdana" w:cs="Arial"/>
          <w:iCs/>
          <w:color w:val="000000" w:themeColor="text1"/>
          <w:lang w:val="es-ES_tradnl"/>
        </w:rPr>
        <w:t xml:space="preserve">. </w:t>
      </w:r>
    </w:p>
    <w:p w14:paraId="71C5CDC5" w14:textId="77777777" w:rsidR="00361ACD" w:rsidRDefault="00361ACD" w:rsidP="00361ACD">
      <w:pPr>
        <w:spacing w:after="120" w:line="276" w:lineRule="auto"/>
        <w:ind w:firstLine="708"/>
        <w:jc w:val="both"/>
        <w:rPr>
          <w:rFonts w:ascii="Verdana" w:eastAsia="Calibri" w:hAnsi="Verdana" w:cs="Arial"/>
          <w:color w:val="000000" w:themeColor="text1"/>
          <w:lang w:val="es-ES"/>
        </w:rPr>
      </w:pPr>
      <w:r w:rsidRPr="0E7F671C">
        <w:rPr>
          <w:rFonts w:ascii="Verdana" w:eastAsia="Calibri" w:hAnsi="Verdana" w:cs="Arial"/>
          <w:color w:val="000000" w:themeColor="text1"/>
          <w:lang w:val="es-ES"/>
        </w:rPr>
        <w:t>De hecho, estos contratos de operación logística, se caracterizan porque en la práctica tienen componentes de compraventa, suministro, arrendamiento de bienes muebles o inmuebles, transporte, entre otros, de donde se infiere la existencia de prestaciones de una o más tipologías contractuales</w:t>
      </w:r>
      <w:r w:rsidRPr="0E7F671C">
        <w:rPr>
          <w:rFonts w:ascii="Verdana" w:eastAsia="Calibri" w:hAnsi="Verdana" w:cs="Arial"/>
          <w:color w:val="000000" w:themeColor="text1"/>
          <w:vertAlign w:val="superscript"/>
          <w:lang w:val="es-ES"/>
        </w:rPr>
        <w:footnoteReference w:id="7"/>
      </w:r>
      <w:r w:rsidRPr="0E7F671C">
        <w:rPr>
          <w:rFonts w:ascii="Verdana" w:eastAsia="Calibri" w:hAnsi="Verdana" w:cs="Arial"/>
          <w:color w:val="000000" w:themeColor="text1"/>
          <w:lang w:val="es-ES"/>
        </w:rPr>
        <w:t>. Por ello, como contrato atípico, la doctrina sugiere integrar su contenido teniendo en cuenta los siguientes criterios: “[…] 1°) las leyes imperativas; 2°) las cláusulas libremente redactadas o estipuladas por los agentes; 3°) las reglas generales de los actos jurídicos y de los contratos, según el caso; 4°) las reglas propias del contrato típico más próximo o semejante, y 5°) la doctrina constitucional y los principios generales de derecho”</w:t>
      </w:r>
      <w:r w:rsidRPr="0E7F671C">
        <w:rPr>
          <w:rFonts w:ascii="Verdana" w:eastAsia="Calibri" w:hAnsi="Verdana" w:cs="Arial"/>
          <w:color w:val="000000" w:themeColor="text1"/>
          <w:vertAlign w:val="superscript"/>
          <w:lang w:val="es-ES"/>
        </w:rPr>
        <w:footnoteReference w:id="8"/>
      </w:r>
      <w:r w:rsidRPr="0E7F671C">
        <w:rPr>
          <w:rFonts w:ascii="Verdana" w:eastAsia="Calibri" w:hAnsi="Verdana" w:cs="Arial"/>
          <w:color w:val="000000" w:themeColor="text1"/>
          <w:lang w:val="es-ES"/>
        </w:rPr>
        <w:t xml:space="preserve">. </w:t>
      </w:r>
    </w:p>
    <w:p w14:paraId="4C73FB2C" w14:textId="77777777" w:rsidR="00361ACD" w:rsidRPr="00782ED2" w:rsidRDefault="00361ACD" w:rsidP="00361ACD">
      <w:pPr>
        <w:spacing w:after="120" w:line="276" w:lineRule="auto"/>
        <w:ind w:firstLine="708"/>
        <w:jc w:val="both"/>
        <w:rPr>
          <w:rFonts w:ascii="Verdana" w:eastAsia="Calibri" w:hAnsi="Verdana" w:cs="Arial"/>
          <w:iCs/>
          <w:color w:val="000000" w:themeColor="text1"/>
          <w:lang w:val="es-ES"/>
        </w:rPr>
      </w:pPr>
      <w:r>
        <w:rPr>
          <w:rFonts w:ascii="Verdana" w:eastAsia="Calibri" w:hAnsi="Verdana" w:cs="Arial"/>
          <w:iCs/>
          <w:color w:val="000000" w:themeColor="text1"/>
          <w:lang w:val="es-ES"/>
        </w:rPr>
        <w:t xml:space="preserve">Teniendo en cuenta lo expuesto, es pertinente señalar que no hay restricciones o prohibiciones expresas dentro de las reglas del Sistema de </w:t>
      </w:r>
      <w:r>
        <w:rPr>
          <w:rFonts w:ascii="Verdana" w:eastAsia="Calibri" w:hAnsi="Verdana" w:cs="Arial"/>
          <w:iCs/>
          <w:color w:val="000000" w:themeColor="text1"/>
          <w:lang w:val="es-ES"/>
        </w:rPr>
        <w:lastRenderedPageBreak/>
        <w:t xml:space="preserve">Compras Públicas, por parte de las entidades públicas de entregar todo tipo de bienes, ya sean </w:t>
      </w:r>
      <w:r w:rsidRPr="00782ED2">
        <w:rPr>
          <w:rFonts w:ascii="Verdana" w:eastAsia="Calibri" w:hAnsi="Verdana" w:cs="Arial"/>
          <w:iCs/>
          <w:color w:val="000000" w:themeColor="text1"/>
          <w:lang w:val="es-ES"/>
        </w:rPr>
        <w:t>libretas, lapiceros, pocillos, souvenirs, anchetas, reconocimientos, placas</w:t>
      </w:r>
      <w:r>
        <w:rPr>
          <w:rFonts w:ascii="Verdana" w:eastAsia="Calibri" w:hAnsi="Verdana" w:cs="Arial"/>
          <w:iCs/>
          <w:color w:val="000000" w:themeColor="text1"/>
          <w:lang w:val="es-ES"/>
        </w:rPr>
        <w:t xml:space="preserve">, electrodomésticos, entre otros, con el fin de desarrollar de actividades estratégicas que se enfoquen en el objeto misional de la entidad. En todo caso, la entrega de este tipo de bienes </w:t>
      </w:r>
      <w:r w:rsidRPr="00782ED2">
        <w:rPr>
          <w:rFonts w:ascii="Verdana" w:hAnsi="Verdana"/>
        </w:rPr>
        <w:t xml:space="preserve">debe enmarcarse dentro de los principios de transparencia, eficiencia y responsabilidad que rigen la administración del recurso público. </w:t>
      </w:r>
    </w:p>
    <w:p w14:paraId="1877A386" w14:textId="77777777" w:rsidR="00361ACD" w:rsidRDefault="00361ACD" w:rsidP="00361ACD">
      <w:pPr>
        <w:shd w:val="clear" w:color="auto" w:fill="FFFFFF"/>
        <w:spacing w:after="120" w:line="276" w:lineRule="auto"/>
        <w:ind w:firstLine="567"/>
        <w:jc w:val="both"/>
        <w:rPr>
          <w:rFonts w:ascii="Verdana" w:hAnsi="Verdana"/>
        </w:rPr>
      </w:pPr>
      <w:r>
        <w:rPr>
          <w:rFonts w:ascii="Verdana" w:hAnsi="Verdana"/>
          <w:lang w:val="es-ES"/>
        </w:rPr>
        <w:t>De igual modo</w:t>
      </w:r>
      <w:r w:rsidRPr="00782ED2">
        <w:rPr>
          <w:rFonts w:ascii="Verdana" w:hAnsi="Verdana"/>
        </w:rPr>
        <w:t>, resulta indispensable que las entidades observen las reglas de austeridad del gasto público emitidas por el Gobierno</w:t>
      </w:r>
      <w:r>
        <w:rPr>
          <w:rFonts w:ascii="Verdana" w:hAnsi="Verdana"/>
        </w:rPr>
        <w:t xml:space="preserve"> Nacional y, en su defecto</w:t>
      </w:r>
      <w:r w:rsidRPr="00782ED2">
        <w:rPr>
          <w:rFonts w:ascii="Verdana" w:hAnsi="Verdana"/>
        </w:rPr>
        <w:t xml:space="preserve">, por las autoridades territoriales. </w:t>
      </w:r>
      <w:r>
        <w:rPr>
          <w:rFonts w:ascii="Verdana" w:hAnsi="Verdana"/>
        </w:rPr>
        <w:t xml:space="preserve">Al respecto, se destaca </w:t>
      </w:r>
      <w:r w:rsidRPr="001D02CC">
        <w:rPr>
          <w:rFonts w:ascii="Verdana" w:hAnsi="Verdana"/>
        </w:rPr>
        <w:t>el artículo 19 de la Ley 2155 de 2021</w:t>
      </w:r>
      <w:r>
        <w:rPr>
          <w:rStyle w:val="Refdenotaalpie"/>
          <w:rFonts w:ascii="Verdana" w:hAnsi="Verdana"/>
        </w:rPr>
        <w:footnoteReference w:id="9"/>
      </w:r>
      <w:r w:rsidRPr="001D02CC">
        <w:rPr>
          <w:rFonts w:ascii="Verdana" w:hAnsi="Verdana"/>
        </w:rPr>
        <w:t>,</w:t>
      </w:r>
      <w:r>
        <w:rPr>
          <w:rFonts w:ascii="Verdana" w:hAnsi="Verdana"/>
        </w:rPr>
        <w:t xml:space="preserve"> prescribe que con fundamento en el artículo 209 de la Constitución Política y con el cometido de reducir el Gasto Público, es necesario una implementación de </w:t>
      </w:r>
      <w:r w:rsidRPr="001D02CC">
        <w:rPr>
          <w:rFonts w:ascii="Verdana" w:hAnsi="Verdana"/>
        </w:rPr>
        <w:t>una política de austeridad</w:t>
      </w:r>
      <w:r>
        <w:rPr>
          <w:rFonts w:ascii="Verdana" w:hAnsi="Verdana"/>
        </w:rPr>
        <w:t>,</w:t>
      </w:r>
      <w:r w:rsidRPr="001D02CC">
        <w:rPr>
          <w:rFonts w:ascii="Verdana" w:hAnsi="Verdana"/>
        </w:rPr>
        <w:t xml:space="preserve"> con el objetivo de optimizar la eficiencia y efectividad en el uso de los recursos públicos. Dicha ley señala que el Gobierno Nacional anualmente reglamentará mediante decreto un Plan de Austeridad del gasto para cada vigencia fiscal aplicable a los órganos que hacen parte del Presupuesto General de la Nación.</w:t>
      </w:r>
      <w:r>
        <w:rPr>
          <w:rFonts w:ascii="Verdana" w:hAnsi="Verdana"/>
        </w:rPr>
        <w:t xml:space="preserve"> </w:t>
      </w:r>
    </w:p>
    <w:p w14:paraId="40C90BAB" w14:textId="77777777" w:rsidR="00361ACD" w:rsidRDefault="00361ACD" w:rsidP="00361ACD">
      <w:pPr>
        <w:shd w:val="clear" w:color="auto" w:fill="FFFFFF"/>
        <w:spacing w:after="120" w:line="276" w:lineRule="auto"/>
        <w:ind w:firstLine="567"/>
        <w:jc w:val="both"/>
        <w:rPr>
          <w:rFonts w:ascii="Verdana" w:hAnsi="Verdana"/>
        </w:rPr>
      </w:pPr>
      <w:r>
        <w:rPr>
          <w:rFonts w:ascii="Verdana" w:hAnsi="Verdana"/>
        </w:rPr>
        <w:lastRenderedPageBreak/>
        <w:t xml:space="preserve">En este mismo sentido, el Decreto 1068 de 2015 </w:t>
      </w:r>
      <w:r w:rsidRPr="00D532D4">
        <w:rPr>
          <w:rFonts w:ascii="Verdana" w:hAnsi="Verdana"/>
          <w:bCs/>
          <w:iCs/>
        </w:rPr>
        <w:t>“Por medio del cual se expide el Decreto Único Reglamentario del Sector</w:t>
      </w:r>
      <w:r w:rsidRPr="00D532D4">
        <w:rPr>
          <w:rFonts w:ascii="Verdana" w:hAnsi="Verdana"/>
          <w:bCs/>
        </w:rPr>
        <w:t> </w:t>
      </w:r>
      <w:r w:rsidRPr="00D532D4">
        <w:rPr>
          <w:rFonts w:ascii="Verdana" w:hAnsi="Verdana"/>
          <w:bCs/>
          <w:iCs/>
        </w:rPr>
        <w:t>Hacienda y Crédito Público”</w:t>
      </w:r>
      <w:r>
        <w:rPr>
          <w:rFonts w:ascii="Verdana" w:hAnsi="Verdana"/>
          <w:bCs/>
          <w:iCs/>
        </w:rPr>
        <w:t xml:space="preserve"> establece una serie de reglas </w:t>
      </w:r>
      <w:r>
        <w:rPr>
          <w:rFonts w:ascii="Verdana" w:hAnsi="Verdana"/>
        </w:rPr>
        <w:t xml:space="preserve">que buscan </w:t>
      </w:r>
      <w:r w:rsidRPr="00782ED2">
        <w:rPr>
          <w:rFonts w:ascii="Verdana" w:hAnsi="Verdana"/>
        </w:rPr>
        <w:t xml:space="preserve">garantizar que los recursos se utilicen de manera racional y que cualquier incentivo otorgado tenga un propósito claro y justificado, evitando gastos superfluos o privilegios que puedan interpretarse como un uso ineficiente del presupuesto. </w:t>
      </w:r>
      <w:r>
        <w:rPr>
          <w:rFonts w:ascii="Verdana" w:hAnsi="Verdana"/>
        </w:rPr>
        <w:t xml:space="preserve">Al respecto, se destaca el </w:t>
      </w:r>
      <w:r w:rsidRPr="00D532D4">
        <w:rPr>
          <w:rFonts w:ascii="Verdana" w:hAnsi="Verdana"/>
          <w:bCs/>
        </w:rPr>
        <w:t>Artículo 2.8.4.5.1.</w:t>
      </w:r>
      <w:r>
        <w:rPr>
          <w:rFonts w:ascii="Verdana" w:hAnsi="Verdana"/>
          <w:bCs/>
        </w:rPr>
        <w:t xml:space="preserve"> del Decreto 1068 de 2015, que prescribe: “[…] </w:t>
      </w:r>
      <w:r w:rsidRPr="00D532D4">
        <w:rPr>
          <w:rFonts w:ascii="Verdana" w:hAnsi="Verdana"/>
        </w:rPr>
        <w:t>De acuerdo con lo establecido en el artículo 10 de la Ley 1474 de 2011, las entidades públicas podrán adelantar directa o indirectamente, actividades de divulgación de sus programas y políticas, para dar cumplimiento a la finalidad de la respectiva entidad en un marco de austeridad en el gasto y reducción real de costos, acorde con los criterios de efectivid</w:t>
      </w:r>
      <w:r>
        <w:rPr>
          <w:rFonts w:ascii="Verdana" w:hAnsi="Verdana"/>
        </w:rPr>
        <w:t xml:space="preserve">ad, transparencia y objetividad”. Esto, sin perjuicio del artículo 2.8.4.5.2. del Decreto 1068 de 2015, que prescribe las actividades no comprendidas: </w:t>
      </w:r>
    </w:p>
    <w:p w14:paraId="7BD17D9A" w14:textId="77777777" w:rsidR="00361ACD" w:rsidRDefault="00361ACD" w:rsidP="00361ACD">
      <w:pPr>
        <w:shd w:val="clear" w:color="auto" w:fill="FFFFFF"/>
        <w:spacing w:after="120" w:line="276" w:lineRule="auto"/>
        <w:jc w:val="both"/>
        <w:rPr>
          <w:rFonts w:ascii="Verdana" w:hAnsi="Verdana"/>
          <w:bCs/>
          <w:sz w:val="20"/>
          <w:szCs w:val="20"/>
        </w:rPr>
      </w:pPr>
    </w:p>
    <w:p w14:paraId="2ECC7F06" w14:textId="77777777" w:rsidR="00361ACD" w:rsidRPr="00F03314" w:rsidRDefault="00361ACD" w:rsidP="00361ACD">
      <w:pPr>
        <w:shd w:val="clear" w:color="auto" w:fill="FFFFFF"/>
        <w:spacing w:after="120" w:line="240" w:lineRule="auto"/>
        <w:ind w:left="709" w:right="709"/>
        <w:jc w:val="both"/>
        <w:rPr>
          <w:rFonts w:ascii="Verdana" w:hAnsi="Verdana"/>
          <w:sz w:val="20"/>
          <w:szCs w:val="20"/>
        </w:rPr>
      </w:pPr>
      <w:r w:rsidRPr="00F03314">
        <w:rPr>
          <w:rFonts w:ascii="Verdana" w:hAnsi="Verdana"/>
          <w:bCs/>
          <w:sz w:val="20"/>
          <w:szCs w:val="20"/>
        </w:rPr>
        <w:t>Artículo 2.8.4.5.2. Actividades no comprendidas.</w:t>
      </w:r>
      <w:r w:rsidRPr="00F03314">
        <w:rPr>
          <w:rFonts w:ascii="Verdana" w:hAnsi="Verdana"/>
          <w:sz w:val="20"/>
          <w:szCs w:val="20"/>
        </w:rPr>
        <w:t> No se consideran actividades de divulgación de programas y políticas, ni publicidad oficial, aquellas que realicen las entidades públicas con la finalidad de promover o facilitar el cumplimiento de la Ley en relación con los asuntos de su competencia, la satisfacción del derecho a la información de los ciudadanos o el ejercicio de sus derechos, o aquellas que tiendan simplemente a brindar una información útil a la ciudadanía, como pueden ser entre otras: </w:t>
      </w:r>
    </w:p>
    <w:p w14:paraId="7631C93E" w14:textId="77777777" w:rsidR="00361ACD" w:rsidRPr="00F03314" w:rsidRDefault="00361ACD" w:rsidP="00361ACD">
      <w:pPr>
        <w:shd w:val="clear" w:color="auto" w:fill="FFFFFF"/>
        <w:spacing w:after="120" w:line="240" w:lineRule="auto"/>
        <w:ind w:left="709" w:right="709" w:firstLine="567"/>
        <w:jc w:val="both"/>
        <w:rPr>
          <w:rFonts w:ascii="Verdana" w:hAnsi="Verdana"/>
          <w:sz w:val="20"/>
          <w:szCs w:val="20"/>
        </w:rPr>
      </w:pPr>
      <w:r w:rsidRPr="00F03314">
        <w:rPr>
          <w:rFonts w:ascii="Verdana" w:hAnsi="Verdana"/>
          <w:sz w:val="20"/>
          <w:szCs w:val="20"/>
        </w:rPr>
        <w:t>a) Las originadas en actividades o situaciones de riesgo, cuya difusión tiende a prevenir o disminuir la consumación de daños a la ciudadanía;</w:t>
      </w:r>
    </w:p>
    <w:p w14:paraId="6F0234F9" w14:textId="77777777" w:rsidR="00361ACD" w:rsidRPr="00F03314" w:rsidRDefault="00361ACD" w:rsidP="00361ACD">
      <w:pPr>
        <w:shd w:val="clear" w:color="auto" w:fill="FFFFFF"/>
        <w:spacing w:after="120" w:line="240" w:lineRule="auto"/>
        <w:ind w:left="709" w:right="709" w:firstLine="567"/>
        <w:jc w:val="both"/>
        <w:rPr>
          <w:rFonts w:ascii="Verdana" w:hAnsi="Verdana"/>
          <w:sz w:val="20"/>
          <w:szCs w:val="20"/>
        </w:rPr>
      </w:pPr>
      <w:r w:rsidRPr="00F03314">
        <w:rPr>
          <w:rFonts w:ascii="Verdana" w:hAnsi="Verdana"/>
          <w:sz w:val="20"/>
          <w:szCs w:val="20"/>
        </w:rPr>
        <w:t>b) Las notificaciones, comunicaciones o publicaciones legalmente dispuestas; </w:t>
      </w:r>
    </w:p>
    <w:p w14:paraId="42B73290" w14:textId="77777777" w:rsidR="00361ACD" w:rsidRPr="00F03314" w:rsidRDefault="00361ACD" w:rsidP="00361ACD">
      <w:pPr>
        <w:shd w:val="clear" w:color="auto" w:fill="FFFFFF"/>
        <w:spacing w:after="120" w:line="240" w:lineRule="auto"/>
        <w:ind w:left="709" w:right="709" w:firstLine="567"/>
        <w:jc w:val="both"/>
        <w:rPr>
          <w:rFonts w:ascii="Verdana" w:hAnsi="Verdana"/>
          <w:sz w:val="20"/>
          <w:szCs w:val="20"/>
        </w:rPr>
      </w:pPr>
      <w:r w:rsidRPr="00F03314">
        <w:rPr>
          <w:rFonts w:ascii="Verdana" w:hAnsi="Verdana"/>
          <w:sz w:val="20"/>
          <w:szCs w:val="20"/>
        </w:rPr>
        <w:t>c) La comunicación o publicación de los instrumentos y demás documentos que deba realizar, de acuerdo con el ordenamiento jurídico;</w:t>
      </w:r>
    </w:p>
    <w:p w14:paraId="091B8CC4" w14:textId="77777777" w:rsidR="00361ACD" w:rsidRPr="00F03314" w:rsidRDefault="00361ACD" w:rsidP="00361ACD">
      <w:pPr>
        <w:shd w:val="clear" w:color="auto" w:fill="FFFFFF"/>
        <w:spacing w:after="120" w:line="240" w:lineRule="auto"/>
        <w:ind w:left="709" w:right="709" w:firstLine="567"/>
        <w:jc w:val="both"/>
        <w:rPr>
          <w:rFonts w:ascii="Verdana" w:hAnsi="Verdana"/>
          <w:sz w:val="20"/>
          <w:szCs w:val="20"/>
        </w:rPr>
      </w:pPr>
      <w:r w:rsidRPr="00F03314">
        <w:rPr>
          <w:rFonts w:ascii="Verdana" w:hAnsi="Verdana"/>
          <w:sz w:val="20"/>
          <w:szCs w:val="20"/>
        </w:rPr>
        <w:t>d) La información de orden legal que sea de interés general para la ciudadanía. </w:t>
      </w:r>
    </w:p>
    <w:p w14:paraId="00F3F580" w14:textId="77777777" w:rsidR="00361ACD" w:rsidRPr="00F03314" w:rsidRDefault="00361ACD" w:rsidP="00361ACD">
      <w:pPr>
        <w:shd w:val="clear" w:color="auto" w:fill="FFFFFF"/>
        <w:spacing w:after="120" w:line="240" w:lineRule="auto"/>
        <w:jc w:val="both"/>
        <w:rPr>
          <w:rFonts w:ascii="Verdana" w:hAnsi="Verdana"/>
          <w:bCs/>
        </w:rPr>
      </w:pPr>
    </w:p>
    <w:p w14:paraId="2A1DEF1E" w14:textId="77777777" w:rsidR="00361ACD" w:rsidRPr="00F03314" w:rsidRDefault="00361ACD" w:rsidP="00361ACD">
      <w:pPr>
        <w:shd w:val="clear" w:color="auto" w:fill="FFFFFF"/>
        <w:spacing w:after="120" w:line="240" w:lineRule="auto"/>
        <w:ind w:firstLine="708"/>
        <w:jc w:val="both"/>
        <w:rPr>
          <w:rFonts w:ascii="Verdana" w:hAnsi="Verdana"/>
          <w:bCs/>
        </w:rPr>
      </w:pPr>
      <w:r w:rsidRPr="00F03314">
        <w:rPr>
          <w:rFonts w:ascii="Verdana" w:hAnsi="Verdana"/>
          <w:bCs/>
        </w:rPr>
        <w:t>De esta manera, la</w:t>
      </w:r>
      <w:r w:rsidRPr="00F03314">
        <w:rPr>
          <w:rFonts w:ascii="Verdana" w:hAnsi="Verdana"/>
        </w:rPr>
        <w:t xml:space="preserve"> austeridad no implica eliminar toda forma de entrega de bienes o productos, sino asegurar que estos se ajusten a criterios de pertinencia, proporcionalidad</w:t>
      </w:r>
      <w:r>
        <w:rPr>
          <w:rFonts w:ascii="Verdana" w:hAnsi="Verdana"/>
        </w:rPr>
        <w:t xml:space="preserve">, economía y </w:t>
      </w:r>
      <w:r w:rsidRPr="00F03314">
        <w:rPr>
          <w:rFonts w:ascii="Verdana" w:hAnsi="Verdana"/>
        </w:rPr>
        <w:t>eficiencia</w:t>
      </w:r>
      <w:r>
        <w:rPr>
          <w:rFonts w:ascii="Verdana" w:hAnsi="Verdana"/>
        </w:rPr>
        <w:t xml:space="preserve">, por lo tanto, la entidad debe revisarlo en casa caso. </w:t>
      </w:r>
    </w:p>
    <w:p w14:paraId="596B0D8B" w14:textId="77777777" w:rsidR="00361ACD" w:rsidRPr="000353BD" w:rsidRDefault="00361ACD" w:rsidP="00361ACD">
      <w:pPr>
        <w:spacing w:after="0" w:line="276" w:lineRule="auto"/>
        <w:jc w:val="both"/>
        <w:rPr>
          <w:rFonts w:ascii="Verdana" w:eastAsia="Calibri" w:hAnsi="Verdana" w:cs="Arial"/>
          <w:color w:val="000000" w:themeColor="text1"/>
        </w:rPr>
      </w:pPr>
    </w:p>
    <w:bookmarkEnd w:id="2"/>
    <w:bookmarkEnd w:id="3"/>
    <w:p w14:paraId="7AF362F3" w14:textId="77777777" w:rsidR="00361ACD" w:rsidRPr="009037F6" w:rsidRDefault="00361ACD" w:rsidP="00361ACD">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iv</w:t>
      </w:r>
      <w:r w:rsidRPr="009037F6">
        <w:rPr>
          <w:rFonts w:ascii="Verdana" w:eastAsia="Calibri" w:hAnsi="Verdana" w:cs="Arial"/>
          <w:color w:val="000000" w:themeColor="text1"/>
          <w:lang w:val="es-ES"/>
        </w:rPr>
        <w:t xml:space="preserve">. Al </w:t>
      </w:r>
      <w:r w:rsidRPr="009037F6">
        <w:rPr>
          <w:rFonts w:ascii="Verdana" w:hAnsi="Verdana" w:cs="Arial"/>
          <w:lang w:val="es-ES_tradnl" w:eastAsia="es-ES"/>
        </w:rPr>
        <w:t xml:space="preserve">margen de la explicación precedente debe advertirse que el análisis requerido para resolver problemas específicos en torno a </w:t>
      </w:r>
      <w:r>
        <w:rPr>
          <w:rFonts w:ascii="Verdana" w:hAnsi="Verdana" w:cs="Arial"/>
          <w:lang w:val="es-ES_tradnl" w:eastAsia="es-ES"/>
        </w:rPr>
        <w:t>la entrega de bienes de consumo en el marco de sus actividades misionales y estratégicas</w:t>
      </w:r>
      <w:r w:rsidRPr="009037F6">
        <w:rPr>
          <w:rFonts w:ascii="Verdana" w:hAnsi="Verdana" w:cs="Arial"/>
          <w:lang w:val="es-ES_tradnl" w:eastAsia="es-ES"/>
        </w:rPr>
        <w:t xml:space="preserve">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627F784" w14:textId="77777777" w:rsidR="00361ACD" w:rsidRPr="009037F6" w:rsidRDefault="00361ACD" w:rsidP="00361ACD">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64F6AE1" w14:textId="77777777" w:rsidR="00361ACD" w:rsidRPr="009037F6" w:rsidRDefault="00361ACD" w:rsidP="00361ACD">
      <w:pPr>
        <w:spacing w:after="0" w:line="276" w:lineRule="auto"/>
        <w:jc w:val="both"/>
        <w:rPr>
          <w:rFonts w:ascii="Verdana" w:eastAsia="Calibri" w:hAnsi="Verdana" w:cs="Arial"/>
          <w:lang w:val="es-ES" w:eastAsia="es-MX"/>
        </w:rPr>
      </w:pPr>
    </w:p>
    <w:p w14:paraId="4FC4111B" w14:textId="77777777" w:rsidR="00361ACD" w:rsidRPr="009037F6" w:rsidRDefault="00361ACD" w:rsidP="00361ACD">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 xml:space="preserve">Referencias normativas, jurisprudenciales y otras fuentes </w:t>
      </w:r>
    </w:p>
    <w:p w14:paraId="2FD10AB5" w14:textId="77777777" w:rsidR="00361ACD" w:rsidRPr="009037F6" w:rsidRDefault="00361ACD" w:rsidP="00361ACD">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61ACD" w:rsidRPr="009037F6" w14:paraId="14DE6A33" w14:textId="77777777" w:rsidTr="009759B1">
        <w:trPr>
          <w:trHeight w:val="487"/>
          <w:jc w:val="center"/>
        </w:trPr>
        <w:tc>
          <w:tcPr>
            <w:tcW w:w="8647" w:type="dxa"/>
          </w:tcPr>
          <w:p w14:paraId="019489B0" w14:textId="77777777" w:rsidR="00361ACD" w:rsidRDefault="00361ACD" w:rsidP="009759B1">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Código Civil, artículo 1501. </w:t>
            </w:r>
          </w:p>
          <w:p w14:paraId="3A72E6CD" w14:textId="77777777" w:rsidR="00361ACD" w:rsidRPr="00F03314" w:rsidRDefault="00361ACD" w:rsidP="009759B1">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Ley 80 de 1993, artículos 6, 13, 32 y 40. </w:t>
            </w:r>
          </w:p>
          <w:p w14:paraId="650D1359" w14:textId="77777777" w:rsidR="00361ACD" w:rsidRDefault="00361ACD" w:rsidP="009759B1">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Ley 2155 de 2021., artículo 19. </w:t>
            </w:r>
          </w:p>
          <w:p w14:paraId="41AC3092" w14:textId="77777777" w:rsidR="00361ACD" w:rsidRPr="009037F6" w:rsidRDefault="00361ACD" w:rsidP="009759B1">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92C94">
              <w:rPr>
                <w:rFonts w:ascii="Verdana" w:eastAsia="Arial MT" w:hAnsi="Verdana" w:cs="Arial"/>
                <w:lang w:eastAsia="es-ES" w:bidi="es-ES"/>
              </w:rPr>
              <w:t>Decreto 1068 de 2015</w:t>
            </w:r>
            <w:r>
              <w:rPr>
                <w:rFonts w:ascii="Verdana" w:eastAsia="Arial MT" w:hAnsi="Verdana" w:cs="Arial"/>
                <w:lang w:eastAsia="es-ES" w:bidi="es-ES"/>
              </w:rPr>
              <w:t xml:space="preserve">, artículo </w:t>
            </w:r>
            <w:r w:rsidRPr="00592C94">
              <w:rPr>
                <w:rFonts w:ascii="Verdana" w:eastAsia="Arial MT" w:hAnsi="Verdana" w:cs="Arial"/>
                <w:bCs/>
                <w:lang w:eastAsia="es-ES" w:bidi="es-ES"/>
              </w:rPr>
              <w:t>2.8.4.5.1.</w:t>
            </w:r>
            <w:r>
              <w:rPr>
                <w:rFonts w:ascii="Verdana" w:eastAsia="Arial MT" w:hAnsi="Verdana" w:cs="Arial"/>
                <w:bCs/>
                <w:lang w:eastAsia="es-ES" w:bidi="es-ES"/>
              </w:rPr>
              <w:t xml:space="preserve">, </w:t>
            </w:r>
            <w:r w:rsidRPr="00F03314">
              <w:rPr>
                <w:rFonts w:ascii="Verdana" w:eastAsia="Arial MT" w:hAnsi="Verdana" w:cs="Arial"/>
                <w:bCs/>
                <w:lang w:eastAsia="es-ES" w:bidi="es-ES"/>
              </w:rPr>
              <w:t>2.8.4.5.2.</w:t>
            </w:r>
          </w:p>
          <w:p w14:paraId="05D038D2" w14:textId="77777777" w:rsidR="00361ACD" w:rsidRPr="00592C94" w:rsidRDefault="00361ACD" w:rsidP="009759B1">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 </w:t>
            </w:r>
            <w:r w:rsidRPr="00592C94">
              <w:rPr>
                <w:rFonts w:ascii="Verdana" w:eastAsia="Arial MT" w:hAnsi="Verdana" w:cs="Arial"/>
                <w:lang w:val="es-ES" w:eastAsia="es-ES" w:bidi="es-ES"/>
              </w:rPr>
              <w:t xml:space="preserve">ARRUBLA PAUCAR, Jaime Alberto. Contratos mercantiles: contratos atípicos. Octava edición. Bogotá: Legis, 2015. </w:t>
            </w:r>
          </w:p>
          <w:p w14:paraId="2020735C" w14:textId="77777777" w:rsidR="00361ACD" w:rsidRPr="00592C94" w:rsidRDefault="00361ACD" w:rsidP="009759B1">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92C94">
              <w:rPr>
                <w:rFonts w:ascii="Verdana" w:eastAsia="Arial MT" w:hAnsi="Verdana" w:cs="Arial"/>
                <w:lang w:val="es-ES" w:eastAsia="es-ES" w:bidi="es-ES"/>
              </w:rPr>
              <w:t xml:space="preserve">BENAVIDES, José Luis. El contrato estatal: entre el derecho público y el derecho privado. Segunda edición. Bogotá: Universidad Externado de Colombia, 2009. pp. 78-79.   </w:t>
            </w:r>
          </w:p>
          <w:p w14:paraId="17F64433" w14:textId="77777777" w:rsidR="00361ACD" w:rsidRPr="00592C94" w:rsidRDefault="00361ACD" w:rsidP="009759B1">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92C94">
              <w:rPr>
                <w:rFonts w:ascii="Verdana" w:eastAsia="Arial MT" w:hAnsi="Verdana" w:cs="Arial"/>
                <w:lang w:val="es-ES" w:eastAsia="es-ES" w:bidi="es-ES"/>
              </w:rPr>
              <w:lastRenderedPageBreak/>
              <w:t xml:space="preserve">BETANCUR JARAMILLO, Carlos. Derecho procesal administrativo. Octava edición. Medellín: Señal Editora, 2013. p. 627. </w:t>
            </w:r>
          </w:p>
          <w:p w14:paraId="5DA31FB5" w14:textId="77777777" w:rsidR="00361ACD" w:rsidRPr="00592C94" w:rsidRDefault="00361ACD" w:rsidP="009759B1">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92C94">
              <w:rPr>
                <w:rFonts w:ascii="Verdana" w:eastAsia="Arial MT" w:hAnsi="Verdana" w:cs="Arial"/>
                <w:lang w:val="es-ES" w:eastAsia="es-ES" w:bidi="es-ES"/>
              </w:rPr>
              <w:t xml:space="preserve">OSPINA FERNÁNDEZ, Guillermo &amp; OSPINA ACOSTA, Eduardo. Teoría General del Contrato y del Negocio Jurídico. Séptima edición. Bogotá: Temis, 2021. </w:t>
            </w:r>
          </w:p>
          <w:p w14:paraId="56045205" w14:textId="77777777" w:rsidR="00361ACD" w:rsidRPr="00592C94" w:rsidRDefault="00361ACD" w:rsidP="009759B1">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92C94">
              <w:rPr>
                <w:rFonts w:ascii="Verdana" w:eastAsia="Arial MT" w:hAnsi="Verdana" w:cs="Arial"/>
                <w:lang w:val="es-ES" w:eastAsia="es-ES" w:bidi="es-ES"/>
              </w:rPr>
              <w:t xml:space="preserve">REYES GARCÉS, Henry Mauricio &amp; RODRÍGUEZ BURBANO, Aura Yolima. Una apuesta por el concepto de persona razonable: análisis a partir del contrato atípico de servicios logísticos. </w:t>
            </w:r>
          </w:p>
          <w:p w14:paraId="7ECB7FE6" w14:textId="77777777" w:rsidR="00361ACD" w:rsidRPr="00592C94" w:rsidRDefault="00361ACD" w:rsidP="009759B1">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92C94">
              <w:rPr>
                <w:rFonts w:ascii="Verdana" w:eastAsia="Arial MT" w:hAnsi="Verdana" w:cs="Arial"/>
                <w:lang w:val="es-ES" w:eastAsia="es-ES" w:bidi="es-ES"/>
              </w:rPr>
              <w:t xml:space="preserve">SÁNCHEZ TRUJILLO, Juan Pablo. Completitud de la oferta del contrato atípico: elementos esenciales del contrato atípico como requisito de delimitación del objeto de la oferta mercantil. </w:t>
            </w:r>
          </w:p>
          <w:p w14:paraId="5FF6A4F2" w14:textId="77777777" w:rsidR="00361ACD" w:rsidRPr="00592C94" w:rsidRDefault="00361ACD" w:rsidP="009759B1">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92C94">
              <w:rPr>
                <w:rFonts w:ascii="Verdana" w:eastAsia="Arial MT" w:hAnsi="Verdana" w:cs="Arial"/>
                <w:lang w:val="es-ES" w:eastAsia="es-ES" w:bidi="es-ES"/>
              </w:rPr>
              <w:t xml:space="preserve">SUÁREZ BELTRÁN, Gonzalo. Estudios de derecho público contractual: Bogotá: Legis, 2014. </w:t>
            </w:r>
          </w:p>
          <w:p w14:paraId="1422C4A3" w14:textId="77777777" w:rsidR="00361ACD" w:rsidRPr="009037F6" w:rsidRDefault="00361ACD" w:rsidP="009759B1">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92C94">
              <w:rPr>
                <w:rFonts w:ascii="Verdana" w:eastAsia="Arial MT" w:hAnsi="Verdana" w:cs="Arial"/>
                <w:lang w:val="es-ES" w:eastAsia="es-ES" w:bidi="es-ES"/>
              </w:rPr>
              <w:t>CONSEJO DE ESTADO. Sala de Consulta y Servicio Civil. Concepto del 5 de septiembre de 2018. Rad. 2.386. C.P. Edgar González López.</w:t>
            </w:r>
            <w:r w:rsidRPr="009037F6">
              <w:rPr>
                <w:rFonts w:ascii="Verdana" w:eastAsia="Arial MT" w:hAnsi="Verdana" w:cs="Arial"/>
                <w:lang w:val="es-ES" w:eastAsia="es-ES" w:bidi="es-ES"/>
              </w:rPr>
              <w:t xml:space="preserve"> </w:t>
            </w:r>
          </w:p>
        </w:tc>
      </w:tr>
    </w:tbl>
    <w:p w14:paraId="339CD6DB" w14:textId="77777777" w:rsidR="00361ACD" w:rsidRPr="009037F6" w:rsidRDefault="00361ACD" w:rsidP="00361ACD">
      <w:pPr>
        <w:widowControl w:val="0"/>
        <w:autoSpaceDE w:val="0"/>
        <w:autoSpaceDN w:val="0"/>
        <w:spacing w:after="0" w:line="276" w:lineRule="auto"/>
        <w:jc w:val="both"/>
        <w:rPr>
          <w:rFonts w:ascii="Verdana" w:hAnsi="Verdana" w:cs="Arial"/>
        </w:rPr>
      </w:pPr>
    </w:p>
    <w:p w14:paraId="22EB6F78" w14:textId="77777777" w:rsidR="00361ACD" w:rsidRPr="009037F6" w:rsidRDefault="00361ACD" w:rsidP="00361ACD">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3D201540" w14:textId="77777777" w:rsidR="00361ACD" w:rsidRPr="009037F6" w:rsidRDefault="00361ACD" w:rsidP="00361ACD">
      <w:pPr>
        <w:widowControl w:val="0"/>
        <w:autoSpaceDE w:val="0"/>
        <w:autoSpaceDN w:val="0"/>
        <w:spacing w:after="0" w:line="276" w:lineRule="auto"/>
        <w:jc w:val="both"/>
        <w:rPr>
          <w:rFonts w:ascii="Verdana" w:hAnsi="Verdana" w:cs="Arial"/>
        </w:rPr>
      </w:pPr>
    </w:p>
    <w:p w14:paraId="12DC1D1B" w14:textId="77777777" w:rsidR="00361ACD" w:rsidRPr="00592C94" w:rsidRDefault="00361ACD" w:rsidP="00361ACD">
      <w:pPr>
        <w:widowControl w:val="0"/>
        <w:autoSpaceDE w:val="0"/>
        <w:autoSpaceDN w:val="0"/>
        <w:spacing w:after="0" w:line="276" w:lineRule="auto"/>
        <w:jc w:val="both"/>
        <w:rPr>
          <w:rFonts w:ascii="Verdana" w:eastAsia="Calibri" w:hAnsi="Verdana" w:cs="Arial"/>
          <w:shd w:val="clear" w:color="auto" w:fill="FFFFFF"/>
        </w:rPr>
      </w:pPr>
      <w:r w:rsidRPr="009037F6">
        <w:rPr>
          <w:rFonts w:ascii="Verdana" w:eastAsia="Calibri" w:hAnsi="Verdana" w:cs="Arial"/>
          <w:lang w:val="es-ES"/>
        </w:rPr>
        <w:t xml:space="preserve">La Agencia Nacional de Contratación Pública – Colombia Compra Eficiente </w:t>
      </w:r>
      <w:r>
        <w:rPr>
          <w:rFonts w:ascii="Verdana" w:eastAsia="Calibri" w:hAnsi="Verdana" w:cs="Arial"/>
          <w:lang w:val="es-ES"/>
        </w:rPr>
        <w:t xml:space="preserve">no ha expedido conceptos en torno a la entrega de souvenirs o detalles en el marco de las actividades estratégicas y misionales de las entidades. Por tanto, el concepto que se expide hace un análisis del tema.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1555B05" w14:textId="77777777" w:rsidR="00361ACD" w:rsidRPr="009037F6" w:rsidRDefault="000A2B5F" w:rsidP="00361ACD">
      <w:pPr>
        <w:spacing w:after="0" w:line="256" w:lineRule="auto"/>
        <w:jc w:val="both"/>
        <w:rPr>
          <w:rFonts w:ascii="Verdana" w:eastAsia="Calibri" w:hAnsi="Verdana" w:cs="Times New Roman"/>
        </w:rPr>
      </w:pPr>
      <w:hyperlink r:id="rId14" w:history="1">
        <w:r w:rsidR="00361ACD" w:rsidRPr="009037F6">
          <w:rPr>
            <w:rFonts w:ascii="Verdana" w:eastAsia="Calibri" w:hAnsi="Verdana" w:cs="Times New Roman"/>
            <w:color w:val="0000FF"/>
            <w:u w:val="single"/>
            <w:lang w:val="es-ES"/>
          </w:rPr>
          <w:t>https://relatoria.colombiacompra.gov.co/busqueda/conceptos</w:t>
        </w:r>
      </w:hyperlink>
      <w:r w:rsidR="00361ACD" w:rsidRPr="009037F6">
        <w:rPr>
          <w:rFonts w:ascii="Verdana" w:eastAsia="Calibri" w:hAnsi="Verdana" w:cs="Times New Roman"/>
        </w:rPr>
        <w:t xml:space="preserve">. </w:t>
      </w:r>
    </w:p>
    <w:p w14:paraId="629189DC" w14:textId="77777777" w:rsidR="00361ACD" w:rsidRPr="009037F6" w:rsidRDefault="00361ACD" w:rsidP="00361ACD">
      <w:pPr>
        <w:spacing w:after="0"/>
        <w:jc w:val="both"/>
        <w:rPr>
          <w:rFonts w:ascii="Verdana" w:hAnsi="Verdana"/>
        </w:rPr>
      </w:pPr>
    </w:p>
    <w:p w14:paraId="04629BDC" w14:textId="77777777" w:rsidR="00361ACD" w:rsidRPr="009037F6" w:rsidRDefault="00361ACD" w:rsidP="00361ACD">
      <w:pPr>
        <w:spacing w:after="0" w:line="256" w:lineRule="auto"/>
        <w:jc w:val="both"/>
        <w:rPr>
          <w:rFonts w:ascii="Verdana" w:eastAsia="Calibri" w:hAnsi="Verdana" w:cs="Times New Roman"/>
        </w:rPr>
      </w:pPr>
      <w:r w:rsidRPr="009037F6">
        <w:rPr>
          <w:rFonts w:ascii="Verdana" w:eastAsia="Calibri" w:hAnsi="Verdana" w:cs="Times New Roman"/>
        </w:rPr>
        <w:t xml:space="preserve">Te informamos que ya se encuentra disponible la </w:t>
      </w:r>
      <w:r w:rsidRPr="009037F6">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9037F6">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w:t>
      </w:r>
      <w:r w:rsidRPr="009037F6">
        <w:rPr>
          <w:rFonts w:ascii="Verdana" w:eastAsia="Calibri" w:hAnsi="Verdana" w:cs="Times New Roman"/>
        </w:rPr>
        <w:lastRenderedPageBreak/>
        <w:t xml:space="preserve">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5601FFB7" w14:textId="77777777" w:rsidR="00361ACD" w:rsidRPr="009037F6" w:rsidRDefault="00361ACD" w:rsidP="00361ACD">
      <w:pPr>
        <w:spacing w:after="0" w:line="240" w:lineRule="auto"/>
        <w:jc w:val="both"/>
        <w:rPr>
          <w:rFonts w:ascii="Verdana" w:hAnsi="Verdana"/>
        </w:rPr>
      </w:pPr>
    </w:p>
    <w:p w14:paraId="25BC038C" w14:textId="77777777" w:rsidR="00361ACD" w:rsidRPr="009037F6" w:rsidRDefault="00361ACD" w:rsidP="00361ACD">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8E0D333" w14:textId="77777777" w:rsidR="00361ACD" w:rsidRPr="009037F6" w:rsidRDefault="00361ACD" w:rsidP="00361ACD">
      <w:pPr>
        <w:spacing w:after="0" w:line="256" w:lineRule="auto"/>
        <w:jc w:val="both"/>
        <w:rPr>
          <w:rFonts w:ascii="Verdana" w:eastAsia="Calibri" w:hAnsi="Verdana" w:cs="Times New Roman"/>
        </w:rPr>
      </w:pPr>
    </w:p>
    <w:p w14:paraId="24130DFE" w14:textId="77777777" w:rsidR="00361ACD" w:rsidRDefault="00361ACD" w:rsidP="00361ACD">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0A0C812C" w14:textId="77777777" w:rsidR="00361ACD" w:rsidRDefault="00361ACD" w:rsidP="00361ACD">
      <w:pPr>
        <w:spacing w:after="0" w:line="256" w:lineRule="auto"/>
        <w:jc w:val="both"/>
        <w:rPr>
          <w:rFonts w:ascii="Verdana" w:eastAsia="Calibri" w:hAnsi="Verdana" w:cs="Times New Roman"/>
        </w:rPr>
      </w:pPr>
    </w:p>
    <w:p w14:paraId="1CC43BCB" w14:textId="16A9AFB0" w:rsidR="00361ACD" w:rsidRPr="00771AEF" w:rsidRDefault="00E35644" w:rsidP="00361ACD">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06C5A36C" wp14:editId="671B075A">
            <wp:extent cx="3279697" cy="1217463"/>
            <wp:effectExtent l="0" t="0" r="0" b="1905"/>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312722" cy="1229722"/>
                    </a:xfrm>
                    <a:prstGeom prst="rect">
                      <a:avLst/>
                    </a:prstGeom>
                  </pic:spPr>
                </pic:pic>
              </a:graphicData>
            </a:graphic>
          </wp:inline>
        </w:drawing>
      </w:r>
      <w:r w:rsidR="00361ACD" w:rsidRPr="00FD1DDC">
        <w:rPr>
          <w:rFonts w:ascii="Verdana" w:hAnsi="Verdana"/>
          <w:sz w:val="16"/>
          <w:szCs w:val="16"/>
        </w:rPr>
        <w:t xml:space="preserve"> </w:t>
      </w:r>
    </w:p>
    <w:p w14:paraId="2F36A72D" w14:textId="77777777" w:rsidR="00361ACD" w:rsidRPr="00771AEF" w:rsidRDefault="00361ACD" w:rsidP="00361ACD">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361ACD" w:rsidRPr="00771AEF" w14:paraId="79EF801B" w14:textId="77777777" w:rsidTr="009759B1">
        <w:trPr>
          <w:trHeight w:val="409"/>
        </w:trPr>
        <w:tc>
          <w:tcPr>
            <w:tcW w:w="817" w:type="dxa"/>
            <w:tcBorders>
              <w:top w:val="nil"/>
              <w:left w:val="nil"/>
              <w:bottom w:val="nil"/>
              <w:right w:val="nil"/>
            </w:tcBorders>
            <w:vAlign w:val="center"/>
            <w:hideMark/>
          </w:tcPr>
          <w:p w14:paraId="5EB82750" w14:textId="77777777" w:rsidR="00361ACD" w:rsidRPr="00771AEF" w:rsidRDefault="00361ACD" w:rsidP="009759B1">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9C90A38" w14:textId="77777777" w:rsidR="00361ACD" w:rsidRPr="00771AEF" w:rsidRDefault="00361ACD" w:rsidP="009759B1">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José Luis Sánchez Cardona</w:t>
            </w:r>
          </w:p>
          <w:p w14:paraId="1099DE3D" w14:textId="77777777" w:rsidR="00361ACD" w:rsidRPr="00771AEF" w:rsidRDefault="00361ACD" w:rsidP="009759B1">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Contratista de la Subdirección de Gestión Contractual</w:t>
            </w:r>
          </w:p>
        </w:tc>
      </w:tr>
      <w:tr w:rsidR="00361ACD" w:rsidRPr="00771AEF" w14:paraId="1F4B82B6" w14:textId="77777777" w:rsidTr="009759B1">
        <w:trPr>
          <w:trHeight w:val="409"/>
        </w:trPr>
        <w:tc>
          <w:tcPr>
            <w:tcW w:w="817" w:type="dxa"/>
            <w:tcBorders>
              <w:top w:val="nil"/>
              <w:left w:val="nil"/>
              <w:bottom w:val="nil"/>
              <w:right w:val="nil"/>
            </w:tcBorders>
            <w:vAlign w:val="center"/>
            <w:hideMark/>
          </w:tcPr>
          <w:p w14:paraId="7412839E" w14:textId="77777777" w:rsidR="00361ACD" w:rsidRPr="00771AEF" w:rsidRDefault="00361ACD" w:rsidP="009759B1">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4A600C1" w14:textId="77777777" w:rsidR="00361ACD" w:rsidRDefault="00361ACD" w:rsidP="009759B1">
            <w:pPr>
              <w:spacing w:after="0"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70343E6B" w14:textId="1D6CC3B7" w:rsidR="00361ACD" w:rsidRPr="00771AEF" w:rsidRDefault="00361ACD" w:rsidP="009759B1">
            <w:pPr>
              <w:spacing w:after="0" w:line="256" w:lineRule="auto"/>
              <w:rPr>
                <w:rFonts w:ascii="Verdana" w:eastAsia="Calibri" w:hAnsi="Verdana" w:cs="Times New Roman"/>
                <w:sz w:val="16"/>
                <w:szCs w:val="16"/>
              </w:rPr>
            </w:pPr>
            <w:r>
              <w:rPr>
                <w:rFonts w:ascii="Verdana" w:eastAsia="Calibri" w:hAnsi="Verdana" w:cs="Times New Roman"/>
                <w:sz w:val="16"/>
                <w:szCs w:val="16"/>
              </w:rPr>
              <w:t xml:space="preserve">Constratista </w:t>
            </w:r>
            <w:r w:rsidRPr="00771AEF">
              <w:rPr>
                <w:rFonts w:ascii="Verdana" w:eastAsia="Calibri" w:hAnsi="Verdana" w:cs="Times New Roman"/>
                <w:sz w:val="16"/>
                <w:szCs w:val="16"/>
              </w:rPr>
              <w:t>de la Subdirección de Gestión Contractual </w:t>
            </w:r>
          </w:p>
        </w:tc>
      </w:tr>
      <w:tr w:rsidR="00361ACD" w:rsidRPr="00771AEF" w14:paraId="086292BC" w14:textId="77777777" w:rsidTr="009759B1">
        <w:trPr>
          <w:trHeight w:val="389"/>
        </w:trPr>
        <w:tc>
          <w:tcPr>
            <w:tcW w:w="817" w:type="dxa"/>
            <w:tcBorders>
              <w:top w:val="nil"/>
              <w:left w:val="nil"/>
              <w:bottom w:val="nil"/>
              <w:right w:val="nil"/>
            </w:tcBorders>
            <w:vAlign w:val="center"/>
            <w:hideMark/>
          </w:tcPr>
          <w:p w14:paraId="2EE25310" w14:textId="77777777" w:rsidR="00361ACD" w:rsidRPr="00771AEF" w:rsidRDefault="00361ACD" w:rsidP="009759B1">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B996993" w14:textId="77777777" w:rsidR="00361ACD" w:rsidRPr="00771AEF" w:rsidRDefault="00361ACD" w:rsidP="009759B1">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Carolina Quintero Gacharná</w:t>
            </w:r>
          </w:p>
          <w:p w14:paraId="0774014D" w14:textId="77777777" w:rsidR="00361ACD" w:rsidRPr="00771AEF" w:rsidRDefault="00361ACD" w:rsidP="009759B1">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Subdirectora de Gestión Contractual ANCP – CCE</w:t>
            </w:r>
          </w:p>
        </w:tc>
      </w:tr>
    </w:tbl>
    <w:p w14:paraId="48A3ECC5" w14:textId="77777777" w:rsidR="00361ACD" w:rsidRPr="00FD1DDC" w:rsidRDefault="00361ACD" w:rsidP="00361ACD">
      <w:pPr>
        <w:spacing w:after="0" w:line="256" w:lineRule="auto"/>
        <w:jc w:val="both"/>
        <w:rPr>
          <w:rFonts w:ascii="Verdana" w:hAnsi="Verdana"/>
          <w:sz w:val="16"/>
          <w:szCs w:val="16"/>
        </w:rPr>
      </w:pPr>
    </w:p>
    <w:p w14:paraId="53BF1D6D" w14:textId="77777777" w:rsidR="00361ACD" w:rsidRPr="0024624F" w:rsidRDefault="00361ACD" w:rsidP="00361ACD">
      <w:pPr>
        <w:spacing w:after="0"/>
        <w:rPr>
          <w:rFonts w:ascii="Verdana" w:hAnsi="Verdana"/>
        </w:rPr>
      </w:pPr>
    </w:p>
    <w:bookmarkEnd w:id="0"/>
    <w:p w14:paraId="73C61EC8" w14:textId="64F38A2F" w:rsidR="00EB224C" w:rsidRPr="00361ACD" w:rsidRDefault="00EB224C" w:rsidP="00361ACD"/>
    <w:sectPr w:rsidR="00EB224C" w:rsidRPr="00361AC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AECCCF" w14:textId="77777777" w:rsidR="000A2B5F" w:rsidRDefault="000A2B5F" w:rsidP="004A1847">
      <w:pPr>
        <w:spacing w:after="0" w:line="240" w:lineRule="auto"/>
      </w:pPr>
      <w:r>
        <w:separator/>
      </w:r>
    </w:p>
  </w:endnote>
  <w:endnote w:type="continuationSeparator" w:id="0">
    <w:p w14:paraId="1C8AD974" w14:textId="77777777" w:rsidR="000A2B5F" w:rsidRDefault="000A2B5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3332A8" w:rsidRDefault="003332A8">
    <w:pPr>
      <w:pStyle w:val="Piedepgina"/>
    </w:pPr>
  </w:p>
  <w:p w14:paraId="594D6D9F" w14:textId="616C6F03"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E35644" w:rsidRPr="00E35644">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058A1A" w14:textId="77777777" w:rsidR="000A2B5F" w:rsidRDefault="000A2B5F" w:rsidP="004A1847">
      <w:pPr>
        <w:spacing w:after="0" w:line="240" w:lineRule="auto"/>
      </w:pPr>
      <w:r>
        <w:separator/>
      </w:r>
    </w:p>
  </w:footnote>
  <w:footnote w:type="continuationSeparator" w:id="0">
    <w:p w14:paraId="51417C08" w14:textId="77777777" w:rsidR="000A2B5F" w:rsidRDefault="000A2B5F" w:rsidP="004A1847">
      <w:pPr>
        <w:spacing w:after="0" w:line="240" w:lineRule="auto"/>
      </w:pPr>
      <w:r>
        <w:continuationSeparator/>
      </w:r>
    </w:p>
  </w:footnote>
  <w:footnote w:id="1">
    <w:p w14:paraId="16167A1C" w14:textId="77777777" w:rsidR="00361ACD" w:rsidRPr="00FC7C3B" w:rsidRDefault="00361ACD" w:rsidP="00361ACD">
      <w:pPr>
        <w:pStyle w:val="Textonotapie"/>
        <w:ind w:firstLine="708"/>
        <w:jc w:val="both"/>
        <w:rPr>
          <w:rFonts w:ascii="Verdana" w:hAnsi="Verdana" w:cs="Arial"/>
          <w:sz w:val="15"/>
          <w:szCs w:val="15"/>
        </w:rPr>
      </w:pPr>
      <w:r w:rsidRPr="00FC7C3B">
        <w:rPr>
          <w:rStyle w:val="Refdenotaalpie"/>
          <w:rFonts w:ascii="Verdana" w:hAnsi="Verdana" w:cs="Arial"/>
          <w:sz w:val="15"/>
          <w:szCs w:val="15"/>
        </w:rPr>
        <w:footnoteRef/>
      </w:r>
      <w:r w:rsidRPr="00FC7C3B">
        <w:rPr>
          <w:rFonts w:ascii="Verdana" w:hAnsi="Verdana" w:cs="Arial"/>
          <w:sz w:val="15"/>
          <w:szCs w:val="15"/>
        </w:rPr>
        <w:t xml:space="preserve"> Cfr. BENAVIDES, José Luis. El contrato estatal: entre el derecho público y el derecho privado. Segunda edición. Bogotá: Universidad Externado de Colombia, 2009. pp. 78-79.   </w:t>
      </w:r>
    </w:p>
  </w:footnote>
  <w:footnote w:id="2">
    <w:p w14:paraId="77573D90" w14:textId="77777777" w:rsidR="00361ACD" w:rsidRPr="00FC7C3B" w:rsidRDefault="00361ACD" w:rsidP="00361ACD">
      <w:pPr>
        <w:pStyle w:val="Textonotapie"/>
        <w:ind w:firstLine="708"/>
        <w:jc w:val="both"/>
        <w:rPr>
          <w:rFonts w:ascii="Verdana" w:hAnsi="Verdana" w:cs="Arial"/>
          <w:sz w:val="15"/>
          <w:szCs w:val="15"/>
          <w:lang w:val="es-ES"/>
        </w:rPr>
      </w:pPr>
      <w:r w:rsidRPr="00FC7C3B">
        <w:rPr>
          <w:rStyle w:val="Refdenotaalpie"/>
          <w:rFonts w:ascii="Verdana" w:hAnsi="Verdana" w:cs="Arial"/>
          <w:sz w:val="15"/>
          <w:szCs w:val="15"/>
        </w:rPr>
        <w:footnoteRef/>
      </w:r>
      <w:r w:rsidRPr="00FC7C3B">
        <w:rPr>
          <w:rFonts w:ascii="Verdana" w:hAnsi="Verdana" w:cs="Arial"/>
          <w:sz w:val="15"/>
          <w:szCs w:val="15"/>
        </w:rPr>
        <w:t xml:space="preserve"> BETANCUR JARAMILLO, Carlos. Derecho procesal administrativo. Octava edición. Medellín: Señal Editora, 2013. p. 627. </w:t>
      </w:r>
    </w:p>
  </w:footnote>
  <w:footnote w:id="3">
    <w:p w14:paraId="68E1C2C2" w14:textId="77777777" w:rsidR="00361ACD" w:rsidRPr="00FC7C3B" w:rsidRDefault="00361ACD" w:rsidP="00361ACD">
      <w:pPr>
        <w:pStyle w:val="Textonotapie"/>
        <w:ind w:firstLine="708"/>
        <w:jc w:val="both"/>
        <w:rPr>
          <w:rFonts w:ascii="Verdana" w:hAnsi="Verdana"/>
          <w:sz w:val="15"/>
          <w:szCs w:val="15"/>
        </w:rPr>
      </w:pPr>
      <w:r w:rsidRPr="00FC7C3B">
        <w:rPr>
          <w:rStyle w:val="Refdenotaalpie"/>
          <w:rFonts w:ascii="Verdana" w:hAnsi="Verdana"/>
          <w:sz w:val="15"/>
          <w:szCs w:val="15"/>
        </w:rPr>
        <w:footnoteRef/>
      </w:r>
      <w:r w:rsidRPr="00FC7C3B">
        <w:rPr>
          <w:rFonts w:ascii="Verdana" w:hAnsi="Verdana"/>
          <w:sz w:val="15"/>
          <w:szCs w:val="15"/>
        </w:rPr>
        <w:t xml:space="preserve"> OSPINA FERNÁNDEZ, Guillermo &amp; OSPINA ACOSTA, Eduardo. Teoría General del Contrato y del Negocio Jurídico. Séptima edición. Bogotá: Temis, 2021. p. 50.</w:t>
      </w:r>
    </w:p>
  </w:footnote>
  <w:footnote w:id="4">
    <w:p w14:paraId="37F979A6" w14:textId="77777777" w:rsidR="00361ACD" w:rsidRPr="00FC7C3B" w:rsidRDefault="00361ACD" w:rsidP="00361ACD">
      <w:pPr>
        <w:pStyle w:val="Textonotapie"/>
        <w:ind w:firstLine="708"/>
        <w:jc w:val="both"/>
        <w:rPr>
          <w:rFonts w:ascii="Verdana" w:hAnsi="Verdana"/>
          <w:sz w:val="15"/>
          <w:szCs w:val="15"/>
        </w:rPr>
      </w:pPr>
      <w:r w:rsidRPr="00FC7C3B">
        <w:rPr>
          <w:rStyle w:val="Refdenotaalpie"/>
          <w:rFonts w:ascii="Verdana" w:hAnsi="Verdana"/>
          <w:sz w:val="15"/>
          <w:szCs w:val="15"/>
        </w:rPr>
        <w:footnoteRef/>
      </w:r>
      <w:r w:rsidRPr="00FC7C3B">
        <w:rPr>
          <w:rFonts w:ascii="Verdana" w:hAnsi="Verdana"/>
          <w:sz w:val="15"/>
          <w:szCs w:val="15"/>
        </w:rPr>
        <w:t xml:space="preserve"> SUÁREZ BELTRÁN, Gonzalo. Estudios de derecho público contractual: Bogotá: Legis, 2014. p. 238. Al respecto, la doctrina considera que “Esta clase de contratos está constituida por aquellas figuras cuyos elementos son conocidos (elementos legales); dispuestos, sin embargo, en combinaciones diferentes a las que se pueden apreciar en los contratos típicos y que, además, han sido tomadas de más de un tipo de contrato. Estos elementos pueden encontrarse en una relación de coordinación o de subordinación” (Cfr. ARRUBLA PAUCAR, Jaime Alberto. Contratos mercantiles: contratos atípicos. Octava edición. Bogotá: Legis, 2015. p. 36). </w:t>
      </w:r>
    </w:p>
  </w:footnote>
  <w:footnote w:id="5">
    <w:p w14:paraId="78BCA1BA" w14:textId="77777777" w:rsidR="00361ACD" w:rsidRPr="00FC7C3B" w:rsidRDefault="00361ACD" w:rsidP="00361ACD">
      <w:pPr>
        <w:pStyle w:val="Textonotapie"/>
        <w:ind w:firstLine="708"/>
        <w:jc w:val="both"/>
        <w:rPr>
          <w:rFonts w:ascii="Verdana" w:hAnsi="Verdana"/>
          <w:color w:val="000000" w:themeColor="text1"/>
          <w:sz w:val="15"/>
          <w:szCs w:val="15"/>
        </w:rPr>
      </w:pPr>
      <w:r w:rsidRPr="00FC7C3B">
        <w:rPr>
          <w:rStyle w:val="Refdenotaalpie"/>
          <w:rFonts w:ascii="Verdana" w:hAnsi="Verdana"/>
          <w:sz w:val="15"/>
          <w:szCs w:val="15"/>
        </w:rPr>
        <w:footnoteRef/>
      </w:r>
      <w:r w:rsidRPr="00FC7C3B">
        <w:rPr>
          <w:rFonts w:ascii="Verdana" w:hAnsi="Verdana"/>
          <w:sz w:val="15"/>
          <w:szCs w:val="15"/>
        </w:rPr>
        <w:t xml:space="preserve"> </w:t>
      </w:r>
      <w:r w:rsidRPr="00FC7C3B">
        <w:rPr>
          <w:rFonts w:ascii="Verdana" w:hAnsi="Verdana"/>
          <w:color w:val="000000" w:themeColor="text1"/>
          <w:sz w:val="15"/>
          <w:szCs w:val="15"/>
        </w:rPr>
        <w:t>CONSEJO DE ESTADO. Sala de Consulta y Servicio Civil. Concepto del 5 de septiembre de 2018. Rad. 2.386. C.P. Edgar González López.</w:t>
      </w:r>
    </w:p>
  </w:footnote>
  <w:footnote w:id="6">
    <w:p w14:paraId="77956742" w14:textId="77777777" w:rsidR="00361ACD" w:rsidRPr="00FC7C3B" w:rsidRDefault="00361ACD" w:rsidP="00361ACD">
      <w:pPr>
        <w:pStyle w:val="Textonotapie"/>
        <w:ind w:firstLine="709"/>
        <w:jc w:val="both"/>
        <w:rPr>
          <w:rFonts w:ascii="Verdana" w:hAnsi="Verdana"/>
          <w:sz w:val="15"/>
          <w:szCs w:val="15"/>
        </w:rPr>
      </w:pPr>
      <w:r w:rsidRPr="00FC7C3B">
        <w:rPr>
          <w:rStyle w:val="Refdenotaalpie"/>
          <w:rFonts w:ascii="Verdana" w:hAnsi="Verdana"/>
          <w:sz w:val="15"/>
          <w:szCs w:val="15"/>
        </w:rPr>
        <w:footnoteRef/>
      </w:r>
      <w:r w:rsidRPr="00FC7C3B">
        <w:rPr>
          <w:rFonts w:ascii="Verdana" w:hAnsi="Verdana"/>
          <w:sz w:val="15"/>
          <w:szCs w:val="15"/>
        </w:rPr>
        <w:t xml:space="preserve"> SÁNCHEZ TRUJILLO, Juan Pablo. Completitud de la oferta del contrato atípico: elementos esenciales del contrato atípico como requisito de delimitación del objeto de la oferta mercantil. Consu</w:t>
      </w:r>
      <w:r>
        <w:rPr>
          <w:rFonts w:ascii="Verdana" w:hAnsi="Verdana"/>
          <w:sz w:val="15"/>
          <w:szCs w:val="15"/>
        </w:rPr>
        <w:t>ltado el 11 de noviembre de 2025</w:t>
      </w:r>
      <w:r w:rsidRPr="00FC7C3B">
        <w:rPr>
          <w:rFonts w:ascii="Verdana" w:hAnsi="Verdana"/>
          <w:sz w:val="15"/>
          <w:szCs w:val="15"/>
        </w:rPr>
        <w:t xml:space="preserve"> en la página web </w:t>
      </w:r>
      <w:hyperlink r:id="rId1" w:history="1">
        <w:r w:rsidRPr="00FC7C3B">
          <w:rPr>
            <w:rStyle w:val="Hipervnculo"/>
            <w:rFonts w:ascii="Verdana" w:hAnsi="Verdana"/>
            <w:sz w:val="15"/>
            <w:szCs w:val="15"/>
          </w:rPr>
          <w:t>https://revistas.udea.edu.co/index.php/derypol/article/view/331285/20790715</w:t>
        </w:r>
      </w:hyperlink>
      <w:r w:rsidRPr="00FC7C3B">
        <w:rPr>
          <w:rFonts w:ascii="Verdana" w:hAnsi="Verdana"/>
          <w:sz w:val="15"/>
          <w:szCs w:val="15"/>
        </w:rPr>
        <w:t xml:space="preserve">. </w:t>
      </w:r>
    </w:p>
  </w:footnote>
  <w:footnote w:id="7">
    <w:p w14:paraId="39A75792" w14:textId="77777777" w:rsidR="00361ACD" w:rsidRDefault="00361ACD" w:rsidP="00361ACD">
      <w:pPr>
        <w:pStyle w:val="Textonotapie"/>
        <w:ind w:firstLine="708"/>
        <w:jc w:val="both"/>
        <w:rPr>
          <w:rFonts w:ascii="Verdana" w:hAnsi="Verdana"/>
          <w:sz w:val="16"/>
          <w:szCs w:val="16"/>
        </w:rPr>
      </w:pPr>
      <w:r w:rsidRPr="00E57ED8">
        <w:rPr>
          <w:rStyle w:val="Refdenotaalpie"/>
          <w:rFonts w:ascii="Verdana" w:hAnsi="Verdana"/>
          <w:sz w:val="16"/>
          <w:szCs w:val="16"/>
        </w:rPr>
        <w:footnoteRef/>
      </w:r>
      <w:r w:rsidRPr="00E57ED8">
        <w:rPr>
          <w:rFonts w:ascii="Verdana" w:hAnsi="Verdana"/>
          <w:sz w:val="16"/>
          <w:szCs w:val="16"/>
        </w:rPr>
        <w:t xml:space="preserve"> REYES GARCÉS</w:t>
      </w:r>
      <w:r>
        <w:rPr>
          <w:rFonts w:ascii="Verdana" w:hAnsi="Verdana"/>
          <w:sz w:val="16"/>
          <w:szCs w:val="16"/>
        </w:rPr>
        <w:t xml:space="preserve">, </w:t>
      </w:r>
      <w:r w:rsidRPr="00E57ED8">
        <w:rPr>
          <w:rFonts w:ascii="Verdana" w:hAnsi="Verdana"/>
          <w:sz w:val="16"/>
          <w:szCs w:val="16"/>
        </w:rPr>
        <w:t xml:space="preserve">Henry Mauricio </w:t>
      </w:r>
      <w:r>
        <w:rPr>
          <w:rFonts w:ascii="Verdana" w:hAnsi="Verdana"/>
          <w:sz w:val="16"/>
          <w:szCs w:val="16"/>
        </w:rPr>
        <w:t xml:space="preserve">&amp; </w:t>
      </w:r>
      <w:r w:rsidRPr="00E57ED8">
        <w:rPr>
          <w:rFonts w:ascii="Verdana" w:hAnsi="Verdana"/>
          <w:sz w:val="16"/>
          <w:szCs w:val="16"/>
        </w:rPr>
        <w:t>RODRÍGUEZ BURBANO</w:t>
      </w:r>
      <w:r>
        <w:rPr>
          <w:rFonts w:ascii="Verdana" w:hAnsi="Verdana"/>
          <w:sz w:val="16"/>
          <w:szCs w:val="16"/>
        </w:rPr>
        <w:t>,</w:t>
      </w:r>
      <w:r w:rsidRPr="00E57ED8">
        <w:rPr>
          <w:rFonts w:ascii="Verdana" w:hAnsi="Verdana"/>
          <w:sz w:val="16"/>
          <w:szCs w:val="16"/>
        </w:rPr>
        <w:t xml:space="preserve"> Aura Yolima</w:t>
      </w:r>
      <w:r>
        <w:rPr>
          <w:rFonts w:ascii="Verdana" w:hAnsi="Verdana"/>
          <w:sz w:val="16"/>
          <w:szCs w:val="16"/>
        </w:rPr>
        <w:t xml:space="preserve">. </w:t>
      </w:r>
      <w:r w:rsidRPr="00D4038C">
        <w:rPr>
          <w:rFonts w:ascii="Verdana" w:hAnsi="Verdana"/>
          <w:sz w:val="16"/>
          <w:szCs w:val="16"/>
        </w:rPr>
        <w:t>Una apuesta por el concepto de persona razonable: análisis a partir del contrato atípico de servicios logísticos</w:t>
      </w:r>
      <w:r>
        <w:rPr>
          <w:rFonts w:ascii="Verdana" w:hAnsi="Verdana"/>
          <w:sz w:val="16"/>
          <w:szCs w:val="16"/>
        </w:rPr>
        <w:t xml:space="preserve">. Consultado el 11 de noviembre en la página web </w:t>
      </w:r>
      <w:hyperlink r:id="rId2" w:anchor="toc" w:history="1">
        <w:r w:rsidRPr="00880444">
          <w:rPr>
            <w:rStyle w:val="Hipervnculo"/>
            <w:rFonts w:ascii="Verdana" w:hAnsi="Verdana"/>
            <w:sz w:val="16"/>
            <w:szCs w:val="16"/>
          </w:rPr>
          <w:t>https://revistas.uexternado.edu.co/index.php/derpri/article/view/7201/10297#toc</w:t>
        </w:r>
      </w:hyperlink>
      <w:r>
        <w:rPr>
          <w:rFonts w:ascii="Verdana" w:hAnsi="Verdana"/>
          <w:sz w:val="16"/>
          <w:szCs w:val="16"/>
        </w:rPr>
        <w:t xml:space="preserve">. </w:t>
      </w:r>
    </w:p>
    <w:p w14:paraId="63D75AF9" w14:textId="77777777" w:rsidR="00361ACD" w:rsidRPr="00E57ED8" w:rsidRDefault="00361ACD" w:rsidP="00361ACD">
      <w:pPr>
        <w:pStyle w:val="Textonotapie"/>
        <w:ind w:firstLine="708"/>
        <w:jc w:val="both"/>
        <w:rPr>
          <w:rFonts w:ascii="Verdana" w:hAnsi="Verdana"/>
          <w:sz w:val="16"/>
          <w:szCs w:val="16"/>
        </w:rPr>
      </w:pPr>
    </w:p>
  </w:footnote>
  <w:footnote w:id="8">
    <w:p w14:paraId="57C9E19D" w14:textId="77777777" w:rsidR="00361ACD" w:rsidRDefault="00361ACD" w:rsidP="00361ACD">
      <w:pPr>
        <w:pStyle w:val="Textonotapie"/>
        <w:ind w:firstLine="708"/>
        <w:jc w:val="both"/>
        <w:rPr>
          <w:rFonts w:ascii="Verdana" w:hAnsi="Verdana"/>
          <w:sz w:val="16"/>
          <w:szCs w:val="16"/>
          <w:lang w:val="pt-BR"/>
        </w:rPr>
      </w:pPr>
      <w:r>
        <w:rPr>
          <w:rStyle w:val="Refdenotaalpie"/>
        </w:rPr>
        <w:footnoteRef/>
      </w:r>
      <w:r w:rsidRPr="0005266C">
        <w:rPr>
          <w:lang w:val="pt-BR"/>
        </w:rPr>
        <w:t xml:space="preserve"> </w:t>
      </w:r>
      <w:r w:rsidRPr="0005266C">
        <w:rPr>
          <w:rFonts w:ascii="Verdana" w:hAnsi="Verdana"/>
          <w:sz w:val="16"/>
          <w:szCs w:val="16"/>
          <w:lang w:val="pt-BR"/>
        </w:rPr>
        <w:t>OSPINA FERNÁNDEZ &amp; OSPINA ACOSTA, Op. cit., p. 51.</w:t>
      </w:r>
    </w:p>
    <w:p w14:paraId="76E13819" w14:textId="77777777" w:rsidR="00361ACD" w:rsidRPr="0005266C" w:rsidRDefault="00361ACD" w:rsidP="00361ACD">
      <w:pPr>
        <w:pStyle w:val="Textonotapie"/>
        <w:ind w:firstLine="708"/>
        <w:jc w:val="both"/>
        <w:rPr>
          <w:lang w:val="pt-BR"/>
        </w:rPr>
      </w:pPr>
    </w:p>
  </w:footnote>
  <w:footnote w:id="9">
    <w:p w14:paraId="3931FEC9" w14:textId="77777777" w:rsidR="00361ACD" w:rsidRPr="00080B1D" w:rsidRDefault="00361ACD" w:rsidP="00361ACD">
      <w:pPr>
        <w:pStyle w:val="Textonotapie"/>
        <w:ind w:firstLine="708"/>
        <w:jc w:val="both"/>
        <w:rPr>
          <w:rFonts w:ascii="Verdana" w:hAnsi="Verdana"/>
          <w:sz w:val="16"/>
          <w:szCs w:val="16"/>
          <w:lang w:val="es-CO"/>
        </w:rPr>
      </w:pPr>
      <w:r w:rsidRPr="00080B1D">
        <w:rPr>
          <w:rStyle w:val="Refdenotaalpie"/>
          <w:rFonts w:ascii="Verdana" w:hAnsi="Verdana"/>
          <w:sz w:val="16"/>
          <w:szCs w:val="16"/>
        </w:rPr>
        <w:footnoteRef/>
      </w:r>
      <w:r w:rsidRPr="00080B1D">
        <w:rPr>
          <w:rFonts w:ascii="Verdana" w:hAnsi="Verdana"/>
          <w:sz w:val="16"/>
          <w:szCs w:val="16"/>
        </w:rPr>
        <w:t xml:space="preserve"> </w:t>
      </w:r>
      <w:bookmarkStart w:id="5" w:name="19"/>
      <w:r w:rsidRPr="00080B1D">
        <w:rPr>
          <w:rFonts w:ascii="Verdana" w:hAnsi="Verdana"/>
          <w:bCs/>
          <w:sz w:val="16"/>
          <w:szCs w:val="16"/>
          <w:lang w:val="es-CO"/>
        </w:rPr>
        <w:t>ARTÍCULO 19. PLAN DE AUSTERIDAD Y EFICIENCIA EN EL GASTO PÚBLICO.</w:t>
      </w:r>
      <w:bookmarkEnd w:id="5"/>
      <w:r w:rsidRPr="00080B1D">
        <w:rPr>
          <w:rFonts w:ascii="Verdana" w:hAnsi="Verdana"/>
          <w:sz w:val="16"/>
          <w:szCs w:val="16"/>
          <w:lang w:val="es-CO"/>
        </w:rPr>
        <w:t> En desarrollo del mandato del artículo </w:t>
      </w:r>
      <w:hyperlink r:id="rId3" w:anchor="209" w:history="1">
        <w:r w:rsidRPr="00080B1D">
          <w:rPr>
            <w:rStyle w:val="Hipervnculo"/>
            <w:rFonts w:ascii="Verdana" w:hAnsi="Verdana"/>
            <w:sz w:val="16"/>
            <w:szCs w:val="16"/>
            <w:lang w:val="es-CO"/>
          </w:rPr>
          <w:t>209</w:t>
        </w:r>
      </w:hyperlink>
      <w:r w:rsidRPr="00080B1D">
        <w:rPr>
          <w:rFonts w:ascii="Verdana" w:hAnsi="Verdana"/>
          <w:sz w:val="16"/>
          <w:szCs w:val="16"/>
          <w:lang w:val="es-CO"/>
        </w:rPr>
        <w:t> de la Constitución Política y con el compromiso de reducir el Gasto Público, en el marco de una política de austeridad, eficiencia y efectividad en el uso de los recursos públicos, durante los siguientes 10 años contados a partir de la entrada en vigencia de la presente ley, el Gobierno nacional anualmente reglamentará mediante decreto un Plan de Austeridad del gasto para cada vigencia fiscal aplicable a los órganos que hacen parte del Presupuesto General de la Nación.</w:t>
      </w:r>
    </w:p>
    <w:p w14:paraId="4E08277B" w14:textId="77777777" w:rsidR="00361ACD" w:rsidRPr="00080B1D" w:rsidRDefault="00361ACD" w:rsidP="00361ACD">
      <w:pPr>
        <w:pStyle w:val="Textonotapie"/>
        <w:ind w:firstLine="708"/>
        <w:jc w:val="both"/>
        <w:rPr>
          <w:rFonts w:ascii="Verdana" w:hAnsi="Verdana"/>
          <w:sz w:val="16"/>
          <w:szCs w:val="16"/>
          <w:lang w:val="es-CO"/>
        </w:rPr>
      </w:pPr>
      <w:r w:rsidRPr="00080B1D">
        <w:rPr>
          <w:rFonts w:ascii="Verdana" w:hAnsi="Verdana"/>
          <w:sz w:val="16"/>
          <w:szCs w:val="16"/>
          <w:lang w:val="es-CO"/>
        </w:rPr>
        <w:t>Mediante este Plan de Austeridad se buscará obtener para el periodo 2022-2032 gradualmente un ahorro promedio anual de $1.9 billones de pesos a precios de 2022, mediante la limitación en el crecimiento anual del gasto por adquisición de bienes y servicios, la reducción de gastos destinados a viáticos, gastos de viaje, papelería, gastos de impresión, publicidad, adquisición de vehículos y combustibles que se utilicen en actividades de apoyo administrativo, la reducción en la adquisición y renovación de teléfonos celulares y planes de telefonía móvil, internet y datos, la reducción de gastos de arrendamiento de instalaciones físicas, y, en general, la racionalización de los gastos de funcionamiento. Para el logro de este Plan de Austeridad el Gobierno nacional también propondrá al Congreso de la República una reducción en un porcentaje no inferior al cinco por ciento (5%) anual, durante los próximos cinco (5) años, de las transferencias incorporadas en el Presupuesto General de la Nación. Se exceptúan aquellas transferencias específicas de rango constitucional y aquellas específicas del Sistema General de Participaciones (SGP), así como las destinadas al pago de: i) Sistema de Seguridad Social; ii) los aportes a las Instituciones de Educación Superior Públicas, y iii) cumplimiento de fallos judiciales.</w:t>
      </w:r>
    </w:p>
    <w:p w14:paraId="29DF77F2" w14:textId="77777777" w:rsidR="00361ACD" w:rsidRPr="00080B1D" w:rsidRDefault="00361ACD" w:rsidP="00361ACD">
      <w:pPr>
        <w:pStyle w:val="Textonotapie"/>
        <w:ind w:firstLine="708"/>
        <w:jc w:val="both"/>
        <w:rPr>
          <w:rFonts w:ascii="Verdana" w:hAnsi="Verdana"/>
          <w:sz w:val="16"/>
          <w:szCs w:val="16"/>
          <w:lang w:val="es-CO"/>
        </w:rPr>
      </w:pPr>
      <w:r w:rsidRPr="00080B1D">
        <w:rPr>
          <w:rFonts w:ascii="Verdana" w:hAnsi="Verdana"/>
          <w:sz w:val="16"/>
          <w:szCs w:val="16"/>
          <w:lang w:val="es-CO"/>
        </w:rPr>
        <w:t>Cada uno de los órganos que hacen parte del Presupuesto General de la Nación, de manera semestral, presentarán y enviarán al Ministerio de Hacienda y Crédito Público un informe sobre el recorte y ahorro generado con esta medida.</w:t>
      </w:r>
    </w:p>
    <w:p w14:paraId="7D0945B8" w14:textId="77777777" w:rsidR="00361ACD" w:rsidRPr="00080B1D" w:rsidRDefault="00361ACD" w:rsidP="00361ACD">
      <w:pPr>
        <w:pStyle w:val="Textonotapie"/>
        <w:ind w:firstLine="708"/>
        <w:jc w:val="both"/>
        <w:rPr>
          <w:rFonts w:ascii="Verdana" w:hAnsi="Verdana"/>
          <w:sz w:val="16"/>
          <w:szCs w:val="16"/>
          <w:lang w:val="es-CO"/>
        </w:rPr>
      </w:pPr>
      <w:r w:rsidRPr="00080B1D">
        <w:rPr>
          <w:rFonts w:ascii="Verdana" w:hAnsi="Verdana"/>
          <w:sz w:val="16"/>
          <w:szCs w:val="16"/>
          <w:lang w:val="es-CO"/>
        </w:rPr>
        <w:t>El Ministerio de Hacienda y Crédito Público deberá presentar junto con el Proyecto de Ley Anual de Presupuesto la propuesta de austeridad consistente con la meta a que se refiere el presente artículo.</w:t>
      </w:r>
    </w:p>
    <w:p w14:paraId="67C496A2" w14:textId="77777777" w:rsidR="00361ACD" w:rsidRPr="00080B1D" w:rsidRDefault="00361ACD" w:rsidP="00361ACD">
      <w:pPr>
        <w:pStyle w:val="Textonotapie"/>
        <w:jc w:val="both"/>
        <w:rPr>
          <w:lang w:val="es-CO"/>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45pt;height:11.4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0"/>
  </w:num>
  <w:num w:numId="2">
    <w:abstractNumId w:val="2"/>
  </w:num>
  <w:num w:numId="3">
    <w:abstractNumId w:val="8"/>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7"/>
  </w:num>
  <w:num w:numId="7">
    <w:abstractNumId w:val="9"/>
  </w:num>
  <w:num w:numId="8">
    <w:abstractNumId w:val="16"/>
  </w:num>
  <w:num w:numId="9">
    <w:abstractNumId w:val="11"/>
  </w:num>
  <w:num w:numId="10">
    <w:abstractNumId w:val="15"/>
  </w:num>
  <w:num w:numId="11">
    <w:abstractNumId w:val="12"/>
  </w:num>
  <w:num w:numId="12">
    <w:abstractNumId w:val="0"/>
  </w:num>
  <w:num w:numId="13">
    <w:abstractNumId w:val="5"/>
  </w:num>
  <w:num w:numId="14">
    <w:abstractNumId w:val="18"/>
  </w:num>
  <w:num w:numId="15">
    <w:abstractNumId w:val="14"/>
  </w:num>
  <w:num w:numId="16">
    <w:abstractNumId w:val="6"/>
  </w:num>
  <w:num w:numId="17">
    <w:abstractNumId w:val="13"/>
  </w:num>
  <w:num w:numId="18">
    <w:abstractNumId w:val="20"/>
  </w:num>
  <w:num w:numId="19">
    <w:abstractNumId w:val="19"/>
  </w:num>
  <w:num w:numId="20">
    <w:abstractNumId w:val="1"/>
  </w:num>
  <w:num w:numId="21">
    <w:abstractNumId w:val="4"/>
  </w:num>
  <w:num w:numId="22">
    <w:abstractNumId w:val="7"/>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34D5"/>
    <w:rsid w:val="00016F78"/>
    <w:rsid w:val="000353BD"/>
    <w:rsid w:val="00046945"/>
    <w:rsid w:val="00061B2A"/>
    <w:rsid w:val="000711CF"/>
    <w:rsid w:val="00076D52"/>
    <w:rsid w:val="00080B1D"/>
    <w:rsid w:val="00082362"/>
    <w:rsid w:val="000A2B5F"/>
    <w:rsid w:val="000A683E"/>
    <w:rsid w:val="000B19B9"/>
    <w:rsid w:val="000B27F0"/>
    <w:rsid w:val="000D0334"/>
    <w:rsid w:val="000D1DC8"/>
    <w:rsid w:val="000D5DA7"/>
    <w:rsid w:val="000F078F"/>
    <w:rsid w:val="000F3444"/>
    <w:rsid w:val="000F6486"/>
    <w:rsid w:val="00105C57"/>
    <w:rsid w:val="001168F2"/>
    <w:rsid w:val="00116940"/>
    <w:rsid w:val="00125105"/>
    <w:rsid w:val="00127233"/>
    <w:rsid w:val="001328F3"/>
    <w:rsid w:val="0015699B"/>
    <w:rsid w:val="00171640"/>
    <w:rsid w:val="00174D6E"/>
    <w:rsid w:val="001A33BF"/>
    <w:rsid w:val="001C5AE4"/>
    <w:rsid w:val="001D02CC"/>
    <w:rsid w:val="001E2E05"/>
    <w:rsid w:val="001E4177"/>
    <w:rsid w:val="001F0B24"/>
    <w:rsid w:val="001F7DC6"/>
    <w:rsid w:val="002209DE"/>
    <w:rsid w:val="0022400B"/>
    <w:rsid w:val="002421BB"/>
    <w:rsid w:val="0025796E"/>
    <w:rsid w:val="002707A2"/>
    <w:rsid w:val="00275482"/>
    <w:rsid w:val="0028778F"/>
    <w:rsid w:val="002951A0"/>
    <w:rsid w:val="002962BC"/>
    <w:rsid w:val="002A093D"/>
    <w:rsid w:val="002A0DD0"/>
    <w:rsid w:val="002A49AC"/>
    <w:rsid w:val="002A64FD"/>
    <w:rsid w:val="002B730F"/>
    <w:rsid w:val="002C7A84"/>
    <w:rsid w:val="002E05EF"/>
    <w:rsid w:val="002E2BF8"/>
    <w:rsid w:val="002E4FD9"/>
    <w:rsid w:val="002F0847"/>
    <w:rsid w:val="0030657A"/>
    <w:rsid w:val="003136DC"/>
    <w:rsid w:val="00316053"/>
    <w:rsid w:val="00322A85"/>
    <w:rsid w:val="00322C00"/>
    <w:rsid w:val="00324168"/>
    <w:rsid w:val="00330834"/>
    <w:rsid w:val="003332A8"/>
    <w:rsid w:val="003448F4"/>
    <w:rsid w:val="00361ACD"/>
    <w:rsid w:val="00374F5E"/>
    <w:rsid w:val="003769E1"/>
    <w:rsid w:val="00377E3E"/>
    <w:rsid w:val="00381BAB"/>
    <w:rsid w:val="003A779E"/>
    <w:rsid w:val="003D0F4D"/>
    <w:rsid w:val="003D5B0D"/>
    <w:rsid w:val="003E0499"/>
    <w:rsid w:val="003E4F80"/>
    <w:rsid w:val="003E6439"/>
    <w:rsid w:val="003F0BB7"/>
    <w:rsid w:val="003F3941"/>
    <w:rsid w:val="00403EFA"/>
    <w:rsid w:val="00406575"/>
    <w:rsid w:val="004140B3"/>
    <w:rsid w:val="00414C74"/>
    <w:rsid w:val="0042722E"/>
    <w:rsid w:val="0044528D"/>
    <w:rsid w:val="00451137"/>
    <w:rsid w:val="004555EA"/>
    <w:rsid w:val="00466E39"/>
    <w:rsid w:val="00484E40"/>
    <w:rsid w:val="0048787A"/>
    <w:rsid w:val="00494F04"/>
    <w:rsid w:val="004A0A0B"/>
    <w:rsid w:val="004A1847"/>
    <w:rsid w:val="004A305D"/>
    <w:rsid w:val="004B3DAC"/>
    <w:rsid w:val="004C0DBB"/>
    <w:rsid w:val="004F21C4"/>
    <w:rsid w:val="004F685F"/>
    <w:rsid w:val="00513BF7"/>
    <w:rsid w:val="00517955"/>
    <w:rsid w:val="005229DB"/>
    <w:rsid w:val="00534886"/>
    <w:rsid w:val="00536A0E"/>
    <w:rsid w:val="005566E8"/>
    <w:rsid w:val="00560892"/>
    <w:rsid w:val="00572622"/>
    <w:rsid w:val="00573280"/>
    <w:rsid w:val="00574867"/>
    <w:rsid w:val="00591460"/>
    <w:rsid w:val="00592C94"/>
    <w:rsid w:val="005A65E0"/>
    <w:rsid w:val="005C0881"/>
    <w:rsid w:val="005C3777"/>
    <w:rsid w:val="005C5CDC"/>
    <w:rsid w:val="005D2566"/>
    <w:rsid w:val="005D476C"/>
    <w:rsid w:val="005F20A4"/>
    <w:rsid w:val="00600D92"/>
    <w:rsid w:val="00603C5B"/>
    <w:rsid w:val="006200BF"/>
    <w:rsid w:val="0062143E"/>
    <w:rsid w:val="006219F8"/>
    <w:rsid w:val="00624A89"/>
    <w:rsid w:val="006302F7"/>
    <w:rsid w:val="00646B9F"/>
    <w:rsid w:val="00665D70"/>
    <w:rsid w:val="00684F67"/>
    <w:rsid w:val="006900D9"/>
    <w:rsid w:val="0069741A"/>
    <w:rsid w:val="006A2BE4"/>
    <w:rsid w:val="006B4707"/>
    <w:rsid w:val="006D591D"/>
    <w:rsid w:val="006F2238"/>
    <w:rsid w:val="007009D7"/>
    <w:rsid w:val="007025D7"/>
    <w:rsid w:val="00706C16"/>
    <w:rsid w:val="0071557C"/>
    <w:rsid w:val="00731F30"/>
    <w:rsid w:val="007340C3"/>
    <w:rsid w:val="0073510E"/>
    <w:rsid w:val="007458D3"/>
    <w:rsid w:val="0075235A"/>
    <w:rsid w:val="00752CDB"/>
    <w:rsid w:val="0075557D"/>
    <w:rsid w:val="00756841"/>
    <w:rsid w:val="007649AB"/>
    <w:rsid w:val="00771AEF"/>
    <w:rsid w:val="00771D0C"/>
    <w:rsid w:val="00782ED2"/>
    <w:rsid w:val="007833AC"/>
    <w:rsid w:val="00795086"/>
    <w:rsid w:val="007A1830"/>
    <w:rsid w:val="007B268C"/>
    <w:rsid w:val="007B7171"/>
    <w:rsid w:val="007C0C0F"/>
    <w:rsid w:val="007C3DC2"/>
    <w:rsid w:val="007C4353"/>
    <w:rsid w:val="007D3058"/>
    <w:rsid w:val="007D4B12"/>
    <w:rsid w:val="007E5497"/>
    <w:rsid w:val="00806F5F"/>
    <w:rsid w:val="00820278"/>
    <w:rsid w:val="008258C9"/>
    <w:rsid w:val="00830893"/>
    <w:rsid w:val="00833286"/>
    <w:rsid w:val="00836232"/>
    <w:rsid w:val="00844AE9"/>
    <w:rsid w:val="0085545E"/>
    <w:rsid w:val="00867F95"/>
    <w:rsid w:val="00871AAC"/>
    <w:rsid w:val="008843B6"/>
    <w:rsid w:val="00891928"/>
    <w:rsid w:val="008A446D"/>
    <w:rsid w:val="008B0D0F"/>
    <w:rsid w:val="008B25F1"/>
    <w:rsid w:val="008C11FD"/>
    <w:rsid w:val="008C4DD5"/>
    <w:rsid w:val="008C517A"/>
    <w:rsid w:val="008C6AE5"/>
    <w:rsid w:val="008D1660"/>
    <w:rsid w:val="008D180B"/>
    <w:rsid w:val="008F0EA7"/>
    <w:rsid w:val="008F17DC"/>
    <w:rsid w:val="008F4334"/>
    <w:rsid w:val="008F6705"/>
    <w:rsid w:val="009037F6"/>
    <w:rsid w:val="0091143C"/>
    <w:rsid w:val="00923EEF"/>
    <w:rsid w:val="009419F9"/>
    <w:rsid w:val="0095685E"/>
    <w:rsid w:val="00961B09"/>
    <w:rsid w:val="00964321"/>
    <w:rsid w:val="00965334"/>
    <w:rsid w:val="0097093E"/>
    <w:rsid w:val="009722DE"/>
    <w:rsid w:val="00984DB3"/>
    <w:rsid w:val="00992E19"/>
    <w:rsid w:val="009A0486"/>
    <w:rsid w:val="009A0DFA"/>
    <w:rsid w:val="009B2D26"/>
    <w:rsid w:val="009C71FA"/>
    <w:rsid w:val="009C72E7"/>
    <w:rsid w:val="009C7F7E"/>
    <w:rsid w:val="009D23F2"/>
    <w:rsid w:val="009D3058"/>
    <w:rsid w:val="009E1F28"/>
    <w:rsid w:val="009F3A13"/>
    <w:rsid w:val="00A0334B"/>
    <w:rsid w:val="00A122D3"/>
    <w:rsid w:val="00A14468"/>
    <w:rsid w:val="00A17F13"/>
    <w:rsid w:val="00A20739"/>
    <w:rsid w:val="00A23AF9"/>
    <w:rsid w:val="00A31A76"/>
    <w:rsid w:val="00A33C78"/>
    <w:rsid w:val="00A73F45"/>
    <w:rsid w:val="00AB0ADB"/>
    <w:rsid w:val="00AB436E"/>
    <w:rsid w:val="00AE3513"/>
    <w:rsid w:val="00AF5A10"/>
    <w:rsid w:val="00B00C0E"/>
    <w:rsid w:val="00B01B1A"/>
    <w:rsid w:val="00B04DA1"/>
    <w:rsid w:val="00B44A47"/>
    <w:rsid w:val="00B54271"/>
    <w:rsid w:val="00B5550F"/>
    <w:rsid w:val="00B6149C"/>
    <w:rsid w:val="00B72CD3"/>
    <w:rsid w:val="00B72FFF"/>
    <w:rsid w:val="00B74092"/>
    <w:rsid w:val="00B95DAC"/>
    <w:rsid w:val="00BA703D"/>
    <w:rsid w:val="00BC3D36"/>
    <w:rsid w:val="00BC70CB"/>
    <w:rsid w:val="00BD13AC"/>
    <w:rsid w:val="00BD54A6"/>
    <w:rsid w:val="00BD7F72"/>
    <w:rsid w:val="00BF5C08"/>
    <w:rsid w:val="00BF7425"/>
    <w:rsid w:val="00C04FB3"/>
    <w:rsid w:val="00C11D8B"/>
    <w:rsid w:val="00C251B0"/>
    <w:rsid w:val="00C330EB"/>
    <w:rsid w:val="00C419DF"/>
    <w:rsid w:val="00C50D69"/>
    <w:rsid w:val="00C5365C"/>
    <w:rsid w:val="00C754BE"/>
    <w:rsid w:val="00C76B1C"/>
    <w:rsid w:val="00C925AC"/>
    <w:rsid w:val="00C928E9"/>
    <w:rsid w:val="00C94828"/>
    <w:rsid w:val="00C963BE"/>
    <w:rsid w:val="00CB6357"/>
    <w:rsid w:val="00CC1B26"/>
    <w:rsid w:val="00CE3C1C"/>
    <w:rsid w:val="00CE4026"/>
    <w:rsid w:val="00D06146"/>
    <w:rsid w:val="00D0699E"/>
    <w:rsid w:val="00D22D2B"/>
    <w:rsid w:val="00D334DD"/>
    <w:rsid w:val="00D361FD"/>
    <w:rsid w:val="00D423A2"/>
    <w:rsid w:val="00D44E26"/>
    <w:rsid w:val="00D51A5D"/>
    <w:rsid w:val="00D520D8"/>
    <w:rsid w:val="00D532D4"/>
    <w:rsid w:val="00D62B9C"/>
    <w:rsid w:val="00D63AC2"/>
    <w:rsid w:val="00D7383B"/>
    <w:rsid w:val="00D7788A"/>
    <w:rsid w:val="00D936A2"/>
    <w:rsid w:val="00DA231B"/>
    <w:rsid w:val="00DB55DA"/>
    <w:rsid w:val="00DC39FC"/>
    <w:rsid w:val="00DC7CCB"/>
    <w:rsid w:val="00DF5254"/>
    <w:rsid w:val="00E02524"/>
    <w:rsid w:val="00E1159D"/>
    <w:rsid w:val="00E1451E"/>
    <w:rsid w:val="00E16408"/>
    <w:rsid w:val="00E20894"/>
    <w:rsid w:val="00E245AB"/>
    <w:rsid w:val="00E27341"/>
    <w:rsid w:val="00E2764C"/>
    <w:rsid w:val="00E27F2E"/>
    <w:rsid w:val="00E31225"/>
    <w:rsid w:val="00E35644"/>
    <w:rsid w:val="00E50AFE"/>
    <w:rsid w:val="00E577E2"/>
    <w:rsid w:val="00E75C92"/>
    <w:rsid w:val="00E771DC"/>
    <w:rsid w:val="00E8772A"/>
    <w:rsid w:val="00E90F6B"/>
    <w:rsid w:val="00E92C27"/>
    <w:rsid w:val="00EA0E3D"/>
    <w:rsid w:val="00EA426C"/>
    <w:rsid w:val="00EB224C"/>
    <w:rsid w:val="00EC006D"/>
    <w:rsid w:val="00EC297F"/>
    <w:rsid w:val="00EC38A7"/>
    <w:rsid w:val="00ED4980"/>
    <w:rsid w:val="00EE1AA8"/>
    <w:rsid w:val="00EF1D4F"/>
    <w:rsid w:val="00EF5E13"/>
    <w:rsid w:val="00EF647F"/>
    <w:rsid w:val="00F03314"/>
    <w:rsid w:val="00F23FEA"/>
    <w:rsid w:val="00F27B7B"/>
    <w:rsid w:val="00F31EDC"/>
    <w:rsid w:val="00F34294"/>
    <w:rsid w:val="00F462B3"/>
    <w:rsid w:val="00F5664F"/>
    <w:rsid w:val="00F666C4"/>
    <w:rsid w:val="00F76AFC"/>
    <w:rsid w:val="00F81BF0"/>
    <w:rsid w:val="00F82E88"/>
    <w:rsid w:val="00F86E11"/>
    <w:rsid w:val="00FA47C0"/>
    <w:rsid w:val="00FA5FFD"/>
    <w:rsid w:val="00FB5DD1"/>
    <w:rsid w:val="00FC2B5D"/>
    <w:rsid w:val="00FD1DDC"/>
    <w:rsid w:val="00FD3AD2"/>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1ACD"/>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ateomiraocampo@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3.em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constitucion_politica_1991_pr006.html" TargetMode="External"/><Relationship Id="rId2" Type="http://schemas.openxmlformats.org/officeDocument/2006/relationships/hyperlink" Target="https://revistas.uexternado.edu.co/index.php/derpri/article/view/7201/10297" TargetMode="External"/><Relationship Id="rId1" Type="http://schemas.openxmlformats.org/officeDocument/2006/relationships/hyperlink" Target="https://revistas.udea.edu.co/index.php/derypol/article/view/331285/20790715"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C4BDD384-D327-4EBD-A16E-887DF534953D}"/>
</file>

<file path=customXml/itemProps4.xml><?xml version="1.0" encoding="utf-8"?>
<ds:datastoreItem xmlns:ds="http://schemas.openxmlformats.org/officeDocument/2006/customXml" ds:itemID="{6153225B-9933-421F-A990-BE7AB634DA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15</Pages>
  <Words>4654</Words>
  <Characters>26528</Characters>
  <Application>Microsoft Office Word</Application>
  <DocSecurity>0</DocSecurity>
  <Lines>221</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8</cp:revision>
  <cp:lastPrinted>2023-01-10T21:18:00Z</cp:lastPrinted>
  <dcterms:created xsi:type="dcterms:W3CDTF">2025-11-24T17:28:00Z</dcterms:created>
  <dcterms:modified xsi:type="dcterms:W3CDTF">2025-12-15T02:15:00Z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