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0B087A" w14:textId="77777777" w:rsidR="00423153" w:rsidRPr="00062BA7" w:rsidRDefault="00423153" w:rsidP="00062BA7">
      <w:pPr>
        <w:snapToGrid w:val="0"/>
        <w:spacing w:after="0" w:line="240" w:lineRule="auto"/>
        <w:contextualSpacing/>
        <w:jc w:val="both"/>
        <w:rPr>
          <w:rFonts w:ascii="Verdana" w:eastAsia="Calibri" w:hAnsi="Verdana" w:cs="Arial"/>
          <w:b/>
          <w:bCs/>
          <w:lang w:val="es-ES" w:eastAsia="es-ES"/>
        </w:rPr>
      </w:pPr>
      <w:bookmarkStart w:id="0" w:name="_Hlk143780582"/>
      <w:r w:rsidRPr="00062BA7">
        <w:rPr>
          <w:rFonts w:ascii="Verdana" w:eastAsia="Calibri" w:hAnsi="Verdana" w:cs="Arial"/>
          <w:b/>
          <w:bCs/>
          <w:lang w:val="es-ES" w:eastAsia="es-ES"/>
        </w:rPr>
        <w:t>CONTRATO ESTATAL – Régimen jurídico</w:t>
      </w:r>
    </w:p>
    <w:p w14:paraId="3E391B03" w14:textId="77777777" w:rsidR="00062BA7" w:rsidRDefault="00062BA7" w:rsidP="00062BA7">
      <w:pPr>
        <w:snapToGrid w:val="0"/>
        <w:contextualSpacing/>
        <w:jc w:val="both"/>
        <w:rPr>
          <w:rFonts w:ascii="Verdana" w:eastAsia="Calibri" w:hAnsi="Verdana" w:cs="Arial"/>
          <w:sz w:val="20"/>
          <w:szCs w:val="20"/>
          <w:lang w:val="es-ES"/>
        </w:rPr>
      </w:pPr>
    </w:p>
    <w:p w14:paraId="7A0EF9E0" w14:textId="409C10B1" w:rsidR="00FF2579" w:rsidRPr="00062BA7" w:rsidRDefault="00FF2579" w:rsidP="00062BA7">
      <w:pPr>
        <w:snapToGrid w:val="0"/>
        <w:spacing w:after="0" w:line="240" w:lineRule="auto"/>
        <w:contextualSpacing/>
        <w:jc w:val="both"/>
        <w:rPr>
          <w:rFonts w:ascii="Verdana" w:eastAsia="Calibri" w:hAnsi="Verdana" w:cs="Arial"/>
          <w:sz w:val="20"/>
          <w:szCs w:val="20"/>
          <w:lang w:val="es-ES" w:eastAsia="es-ES"/>
        </w:rPr>
      </w:pPr>
      <w:r w:rsidRPr="00062BA7">
        <w:rPr>
          <w:rFonts w:ascii="Verdana" w:eastAsia="Calibri" w:hAnsi="Verdana" w:cs="Arial"/>
          <w:sz w:val="20"/>
          <w:szCs w:val="20"/>
          <w:lang w:val="es-ES"/>
        </w:rPr>
        <w:t xml:space="preserve">Respecto al régimen jurídico de las Entidades Estatales,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62BA7">
        <w:rPr>
          <w:rFonts w:ascii="Verdana" w:hAnsi="Verdana" w:cs="Arial"/>
          <w:sz w:val="20"/>
          <w:szCs w:val="20"/>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3F87BDA0" w14:textId="54F9431B" w:rsidR="00FF2579" w:rsidRDefault="00FF2579" w:rsidP="00062BA7">
      <w:pPr>
        <w:snapToGrid w:val="0"/>
        <w:contextualSpacing/>
        <w:jc w:val="both"/>
        <w:rPr>
          <w:rFonts w:ascii="Verdana" w:hAnsi="Verdana" w:cs="Arial"/>
          <w:sz w:val="20"/>
          <w:szCs w:val="20"/>
        </w:rPr>
      </w:pPr>
      <w:r w:rsidRPr="00062BA7">
        <w:rPr>
          <w:rFonts w:ascii="Verdana" w:hAnsi="Verdana" w:cs="Arial"/>
          <w:sz w:val="20"/>
          <w:szCs w:val="20"/>
        </w:rPr>
        <w:t xml:space="preserve">[…] </w:t>
      </w:r>
      <w:r w:rsidRPr="00062BA7">
        <w:rPr>
          <w:rFonts w:ascii="Verdana" w:hAnsi="Verdana" w:cs="Arial"/>
          <w:sz w:val="20"/>
          <w:szCs w:val="20"/>
        </w:rPr>
        <w:t>De esta manera, los contratos de las entidades sujetas al Estatuto General de Contratación se rigen generalmente por el derecho privado y excepcionalmente por el derecho público, pues las normas civiles y comerciales son el derecho común de los contratos estatales</w:t>
      </w:r>
      <w:r w:rsidR="00062BA7">
        <w:rPr>
          <w:rFonts w:ascii="Verdana" w:hAnsi="Verdana" w:cs="Arial"/>
          <w:sz w:val="20"/>
          <w:szCs w:val="20"/>
        </w:rPr>
        <w:t>.</w:t>
      </w:r>
    </w:p>
    <w:p w14:paraId="30815ACD" w14:textId="77777777" w:rsidR="00062BA7" w:rsidRPr="00062BA7" w:rsidRDefault="00062BA7" w:rsidP="00062BA7">
      <w:pPr>
        <w:snapToGrid w:val="0"/>
        <w:spacing w:after="0" w:line="240" w:lineRule="auto"/>
        <w:contextualSpacing/>
        <w:jc w:val="both"/>
        <w:rPr>
          <w:rFonts w:ascii="Verdana" w:eastAsia="Calibri" w:hAnsi="Verdana" w:cs="Arial"/>
          <w:sz w:val="20"/>
          <w:szCs w:val="20"/>
          <w:lang w:val="es-ES" w:eastAsia="es-ES"/>
        </w:rPr>
      </w:pPr>
    </w:p>
    <w:p w14:paraId="643118B9" w14:textId="77777777" w:rsidR="00423153" w:rsidRPr="00062BA7" w:rsidRDefault="00423153" w:rsidP="00062BA7">
      <w:pPr>
        <w:snapToGrid w:val="0"/>
        <w:contextualSpacing/>
        <w:jc w:val="both"/>
        <w:rPr>
          <w:rFonts w:ascii="Verdana" w:eastAsia="Calibri" w:hAnsi="Verdana" w:cs="Arial"/>
          <w:b/>
          <w:bCs/>
          <w:lang w:val="es-ES" w:eastAsia="es-ES"/>
        </w:rPr>
      </w:pPr>
      <w:r w:rsidRPr="00062BA7">
        <w:rPr>
          <w:rFonts w:ascii="Verdana" w:eastAsia="Calibri" w:hAnsi="Verdana" w:cs="Arial"/>
          <w:b/>
          <w:bCs/>
          <w:lang w:val="es-ES" w:eastAsia="es-ES"/>
        </w:rPr>
        <w:t>RÉGIMEN EXCEPCIONAL – Justificación – Criterios de clasificación</w:t>
      </w:r>
    </w:p>
    <w:p w14:paraId="2B4D11BD" w14:textId="77777777" w:rsidR="00062BA7" w:rsidRPr="00062BA7" w:rsidRDefault="00062BA7" w:rsidP="00062BA7">
      <w:pPr>
        <w:snapToGrid w:val="0"/>
        <w:spacing w:after="0" w:line="240" w:lineRule="auto"/>
        <w:contextualSpacing/>
        <w:jc w:val="both"/>
        <w:rPr>
          <w:rFonts w:ascii="Verdana" w:eastAsia="Calibri" w:hAnsi="Verdana" w:cs="Arial"/>
          <w:sz w:val="20"/>
          <w:szCs w:val="20"/>
          <w:lang w:val="es-ES" w:eastAsia="es-ES"/>
        </w:rPr>
      </w:pPr>
    </w:p>
    <w:p w14:paraId="4E6C1831" w14:textId="3DF69592" w:rsidR="00FF2579" w:rsidRPr="00062BA7" w:rsidRDefault="00FF2579" w:rsidP="00062BA7">
      <w:pPr>
        <w:snapToGrid w:val="0"/>
        <w:spacing w:after="0" w:line="240" w:lineRule="auto"/>
        <w:contextualSpacing/>
        <w:jc w:val="both"/>
        <w:rPr>
          <w:rFonts w:ascii="Verdana" w:hAnsi="Verdana" w:cs="Arial"/>
          <w:sz w:val="20"/>
          <w:szCs w:val="20"/>
        </w:rPr>
      </w:pPr>
      <w:r w:rsidRPr="00062BA7">
        <w:rPr>
          <w:rFonts w:ascii="Verdana" w:hAnsi="Verdana" w:cs="Arial"/>
          <w:sz w:val="20"/>
          <w:szCs w:val="20"/>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062BA7">
        <w:rPr>
          <w:rFonts w:ascii="Verdana" w:hAnsi="Verdana" w:cs="Arial"/>
          <w:sz w:val="20"/>
          <w:szCs w:val="20"/>
        </w:rPr>
        <w:t>ii</w:t>
      </w:r>
      <w:proofErr w:type="spellEnd"/>
      <w:r w:rsidRPr="00062BA7">
        <w:rPr>
          <w:rFonts w:ascii="Verdana" w:hAnsi="Verdana" w:cs="Arial"/>
          <w:sz w:val="20"/>
          <w:szCs w:val="20"/>
        </w:rPr>
        <w:t xml:space="preserve">) flexibilizar el ejercicio de la función administrativa –como en los contratos del Banco de la República o los de ciencia y tecnología– o </w:t>
      </w:r>
      <w:proofErr w:type="spellStart"/>
      <w:r w:rsidRPr="00062BA7">
        <w:rPr>
          <w:rFonts w:ascii="Verdana" w:hAnsi="Verdana" w:cs="Arial"/>
          <w:sz w:val="20"/>
          <w:szCs w:val="20"/>
        </w:rPr>
        <w:t>iii</w:t>
      </w:r>
      <w:proofErr w:type="spellEnd"/>
      <w:r w:rsidRPr="00062BA7">
        <w:rPr>
          <w:rFonts w:ascii="Verdana" w:hAnsi="Verdana" w:cs="Arial"/>
          <w:sz w:val="20"/>
          <w:szCs w:val="20"/>
        </w:rPr>
        <w:t xml:space="preserve">)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w:t>
      </w:r>
      <w:proofErr w:type="spellStart"/>
      <w:r w:rsidRPr="00062BA7">
        <w:rPr>
          <w:rFonts w:ascii="Verdana" w:hAnsi="Verdana" w:cs="Arial"/>
          <w:sz w:val="20"/>
          <w:szCs w:val="20"/>
        </w:rPr>
        <w:t>ii</w:t>
      </w:r>
      <w:proofErr w:type="spellEnd"/>
      <w:r w:rsidRPr="00062BA7">
        <w:rPr>
          <w:rFonts w:ascii="Verdana" w:hAnsi="Verdana" w:cs="Arial"/>
          <w:sz w:val="20"/>
          <w:szCs w:val="20"/>
        </w:rPr>
        <w:t xml:space="preserve">) la asignación de un esquema legal especial, </w:t>
      </w:r>
      <w:proofErr w:type="spellStart"/>
      <w:r w:rsidRPr="00062BA7">
        <w:rPr>
          <w:rFonts w:ascii="Verdana" w:hAnsi="Verdana" w:cs="Arial"/>
          <w:sz w:val="20"/>
          <w:szCs w:val="20"/>
        </w:rPr>
        <w:t>iii</w:t>
      </w:r>
      <w:proofErr w:type="spellEnd"/>
      <w:r w:rsidRPr="00062BA7">
        <w:rPr>
          <w:rFonts w:ascii="Verdana" w:hAnsi="Verdana" w:cs="Arial"/>
          <w:sz w:val="20"/>
          <w:szCs w:val="20"/>
        </w:rPr>
        <w:t xml:space="preserve">) el objeto del contrato celebrado y </w:t>
      </w:r>
      <w:proofErr w:type="spellStart"/>
      <w:r w:rsidRPr="00062BA7">
        <w:rPr>
          <w:rFonts w:ascii="Verdana" w:hAnsi="Verdana" w:cs="Arial"/>
          <w:sz w:val="20"/>
          <w:szCs w:val="20"/>
        </w:rPr>
        <w:t>iv</w:t>
      </w:r>
      <w:proofErr w:type="spellEnd"/>
      <w:r w:rsidRPr="00062BA7">
        <w:rPr>
          <w:rFonts w:ascii="Verdana" w:hAnsi="Verdana" w:cs="Arial"/>
          <w:sz w:val="20"/>
          <w:szCs w:val="20"/>
        </w:rPr>
        <w:t>) la existencia de fondos que administran recursos público</w:t>
      </w:r>
      <w:r w:rsidRPr="00062BA7">
        <w:rPr>
          <w:rFonts w:ascii="Verdana" w:hAnsi="Verdana" w:cs="Arial"/>
          <w:sz w:val="20"/>
          <w:szCs w:val="20"/>
        </w:rPr>
        <w:t>s</w:t>
      </w:r>
      <w:r w:rsidRPr="00062BA7">
        <w:rPr>
          <w:rFonts w:ascii="Verdana" w:hAnsi="Verdana" w:cs="Arial"/>
          <w:sz w:val="20"/>
          <w:szCs w:val="20"/>
        </w:rPr>
        <w:t>.</w:t>
      </w:r>
    </w:p>
    <w:p w14:paraId="7B51E06D" w14:textId="77777777" w:rsidR="00FF2579" w:rsidRPr="00062BA7" w:rsidRDefault="00FF2579" w:rsidP="00062BA7">
      <w:pPr>
        <w:snapToGrid w:val="0"/>
        <w:spacing w:after="0" w:line="240" w:lineRule="auto"/>
        <w:ind w:firstLine="708"/>
        <w:contextualSpacing/>
        <w:jc w:val="both"/>
        <w:rPr>
          <w:rFonts w:ascii="Verdana" w:hAnsi="Verdana" w:cs="Arial"/>
          <w:sz w:val="20"/>
          <w:szCs w:val="20"/>
        </w:rPr>
      </w:pPr>
    </w:p>
    <w:p w14:paraId="1267C520" w14:textId="77777777" w:rsidR="00423153" w:rsidRPr="00062BA7" w:rsidRDefault="00423153" w:rsidP="00062BA7">
      <w:pPr>
        <w:snapToGrid w:val="0"/>
        <w:contextualSpacing/>
        <w:jc w:val="both"/>
        <w:rPr>
          <w:rFonts w:ascii="Verdana" w:eastAsia="Calibri" w:hAnsi="Verdana" w:cs="Arial"/>
          <w:b/>
          <w:bCs/>
          <w:lang w:val="es-ES" w:eastAsia="es-ES"/>
        </w:rPr>
      </w:pPr>
      <w:r w:rsidRPr="00062BA7">
        <w:rPr>
          <w:rFonts w:ascii="Verdana" w:eastAsia="Calibri" w:hAnsi="Verdana" w:cs="Arial"/>
          <w:b/>
          <w:bCs/>
          <w:lang w:val="es-ES" w:eastAsia="es-ES"/>
        </w:rPr>
        <w:t xml:space="preserve">EMPRESAS DE SERVICIOS PÚBLICOS – Naturaleza – régimen especial </w:t>
      </w:r>
    </w:p>
    <w:p w14:paraId="356EE47A" w14:textId="77777777" w:rsidR="00062BA7" w:rsidRPr="00062BA7" w:rsidRDefault="00062BA7" w:rsidP="00062BA7">
      <w:pPr>
        <w:snapToGrid w:val="0"/>
        <w:spacing w:after="0" w:line="240" w:lineRule="auto"/>
        <w:contextualSpacing/>
        <w:jc w:val="both"/>
        <w:rPr>
          <w:rFonts w:ascii="Verdana" w:eastAsia="Calibri" w:hAnsi="Verdana" w:cs="Arial"/>
          <w:sz w:val="20"/>
          <w:szCs w:val="20"/>
          <w:lang w:val="es-ES" w:eastAsia="es-ES"/>
        </w:rPr>
      </w:pPr>
    </w:p>
    <w:p w14:paraId="0604B4D6" w14:textId="1D6DA1CF" w:rsidR="00423153" w:rsidRPr="00062BA7" w:rsidRDefault="002D1B42" w:rsidP="00062BA7">
      <w:pPr>
        <w:snapToGrid w:val="0"/>
        <w:spacing w:after="0" w:line="240" w:lineRule="auto"/>
        <w:contextualSpacing/>
        <w:jc w:val="both"/>
        <w:rPr>
          <w:rFonts w:ascii="Verdana" w:eastAsia="Calibri" w:hAnsi="Verdana" w:cs="Arial"/>
          <w:sz w:val="20"/>
          <w:szCs w:val="20"/>
          <w:lang w:val="es-ES" w:eastAsia="es-ES"/>
        </w:rPr>
      </w:pPr>
      <w:r w:rsidRPr="00062BA7">
        <w:rPr>
          <w:rFonts w:ascii="Verdana" w:hAnsi="Verdana" w:cs="Arial"/>
          <w:bCs/>
          <w:sz w:val="20"/>
          <w:szCs w:val="20"/>
          <w:lang w:val="es-MX"/>
        </w:rPr>
        <w:t xml:space="preserve">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062BA7">
        <w:rPr>
          <w:rFonts w:ascii="Verdana" w:hAnsi="Verdana" w:cs="Arial"/>
          <w:bCs/>
          <w:i/>
          <w:iCs/>
          <w:sz w:val="20"/>
          <w:szCs w:val="20"/>
          <w:lang w:val="es-MX"/>
        </w:rPr>
        <w:t>entidades estatales que prestan los servicios públicos</w:t>
      </w:r>
      <w:r w:rsidRPr="00062BA7">
        <w:rPr>
          <w:rFonts w:ascii="Verdana" w:hAnsi="Verdana" w:cs="Arial"/>
          <w:bCs/>
          <w:sz w:val="20"/>
          <w:szCs w:val="20"/>
          <w:lang w:val="es-MX"/>
        </w:rPr>
        <w:t xml:space="preserve"> a los que se refiere esta ley no estarán sujetos a las disposiciones del Estatuto General de Contratación de la Administración Pública, salvo en lo que la presente ley disponga otra cosa” (Énfasis fuera de texto). Asimismo, el inciso primero del artículo 32 </w:t>
      </w:r>
      <w:r w:rsidRPr="00062BA7">
        <w:rPr>
          <w:rFonts w:ascii="Verdana" w:hAnsi="Verdana" w:cs="Arial"/>
          <w:bCs/>
          <w:i/>
          <w:iCs/>
          <w:sz w:val="20"/>
          <w:szCs w:val="20"/>
          <w:lang w:val="es-MX"/>
        </w:rPr>
        <w:t>ibidem</w:t>
      </w:r>
      <w:r w:rsidRPr="00062BA7">
        <w:rPr>
          <w:rFonts w:ascii="Verdana" w:hAnsi="Verdana" w:cs="Arial"/>
          <w:bCs/>
          <w:sz w:val="20"/>
          <w:szCs w:val="20"/>
          <w:lang w:val="es-MX"/>
        </w:rPr>
        <w:t xml:space="preserve"> precisa lo siguiente: “Salvo en cuanto la Constitución Política o esta Ley dispongan expresamente lo contrario, la constitución, y los actos de todas las </w:t>
      </w:r>
      <w:r w:rsidRPr="00062BA7">
        <w:rPr>
          <w:rFonts w:ascii="Verdana" w:hAnsi="Verdana" w:cs="Arial"/>
          <w:bCs/>
          <w:i/>
          <w:iCs/>
          <w:sz w:val="20"/>
          <w:szCs w:val="20"/>
          <w:lang w:val="es-MX"/>
        </w:rPr>
        <w:t>empresas de servicios públicos</w:t>
      </w:r>
      <w:r w:rsidRPr="00062BA7">
        <w:rPr>
          <w:rFonts w:ascii="Verdana" w:hAnsi="Verdana" w:cs="Arial"/>
          <w:bCs/>
          <w:sz w:val="20"/>
          <w:szCs w:val="20"/>
          <w:lang w:val="es-MX"/>
        </w:rPr>
        <w:t>, así como los requeridos para la administración y el ejercicio de los derechos de todas las personas que sean socias de ellas, en lo no dispuesto en esta Ley, se regirán exclusivamente por las reglas del derecho privado” (Énfasis fuera de texto).</w:t>
      </w:r>
    </w:p>
    <w:p w14:paraId="5C00FB0D" w14:textId="77777777" w:rsidR="00062BA7" w:rsidRDefault="00062BA7" w:rsidP="00062BA7">
      <w:pPr>
        <w:snapToGrid w:val="0"/>
        <w:contextualSpacing/>
        <w:jc w:val="both"/>
        <w:rPr>
          <w:rFonts w:ascii="Verdana" w:eastAsia="Aptos" w:hAnsi="Verdana" w:cs="Arial"/>
          <w:kern w:val="2"/>
          <w:sz w:val="20"/>
          <w:szCs w:val="20"/>
          <w:lang w:val="es-MX"/>
          <w14:ligatures w14:val="standardContextual"/>
        </w:rPr>
      </w:pPr>
    </w:p>
    <w:p w14:paraId="6E6A1FA1" w14:textId="77777777" w:rsidR="00062BA7" w:rsidRDefault="00062BA7" w:rsidP="00062BA7">
      <w:pPr>
        <w:snapToGrid w:val="0"/>
        <w:contextualSpacing/>
        <w:jc w:val="both"/>
        <w:rPr>
          <w:rFonts w:ascii="Verdana" w:eastAsia="Aptos" w:hAnsi="Verdana" w:cs="Arial"/>
          <w:kern w:val="2"/>
          <w:sz w:val="20"/>
          <w:szCs w:val="20"/>
          <w:lang w:val="es-MX"/>
          <w14:ligatures w14:val="standardContextual"/>
        </w:rPr>
      </w:pPr>
    </w:p>
    <w:p w14:paraId="5D1C2015" w14:textId="087793B4" w:rsidR="00423153" w:rsidRPr="00062BA7" w:rsidRDefault="00423153" w:rsidP="00062BA7">
      <w:pPr>
        <w:snapToGrid w:val="0"/>
        <w:contextualSpacing/>
        <w:jc w:val="both"/>
        <w:rPr>
          <w:rFonts w:ascii="Verdana" w:eastAsia="Geomanist Light" w:hAnsi="Verdana" w:cs="Arial"/>
          <w:b/>
          <w:bCs/>
          <w:lang w:val="es-MX"/>
        </w:rPr>
      </w:pPr>
      <w:r w:rsidRPr="00062BA7">
        <w:rPr>
          <w:rFonts w:ascii="Verdana" w:eastAsia="Aptos" w:hAnsi="Verdana" w:cs="Arial"/>
          <w:b/>
          <w:bCs/>
          <w:kern w:val="2"/>
          <w:lang w:val="es-MX"/>
          <w14:ligatures w14:val="standardContextual"/>
        </w:rPr>
        <w:lastRenderedPageBreak/>
        <w:t xml:space="preserve">CONTRATO DE INTERVENTORÍA – Características </w:t>
      </w:r>
      <w:r w:rsidRPr="00062BA7">
        <w:rPr>
          <w:rFonts w:ascii="Verdana" w:eastAsia="Geomanist Light" w:hAnsi="Verdana" w:cs="Arial"/>
          <w:b/>
          <w:bCs/>
          <w:lang w:val="es-MX"/>
        </w:rPr>
        <w:t xml:space="preserve">– </w:t>
      </w:r>
      <w:r w:rsidR="00981599" w:rsidRPr="00062BA7">
        <w:rPr>
          <w:rFonts w:ascii="Verdana" w:eastAsia="Geomanist Light" w:hAnsi="Verdana" w:cs="Arial"/>
          <w:b/>
          <w:bCs/>
          <w:lang w:val="es-MX"/>
        </w:rPr>
        <w:t>Valor</w:t>
      </w:r>
    </w:p>
    <w:p w14:paraId="2199FD17" w14:textId="77777777" w:rsidR="00062BA7" w:rsidRPr="00062BA7" w:rsidRDefault="00062BA7" w:rsidP="00062BA7">
      <w:pPr>
        <w:snapToGrid w:val="0"/>
        <w:spacing w:after="0" w:line="240" w:lineRule="auto"/>
        <w:contextualSpacing/>
        <w:jc w:val="both"/>
        <w:rPr>
          <w:rFonts w:ascii="Verdana" w:eastAsia="Geomanist Light" w:hAnsi="Verdana" w:cs="Arial"/>
          <w:sz w:val="20"/>
          <w:szCs w:val="20"/>
          <w:lang w:val="es-MX"/>
        </w:rPr>
      </w:pPr>
    </w:p>
    <w:p w14:paraId="173F0DCE" w14:textId="2B70723C" w:rsidR="00062BA7" w:rsidRDefault="00062BA7" w:rsidP="00062BA7">
      <w:pPr>
        <w:snapToGrid w:val="0"/>
        <w:contextualSpacing/>
        <w:jc w:val="both"/>
        <w:rPr>
          <w:rFonts w:ascii="Verdana" w:eastAsia="Arial" w:hAnsi="Verdana" w:cstheme="majorHAnsi"/>
          <w:sz w:val="20"/>
          <w:szCs w:val="20"/>
          <w:lang w:val="es-ES"/>
        </w:rPr>
      </w:pPr>
      <w:r w:rsidRPr="00062BA7">
        <w:rPr>
          <w:rFonts w:ascii="Verdana" w:eastAsia="Calibri" w:hAnsi="Verdana" w:cs="Arial"/>
          <w:color w:val="000000" w:themeColor="text1"/>
          <w:sz w:val="20"/>
          <w:szCs w:val="20"/>
          <w:lang w:val="es-ES"/>
        </w:rPr>
        <w:t xml:space="preserve">[…] </w:t>
      </w:r>
      <w:r w:rsidRPr="00062BA7">
        <w:rPr>
          <w:rFonts w:ascii="Verdana" w:eastAsia="Calibri" w:hAnsi="Verdana" w:cs="Arial"/>
          <w:color w:val="000000" w:themeColor="text1"/>
          <w:sz w:val="20"/>
          <w:szCs w:val="20"/>
          <w:lang w:val="es-ES"/>
        </w:rPr>
        <w:t xml:space="preserve">no existe una norma en el Estatuto General de Contratación de la Administración Pública (EGCAP) que establezca un porcentaje, valor mínimo o máximo con el que deba cumplir la interventoría con respecto al valor del contrato objeto de seguimiento. </w:t>
      </w:r>
      <w:r w:rsidRPr="00062BA7">
        <w:rPr>
          <w:rFonts w:ascii="Verdana" w:eastAsia="Arial" w:hAnsi="Verdana" w:cstheme="majorHAnsi"/>
          <w:sz w:val="20"/>
          <w:szCs w:val="20"/>
          <w:lang w:val="es-ES"/>
        </w:rPr>
        <w:t>E</w:t>
      </w:r>
      <w:r w:rsidRPr="00062BA7">
        <w:rPr>
          <w:rFonts w:ascii="Verdana" w:hAnsi="Verdana" w:cs="Arial"/>
          <w:sz w:val="20"/>
          <w:szCs w:val="20"/>
        </w:rPr>
        <w:t xml:space="preserve">l interventor y la entidad cuentan con </w:t>
      </w:r>
      <w:r w:rsidRPr="00062BA7">
        <w:rPr>
          <w:rFonts w:ascii="Verdana" w:hAnsi="Verdana" w:cs="Arial"/>
          <w:i/>
          <w:iCs/>
          <w:sz w:val="20"/>
          <w:szCs w:val="20"/>
        </w:rPr>
        <w:t>libertad negocial</w:t>
      </w:r>
      <w:r w:rsidRPr="00062BA7">
        <w:rPr>
          <w:rFonts w:ascii="Verdana" w:hAnsi="Verdana" w:cs="Arial"/>
          <w:sz w:val="20"/>
          <w:szCs w:val="20"/>
        </w:rPr>
        <w:t xml:space="preserve"> para determinar los aspectos del contrato, entendiéndose incluida en esta libertad la capacidad de definir la forma de pago </w:t>
      </w:r>
      <w:r w:rsidRPr="00062BA7">
        <w:rPr>
          <w:rFonts w:ascii="Verdana" w:eastAsia="Arial" w:hAnsi="Verdana" w:cstheme="majorHAnsi"/>
          <w:sz w:val="20"/>
          <w:szCs w:val="20"/>
          <w:lang w:val="es-ES"/>
        </w:rPr>
        <w:t xml:space="preserve">más apropiada para satisfacer los fines de la contratación y cumplir con los objetivos de vigilancia del contrato de interventoría. Para las entidades que se rigen por el Estatuto General de Contratación de la Administración Pública, esta autonomía está reconocida en los artículos 13, 32 y 40 de la Ley 80 de 1993. En virtud de su autonomía negocial, pueden incluir las condiciones de pago que consideren necesarias y convenientes, siempre que no contraríen el ordenamiento jurídico. </w:t>
      </w:r>
    </w:p>
    <w:p w14:paraId="6AD0991C" w14:textId="77777777" w:rsidR="00062BA7" w:rsidRPr="00062BA7" w:rsidRDefault="00062BA7" w:rsidP="00062BA7">
      <w:pPr>
        <w:snapToGrid w:val="0"/>
        <w:spacing w:after="0" w:line="240" w:lineRule="auto"/>
        <w:contextualSpacing/>
        <w:jc w:val="both"/>
        <w:rPr>
          <w:rFonts w:ascii="Verdana" w:eastAsia="Arial" w:hAnsi="Verdana" w:cstheme="majorHAnsi"/>
          <w:sz w:val="20"/>
          <w:szCs w:val="20"/>
          <w:lang w:val="es-ES"/>
        </w:rPr>
      </w:pPr>
    </w:p>
    <w:p w14:paraId="711AB496" w14:textId="348688C8" w:rsidR="00062BA7" w:rsidRPr="00062BA7" w:rsidRDefault="00062BA7" w:rsidP="00062BA7">
      <w:pPr>
        <w:snapToGrid w:val="0"/>
        <w:spacing w:after="0" w:line="240" w:lineRule="auto"/>
        <w:contextualSpacing/>
        <w:jc w:val="both"/>
        <w:rPr>
          <w:rFonts w:ascii="Verdana" w:eastAsia="Arial" w:hAnsi="Verdana" w:cstheme="majorHAnsi"/>
          <w:sz w:val="20"/>
          <w:szCs w:val="20"/>
          <w:lang w:val="es-ES"/>
        </w:rPr>
      </w:pPr>
      <w:r w:rsidRPr="00062BA7">
        <w:rPr>
          <w:rFonts w:ascii="Verdana" w:eastAsia="Calibri" w:hAnsi="Verdana" w:cs="Arial"/>
          <w:sz w:val="20"/>
          <w:szCs w:val="20"/>
          <w:shd w:val="clear" w:color="auto" w:fill="FFFFFF"/>
        </w:rPr>
        <w:t xml:space="preserve">En lo correspondiente a las Entidades Estatales que por disposición legal cuentan con un régimen especial de contratación debe precisarse que, al administrar estas recursos públicos, deberán ceñirse a unas reglas mínimas que garanticen el cumplimiento de los principios de la función pública, el control fiscal y los principios rectores de la contratación estatal. </w:t>
      </w:r>
      <w:r w:rsidRPr="00062BA7">
        <w:rPr>
          <w:rFonts w:ascii="Verdana" w:eastAsia="Calibri" w:hAnsi="Verdana" w:cs="Arial"/>
          <w:color w:val="000000"/>
          <w:sz w:val="20"/>
          <w:szCs w:val="20"/>
          <w:lang w:val="es-ES_tradnl"/>
        </w:rPr>
        <w:t>En ese orden de ideas, se entiende que, sin importar el régimen de contratación mediante el cual las EICE adelanten sus Procesos de Contratación, tendrán la obligación de realizar la vigilancia de los contratos que suscriban con fundamento en lo dispuesto en la Ley 1474 de 2011, por obedecer a una obligación transversal de la contratación pública. Sin embargo, en la aplicación de este marco normativo a cada caso, las entidades sometidas a un régimen especial de contratación deberán seguir los parámetros que al respecto establezcan sus normas de creación y sus manuales de contratación</w:t>
      </w:r>
      <w:r w:rsidRPr="00062BA7">
        <w:rPr>
          <w:rFonts w:ascii="Verdana" w:eastAsia="Calibri" w:hAnsi="Verdana" w:cs="Arial"/>
          <w:color w:val="000000"/>
          <w:sz w:val="20"/>
          <w:szCs w:val="20"/>
          <w:lang w:val="es-ES_tradnl"/>
        </w:rPr>
        <w:t xml:space="preserve"> […]</w:t>
      </w:r>
      <w:r w:rsidRPr="00062BA7">
        <w:rPr>
          <w:rFonts w:ascii="Verdana" w:eastAsia="Calibri" w:hAnsi="Verdana" w:cs="Arial"/>
          <w:color w:val="000000" w:themeColor="text1"/>
          <w:sz w:val="20"/>
          <w:szCs w:val="20"/>
          <w:lang w:val="es-ES"/>
        </w:rPr>
        <w:t xml:space="preserve"> En efecto, las particularidades, forma y límites que deben respetar al determinar el valor de estos contratos se regirán por lo que disponga su norma de creación y su manual de contratación. En cualquier caso, en virtud de </w:t>
      </w:r>
      <w:r w:rsidRPr="00062BA7">
        <w:rPr>
          <w:rFonts w:ascii="Verdana" w:hAnsi="Verdana" w:cs="Arial"/>
          <w:sz w:val="20"/>
          <w:szCs w:val="20"/>
        </w:rPr>
        <w:t>los principios de la función administrativa y de la gestión fiscal de que tratan los artículos 209 y 267 de la Constitución Política</w:t>
      </w:r>
      <w:r w:rsidRPr="00062BA7">
        <w:rPr>
          <w:rFonts w:ascii="Verdana" w:eastAsia="Calibri" w:hAnsi="Verdana" w:cs="Arial"/>
          <w:color w:val="000000" w:themeColor="text1"/>
          <w:sz w:val="20"/>
          <w:szCs w:val="20"/>
          <w:lang w:val="es-ES"/>
        </w:rPr>
        <w:t>, el valor de estos contratos deberá estar fundamentado en los estudios previos que realicen en el marco de una adecuada planeación.</w:t>
      </w:r>
    </w:p>
    <w:p w14:paraId="5149CCB5" w14:textId="77777777" w:rsidR="00062BA7" w:rsidRPr="00F1052E" w:rsidRDefault="00062BA7" w:rsidP="00423153">
      <w:pPr>
        <w:spacing w:line="276" w:lineRule="auto"/>
        <w:jc w:val="both"/>
        <w:rPr>
          <w:rFonts w:ascii="Verdana" w:eastAsia="Geomanist Light" w:hAnsi="Verdana" w:cs="Arial"/>
          <w:lang w:val="es-MX"/>
        </w:rPr>
      </w:pPr>
    </w:p>
    <w:p w14:paraId="6FEC739C" w14:textId="77777777" w:rsidR="00423153" w:rsidRDefault="00423153" w:rsidP="00327E1D">
      <w:pPr>
        <w:spacing w:after="0"/>
        <w:rPr>
          <w:rFonts w:ascii="Verdana" w:hAnsi="Verdana"/>
          <w:lang w:val="es-ES"/>
        </w:rPr>
      </w:pPr>
    </w:p>
    <w:p w14:paraId="760C955A" w14:textId="77777777" w:rsidR="00062BA7" w:rsidRDefault="00062BA7" w:rsidP="00327E1D">
      <w:pPr>
        <w:spacing w:after="0"/>
        <w:rPr>
          <w:rFonts w:ascii="Verdana" w:hAnsi="Verdana"/>
          <w:lang w:val="es-ES"/>
        </w:rPr>
      </w:pPr>
    </w:p>
    <w:p w14:paraId="04526940" w14:textId="77777777" w:rsidR="00062BA7" w:rsidRDefault="00062BA7" w:rsidP="00327E1D">
      <w:pPr>
        <w:spacing w:after="0"/>
        <w:rPr>
          <w:rFonts w:ascii="Verdana" w:hAnsi="Verdana"/>
          <w:lang w:val="es-ES"/>
        </w:rPr>
      </w:pPr>
    </w:p>
    <w:p w14:paraId="57260555" w14:textId="77777777" w:rsidR="00062BA7" w:rsidRDefault="00062BA7" w:rsidP="00327E1D">
      <w:pPr>
        <w:spacing w:after="0"/>
        <w:rPr>
          <w:rFonts w:ascii="Verdana" w:hAnsi="Verdana"/>
          <w:lang w:val="es-ES"/>
        </w:rPr>
      </w:pPr>
    </w:p>
    <w:p w14:paraId="7B119AB1" w14:textId="77777777" w:rsidR="00062BA7" w:rsidRDefault="00062BA7" w:rsidP="00327E1D">
      <w:pPr>
        <w:spacing w:after="0"/>
        <w:rPr>
          <w:rFonts w:ascii="Verdana" w:hAnsi="Verdana"/>
          <w:lang w:val="es-ES"/>
        </w:rPr>
      </w:pPr>
    </w:p>
    <w:p w14:paraId="5A2072FD" w14:textId="77777777" w:rsidR="00062BA7" w:rsidRDefault="00062BA7" w:rsidP="00327E1D">
      <w:pPr>
        <w:spacing w:after="0"/>
        <w:rPr>
          <w:rFonts w:ascii="Verdana" w:hAnsi="Verdana"/>
          <w:lang w:val="es-ES"/>
        </w:rPr>
      </w:pPr>
    </w:p>
    <w:p w14:paraId="4C71E1F0" w14:textId="77777777" w:rsidR="00062BA7" w:rsidRDefault="00062BA7" w:rsidP="00327E1D">
      <w:pPr>
        <w:spacing w:after="0"/>
        <w:rPr>
          <w:rFonts w:ascii="Verdana" w:hAnsi="Verdana"/>
          <w:lang w:val="es-ES"/>
        </w:rPr>
      </w:pPr>
    </w:p>
    <w:p w14:paraId="32173710" w14:textId="77777777" w:rsidR="00062BA7" w:rsidRDefault="00062BA7" w:rsidP="00327E1D">
      <w:pPr>
        <w:spacing w:after="0"/>
        <w:rPr>
          <w:rFonts w:ascii="Verdana" w:hAnsi="Verdana"/>
          <w:lang w:val="es-ES"/>
        </w:rPr>
      </w:pPr>
    </w:p>
    <w:p w14:paraId="30249547" w14:textId="77777777" w:rsidR="00062BA7" w:rsidRDefault="00062BA7" w:rsidP="00327E1D">
      <w:pPr>
        <w:spacing w:after="0"/>
        <w:rPr>
          <w:rFonts w:ascii="Verdana" w:hAnsi="Verdana"/>
          <w:lang w:val="es-ES"/>
        </w:rPr>
      </w:pPr>
    </w:p>
    <w:p w14:paraId="66F5D58B" w14:textId="77777777" w:rsidR="00062BA7" w:rsidRDefault="00062BA7" w:rsidP="00327E1D">
      <w:pPr>
        <w:spacing w:after="0"/>
        <w:rPr>
          <w:rFonts w:ascii="Verdana" w:hAnsi="Verdana"/>
          <w:lang w:val="es-ES"/>
        </w:rPr>
      </w:pPr>
    </w:p>
    <w:p w14:paraId="371020AC" w14:textId="77777777" w:rsidR="00062BA7" w:rsidRDefault="00062BA7" w:rsidP="00327E1D">
      <w:pPr>
        <w:spacing w:after="0"/>
        <w:rPr>
          <w:rFonts w:ascii="Verdana" w:hAnsi="Verdana"/>
          <w:lang w:val="es-ES"/>
        </w:rPr>
      </w:pPr>
    </w:p>
    <w:p w14:paraId="4560656B" w14:textId="000E1389" w:rsidR="00327E1D" w:rsidRPr="0017378C" w:rsidRDefault="00327E1D" w:rsidP="00327E1D">
      <w:pPr>
        <w:spacing w:after="0"/>
        <w:rPr>
          <w:rFonts w:ascii="Verdana" w:hAnsi="Verdana"/>
          <w:lang w:val="es-ES"/>
        </w:rPr>
      </w:pPr>
      <w:r w:rsidRPr="0017378C">
        <w:rPr>
          <w:rFonts w:ascii="Verdana" w:hAnsi="Verdana"/>
          <w:lang w:val="es-ES"/>
        </w:rPr>
        <w:lastRenderedPageBreak/>
        <w:t xml:space="preserve">Bogotá D.C., </w:t>
      </w:r>
      <w:r w:rsidR="00307DCB">
        <w:rPr>
          <w:rFonts w:ascii="Verdana" w:hAnsi="Verdana"/>
          <w:lang w:val="es-ES"/>
        </w:rPr>
        <w:t>15 de diciembre de 2025</w:t>
      </w:r>
      <w:r w:rsidRPr="0017378C">
        <w:rPr>
          <w:rFonts w:ascii="Verdana" w:hAnsi="Verdana"/>
          <w:lang w:val="es-ES"/>
        </w:rPr>
        <w:tab/>
      </w:r>
    </w:p>
    <w:p w14:paraId="1E1F99A2" w14:textId="77777777" w:rsidR="00327E1D" w:rsidRPr="0017378C" w:rsidRDefault="00327E1D" w:rsidP="00327E1D">
      <w:pPr>
        <w:spacing w:after="0"/>
        <w:rPr>
          <w:rFonts w:ascii="Verdana" w:hAnsi="Verdana"/>
          <w:lang w:val="es-ES"/>
        </w:rPr>
      </w:pPr>
    </w:p>
    <w:p w14:paraId="3D559493" w14:textId="6979C95C" w:rsidR="00327E1D" w:rsidRPr="0017378C" w:rsidRDefault="003F139E" w:rsidP="00327E1D">
      <w:pPr>
        <w:spacing w:after="0" w:line="240" w:lineRule="auto"/>
        <w:jc w:val="both"/>
        <w:rPr>
          <w:rFonts w:ascii="Verdana" w:eastAsia="Calibri" w:hAnsi="Verdana" w:cs="Arial"/>
          <w:color w:val="000000" w:themeColor="text1"/>
          <w:lang w:val="es-ES" w:eastAsia="es-ES"/>
        </w:rPr>
      </w:pPr>
      <w:r>
        <w:rPr>
          <w:rFonts w:ascii="Verdana" w:eastAsia="Calibri" w:hAnsi="Verdana" w:cs="Arial"/>
          <w:noProof/>
          <w:color w:val="000000" w:themeColor="text1"/>
          <w:lang w:eastAsia="es-ES"/>
        </w:rPr>
        <w:drawing>
          <wp:anchor distT="0" distB="0" distL="114300" distR="114300" simplePos="0" relativeHeight="251658240" behindDoc="1" locked="0" layoutInCell="1" allowOverlap="1" wp14:anchorId="7AD89928" wp14:editId="10B96F41">
            <wp:simplePos x="0" y="0"/>
            <wp:positionH relativeFrom="column">
              <wp:posOffset>3100726</wp:posOffset>
            </wp:positionH>
            <wp:positionV relativeFrom="page">
              <wp:posOffset>1952625</wp:posOffset>
            </wp:positionV>
            <wp:extent cx="2396490" cy="705485"/>
            <wp:effectExtent l="0" t="0" r="3810" b="5715"/>
            <wp:wrapSquare wrapText="bothSides"/>
            <wp:docPr id="7682875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287582" name="Picture 76828758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96490" cy="705485"/>
                    </a:xfrm>
                    <a:prstGeom prst="rect">
                      <a:avLst/>
                    </a:prstGeom>
                  </pic:spPr>
                </pic:pic>
              </a:graphicData>
            </a:graphic>
            <wp14:sizeRelH relativeFrom="page">
              <wp14:pctWidth>0</wp14:pctWidth>
            </wp14:sizeRelH>
            <wp14:sizeRelV relativeFrom="page">
              <wp14:pctHeight>0</wp14:pctHeight>
            </wp14:sizeRelV>
          </wp:anchor>
        </w:drawing>
      </w:r>
      <w:r w:rsidR="00327E1D" w:rsidRPr="0017378C">
        <w:rPr>
          <w:rFonts w:ascii="Verdana" w:eastAsia="Calibri" w:hAnsi="Verdana" w:cs="Arial"/>
          <w:color w:val="000000" w:themeColor="text1"/>
          <w:lang w:val="es-ES" w:eastAsia="es-ES"/>
        </w:rPr>
        <w:t>Señor</w:t>
      </w:r>
      <w:r w:rsidR="00327E1D">
        <w:rPr>
          <w:rFonts w:ascii="Verdana" w:eastAsia="Calibri" w:hAnsi="Verdana" w:cs="Arial"/>
          <w:color w:val="000000" w:themeColor="text1"/>
          <w:lang w:val="es-ES" w:eastAsia="es-ES"/>
        </w:rPr>
        <w:t>a</w:t>
      </w:r>
    </w:p>
    <w:p w14:paraId="17319223" w14:textId="04F9AB06" w:rsidR="00327E1D" w:rsidRPr="00864036" w:rsidRDefault="00327E1D" w:rsidP="00327E1D">
      <w:pPr>
        <w:spacing w:after="0" w:line="240" w:lineRule="auto"/>
        <w:rPr>
          <w:rFonts w:ascii="Verdana" w:eastAsia="Calibri" w:hAnsi="Verdana" w:cs="Arial"/>
          <w:b/>
          <w:bCs/>
          <w:color w:val="000000" w:themeColor="text1"/>
          <w:lang w:eastAsia="es-ES"/>
        </w:rPr>
      </w:pPr>
      <w:r w:rsidRPr="00864036">
        <w:rPr>
          <w:rFonts w:ascii="Verdana" w:eastAsia="Calibri" w:hAnsi="Verdana" w:cs="Arial"/>
          <w:b/>
          <w:bCs/>
          <w:color w:val="000000" w:themeColor="text1"/>
          <w:lang w:eastAsia="es-ES"/>
        </w:rPr>
        <w:t xml:space="preserve">Marta Isabel Mestizo </w:t>
      </w:r>
    </w:p>
    <w:p w14:paraId="63C00E2C" w14:textId="4DE87267" w:rsidR="00327E1D" w:rsidRDefault="00327E1D" w:rsidP="00327E1D">
      <w:pPr>
        <w:spacing w:after="0" w:line="240" w:lineRule="auto"/>
        <w:rPr>
          <w:rFonts w:ascii="Verdana" w:eastAsia="Calibri" w:hAnsi="Verdana" w:cs="Arial"/>
          <w:color w:val="000000" w:themeColor="text1"/>
          <w:lang w:eastAsia="es-ES"/>
        </w:rPr>
      </w:pPr>
      <w:hyperlink r:id="rId11" w:history="1">
        <w:r w:rsidRPr="00864036">
          <w:rPr>
            <w:rStyle w:val="Hyperlink"/>
            <w:rFonts w:ascii="Verdana" w:eastAsia="Calibri" w:hAnsi="Verdana" w:cs="Arial"/>
            <w:lang w:eastAsia="es-ES"/>
          </w:rPr>
          <w:t>gerencia@empocalotoesp.gov.co</w:t>
        </w:r>
      </w:hyperlink>
    </w:p>
    <w:p w14:paraId="59EC966F" w14:textId="610697DC" w:rsidR="00327E1D" w:rsidRPr="00864036" w:rsidRDefault="00327E1D" w:rsidP="00327E1D">
      <w:pPr>
        <w:spacing w:after="0" w:line="240" w:lineRule="auto"/>
        <w:rPr>
          <w:rFonts w:ascii="Verdana" w:eastAsia="Calibri" w:hAnsi="Verdana" w:cs="Arial"/>
          <w:color w:val="000000" w:themeColor="text1"/>
          <w:lang w:eastAsia="es-ES"/>
        </w:rPr>
      </w:pPr>
      <w:r w:rsidRPr="00864036">
        <w:rPr>
          <w:rFonts w:ascii="Verdana" w:eastAsia="Calibri" w:hAnsi="Verdana" w:cs="Arial"/>
          <w:color w:val="000000" w:themeColor="text1"/>
          <w:lang w:eastAsia="es-ES"/>
        </w:rPr>
        <w:t xml:space="preserve">Caloto, Cauca </w:t>
      </w:r>
    </w:p>
    <w:p w14:paraId="3BF2D243" w14:textId="77777777" w:rsidR="00327E1D" w:rsidRPr="0017378C" w:rsidRDefault="00327E1D" w:rsidP="00327E1D">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327E1D" w:rsidRPr="0017378C" w14:paraId="19B50698" w14:textId="77777777" w:rsidTr="00F85C26">
        <w:trPr>
          <w:gridAfter w:val="1"/>
          <w:wAfter w:w="4179" w:type="dxa"/>
          <w:trHeight w:val="304"/>
        </w:trPr>
        <w:tc>
          <w:tcPr>
            <w:tcW w:w="2689" w:type="dxa"/>
          </w:tcPr>
          <w:p w14:paraId="6D7923E9" w14:textId="77777777" w:rsidR="00327E1D" w:rsidRPr="0017378C" w:rsidRDefault="00327E1D" w:rsidP="00F85C26">
            <w:pPr>
              <w:jc w:val="both"/>
              <w:rPr>
                <w:rFonts w:ascii="Verdana" w:eastAsia="Calibri" w:hAnsi="Verdana" w:cs="Arial"/>
                <w:b/>
                <w:bCs/>
                <w:color w:val="000000" w:themeColor="text1"/>
                <w:lang w:val="es-ES" w:eastAsia="es-ES_tradnl"/>
              </w:rPr>
            </w:pPr>
          </w:p>
        </w:tc>
        <w:tc>
          <w:tcPr>
            <w:tcW w:w="6100" w:type="dxa"/>
          </w:tcPr>
          <w:p w14:paraId="5B639E19" w14:textId="05623FFB" w:rsidR="00327E1D" w:rsidRPr="0017378C" w:rsidRDefault="00327E1D" w:rsidP="00F85C26">
            <w:pPr>
              <w:jc w:val="both"/>
              <w:rPr>
                <w:rFonts w:ascii="Verdana" w:eastAsia="Calibri" w:hAnsi="Verdana" w:cs="Arial"/>
                <w:b/>
                <w:bCs/>
                <w:color w:val="000000" w:themeColor="text1"/>
                <w:lang w:val="es-ES" w:eastAsia="es-ES"/>
              </w:rPr>
            </w:pPr>
            <w:r w:rsidRPr="0017378C">
              <w:rPr>
                <w:rFonts w:ascii="Verdana" w:eastAsia="Calibri" w:hAnsi="Verdana" w:cs="Arial"/>
                <w:b/>
                <w:bCs/>
                <w:color w:val="000000" w:themeColor="text1"/>
                <w:lang w:val="es-ES" w:eastAsia="es-ES"/>
              </w:rPr>
              <w:t>Concepto C-</w:t>
            </w:r>
            <w:r w:rsidR="00734BC6">
              <w:rPr>
                <w:rFonts w:ascii="Verdana" w:eastAsia="Calibri" w:hAnsi="Verdana" w:cs="Arial"/>
                <w:b/>
                <w:bCs/>
                <w:color w:val="000000" w:themeColor="text1"/>
                <w:lang w:val="es-ES" w:eastAsia="es-ES"/>
              </w:rPr>
              <w:t>1605</w:t>
            </w:r>
            <w:r w:rsidRPr="0017378C">
              <w:rPr>
                <w:rFonts w:ascii="Verdana" w:eastAsia="Calibri" w:hAnsi="Verdana" w:cs="Arial"/>
                <w:b/>
                <w:bCs/>
                <w:color w:val="000000" w:themeColor="text1"/>
                <w:lang w:val="es-ES" w:eastAsia="es-ES"/>
              </w:rPr>
              <w:t xml:space="preserve"> de 2025</w:t>
            </w:r>
          </w:p>
          <w:p w14:paraId="17B51A0C" w14:textId="77777777" w:rsidR="00327E1D" w:rsidRPr="0017378C" w:rsidRDefault="00327E1D" w:rsidP="00F85C26">
            <w:pPr>
              <w:jc w:val="both"/>
              <w:rPr>
                <w:rFonts w:ascii="Verdana" w:eastAsia="Calibri" w:hAnsi="Verdana" w:cs="Arial"/>
                <w:b/>
                <w:bCs/>
                <w:color w:val="000000" w:themeColor="text1"/>
                <w:lang w:val="es-ES" w:eastAsia="es-ES"/>
              </w:rPr>
            </w:pPr>
          </w:p>
        </w:tc>
      </w:tr>
      <w:tr w:rsidR="00327E1D" w:rsidRPr="0017378C" w14:paraId="0C9E70EF" w14:textId="77777777" w:rsidTr="00F85C26">
        <w:trPr>
          <w:trHeight w:val="884"/>
        </w:trPr>
        <w:tc>
          <w:tcPr>
            <w:tcW w:w="2689" w:type="dxa"/>
          </w:tcPr>
          <w:p w14:paraId="50CAAC97" w14:textId="77777777" w:rsidR="00327E1D" w:rsidRPr="0017378C" w:rsidRDefault="00327E1D" w:rsidP="00F85C26">
            <w:pPr>
              <w:jc w:val="both"/>
              <w:rPr>
                <w:rFonts w:ascii="Verdana" w:eastAsia="Calibri" w:hAnsi="Verdana" w:cs="Arial"/>
                <w:color w:val="000000" w:themeColor="text1"/>
                <w:lang w:val="es-ES" w:eastAsia="es-ES_tradnl"/>
              </w:rPr>
            </w:pPr>
            <w:r w:rsidRPr="0017378C">
              <w:rPr>
                <w:rFonts w:ascii="Verdana" w:eastAsia="Calibri" w:hAnsi="Verdana" w:cs="Arial"/>
                <w:b/>
                <w:color w:val="000000" w:themeColor="text1"/>
                <w:lang w:val="es-ES" w:eastAsia="es-ES_tradnl"/>
              </w:rPr>
              <w:t>Temas:</w:t>
            </w:r>
            <w:r w:rsidRPr="0017378C">
              <w:rPr>
                <w:rFonts w:ascii="Verdana" w:eastAsia="Calibri" w:hAnsi="Verdana" w:cs="Arial"/>
                <w:color w:val="000000" w:themeColor="text1"/>
                <w:lang w:val="es-ES" w:eastAsia="es-ES_tradnl"/>
              </w:rPr>
              <w:t xml:space="preserve">                   </w:t>
            </w:r>
          </w:p>
        </w:tc>
        <w:tc>
          <w:tcPr>
            <w:tcW w:w="6100" w:type="dxa"/>
          </w:tcPr>
          <w:p w14:paraId="4EC7FA61" w14:textId="0C01B2A5" w:rsidR="00327E1D" w:rsidRDefault="00327E1D" w:rsidP="000F77FC">
            <w:pPr>
              <w:spacing w:line="276" w:lineRule="auto"/>
              <w:jc w:val="both"/>
              <w:rPr>
                <w:rFonts w:ascii="Verdana" w:eastAsia="Aptos" w:hAnsi="Verdana" w:cs="Arial"/>
                <w:kern w:val="2"/>
                <w:lang w:val="es-MX"/>
                <w14:ligatures w14:val="standardContextual"/>
              </w:rPr>
            </w:pPr>
            <w:r w:rsidRPr="00AC39B6">
              <w:rPr>
                <w:rFonts w:ascii="Verdana" w:eastAsia="Calibri" w:hAnsi="Verdana" w:cs="Arial"/>
                <w:lang w:val="es-ES" w:eastAsia="es-ES"/>
              </w:rPr>
              <w:t xml:space="preserve">CONTRATO ESTATAL – Régimen jurídico / RÉGIMEN EXCEPCIONAL – Justificación – Criterios de clasificación / </w:t>
            </w:r>
            <w:r>
              <w:rPr>
                <w:rFonts w:ascii="Verdana" w:eastAsia="Calibri" w:hAnsi="Verdana" w:cs="Arial"/>
                <w:lang w:val="es-ES" w:eastAsia="es-ES"/>
              </w:rPr>
              <w:t xml:space="preserve">EMPRESAS DE SERVICIOS PÚBLICOS – Naturaleza – régimen especial / </w:t>
            </w:r>
            <w:r w:rsidRPr="00C86A50">
              <w:rPr>
                <w:rFonts w:ascii="Verdana" w:eastAsia="Aptos" w:hAnsi="Verdana" w:cs="Arial"/>
                <w:kern w:val="2"/>
                <w:lang w:val="es-MX"/>
                <w14:ligatures w14:val="standardContextual"/>
              </w:rPr>
              <w:t xml:space="preserve">CONTRATO DE INTERVENTORÍA – Características </w:t>
            </w:r>
            <w:r w:rsidR="000F77FC">
              <w:rPr>
                <w:rFonts w:ascii="Verdana" w:eastAsia="Aptos" w:hAnsi="Verdana" w:cs="Arial"/>
                <w:kern w:val="2"/>
                <w:lang w:val="es-MX"/>
                <w14:ligatures w14:val="standardContextual"/>
              </w:rPr>
              <w:t>– Valor</w:t>
            </w:r>
          </w:p>
          <w:p w14:paraId="2099ECF3" w14:textId="341A80DF" w:rsidR="000F77FC" w:rsidRPr="0017378C" w:rsidRDefault="000F77FC" w:rsidP="000F77FC">
            <w:pPr>
              <w:spacing w:line="276" w:lineRule="auto"/>
              <w:jc w:val="both"/>
              <w:rPr>
                <w:rFonts w:ascii="Verdana" w:eastAsia="Calibri" w:hAnsi="Verdana" w:cs="Arial"/>
                <w:color w:val="000000" w:themeColor="text1"/>
                <w:lang w:val="es-ES" w:eastAsia="es-ES_tradnl"/>
              </w:rPr>
            </w:pPr>
          </w:p>
        </w:tc>
        <w:tc>
          <w:tcPr>
            <w:tcW w:w="4179" w:type="dxa"/>
          </w:tcPr>
          <w:p w14:paraId="4C23E19F" w14:textId="77777777" w:rsidR="00327E1D" w:rsidRPr="0017378C" w:rsidRDefault="00327E1D" w:rsidP="00F85C26">
            <w:pPr>
              <w:spacing w:line="276" w:lineRule="auto"/>
              <w:jc w:val="both"/>
              <w:rPr>
                <w:rFonts w:ascii="Verdana" w:eastAsia="Calibri" w:hAnsi="Verdana" w:cs="Arial"/>
                <w:color w:val="000000" w:themeColor="text1"/>
                <w:lang w:val="es-ES" w:eastAsia="es-ES_tradnl"/>
              </w:rPr>
            </w:pPr>
          </w:p>
          <w:p w14:paraId="17936535" w14:textId="77777777" w:rsidR="00327E1D" w:rsidRPr="0017378C" w:rsidRDefault="00327E1D" w:rsidP="00F85C26">
            <w:pPr>
              <w:spacing w:line="276" w:lineRule="auto"/>
              <w:rPr>
                <w:rFonts w:ascii="Verdana" w:eastAsia="Calibri" w:hAnsi="Verdana" w:cs="Arial"/>
                <w:color w:val="000000" w:themeColor="text1"/>
                <w:lang w:val="es-ES" w:eastAsia="es-ES_tradnl"/>
              </w:rPr>
            </w:pPr>
          </w:p>
        </w:tc>
      </w:tr>
      <w:tr w:rsidR="00327E1D" w:rsidRPr="0017378C" w14:paraId="6295B9DB" w14:textId="77777777" w:rsidTr="00F85C26">
        <w:trPr>
          <w:gridAfter w:val="1"/>
          <w:wAfter w:w="4179" w:type="dxa"/>
        </w:trPr>
        <w:tc>
          <w:tcPr>
            <w:tcW w:w="2689" w:type="dxa"/>
          </w:tcPr>
          <w:p w14:paraId="355F29A9" w14:textId="77777777" w:rsidR="00327E1D" w:rsidRPr="0017378C" w:rsidRDefault="00327E1D" w:rsidP="00F85C26">
            <w:pPr>
              <w:jc w:val="both"/>
              <w:rPr>
                <w:rFonts w:ascii="Verdana" w:eastAsia="Calibri" w:hAnsi="Verdana" w:cs="Arial"/>
                <w:b/>
                <w:color w:val="000000" w:themeColor="text1"/>
                <w:lang w:val="es-ES" w:eastAsia="es-ES_tradnl"/>
              </w:rPr>
            </w:pPr>
            <w:r w:rsidRPr="0017378C">
              <w:rPr>
                <w:rFonts w:ascii="Verdana" w:eastAsia="Calibri" w:hAnsi="Verdana" w:cs="Arial"/>
                <w:b/>
                <w:color w:val="000000" w:themeColor="text1"/>
                <w:lang w:val="es-ES" w:eastAsia="es-ES_tradnl"/>
              </w:rPr>
              <w:t>Radicación:</w:t>
            </w:r>
            <w:r w:rsidRPr="0017378C">
              <w:rPr>
                <w:rFonts w:ascii="Verdana" w:eastAsia="Calibri" w:hAnsi="Verdana" w:cs="Arial"/>
                <w:color w:val="000000" w:themeColor="text1"/>
                <w:lang w:val="es-ES" w:eastAsia="es-ES_tradnl"/>
              </w:rPr>
              <w:t xml:space="preserve">               </w:t>
            </w:r>
          </w:p>
        </w:tc>
        <w:tc>
          <w:tcPr>
            <w:tcW w:w="6100" w:type="dxa"/>
          </w:tcPr>
          <w:p w14:paraId="1ECE1203" w14:textId="77777777" w:rsidR="00327E1D" w:rsidRPr="0017378C" w:rsidRDefault="00327E1D" w:rsidP="00F85C26">
            <w:pPr>
              <w:jc w:val="both"/>
              <w:rPr>
                <w:rFonts w:ascii="Verdana" w:eastAsia="Calibri" w:hAnsi="Verdana" w:cs="Arial"/>
                <w:color w:val="000000" w:themeColor="text1"/>
                <w:lang w:val="es-ES" w:eastAsia="es-ES_tradnl"/>
              </w:rPr>
            </w:pPr>
            <w:r w:rsidRPr="0017378C">
              <w:rPr>
                <w:rFonts w:ascii="Verdana" w:eastAsia="Calibri" w:hAnsi="Verdana" w:cs="Arial"/>
                <w:color w:val="000000" w:themeColor="text1"/>
                <w:lang w:val="es-ES" w:eastAsia="es-ES_tradnl"/>
              </w:rPr>
              <w:t xml:space="preserve">Respuesta a consulta con radicado No. </w:t>
            </w:r>
            <w:r w:rsidRPr="00864036">
              <w:rPr>
                <w:rFonts w:ascii="Verdana" w:eastAsia="Calibri" w:hAnsi="Verdana" w:cs="Arial"/>
                <w:color w:val="000000" w:themeColor="text1"/>
                <w:lang w:val="es-ES" w:eastAsia="es-ES_tradnl"/>
              </w:rPr>
              <w:t>1_2025_10_30_012262</w:t>
            </w:r>
          </w:p>
        </w:tc>
      </w:tr>
    </w:tbl>
    <w:p w14:paraId="2507EC50" w14:textId="77777777" w:rsidR="00327E1D" w:rsidRPr="0017378C" w:rsidRDefault="00327E1D" w:rsidP="00327E1D">
      <w:pPr>
        <w:spacing w:after="0" w:line="276" w:lineRule="auto"/>
        <w:jc w:val="both"/>
        <w:rPr>
          <w:rFonts w:ascii="Verdana" w:eastAsia="Calibri" w:hAnsi="Verdana" w:cs="Arial"/>
          <w:color w:val="000000" w:themeColor="text1"/>
          <w:lang w:val="es-ES" w:eastAsia="es-ES_tradnl"/>
        </w:rPr>
      </w:pPr>
    </w:p>
    <w:p w14:paraId="3C01862A" w14:textId="77777777" w:rsidR="00327E1D" w:rsidRPr="0017378C" w:rsidRDefault="00327E1D" w:rsidP="00327E1D">
      <w:pPr>
        <w:spacing w:after="0" w:line="276" w:lineRule="auto"/>
        <w:jc w:val="both"/>
        <w:rPr>
          <w:rFonts w:ascii="Verdana" w:eastAsia="Calibri" w:hAnsi="Verdana" w:cs="Arial"/>
          <w:color w:val="000000" w:themeColor="text1"/>
          <w:lang w:val="es-ES" w:eastAsia="es-ES_tradnl"/>
        </w:rPr>
      </w:pPr>
    </w:p>
    <w:p w14:paraId="2184CF94" w14:textId="77777777" w:rsidR="00327E1D" w:rsidRPr="0017378C" w:rsidRDefault="00327E1D" w:rsidP="00327E1D">
      <w:pPr>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7378C">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17378C">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Mestizo</w:t>
      </w:r>
      <w:r w:rsidRPr="0017378C">
        <w:rPr>
          <w:rFonts w:ascii="Verdana" w:eastAsia="Calibri" w:hAnsi="Verdana" w:cs="Arial"/>
          <w:color w:val="000000" w:themeColor="text1"/>
          <w:lang w:val="es-ES" w:eastAsia="es-ES"/>
        </w:rPr>
        <w:t xml:space="preserve">: </w:t>
      </w:r>
    </w:p>
    <w:p w14:paraId="7F1C1DD4" w14:textId="77777777" w:rsidR="00327E1D" w:rsidRPr="0017378C" w:rsidRDefault="00327E1D" w:rsidP="00327E1D">
      <w:pPr>
        <w:tabs>
          <w:tab w:val="left" w:pos="3768"/>
        </w:tabs>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ab/>
      </w:r>
    </w:p>
    <w:p w14:paraId="74B14FA4" w14:textId="656BEACF" w:rsidR="00327E1D" w:rsidRPr="0017378C" w:rsidRDefault="00327E1D" w:rsidP="00327E1D">
      <w:pPr>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En ejercicio de la competencia otorgada por los artículos 3, numeral 5º, y 11, numeral 8º, del Decreto Ley 4170 de 2011,</w:t>
      </w:r>
      <w:r w:rsidRPr="0017378C">
        <w:rPr>
          <w:rFonts w:ascii="Verdana" w:eastAsia="Arial MT" w:hAnsi="Verdana" w:cs="Arial MT"/>
          <w:color w:val="000000" w:themeColor="text1"/>
          <w:lang w:val="es-ES" w:eastAsia="es-ES"/>
        </w:rPr>
        <w:t xml:space="preserve"> </w:t>
      </w:r>
      <w:r w:rsidRPr="0017378C">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de concepto </w:t>
      </w:r>
      <w:r>
        <w:rPr>
          <w:rFonts w:ascii="Verdana" w:hAnsi="Verdana" w:cs="Arial"/>
          <w:color w:val="000000" w:themeColor="text1"/>
          <w:lang w:val="es-ES"/>
        </w:rPr>
        <w:t xml:space="preserve">remitida a esta entidad </w:t>
      </w:r>
      <w:r w:rsidRPr="0017378C">
        <w:rPr>
          <w:rFonts w:ascii="Verdana" w:hAnsi="Verdana" w:cs="Arial"/>
          <w:color w:val="000000" w:themeColor="text1"/>
          <w:lang w:val="es-ES"/>
        </w:rPr>
        <w:t xml:space="preserve">el </w:t>
      </w:r>
      <w:r>
        <w:rPr>
          <w:rFonts w:ascii="Verdana" w:hAnsi="Verdana" w:cs="Arial"/>
          <w:color w:val="000000" w:themeColor="text1"/>
          <w:lang w:val="es-ES"/>
        </w:rPr>
        <w:t xml:space="preserve">30 </w:t>
      </w:r>
      <w:r w:rsidRPr="0017378C">
        <w:rPr>
          <w:rFonts w:ascii="Verdana" w:hAnsi="Verdana" w:cs="Arial"/>
          <w:color w:val="000000" w:themeColor="text1"/>
          <w:lang w:val="es-ES"/>
        </w:rPr>
        <w:t>de</w:t>
      </w:r>
      <w:r>
        <w:rPr>
          <w:rFonts w:ascii="Verdana" w:hAnsi="Verdana" w:cs="Arial"/>
          <w:color w:val="000000" w:themeColor="text1"/>
          <w:lang w:val="es-ES"/>
        </w:rPr>
        <w:t xml:space="preserve"> octubre</w:t>
      </w:r>
      <w:r w:rsidRPr="0017378C">
        <w:rPr>
          <w:rFonts w:ascii="Verdana" w:hAnsi="Verdana" w:cs="Arial"/>
          <w:color w:val="000000" w:themeColor="text1"/>
          <w:lang w:val="es-ES"/>
        </w:rPr>
        <w:t xml:space="preserve"> 2025</w:t>
      </w:r>
      <w:r>
        <w:rPr>
          <w:rFonts w:ascii="Verdana" w:hAnsi="Verdana" w:cs="Arial"/>
          <w:color w:val="000000" w:themeColor="text1"/>
          <w:lang w:val="es-ES"/>
        </w:rPr>
        <w:t xml:space="preserve"> por la Superintendencia de Servicios Públicos</w:t>
      </w:r>
      <w:r w:rsidRPr="0017378C">
        <w:rPr>
          <w:rFonts w:ascii="Verdana" w:hAnsi="Verdana" w:cs="Arial"/>
          <w:color w:val="000000" w:themeColor="text1"/>
          <w:lang w:val="es-ES"/>
        </w:rPr>
        <w:t>, en la cual manifiesta lo siguiente:</w:t>
      </w:r>
      <w:r w:rsidRPr="0017378C">
        <w:rPr>
          <w:rFonts w:ascii="Verdana" w:eastAsia="Calibri" w:hAnsi="Verdana" w:cs="Arial"/>
          <w:color w:val="000000" w:themeColor="text1"/>
          <w:lang w:val="es-ES" w:eastAsia="es-ES"/>
        </w:rPr>
        <w:t xml:space="preserve"> </w:t>
      </w:r>
    </w:p>
    <w:p w14:paraId="514929B5" w14:textId="77777777" w:rsidR="00327E1D" w:rsidRPr="0017378C" w:rsidRDefault="00327E1D" w:rsidP="00327E1D">
      <w:pPr>
        <w:spacing w:after="0" w:line="276" w:lineRule="auto"/>
        <w:jc w:val="both"/>
        <w:rPr>
          <w:rFonts w:ascii="Verdana" w:eastAsia="Calibri" w:hAnsi="Verdana" w:cs="Arial"/>
          <w:color w:val="000000" w:themeColor="text1"/>
          <w:lang w:val="es-ES" w:eastAsia="es-ES"/>
        </w:rPr>
      </w:pPr>
    </w:p>
    <w:p w14:paraId="7ED1EA94" w14:textId="77777777" w:rsidR="00327E1D" w:rsidRPr="00864036" w:rsidRDefault="00327E1D" w:rsidP="00327E1D">
      <w:pPr>
        <w:spacing w:after="0"/>
        <w:ind w:left="720" w:right="709"/>
        <w:jc w:val="both"/>
        <w:rPr>
          <w:rFonts w:ascii="Verdana" w:eastAsia="Century Gothic" w:hAnsi="Verdana" w:cs="Century Gothic"/>
          <w:color w:val="000000" w:themeColor="text1"/>
          <w:sz w:val="20"/>
          <w:szCs w:val="20"/>
        </w:rPr>
      </w:pPr>
      <w:r w:rsidRPr="0017378C">
        <w:rPr>
          <w:rFonts w:ascii="Verdana" w:eastAsia="Century Gothic" w:hAnsi="Verdana" w:cs="Century Gothic"/>
          <w:color w:val="000000" w:themeColor="text1"/>
          <w:sz w:val="20"/>
          <w:szCs w:val="20"/>
          <w:lang w:val="es-ES"/>
        </w:rPr>
        <w:t>“</w:t>
      </w:r>
      <w:r>
        <w:rPr>
          <w:rFonts w:ascii="Verdana" w:eastAsia="Century Gothic" w:hAnsi="Verdana" w:cs="Century Gothic"/>
          <w:color w:val="000000" w:themeColor="text1"/>
          <w:sz w:val="20"/>
          <w:szCs w:val="20"/>
          <w:lang w:val="es-ES"/>
        </w:rPr>
        <w:t xml:space="preserve">[…] </w:t>
      </w:r>
      <w:r w:rsidRPr="00864036">
        <w:rPr>
          <w:rFonts w:ascii="Verdana" w:eastAsia="Century Gothic" w:hAnsi="Verdana" w:cs="Century Gothic"/>
          <w:color w:val="000000" w:themeColor="text1"/>
          <w:sz w:val="20"/>
          <w:szCs w:val="20"/>
        </w:rPr>
        <w:t xml:space="preserve">En </w:t>
      </w:r>
      <w:proofErr w:type="spellStart"/>
      <w:r w:rsidRPr="00864036">
        <w:rPr>
          <w:rFonts w:ascii="Verdana" w:eastAsia="Century Gothic" w:hAnsi="Verdana" w:cs="Century Gothic"/>
          <w:color w:val="000000" w:themeColor="text1"/>
          <w:sz w:val="20"/>
          <w:szCs w:val="20"/>
        </w:rPr>
        <w:t>mérito</w:t>
      </w:r>
      <w:proofErr w:type="spellEnd"/>
      <w:r w:rsidRPr="00864036">
        <w:rPr>
          <w:rFonts w:ascii="Verdana" w:eastAsia="Century Gothic" w:hAnsi="Verdana" w:cs="Century Gothic"/>
          <w:color w:val="000000" w:themeColor="text1"/>
          <w:sz w:val="20"/>
          <w:szCs w:val="20"/>
        </w:rPr>
        <w:t xml:space="preserve"> de lo anteriormente expuesto, se solicita concepto sobre las siguientes interrogantes: </w:t>
      </w:r>
    </w:p>
    <w:p w14:paraId="56212A33" w14:textId="77777777" w:rsidR="00327E1D" w:rsidRPr="00864036" w:rsidRDefault="00327E1D" w:rsidP="00327E1D">
      <w:pPr>
        <w:spacing w:after="0"/>
        <w:ind w:left="720" w:right="709"/>
        <w:jc w:val="both"/>
        <w:rPr>
          <w:rFonts w:ascii="Verdana" w:eastAsia="Century Gothic" w:hAnsi="Verdana" w:cs="Century Gothic"/>
          <w:color w:val="000000" w:themeColor="text1"/>
          <w:sz w:val="20"/>
          <w:szCs w:val="20"/>
        </w:rPr>
      </w:pPr>
      <w:r w:rsidRPr="00864036">
        <w:rPr>
          <w:rFonts w:ascii="Verdana" w:eastAsia="Century Gothic" w:hAnsi="Verdana" w:cs="Century Gothic"/>
          <w:b/>
          <w:bCs/>
          <w:color w:val="000000" w:themeColor="text1"/>
          <w:sz w:val="20"/>
          <w:szCs w:val="20"/>
        </w:rPr>
        <w:t xml:space="preserve">Primero: </w:t>
      </w:r>
      <w:r w:rsidRPr="00864036">
        <w:rPr>
          <w:rFonts w:ascii="Verdana" w:eastAsia="Century Gothic" w:hAnsi="Verdana" w:cs="Century Gothic"/>
          <w:color w:val="000000" w:themeColor="text1"/>
          <w:sz w:val="20"/>
          <w:szCs w:val="20"/>
        </w:rPr>
        <w:t xml:space="preserve">Existe normativa que indique la </w:t>
      </w:r>
      <w:proofErr w:type="spellStart"/>
      <w:r w:rsidRPr="00864036">
        <w:rPr>
          <w:rFonts w:ascii="Verdana" w:eastAsia="Century Gothic" w:hAnsi="Verdana" w:cs="Century Gothic"/>
          <w:color w:val="000000" w:themeColor="text1"/>
          <w:sz w:val="20"/>
          <w:szCs w:val="20"/>
        </w:rPr>
        <w:t>determinación</w:t>
      </w:r>
      <w:proofErr w:type="spellEnd"/>
      <w:r w:rsidRPr="00864036">
        <w:rPr>
          <w:rFonts w:ascii="Verdana" w:eastAsia="Century Gothic" w:hAnsi="Verdana" w:cs="Century Gothic"/>
          <w:color w:val="000000" w:themeColor="text1"/>
          <w:sz w:val="20"/>
          <w:szCs w:val="20"/>
        </w:rPr>
        <w:t xml:space="preserve"> del valor (Porcentaje del contrato principal, limites </w:t>
      </w:r>
      <w:proofErr w:type="spellStart"/>
      <w:r w:rsidRPr="00864036">
        <w:rPr>
          <w:rFonts w:ascii="Verdana" w:eastAsia="Century Gothic" w:hAnsi="Verdana" w:cs="Century Gothic"/>
          <w:color w:val="000000" w:themeColor="text1"/>
          <w:sz w:val="20"/>
          <w:szCs w:val="20"/>
        </w:rPr>
        <w:t>máximos</w:t>
      </w:r>
      <w:proofErr w:type="spellEnd"/>
      <w:r w:rsidRPr="00864036">
        <w:rPr>
          <w:rFonts w:ascii="Verdana" w:eastAsia="Century Gothic" w:hAnsi="Verdana" w:cs="Century Gothic"/>
          <w:color w:val="000000" w:themeColor="text1"/>
          <w:sz w:val="20"/>
          <w:szCs w:val="20"/>
        </w:rPr>
        <w:t xml:space="preserve"> o mínimos) de la ordenes contractuales referidas a procesos de </w:t>
      </w:r>
      <w:proofErr w:type="spellStart"/>
      <w:r w:rsidRPr="00864036">
        <w:rPr>
          <w:rFonts w:ascii="Verdana" w:eastAsia="Century Gothic" w:hAnsi="Verdana" w:cs="Century Gothic"/>
          <w:color w:val="000000" w:themeColor="text1"/>
          <w:sz w:val="20"/>
          <w:szCs w:val="20"/>
        </w:rPr>
        <w:t>interventoría</w:t>
      </w:r>
      <w:proofErr w:type="spellEnd"/>
      <w:r w:rsidRPr="00864036">
        <w:rPr>
          <w:rFonts w:ascii="Verdana" w:eastAsia="Century Gothic" w:hAnsi="Verdana" w:cs="Century Gothic"/>
          <w:color w:val="000000" w:themeColor="text1"/>
          <w:sz w:val="20"/>
          <w:szCs w:val="20"/>
        </w:rPr>
        <w:t xml:space="preserve"> que suscriba la Empresa, en el marco del régimen contractual especial (régimen de derecho privado) que gobierna a EMPOCALOTO EICE ESP </w:t>
      </w:r>
    </w:p>
    <w:p w14:paraId="515CB8DF" w14:textId="77777777" w:rsidR="00327E1D" w:rsidRPr="00864036" w:rsidRDefault="00327E1D" w:rsidP="00327E1D">
      <w:pPr>
        <w:spacing w:after="0"/>
        <w:ind w:left="720" w:right="709"/>
        <w:jc w:val="both"/>
        <w:rPr>
          <w:rFonts w:ascii="Verdana" w:eastAsia="Century Gothic" w:hAnsi="Verdana" w:cs="Century Gothic"/>
          <w:color w:val="000000" w:themeColor="text1"/>
          <w:sz w:val="20"/>
          <w:szCs w:val="20"/>
        </w:rPr>
      </w:pPr>
      <w:r w:rsidRPr="00864036">
        <w:rPr>
          <w:rFonts w:ascii="Verdana" w:eastAsia="Century Gothic" w:hAnsi="Verdana" w:cs="Century Gothic"/>
          <w:b/>
          <w:bCs/>
          <w:color w:val="000000" w:themeColor="text1"/>
          <w:sz w:val="20"/>
          <w:szCs w:val="20"/>
        </w:rPr>
        <w:t xml:space="preserve">Segundo: </w:t>
      </w:r>
      <w:r w:rsidRPr="00864036">
        <w:rPr>
          <w:rFonts w:ascii="Verdana" w:eastAsia="Century Gothic" w:hAnsi="Verdana" w:cs="Century Gothic"/>
          <w:color w:val="000000" w:themeColor="text1"/>
          <w:sz w:val="20"/>
          <w:szCs w:val="20"/>
        </w:rPr>
        <w:t xml:space="preserve">Existe normativa que indique la </w:t>
      </w:r>
      <w:proofErr w:type="spellStart"/>
      <w:r w:rsidRPr="00864036">
        <w:rPr>
          <w:rFonts w:ascii="Verdana" w:eastAsia="Century Gothic" w:hAnsi="Verdana" w:cs="Century Gothic"/>
          <w:color w:val="000000" w:themeColor="text1"/>
          <w:sz w:val="20"/>
          <w:szCs w:val="20"/>
        </w:rPr>
        <w:t>determinación</w:t>
      </w:r>
      <w:proofErr w:type="spellEnd"/>
      <w:r w:rsidRPr="00864036">
        <w:rPr>
          <w:rFonts w:ascii="Verdana" w:eastAsia="Century Gothic" w:hAnsi="Verdana" w:cs="Century Gothic"/>
          <w:color w:val="000000" w:themeColor="text1"/>
          <w:sz w:val="20"/>
          <w:szCs w:val="20"/>
        </w:rPr>
        <w:t xml:space="preserve"> del valor (Porcentaje del contrato principal, </w:t>
      </w:r>
      <w:proofErr w:type="spellStart"/>
      <w:r w:rsidRPr="00864036">
        <w:rPr>
          <w:rFonts w:ascii="Verdana" w:eastAsia="Century Gothic" w:hAnsi="Verdana" w:cs="Century Gothic"/>
          <w:color w:val="000000" w:themeColor="text1"/>
          <w:sz w:val="20"/>
          <w:szCs w:val="20"/>
        </w:rPr>
        <w:t>límites</w:t>
      </w:r>
      <w:proofErr w:type="spellEnd"/>
      <w:r w:rsidRPr="00864036">
        <w:rPr>
          <w:rFonts w:ascii="Verdana" w:eastAsia="Century Gothic" w:hAnsi="Verdana" w:cs="Century Gothic"/>
          <w:color w:val="000000" w:themeColor="text1"/>
          <w:sz w:val="20"/>
          <w:szCs w:val="20"/>
        </w:rPr>
        <w:t xml:space="preserve"> </w:t>
      </w:r>
      <w:proofErr w:type="spellStart"/>
      <w:r w:rsidRPr="00864036">
        <w:rPr>
          <w:rFonts w:ascii="Verdana" w:eastAsia="Century Gothic" w:hAnsi="Verdana" w:cs="Century Gothic"/>
          <w:color w:val="000000" w:themeColor="text1"/>
          <w:sz w:val="20"/>
          <w:szCs w:val="20"/>
        </w:rPr>
        <w:t>máximos</w:t>
      </w:r>
      <w:proofErr w:type="spellEnd"/>
      <w:r w:rsidRPr="00864036">
        <w:rPr>
          <w:rFonts w:ascii="Verdana" w:eastAsia="Century Gothic" w:hAnsi="Verdana" w:cs="Century Gothic"/>
          <w:color w:val="000000" w:themeColor="text1"/>
          <w:sz w:val="20"/>
          <w:szCs w:val="20"/>
        </w:rPr>
        <w:t xml:space="preserve"> o mínimos) de contratos realizados por entidades sometidas al (EGCAP)Estatuto General de Contratación Pública </w:t>
      </w:r>
    </w:p>
    <w:p w14:paraId="6D2D34C0" w14:textId="77777777" w:rsidR="00327E1D" w:rsidRPr="00864036" w:rsidRDefault="00327E1D" w:rsidP="00327E1D">
      <w:pPr>
        <w:spacing w:after="0"/>
        <w:ind w:left="720" w:right="709"/>
        <w:jc w:val="both"/>
        <w:rPr>
          <w:rFonts w:ascii="Verdana" w:eastAsia="Century Gothic" w:hAnsi="Verdana" w:cs="Century Gothic"/>
          <w:color w:val="000000" w:themeColor="text1"/>
          <w:sz w:val="20"/>
          <w:szCs w:val="20"/>
        </w:rPr>
      </w:pPr>
      <w:r w:rsidRPr="00864036">
        <w:rPr>
          <w:rFonts w:ascii="Verdana" w:eastAsia="Century Gothic" w:hAnsi="Verdana" w:cs="Century Gothic"/>
          <w:b/>
          <w:bCs/>
          <w:color w:val="000000" w:themeColor="text1"/>
          <w:sz w:val="20"/>
          <w:szCs w:val="20"/>
        </w:rPr>
        <w:lastRenderedPageBreak/>
        <w:t xml:space="preserve">Tercero: </w:t>
      </w:r>
      <w:r w:rsidRPr="00864036">
        <w:rPr>
          <w:rFonts w:ascii="Verdana" w:eastAsia="Century Gothic" w:hAnsi="Verdana" w:cs="Century Gothic"/>
          <w:color w:val="000000" w:themeColor="text1"/>
          <w:sz w:val="20"/>
          <w:szCs w:val="20"/>
        </w:rPr>
        <w:t xml:space="preserve">En caso de existir norma expresa que indique la </w:t>
      </w:r>
      <w:proofErr w:type="spellStart"/>
      <w:r w:rsidRPr="00864036">
        <w:rPr>
          <w:rFonts w:ascii="Verdana" w:eastAsia="Century Gothic" w:hAnsi="Verdana" w:cs="Century Gothic"/>
          <w:color w:val="000000" w:themeColor="text1"/>
          <w:sz w:val="20"/>
          <w:szCs w:val="20"/>
        </w:rPr>
        <w:t>determinación</w:t>
      </w:r>
      <w:proofErr w:type="spellEnd"/>
      <w:r w:rsidRPr="00864036">
        <w:rPr>
          <w:rFonts w:ascii="Verdana" w:eastAsia="Century Gothic" w:hAnsi="Verdana" w:cs="Century Gothic"/>
          <w:color w:val="000000" w:themeColor="text1"/>
          <w:sz w:val="20"/>
          <w:szCs w:val="20"/>
        </w:rPr>
        <w:t xml:space="preserve"> del valor (Porcentaje del contrato principal, </w:t>
      </w:r>
      <w:proofErr w:type="spellStart"/>
      <w:r w:rsidRPr="00864036">
        <w:rPr>
          <w:rFonts w:ascii="Verdana" w:eastAsia="Century Gothic" w:hAnsi="Verdana" w:cs="Century Gothic"/>
          <w:color w:val="000000" w:themeColor="text1"/>
          <w:sz w:val="20"/>
          <w:szCs w:val="20"/>
        </w:rPr>
        <w:t>límites</w:t>
      </w:r>
      <w:proofErr w:type="spellEnd"/>
      <w:r w:rsidRPr="00864036">
        <w:rPr>
          <w:rFonts w:ascii="Verdana" w:eastAsia="Century Gothic" w:hAnsi="Verdana" w:cs="Century Gothic"/>
          <w:color w:val="000000" w:themeColor="text1"/>
          <w:sz w:val="20"/>
          <w:szCs w:val="20"/>
        </w:rPr>
        <w:t xml:space="preserve"> </w:t>
      </w:r>
      <w:proofErr w:type="spellStart"/>
      <w:r w:rsidRPr="00864036">
        <w:rPr>
          <w:rFonts w:ascii="Verdana" w:eastAsia="Century Gothic" w:hAnsi="Verdana" w:cs="Century Gothic"/>
          <w:color w:val="000000" w:themeColor="text1"/>
          <w:sz w:val="20"/>
          <w:szCs w:val="20"/>
        </w:rPr>
        <w:t>máximos</w:t>
      </w:r>
      <w:proofErr w:type="spellEnd"/>
      <w:r w:rsidRPr="00864036">
        <w:rPr>
          <w:rFonts w:ascii="Verdana" w:eastAsia="Century Gothic" w:hAnsi="Verdana" w:cs="Century Gothic"/>
          <w:color w:val="000000" w:themeColor="text1"/>
          <w:sz w:val="20"/>
          <w:szCs w:val="20"/>
        </w:rPr>
        <w:t xml:space="preserve"> o mínimos) de contratos de </w:t>
      </w:r>
      <w:proofErr w:type="spellStart"/>
      <w:r w:rsidRPr="00864036">
        <w:rPr>
          <w:rFonts w:ascii="Verdana" w:eastAsia="Century Gothic" w:hAnsi="Verdana" w:cs="Century Gothic"/>
          <w:color w:val="000000" w:themeColor="text1"/>
          <w:sz w:val="20"/>
          <w:szCs w:val="20"/>
        </w:rPr>
        <w:t>interventoría</w:t>
      </w:r>
      <w:proofErr w:type="spellEnd"/>
      <w:r w:rsidRPr="00864036">
        <w:rPr>
          <w:rFonts w:ascii="Verdana" w:eastAsia="Century Gothic" w:hAnsi="Verdana" w:cs="Century Gothic"/>
          <w:color w:val="000000" w:themeColor="text1"/>
          <w:sz w:val="20"/>
          <w:szCs w:val="20"/>
        </w:rPr>
        <w:t xml:space="preserve"> realizados por entidades sometidas al (EGCAP) Estatuto General de Contratación Pública, no aplicable a EMPOCALOTO EICE ESP, ¿es posible sostener que virtud del artículo 31 y 32 de la ley 142 de 1994, la </w:t>
      </w:r>
      <w:proofErr w:type="spellStart"/>
      <w:r w:rsidRPr="00864036">
        <w:rPr>
          <w:rFonts w:ascii="Verdana" w:eastAsia="Century Gothic" w:hAnsi="Verdana" w:cs="Century Gothic"/>
          <w:color w:val="000000" w:themeColor="text1"/>
          <w:sz w:val="20"/>
          <w:szCs w:val="20"/>
        </w:rPr>
        <w:t>determinación</w:t>
      </w:r>
      <w:proofErr w:type="spellEnd"/>
      <w:r w:rsidRPr="00864036">
        <w:rPr>
          <w:rFonts w:ascii="Verdana" w:eastAsia="Century Gothic" w:hAnsi="Verdana" w:cs="Century Gothic"/>
          <w:color w:val="000000" w:themeColor="text1"/>
          <w:sz w:val="20"/>
          <w:szCs w:val="20"/>
        </w:rPr>
        <w:t xml:space="preserve"> del valor del contrato de </w:t>
      </w:r>
      <w:proofErr w:type="spellStart"/>
      <w:r w:rsidRPr="00864036">
        <w:rPr>
          <w:rFonts w:ascii="Verdana" w:eastAsia="Century Gothic" w:hAnsi="Verdana" w:cs="Century Gothic"/>
          <w:color w:val="000000" w:themeColor="text1"/>
          <w:sz w:val="20"/>
          <w:szCs w:val="20"/>
        </w:rPr>
        <w:t>consultoría</w:t>
      </w:r>
      <w:proofErr w:type="spellEnd"/>
      <w:r w:rsidRPr="00864036">
        <w:rPr>
          <w:rFonts w:ascii="Verdana" w:eastAsia="Century Gothic" w:hAnsi="Verdana" w:cs="Century Gothic"/>
          <w:color w:val="000000" w:themeColor="text1"/>
          <w:sz w:val="20"/>
          <w:szCs w:val="20"/>
        </w:rPr>
        <w:t xml:space="preserve"> queda sometido exclusamente al acuerdo de las voluntades? </w:t>
      </w:r>
    </w:p>
    <w:p w14:paraId="7A4D9F9C" w14:textId="77777777" w:rsidR="00327E1D" w:rsidRPr="002914E0" w:rsidRDefault="00327E1D" w:rsidP="00327E1D">
      <w:pPr>
        <w:spacing w:after="0"/>
        <w:ind w:left="720" w:right="709"/>
        <w:jc w:val="both"/>
        <w:rPr>
          <w:rFonts w:ascii="Verdana" w:eastAsia="Century Gothic" w:hAnsi="Verdana" w:cs="Century Gothic"/>
          <w:color w:val="000000" w:themeColor="text1"/>
          <w:sz w:val="20"/>
          <w:szCs w:val="20"/>
        </w:rPr>
      </w:pPr>
      <w:r w:rsidRPr="00864036">
        <w:rPr>
          <w:rFonts w:ascii="Verdana" w:eastAsia="Century Gothic" w:hAnsi="Verdana" w:cs="Century Gothic"/>
          <w:b/>
          <w:bCs/>
          <w:color w:val="000000" w:themeColor="text1"/>
          <w:sz w:val="20"/>
          <w:szCs w:val="20"/>
        </w:rPr>
        <w:t xml:space="preserve">Cuarto: </w:t>
      </w:r>
      <w:r w:rsidRPr="00864036">
        <w:rPr>
          <w:rFonts w:ascii="Verdana" w:eastAsia="Century Gothic" w:hAnsi="Verdana" w:cs="Century Gothic"/>
          <w:color w:val="000000" w:themeColor="text1"/>
          <w:sz w:val="20"/>
          <w:szCs w:val="20"/>
        </w:rPr>
        <w:t xml:space="preserve">Bajo el principio de la realidad sobre la forma, es posible sostener que en el marco del régimen exceptuado que gobierna los procesos contractuales del EMPOCALOTO EICE ESP, las ordenes suscritas y nominados como </w:t>
      </w:r>
      <w:proofErr w:type="spellStart"/>
      <w:r w:rsidRPr="00864036">
        <w:rPr>
          <w:rFonts w:ascii="Verdana" w:eastAsia="Century Gothic" w:hAnsi="Verdana" w:cs="Century Gothic"/>
          <w:color w:val="000000" w:themeColor="text1"/>
          <w:sz w:val="20"/>
          <w:szCs w:val="20"/>
        </w:rPr>
        <w:t>consultoría</w:t>
      </w:r>
      <w:proofErr w:type="spellEnd"/>
      <w:r w:rsidRPr="00864036">
        <w:rPr>
          <w:rFonts w:ascii="Verdana" w:eastAsia="Century Gothic" w:hAnsi="Verdana" w:cs="Century Gothic"/>
          <w:color w:val="000000" w:themeColor="text1"/>
          <w:sz w:val="20"/>
          <w:szCs w:val="20"/>
        </w:rPr>
        <w:t xml:space="preserve">, realmente se refieren a ordenes contractuales de </w:t>
      </w:r>
      <w:r w:rsidRPr="00864036">
        <w:rPr>
          <w:rFonts w:ascii="Verdana" w:eastAsia="Century Gothic" w:hAnsi="Verdana" w:cs="Century Gothic"/>
          <w:i/>
          <w:iCs/>
          <w:color w:val="000000" w:themeColor="text1"/>
          <w:sz w:val="20"/>
          <w:szCs w:val="20"/>
        </w:rPr>
        <w:t xml:space="preserve">“seguimiento </w:t>
      </w:r>
      <w:proofErr w:type="spellStart"/>
      <w:r w:rsidRPr="00864036">
        <w:rPr>
          <w:rFonts w:ascii="Verdana" w:eastAsia="Century Gothic" w:hAnsi="Verdana" w:cs="Century Gothic"/>
          <w:i/>
          <w:iCs/>
          <w:color w:val="000000" w:themeColor="text1"/>
          <w:sz w:val="20"/>
          <w:szCs w:val="20"/>
        </w:rPr>
        <w:t>técnico</w:t>
      </w:r>
      <w:proofErr w:type="spellEnd"/>
      <w:r w:rsidRPr="00864036">
        <w:rPr>
          <w:rFonts w:ascii="Verdana" w:eastAsia="Century Gothic" w:hAnsi="Verdana" w:cs="Century Gothic"/>
          <w:i/>
          <w:iCs/>
          <w:color w:val="000000" w:themeColor="text1"/>
          <w:sz w:val="20"/>
          <w:szCs w:val="20"/>
        </w:rPr>
        <w:t xml:space="preserve">” </w:t>
      </w:r>
      <w:r w:rsidRPr="00864036">
        <w:rPr>
          <w:rFonts w:ascii="Verdana" w:eastAsia="Century Gothic" w:hAnsi="Verdana" w:cs="Century Gothic"/>
          <w:color w:val="000000" w:themeColor="text1"/>
          <w:sz w:val="20"/>
          <w:szCs w:val="20"/>
        </w:rPr>
        <w:t>previstos en el manual interno de contratación de EMPOCALOTO EICE ESP</w:t>
      </w:r>
      <w:r w:rsidRPr="0017378C">
        <w:rPr>
          <w:rFonts w:ascii="Verdana" w:eastAsia="Century Gothic" w:hAnsi="Verdana" w:cs="Century Gothic"/>
          <w:color w:val="000000" w:themeColor="text1"/>
          <w:sz w:val="20"/>
          <w:szCs w:val="20"/>
          <w:lang w:val="es-ES"/>
        </w:rPr>
        <w:t>”</w:t>
      </w:r>
      <w:r>
        <w:rPr>
          <w:rFonts w:ascii="Verdana" w:eastAsia="Century Gothic" w:hAnsi="Verdana" w:cs="Century Gothic"/>
          <w:color w:val="000000" w:themeColor="text1"/>
          <w:sz w:val="20"/>
          <w:szCs w:val="20"/>
          <w:lang w:val="es-ES"/>
        </w:rPr>
        <w:t>.</w:t>
      </w:r>
    </w:p>
    <w:p w14:paraId="0EF1193D" w14:textId="77777777" w:rsidR="00327E1D" w:rsidRPr="0017378C" w:rsidRDefault="00327E1D" w:rsidP="00327E1D">
      <w:pPr>
        <w:spacing w:after="0"/>
        <w:ind w:left="709" w:right="709"/>
        <w:jc w:val="both"/>
        <w:rPr>
          <w:rFonts w:ascii="Verdana" w:eastAsia="Century Gothic" w:hAnsi="Verdana" w:cs="Century Gothic"/>
          <w:i/>
          <w:iCs/>
          <w:color w:val="000000" w:themeColor="text1"/>
          <w:sz w:val="20"/>
          <w:szCs w:val="20"/>
          <w:lang w:val="es-ES"/>
        </w:rPr>
      </w:pPr>
    </w:p>
    <w:p w14:paraId="5261EC7C" w14:textId="77777777" w:rsidR="00327E1D" w:rsidRPr="0017378C" w:rsidRDefault="00327E1D" w:rsidP="00327E1D">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17378C">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378C">
        <w:rPr>
          <w:rFonts w:ascii="Verdana" w:eastAsia="Calibri" w:hAnsi="Verdana" w:cs="Arial"/>
          <w:color w:val="000000" w:themeColor="text1"/>
          <w:szCs w:val="24"/>
          <w:lang w:val="es-ES" w:eastAsia="es-ES_tradnl"/>
        </w:rPr>
        <w:tab/>
      </w:r>
    </w:p>
    <w:p w14:paraId="11BA3B26" w14:textId="77777777" w:rsidR="00327E1D" w:rsidRPr="0017378C" w:rsidRDefault="00327E1D" w:rsidP="00327E1D">
      <w:pPr>
        <w:spacing w:before="120" w:after="120" w:line="276" w:lineRule="auto"/>
        <w:ind w:firstLine="709"/>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307BDC13" w14:textId="77777777" w:rsidR="00327E1D" w:rsidRPr="0017378C" w:rsidRDefault="00327E1D" w:rsidP="00327E1D">
      <w:pPr>
        <w:spacing w:after="0" w:line="276" w:lineRule="auto"/>
        <w:jc w:val="both"/>
        <w:rPr>
          <w:rFonts w:ascii="Verdana" w:eastAsia="Calibri" w:hAnsi="Verdana" w:cs="Arial"/>
          <w:color w:val="000000" w:themeColor="text1"/>
          <w:lang w:val="es-ES" w:eastAsia="es-ES"/>
        </w:rPr>
      </w:pPr>
    </w:p>
    <w:p w14:paraId="1AB69261" w14:textId="77777777" w:rsidR="00327E1D" w:rsidRPr="0017378C" w:rsidRDefault="00327E1D" w:rsidP="00327E1D">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Problema planteado:</w:t>
      </w:r>
    </w:p>
    <w:p w14:paraId="691A6608" w14:textId="77777777" w:rsidR="00327E1D" w:rsidRPr="0017378C" w:rsidRDefault="00327E1D" w:rsidP="00327E1D">
      <w:pPr>
        <w:tabs>
          <w:tab w:val="left" w:pos="426"/>
        </w:tabs>
        <w:spacing w:after="0" w:line="276" w:lineRule="auto"/>
        <w:jc w:val="both"/>
        <w:rPr>
          <w:rFonts w:ascii="Verdana" w:eastAsia="Century Gothic" w:hAnsi="Verdana" w:cs="Century Gothic"/>
          <w:color w:val="000000" w:themeColor="text1"/>
          <w:lang w:val="es-ES"/>
        </w:rPr>
      </w:pPr>
    </w:p>
    <w:p w14:paraId="34C93618" w14:textId="77777777" w:rsidR="00327E1D" w:rsidRPr="0017378C" w:rsidRDefault="00327E1D" w:rsidP="00327E1D">
      <w:pPr>
        <w:spacing w:after="0" w:line="276" w:lineRule="auto"/>
        <w:jc w:val="both"/>
        <w:rPr>
          <w:rFonts w:ascii="Verdana" w:eastAsia="Century Gothic" w:hAnsi="Verdana" w:cs="Century Gothic"/>
          <w:color w:val="000000" w:themeColor="text1"/>
          <w:lang w:val="es-ES"/>
        </w:rPr>
      </w:pPr>
      <w:r w:rsidRPr="0017378C">
        <w:rPr>
          <w:rFonts w:ascii="Verdana" w:eastAsia="Century Gothic" w:hAnsi="Verdana" w:cs="Century Gothic"/>
          <w:color w:val="000000" w:themeColor="text1"/>
          <w:lang w:val="es-ES"/>
        </w:rPr>
        <w:t>De acuerdo con el contenido de su solicitud, esta Agencia resolverá el siguiente problema jurídico:</w:t>
      </w:r>
      <w:r w:rsidRPr="0017378C">
        <w:rPr>
          <w:rFonts w:ascii="Verdana" w:eastAsia="Century Gothic" w:hAnsi="Verdana" w:cs="Century Gothic"/>
          <w:lang w:val="es-ES"/>
        </w:rPr>
        <w:t xml:space="preserve"> </w:t>
      </w:r>
      <w:r>
        <w:rPr>
          <w:rFonts w:ascii="Verdana" w:eastAsia="Century Gothic" w:hAnsi="Verdana" w:cs="Century Gothic"/>
        </w:rPr>
        <w:t xml:space="preserve">¿Las entidades sometidas al EGCAP o a un régimen especial de contratación deben respetar un porcentaje mínimo o máximo para determinar </w:t>
      </w:r>
      <w:r>
        <w:rPr>
          <w:rFonts w:ascii="Verdana" w:eastAsia="Century Gothic" w:hAnsi="Verdana" w:cs="Century Gothic"/>
        </w:rPr>
        <w:lastRenderedPageBreak/>
        <w:t xml:space="preserve">el valor de contratos de seguimiento o interventoría con respecto al contrato objeto de vigilancia? </w:t>
      </w:r>
    </w:p>
    <w:p w14:paraId="262D13DB" w14:textId="77777777" w:rsidR="00327E1D" w:rsidRPr="0017378C" w:rsidRDefault="00327E1D" w:rsidP="00327E1D">
      <w:pPr>
        <w:spacing w:after="0" w:line="276" w:lineRule="auto"/>
        <w:jc w:val="both"/>
        <w:rPr>
          <w:rFonts w:ascii="Verdana" w:eastAsia="Calibri" w:hAnsi="Verdana" w:cs="Arial"/>
          <w:color w:val="000000" w:themeColor="text1"/>
          <w:lang w:val="es-ES"/>
        </w:rPr>
      </w:pPr>
    </w:p>
    <w:p w14:paraId="2A5F89EF" w14:textId="77777777" w:rsidR="00327E1D" w:rsidRPr="0017378C" w:rsidRDefault="00327E1D" w:rsidP="00327E1D">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Respuesta:</w:t>
      </w:r>
    </w:p>
    <w:p w14:paraId="2E3B5357" w14:textId="77777777" w:rsidR="00327E1D" w:rsidRPr="0017378C" w:rsidRDefault="00327E1D" w:rsidP="00327E1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27E1D" w:rsidRPr="0017378C" w14:paraId="39095577" w14:textId="77777777" w:rsidTr="00F85C26">
        <w:tc>
          <w:tcPr>
            <w:tcW w:w="8828" w:type="dxa"/>
          </w:tcPr>
          <w:p w14:paraId="34F90F51" w14:textId="77777777" w:rsidR="00327E1D" w:rsidRDefault="00327E1D" w:rsidP="00F85C26">
            <w:pPr>
              <w:spacing w:before="120" w:after="120" w:line="276" w:lineRule="auto"/>
              <w:jc w:val="both"/>
              <w:rPr>
                <w:rFonts w:ascii="Verdana" w:eastAsia="Arial" w:hAnsi="Verdana" w:cstheme="majorHAnsi"/>
                <w:lang w:val="es-ES"/>
              </w:rPr>
            </w:pPr>
            <w:r w:rsidRPr="007873B5">
              <w:rPr>
                <w:rFonts w:ascii="Verdana" w:eastAsia="Arial" w:hAnsi="Verdana" w:cstheme="majorHAnsi"/>
                <w:lang w:val="es-ES"/>
              </w:rPr>
              <w:t>Desde la etapa de planeación, en la fase precontractual, las entidades estatales deben calcular el presupuesto oficial, mediante la realización del análisis del sector –que incluye el estudio del mercado– y definir la metodología con la cual estructurarán el contrato</w:t>
            </w:r>
            <w:r>
              <w:rPr>
                <w:rFonts w:ascii="Verdana" w:eastAsia="Arial" w:hAnsi="Verdana" w:cstheme="majorHAnsi"/>
                <w:lang w:val="es-ES"/>
              </w:rPr>
              <w:t xml:space="preserve">. De esta manera, tanto </w:t>
            </w:r>
            <w:r w:rsidRPr="007873B5">
              <w:rPr>
                <w:rFonts w:ascii="Verdana" w:eastAsia="Arial" w:hAnsi="Verdana" w:cstheme="majorHAnsi"/>
                <w:lang w:val="es-ES"/>
              </w:rPr>
              <w:t>la definición del esquema para estipular el precio</w:t>
            </w:r>
            <w:r>
              <w:rPr>
                <w:rFonts w:ascii="Verdana" w:eastAsia="Arial" w:hAnsi="Verdana" w:cstheme="majorHAnsi"/>
                <w:lang w:val="es-ES"/>
              </w:rPr>
              <w:t xml:space="preserve"> como la forma de pago hacen parte de los estudios previos. </w:t>
            </w:r>
          </w:p>
          <w:p w14:paraId="51CD60AE" w14:textId="77777777" w:rsidR="00327E1D" w:rsidRDefault="00327E1D" w:rsidP="00F85C26">
            <w:pPr>
              <w:spacing w:before="120" w:after="120" w:line="276" w:lineRule="auto"/>
              <w:ind w:firstLine="735"/>
              <w:jc w:val="both"/>
              <w:rPr>
                <w:rFonts w:ascii="Verdana" w:eastAsia="Arial" w:hAnsi="Verdana" w:cstheme="majorHAnsi"/>
                <w:lang w:val="es-ES"/>
              </w:rPr>
            </w:pPr>
            <w:r>
              <w:rPr>
                <w:rFonts w:ascii="Verdana" w:eastAsia="Calibri" w:hAnsi="Verdana" w:cs="Arial"/>
                <w:color w:val="000000" w:themeColor="text1"/>
                <w:lang w:val="es-ES"/>
              </w:rPr>
              <w:t xml:space="preserve">Con respecto a su consulta, es necesario aclarar que no existe una norma en el Estatuto General de Contratación de la Administración Pública (EGCAP) que establezca un porcentaje, valor mínimo o máximo con el que deba cumplir la interventoría con respecto al valor del contrato objeto de seguimiento. </w:t>
            </w:r>
            <w:r>
              <w:rPr>
                <w:rFonts w:ascii="Verdana" w:eastAsia="Arial" w:hAnsi="Verdana" w:cstheme="majorHAnsi"/>
                <w:lang w:val="es-ES"/>
              </w:rPr>
              <w:t>E</w:t>
            </w:r>
            <w:r w:rsidRPr="007873B5">
              <w:rPr>
                <w:rFonts w:ascii="Verdana" w:hAnsi="Verdana" w:cs="Arial"/>
              </w:rPr>
              <w:t>l interventor</w:t>
            </w:r>
            <w:r>
              <w:rPr>
                <w:rFonts w:ascii="Verdana" w:hAnsi="Verdana" w:cs="Arial"/>
              </w:rPr>
              <w:t xml:space="preserve"> y la entidad cuentan </w:t>
            </w:r>
            <w:r w:rsidRPr="007873B5">
              <w:rPr>
                <w:rFonts w:ascii="Verdana" w:hAnsi="Verdana" w:cs="Arial"/>
              </w:rPr>
              <w:t xml:space="preserve">con </w:t>
            </w:r>
            <w:r w:rsidRPr="002E4D8E">
              <w:rPr>
                <w:rFonts w:ascii="Verdana" w:hAnsi="Verdana" w:cs="Arial"/>
                <w:i/>
                <w:iCs/>
              </w:rPr>
              <w:t>libertad negocial</w:t>
            </w:r>
            <w:r w:rsidRPr="007873B5">
              <w:rPr>
                <w:rFonts w:ascii="Verdana" w:hAnsi="Verdana" w:cs="Arial"/>
              </w:rPr>
              <w:t xml:space="preserve"> para determinar </w:t>
            </w:r>
            <w:r>
              <w:rPr>
                <w:rFonts w:ascii="Verdana" w:hAnsi="Verdana" w:cs="Arial"/>
              </w:rPr>
              <w:t xml:space="preserve">los </w:t>
            </w:r>
            <w:r w:rsidRPr="007873B5">
              <w:rPr>
                <w:rFonts w:ascii="Verdana" w:hAnsi="Verdana" w:cs="Arial"/>
              </w:rPr>
              <w:t>aspectos del contrato, entendiéndose incluida en esta libertad la capacidad de definir la forma de pago</w:t>
            </w:r>
            <w:r>
              <w:rPr>
                <w:rFonts w:ascii="Verdana" w:hAnsi="Verdana" w:cs="Arial"/>
              </w:rPr>
              <w:t xml:space="preserve"> </w:t>
            </w:r>
            <w:r w:rsidRPr="007873B5">
              <w:rPr>
                <w:rFonts w:ascii="Verdana" w:eastAsia="Arial" w:hAnsi="Verdana" w:cstheme="majorHAnsi"/>
                <w:lang w:val="es-ES"/>
              </w:rPr>
              <w:t>más apropiad</w:t>
            </w:r>
            <w:r>
              <w:rPr>
                <w:rFonts w:ascii="Verdana" w:eastAsia="Arial" w:hAnsi="Verdana" w:cstheme="majorHAnsi"/>
                <w:lang w:val="es-ES"/>
              </w:rPr>
              <w:t>a</w:t>
            </w:r>
            <w:r w:rsidRPr="007873B5">
              <w:rPr>
                <w:rFonts w:ascii="Verdana" w:eastAsia="Arial" w:hAnsi="Verdana" w:cstheme="majorHAnsi"/>
                <w:lang w:val="es-ES"/>
              </w:rPr>
              <w:t xml:space="preserve"> para satisfacer los fines de la contratación</w:t>
            </w:r>
            <w:r>
              <w:rPr>
                <w:rFonts w:ascii="Verdana" w:eastAsia="Arial" w:hAnsi="Verdana" w:cstheme="majorHAnsi"/>
                <w:lang w:val="es-ES"/>
              </w:rPr>
              <w:t xml:space="preserve"> y cumplir con los objetivos de vigilancia del contrato de interventoría</w:t>
            </w:r>
            <w:r w:rsidRPr="007873B5">
              <w:rPr>
                <w:rFonts w:ascii="Verdana" w:eastAsia="Arial" w:hAnsi="Verdana" w:cstheme="majorHAnsi"/>
                <w:lang w:val="es-ES"/>
              </w:rPr>
              <w:t xml:space="preserve">. Para las entidades que se rigen por el Estatuto General de Contratación de la Administración Pública, </w:t>
            </w:r>
            <w:r>
              <w:rPr>
                <w:rFonts w:ascii="Verdana" w:eastAsia="Arial" w:hAnsi="Verdana" w:cstheme="majorHAnsi"/>
                <w:lang w:val="es-ES"/>
              </w:rPr>
              <w:t>esta</w:t>
            </w:r>
            <w:r w:rsidRPr="007873B5">
              <w:rPr>
                <w:rFonts w:ascii="Verdana" w:eastAsia="Arial" w:hAnsi="Verdana" w:cstheme="majorHAnsi"/>
                <w:lang w:val="es-ES"/>
              </w:rPr>
              <w:t xml:space="preserve"> autonomía está reconocida en los artículos 13, 32 y 40 de la Ley 80 de 1993.</w:t>
            </w:r>
            <w:r>
              <w:rPr>
                <w:rFonts w:ascii="Verdana" w:eastAsia="Arial" w:hAnsi="Verdana" w:cstheme="majorHAnsi"/>
                <w:lang w:val="es-ES"/>
              </w:rPr>
              <w:t xml:space="preserve"> En virtud de su autonomía negocial, </w:t>
            </w:r>
            <w:r w:rsidRPr="00063B02">
              <w:rPr>
                <w:rFonts w:ascii="Verdana" w:eastAsia="Arial" w:hAnsi="Verdana" w:cstheme="majorHAnsi"/>
                <w:lang w:val="es-ES"/>
              </w:rPr>
              <w:t>pueden incluir las condiciones de pago que consideren necesarias y convenientes, siempre que no contraríen el ordenamiento jurídico.</w:t>
            </w:r>
            <w:r>
              <w:rPr>
                <w:rFonts w:ascii="Verdana" w:eastAsia="Arial" w:hAnsi="Verdana" w:cstheme="majorHAnsi"/>
                <w:lang w:val="es-ES"/>
              </w:rPr>
              <w:t xml:space="preserve"> </w:t>
            </w:r>
          </w:p>
          <w:p w14:paraId="4F02CD46" w14:textId="77777777" w:rsidR="00327E1D" w:rsidRPr="001950CC" w:rsidRDefault="00327E1D" w:rsidP="00F85C26">
            <w:pPr>
              <w:spacing w:before="120" w:after="120" w:line="276" w:lineRule="auto"/>
              <w:ind w:firstLine="735"/>
              <w:jc w:val="both"/>
              <w:rPr>
                <w:rFonts w:ascii="Verdana" w:eastAsia="Arial" w:hAnsi="Verdana" w:cstheme="majorHAnsi"/>
                <w:lang w:val="es-ES"/>
              </w:rPr>
            </w:pPr>
            <w:r>
              <w:rPr>
                <w:rFonts w:ascii="Verdana" w:eastAsia="Calibri" w:hAnsi="Verdana" w:cs="Arial"/>
                <w:shd w:val="clear" w:color="auto" w:fill="FFFFFF"/>
              </w:rPr>
              <w:t>E</w:t>
            </w:r>
            <w:r w:rsidRPr="0086760D">
              <w:rPr>
                <w:rFonts w:ascii="Verdana" w:eastAsia="Calibri" w:hAnsi="Verdana" w:cs="Arial"/>
                <w:shd w:val="clear" w:color="auto" w:fill="FFFFFF"/>
              </w:rPr>
              <w:t>n lo correspondiente a las Entidades Estatales que por disposición legal cuentan con un régimen especial de contratación</w:t>
            </w:r>
            <w:r>
              <w:rPr>
                <w:rFonts w:ascii="Verdana" w:eastAsia="Calibri" w:hAnsi="Verdana" w:cs="Arial"/>
                <w:shd w:val="clear" w:color="auto" w:fill="FFFFFF"/>
              </w:rPr>
              <w:t xml:space="preserve"> </w:t>
            </w:r>
            <w:r w:rsidRPr="0086760D">
              <w:rPr>
                <w:rFonts w:ascii="Verdana" w:eastAsia="Calibri" w:hAnsi="Verdana" w:cs="Arial"/>
                <w:shd w:val="clear" w:color="auto" w:fill="FFFFFF"/>
              </w:rPr>
              <w:t xml:space="preserve">debe precisarse que, al administrar estas recursos públicos, deberán ceñirse a unas reglas mínimas que garanticen el cumplimiento de los principios de la función pública, el control fiscal y los principios rectores de la contratación estatal. </w:t>
            </w:r>
            <w:r w:rsidRPr="00596A79">
              <w:rPr>
                <w:rFonts w:ascii="Verdana" w:eastAsia="Calibri" w:hAnsi="Verdana" w:cs="Arial"/>
                <w:color w:val="000000"/>
                <w:lang w:val="es-ES_tradnl"/>
              </w:rPr>
              <w:t xml:space="preserve">En ese orden de ideas, se entiende que, sin importar el régimen de contratación mediante el cual las </w:t>
            </w:r>
            <w:r>
              <w:rPr>
                <w:rFonts w:ascii="Verdana" w:eastAsia="Calibri" w:hAnsi="Verdana" w:cs="Arial"/>
                <w:color w:val="000000"/>
                <w:lang w:val="es-ES_tradnl"/>
              </w:rPr>
              <w:t xml:space="preserve">EICE </w:t>
            </w:r>
            <w:r w:rsidRPr="00596A79">
              <w:rPr>
                <w:rFonts w:ascii="Verdana" w:eastAsia="Calibri" w:hAnsi="Verdana" w:cs="Arial"/>
                <w:color w:val="000000"/>
                <w:lang w:val="es-ES_tradnl"/>
              </w:rPr>
              <w:t>adelanten sus Procesos de Contratación</w:t>
            </w:r>
            <w:r>
              <w:rPr>
                <w:rFonts w:ascii="Verdana" w:eastAsia="Calibri" w:hAnsi="Verdana" w:cs="Arial"/>
                <w:color w:val="000000"/>
                <w:lang w:val="es-ES_tradnl"/>
              </w:rPr>
              <w:t xml:space="preserve">, </w:t>
            </w:r>
            <w:r w:rsidRPr="00596A79">
              <w:rPr>
                <w:rFonts w:ascii="Verdana" w:eastAsia="Calibri" w:hAnsi="Verdana" w:cs="Arial"/>
                <w:color w:val="000000"/>
                <w:lang w:val="es-ES_tradnl"/>
              </w:rPr>
              <w:t>tendrán la obligación de realizar la vigilancia de los contratos que suscriban</w:t>
            </w:r>
            <w:r>
              <w:rPr>
                <w:rFonts w:ascii="Verdana" w:eastAsia="Calibri" w:hAnsi="Verdana" w:cs="Arial"/>
                <w:color w:val="000000"/>
                <w:lang w:val="es-ES_tradnl"/>
              </w:rPr>
              <w:t xml:space="preserve"> </w:t>
            </w:r>
            <w:r w:rsidRPr="00596A79">
              <w:rPr>
                <w:rFonts w:ascii="Verdana" w:eastAsia="Calibri" w:hAnsi="Verdana" w:cs="Arial"/>
                <w:color w:val="000000"/>
                <w:lang w:val="es-ES_tradnl"/>
              </w:rPr>
              <w:t>con fundamento en lo dispuesto en la Ley 1474 de 2011, por obedecer a una obligación transversal de la contratación pública.</w:t>
            </w:r>
            <w:r>
              <w:rPr>
                <w:rFonts w:ascii="Verdana" w:eastAsia="Calibri" w:hAnsi="Verdana" w:cs="Arial"/>
                <w:color w:val="000000"/>
                <w:lang w:val="es-ES_tradnl"/>
              </w:rPr>
              <w:t xml:space="preserve"> Sin embargo, en la aplicación de este marco normativo a cada caso, </w:t>
            </w:r>
            <w:r w:rsidRPr="00627089">
              <w:rPr>
                <w:rFonts w:ascii="Verdana" w:eastAsia="Calibri" w:hAnsi="Verdana" w:cs="Arial"/>
                <w:color w:val="000000"/>
                <w:lang w:val="es-ES_tradnl"/>
              </w:rPr>
              <w:t xml:space="preserve">las </w:t>
            </w:r>
            <w:r>
              <w:rPr>
                <w:rFonts w:ascii="Verdana" w:eastAsia="Calibri" w:hAnsi="Verdana" w:cs="Arial"/>
                <w:color w:val="000000"/>
                <w:lang w:val="es-ES_tradnl"/>
              </w:rPr>
              <w:t xml:space="preserve">entidades </w:t>
            </w:r>
            <w:r w:rsidRPr="00627089">
              <w:rPr>
                <w:rFonts w:ascii="Verdana" w:eastAsia="Calibri" w:hAnsi="Verdana" w:cs="Arial"/>
                <w:color w:val="000000"/>
                <w:lang w:val="es-ES_tradnl"/>
              </w:rPr>
              <w:t xml:space="preserve">sometidas a un régimen especial de </w:t>
            </w:r>
            <w:r w:rsidRPr="00627089">
              <w:rPr>
                <w:rFonts w:ascii="Verdana" w:eastAsia="Calibri" w:hAnsi="Verdana" w:cs="Arial"/>
                <w:color w:val="000000"/>
                <w:lang w:val="es-ES_tradnl"/>
              </w:rPr>
              <w:lastRenderedPageBreak/>
              <w:t xml:space="preserve">contratación deberán seguir los parámetros que al respecto establezcan </w:t>
            </w:r>
            <w:r>
              <w:rPr>
                <w:rFonts w:ascii="Verdana" w:eastAsia="Calibri" w:hAnsi="Verdana" w:cs="Arial"/>
                <w:color w:val="000000"/>
                <w:lang w:val="es-ES_tradnl"/>
              </w:rPr>
              <w:t xml:space="preserve">sus normas de creación y </w:t>
            </w:r>
            <w:r w:rsidRPr="00627089">
              <w:rPr>
                <w:rFonts w:ascii="Verdana" w:eastAsia="Calibri" w:hAnsi="Verdana" w:cs="Arial"/>
                <w:color w:val="000000"/>
                <w:lang w:val="es-ES_tradnl"/>
              </w:rPr>
              <w:t>sus manuales de contratación.</w:t>
            </w:r>
          </w:p>
          <w:p w14:paraId="3989DD02" w14:textId="77777777" w:rsidR="00327E1D" w:rsidRDefault="00327E1D" w:rsidP="00F85C26">
            <w:pPr>
              <w:spacing w:before="120"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En virtud de lo anterior, las entidades sometidas a un régimen especial de contratación podrán determinar diversas modalidades de selección, tipologías contractuales y condiciones específicas para la contratación del seguimiento de sus negocios jurídicos. En efecto, las particularidades, forma y límites que deben respetar al determinar el valor de estos contratos se regirán por lo que disponga su norma de creación y su manual de contratación. En cualquier caso, en virtud de </w:t>
            </w:r>
            <w:r w:rsidRPr="00D4240A">
              <w:rPr>
                <w:rFonts w:ascii="Verdana" w:hAnsi="Verdana" w:cs="Arial"/>
              </w:rPr>
              <w:t>los principios de la función administrativa y de la gestión fiscal de que tratan los artículos 209 y 267 de la Constitución Política</w:t>
            </w:r>
            <w:r>
              <w:rPr>
                <w:rFonts w:ascii="Verdana" w:eastAsia="Calibri" w:hAnsi="Verdana" w:cs="Arial"/>
                <w:color w:val="000000" w:themeColor="text1"/>
                <w:lang w:val="es-ES"/>
              </w:rPr>
              <w:t>, el valor de estos contratos deberá estar fundamentado en los estudios previos que realicen en el marco de una adecuada planeación.</w:t>
            </w:r>
          </w:p>
          <w:p w14:paraId="78F062C0" w14:textId="77777777" w:rsidR="00327E1D" w:rsidRPr="00964EA8" w:rsidRDefault="00327E1D" w:rsidP="00F85C26">
            <w:pPr>
              <w:spacing w:before="120" w:after="120" w:line="276" w:lineRule="auto"/>
              <w:ind w:firstLine="709"/>
              <w:jc w:val="both"/>
              <w:rPr>
                <w:rFonts w:ascii="Verdana" w:eastAsia="Verdana" w:hAnsi="Verdana" w:cs="Verdana"/>
              </w:rPr>
            </w:pPr>
            <w:r w:rsidRPr="00596A79">
              <w:rPr>
                <w:rFonts w:ascii="Verdana" w:eastAsia="Times New Roman" w:hAnsi="Verdana" w:cs="Arial"/>
                <w:color w:val="000000"/>
                <w:szCs w:val="24"/>
                <w:lang w:val="es-ES_tradnl" w:eastAsia="es-ES_tradn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tc>
      </w:tr>
    </w:tbl>
    <w:p w14:paraId="3620777E" w14:textId="77777777" w:rsidR="00327E1D" w:rsidRPr="0017378C" w:rsidRDefault="00327E1D" w:rsidP="00327E1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694FEA2" w14:textId="77777777" w:rsidR="00327E1D" w:rsidRPr="0017378C" w:rsidRDefault="00327E1D" w:rsidP="00327E1D">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Razones de la respuesta:</w:t>
      </w:r>
    </w:p>
    <w:p w14:paraId="6CF948DE" w14:textId="77777777" w:rsidR="00327E1D" w:rsidRPr="0017378C" w:rsidRDefault="00327E1D" w:rsidP="00327E1D">
      <w:pPr>
        <w:spacing w:after="0" w:line="276" w:lineRule="auto"/>
        <w:jc w:val="both"/>
        <w:rPr>
          <w:rFonts w:ascii="Verdana" w:eastAsia="Calibri" w:hAnsi="Verdana" w:cs="Arial"/>
          <w:color w:val="000000" w:themeColor="text1"/>
          <w:lang w:val="es-ES"/>
        </w:rPr>
      </w:pPr>
    </w:p>
    <w:p w14:paraId="326D5972" w14:textId="77777777" w:rsidR="00327E1D" w:rsidRPr="0017378C" w:rsidRDefault="00327E1D" w:rsidP="00327E1D">
      <w:pPr>
        <w:spacing w:after="0" w:line="276" w:lineRule="auto"/>
        <w:jc w:val="both"/>
        <w:rPr>
          <w:rFonts w:ascii="Verdana" w:eastAsia="Calibri" w:hAnsi="Verdana" w:cs="Arial"/>
          <w:color w:val="000000" w:themeColor="text1"/>
          <w:lang w:val="es-ES"/>
        </w:rPr>
      </w:pPr>
      <w:r w:rsidRPr="0017378C">
        <w:rPr>
          <w:rFonts w:ascii="Verdana" w:eastAsia="Calibri" w:hAnsi="Verdana" w:cs="Arial"/>
          <w:color w:val="000000" w:themeColor="text1"/>
          <w:lang w:val="es-ES"/>
        </w:rPr>
        <w:t xml:space="preserve">Lo anterior se sustenta en las siguientes consideraciones: </w:t>
      </w:r>
    </w:p>
    <w:p w14:paraId="280D3A5D" w14:textId="77777777" w:rsidR="00327E1D" w:rsidRDefault="00327E1D" w:rsidP="00327E1D">
      <w:pPr>
        <w:spacing w:after="0" w:line="276" w:lineRule="auto"/>
        <w:jc w:val="both"/>
        <w:rPr>
          <w:rFonts w:ascii="Verdana" w:eastAsia="Calibri" w:hAnsi="Verdana" w:cs="Arial"/>
          <w:color w:val="000000" w:themeColor="text1"/>
          <w:lang w:val="es-ES"/>
        </w:rPr>
      </w:pPr>
    </w:p>
    <w:p w14:paraId="1E84D45C" w14:textId="659EE719" w:rsidR="00327E1D" w:rsidRPr="00501E29" w:rsidRDefault="007B526F" w:rsidP="00327E1D">
      <w:pPr>
        <w:spacing w:after="120" w:line="276" w:lineRule="auto"/>
        <w:jc w:val="both"/>
        <w:rPr>
          <w:rFonts w:ascii="Verdana" w:hAnsi="Verdana" w:cs="Arial"/>
        </w:rPr>
      </w:pPr>
      <w:r>
        <w:rPr>
          <w:rFonts w:ascii="Verdana" w:eastAsia="Calibri" w:hAnsi="Verdana" w:cs="Arial"/>
          <w:lang w:val="es-ES"/>
        </w:rPr>
        <w:t xml:space="preserve">i) </w:t>
      </w:r>
      <w:r w:rsidR="00327E1D" w:rsidRPr="00501E29">
        <w:rPr>
          <w:rFonts w:ascii="Verdana" w:eastAsia="Calibri" w:hAnsi="Verdana" w:cs="Arial"/>
          <w:lang w:val="es-ES"/>
        </w:rPr>
        <w:t>Respecto al régimen jurídico</w:t>
      </w:r>
      <w:r w:rsidR="00327E1D">
        <w:rPr>
          <w:rFonts w:ascii="Verdana" w:eastAsia="Calibri" w:hAnsi="Verdana" w:cs="Arial"/>
          <w:lang w:val="es-ES"/>
        </w:rPr>
        <w:t xml:space="preserve"> de las </w:t>
      </w:r>
      <w:r w:rsidR="00327E1D" w:rsidRPr="0089671A">
        <w:rPr>
          <w:rFonts w:ascii="Verdana" w:eastAsia="Calibri" w:hAnsi="Verdana" w:cs="Arial"/>
          <w:lang w:val="es-ES"/>
        </w:rPr>
        <w:t>Entidades Estatales</w:t>
      </w:r>
      <w:r w:rsidR="00327E1D" w:rsidRPr="00501E29">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00327E1D" w:rsidRPr="00501E29">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68D38757" w14:textId="77777777" w:rsidR="00327E1D" w:rsidRPr="00501E29" w:rsidRDefault="00327E1D" w:rsidP="00327E1D">
      <w:pPr>
        <w:spacing w:after="120" w:line="276" w:lineRule="auto"/>
        <w:ind w:firstLine="709"/>
        <w:jc w:val="both"/>
        <w:rPr>
          <w:rFonts w:ascii="Verdana" w:hAnsi="Verdana" w:cs="Arial"/>
        </w:rPr>
      </w:pPr>
      <w:r w:rsidRPr="00501E29">
        <w:rPr>
          <w:rFonts w:ascii="Verdana" w:hAnsi="Verdana" w:cs="Arial"/>
        </w:rPr>
        <w:lastRenderedPageBreak/>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w:t>
      </w:r>
      <w:r>
        <w:rPr>
          <w:rFonts w:ascii="Verdana" w:hAnsi="Verdana" w:cs="Arial"/>
        </w:rPr>
        <w:t>tonomía de la voluntad” –art. 32</w:t>
      </w:r>
      <w:r w:rsidRPr="00501E29">
        <w:rPr>
          <w:rFonts w:ascii="Verdana" w:hAnsi="Verdana" w:cs="Arial"/>
        </w:rPr>
        <w:t>, inciso primero–. Asimismo, dispone que “Las estipulaciones de los contratos serán las que</w:t>
      </w:r>
      <w:r>
        <w:rPr>
          <w:rFonts w:ascii="Verdana" w:hAnsi="Verdana" w:cs="Arial"/>
        </w:rPr>
        <w:t>,</w:t>
      </w:r>
      <w:r w:rsidRPr="00501E29">
        <w:rPr>
          <w:rFonts w:ascii="Verdana" w:hAnsi="Verdana" w:cs="Arial"/>
        </w:rPr>
        <w:t xml:space="preserve"> de acuerdo con las normas civiles, comerciales y las previstas en esta ley, correspondan a su esencia y naturaleza” –art. 40, inciso primero–.</w:t>
      </w:r>
    </w:p>
    <w:p w14:paraId="15FBFE1B" w14:textId="77777777" w:rsidR="00327E1D" w:rsidRPr="00501E29" w:rsidRDefault="00327E1D" w:rsidP="00327E1D">
      <w:pPr>
        <w:spacing w:after="0" w:line="276" w:lineRule="auto"/>
        <w:ind w:firstLine="708"/>
        <w:jc w:val="both"/>
        <w:rPr>
          <w:rFonts w:ascii="Verdana" w:hAnsi="Verdana" w:cs="Arial"/>
        </w:rPr>
      </w:pPr>
      <w:r w:rsidRPr="00501E29">
        <w:rPr>
          <w:rFonts w:ascii="Verdana" w:hAnsi="Verdana" w:cs="Arial"/>
        </w:rPr>
        <w:t>De esta manera, los contratos de las entidades s</w:t>
      </w:r>
      <w:r>
        <w:rPr>
          <w:rFonts w:ascii="Verdana" w:hAnsi="Verdana" w:cs="Arial"/>
        </w:rPr>
        <w:t>ujetas</w:t>
      </w:r>
      <w:r w:rsidRPr="00501E29">
        <w:rPr>
          <w:rFonts w:ascii="Verdana" w:hAnsi="Verdana" w:cs="Arial"/>
        </w:rPr>
        <w:t xml:space="preserve"> al Estatuto General de Contratación se rigen generalmente por el derecho privado y excepcionalmente por el derecho público, pues las normas civiles y comerciales son el derecho común de los contratos estatales</w:t>
      </w:r>
      <w:r w:rsidRPr="00501E29">
        <w:rPr>
          <w:rStyle w:val="FootnoteReference"/>
          <w:rFonts w:ascii="Verdana" w:hAnsi="Verdana" w:cs="Arial"/>
        </w:rPr>
        <w:footnoteReference w:id="2"/>
      </w:r>
      <w:r w:rsidRPr="00501E29">
        <w:rPr>
          <w:rFonts w:ascii="Verdana" w:hAnsi="Verdana" w:cs="Arial"/>
        </w:rPr>
        <w:t>. Para la doctrina, la mixtura del régimen contractual:</w:t>
      </w:r>
    </w:p>
    <w:p w14:paraId="7F50220E" w14:textId="77777777" w:rsidR="00327E1D" w:rsidRPr="00501E29" w:rsidRDefault="00327E1D" w:rsidP="00327E1D">
      <w:pPr>
        <w:spacing w:after="0" w:line="276" w:lineRule="auto"/>
        <w:ind w:firstLine="709"/>
        <w:jc w:val="both"/>
        <w:rPr>
          <w:rFonts w:ascii="Verdana" w:hAnsi="Verdana" w:cs="Arial"/>
        </w:rPr>
      </w:pPr>
    </w:p>
    <w:p w14:paraId="40376188" w14:textId="77777777" w:rsidR="00327E1D" w:rsidRDefault="00327E1D" w:rsidP="00327E1D">
      <w:pPr>
        <w:spacing w:after="0" w:line="240" w:lineRule="auto"/>
        <w:ind w:left="709" w:right="709"/>
        <w:jc w:val="both"/>
        <w:rPr>
          <w:rFonts w:ascii="Verdana" w:hAnsi="Verdana" w:cs="Arial"/>
          <w:sz w:val="21"/>
          <w:szCs w:val="21"/>
        </w:rPr>
      </w:pPr>
      <w:r w:rsidRPr="00501E29">
        <w:rPr>
          <w:rFonts w:ascii="Verdana" w:hAnsi="Verdana" w:cs="Arial"/>
          <w:sz w:val="21"/>
          <w:szCs w:val="21"/>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27A56E5B" w14:textId="77777777" w:rsidR="00327E1D" w:rsidRDefault="00327E1D" w:rsidP="00327E1D">
      <w:pPr>
        <w:spacing w:after="0" w:line="240" w:lineRule="auto"/>
        <w:ind w:left="709" w:right="709"/>
        <w:jc w:val="both"/>
        <w:rPr>
          <w:rFonts w:ascii="Verdana" w:hAnsi="Verdana" w:cs="Arial"/>
          <w:sz w:val="21"/>
          <w:szCs w:val="21"/>
        </w:rPr>
      </w:pPr>
    </w:p>
    <w:p w14:paraId="10876BA2" w14:textId="77777777" w:rsidR="00327E1D" w:rsidRPr="000876F0" w:rsidRDefault="00327E1D" w:rsidP="00327E1D">
      <w:pPr>
        <w:spacing w:after="0" w:line="240" w:lineRule="auto"/>
        <w:ind w:left="709" w:right="709"/>
        <w:jc w:val="both"/>
        <w:rPr>
          <w:rFonts w:ascii="Verdana" w:hAnsi="Verdana" w:cs="Arial"/>
          <w:sz w:val="21"/>
          <w:szCs w:val="21"/>
        </w:rPr>
      </w:pPr>
      <w:r w:rsidRPr="00501E29">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501E29">
        <w:rPr>
          <w:rStyle w:val="FootnoteReference"/>
          <w:rFonts w:ascii="Verdana" w:hAnsi="Verdana" w:cs="Arial"/>
          <w:sz w:val="21"/>
          <w:szCs w:val="21"/>
        </w:rPr>
        <w:footnoteReference w:id="3"/>
      </w:r>
      <w:r w:rsidRPr="00501E29">
        <w:rPr>
          <w:rFonts w:ascii="Verdana" w:hAnsi="Verdana" w:cs="Arial"/>
          <w:sz w:val="21"/>
          <w:szCs w:val="21"/>
        </w:rPr>
        <w:t xml:space="preserve">. </w:t>
      </w:r>
    </w:p>
    <w:p w14:paraId="3638DFC6" w14:textId="77777777" w:rsidR="00327E1D" w:rsidRPr="00501E29" w:rsidRDefault="00327E1D" w:rsidP="00327E1D">
      <w:pPr>
        <w:spacing w:after="0" w:line="276" w:lineRule="auto"/>
        <w:ind w:left="709" w:right="709"/>
        <w:jc w:val="both"/>
        <w:rPr>
          <w:rFonts w:ascii="Verdana" w:hAnsi="Verdana" w:cs="Arial"/>
        </w:rPr>
      </w:pPr>
      <w:r w:rsidRPr="00501E29">
        <w:rPr>
          <w:rFonts w:ascii="Verdana" w:hAnsi="Verdana" w:cs="Arial"/>
        </w:rPr>
        <w:t xml:space="preserve"> </w:t>
      </w:r>
    </w:p>
    <w:p w14:paraId="3EED7211" w14:textId="77777777" w:rsidR="00327E1D" w:rsidRDefault="00327E1D" w:rsidP="00327E1D">
      <w:pPr>
        <w:spacing w:after="120" w:line="276" w:lineRule="auto"/>
        <w:jc w:val="both"/>
        <w:rPr>
          <w:rFonts w:ascii="Verdana" w:hAnsi="Verdana" w:cs="Arial"/>
        </w:rPr>
      </w:pPr>
      <w:r w:rsidRPr="00501E29">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w:t>
      </w:r>
      <w:r w:rsidRPr="00501E29">
        <w:rPr>
          <w:rFonts w:ascii="Verdana" w:hAnsi="Verdana" w:cs="Arial"/>
        </w:rPr>
        <w:lastRenderedPageBreak/>
        <w:t>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363DC66D" w14:textId="77777777" w:rsidR="00327E1D" w:rsidRPr="00D4240A" w:rsidRDefault="00327E1D" w:rsidP="00327E1D">
      <w:pPr>
        <w:spacing w:after="120" w:line="276" w:lineRule="auto"/>
        <w:ind w:firstLine="709"/>
        <w:jc w:val="both"/>
        <w:rPr>
          <w:rFonts w:ascii="Verdana" w:hAnsi="Verdana" w:cs="Arial"/>
        </w:rPr>
      </w:pPr>
      <w:r w:rsidRPr="00D4240A">
        <w:rPr>
          <w:rFonts w:ascii="Verdana" w:hAnsi="Verdana" w:cs="Arial"/>
        </w:rPr>
        <w:t xml:space="preserve">No obstante, aunque tenga una influencia limitada, las </w:t>
      </w:r>
      <w:r w:rsidRPr="00D4240A">
        <w:rPr>
          <w:rFonts w:ascii="Verdana" w:hAnsi="Verdana" w:cs="Arial"/>
          <w:i/>
          <w:iCs/>
        </w:rPr>
        <w:t>entidades del régimen exceptuado</w:t>
      </w:r>
      <w:r w:rsidRPr="00D4240A">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7AF20BAD" w14:textId="77777777" w:rsidR="00327E1D" w:rsidRDefault="00327E1D" w:rsidP="00327E1D">
      <w:pPr>
        <w:spacing w:after="0" w:line="276" w:lineRule="auto"/>
        <w:ind w:firstLine="708"/>
        <w:jc w:val="both"/>
        <w:rPr>
          <w:rFonts w:ascii="Verdana" w:hAnsi="Verdana" w:cs="Arial"/>
        </w:rPr>
      </w:pPr>
      <w:r w:rsidRPr="00D4240A">
        <w:rPr>
          <w:rFonts w:ascii="Verdana" w:hAnsi="Verdana" w:cs="Aria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D4240A">
        <w:rPr>
          <w:rFonts w:ascii="Verdana" w:hAnsi="Verdana" w:cs="Arial"/>
        </w:rPr>
        <w:t>ii</w:t>
      </w:r>
      <w:proofErr w:type="spellEnd"/>
      <w:r w:rsidRPr="00D4240A">
        <w:rPr>
          <w:rFonts w:ascii="Verdana" w:hAnsi="Verdana" w:cs="Arial"/>
        </w:rPr>
        <w:t xml:space="preserve">) flexibilizar el ejercicio de la función administrativa –como en los contratos del Banco de la República o los de ciencia y tecnología– o </w:t>
      </w:r>
      <w:proofErr w:type="spellStart"/>
      <w:r w:rsidRPr="00D4240A">
        <w:rPr>
          <w:rFonts w:ascii="Verdana" w:hAnsi="Verdana" w:cs="Arial"/>
        </w:rPr>
        <w:t>iii</w:t>
      </w:r>
      <w:proofErr w:type="spellEnd"/>
      <w:r w:rsidRPr="00D4240A">
        <w:rPr>
          <w:rFonts w:ascii="Verdana" w:hAnsi="Verdana" w:cs="Arial"/>
        </w:rPr>
        <w:t>) establecer un régimen especial sin excluir por completo la aplicación de la Ley 80 de 1993 –como ocurre en la operaciones del crédito público–</w:t>
      </w:r>
      <w:r w:rsidRPr="00D4240A">
        <w:rPr>
          <w:rStyle w:val="FootnoteReference"/>
          <w:rFonts w:ascii="Verdana" w:hAnsi="Verdana" w:cs="Arial"/>
        </w:rPr>
        <w:footnoteReference w:id="4"/>
      </w:r>
      <w:r w:rsidRPr="00D4240A">
        <w:rPr>
          <w:rFonts w:ascii="Verdana" w:hAnsi="Verdana" w:cs="Arial"/>
        </w:rPr>
        <w:t xml:space="preserve">.  Para estos efectos, la doctrina ha identificado 171 entidades y contratos que manejan un régimen excepcional, los cuales se clasifican de acuerdo i) al sector económico, </w:t>
      </w:r>
      <w:proofErr w:type="spellStart"/>
      <w:r w:rsidRPr="00D4240A">
        <w:rPr>
          <w:rFonts w:ascii="Verdana" w:hAnsi="Verdana" w:cs="Arial"/>
        </w:rPr>
        <w:t>ii</w:t>
      </w:r>
      <w:proofErr w:type="spellEnd"/>
      <w:r w:rsidRPr="00D4240A">
        <w:rPr>
          <w:rFonts w:ascii="Verdana" w:hAnsi="Verdana" w:cs="Arial"/>
        </w:rPr>
        <w:t xml:space="preserve">) la asignación de un esquema legal especial, </w:t>
      </w:r>
      <w:proofErr w:type="spellStart"/>
      <w:r w:rsidRPr="00D4240A">
        <w:rPr>
          <w:rFonts w:ascii="Verdana" w:hAnsi="Verdana" w:cs="Arial"/>
        </w:rPr>
        <w:t>iii</w:t>
      </w:r>
      <w:proofErr w:type="spellEnd"/>
      <w:r w:rsidRPr="00D4240A">
        <w:rPr>
          <w:rFonts w:ascii="Verdana" w:hAnsi="Verdana" w:cs="Arial"/>
        </w:rPr>
        <w:t xml:space="preserve">) el objeto del contrato celebrado y </w:t>
      </w:r>
      <w:proofErr w:type="spellStart"/>
      <w:r w:rsidRPr="00D4240A">
        <w:rPr>
          <w:rFonts w:ascii="Verdana" w:hAnsi="Verdana" w:cs="Arial"/>
        </w:rPr>
        <w:t>iv</w:t>
      </w:r>
      <w:proofErr w:type="spellEnd"/>
      <w:r w:rsidRPr="00D4240A">
        <w:rPr>
          <w:rFonts w:ascii="Verdana" w:hAnsi="Verdana" w:cs="Arial"/>
        </w:rPr>
        <w:t>) la existencia de fondos que administran recursos públicos</w:t>
      </w:r>
      <w:r w:rsidRPr="00D4240A">
        <w:rPr>
          <w:rStyle w:val="FootnoteReference"/>
          <w:rFonts w:ascii="Verdana" w:hAnsi="Verdana" w:cs="Arial"/>
        </w:rPr>
        <w:footnoteReference w:id="5"/>
      </w:r>
      <w:r w:rsidRPr="00D4240A">
        <w:rPr>
          <w:rFonts w:ascii="Verdana" w:hAnsi="Verdana" w:cs="Arial"/>
        </w:rPr>
        <w:t>.</w:t>
      </w:r>
    </w:p>
    <w:p w14:paraId="32B6E203" w14:textId="77777777" w:rsidR="00327E1D" w:rsidRDefault="00327E1D" w:rsidP="00327E1D">
      <w:pPr>
        <w:spacing w:after="0" w:line="276" w:lineRule="auto"/>
        <w:jc w:val="both"/>
        <w:rPr>
          <w:rFonts w:ascii="Verdana" w:hAnsi="Verdana" w:cs="Arial"/>
          <w:bCs/>
          <w:lang w:val="es-MX"/>
        </w:rPr>
      </w:pPr>
    </w:p>
    <w:p w14:paraId="2D0951CD" w14:textId="77777777" w:rsidR="00327E1D" w:rsidRPr="00840450" w:rsidRDefault="00327E1D" w:rsidP="00327E1D">
      <w:pPr>
        <w:tabs>
          <w:tab w:val="left" w:pos="426"/>
        </w:tabs>
        <w:spacing w:after="0" w:line="276" w:lineRule="auto"/>
        <w:jc w:val="both"/>
        <w:rPr>
          <w:rFonts w:ascii="Verdana" w:hAnsi="Verdana" w:cs="Arial"/>
          <w:bCs/>
          <w:lang w:val="es-MX"/>
        </w:rPr>
      </w:pPr>
      <w:proofErr w:type="spellStart"/>
      <w:r>
        <w:rPr>
          <w:rFonts w:ascii="Verdana" w:eastAsia="Arial MT" w:hAnsi="Verdana" w:cs="Arial MT"/>
          <w:lang w:val="es-ES"/>
        </w:rPr>
        <w:t>ii</w:t>
      </w:r>
      <w:proofErr w:type="spellEnd"/>
      <w:r>
        <w:rPr>
          <w:rFonts w:ascii="Verdana" w:eastAsia="Arial MT" w:hAnsi="Verdana" w:cs="Arial MT"/>
          <w:lang w:val="es-ES"/>
        </w:rPr>
        <w:t>)</w:t>
      </w:r>
      <w:r>
        <w:rPr>
          <w:rFonts w:ascii="Verdana" w:hAnsi="Verdana" w:cs="Arial"/>
          <w:bCs/>
          <w:lang w:val="es-MX"/>
        </w:rPr>
        <w:t xml:space="preserve"> El inciso segundo del 365 constitucional dispone que “</w:t>
      </w:r>
      <w:r w:rsidRPr="002A30BA">
        <w:rPr>
          <w:rFonts w:ascii="Verdana" w:hAnsi="Verdana" w:cs="Arial"/>
          <w:bCs/>
          <w:lang w:val="es-MX"/>
        </w:rPr>
        <w:t>Los servicios públicos estarán sometidos al régimen jurídico que fije la ley, podrán ser prestados por el Estado, directa o indirectamente, por comunidades organizadas, o por particulares</w:t>
      </w:r>
      <w:r>
        <w:rPr>
          <w:rFonts w:ascii="Verdana" w:hAnsi="Verdana" w:cs="Arial"/>
          <w:bCs/>
          <w:lang w:val="es-MX"/>
        </w:rPr>
        <w:t xml:space="preserve"> […]”. 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lastRenderedPageBreak/>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5993EE9A" w14:textId="77777777" w:rsidR="00327E1D" w:rsidRPr="00060C87" w:rsidRDefault="00327E1D" w:rsidP="00327E1D">
      <w:pPr>
        <w:tabs>
          <w:tab w:val="left" w:pos="426"/>
        </w:tabs>
        <w:spacing w:after="0" w:line="276" w:lineRule="auto"/>
        <w:jc w:val="both"/>
        <w:rPr>
          <w:rFonts w:ascii="Verdana" w:eastAsia="Calibri" w:hAnsi="Verdana" w:cs="Arial"/>
          <w:color w:val="000000" w:themeColor="text1"/>
          <w:lang w:val="es-ES"/>
        </w:rPr>
      </w:pPr>
    </w:p>
    <w:p w14:paraId="1B356E94" w14:textId="77777777" w:rsidR="00327E1D" w:rsidRDefault="00327E1D" w:rsidP="00327E1D">
      <w:pPr>
        <w:tabs>
          <w:tab w:val="left" w:pos="426"/>
        </w:tabs>
        <w:spacing w:after="0" w:line="240" w:lineRule="auto"/>
        <w:ind w:left="709" w:right="709"/>
        <w:jc w:val="both"/>
        <w:rPr>
          <w:rFonts w:ascii="Verdana" w:eastAsia="Calibri" w:hAnsi="Verdana" w:cs="Arial"/>
          <w:color w:val="000000" w:themeColor="text1"/>
          <w:sz w:val="21"/>
          <w:szCs w:val="21"/>
          <w:lang w:val="es-ES"/>
        </w:rPr>
      </w:pPr>
      <w:r>
        <w:rPr>
          <w:rFonts w:ascii="Verdana" w:eastAsia="Calibri" w:hAnsi="Verdana" w:cs="Arial"/>
          <w:color w:val="000000" w:themeColor="text1"/>
          <w:sz w:val="21"/>
          <w:szCs w:val="21"/>
          <w:lang w:val="es-ES"/>
        </w:rPr>
        <w:t>“</w:t>
      </w:r>
      <w:r w:rsidRPr="00060C87">
        <w:rPr>
          <w:rFonts w:ascii="Verdana" w:eastAsia="Calibri" w:hAnsi="Verdana" w:cs="Arial"/>
          <w:color w:val="000000" w:themeColor="text1"/>
          <w:sz w:val="21"/>
          <w:szCs w:val="21"/>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6BDFD511" w14:textId="77777777" w:rsidR="00327E1D" w:rsidRPr="00060C87" w:rsidRDefault="00327E1D" w:rsidP="00327E1D">
      <w:pPr>
        <w:tabs>
          <w:tab w:val="left" w:pos="426"/>
        </w:tabs>
        <w:spacing w:after="0" w:line="240" w:lineRule="auto"/>
        <w:ind w:left="709" w:right="709"/>
        <w:jc w:val="both"/>
        <w:rPr>
          <w:rFonts w:ascii="Verdana" w:eastAsia="Calibri" w:hAnsi="Verdana" w:cs="Arial"/>
          <w:color w:val="000000" w:themeColor="text1"/>
          <w:sz w:val="21"/>
          <w:szCs w:val="21"/>
          <w:lang w:val="es-ES"/>
        </w:rPr>
      </w:pPr>
    </w:p>
    <w:p w14:paraId="04FDDAF3" w14:textId="77777777" w:rsidR="00327E1D" w:rsidRPr="00060C87" w:rsidRDefault="00327E1D" w:rsidP="00327E1D">
      <w:pPr>
        <w:tabs>
          <w:tab w:val="left" w:pos="426"/>
        </w:tabs>
        <w:spacing w:after="0" w:line="240" w:lineRule="auto"/>
        <w:ind w:left="709" w:right="709"/>
        <w:jc w:val="both"/>
        <w:rPr>
          <w:rFonts w:ascii="Verdana" w:eastAsia="Calibri" w:hAnsi="Verdana" w:cs="Arial"/>
          <w:color w:val="000000" w:themeColor="text1"/>
          <w:sz w:val="21"/>
          <w:szCs w:val="21"/>
          <w:lang w:val="es-ES"/>
        </w:rPr>
      </w:pPr>
      <w:r w:rsidRPr="00060C87">
        <w:rPr>
          <w:rFonts w:ascii="Verdana" w:eastAsia="Calibri" w:hAnsi="Verdana" w:cs="Arial"/>
          <w:color w:val="000000" w:themeColor="text1"/>
          <w:sz w:val="21"/>
          <w:szCs w:val="21"/>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Pr>
          <w:rFonts w:ascii="Verdana" w:eastAsia="Calibri" w:hAnsi="Verdana" w:cs="Arial"/>
          <w:color w:val="000000" w:themeColor="text1"/>
          <w:sz w:val="21"/>
          <w:szCs w:val="21"/>
          <w:lang w:val="es-ES"/>
        </w:rPr>
        <w:t>”</w:t>
      </w:r>
      <w:r w:rsidRPr="00060C87">
        <w:rPr>
          <w:rStyle w:val="FootnoteReference"/>
          <w:rFonts w:ascii="Verdana" w:eastAsia="Calibri" w:hAnsi="Verdana" w:cs="Arial"/>
          <w:color w:val="000000" w:themeColor="text1"/>
          <w:sz w:val="21"/>
          <w:szCs w:val="21"/>
          <w:lang w:val="es-ES"/>
        </w:rPr>
        <w:footnoteReference w:id="6"/>
      </w:r>
      <w:r w:rsidRPr="00060C87">
        <w:rPr>
          <w:rFonts w:ascii="Verdana" w:eastAsia="Calibri" w:hAnsi="Verdana" w:cs="Arial"/>
          <w:color w:val="000000" w:themeColor="text1"/>
          <w:sz w:val="21"/>
          <w:szCs w:val="21"/>
          <w:lang w:val="es-ES"/>
        </w:rPr>
        <w:t>.</w:t>
      </w:r>
    </w:p>
    <w:p w14:paraId="19C553CD" w14:textId="77777777" w:rsidR="00327E1D" w:rsidRPr="00060C87" w:rsidRDefault="00327E1D" w:rsidP="00327E1D">
      <w:pPr>
        <w:spacing w:after="0" w:line="276" w:lineRule="auto"/>
        <w:jc w:val="both"/>
        <w:rPr>
          <w:rFonts w:ascii="Verdana" w:hAnsi="Verdana" w:cs="Arial"/>
          <w:bCs/>
          <w:lang w:val="es-ES"/>
        </w:rPr>
      </w:pPr>
    </w:p>
    <w:p w14:paraId="422CA9CD" w14:textId="77777777" w:rsidR="00327E1D" w:rsidRPr="008638A5" w:rsidRDefault="00327E1D" w:rsidP="00327E1D">
      <w:pPr>
        <w:tabs>
          <w:tab w:val="left" w:pos="0"/>
        </w:tabs>
        <w:spacing w:before="120" w:after="120" w:line="276" w:lineRule="auto"/>
        <w:ind w:firstLine="709"/>
        <w:jc w:val="both"/>
      </w:pPr>
      <w:r w:rsidRPr="008638A5">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8638A5">
        <w:rPr>
          <w:rStyle w:val="FootnoteReference"/>
          <w:rFonts w:ascii="Verdana" w:eastAsia="Calibri" w:hAnsi="Verdana" w:cs="Arial"/>
          <w:bCs/>
          <w:color w:val="000000" w:themeColor="text1"/>
          <w:lang w:val="es-ES_tradnl"/>
        </w:rPr>
        <w:footnoteReference w:id="7"/>
      </w:r>
      <w:r w:rsidRPr="008638A5">
        <w:rPr>
          <w:rFonts w:ascii="Verdana" w:eastAsia="Calibri" w:hAnsi="Verdana" w:cs="Arial"/>
          <w:bCs/>
          <w:color w:val="000000" w:themeColor="text1"/>
          <w:lang w:val="es-ES_tradnl"/>
        </w:rPr>
        <w:t xml:space="preserve">. En </w:t>
      </w:r>
      <w:r w:rsidRPr="008638A5">
        <w:rPr>
          <w:rFonts w:ascii="Verdana" w:eastAsia="Calibri" w:hAnsi="Verdana" w:cs="Arial"/>
          <w:bCs/>
          <w:color w:val="000000" w:themeColor="text1"/>
          <w:lang w:val="es-ES_tradnl"/>
        </w:rPr>
        <w:lastRenderedPageBreak/>
        <w:t xml:space="preserve">otras palabras, aunque el artículo 14 de la Ley 142 de 1994 establece que las empresas prestadoras de servicios públicos domiciliarios pueden ser </w:t>
      </w:r>
      <w:r w:rsidRPr="008638A5">
        <w:rPr>
          <w:rFonts w:ascii="Verdana" w:eastAsia="Calibri" w:hAnsi="Verdana" w:cs="Arial"/>
          <w:bCs/>
          <w:i/>
          <w:iCs/>
          <w:color w:val="000000" w:themeColor="text1"/>
          <w:lang w:val="es-ES_tradnl"/>
        </w:rPr>
        <w:t>oficiales</w:t>
      </w:r>
      <w:r w:rsidRPr="008638A5">
        <w:rPr>
          <w:rFonts w:ascii="Verdana" w:eastAsia="Calibri" w:hAnsi="Verdana" w:cs="Arial"/>
          <w:bCs/>
          <w:color w:val="000000" w:themeColor="text1"/>
          <w:lang w:val="es-ES_tradnl"/>
        </w:rPr>
        <w:t xml:space="preserve">, </w:t>
      </w:r>
      <w:r w:rsidRPr="008638A5">
        <w:rPr>
          <w:rFonts w:ascii="Verdana" w:eastAsia="Calibri" w:hAnsi="Verdana" w:cs="Arial"/>
          <w:bCs/>
          <w:i/>
          <w:iCs/>
          <w:color w:val="000000" w:themeColor="text1"/>
          <w:lang w:val="es-ES_tradnl"/>
        </w:rPr>
        <w:t>mixtas</w:t>
      </w:r>
      <w:r w:rsidRPr="008638A5">
        <w:rPr>
          <w:rFonts w:ascii="Verdana" w:eastAsia="Calibri" w:hAnsi="Verdana" w:cs="Arial"/>
          <w:bCs/>
          <w:color w:val="000000" w:themeColor="text1"/>
          <w:lang w:val="es-ES_tradnl"/>
        </w:rPr>
        <w:t xml:space="preserve"> o </w:t>
      </w:r>
      <w:r w:rsidRPr="008638A5">
        <w:rPr>
          <w:rFonts w:ascii="Verdana" w:eastAsia="Calibri" w:hAnsi="Verdana" w:cs="Arial"/>
          <w:bCs/>
          <w:i/>
          <w:iCs/>
          <w:color w:val="000000" w:themeColor="text1"/>
          <w:lang w:val="es-ES_tradnl"/>
        </w:rPr>
        <w:t>privadas</w:t>
      </w:r>
      <w:r w:rsidRPr="008638A5">
        <w:rPr>
          <w:rStyle w:val="FootnoteReference"/>
          <w:rFonts w:ascii="Verdana" w:eastAsia="Calibri" w:hAnsi="Verdana" w:cs="Arial"/>
          <w:bCs/>
          <w:color w:val="000000" w:themeColor="text1"/>
          <w:lang w:val="es-ES_tradnl"/>
        </w:rPr>
        <w:footnoteReference w:id="8"/>
      </w:r>
      <w:r w:rsidRPr="008638A5">
        <w:rPr>
          <w:rFonts w:ascii="Verdana" w:eastAsia="Calibri" w:hAnsi="Verdana" w:cs="Arial"/>
          <w:bCs/>
          <w:color w:val="000000" w:themeColor="text1"/>
          <w:lang w:val="es-ES_tradnl"/>
        </w:rPr>
        <w:t xml:space="preserve">, estas tres especies ingresan en la categoría de las </w:t>
      </w:r>
      <w:r w:rsidRPr="008638A5">
        <w:rPr>
          <w:rFonts w:ascii="Verdana" w:eastAsia="Calibri" w:hAnsi="Verdana" w:cs="Arial"/>
          <w:bCs/>
          <w:i/>
          <w:iCs/>
          <w:color w:val="000000" w:themeColor="text1"/>
          <w:lang w:val="es-ES_tradnl"/>
        </w:rPr>
        <w:t>entidades descentralizadas por servicios</w:t>
      </w:r>
      <w:r w:rsidRPr="008638A5">
        <w:rPr>
          <w:rFonts w:ascii="Verdana" w:eastAsia="Calibri" w:hAnsi="Verdana" w:cs="Arial"/>
          <w:bCs/>
          <w:color w:val="000000" w:themeColor="text1"/>
          <w:lang w:val="es-ES_tradnl"/>
        </w:rPr>
        <w:t xml:space="preserve">. Adicionalmente, debe recordarse que en dicha Sentencia el alto tribunal afirmó que las empresas prestadoras de servicios públicos domiciliarios </w:t>
      </w:r>
      <w:r w:rsidRPr="008638A5">
        <w:rPr>
          <w:rFonts w:ascii="Verdana" w:eastAsia="Calibri" w:hAnsi="Verdana" w:cs="Arial"/>
          <w:bCs/>
          <w:i/>
          <w:iCs/>
          <w:color w:val="000000" w:themeColor="text1"/>
          <w:lang w:val="es-ES_tradnl"/>
        </w:rPr>
        <w:t>mixtas y privadas</w:t>
      </w:r>
      <w:r w:rsidRPr="008638A5">
        <w:rPr>
          <w:rFonts w:ascii="Verdana" w:eastAsia="Calibri" w:hAnsi="Verdana" w:cs="Arial"/>
          <w:bCs/>
          <w:color w:val="000000" w:themeColor="text1"/>
          <w:lang w:val="es-ES_tradnl"/>
        </w:rPr>
        <w:t xml:space="preserve"> son tipos </w:t>
      </w:r>
      <w:r w:rsidRPr="008638A5">
        <w:rPr>
          <w:rFonts w:ascii="Verdana" w:eastAsia="Calibri" w:hAnsi="Verdana" w:cs="Arial"/>
          <w:bCs/>
          <w:i/>
          <w:iCs/>
          <w:color w:val="000000" w:themeColor="text1"/>
          <w:lang w:val="es-ES_tradnl"/>
        </w:rPr>
        <w:t>especiales</w:t>
      </w:r>
      <w:r w:rsidRPr="008638A5">
        <w:rPr>
          <w:rFonts w:ascii="Verdana" w:eastAsia="Calibri" w:hAnsi="Verdana" w:cs="Arial"/>
          <w:bCs/>
          <w:color w:val="000000" w:themeColor="text1"/>
          <w:lang w:val="es-ES_tradnl"/>
        </w:rPr>
        <w:t xml:space="preserve"> de entidades descentralizadas por servicios que, por tanto, no pueden encasillarse en las otras especies de entidades descentralizadas por servicios enlistadas en el artículo 38 de la Ley 489 de 1998, es decir, que no cabe considerarlas, verbigracia, dentro de las sociedades públicas ni en las sociedades de economía mixta. </w:t>
      </w:r>
    </w:p>
    <w:p w14:paraId="467AFE81" w14:textId="77777777" w:rsidR="00327E1D" w:rsidRPr="00C87D7C" w:rsidRDefault="00327E1D" w:rsidP="00327E1D">
      <w:pPr>
        <w:spacing w:after="120" w:line="276" w:lineRule="auto"/>
        <w:ind w:firstLine="709"/>
        <w:jc w:val="both"/>
      </w:pPr>
      <w:r w:rsidRPr="718DCDC1">
        <w:rPr>
          <w:rFonts w:ascii="Verdana" w:eastAsia="Calibri" w:hAnsi="Verdana" w:cs="Arial"/>
          <w:color w:val="000000" w:themeColor="text1"/>
          <w:lang w:val="es-ES"/>
        </w:rPr>
        <w:t xml:space="preserve">Sin perjuicio de lo anterior, el artículo 17 de la Ley 142 de 1994 establece que “Las entidades descentralizadas de cualquier orden territorial o nacional, cuyos propietarios no deseen que su capital esté representado en acciones, </w:t>
      </w:r>
      <w:r w:rsidRPr="718DCDC1">
        <w:rPr>
          <w:rFonts w:ascii="Verdana" w:eastAsia="Calibri" w:hAnsi="Verdana" w:cs="Arial"/>
          <w:i/>
          <w:iCs/>
          <w:color w:val="000000" w:themeColor="text1"/>
          <w:lang w:val="es-ES"/>
        </w:rPr>
        <w:t>deberán adoptar la forma de empresa industrial y comercial del estado</w:t>
      </w:r>
      <w:r w:rsidRPr="718DCDC1">
        <w:rPr>
          <w:rFonts w:ascii="Verdana" w:eastAsia="Calibri" w:hAnsi="Verdana" w:cs="Arial"/>
          <w:color w:val="000000" w:themeColor="text1"/>
          <w:lang w:val="es-ES"/>
        </w:rPr>
        <w:t xml:space="preserve">” (Énfasis fuera de texto). Es decir que en tal evento esa es la </w:t>
      </w:r>
      <w:r w:rsidRPr="718DCDC1">
        <w:rPr>
          <w:rFonts w:ascii="Verdana" w:eastAsia="Calibri" w:hAnsi="Verdana" w:cs="Arial"/>
          <w:i/>
          <w:iCs/>
          <w:color w:val="000000" w:themeColor="text1"/>
          <w:lang w:val="es-ES"/>
        </w:rPr>
        <w:t>naturaleza</w:t>
      </w:r>
      <w:r w:rsidRPr="718DCDC1">
        <w:rPr>
          <w:rFonts w:ascii="Verdana" w:eastAsia="Calibri" w:hAnsi="Verdana" w:cs="Arial"/>
          <w:color w:val="000000" w:themeColor="text1"/>
          <w:lang w:val="es-ES"/>
        </w:rPr>
        <w:t xml:space="preserve"> de la empresa de servicios públicos domiciliarios. Así lo reconoció la Corte Constitucional en un apartado de la Sentencia C-736 de 2007, pues “[…] el artículo 17 de la Ley en cita define así </w:t>
      </w:r>
      <w:r w:rsidRPr="718DCDC1">
        <w:rPr>
          <w:rFonts w:ascii="Verdana" w:eastAsia="Calibri" w:hAnsi="Verdana" w:cs="Arial"/>
          <w:i/>
          <w:iCs/>
          <w:color w:val="000000" w:themeColor="text1"/>
          <w:lang w:val="es-ES"/>
        </w:rPr>
        <w:t>la naturaleza jurídica</w:t>
      </w:r>
      <w:r w:rsidRPr="718DCDC1">
        <w:rPr>
          <w:rFonts w:ascii="Verdana" w:eastAsia="Calibri" w:hAnsi="Verdana" w:cs="Arial"/>
          <w:color w:val="000000" w:themeColor="text1"/>
          <w:lang w:val="es-ES"/>
        </w:rPr>
        <w:t xml:space="preserve"> de las empresas de servicios públicos” (Énfasis fuera de texto). El Consejo de Estado también ha considerado, interpretando el mismo artículo, que las empresas de servicios públicos domiciliarios pueden tener la </w:t>
      </w:r>
      <w:r w:rsidRPr="718DCDC1">
        <w:rPr>
          <w:rFonts w:ascii="Verdana" w:eastAsia="Calibri" w:hAnsi="Verdana" w:cs="Arial"/>
          <w:i/>
          <w:iCs/>
          <w:color w:val="000000" w:themeColor="text1"/>
          <w:lang w:val="es-ES"/>
        </w:rPr>
        <w:t>forma</w:t>
      </w:r>
      <w:r w:rsidRPr="718DCDC1">
        <w:rPr>
          <w:rFonts w:ascii="Verdana" w:eastAsia="Calibri" w:hAnsi="Verdana" w:cs="Arial"/>
          <w:color w:val="000000" w:themeColor="text1"/>
          <w:lang w:val="es-ES"/>
        </w:rPr>
        <w:t xml:space="preserve"> de empresas industriales y comerciales del Estado o de sociedades por acciones. Lo dijo, por ejemplo, para otorgarles a las empresas industriales y comerciales del Estado que prestaran servicios públicos domiciliarios el carácter de entidades públicas e indicar que, por tanto, eran sujetos pasivos de la contribución especial prevista en el artículo 6 de la Ley 1106 de 2006</w:t>
      </w:r>
      <w:r w:rsidRPr="718DCDC1">
        <w:rPr>
          <w:rStyle w:val="FootnoteReference"/>
          <w:rFonts w:ascii="Verdana" w:eastAsia="Calibri" w:hAnsi="Verdana" w:cs="Arial"/>
          <w:color w:val="000000" w:themeColor="text1"/>
          <w:lang w:val="es-ES"/>
        </w:rPr>
        <w:footnoteReference w:id="9"/>
      </w:r>
      <w:r w:rsidRPr="718DCDC1">
        <w:rPr>
          <w:rFonts w:ascii="Verdana" w:eastAsia="Calibri" w:hAnsi="Verdana" w:cs="Arial"/>
          <w:color w:val="000000" w:themeColor="text1"/>
          <w:lang w:val="es-ES"/>
        </w:rPr>
        <w:t>.</w:t>
      </w:r>
    </w:p>
    <w:p w14:paraId="77827D51" w14:textId="77777777" w:rsidR="00327E1D" w:rsidRDefault="00327E1D" w:rsidP="00327E1D">
      <w:pPr>
        <w:spacing w:after="12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lastRenderedPageBreak/>
        <w:t>L</w:t>
      </w:r>
      <w:r w:rsidRPr="008638A5">
        <w:rPr>
          <w:rFonts w:ascii="Verdana" w:eastAsia="Calibri" w:hAnsi="Verdana" w:cs="Arial"/>
          <w:bCs/>
          <w:color w:val="000000" w:themeColor="text1"/>
          <w:lang w:val="es-ES_tradnl"/>
        </w:rPr>
        <w:t>a Superintendencia de Servicios Públicos Domiciliarios</w:t>
      </w:r>
      <w:r>
        <w:rPr>
          <w:rFonts w:ascii="Verdana" w:eastAsia="Calibri" w:hAnsi="Verdana" w:cs="Arial"/>
          <w:bCs/>
          <w:color w:val="000000" w:themeColor="text1"/>
          <w:lang w:val="es-ES_tradnl"/>
        </w:rPr>
        <w:t xml:space="preserve"> también</w:t>
      </w:r>
      <w:r w:rsidRPr="008638A5">
        <w:rPr>
          <w:rFonts w:ascii="Verdana" w:eastAsia="Calibri" w:hAnsi="Verdana" w:cs="Arial"/>
          <w:bCs/>
          <w:color w:val="000000" w:themeColor="text1"/>
          <w:lang w:val="es-ES_tradnl"/>
        </w:rPr>
        <w:t xml:space="preserve"> recordó que el legislador permitió que las empresas de servicios públicos domiciliarios adoptaran la forma de empresas industriales y comerciales del Estado, pero que el plazo para que esto se diera ya venció. En palabras de este organismo, “Los plazos legales para efectuar la transformación a que alude el parágrafo del artículo 17 de la Ley 142 de 1994, de las entidades descentralizadas en Empresas Industriales y Comerciales del Estado, venció el 3 de enero de 1998, por lo que, a partir de tal fecha, aquéllas que no lo hicieron, debieron constituirse como sociedades por acciones; mientras que el término de transformación para la Nación y a las entidades territoriales (departamentos, municipios, distritos), que prestaban directamente los servicios públicos domiciliarios, de acuerdo con el artículo 182 referido, venció el 11 de enero de 1996”</w:t>
      </w:r>
      <w:r w:rsidRPr="008638A5">
        <w:rPr>
          <w:rStyle w:val="FootnoteReference"/>
          <w:rFonts w:ascii="Verdana" w:eastAsia="Calibri" w:hAnsi="Verdana" w:cs="Arial"/>
          <w:bCs/>
          <w:color w:val="000000" w:themeColor="text1"/>
          <w:lang w:val="es-ES_tradnl"/>
        </w:rPr>
        <w:footnoteReference w:id="10"/>
      </w:r>
      <w:r w:rsidRPr="008638A5">
        <w:rPr>
          <w:rFonts w:ascii="Verdana" w:eastAsia="Calibri" w:hAnsi="Verdana" w:cs="Arial"/>
          <w:bCs/>
          <w:color w:val="000000" w:themeColor="text1"/>
          <w:lang w:val="es-ES_tradnl"/>
        </w:rPr>
        <w:t>.</w:t>
      </w:r>
    </w:p>
    <w:p w14:paraId="1B58A3B5" w14:textId="179AB809" w:rsidR="00327E1D" w:rsidRDefault="00327E1D" w:rsidP="00E628CE">
      <w:pPr>
        <w:spacing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Sólo las empresas prestadoras de servicios públicos se someten al régimen especial de la Ley 142 de 1994. Las demás entidades del Estado deberán aplicar la Ley 80 de 1993 o, en su defecto, las del régimen especial correspondiente de acuerdo con su naturaleza jurídica u objeto.</w:t>
      </w:r>
    </w:p>
    <w:p w14:paraId="762E95BD" w14:textId="77777777" w:rsidR="00E628CE" w:rsidRPr="00E628CE" w:rsidRDefault="00E628CE" w:rsidP="00E628CE">
      <w:pPr>
        <w:spacing w:after="0" w:line="276" w:lineRule="auto"/>
        <w:ind w:firstLine="709"/>
        <w:jc w:val="both"/>
        <w:rPr>
          <w:rFonts w:ascii="Verdana" w:eastAsia="Calibri" w:hAnsi="Verdana" w:cs="Arial"/>
          <w:bCs/>
          <w:color w:val="000000" w:themeColor="text1"/>
          <w:lang w:val="es-ES_tradnl"/>
        </w:rPr>
      </w:pPr>
    </w:p>
    <w:p w14:paraId="328D0A4E" w14:textId="77777777" w:rsidR="00327E1D" w:rsidRPr="00CC7195" w:rsidRDefault="00327E1D" w:rsidP="00327E1D">
      <w:pPr>
        <w:tabs>
          <w:tab w:val="left" w:pos="426"/>
        </w:tabs>
        <w:spacing w:line="276" w:lineRule="auto"/>
        <w:jc w:val="both"/>
        <w:rPr>
          <w:rFonts w:ascii="Verdana" w:eastAsia="Calibri" w:hAnsi="Verdana" w:cs="Arial"/>
          <w:b/>
          <w:color w:val="000000" w:themeColor="text1"/>
          <w:lang w:val="es-ES_tradnl"/>
        </w:rPr>
      </w:pPr>
      <w:r>
        <w:rPr>
          <w:rFonts w:ascii="Verdana" w:hAnsi="Verdana" w:cs="Arial"/>
          <w:lang w:val="es-MX"/>
        </w:rPr>
        <w:t>iii) Las</w:t>
      </w:r>
      <w:r w:rsidRPr="00CC7195">
        <w:rPr>
          <w:rFonts w:ascii="Verdana" w:eastAsia="Calibri" w:hAnsi="Verdana" w:cs="Arial"/>
          <w:color w:val="000000" w:themeColor="text1"/>
          <w:lang w:val="es-ES_tradnl"/>
        </w:rPr>
        <w:t xml:space="preserve">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w:t>
      </w:r>
      <w:r>
        <w:rPr>
          <w:rFonts w:ascii="Verdana" w:eastAsia="Calibri" w:hAnsi="Verdana" w:cs="Arial"/>
          <w:color w:val="000000" w:themeColor="text1"/>
          <w:lang w:val="es-ES_tradnl"/>
        </w:rPr>
        <w:t>,</w:t>
      </w:r>
      <w:r w:rsidRPr="00CC7195">
        <w:rPr>
          <w:rFonts w:ascii="Verdana" w:eastAsia="Calibri" w:hAnsi="Verdana" w:cs="Arial"/>
          <w:color w:val="000000" w:themeColor="text1"/>
          <w:lang w:val="es-ES_tradnl"/>
        </w:rPr>
        <w:t xml:space="preserve"> sus procedimientos contractuales tienen su normativa para su desarrollo, esto es, el derecho privado, lo cual está determinado en las normas de creación de las entidades de régimen especial y en sus manuales de contratación.</w:t>
      </w:r>
    </w:p>
    <w:p w14:paraId="67D12AF9" w14:textId="77777777" w:rsidR="00327E1D" w:rsidRPr="00CC7195" w:rsidRDefault="00327E1D" w:rsidP="00327E1D">
      <w:pPr>
        <w:spacing w:before="120" w:after="120" w:line="276" w:lineRule="auto"/>
        <w:jc w:val="both"/>
        <w:rPr>
          <w:rFonts w:ascii="Verdana" w:eastAsia="Calibri" w:hAnsi="Verdana" w:cs="Arial"/>
          <w:color w:val="000000" w:themeColor="text1"/>
          <w:lang w:val="es-ES"/>
        </w:rPr>
      </w:pPr>
      <w:r w:rsidRPr="00CC7195">
        <w:rPr>
          <w:rFonts w:ascii="Verdana" w:eastAsia="Calibri" w:hAnsi="Verdana" w:cs="Arial"/>
          <w:color w:val="000000" w:themeColor="text1"/>
          <w:lang w:val="es-ES_tradnl"/>
        </w:rPr>
        <w:tab/>
      </w:r>
      <w:r w:rsidRPr="3957B322">
        <w:rPr>
          <w:rFonts w:ascii="Verdana" w:eastAsia="Calibri" w:hAnsi="Verdana" w:cs="Arial"/>
          <w:color w:val="000000" w:themeColor="text1"/>
          <w:lang w:val="es-ES"/>
        </w:rPr>
        <w:t>Teniendo en cuenta que las entidades de régimen especial están facultadas legalmente para aplicar reglas distintas a la Ley 80 de 1993 y sus normas complementarias, ello estará definido en la no</w:t>
      </w:r>
      <w:r>
        <w:rPr>
          <w:rFonts w:ascii="Verdana" w:eastAsia="Calibri" w:hAnsi="Verdana" w:cs="Arial"/>
          <w:color w:val="000000" w:themeColor="text1"/>
          <w:lang w:val="es-ES"/>
        </w:rPr>
        <w:t>r</w:t>
      </w:r>
      <w:r w:rsidRPr="3957B322">
        <w:rPr>
          <w:rFonts w:ascii="Verdana" w:eastAsia="Calibri" w:hAnsi="Verdana" w:cs="Arial"/>
          <w:color w:val="000000" w:themeColor="text1"/>
          <w:lang w:val="es-ES"/>
        </w:rPr>
        <w:t xml:space="preserve">ma que crea el régimen especial y será desarrollado en el manual de contratación, con el fin de que se puedan identificar las reglas que aplican en la contratación. La Agencia Nacional de Contratación Pública - Colombia Compra Eficiente expidió la Guía para las Entidades Estatales con régimen especial de contratación, que las define como </w:t>
      </w:r>
      <w:r w:rsidRPr="3957B322">
        <w:rPr>
          <w:rFonts w:ascii="Verdana" w:eastAsia="Calibri" w:hAnsi="Verdana" w:cs="Arial"/>
          <w:color w:val="000000" w:themeColor="text1"/>
          <w:lang w:val="es-ES"/>
        </w:rPr>
        <w:lastRenderedPageBreak/>
        <w:t>aquellas que contratan con un régimen distinto a las Leyes 80 de 1993 y 1150 de 2007</w:t>
      </w:r>
      <w:r w:rsidRPr="3957B322">
        <w:rPr>
          <w:rStyle w:val="FootnoteReference"/>
          <w:rFonts w:ascii="Verdana" w:eastAsia="Calibri" w:hAnsi="Verdana" w:cs="Arial"/>
          <w:color w:val="000000" w:themeColor="text1"/>
          <w:lang w:val="es-ES"/>
        </w:rPr>
        <w:footnoteReference w:id="11"/>
      </w:r>
      <w:r w:rsidRPr="3957B322">
        <w:rPr>
          <w:rFonts w:ascii="Verdana" w:eastAsia="Calibri" w:hAnsi="Verdana" w:cs="Arial"/>
          <w:color w:val="000000" w:themeColor="text1"/>
          <w:lang w:val="es-ES"/>
        </w:rPr>
        <w:t>.</w:t>
      </w:r>
    </w:p>
    <w:p w14:paraId="5E6A8E16" w14:textId="77777777" w:rsidR="00327E1D" w:rsidRPr="00CC7195" w:rsidRDefault="00327E1D" w:rsidP="00327E1D">
      <w:pPr>
        <w:spacing w:line="276" w:lineRule="auto"/>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w:t>
      </w:r>
      <w:r>
        <w:rPr>
          <w:rFonts w:ascii="Verdana" w:eastAsia="Calibri" w:hAnsi="Verdana" w:cs="Arial"/>
          <w:color w:val="000000" w:themeColor="text1"/>
          <w:lang w:val="es-ES_tradnl"/>
        </w:rPr>
        <w:t>ión administrativa y la gestión fiscal</w:t>
      </w:r>
      <w:r w:rsidRPr="00CC7195">
        <w:rPr>
          <w:rFonts w:ascii="Verdana" w:eastAsia="Calibri" w:hAnsi="Verdana" w:cs="Arial"/>
          <w:color w:val="000000" w:themeColor="text1"/>
          <w:lang w:val="es-ES_tradnl"/>
        </w:rPr>
        <w:t>, entre otras reglas dispuestas en la normativa de contratación pública que son trasversales a todas las entidades, sin importar su régimen legal, como el régimen de inhabilidades e incompatibilidades previsto para la contratación estatal. Lo anterior es reafirmado por el Consejo de Estado, que destaca las reglas que sigue la contratación de las entidades de régimen especial:</w:t>
      </w:r>
    </w:p>
    <w:p w14:paraId="38D9D6F5" w14:textId="77777777" w:rsidR="00327E1D" w:rsidRDefault="00327E1D" w:rsidP="00327E1D">
      <w:pPr>
        <w:spacing w:after="0"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18183D3D" w14:textId="77777777" w:rsidR="00327E1D" w:rsidRPr="003E2347" w:rsidRDefault="00327E1D" w:rsidP="00327E1D">
      <w:pPr>
        <w:spacing w:after="0" w:line="240" w:lineRule="auto"/>
        <w:ind w:left="709" w:right="709"/>
        <w:jc w:val="both"/>
        <w:rPr>
          <w:rFonts w:ascii="Verdana" w:eastAsia="Calibri" w:hAnsi="Verdana" w:cs="Arial"/>
          <w:color w:val="000000" w:themeColor="text1"/>
          <w:sz w:val="20"/>
          <w:szCs w:val="20"/>
          <w:lang w:val="es-ES_tradnl"/>
        </w:rPr>
      </w:pPr>
    </w:p>
    <w:p w14:paraId="74F20487" w14:textId="77777777" w:rsidR="00327E1D" w:rsidRDefault="00327E1D" w:rsidP="00327E1D">
      <w:pPr>
        <w:spacing w:after="0" w:line="240" w:lineRule="auto"/>
        <w:ind w:left="709" w:right="709"/>
        <w:jc w:val="both"/>
        <w:rPr>
          <w:rFonts w:ascii="Verdana" w:eastAsia="Calibri" w:hAnsi="Verdana" w:cs="Arial"/>
          <w:color w:val="000000" w:themeColor="text1"/>
          <w:sz w:val="20"/>
          <w:szCs w:val="20"/>
          <w:lang w:val="es-ES"/>
        </w:rPr>
      </w:pPr>
      <w:r w:rsidRPr="003E2347">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03A4B82A" w14:textId="77777777" w:rsidR="00327E1D" w:rsidRPr="003E2347" w:rsidRDefault="00327E1D" w:rsidP="00327E1D">
      <w:pPr>
        <w:spacing w:after="0" w:line="240" w:lineRule="auto"/>
        <w:ind w:left="709" w:right="709"/>
        <w:jc w:val="both"/>
        <w:rPr>
          <w:rFonts w:ascii="Verdana" w:eastAsia="Calibri" w:hAnsi="Verdana" w:cs="Arial"/>
          <w:color w:val="000000" w:themeColor="text1"/>
          <w:sz w:val="20"/>
          <w:szCs w:val="20"/>
          <w:lang w:val="es-ES"/>
        </w:rPr>
      </w:pPr>
    </w:p>
    <w:p w14:paraId="6139E651" w14:textId="77777777" w:rsidR="00327E1D" w:rsidRDefault="00327E1D" w:rsidP="00327E1D">
      <w:pPr>
        <w:spacing w:after="0"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3E2347">
        <w:rPr>
          <w:rStyle w:val="FootnoteReference"/>
          <w:rFonts w:ascii="Verdana" w:eastAsia="Calibri" w:hAnsi="Verdana" w:cs="Arial"/>
          <w:color w:val="000000" w:themeColor="text1"/>
          <w:sz w:val="20"/>
          <w:szCs w:val="20"/>
          <w:lang w:val="es-ES_tradnl"/>
        </w:rPr>
        <w:footnoteReference w:id="12"/>
      </w:r>
      <w:r w:rsidRPr="003E2347">
        <w:rPr>
          <w:rFonts w:ascii="Verdana" w:eastAsia="Calibri" w:hAnsi="Verdana" w:cs="Arial"/>
          <w:color w:val="000000" w:themeColor="text1"/>
          <w:sz w:val="20"/>
          <w:szCs w:val="20"/>
          <w:lang w:val="es-ES_tradnl"/>
        </w:rPr>
        <w:t>.</w:t>
      </w:r>
    </w:p>
    <w:p w14:paraId="0545A113" w14:textId="77777777" w:rsidR="00327E1D" w:rsidRPr="003E2347" w:rsidRDefault="00327E1D" w:rsidP="00327E1D">
      <w:pPr>
        <w:spacing w:after="0" w:line="240" w:lineRule="auto"/>
        <w:ind w:left="709" w:right="709"/>
        <w:jc w:val="both"/>
        <w:rPr>
          <w:rFonts w:ascii="Verdana" w:eastAsia="Calibri" w:hAnsi="Verdana" w:cs="Arial"/>
          <w:color w:val="000000" w:themeColor="text1"/>
          <w:sz w:val="20"/>
          <w:szCs w:val="20"/>
          <w:lang w:val="es-ES_tradnl"/>
        </w:rPr>
      </w:pPr>
    </w:p>
    <w:p w14:paraId="5B40FBBD" w14:textId="77777777" w:rsidR="00327E1D" w:rsidRDefault="00327E1D" w:rsidP="00327E1D">
      <w:pPr>
        <w:spacing w:line="276" w:lineRule="auto"/>
        <w:ind w:firstLine="708"/>
        <w:jc w:val="both"/>
        <w:rPr>
          <w:rFonts w:ascii="Verdana" w:eastAsia="Calibri" w:hAnsi="Verdana" w:cs="Arial"/>
          <w:color w:val="000000" w:themeColor="text1"/>
          <w:lang w:val="es-ES"/>
        </w:rPr>
      </w:pPr>
      <w:r w:rsidRPr="463523FE">
        <w:rPr>
          <w:rFonts w:ascii="Verdana" w:eastAsia="Calibri" w:hAnsi="Verdana" w:cs="Arial"/>
          <w:color w:val="000000" w:themeColor="text1"/>
          <w:lang w:val="es-ES"/>
        </w:rPr>
        <w:lastRenderedPageBreak/>
        <w:t>Visto lo anterior, se reitera que, toda vez que las entidades de régimen especial administran recursos públicos, sus manu</w:t>
      </w:r>
      <w:r>
        <w:rPr>
          <w:rFonts w:ascii="Verdana" w:eastAsia="Calibri" w:hAnsi="Verdana" w:cs="Arial"/>
          <w:color w:val="000000" w:themeColor="text1"/>
          <w:lang w:val="es-ES"/>
        </w:rPr>
        <w:t>ales de contratación deben ceñi</w:t>
      </w:r>
      <w:r w:rsidRPr="463523FE">
        <w:rPr>
          <w:rFonts w:ascii="Verdana" w:eastAsia="Calibri" w:hAnsi="Verdana" w:cs="Arial"/>
          <w:color w:val="000000" w:themeColor="text1"/>
          <w:lang w:val="es-ES"/>
        </w:rPr>
        <w:t>rse a unas reglas mínimas que garanticen el cumplimiento de los principios de la función pública,</w:t>
      </w:r>
      <w:r>
        <w:rPr>
          <w:rFonts w:ascii="Verdana" w:eastAsia="Calibri" w:hAnsi="Verdana" w:cs="Arial"/>
          <w:color w:val="000000" w:themeColor="text1"/>
          <w:lang w:val="es-ES"/>
        </w:rPr>
        <w:t xml:space="preserve"> la gestión fiscal y el régimen de inhabilidades e incompatibilidades</w:t>
      </w:r>
      <w:r w:rsidRPr="463523FE">
        <w:rPr>
          <w:rFonts w:ascii="Verdana" w:eastAsia="Calibri" w:hAnsi="Verdana" w:cs="Arial"/>
          <w:color w:val="000000" w:themeColor="text1"/>
          <w:lang w:val="es-ES"/>
        </w:rPr>
        <w:t>. Dentro de estas reglas mínimas, deben indicar el contenido de las propuestas y los procedimientos de selección, llevar una descripción precisa del procedimiento, los plazos de las etapas y los criterios de evaluación y desempate, y todos los criterios necesarios para garantizar la selección objetiva, la protección del interés general y el valor por dinero.</w:t>
      </w:r>
    </w:p>
    <w:p w14:paraId="67067772" w14:textId="77777777" w:rsidR="00327E1D" w:rsidRDefault="00327E1D" w:rsidP="00327E1D">
      <w:pPr>
        <w:spacing w:before="120" w:after="120" w:line="276" w:lineRule="auto"/>
        <w:ind w:firstLine="708"/>
        <w:jc w:val="both"/>
        <w:rPr>
          <w:rFonts w:ascii="Verdana" w:eastAsia="Calibri" w:hAnsi="Verdana" w:cs="Arial"/>
          <w:color w:val="000000"/>
          <w:lang w:val="es-ES_tradnl"/>
        </w:rPr>
      </w:pPr>
      <w:r w:rsidRPr="0086760D">
        <w:rPr>
          <w:rFonts w:ascii="Verdana" w:eastAsia="Calibri" w:hAnsi="Verdana" w:cs="Arial"/>
          <w:shd w:val="clear" w:color="auto" w:fill="FFFFFF"/>
        </w:rPr>
        <w:t>Así pues, y atendiendo a que dichas entidades deben observar las obligaciones que de manera transversal rigen la contratación pública, tal y como lo reitera esta Agencia en la “Guía para las Entidades Estatales con régimen especial de contratación”, aplicarán por ejemplo, las disposiciones contenidas en a) la Ley 816 de 2003</w:t>
      </w:r>
      <w:r w:rsidRPr="00596A79">
        <w:rPr>
          <w:rFonts w:ascii="Verdana" w:eastAsia="Calibri" w:hAnsi="Verdana" w:cs="Arial"/>
          <w:color w:val="000000"/>
          <w:lang w:val="es-ES_tradnl"/>
        </w:rPr>
        <w:t xml:space="preserve"> respecto de los incentivos a la industria nacional; b) la Ley 996 de 2005 que restringe la contratación directa en los comicios presidenciales; c) la Ley 1150 de 2007 en lo concerniente de la observancia de los principios de la función administrativa y de la gestión fiscal</w:t>
      </w:r>
      <w:r>
        <w:rPr>
          <w:rFonts w:ascii="Verdana" w:eastAsia="Calibri" w:hAnsi="Verdana" w:cs="Arial"/>
          <w:color w:val="000000"/>
          <w:lang w:val="es-ES_tradnl"/>
        </w:rPr>
        <w:t xml:space="preserve"> (</w:t>
      </w:r>
      <w:r w:rsidRPr="00755A38">
        <w:rPr>
          <w:rFonts w:ascii="Verdana" w:eastAsia="Verdana" w:hAnsi="Verdana" w:cs="Verdana"/>
        </w:rPr>
        <w:t>artículos 209 y 267 de la Constitución Política</w:t>
      </w:r>
      <w:r>
        <w:rPr>
          <w:rFonts w:ascii="Verdana" w:eastAsia="Verdana" w:hAnsi="Verdana" w:cs="Verdana"/>
        </w:rPr>
        <w:t>)</w:t>
      </w:r>
      <w:r w:rsidRPr="00596A79">
        <w:rPr>
          <w:rFonts w:ascii="Verdana" w:eastAsia="Calibri" w:hAnsi="Verdana" w:cs="Arial"/>
          <w:color w:val="000000"/>
          <w:lang w:val="es-ES_tradnl"/>
        </w:rPr>
        <w:t>, entre otros aspectos; e incluso, d) la Ley 1474 de 2011 que incorpora normas referentes a la supervisión e interventoría de los contratos estatales en sus artículos 83, 84 y 85. Para ello, las referidas Entidades Estatales deberán en la elaboración de sus respectivos manuales de contratación, establecer la forma en la que garantizarán la aplicación de estos aspectos en el marco de su gestión contractual.</w:t>
      </w:r>
    </w:p>
    <w:p w14:paraId="7E213EEE" w14:textId="77777777" w:rsidR="00327E1D" w:rsidRDefault="00327E1D" w:rsidP="00327E1D">
      <w:pPr>
        <w:spacing w:before="120" w:after="120" w:line="276" w:lineRule="auto"/>
        <w:ind w:firstLine="708"/>
        <w:jc w:val="both"/>
        <w:rPr>
          <w:rFonts w:ascii="Verdana" w:eastAsia="Calibri" w:hAnsi="Verdana" w:cs="Arial"/>
          <w:color w:val="000000"/>
          <w:lang w:val="es-ES_tradnl"/>
        </w:rPr>
      </w:pPr>
      <w:r w:rsidRPr="00596A79">
        <w:rPr>
          <w:rFonts w:ascii="Verdana" w:eastAsia="Calibri" w:hAnsi="Verdana" w:cs="Arial"/>
          <w:color w:val="000000"/>
          <w:lang w:val="es-ES_tradnl"/>
        </w:rPr>
        <w:t xml:space="preserve">En ese orden de ideas, se entiende que, sin importar el régimen de contratación mediante el cual las </w:t>
      </w:r>
      <w:r>
        <w:rPr>
          <w:rFonts w:ascii="Verdana" w:eastAsia="Calibri" w:hAnsi="Verdana" w:cs="Arial"/>
          <w:color w:val="000000"/>
          <w:lang w:val="es-ES_tradnl"/>
        </w:rPr>
        <w:t xml:space="preserve">EICE </w:t>
      </w:r>
      <w:r w:rsidRPr="00596A79">
        <w:rPr>
          <w:rFonts w:ascii="Verdana" w:eastAsia="Calibri" w:hAnsi="Verdana" w:cs="Arial"/>
          <w:color w:val="000000"/>
          <w:lang w:val="es-ES_tradnl"/>
        </w:rPr>
        <w:t>adelanten sus Procesos de Contratación</w:t>
      </w:r>
      <w:r>
        <w:rPr>
          <w:rFonts w:ascii="Verdana" w:eastAsia="Calibri" w:hAnsi="Verdana" w:cs="Arial"/>
          <w:color w:val="000000"/>
          <w:lang w:val="es-ES_tradnl"/>
        </w:rPr>
        <w:t xml:space="preserve"> </w:t>
      </w:r>
      <w:r w:rsidRPr="00596A79">
        <w:rPr>
          <w:rFonts w:ascii="Verdana" w:eastAsia="Calibri" w:hAnsi="Verdana" w:cs="Arial"/>
          <w:color w:val="000000"/>
          <w:lang w:val="es-ES_tradnl"/>
        </w:rPr>
        <w:t>tendrán la obligación de realizar la vigilancia de los contratos que suscriban, con fundamento en lo dispuesto en la Ley 1474 de 2011, por obedecer a una obligación transversal de la contratación pública.</w:t>
      </w:r>
      <w:r>
        <w:rPr>
          <w:rFonts w:ascii="Verdana" w:eastAsia="Calibri" w:hAnsi="Verdana" w:cs="Arial"/>
          <w:color w:val="000000"/>
          <w:lang w:val="es-ES_tradnl"/>
        </w:rPr>
        <w:t xml:space="preserve"> En la aplicación de este marco normativo a cada caso, </w:t>
      </w:r>
      <w:r w:rsidRPr="00627089">
        <w:rPr>
          <w:rFonts w:ascii="Verdana" w:eastAsia="Calibri" w:hAnsi="Verdana" w:cs="Arial"/>
          <w:color w:val="000000"/>
          <w:lang w:val="es-ES_tradnl"/>
        </w:rPr>
        <w:t xml:space="preserve">las </w:t>
      </w:r>
      <w:r>
        <w:rPr>
          <w:rFonts w:ascii="Verdana" w:eastAsia="Calibri" w:hAnsi="Verdana" w:cs="Arial"/>
          <w:color w:val="000000"/>
          <w:lang w:val="es-ES_tradnl"/>
        </w:rPr>
        <w:t xml:space="preserve">entidades </w:t>
      </w:r>
      <w:r w:rsidRPr="00627089">
        <w:rPr>
          <w:rFonts w:ascii="Verdana" w:eastAsia="Calibri" w:hAnsi="Verdana" w:cs="Arial"/>
          <w:color w:val="000000"/>
          <w:lang w:val="es-ES_tradnl"/>
        </w:rPr>
        <w:t xml:space="preserve">sometidas a un régimen especial de contratación deberán seguir los parámetros que al respecto establezcan sus </w:t>
      </w:r>
      <w:r>
        <w:rPr>
          <w:rFonts w:ascii="Verdana" w:eastAsia="Calibri" w:hAnsi="Verdana" w:cs="Arial"/>
          <w:color w:val="000000"/>
          <w:lang w:val="es-ES_tradnl"/>
        </w:rPr>
        <w:t xml:space="preserve">normas de creación y sus </w:t>
      </w:r>
      <w:r w:rsidRPr="00627089">
        <w:rPr>
          <w:rFonts w:ascii="Verdana" w:eastAsia="Calibri" w:hAnsi="Verdana" w:cs="Arial"/>
          <w:color w:val="000000"/>
          <w:lang w:val="es-ES_tradnl"/>
        </w:rPr>
        <w:t>manuales de contratación.</w:t>
      </w:r>
    </w:p>
    <w:p w14:paraId="5C782D97" w14:textId="77777777" w:rsidR="00327E1D" w:rsidRPr="00DB078D" w:rsidRDefault="00327E1D" w:rsidP="00327E1D">
      <w:pPr>
        <w:spacing w:before="120" w:after="120" w:line="276" w:lineRule="auto"/>
        <w:ind w:firstLine="708"/>
        <w:jc w:val="both"/>
        <w:rPr>
          <w:rFonts w:ascii="Verdana" w:eastAsia="Calibri" w:hAnsi="Verdana" w:cs="Arial"/>
          <w:color w:val="000000"/>
          <w:lang w:val="es-ES_tradnl"/>
        </w:rPr>
      </w:pPr>
      <w:r>
        <w:rPr>
          <w:rFonts w:ascii="Verdana" w:eastAsia="Calibri" w:hAnsi="Verdana" w:cs="Arial"/>
          <w:color w:val="000000" w:themeColor="text1"/>
          <w:lang w:val="es-ES"/>
        </w:rPr>
        <w:t xml:space="preserve"> En virtud de lo anterior, las entidades sometidas a un régimen especial de contratación podrán determinar diversas modalidades de selección, tipologías contractuales y condiciones específicas para la contratación del seguimiento de sus negocios jurídicos. En efecto, las particularidades, forma y límites que deben </w:t>
      </w:r>
      <w:r>
        <w:rPr>
          <w:rFonts w:ascii="Verdana" w:eastAsia="Calibri" w:hAnsi="Verdana" w:cs="Arial"/>
          <w:color w:val="000000" w:themeColor="text1"/>
          <w:lang w:val="es-ES"/>
        </w:rPr>
        <w:lastRenderedPageBreak/>
        <w:t xml:space="preserve">respetar al determinar el valor de estos contratos se regirán por lo que disponga su norma de creación y su manual de contratación. En cualquier caso, en virtud de </w:t>
      </w:r>
      <w:r w:rsidRPr="00D4240A">
        <w:rPr>
          <w:rFonts w:ascii="Verdana" w:hAnsi="Verdana" w:cs="Arial"/>
        </w:rPr>
        <w:t>los principios de la función administrativa y de la gestión fiscal de que tratan los artículos 209 y 267 de la Constitución Política</w:t>
      </w:r>
      <w:r>
        <w:rPr>
          <w:rFonts w:ascii="Verdana" w:eastAsia="Calibri" w:hAnsi="Verdana" w:cs="Arial"/>
          <w:color w:val="000000" w:themeColor="text1"/>
          <w:lang w:val="es-ES"/>
        </w:rPr>
        <w:t>, el valor de estos contratos deberá estar fundamentado en los estudios previos que realicen en el marco de una adecuada planeación.</w:t>
      </w:r>
    </w:p>
    <w:p w14:paraId="0979E0E3" w14:textId="77777777" w:rsidR="00327E1D" w:rsidRDefault="00327E1D" w:rsidP="00327E1D">
      <w:pPr>
        <w:spacing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iv</w:t>
      </w:r>
      <w:proofErr w:type="spellEnd"/>
      <w:r>
        <w:rPr>
          <w:rFonts w:ascii="Verdana" w:eastAsia="Calibri" w:hAnsi="Verdana" w:cs="Arial"/>
          <w:color w:val="000000" w:themeColor="text1"/>
          <w:lang w:val="es-ES"/>
        </w:rPr>
        <w:t xml:space="preserve">) Por otra parte, es necesario aclarar que no existe una norma en el Estatuto General de Contratación de la Administración Pública (EGCAP) que establezca un porcentaje, valor mínimo o máximo con el que deba cumplir la interventoría con respecto al valor del contrato objeto de seguimiento. </w:t>
      </w:r>
    </w:p>
    <w:p w14:paraId="23B50E94" w14:textId="77777777" w:rsidR="00327E1D" w:rsidRPr="00DB078D" w:rsidRDefault="00327E1D" w:rsidP="00327E1D">
      <w:pPr>
        <w:spacing w:line="276" w:lineRule="auto"/>
        <w:ind w:firstLine="708"/>
        <w:jc w:val="both"/>
        <w:rPr>
          <w:rFonts w:ascii="Verdana" w:eastAsia="Calibri" w:hAnsi="Verdana" w:cs="Arial"/>
          <w:color w:val="000000" w:themeColor="text1"/>
          <w:lang w:val="es-ES"/>
        </w:rPr>
      </w:pPr>
      <w:r w:rsidRPr="009A644A">
        <w:rPr>
          <w:rFonts w:ascii="Verdana" w:eastAsia="Calibri" w:hAnsi="Verdana" w:cs="Arial"/>
          <w:shd w:val="clear" w:color="auto" w:fill="FFFFFF"/>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73FCFA63" w14:textId="77777777" w:rsidR="00327E1D" w:rsidRPr="000A15AB" w:rsidRDefault="00327E1D" w:rsidP="00327E1D">
      <w:pPr>
        <w:snapToGrid w:val="0"/>
        <w:spacing w:before="120" w:after="120" w:line="276" w:lineRule="auto"/>
        <w:ind w:firstLine="708"/>
        <w:jc w:val="both"/>
        <w:textAlignment w:val="baseline"/>
        <w:rPr>
          <w:rFonts w:ascii="Verdana" w:eastAsia="Aptos" w:hAnsi="Verdana" w:cs="Arial"/>
          <w:lang w:val="es-ES_tradnl" w:eastAsia="es-MX"/>
        </w:rPr>
      </w:pPr>
      <w:r>
        <w:rPr>
          <w:rFonts w:ascii="Verdana" w:eastAsia="Aptos" w:hAnsi="Verdana" w:cs="Arial"/>
          <w:lang w:val="es-ES_tradnl" w:eastAsia="es-MX"/>
        </w:rPr>
        <w:t>Por su parte</w:t>
      </w:r>
      <w:r w:rsidRPr="000A15AB">
        <w:rPr>
          <w:rFonts w:ascii="Verdana" w:eastAsia="Aptos" w:hAnsi="Verdana" w:cs="Arial"/>
          <w:lang w:val="es-ES_tradnl" w:eastAsia="es-MX"/>
        </w:rPr>
        <w:t>, las Leyes 1150 de 2007 y 1474 de 2011, complementan el régimen jurídico de la obligación de vigilar la correcta ejecución de los contratos estatales. En dichas normas</w:t>
      </w:r>
      <w:r>
        <w:rPr>
          <w:rFonts w:ascii="Verdana" w:eastAsia="Aptos" w:hAnsi="Verdana" w:cs="Arial"/>
          <w:lang w:val="es-ES_tradnl" w:eastAsia="es-MX"/>
        </w:rPr>
        <w:t xml:space="preserve"> </w:t>
      </w:r>
      <w:r w:rsidRPr="000A15AB">
        <w:rPr>
          <w:rFonts w:ascii="Verdana" w:eastAsia="Aptos" w:hAnsi="Verdana" w:cs="Arial"/>
          <w:lang w:val="es-ES_tradnl" w:eastAsia="es-MX"/>
        </w:rPr>
        <w:t>se establecen los límites de la responsabilidad del representante legal ante la delegación de sus funciones en materia contractual</w:t>
      </w:r>
      <w:r w:rsidRPr="000A15AB">
        <w:rPr>
          <w:rFonts w:ascii="Aptos" w:eastAsia="Aptos" w:hAnsi="Aptos" w:cs="Times New Roman"/>
          <w:kern w:val="2"/>
          <w:sz w:val="24"/>
          <w:szCs w:val="24"/>
          <w:vertAlign w:val="superscript"/>
          <w:lang w:val="es-ES_tradnl" w:eastAsia="es-MX"/>
          <w14:ligatures w14:val="standardContextual"/>
        </w:rPr>
        <w:footnoteReference w:id="13"/>
      </w:r>
      <w:r w:rsidRPr="000A15AB">
        <w:rPr>
          <w:rFonts w:ascii="Verdana" w:eastAsia="Aptos" w:hAnsi="Verdana" w:cs="Arial"/>
          <w:lang w:val="es-ES_tradnl" w:eastAsia="es-MX"/>
        </w:rPr>
        <w:t xml:space="preserve"> y se regula la supervisión y la interventoría de los contratos estatales</w:t>
      </w:r>
      <w:r w:rsidRPr="000A15AB">
        <w:rPr>
          <w:rFonts w:ascii="Aptos" w:eastAsia="Aptos" w:hAnsi="Aptos" w:cs="Times New Roman"/>
          <w:kern w:val="2"/>
          <w:sz w:val="24"/>
          <w:szCs w:val="24"/>
          <w:vertAlign w:val="superscript"/>
          <w:lang w:val="es-ES_tradnl" w:eastAsia="es-MX"/>
          <w14:ligatures w14:val="standardContextual"/>
        </w:rPr>
        <w:footnoteReference w:id="14"/>
      </w:r>
      <w:r w:rsidRPr="000A15AB">
        <w:rPr>
          <w:rFonts w:ascii="Verdana" w:eastAsia="Aptos" w:hAnsi="Verdana" w:cs="Arial"/>
          <w:lang w:val="es-ES_tradnl" w:eastAsia="es-MX"/>
        </w:rPr>
        <w:t>.</w:t>
      </w:r>
    </w:p>
    <w:p w14:paraId="4B1E91C3" w14:textId="77777777" w:rsidR="00327E1D" w:rsidRDefault="00327E1D" w:rsidP="00327E1D">
      <w:pPr>
        <w:snapToGrid w:val="0"/>
        <w:spacing w:before="120" w:after="0" w:line="276" w:lineRule="auto"/>
        <w:ind w:firstLine="708"/>
        <w:jc w:val="both"/>
        <w:textAlignment w:val="baseline"/>
        <w:rPr>
          <w:rFonts w:ascii="Verdana" w:eastAsia="Aptos" w:hAnsi="Verdana" w:cs="Arial"/>
          <w:lang w:eastAsia="es-MX"/>
        </w:rPr>
      </w:pPr>
      <w:r>
        <w:rPr>
          <w:rFonts w:ascii="Verdana" w:eastAsia="Aptos" w:hAnsi="Verdana" w:cs="Arial"/>
          <w:lang w:eastAsia="es-MX"/>
        </w:rPr>
        <w:t xml:space="preserve">En particular, </w:t>
      </w:r>
      <w:r w:rsidRPr="000A15AB">
        <w:rPr>
          <w:rFonts w:ascii="Verdana" w:eastAsia="Aptos" w:hAnsi="Verdana" w:cs="Arial"/>
          <w:lang w:eastAsia="es-MX"/>
        </w:rPr>
        <w:t xml:space="preserve">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w:t>
      </w:r>
      <w:r w:rsidRPr="000A15AB">
        <w:rPr>
          <w:rFonts w:ascii="Verdana" w:eastAsia="Aptos" w:hAnsi="Verdana" w:cs="Arial"/>
          <w:lang w:eastAsia="es-MX"/>
        </w:rPr>
        <w:lastRenderedPageBreak/>
        <w:t xml:space="preserve">interventoría como mecanismos que pueden usar las Entidades Estatales para vigilar el contrato, en estos términos: </w:t>
      </w:r>
    </w:p>
    <w:p w14:paraId="6ECAD1F5" w14:textId="77777777" w:rsidR="00327E1D" w:rsidRPr="003160BA" w:rsidRDefault="00327E1D" w:rsidP="00327E1D">
      <w:pPr>
        <w:snapToGrid w:val="0"/>
        <w:spacing w:after="0" w:line="276" w:lineRule="auto"/>
        <w:ind w:firstLine="708"/>
        <w:jc w:val="both"/>
        <w:textAlignment w:val="baseline"/>
        <w:rPr>
          <w:rFonts w:ascii="Verdana" w:eastAsia="Aptos" w:hAnsi="Verdana" w:cs="Arial"/>
          <w:lang w:eastAsia="es-MX"/>
        </w:rPr>
      </w:pPr>
    </w:p>
    <w:p w14:paraId="75E5A853" w14:textId="77777777" w:rsidR="00327E1D" w:rsidRPr="005F111C" w:rsidRDefault="00327E1D" w:rsidP="00327E1D">
      <w:pPr>
        <w:snapToGrid w:val="0"/>
        <w:spacing w:after="0" w:line="240" w:lineRule="auto"/>
        <w:ind w:left="709" w:right="709"/>
        <w:jc w:val="both"/>
        <w:textAlignment w:val="baseline"/>
        <w:rPr>
          <w:rFonts w:ascii="Verdana" w:eastAsia="Aptos" w:hAnsi="Verdana" w:cs="Arial"/>
          <w:sz w:val="20"/>
          <w:szCs w:val="20"/>
          <w:lang w:val="es-ES_tradnl" w:eastAsia="es-MX"/>
        </w:rPr>
      </w:pPr>
      <w:r w:rsidRPr="005F111C">
        <w:rPr>
          <w:rFonts w:ascii="Verdana" w:eastAsia="Aptos" w:hAnsi="Verdana" w:cs="Arial"/>
          <w:sz w:val="20"/>
          <w:szCs w:val="20"/>
          <w:lang w:val="es-ES_tradnl" w:eastAsia="es-MX"/>
        </w:rPr>
        <w:t>“Con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06776FF7" w14:textId="77777777" w:rsidR="00327E1D" w:rsidRPr="005F111C" w:rsidRDefault="00327E1D" w:rsidP="00327E1D">
      <w:pPr>
        <w:snapToGrid w:val="0"/>
        <w:spacing w:after="0" w:line="240" w:lineRule="auto"/>
        <w:ind w:left="709" w:right="709"/>
        <w:jc w:val="both"/>
        <w:textAlignment w:val="baseline"/>
        <w:rPr>
          <w:rFonts w:ascii="Verdana" w:eastAsia="Aptos" w:hAnsi="Verdana" w:cs="Arial"/>
          <w:sz w:val="20"/>
          <w:szCs w:val="20"/>
          <w:lang w:val="es-ES" w:eastAsia="es-MX"/>
        </w:rPr>
      </w:pPr>
      <w:r w:rsidRPr="005F111C">
        <w:rPr>
          <w:rFonts w:ascii="Verdana" w:eastAsia="Aptos"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w:t>
      </w:r>
    </w:p>
    <w:p w14:paraId="2F0F1B4B" w14:textId="77777777" w:rsidR="00327E1D" w:rsidRDefault="00327E1D" w:rsidP="00327E1D">
      <w:pPr>
        <w:snapToGrid w:val="0"/>
        <w:spacing w:after="0" w:line="240" w:lineRule="auto"/>
        <w:ind w:left="709" w:right="709"/>
        <w:jc w:val="both"/>
        <w:textAlignment w:val="baseline"/>
        <w:rPr>
          <w:rFonts w:ascii="Verdana" w:eastAsia="Aptos" w:hAnsi="Verdana" w:cs="Arial"/>
          <w:sz w:val="20"/>
          <w:szCs w:val="20"/>
          <w:lang w:val="es-ES_tradnl" w:eastAsia="es-MX"/>
        </w:rPr>
      </w:pPr>
      <w:r w:rsidRPr="005F111C">
        <w:rPr>
          <w:rFonts w:ascii="Verdana" w:eastAsia="Aptos"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 </w:t>
      </w:r>
      <w:r w:rsidRPr="005F111C">
        <w:rPr>
          <w:rFonts w:ascii="Verdana" w:eastAsia="Aptos" w:hAnsi="Verdana" w:cs="Arial"/>
          <w:sz w:val="20"/>
          <w:szCs w:val="20"/>
          <w:lang w:val="es-ES_tradnl" w:eastAsia="es-MX"/>
        </w:rPr>
        <w:t>[…]”.</w:t>
      </w:r>
      <w:r w:rsidRPr="005F111C">
        <w:rPr>
          <w:rFonts w:ascii="Verdana" w:eastAsia="Aptos" w:hAnsi="Verdana" w:cs="Arial"/>
          <w:sz w:val="20"/>
          <w:szCs w:val="20"/>
          <w:vertAlign w:val="superscript"/>
          <w:lang w:val="es-ES" w:eastAsia="es-MX"/>
        </w:rPr>
        <w:footnoteReference w:id="15"/>
      </w:r>
    </w:p>
    <w:p w14:paraId="7196C770" w14:textId="77777777" w:rsidR="00327E1D" w:rsidRPr="005F111C" w:rsidRDefault="00327E1D" w:rsidP="00327E1D">
      <w:pPr>
        <w:snapToGrid w:val="0"/>
        <w:spacing w:after="0" w:line="240" w:lineRule="auto"/>
        <w:ind w:left="709" w:right="709"/>
        <w:jc w:val="both"/>
        <w:textAlignment w:val="baseline"/>
        <w:rPr>
          <w:rFonts w:ascii="Verdana" w:eastAsia="Aptos" w:hAnsi="Verdana" w:cs="Arial"/>
          <w:sz w:val="20"/>
          <w:szCs w:val="20"/>
          <w:lang w:val="es-ES" w:eastAsia="es-MX"/>
        </w:rPr>
      </w:pPr>
    </w:p>
    <w:p w14:paraId="406E008F" w14:textId="77777777" w:rsidR="00327E1D" w:rsidRPr="007873B5" w:rsidRDefault="00327E1D" w:rsidP="00327E1D">
      <w:pPr>
        <w:tabs>
          <w:tab w:val="left" w:pos="709"/>
        </w:tabs>
        <w:snapToGrid w:val="0"/>
        <w:spacing w:after="120" w:line="276" w:lineRule="auto"/>
        <w:jc w:val="both"/>
        <w:rPr>
          <w:rFonts w:ascii="Verdana" w:eastAsia="Aptos" w:hAnsi="Verdana" w:cs="Arial"/>
          <w:bCs/>
        </w:rPr>
      </w:pPr>
      <w:r>
        <w:rPr>
          <w:rFonts w:ascii="Verdana" w:eastAsia="Aptos" w:hAnsi="Verdana" w:cs="Arial"/>
          <w:bCs/>
        </w:rPr>
        <w:tab/>
      </w:r>
      <w:r w:rsidRPr="000A15AB">
        <w:rPr>
          <w:rFonts w:ascii="Verdana" w:eastAsia="Aptos" w:hAnsi="Verdana" w:cs="Arial"/>
          <w:bCs/>
        </w:rPr>
        <w:t xml:space="preserve">De este modo, la interventoría puede caracterizarse de la siguiente manera: </w:t>
      </w:r>
      <w:r>
        <w:rPr>
          <w:rFonts w:ascii="Verdana" w:eastAsia="Aptos" w:hAnsi="Verdana" w:cs="Arial"/>
          <w:bCs/>
        </w:rPr>
        <w:t>(</w:t>
      </w:r>
      <w:r w:rsidRPr="000A15AB">
        <w:rPr>
          <w:rFonts w:ascii="Verdana" w:eastAsia="Aptos" w:hAnsi="Verdana" w:cs="Arial"/>
          <w:bCs/>
        </w:rPr>
        <w:t>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w:t>
      </w:r>
      <w:r>
        <w:rPr>
          <w:rFonts w:ascii="Verdana" w:eastAsia="Aptos" w:hAnsi="Verdana" w:cs="Arial"/>
          <w:bCs/>
        </w:rPr>
        <w:t>.</w:t>
      </w:r>
      <w:r w:rsidRPr="000A15AB">
        <w:rPr>
          <w:rFonts w:ascii="Verdana" w:eastAsia="Aptos" w:hAnsi="Verdana" w:cs="Arial"/>
          <w:bCs/>
        </w:rPr>
        <w:t xml:space="preserve"> </w:t>
      </w:r>
      <w:r>
        <w:rPr>
          <w:rFonts w:ascii="Verdana" w:eastAsia="Aptos" w:hAnsi="Verdana" w:cs="Arial"/>
          <w:bCs/>
        </w:rPr>
        <w:t>(</w:t>
      </w:r>
      <w:proofErr w:type="spellStart"/>
      <w:r w:rsidRPr="000A15AB">
        <w:rPr>
          <w:rFonts w:ascii="Verdana" w:eastAsia="Aptos" w:hAnsi="Verdana" w:cs="Arial"/>
          <w:bCs/>
        </w:rPr>
        <w:t>ii</w:t>
      </w:r>
      <w:proofErr w:type="spellEnd"/>
      <w:r w:rsidRPr="000A15AB">
        <w:rPr>
          <w:rFonts w:ascii="Verdana" w:eastAsia="Aptos" w:hAnsi="Verdana" w:cs="Arial"/>
          <w:bCs/>
        </w:rPr>
        <w:t xml:space="preserve">) </w:t>
      </w:r>
      <w:r>
        <w:rPr>
          <w:rFonts w:ascii="Verdana" w:eastAsia="Aptos" w:hAnsi="Verdana" w:cs="Arial"/>
          <w:bCs/>
        </w:rPr>
        <w:t xml:space="preserve">También </w:t>
      </w:r>
      <w:r w:rsidRPr="000A15AB">
        <w:rPr>
          <w:rFonts w:ascii="Verdana" w:eastAsia="Aptos" w:hAnsi="Verdana" w:cs="Arial"/>
          <w:bCs/>
        </w:rPr>
        <w:t>es un mecanismo de vigilancia que exige, en su ejecución, la utilización de conocimientos especializados</w:t>
      </w:r>
      <w:r>
        <w:rPr>
          <w:rFonts w:ascii="Verdana" w:eastAsia="Aptos" w:hAnsi="Verdana" w:cs="Arial"/>
          <w:bCs/>
        </w:rPr>
        <w:t>.</w:t>
      </w:r>
      <w:r w:rsidRPr="000A15AB">
        <w:rPr>
          <w:rFonts w:ascii="Verdana" w:eastAsia="Aptos" w:hAnsi="Verdana" w:cs="Arial"/>
          <w:bCs/>
        </w:rPr>
        <w:t xml:space="preserve"> </w:t>
      </w:r>
      <w:r>
        <w:rPr>
          <w:rFonts w:ascii="Verdana" w:eastAsia="Aptos" w:hAnsi="Verdana" w:cs="Arial"/>
          <w:bCs/>
        </w:rPr>
        <w:t>(</w:t>
      </w:r>
      <w:proofErr w:type="spellStart"/>
      <w:r w:rsidRPr="000A15AB">
        <w:rPr>
          <w:rFonts w:ascii="Verdana" w:eastAsia="Aptos" w:hAnsi="Verdana" w:cs="Arial"/>
          <w:bCs/>
        </w:rPr>
        <w:t>iii</w:t>
      </w:r>
      <w:proofErr w:type="spellEnd"/>
      <w:r w:rsidRPr="000A15AB">
        <w:rPr>
          <w:rFonts w:ascii="Verdana" w:eastAsia="Aptos" w:hAnsi="Verdana" w:cs="Arial"/>
          <w:bCs/>
        </w:rPr>
        <w:t xml:space="preserve">) </w:t>
      </w:r>
      <w:r>
        <w:rPr>
          <w:rFonts w:ascii="Verdana" w:eastAsia="Aptos" w:hAnsi="Verdana" w:cs="Arial"/>
          <w:bCs/>
        </w:rPr>
        <w:t>P</w:t>
      </w:r>
      <w:r w:rsidRPr="000A15AB">
        <w:rPr>
          <w:rFonts w:ascii="Verdana" w:eastAsia="Aptos" w:hAnsi="Verdana" w:cs="Arial"/>
          <w:bCs/>
        </w:rPr>
        <w:t>or lo anterior, la entidad contrata un experto, por regla general, mediante la modalidad de selección de concurso de méritos, al tratarse de una especie del contrato de consultoría –art. 32, numeral 2, inciso 2, Ley 80 de 1993</w:t>
      </w:r>
      <w:r w:rsidRPr="000A15AB">
        <w:rPr>
          <w:rFonts w:ascii="Aptos" w:eastAsia="Aptos" w:hAnsi="Aptos" w:cs="Times New Roman"/>
          <w:kern w:val="2"/>
          <w:sz w:val="24"/>
          <w:szCs w:val="24"/>
          <w:vertAlign w:val="superscript"/>
          <w14:ligatures w14:val="standardContextual"/>
        </w:rPr>
        <w:footnoteReference w:id="16"/>
      </w:r>
      <w:r w:rsidRPr="000A15AB">
        <w:rPr>
          <w:rFonts w:ascii="Verdana" w:eastAsia="Aptos" w:hAnsi="Verdana" w:cs="Arial"/>
          <w:bCs/>
        </w:rPr>
        <w:t>‒, de manera que la interventoría es realizada por “</w:t>
      </w:r>
      <w:r w:rsidRPr="007873B5">
        <w:rPr>
          <w:rFonts w:ascii="Verdana" w:eastAsia="Aptos" w:hAnsi="Verdana" w:cs="Arial"/>
          <w:bCs/>
        </w:rPr>
        <w:t>una persona natural o jurídica contratada para tal fin por la Entidad Estatal” –art. 83, Ley 1474–. Adicionalmente, (</w:t>
      </w:r>
      <w:proofErr w:type="spellStart"/>
      <w:r w:rsidRPr="007873B5">
        <w:rPr>
          <w:rFonts w:ascii="Verdana" w:eastAsia="Aptos" w:hAnsi="Verdana" w:cs="Arial"/>
          <w:bCs/>
        </w:rPr>
        <w:t>iv</w:t>
      </w:r>
      <w:proofErr w:type="spellEnd"/>
      <w:r w:rsidRPr="007873B5">
        <w:rPr>
          <w:rFonts w:ascii="Verdana" w:eastAsia="Aptos" w:hAnsi="Verdana" w:cs="Arial"/>
          <w:bCs/>
        </w:rPr>
        <w:t xml:space="preserve">) el seguimiento técnico es inherente a la interventoría para la vigilancia de la </w:t>
      </w:r>
      <w:r w:rsidRPr="007873B5">
        <w:rPr>
          <w:rFonts w:ascii="Verdana" w:eastAsia="Aptos" w:hAnsi="Verdana" w:cs="Arial"/>
          <w:bCs/>
        </w:rPr>
        <w:lastRenderedPageBreak/>
        <w:t>correcta ejecución del contrato vigilado; sin embargo, el artículo 83 de la Ley 1474 de 2011 permite que en el contrato de interventoría también se pacten obligaciones para que el contratista realice el seguimiento administrativo, financiero, contable o jurídico. Finalmente, (v) en caso de que no se encomiende al interventor el seguimiento total del contrato, en el contrato de interventoría “se deberán indicar las actividades técnicas a cargo del interventor y las demás quedarán a cargo de la Entidad a través del supervisor” –art. 83, inciso 3–. En cualquier caso (vi) el contrato de interventoría será supervisado directamente por la entidad –art. 23, inciso 4–.</w:t>
      </w:r>
    </w:p>
    <w:p w14:paraId="571844F1" w14:textId="77777777" w:rsidR="00327E1D" w:rsidRDefault="00327E1D" w:rsidP="00327E1D">
      <w:pPr>
        <w:tabs>
          <w:tab w:val="left" w:pos="709"/>
        </w:tabs>
        <w:snapToGrid w:val="0"/>
        <w:spacing w:before="120" w:after="0" w:line="276" w:lineRule="auto"/>
        <w:jc w:val="both"/>
        <w:rPr>
          <w:rFonts w:ascii="Verdana" w:eastAsia="Aptos" w:hAnsi="Verdana" w:cs="Arial"/>
          <w:bCs/>
        </w:rPr>
      </w:pPr>
      <w:r w:rsidRPr="007873B5">
        <w:rPr>
          <w:rFonts w:ascii="Verdana" w:eastAsia="Aptos" w:hAnsi="Verdana" w:cs="Arial"/>
          <w:bCs/>
        </w:rPr>
        <w:tab/>
        <w:t xml:space="preserve">De lo anterior, se </w:t>
      </w:r>
      <w:r>
        <w:rPr>
          <w:rFonts w:ascii="Verdana" w:eastAsia="Aptos" w:hAnsi="Verdana" w:cs="Arial"/>
          <w:bCs/>
        </w:rPr>
        <w:t xml:space="preserve">concluye </w:t>
      </w:r>
      <w:r w:rsidRPr="007873B5">
        <w:rPr>
          <w:rFonts w:ascii="Verdana" w:eastAsia="Aptos" w:hAnsi="Verdana" w:cs="Arial"/>
          <w:bCs/>
        </w:rPr>
        <w:t xml:space="preserve">que el interventor es un contratista externo a la Entidad Estatal y al contratista vigilado, de manera que es seleccionado por la entidad mediante los procedimientos del artículo 2 de la Ley 1150 de 2007, en principio, a través de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 o una contratación directa, en caso de presentarse alguna de las causales establecidas en el artículo 2 de la Ley 1150 de 2007, que dé lugar a acudir a otra modalidad de selección. </w:t>
      </w:r>
    </w:p>
    <w:p w14:paraId="5919A6F8" w14:textId="77777777" w:rsidR="00327E1D" w:rsidRPr="00964EA8" w:rsidRDefault="00327E1D" w:rsidP="00327E1D">
      <w:pPr>
        <w:tabs>
          <w:tab w:val="left" w:pos="709"/>
        </w:tabs>
        <w:snapToGrid w:val="0"/>
        <w:spacing w:before="120" w:after="0" w:line="276" w:lineRule="auto"/>
        <w:jc w:val="both"/>
        <w:rPr>
          <w:rFonts w:ascii="Verdana" w:eastAsia="Aptos" w:hAnsi="Verdana" w:cs="Arial"/>
          <w:bCs/>
        </w:rPr>
      </w:pPr>
      <w:r>
        <w:rPr>
          <w:rFonts w:ascii="Verdana" w:eastAsia="Aptos" w:hAnsi="Verdana" w:cs="Arial"/>
          <w:bCs/>
        </w:rPr>
        <w:tab/>
      </w:r>
      <w:r w:rsidRPr="007873B5">
        <w:rPr>
          <w:rFonts w:ascii="Verdana" w:eastAsia="Calibri" w:hAnsi="Verdana" w:cs="Arial"/>
          <w:color w:val="000000"/>
          <w:kern w:val="2"/>
          <w14:ligatures w14:val="standardContextual"/>
        </w:rPr>
        <w:t>Ahora bien,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w:t>
      </w:r>
      <w:r w:rsidRPr="007873B5">
        <w:rPr>
          <w:rFonts w:ascii="Verdana" w:eastAsia="Aptos" w:hAnsi="Verdana" w:cs="Times New Roman"/>
          <w:kern w:val="2"/>
          <w:vertAlign w:val="superscript"/>
          <w14:ligatures w14:val="standardContextual"/>
        </w:rPr>
        <w:footnoteReference w:id="17"/>
      </w:r>
      <w:r w:rsidRPr="007873B5">
        <w:rPr>
          <w:rFonts w:ascii="Verdana" w:eastAsia="Calibri" w:hAnsi="Verdana" w:cs="Arial"/>
          <w:color w:val="000000"/>
          <w:kern w:val="2"/>
          <w14:ligatures w14:val="standardContextual"/>
        </w:rPr>
        <w:t xml:space="preserve">. No obstante, a pesar de lo anterior, el contrato de interventoría es </w:t>
      </w:r>
      <w:r w:rsidRPr="002E4D8E">
        <w:rPr>
          <w:rFonts w:ascii="Verdana" w:eastAsia="Calibri" w:hAnsi="Verdana" w:cs="Arial"/>
          <w:i/>
          <w:iCs/>
          <w:color w:val="000000"/>
          <w:kern w:val="2"/>
          <w14:ligatures w14:val="standardContextual"/>
        </w:rPr>
        <w:t xml:space="preserve">independiente del otro contrato </w:t>
      </w:r>
      <w:r w:rsidRPr="007873B5">
        <w:rPr>
          <w:rFonts w:ascii="Verdana" w:eastAsia="Calibri" w:hAnsi="Verdana" w:cs="Arial"/>
          <w:color w:val="000000"/>
          <w:kern w:val="2"/>
          <w14:ligatures w14:val="standardContextual"/>
        </w:rPr>
        <w:t>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w:t>
      </w:r>
      <w:r w:rsidRPr="007873B5">
        <w:rPr>
          <w:rFonts w:ascii="Verdana" w:eastAsia="Aptos" w:hAnsi="Verdana" w:cs="Times New Roman"/>
          <w:kern w:val="2"/>
          <w:vertAlign w:val="superscript"/>
          <w14:ligatures w14:val="standardContextual"/>
        </w:rPr>
        <w:footnoteReference w:id="18"/>
      </w:r>
      <w:r w:rsidRPr="007873B5">
        <w:rPr>
          <w:rFonts w:ascii="Verdana" w:eastAsia="Calibri" w:hAnsi="Verdana" w:cs="Arial"/>
          <w:color w:val="000000"/>
          <w:kern w:val="2"/>
          <w14:ligatures w14:val="standardContextual"/>
        </w:rPr>
        <w:t xml:space="preserve">.  </w:t>
      </w:r>
    </w:p>
    <w:p w14:paraId="482754A1" w14:textId="77777777" w:rsidR="00327E1D" w:rsidRPr="007873B5" w:rsidRDefault="00327E1D" w:rsidP="00327E1D">
      <w:pPr>
        <w:pStyle w:val="NoSpacing"/>
        <w:spacing w:before="120" w:line="276" w:lineRule="auto"/>
        <w:ind w:firstLine="708"/>
        <w:jc w:val="both"/>
        <w:rPr>
          <w:rFonts w:ascii="Verdana" w:hAnsi="Verdana" w:cs="Arial"/>
          <w:sz w:val="22"/>
        </w:rPr>
      </w:pPr>
      <w:r w:rsidRPr="007873B5">
        <w:rPr>
          <w:rFonts w:ascii="Verdana" w:hAnsi="Verdana" w:cs="Arial"/>
          <w:sz w:val="22"/>
        </w:rPr>
        <w:lastRenderedPageBreak/>
        <w:t>Es así como el contrato de interventoría es un contrato bilateral, conmutativo y oneroso, por lo que crea obligaciones tanto para la entidad contratante como para el contratista interventor. Estas obligaciones deben guardar una correlativa equivalencia entre las prestaciones y derechos de ambas partes, por las que a su vez cada una de ellas recibe un beneficio. Por lo tanto, el interventor tiene derecho a recibir el pago de una contraprestación, remuneración o precio</w:t>
      </w:r>
      <w:r w:rsidRPr="007873B5">
        <w:rPr>
          <w:rFonts w:ascii="Verdana" w:hAnsi="Verdana"/>
          <w:sz w:val="22"/>
          <w:vertAlign w:val="superscript"/>
        </w:rPr>
        <w:footnoteReference w:id="19"/>
      </w:r>
      <w:r w:rsidRPr="007873B5">
        <w:rPr>
          <w:rFonts w:ascii="Verdana" w:hAnsi="Verdana" w:cs="Arial"/>
          <w:sz w:val="22"/>
        </w:rPr>
        <w:t>, en los términos pactados en el contrato, por la adecuada y oportuna ejecución del objeto contractual, derecho que se encuentra reconocido en el numeral 1 del artículo 5 de la Ley 80 de 1993</w:t>
      </w:r>
      <w:r w:rsidRPr="0043416A">
        <w:rPr>
          <w:rFonts w:ascii="Verdana" w:hAnsi="Verdana"/>
          <w:sz w:val="22"/>
          <w:vertAlign w:val="superscript"/>
        </w:rPr>
        <w:footnoteReference w:id="20"/>
      </w:r>
      <w:r w:rsidRPr="007873B5">
        <w:rPr>
          <w:rFonts w:ascii="Verdana" w:hAnsi="Verdana" w:cs="Arial"/>
          <w:sz w:val="22"/>
        </w:rPr>
        <w:t xml:space="preserve">. </w:t>
      </w:r>
    </w:p>
    <w:p w14:paraId="27E68AD8" w14:textId="77777777" w:rsidR="00327E1D" w:rsidRPr="007873B5" w:rsidRDefault="00327E1D" w:rsidP="00327E1D">
      <w:pPr>
        <w:spacing w:before="120" w:after="120" w:line="276" w:lineRule="auto"/>
        <w:ind w:firstLine="708"/>
        <w:jc w:val="both"/>
        <w:rPr>
          <w:rFonts w:ascii="Verdana" w:eastAsia="Arial" w:hAnsi="Verdana" w:cstheme="majorHAnsi"/>
          <w:lang w:val="es-ES"/>
        </w:rPr>
      </w:pPr>
      <w:r w:rsidRPr="007873B5">
        <w:rPr>
          <w:rFonts w:ascii="Verdana" w:eastAsia="Arial" w:hAnsi="Verdana" w:cstheme="majorHAnsi"/>
          <w:lang w:val="es-ES"/>
        </w:rPr>
        <w:t>Desde la etapa de planeación, en la fase precontractual, las entidades estatales deben calcular el presupuesto oficial, mediante la realización del análisis del sector –que incluye el estudio del mercado– y definir la metodología con la cual estructurarán el contrato</w:t>
      </w:r>
      <w:r>
        <w:rPr>
          <w:rFonts w:ascii="Verdana" w:eastAsia="Arial" w:hAnsi="Verdana" w:cstheme="majorHAnsi"/>
          <w:lang w:val="es-ES"/>
        </w:rPr>
        <w:t xml:space="preserve">. De esta manera, tanto </w:t>
      </w:r>
      <w:r w:rsidRPr="007873B5">
        <w:rPr>
          <w:rFonts w:ascii="Verdana" w:eastAsia="Arial" w:hAnsi="Verdana" w:cstheme="majorHAnsi"/>
          <w:lang w:val="es-ES"/>
        </w:rPr>
        <w:t>la definición del esquema para estipular el precio</w:t>
      </w:r>
      <w:r>
        <w:rPr>
          <w:rFonts w:ascii="Verdana" w:eastAsia="Arial" w:hAnsi="Verdana" w:cstheme="majorHAnsi"/>
          <w:lang w:val="es-ES"/>
        </w:rPr>
        <w:t xml:space="preserve"> como la forma de pago hacen parte de los estudios previos</w:t>
      </w:r>
      <w:r w:rsidRPr="007873B5">
        <w:rPr>
          <w:rFonts w:ascii="Verdana" w:eastAsia="Arial" w:hAnsi="Verdana" w:cstheme="majorHAnsi"/>
          <w:lang w:val="es-ES"/>
        </w:rPr>
        <w:t xml:space="preserve">. </w:t>
      </w:r>
      <w:r>
        <w:rPr>
          <w:rFonts w:ascii="Verdana" w:eastAsia="Arial" w:hAnsi="Verdana" w:cstheme="majorHAnsi"/>
          <w:lang w:val="es-ES"/>
        </w:rPr>
        <w:t xml:space="preserve">Estas disposiciones </w:t>
      </w:r>
      <w:r w:rsidRPr="007873B5">
        <w:rPr>
          <w:rFonts w:ascii="Verdana" w:eastAsia="Arial" w:hAnsi="Verdana" w:cstheme="majorHAnsi"/>
          <w:lang w:val="es-ES"/>
        </w:rPr>
        <w:t>generalmente depende</w:t>
      </w:r>
      <w:r>
        <w:rPr>
          <w:rFonts w:ascii="Verdana" w:eastAsia="Arial" w:hAnsi="Verdana" w:cstheme="majorHAnsi"/>
          <w:lang w:val="es-ES"/>
        </w:rPr>
        <w:t>n</w:t>
      </w:r>
      <w:r w:rsidRPr="007873B5">
        <w:rPr>
          <w:rFonts w:ascii="Verdana" w:eastAsia="Arial" w:hAnsi="Verdana" w:cstheme="majorHAnsi"/>
          <w:lang w:val="es-ES"/>
        </w:rPr>
        <w:t xml:space="preserve"> del tipo de contrato, pues existen algunas modalidades más comunes en los de obra pública, otras más utilizadas en los de prestación de servicios y otras más indicadas para los de concesión, por mencionar algunos ejemplos</w:t>
      </w:r>
      <w:r w:rsidRPr="007873B5">
        <w:rPr>
          <w:rFonts w:ascii="Verdana" w:eastAsia="Arial" w:hAnsi="Verdana" w:cstheme="majorHAnsi"/>
          <w:vertAlign w:val="superscript"/>
          <w:lang w:val="es-ES"/>
        </w:rPr>
        <w:footnoteReference w:id="21"/>
      </w:r>
      <w:r w:rsidRPr="007873B5">
        <w:rPr>
          <w:rFonts w:ascii="Verdana" w:eastAsia="Arial" w:hAnsi="Verdana" w:cstheme="majorHAnsi"/>
          <w:lang w:val="es-ES"/>
        </w:rPr>
        <w:t>.</w:t>
      </w:r>
    </w:p>
    <w:p w14:paraId="52693897" w14:textId="77777777" w:rsidR="00327E1D" w:rsidRPr="007873B5" w:rsidRDefault="00327E1D" w:rsidP="00327E1D">
      <w:pPr>
        <w:spacing w:before="120" w:after="120" w:line="276" w:lineRule="auto"/>
        <w:ind w:firstLine="708"/>
        <w:jc w:val="both"/>
        <w:rPr>
          <w:rFonts w:ascii="Verdana" w:eastAsia="Arial" w:hAnsi="Verdana" w:cstheme="majorHAnsi"/>
          <w:lang w:val="es-ES"/>
        </w:rPr>
      </w:pPr>
      <w:bookmarkStart w:id="3" w:name="_Hlk117864904"/>
      <w:r>
        <w:rPr>
          <w:rFonts w:ascii="Verdana" w:eastAsia="Arial" w:hAnsi="Verdana" w:cstheme="majorHAnsi"/>
          <w:lang w:val="es-ES"/>
        </w:rPr>
        <w:lastRenderedPageBreak/>
        <w:t xml:space="preserve">En todo caso, </w:t>
      </w:r>
      <w:r>
        <w:rPr>
          <w:rFonts w:ascii="Verdana" w:hAnsi="Verdana" w:cs="Arial"/>
        </w:rPr>
        <w:t>e</w:t>
      </w:r>
      <w:r w:rsidRPr="007873B5">
        <w:rPr>
          <w:rFonts w:ascii="Verdana" w:hAnsi="Verdana" w:cs="Arial"/>
        </w:rPr>
        <w:t>l interventor</w:t>
      </w:r>
      <w:r>
        <w:rPr>
          <w:rFonts w:ascii="Verdana" w:hAnsi="Verdana" w:cs="Arial"/>
        </w:rPr>
        <w:t xml:space="preserve"> y la entidad cuentan </w:t>
      </w:r>
      <w:r w:rsidRPr="007873B5">
        <w:rPr>
          <w:rFonts w:ascii="Verdana" w:hAnsi="Verdana" w:cs="Arial"/>
        </w:rPr>
        <w:t xml:space="preserve">con la </w:t>
      </w:r>
      <w:r w:rsidRPr="002E4D8E">
        <w:rPr>
          <w:rFonts w:ascii="Verdana" w:hAnsi="Verdana" w:cs="Arial"/>
          <w:i/>
          <w:iCs/>
        </w:rPr>
        <w:t>libertad negocial</w:t>
      </w:r>
      <w:r w:rsidRPr="007873B5">
        <w:rPr>
          <w:rFonts w:ascii="Verdana" w:hAnsi="Verdana" w:cs="Arial"/>
        </w:rPr>
        <w:t xml:space="preserve"> para determinar </w:t>
      </w:r>
      <w:r>
        <w:rPr>
          <w:rFonts w:ascii="Verdana" w:hAnsi="Verdana" w:cs="Arial"/>
        </w:rPr>
        <w:t xml:space="preserve">los </w:t>
      </w:r>
      <w:r w:rsidRPr="007873B5">
        <w:rPr>
          <w:rFonts w:ascii="Verdana" w:hAnsi="Verdana" w:cs="Arial"/>
        </w:rPr>
        <w:t>aspectos del contrato, entendiéndose incluida en esta libertad la capacidad de definir la forma de pago</w:t>
      </w:r>
      <w:r>
        <w:rPr>
          <w:rFonts w:ascii="Verdana" w:hAnsi="Verdana" w:cs="Arial"/>
        </w:rPr>
        <w:t xml:space="preserve">, pues </w:t>
      </w:r>
      <w:r>
        <w:rPr>
          <w:rFonts w:ascii="Verdana" w:eastAsia="Arial" w:hAnsi="Verdana" w:cstheme="majorHAnsi"/>
          <w:lang w:val="es-ES"/>
        </w:rPr>
        <w:t xml:space="preserve">no existe </w:t>
      </w:r>
      <w:r w:rsidRPr="007873B5">
        <w:rPr>
          <w:rFonts w:ascii="Verdana" w:eastAsia="Arial" w:hAnsi="Verdana" w:cstheme="majorHAnsi"/>
          <w:lang w:val="es-ES"/>
        </w:rPr>
        <w:t>una sola metodología para pactar el precio</w:t>
      </w:r>
      <w:r>
        <w:rPr>
          <w:rFonts w:ascii="Verdana" w:eastAsia="Arial" w:hAnsi="Verdana" w:cstheme="majorHAnsi"/>
          <w:lang w:val="es-ES"/>
        </w:rPr>
        <w:t xml:space="preserve"> y la forma de pago</w:t>
      </w:r>
      <w:r w:rsidRPr="007873B5">
        <w:rPr>
          <w:rFonts w:ascii="Verdana" w:eastAsia="Arial" w:hAnsi="Verdana" w:cstheme="majorHAnsi"/>
          <w:lang w:val="es-ES"/>
        </w:rPr>
        <w:t xml:space="preserve"> y, en gran medida, la manera de hacerlo obedece a la costumbre mercantil y a la influencia de disciplinas técnicas, como la ingeniería o la administración de empresas, en la contratación estatal. </w:t>
      </w:r>
      <w:r>
        <w:rPr>
          <w:rFonts w:ascii="Verdana" w:eastAsia="Arial" w:hAnsi="Verdana" w:cstheme="majorHAnsi"/>
          <w:lang w:val="es-ES"/>
        </w:rPr>
        <w:t>Por ejemplo, d</w:t>
      </w:r>
      <w:r w:rsidRPr="007873B5">
        <w:rPr>
          <w:rFonts w:ascii="Verdana" w:eastAsia="Arial" w:hAnsi="Verdana" w:cstheme="majorHAnsi"/>
          <w:lang w:val="es-ES"/>
        </w:rPr>
        <w:t>entro de</w:t>
      </w:r>
      <w:r>
        <w:rPr>
          <w:rFonts w:ascii="Verdana" w:eastAsia="Arial" w:hAnsi="Verdana" w:cstheme="majorHAnsi"/>
          <w:lang w:val="es-ES"/>
        </w:rPr>
        <w:t xml:space="preserve"> los e</w:t>
      </w:r>
      <w:r w:rsidRPr="007873B5">
        <w:rPr>
          <w:rFonts w:ascii="Verdana" w:eastAsia="Arial" w:hAnsi="Verdana" w:cstheme="majorHAnsi"/>
          <w:lang w:val="es-ES"/>
        </w:rPr>
        <w:t>squemas para fijar el precio</w:t>
      </w:r>
      <w:r>
        <w:rPr>
          <w:rFonts w:ascii="Verdana" w:eastAsia="Arial" w:hAnsi="Verdana" w:cstheme="majorHAnsi"/>
          <w:lang w:val="es-ES"/>
        </w:rPr>
        <w:t xml:space="preserve"> se encuentran</w:t>
      </w:r>
      <w:r w:rsidRPr="007873B5">
        <w:rPr>
          <w:rFonts w:ascii="Verdana" w:eastAsia="Arial" w:hAnsi="Verdana" w:cstheme="majorHAnsi"/>
          <w:lang w:val="es-ES"/>
        </w:rPr>
        <w:t xml:space="preserve">: </w:t>
      </w:r>
      <w:r>
        <w:rPr>
          <w:rFonts w:ascii="Verdana" w:eastAsia="Arial" w:hAnsi="Verdana" w:cstheme="majorHAnsi"/>
          <w:lang w:val="es-ES"/>
        </w:rPr>
        <w:t>(</w:t>
      </w:r>
      <w:r w:rsidRPr="007873B5">
        <w:rPr>
          <w:rFonts w:ascii="Verdana" w:eastAsia="Arial" w:hAnsi="Verdana" w:cstheme="majorHAnsi"/>
          <w:lang w:val="es-ES"/>
        </w:rPr>
        <w:t xml:space="preserve">i) los precios unitarios –calculados de acuerdo con las unidades que componen el objeto del contrato–, </w:t>
      </w:r>
      <w:r>
        <w:rPr>
          <w:rFonts w:ascii="Verdana" w:eastAsia="Arial" w:hAnsi="Verdana" w:cstheme="majorHAnsi"/>
          <w:lang w:val="es-ES"/>
        </w:rPr>
        <w:t>(</w:t>
      </w:r>
      <w:proofErr w:type="spellStart"/>
      <w:r w:rsidRPr="007873B5">
        <w:rPr>
          <w:rFonts w:ascii="Verdana" w:eastAsia="Arial" w:hAnsi="Verdana" w:cstheme="majorHAnsi"/>
          <w:lang w:val="es-ES"/>
        </w:rPr>
        <w:t>ii</w:t>
      </w:r>
      <w:proofErr w:type="spellEnd"/>
      <w:r w:rsidRPr="007873B5">
        <w:rPr>
          <w:rFonts w:ascii="Verdana" w:eastAsia="Arial" w:hAnsi="Verdana" w:cstheme="majorHAnsi"/>
          <w:lang w:val="es-ES"/>
        </w:rPr>
        <w:t xml:space="preserve">) el precio global –que equivale al monto total, sin discriminar unidades–, y </w:t>
      </w:r>
      <w:r>
        <w:rPr>
          <w:rFonts w:ascii="Verdana" w:eastAsia="Arial" w:hAnsi="Verdana" w:cstheme="majorHAnsi"/>
          <w:lang w:val="es-ES"/>
        </w:rPr>
        <w:t>(</w:t>
      </w:r>
      <w:proofErr w:type="spellStart"/>
      <w:r w:rsidRPr="007873B5">
        <w:rPr>
          <w:rFonts w:ascii="Verdana" w:eastAsia="Arial" w:hAnsi="Verdana" w:cstheme="majorHAnsi"/>
          <w:lang w:val="es-ES"/>
        </w:rPr>
        <w:t>iii</w:t>
      </w:r>
      <w:proofErr w:type="spellEnd"/>
      <w:r w:rsidRPr="007873B5">
        <w:rPr>
          <w:rFonts w:ascii="Verdana" w:eastAsia="Arial" w:hAnsi="Verdana" w:cstheme="majorHAnsi"/>
          <w:lang w:val="es-ES"/>
        </w:rPr>
        <w:t>) la administración delegada de recursos –en la que se distinguen los costos de inversión de los honorarios del administrador–.</w:t>
      </w:r>
    </w:p>
    <w:p w14:paraId="29ACD492" w14:textId="77777777" w:rsidR="00327E1D" w:rsidRDefault="00327E1D" w:rsidP="00327E1D">
      <w:pPr>
        <w:spacing w:before="120" w:after="0" w:line="276" w:lineRule="auto"/>
        <w:ind w:firstLine="708"/>
        <w:jc w:val="both"/>
        <w:rPr>
          <w:rFonts w:ascii="Verdana" w:eastAsia="Arial" w:hAnsi="Verdana" w:cstheme="majorHAnsi"/>
          <w:lang w:val="es-ES"/>
        </w:rPr>
      </w:pPr>
      <w:r w:rsidRPr="007873B5">
        <w:rPr>
          <w:rFonts w:ascii="Verdana" w:eastAsia="Arial" w:hAnsi="Verdana" w:cstheme="majorHAnsi"/>
          <w:lang w:val="es-ES"/>
        </w:rPr>
        <w:t>Así las cosas, las entidades gozan de autonomía para configurar el precio y para establecer el sistema de pago más apropiado para satisfacer los fines de la contratación</w:t>
      </w:r>
      <w:r>
        <w:rPr>
          <w:rFonts w:ascii="Verdana" w:eastAsia="Arial" w:hAnsi="Verdana" w:cstheme="majorHAnsi"/>
          <w:lang w:val="es-ES"/>
        </w:rPr>
        <w:t xml:space="preserve"> y cumplir con los objetivos de vigilancia del contrato de interventoría</w:t>
      </w:r>
      <w:r w:rsidRPr="007873B5">
        <w:rPr>
          <w:rFonts w:ascii="Verdana" w:eastAsia="Arial" w:hAnsi="Verdana" w:cstheme="majorHAnsi"/>
          <w:lang w:val="es-ES"/>
        </w:rPr>
        <w:t xml:space="preserve">, respetando los límites previstos en el ordenamiento. Para las entidades que se rigen por el Estatuto General de Contratación de la Administración Pública, </w:t>
      </w:r>
      <w:r>
        <w:rPr>
          <w:rFonts w:ascii="Verdana" w:eastAsia="Arial" w:hAnsi="Verdana" w:cstheme="majorHAnsi"/>
          <w:lang w:val="es-ES"/>
        </w:rPr>
        <w:t>esta</w:t>
      </w:r>
      <w:r w:rsidRPr="007873B5">
        <w:rPr>
          <w:rFonts w:ascii="Verdana" w:eastAsia="Arial" w:hAnsi="Verdana" w:cstheme="majorHAnsi"/>
          <w:lang w:val="es-ES"/>
        </w:rPr>
        <w:t xml:space="preserve"> autonomía está reconocida en los artículos 13</w:t>
      </w:r>
      <w:r>
        <w:rPr>
          <w:rStyle w:val="FootnoteReference"/>
          <w:rFonts w:ascii="Verdana" w:eastAsia="Arial" w:hAnsi="Verdana" w:cstheme="majorHAnsi"/>
          <w:lang w:val="es-ES"/>
        </w:rPr>
        <w:footnoteReference w:id="22"/>
      </w:r>
      <w:r w:rsidRPr="007873B5">
        <w:rPr>
          <w:rFonts w:ascii="Verdana" w:eastAsia="Arial" w:hAnsi="Verdana" w:cstheme="majorHAnsi"/>
          <w:lang w:val="es-ES"/>
        </w:rPr>
        <w:t>, 32</w:t>
      </w:r>
      <w:r>
        <w:rPr>
          <w:rStyle w:val="FootnoteReference"/>
          <w:rFonts w:ascii="Verdana" w:eastAsia="Arial" w:hAnsi="Verdana" w:cstheme="majorHAnsi"/>
          <w:lang w:val="es-ES"/>
        </w:rPr>
        <w:footnoteReference w:id="23"/>
      </w:r>
      <w:r w:rsidRPr="007873B5">
        <w:rPr>
          <w:rFonts w:ascii="Verdana" w:eastAsia="Arial" w:hAnsi="Verdana" w:cstheme="majorHAnsi"/>
          <w:lang w:val="es-ES"/>
        </w:rPr>
        <w:t xml:space="preserve"> y 40 de la Ley 80 de 1993.</w:t>
      </w:r>
      <w:r>
        <w:rPr>
          <w:rFonts w:ascii="Verdana" w:eastAsia="Arial" w:hAnsi="Verdana" w:cstheme="majorHAnsi"/>
          <w:lang w:val="es-ES"/>
        </w:rPr>
        <w:t xml:space="preserve"> En particular, éste último señala que:</w:t>
      </w:r>
    </w:p>
    <w:p w14:paraId="6663A51A" w14:textId="77777777" w:rsidR="00327E1D" w:rsidRDefault="00327E1D" w:rsidP="00327E1D">
      <w:pPr>
        <w:spacing w:after="0" w:line="276" w:lineRule="auto"/>
        <w:ind w:firstLine="708"/>
        <w:jc w:val="both"/>
        <w:rPr>
          <w:rFonts w:ascii="Verdana" w:eastAsia="Arial" w:hAnsi="Verdana" w:cstheme="majorHAnsi"/>
          <w:lang w:val="es-ES"/>
        </w:rPr>
      </w:pPr>
    </w:p>
    <w:p w14:paraId="17C1BBE7" w14:textId="77777777" w:rsidR="00327E1D" w:rsidRPr="002E4D8E" w:rsidRDefault="00327E1D" w:rsidP="00327E1D">
      <w:pPr>
        <w:snapToGrid w:val="0"/>
        <w:spacing w:after="120" w:line="240" w:lineRule="auto"/>
        <w:ind w:left="709" w:right="709"/>
        <w:jc w:val="both"/>
        <w:textAlignment w:val="baseline"/>
        <w:rPr>
          <w:rFonts w:ascii="Verdana" w:eastAsia="Aptos" w:hAnsi="Verdana" w:cs="Arial"/>
          <w:sz w:val="20"/>
          <w:szCs w:val="20"/>
          <w:lang w:val="es-ES" w:eastAsia="es-MX"/>
        </w:rPr>
      </w:pPr>
      <w:r w:rsidRPr="7830631A">
        <w:rPr>
          <w:rFonts w:ascii="Verdana" w:eastAsia="Aptos" w:hAnsi="Verdana" w:cs="Arial"/>
          <w:sz w:val="20"/>
          <w:szCs w:val="20"/>
          <w:lang w:val="es-ES" w:eastAsia="es-MX"/>
        </w:rPr>
        <w:t>“Las estipulaciones de los contratos serán las que de acuerdo con las normas civiles, comerciales y las previstas en esta Ley, correspondan a su esencia y naturaleza.</w:t>
      </w:r>
    </w:p>
    <w:p w14:paraId="7E523E24" w14:textId="77777777" w:rsidR="00327E1D" w:rsidRPr="002E4D8E" w:rsidRDefault="00327E1D" w:rsidP="00327E1D">
      <w:pPr>
        <w:snapToGrid w:val="0"/>
        <w:spacing w:before="120" w:after="120" w:line="240" w:lineRule="auto"/>
        <w:ind w:left="709" w:right="709"/>
        <w:jc w:val="both"/>
        <w:textAlignment w:val="baseline"/>
        <w:rPr>
          <w:rFonts w:ascii="Verdana" w:eastAsia="Aptos" w:hAnsi="Verdana" w:cs="Arial"/>
          <w:sz w:val="20"/>
          <w:szCs w:val="20"/>
          <w:lang w:val="es-ES_tradnl" w:eastAsia="es-MX"/>
        </w:rPr>
      </w:pPr>
      <w:r w:rsidRPr="002E4D8E">
        <w:rPr>
          <w:rFonts w:ascii="Verdana" w:eastAsia="Aptos" w:hAnsi="Verdana" w:cs="Arial"/>
          <w:sz w:val="20"/>
          <w:szCs w:val="20"/>
          <w:lang w:val="es-ES_tradnl" w:eastAsia="es-MX"/>
        </w:rPr>
        <w:lastRenderedPageBreak/>
        <w:t>Las entidades podrán celebrar los contratos y acuerdos que permitan la autonomía de la voluntad y requieran el cumplimiento de los fines estatales.</w:t>
      </w:r>
    </w:p>
    <w:p w14:paraId="3426F83E" w14:textId="77777777" w:rsidR="00327E1D" w:rsidRPr="002E4D8E" w:rsidRDefault="00327E1D" w:rsidP="00327E1D">
      <w:pPr>
        <w:snapToGrid w:val="0"/>
        <w:spacing w:before="120" w:after="120" w:line="240" w:lineRule="auto"/>
        <w:ind w:left="709" w:right="709"/>
        <w:jc w:val="both"/>
        <w:textAlignment w:val="baseline"/>
        <w:rPr>
          <w:rFonts w:ascii="Verdana" w:eastAsia="Aptos" w:hAnsi="Verdana" w:cs="Arial"/>
          <w:sz w:val="20"/>
          <w:szCs w:val="20"/>
          <w:lang w:val="es-ES" w:eastAsia="es-MX"/>
        </w:rPr>
      </w:pPr>
      <w:r w:rsidRPr="7830631A">
        <w:rPr>
          <w:rFonts w:ascii="Verdana" w:eastAsia="Aptos" w:hAnsi="Verdana" w:cs="Arial"/>
          <w:sz w:val="20"/>
          <w:szCs w:val="20"/>
          <w:lang w:val="es-ES" w:eastAsia="es-MX"/>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p>
    <w:p w14:paraId="560E4474" w14:textId="77777777" w:rsidR="00327E1D" w:rsidRDefault="00327E1D" w:rsidP="00327E1D">
      <w:pPr>
        <w:snapToGrid w:val="0"/>
        <w:spacing w:before="120" w:after="0" w:line="240" w:lineRule="auto"/>
        <w:ind w:left="709" w:right="709"/>
        <w:jc w:val="both"/>
        <w:textAlignment w:val="baseline"/>
        <w:rPr>
          <w:rFonts w:ascii="Verdana" w:eastAsia="Aptos" w:hAnsi="Verdana" w:cs="Arial"/>
          <w:sz w:val="20"/>
          <w:szCs w:val="20"/>
          <w:lang w:val="es-ES_tradnl" w:eastAsia="es-MX"/>
        </w:rPr>
      </w:pPr>
      <w:r w:rsidRPr="002E4D8E">
        <w:rPr>
          <w:rFonts w:ascii="Verdana" w:eastAsia="Aptos" w:hAnsi="Verdana" w:cs="Arial"/>
          <w:sz w:val="20"/>
          <w:szCs w:val="20"/>
          <w:lang w:val="es-ES_tradnl" w:eastAsia="es-MX"/>
        </w:rPr>
        <w:t>En los contratos de empréstito o cualquier otra forma de financiación de organismos multilaterales, podrán incluirse las previsiones y particularidades contempladas en los reglamentos de tales entidades, que no sean contrarias a la Constitución o a la ley</w:t>
      </w:r>
      <w:r>
        <w:rPr>
          <w:rFonts w:ascii="Verdana" w:eastAsia="Aptos" w:hAnsi="Verdana" w:cs="Arial"/>
          <w:sz w:val="20"/>
          <w:szCs w:val="20"/>
          <w:lang w:val="es-ES_tradnl" w:eastAsia="es-MX"/>
        </w:rPr>
        <w:t xml:space="preserve"> </w:t>
      </w:r>
      <w:r w:rsidRPr="002E4D8E">
        <w:rPr>
          <w:rFonts w:ascii="Verdana" w:eastAsia="Aptos" w:hAnsi="Verdana" w:cs="Arial"/>
          <w:sz w:val="20"/>
          <w:szCs w:val="20"/>
          <w:lang w:val="es-ES_tradnl" w:eastAsia="es-MX"/>
        </w:rPr>
        <w:t>[…]”</w:t>
      </w:r>
    </w:p>
    <w:p w14:paraId="7C64FF7D" w14:textId="77777777" w:rsidR="00327E1D" w:rsidRPr="002E4D8E" w:rsidRDefault="00327E1D" w:rsidP="00327E1D">
      <w:pPr>
        <w:snapToGrid w:val="0"/>
        <w:spacing w:after="0" w:line="240" w:lineRule="auto"/>
        <w:ind w:left="709" w:right="709"/>
        <w:jc w:val="both"/>
        <w:textAlignment w:val="baseline"/>
        <w:rPr>
          <w:rFonts w:ascii="Verdana" w:eastAsia="Aptos" w:hAnsi="Verdana" w:cs="Arial"/>
          <w:sz w:val="20"/>
          <w:szCs w:val="20"/>
          <w:lang w:val="es-ES_tradnl" w:eastAsia="es-MX"/>
        </w:rPr>
      </w:pPr>
    </w:p>
    <w:bookmarkEnd w:id="3"/>
    <w:p w14:paraId="49AA4716" w14:textId="77777777" w:rsidR="00327E1D" w:rsidRDefault="00327E1D" w:rsidP="00327E1D">
      <w:pPr>
        <w:widowControl w:val="0"/>
        <w:tabs>
          <w:tab w:val="left" w:pos="709"/>
        </w:tabs>
        <w:autoSpaceDE w:val="0"/>
        <w:autoSpaceDN w:val="0"/>
        <w:spacing w:after="0" w:line="276" w:lineRule="auto"/>
        <w:jc w:val="both"/>
        <w:outlineLvl w:val="0"/>
        <w:rPr>
          <w:rFonts w:ascii="Verdana" w:hAnsi="Verdana" w:cs="Arial"/>
        </w:rPr>
      </w:pPr>
      <w:r>
        <w:rPr>
          <w:rFonts w:ascii="Verdana" w:eastAsia="Arial" w:hAnsi="Verdana" w:cstheme="majorHAnsi"/>
          <w:lang w:val="es-ES"/>
        </w:rPr>
        <w:tab/>
        <w:t xml:space="preserve">Adicionalmente, es importante señalar frente al valor de estos contratos que, </w:t>
      </w:r>
      <w:r w:rsidRPr="00596023">
        <w:rPr>
          <w:rFonts w:ascii="Verdana" w:hAnsi="Verdana" w:cs="Arial"/>
        </w:rPr>
        <w:t>en los casos en que se requiera adicionar un contrato que tenga por objeto la interventoría de otro contrato</w:t>
      </w:r>
      <w:r>
        <w:rPr>
          <w:rFonts w:ascii="Verdana" w:hAnsi="Verdana" w:cs="Arial"/>
        </w:rPr>
        <w:t xml:space="preserve"> porque</w:t>
      </w:r>
      <w:r w:rsidRPr="00596023">
        <w:rPr>
          <w:rFonts w:ascii="Verdana" w:hAnsi="Verdana" w:cs="Arial"/>
        </w:rPr>
        <w:t xml:space="preserve"> el contrato objeto de vigilancia no ha concluido</w:t>
      </w:r>
      <w:r>
        <w:rPr>
          <w:rFonts w:ascii="Verdana" w:hAnsi="Verdana" w:cs="Arial"/>
        </w:rPr>
        <w:t xml:space="preserve">, </w:t>
      </w:r>
      <w:r w:rsidRPr="00596023">
        <w:rPr>
          <w:rFonts w:ascii="Verdana" w:hAnsi="Verdana" w:cs="Arial"/>
        </w:rPr>
        <w:t>la situación se regirá por el artículo 85 de la Ley 1474 de 2011</w:t>
      </w:r>
      <w:r>
        <w:rPr>
          <w:rStyle w:val="FootnoteReference"/>
          <w:rFonts w:ascii="Verdana" w:hAnsi="Verdana" w:cs="Arial"/>
        </w:rPr>
        <w:footnoteReference w:id="24"/>
      </w:r>
      <w:r w:rsidRPr="00596023">
        <w:rPr>
          <w:rFonts w:ascii="Verdana" w:hAnsi="Verdana" w:cs="Arial"/>
        </w:rPr>
        <w:t>.Este supuesto normativo, que materializa la “continuidad de la interventoría”, establece una excepción a la regla general de adición de los contratos estatales, en la medida en que no se tendrá en cuenta el límite del 50% del valor inicial del contrato, siempre que se trate de adicionar un contrato cuyo objeto corresponda al de interventoría</w:t>
      </w:r>
      <w:r>
        <w:rPr>
          <w:rFonts w:ascii="Verdana" w:hAnsi="Verdana" w:cs="Arial"/>
        </w:rPr>
        <w:t>.</w:t>
      </w:r>
    </w:p>
    <w:p w14:paraId="2475E764" w14:textId="77777777" w:rsidR="00327E1D" w:rsidRPr="00964EA8" w:rsidRDefault="00327E1D" w:rsidP="00327E1D">
      <w:pPr>
        <w:widowControl w:val="0"/>
        <w:tabs>
          <w:tab w:val="left" w:pos="709"/>
        </w:tabs>
        <w:autoSpaceDE w:val="0"/>
        <w:autoSpaceDN w:val="0"/>
        <w:spacing w:before="120" w:after="0" w:line="276" w:lineRule="auto"/>
        <w:jc w:val="both"/>
        <w:outlineLvl w:val="0"/>
        <w:rPr>
          <w:rFonts w:ascii="Verdana" w:hAnsi="Verdana" w:cs="Arial"/>
        </w:rPr>
      </w:pPr>
      <w:r>
        <w:rPr>
          <w:rFonts w:ascii="Verdana" w:hAnsi="Verdana" w:cs="Arial"/>
        </w:rPr>
        <w:tab/>
      </w:r>
      <w:r w:rsidRPr="00596023">
        <w:rPr>
          <w:rFonts w:ascii="Verdana" w:hAnsi="Verdana" w:cs="Arial"/>
        </w:rPr>
        <w:t>De esta manera, independientemente de la modalidad de selección o del sujeto con quien se celebre el contrato de interventoría aplica la norma especial del artículo 85 de la Ley 1474 de 2011, por lo que incluso en un contrato interadministrativo, cuyo objeto sea la interventoría de un contrato estatal, se debe tener en cuenta esta última disposición, por lo que no aplicaría el tope establecido en el inciso segundo del parágrafo del artículo 40 de la Ley 80 de 1993. Lo anterior, se reitera, siempre que el contrato a adicionar tenga por objeto la interventoría de o</w:t>
      </w:r>
      <w:r>
        <w:rPr>
          <w:rFonts w:ascii="Verdana" w:hAnsi="Verdana" w:cs="Arial"/>
        </w:rPr>
        <w:t>t</w:t>
      </w:r>
      <w:r w:rsidRPr="00596023">
        <w:rPr>
          <w:rFonts w:ascii="Verdana" w:hAnsi="Verdana" w:cs="Arial"/>
        </w:rPr>
        <w:t>ro u otros contratos.</w:t>
      </w:r>
      <w:r w:rsidRPr="00FB1161">
        <w:rPr>
          <w:rFonts w:ascii="Verdana" w:hAnsi="Verdana" w:cs="Arial"/>
          <w:bCs/>
        </w:rPr>
        <w:t xml:space="preserve"> </w:t>
      </w:r>
      <w:r>
        <w:rPr>
          <w:rFonts w:ascii="Verdana" w:hAnsi="Verdana" w:cs="Arial"/>
          <w:bCs/>
        </w:rPr>
        <w:t xml:space="preserve">Sin embargo, esto </w:t>
      </w:r>
      <w:r w:rsidRPr="00596023">
        <w:rPr>
          <w:rFonts w:ascii="Verdana" w:hAnsi="Verdana" w:cs="Arial"/>
          <w:bCs/>
        </w:rPr>
        <w:t xml:space="preserve">no significa </w:t>
      </w:r>
      <w:r w:rsidRPr="00596023">
        <w:rPr>
          <w:rFonts w:ascii="Verdana" w:hAnsi="Verdana" w:cs="Arial"/>
          <w:bCs/>
        </w:rPr>
        <w:lastRenderedPageBreak/>
        <w:t xml:space="preserve">que la posibilidad de incrementar su valor sea absoluta. Como lo señaló la Corte Constitucional en la Sentencia C-300 de 2012, las adiciones de los contratos estatales siempre deben respetar el principio de planeación. Adicionalmente, la entidad estatal debe garantizar los principios de la función administrativa y de la gestión fiscal al momento de autorizar las adiciones de los contratos de interventoría. </w:t>
      </w:r>
    </w:p>
    <w:p w14:paraId="5A3ABD58" w14:textId="77777777" w:rsidR="00327E1D" w:rsidRPr="00FB1161" w:rsidRDefault="00327E1D" w:rsidP="00327E1D">
      <w:pPr>
        <w:tabs>
          <w:tab w:val="left" w:pos="709"/>
        </w:tabs>
        <w:spacing w:after="0"/>
        <w:jc w:val="both"/>
        <w:rPr>
          <w:rFonts w:ascii="Verdana" w:hAnsi="Verdana" w:cs="Arial"/>
          <w:bCs/>
        </w:rPr>
      </w:pPr>
      <w:r>
        <w:rPr>
          <w:rFonts w:ascii="Verdana" w:hAnsi="Verdana" w:cs="Arial"/>
          <w:bCs/>
        </w:rPr>
        <w:tab/>
      </w:r>
      <w:r>
        <w:rPr>
          <w:rFonts w:ascii="Verdana" w:eastAsia="Arial" w:hAnsi="Verdana" w:cstheme="majorHAnsi"/>
          <w:lang w:val="es-ES"/>
        </w:rPr>
        <w:t>En suma, frente a la materia objeto de consulta, se resalta que no existe disposición alguna en el ordenamiento jurídico que establezca un valor máximo o mínimo con el que deban cumplir las entidades sometidas al EGCAP para establecer el valor del contrato de interventoría con respecto al del contrato vigilado</w:t>
      </w:r>
      <w:r w:rsidRPr="007627D5">
        <w:rPr>
          <w:rFonts w:ascii="Verdana" w:eastAsia="Arial" w:hAnsi="Verdana" w:cstheme="majorHAnsi"/>
          <w:lang w:val="es-ES"/>
        </w:rPr>
        <w:t>. Por el contrario,</w:t>
      </w:r>
      <w:r>
        <w:rPr>
          <w:rFonts w:ascii="Verdana" w:eastAsia="Arial" w:hAnsi="Verdana" w:cstheme="majorHAnsi"/>
          <w:lang w:val="es-ES"/>
        </w:rPr>
        <w:t xml:space="preserve"> en virtud de la autonomía de la voluntad, las entidades </w:t>
      </w:r>
      <w:r w:rsidRPr="00063B02">
        <w:rPr>
          <w:rFonts w:ascii="Verdana" w:eastAsia="Arial" w:hAnsi="Verdana" w:cstheme="majorHAnsi"/>
          <w:lang w:val="es-ES"/>
        </w:rPr>
        <w:t>pueden incluir las condiciones de pago que consideren necesarias y convenientes, siempre que no contraríen el ordenamiento jurídico.</w:t>
      </w:r>
      <w:r w:rsidRPr="007627D5">
        <w:rPr>
          <w:rFonts w:ascii="Verdana" w:eastAsia="Arial" w:hAnsi="Verdana" w:cstheme="majorHAnsi"/>
          <w:lang w:val="es-ES"/>
        </w:rPr>
        <w:t xml:space="preserve"> </w:t>
      </w:r>
    </w:p>
    <w:p w14:paraId="1A7EC6E4" w14:textId="77777777" w:rsidR="00327E1D" w:rsidRPr="00B46B61" w:rsidRDefault="00327E1D" w:rsidP="00327E1D">
      <w:pPr>
        <w:widowControl w:val="0"/>
        <w:tabs>
          <w:tab w:val="left" w:pos="709"/>
        </w:tabs>
        <w:autoSpaceDE w:val="0"/>
        <w:autoSpaceDN w:val="0"/>
        <w:spacing w:before="120" w:after="120" w:line="276" w:lineRule="auto"/>
        <w:jc w:val="both"/>
        <w:outlineLvl w:val="0"/>
        <w:rPr>
          <w:rFonts w:ascii="Verdana" w:eastAsia="Arial" w:hAnsi="Verdana" w:cstheme="majorHAnsi"/>
          <w:lang w:val="es-ES"/>
        </w:rPr>
      </w:pPr>
      <w:r>
        <w:rPr>
          <w:rFonts w:ascii="Verdana" w:eastAsia="Arial" w:hAnsi="Verdana" w:cstheme="majorHAnsi"/>
          <w:lang w:val="es-ES"/>
        </w:rPr>
        <w:tab/>
        <w:t>Se deriva de lo anterior, que</w:t>
      </w:r>
      <w:r w:rsidRPr="007627D5">
        <w:rPr>
          <w:rFonts w:ascii="Verdana" w:eastAsia="Arial" w:hAnsi="Verdana" w:cstheme="majorHAnsi"/>
          <w:lang w:val="es-ES"/>
        </w:rPr>
        <w:t xml:space="preserve"> </w:t>
      </w:r>
      <w:r>
        <w:rPr>
          <w:rFonts w:ascii="Verdana" w:eastAsia="Arial" w:hAnsi="Verdana" w:cstheme="majorHAnsi"/>
          <w:lang w:val="es-ES"/>
        </w:rPr>
        <w:t xml:space="preserve">tanto las </w:t>
      </w:r>
      <w:r w:rsidRPr="007627D5">
        <w:rPr>
          <w:rFonts w:ascii="Verdana" w:eastAsia="Arial" w:hAnsi="Verdana" w:cstheme="majorHAnsi"/>
          <w:lang w:val="es-ES"/>
        </w:rPr>
        <w:t xml:space="preserve">entidades </w:t>
      </w:r>
      <w:r>
        <w:rPr>
          <w:rFonts w:ascii="Verdana" w:eastAsia="Arial" w:hAnsi="Verdana" w:cstheme="majorHAnsi"/>
          <w:lang w:val="es-ES"/>
        </w:rPr>
        <w:t xml:space="preserve">sometidas al EGCAP como aquellas sujetas a un régimen especial de contratación pueden establecer el valor del contrato de interventoría, </w:t>
      </w:r>
      <w:r w:rsidRPr="007627D5">
        <w:rPr>
          <w:rFonts w:ascii="Verdana" w:eastAsia="Arial" w:hAnsi="Verdana" w:cstheme="majorHAnsi"/>
          <w:lang w:val="es-ES"/>
        </w:rPr>
        <w:t xml:space="preserve">siempre que </w:t>
      </w:r>
      <w:r>
        <w:rPr>
          <w:rFonts w:ascii="Verdana" w:eastAsia="Arial" w:hAnsi="Verdana" w:cstheme="majorHAnsi"/>
          <w:lang w:val="es-ES"/>
        </w:rPr>
        <w:t xml:space="preserve">la decisión </w:t>
      </w:r>
      <w:r w:rsidRPr="007627D5">
        <w:rPr>
          <w:rFonts w:ascii="Verdana" w:eastAsia="Arial" w:hAnsi="Verdana" w:cstheme="majorHAnsi"/>
          <w:lang w:val="es-ES"/>
        </w:rPr>
        <w:t>se encuentre soportada en una debida planeación que justifique que la estipulación es razonable para el caso concreto</w:t>
      </w:r>
      <w:r>
        <w:rPr>
          <w:rFonts w:ascii="Verdana" w:eastAsia="Arial" w:hAnsi="Verdana" w:cstheme="majorHAnsi"/>
          <w:lang w:val="es-ES"/>
        </w:rPr>
        <w:t>. Aquellas regidas por el derecho privado deberán además ceñirse a lo establecido en su norma de creación y su manual de contratación frente a los requisitos, límites, modalidades y tipologías que serán aplicables para los procesos de contratación del seguimiento o interventoría.</w:t>
      </w:r>
    </w:p>
    <w:p w14:paraId="0CA0DE37" w14:textId="77777777" w:rsidR="00327E1D" w:rsidRDefault="00327E1D" w:rsidP="00327E1D">
      <w:pPr>
        <w:spacing w:before="120" w:after="120" w:line="276" w:lineRule="auto"/>
        <w:ind w:firstLine="709"/>
        <w:jc w:val="both"/>
        <w:rPr>
          <w:rFonts w:ascii="Verdana" w:eastAsia="Verdana" w:hAnsi="Verdana" w:cs="Verdana"/>
        </w:rPr>
      </w:pPr>
      <w:r w:rsidRPr="00596A79">
        <w:rPr>
          <w:rFonts w:ascii="Verdana" w:eastAsia="Times New Roman" w:hAnsi="Verdana" w:cs="Arial"/>
          <w:color w:val="000000"/>
          <w:szCs w:val="24"/>
          <w:lang w:val="es-ES_tradnl" w:eastAsia="es-ES_tradnl"/>
        </w:rPr>
        <w:t xml:space="preserve">Finalmente debe advertirse que el análisis requerido para resolver problemas específicos en torno </w:t>
      </w:r>
      <w:r>
        <w:rPr>
          <w:rFonts w:ascii="Verdana" w:eastAsia="Times New Roman" w:hAnsi="Verdana" w:cs="Arial"/>
          <w:color w:val="000000"/>
          <w:szCs w:val="24"/>
          <w:lang w:val="es-ES_tradnl" w:eastAsia="es-ES_tradnl"/>
        </w:rPr>
        <w:t xml:space="preserve">al seguimiento </w:t>
      </w:r>
      <w:r w:rsidRPr="00596A79">
        <w:rPr>
          <w:rFonts w:ascii="Verdana" w:eastAsia="Times New Roman" w:hAnsi="Verdana" w:cs="Arial"/>
          <w:color w:val="000000"/>
          <w:szCs w:val="24"/>
          <w:lang w:val="es-ES_tradnl" w:eastAsia="es-ES_tradnl"/>
        </w:rPr>
        <w:t>de los contratos estatales,</w:t>
      </w:r>
      <w:r>
        <w:rPr>
          <w:rFonts w:ascii="Verdana" w:eastAsia="Times New Roman" w:hAnsi="Verdana" w:cs="Arial"/>
          <w:color w:val="000000"/>
          <w:szCs w:val="24"/>
          <w:lang w:val="es-ES_tradnl" w:eastAsia="es-ES_tradnl"/>
        </w:rPr>
        <w:t xml:space="preserve"> como aquellos planteados en los últimos interrogantes de su consulta,</w:t>
      </w:r>
      <w:r w:rsidRPr="00596A79">
        <w:rPr>
          <w:rFonts w:ascii="Verdana" w:eastAsia="Times New Roman" w:hAnsi="Verdana" w:cs="Arial"/>
          <w:color w:val="000000"/>
          <w:szCs w:val="24"/>
          <w:lang w:val="es-ES_tradnl" w:eastAsia="es-ES_tradn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2799F1A" w14:textId="77777777" w:rsidR="00327E1D" w:rsidRPr="00B46B61" w:rsidRDefault="00327E1D" w:rsidP="00327E1D">
      <w:pPr>
        <w:spacing w:before="120" w:after="120" w:line="276" w:lineRule="auto"/>
        <w:ind w:firstLine="709"/>
        <w:jc w:val="both"/>
        <w:rPr>
          <w:rFonts w:ascii="Verdana" w:eastAsia="Verdana" w:hAnsi="Verdana" w:cs="Verdana"/>
        </w:rPr>
      </w:pPr>
      <w:r w:rsidRPr="00596A79">
        <w:rPr>
          <w:rFonts w:ascii="Verdana" w:eastAsia="Times New Roman" w:hAnsi="Verdana" w:cs="Arial"/>
          <w:color w:val="000000"/>
          <w:szCs w:val="24"/>
          <w:lang w:val="es-ES_tradnl" w:eastAsia="es-ES_tradn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w:t>
      </w:r>
      <w:r w:rsidRPr="00596A79">
        <w:rPr>
          <w:rFonts w:ascii="Verdana" w:eastAsia="Times New Roman" w:hAnsi="Verdana" w:cs="Arial"/>
          <w:color w:val="000000"/>
          <w:szCs w:val="24"/>
          <w:lang w:val="es-ES_tradnl" w:eastAsia="es-ES_tradnl"/>
        </w:rPr>
        <w:lastRenderedPageBreak/>
        <w:t xml:space="preserve">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5ED967FC" w14:textId="77777777" w:rsidR="00327E1D" w:rsidRPr="0017378C" w:rsidRDefault="00327E1D" w:rsidP="00327E1D">
      <w:pPr>
        <w:spacing w:after="0" w:line="276" w:lineRule="auto"/>
        <w:jc w:val="both"/>
        <w:rPr>
          <w:rFonts w:ascii="Verdana" w:eastAsia="Calibri" w:hAnsi="Verdana" w:cs="Arial"/>
          <w:color w:val="000000" w:themeColor="text1"/>
          <w:lang w:val="es-ES"/>
        </w:rPr>
      </w:pPr>
    </w:p>
    <w:p w14:paraId="55770995" w14:textId="77777777" w:rsidR="00327E1D" w:rsidRPr="0017378C" w:rsidRDefault="00327E1D" w:rsidP="00327E1D">
      <w:pPr>
        <w:pStyle w:val="ListParagraph"/>
        <w:numPr>
          <w:ilvl w:val="0"/>
          <w:numId w:val="16"/>
        </w:numPr>
        <w:spacing w:line="276" w:lineRule="auto"/>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Referencias normativas, jurisprudenciales y otras fuentes:</w:t>
      </w:r>
    </w:p>
    <w:p w14:paraId="52B78D91" w14:textId="77777777" w:rsidR="00327E1D" w:rsidRPr="0017378C" w:rsidRDefault="00327E1D" w:rsidP="00327E1D">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27E1D" w:rsidRPr="0017378C" w14:paraId="0A33EF74" w14:textId="77777777" w:rsidTr="00F85C26">
        <w:trPr>
          <w:trHeight w:val="870"/>
        </w:trPr>
        <w:tc>
          <w:tcPr>
            <w:tcW w:w="8647" w:type="dxa"/>
          </w:tcPr>
          <w:p w14:paraId="096D9CD2" w14:textId="1BC51B00" w:rsidR="00FF08B0" w:rsidRDefault="00FF08B0" w:rsidP="00F85C26">
            <w:pPr>
              <w:pStyle w:val="ListParagraph"/>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 xml:space="preserve">Constitución Política, </w:t>
            </w:r>
            <w:r w:rsidRPr="00D4240A">
              <w:rPr>
                <w:rFonts w:ascii="Verdana" w:hAnsi="Verdana" w:cs="Arial"/>
              </w:rPr>
              <w:t>artículos 209 y 267</w:t>
            </w:r>
            <w:r>
              <w:rPr>
                <w:rFonts w:ascii="Verdana" w:hAnsi="Verdana" w:cs="Arial"/>
              </w:rPr>
              <w:t>.</w:t>
            </w:r>
          </w:p>
          <w:p w14:paraId="1F09D13A" w14:textId="73A99402" w:rsidR="003F13CD" w:rsidRDefault="003F13CD" w:rsidP="00F85C26">
            <w:pPr>
              <w:pStyle w:val="ListParagraph"/>
              <w:widowControl w:val="0"/>
              <w:numPr>
                <w:ilvl w:val="0"/>
                <w:numId w:val="17"/>
              </w:numPr>
              <w:autoSpaceDE w:val="0"/>
              <w:autoSpaceDN w:val="0"/>
              <w:spacing w:line="276" w:lineRule="auto"/>
              <w:contextualSpacing w:val="0"/>
              <w:jc w:val="both"/>
              <w:rPr>
                <w:rFonts w:ascii="Verdana" w:hAnsi="Verdana" w:cs="Arial"/>
              </w:rPr>
            </w:pPr>
            <w:r w:rsidRPr="003F13CD">
              <w:rPr>
                <w:rFonts w:ascii="Verdana" w:hAnsi="Verdana" w:cs="Arial"/>
              </w:rPr>
              <w:t>Ley 80 de 1993, artículo</w:t>
            </w:r>
            <w:r>
              <w:rPr>
                <w:rFonts w:ascii="Verdana" w:hAnsi="Verdana" w:cs="Arial"/>
              </w:rPr>
              <w:t>s</w:t>
            </w:r>
            <w:r w:rsidRPr="003F13CD">
              <w:rPr>
                <w:rFonts w:ascii="Verdana" w:hAnsi="Verdana" w:cs="Arial"/>
              </w:rPr>
              <w:t xml:space="preserve"> </w:t>
            </w:r>
            <w:r w:rsidR="00FF08B0">
              <w:rPr>
                <w:rFonts w:ascii="Verdana" w:hAnsi="Verdana" w:cs="Arial"/>
              </w:rPr>
              <w:t xml:space="preserve">4, </w:t>
            </w:r>
            <w:r>
              <w:rPr>
                <w:rFonts w:ascii="Verdana" w:hAnsi="Verdana" w:cs="Arial"/>
              </w:rPr>
              <w:t xml:space="preserve">5, </w:t>
            </w:r>
            <w:r w:rsidR="00FF08B0">
              <w:rPr>
                <w:rFonts w:ascii="Verdana" w:hAnsi="Verdana" w:cs="Arial"/>
              </w:rPr>
              <w:t xml:space="preserve">12, </w:t>
            </w:r>
            <w:r w:rsidRPr="003F13CD">
              <w:rPr>
                <w:rFonts w:ascii="Verdana" w:hAnsi="Verdana" w:cs="Arial"/>
              </w:rPr>
              <w:t>13</w:t>
            </w:r>
            <w:r>
              <w:rPr>
                <w:rFonts w:ascii="Verdana" w:hAnsi="Verdana" w:cs="Arial"/>
              </w:rPr>
              <w:t>,</w:t>
            </w:r>
            <w:r w:rsidR="00FF08B0">
              <w:rPr>
                <w:rFonts w:ascii="Verdana" w:hAnsi="Verdana" w:cs="Arial"/>
              </w:rPr>
              <w:t xml:space="preserve"> 14, 26,</w:t>
            </w:r>
            <w:r>
              <w:rPr>
                <w:rFonts w:ascii="Verdana" w:hAnsi="Verdana" w:cs="Arial"/>
              </w:rPr>
              <w:t xml:space="preserve"> </w:t>
            </w:r>
            <w:r w:rsidRPr="003F13CD">
              <w:rPr>
                <w:rFonts w:ascii="Verdana" w:hAnsi="Verdana" w:cs="Arial"/>
              </w:rPr>
              <w:t>32</w:t>
            </w:r>
            <w:r>
              <w:rPr>
                <w:rFonts w:ascii="Verdana" w:hAnsi="Verdana" w:cs="Arial"/>
              </w:rPr>
              <w:t xml:space="preserve"> y 40</w:t>
            </w:r>
            <w:r w:rsidR="00FF08B0">
              <w:rPr>
                <w:rFonts w:ascii="Verdana" w:hAnsi="Verdana" w:cs="Arial"/>
              </w:rPr>
              <w:t>.</w:t>
            </w:r>
          </w:p>
          <w:p w14:paraId="558808BE" w14:textId="77C7BC6E" w:rsidR="00E628CE" w:rsidRPr="003F13CD" w:rsidRDefault="00E628CE" w:rsidP="00F85C26">
            <w:pPr>
              <w:pStyle w:val="ListParagraph"/>
              <w:widowControl w:val="0"/>
              <w:numPr>
                <w:ilvl w:val="0"/>
                <w:numId w:val="17"/>
              </w:numPr>
              <w:autoSpaceDE w:val="0"/>
              <w:autoSpaceDN w:val="0"/>
              <w:spacing w:line="276" w:lineRule="auto"/>
              <w:contextualSpacing w:val="0"/>
              <w:jc w:val="both"/>
              <w:rPr>
                <w:rFonts w:ascii="Verdana" w:hAnsi="Verdana" w:cs="Arial"/>
              </w:rPr>
            </w:pPr>
            <w:r>
              <w:rPr>
                <w:rFonts w:ascii="Verdana" w:eastAsia="Calibri" w:hAnsi="Verdana" w:cs="Arial"/>
                <w:bCs/>
                <w:color w:val="000000" w:themeColor="text1"/>
                <w:lang w:val="es-ES_tradnl"/>
              </w:rPr>
              <w:t>Ley 142 de 1994</w:t>
            </w:r>
            <w:r w:rsidR="00824C83">
              <w:rPr>
                <w:rFonts w:ascii="Verdana" w:eastAsia="Calibri" w:hAnsi="Verdana" w:cs="Arial"/>
                <w:bCs/>
                <w:color w:val="000000" w:themeColor="text1"/>
                <w:lang w:val="es-ES_tradnl"/>
              </w:rPr>
              <w:t>, artículo</w:t>
            </w:r>
            <w:r w:rsidR="00043E94">
              <w:rPr>
                <w:rFonts w:ascii="Verdana" w:eastAsia="Calibri" w:hAnsi="Verdana" w:cs="Arial"/>
                <w:bCs/>
                <w:color w:val="000000" w:themeColor="text1"/>
                <w:lang w:val="es-ES_tradnl"/>
              </w:rPr>
              <w:t>s 14</w:t>
            </w:r>
            <w:r w:rsidR="00824C83">
              <w:rPr>
                <w:rFonts w:ascii="Verdana" w:eastAsia="Calibri" w:hAnsi="Verdana" w:cs="Arial"/>
                <w:bCs/>
                <w:color w:val="000000" w:themeColor="text1"/>
                <w:lang w:val="es-ES_tradnl"/>
              </w:rPr>
              <w:t xml:space="preserve"> 17.</w:t>
            </w:r>
          </w:p>
          <w:p w14:paraId="55C5394C" w14:textId="4C7BC6A5" w:rsidR="00327E1D" w:rsidRPr="00585CF1" w:rsidRDefault="003F13CD" w:rsidP="00F85C26">
            <w:pPr>
              <w:pStyle w:val="ListParagraph"/>
              <w:widowControl w:val="0"/>
              <w:numPr>
                <w:ilvl w:val="0"/>
                <w:numId w:val="17"/>
              </w:numPr>
              <w:autoSpaceDE w:val="0"/>
              <w:autoSpaceDN w:val="0"/>
              <w:spacing w:line="276" w:lineRule="auto"/>
              <w:contextualSpacing w:val="0"/>
              <w:jc w:val="both"/>
              <w:rPr>
                <w:rFonts w:ascii="Verdana" w:hAnsi="Verdana"/>
              </w:rPr>
            </w:pPr>
            <w:r w:rsidRPr="00596023">
              <w:rPr>
                <w:rFonts w:ascii="Verdana" w:hAnsi="Verdana" w:cs="Arial"/>
              </w:rPr>
              <w:t>Ley 1474 de 2011</w:t>
            </w:r>
            <w:r>
              <w:rPr>
                <w:rFonts w:ascii="Verdana" w:hAnsi="Verdana" w:cs="Arial"/>
              </w:rPr>
              <w:t xml:space="preserve"> artículo</w:t>
            </w:r>
            <w:r w:rsidR="006F0319">
              <w:rPr>
                <w:rFonts w:ascii="Verdana" w:hAnsi="Verdana" w:cs="Arial"/>
              </w:rPr>
              <w:t>s 83</w:t>
            </w:r>
            <w:r w:rsidR="00FF08B0">
              <w:rPr>
                <w:rFonts w:ascii="Verdana" w:hAnsi="Verdana" w:cs="Arial"/>
              </w:rPr>
              <w:t xml:space="preserve"> y</w:t>
            </w:r>
            <w:r>
              <w:rPr>
                <w:rFonts w:ascii="Verdana" w:hAnsi="Verdana" w:cs="Arial"/>
              </w:rPr>
              <w:t xml:space="preserve"> 85</w:t>
            </w:r>
            <w:r w:rsidR="00FF08B0">
              <w:rPr>
                <w:rFonts w:ascii="Verdana" w:hAnsi="Verdana" w:cs="Arial"/>
              </w:rPr>
              <w:t>.</w:t>
            </w:r>
          </w:p>
        </w:tc>
      </w:tr>
    </w:tbl>
    <w:p w14:paraId="0575FCA0" w14:textId="77777777" w:rsidR="00327E1D" w:rsidRPr="0017378C" w:rsidRDefault="00327E1D" w:rsidP="00327E1D">
      <w:pPr>
        <w:widowControl w:val="0"/>
        <w:autoSpaceDE w:val="0"/>
        <w:autoSpaceDN w:val="0"/>
        <w:spacing w:after="0" w:line="276" w:lineRule="auto"/>
        <w:jc w:val="both"/>
        <w:rPr>
          <w:rFonts w:ascii="Verdana" w:hAnsi="Verdana" w:cs="Arial"/>
          <w:color w:val="000000" w:themeColor="text1"/>
          <w:lang w:val="es-ES"/>
        </w:rPr>
      </w:pPr>
    </w:p>
    <w:p w14:paraId="1A69448B" w14:textId="77777777" w:rsidR="00327E1D" w:rsidRPr="0017378C" w:rsidRDefault="00327E1D" w:rsidP="00327E1D">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Doctrina de la Agencia Nacional de Contratación Pública:</w:t>
      </w:r>
    </w:p>
    <w:p w14:paraId="537747BC" w14:textId="77777777" w:rsidR="00327E1D" w:rsidRPr="0017378C" w:rsidRDefault="00327E1D" w:rsidP="00327E1D">
      <w:pPr>
        <w:widowControl w:val="0"/>
        <w:autoSpaceDE w:val="0"/>
        <w:autoSpaceDN w:val="0"/>
        <w:spacing w:after="0" w:line="276" w:lineRule="auto"/>
        <w:jc w:val="both"/>
        <w:rPr>
          <w:rFonts w:ascii="Verdana" w:hAnsi="Verdana" w:cs="Arial"/>
          <w:color w:val="000000" w:themeColor="text1"/>
          <w:lang w:val="es-ES"/>
        </w:rPr>
      </w:pPr>
    </w:p>
    <w:p w14:paraId="2207DCD4" w14:textId="77777777" w:rsidR="00327E1D" w:rsidRPr="00FF20CB" w:rsidRDefault="00327E1D" w:rsidP="00327E1D">
      <w:pPr>
        <w:widowControl w:val="0"/>
        <w:autoSpaceDE w:val="0"/>
        <w:autoSpaceDN w:val="0"/>
        <w:spacing w:after="0" w:line="276" w:lineRule="auto"/>
        <w:jc w:val="both"/>
        <w:rPr>
          <w:rStyle w:val="normaltextrun"/>
          <w:rFonts w:ascii="Verdana" w:hAnsi="Verdana" w:cs="Arial"/>
          <w:shd w:val="clear" w:color="auto" w:fill="FFFFFF"/>
          <w:lang w:val="es-ES"/>
        </w:rPr>
      </w:pPr>
      <w:r w:rsidRPr="0017378C">
        <w:rPr>
          <w:rStyle w:val="normaltextrun"/>
          <w:rFonts w:ascii="Verdana" w:hAnsi="Verdana" w:cs="Arial"/>
          <w:color w:val="000000" w:themeColor="text1"/>
          <w:shd w:val="clear" w:color="auto" w:fill="FFFFFF"/>
          <w:lang w:val="es-ES"/>
        </w:rPr>
        <w:t>La Agencia Nacional de Contratación Pública – Colombia Compra Eficiente se ha referido</w:t>
      </w:r>
      <w:r>
        <w:rPr>
          <w:rStyle w:val="normaltextrun"/>
          <w:rFonts w:ascii="Verdana" w:hAnsi="Verdana" w:cs="Arial"/>
          <w:color w:val="000000" w:themeColor="text1"/>
          <w:shd w:val="clear" w:color="auto" w:fill="FFFFFF"/>
          <w:lang w:val="es-ES"/>
        </w:rPr>
        <w:t xml:space="preserve"> </w:t>
      </w:r>
      <w:r w:rsidRPr="00DD781E">
        <w:rPr>
          <w:rStyle w:val="normaltextrun"/>
          <w:rFonts w:ascii="Verdana" w:hAnsi="Verdana" w:cs="Arial"/>
          <w:shd w:val="clear" w:color="auto" w:fill="FFFFFF"/>
          <w:lang w:val="es-ES"/>
        </w:rPr>
        <w:t>se ha pronunciado sobre</w:t>
      </w:r>
      <w:r>
        <w:rPr>
          <w:rStyle w:val="normaltextrun"/>
          <w:rFonts w:ascii="Verdana" w:hAnsi="Verdana" w:cs="Arial"/>
          <w:shd w:val="clear" w:color="auto" w:fill="FFFFFF"/>
          <w:lang w:val="es-ES"/>
        </w:rPr>
        <w:t xml:space="preserve"> </w:t>
      </w:r>
      <w:r w:rsidRPr="00AA40D8">
        <w:rPr>
          <w:rFonts w:ascii="Verdana" w:eastAsia="Arial" w:hAnsi="Verdana" w:cs="Arial"/>
          <w:lang w:val="es-ES" w:eastAsia="es-ES_tradnl"/>
        </w:rPr>
        <w:t>se ha referido</w:t>
      </w:r>
      <w:r w:rsidRPr="00AA40D8">
        <w:rPr>
          <w:rFonts w:ascii="Verdana" w:eastAsia="Calibri" w:hAnsi="Verdana" w:cs="Arial"/>
          <w:lang w:val="es-ES"/>
        </w:rPr>
        <w:t xml:space="preserve"> </w:t>
      </w:r>
      <w:r w:rsidRPr="00AA40D8">
        <w:rPr>
          <w:rFonts w:ascii="Verdana" w:eastAsia="Calibri" w:hAnsi="Verdana" w:cs="Arial"/>
          <w:lang w:val="es-ES" w:eastAsia="es-ES"/>
        </w:rPr>
        <w:t xml:space="preserve">a </w:t>
      </w:r>
      <w:r>
        <w:rPr>
          <w:rFonts w:ascii="Verdana" w:eastAsia="Calibri" w:hAnsi="Verdana" w:cs="Arial"/>
          <w:shd w:val="clear" w:color="auto" w:fill="FFFFFF"/>
          <w:lang w:val="es-ES"/>
        </w:rPr>
        <w:t xml:space="preserve">la interventoría en los contratos estatales en los conceptos: </w:t>
      </w:r>
      <w:r w:rsidRPr="000A15AB">
        <w:rPr>
          <w:rFonts w:ascii="Verdana" w:eastAsia="Calibri" w:hAnsi="Verdana" w:cs="Arial"/>
          <w:kern w:val="2"/>
          <w:lang w:val="es-ES_tradnl" w:eastAsia="es-ES_tradnl"/>
          <w14:ligatures w14:val="standardContextual"/>
        </w:rPr>
        <w:t>C‒064 del 28 de febrero de 2020, C‒150 del 18 de marzo de 2020, C‒075 del 26 de marzo de 2020, C‒180 del 13 de abril de 2020, C‒344 del 26 de mayo de 2020 y en el C‒765 del 7 de enero de 2021, C-411 del 17 de agosto de 2021, C-650 del 22 de diciembre de 2021, C-238 del 27 de abril de 2022, C-432 del 13 de julio de 2022, C- 590 del 20 de septiembre de 2022,</w:t>
      </w:r>
      <w:r>
        <w:rPr>
          <w:rFonts w:ascii="Verdana" w:eastAsia="Calibri" w:hAnsi="Verdana" w:cs="Arial"/>
          <w:kern w:val="2"/>
          <w:lang w:val="es-ES_tradnl" w:eastAsia="es-ES_tradnl"/>
          <w14:ligatures w14:val="standardContextual"/>
        </w:rPr>
        <w:t xml:space="preserve"> </w:t>
      </w:r>
      <w:r w:rsidRPr="00654E3E">
        <w:rPr>
          <w:rFonts w:ascii="Verdana" w:eastAsia="Calibri" w:hAnsi="Verdana" w:cs="Arial"/>
          <w:kern w:val="2"/>
          <w:lang w:val="es-ES_tradnl" w:eastAsia="es-ES_tradnl"/>
          <w14:ligatures w14:val="standardContextual"/>
        </w:rPr>
        <w:t>Concepto C – 690 de</w:t>
      </w:r>
      <w:r>
        <w:rPr>
          <w:rFonts w:ascii="Verdana" w:eastAsia="Calibri" w:hAnsi="Verdana" w:cs="Arial"/>
          <w:kern w:val="2"/>
          <w:lang w:val="es-ES_tradnl" w:eastAsia="es-ES_tradnl"/>
          <w14:ligatures w14:val="standardContextual"/>
        </w:rPr>
        <w:t>l 19 de octubre de</w:t>
      </w:r>
      <w:r w:rsidRPr="00654E3E">
        <w:rPr>
          <w:rFonts w:ascii="Verdana" w:eastAsia="Calibri" w:hAnsi="Verdana" w:cs="Arial"/>
          <w:kern w:val="2"/>
          <w:lang w:val="es-ES_tradnl" w:eastAsia="es-ES_tradnl"/>
          <w14:ligatures w14:val="standardContextual"/>
        </w:rPr>
        <w:t xml:space="preserve"> 2022</w:t>
      </w:r>
      <w:r>
        <w:rPr>
          <w:rFonts w:ascii="Verdana" w:eastAsia="Calibri" w:hAnsi="Verdana" w:cs="Arial"/>
          <w:kern w:val="2"/>
          <w:lang w:val="es-ES_tradnl" w:eastAsia="es-ES_tradnl"/>
          <w14:ligatures w14:val="standardContextual"/>
        </w:rPr>
        <w:t>,</w:t>
      </w:r>
      <w:r w:rsidRPr="000A15AB">
        <w:rPr>
          <w:rFonts w:ascii="Verdana" w:eastAsia="Calibri" w:hAnsi="Verdana" w:cs="Arial"/>
          <w:kern w:val="2"/>
          <w:lang w:val="es-ES_tradnl" w:eastAsia="es-ES_tradnl"/>
          <w14:ligatures w14:val="standardContextual"/>
        </w:rPr>
        <w:t xml:space="preserve"> C-713 del 7 de noviembre de 2024, C-711 del 21 de noviembre de 2024</w:t>
      </w:r>
      <w:r>
        <w:rPr>
          <w:rFonts w:ascii="Verdana" w:eastAsia="Calibri" w:hAnsi="Verdana" w:cs="Arial"/>
          <w:kern w:val="2"/>
          <w:lang w:val="es-ES_tradnl" w:eastAsia="es-ES_tradnl"/>
          <w14:ligatures w14:val="standardContextual"/>
        </w:rPr>
        <w:t xml:space="preserve">, </w:t>
      </w:r>
      <w:r w:rsidRPr="009D1512">
        <w:rPr>
          <w:rFonts w:ascii="Verdana" w:eastAsia="Calibri" w:hAnsi="Verdana" w:cs="Arial"/>
          <w:lang w:val="es-ES" w:eastAsia="es-ES"/>
        </w:rPr>
        <w:t>C–800 del 13 de diciembre de 2024</w:t>
      </w:r>
      <w:r>
        <w:rPr>
          <w:rFonts w:ascii="Verdana" w:eastAsia="Calibri" w:hAnsi="Verdana" w:cs="Arial"/>
          <w:kern w:val="2"/>
          <w:lang w:val="es-ES_tradnl" w:eastAsia="es-ES_tradnl"/>
          <w14:ligatures w14:val="standardContextual"/>
        </w:rPr>
        <w:t xml:space="preserve"> y</w:t>
      </w:r>
      <w:r w:rsidRPr="00332D76">
        <w:rPr>
          <w:rFonts w:ascii="Verdana" w:eastAsia="Calibri" w:hAnsi="Verdana" w:cs="Arial"/>
          <w:kern w:val="2"/>
          <w:lang w:val="es-ES_tradnl" w:eastAsia="es-ES_tradnl"/>
          <w14:ligatures w14:val="standardContextual"/>
        </w:rPr>
        <w:t xml:space="preserve"> C-1006 del 28 de agosto de 2025</w:t>
      </w:r>
      <w:r>
        <w:rPr>
          <w:rFonts w:ascii="Verdana" w:eastAsia="Calibri" w:hAnsi="Verdana" w:cs="Arial"/>
          <w:kern w:val="2"/>
          <w:lang w:val="es-ES_tradnl" w:eastAsia="es-ES_tradnl"/>
          <w14:ligatures w14:val="standardContextual"/>
        </w:rPr>
        <w:t>,</w:t>
      </w:r>
      <w:r w:rsidRPr="00332D76">
        <w:rPr>
          <w:rFonts w:ascii="Verdana" w:eastAsia="Calibri" w:hAnsi="Verdana" w:cs="Arial"/>
          <w:kern w:val="2"/>
          <w:lang w:val="es-ES_tradnl" w:eastAsia="es-ES_tradnl"/>
          <w14:ligatures w14:val="standardContextual"/>
        </w:rPr>
        <w:t xml:space="preserve"> entre otros</w:t>
      </w:r>
      <w:r>
        <w:rPr>
          <w:rStyle w:val="normaltextrun"/>
          <w:rFonts w:ascii="Verdana" w:hAnsi="Verdana" w:cs="Arial"/>
          <w:color w:val="000000" w:themeColor="text1"/>
          <w:shd w:val="clear" w:color="auto" w:fill="FFFFFF"/>
          <w:lang w:val="es-ES"/>
        </w:rPr>
        <w:t xml:space="preserve">. </w:t>
      </w:r>
      <w:r w:rsidRPr="0017378C">
        <w:rPr>
          <w:rStyle w:val="normaltextrun"/>
          <w:rFonts w:ascii="Verdana" w:hAnsi="Verdana" w:cs="Arial"/>
          <w:shd w:val="clear" w:color="auto" w:fill="FFFFFF"/>
          <w:lang w:val="es-ES"/>
        </w:rPr>
        <w:t>Estos y otros conceptos se encuentran disponibles para consulta en el Sistema de relatoría de la Agencia</w:t>
      </w:r>
      <w:r w:rsidRPr="0017378C">
        <w:rPr>
          <w:rFonts w:ascii="Verdana" w:hAnsi="Verdana"/>
          <w:lang w:val="es-ES"/>
        </w:rPr>
        <w:t>, al cual puede accederse a través del siguiente enlace:</w:t>
      </w:r>
      <w:r w:rsidRPr="0017378C">
        <w:rPr>
          <w:rStyle w:val="normaltextrun"/>
          <w:rFonts w:ascii="Verdana" w:hAnsi="Verdana" w:cs="Arial"/>
          <w:shd w:val="clear" w:color="auto" w:fill="FFFFFF"/>
          <w:lang w:val="es-ES"/>
        </w:rPr>
        <w:t xml:space="preserve"> </w:t>
      </w:r>
      <w:hyperlink r:id="rId12" w:history="1">
        <w:r w:rsidRPr="0017378C">
          <w:rPr>
            <w:rStyle w:val="Hyperlink"/>
            <w:rFonts w:ascii="Verdana" w:hAnsi="Verdana" w:cs="Arial"/>
            <w:shd w:val="clear" w:color="auto" w:fill="FFFFFF"/>
            <w:lang w:val="es-ES"/>
          </w:rPr>
          <w:t>https://relatoria.colombiacompra.gov.co/busqueda/conceptos</w:t>
        </w:r>
      </w:hyperlink>
      <w:r w:rsidRPr="0017378C">
        <w:rPr>
          <w:rStyle w:val="normaltextrun"/>
          <w:rFonts w:ascii="Verdana" w:hAnsi="Verdana" w:cs="Arial"/>
          <w:shd w:val="clear" w:color="auto" w:fill="FFFFFF"/>
          <w:lang w:val="es-ES"/>
        </w:rPr>
        <w:t>.</w:t>
      </w:r>
      <w:r w:rsidRPr="0017378C">
        <w:rPr>
          <w:rStyle w:val="normaltextrun"/>
          <w:rFonts w:ascii="Verdana" w:hAnsi="Verdana" w:cs="Arial"/>
          <w:color w:val="FF0000"/>
          <w:shd w:val="clear" w:color="auto" w:fill="FFFFFF"/>
          <w:lang w:val="es-ES"/>
        </w:rPr>
        <w:t xml:space="preserve"> </w:t>
      </w:r>
    </w:p>
    <w:p w14:paraId="22AF6937" w14:textId="77777777" w:rsidR="00327E1D" w:rsidRPr="0017378C" w:rsidRDefault="00327E1D" w:rsidP="00327E1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E641F4C" w14:textId="77777777" w:rsidR="00327E1D" w:rsidRPr="0017378C" w:rsidRDefault="00327E1D" w:rsidP="00327E1D">
      <w:pPr>
        <w:spacing w:after="0" w:line="276" w:lineRule="auto"/>
        <w:jc w:val="both"/>
        <w:rPr>
          <w:rFonts w:ascii="Verdana" w:hAnsi="Verdana"/>
          <w:lang w:val="es-ES"/>
        </w:rPr>
      </w:pPr>
      <w:r w:rsidRPr="0017378C">
        <w:rPr>
          <w:rFonts w:ascii="Verdana" w:hAnsi="Verdana"/>
          <w:lang w:val="es-ES"/>
        </w:rPr>
        <w:t xml:space="preserve">Por último, lo invitamos a seguirnos en las redes sociales en las cuales se difunde información institucional: </w:t>
      </w:r>
    </w:p>
    <w:p w14:paraId="221188EB" w14:textId="77777777" w:rsidR="00327E1D" w:rsidRPr="0017378C" w:rsidRDefault="00327E1D" w:rsidP="00327E1D">
      <w:pPr>
        <w:spacing w:after="0" w:line="276" w:lineRule="auto"/>
        <w:jc w:val="both"/>
        <w:rPr>
          <w:rFonts w:ascii="Verdana" w:hAnsi="Verdana"/>
          <w:lang w:val="es-ES"/>
        </w:rPr>
      </w:pPr>
    </w:p>
    <w:p w14:paraId="15BE5ED7" w14:textId="77777777" w:rsidR="00327E1D" w:rsidRPr="0017378C" w:rsidRDefault="00327E1D" w:rsidP="00327E1D">
      <w:pPr>
        <w:spacing w:after="0" w:line="276" w:lineRule="auto"/>
        <w:jc w:val="both"/>
        <w:rPr>
          <w:rFonts w:ascii="Verdana" w:hAnsi="Verdana"/>
          <w:lang w:val="es-ES"/>
        </w:rPr>
      </w:pPr>
      <w:r w:rsidRPr="0017378C">
        <w:rPr>
          <w:rFonts w:ascii="Verdana" w:hAnsi="Verdana"/>
          <w:lang w:val="es-ES"/>
        </w:rPr>
        <w:t xml:space="preserve">Twitter: </w:t>
      </w:r>
      <w:r w:rsidRPr="0017378C">
        <w:rPr>
          <w:rStyle w:val="Hyperlink"/>
          <w:rFonts w:ascii="Verdana" w:hAnsi="Verdana" w:cs="Arial"/>
          <w:shd w:val="clear" w:color="auto" w:fill="FFFFFF"/>
          <w:lang w:val="es-ES"/>
        </w:rPr>
        <w:t>@colombiacompra</w:t>
      </w:r>
      <w:r w:rsidRPr="0017378C">
        <w:rPr>
          <w:rFonts w:ascii="Verdana" w:hAnsi="Verdana"/>
          <w:color w:val="4472C4" w:themeColor="accent1"/>
          <w:lang w:val="es-ES"/>
        </w:rPr>
        <w:t xml:space="preserve"> </w:t>
      </w:r>
    </w:p>
    <w:p w14:paraId="43490BD0" w14:textId="77777777" w:rsidR="00327E1D" w:rsidRPr="0017378C" w:rsidRDefault="00327E1D" w:rsidP="00327E1D">
      <w:pPr>
        <w:spacing w:after="0" w:line="276" w:lineRule="auto"/>
        <w:jc w:val="both"/>
        <w:rPr>
          <w:rFonts w:ascii="Verdana" w:hAnsi="Verdana"/>
          <w:lang w:val="es-ES"/>
        </w:rPr>
      </w:pPr>
      <w:r w:rsidRPr="0017378C">
        <w:rPr>
          <w:rFonts w:ascii="Verdana" w:hAnsi="Verdana"/>
          <w:lang w:val="es-ES"/>
        </w:rPr>
        <w:t xml:space="preserve">Facebook: </w:t>
      </w:r>
      <w:proofErr w:type="spellStart"/>
      <w:r w:rsidRPr="0017378C">
        <w:rPr>
          <w:rStyle w:val="Hyperlink"/>
          <w:rFonts w:ascii="Verdana" w:hAnsi="Verdana" w:cs="Arial"/>
          <w:shd w:val="clear" w:color="auto" w:fill="FFFFFF"/>
          <w:lang w:val="es-ES"/>
        </w:rPr>
        <w:t>ColombiaCompraEficiente</w:t>
      </w:r>
      <w:proofErr w:type="spellEnd"/>
    </w:p>
    <w:p w14:paraId="6456FCC2" w14:textId="77777777" w:rsidR="00327E1D" w:rsidRPr="0017378C" w:rsidRDefault="00327E1D" w:rsidP="00327E1D">
      <w:pPr>
        <w:spacing w:after="0" w:line="276" w:lineRule="auto"/>
        <w:jc w:val="both"/>
        <w:rPr>
          <w:rFonts w:ascii="Verdana" w:hAnsi="Verdana"/>
          <w:lang w:val="es-ES"/>
        </w:rPr>
      </w:pPr>
      <w:r w:rsidRPr="0017378C">
        <w:rPr>
          <w:rFonts w:ascii="Verdana" w:hAnsi="Verdana"/>
          <w:lang w:val="es-ES"/>
        </w:rPr>
        <w:t xml:space="preserve">LinkedIn: </w:t>
      </w:r>
      <w:r w:rsidRPr="0017378C">
        <w:rPr>
          <w:rStyle w:val="Hyperlink"/>
          <w:rFonts w:ascii="Verdana" w:hAnsi="Verdana" w:cs="Arial"/>
          <w:shd w:val="clear" w:color="auto" w:fill="FFFFFF"/>
          <w:lang w:val="es-ES"/>
        </w:rPr>
        <w:t xml:space="preserve">Agencia Nacional de Contratación Pública - Colombia Compra Eficiente </w:t>
      </w:r>
      <w:r w:rsidRPr="0017378C">
        <w:rPr>
          <w:rFonts w:ascii="Verdana" w:hAnsi="Verdana"/>
          <w:lang w:val="es-ES"/>
        </w:rPr>
        <w:t xml:space="preserve">Instagram: </w:t>
      </w:r>
      <w:r w:rsidRPr="0017378C">
        <w:rPr>
          <w:rStyle w:val="Hyperlink"/>
          <w:rFonts w:ascii="Verdana" w:hAnsi="Verdana" w:cs="Arial"/>
          <w:shd w:val="clear" w:color="auto" w:fill="FFFFFF"/>
          <w:lang w:val="es-ES"/>
        </w:rPr>
        <w:t>@colombiacompraeficiente_cce</w:t>
      </w:r>
    </w:p>
    <w:p w14:paraId="782B8247" w14:textId="77777777" w:rsidR="00327E1D" w:rsidRPr="0017378C" w:rsidRDefault="00327E1D" w:rsidP="00327E1D">
      <w:pPr>
        <w:widowControl w:val="0"/>
        <w:autoSpaceDE w:val="0"/>
        <w:autoSpaceDN w:val="0"/>
        <w:spacing w:after="0" w:line="276" w:lineRule="auto"/>
        <w:jc w:val="both"/>
        <w:rPr>
          <w:rFonts w:ascii="Verdana" w:hAnsi="Verdana" w:cs="Arial"/>
          <w:color w:val="000000" w:themeColor="text1"/>
          <w:lang w:val="es-ES"/>
        </w:rPr>
      </w:pPr>
    </w:p>
    <w:p w14:paraId="3831DBE6" w14:textId="77777777" w:rsidR="00327E1D" w:rsidRPr="0017378C" w:rsidRDefault="00327E1D" w:rsidP="00327E1D">
      <w:pPr>
        <w:widowControl w:val="0"/>
        <w:autoSpaceDE w:val="0"/>
        <w:autoSpaceDN w:val="0"/>
        <w:spacing w:after="0" w:line="276" w:lineRule="auto"/>
        <w:jc w:val="both"/>
        <w:rPr>
          <w:rFonts w:ascii="Verdana" w:hAnsi="Verdana" w:cs="Arial"/>
          <w:color w:val="000000" w:themeColor="text1"/>
          <w:lang w:val="es-ES"/>
        </w:rPr>
      </w:pPr>
      <w:r w:rsidRPr="0017378C">
        <w:rPr>
          <w:rFonts w:ascii="Verdana" w:hAnsi="Verdana" w:cs="Arial"/>
          <w:color w:val="000000" w:themeColor="text1"/>
          <w:lang w:val="es-ES"/>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BCDD501" w14:textId="77777777" w:rsidR="00327E1D" w:rsidRPr="0017378C" w:rsidRDefault="00327E1D" w:rsidP="00327E1D">
      <w:pPr>
        <w:widowControl w:val="0"/>
        <w:autoSpaceDE w:val="0"/>
        <w:autoSpaceDN w:val="0"/>
        <w:spacing w:after="0" w:line="276" w:lineRule="auto"/>
        <w:jc w:val="both"/>
        <w:rPr>
          <w:rFonts w:ascii="Verdana" w:hAnsi="Verdana" w:cs="Arial"/>
          <w:color w:val="000000" w:themeColor="text1"/>
          <w:lang w:val="es-ES"/>
        </w:rPr>
      </w:pPr>
    </w:p>
    <w:p w14:paraId="52716805" w14:textId="77777777" w:rsidR="00327E1D" w:rsidRPr="0017378C" w:rsidRDefault="00327E1D" w:rsidP="00327E1D">
      <w:pPr>
        <w:spacing w:after="0" w:line="276" w:lineRule="auto"/>
        <w:rPr>
          <w:rFonts w:ascii="Verdana" w:hAnsi="Verdana" w:cs="Arial"/>
          <w:color w:val="000000" w:themeColor="text1"/>
          <w:lang w:val="es-ES" w:eastAsia="es-CO"/>
        </w:rPr>
      </w:pPr>
      <w:r w:rsidRPr="0017378C">
        <w:rPr>
          <w:rFonts w:ascii="Verdana" w:eastAsia="Times New Roman" w:hAnsi="Verdana" w:cs="Arial"/>
          <w:color w:val="000000" w:themeColor="text1"/>
          <w:lang w:val="es-ES" w:eastAsia="es-CO"/>
        </w:rPr>
        <w:t>Atentamente,</w:t>
      </w:r>
      <w:r w:rsidRPr="0017378C">
        <w:rPr>
          <w:rFonts w:ascii="Verdana" w:hAnsi="Verdana" w:cs="Arial"/>
          <w:color w:val="000000" w:themeColor="text1"/>
          <w:lang w:val="es-ES" w:eastAsia="es-CO"/>
        </w:rPr>
        <w:t xml:space="preserve"> </w:t>
      </w:r>
    </w:p>
    <w:bookmarkEnd w:id="0"/>
    <w:p w14:paraId="63B06DF1" w14:textId="40BCDC77" w:rsidR="00327E1D" w:rsidRDefault="0008051B" w:rsidP="00327E1D">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2FD62170" wp14:editId="3BB2F859">
            <wp:simplePos x="0" y="0"/>
            <wp:positionH relativeFrom="column">
              <wp:posOffset>1319981</wp:posOffset>
            </wp:positionH>
            <wp:positionV relativeFrom="paragraph">
              <wp:posOffset>52868</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p w14:paraId="2171C6FB" w14:textId="3C19B18A" w:rsidR="0008051B" w:rsidRPr="0017378C" w:rsidRDefault="0008051B" w:rsidP="00327E1D">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27E1D" w:rsidRPr="0017378C" w14:paraId="02A8B060" w14:textId="77777777" w:rsidTr="00F85C26">
        <w:trPr>
          <w:trHeight w:val="315"/>
        </w:trPr>
        <w:tc>
          <w:tcPr>
            <w:tcW w:w="893" w:type="dxa"/>
            <w:vAlign w:val="center"/>
            <w:hideMark/>
          </w:tcPr>
          <w:p w14:paraId="0276A67F" w14:textId="77777777" w:rsidR="00327E1D" w:rsidRPr="0017378C" w:rsidRDefault="00327E1D" w:rsidP="00F85C26">
            <w:pPr>
              <w:contextualSpacing/>
              <w:rPr>
                <w:rFonts w:ascii="Verdana" w:hAnsi="Verdana" w:cs="Arial"/>
                <w:sz w:val="16"/>
                <w:szCs w:val="16"/>
                <w:lang w:val="es-ES" w:eastAsia="es-ES"/>
              </w:rPr>
            </w:pPr>
            <w:r w:rsidRPr="0017378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DE17DA" w14:textId="77777777" w:rsidR="00327E1D" w:rsidRPr="0017378C" w:rsidRDefault="00327E1D" w:rsidP="00F85C26">
            <w:pPr>
              <w:contextualSpacing/>
              <w:rPr>
                <w:rFonts w:ascii="Verdana" w:eastAsia="Arial" w:hAnsi="Verdana" w:cs="Arial"/>
                <w:color w:val="000000" w:themeColor="text1"/>
                <w:sz w:val="16"/>
                <w:szCs w:val="16"/>
                <w:lang w:val="es-ES"/>
              </w:rPr>
            </w:pPr>
            <w:r w:rsidRPr="0017378C">
              <w:rPr>
                <w:rFonts w:ascii="Verdana" w:eastAsia="Arial" w:hAnsi="Verdana" w:cs="Arial"/>
                <w:color w:val="000000" w:themeColor="text1"/>
                <w:sz w:val="16"/>
                <w:szCs w:val="16"/>
                <w:lang w:val="es-ES"/>
              </w:rPr>
              <w:t>Anamaría Bonilla Prieto</w:t>
            </w:r>
          </w:p>
          <w:p w14:paraId="0F45C524" w14:textId="77777777" w:rsidR="00327E1D" w:rsidRPr="0017378C" w:rsidRDefault="00327E1D" w:rsidP="00F85C26">
            <w:pPr>
              <w:contextualSpacing/>
              <w:rPr>
                <w:rFonts w:ascii="Verdana" w:eastAsia="Arial" w:hAnsi="Verdana" w:cs="Arial"/>
                <w:sz w:val="16"/>
                <w:szCs w:val="16"/>
                <w:lang w:val="es-ES"/>
              </w:rPr>
            </w:pPr>
            <w:r w:rsidRPr="0017378C">
              <w:rPr>
                <w:rStyle w:val="normaltextrun"/>
                <w:rFonts w:ascii="Verdana" w:eastAsia="Arial" w:hAnsi="Verdana" w:cs="Arial"/>
                <w:color w:val="000000" w:themeColor="text1"/>
                <w:sz w:val="16"/>
                <w:szCs w:val="16"/>
                <w:lang w:val="es-ES"/>
              </w:rPr>
              <w:t xml:space="preserve">Contratista de la Subdirección </w:t>
            </w:r>
            <w:r w:rsidRPr="0017378C">
              <w:rPr>
                <w:rStyle w:val="normaltextrun"/>
                <w:rFonts w:ascii="Verdana" w:eastAsia="Arial" w:hAnsi="Verdana" w:cs="Arial"/>
                <w:sz w:val="16"/>
                <w:szCs w:val="16"/>
                <w:lang w:val="es-ES"/>
              </w:rPr>
              <w:t>de Gestión Contractual</w:t>
            </w:r>
          </w:p>
        </w:tc>
      </w:tr>
      <w:tr w:rsidR="00327E1D" w:rsidRPr="0017378C" w14:paraId="4F9DE4A7" w14:textId="77777777" w:rsidTr="00F85C26">
        <w:trPr>
          <w:trHeight w:val="330"/>
        </w:trPr>
        <w:tc>
          <w:tcPr>
            <w:tcW w:w="893" w:type="dxa"/>
            <w:vAlign w:val="center"/>
            <w:hideMark/>
          </w:tcPr>
          <w:p w14:paraId="1C83127E" w14:textId="77777777" w:rsidR="00327E1D" w:rsidRPr="0017378C" w:rsidRDefault="00327E1D" w:rsidP="00F85C26">
            <w:pPr>
              <w:contextualSpacing/>
              <w:rPr>
                <w:rFonts w:ascii="Verdana" w:hAnsi="Verdana" w:cs="Arial"/>
                <w:sz w:val="16"/>
                <w:szCs w:val="16"/>
                <w:lang w:val="es-ES" w:eastAsia="es-ES"/>
              </w:rPr>
            </w:pPr>
            <w:r w:rsidRPr="0017378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69276B" w14:textId="77777777" w:rsidR="00327E1D" w:rsidRPr="0017378C" w:rsidRDefault="00327E1D" w:rsidP="00F85C26">
            <w:pPr>
              <w:contextualSpacing/>
              <w:rPr>
                <w:rFonts w:ascii="Verdana" w:eastAsia="Arial" w:hAnsi="Verdana" w:cs="Arial"/>
                <w:color w:val="000000" w:themeColor="text1"/>
                <w:sz w:val="16"/>
                <w:szCs w:val="16"/>
                <w:lang w:val="es-ES"/>
              </w:rPr>
            </w:pPr>
            <w:r w:rsidRPr="0017378C">
              <w:rPr>
                <w:rFonts w:ascii="Verdana" w:eastAsia="Arial" w:hAnsi="Verdana" w:cs="Arial"/>
                <w:color w:val="000000" w:themeColor="text1"/>
                <w:sz w:val="16"/>
                <w:szCs w:val="16"/>
                <w:lang w:val="es-ES"/>
              </w:rPr>
              <w:t>Alejandro Sarmiento Cantillo</w:t>
            </w:r>
          </w:p>
          <w:p w14:paraId="3C1A14D4" w14:textId="77777777" w:rsidR="00327E1D" w:rsidRPr="0017378C" w:rsidRDefault="00327E1D" w:rsidP="00F85C26">
            <w:pPr>
              <w:contextualSpacing/>
              <w:rPr>
                <w:rFonts w:ascii="Verdana" w:hAnsi="Verdana" w:cs="Segoe UI"/>
                <w:sz w:val="16"/>
                <w:szCs w:val="16"/>
                <w:lang w:val="es-ES"/>
              </w:rPr>
            </w:pPr>
            <w:r w:rsidRPr="0017378C">
              <w:rPr>
                <w:rFonts w:ascii="Verdana" w:eastAsia="Arial" w:hAnsi="Verdana" w:cs="Arial"/>
                <w:color w:val="000000" w:themeColor="text1"/>
                <w:sz w:val="16"/>
                <w:szCs w:val="16"/>
                <w:lang w:val="es-ES"/>
              </w:rPr>
              <w:t>Gestor T1 – 15 de la Subdirección de Gestión Contractual</w:t>
            </w:r>
            <w:r w:rsidRPr="0017378C">
              <w:rPr>
                <w:rFonts w:ascii="Verdana" w:hAnsi="Verdana" w:cs="Segoe UI"/>
                <w:sz w:val="16"/>
                <w:szCs w:val="16"/>
                <w:lang w:val="es-ES"/>
              </w:rPr>
              <w:t> </w:t>
            </w:r>
          </w:p>
        </w:tc>
      </w:tr>
      <w:tr w:rsidR="00327E1D" w:rsidRPr="0017378C" w14:paraId="1677B138" w14:textId="77777777" w:rsidTr="00F85C26">
        <w:trPr>
          <w:trHeight w:val="300"/>
        </w:trPr>
        <w:tc>
          <w:tcPr>
            <w:tcW w:w="893" w:type="dxa"/>
            <w:vAlign w:val="center"/>
          </w:tcPr>
          <w:p w14:paraId="7759BA20" w14:textId="77777777" w:rsidR="00327E1D" w:rsidRPr="0017378C" w:rsidRDefault="00327E1D" w:rsidP="00F85C26">
            <w:pPr>
              <w:contextualSpacing/>
              <w:rPr>
                <w:rFonts w:ascii="Verdana" w:hAnsi="Verdana" w:cs="Arial"/>
                <w:sz w:val="16"/>
                <w:szCs w:val="16"/>
                <w:lang w:val="es-ES" w:eastAsia="es-ES"/>
              </w:rPr>
            </w:pPr>
            <w:r w:rsidRPr="0017378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464733" w14:textId="77777777" w:rsidR="00327E1D" w:rsidRPr="0017378C" w:rsidRDefault="00327E1D" w:rsidP="00F85C26">
            <w:pPr>
              <w:contextualSpacing/>
              <w:rPr>
                <w:rFonts w:ascii="Verdana" w:eastAsia="Calibri" w:hAnsi="Verdana" w:cs="Arial"/>
                <w:sz w:val="16"/>
                <w:szCs w:val="16"/>
                <w:lang w:val="es-ES" w:eastAsia="es-ES"/>
              </w:rPr>
            </w:pPr>
            <w:r w:rsidRPr="0017378C">
              <w:rPr>
                <w:rFonts w:ascii="Verdana" w:eastAsia="Calibri" w:hAnsi="Verdana" w:cs="Arial"/>
                <w:sz w:val="16"/>
                <w:szCs w:val="16"/>
                <w:lang w:val="es-ES" w:eastAsia="es-ES"/>
              </w:rPr>
              <w:t>Carolina Quintero Gacharná</w:t>
            </w:r>
          </w:p>
          <w:p w14:paraId="4B2646D2" w14:textId="77777777" w:rsidR="00327E1D" w:rsidRPr="0017378C" w:rsidRDefault="00327E1D" w:rsidP="00F85C26">
            <w:pPr>
              <w:contextualSpacing/>
              <w:rPr>
                <w:rFonts w:ascii="Verdana" w:eastAsia="Calibri" w:hAnsi="Verdana" w:cs="Arial"/>
                <w:sz w:val="16"/>
                <w:szCs w:val="16"/>
                <w:lang w:val="es-ES" w:eastAsia="es-ES"/>
              </w:rPr>
            </w:pPr>
            <w:r w:rsidRPr="0017378C">
              <w:rPr>
                <w:rFonts w:ascii="Verdana" w:eastAsia="Calibri" w:hAnsi="Verdana" w:cs="Arial"/>
                <w:sz w:val="16"/>
                <w:szCs w:val="16"/>
                <w:lang w:val="es-ES" w:eastAsia="es-ES"/>
              </w:rPr>
              <w:t>Subdirectora de Gestión Contractual ANCP – CCE</w:t>
            </w:r>
          </w:p>
        </w:tc>
      </w:tr>
    </w:tbl>
    <w:p w14:paraId="0F293BF4" w14:textId="15E50B8F" w:rsidR="00127233" w:rsidRPr="001A57D6" w:rsidRDefault="00127233" w:rsidP="002F5C22"/>
    <w:sectPr w:rsidR="00127233" w:rsidRPr="001A57D6"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021BE1" w14:textId="77777777" w:rsidR="003B1EDF" w:rsidRDefault="003B1EDF" w:rsidP="004A1847">
      <w:pPr>
        <w:spacing w:after="0" w:line="240" w:lineRule="auto"/>
      </w:pPr>
      <w:r>
        <w:separator/>
      </w:r>
    </w:p>
  </w:endnote>
  <w:endnote w:type="continuationSeparator" w:id="0">
    <w:p w14:paraId="335C6C8A" w14:textId="77777777" w:rsidR="003B1EDF" w:rsidRDefault="003B1EDF" w:rsidP="004A1847">
      <w:pPr>
        <w:spacing w:after="0" w:line="240" w:lineRule="auto"/>
      </w:pPr>
      <w:r>
        <w:continuationSeparator/>
      </w:r>
    </w:p>
  </w:endnote>
  <w:endnote w:type="continuationNotice" w:id="1">
    <w:p w14:paraId="14779078" w14:textId="77777777" w:rsidR="003B1EDF" w:rsidRDefault="003B1E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368FDB" w14:textId="77777777" w:rsidR="003B1EDF" w:rsidRDefault="003B1EDF" w:rsidP="004A1847">
      <w:pPr>
        <w:spacing w:after="0" w:line="240" w:lineRule="auto"/>
      </w:pPr>
      <w:r>
        <w:separator/>
      </w:r>
    </w:p>
  </w:footnote>
  <w:footnote w:type="continuationSeparator" w:id="0">
    <w:p w14:paraId="055C2DCB" w14:textId="77777777" w:rsidR="003B1EDF" w:rsidRDefault="003B1EDF" w:rsidP="004A1847">
      <w:pPr>
        <w:spacing w:after="0" w:line="240" w:lineRule="auto"/>
      </w:pPr>
      <w:r>
        <w:continuationSeparator/>
      </w:r>
    </w:p>
  </w:footnote>
  <w:footnote w:type="continuationNotice" w:id="1">
    <w:p w14:paraId="35035F1D" w14:textId="77777777" w:rsidR="003B1EDF" w:rsidRDefault="003B1EDF">
      <w:pPr>
        <w:spacing w:after="0" w:line="240" w:lineRule="auto"/>
      </w:pPr>
    </w:p>
  </w:footnote>
  <w:footnote w:id="2">
    <w:p w14:paraId="4B410D2C" w14:textId="77777777" w:rsidR="00327E1D" w:rsidRPr="00964EA8" w:rsidRDefault="00327E1D" w:rsidP="00327E1D">
      <w:pPr>
        <w:pStyle w:val="FootnoteText"/>
        <w:ind w:firstLine="708"/>
        <w:jc w:val="both"/>
        <w:rPr>
          <w:rFonts w:ascii="Verdana" w:hAnsi="Verdana" w:cs="Arial"/>
          <w:sz w:val="16"/>
          <w:szCs w:val="16"/>
          <w:lang w:val="es-ES"/>
        </w:rPr>
      </w:pPr>
      <w:r w:rsidRPr="00964EA8">
        <w:rPr>
          <w:rStyle w:val="FootnoteReference"/>
          <w:rFonts w:ascii="Verdana" w:hAnsi="Verdana" w:cs="Arial"/>
          <w:sz w:val="16"/>
          <w:szCs w:val="16"/>
          <w:vertAlign w:val="baseline"/>
        </w:rPr>
        <w:footnoteRef/>
      </w:r>
      <w:r w:rsidRPr="00964EA8">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3">
    <w:p w14:paraId="19A33CBC" w14:textId="77777777" w:rsidR="00327E1D" w:rsidRPr="00964EA8" w:rsidRDefault="00327E1D" w:rsidP="00327E1D">
      <w:pPr>
        <w:pStyle w:val="FootnoteText"/>
        <w:ind w:firstLine="708"/>
        <w:jc w:val="both"/>
        <w:rPr>
          <w:rFonts w:ascii="Verdana" w:hAnsi="Verdana" w:cs="Arial"/>
          <w:sz w:val="16"/>
          <w:szCs w:val="16"/>
          <w:lang w:val="es-ES"/>
        </w:rPr>
      </w:pPr>
      <w:r w:rsidRPr="00964EA8">
        <w:rPr>
          <w:rStyle w:val="FootnoteReference"/>
          <w:rFonts w:ascii="Verdana" w:hAnsi="Verdana" w:cs="Arial"/>
          <w:sz w:val="16"/>
          <w:szCs w:val="16"/>
          <w:vertAlign w:val="baseline"/>
        </w:rPr>
        <w:footnoteRef/>
      </w:r>
      <w:r w:rsidRPr="00964EA8">
        <w:rPr>
          <w:rFonts w:ascii="Verdana" w:hAnsi="Verdana" w:cs="Arial"/>
          <w:sz w:val="16"/>
          <w:szCs w:val="16"/>
        </w:rPr>
        <w:t xml:space="preserve"> </w:t>
      </w:r>
      <w:r w:rsidRPr="00964EA8">
        <w:rPr>
          <w:rFonts w:ascii="Verdana" w:hAnsi="Verdana" w:cs="Arial"/>
          <w:sz w:val="16"/>
          <w:szCs w:val="16"/>
        </w:rPr>
        <w:t xml:space="preserve">BETANCUR JARAMILLO, Carlos. Derecho procesal administrativo. Octava edición. Medellín: Señal Editora, 2013. p. 627. </w:t>
      </w:r>
    </w:p>
  </w:footnote>
  <w:footnote w:id="4">
    <w:p w14:paraId="265DB36B" w14:textId="77777777" w:rsidR="00327E1D" w:rsidRPr="00964EA8" w:rsidRDefault="00327E1D" w:rsidP="00327E1D">
      <w:pPr>
        <w:pStyle w:val="FootnoteText"/>
        <w:ind w:firstLine="708"/>
        <w:jc w:val="both"/>
        <w:rPr>
          <w:rFonts w:ascii="Verdana" w:hAnsi="Verdana" w:cs="Arial"/>
          <w:sz w:val="16"/>
          <w:szCs w:val="16"/>
        </w:rPr>
      </w:pPr>
      <w:r w:rsidRPr="00964EA8">
        <w:rPr>
          <w:rStyle w:val="FootnoteReference"/>
          <w:rFonts w:ascii="Verdana" w:hAnsi="Verdana" w:cs="Arial"/>
          <w:sz w:val="16"/>
          <w:szCs w:val="16"/>
          <w:vertAlign w:val="baseline"/>
        </w:rPr>
        <w:footnoteRef/>
      </w:r>
      <w:r w:rsidRPr="00964EA8">
        <w:rPr>
          <w:rFonts w:ascii="Verdana" w:hAnsi="Verdana" w:cs="Arial"/>
          <w:sz w:val="16"/>
          <w:szCs w:val="16"/>
        </w:rPr>
        <w:t xml:space="preserve"> </w:t>
      </w:r>
      <w:r w:rsidRPr="00964EA8">
        <w:rPr>
          <w:rFonts w:ascii="Verdana" w:hAnsi="Verdana" w:cs="Arial"/>
          <w:sz w:val="16"/>
          <w:szCs w:val="16"/>
        </w:rPr>
        <w:t>JOJOA BOLAÑOS, Alexander. Los regímenes exceptuados en los contratos estatales. Bogotá: Grupo Editorial Ibáñez, 2012. p. 89.</w:t>
      </w:r>
    </w:p>
  </w:footnote>
  <w:footnote w:id="5">
    <w:p w14:paraId="73B8CF68" w14:textId="77777777" w:rsidR="00327E1D" w:rsidRPr="00964EA8" w:rsidRDefault="00327E1D" w:rsidP="00327E1D">
      <w:pPr>
        <w:pStyle w:val="FootnoteText"/>
        <w:ind w:firstLine="708"/>
        <w:jc w:val="both"/>
        <w:rPr>
          <w:rFonts w:ascii="Verdana" w:hAnsi="Verdana" w:cs="Arial"/>
          <w:sz w:val="16"/>
          <w:szCs w:val="16"/>
        </w:rPr>
      </w:pPr>
      <w:r w:rsidRPr="00964EA8">
        <w:rPr>
          <w:rStyle w:val="FootnoteReference"/>
          <w:rFonts w:ascii="Verdana" w:hAnsi="Verdana" w:cs="Arial"/>
          <w:sz w:val="16"/>
          <w:szCs w:val="16"/>
          <w:vertAlign w:val="baseline"/>
        </w:rPr>
        <w:footnoteRef/>
      </w:r>
      <w:r w:rsidRPr="00964EA8">
        <w:rPr>
          <w:rFonts w:ascii="Verdana" w:hAnsi="Verdana" w:cs="Arial"/>
          <w:sz w:val="16"/>
          <w:szCs w:val="16"/>
        </w:rPr>
        <w:t xml:space="preserve"> </w:t>
      </w:r>
      <w:r w:rsidRPr="00964EA8">
        <w:rPr>
          <w:rFonts w:ascii="Verdana" w:hAnsi="Verdana" w:cs="Arial"/>
          <w:sz w:val="16"/>
          <w:szCs w:val="16"/>
        </w:rPr>
        <w:t>BARRETO MORENO, Antonio Alejandro. El derecho de la compra pública: estudio jurídico de un mercado imperfecto. Bogotá: Legis, 2019. pp. 281 y ss.</w:t>
      </w:r>
    </w:p>
  </w:footnote>
  <w:footnote w:id="6">
    <w:p w14:paraId="13F9CA2F" w14:textId="77777777" w:rsidR="00327E1D" w:rsidRPr="00964EA8" w:rsidRDefault="00327E1D" w:rsidP="00327E1D">
      <w:pPr>
        <w:pStyle w:val="FootnoteText"/>
        <w:ind w:firstLine="709"/>
        <w:jc w:val="both"/>
        <w:rPr>
          <w:rFonts w:ascii="Verdana" w:hAnsi="Verdana" w:cs="Arial"/>
          <w:color w:val="000000" w:themeColor="text1"/>
          <w:sz w:val="16"/>
          <w:szCs w:val="16"/>
        </w:rPr>
      </w:pPr>
      <w:r w:rsidRPr="00964EA8">
        <w:rPr>
          <w:rStyle w:val="FootnoteReference"/>
          <w:rFonts w:ascii="Verdana" w:hAnsi="Verdana" w:cs="Arial"/>
          <w:color w:val="000000" w:themeColor="text1"/>
          <w:sz w:val="16"/>
          <w:szCs w:val="16"/>
        </w:rPr>
        <w:footnoteRef/>
      </w:r>
      <w:r w:rsidRPr="00964EA8">
        <w:rPr>
          <w:rFonts w:ascii="Verdana" w:hAnsi="Verdana" w:cs="Arial"/>
          <w:color w:val="000000" w:themeColor="text1"/>
          <w:sz w:val="16"/>
          <w:szCs w:val="16"/>
        </w:rPr>
        <w:t xml:space="preserve"> </w:t>
      </w:r>
      <w:r w:rsidRPr="00964EA8">
        <w:rPr>
          <w:rFonts w:ascii="Verdana" w:hAnsi="Verdana" w:cs="Arial"/>
          <w:color w:val="000000" w:themeColor="text1"/>
          <w:sz w:val="16"/>
          <w:szCs w:val="16"/>
        </w:rPr>
        <w:t>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7">
    <w:p w14:paraId="70CE3B39" w14:textId="77777777" w:rsidR="00327E1D" w:rsidRPr="00964EA8" w:rsidRDefault="00327E1D" w:rsidP="00327E1D">
      <w:pPr>
        <w:pStyle w:val="FootnoteText"/>
        <w:ind w:firstLine="709"/>
        <w:jc w:val="both"/>
        <w:rPr>
          <w:rFonts w:ascii="Verdana" w:hAnsi="Verdana" w:cs="Arial"/>
          <w:color w:val="000000" w:themeColor="text1"/>
          <w:sz w:val="16"/>
          <w:szCs w:val="16"/>
          <w:lang w:val="es-ES"/>
        </w:rPr>
      </w:pPr>
      <w:r w:rsidRPr="00964EA8">
        <w:rPr>
          <w:rStyle w:val="FootnoteReference"/>
          <w:rFonts w:ascii="Verdana" w:hAnsi="Verdana" w:cs="Arial"/>
          <w:color w:val="000000" w:themeColor="text1"/>
          <w:sz w:val="16"/>
          <w:szCs w:val="16"/>
        </w:rPr>
        <w:footnoteRef/>
      </w:r>
      <w:r w:rsidRPr="00964EA8">
        <w:rPr>
          <w:rFonts w:ascii="Verdana" w:hAnsi="Verdana" w:cs="Arial"/>
          <w:color w:val="000000" w:themeColor="text1"/>
          <w:sz w:val="16"/>
          <w:szCs w:val="16"/>
          <w:lang w:val="pt-BR"/>
        </w:rPr>
        <w:t xml:space="preserve"> CORTE CONSTITUCIONAL. Sentencia C-736 de 2007. </w:t>
      </w:r>
      <w:r w:rsidRPr="00964EA8">
        <w:rPr>
          <w:rFonts w:ascii="Verdana" w:hAnsi="Verdana" w:cs="Arial"/>
          <w:color w:val="000000" w:themeColor="text1"/>
          <w:sz w:val="16"/>
          <w:szCs w:val="16"/>
        </w:rPr>
        <w:t>M.P. Marco Gerardo Monroy Cabra.</w:t>
      </w:r>
    </w:p>
  </w:footnote>
  <w:footnote w:id="8">
    <w:p w14:paraId="32C2E4DB" w14:textId="77777777" w:rsidR="00327E1D" w:rsidRPr="00964EA8" w:rsidRDefault="00327E1D" w:rsidP="00327E1D">
      <w:pPr>
        <w:pStyle w:val="FootnoteText"/>
        <w:ind w:firstLine="709"/>
        <w:jc w:val="both"/>
        <w:rPr>
          <w:rFonts w:ascii="Verdana" w:hAnsi="Verdana" w:cs="Arial"/>
          <w:color w:val="000000" w:themeColor="text1"/>
          <w:sz w:val="16"/>
          <w:szCs w:val="16"/>
        </w:rPr>
      </w:pPr>
      <w:r w:rsidRPr="00964EA8">
        <w:rPr>
          <w:rStyle w:val="FootnoteReference"/>
          <w:rFonts w:ascii="Verdana" w:hAnsi="Verdana" w:cs="Arial"/>
          <w:color w:val="000000" w:themeColor="text1"/>
          <w:sz w:val="16"/>
          <w:szCs w:val="16"/>
        </w:rPr>
        <w:footnoteRef/>
      </w:r>
      <w:r w:rsidRPr="00964EA8">
        <w:rPr>
          <w:rFonts w:ascii="Verdana" w:hAnsi="Verdana" w:cs="Arial"/>
          <w:color w:val="000000" w:themeColor="text1"/>
          <w:sz w:val="16"/>
          <w:szCs w:val="16"/>
        </w:rPr>
        <w:t xml:space="preserve"> </w:t>
      </w:r>
      <w:r w:rsidRPr="00964EA8">
        <w:rPr>
          <w:rFonts w:ascii="Verdana" w:hAnsi="Verdana" w:cs="Arial"/>
          <w:color w:val="000000" w:themeColor="text1"/>
          <w:sz w:val="16"/>
          <w:szCs w:val="16"/>
        </w:rPr>
        <w:t xml:space="preserve">En lo pertinente, dicho artículo señala: </w:t>
      </w:r>
    </w:p>
    <w:p w14:paraId="79D275CE" w14:textId="77777777" w:rsidR="00327E1D" w:rsidRPr="00964EA8" w:rsidRDefault="00327E1D" w:rsidP="00327E1D">
      <w:pPr>
        <w:pStyle w:val="FootnoteText"/>
        <w:ind w:firstLine="709"/>
        <w:jc w:val="both"/>
        <w:rPr>
          <w:rFonts w:ascii="Verdana" w:hAnsi="Verdana" w:cs="Arial"/>
          <w:color w:val="000000" w:themeColor="text1"/>
          <w:sz w:val="16"/>
          <w:szCs w:val="16"/>
          <w:lang w:val="es-ES"/>
        </w:rPr>
      </w:pPr>
      <w:r w:rsidRPr="00964EA8">
        <w:rPr>
          <w:rFonts w:ascii="Verdana" w:hAnsi="Verdana" w:cs="Arial"/>
          <w:color w:val="000000" w:themeColor="text1"/>
          <w:sz w:val="16"/>
          <w:szCs w:val="16"/>
          <w:lang w:val="es-ES"/>
        </w:rPr>
        <w:t>“[…]</w:t>
      </w:r>
    </w:p>
    <w:p w14:paraId="19FE4E48" w14:textId="77777777" w:rsidR="00327E1D" w:rsidRPr="00964EA8" w:rsidRDefault="00327E1D" w:rsidP="00327E1D">
      <w:pPr>
        <w:pStyle w:val="FootnoteText"/>
        <w:ind w:firstLine="709"/>
        <w:jc w:val="both"/>
        <w:rPr>
          <w:rFonts w:ascii="Verdana" w:hAnsi="Verdana" w:cs="Arial"/>
          <w:color w:val="000000" w:themeColor="text1"/>
          <w:sz w:val="16"/>
          <w:szCs w:val="16"/>
          <w:lang w:val="es-ES"/>
        </w:rPr>
      </w:pPr>
      <w:r w:rsidRPr="00964EA8">
        <w:rPr>
          <w:rFonts w:ascii="Verdana" w:hAnsi="Verdana" w:cs="Arial"/>
          <w:color w:val="000000" w:themeColor="text1"/>
          <w:sz w:val="16"/>
          <w:szCs w:val="16"/>
          <w:lang w:val="es-ES"/>
        </w:rPr>
        <w:t>14.5. EMPRESA DE SERVICIOS PÚBLICOS OFICIAL. Es aquella en cuyo capital la Nación, las entidades territoriales, o las entidades descentralizadas de aquella o estas tienen el 100% de los aportes.</w:t>
      </w:r>
    </w:p>
    <w:p w14:paraId="4C0DF01B" w14:textId="77777777" w:rsidR="00327E1D" w:rsidRPr="00964EA8" w:rsidRDefault="00327E1D" w:rsidP="00327E1D">
      <w:pPr>
        <w:pStyle w:val="FootnoteText"/>
        <w:ind w:firstLine="709"/>
        <w:jc w:val="both"/>
        <w:rPr>
          <w:rFonts w:ascii="Verdana" w:hAnsi="Verdana" w:cs="Arial"/>
          <w:color w:val="000000" w:themeColor="text1"/>
          <w:sz w:val="16"/>
          <w:szCs w:val="16"/>
          <w:lang w:val="es-ES"/>
        </w:rPr>
      </w:pPr>
      <w:r w:rsidRPr="00964EA8">
        <w:rPr>
          <w:rFonts w:ascii="Verdana" w:hAnsi="Verdana" w:cs="Arial"/>
          <w:color w:val="000000" w:themeColor="text1"/>
          <w:sz w:val="16"/>
          <w:szCs w:val="16"/>
          <w:lang w:val="es-ES"/>
        </w:rPr>
        <w:t>14.6. EMPRESA DE SERVICIOS PÚBLICOS MIXTA. Es aquella en cuyo capital la Nación, las entidades territoriales, o las entidades descentralizadas de aquella o éstas tienen aportes iguales o superiores al 50%.</w:t>
      </w:r>
    </w:p>
    <w:p w14:paraId="4DC10E61" w14:textId="77777777" w:rsidR="00327E1D" w:rsidRPr="00964EA8" w:rsidRDefault="00327E1D" w:rsidP="00327E1D">
      <w:pPr>
        <w:pStyle w:val="FootnoteText"/>
        <w:ind w:firstLine="709"/>
        <w:jc w:val="both"/>
        <w:rPr>
          <w:rFonts w:ascii="Verdana" w:hAnsi="Verdana" w:cs="Arial"/>
          <w:color w:val="000000" w:themeColor="text1"/>
          <w:sz w:val="16"/>
          <w:szCs w:val="16"/>
          <w:lang w:val="es-ES"/>
        </w:rPr>
      </w:pPr>
      <w:r w:rsidRPr="00964EA8">
        <w:rPr>
          <w:rFonts w:ascii="Verdana" w:hAnsi="Verdana" w:cs="Arial"/>
          <w:color w:val="000000" w:themeColor="text1"/>
          <w:sz w:val="16"/>
          <w:szCs w:val="16"/>
          <w:lang w:val="es-ES"/>
        </w:rPr>
        <w:t>14.7. EMPRESA DE SERVICIOS PÚBLICOS PRIVADA. Es aquella cuyo capital pertenece mayoritariamente a particulares, o a entidades surgidas de convenios internacionales que deseen someterse íntegramente para estos efectos a las reglas a las que se someten los particulares”.</w:t>
      </w:r>
    </w:p>
  </w:footnote>
  <w:footnote w:id="9">
    <w:p w14:paraId="02517F86" w14:textId="77777777" w:rsidR="00327E1D" w:rsidRPr="00964EA8" w:rsidRDefault="00327E1D" w:rsidP="00327E1D">
      <w:pPr>
        <w:pStyle w:val="FootnoteText"/>
        <w:ind w:firstLine="709"/>
        <w:jc w:val="both"/>
        <w:rPr>
          <w:rFonts w:ascii="Verdana" w:hAnsi="Verdana" w:cs="Arial"/>
          <w:color w:val="000000" w:themeColor="text1"/>
          <w:sz w:val="16"/>
          <w:szCs w:val="16"/>
        </w:rPr>
      </w:pPr>
      <w:r w:rsidRPr="00964EA8">
        <w:rPr>
          <w:rStyle w:val="FootnoteReference"/>
          <w:rFonts w:ascii="Verdana" w:hAnsi="Verdana" w:cs="Arial"/>
          <w:color w:val="000000" w:themeColor="text1"/>
          <w:sz w:val="16"/>
          <w:szCs w:val="16"/>
        </w:rPr>
        <w:footnoteRef/>
      </w:r>
      <w:r w:rsidRPr="00964EA8">
        <w:rPr>
          <w:rFonts w:ascii="Verdana" w:hAnsi="Verdana" w:cs="Arial"/>
          <w:color w:val="000000" w:themeColor="text1"/>
          <w:sz w:val="16"/>
          <w:szCs w:val="16"/>
        </w:rPr>
        <w:t xml:space="preserve"> </w:t>
      </w:r>
      <w:r w:rsidRPr="00964EA8">
        <w:rPr>
          <w:rFonts w:ascii="Verdana" w:hAnsi="Verdana" w:cs="Arial"/>
          <w:color w:val="000000" w:themeColor="text1"/>
          <w:sz w:val="16"/>
          <w:szCs w:val="16"/>
        </w:rPr>
        <w:t xml:space="preserve">CONSEJO DE ESTADO. Sección Cuarta. Sentencia del 1 de marzo de 2012. C.P. William Giraldo Giraldo. </w:t>
      </w:r>
      <w:proofErr w:type="spellStart"/>
      <w:r w:rsidRPr="00964EA8">
        <w:rPr>
          <w:rFonts w:ascii="Verdana" w:hAnsi="Verdana" w:cs="Arial"/>
          <w:color w:val="000000" w:themeColor="text1"/>
          <w:sz w:val="16"/>
          <w:szCs w:val="16"/>
          <w:lang w:val="es-CO"/>
        </w:rPr>
        <w:t>Exp</w:t>
      </w:r>
      <w:proofErr w:type="spellEnd"/>
      <w:r w:rsidRPr="00964EA8">
        <w:rPr>
          <w:rFonts w:ascii="Verdana" w:hAnsi="Verdana" w:cs="Arial"/>
          <w:color w:val="000000" w:themeColor="text1"/>
          <w:sz w:val="16"/>
          <w:szCs w:val="16"/>
          <w:lang w:val="es-CO"/>
        </w:rPr>
        <w:t>. 17907</w:t>
      </w:r>
    </w:p>
  </w:footnote>
  <w:footnote w:id="10">
    <w:p w14:paraId="0B95FAD2" w14:textId="77777777" w:rsidR="00327E1D" w:rsidRPr="00964EA8" w:rsidRDefault="00327E1D" w:rsidP="00327E1D">
      <w:pPr>
        <w:pStyle w:val="FootnoteText"/>
        <w:ind w:firstLine="709"/>
        <w:jc w:val="both"/>
        <w:rPr>
          <w:rFonts w:ascii="Verdana" w:hAnsi="Verdana" w:cs="Arial"/>
          <w:color w:val="000000" w:themeColor="text1"/>
          <w:sz w:val="16"/>
          <w:szCs w:val="16"/>
          <w:lang w:val="es-ES"/>
        </w:rPr>
      </w:pPr>
      <w:r w:rsidRPr="00964EA8">
        <w:rPr>
          <w:rStyle w:val="FootnoteReference"/>
          <w:rFonts w:ascii="Verdana" w:hAnsi="Verdana" w:cs="Arial"/>
          <w:color w:val="000000" w:themeColor="text1"/>
          <w:sz w:val="16"/>
          <w:szCs w:val="16"/>
        </w:rPr>
        <w:footnoteRef/>
      </w:r>
      <w:r w:rsidRPr="00964EA8">
        <w:rPr>
          <w:rFonts w:ascii="Verdana" w:hAnsi="Verdana" w:cs="Arial"/>
          <w:color w:val="000000" w:themeColor="text1"/>
          <w:sz w:val="16"/>
          <w:szCs w:val="16"/>
        </w:rPr>
        <w:t xml:space="preserve"> </w:t>
      </w:r>
      <w:r w:rsidRPr="00964EA8">
        <w:rPr>
          <w:rFonts w:ascii="Verdana" w:hAnsi="Verdana" w:cs="Arial"/>
          <w:color w:val="000000" w:themeColor="text1"/>
          <w:sz w:val="16"/>
          <w:szCs w:val="16"/>
        </w:rPr>
        <w:t xml:space="preserve">Superitendencia de Servicios Públicos Domiciliarios. </w:t>
      </w:r>
      <w:r w:rsidRPr="00964EA8">
        <w:rPr>
          <w:rFonts w:ascii="Verdana" w:hAnsi="Verdana" w:cs="Arial"/>
          <w:color w:val="000000" w:themeColor="text1"/>
          <w:sz w:val="16"/>
          <w:szCs w:val="16"/>
          <w:lang w:val="es-ES"/>
        </w:rPr>
        <w:t>Concepto C-766 de 2021.</w:t>
      </w:r>
    </w:p>
  </w:footnote>
  <w:footnote w:id="11">
    <w:p w14:paraId="13C3F42E" w14:textId="77777777" w:rsidR="00327E1D" w:rsidRPr="00964EA8" w:rsidRDefault="00327E1D" w:rsidP="00327E1D">
      <w:pPr>
        <w:pStyle w:val="FootnoteText"/>
        <w:ind w:firstLine="709"/>
        <w:jc w:val="both"/>
        <w:rPr>
          <w:rFonts w:ascii="Verdana" w:hAnsi="Verdana" w:cs="Arial"/>
          <w:color w:val="000000" w:themeColor="text1"/>
          <w:sz w:val="16"/>
          <w:szCs w:val="16"/>
        </w:rPr>
      </w:pPr>
      <w:r w:rsidRPr="00964EA8">
        <w:rPr>
          <w:rStyle w:val="FootnoteReference"/>
          <w:rFonts w:ascii="Verdana" w:hAnsi="Verdana" w:cs="Arial"/>
          <w:color w:val="000000" w:themeColor="text1"/>
          <w:sz w:val="16"/>
          <w:szCs w:val="16"/>
          <w:vertAlign w:val="baseline"/>
        </w:rPr>
        <w:footnoteRef/>
      </w:r>
      <w:r w:rsidRPr="00964EA8">
        <w:rPr>
          <w:rFonts w:ascii="Verdana" w:hAnsi="Verdana" w:cs="Arial"/>
          <w:color w:val="000000" w:themeColor="text1"/>
          <w:sz w:val="16"/>
          <w:szCs w:val="16"/>
        </w:rPr>
        <w:t xml:space="preserve"> </w:t>
      </w:r>
      <w:r w:rsidRPr="00964EA8">
        <w:rPr>
          <w:rFonts w:ascii="Verdana" w:hAnsi="Verdana" w:cs="Arial"/>
          <w:color w:val="000000" w:themeColor="text1"/>
          <w:sz w:val="16"/>
          <w:szCs w:val="16"/>
        </w:rPr>
        <w:t>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5F7B416C" w14:textId="77777777" w:rsidR="00327E1D" w:rsidRPr="00964EA8" w:rsidRDefault="00327E1D" w:rsidP="00327E1D">
      <w:pPr>
        <w:pStyle w:val="FootnoteText"/>
        <w:ind w:firstLine="709"/>
        <w:jc w:val="both"/>
        <w:rPr>
          <w:rFonts w:ascii="Verdana" w:hAnsi="Verdana" w:cs="Arial"/>
          <w:color w:val="000000" w:themeColor="text1"/>
          <w:sz w:val="16"/>
          <w:szCs w:val="16"/>
          <w:lang w:val="es-ES"/>
        </w:rPr>
      </w:pPr>
    </w:p>
  </w:footnote>
  <w:footnote w:id="12">
    <w:p w14:paraId="1689AA16" w14:textId="77777777" w:rsidR="00327E1D" w:rsidRPr="00964EA8" w:rsidRDefault="00327E1D" w:rsidP="00327E1D">
      <w:pPr>
        <w:pStyle w:val="FootnoteText"/>
        <w:ind w:firstLine="709"/>
        <w:jc w:val="both"/>
        <w:rPr>
          <w:rFonts w:ascii="Verdana" w:hAnsi="Verdana" w:cs="Arial"/>
          <w:color w:val="000000" w:themeColor="text1"/>
          <w:sz w:val="16"/>
          <w:szCs w:val="16"/>
        </w:rPr>
      </w:pPr>
      <w:r w:rsidRPr="00FF08B0">
        <w:rPr>
          <w:rStyle w:val="FootnoteReference"/>
          <w:rFonts w:ascii="Verdana" w:hAnsi="Verdana" w:cs="Arial"/>
          <w:color w:val="000000" w:themeColor="text1"/>
          <w:sz w:val="16"/>
          <w:szCs w:val="16"/>
        </w:rPr>
        <w:footnoteRef/>
      </w:r>
      <w:r w:rsidRPr="00FF08B0">
        <w:rPr>
          <w:rFonts w:ascii="Verdana" w:hAnsi="Verdana" w:cs="Arial"/>
          <w:color w:val="000000" w:themeColor="text1"/>
          <w:sz w:val="16"/>
          <w:szCs w:val="16"/>
          <w:vertAlign w:val="superscript"/>
        </w:rPr>
        <w:t xml:space="preserve"> </w:t>
      </w:r>
      <w:bookmarkStart w:id="2" w:name="_Hlk178103192"/>
      <w:r w:rsidRPr="00964EA8">
        <w:rPr>
          <w:rFonts w:ascii="Verdana" w:hAnsi="Verdana" w:cs="Arial"/>
          <w:color w:val="000000" w:themeColor="text1"/>
          <w:sz w:val="16"/>
          <w:szCs w:val="16"/>
        </w:rPr>
        <w:t>CONSEJO DE ESTADO. Sección Tercera. Subsección A. Sentencia del 24 de octubre de 2016. C.P. María Nubia Velásquez Rico. Exp. 45607.</w:t>
      </w:r>
    </w:p>
    <w:bookmarkEnd w:id="2"/>
    <w:p w14:paraId="3A4EC1B2" w14:textId="77777777" w:rsidR="00327E1D" w:rsidRPr="00964EA8" w:rsidRDefault="00327E1D" w:rsidP="00327E1D">
      <w:pPr>
        <w:pStyle w:val="FootnoteText"/>
        <w:ind w:firstLine="709"/>
        <w:jc w:val="both"/>
        <w:rPr>
          <w:rFonts w:ascii="Verdana" w:hAnsi="Verdana" w:cs="Arial"/>
          <w:color w:val="000000" w:themeColor="text1"/>
          <w:sz w:val="16"/>
          <w:szCs w:val="16"/>
          <w:lang w:val="es-ES"/>
        </w:rPr>
      </w:pPr>
    </w:p>
  </w:footnote>
  <w:footnote w:id="13">
    <w:p w14:paraId="7A6989E0" w14:textId="77777777" w:rsidR="00327E1D" w:rsidRPr="00964EA8" w:rsidRDefault="00327E1D" w:rsidP="00327E1D">
      <w:pPr>
        <w:pStyle w:val="FootnoteText"/>
        <w:adjustRightInd w:val="0"/>
        <w:snapToGrid w:val="0"/>
        <w:ind w:firstLine="709"/>
        <w:jc w:val="both"/>
        <w:rPr>
          <w:rFonts w:ascii="Verdana" w:hAnsi="Verdana"/>
          <w:sz w:val="16"/>
          <w:szCs w:val="16"/>
        </w:rPr>
      </w:pPr>
      <w:r w:rsidRPr="00964EA8">
        <w:rPr>
          <w:rStyle w:val="FootnoteReference"/>
          <w:rFonts w:ascii="Verdana" w:hAnsi="Verdana"/>
          <w:sz w:val="16"/>
          <w:szCs w:val="16"/>
        </w:rPr>
        <w:footnoteRef/>
      </w:r>
      <w:r w:rsidRPr="00964EA8">
        <w:rPr>
          <w:rFonts w:ascii="Verdana" w:hAnsi="Verdana"/>
          <w:sz w:val="16"/>
          <w:szCs w:val="16"/>
        </w:rPr>
        <w:t xml:space="preserve"> </w:t>
      </w:r>
      <w:r w:rsidRPr="00964EA8">
        <w:rPr>
          <w:rFonts w:ascii="Verdana" w:hAnsi="Verdana"/>
          <w:sz w:val="16"/>
          <w:szCs w:val="16"/>
        </w:rPr>
        <w:t>Artículo 21 de la Ley 1150 de 2007</w:t>
      </w:r>
    </w:p>
  </w:footnote>
  <w:footnote w:id="14">
    <w:p w14:paraId="3DDB49C4" w14:textId="77777777" w:rsidR="00327E1D" w:rsidRPr="00964EA8" w:rsidRDefault="00327E1D" w:rsidP="00327E1D">
      <w:pPr>
        <w:pStyle w:val="FootnoteText"/>
        <w:adjustRightInd w:val="0"/>
        <w:snapToGrid w:val="0"/>
        <w:ind w:firstLine="709"/>
        <w:jc w:val="both"/>
        <w:rPr>
          <w:rFonts w:ascii="Verdana" w:hAnsi="Verdana"/>
          <w:sz w:val="16"/>
          <w:szCs w:val="16"/>
        </w:rPr>
      </w:pPr>
      <w:r w:rsidRPr="00964EA8">
        <w:rPr>
          <w:rStyle w:val="FootnoteReference"/>
          <w:rFonts w:ascii="Verdana" w:hAnsi="Verdana"/>
          <w:sz w:val="16"/>
          <w:szCs w:val="16"/>
        </w:rPr>
        <w:footnoteRef/>
      </w:r>
      <w:r w:rsidRPr="00964EA8">
        <w:rPr>
          <w:rFonts w:ascii="Verdana" w:hAnsi="Verdana"/>
          <w:sz w:val="16"/>
          <w:szCs w:val="16"/>
        </w:rPr>
        <w:t xml:space="preserve"> </w:t>
      </w:r>
      <w:r w:rsidRPr="00964EA8">
        <w:rPr>
          <w:rFonts w:ascii="Verdana" w:hAnsi="Verdana"/>
          <w:sz w:val="16"/>
          <w:szCs w:val="16"/>
        </w:rPr>
        <w:t>Artículos 83 a 86 de la Ley 1474 de 2011</w:t>
      </w:r>
    </w:p>
  </w:footnote>
  <w:footnote w:id="15">
    <w:p w14:paraId="20A9B38E" w14:textId="77777777" w:rsidR="00327E1D" w:rsidRPr="00964EA8" w:rsidRDefault="00327E1D" w:rsidP="00327E1D">
      <w:pPr>
        <w:pStyle w:val="FootnoteText"/>
        <w:adjustRightInd w:val="0"/>
        <w:snapToGrid w:val="0"/>
        <w:ind w:firstLine="709"/>
        <w:jc w:val="both"/>
        <w:rPr>
          <w:rFonts w:ascii="Verdana" w:hAnsi="Verdana"/>
          <w:sz w:val="16"/>
          <w:szCs w:val="16"/>
        </w:rPr>
      </w:pPr>
      <w:r w:rsidRPr="00964EA8">
        <w:rPr>
          <w:rStyle w:val="FootnoteReference"/>
          <w:rFonts w:ascii="Verdana" w:hAnsi="Verdana"/>
          <w:sz w:val="16"/>
          <w:szCs w:val="16"/>
        </w:rPr>
        <w:footnoteRef/>
      </w:r>
      <w:r w:rsidRPr="00964EA8">
        <w:rPr>
          <w:rFonts w:ascii="Verdana" w:hAnsi="Verdana"/>
          <w:sz w:val="16"/>
          <w:szCs w:val="16"/>
        </w:rPr>
        <w:t xml:space="preserve"> </w:t>
      </w:r>
      <w:r w:rsidRPr="00964EA8">
        <w:rPr>
          <w:rFonts w:ascii="Verdana" w:hAnsi="Verdana"/>
          <w:sz w:val="16"/>
          <w:szCs w:val="16"/>
        </w:rPr>
        <w:t>Artículo 83 de la Ley 1474 de 2011</w:t>
      </w:r>
    </w:p>
  </w:footnote>
  <w:footnote w:id="16">
    <w:p w14:paraId="295A0FC6" w14:textId="77777777" w:rsidR="00327E1D" w:rsidRPr="00964EA8" w:rsidRDefault="00327E1D" w:rsidP="00327E1D">
      <w:pPr>
        <w:pStyle w:val="FootnoteText"/>
        <w:adjustRightInd w:val="0"/>
        <w:snapToGrid w:val="0"/>
        <w:ind w:firstLine="709"/>
        <w:jc w:val="both"/>
        <w:rPr>
          <w:rFonts w:ascii="Verdana" w:hAnsi="Verdana" w:cs="Arial"/>
          <w:color w:val="161616"/>
          <w:sz w:val="16"/>
          <w:szCs w:val="16"/>
        </w:rPr>
      </w:pPr>
      <w:r w:rsidRPr="00964EA8">
        <w:rPr>
          <w:rStyle w:val="FootnoteReference"/>
          <w:rFonts w:ascii="Verdana" w:hAnsi="Verdana"/>
          <w:sz w:val="16"/>
          <w:szCs w:val="16"/>
        </w:rPr>
        <w:footnoteRef/>
      </w:r>
      <w:r w:rsidRPr="00964EA8">
        <w:rPr>
          <w:rFonts w:ascii="Verdana" w:hAnsi="Verdana"/>
          <w:sz w:val="16"/>
          <w:szCs w:val="16"/>
        </w:rPr>
        <w:t xml:space="preserve"> </w:t>
      </w:r>
      <w:r w:rsidRPr="00964EA8">
        <w:rPr>
          <w:rFonts w:ascii="Verdana" w:hAnsi="Verdana" w:cs="Arial"/>
          <w:color w:val="161616"/>
          <w:sz w:val="16"/>
          <w:szCs w:val="16"/>
        </w:rPr>
        <w:t>“Son también contratos de consultoría los que tienen por objeto la interventoría […]”</w:t>
      </w:r>
    </w:p>
  </w:footnote>
  <w:footnote w:id="17">
    <w:p w14:paraId="7F1BF9D0" w14:textId="77777777" w:rsidR="00327E1D" w:rsidRPr="00964EA8" w:rsidRDefault="00327E1D" w:rsidP="00327E1D">
      <w:pPr>
        <w:pStyle w:val="FootnoteText"/>
        <w:adjustRightInd w:val="0"/>
        <w:snapToGrid w:val="0"/>
        <w:ind w:firstLine="709"/>
        <w:jc w:val="both"/>
        <w:rPr>
          <w:rFonts w:ascii="Verdana" w:hAnsi="Verdana" w:cs="Arial"/>
          <w:color w:val="161616"/>
          <w:sz w:val="16"/>
          <w:szCs w:val="16"/>
        </w:rPr>
      </w:pPr>
      <w:r w:rsidRPr="00964EA8">
        <w:rPr>
          <w:rStyle w:val="FootnoteReference"/>
          <w:rFonts w:ascii="Verdana" w:hAnsi="Verdana" w:cs="Arial"/>
          <w:sz w:val="16"/>
          <w:szCs w:val="16"/>
        </w:rPr>
        <w:footnoteRef/>
      </w:r>
      <w:r w:rsidRPr="00964EA8">
        <w:rPr>
          <w:rFonts w:ascii="Verdana" w:hAnsi="Verdana" w:cs="Arial"/>
          <w:sz w:val="16"/>
          <w:szCs w:val="16"/>
        </w:rPr>
        <w:t xml:space="preserve"> </w:t>
      </w:r>
      <w:r w:rsidRPr="00964EA8">
        <w:rPr>
          <w:rFonts w:ascii="Verdana" w:hAnsi="Verdana" w:cs="Arial"/>
          <w:color w:val="161616"/>
          <w:sz w:val="16"/>
          <w:szCs w:val="16"/>
        </w:rPr>
        <w:t>Consejo de Estado. Sección Tercera. Sentencia del 28 de febrero de 2013. Exp. 24.266 C.P. Danilo Rojas Betancourth.</w:t>
      </w:r>
    </w:p>
  </w:footnote>
  <w:footnote w:id="18">
    <w:p w14:paraId="6F4BAD6D" w14:textId="77777777" w:rsidR="00327E1D" w:rsidRPr="00964EA8" w:rsidRDefault="00327E1D" w:rsidP="00327E1D">
      <w:pPr>
        <w:pStyle w:val="FootnoteText"/>
        <w:adjustRightInd w:val="0"/>
        <w:snapToGrid w:val="0"/>
        <w:ind w:firstLine="709"/>
        <w:jc w:val="both"/>
        <w:rPr>
          <w:rFonts w:ascii="Verdana" w:hAnsi="Verdana" w:cs="Arial"/>
          <w:color w:val="161616"/>
          <w:sz w:val="16"/>
          <w:szCs w:val="16"/>
        </w:rPr>
      </w:pPr>
      <w:r w:rsidRPr="00964EA8">
        <w:rPr>
          <w:rStyle w:val="FootnoteReference"/>
          <w:rFonts w:ascii="Verdana" w:hAnsi="Verdana" w:cs="Arial"/>
          <w:sz w:val="16"/>
          <w:szCs w:val="16"/>
        </w:rPr>
        <w:footnoteRef/>
      </w:r>
      <w:r w:rsidRPr="00964EA8">
        <w:rPr>
          <w:rFonts w:ascii="Verdana" w:hAnsi="Verdana" w:cs="Arial"/>
          <w:sz w:val="16"/>
          <w:szCs w:val="16"/>
        </w:rPr>
        <w:t xml:space="preserve"> </w:t>
      </w:r>
      <w:r w:rsidRPr="00964EA8">
        <w:rPr>
          <w:rFonts w:ascii="Verdana" w:hAnsi="Verdana" w:cs="Arial"/>
          <w:color w:val="161616"/>
          <w:sz w:val="16"/>
          <w:szCs w:val="16"/>
        </w:rPr>
        <w:t>Consejo de Estado, Sección Tercera. Sentencia del 8 de marzo de 1996, expediente n.° 8070, C.P. Jesús María Carrillo: “el interventor carece de facultades para exigir del contratante un supuesto derecho a prórrogas, como queriendo hacer valer el contrato de interventoria como un contrato accesorio del contrato de obra, y con esa perspectiva alegar que por la sola naturaleza accesoria "debe" obtener la misma suerte que la del contrato principal”. Consejo de Estado, Sala de lo Contencioso Administrativo, Sección Tercera, sentencia del 13 de septiembre de 1991, expediente n.° 5127, C.P. Carlos Betancur: “Debe distinguirse entre el contrato de obra pública y el de interventoría, pues el incumplimiento del contratista de obra no puede imputarse al del interventor como si éste fuera obligado a la ejecución de la obra”.</w:t>
      </w:r>
      <w:r w:rsidRPr="00964EA8">
        <w:rPr>
          <w:rFonts w:ascii="Verdana" w:hAnsi="Verdana" w:cs="Arial"/>
          <w:sz w:val="16"/>
          <w:szCs w:val="16"/>
        </w:rPr>
        <w:t xml:space="preserve">  </w:t>
      </w:r>
    </w:p>
  </w:footnote>
  <w:footnote w:id="19">
    <w:p w14:paraId="45491B05" w14:textId="77777777" w:rsidR="00327E1D" w:rsidRPr="00964EA8" w:rsidRDefault="00327E1D" w:rsidP="00327E1D">
      <w:pPr>
        <w:pStyle w:val="FootnoteText"/>
        <w:ind w:firstLine="708"/>
        <w:jc w:val="both"/>
        <w:rPr>
          <w:rFonts w:ascii="Verdana" w:hAnsi="Verdana" w:cs="Arial"/>
          <w:iCs/>
          <w:color w:val="1A1A1A" w:themeColor="background1" w:themeShade="1A"/>
          <w:sz w:val="16"/>
          <w:szCs w:val="16"/>
        </w:rPr>
      </w:pPr>
      <w:r w:rsidRPr="00964EA8">
        <w:rPr>
          <w:rStyle w:val="FootnoteReference"/>
          <w:rFonts w:ascii="Verdana" w:hAnsi="Verdana"/>
          <w:sz w:val="16"/>
          <w:szCs w:val="16"/>
        </w:rPr>
        <w:footnoteRef/>
      </w:r>
      <w:r w:rsidRPr="00964EA8">
        <w:rPr>
          <w:rFonts w:ascii="Verdana" w:hAnsi="Verdana"/>
          <w:sz w:val="16"/>
          <w:szCs w:val="16"/>
        </w:rPr>
        <w:t xml:space="preserve"> </w:t>
      </w:r>
      <w:r w:rsidRPr="00964EA8">
        <w:rPr>
          <w:rFonts w:ascii="Verdana" w:hAnsi="Verdana" w:cs="Arial"/>
          <w:iCs/>
          <w:color w:val="1A1A1A" w:themeColor="background1" w:themeShade="1A"/>
          <w:sz w:val="16"/>
          <w:szCs w:val="16"/>
        </w:rPr>
        <w:t xml:space="preserve">Consejo de Estado, Sección Tercera. Sentencia del 20 de noviembre de 2019, expediente n.° 25000-23-36-000-2016-00955-01(62369), M.P. Marta Nubia Velazquez Rico: </w:t>
      </w:r>
      <w:r w:rsidRPr="00964EA8">
        <w:rPr>
          <w:rFonts w:ascii="Verdana" w:hAnsi="Verdana" w:cs="Arial"/>
          <w:color w:val="1A1A1A" w:themeColor="background1" w:themeShade="1A"/>
          <w:sz w:val="16"/>
          <w:szCs w:val="16"/>
        </w:rPr>
        <w:t>“</w:t>
      </w:r>
      <w:r w:rsidRPr="00964EA8">
        <w:rPr>
          <w:rFonts w:ascii="Verdana" w:hAnsi="Verdana" w:cs="Arial"/>
          <w:iCs/>
          <w:color w:val="1A1A1A" w:themeColor="background1" w:themeShade="1A"/>
          <w:sz w:val="16"/>
          <w:szCs w:val="16"/>
        </w:rPr>
        <w:t xml:space="preserve">el </w:t>
      </w:r>
      <w:r w:rsidRPr="00964EA8">
        <w:rPr>
          <w:rFonts w:ascii="Verdana" w:hAnsi="Verdana" w:cs="Arial"/>
          <w:i/>
          <w:color w:val="1A1A1A" w:themeColor="background1" w:themeShade="1A"/>
          <w:sz w:val="16"/>
          <w:szCs w:val="16"/>
        </w:rPr>
        <w:t>precio del contrato de interventoría</w:t>
      </w:r>
      <w:r w:rsidRPr="00964EA8">
        <w:rPr>
          <w:rFonts w:ascii="Verdana" w:hAnsi="Verdana" w:cs="Arial"/>
          <w:iCs/>
          <w:color w:val="1A1A1A" w:themeColor="background1" w:themeShade="1A"/>
          <w:sz w:val="16"/>
          <w:szCs w:val="16"/>
        </w:rPr>
        <w:t xml:space="preserve"> se estructura básicamente con base en los costos de los recursos humanos y técnicos altamente especializados que se requieren para adelantar la interventoría y elaborar los entregables o productos requeridos. No obstante, a su vez, se precisa que la remuneración o precio del contrato de interventoría no necesariamente corresponde a un sistema de simple reembolso de costos y gastos, dado que el contratista interventor otorga su experiencia como organización y se compromete con un sistema de control y vigilancia que colabora y protege los intereses de la entidad pública contratante, al punto de que su labor se ha calificado como una función pública, en la cual el contratista asume un riesgo profesional y patrimonial de importancia”</w:t>
      </w:r>
    </w:p>
  </w:footnote>
  <w:footnote w:id="20">
    <w:p w14:paraId="209E625D" w14:textId="77777777" w:rsidR="00327E1D" w:rsidRPr="00964EA8" w:rsidRDefault="00327E1D" w:rsidP="00327E1D">
      <w:pPr>
        <w:pStyle w:val="FootnoteText"/>
        <w:ind w:firstLine="708"/>
        <w:jc w:val="both"/>
        <w:rPr>
          <w:rFonts w:ascii="Verdana" w:hAnsi="Verdana" w:cs="Arial"/>
          <w:iCs/>
          <w:color w:val="1A1A1A" w:themeColor="background1" w:themeShade="1A"/>
          <w:sz w:val="16"/>
          <w:szCs w:val="16"/>
        </w:rPr>
      </w:pPr>
      <w:r w:rsidRPr="00964EA8">
        <w:rPr>
          <w:rStyle w:val="FootnoteReference"/>
          <w:rFonts w:ascii="Verdana" w:hAnsi="Verdana"/>
          <w:sz w:val="16"/>
          <w:szCs w:val="16"/>
        </w:rPr>
        <w:footnoteRef/>
      </w:r>
      <w:r w:rsidRPr="00964EA8">
        <w:rPr>
          <w:rFonts w:ascii="Verdana" w:hAnsi="Verdana"/>
          <w:sz w:val="16"/>
          <w:szCs w:val="16"/>
        </w:rPr>
        <w:t xml:space="preserve"> </w:t>
      </w:r>
      <w:r w:rsidRPr="00964EA8">
        <w:rPr>
          <w:rFonts w:ascii="Verdana" w:hAnsi="Verdana" w:cs="Arial"/>
          <w:color w:val="1A1A1A" w:themeColor="background1" w:themeShade="1A"/>
          <w:sz w:val="16"/>
          <w:szCs w:val="16"/>
        </w:rPr>
        <w:t>“</w:t>
      </w:r>
      <w:r w:rsidRPr="00964EA8">
        <w:rPr>
          <w:rFonts w:ascii="Verdana" w:hAnsi="Verdana" w:cs="Arial"/>
          <w:iCs/>
          <w:color w:val="1A1A1A" w:themeColor="background1" w:themeShade="1A"/>
          <w:sz w:val="16"/>
          <w:szCs w:val="16"/>
        </w:rPr>
        <w:t>Artículo   5º.- De los Derechos y Deberes de los Contratistas. Para la realización de los fines de que trata el artículo 3o. de esta Ley, los contratistas:</w:t>
      </w:r>
    </w:p>
    <w:p w14:paraId="77305190" w14:textId="77777777" w:rsidR="00327E1D" w:rsidRPr="00964EA8" w:rsidRDefault="00327E1D" w:rsidP="00327E1D">
      <w:pPr>
        <w:pStyle w:val="FootnoteText"/>
        <w:ind w:firstLine="708"/>
        <w:jc w:val="both"/>
        <w:rPr>
          <w:rFonts w:ascii="Verdana" w:hAnsi="Verdana" w:cs="Arial"/>
          <w:color w:val="1A1A1A" w:themeColor="background1" w:themeShade="1A"/>
          <w:sz w:val="16"/>
          <w:szCs w:val="16"/>
        </w:rPr>
      </w:pPr>
      <w:r w:rsidRPr="00964EA8">
        <w:rPr>
          <w:rFonts w:ascii="Verdana" w:hAnsi="Verdana" w:cs="Arial"/>
          <w:iCs/>
          <w:color w:val="1A1A1A" w:themeColor="background1" w:themeShade="1A"/>
          <w:sz w:val="16"/>
          <w:szCs w:val="16"/>
        </w:rPr>
        <w:t>1o. Tendrán derecho a recibir oportunamente la remuneración pactada y a que el valor intrínseco de la misma no se altere o modifique durante la vigencia del contrato</w:t>
      </w:r>
      <w:r w:rsidRPr="00964EA8">
        <w:rPr>
          <w:rFonts w:ascii="Verdana" w:hAnsi="Verdana" w:cs="Arial"/>
          <w:color w:val="1A1A1A" w:themeColor="background1" w:themeShade="1A"/>
          <w:sz w:val="16"/>
          <w:szCs w:val="16"/>
        </w:rPr>
        <w:t>”.</w:t>
      </w:r>
    </w:p>
  </w:footnote>
  <w:footnote w:id="21">
    <w:p w14:paraId="13B601F8" w14:textId="77777777" w:rsidR="00327E1D" w:rsidRPr="00964EA8" w:rsidRDefault="00327E1D" w:rsidP="00327E1D">
      <w:pPr>
        <w:pStyle w:val="FootnoteText"/>
        <w:ind w:firstLine="709"/>
        <w:jc w:val="both"/>
        <w:rPr>
          <w:rFonts w:ascii="Verdana" w:hAnsi="Verdana" w:cs="Arial"/>
          <w:sz w:val="16"/>
          <w:szCs w:val="16"/>
          <w:lang w:val="es-ES"/>
        </w:rPr>
      </w:pPr>
      <w:r w:rsidRPr="00964EA8">
        <w:rPr>
          <w:rStyle w:val="FootnoteReference"/>
          <w:rFonts w:ascii="Verdana" w:hAnsi="Verdana" w:cs="Arial"/>
          <w:sz w:val="16"/>
          <w:szCs w:val="16"/>
        </w:rPr>
        <w:footnoteRef/>
      </w:r>
      <w:r w:rsidRPr="00964EA8">
        <w:rPr>
          <w:rFonts w:ascii="Verdana" w:hAnsi="Verdana" w:cs="Arial"/>
          <w:sz w:val="16"/>
          <w:szCs w:val="16"/>
        </w:rPr>
        <w:t xml:space="preserve"> </w:t>
      </w:r>
      <w:r w:rsidRPr="00964EA8">
        <w:rPr>
          <w:rFonts w:ascii="Verdana" w:hAnsi="Verdana" w:cs="Arial"/>
          <w:sz w:val="16"/>
          <w:szCs w:val="16"/>
        </w:rPr>
        <w:t>“</w:t>
      </w:r>
      <w:r w:rsidRPr="00964EA8">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487635EC" w14:textId="77777777" w:rsidR="00327E1D" w:rsidRPr="00964EA8" w:rsidRDefault="00327E1D" w:rsidP="00327E1D">
      <w:pPr>
        <w:pStyle w:val="FootnoteText"/>
        <w:ind w:firstLine="709"/>
        <w:jc w:val="both"/>
        <w:rPr>
          <w:rFonts w:ascii="Verdana" w:hAnsi="Verdana" w:cs="Arial"/>
          <w:sz w:val="16"/>
          <w:szCs w:val="16"/>
          <w:lang w:val="es-ES"/>
        </w:rPr>
      </w:pPr>
      <w:r w:rsidRPr="00964EA8">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964EA8">
        <w:rPr>
          <w:rFonts w:ascii="Verdana" w:hAnsi="Verdana" w:cs="Arial"/>
          <w:i/>
          <w:iCs/>
          <w:sz w:val="16"/>
          <w:szCs w:val="16"/>
          <w:lang w:val="es-ES"/>
        </w:rPr>
        <w:t>costos directos</w:t>
      </w:r>
      <w:r w:rsidRPr="00964EA8">
        <w:rPr>
          <w:rFonts w:ascii="Verdana" w:hAnsi="Verdana" w:cs="Arial"/>
          <w:sz w:val="16"/>
          <w:szCs w:val="16"/>
          <w:lang w:val="es-ES"/>
        </w:rPr>
        <w:t xml:space="preserve"> y los</w:t>
      </w:r>
      <w:r w:rsidRPr="00964EA8">
        <w:rPr>
          <w:rFonts w:ascii="Verdana" w:hAnsi="Verdana" w:cs="Arial"/>
          <w:i/>
          <w:iCs/>
          <w:sz w:val="16"/>
          <w:szCs w:val="16"/>
          <w:lang w:val="es-ES"/>
        </w:rPr>
        <w:t xml:space="preserve"> costos indirectos</w:t>
      </w:r>
      <w:r w:rsidRPr="00964EA8">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964EA8">
        <w:rPr>
          <w:rFonts w:ascii="Verdana" w:hAnsi="Verdana" w:cs="Arial"/>
          <w:i/>
          <w:iCs/>
          <w:sz w:val="16"/>
          <w:szCs w:val="16"/>
          <w:lang w:val="es-ES"/>
        </w:rPr>
        <w:t>ítems</w:t>
      </w:r>
      <w:r w:rsidRPr="00964EA8">
        <w:rPr>
          <w:rFonts w:ascii="Verdana" w:hAnsi="Verdana" w:cs="Arial"/>
          <w:sz w:val="16"/>
          <w:szCs w:val="16"/>
          <w:lang w:val="es-ES"/>
        </w:rPr>
        <w:t xml:space="preserve"> que componen el contrato–. Los costos </w:t>
      </w:r>
      <w:r w:rsidRPr="00964EA8">
        <w:rPr>
          <w:rFonts w:ascii="Verdana" w:hAnsi="Verdana" w:cs="Arial"/>
          <w:i/>
          <w:iCs/>
          <w:sz w:val="16"/>
          <w:szCs w:val="16"/>
          <w:lang w:val="es-ES"/>
        </w:rPr>
        <w:t>indirectos</w:t>
      </w:r>
      <w:r w:rsidRPr="00964EA8">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22">
    <w:p w14:paraId="79FF8CBA" w14:textId="77777777" w:rsidR="00327E1D" w:rsidRPr="00964EA8" w:rsidRDefault="00327E1D" w:rsidP="00327E1D">
      <w:pPr>
        <w:pStyle w:val="FootnoteText"/>
        <w:ind w:firstLine="708"/>
        <w:jc w:val="both"/>
        <w:rPr>
          <w:rFonts w:ascii="Verdana" w:hAnsi="Verdana"/>
          <w:sz w:val="16"/>
          <w:szCs w:val="16"/>
          <w:lang w:val="es-ES"/>
        </w:rPr>
      </w:pPr>
      <w:r w:rsidRPr="00964EA8">
        <w:rPr>
          <w:rStyle w:val="FootnoteReference"/>
          <w:rFonts w:ascii="Verdana" w:hAnsi="Verdana"/>
          <w:sz w:val="16"/>
          <w:szCs w:val="16"/>
        </w:rPr>
        <w:footnoteRef/>
      </w:r>
      <w:r w:rsidRPr="00964EA8">
        <w:rPr>
          <w:rFonts w:ascii="Verdana" w:hAnsi="Verdana"/>
          <w:sz w:val="16"/>
          <w:szCs w:val="16"/>
        </w:rPr>
        <w:t xml:space="preserve"> </w:t>
      </w:r>
      <w:r w:rsidRPr="00964EA8">
        <w:rPr>
          <w:rFonts w:ascii="Verdana" w:hAnsi="Verdana"/>
          <w:sz w:val="16"/>
          <w:szCs w:val="16"/>
        </w:rPr>
        <w:t>Ley 80 de 1993, Artículo 13: “L</w:t>
      </w:r>
      <w:r w:rsidRPr="00964EA8">
        <w:rPr>
          <w:rFonts w:ascii="Verdana" w:hAnsi="Verdana"/>
          <w:sz w:val="16"/>
          <w:szCs w:val="16"/>
          <w:lang w:val="es-CO"/>
        </w:rPr>
        <w:t>os contratos que celebren las entidades a que se refiere el artículo 2 del presente estatuto se regirán por las disposiciones comerciales y civiles pertinentes, salvo en las materias particularmente reguladas en esta Ley […]”.</w:t>
      </w:r>
    </w:p>
  </w:footnote>
  <w:footnote w:id="23">
    <w:p w14:paraId="5BC6AE49" w14:textId="77777777" w:rsidR="00327E1D" w:rsidRPr="00964EA8" w:rsidRDefault="00327E1D" w:rsidP="00327E1D">
      <w:pPr>
        <w:pStyle w:val="FootnoteText"/>
        <w:ind w:firstLine="708"/>
        <w:jc w:val="both"/>
        <w:rPr>
          <w:rFonts w:ascii="Verdana" w:hAnsi="Verdana"/>
          <w:sz w:val="16"/>
          <w:szCs w:val="16"/>
          <w:lang w:val="es-ES"/>
        </w:rPr>
      </w:pPr>
      <w:r w:rsidRPr="00964EA8">
        <w:rPr>
          <w:rStyle w:val="FootnoteReference"/>
          <w:rFonts w:ascii="Verdana" w:hAnsi="Verdana"/>
          <w:sz w:val="16"/>
          <w:szCs w:val="16"/>
        </w:rPr>
        <w:footnoteRef/>
      </w:r>
      <w:r w:rsidRPr="00964EA8">
        <w:rPr>
          <w:rFonts w:ascii="Verdana" w:hAnsi="Verdana"/>
          <w:sz w:val="16"/>
          <w:szCs w:val="16"/>
        </w:rPr>
        <w:t xml:space="preserve"> </w:t>
      </w:r>
      <w:r w:rsidRPr="00964EA8">
        <w:rPr>
          <w:rFonts w:ascii="Verdana" w:hAnsi="Verdana"/>
          <w:sz w:val="16"/>
          <w:szCs w:val="16"/>
        </w:rPr>
        <w:t>Ley 80 de 1993. ARTÍCULO </w:t>
      </w:r>
      <w:bookmarkStart w:id="4" w:name="BM32"/>
      <w:bookmarkStart w:id="5" w:name="32"/>
      <w:bookmarkEnd w:id="4"/>
      <w:bookmarkEnd w:id="5"/>
      <w:r w:rsidRPr="00964EA8">
        <w:rPr>
          <w:rFonts w:ascii="Verdana" w:hAnsi="Verdana"/>
          <w:sz w:val="16"/>
          <w:szCs w:val="16"/>
        </w:rPr>
        <w:t>32: “</w:t>
      </w:r>
      <w:r w:rsidRPr="00964EA8">
        <w:rPr>
          <w:rFonts w:ascii="Verdana" w:hAnsi="Verdana"/>
          <w:sz w:val="16"/>
          <w:szCs w:val="16"/>
          <w:lang w:val="es-CO"/>
        </w:rPr>
        <w:t>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24">
    <w:p w14:paraId="701903F4" w14:textId="77777777" w:rsidR="00327E1D" w:rsidRPr="00964EA8" w:rsidRDefault="00327E1D" w:rsidP="00327E1D">
      <w:pPr>
        <w:pStyle w:val="FootnoteText"/>
        <w:ind w:firstLine="708"/>
        <w:jc w:val="both"/>
        <w:rPr>
          <w:rFonts w:ascii="Verdana" w:hAnsi="Verdana"/>
          <w:sz w:val="16"/>
          <w:szCs w:val="16"/>
          <w:lang w:val="es-CO"/>
        </w:rPr>
      </w:pPr>
      <w:r w:rsidRPr="00964EA8">
        <w:rPr>
          <w:rStyle w:val="FootnoteReference"/>
          <w:rFonts w:ascii="Verdana" w:hAnsi="Verdana"/>
          <w:sz w:val="16"/>
          <w:szCs w:val="16"/>
        </w:rPr>
        <w:footnoteRef/>
      </w:r>
      <w:r w:rsidRPr="00964EA8">
        <w:rPr>
          <w:rFonts w:ascii="Verdana" w:hAnsi="Verdana"/>
          <w:sz w:val="16"/>
          <w:szCs w:val="16"/>
        </w:rPr>
        <w:t xml:space="preserve"> </w:t>
      </w:r>
      <w:r w:rsidRPr="00964EA8">
        <w:rPr>
          <w:rFonts w:ascii="Verdana" w:hAnsi="Verdana"/>
          <w:sz w:val="16"/>
          <w:szCs w:val="16"/>
          <w:lang w:val="es-CO"/>
        </w:rPr>
        <w:t>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0AB994E4" w14:textId="77777777" w:rsidR="00327E1D" w:rsidRPr="00FB1161" w:rsidRDefault="00327E1D" w:rsidP="00327E1D">
      <w:pPr>
        <w:pStyle w:val="FootnoteText"/>
        <w:jc w:val="both"/>
        <w:rPr>
          <w:rFonts w:ascii="Verdana" w:hAnsi="Verdana"/>
          <w:sz w:val="16"/>
          <w:szCs w:val="16"/>
          <w:lang w:val="es-CO"/>
        </w:rPr>
      </w:pPr>
      <w:r w:rsidRPr="00FB1161">
        <w:rPr>
          <w:rFonts w:ascii="Verdana" w:hAnsi="Verdana"/>
          <w:sz w:val="16"/>
          <w:szCs w:val="16"/>
          <w:lang w:val="es-CO"/>
        </w:rPr>
        <w:t>Parágrafo. Para la ejecución de los contratos de interventoría es obligatoria la constitución y aprobación de la garantía de cumplimiento hasta por el mismo término de la garantía de estabilidad del contrato principal; el Gobierno Nacional regulará la materia. En este evento podrá darse aplicación al artículo 7° de la Ley 1150, en cuanto a la posibilidad de que la garantía pueda ser dividida teniendo en cuenta las etapas o riesgos relativos a la ejecución del respectivo contrato.</w:t>
      </w:r>
    </w:p>
    <w:p w14:paraId="0C919C03" w14:textId="77777777" w:rsidR="00327E1D" w:rsidRPr="00964EA8" w:rsidRDefault="00327E1D" w:rsidP="00327E1D">
      <w:pPr>
        <w:pStyle w:val="FootnoteText"/>
        <w:jc w:val="both"/>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18" type="#_x0000_t75" style="width:15.1pt;height:15.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571424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3E94"/>
    <w:rsid w:val="00046945"/>
    <w:rsid w:val="00061B2A"/>
    <w:rsid w:val="00062BA7"/>
    <w:rsid w:val="0008051B"/>
    <w:rsid w:val="00082362"/>
    <w:rsid w:val="000A683E"/>
    <w:rsid w:val="000A7845"/>
    <w:rsid w:val="000B19B9"/>
    <w:rsid w:val="000B6A77"/>
    <w:rsid w:val="000D0334"/>
    <w:rsid w:val="000D5DA7"/>
    <w:rsid w:val="000F6486"/>
    <w:rsid w:val="000F77FC"/>
    <w:rsid w:val="00116940"/>
    <w:rsid w:val="00125105"/>
    <w:rsid w:val="00127233"/>
    <w:rsid w:val="0015699B"/>
    <w:rsid w:val="001A33BF"/>
    <w:rsid w:val="001A57D6"/>
    <w:rsid w:val="001E4177"/>
    <w:rsid w:val="001E5559"/>
    <w:rsid w:val="001F0B24"/>
    <w:rsid w:val="001F7DC6"/>
    <w:rsid w:val="0022400B"/>
    <w:rsid w:val="00227564"/>
    <w:rsid w:val="002421BB"/>
    <w:rsid w:val="0025796E"/>
    <w:rsid w:val="0026004B"/>
    <w:rsid w:val="002707A2"/>
    <w:rsid w:val="002951A0"/>
    <w:rsid w:val="002962BC"/>
    <w:rsid w:val="002A093D"/>
    <w:rsid w:val="002A0DD0"/>
    <w:rsid w:val="002A49AC"/>
    <w:rsid w:val="002A64FD"/>
    <w:rsid w:val="002C7A84"/>
    <w:rsid w:val="002D1B42"/>
    <w:rsid w:val="002E2BF8"/>
    <w:rsid w:val="002E4FD9"/>
    <w:rsid w:val="002E6D7E"/>
    <w:rsid w:val="002F5042"/>
    <w:rsid w:val="002F5C22"/>
    <w:rsid w:val="0030657A"/>
    <w:rsid w:val="00307DCB"/>
    <w:rsid w:val="00317368"/>
    <w:rsid w:val="00322A85"/>
    <w:rsid w:val="00324168"/>
    <w:rsid w:val="00327E1D"/>
    <w:rsid w:val="00330834"/>
    <w:rsid w:val="003448F4"/>
    <w:rsid w:val="00374F5E"/>
    <w:rsid w:val="00377E3E"/>
    <w:rsid w:val="003A779E"/>
    <w:rsid w:val="003B1EDF"/>
    <w:rsid w:val="003B3FB7"/>
    <w:rsid w:val="003D0F4D"/>
    <w:rsid w:val="003D5B0D"/>
    <w:rsid w:val="003E0499"/>
    <w:rsid w:val="003E4F80"/>
    <w:rsid w:val="003E6439"/>
    <w:rsid w:val="003F139E"/>
    <w:rsid w:val="003F13CD"/>
    <w:rsid w:val="003F3941"/>
    <w:rsid w:val="00406575"/>
    <w:rsid w:val="00414C74"/>
    <w:rsid w:val="00423153"/>
    <w:rsid w:val="0042722E"/>
    <w:rsid w:val="0044528D"/>
    <w:rsid w:val="00452DFF"/>
    <w:rsid w:val="00466E39"/>
    <w:rsid w:val="004A1847"/>
    <w:rsid w:val="004A305D"/>
    <w:rsid w:val="004D681E"/>
    <w:rsid w:val="004F21C4"/>
    <w:rsid w:val="004F685F"/>
    <w:rsid w:val="005566E8"/>
    <w:rsid w:val="00574867"/>
    <w:rsid w:val="00581581"/>
    <w:rsid w:val="00591460"/>
    <w:rsid w:val="005A65E0"/>
    <w:rsid w:val="005C3777"/>
    <w:rsid w:val="005C5CDC"/>
    <w:rsid w:val="005D476C"/>
    <w:rsid w:val="005F2F7B"/>
    <w:rsid w:val="006200BF"/>
    <w:rsid w:val="006219F8"/>
    <w:rsid w:val="006302F7"/>
    <w:rsid w:val="00641653"/>
    <w:rsid w:val="00646B9F"/>
    <w:rsid w:val="00665D70"/>
    <w:rsid w:val="006900D9"/>
    <w:rsid w:val="006F0319"/>
    <w:rsid w:val="006F293F"/>
    <w:rsid w:val="00703B83"/>
    <w:rsid w:val="00706C16"/>
    <w:rsid w:val="007340C3"/>
    <w:rsid w:val="00734BC6"/>
    <w:rsid w:val="0075235A"/>
    <w:rsid w:val="00756841"/>
    <w:rsid w:val="007649AB"/>
    <w:rsid w:val="00771D0C"/>
    <w:rsid w:val="007833AC"/>
    <w:rsid w:val="007B268C"/>
    <w:rsid w:val="007B526F"/>
    <w:rsid w:val="007B7171"/>
    <w:rsid w:val="007C0C0F"/>
    <w:rsid w:val="007C3DC2"/>
    <w:rsid w:val="007E5497"/>
    <w:rsid w:val="00806F5F"/>
    <w:rsid w:val="00820278"/>
    <w:rsid w:val="00824C83"/>
    <w:rsid w:val="008258C9"/>
    <w:rsid w:val="00844AE9"/>
    <w:rsid w:val="00867F95"/>
    <w:rsid w:val="008843B6"/>
    <w:rsid w:val="00891928"/>
    <w:rsid w:val="008A2CC1"/>
    <w:rsid w:val="008A446D"/>
    <w:rsid w:val="008B25F1"/>
    <w:rsid w:val="008D180B"/>
    <w:rsid w:val="008F0EA7"/>
    <w:rsid w:val="00923EEF"/>
    <w:rsid w:val="009419F9"/>
    <w:rsid w:val="0095685E"/>
    <w:rsid w:val="00961B09"/>
    <w:rsid w:val="00965334"/>
    <w:rsid w:val="0097093E"/>
    <w:rsid w:val="00981599"/>
    <w:rsid w:val="009A0DFA"/>
    <w:rsid w:val="009A1C6F"/>
    <w:rsid w:val="009B2D26"/>
    <w:rsid w:val="009C71FA"/>
    <w:rsid w:val="009C72E7"/>
    <w:rsid w:val="009C7F7E"/>
    <w:rsid w:val="009D3058"/>
    <w:rsid w:val="009F3A13"/>
    <w:rsid w:val="00A122D3"/>
    <w:rsid w:val="00A124CB"/>
    <w:rsid w:val="00A14468"/>
    <w:rsid w:val="00A17F13"/>
    <w:rsid w:val="00A20739"/>
    <w:rsid w:val="00A23AF9"/>
    <w:rsid w:val="00A33C78"/>
    <w:rsid w:val="00A560BD"/>
    <w:rsid w:val="00A81E1A"/>
    <w:rsid w:val="00AA7F3A"/>
    <w:rsid w:val="00AB0ADB"/>
    <w:rsid w:val="00B00C0E"/>
    <w:rsid w:val="00B01B1A"/>
    <w:rsid w:val="00B02360"/>
    <w:rsid w:val="00B0381D"/>
    <w:rsid w:val="00B44A47"/>
    <w:rsid w:val="00B53344"/>
    <w:rsid w:val="00B72CD3"/>
    <w:rsid w:val="00B72FFF"/>
    <w:rsid w:val="00B83C95"/>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475E8"/>
    <w:rsid w:val="00D520D8"/>
    <w:rsid w:val="00D63AC2"/>
    <w:rsid w:val="00D7383B"/>
    <w:rsid w:val="00D7788A"/>
    <w:rsid w:val="00D86D3F"/>
    <w:rsid w:val="00DA231B"/>
    <w:rsid w:val="00DC39FC"/>
    <w:rsid w:val="00DF5254"/>
    <w:rsid w:val="00E02524"/>
    <w:rsid w:val="00E16408"/>
    <w:rsid w:val="00E20894"/>
    <w:rsid w:val="00E245AB"/>
    <w:rsid w:val="00E2764C"/>
    <w:rsid w:val="00E27F2E"/>
    <w:rsid w:val="00E50AFE"/>
    <w:rsid w:val="00E628CE"/>
    <w:rsid w:val="00E75C92"/>
    <w:rsid w:val="00E771DC"/>
    <w:rsid w:val="00E8772A"/>
    <w:rsid w:val="00E90F6B"/>
    <w:rsid w:val="00E92C27"/>
    <w:rsid w:val="00EA0E3D"/>
    <w:rsid w:val="00EC38A7"/>
    <w:rsid w:val="00EE1AA8"/>
    <w:rsid w:val="00EF4523"/>
    <w:rsid w:val="00F23FEA"/>
    <w:rsid w:val="00F31EDC"/>
    <w:rsid w:val="00F3469E"/>
    <w:rsid w:val="00F462B3"/>
    <w:rsid w:val="00F549F0"/>
    <w:rsid w:val="00F5664F"/>
    <w:rsid w:val="00F666C4"/>
    <w:rsid w:val="00F76AFC"/>
    <w:rsid w:val="00F85C26"/>
    <w:rsid w:val="00FA47C0"/>
    <w:rsid w:val="00FB5DD1"/>
    <w:rsid w:val="00FC2B5D"/>
    <w:rsid w:val="00FF08B0"/>
    <w:rsid w:val="00FF1449"/>
    <w:rsid w:val="00FF2579"/>
    <w:rsid w:val="00FF71ED"/>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49F2B2A-C705-5E48-AD37-1EFD29A39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327E1D"/>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327E1D"/>
    <w:rPr>
      <w:rFonts w:ascii="Geomanist Light" w:hAnsi="Geomanist Light"/>
      <w:lang w:val="es-ES"/>
    </w:rPr>
  </w:style>
  <w:style w:type="paragraph" w:styleId="NoSpacing">
    <w:name w:val="No Spacing"/>
    <w:aliases w:val="No Indent"/>
    <w:link w:val="NoSpacingChar"/>
    <w:uiPriority w:val="3"/>
    <w:qFormat/>
    <w:rsid w:val="00327E1D"/>
    <w:pPr>
      <w:spacing w:after="0" w:line="240" w:lineRule="auto"/>
    </w:pPr>
    <w:rPr>
      <w:sz w:val="24"/>
      <w:lang w:val="es-MX"/>
    </w:rPr>
  </w:style>
  <w:style w:type="character" w:customStyle="1" w:styleId="NoSpacingChar">
    <w:name w:val="No Spacing Char"/>
    <w:aliases w:val="No Indent Char"/>
    <w:link w:val="NoSpacing"/>
    <w:uiPriority w:val="3"/>
    <w:rsid w:val="00327E1D"/>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empocalotoesp.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A18916E-F26C-4430-86CE-CD57BB37EE7F}"/>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9</TotalTime>
  <Pages>22</Pages>
  <Words>7050</Words>
  <Characters>40191</Characters>
  <Application>Microsoft Office Word</Application>
  <DocSecurity>0</DocSecurity>
  <Lines>334</Lines>
  <Paragraphs>94</Paragraphs>
  <ScaleCrop>false</ScaleCrop>
  <Company/>
  <LinksUpToDate>false</LinksUpToDate>
  <CharactersWithSpaces>47147</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2097217</vt:i4>
      </vt:variant>
      <vt:variant>
        <vt:i4>0</vt:i4>
      </vt:variant>
      <vt:variant>
        <vt:i4>0</vt:i4>
      </vt:variant>
      <vt:variant>
        <vt:i4>5</vt:i4>
      </vt:variant>
      <vt:variant>
        <vt:lpwstr>mailto:gerencia@empocalotoesp.gov.co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9</cp:revision>
  <cp:lastPrinted>2023-01-11T00:18:00Z</cp:lastPrinted>
  <dcterms:created xsi:type="dcterms:W3CDTF">2025-12-18T21:15:00Z</dcterms:created>
  <dcterms:modified xsi:type="dcterms:W3CDTF">2025-12-18T21:25:00Z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