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F73FAE" w14:textId="77777777" w:rsidR="0097307D" w:rsidRPr="009647D2" w:rsidRDefault="0097307D" w:rsidP="0097307D">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5652AD6F" w14:textId="77777777" w:rsidR="0097307D" w:rsidRDefault="0097307D" w:rsidP="0097307D">
      <w:pPr>
        <w:spacing w:after="0" w:line="240" w:lineRule="auto"/>
        <w:jc w:val="both"/>
        <w:rPr>
          <w:rFonts w:ascii="Verdana" w:eastAsia="Calibri" w:hAnsi="Verdana" w:cs="Arial"/>
          <w:b/>
          <w:lang w:val="es-ES" w:eastAsia="es-ES"/>
        </w:rPr>
      </w:pPr>
    </w:p>
    <w:p w14:paraId="3CD45025" w14:textId="77777777" w:rsidR="0097307D" w:rsidRPr="000B3A5B" w:rsidRDefault="0097307D" w:rsidP="0097307D">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38136698" w14:textId="77777777" w:rsidR="0097307D" w:rsidRPr="009647D2" w:rsidRDefault="0097307D" w:rsidP="0097307D">
      <w:pPr>
        <w:spacing w:after="0" w:line="240" w:lineRule="auto"/>
        <w:jc w:val="both"/>
        <w:rPr>
          <w:rFonts w:ascii="Verdana" w:eastAsia="Calibri" w:hAnsi="Verdana" w:cs="Arial"/>
          <w:b/>
          <w:lang w:val="es-ES" w:eastAsia="es-ES"/>
        </w:rPr>
      </w:pPr>
    </w:p>
    <w:p w14:paraId="5B53B62D" w14:textId="77777777" w:rsidR="0097307D" w:rsidRPr="009647D2" w:rsidRDefault="0097307D" w:rsidP="0097307D">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3580B7D6" w14:textId="77777777" w:rsidR="0097307D" w:rsidRDefault="0097307D" w:rsidP="0097307D">
      <w:pPr>
        <w:spacing w:after="0" w:line="240" w:lineRule="auto"/>
        <w:jc w:val="both"/>
        <w:rPr>
          <w:rFonts w:ascii="Verdana" w:eastAsia="Calibri" w:hAnsi="Verdana" w:cs="Arial"/>
          <w:b/>
          <w:lang w:val="es-ES" w:eastAsia="es-ES"/>
        </w:rPr>
      </w:pPr>
    </w:p>
    <w:p w14:paraId="26195E44" w14:textId="77777777" w:rsidR="0097307D" w:rsidRPr="000876F0" w:rsidRDefault="0097307D" w:rsidP="0097307D">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0876F0">
        <w:rPr>
          <w:rFonts w:ascii="Verdana" w:hAnsi="Verdana" w:cs="Arial"/>
          <w:color w:val="000000" w:themeColor="text1"/>
          <w:sz w:val="20"/>
          <w:szCs w:val="20"/>
          <w:lang w:val="es-ES_tradnl"/>
        </w:rPr>
        <w:t>.</w:t>
      </w:r>
    </w:p>
    <w:p w14:paraId="36422228" w14:textId="77777777" w:rsidR="0097307D" w:rsidRPr="007A1830" w:rsidRDefault="0097307D" w:rsidP="0097307D">
      <w:pPr>
        <w:spacing w:after="0" w:line="240" w:lineRule="auto"/>
        <w:rPr>
          <w:rFonts w:ascii="Verdana" w:hAnsi="Verdana"/>
          <w:lang w:val="es-ES_tradnl"/>
        </w:rPr>
      </w:pPr>
    </w:p>
    <w:p w14:paraId="22252F00" w14:textId="77777777" w:rsidR="0097307D" w:rsidRPr="00F27B7B" w:rsidRDefault="0097307D" w:rsidP="0097307D">
      <w:pPr>
        <w:spacing w:after="0" w:line="240" w:lineRule="auto"/>
        <w:rPr>
          <w:rFonts w:ascii="Verdana" w:hAnsi="Verdana"/>
          <w:b/>
        </w:rPr>
      </w:pPr>
      <w:r w:rsidRPr="00F27B7B">
        <w:rPr>
          <w:rFonts w:ascii="Verdana" w:hAnsi="Verdana"/>
          <w:b/>
        </w:rPr>
        <w:t xml:space="preserve">EMPRESAS DE SERVICIOS PÚBLICOS – Naturaleza – régimen especial </w:t>
      </w:r>
    </w:p>
    <w:p w14:paraId="0788DE02" w14:textId="77777777" w:rsidR="0097307D" w:rsidRDefault="0097307D" w:rsidP="0097307D">
      <w:pPr>
        <w:spacing w:after="0" w:line="240" w:lineRule="auto"/>
        <w:rPr>
          <w:rFonts w:ascii="Verdana" w:hAnsi="Verdana"/>
        </w:rPr>
      </w:pPr>
    </w:p>
    <w:p w14:paraId="28B99F63" w14:textId="77777777" w:rsidR="0097307D" w:rsidRPr="00F27B7B" w:rsidRDefault="0097307D" w:rsidP="0097307D">
      <w:pPr>
        <w:spacing w:after="0" w:line="240" w:lineRule="auto"/>
        <w:jc w:val="both"/>
        <w:rPr>
          <w:rFonts w:ascii="Verdana" w:hAnsi="Verdana"/>
          <w:bCs/>
          <w:sz w:val="20"/>
          <w:lang w:val="es-ES_tradnl"/>
        </w:rPr>
      </w:pPr>
      <w:r w:rsidRPr="00F27B7B">
        <w:rPr>
          <w:rFonts w:ascii="Verdana" w:hAnsi="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F27B7B">
        <w:rPr>
          <w:rFonts w:ascii="Verdana" w:hAnsi="Verdana"/>
          <w:bCs/>
          <w:i/>
          <w:iCs/>
          <w:sz w:val="20"/>
          <w:lang w:val="es-ES_tradnl"/>
        </w:rPr>
        <w:t>oficiales</w:t>
      </w:r>
      <w:r w:rsidRPr="00F27B7B">
        <w:rPr>
          <w:rFonts w:ascii="Verdana" w:hAnsi="Verdana"/>
          <w:bCs/>
          <w:sz w:val="20"/>
          <w:lang w:val="es-ES_tradnl"/>
        </w:rPr>
        <w:t xml:space="preserve">, </w:t>
      </w:r>
      <w:r w:rsidRPr="00F27B7B">
        <w:rPr>
          <w:rFonts w:ascii="Verdana" w:hAnsi="Verdana"/>
          <w:bCs/>
          <w:i/>
          <w:iCs/>
          <w:sz w:val="20"/>
          <w:lang w:val="es-ES_tradnl"/>
        </w:rPr>
        <w:t>mixtas</w:t>
      </w:r>
      <w:r w:rsidRPr="00F27B7B">
        <w:rPr>
          <w:rFonts w:ascii="Verdana" w:hAnsi="Verdana"/>
          <w:bCs/>
          <w:sz w:val="20"/>
          <w:lang w:val="es-ES_tradnl"/>
        </w:rPr>
        <w:t xml:space="preserve"> o </w:t>
      </w:r>
      <w:r w:rsidRPr="00F27B7B">
        <w:rPr>
          <w:rFonts w:ascii="Verdana" w:hAnsi="Verdana"/>
          <w:bCs/>
          <w:i/>
          <w:iCs/>
          <w:sz w:val="20"/>
          <w:lang w:val="es-ES_tradnl"/>
        </w:rPr>
        <w:t>privadas</w:t>
      </w:r>
      <w:r w:rsidRPr="00F27B7B">
        <w:rPr>
          <w:rFonts w:ascii="Verdana" w:hAnsi="Verdana"/>
          <w:bCs/>
          <w:sz w:val="20"/>
          <w:lang w:val="es-ES_tradnl"/>
        </w:rPr>
        <w:t xml:space="preserve">, estas tres especies ingresan en la categoría de las </w:t>
      </w:r>
      <w:r w:rsidRPr="00F27B7B">
        <w:rPr>
          <w:rFonts w:ascii="Verdana" w:hAnsi="Verdana"/>
          <w:bCs/>
          <w:i/>
          <w:iCs/>
          <w:sz w:val="20"/>
          <w:lang w:val="es-ES_tradnl"/>
        </w:rPr>
        <w:t>entidades descentralizadas por servicios</w:t>
      </w:r>
      <w:r w:rsidRPr="00F27B7B">
        <w:rPr>
          <w:rFonts w:ascii="Verdana" w:hAnsi="Verdana"/>
          <w:bCs/>
          <w:sz w:val="20"/>
          <w:lang w:val="es-ES_tradnl"/>
        </w:rPr>
        <w:t xml:space="preserve">, es decir, hacen parte de la Rama Ejecutiva del Orden Público.  </w:t>
      </w:r>
    </w:p>
    <w:p w14:paraId="74245654" w14:textId="77777777" w:rsidR="0097307D" w:rsidRPr="00F27B7B" w:rsidRDefault="0097307D" w:rsidP="0097307D">
      <w:pPr>
        <w:spacing w:after="0" w:line="240" w:lineRule="auto"/>
        <w:rPr>
          <w:rFonts w:ascii="Verdana" w:hAnsi="Verdana"/>
          <w:b/>
          <w:lang w:val="es-ES_tradnl"/>
        </w:rPr>
      </w:pPr>
    </w:p>
    <w:p w14:paraId="3110CBA7" w14:textId="77777777" w:rsidR="0097307D" w:rsidRPr="00F27B7B" w:rsidRDefault="0097307D" w:rsidP="0097307D">
      <w:pPr>
        <w:spacing w:after="0" w:line="240" w:lineRule="auto"/>
        <w:jc w:val="both"/>
        <w:rPr>
          <w:rFonts w:ascii="Verdana" w:hAnsi="Verdana"/>
          <w:b/>
        </w:rPr>
      </w:pPr>
      <w:r w:rsidRPr="00F27B7B">
        <w:rPr>
          <w:rFonts w:ascii="Verdana" w:hAnsi="Verdana"/>
          <w:b/>
        </w:rPr>
        <w:t xml:space="preserve">EMPRESAS DE SERVICIOS PÚBLICOS – Mixtas – Privadas con participación estatal – Entidades descentralizadas por servicios – Sentencia C-637 de 2007 </w:t>
      </w:r>
    </w:p>
    <w:p w14:paraId="6C619850" w14:textId="77777777" w:rsidR="0097307D" w:rsidRDefault="0097307D" w:rsidP="0097307D">
      <w:pPr>
        <w:spacing w:after="0" w:line="240" w:lineRule="auto"/>
        <w:rPr>
          <w:rFonts w:ascii="Verdana" w:hAnsi="Verdana"/>
        </w:rPr>
      </w:pPr>
    </w:p>
    <w:p w14:paraId="771D1C50" w14:textId="77777777" w:rsidR="0097307D" w:rsidRPr="00F27B7B" w:rsidRDefault="0097307D" w:rsidP="0097307D">
      <w:pPr>
        <w:spacing w:after="0" w:line="240" w:lineRule="auto"/>
        <w:jc w:val="both"/>
        <w:rPr>
          <w:rFonts w:ascii="Verdana" w:hAnsi="Verdana"/>
          <w:sz w:val="20"/>
          <w:lang w:val="es-ES"/>
        </w:rPr>
      </w:pPr>
      <w:r w:rsidRPr="00F27B7B">
        <w:rPr>
          <w:rFonts w:ascii="Verdana" w:hAnsi="Verdana"/>
          <w:bCs/>
          <w:sz w:val="20"/>
          <w:lang w:val="es-ES_tradnl"/>
        </w:rPr>
        <w:t xml:space="preserve">Al respecto, debe recordarse que en dicha Sentencia el alto tribunal afirmó que las empresas prestadoras de servicios públicos domiciliarios </w:t>
      </w:r>
      <w:r w:rsidRPr="00F27B7B">
        <w:rPr>
          <w:rFonts w:ascii="Verdana" w:hAnsi="Verdana"/>
          <w:bCs/>
          <w:i/>
          <w:iCs/>
          <w:sz w:val="20"/>
          <w:lang w:val="es-ES_tradnl"/>
        </w:rPr>
        <w:t>mixtas y privadas</w:t>
      </w:r>
      <w:r w:rsidRPr="00F27B7B">
        <w:rPr>
          <w:rFonts w:ascii="Verdana" w:hAnsi="Verdana"/>
          <w:bCs/>
          <w:sz w:val="20"/>
          <w:lang w:val="es-ES_tradnl"/>
        </w:rPr>
        <w:t xml:space="preserve"> con aportes estatales son tipos </w:t>
      </w:r>
      <w:r w:rsidRPr="00F27B7B">
        <w:rPr>
          <w:rFonts w:ascii="Verdana" w:hAnsi="Verdana"/>
          <w:bCs/>
          <w:i/>
          <w:iCs/>
          <w:sz w:val="20"/>
          <w:lang w:val="es-ES_tradnl"/>
        </w:rPr>
        <w:t>especiales</w:t>
      </w:r>
      <w:r w:rsidRPr="00F27B7B">
        <w:rPr>
          <w:rFonts w:ascii="Verdana" w:hAnsi="Verdana"/>
          <w:bCs/>
          <w:sz w:val="20"/>
          <w:lang w:val="es-ES_tradnl"/>
        </w:rPr>
        <w:t xml:space="preserve"> de entidades descentralizadas por servicios que, por tanto, no pueden enmarcarse en las otras especies de entidades descentralizadas por servicios </w:t>
      </w:r>
      <w:r w:rsidRPr="00F27B7B">
        <w:rPr>
          <w:rFonts w:ascii="Verdana" w:hAnsi="Verdana"/>
          <w:bCs/>
          <w:sz w:val="20"/>
          <w:lang w:val="es-ES_tradnl"/>
        </w:rPr>
        <w:lastRenderedPageBreak/>
        <w:t xml:space="preserve">enlistadas en el artículo 38 de la Ley 489 de 1998, es decir, que no cabe considerarlas, verbigracia, dentro de las sociedades públicas ni en las sociedades de economía mixta. </w:t>
      </w:r>
    </w:p>
    <w:p w14:paraId="32D40E97" w14:textId="77777777" w:rsidR="0097307D" w:rsidRPr="00F27B7B" w:rsidRDefault="0097307D" w:rsidP="0097307D">
      <w:pPr>
        <w:spacing w:after="0" w:line="240" w:lineRule="auto"/>
        <w:jc w:val="both"/>
        <w:rPr>
          <w:rFonts w:ascii="Verdana" w:hAnsi="Verdana"/>
          <w:sz w:val="20"/>
          <w:lang w:val="es-ES"/>
        </w:rPr>
      </w:pPr>
    </w:p>
    <w:p w14:paraId="0C40957E" w14:textId="77777777" w:rsidR="0097307D" w:rsidRDefault="0097307D" w:rsidP="0097307D">
      <w:pPr>
        <w:spacing w:after="0" w:line="240" w:lineRule="auto"/>
        <w:jc w:val="both"/>
        <w:rPr>
          <w:rFonts w:ascii="Verdana" w:hAnsi="Verdana"/>
          <w:sz w:val="20"/>
          <w:lang w:val="es-ES"/>
        </w:rPr>
      </w:pPr>
      <w:r w:rsidRPr="00F27B7B">
        <w:rPr>
          <w:rFonts w:ascii="Verdana" w:hAnsi="Verdana"/>
          <w:sz w:val="20"/>
          <w:lang w:val="es-ES"/>
        </w:rPr>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088ECF6E" w14:textId="5F8CAF7A" w:rsidR="0097307D" w:rsidRDefault="0097307D" w:rsidP="005B6BB5">
      <w:pPr>
        <w:spacing w:after="0" w:line="240" w:lineRule="auto"/>
        <w:rPr>
          <w:rFonts w:ascii="Verdana" w:hAnsi="Verdana"/>
          <w:lang w:val="es-ES"/>
        </w:rPr>
      </w:pPr>
    </w:p>
    <w:p w14:paraId="4C33C961" w14:textId="77777777" w:rsidR="0097307D" w:rsidRPr="0097307D" w:rsidRDefault="0097307D" w:rsidP="0097307D">
      <w:pPr>
        <w:spacing w:after="0" w:line="240" w:lineRule="auto"/>
        <w:jc w:val="both"/>
        <w:rPr>
          <w:rFonts w:ascii="Verdana" w:hAnsi="Verdana"/>
          <w:b/>
          <w:lang w:val="es-ES"/>
        </w:rPr>
      </w:pPr>
      <w:r w:rsidRPr="0097307D">
        <w:rPr>
          <w:rFonts w:ascii="Verdana" w:hAnsi="Verdana"/>
          <w:b/>
          <w:lang w:val="es-ES"/>
        </w:rPr>
        <w:t xml:space="preserve">PRINCIPIO DE PUBLICIDAD – Deber de Publicación – Sujetos obligados – Entidades descentralizadas por servicios </w:t>
      </w:r>
    </w:p>
    <w:p w14:paraId="7B407567" w14:textId="6C055616" w:rsidR="0097307D" w:rsidRPr="0097307D" w:rsidRDefault="0097307D" w:rsidP="0097307D">
      <w:pPr>
        <w:spacing w:after="0" w:line="240" w:lineRule="auto"/>
        <w:jc w:val="both"/>
        <w:rPr>
          <w:rFonts w:ascii="Verdana" w:hAnsi="Verdana"/>
          <w:sz w:val="20"/>
          <w:lang w:val="es-ES"/>
        </w:rPr>
      </w:pPr>
    </w:p>
    <w:p w14:paraId="2B1C0000" w14:textId="4D1F6035" w:rsidR="0097307D" w:rsidRPr="0097307D" w:rsidRDefault="0097307D" w:rsidP="0097307D">
      <w:pPr>
        <w:spacing w:after="0" w:line="240" w:lineRule="auto"/>
        <w:jc w:val="both"/>
        <w:rPr>
          <w:rFonts w:ascii="Verdana" w:hAnsi="Verdana"/>
          <w:sz w:val="20"/>
          <w:lang w:val="es-ES"/>
        </w:rPr>
      </w:pPr>
      <w:r w:rsidRPr="0097307D">
        <w:rPr>
          <w:rFonts w:ascii="Verdana" w:hAnsi="Verdana"/>
          <w:sz w:val="20"/>
          <w:lang w:val="es-ES"/>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legales. En este sentido, el artículo la Ley 1712 de 2014 establece el ámbito de ampliación, esto es, quienes son los sujetos obligados a publicar su información […]</w:t>
      </w:r>
    </w:p>
    <w:p w14:paraId="3FEB731F" w14:textId="218BA5F6" w:rsidR="0097307D" w:rsidRPr="0097307D" w:rsidRDefault="0097307D" w:rsidP="0097307D">
      <w:pPr>
        <w:spacing w:after="0" w:line="240" w:lineRule="auto"/>
        <w:jc w:val="both"/>
        <w:rPr>
          <w:rFonts w:ascii="Verdana" w:hAnsi="Verdana"/>
          <w:sz w:val="20"/>
          <w:lang w:val="es-ES_tradnl"/>
        </w:rPr>
      </w:pPr>
    </w:p>
    <w:p w14:paraId="46AC3F95" w14:textId="77777777" w:rsidR="0097307D" w:rsidRPr="0097307D" w:rsidRDefault="0097307D" w:rsidP="0097307D">
      <w:pPr>
        <w:spacing w:after="0" w:line="240" w:lineRule="auto"/>
        <w:jc w:val="both"/>
        <w:rPr>
          <w:rFonts w:ascii="Verdana" w:hAnsi="Verdana"/>
          <w:sz w:val="20"/>
          <w:lang w:val="es-ES_tradnl"/>
        </w:rPr>
      </w:pPr>
      <w:r w:rsidRPr="0097307D">
        <w:rPr>
          <w:rFonts w:ascii="Verdana" w:hAnsi="Verdana"/>
          <w:sz w:val="20"/>
          <w:lang w:val="es-ES_tradnl"/>
        </w:rPr>
        <w:t xml:space="preserve">A partir de la lista de quienes son los sujetos obligados a publicar la información, puede inferirse que las empresas de servicios públicos de carácter privado con participación estatal tienen la obligación de publicar la información relativa a su contratación, teniendo en cuenta que la Sentencia C-736 de 2007 los considero como entidad descentralizada por servicios de la Rama Ejecutiva del Poder público. </w:t>
      </w:r>
    </w:p>
    <w:p w14:paraId="23C48387" w14:textId="77777777" w:rsidR="0097307D" w:rsidRPr="0097307D" w:rsidRDefault="0097307D" w:rsidP="0097307D">
      <w:pPr>
        <w:spacing w:after="0" w:line="240" w:lineRule="auto"/>
        <w:jc w:val="both"/>
        <w:rPr>
          <w:rFonts w:ascii="Verdana" w:hAnsi="Verdana"/>
          <w:lang w:val="es-ES_tradnl"/>
        </w:rPr>
      </w:pPr>
    </w:p>
    <w:p w14:paraId="13A8FF72" w14:textId="77777777" w:rsidR="0097307D" w:rsidRPr="0097307D" w:rsidRDefault="0097307D" w:rsidP="0097307D">
      <w:pPr>
        <w:spacing w:after="0" w:line="240" w:lineRule="auto"/>
        <w:jc w:val="both"/>
        <w:rPr>
          <w:rFonts w:ascii="Verdana" w:hAnsi="Verdana"/>
          <w:b/>
          <w:lang w:val="es-ES"/>
        </w:rPr>
      </w:pPr>
      <w:r w:rsidRPr="0097307D">
        <w:rPr>
          <w:rFonts w:ascii="Verdana" w:hAnsi="Verdana"/>
          <w:b/>
          <w:lang w:val="es-ES"/>
        </w:rPr>
        <w:t>PRINCIPIO DE PUBLICIDAD – SECOP II – Entidades de régimen especial- Obligatoriedad</w:t>
      </w:r>
    </w:p>
    <w:p w14:paraId="26F85EBE" w14:textId="77777777" w:rsidR="0097307D" w:rsidRPr="0097307D" w:rsidRDefault="0097307D" w:rsidP="0097307D">
      <w:pPr>
        <w:spacing w:after="0" w:line="240" w:lineRule="auto"/>
        <w:jc w:val="both"/>
        <w:rPr>
          <w:rFonts w:ascii="Verdana" w:hAnsi="Verdana"/>
          <w:sz w:val="20"/>
          <w:lang w:val="es-ES"/>
        </w:rPr>
      </w:pPr>
    </w:p>
    <w:p w14:paraId="04E69DEE" w14:textId="2847AC73" w:rsidR="0097307D" w:rsidRPr="0097307D" w:rsidRDefault="0097307D" w:rsidP="0097307D">
      <w:pPr>
        <w:spacing w:after="0" w:line="240" w:lineRule="auto"/>
        <w:jc w:val="both"/>
        <w:rPr>
          <w:rFonts w:ascii="Verdana" w:hAnsi="Verdana"/>
          <w:sz w:val="20"/>
        </w:rPr>
      </w:pPr>
      <w:r w:rsidRPr="0097307D">
        <w:rPr>
          <w:rFonts w:ascii="Verdana" w:hAnsi="Verdana"/>
          <w:sz w:val="20"/>
        </w:rPr>
        <w:t xml:space="preserve">Conforme a lo anterior, es clara la obligatoriedad de publicar la información de la actividad contractual que se realiza con cargo a recursos públicos en el SECOP, incluidas aquellas con regímenes contractuales especiales. En tal sentido, 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w:t>
      </w:r>
      <w:r w:rsidRPr="0097307D">
        <w:rPr>
          <w:rFonts w:ascii="Verdana" w:hAnsi="Verdana"/>
          <w:sz w:val="20"/>
        </w:rPr>
        <w:lastRenderedPageBreak/>
        <w:t>la cual define como “[…] los documentos, contratos, actos e información generada por oferentes, contratista, contratante, supervisor o interventor, tanto en la etapa precontractual, como en la contractual y la post-contractual”.</w:t>
      </w:r>
    </w:p>
    <w:p w14:paraId="60AF7D76" w14:textId="77777777" w:rsidR="0097307D" w:rsidRPr="0097307D" w:rsidRDefault="0097307D" w:rsidP="0097307D">
      <w:pPr>
        <w:spacing w:after="0" w:line="240" w:lineRule="auto"/>
        <w:jc w:val="both"/>
        <w:rPr>
          <w:rFonts w:ascii="Verdana" w:hAnsi="Verdana"/>
          <w:sz w:val="20"/>
        </w:rPr>
      </w:pPr>
    </w:p>
    <w:p w14:paraId="49F066C7" w14:textId="2B928B5A" w:rsidR="0097307D" w:rsidRPr="0097307D" w:rsidRDefault="0097307D" w:rsidP="0097307D">
      <w:pPr>
        <w:spacing w:after="0" w:line="240" w:lineRule="auto"/>
        <w:jc w:val="both"/>
        <w:rPr>
          <w:rFonts w:ascii="Verdana" w:hAnsi="Verdana"/>
          <w:sz w:val="20"/>
        </w:rPr>
      </w:pPr>
      <w:r w:rsidRPr="0097307D">
        <w:rPr>
          <w:rFonts w:ascii="Verdana" w:hAnsi="Verdana"/>
          <w:sz w:val="2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22017588" w14:textId="77777777" w:rsidR="0097307D" w:rsidRPr="0097307D" w:rsidRDefault="0097307D" w:rsidP="0097307D">
      <w:pPr>
        <w:spacing w:after="0" w:line="240" w:lineRule="auto"/>
        <w:jc w:val="both"/>
        <w:rPr>
          <w:rFonts w:ascii="Verdana" w:hAnsi="Verdana"/>
          <w:lang w:val="es-ES"/>
        </w:rPr>
      </w:pPr>
    </w:p>
    <w:p w14:paraId="3334B769" w14:textId="3CCA8A34" w:rsidR="0097307D" w:rsidRPr="0097307D" w:rsidRDefault="0097307D" w:rsidP="0097307D">
      <w:pPr>
        <w:spacing w:after="0" w:line="240" w:lineRule="auto"/>
        <w:jc w:val="both"/>
        <w:rPr>
          <w:rFonts w:ascii="Verdana" w:hAnsi="Verdana"/>
          <w:b/>
          <w:lang w:val="es-ES"/>
        </w:rPr>
      </w:pPr>
      <w:r w:rsidRPr="0097307D">
        <w:rPr>
          <w:rFonts w:ascii="Verdana" w:hAnsi="Verdana"/>
          <w:b/>
          <w:lang w:val="es-ES"/>
        </w:rPr>
        <w:t xml:space="preserve"> PRINCIPIO DE PUBLICIDAD – SIA OBSERVA – Auditoria General de la República – Contralorías Territoriales</w:t>
      </w:r>
    </w:p>
    <w:p w14:paraId="5681EBED" w14:textId="77777777" w:rsidR="0097307D" w:rsidRDefault="0097307D" w:rsidP="005B6BB5">
      <w:pPr>
        <w:spacing w:after="0" w:line="240" w:lineRule="auto"/>
        <w:rPr>
          <w:rFonts w:ascii="Verdana" w:hAnsi="Verdana"/>
        </w:rPr>
      </w:pPr>
    </w:p>
    <w:p w14:paraId="607CB77E" w14:textId="06C0E9B4" w:rsidR="0097307D" w:rsidRDefault="0097307D" w:rsidP="0097307D">
      <w:pPr>
        <w:spacing w:after="0" w:line="240" w:lineRule="auto"/>
        <w:jc w:val="both"/>
        <w:rPr>
          <w:rFonts w:ascii="Verdana" w:hAnsi="Verdana"/>
          <w:sz w:val="20"/>
        </w:rPr>
      </w:pPr>
      <w:r w:rsidRPr="0097307D">
        <w:rPr>
          <w:rFonts w:ascii="Verdana" w:hAnsi="Verdana"/>
          <w:sz w:val="20"/>
        </w:rPr>
        <w:t>En cuanto al deber de publicidad en otras plataformas que no administra la Agencia Nacional de Contratación Pública –Colombia Compra Eficiente, como es el caso de la Plataforma -SIA OBSERVA-, la cual es definida en el Manual de Usuario – SIA Observa V 2.0 en el numeral 1.1. así: “Es una herramienta informática en ambiente WEB diseñada para facilitar la rendición de cuenta en línea sobre la ejecución presupuestal y contractual que realizan las entidades públicas del país, la cual le permite a las Contralorías realizar control y seguimiento continuo en tiempo real sobre la ejecución de los dineros públicos de todas sus entidades vigiladas”.</w:t>
      </w:r>
    </w:p>
    <w:p w14:paraId="31D24488" w14:textId="77777777" w:rsidR="0097307D" w:rsidRPr="0097307D" w:rsidRDefault="0097307D" w:rsidP="0097307D">
      <w:pPr>
        <w:spacing w:after="0" w:line="240" w:lineRule="auto"/>
        <w:jc w:val="both"/>
        <w:rPr>
          <w:rFonts w:ascii="Verdana" w:hAnsi="Verdana"/>
          <w:sz w:val="20"/>
        </w:rPr>
      </w:pPr>
    </w:p>
    <w:p w14:paraId="2B9842C1" w14:textId="0C9F55DA" w:rsidR="0097307D" w:rsidRPr="0097307D" w:rsidRDefault="0097307D" w:rsidP="0097307D">
      <w:pPr>
        <w:spacing w:after="0" w:line="240" w:lineRule="auto"/>
        <w:jc w:val="both"/>
        <w:rPr>
          <w:rFonts w:ascii="Verdana" w:hAnsi="Verdana"/>
          <w:sz w:val="20"/>
        </w:rPr>
      </w:pPr>
      <w:r w:rsidRPr="0097307D">
        <w:rPr>
          <w:rFonts w:ascii="Verdana" w:hAnsi="Verdana"/>
          <w:sz w:val="20"/>
        </w:rPr>
        <w:t xml:space="preserve">En este aspecto, la Auditoría General de la República en Concepto del 1 de diciembre de 2025 expresa sobre la obligatoriedad del SIA Observa en los siguientes términos: “Para el uso de esta herramienta tecnológica, las contralorías territoriales teniendo en cuenta la atribución constitucional y legal dada los contralores de prescribir los métodos y forma de rendir la cuenta por parte de sus sujetos de control, son quienes establecen de acuerdo con sus necesidades y criterios, la información que debe ser registrada en ella, así como la oportunidad de la rendición”. Es decir, son las contralorías territoriales quienes determinan, según sus necesidades y criterios, la información que debe registrarse en SIA Observa y los plazos para su rendición por parte de los sujetos de control. Por tanto, son las contralorías territoriales las que definen la manera en que las entidades descentralizadas por servicios reportan la información contractual en dicha plataforma. </w:t>
      </w:r>
    </w:p>
    <w:p w14:paraId="3D35440F" w14:textId="77777777" w:rsidR="0097307D" w:rsidRDefault="0097307D" w:rsidP="005B6BB5">
      <w:pPr>
        <w:spacing w:after="0" w:line="240" w:lineRule="auto"/>
        <w:rPr>
          <w:rFonts w:ascii="Verdana" w:hAnsi="Verdana"/>
        </w:rPr>
      </w:pPr>
    </w:p>
    <w:p w14:paraId="2635FE51" w14:textId="663C9537" w:rsidR="005B6BB5" w:rsidRDefault="000B1417" w:rsidP="005B6BB5">
      <w:pPr>
        <w:spacing w:after="0" w:line="240" w:lineRule="auto"/>
        <w:rPr>
          <w:rFonts w:ascii="Verdana" w:hAnsi="Verdana"/>
        </w:rPr>
      </w:pPr>
      <w:r w:rsidRPr="000B1417">
        <w:rPr>
          <w:rFonts w:ascii="Verdana" w:hAnsi="Verdana"/>
          <w:noProof/>
          <w:lang w:val="en-US"/>
        </w:rPr>
        <w:lastRenderedPageBreak/>
        <w:drawing>
          <wp:anchor distT="0" distB="0" distL="114300" distR="114300" simplePos="0" relativeHeight="251658240" behindDoc="0" locked="0" layoutInCell="1" allowOverlap="1" wp14:anchorId="4631CC7F" wp14:editId="31E4804C">
            <wp:simplePos x="0" y="0"/>
            <wp:positionH relativeFrom="margin">
              <wp:align>right</wp:align>
            </wp:positionH>
            <wp:positionV relativeFrom="paragraph">
              <wp:posOffset>215265</wp:posOffset>
            </wp:positionV>
            <wp:extent cx="2670810" cy="78930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0810" cy="789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BB5" w:rsidRPr="0024624F">
        <w:rPr>
          <w:rFonts w:ascii="Verdana" w:hAnsi="Verdana"/>
        </w:rPr>
        <w:t xml:space="preserve">Bogotá D.C., </w:t>
      </w:r>
      <w:r>
        <w:rPr>
          <w:rFonts w:ascii="Verdana" w:hAnsi="Verdana"/>
        </w:rPr>
        <w:t>15 de diciembre de 2025</w:t>
      </w:r>
      <w:r w:rsidR="005B6BB5" w:rsidRPr="000E2B93">
        <w:rPr>
          <w:rFonts w:ascii="Verdana" w:hAnsi="Verdana"/>
        </w:rPr>
        <w:tab/>
      </w:r>
      <w:r w:rsidR="005B6BB5" w:rsidRPr="000E2B93">
        <w:rPr>
          <w:rFonts w:ascii="Verdana" w:hAnsi="Verdana"/>
        </w:rPr>
        <w:br/>
      </w:r>
    </w:p>
    <w:p w14:paraId="006A2E24" w14:textId="77777777" w:rsidR="005B6BB5" w:rsidRPr="00B57A1B" w:rsidRDefault="005B6BB5" w:rsidP="005B6BB5">
      <w:pPr>
        <w:spacing w:after="0" w:line="240" w:lineRule="auto"/>
        <w:rPr>
          <w:rFonts w:ascii="Verdana" w:hAnsi="Verdana"/>
        </w:rPr>
      </w:pPr>
    </w:p>
    <w:p w14:paraId="0478BDD9" w14:textId="77777777" w:rsidR="005B6BB5" w:rsidRPr="00553DD8" w:rsidRDefault="005B6BB5" w:rsidP="005B6BB5">
      <w:pPr>
        <w:spacing w:after="0" w:line="240" w:lineRule="auto"/>
        <w:rPr>
          <w:rFonts w:ascii="Verdana" w:eastAsia="Calibri" w:hAnsi="Verdana" w:cs="Times New Roman"/>
          <w:lang w:val="es-MX"/>
        </w:rPr>
      </w:pPr>
      <w:r w:rsidRPr="00553DD8">
        <w:rPr>
          <w:rFonts w:ascii="Verdana" w:eastAsia="Calibri" w:hAnsi="Verdana" w:cs="Times New Roman"/>
          <w:lang w:val="es-MX"/>
        </w:rPr>
        <w:t>Señor</w:t>
      </w:r>
      <w:r>
        <w:rPr>
          <w:rFonts w:ascii="Verdana" w:eastAsia="Calibri" w:hAnsi="Verdana" w:cs="Times New Roman"/>
          <w:lang w:val="es-MX"/>
        </w:rPr>
        <w:t>a</w:t>
      </w:r>
    </w:p>
    <w:p w14:paraId="2717EC1A" w14:textId="77777777" w:rsidR="005B6BB5" w:rsidRPr="0080227D" w:rsidRDefault="005B6BB5" w:rsidP="005B6BB5">
      <w:pPr>
        <w:spacing w:after="0" w:line="240" w:lineRule="auto"/>
        <w:rPr>
          <w:rFonts w:ascii="Verdana" w:eastAsia="Calibri" w:hAnsi="Verdana" w:cs="Times New Roman"/>
          <w:b/>
          <w:highlight w:val="yellow"/>
        </w:rPr>
      </w:pPr>
      <w:r w:rsidRPr="0080227D">
        <w:rPr>
          <w:rFonts w:ascii="Verdana" w:eastAsia="Calibri" w:hAnsi="Verdana" w:cs="Times New Roman"/>
          <w:b/>
        </w:rPr>
        <w:t>Hilda Narváez Dejoy</w:t>
      </w:r>
    </w:p>
    <w:p w14:paraId="5BC95E3E" w14:textId="77777777" w:rsidR="005B6BB5" w:rsidRPr="00553DD8" w:rsidRDefault="00531C38" w:rsidP="005B6BB5">
      <w:pPr>
        <w:spacing w:after="0" w:line="240" w:lineRule="auto"/>
        <w:rPr>
          <w:rFonts w:ascii="Verdana" w:hAnsi="Verdana"/>
        </w:rPr>
      </w:pPr>
      <w:hyperlink r:id="rId12" w:history="1">
        <w:r w:rsidR="005B6BB5" w:rsidRPr="000E7071">
          <w:rPr>
            <w:rStyle w:val="Hipervnculo"/>
            <w:rFonts w:ascii="Verdana" w:hAnsi="Verdana"/>
          </w:rPr>
          <w:t>hildanarvaezdejoy@gmail.com</w:t>
        </w:r>
      </w:hyperlink>
      <w:r w:rsidR="005B6BB5">
        <w:rPr>
          <w:rFonts w:ascii="Verdana" w:hAnsi="Verdana"/>
        </w:rPr>
        <w:t xml:space="preserve"> </w:t>
      </w:r>
    </w:p>
    <w:p w14:paraId="5731654C" w14:textId="77777777" w:rsidR="005B6BB5" w:rsidRDefault="005B6BB5" w:rsidP="005B6BB5">
      <w:pPr>
        <w:spacing w:after="0" w:line="240" w:lineRule="auto"/>
        <w:rPr>
          <w:rFonts w:ascii="Verdana" w:eastAsia="Calibri" w:hAnsi="Verdana" w:cs="Times New Roman"/>
        </w:rPr>
      </w:pPr>
      <w:r w:rsidRPr="00553DD8">
        <w:rPr>
          <w:rFonts w:ascii="Verdana" w:eastAsia="Calibri" w:hAnsi="Verdana" w:cs="Times New Roman"/>
        </w:rPr>
        <w:t>Bogotá D.C.</w:t>
      </w:r>
    </w:p>
    <w:p w14:paraId="1D080501" w14:textId="77777777" w:rsidR="005B6BB5" w:rsidRPr="00B57A1B" w:rsidRDefault="005B6BB5" w:rsidP="005B6BB5">
      <w:pPr>
        <w:spacing w:after="0" w:line="240" w:lineRule="auto"/>
        <w:rPr>
          <w:rFonts w:ascii="Verdana" w:eastAsia="Calibri" w:hAnsi="Verdana" w:cs="Times New Roman"/>
        </w:rPr>
      </w:pPr>
      <w:bookmarkStart w:id="1" w:name="_GoBack"/>
      <w:bookmarkEnd w:id="1"/>
    </w:p>
    <w:p w14:paraId="57B4BC85" w14:textId="77777777" w:rsidR="005B6BB5" w:rsidRPr="00B57A1B" w:rsidRDefault="005B6BB5" w:rsidP="005B6BB5">
      <w:pPr>
        <w:spacing w:after="0" w:line="240" w:lineRule="auto"/>
        <w:rPr>
          <w:rFonts w:ascii="Verdana" w:eastAsia="Calibri" w:hAnsi="Verdana" w:cs="Times New Roman"/>
        </w:rPr>
      </w:pPr>
    </w:p>
    <w:p w14:paraId="4BB12D42" w14:textId="77777777" w:rsidR="005B6BB5" w:rsidRPr="00B57A1B" w:rsidRDefault="005B6BB5" w:rsidP="005B6BB5">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C–1606</w:t>
      </w:r>
      <w:r w:rsidRPr="00B57A1B">
        <w:rPr>
          <w:rFonts w:ascii="Verdana" w:eastAsia="Calibri" w:hAnsi="Verdana" w:cs="Times New Roman"/>
          <w:b/>
          <w:bCs/>
          <w:lang w:val="es-ES"/>
        </w:rPr>
        <w:t xml:space="preserve"> de 2025</w:t>
      </w:r>
    </w:p>
    <w:p w14:paraId="672208E0" w14:textId="77777777" w:rsidR="005B6BB5" w:rsidRPr="00B57A1B" w:rsidRDefault="005B6BB5" w:rsidP="005B6BB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B6BB5" w:rsidRPr="00B57A1B" w14:paraId="46BF49B5" w14:textId="77777777" w:rsidTr="00551B0E">
        <w:trPr>
          <w:trHeight w:val="645"/>
        </w:trPr>
        <w:tc>
          <w:tcPr>
            <w:tcW w:w="2685" w:type="dxa"/>
            <w:hideMark/>
          </w:tcPr>
          <w:p w14:paraId="1FBB79A8" w14:textId="77777777" w:rsidR="005B6BB5" w:rsidRPr="00B57A1B" w:rsidRDefault="005B6BB5" w:rsidP="00551B0E">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7636D44E" w14:textId="77777777" w:rsidR="005B6BB5" w:rsidRDefault="005B6BB5" w:rsidP="00551B0E">
            <w:pPr>
              <w:spacing w:line="276" w:lineRule="auto"/>
              <w:jc w:val="both"/>
              <w:rPr>
                <w:rFonts w:ascii="Verdana" w:hAnsi="Verdana" w:cs="Arial"/>
                <w:lang w:val="es-ES" w:eastAsia="es-ES"/>
              </w:rPr>
            </w:pPr>
            <w:r w:rsidRPr="00AC39B6">
              <w:rPr>
                <w:rFonts w:ascii="Verdana" w:hAnsi="Verdana" w:cs="Arial"/>
                <w:lang w:val="es-ES" w:eastAsia="es-ES"/>
              </w:rPr>
              <w:t xml:space="preserve">CONTRATO ESTATAL – Régimen jurídico / RÉGIMEN EXCEPCIONAL – Justificación – Criterios de clasificación / </w:t>
            </w:r>
            <w:r>
              <w:rPr>
                <w:rFonts w:ascii="Verdana" w:hAnsi="Verdana" w:cs="Arial"/>
                <w:lang w:val="es-ES" w:eastAsia="es-ES"/>
              </w:rPr>
              <w:t xml:space="preserve">EMPRESAS DE SERVICIOS PÚBLICOS – Naturaleza – régimen especial / EMPRESAS DE SERVICIOS PÚBLICOS – Mixtas – Privadas con participación estatal – Entidades descentralizadas por servicios – Sentencia C-637 de 2007 / PRINCIPIO DE PUBLICIDAD – Deber de Publicación – Sujetos obligados – Entidades descentralizadas por servicios / PRINCIPIO DE PUBLICIDAD – SECOP II – Entidades de régimen especial- Obligatoriedad / PRINCIPIO DE PUBLICIDAD – SIA OBSERVA – Auditoria General de la República – Contralorías Territoriales. </w:t>
            </w:r>
          </w:p>
          <w:p w14:paraId="307BAFF8" w14:textId="77777777" w:rsidR="005B6BB5" w:rsidRPr="00D820F2" w:rsidRDefault="005B6BB5" w:rsidP="00551B0E">
            <w:pPr>
              <w:spacing w:line="276" w:lineRule="auto"/>
              <w:jc w:val="both"/>
              <w:rPr>
                <w:rFonts w:ascii="Verdana" w:hAnsi="Verdana" w:cs="Arial"/>
                <w:lang w:val="es-ES" w:eastAsia="es-ES"/>
              </w:rPr>
            </w:pPr>
          </w:p>
          <w:p w14:paraId="141A8BD9" w14:textId="77777777" w:rsidR="005B6BB5" w:rsidRPr="00B57A1B" w:rsidRDefault="005B6BB5" w:rsidP="00551B0E">
            <w:pPr>
              <w:spacing w:line="276" w:lineRule="auto"/>
              <w:jc w:val="both"/>
              <w:rPr>
                <w:rFonts w:ascii="Verdana" w:hAnsi="Verdana" w:cs="Arial"/>
                <w:lang w:val="es-ES" w:eastAsia="es-ES"/>
              </w:rPr>
            </w:pPr>
          </w:p>
        </w:tc>
        <w:tc>
          <w:tcPr>
            <w:tcW w:w="6237" w:type="dxa"/>
          </w:tcPr>
          <w:p w14:paraId="5973B3A3" w14:textId="77777777" w:rsidR="005B6BB5" w:rsidRPr="00D820F2" w:rsidRDefault="005B6BB5" w:rsidP="00551B0E">
            <w:pPr>
              <w:spacing w:line="256" w:lineRule="auto"/>
              <w:rPr>
                <w:rFonts w:ascii="Verdana" w:hAnsi="Verdana"/>
                <w:lang w:val="es-ES"/>
              </w:rPr>
            </w:pPr>
          </w:p>
        </w:tc>
      </w:tr>
      <w:tr w:rsidR="005B6BB5" w:rsidRPr="00B57A1B" w14:paraId="56825E99" w14:textId="77777777" w:rsidTr="00551B0E">
        <w:tc>
          <w:tcPr>
            <w:tcW w:w="2685" w:type="dxa"/>
          </w:tcPr>
          <w:p w14:paraId="337B8843" w14:textId="77777777" w:rsidR="005B6BB5" w:rsidRPr="00B57A1B" w:rsidRDefault="005B6BB5" w:rsidP="00551B0E">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5272E36" w14:textId="77777777" w:rsidR="005B6BB5" w:rsidRPr="00A467EE" w:rsidRDefault="005B6BB5" w:rsidP="00551B0E">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A467EE">
              <w:rPr>
                <w:rFonts w:ascii="Verdana" w:hAnsi="Verdana"/>
              </w:rPr>
              <w:t>No. 1_2025_10_30_012277</w:t>
            </w:r>
            <w:r>
              <w:rPr>
                <w:rFonts w:ascii="Verdana" w:hAnsi="Verdana"/>
              </w:rPr>
              <w:t xml:space="preserve"> y </w:t>
            </w:r>
            <w:r w:rsidRPr="00A467EE">
              <w:rPr>
                <w:rFonts w:ascii="Verdana" w:hAnsi="Verdana"/>
              </w:rPr>
              <w:t>1_2025_12_03_013647</w:t>
            </w:r>
          </w:p>
          <w:p w14:paraId="6B24861C" w14:textId="77777777" w:rsidR="005B6BB5" w:rsidRPr="00B57A1B" w:rsidRDefault="005B6BB5" w:rsidP="00551B0E">
            <w:pPr>
              <w:spacing w:line="257" w:lineRule="auto"/>
              <w:jc w:val="both"/>
              <w:rPr>
                <w:rFonts w:ascii="Verdana" w:hAnsi="Verdana"/>
              </w:rPr>
            </w:pPr>
          </w:p>
          <w:p w14:paraId="7339DEB9" w14:textId="77777777" w:rsidR="005B6BB5" w:rsidRPr="00B57A1B" w:rsidRDefault="005B6BB5" w:rsidP="00551B0E">
            <w:pPr>
              <w:spacing w:line="257" w:lineRule="auto"/>
              <w:jc w:val="both"/>
              <w:rPr>
                <w:rFonts w:ascii="Verdana" w:hAnsi="Verdana"/>
              </w:rPr>
            </w:pPr>
          </w:p>
        </w:tc>
        <w:tc>
          <w:tcPr>
            <w:tcW w:w="6237" w:type="dxa"/>
          </w:tcPr>
          <w:p w14:paraId="0E225778" w14:textId="77777777" w:rsidR="005B6BB5" w:rsidRPr="00B57A1B" w:rsidRDefault="005B6BB5" w:rsidP="00551B0E">
            <w:pPr>
              <w:spacing w:line="256" w:lineRule="auto"/>
              <w:rPr>
                <w:rFonts w:ascii="Verdana" w:hAnsi="Verdana"/>
                <w:lang w:val="es-ES_tradnl"/>
              </w:rPr>
            </w:pPr>
          </w:p>
        </w:tc>
      </w:tr>
    </w:tbl>
    <w:p w14:paraId="627402C6" w14:textId="77777777" w:rsidR="005B6BB5" w:rsidRPr="00B57A1B" w:rsidRDefault="005B6BB5" w:rsidP="005B6BB5">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Señora Narváez</w:t>
      </w:r>
      <w:r w:rsidRPr="00B57A1B">
        <w:rPr>
          <w:rFonts w:ascii="Verdana" w:eastAsia="Calibri" w:hAnsi="Verdana" w:cs="Times New Roman"/>
          <w:lang w:val="es-ES"/>
        </w:rPr>
        <w:t xml:space="preserve">: </w:t>
      </w:r>
    </w:p>
    <w:p w14:paraId="179B550D" w14:textId="77777777" w:rsidR="005B6BB5" w:rsidRPr="00B57A1B" w:rsidRDefault="005B6BB5" w:rsidP="005B6BB5">
      <w:pPr>
        <w:spacing w:after="0" w:line="256" w:lineRule="auto"/>
        <w:rPr>
          <w:rFonts w:ascii="Verdana" w:eastAsia="Calibri" w:hAnsi="Verdana" w:cs="Times New Roman"/>
          <w:lang w:val="es-ES"/>
        </w:rPr>
      </w:pPr>
    </w:p>
    <w:p w14:paraId="3D1A9583" w14:textId="77777777" w:rsidR="005B6BB5" w:rsidRDefault="005B6BB5" w:rsidP="005B6BB5">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23 de septiembre</w:t>
      </w:r>
      <w:r w:rsidRPr="00B57A1B">
        <w:rPr>
          <w:rFonts w:ascii="Verdana" w:eastAsia="Calibri" w:hAnsi="Verdana" w:cs="Times New Roman"/>
          <w:bCs/>
          <w:lang w:val="es-ES" w:bidi="es-ES"/>
        </w:rPr>
        <w:t xml:space="preserve">, en la cual manifiesta: </w:t>
      </w:r>
    </w:p>
    <w:p w14:paraId="3FE68880" w14:textId="77777777" w:rsidR="005B6BB5" w:rsidRPr="00586328" w:rsidRDefault="005B6BB5" w:rsidP="005B6BB5">
      <w:pPr>
        <w:spacing w:after="0" w:line="240" w:lineRule="auto"/>
        <w:jc w:val="both"/>
        <w:rPr>
          <w:rFonts w:ascii="Verdana" w:eastAsia="Calibri" w:hAnsi="Verdana" w:cs="Times New Roman"/>
          <w:bCs/>
          <w:lang w:bidi="es-ES"/>
        </w:rPr>
      </w:pPr>
    </w:p>
    <w:p w14:paraId="0A0F5C09"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lastRenderedPageBreak/>
        <w:t>“</w:t>
      </w:r>
      <w:r w:rsidRPr="00A467EE">
        <w:rPr>
          <w:rFonts w:ascii="Verdana" w:eastAsia="Calibri" w:hAnsi="Verdana" w:cs="Times New Roman"/>
          <w:bCs/>
          <w:sz w:val="21"/>
          <w:szCs w:val="21"/>
          <w:lang w:bidi="es-ES"/>
        </w:rPr>
        <w:t xml:space="preserve">La empresa de aseo, es una empresa de servicios públicos domiciliarios de NATURALEZA PRIVADA, pues el 95% del paquete accionario está en manos de los particulares y, el 5% está en manos de lo público (alcaldía). Con el antecedente PREGUNTO: </w:t>
      </w:r>
    </w:p>
    <w:p w14:paraId="0A4A8E54"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1. La Ley le permite al municipio realizar convenios interadministrativos con la empresa de aseo?. En caso de que si se pueda, son tan amables, me citan la norma y, si existe jurisprudencia, mucho mejor. </w:t>
      </w:r>
    </w:p>
    <w:p w14:paraId="6942E3CF"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2. Si se celebra un convenio interadministrativo entre la alcaldía y la empresa de aseo de NATURALEZA PRIVADA, el municipio está obligado a retener el valor de las estampillas, por ejemplo, pro-ancianos etc?. </w:t>
      </w:r>
    </w:p>
    <w:p w14:paraId="462A7E59"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3. Si se celebra un convenio interadministrativo entre la alcaldía y la empresa de aseo de NATURALEZA PRIVADA, la empresa está obligada a retener el valor de las estampillas al CONTRATISTA que se obliga con la empresa de aseo, por ejemplo, pro-ancianos etc y, ese porcentaje debe ser transferido a la alcaldía por parte de la empresa de aseo?. Me explico: Alcaldia de Churumbelo celebra un convenio de 100 millones con la empresa de aseo para capacitar a los usuarios en el tema ambiental y, luego la empresa de aseo para cumplir con el convenio celebra un contrato con PEDRO PEREZ,</w:t>
      </w:r>
      <w:r>
        <w:rPr>
          <w:rFonts w:ascii="Verdana" w:eastAsia="Calibri" w:hAnsi="Verdana" w:cs="Times New Roman"/>
          <w:bCs/>
          <w:sz w:val="21"/>
          <w:szCs w:val="21"/>
          <w:lang w:bidi="es-ES"/>
        </w:rPr>
        <w:t xml:space="preserve"> entonces, en este contrato la empresa de aseo está obligada a retener el porcentaje de estampillas, por ejemplo, pro ancianos y, luego ese porcentaje la empresa debe transferir al municipio</w:t>
      </w:r>
    </w:p>
    <w:p w14:paraId="673E09BA"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4. Si se celebra un convenio interadministrativo entre la alcaldía y la empresa de acueducto de NATURALEZA PÚBLICA, la empresa está obligada a retener el valor de las estampillas al CONTRATISTA que se obliga con la empresa de aseo, por ejemplo, pro-ancianos etc y, ese porcentaje debe ser transferido a la alcaldía por parte de la empresa de acueducto?. Me explico: Alcaldía de Churumbelo celebra un convenio de 100 millones con la empresa de acueducto para capacitar a los usuarios en el tema ambiental y, luego la empresa de acueducto para cumplir con el convenio celebra un contrato con RAMIRO LOPEZ, entonces, en este contrato la empresa de ACUEDUCTO debe esta obligada a retener el porcentaje de estampillas, por ejemplo, pro ancianos y, luego ese porcentaje la empresa debe transferir al municipio?. </w:t>
      </w:r>
    </w:p>
    <w:p w14:paraId="520805E7"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5. El municipio puede celebrar un contrato interadministrativo con la empresa de aseo de NATURALEZA PRIVADA. En caso de estampillas a que estan obligados cada una de las partes?, es decir, la alcaldía le debe retener los porcentajes de estampillas a la empresa de aseo?. Si la empresa contrata con un tercero para cumplir con el contrato que celebra con la alcaldía, está, o sea, la empresa le debe descontar el </w:t>
      </w:r>
      <w:r w:rsidRPr="00A467EE">
        <w:rPr>
          <w:rFonts w:ascii="Verdana" w:eastAsia="Calibri" w:hAnsi="Verdana" w:cs="Times New Roman"/>
          <w:bCs/>
          <w:sz w:val="21"/>
          <w:szCs w:val="21"/>
          <w:lang w:bidi="es-ES"/>
        </w:rPr>
        <w:lastRenderedPageBreak/>
        <w:t xml:space="preserve">valor de los porcentajes de estampilla a ese tercero contratista para luego transferir a la alcaldía?. </w:t>
      </w:r>
    </w:p>
    <w:p w14:paraId="18D746E3"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6. El municipio puede celebrar un contrato interadministrativo con la empresa de acueducto de NATURALEZA PÚBLICA. En caso de estampillas a que estan obligados cada una de las partes?, es decir, la alcaldía le debe retener los porcentajes de estampillas a la empresa de ACUEDUCTO?. Si la empresa contrata con un tercero para cumplir con el contrato que celebra con la alcaldía, está, o sea, la empresa le debe descontar el valor de los porcentajes de estampilla a ese tercero contratista para luego transferir a la alcaldía?. </w:t>
      </w:r>
    </w:p>
    <w:p w14:paraId="15C72F62"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 xml:space="preserve">7. La empresa de servicios públicos domiciliarios de NATURALEZA PRIVADA está obligada a contratar a una persona para que asuma las funciones de CONTROL INTERNO?. El control interno puede delegarse las funciones en tesorería?. Para ejercer el control interno la empresa puede contratar a un profesional o tecnólogo en administración de empresas o afines?. </w:t>
      </w:r>
    </w:p>
    <w:p w14:paraId="15718FEE" w14:textId="77777777" w:rsidR="005B6BB5" w:rsidRPr="00A467EE" w:rsidRDefault="005B6BB5" w:rsidP="005B6BB5">
      <w:pPr>
        <w:spacing w:after="0" w:line="240" w:lineRule="auto"/>
        <w:ind w:left="709" w:right="709"/>
        <w:jc w:val="both"/>
        <w:rPr>
          <w:rFonts w:ascii="Verdana" w:eastAsia="Calibri" w:hAnsi="Verdana" w:cs="Times New Roman"/>
          <w:bCs/>
          <w:sz w:val="21"/>
          <w:szCs w:val="21"/>
          <w:lang w:bidi="es-ES"/>
        </w:rPr>
      </w:pPr>
      <w:r w:rsidRPr="00A467EE">
        <w:rPr>
          <w:rFonts w:ascii="Verdana" w:eastAsia="Calibri" w:hAnsi="Verdana" w:cs="Times New Roman"/>
          <w:bCs/>
          <w:sz w:val="21"/>
          <w:szCs w:val="21"/>
          <w:lang w:bidi="es-ES"/>
        </w:rPr>
        <w:t>8. La empresa de servicios públicos de NATURALEZA PRIVADA, está obligada a cargar al SIA OBSERVA y, también, está obligada a cargar los contratos con terceros en el SECOP II?. En caso de que esté obligada la empresa, pero resulta que no lo ha hecho existe la posibilidad de subsanar esa situación?. En caso de que se pueda subsanar, que recomiendan hacer?.</w:t>
      </w:r>
    </w:p>
    <w:p w14:paraId="40AB6252" w14:textId="77777777" w:rsidR="005B6BB5" w:rsidRPr="00812F2C" w:rsidRDefault="005B6BB5" w:rsidP="005B6BB5">
      <w:pPr>
        <w:spacing w:after="0" w:line="240" w:lineRule="auto"/>
        <w:ind w:left="709" w:right="709"/>
        <w:jc w:val="both"/>
        <w:rPr>
          <w:rFonts w:ascii="Verdana" w:eastAsia="Calibri" w:hAnsi="Verdana" w:cs="Times New Roman"/>
          <w:bCs/>
          <w:sz w:val="21"/>
          <w:szCs w:val="21"/>
          <w:lang w:bidi="es-ES"/>
        </w:rPr>
      </w:pPr>
    </w:p>
    <w:p w14:paraId="09E7BADC" w14:textId="77777777" w:rsidR="005B6BB5" w:rsidRPr="00B57A1B" w:rsidRDefault="005B6BB5" w:rsidP="005B6BB5">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9F83FF3" w14:textId="77777777" w:rsidR="005B6BB5" w:rsidRPr="00B57A1B" w:rsidRDefault="005B6BB5" w:rsidP="005B6BB5">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B57A1B">
        <w:rPr>
          <w:rFonts w:ascii="Verdana" w:eastAsia="Calibri" w:hAnsi="Verdana" w:cs="Times New Roman"/>
          <w:lang w:val="es-ES"/>
        </w:rPr>
        <w:lastRenderedPageBreak/>
        <w:t>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63B9FF54" w14:textId="77777777" w:rsidR="005B6BB5" w:rsidRPr="00B57A1B" w:rsidRDefault="005B6BB5" w:rsidP="005B6BB5">
      <w:pPr>
        <w:spacing w:after="0" w:line="256" w:lineRule="auto"/>
        <w:rPr>
          <w:rFonts w:ascii="Verdana" w:eastAsia="Calibri" w:hAnsi="Verdana" w:cs="Times New Roman"/>
          <w:lang w:val="es-ES"/>
        </w:rPr>
      </w:pPr>
    </w:p>
    <w:p w14:paraId="7185203D" w14:textId="77777777" w:rsidR="005B6BB5" w:rsidRPr="00B57A1B" w:rsidRDefault="005B6BB5" w:rsidP="005B6BB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1B32C57D" w14:textId="77777777" w:rsidR="005B6BB5" w:rsidRPr="00B57A1B" w:rsidRDefault="005B6BB5" w:rsidP="005B6BB5">
      <w:pPr>
        <w:spacing w:after="0" w:line="256" w:lineRule="auto"/>
        <w:rPr>
          <w:rFonts w:ascii="Verdana" w:eastAsia="Calibri" w:hAnsi="Verdana" w:cs="Times New Roman"/>
        </w:rPr>
      </w:pPr>
    </w:p>
    <w:p w14:paraId="05CF13AC" w14:textId="77777777" w:rsidR="005B6BB5" w:rsidRDefault="005B6BB5" w:rsidP="005B6BB5">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A467EE">
        <w:rPr>
          <w:rFonts w:ascii="Verdana" w:eastAsia="Calibri" w:hAnsi="Verdana" w:cs="Times New Roman"/>
          <w:iCs/>
          <w:lang w:val="es-ES"/>
        </w:rPr>
        <w:t xml:space="preserve">¿Es </w:t>
      </w:r>
      <w:r>
        <w:rPr>
          <w:rFonts w:ascii="Verdana" w:eastAsia="Calibri" w:hAnsi="Verdana" w:cs="Times New Roman"/>
          <w:iCs/>
          <w:lang w:val="es-ES"/>
        </w:rPr>
        <w:t xml:space="preserve">procedente </w:t>
      </w:r>
      <w:r w:rsidRPr="00A467EE">
        <w:rPr>
          <w:rFonts w:ascii="Verdana" w:eastAsia="Calibri" w:hAnsi="Verdana" w:cs="Times New Roman"/>
          <w:iCs/>
          <w:lang w:val="es-ES"/>
        </w:rPr>
        <w:t>que un municipio celebre convenios o contratos interadministrativos con empresas de servicios públicos domiciliarios de naturaleza privada</w:t>
      </w:r>
      <w:r>
        <w:rPr>
          <w:rFonts w:ascii="Verdana" w:eastAsia="Calibri" w:hAnsi="Verdana" w:cs="Times New Roman"/>
          <w:iCs/>
          <w:lang w:val="es-ES"/>
        </w:rPr>
        <w:t xml:space="preserve"> con participación pública o pública?; ii) ¿</w:t>
      </w:r>
      <w:r w:rsidRPr="00A467EE">
        <w:rPr>
          <w:rFonts w:ascii="Verdana" w:eastAsia="Calibri" w:hAnsi="Verdana" w:cs="Times New Roman"/>
          <w:iCs/>
          <w:lang w:val="es-ES"/>
        </w:rPr>
        <w:t xml:space="preserve">cuáles son las obligaciones de las partes respecto a la retención </w:t>
      </w:r>
      <w:r>
        <w:rPr>
          <w:rFonts w:ascii="Verdana" w:eastAsia="Calibri" w:hAnsi="Verdana" w:cs="Times New Roman"/>
          <w:iCs/>
          <w:lang w:val="es-ES"/>
        </w:rPr>
        <w:t xml:space="preserve">y transferencia de estampillas </w:t>
      </w:r>
      <w:r w:rsidRPr="00A467EE">
        <w:rPr>
          <w:rFonts w:ascii="Verdana" w:eastAsia="Calibri" w:hAnsi="Verdana" w:cs="Times New Roman"/>
          <w:iCs/>
          <w:lang w:val="es-ES"/>
        </w:rPr>
        <w:t>tanto en la relación directa entre alcaldía y empresa, como en los contratos que estas empresas celebren con terceros para e</w:t>
      </w:r>
      <w:r>
        <w:rPr>
          <w:rFonts w:ascii="Verdana" w:eastAsia="Calibri" w:hAnsi="Verdana" w:cs="Times New Roman"/>
          <w:iCs/>
          <w:lang w:val="es-ES"/>
        </w:rPr>
        <w:t xml:space="preserve">jecutar el objeto del convenio?; iii) </w:t>
      </w:r>
      <w:r w:rsidRPr="00A467EE">
        <w:rPr>
          <w:rFonts w:ascii="Verdana" w:eastAsia="Calibri" w:hAnsi="Verdana" w:cs="Times New Roman"/>
          <w:iCs/>
          <w:lang w:val="es-ES"/>
        </w:rPr>
        <w:t>Qué deberes tienen las empresas de servicios públicos domiciliarios de naturaleza privada</w:t>
      </w:r>
      <w:r>
        <w:rPr>
          <w:rFonts w:ascii="Verdana" w:eastAsia="Calibri" w:hAnsi="Verdana" w:cs="Times New Roman"/>
          <w:iCs/>
          <w:lang w:val="es-ES"/>
        </w:rPr>
        <w:t xml:space="preserve"> con participación pública</w:t>
      </w:r>
      <w:r w:rsidRPr="00A467EE">
        <w:rPr>
          <w:rFonts w:ascii="Verdana" w:eastAsia="Calibri" w:hAnsi="Verdana" w:cs="Times New Roman"/>
          <w:iCs/>
          <w:lang w:val="es-ES"/>
        </w:rPr>
        <w:t xml:space="preserve"> </w:t>
      </w:r>
      <w:r>
        <w:rPr>
          <w:rFonts w:ascii="Verdana" w:eastAsia="Calibri" w:hAnsi="Verdana" w:cs="Times New Roman"/>
          <w:iCs/>
          <w:lang w:val="es-ES"/>
        </w:rPr>
        <w:t>de reportar su información contractual en plataformas oficiales -SIA Observa y SECOP II- y en control interno</w:t>
      </w:r>
      <w:r w:rsidRPr="00A467EE">
        <w:rPr>
          <w:rFonts w:ascii="Verdana" w:eastAsia="Calibri" w:hAnsi="Verdana" w:cs="Times New Roman"/>
          <w:iCs/>
          <w:lang w:val="es-ES"/>
        </w:rPr>
        <w:t>?</w:t>
      </w:r>
    </w:p>
    <w:p w14:paraId="743256FE" w14:textId="77777777" w:rsidR="005B6BB5" w:rsidRPr="00B57A1B" w:rsidRDefault="005B6BB5" w:rsidP="005B6BB5">
      <w:pPr>
        <w:spacing w:after="0" w:line="276" w:lineRule="auto"/>
        <w:jc w:val="both"/>
        <w:rPr>
          <w:rFonts w:ascii="Verdana" w:eastAsia="Calibri" w:hAnsi="Verdana" w:cs="Times New Roman"/>
          <w:i/>
          <w:iCs/>
          <w:lang w:val="es-ES"/>
        </w:rPr>
      </w:pPr>
    </w:p>
    <w:p w14:paraId="4A40403D" w14:textId="77777777" w:rsidR="005B6BB5" w:rsidRPr="00B57A1B" w:rsidRDefault="005B6BB5" w:rsidP="005B6BB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1DED48A4" w14:textId="77777777" w:rsidR="005B6BB5" w:rsidRPr="00B57A1B" w:rsidRDefault="005B6BB5" w:rsidP="005B6BB5">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B6BB5" w:rsidRPr="00B57A1B" w14:paraId="31568348" w14:textId="77777777" w:rsidTr="00551B0E">
        <w:trPr>
          <w:trHeight w:val="345"/>
          <w:jc w:val="center"/>
        </w:trPr>
        <w:tc>
          <w:tcPr>
            <w:tcW w:w="8784" w:type="dxa"/>
            <w:tcBorders>
              <w:bottom w:val="single" w:sz="4" w:space="0" w:color="auto"/>
            </w:tcBorders>
          </w:tcPr>
          <w:p w14:paraId="3308854F" w14:textId="77777777" w:rsidR="005B6BB5" w:rsidRDefault="005B6BB5" w:rsidP="00551B0E">
            <w:pPr>
              <w:tabs>
                <w:tab w:val="left" w:pos="709"/>
              </w:tabs>
              <w:snapToGrid w:val="0"/>
              <w:spacing w:before="120" w:after="120" w:line="276" w:lineRule="auto"/>
              <w:jc w:val="both"/>
              <w:rPr>
                <w:rFonts w:ascii="Verdana" w:eastAsia="Calibri" w:hAnsi="Verdana" w:cs="Times New Roman"/>
              </w:rPr>
            </w:pPr>
            <w:r>
              <w:rPr>
                <w:rFonts w:ascii="Verdana" w:eastAsia="Calibri" w:hAnsi="Verdana" w:cs="Times New Roman"/>
              </w:rPr>
              <w:t>En cuanto a los problemas jurídicos, objeto de consulta, se expresa lo siguiente:</w:t>
            </w:r>
          </w:p>
          <w:p w14:paraId="68EEF759" w14:textId="77777777" w:rsidR="005B6BB5" w:rsidRDefault="005B6BB5" w:rsidP="00551B0E">
            <w:pPr>
              <w:spacing w:after="120" w:line="276" w:lineRule="auto"/>
              <w:jc w:val="both"/>
              <w:rPr>
                <w:rFonts w:ascii="Verdana" w:eastAsia="Calibri" w:hAnsi="Verdana" w:cs="Arial"/>
                <w:color w:val="000000" w:themeColor="text1"/>
                <w:lang w:val="es-ES"/>
              </w:rPr>
            </w:pPr>
            <w:r>
              <w:rPr>
                <w:rFonts w:ascii="Verdana" w:eastAsia="Calibri" w:hAnsi="Verdana" w:cs="Arial"/>
                <w:color w:val="000000"/>
              </w:rPr>
              <w:t>i.</w:t>
            </w:r>
            <w:r>
              <w:rPr>
                <w:rFonts w:ascii="Verdana" w:eastAsia="Calibri" w:hAnsi="Verdana" w:cs="Arial"/>
                <w:color w:val="000000" w:themeColor="text1"/>
                <w:lang w:val="es-ES"/>
              </w:rPr>
              <w:t xml:space="preserve"> </w:t>
            </w:r>
            <w:r w:rsidRPr="006273DB">
              <w:rPr>
                <w:rFonts w:ascii="Verdana" w:eastAsia="Calibri" w:hAnsi="Verdana" w:cs="Arial"/>
                <w:color w:val="000000" w:themeColor="text1"/>
              </w:rPr>
              <w:t xml:space="preserve">En cuanto al </w:t>
            </w:r>
            <w:r>
              <w:rPr>
                <w:rFonts w:ascii="Verdana" w:eastAsia="Calibri" w:hAnsi="Verdana" w:cs="Arial"/>
                <w:color w:val="000000" w:themeColor="text1"/>
              </w:rPr>
              <w:t xml:space="preserve">primer </w:t>
            </w:r>
            <w:r w:rsidRPr="006273DB">
              <w:rPr>
                <w:rFonts w:ascii="Verdana" w:eastAsia="Calibri" w:hAnsi="Verdana" w:cs="Arial"/>
                <w:color w:val="000000" w:themeColor="text1"/>
              </w:rPr>
              <w:t xml:space="preserve">problema jurídico, objeto de consulta, </w:t>
            </w:r>
            <w:r w:rsidRPr="006273DB">
              <w:rPr>
                <w:rFonts w:ascii="Verdana" w:eastAsia="Calibri" w:hAnsi="Verdana" w:cs="Arial"/>
                <w:color w:val="000000" w:themeColor="text1"/>
                <w:lang w:val="es-ES"/>
              </w:rPr>
              <w:t>se señala que es importante tener en cuenta lo expresado por la Corte Constitucional en la Sentencia C-736 de 2007,</w:t>
            </w:r>
            <w:r>
              <w:rPr>
                <w:rFonts w:ascii="Verdana" w:eastAsia="Calibri" w:hAnsi="Verdana" w:cs="Arial"/>
                <w:color w:val="000000" w:themeColor="text1"/>
                <w:lang w:val="es-ES"/>
              </w:rPr>
              <w:t xml:space="preserve"> en la que se señala que las empresas de servicios públicos mixtas y empresas privadas de servicios públicos con participación pública son consideradas entidades descentralizadas por servicios, igual que las empresas de servicios públicos de carácter oficial. </w:t>
            </w:r>
            <w:r w:rsidRPr="000B07AC">
              <w:rPr>
                <w:rFonts w:ascii="Verdana" w:eastAsia="Calibri" w:hAnsi="Verdana" w:cs="Arial"/>
                <w:color w:val="000000" w:themeColor="text1"/>
                <w:lang w:val="es-ES"/>
              </w:rPr>
              <w:t>En consecuencia, estas</w:t>
            </w:r>
            <w:r>
              <w:rPr>
                <w:rFonts w:ascii="Verdana" w:eastAsia="Calibri" w:hAnsi="Verdana" w:cs="Arial"/>
                <w:color w:val="000000" w:themeColor="text1"/>
                <w:lang w:val="es-ES"/>
              </w:rPr>
              <w:t xml:space="preserve"> empresas no pueden ser vistas solo</w:t>
            </w:r>
            <w:r w:rsidRPr="000B07AC">
              <w:rPr>
                <w:rFonts w:ascii="Verdana" w:eastAsia="Calibri" w:hAnsi="Verdana" w:cs="Arial"/>
                <w:color w:val="000000" w:themeColor="text1"/>
                <w:lang w:val="es-ES"/>
              </w:rPr>
              <w:t xml:space="preserve"> como actores privados, ya que la participación pública en su estructura societaria les otorga un carácter especial. </w:t>
            </w:r>
          </w:p>
          <w:p w14:paraId="3293EE65" w14:textId="77777777" w:rsidR="005B6BB5" w:rsidRDefault="005B6BB5" w:rsidP="00551B0E">
            <w:pPr>
              <w:spacing w:after="12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que hacen parte de la Rama Ejecutiva del Poder Público,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w:t>
            </w:r>
            <w:r w:rsidRPr="001B0ECC">
              <w:rPr>
                <w:rFonts w:ascii="Verdana" w:eastAsia="Calibri" w:hAnsi="Verdana" w:cs="Arial"/>
                <w:color w:val="000000" w:themeColor="text1"/>
                <w:lang w:val="es-ES"/>
              </w:rPr>
              <w:lastRenderedPageBreak/>
              <w:t xml:space="preserve">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702D6318" w14:textId="77777777" w:rsidR="005B6BB5" w:rsidRDefault="005B6BB5" w:rsidP="00551B0E">
            <w:pPr>
              <w:spacing w:line="276" w:lineRule="auto"/>
              <w:ind w:firstLine="709"/>
              <w:jc w:val="both"/>
              <w:rPr>
                <w:rFonts w:ascii="Verdana" w:eastAsiaTheme="minorEastAsia" w:hAnsi="Verdana" w:cs="Arial"/>
                <w:lang w:eastAsia="es-CO"/>
              </w:rPr>
            </w:pPr>
            <w:r>
              <w:rPr>
                <w:rFonts w:ascii="Verdana" w:eastAsia="Calibri" w:hAnsi="Verdana" w:cs="Arial"/>
                <w:color w:val="000000" w:themeColor="text1"/>
                <w:lang w:val="es-ES"/>
              </w:rPr>
              <w:t xml:space="preserve">Es importante precisar que, bajo las posturas más recientes </w:t>
            </w:r>
            <w:r w:rsidRPr="00B57A1B">
              <w:rPr>
                <w:rFonts w:ascii="Verdana" w:eastAsiaTheme="minorEastAsia" w:hAnsi="Verdana" w:cs="Arial"/>
                <w:lang w:eastAsia="es-CO"/>
              </w:rPr>
              <w:t>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183F77B9" w14:textId="77777777" w:rsidR="005B6BB5" w:rsidRDefault="005B6BB5" w:rsidP="00551B0E">
            <w:pPr>
              <w:spacing w:line="276" w:lineRule="auto"/>
              <w:ind w:firstLine="709"/>
              <w:jc w:val="both"/>
              <w:rPr>
                <w:rFonts w:ascii="Verdana" w:eastAsia="Calibri" w:hAnsi="Verdana" w:cs="Arial"/>
                <w:color w:val="000000"/>
              </w:rPr>
            </w:pPr>
          </w:p>
          <w:p w14:paraId="55E0AC2D" w14:textId="77777777" w:rsidR="005B6BB5" w:rsidRDefault="005B6BB5" w:rsidP="00551B0E">
            <w:pPr>
              <w:spacing w:after="120" w:line="276" w:lineRule="auto"/>
              <w:jc w:val="both"/>
              <w:rPr>
                <w:rFonts w:ascii="Verdana" w:eastAsia="Calibri" w:hAnsi="Verdana" w:cs="Times New Roman"/>
                <w:iCs/>
                <w:lang w:val="es-ES"/>
              </w:rPr>
            </w:pPr>
            <w:r>
              <w:rPr>
                <w:rFonts w:ascii="Verdana" w:eastAsia="Calibri" w:hAnsi="Verdana" w:cs="Arial"/>
                <w:color w:val="000000"/>
              </w:rPr>
              <w:t xml:space="preserve">ii. </w:t>
            </w:r>
            <w:r w:rsidRPr="00B57A1B">
              <w:rPr>
                <w:rFonts w:ascii="Verdana" w:eastAsiaTheme="minorEastAsia" w:hAnsi="Verdana" w:cs="Arial"/>
                <w:lang w:eastAsia="es-CO"/>
              </w:rPr>
              <w:t>Teniendo en cuenta, este entendimiento sobre los convenios interadministrativos</w:t>
            </w:r>
            <w:r>
              <w:rPr>
                <w:rFonts w:ascii="Verdana" w:eastAsiaTheme="minorEastAsia" w:hAnsi="Verdana" w:cs="Arial"/>
                <w:lang w:eastAsia="es-CO"/>
              </w:rPr>
              <w:t xml:space="preserve"> y contratos interadministrativos</w:t>
            </w:r>
            <w:r w:rsidRPr="00B57A1B">
              <w:rPr>
                <w:rFonts w:ascii="Verdana" w:eastAsiaTheme="minorEastAsia" w:hAnsi="Verdana" w:cs="Arial"/>
                <w:lang w:eastAsia="es-CO"/>
              </w:rPr>
              <w:t>,</w:t>
            </w:r>
            <w:r w:rsidRPr="00713888">
              <w:rPr>
                <w:rFonts w:ascii="Verdana" w:eastAsia="Calibri" w:hAnsi="Verdana" w:cs="Times New Roman"/>
                <w:iCs/>
                <w:lang w:val="es-ES"/>
              </w:rPr>
              <w:t xml:space="preserve"> </w:t>
            </w:r>
            <w:r>
              <w:rPr>
                <w:rFonts w:ascii="Verdana" w:eastAsia="Calibri" w:hAnsi="Verdana" w:cs="Times New Roman"/>
                <w:iCs/>
                <w:lang w:val="es-ES"/>
              </w:rPr>
              <w:t xml:space="preserve">las entidades territoriales son las que </w:t>
            </w:r>
            <w:r w:rsidRPr="00E30252">
              <w:rPr>
                <w:rFonts w:ascii="Verdana" w:eastAsia="Calibri" w:hAnsi="Verdana" w:cs="Times New Roman"/>
                <w:iCs/>
                <w:lang w:val="es-ES"/>
              </w:rPr>
              <w:t xml:space="preserve">tienen la obligación de retener y transferir el valor de las estampillas </w:t>
            </w:r>
            <w:r>
              <w:rPr>
                <w:rFonts w:ascii="Verdana" w:eastAsia="Calibri" w:hAnsi="Verdana" w:cs="Times New Roman"/>
                <w:iCs/>
                <w:lang w:val="es-ES"/>
              </w:rPr>
              <w:t xml:space="preserve">que se establezcan </w:t>
            </w:r>
            <w:r w:rsidRPr="00E30252">
              <w:rPr>
                <w:rFonts w:ascii="Verdana" w:eastAsia="Calibri" w:hAnsi="Verdana" w:cs="Times New Roman"/>
                <w:iCs/>
                <w:lang w:val="es-ES"/>
              </w:rPr>
              <w:t>al momento d</w:t>
            </w:r>
            <w:r>
              <w:rPr>
                <w:rFonts w:ascii="Verdana" w:eastAsia="Calibri" w:hAnsi="Verdana" w:cs="Times New Roman"/>
                <w:iCs/>
                <w:lang w:val="es-ES"/>
              </w:rPr>
              <w:t>e celebrarlos, de acuerdo a la normatividad consignada en la Ley, las ordenanzas y acuerdos municipales o distritales respectivos</w:t>
            </w:r>
            <w:r w:rsidRPr="00E30252">
              <w:rPr>
                <w:rFonts w:ascii="Verdana" w:eastAsia="Calibri" w:hAnsi="Verdana" w:cs="Times New Roman"/>
                <w:iCs/>
                <w:lang w:val="es-ES"/>
              </w:rPr>
              <w:t xml:space="preserve">. </w:t>
            </w:r>
            <w:r>
              <w:rPr>
                <w:rFonts w:ascii="Verdana" w:eastAsia="Calibri" w:hAnsi="Verdana" w:cs="Times New Roman"/>
                <w:iCs/>
                <w:lang w:val="es-ES"/>
              </w:rPr>
              <w:t>Con respecto a las empresas contratistas o cooperantes</w:t>
            </w:r>
            <w:r w:rsidRPr="00E30252">
              <w:rPr>
                <w:rFonts w:ascii="Verdana" w:eastAsia="Calibri" w:hAnsi="Verdana" w:cs="Times New Roman"/>
                <w:iCs/>
                <w:lang w:val="es-ES"/>
              </w:rPr>
              <w:t>, a su vez, deben asumir el pago de dichas estampillas como sujetos pasivos</w:t>
            </w:r>
            <w:r>
              <w:rPr>
                <w:rFonts w:ascii="Verdana" w:eastAsia="Calibri" w:hAnsi="Verdana" w:cs="Times New Roman"/>
                <w:iCs/>
                <w:lang w:val="es-ES"/>
              </w:rPr>
              <w:t xml:space="preserve">. En torno a que </w:t>
            </w:r>
            <w:r w:rsidRPr="006A31A8">
              <w:rPr>
                <w:rFonts w:ascii="Verdana" w:eastAsia="Calibri" w:hAnsi="Verdana" w:cs="Times New Roman"/>
                <w:iCs/>
                <w:lang w:val="es-ES"/>
              </w:rPr>
              <w:t>la empresa contratista celebra contratos con terceros para ejecutar el objeto del convenio, también debe aplicar la retenci</w:t>
            </w:r>
            <w:r>
              <w:rPr>
                <w:rFonts w:ascii="Verdana" w:eastAsia="Calibri" w:hAnsi="Verdana" w:cs="Times New Roman"/>
                <w:iCs/>
                <w:lang w:val="es-ES"/>
              </w:rPr>
              <w:t xml:space="preserve">ón de estampillas en esos pagos, si así se reguló en la normatividad vigente sobre estampillas. </w:t>
            </w:r>
          </w:p>
          <w:p w14:paraId="273A2E7D" w14:textId="77777777" w:rsidR="005B6BB5" w:rsidRDefault="005B6BB5" w:rsidP="00551B0E">
            <w:pPr>
              <w:spacing w:line="276" w:lineRule="auto"/>
              <w:ind w:firstLine="709"/>
              <w:jc w:val="both"/>
              <w:rPr>
                <w:rFonts w:ascii="Verdana" w:eastAsia="Calibri" w:hAnsi="Verdana" w:cs="Times New Roman"/>
                <w:iCs/>
                <w:lang w:val="es-ES"/>
              </w:rPr>
            </w:pPr>
            <w:r>
              <w:rPr>
                <w:rFonts w:ascii="Verdana" w:eastAsia="Calibri" w:hAnsi="Verdana" w:cs="Times New Roman"/>
                <w:iCs/>
                <w:lang w:val="es-ES"/>
              </w:rPr>
              <w:t xml:space="preserve">En todo caso, </w:t>
            </w:r>
            <w:r w:rsidRPr="00DB6E88">
              <w:rPr>
                <w:rFonts w:ascii="Verdana" w:eastAsia="Calibri" w:hAnsi="Verdana" w:cs="Times New Roman"/>
                <w:iCs/>
                <w:lang w:val="es-ES"/>
              </w:rPr>
              <w:t>es necesario aclarar que</w:t>
            </w:r>
            <w:r>
              <w:rPr>
                <w:rFonts w:ascii="Verdana" w:eastAsia="Calibri" w:hAnsi="Verdana" w:cs="Times New Roman"/>
                <w:iCs/>
                <w:lang w:val="es-ES"/>
              </w:rPr>
              <w:t xml:space="preserve"> la Agencia Nacional de Contratación Pública -</w:t>
            </w:r>
            <w:r w:rsidRPr="00DB6E88">
              <w:rPr>
                <w:rFonts w:ascii="Verdana" w:eastAsia="Calibri" w:hAnsi="Verdana" w:cs="Times New Roman"/>
                <w:iCs/>
                <w:lang w:val="es-ES"/>
              </w:rPr>
              <w:t xml:space="preserve">Colombia Compra Eficiente no es la entidad competente para resolver asuntos de carácter tributario. Su función principal está orientada a regular y promover </w:t>
            </w:r>
            <w:r>
              <w:rPr>
                <w:rFonts w:ascii="Verdana" w:eastAsia="Calibri" w:hAnsi="Verdana" w:cs="Times New Roman"/>
                <w:iCs/>
                <w:lang w:val="es-ES"/>
              </w:rPr>
              <w:t xml:space="preserve">políticas en el sistema de </w:t>
            </w:r>
            <w:r w:rsidRPr="00DB6E88">
              <w:rPr>
                <w:rFonts w:ascii="Verdana" w:eastAsia="Calibri" w:hAnsi="Verdana" w:cs="Times New Roman"/>
                <w:iCs/>
                <w:lang w:val="es-ES"/>
              </w:rPr>
              <w:t>contratación</w:t>
            </w:r>
            <w:r>
              <w:rPr>
                <w:rFonts w:ascii="Verdana" w:eastAsia="Calibri" w:hAnsi="Verdana" w:cs="Times New Roman"/>
                <w:iCs/>
                <w:lang w:val="es-ES"/>
              </w:rPr>
              <w:t xml:space="preserve"> y compra</w:t>
            </w:r>
            <w:r w:rsidRPr="00DB6E88">
              <w:rPr>
                <w:rFonts w:ascii="Verdana" w:eastAsia="Calibri" w:hAnsi="Verdana" w:cs="Times New Roman"/>
                <w:iCs/>
                <w:lang w:val="es-ES"/>
              </w:rPr>
              <w:t xml:space="preserve"> pública, pero no tiene facultades para interpretar ni aplicar normas relacionadas con la retención, liquidación o transferencia de estampillas como la Pro Adulto Mayor, Procultura u o</w:t>
            </w:r>
            <w:r>
              <w:rPr>
                <w:rFonts w:ascii="Verdana" w:eastAsia="Calibri" w:hAnsi="Verdana" w:cs="Times New Roman"/>
                <w:iCs/>
                <w:lang w:val="es-ES"/>
              </w:rPr>
              <w:t xml:space="preserve">tras de naturaleza territorial. </w:t>
            </w:r>
            <w:r w:rsidRPr="00DB6E88">
              <w:rPr>
                <w:rFonts w:ascii="Verdana" w:eastAsia="Calibri" w:hAnsi="Verdana" w:cs="Times New Roman"/>
                <w:iCs/>
                <w:lang w:val="es-ES"/>
              </w:rPr>
              <w:t xml:space="preserve">Por lo tanto, las obligaciones en </w:t>
            </w:r>
            <w:r>
              <w:rPr>
                <w:rFonts w:ascii="Verdana" w:eastAsia="Calibri" w:hAnsi="Verdana" w:cs="Times New Roman"/>
                <w:iCs/>
                <w:lang w:val="es-ES"/>
              </w:rPr>
              <w:t>materia de estampillas deben consultarse y atenderse</w:t>
            </w:r>
            <w:r w:rsidRPr="00DB6E88">
              <w:rPr>
                <w:rFonts w:ascii="Verdana" w:eastAsia="Calibri" w:hAnsi="Verdana" w:cs="Times New Roman"/>
                <w:iCs/>
                <w:lang w:val="es-ES"/>
              </w:rPr>
              <w:t xml:space="preserve"> ante las entidades territoriales que las crean y administran, como las alcaldías y las secretarías de hacienda</w:t>
            </w:r>
            <w:r>
              <w:rPr>
                <w:rFonts w:ascii="Verdana" w:eastAsia="Calibri" w:hAnsi="Verdana" w:cs="Times New Roman"/>
                <w:iCs/>
                <w:lang w:val="es-ES"/>
              </w:rPr>
              <w:t xml:space="preserve"> municipales,</w:t>
            </w:r>
            <w:r w:rsidRPr="00DB6E88">
              <w:rPr>
                <w:rFonts w:ascii="Verdana" w:eastAsia="Calibri" w:hAnsi="Verdana" w:cs="Times New Roman"/>
                <w:iCs/>
                <w:lang w:val="es-ES"/>
              </w:rPr>
              <w:t xml:space="preserve"> distritales o departamentales. Son estas autoridades las responsables de definir y vigilar el cumplimiento de la retención y transferencia de los valores correspondientes, tanto en los </w:t>
            </w:r>
            <w:r w:rsidRPr="00DB6E88">
              <w:rPr>
                <w:rFonts w:ascii="Verdana" w:eastAsia="Calibri" w:hAnsi="Verdana" w:cs="Times New Roman"/>
                <w:iCs/>
                <w:lang w:val="es-ES"/>
              </w:rPr>
              <w:lastRenderedPageBreak/>
              <w:t>convenios celebrados entre alcaldía y empresa, como en los contratos que las empresas suscriban con terceros para ejecutar el objeto del convenio</w:t>
            </w:r>
            <w:r>
              <w:rPr>
                <w:rFonts w:ascii="Verdana" w:eastAsia="Calibri" w:hAnsi="Verdana" w:cs="Times New Roman"/>
                <w:iCs/>
                <w:lang w:val="es-ES"/>
              </w:rPr>
              <w:t xml:space="preserve"> o contrato interadministrativo</w:t>
            </w:r>
            <w:r w:rsidRPr="00DB6E88">
              <w:rPr>
                <w:rFonts w:ascii="Verdana" w:eastAsia="Calibri" w:hAnsi="Verdana" w:cs="Times New Roman"/>
                <w:iCs/>
                <w:lang w:val="es-ES"/>
              </w:rPr>
              <w:t>.</w:t>
            </w:r>
            <w:r>
              <w:rPr>
                <w:rFonts w:ascii="Verdana" w:eastAsia="Calibri" w:hAnsi="Verdana" w:cs="Times New Roman"/>
                <w:iCs/>
                <w:lang w:val="es-ES"/>
              </w:rPr>
              <w:t xml:space="preserve"> </w:t>
            </w:r>
          </w:p>
          <w:p w14:paraId="7E1639B6" w14:textId="77777777" w:rsidR="005B6BB5" w:rsidRPr="006273DB" w:rsidRDefault="005B6BB5" w:rsidP="00551B0E">
            <w:pPr>
              <w:spacing w:after="120" w:line="276" w:lineRule="auto"/>
              <w:jc w:val="both"/>
              <w:rPr>
                <w:rFonts w:ascii="Verdana" w:eastAsia="Calibri" w:hAnsi="Verdana" w:cs="Arial"/>
                <w:color w:val="000000"/>
                <w:lang w:val="es-ES"/>
              </w:rPr>
            </w:pPr>
          </w:p>
          <w:p w14:paraId="35B1062F" w14:textId="77777777" w:rsidR="005B6BB5" w:rsidRDefault="005B6BB5" w:rsidP="00551B0E">
            <w:pPr>
              <w:spacing w:before="120" w:after="120" w:line="276" w:lineRule="auto"/>
              <w:jc w:val="both"/>
              <w:rPr>
                <w:rFonts w:ascii="Verdana" w:eastAsia="Times New Roman" w:hAnsi="Verdana" w:cs="Arial"/>
                <w:lang w:val="es-ES_tradnl" w:eastAsia="es-ES_tradnl"/>
                <w14:ligatures w14:val="standardContextual"/>
              </w:rPr>
            </w:pPr>
            <w:r>
              <w:rPr>
                <w:rFonts w:ascii="Verdana" w:eastAsia="Calibri" w:hAnsi="Verdana" w:cs="Arial"/>
                <w:color w:val="000000"/>
              </w:rPr>
              <w:t xml:space="preserve">iii. </w:t>
            </w:r>
            <w:r>
              <w:rPr>
                <w:rFonts w:ascii="Verdana" w:eastAsia="Times New Roman" w:hAnsi="Verdana" w:cs="Arial"/>
                <w:lang w:val="es-ES_tradnl" w:eastAsia="es-ES_tradnl"/>
                <w14:ligatures w14:val="standardContextual"/>
              </w:rPr>
              <w:t xml:space="preserve">A partir del artículo 5° de la Ley 1712 que contiene la lista de quienes son los sujetos obligados e a publicar la información, es pertinente señalar que las empresas de servicios públicos de carácter privado con participación estatal tienen la obligación de </w:t>
            </w:r>
            <w:r w:rsidRPr="002A3450">
              <w:rPr>
                <w:rFonts w:ascii="Verdana" w:eastAsia="Times New Roman" w:hAnsi="Verdana" w:cs="Arial"/>
                <w:lang w:val="es-ES_tradnl" w:eastAsia="es-ES_tradnl"/>
                <w14:ligatures w14:val="standardContextual"/>
              </w:rPr>
              <w:t>publicar la información relativa a su contratación</w:t>
            </w:r>
            <w:r>
              <w:rPr>
                <w:rFonts w:ascii="Verdana" w:eastAsia="Times New Roman" w:hAnsi="Verdana" w:cs="Arial"/>
                <w:lang w:val="es-ES_tradnl" w:eastAsia="es-ES_tradnl"/>
                <w14:ligatures w14:val="standardContextual"/>
              </w:rPr>
              <w:t>, teniendo en cuenta que la Sentencia C-736 de 2007, al considerarlas entidades descentralizadas por servicios de la Rama Ejecutiva del Poder público</w:t>
            </w:r>
            <w:r w:rsidRPr="002A3450">
              <w:rPr>
                <w:rFonts w:ascii="Verdana" w:eastAsia="Times New Roman" w:hAnsi="Verdana" w:cs="Arial"/>
                <w:lang w:val="es-ES_tradnl" w:eastAsia="es-ES_tradnl"/>
                <w14:ligatures w14:val="standardContextual"/>
              </w:rPr>
              <w:t xml:space="preserve">. </w:t>
            </w:r>
          </w:p>
          <w:p w14:paraId="634717B5" w14:textId="77777777" w:rsidR="005B6BB5" w:rsidRDefault="005B6BB5" w:rsidP="00551B0E">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Ahora bien, la obligación del deber de publicar fue </w:t>
            </w:r>
            <w:r w:rsidRPr="002A3450">
              <w:rPr>
                <w:rFonts w:ascii="Verdana" w:eastAsia="Times New Roman" w:hAnsi="Verdana" w:cs="Arial"/>
                <w:lang w:val="es-ES_tradnl" w:eastAsia="es-ES_tradnl"/>
                <w14:ligatures w14:val="standardContextual"/>
              </w:rPr>
              <w:t>desarrollada por el Decreto Único Reglamentario 1081 de 2015,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9656467" w14:textId="77777777" w:rsidR="005B6BB5" w:rsidRPr="00AD6B46" w:rsidRDefault="005B6BB5" w:rsidP="00551B0E">
            <w:pPr>
              <w:tabs>
                <w:tab w:val="left" w:pos="709"/>
              </w:tabs>
              <w:spacing w:before="120" w:after="120" w:line="276" w:lineRule="auto"/>
              <w:ind w:firstLine="709"/>
              <w:jc w:val="both"/>
              <w:rPr>
                <w:rFonts w:ascii="Verdana" w:eastAsia="Calibri" w:hAnsi="Verdana" w:cs="Arial"/>
                <w:color w:val="000000"/>
              </w:rPr>
            </w:pPr>
            <w:r w:rsidRPr="00AD6B46">
              <w:rPr>
                <w:rFonts w:ascii="Verdana" w:hAnsi="Verdana" w:cs="Arial"/>
                <w:shd w:val="clear" w:color="auto" w:fill="FFFFFF"/>
              </w:rPr>
              <w:t xml:space="preserve">En tal sentido, </w:t>
            </w:r>
            <w:r w:rsidRPr="00AD6B46">
              <w:rPr>
                <w:rFonts w:ascii="Verdana" w:eastAsia="Calibri" w:hAnsi="Verdana" w:cs="Arial"/>
                <w:color w:val="00000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01C9A19B" w14:textId="77777777" w:rsidR="005B6BB5" w:rsidRDefault="005B6BB5" w:rsidP="00551B0E">
            <w:pPr>
              <w:spacing w:before="120" w:after="120" w:line="276" w:lineRule="auto"/>
              <w:ind w:firstLine="708"/>
              <w:jc w:val="both"/>
              <w:rPr>
                <w:rFonts w:ascii="Verdana" w:eastAsia="Times New Roman" w:hAnsi="Verdana" w:cs="Arial"/>
                <w:lang w:val="es-ES_tradnl" w:eastAsia="es-ES_tradnl"/>
                <w14:ligatures w14:val="standardContextual"/>
              </w:rPr>
            </w:pPr>
            <w:r w:rsidRPr="00AD6B46">
              <w:rPr>
                <w:rFonts w:ascii="Verdana" w:eastAsia="Calibri" w:hAnsi="Verdana" w:cs="Arial"/>
                <w:color w:val="000000"/>
              </w:rPr>
              <w:lastRenderedPageBreak/>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2F497726" w14:textId="77777777" w:rsidR="005B6BB5" w:rsidRPr="006273DB" w:rsidRDefault="005B6BB5" w:rsidP="00551B0E">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Calibri" w:hAnsi="Verdana" w:cs="Arial"/>
                <w:color w:val="000000"/>
              </w:rPr>
              <w:t xml:space="preserve">En cuanto al deber de publicidad en otras plataformas que no administra la Agencia Nacional de Contratación Pública –Colombia Compra Eficiente, como </w:t>
            </w:r>
            <w:r w:rsidRPr="00F56437">
              <w:rPr>
                <w:rFonts w:ascii="Verdana" w:eastAsia="Calibri" w:hAnsi="Verdana" w:cs="Arial"/>
                <w:color w:val="000000"/>
              </w:rPr>
              <w:t xml:space="preserve">es el caso de la Plataforma -SIA OBSERVA-, </w:t>
            </w:r>
            <w:r>
              <w:rPr>
                <w:rFonts w:ascii="Verdana" w:eastAsia="Calibri" w:hAnsi="Verdana" w:cs="Arial"/>
                <w:color w:val="000000"/>
              </w:rPr>
              <w:t>es necesario remitirse a la definición d</w:t>
            </w:r>
            <w:r w:rsidRPr="00F56437">
              <w:rPr>
                <w:rFonts w:ascii="Verdana" w:eastAsia="Calibri" w:hAnsi="Verdana" w:cs="Arial"/>
                <w:color w:val="000000"/>
              </w:rPr>
              <w:t>el Manual de Usuario – SIA Observa V 2.0 en el numeral 1.1.: “Es una herramienta informática en ambiente WEB diseñada para facilitar la rendición de cuenta en línea sobre la ejecución presupuestal y contractual que realizan las entidades públicas del país, la cual le permite a las Contralorías realizar control y seguimiento continuo en tiempo real sobre la ejecución de los dineros públicos de todas sus entidades vigiladas”.</w:t>
            </w:r>
          </w:p>
          <w:p w14:paraId="306CBD5B" w14:textId="77777777" w:rsidR="005B6BB5" w:rsidRDefault="005B6BB5" w:rsidP="00551B0E">
            <w:pPr>
              <w:spacing w:after="120" w:line="276" w:lineRule="auto"/>
              <w:ind w:firstLine="708"/>
              <w:jc w:val="both"/>
              <w:rPr>
                <w:rFonts w:ascii="Verdana" w:eastAsia="Calibri" w:hAnsi="Verdana" w:cs="Arial"/>
                <w:color w:val="000000"/>
              </w:rPr>
            </w:pPr>
            <w:r w:rsidRPr="00F56437">
              <w:rPr>
                <w:rFonts w:ascii="Verdana" w:eastAsia="Calibri" w:hAnsi="Verdana" w:cs="Arial"/>
                <w:color w:val="000000"/>
              </w:rPr>
              <w:t>En este aspecto, la Auditoría General de la República en Concepto del 1 de diciembre de 2025 expresa</w:t>
            </w:r>
            <w:r>
              <w:rPr>
                <w:rFonts w:ascii="Verdana" w:eastAsia="Calibri" w:hAnsi="Verdana" w:cs="Arial"/>
                <w:color w:val="000000"/>
              </w:rPr>
              <w:t xml:space="preserve"> sobre la obligatoriedad del </w:t>
            </w:r>
            <w:r w:rsidRPr="00F56437">
              <w:rPr>
                <w:rFonts w:ascii="Verdana" w:eastAsia="Calibri" w:hAnsi="Verdana" w:cs="Arial"/>
                <w:color w:val="000000"/>
              </w:rPr>
              <w:t>SIA Observa</w:t>
            </w:r>
            <w:r>
              <w:rPr>
                <w:rFonts w:ascii="Verdana" w:eastAsia="Calibri" w:hAnsi="Verdana" w:cs="Arial"/>
                <w:color w:val="000000"/>
              </w:rPr>
              <w:t xml:space="preserve"> en los siguientes términos</w:t>
            </w:r>
            <w:r w:rsidRPr="00F56437">
              <w:rPr>
                <w:rFonts w:ascii="Verdana" w:eastAsia="Calibri" w:hAnsi="Verdana" w:cs="Arial"/>
                <w:color w:val="000000"/>
              </w:rPr>
              <w:t>:</w:t>
            </w:r>
            <w:r>
              <w:rPr>
                <w:rFonts w:ascii="Verdana" w:eastAsia="Calibri" w:hAnsi="Verdana" w:cs="Arial"/>
                <w:color w:val="000000"/>
              </w:rPr>
              <w:t xml:space="preserve"> “</w:t>
            </w:r>
            <w:r w:rsidRPr="00F56437">
              <w:rPr>
                <w:rFonts w:ascii="Verdana" w:eastAsia="Calibri" w:hAnsi="Verdana" w:cs="Arial"/>
                <w:color w:val="000000"/>
              </w:rPr>
              <w:t>Para el uso de esta herramienta tecnológica, las contralorías territoriales teniendo en cuenta la atribución constitucional y legal dada los contralores de prescribir los métodos y forma de rendir la cuenta por parte de sus sujetos de control, son quienes establecen de acuerdo con sus necesidades y criterios, la información que debe ser registrada en ella, así como la oportunidad de la rendición</w:t>
            </w:r>
            <w:r>
              <w:rPr>
                <w:rFonts w:ascii="Verdana" w:eastAsia="Calibri" w:hAnsi="Verdana" w:cs="Arial"/>
                <w:color w:val="000000"/>
              </w:rPr>
              <w:t>”</w:t>
            </w:r>
            <w:r w:rsidRPr="00F56437">
              <w:rPr>
                <w:rFonts w:ascii="Verdana" w:eastAsia="Calibri" w:hAnsi="Verdana" w:cs="Arial"/>
                <w:color w:val="000000"/>
              </w:rPr>
              <w:t>.</w:t>
            </w:r>
            <w:r>
              <w:rPr>
                <w:rFonts w:ascii="Verdana" w:eastAsia="Calibri" w:hAnsi="Verdana" w:cs="Arial"/>
                <w:color w:val="000000"/>
              </w:rPr>
              <w:t xml:space="preserve"> Es decir</w:t>
            </w:r>
            <w:r w:rsidRPr="00F56437">
              <w:rPr>
                <w:rFonts w:ascii="Verdana" w:eastAsia="Calibri" w:hAnsi="Verdana" w:cs="Arial"/>
                <w:color w:val="000000"/>
              </w:rPr>
              <w:t>, son las contralorías territoriales quienes determinan, según sus necesidades y criterios, la información que debe registrarse en SIA Observa y los plazos para su rendición</w:t>
            </w:r>
            <w:r>
              <w:rPr>
                <w:rFonts w:ascii="Verdana" w:eastAsia="Calibri" w:hAnsi="Verdana" w:cs="Arial"/>
                <w:color w:val="000000"/>
              </w:rPr>
              <w:t xml:space="preserve"> por parte de los sujetos de control. Por tanto, son las contralorías territoriales las que definen la manera en que las entidades descentralizadas por servicios reportan la información contractual en dicha plataforma. </w:t>
            </w:r>
          </w:p>
          <w:p w14:paraId="56A920A7" w14:textId="77777777" w:rsidR="005B6BB5" w:rsidRPr="006273DB" w:rsidRDefault="005B6BB5" w:rsidP="00551B0E">
            <w:pPr>
              <w:spacing w:after="120" w:line="276" w:lineRule="auto"/>
              <w:ind w:firstLine="708"/>
              <w:jc w:val="both"/>
              <w:rPr>
                <w:rFonts w:ascii="Verdana" w:eastAsia="Calibri" w:hAnsi="Verdana" w:cs="Arial"/>
                <w:color w:val="000000"/>
              </w:rPr>
            </w:pPr>
            <w:r>
              <w:rPr>
                <w:rFonts w:ascii="Verdana" w:eastAsia="Calibri" w:hAnsi="Verdana" w:cs="Arial"/>
                <w:color w:val="000000"/>
              </w:rPr>
              <w:lastRenderedPageBreak/>
              <w:t xml:space="preserve">En referencia al sistema de control interno, las entidades públicas deben tener en cuenta lo dispuesto en la Ley 87 de 1993, en las que se establecen los objetivos, ámbito de aplicación, características, responsabilidad, la posibilidad de contratar con empresas privadas, la evaluación y control, las funciones, entre otros aspectos, los cuales buscan </w:t>
            </w:r>
            <w:r w:rsidRPr="00D820F2">
              <w:rPr>
                <w:rFonts w:ascii="Verdana" w:eastAsia="Calibri" w:hAnsi="Verdana" w:cs="Arial"/>
                <w:color w:val="000000"/>
              </w:rPr>
              <w:t>garantizar que las actividades, operaciones y actuaciones administrativas se desarrollen conforme a la Constitución, la ley y los objetivos institucionales, promoviendo la eficiencia, la transparencia y la legalidad en la gestión pública.</w:t>
            </w:r>
            <w:r>
              <w:rPr>
                <w:rFonts w:ascii="Verdana" w:eastAsia="Calibri" w:hAnsi="Verdana" w:cs="Arial"/>
                <w:color w:val="000000"/>
              </w:rPr>
              <w:t xml:space="preserve"> </w:t>
            </w:r>
            <w:r w:rsidRPr="005F2D07">
              <w:rPr>
                <w:rFonts w:ascii="Verdana" w:eastAsia="Calibri" w:hAnsi="Verdana" w:cs="Arial"/>
                <w:color w:val="000000"/>
              </w:rPr>
              <w:t xml:space="preserve">En todo caso, estas exigencias deben ser objeto de revisión por parte de la entidad respectiva. </w:t>
            </w:r>
          </w:p>
        </w:tc>
      </w:tr>
    </w:tbl>
    <w:p w14:paraId="5EF7281D" w14:textId="77777777" w:rsidR="005B6BB5" w:rsidRPr="00B57A1B" w:rsidRDefault="005B6BB5" w:rsidP="005B6BB5">
      <w:pPr>
        <w:spacing w:after="0" w:line="276" w:lineRule="auto"/>
        <w:jc w:val="both"/>
        <w:rPr>
          <w:rFonts w:ascii="Verdana" w:eastAsia="Calibri" w:hAnsi="Verdana" w:cs="Arial"/>
          <w:bCs/>
          <w:color w:val="000000" w:themeColor="text1"/>
        </w:rPr>
      </w:pPr>
    </w:p>
    <w:p w14:paraId="4ACABAE6" w14:textId="77777777" w:rsidR="005B6BB5" w:rsidRPr="00B57A1B" w:rsidRDefault="005B6BB5" w:rsidP="005B6BB5">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E70E5A4" w14:textId="77777777" w:rsidR="005B6BB5" w:rsidRPr="00B57A1B" w:rsidRDefault="005B6BB5" w:rsidP="005B6BB5">
      <w:pPr>
        <w:spacing w:after="0" w:line="256" w:lineRule="auto"/>
        <w:rPr>
          <w:rFonts w:ascii="Verdana" w:eastAsia="Calibri" w:hAnsi="Verdana" w:cs="Times New Roman"/>
          <w:b/>
          <w:bCs/>
          <w:lang w:val="es-ES"/>
        </w:rPr>
      </w:pPr>
    </w:p>
    <w:p w14:paraId="2C26A77C" w14:textId="77777777" w:rsidR="005B6BB5" w:rsidRPr="00B57A1B" w:rsidRDefault="005B6BB5" w:rsidP="005B6BB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1F410E5" w14:textId="77777777" w:rsidR="005B6BB5" w:rsidRPr="00415608" w:rsidRDefault="005B6BB5" w:rsidP="005B6BB5">
      <w:pPr>
        <w:spacing w:after="0" w:line="276" w:lineRule="auto"/>
        <w:jc w:val="both"/>
        <w:rPr>
          <w:rFonts w:ascii="Verdana" w:eastAsia="Calibri" w:hAnsi="Verdana" w:cs="Arial"/>
          <w:lang w:val="es-ES"/>
        </w:rPr>
      </w:pPr>
      <w:bookmarkStart w:id="2" w:name="_Hlk78820161"/>
    </w:p>
    <w:p w14:paraId="6B38FAA7" w14:textId="77777777" w:rsidR="005B6BB5" w:rsidRPr="00501E29" w:rsidRDefault="005B6BB5" w:rsidP="005B6BB5">
      <w:pPr>
        <w:spacing w:after="120" w:line="276" w:lineRule="auto"/>
        <w:jc w:val="both"/>
        <w:rPr>
          <w:rFonts w:ascii="Verdana" w:hAnsi="Verdana" w:cs="Arial"/>
        </w:rPr>
      </w:pPr>
      <w:r w:rsidRPr="00501E29">
        <w:rPr>
          <w:rFonts w:ascii="Verdana" w:eastAsia="Calibri" w:hAnsi="Verdana" w:cs="Arial"/>
          <w:bCs/>
          <w:lang w:val="es-ES_tradnl"/>
        </w:rPr>
        <w:t xml:space="preserve">i. </w:t>
      </w:r>
      <w:r w:rsidRPr="00501E29">
        <w:rPr>
          <w:rFonts w:ascii="Verdana" w:eastAsia="Calibri" w:hAnsi="Verdana" w:cs="Arial"/>
          <w:lang w:val="es-ES"/>
        </w:rPr>
        <w:t>Respecto al régimen jurídico</w:t>
      </w:r>
      <w:r>
        <w:rPr>
          <w:rFonts w:ascii="Verdana" w:eastAsia="Calibri" w:hAnsi="Verdana" w:cs="Arial"/>
          <w:lang w:val="es-ES"/>
        </w:rPr>
        <w:t xml:space="preserve"> de las </w:t>
      </w:r>
      <w:r w:rsidRPr="0089671A">
        <w:rPr>
          <w:rFonts w:ascii="Verdana" w:eastAsia="Calibri" w:hAnsi="Verdana" w:cs="Arial"/>
          <w:lang w:val="es-ES"/>
        </w:rPr>
        <w:t>Entidades Estatales</w:t>
      </w:r>
      <w:r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501E29">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03F4D43B" w14:textId="77777777" w:rsidR="005B6BB5" w:rsidRPr="00501E29" w:rsidRDefault="005B6BB5" w:rsidP="005B6BB5">
      <w:pPr>
        <w:spacing w:after="120" w:line="276" w:lineRule="auto"/>
        <w:ind w:firstLine="709"/>
        <w:jc w:val="both"/>
        <w:rPr>
          <w:rFonts w:ascii="Verdana" w:hAnsi="Verdana" w:cs="Arial"/>
        </w:rPr>
      </w:pPr>
      <w:r w:rsidRPr="00501E29">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inciso primero–. Asimismo, dispone que “Las 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627E7CC6" w14:textId="77777777" w:rsidR="005B6BB5" w:rsidRPr="00501E29" w:rsidRDefault="005B6BB5" w:rsidP="005B6BB5">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w:t>
      </w:r>
      <w:r w:rsidRPr="00501E29">
        <w:rPr>
          <w:rFonts w:ascii="Verdana" w:hAnsi="Verdana" w:cs="Arial"/>
        </w:rPr>
        <w:lastRenderedPageBreak/>
        <w:t>son el derecho común de los contratos estatales</w:t>
      </w:r>
      <w:r w:rsidRPr="00501E29">
        <w:rPr>
          <w:rStyle w:val="Refdenotaalpie"/>
          <w:rFonts w:ascii="Verdana" w:hAnsi="Verdana" w:cs="Arial"/>
        </w:rPr>
        <w:footnoteReference w:id="1"/>
      </w:r>
      <w:r w:rsidRPr="00501E29">
        <w:rPr>
          <w:rFonts w:ascii="Verdana" w:hAnsi="Verdana" w:cs="Arial"/>
        </w:rPr>
        <w:t>. Para la doctrina, la mixtura del régimen contractual:</w:t>
      </w:r>
    </w:p>
    <w:p w14:paraId="2985B19D" w14:textId="77777777" w:rsidR="005B6BB5" w:rsidRPr="00501E29" w:rsidRDefault="005B6BB5" w:rsidP="005B6BB5">
      <w:pPr>
        <w:spacing w:after="0" w:line="276" w:lineRule="auto"/>
        <w:ind w:firstLine="709"/>
        <w:jc w:val="both"/>
        <w:rPr>
          <w:rFonts w:ascii="Verdana" w:hAnsi="Verdana" w:cs="Arial"/>
        </w:rPr>
      </w:pPr>
    </w:p>
    <w:p w14:paraId="08FBAD47" w14:textId="77777777" w:rsidR="005B6BB5" w:rsidRPr="00033F5A" w:rsidRDefault="005B6BB5" w:rsidP="005B6BB5">
      <w:pPr>
        <w:spacing w:after="0" w:line="240" w:lineRule="auto"/>
        <w:ind w:left="709" w:right="709"/>
        <w:jc w:val="both"/>
        <w:rPr>
          <w:rFonts w:ascii="Verdana" w:hAnsi="Verdana" w:cs="Arial"/>
          <w:sz w:val="20"/>
          <w:szCs w:val="20"/>
        </w:rPr>
      </w:pPr>
      <w:r w:rsidRPr="00033F5A">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A333D15" w14:textId="77777777" w:rsidR="005B6BB5" w:rsidRPr="00033F5A" w:rsidRDefault="005B6BB5" w:rsidP="005B6BB5">
      <w:pPr>
        <w:spacing w:after="0" w:line="240" w:lineRule="auto"/>
        <w:ind w:left="709" w:right="709"/>
        <w:jc w:val="both"/>
        <w:rPr>
          <w:rFonts w:ascii="Verdana" w:hAnsi="Verdana" w:cs="Arial"/>
          <w:sz w:val="20"/>
          <w:szCs w:val="20"/>
        </w:rPr>
      </w:pPr>
    </w:p>
    <w:p w14:paraId="5ABB229F" w14:textId="77777777" w:rsidR="005B6BB5" w:rsidRPr="00033F5A" w:rsidRDefault="005B6BB5" w:rsidP="005B6BB5">
      <w:pPr>
        <w:spacing w:after="0" w:line="240" w:lineRule="auto"/>
        <w:ind w:left="709" w:right="709"/>
        <w:jc w:val="both"/>
        <w:rPr>
          <w:rFonts w:ascii="Verdana" w:hAnsi="Verdana" w:cs="Arial"/>
          <w:sz w:val="20"/>
          <w:szCs w:val="20"/>
        </w:rPr>
      </w:pPr>
      <w:r w:rsidRPr="00033F5A">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33F5A">
        <w:rPr>
          <w:rStyle w:val="Refdenotaalpie"/>
          <w:rFonts w:ascii="Verdana" w:hAnsi="Verdana" w:cs="Arial"/>
          <w:sz w:val="20"/>
          <w:szCs w:val="20"/>
        </w:rPr>
        <w:footnoteReference w:id="2"/>
      </w:r>
      <w:r w:rsidRPr="00033F5A">
        <w:rPr>
          <w:rFonts w:ascii="Verdana" w:hAnsi="Verdana" w:cs="Arial"/>
          <w:sz w:val="20"/>
          <w:szCs w:val="20"/>
        </w:rPr>
        <w:t xml:space="preserve">. </w:t>
      </w:r>
    </w:p>
    <w:p w14:paraId="582C1F5A" w14:textId="77777777" w:rsidR="005B6BB5" w:rsidRPr="00501E29" w:rsidRDefault="005B6BB5" w:rsidP="005B6BB5">
      <w:pPr>
        <w:spacing w:after="0" w:line="276" w:lineRule="auto"/>
        <w:ind w:left="709" w:right="709"/>
        <w:jc w:val="both"/>
        <w:rPr>
          <w:rFonts w:ascii="Verdana" w:hAnsi="Verdana" w:cs="Arial"/>
        </w:rPr>
      </w:pPr>
      <w:r w:rsidRPr="00501E29">
        <w:rPr>
          <w:rFonts w:ascii="Verdana" w:hAnsi="Verdana" w:cs="Arial"/>
        </w:rPr>
        <w:t xml:space="preserve"> </w:t>
      </w:r>
    </w:p>
    <w:p w14:paraId="2FBBA79F" w14:textId="77777777" w:rsidR="005B6BB5" w:rsidRDefault="005B6BB5" w:rsidP="005B6BB5">
      <w:pPr>
        <w:spacing w:after="120" w:line="276" w:lineRule="auto"/>
        <w:jc w:val="both"/>
        <w:rPr>
          <w:rFonts w:ascii="Verdana" w:hAnsi="Verdana" w:cs="Arial"/>
        </w:rPr>
      </w:pPr>
      <w:r w:rsidRPr="00501E29">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4D1A5621" w14:textId="77777777" w:rsidR="005B6BB5" w:rsidRPr="00D4240A" w:rsidRDefault="005B6BB5" w:rsidP="005B6BB5">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w:t>
      </w:r>
      <w:r w:rsidRPr="00D4240A">
        <w:rPr>
          <w:rFonts w:ascii="Verdana" w:hAnsi="Verdana" w:cs="Arial"/>
        </w:rPr>
        <w:lastRenderedPageBreak/>
        <w:t>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66701E4" w14:textId="77777777" w:rsidR="005B6BB5" w:rsidRPr="00772D28" w:rsidRDefault="005B6BB5" w:rsidP="005B6BB5">
      <w:pPr>
        <w:spacing w:after="0" w:line="276" w:lineRule="auto"/>
        <w:ind w:firstLine="708"/>
        <w:jc w:val="both"/>
        <w:rPr>
          <w:rFonts w:ascii="Verdana" w:hAnsi="Verdana" w:cs="Arial"/>
        </w:rPr>
      </w:pPr>
      <w:r w:rsidRPr="00D4240A">
        <w:rPr>
          <w:rFonts w:ascii="Verdana" w:hAnsi="Verdana" w:cs="Arial"/>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w:t>
      </w:r>
      <w:r w:rsidRPr="00D4240A">
        <w:rPr>
          <w:rStyle w:val="Refdenotaalpie"/>
          <w:rFonts w:ascii="Verdana" w:hAnsi="Verdana" w:cs="Arial"/>
        </w:rPr>
        <w:footnoteReference w:id="3"/>
      </w:r>
      <w:r w:rsidRPr="00D4240A">
        <w:rPr>
          <w:rFonts w:ascii="Verdana" w:hAnsi="Verdana" w:cs="Arial"/>
        </w:rPr>
        <w:t>.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D4240A">
        <w:rPr>
          <w:rStyle w:val="Refdenotaalpie"/>
          <w:rFonts w:ascii="Verdana" w:hAnsi="Verdana" w:cs="Arial"/>
        </w:rPr>
        <w:footnoteReference w:id="4"/>
      </w:r>
      <w:r w:rsidRPr="00D4240A">
        <w:rPr>
          <w:rFonts w:ascii="Verdana" w:hAnsi="Verdana" w:cs="Arial"/>
        </w:rPr>
        <w:t>.</w:t>
      </w:r>
    </w:p>
    <w:p w14:paraId="38C02966" w14:textId="77777777" w:rsidR="005B6BB5" w:rsidRDefault="005B6BB5" w:rsidP="005B6BB5">
      <w:pPr>
        <w:spacing w:after="120" w:line="276" w:lineRule="auto"/>
        <w:jc w:val="both"/>
        <w:rPr>
          <w:rFonts w:ascii="Verdana" w:eastAsia="Arial MT" w:hAnsi="Verdana" w:cs="Arial MT"/>
          <w:lang w:val="es-ES"/>
        </w:rPr>
      </w:pPr>
    </w:p>
    <w:p w14:paraId="3F00EFEB" w14:textId="77777777" w:rsidR="005B6BB5" w:rsidRPr="00E0284C" w:rsidRDefault="005B6BB5" w:rsidP="005B6BB5">
      <w:pPr>
        <w:spacing w:after="120" w:line="276" w:lineRule="auto"/>
        <w:jc w:val="both"/>
        <w:rPr>
          <w:rFonts w:ascii="Verdana" w:hAnsi="Verdana" w:cs="Arial"/>
        </w:rPr>
      </w:pPr>
      <w:r>
        <w:rPr>
          <w:rFonts w:ascii="Verdana" w:hAnsi="Verdana" w:cs="Arial"/>
          <w:bCs/>
          <w:lang w:val="es-ES"/>
        </w:rPr>
        <w:t xml:space="preserve">ii. </w:t>
      </w:r>
      <w:r>
        <w:rPr>
          <w:rFonts w:ascii="Verdana" w:hAnsi="Verdana" w:cs="Arial"/>
          <w:bCs/>
          <w:lang w:val="es-MX"/>
        </w:rPr>
        <w:t>En contraste,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w:t>
      </w:r>
      <w:r w:rsidRPr="00060C87">
        <w:rPr>
          <w:rFonts w:ascii="Verdana" w:eastAsia="Calibri" w:hAnsi="Verdana" w:cs="Arial"/>
          <w:color w:val="000000" w:themeColor="text1"/>
          <w:lang w:val="es-ES"/>
        </w:rPr>
        <w:lastRenderedPageBreak/>
        <w:t>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2200D740" w14:textId="77777777" w:rsidR="005B6BB5" w:rsidRPr="00060C87" w:rsidRDefault="005B6BB5" w:rsidP="005B6BB5">
      <w:pPr>
        <w:tabs>
          <w:tab w:val="left" w:pos="426"/>
        </w:tabs>
        <w:spacing w:after="0" w:line="276" w:lineRule="auto"/>
        <w:jc w:val="both"/>
        <w:rPr>
          <w:rFonts w:ascii="Verdana" w:eastAsia="Calibri" w:hAnsi="Verdana" w:cs="Arial"/>
          <w:color w:val="000000" w:themeColor="text1"/>
          <w:lang w:val="es-ES"/>
        </w:rPr>
      </w:pPr>
    </w:p>
    <w:p w14:paraId="154E73AA" w14:textId="77777777" w:rsidR="005B6BB5" w:rsidRPr="00033F5A" w:rsidRDefault="005B6BB5" w:rsidP="005B6BB5">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7DB80A2F" w14:textId="77777777" w:rsidR="005B6BB5" w:rsidRPr="00033F5A" w:rsidRDefault="005B6BB5" w:rsidP="005B6BB5">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186BAD94" w14:textId="77777777" w:rsidR="005B6BB5" w:rsidRPr="00033F5A" w:rsidRDefault="005B6BB5" w:rsidP="005B6BB5">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5"/>
      </w:r>
      <w:r w:rsidRPr="00033F5A">
        <w:rPr>
          <w:rFonts w:ascii="Verdana" w:eastAsia="Calibri" w:hAnsi="Verdana" w:cs="Arial"/>
          <w:color w:val="000000" w:themeColor="text1"/>
          <w:sz w:val="20"/>
          <w:szCs w:val="20"/>
          <w:lang w:val="es-ES"/>
        </w:rPr>
        <w:t>.</w:t>
      </w:r>
    </w:p>
    <w:p w14:paraId="75EECE05" w14:textId="77777777" w:rsidR="005B6BB5" w:rsidRPr="00060C87" w:rsidRDefault="005B6BB5" w:rsidP="005B6BB5">
      <w:pPr>
        <w:spacing w:after="0" w:line="276" w:lineRule="auto"/>
        <w:jc w:val="both"/>
        <w:rPr>
          <w:rFonts w:ascii="Verdana" w:hAnsi="Verdana" w:cs="Arial"/>
          <w:bCs/>
          <w:lang w:val="es-ES"/>
        </w:rPr>
      </w:pPr>
    </w:p>
    <w:p w14:paraId="65628C0D" w14:textId="77777777" w:rsidR="005B6BB5" w:rsidRDefault="005B6BB5" w:rsidP="005B6BB5">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6"/>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10A3C0D7" w14:textId="77777777" w:rsidR="005B6BB5" w:rsidRPr="003A6355" w:rsidRDefault="005B6BB5" w:rsidP="005B6BB5">
      <w:pPr>
        <w:tabs>
          <w:tab w:val="left" w:pos="0"/>
        </w:tabs>
        <w:spacing w:before="120" w:after="0" w:line="276" w:lineRule="auto"/>
        <w:ind w:firstLine="709"/>
        <w:jc w:val="both"/>
        <w:rPr>
          <w:rFonts w:ascii="Verdana" w:eastAsia="Calibri" w:hAnsi="Verdana" w:cs="Arial"/>
          <w:bCs/>
          <w:color w:val="000000" w:themeColor="text1"/>
          <w:lang w:val="es-ES_tradnl"/>
        </w:rPr>
      </w:pPr>
      <w:r w:rsidRPr="003A6355">
        <w:rPr>
          <w:rFonts w:ascii="Verdana" w:eastAsia="Calibri" w:hAnsi="Verdana" w:cs="Arial"/>
          <w:bCs/>
          <w:color w:val="000000" w:themeColor="text1"/>
          <w:lang w:val="es-ES_tradnl"/>
        </w:rPr>
        <w:t xml:space="preserve">Al respecto, debe recordarse que en dicha Sentencia el alto tribunal afirmó que las empresas prestadoras de servicios públicos domiciliarios </w:t>
      </w:r>
      <w:r w:rsidRPr="003A6355">
        <w:rPr>
          <w:rFonts w:ascii="Verdana" w:eastAsia="Calibri" w:hAnsi="Verdana" w:cs="Arial"/>
          <w:bCs/>
          <w:i/>
          <w:iCs/>
          <w:color w:val="000000" w:themeColor="text1"/>
          <w:lang w:val="es-ES_tradnl"/>
        </w:rPr>
        <w:t>mixtas y privadas</w:t>
      </w:r>
      <w:r w:rsidRPr="003A6355">
        <w:rPr>
          <w:rFonts w:ascii="Verdana" w:eastAsia="Calibri" w:hAnsi="Verdana" w:cs="Arial"/>
          <w:bCs/>
          <w:color w:val="000000" w:themeColor="text1"/>
          <w:lang w:val="es-ES_tradnl"/>
        </w:rPr>
        <w:t xml:space="preserve"> con aportes estatales son tipos </w:t>
      </w:r>
      <w:r w:rsidRPr="003A6355">
        <w:rPr>
          <w:rFonts w:ascii="Verdana" w:eastAsia="Calibri" w:hAnsi="Verdana" w:cs="Arial"/>
          <w:bCs/>
          <w:i/>
          <w:iCs/>
          <w:color w:val="000000" w:themeColor="text1"/>
          <w:lang w:val="es-ES_tradnl"/>
        </w:rPr>
        <w:t>especiales</w:t>
      </w:r>
      <w:r w:rsidRPr="003A6355">
        <w:rPr>
          <w:rFonts w:ascii="Verdana" w:eastAsia="Calibri" w:hAnsi="Verdana" w:cs="Arial"/>
          <w:bCs/>
          <w:color w:val="000000" w:themeColor="text1"/>
          <w:lang w:val="es-ES_tradnl"/>
        </w:rPr>
        <w:t xml:space="preserve"> de entidades descentralizadas por servicios que, por tanto, no pueden enmarcarse en las otras especies de entidades descentralizadas por servicios enlistadas en el artículo 38 </w:t>
      </w:r>
      <w:r w:rsidRPr="003A6355">
        <w:rPr>
          <w:rFonts w:ascii="Verdana" w:eastAsia="Calibri" w:hAnsi="Verdana" w:cs="Arial"/>
          <w:bCs/>
          <w:color w:val="000000" w:themeColor="text1"/>
          <w:lang w:val="es-ES_tradnl"/>
        </w:rPr>
        <w:lastRenderedPageBreak/>
        <w:t>de la Ley 489 de 1998, es decir, que no cabe considerarlas, verbigracia, dentro de las sociedades públicas ni en las sociedades de economía mixta. En dicho sentido, en el numeral 5.3. de la precitada Sentencia expresa: “</w:t>
      </w:r>
      <w:r w:rsidRPr="003A6355">
        <w:rPr>
          <w:rFonts w:ascii="Verdana" w:eastAsia="Times New Roman" w:hAnsi="Verdana" w:cs="Arial"/>
          <w:lang w:val="es-ES" w:eastAsia="es-ES"/>
        </w:rPr>
        <w:t xml:space="preserve">[…] desde la perspectiva constitucional, en el nivel nacional las empresas de servicios públicos públicas, mixtas o privadas en las </w:t>
      </w:r>
      <w:r w:rsidRPr="003A6355">
        <w:rPr>
          <w:rFonts w:ascii="Verdana" w:eastAsia="Times New Roman" w:hAnsi="Verdana" w:cs="Arial"/>
          <w:i/>
          <w:lang w:val="es-ES" w:eastAsia="es-ES"/>
        </w:rPr>
        <w:t>cuales haya cualquier porcentaje de capital público pueden formar parte de la estructura de la Rama Ejecutiva</w:t>
      </w:r>
      <w:r w:rsidRPr="003A6355">
        <w:rPr>
          <w:rFonts w:ascii="Verdana" w:eastAsia="Times New Roman" w:hAnsi="Verdana" w:cs="Arial"/>
          <w:lang w:val="es-ES" w:eastAsia="es-ES"/>
        </w:rPr>
        <w:t>, según lo disponga el legislador, que para esos efectos está revestido de las facultades que le confiere expresamente el numeral 7° del artículo150 superior (énfasis fuera de texto)”</w:t>
      </w:r>
      <w:r>
        <w:rPr>
          <w:rFonts w:ascii="Verdana" w:eastAsia="Calibri" w:hAnsi="Verdana" w:cs="Arial"/>
          <w:bCs/>
          <w:color w:val="000000" w:themeColor="text1"/>
          <w:lang w:val="es-ES_tradnl"/>
        </w:rPr>
        <w:t>.</w:t>
      </w:r>
    </w:p>
    <w:p w14:paraId="7529C414" w14:textId="77777777" w:rsidR="005B6BB5" w:rsidRPr="00270257" w:rsidRDefault="005B6BB5" w:rsidP="005B6BB5">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5E543A82" w14:textId="77777777" w:rsidR="005B6BB5" w:rsidRPr="00270257" w:rsidRDefault="005B6BB5" w:rsidP="005B6BB5">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lastRenderedPageBreak/>
        <w:t>Posteriormente, en la Sentencia precitada haciendo un análisis de los artículos 38</w:t>
      </w:r>
      <w:r>
        <w:rPr>
          <w:rStyle w:val="Refdenotaalpie"/>
          <w:rFonts w:ascii="Verdana" w:eastAsia="Times New Roman" w:hAnsi="Verdana" w:cs="Times New Roman"/>
          <w:lang w:val="es-ES" w:eastAsia="es-ES"/>
        </w:rPr>
        <w:footnoteReference w:id="7"/>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8"/>
      </w:r>
      <w:r>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w:t>
      </w:r>
      <w:r>
        <w:rPr>
          <w:rFonts w:ascii="Verdana" w:eastAsia="Times New Roman" w:hAnsi="Verdana" w:cs="Times New Roman"/>
          <w:lang w:val="es-ES" w:eastAsia="es-ES"/>
        </w:rPr>
        <w:lastRenderedPageBreak/>
        <w:t>y 7 del artículo 14 de la Ley 142 de 1994 señalan que son tipos societarios con capital del Estado y de los particulares:</w:t>
      </w:r>
    </w:p>
    <w:p w14:paraId="6055882F" w14:textId="77777777" w:rsidR="005B6BB5" w:rsidRDefault="005B6BB5" w:rsidP="005B6BB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4C564FAF" w14:textId="77777777" w:rsidR="005B6BB5" w:rsidRPr="00585A53" w:rsidRDefault="005B6BB5" w:rsidP="005B6BB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263BD9E6" w14:textId="77777777" w:rsidR="005B6BB5" w:rsidRPr="00585A53" w:rsidRDefault="005B6BB5" w:rsidP="005B6BB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6123008E" w14:textId="77777777" w:rsidR="005B6BB5" w:rsidRPr="00585A53" w:rsidRDefault="005B6BB5" w:rsidP="005B6BB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16D923AD" w14:textId="77777777" w:rsidR="005B6BB5" w:rsidRPr="00585A53" w:rsidRDefault="005B6BB5" w:rsidP="005B6BB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233A6064" w14:textId="77777777" w:rsidR="005B6BB5" w:rsidRDefault="005B6BB5" w:rsidP="005B6BB5">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1190AD2E" w14:textId="77777777" w:rsidR="005B6BB5" w:rsidRPr="00FF6C85" w:rsidRDefault="005B6BB5" w:rsidP="005B6BB5">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la exequibilidad de la norma demandada.</w:t>
      </w:r>
    </w:p>
    <w:p w14:paraId="765070CF" w14:textId="77777777" w:rsidR="005B6BB5" w:rsidRDefault="005B6BB5" w:rsidP="005B6BB5">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Con respecto a este tema, </w:t>
      </w:r>
      <w:r>
        <w:rPr>
          <w:rFonts w:ascii="Verdana" w:eastAsia="Calibri" w:hAnsi="Verdana" w:cs="Arial"/>
          <w:bCs/>
          <w:color w:val="000000" w:themeColor="text1"/>
          <w:lang w:val="es-ES"/>
        </w:rPr>
        <w:lastRenderedPageBreak/>
        <w:t xml:space="preserve">hay doctrina que tiene sus observaciones frente a dicha Sentencia de Constitucionalidad, expresando: </w:t>
      </w:r>
    </w:p>
    <w:p w14:paraId="0704B0C3" w14:textId="77777777" w:rsidR="005B6BB5" w:rsidRDefault="005B6BB5" w:rsidP="005B6BB5">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59FDCA2F" w14:textId="77777777" w:rsidR="005B6BB5" w:rsidRPr="00435AFF"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78424064" w14:textId="77777777" w:rsidR="005B6BB5" w:rsidRPr="00435AFF"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p>
    <w:p w14:paraId="20AD3BEF" w14:textId="77777777" w:rsidR="005B6BB5" w:rsidRPr="00435AFF"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30E10030" w14:textId="77777777" w:rsidR="005B6BB5" w:rsidRPr="00435AFF"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p>
    <w:p w14:paraId="42D10C67" w14:textId="77777777" w:rsidR="005B6BB5"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9"/>
      </w:r>
      <w:r w:rsidRPr="00435AFF">
        <w:rPr>
          <w:rFonts w:ascii="Verdana" w:eastAsia="Calibri" w:hAnsi="Verdana" w:cs="Arial"/>
          <w:bCs/>
          <w:color w:val="000000" w:themeColor="text1"/>
          <w:sz w:val="20"/>
        </w:rPr>
        <w:t>.</w:t>
      </w:r>
    </w:p>
    <w:p w14:paraId="68D59286" w14:textId="77777777" w:rsidR="005B6BB5" w:rsidRPr="00435AFF" w:rsidRDefault="005B6BB5" w:rsidP="005B6BB5">
      <w:pPr>
        <w:tabs>
          <w:tab w:val="left" w:pos="0"/>
        </w:tabs>
        <w:spacing w:after="0" w:line="240" w:lineRule="auto"/>
        <w:ind w:left="709" w:right="709"/>
        <w:jc w:val="both"/>
        <w:rPr>
          <w:rFonts w:ascii="Verdana" w:eastAsia="Calibri" w:hAnsi="Verdana" w:cs="Arial"/>
          <w:bCs/>
          <w:color w:val="000000" w:themeColor="text1"/>
          <w:sz w:val="20"/>
        </w:rPr>
      </w:pPr>
    </w:p>
    <w:p w14:paraId="646306FA" w14:textId="77777777" w:rsidR="005B6BB5" w:rsidRDefault="005B6BB5" w:rsidP="005B6BB5">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en la Sentencia C-736 de 2007, siendo pertinente señalar que las empresas de servicios públicos mixtas y empresas privadas de servicios públicos con participación pública son consideradas entidades descentralizadas por servicios, al igual que las empresas de servicios públicos de carácter oficial. </w:t>
      </w:r>
      <w:r w:rsidRPr="000B07AC">
        <w:rPr>
          <w:rFonts w:ascii="Verdana" w:eastAsia="Calibri" w:hAnsi="Verdana" w:cs="Arial"/>
          <w:color w:val="000000" w:themeColor="text1"/>
          <w:lang w:val="es-ES"/>
        </w:rPr>
        <w:t xml:space="preserve">En consecuencia, estas </w:t>
      </w:r>
      <w:r>
        <w:rPr>
          <w:rFonts w:ascii="Verdana" w:eastAsia="Calibri" w:hAnsi="Verdana" w:cs="Arial"/>
          <w:color w:val="000000" w:themeColor="text1"/>
          <w:lang w:val="es-ES"/>
        </w:rPr>
        <w:t>empresas no pueden ser vistas solo</w:t>
      </w:r>
      <w:r w:rsidRPr="000B07AC">
        <w:rPr>
          <w:rFonts w:ascii="Verdana" w:eastAsia="Calibri" w:hAnsi="Verdana" w:cs="Arial"/>
          <w:color w:val="000000" w:themeColor="text1"/>
          <w:lang w:val="es-ES"/>
        </w:rPr>
        <w:t xml:space="preserve"> como actores privados, ya que la participación pública en su estructura societaria les otorga un carácter especial. </w:t>
      </w:r>
    </w:p>
    <w:p w14:paraId="460F9F07" w14:textId="77777777" w:rsidR="005B6BB5" w:rsidRDefault="005B6BB5" w:rsidP="005B6BB5">
      <w:pPr>
        <w:spacing w:after="12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6054B332" w14:textId="77777777" w:rsidR="005B6BB5" w:rsidRPr="00B57A1B" w:rsidRDefault="005B6BB5" w:rsidP="005B6BB5">
      <w:pPr>
        <w:spacing w:after="120" w:line="276" w:lineRule="auto"/>
        <w:ind w:firstLine="709"/>
        <w:jc w:val="both"/>
        <w:rPr>
          <w:rFonts w:ascii="Verdana" w:eastAsiaTheme="minorEastAsia" w:hAnsi="Verdana" w:cs="Arial"/>
          <w:lang w:eastAsia="es-CO"/>
        </w:rPr>
      </w:pPr>
      <w:r>
        <w:rPr>
          <w:rFonts w:ascii="Verdana" w:eastAsia="Calibri" w:hAnsi="Verdana" w:cs="Arial"/>
          <w:color w:val="000000" w:themeColor="text1"/>
          <w:lang w:val="es-ES"/>
        </w:rPr>
        <w:t xml:space="preserve">Es importante precisar que, bajo las posturas más recientes </w:t>
      </w:r>
      <w:r w:rsidRPr="00B57A1B">
        <w:rPr>
          <w:rFonts w:ascii="Verdana" w:eastAsiaTheme="minorEastAsia" w:hAnsi="Verdana" w:cs="Arial"/>
          <w:lang w:eastAsia="es-CO"/>
        </w:rPr>
        <w:t xml:space="preserve">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2C6B7555" w14:textId="77777777" w:rsidR="005B6BB5" w:rsidRPr="00B57A1B" w:rsidRDefault="005B6BB5" w:rsidP="005B6BB5">
      <w:pPr>
        <w:spacing w:after="0" w:line="276" w:lineRule="auto"/>
        <w:ind w:firstLine="709"/>
        <w:jc w:val="both"/>
        <w:rPr>
          <w:rFonts w:ascii="Verdana" w:eastAsiaTheme="minorEastAsia" w:hAnsi="Verdana" w:cs="Arial"/>
          <w:lang w:eastAsia="es-CO"/>
        </w:rPr>
      </w:pPr>
    </w:p>
    <w:p w14:paraId="3181147F" w14:textId="77777777" w:rsidR="005B6BB5" w:rsidRPr="000E225C" w:rsidRDefault="005B6BB5" w:rsidP="005B6BB5">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3FFC2514" w14:textId="77777777" w:rsidR="005B6BB5" w:rsidRPr="000E225C" w:rsidRDefault="005B6BB5" w:rsidP="005B6BB5">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47273B0B" w14:textId="77777777" w:rsidR="005B6BB5" w:rsidRPr="000E225C" w:rsidRDefault="005B6BB5" w:rsidP="005B6BB5">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 xml:space="preserve">El contrato interadministrativo, por su parte, es también celebrado entre dos entidades públicas con capacidad de tener relaciones interadministrativas, con la particularidad de que el contrato es negocio </w:t>
      </w:r>
      <w:r w:rsidRPr="000E225C">
        <w:rPr>
          <w:rFonts w:ascii="Verdana" w:hAnsi="Verdana" w:cs="Weiss"/>
          <w:sz w:val="20"/>
          <w:szCs w:val="19"/>
        </w:rPr>
        <w:lastRenderedPageBreak/>
        <w:t>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0"/>
      </w:r>
      <w:r w:rsidRPr="000E225C">
        <w:rPr>
          <w:rFonts w:ascii="Verdana" w:hAnsi="Verdana" w:cs="Weiss"/>
          <w:sz w:val="20"/>
          <w:szCs w:val="19"/>
        </w:rPr>
        <w:t>.</w:t>
      </w:r>
    </w:p>
    <w:p w14:paraId="4710F97A" w14:textId="77777777" w:rsidR="005B6BB5" w:rsidRPr="00B57A1B" w:rsidRDefault="005B6BB5" w:rsidP="005B6BB5">
      <w:pPr>
        <w:spacing w:after="120" w:line="276" w:lineRule="auto"/>
        <w:jc w:val="both"/>
        <w:rPr>
          <w:rFonts w:ascii="Verdana" w:eastAsiaTheme="minorEastAsia" w:hAnsi="Verdana" w:cs="Arial"/>
          <w:lang w:eastAsia="es-CO"/>
        </w:rPr>
      </w:pPr>
    </w:p>
    <w:p w14:paraId="713F870C" w14:textId="77777777" w:rsidR="005B6BB5" w:rsidRDefault="005B6BB5" w:rsidP="005B6BB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1"/>
      </w:r>
      <w:r w:rsidRPr="00B57A1B">
        <w:rPr>
          <w:rFonts w:ascii="Verdana" w:eastAsiaTheme="minorEastAsia" w:hAnsi="Verdana" w:cs="Arial"/>
          <w:lang w:eastAsia="es-CO"/>
        </w:rPr>
        <w:t xml:space="preserve">. </w:t>
      </w:r>
    </w:p>
    <w:p w14:paraId="2D2CCD5F" w14:textId="77777777" w:rsidR="005B6BB5" w:rsidRDefault="005B6BB5" w:rsidP="005B6BB5">
      <w:pPr>
        <w:spacing w:after="12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Teniendo en cuenta, este entendimiento sobre los convenios interadministrativos</w:t>
      </w:r>
      <w:r>
        <w:rPr>
          <w:rFonts w:ascii="Verdana" w:eastAsiaTheme="minorEastAsia" w:hAnsi="Verdana" w:cs="Arial"/>
          <w:lang w:eastAsia="es-CO"/>
        </w:rPr>
        <w:t xml:space="preserve"> y contratos interadministrativos</w:t>
      </w:r>
      <w:r w:rsidRPr="00B57A1B">
        <w:rPr>
          <w:rFonts w:ascii="Verdana" w:eastAsiaTheme="minorEastAsia" w:hAnsi="Verdana" w:cs="Arial"/>
          <w:lang w:eastAsia="es-CO"/>
        </w:rPr>
        <w:t>,</w:t>
      </w:r>
      <w:r w:rsidRPr="00713888">
        <w:rPr>
          <w:rFonts w:ascii="Verdana" w:eastAsia="Calibri" w:hAnsi="Verdana" w:cs="Times New Roman"/>
          <w:iCs/>
          <w:lang w:val="es-ES"/>
        </w:rPr>
        <w:t xml:space="preserve"> </w:t>
      </w:r>
      <w:r>
        <w:rPr>
          <w:rFonts w:ascii="Verdana" w:eastAsia="Calibri" w:hAnsi="Verdana" w:cs="Times New Roman"/>
          <w:iCs/>
          <w:lang w:val="es-ES"/>
        </w:rPr>
        <w:t xml:space="preserve">las entidades territoriales son las que </w:t>
      </w:r>
      <w:r w:rsidRPr="00E30252">
        <w:rPr>
          <w:rFonts w:ascii="Verdana" w:eastAsia="Calibri" w:hAnsi="Verdana" w:cs="Times New Roman"/>
          <w:iCs/>
          <w:lang w:val="es-ES"/>
        </w:rPr>
        <w:t xml:space="preserve">tienen la obligación de retener y transferir el valor de las estampillas </w:t>
      </w:r>
      <w:r>
        <w:rPr>
          <w:rFonts w:ascii="Verdana" w:eastAsia="Calibri" w:hAnsi="Verdana" w:cs="Times New Roman"/>
          <w:iCs/>
          <w:lang w:val="es-ES"/>
        </w:rPr>
        <w:t xml:space="preserve">que se establezcan </w:t>
      </w:r>
      <w:r w:rsidRPr="00E30252">
        <w:rPr>
          <w:rFonts w:ascii="Verdana" w:eastAsia="Calibri" w:hAnsi="Verdana" w:cs="Times New Roman"/>
          <w:iCs/>
          <w:lang w:val="es-ES"/>
        </w:rPr>
        <w:t>al momento d</w:t>
      </w:r>
      <w:r>
        <w:rPr>
          <w:rFonts w:ascii="Verdana" w:eastAsia="Calibri" w:hAnsi="Verdana" w:cs="Times New Roman"/>
          <w:iCs/>
          <w:lang w:val="es-ES"/>
        </w:rPr>
        <w:t>e celebrarlos, de acuerdo a la normatividad consignada en la Ley, las ordenanzas y acuerdos municipales o distritales respectivos</w:t>
      </w:r>
      <w:r w:rsidRPr="00E30252">
        <w:rPr>
          <w:rFonts w:ascii="Verdana" w:eastAsia="Calibri" w:hAnsi="Verdana" w:cs="Times New Roman"/>
          <w:iCs/>
          <w:lang w:val="es-ES"/>
        </w:rPr>
        <w:t xml:space="preserve">. </w:t>
      </w:r>
      <w:r>
        <w:rPr>
          <w:rFonts w:ascii="Verdana" w:eastAsia="Calibri" w:hAnsi="Verdana" w:cs="Times New Roman"/>
          <w:iCs/>
          <w:lang w:val="es-ES"/>
        </w:rPr>
        <w:t>Con respecto a las empresas contratistas o cooperantes</w:t>
      </w:r>
      <w:r w:rsidRPr="00E30252">
        <w:rPr>
          <w:rFonts w:ascii="Verdana" w:eastAsia="Calibri" w:hAnsi="Verdana" w:cs="Times New Roman"/>
          <w:iCs/>
          <w:lang w:val="es-ES"/>
        </w:rPr>
        <w:t>, a su vez, deben asumir el pago de dichas estampillas como sujetos pasivos</w:t>
      </w:r>
      <w:r>
        <w:rPr>
          <w:rFonts w:ascii="Verdana" w:eastAsia="Calibri" w:hAnsi="Verdana" w:cs="Times New Roman"/>
          <w:iCs/>
          <w:lang w:val="es-ES"/>
        </w:rPr>
        <w:t xml:space="preserve">. En torno a que </w:t>
      </w:r>
      <w:r w:rsidRPr="006A31A8">
        <w:rPr>
          <w:rFonts w:ascii="Verdana" w:eastAsia="Calibri" w:hAnsi="Verdana" w:cs="Times New Roman"/>
          <w:iCs/>
          <w:lang w:val="es-ES"/>
        </w:rPr>
        <w:t>la empresa contratista celebra contratos con terceros para ejecutar el objeto del convenio, también debe aplicar la retenci</w:t>
      </w:r>
      <w:r>
        <w:rPr>
          <w:rFonts w:ascii="Verdana" w:eastAsia="Calibri" w:hAnsi="Verdana" w:cs="Times New Roman"/>
          <w:iCs/>
          <w:lang w:val="es-ES"/>
        </w:rPr>
        <w:t xml:space="preserve">ón de estampillas en esos pagos, si así se reguló en la normatividad vigente. </w:t>
      </w:r>
    </w:p>
    <w:p w14:paraId="2ACF92A6" w14:textId="77777777" w:rsidR="005B6BB5" w:rsidRDefault="005B6BB5" w:rsidP="005B6BB5">
      <w:pPr>
        <w:spacing w:after="0" w:line="276" w:lineRule="auto"/>
        <w:ind w:firstLine="709"/>
        <w:jc w:val="both"/>
        <w:rPr>
          <w:rFonts w:ascii="Verdana" w:eastAsia="Calibri" w:hAnsi="Verdana" w:cs="Times New Roman"/>
          <w:iCs/>
          <w:lang w:val="es-ES"/>
        </w:rPr>
      </w:pPr>
      <w:r>
        <w:rPr>
          <w:rFonts w:ascii="Verdana" w:eastAsia="Calibri" w:hAnsi="Verdana" w:cs="Times New Roman"/>
          <w:iCs/>
          <w:lang w:val="es-ES"/>
        </w:rPr>
        <w:t xml:space="preserve">En todo caso, </w:t>
      </w:r>
      <w:r w:rsidRPr="00DB6E88">
        <w:rPr>
          <w:rFonts w:ascii="Verdana" w:eastAsia="Calibri" w:hAnsi="Verdana" w:cs="Times New Roman"/>
          <w:iCs/>
          <w:lang w:val="es-ES"/>
        </w:rPr>
        <w:t>es necesario aclarar que</w:t>
      </w:r>
      <w:r>
        <w:rPr>
          <w:rFonts w:ascii="Verdana" w:eastAsia="Calibri" w:hAnsi="Verdana" w:cs="Times New Roman"/>
          <w:iCs/>
          <w:lang w:val="es-ES"/>
        </w:rPr>
        <w:t xml:space="preserve"> la Agencia Nacional de Contratación Pública -</w:t>
      </w:r>
      <w:r w:rsidRPr="00DB6E88">
        <w:rPr>
          <w:rFonts w:ascii="Verdana" w:eastAsia="Calibri" w:hAnsi="Verdana" w:cs="Times New Roman"/>
          <w:iCs/>
          <w:lang w:val="es-ES"/>
        </w:rPr>
        <w:t xml:space="preserve">Colombia Compra Eficiente no es la entidad competente para resolver </w:t>
      </w:r>
      <w:r w:rsidRPr="00DB6E88">
        <w:rPr>
          <w:rFonts w:ascii="Verdana" w:eastAsia="Calibri" w:hAnsi="Verdana" w:cs="Times New Roman"/>
          <w:iCs/>
          <w:lang w:val="es-ES"/>
        </w:rPr>
        <w:lastRenderedPageBreak/>
        <w:t xml:space="preserve">asuntos de carácter tributario. Su función principal está orientada a regular y promover </w:t>
      </w:r>
      <w:r>
        <w:rPr>
          <w:rFonts w:ascii="Verdana" w:eastAsia="Calibri" w:hAnsi="Verdana" w:cs="Times New Roman"/>
          <w:iCs/>
          <w:lang w:val="es-ES"/>
        </w:rPr>
        <w:t xml:space="preserve">políticas en el sistema de </w:t>
      </w:r>
      <w:r w:rsidRPr="00DB6E88">
        <w:rPr>
          <w:rFonts w:ascii="Verdana" w:eastAsia="Calibri" w:hAnsi="Verdana" w:cs="Times New Roman"/>
          <w:iCs/>
          <w:lang w:val="es-ES"/>
        </w:rPr>
        <w:t>contratación</w:t>
      </w:r>
      <w:r>
        <w:rPr>
          <w:rFonts w:ascii="Verdana" w:eastAsia="Calibri" w:hAnsi="Verdana" w:cs="Times New Roman"/>
          <w:iCs/>
          <w:lang w:val="es-ES"/>
        </w:rPr>
        <w:t xml:space="preserve"> y compra</w:t>
      </w:r>
      <w:r w:rsidRPr="00DB6E88">
        <w:rPr>
          <w:rFonts w:ascii="Verdana" w:eastAsia="Calibri" w:hAnsi="Verdana" w:cs="Times New Roman"/>
          <w:iCs/>
          <w:lang w:val="es-ES"/>
        </w:rPr>
        <w:t xml:space="preserve"> pública, pero no tiene facultades para interpretar ni aplicar normas relacionadas con la retención, liquidación o transferencia de estampillas como la Pro Adulto Mayor, Procultura u o</w:t>
      </w:r>
      <w:r>
        <w:rPr>
          <w:rFonts w:ascii="Verdana" w:eastAsia="Calibri" w:hAnsi="Verdana" w:cs="Times New Roman"/>
          <w:iCs/>
          <w:lang w:val="es-ES"/>
        </w:rPr>
        <w:t xml:space="preserve">tras de naturaleza territorial. </w:t>
      </w:r>
      <w:r w:rsidRPr="00DB6E88">
        <w:rPr>
          <w:rFonts w:ascii="Verdana" w:eastAsia="Calibri" w:hAnsi="Verdana" w:cs="Times New Roman"/>
          <w:iCs/>
          <w:lang w:val="es-ES"/>
        </w:rPr>
        <w:t xml:space="preserve">Por lo tanto, las obligaciones en </w:t>
      </w:r>
      <w:r>
        <w:rPr>
          <w:rFonts w:ascii="Verdana" w:eastAsia="Calibri" w:hAnsi="Verdana" w:cs="Times New Roman"/>
          <w:iCs/>
          <w:lang w:val="es-ES"/>
        </w:rPr>
        <w:t>materia de estampillas deben consultarse y atenderse</w:t>
      </w:r>
      <w:r w:rsidRPr="00DB6E88">
        <w:rPr>
          <w:rFonts w:ascii="Verdana" w:eastAsia="Calibri" w:hAnsi="Verdana" w:cs="Times New Roman"/>
          <w:iCs/>
          <w:lang w:val="es-ES"/>
        </w:rPr>
        <w:t xml:space="preserve"> ante las entidades territoriales que las crean y administran, como las alcaldías y las secretarías de hacienda distritales o departamentales. Son estas autoridades las responsables de definir y vigilar el cumplimiento de la retención y transferencia de los valores correspondientes, tanto en los convenios celebrados entre alcaldía y empresa, como en los contratos que las empresas suscriban con terceros para ejecutar el objeto del convenio</w:t>
      </w:r>
      <w:r>
        <w:rPr>
          <w:rFonts w:ascii="Verdana" w:eastAsia="Calibri" w:hAnsi="Verdana" w:cs="Times New Roman"/>
          <w:iCs/>
          <w:lang w:val="es-ES"/>
        </w:rPr>
        <w:t xml:space="preserve"> o contrato interadministrativo</w:t>
      </w:r>
      <w:r w:rsidRPr="00DB6E88">
        <w:rPr>
          <w:rFonts w:ascii="Verdana" w:eastAsia="Calibri" w:hAnsi="Verdana" w:cs="Times New Roman"/>
          <w:iCs/>
          <w:lang w:val="es-ES"/>
        </w:rPr>
        <w:t>.</w:t>
      </w:r>
      <w:r>
        <w:rPr>
          <w:rFonts w:ascii="Verdana" w:eastAsia="Calibri" w:hAnsi="Verdana" w:cs="Times New Roman"/>
          <w:iCs/>
          <w:lang w:val="es-ES"/>
        </w:rPr>
        <w:t xml:space="preserve"> </w:t>
      </w:r>
    </w:p>
    <w:p w14:paraId="7839BBAC" w14:textId="77777777" w:rsidR="005B6BB5" w:rsidRPr="006A31A8" w:rsidRDefault="005B6BB5" w:rsidP="005B6BB5">
      <w:pPr>
        <w:spacing w:after="0" w:line="276" w:lineRule="auto"/>
        <w:ind w:firstLine="709"/>
        <w:jc w:val="both"/>
        <w:rPr>
          <w:rFonts w:ascii="Verdana" w:eastAsia="Calibri" w:hAnsi="Verdana" w:cs="Times New Roman"/>
          <w:iCs/>
          <w:lang w:val="es-ES"/>
        </w:rPr>
      </w:pPr>
    </w:p>
    <w:p w14:paraId="59E1BFBA" w14:textId="77777777" w:rsidR="005B6BB5" w:rsidRPr="006C0CAF" w:rsidRDefault="005B6BB5" w:rsidP="005B6BB5">
      <w:pPr>
        <w:spacing w:before="120" w:after="120" w:line="276" w:lineRule="auto"/>
        <w:jc w:val="both"/>
        <w:rPr>
          <w:rFonts w:ascii="Verdana" w:eastAsia="Times New Roman" w:hAnsi="Verdana" w:cs="Arial"/>
          <w:lang w:val="es-ES" w:eastAsia="es-ES"/>
          <w14:ligatures w14:val="standardContextual"/>
        </w:rPr>
      </w:pPr>
      <w:r>
        <w:rPr>
          <w:rFonts w:ascii="Verdana" w:eastAsia="Calibri" w:hAnsi="Verdana" w:cs="Arial"/>
          <w:color w:val="000000" w:themeColor="text1"/>
          <w:lang w:val="es-ES"/>
        </w:rPr>
        <w:t xml:space="preserve">iii. </w:t>
      </w:r>
      <w:r w:rsidRPr="006C0CAF">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6C0CAF">
        <w:rPr>
          <w:rFonts w:ascii="Verdana" w:eastAsia="Times New Roman" w:hAnsi="Verdana" w:cs="Arial"/>
          <w:i/>
          <w:iCs/>
          <w:lang w:val="es-ES" w:eastAsia="es-ES"/>
          <w14:ligatures w14:val="standardContextual"/>
        </w:rPr>
        <w:t>publicidad</w:t>
      </w:r>
      <w:r w:rsidRPr="006C0CAF">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6C0CAF">
        <w:rPr>
          <w:rFonts w:ascii="Verdana" w:eastAsia="Times New Roman" w:hAnsi="Verdana" w:cs="Arial"/>
          <w:vertAlign w:val="superscript"/>
          <w:lang w:val="es-ES" w:eastAsia="es-ES"/>
          <w14:ligatures w14:val="standardContextual"/>
        </w:rPr>
        <w:footnoteReference w:id="12"/>
      </w:r>
      <w:r w:rsidRPr="006C0CAF">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4485215B" w14:textId="77777777" w:rsidR="005B6BB5" w:rsidRPr="006C0CAF" w:rsidRDefault="005B6BB5" w:rsidP="005B6BB5">
      <w:pPr>
        <w:spacing w:before="120" w:after="120" w:line="276" w:lineRule="auto"/>
        <w:ind w:firstLine="708"/>
        <w:jc w:val="both"/>
        <w:rPr>
          <w:rFonts w:ascii="Verdana" w:eastAsia="Times New Roman" w:hAnsi="Verdana" w:cs="Arial"/>
          <w:lang w:val="es-ES" w:eastAsia="es-ES"/>
          <w14:ligatures w14:val="standardContextual"/>
        </w:rPr>
      </w:pPr>
      <w:r w:rsidRPr="006C0CAF">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25D7148" w14:textId="77777777" w:rsidR="005B6BB5" w:rsidRDefault="005B6BB5" w:rsidP="005B6BB5">
      <w:pPr>
        <w:spacing w:after="0" w:line="276" w:lineRule="auto"/>
        <w:ind w:firstLine="709"/>
        <w:jc w:val="both"/>
        <w:rPr>
          <w:rFonts w:ascii="Verdana" w:eastAsia="Times New Roman" w:hAnsi="Verdana" w:cs="Arial"/>
          <w:lang w:val="es-ES" w:eastAsia="es-ES"/>
          <w14:ligatures w14:val="standardContextual"/>
        </w:rPr>
      </w:pPr>
      <w:r w:rsidRPr="1B20DF0E">
        <w:rPr>
          <w:rFonts w:ascii="Verdana" w:eastAsia="Times New Roman" w:hAnsi="Verdana" w:cs="Arial"/>
          <w:lang w:val="es-ES" w:eastAsia="es-ES"/>
          <w14:ligatures w14:val="standardContextual"/>
        </w:rPr>
        <w:t xml:space="preserve">De otra parte, la Ley 1712 de 2014 –Ley estatutaria que regula la transparencia y el derecho de acceso a la información y a los documentos </w:t>
      </w:r>
      <w:r w:rsidRPr="1B20DF0E">
        <w:rPr>
          <w:rFonts w:ascii="Verdana" w:eastAsia="Times New Roman" w:hAnsi="Verdana" w:cs="Arial"/>
          <w:lang w:val="es-ES" w:eastAsia="es-ES"/>
          <w14:ligatures w14:val="standardContextual"/>
        </w:rPr>
        <w:lastRenderedPageBreak/>
        <w:t>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1B20DF0E">
        <w:rPr>
          <w:rFonts w:ascii="Verdana" w:eastAsia="Times New Roman" w:hAnsi="Verdana" w:cs="Arial"/>
          <w:vertAlign w:val="superscript"/>
          <w:lang w:val="es-ES" w:eastAsia="es-ES"/>
          <w14:ligatures w14:val="standardContextual"/>
        </w:rPr>
        <w:footnoteReference w:id="13"/>
      </w:r>
      <w:r w:rsidRPr="1B20DF0E">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 En este sentido, el artículo la Ley 1712 de 2014 establece el ámbito de ampliación, esto es, quienes son los sujetos obligados a publicar su información:</w:t>
      </w:r>
    </w:p>
    <w:p w14:paraId="15CFAD1A" w14:textId="77777777" w:rsidR="005B6BB5" w:rsidRDefault="005B6BB5" w:rsidP="005B6BB5">
      <w:pPr>
        <w:spacing w:after="0" w:line="276" w:lineRule="auto"/>
        <w:ind w:firstLine="709"/>
        <w:jc w:val="both"/>
        <w:rPr>
          <w:rFonts w:ascii="Verdana" w:eastAsia="Times New Roman" w:hAnsi="Verdana" w:cs="Arial"/>
          <w:lang w:val="es-ES_tradnl" w:eastAsia="es-ES_tradnl"/>
          <w14:ligatures w14:val="standardContextual"/>
        </w:rPr>
      </w:pPr>
    </w:p>
    <w:p w14:paraId="5B307F08" w14:textId="77777777" w:rsidR="005B6BB5" w:rsidRPr="003A6355" w:rsidRDefault="005B6BB5" w:rsidP="005B6BB5">
      <w:pPr>
        <w:spacing w:after="0" w:line="240" w:lineRule="auto"/>
        <w:ind w:left="709" w:right="709"/>
        <w:jc w:val="both"/>
        <w:rPr>
          <w:rFonts w:ascii="Verdana" w:hAnsi="Verdana" w:cs="Arial"/>
          <w:sz w:val="20"/>
          <w:szCs w:val="20"/>
          <w:lang w:eastAsia="es-ES_tradnl"/>
          <w14:ligatures w14:val="standardContextual"/>
        </w:rPr>
      </w:pPr>
      <w:bookmarkStart w:id="3" w:name="5"/>
      <w:r w:rsidRPr="003A6355">
        <w:rPr>
          <w:rFonts w:ascii="Verdana" w:hAnsi="Verdana" w:cs="Arial"/>
          <w:bCs/>
          <w:sz w:val="20"/>
          <w:szCs w:val="20"/>
          <w:lang w:eastAsia="es-ES_tradnl"/>
          <w14:ligatures w14:val="standardContextual"/>
        </w:rPr>
        <w:t>ARTÍCULO 5o. Ámbito de Aplicación</w:t>
      </w:r>
      <w:r w:rsidRPr="003A6355">
        <w:rPr>
          <w:rFonts w:ascii="Verdana" w:hAnsi="Verdana" w:cs="Arial"/>
          <w:b/>
          <w:bCs/>
          <w:sz w:val="20"/>
          <w:szCs w:val="20"/>
          <w:lang w:eastAsia="es-ES_tradnl"/>
          <w14:ligatures w14:val="standardContextual"/>
        </w:rPr>
        <w:t>.</w:t>
      </w:r>
      <w:bookmarkEnd w:id="3"/>
      <w:r w:rsidRPr="003A6355">
        <w:rPr>
          <w:rFonts w:ascii="Verdana" w:hAnsi="Verdana" w:cs="Arial"/>
          <w:sz w:val="20"/>
          <w:szCs w:val="20"/>
          <w:lang w:eastAsia="es-ES_tradnl"/>
          <w14:ligatures w14:val="standardContextual"/>
        </w:rPr>
        <w:t> &lt;Artículo corregido por el artículo </w:t>
      </w:r>
      <w:hyperlink r:id="rId13" w:anchor="1" w:history="1">
        <w:r w:rsidRPr="003A6355">
          <w:rPr>
            <w:rStyle w:val="Hipervnculo"/>
            <w:rFonts w:ascii="Verdana" w:hAnsi="Verdana" w:cs="Arial"/>
            <w:sz w:val="20"/>
            <w:szCs w:val="20"/>
            <w:lang w:eastAsia="es-ES_tradnl"/>
            <w14:ligatures w14:val="standardContextual"/>
          </w:rPr>
          <w:t>1</w:t>
        </w:r>
      </w:hyperlink>
      <w:r w:rsidRPr="003A6355">
        <w:rPr>
          <w:rFonts w:ascii="Verdana" w:hAnsi="Verdana" w:cs="Arial"/>
          <w:sz w:val="20"/>
          <w:szCs w:val="20"/>
          <w:lang w:eastAsia="es-ES_tradnl"/>
          <w14:ligatures w14:val="standardContextual"/>
        </w:rPr>
        <w:t> del Decreto 1494 de 2015. El nuevo texto es el siguiente:&gt; Las disposiciones de esta ley serán aplicables a las siguientes personas en calidad de sujetos obligados:</w:t>
      </w:r>
    </w:p>
    <w:p w14:paraId="6E8645C6"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 xml:space="preserve">a) </w:t>
      </w:r>
      <w:r w:rsidRPr="003A6355">
        <w:rPr>
          <w:rFonts w:ascii="Verdana" w:eastAsia="Times New Roman" w:hAnsi="Verdana" w:cs="Arial"/>
          <w:i/>
          <w:sz w:val="20"/>
          <w:szCs w:val="20"/>
          <w:lang w:eastAsia="es-ES_tradnl"/>
          <w14:ligatures w14:val="standardContextual"/>
        </w:rPr>
        <w:t>Toda entidad pública, incluyendo las pertenecientes a todas las Ramas del Poder Público, en todos los niveles de la estructura estatal, central o descentralizada por servicios o territorialmente, en los órdenes nacional, departamental, municipal y distrital</w:t>
      </w:r>
      <w:r w:rsidRPr="003A6355">
        <w:rPr>
          <w:rFonts w:ascii="Verdana" w:eastAsia="Times New Roman" w:hAnsi="Verdana" w:cs="Arial"/>
          <w:sz w:val="20"/>
          <w:szCs w:val="20"/>
          <w:lang w:eastAsia="es-ES_tradnl"/>
          <w14:ligatures w14:val="standardContextual"/>
        </w:rPr>
        <w:t>.</w:t>
      </w:r>
    </w:p>
    <w:p w14:paraId="302F9E0A"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b) Los órganos, organismos y entidades estatales independientes o autónomos y de control.</w:t>
      </w:r>
    </w:p>
    <w:p w14:paraId="2DCEA8B2"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c) Las personas naturales y jurídicas, públicas o privadas, que presten función pública, que presten servicios públicos respecto de la información directamente relacionada con la prestación del servicio público.</w:t>
      </w:r>
    </w:p>
    <w:p w14:paraId="6C2A7DF1"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d) Cualquier persona natural, jurídica o dependencia de persona jurídica que desempeñe función pública o de autoridad pública, respecto de la información directamente relacionada con el desempeño de su función.</w:t>
      </w:r>
    </w:p>
    <w:p w14:paraId="352E791E"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e) Las empresas públicas creadas por ley, las empresas del Estado y sociedades en que este tenga participación.</w:t>
      </w:r>
    </w:p>
    <w:p w14:paraId="52E94366"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f) Los partidos o movimientos políticos y los grupos significativos de ciudadanos.</w:t>
      </w:r>
    </w:p>
    <w:p w14:paraId="59CB6F2D"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g) Las entidades que administren instituciones parafiscales, fondos o recursos de naturaleza u origen público.</w:t>
      </w:r>
    </w:p>
    <w:p w14:paraId="6C750A5B"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611B2C4F" w14:textId="77777777" w:rsidR="005B6BB5" w:rsidRPr="003A6355" w:rsidRDefault="005B6BB5" w:rsidP="005B6BB5">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bCs/>
          <w:sz w:val="20"/>
          <w:szCs w:val="20"/>
          <w:lang w:eastAsia="es-ES_tradnl"/>
          <w14:ligatures w14:val="standardContextual"/>
        </w:rPr>
        <w:lastRenderedPageBreak/>
        <w:t>PARÁGRAFO 1o</w:t>
      </w:r>
      <w:r w:rsidRPr="003A6355">
        <w:rPr>
          <w:rFonts w:ascii="Verdana" w:eastAsia="Times New Roman" w:hAnsi="Verdana" w:cs="Arial"/>
          <w:b/>
          <w:bCs/>
          <w:sz w:val="20"/>
          <w:szCs w:val="20"/>
          <w:lang w:eastAsia="es-ES_tradnl"/>
          <w14:ligatures w14:val="standardContextual"/>
        </w:rPr>
        <w:t>.</w:t>
      </w:r>
      <w:r w:rsidRPr="003A6355">
        <w:rPr>
          <w:rFonts w:ascii="Verdana" w:eastAsia="Times New Roman" w:hAnsi="Verdana" w:cs="Arial"/>
          <w:sz w:val="20"/>
          <w:szCs w:val="20"/>
          <w:lang w:eastAsia="es-ES_tradnl"/>
          <w14:ligatures w14:val="standardContextual"/>
        </w:rPr>
        <w:t> No serán sujetos obligados aquellas personas naturales o jurídicas de carácter privado que sean usuarios de información pública (énfasis fuera de texto).</w:t>
      </w:r>
    </w:p>
    <w:p w14:paraId="6A7FB83A" w14:textId="77777777" w:rsidR="005B6BB5" w:rsidRDefault="005B6BB5" w:rsidP="005B6BB5">
      <w:pPr>
        <w:spacing w:before="120" w:after="120" w:line="240" w:lineRule="auto"/>
        <w:ind w:firstLine="709"/>
        <w:jc w:val="both"/>
        <w:rPr>
          <w:rFonts w:ascii="Verdana" w:eastAsia="Times New Roman" w:hAnsi="Verdana" w:cs="Arial"/>
          <w:lang w:val="es-ES_tradnl" w:eastAsia="es-ES_tradnl"/>
          <w14:ligatures w14:val="standardContextual"/>
        </w:rPr>
      </w:pPr>
    </w:p>
    <w:p w14:paraId="40CB67A1" w14:textId="77777777" w:rsidR="005B6BB5" w:rsidRDefault="005B6BB5" w:rsidP="005B6BB5">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A partir de la lista de quienes son los sujetos obligados a publicar la información, puede inferirse que las empresas de servicios públicos de carácter privado con participación estatal tienen la obligación de </w:t>
      </w:r>
      <w:r w:rsidRPr="002A3450">
        <w:rPr>
          <w:rFonts w:ascii="Verdana" w:eastAsia="Times New Roman" w:hAnsi="Verdana" w:cs="Arial"/>
          <w:lang w:val="es-ES_tradnl" w:eastAsia="es-ES_tradnl"/>
          <w14:ligatures w14:val="standardContextual"/>
        </w:rPr>
        <w:t>publicar la información relativa a su contratación</w:t>
      </w:r>
      <w:r>
        <w:rPr>
          <w:rFonts w:ascii="Verdana" w:eastAsia="Times New Roman" w:hAnsi="Verdana" w:cs="Arial"/>
          <w:lang w:val="es-ES_tradnl" w:eastAsia="es-ES_tradnl"/>
          <w14:ligatures w14:val="standardContextual"/>
        </w:rPr>
        <w:t>, teniendo en cuenta que la Sentencia C-736 de 2007 los considero como entidad descentralizada por servicios de la Rama Ejecutiva del Poder público</w:t>
      </w:r>
      <w:r w:rsidRPr="002A3450">
        <w:rPr>
          <w:rFonts w:ascii="Verdana" w:eastAsia="Times New Roman" w:hAnsi="Verdana" w:cs="Arial"/>
          <w:lang w:val="es-ES_tradnl" w:eastAsia="es-ES_tradnl"/>
          <w14:ligatures w14:val="standardContextual"/>
        </w:rPr>
        <w:t xml:space="preserve">. </w:t>
      </w:r>
    </w:p>
    <w:p w14:paraId="56536E2B" w14:textId="77777777" w:rsidR="005B6BB5" w:rsidRDefault="005B6BB5" w:rsidP="005B6BB5">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Esta obligación del deber de publicar fue </w:t>
      </w:r>
      <w:r w:rsidRPr="002A3450">
        <w:rPr>
          <w:rFonts w:ascii="Verdana" w:eastAsia="Times New Roman" w:hAnsi="Verdana" w:cs="Arial"/>
          <w:lang w:val="es-ES_tradnl" w:eastAsia="es-ES_tradnl"/>
          <w14:ligatures w14:val="standardContextual"/>
        </w:rPr>
        <w:t>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14"/>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59B649ED" w14:textId="77777777" w:rsidR="005B6BB5" w:rsidRDefault="005B6BB5" w:rsidP="005B6BB5">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15"/>
      </w:r>
      <w:r w:rsidRPr="00E806EA">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w:t>
      </w:r>
      <w:r w:rsidRPr="00E806EA">
        <w:rPr>
          <w:rFonts w:ascii="Verdana" w:eastAsia="Times New Roman" w:hAnsi="Verdana" w:cs="Arial"/>
          <w:lang w:val="es-ES_tradnl" w:eastAsia="es-ES_tradnl"/>
          <w14:ligatures w14:val="standardContextual"/>
        </w:rPr>
        <w:lastRenderedPageBreak/>
        <w:t>administrativos del Proceso de Contratación, dentro de los tres (3) días siguientes a su expedición […]”.</w:t>
      </w:r>
    </w:p>
    <w:p w14:paraId="413EEEED" w14:textId="77777777" w:rsidR="005B6BB5" w:rsidRDefault="005B6BB5" w:rsidP="005B6BB5">
      <w:pPr>
        <w:tabs>
          <w:tab w:val="left" w:pos="709"/>
        </w:tabs>
        <w:spacing w:before="120" w:after="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r>
        <w:rPr>
          <w:rFonts w:ascii="Verdana" w:hAnsi="Verdana" w:cs="Arial"/>
          <w:shd w:val="clear" w:color="auto" w:fill="FFFFFF"/>
        </w:rPr>
        <w:t xml:space="preserve"> </w:t>
      </w: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2660CE2B" w14:textId="77777777" w:rsidR="005B6BB5" w:rsidRDefault="005B6BB5" w:rsidP="005B6BB5">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6AD219D1" w14:textId="77777777" w:rsidR="005B6BB5" w:rsidRDefault="005B6BB5" w:rsidP="005B6BB5">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19354ABC" w14:textId="77777777" w:rsidR="005B6BB5" w:rsidRPr="007D65AA" w:rsidRDefault="005B6BB5" w:rsidP="005B6BB5">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 xml:space="preserve">Con el propósito de garantizar el cumplimiento del mencionado deber de publicidad, se le asignó a la Agencia Nacional de Contratación Pública - Colombia </w:t>
      </w:r>
      <w:r w:rsidRPr="007D65AA">
        <w:rPr>
          <w:rFonts w:ascii="Verdana" w:hAnsi="Verdana" w:cs="Arial"/>
          <w:shd w:val="clear" w:color="auto" w:fill="FFFFFF"/>
        </w:rPr>
        <w:lastRenderedPageBreak/>
        <w:t>Compra Eficiente, la función de administrar el SECOP</w:t>
      </w:r>
      <w:r w:rsidRPr="007D65AA">
        <w:rPr>
          <w:rFonts w:ascii="Verdana" w:hAnsi="Verdana" w:cs="Arial"/>
          <w:shd w:val="clear" w:color="auto" w:fill="FFFFFF"/>
          <w:vertAlign w:val="superscript"/>
        </w:rPr>
        <w:footnoteReference w:id="16"/>
      </w:r>
      <w:r w:rsidRPr="007D65A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2C80BFAD" w14:textId="77777777" w:rsidR="005B6BB5" w:rsidRPr="007D65AA" w:rsidRDefault="005B6BB5" w:rsidP="005B6BB5">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2461E39" w14:textId="77777777" w:rsidR="005B6BB5" w:rsidRDefault="005B6BB5" w:rsidP="005B6BB5">
      <w:pPr>
        <w:spacing w:after="120" w:line="276" w:lineRule="auto"/>
        <w:ind w:firstLine="709"/>
        <w:jc w:val="both"/>
        <w:rPr>
          <w:rFonts w:ascii="Verdana" w:eastAsia="Calibri" w:hAnsi="Verdana" w:cs="Arial"/>
          <w:lang w:val="es-ES"/>
        </w:rPr>
      </w:pPr>
      <w:r w:rsidRPr="19E8E9D4">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bookmarkEnd w:id="2"/>
    <w:p w14:paraId="37024A66" w14:textId="77777777" w:rsidR="005B6BB5" w:rsidRPr="00AD6B46" w:rsidRDefault="005B6BB5" w:rsidP="005B6BB5">
      <w:pPr>
        <w:tabs>
          <w:tab w:val="left" w:pos="709"/>
        </w:tabs>
        <w:spacing w:before="120" w:after="120" w:line="276" w:lineRule="auto"/>
        <w:ind w:firstLine="709"/>
        <w:jc w:val="both"/>
        <w:rPr>
          <w:rFonts w:ascii="Verdana" w:eastAsia="Calibri" w:hAnsi="Verdana" w:cs="Arial"/>
          <w:color w:val="000000"/>
        </w:rPr>
      </w:pPr>
      <w:r w:rsidRPr="00AD6B46">
        <w:rPr>
          <w:rFonts w:ascii="Verdana" w:hAnsi="Verdana" w:cs="Arial"/>
          <w:shd w:val="clear" w:color="auto" w:fill="FFFFFF"/>
        </w:rPr>
        <w:t xml:space="preserve">Conforme a lo anterior, es clara la obligatoriedad de publicar la información de la actividad contractual que se realiza con cargo a recursos </w:t>
      </w:r>
      <w:r w:rsidRPr="00AD6B46">
        <w:rPr>
          <w:rFonts w:ascii="Verdana" w:hAnsi="Verdana" w:cs="Arial"/>
          <w:shd w:val="clear" w:color="auto" w:fill="FFFFFF"/>
        </w:rPr>
        <w:lastRenderedPageBreak/>
        <w:t xml:space="preserve">públicos en el SECOP, incluidas aquellas con regímenes contractuales especiales. En tal sentido, </w:t>
      </w:r>
      <w:r w:rsidRPr="00AD6B46">
        <w:rPr>
          <w:rFonts w:ascii="Verdana" w:eastAsia="Calibri" w:hAnsi="Verdana" w:cs="Arial"/>
          <w:color w:val="00000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6DECEECA" w14:textId="77777777" w:rsidR="005B6BB5" w:rsidRPr="00AD6B46" w:rsidRDefault="005B6BB5" w:rsidP="005B6BB5">
      <w:pPr>
        <w:spacing w:after="0" w:line="276" w:lineRule="auto"/>
        <w:ind w:firstLine="709"/>
        <w:jc w:val="both"/>
        <w:rPr>
          <w:rFonts w:ascii="Verdana" w:eastAsia="Calibri" w:hAnsi="Verdana" w:cs="Arial"/>
          <w:color w:val="000000"/>
        </w:rPr>
      </w:pPr>
      <w:r w:rsidRPr="00AD6B46">
        <w:rPr>
          <w:rFonts w:ascii="Verdana" w:eastAsia="Calibri" w:hAnsi="Verdana" w:cs="Arial"/>
          <w:color w:val="00000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w:t>
      </w:r>
      <w:r w:rsidRPr="00AD6B46">
        <w:rPr>
          <w:rFonts w:ascii="Verdana" w:eastAsia="Calibri" w:hAnsi="Verdana" w:cs="Arial"/>
          <w:color w:val="000000"/>
          <w:vertAlign w:val="superscript"/>
        </w:rPr>
        <w:footnoteReference w:id="17"/>
      </w:r>
      <w:r w:rsidRPr="00AD6B46">
        <w:rPr>
          <w:rFonts w:ascii="Verdana" w:eastAsia="Calibri" w:hAnsi="Verdana" w:cs="Arial"/>
          <w:color w:val="000000"/>
        </w:rPr>
        <w:t xml:space="preserve">,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r w:rsidRPr="00AD6B46">
        <w:rPr>
          <w:rFonts w:ascii="Verdana" w:eastAsia="Calibri" w:hAnsi="Verdana" w:cs="Arial"/>
          <w:color w:val="000000"/>
        </w:rPr>
        <w:lastRenderedPageBreak/>
        <w:t>En torno al deber de publicidad de SECOP II de entidades de régimen especial dispuesto en el artículo 13 de la Ley 1150 de 2007 modificado por el artículo 53 de la Ley 2195 de 2025, el Consejo de Estado expresó:</w:t>
      </w:r>
    </w:p>
    <w:p w14:paraId="35919D04" w14:textId="77777777" w:rsidR="005B6BB5" w:rsidRPr="00AD6B46" w:rsidRDefault="005B6BB5" w:rsidP="005B6BB5">
      <w:pPr>
        <w:spacing w:after="0" w:line="276" w:lineRule="auto"/>
        <w:ind w:firstLine="709"/>
        <w:jc w:val="both"/>
        <w:rPr>
          <w:rFonts w:ascii="Verdana" w:eastAsia="Calibri" w:hAnsi="Verdana" w:cs="Arial"/>
          <w:color w:val="000000"/>
        </w:rPr>
      </w:pPr>
    </w:p>
    <w:p w14:paraId="2E417001"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r w:rsidRPr="003A6355">
        <w:rPr>
          <w:rFonts w:ascii="Verdana" w:eastAsia="Calibri" w:hAnsi="Verdana" w:cs="Arial"/>
          <w:color w:val="000000"/>
          <w:sz w:val="20"/>
          <w:szCs w:val="20"/>
        </w:rPr>
        <w:t xml:space="preserve">48. La norma establece una obligación en cabeza de las «entidades estatales que por disposición legal cuenten con un régimen contractual excepcional al del Estatuto General de Contratación de la Administración Pública» de aplicar, en desarrollo de su régimen contractual, los principios de la función administrativa y de la gestión fiscal. En consecuencia, dichas entidades deben publicar los documentos relacionados con su actividad contractual —es decir, los documentos descritos en el inciso segundo de dicho precepto— en el SECOP II. Por lo demás, la norma consagró un régimen de transición de 6 meses contado desde su promulgación. </w:t>
      </w:r>
    </w:p>
    <w:p w14:paraId="1F72B021"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p>
    <w:p w14:paraId="0DDBACB2"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r w:rsidRPr="003A6355">
        <w:rPr>
          <w:rFonts w:ascii="Verdana" w:eastAsia="Calibri" w:hAnsi="Verdana" w:cs="Arial"/>
          <w:color w:val="000000"/>
          <w:sz w:val="20"/>
          <w:szCs w:val="20"/>
        </w:rPr>
        <w:t>49. Para la Sala, la norma antes descrita sí contiene un deber legal susceptible de ser exigido mediante la acción de cumplimiento. Así lo ha reconocido esta Sección en las decisiones identificadas con los radicados 25000-23-41-000- 2024-01213-00/01 y 25000-23-41-000-2024-01906-00/01. En estos casos, se estudió el incumplimiento del artículo 13 de la Ley 1150 de 2007, adicionado por el artículo 53 de la Ley 2195 de 2022, en el caso de entidades exceptuadas del régimen de contratación, a saber: la UNGRD, la Fiduprevisora S.A. y Satena</w:t>
      </w:r>
      <w:r w:rsidRPr="003A6355">
        <w:rPr>
          <w:rFonts w:ascii="Verdana" w:eastAsia="Calibri" w:hAnsi="Verdana" w:cs="Arial"/>
          <w:color w:val="000000"/>
          <w:sz w:val="20"/>
          <w:szCs w:val="20"/>
          <w:vertAlign w:val="superscript"/>
        </w:rPr>
        <w:footnoteReference w:id="18"/>
      </w:r>
    </w:p>
    <w:p w14:paraId="3F7CDFD0" w14:textId="77777777" w:rsidR="005B6BB5" w:rsidRPr="00AD6B46" w:rsidRDefault="005B6BB5" w:rsidP="005B6BB5">
      <w:pPr>
        <w:spacing w:after="120" w:line="276" w:lineRule="auto"/>
        <w:jc w:val="both"/>
        <w:rPr>
          <w:rFonts w:ascii="Verdana" w:eastAsia="Calibri" w:hAnsi="Verdana" w:cs="Arial"/>
          <w:color w:val="000000"/>
        </w:rPr>
      </w:pPr>
    </w:p>
    <w:p w14:paraId="34A2FC6A" w14:textId="77777777" w:rsidR="005B6BB5" w:rsidRPr="00AD6B46" w:rsidRDefault="005B6BB5" w:rsidP="005B6BB5">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En el marco del cumplimiento del principio de publicidad en la contratación, la Agencia Nacional de Contratación Pública –Colombia Compra Eficiente en cumplimiento de las funciones conferidas por los numerales 2, 5 y 8 del artículo 3 del Decreto Ley 4170 de 2011</w:t>
      </w:r>
      <w:r w:rsidRPr="00AD6B46">
        <w:rPr>
          <w:rFonts w:ascii="Verdana" w:eastAsia="Calibri" w:hAnsi="Verdana" w:cs="Arial"/>
          <w:color w:val="000000"/>
          <w:vertAlign w:val="superscript"/>
        </w:rPr>
        <w:footnoteReference w:id="19"/>
      </w:r>
      <w:r w:rsidRPr="00AD6B46">
        <w:rPr>
          <w:rFonts w:ascii="Verdana" w:eastAsia="Calibri" w:hAnsi="Verdana" w:cs="Arial"/>
          <w:color w:val="000000"/>
        </w:rPr>
        <w:t xml:space="preserve">, actuando como ente rector del Sistema de Compra Pública y en sujeción del artículo 53 de la Ley 2195 de 2022, profirió la Circular Externa 002 del 17 de marzo de 2022 sobre la obligatoriedad </w:t>
      </w:r>
      <w:r w:rsidRPr="00AD6B46">
        <w:rPr>
          <w:rFonts w:ascii="Verdana" w:eastAsia="Calibri" w:hAnsi="Verdana" w:cs="Arial"/>
          <w:color w:val="000000"/>
        </w:rPr>
        <w:lastRenderedPageBreak/>
        <w:t xml:space="preserve">del uso del SECOP II para entidades de régimen exceptuado al Estatuto General de Contratación de la Administración Pública, en la que expresó: </w:t>
      </w:r>
    </w:p>
    <w:p w14:paraId="6BBA3DC8" w14:textId="77777777" w:rsidR="005B6BB5" w:rsidRPr="00AD6B46" w:rsidRDefault="005B6BB5" w:rsidP="005B6BB5">
      <w:pPr>
        <w:spacing w:after="0" w:line="276" w:lineRule="auto"/>
        <w:ind w:firstLine="709"/>
        <w:jc w:val="both"/>
        <w:rPr>
          <w:rFonts w:ascii="Verdana" w:eastAsia="Calibri" w:hAnsi="Verdana" w:cs="Arial"/>
          <w:color w:val="000000"/>
        </w:rPr>
      </w:pPr>
    </w:p>
    <w:p w14:paraId="62E1023D"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r w:rsidRPr="003A6355">
        <w:rPr>
          <w:rFonts w:ascii="Verdana" w:eastAsia="Calibri" w:hAnsi="Verdana" w:cs="Arial"/>
          <w:color w:val="000000"/>
          <w:sz w:val="20"/>
          <w:szCs w:val="20"/>
        </w:rPr>
        <w:t xml:space="preserve">“Para la vigencia 2022 las entidades que apliquen un régimen especial de contratación de acuerdo con lo preceptuado en la Ley 2195 de 2022, tienen un período de transición de seis (6) meses para publicar todos los documentos relacionados con su actividad contractual en la plataforma del SECOP II. </w:t>
      </w:r>
    </w:p>
    <w:p w14:paraId="6D1FBD3E"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p>
    <w:p w14:paraId="75ABE09E" w14:textId="77777777" w:rsidR="005B6BB5" w:rsidRPr="003A6355" w:rsidRDefault="005B6BB5" w:rsidP="005B6BB5">
      <w:pPr>
        <w:spacing w:after="0" w:line="240" w:lineRule="auto"/>
        <w:ind w:left="709" w:right="709"/>
        <w:jc w:val="both"/>
        <w:rPr>
          <w:rFonts w:ascii="Verdana" w:eastAsia="Calibri" w:hAnsi="Verdana" w:cs="Arial"/>
          <w:color w:val="000000"/>
          <w:sz w:val="20"/>
          <w:szCs w:val="20"/>
        </w:rPr>
      </w:pPr>
      <w:r w:rsidRPr="003A6355">
        <w:rPr>
          <w:rFonts w:ascii="Verdana" w:eastAsia="Calibri" w:hAnsi="Verdana" w:cs="Arial"/>
          <w:color w:val="000000"/>
          <w:sz w:val="20"/>
          <w:szCs w:val="20"/>
        </w:rPr>
        <w:t>En consecuencia, su uso obligatorio empezará a regir a partir del 18 de julio de 2022, 23:59 horas, sin que sea posible por vía reglamentaria o en sus reglamentos internos de contratación -también conocidos como Manuales de Contratación- hacer extensivo el plazo previsto en la Ley”.</w:t>
      </w:r>
    </w:p>
    <w:p w14:paraId="5DD4F938" w14:textId="77777777" w:rsidR="005B6BB5" w:rsidRPr="00AD6B46" w:rsidRDefault="005B6BB5" w:rsidP="005B6BB5">
      <w:pPr>
        <w:spacing w:after="120" w:line="276" w:lineRule="auto"/>
        <w:jc w:val="both"/>
        <w:rPr>
          <w:rFonts w:ascii="Verdana" w:eastAsia="Calibri" w:hAnsi="Verdana" w:cs="Arial"/>
          <w:color w:val="000000"/>
        </w:rPr>
      </w:pPr>
    </w:p>
    <w:p w14:paraId="4E69C1DE" w14:textId="77777777" w:rsidR="005B6BB5" w:rsidRDefault="005B6BB5" w:rsidP="005B6BB5">
      <w:pPr>
        <w:spacing w:after="120" w:line="276" w:lineRule="auto"/>
        <w:jc w:val="both"/>
        <w:rPr>
          <w:rFonts w:ascii="Verdana" w:eastAsia="Calibri" w:hAnsi="Verdana" w:cs="Arial"/>
          <w:color w:val="000000"/>
        </w:rPr>
      </w:pPr>
      <w:r w:rsidRPr="00AD6B46">
        <w:rPr>
          <w:rFonts w:ascii="Verdana" w:eastAsia="Calibri" w:hAnsi="Verdana" w:cs="Arial"/>
          <w:color w:val="000000"/>
        </w:rPr>
        <w:tab/>
        <w:t>Teniendo en cuenta el marco normativo antes reseñado, la Circular Externa Única expedida por la Agencia Nacional de Contratación Pública - Colombia Compra Eficiente - estableció que todas las entidades del Estado tienen el deber de publicar oportunamente la información oficial de la contratación en el SECOP, sin distinción de su régimen jurídico, naturaleza jurídica o la pertenencia a una u otra rama del poder público</w:t>
      </w:r>
      <w:r w:rsidRPr="00AD6B46">
        <w:rPr>
          <w:rFonts w:ascii="Verdana" w:eastAsia="Calibri" w:hAnsi="Verdana" w:cs="Arial"/>
          <w:color w:val="000000"/>
          <w:vertAlign w:val="superscript"/>
        </w:rPr>
        <w:footnoteReference w:id="20"/>
      </w:r>
      <w:r w:rsidRPr="00AD6B46">
        <w:rPr>
          <w:rFonts w:ascii="Verdana" w:eastAsia="Calibri" w:hAnsi="Verdana" w:cs="Arial"/>
          <w:color w:val="000000"/>
        </w:rPr>
        <w:t>. De igual forma, en la Circular Externa No. 002 del 23 de agosto de 2024, estableció los lineamientos para la aplicación del artículo 53 de la Ley 2195 de 2022 por parte de las Entidades Estales que por disposición legal cuentan con un régimen contractual excepcional al del Estatuto General de Contratación de la Administración Pública. En dicha Circular también expresó: “[…] el término que tienen las Entidades Estatales que por disposición legal cuenten con un régimen contractual excepcional al del Estatuto General de Contratación de la Administración Pública para publicar en el SECOP II es de tres (3) días posterior a su expedición”. Es decir que, a tales entidades, les aplica la regla de publicación de los tres (3) días siguientes a la expedición de acto administrativo o Documento del Proceso, dispuesta en el artículo 2.2.1.1.1.7.1 del Decreto 1082 de 2015 por remisión expresa del artículo 2.1.1.2.1.7 del Decreto 1081 de 2015.</w:t>
      </w:r>
    </w:p>
    <w:p w14:paraId="4A3F4A66" w14:textId="77777777" w:rsidR="005B6BB5" w:rsidRPr="00F56437" w:rsidRDefault="005B6BB5" w:rsidP="005B6BB5">
      <w:pPr>
        <w:spacing w:after="120" w:line="276" w:lineRule="auto"/>
        <w:jc w:val="both"/>
        <w:rPr>
          <w:rFonts w:ascii="Verdana" w:eastAsia="Calibri" w:hAnsi="Verdana" w:cs="Arial"/>
          <w:color w:val="000000"/>
        </w:rPr>
      </w:pPr>
      <w:r>
        <w:rPr>
          <w:rFonts w:ascii="Verdana" w:eastAsia="Calibri" w:hAnsi="Verdana" w:cs="Arial"/>
          <w:color w:val="000000"/>
        </w:rPr>
        <w:tab/>
        <w:t xml:space="preserve">En cuanto al deber de publicidad en otras plataformas que no administra la Agencia Nacional de Contratación Pública –Colombia Compra Eficiente, como </w:t>
      </w:r>
      <w:r w:rsidRPr="00F56437">
        <w:rPr>
          <w:rFonts w:ascii="Verdana" w:eastAsia="Calibri" w:hAnsi="Verdana" w:cs="Arial"/>
          <w:color w:val="000000"/>
        </w:rPr>
        <w:t xml:space="preserve">es el caso de la Plataforma -SIA OBSERVA-, la cual es definida en el Manual de </w:t>
      </w:r>
      <w:r w:rsidRPr="00F56437">
        <w:rPr>
          <w:rFonts w:ascii="Verdana" w:eastAsia="Calibri" w:hAnsi="Verdana" w:cs="Arial"/>
          <w:color w:val="000000"/>
        </w:rPr>
        <w:lastRenderedPageBreak/>
        <w:t>Usuario – SIA Observa V 2.0 en el numeral 1.1.</w:t>
      </w:r>
      <w:r>
        <w:rPr>
          <w:rFonts w:ascii="Verdana" w:eastAsia="Calibri" w:hAnsi="Verdana" w:cs="Arial"/>
          <w:color w:val="000000"/>
        </w:rPr>
        <w:t xml:space="preserve"> así</w:t>
      </w:r>
      <w:r w:rsidRPr="00F56437">
        <w:rPr>
          <w:rFonts w:ascii="Verdana" w:eastAsia="Calibri" w:hAnsi="Verdana" w:cs="Arial"/>
          <w:color w:val="000000"/>
        </w:rPr>
        <w:t>: “Es una herramienta informática en ambiente WEB diseñada para facilitar la rendición de cuenta en línea sobre la ejecución presupuestal y contractual que realizan las entidades públicas del país, la cual le permite a las Contralorías realizar control y seguimiento continuo en tiempo real sobre la ejecución de los dineros públicos de todas sus entidades vigiladas”.</w:t>
      </w:r>
    </w:p>
    <w:p w14:paraId="79160258" w14:textId="77777777" w:rsidR="005B6BB5" w:rsidRDefault="005B6BB5" w:rsidP="005B6BB5">
      <w:pPr>
        <w:spacing w:after="120" w:line="276" w:lineRule="auto"/>
        <w:ind w:firstLine="708"/>
        <w:jc w:val="both"/>
        <w:rPr>
          <w:rFonts w:ascii="Verdana" w:eastAsia="Calibri" w:hAnsi="Verdana" w:cs="Arial"/>
          <w:color w:val="000000"/>
        </w:rPr>
      </w:pPr>
      <w:r w:rsidRPr="00F56437">
        <w:rPr>
          <w:rFonts w:ascii="Verdana" w:eastAsia="Calibri" w:hAnsi="Verdana" w:cs="Arial"/>
          <w:color w:val="000000"/>
        </w:rPr>
        <w:t>En este aspecto, la Auditoría General de la República en Concepto del 1 de diciembre de 2025 expresa</w:t>
      </w:r>
      <w:r>
        <w:rPr>
          <w:rFonts w:ascii="Verdana" w:eastAsia="Calibri" w:hAnsi="Verdana" w:cs="Arial"/>
          <w:color w:val="000000"/>
        </w:rPr>
        <w:t xml:space="preserve"> sobre la obligatoriedad del </w:t>
      </w:r>
      <w:r w:rsidRPr="00F56437">
        <w:rPr>
          <w:rFonts w:ascii="Verdana" w:eastAsia="Calibri" w:hAnsi="Verdana" w:cs="Arial"/>
          <w:color w:val="000000"/>
        </w:rPr>
        <w:t>SIA Observa</w:t>
      </w:r>
      <w:r>
        <w:rPr>
          <w:rFonts w:ascii="Verdana" w:eastAsia="Calibri" w:hAnsi="Verdana" w:cs="Arial"/>
          <w:color w:val="000000"/>
        </w:rPr>
        <w:t xml:space="preserve"> en los siguientes términos</w:t>
      </w:r>
      <w:r w:rsidRPr="00F56437">
        <w:rPr>
          <w:rFonts w:ascii="Verdana" w:eastAsia="Calibri" w:hAnsi="Verdana" w:cs="Arial"/>
          <w:color w:val="000000"/>
        </w:rPr>
        <w:t>:</w:t>
      </w:r>
      <w:r>
        <w:rPr>
          <w:rFonts w:ascii="Verdana" w:eastAsia="Calibri" w:hAnsi="Verdana" w:cs="Arial"/>
          <w:color w:val="000000"/>
        </w:rPr>
        <w:t xml:space="preserve"> “</w:t>
      </w:r>
      <w:r w:rsidRPr="00F56437">
        <w:rPr>
          <w:rFonts w:ascii="Verdana" w:eastAsia="Calibri" w:hAnsi="Verdana" w:cs="Arial"/>
          <w:color w:val="000000"/>
        </w:rPr>
        <w:t>Para el uso de esta herramienta tecnológica, las contralorías territoriales teniendo en cuenta la atribución constitucional y legal dada los contralores de prescribir los métodos y forma de rendir la cuenta por parte de sus sujetos de control, son quienes establecen de acuerdo con sus necesidades y criterios, la información que debe ser registrada en ella, así como la oportunidad de la rendición</w:t>
      </w:r>
      <w:r>
        <w:rPr>
          <w:rFonts w:ascii="Verdana" w:eastAsia="Calibri" w:hAnsi="Verdana" w:cs="Arial"/>
          <w:color w:val="000000"/>
        </w:rPr>
        <w:t>”</w:t>
      </w:r>
      <w:r>
        <w:rPr>
          <w:rStyle w:val="Refdenotaalpie"/>
          <w:rFonts w:ascii="Verdana" w:eastAsia="Calibri" w:hAnsi="Verdana" w:cs="Arial"/>
          <w:color w:val="000000"/>
        </w:rPr>
        <w:footnoteReference w:id="21"/>
      </w:r>
      <w:r w:rsidRPr="00F56437">
        <w:rPr>
          <w:rFonts w:ascii="Verdana" w:eastAsia="Calibri" w:hAnsi="Verdana" w:cs="Arial"/>
          <w:color w:val="000000"/>
        </w:rPr>
        <w:t>.</w:t>
      </w:r>
      <w:r>
        <w:rPr>
          <w:rFonts w:ascii="Verdana" w:eastAsia="Calibri" w:hAnsi="Verdana" w:cs="Arial"/>
          <w:color w:val="000000"/>
        </w:rPr>
        <w:t xml:space="preserve"> Es decir</w:t>
      </w:r>
      <w:r w:rsidRPr="00F56437">
        <w:rPr>
          <w:rFonts w:ascii="Verdana" w:eastAsia="Calibri" w:hAnsi="Verdana" w:cs="Arial"/>
          <w:color w:val="000000"/>
        </w:rPr>
        <w:t>, son las contralorías territoriales quienes determinan, según sus necesidades y criterios, la información que debe registrarse en SIA Observa y los plazos para su rendición</w:t>
      </w:r>
      <w:r>
        <w:rPr>
          <w:rFonts w:ascii="Verdana" w:eastAsia="Calibri" w:hAnsi="Verdana" w:cs="Arial"/>
          <w:color w:val="000000"/>
        </w:rPr>
        <w:t xml:space="preserve"> por parte de los sujetos de control. Por tanto, son las contralorías territoriales las que definen la manera en que las entidades descentralizadas por servicios reportan la información contractual en dicha plataforma. </w:t>
      </w:r>
    </w:p>
    <w:p w14:paraId="5C64DB42" w14:textId="77777777" w:rsidR="005B6BB5" w:rsidRPr="00F56437" w:rsidRDefault="005B6BB5" w:rsidP="005B6BB5">
      <w:pPr>
        <w:spacing w:after="120" w:line="276" w:lineRule="auto"/>
        <w:ind w:firstLine="708"/>
        <w:jc w:val="both"/>
        <w:rPr>
          <w:rFonts w:ascii="Verdana" w:eastAsia="Calibri" w:hAnsi="Verdana" w:cs="Arial"/>
          <w:color w:val="000000"/>
        </w:rPr>
      </w:pPr>
      <w:r>
        <w:rPr>
          <w:rFonts w:ascii="Verdana" w:eastAsia="Calibri" w:hAnsi="Verdana" w:cs="Arial"/>
          <w:color w:val="000000"/>
        </w:rPr>
        <w:t xml:space="preserve">En referencia al sistema de control interno, las entidades públicas deben tener en cuenta lo dispuesto en la Ley 87 de 1993, en las que se establecen los objetivos, ámbito de aplicación, características, responsabilidad, la posibilidad de contratar con empresas privadas, la evaluación y control, las funciones, entre otros aspectos, los cuales buscan </w:t>
      </w:r>
      <w:r w:rsidRPr="00D820F2">
        <w:rPr>
          <w:rFonts w:ascii="Verdana" w:eastAsia="Calibri" w:hAnsi="Verdana" w:cs="Arial"/>
          <w:color w:val="000000"/>
        </w:rPr>
        <w:t>garantizar que las actividades, operaciones y actuaciones administrativas se desarrollen conforme a la Constitución, la ley y los objetivos institucionales, promoviendo la eficiencia, la transparencia y la legalidad en la gestión pública.</w:t>
      </w:r>
      <w:r>
        <w:rPr>
          <w:rFonts w:ascii="Verdana" w:eastAsia="Calibri" w:hAnsi="Verdana" w:cs="Arial"/>
          <w:color w:val="000000"/>
        </w:rPr>
        <w:t xml:space="preserve"> En todo caso, estas exigencias deben ser objeto de revisión por parte de la entidad respectiva. </w:t>
      </w:r>
    </w:p>
    <w:p w14:paraId="243C6565" w14:textId="77777777" w:rsidR="005B6BB5" w:rsidRPr="00F603AF" w:rsidRDefault="005B6BB5" w:rsidP="005B6BB5">
      <w:pPr>
        <w:spacing w:after="120" w:line="276" w:lineRule="auto"/>
        <w:jc w:val="both"/>
        <w:rPr>
          <w:rFonts w:ascii="Verdana" w:eastAsia="Calibri" w:hAnsi="Verdana" w:cs="Arial"/>
          <w:color w:val="000000" w:themeColor="text1"/>
        </w:rPr>
      </w:pPr>
    </w:p>
    <w:p w14:paraId="3C0A952E" w14:textId="77777777" w:rsidR="005B6BB5" w:rsidRPr="00B16AC6" w:rsidRDefault="005B6BB5" w:rsidP="005B6BB5">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los convenios interadministrativos de empresas de servicios públicos de carácter privado con participación minoritaria del Estado debe realizarse</w:t>
      </w:r>
      <w:r w:rsidRPr="00B17041">
        <w:rPr>
          <w:rFonts w:ascii="Verdana" w:hAnsi="Verdana" w:cs="Arial"/>
          <w:lang w:val="es-ES_tradnl" w:eastAsia="es-ES"/>
        </w:rPr>
        <w:t xml:space="preserve"> por quienes tengan interés </w:t>
      </w:r>
      <w:r w:rsidRPr="00B17041">
        <w:rPr>
          <w:rFonts w:ascii="Verdana" w:hAnsi="Verdana" w:cs="Arial"/>
          <w:lang w:val="es-ES_tradnl" w:eastAsia="es-ES"/>
        </w:rPr>
        <w:lastRenderedPageBreak/>
        <w:t>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D09D61B" w14:textId="77777777" w:rsidR="005B6BB5" w:rsidRPr="00B17041" w:rsidRDefault="005B6BB5" w:rsidP="005B6BB5">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D67C630" w14:textId="77777777" w:rsidR="005B6BB5" w:rsidRPr="00CD0DCD" w:rsidRDefault="005B6BB5" w:rsidP="005B6BB5">
      <w:pPr>
        <w:spacing w:after="0" w:line="276" w:lineRule="auto"/>
        <w:jc w:val="both"/>
        <w:rPr>
          <w:rFonts w:ascii="Verdana" w:eastAsia="Calibri" w:hAnsi="Verdana" w:cs="Arial"/>
          <w:lang w:val="es-ES" w:eastAsia="es-MX"/>
        </w:rPr>
      </w:pPr>
    </w:p>
    <w:p w14:paraId="112B0D5C" w14:textId="77777777" w:rsidR="005B6BB5" w:rsidRPr="00B57A1B" w:rsidRDefault="005B6BB5" w:rsidP="005B6BB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3BAC47E2" w14:textId="77777777" w:rsidR="005B6BB5" w:rsidRPr="00B57A1B" w:rsidRDefault="005B6BB5" w:rsidP="005B6BB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6BB5" w:rsidRPr="00B57A1B" w14:paraId="1062523B" w14:textId="77777777" w:rsidTr="00551B0E">
        <w:trPr>
          <w:trHeight w:val="487"/>
          <w:jc w:val="center"/>
        </w:trPr>
        <w:tc>
          <w:tcPr>
            <w:tcW w:w="8647" w:type="dxa"/>
          </w:tcPr>
          <w:p w14:paraId="5B4E6B30" w14:textId="77777777" w:rsidR="005B6BB5" w:rsidRPr="001E679F" w:rsidRDefault="005B6BB5" w:rsidP="00551B0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1E679F">
              <w:rPr>
                <w:rFonts w:ascii="Verdana" w:eastAsia="Arial MT" w:hAnsi="Verdana" w:cs="Arial"/>
                <w:lang w:val="es-ES" w:eastAsia="es-ES" w:bidi="es-ES"/>
              </w:rPr>
              <w:t>Constitución Política, artículos 74 y 209.</w:t>
            </w:r>
          </w:p>
          <w:p w14:paraId="6A72F237" w14:textId="77777777" w:rsidR="005B6BB5" w:rsidRDefault="005B6BB5" w:rsidP="00551B0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y 40. </w:t>
            </w:r>
          </w:p>
          <w:p w14:paraId="56C329C1" w14:textId="77777777" w:rsidR="005B6BB5" w:rsidRDefault="005B6BB5" w:rsidP="00551B0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14, 17. 31, 32, 39. </w:t>
            </w:r>
          </w:p>
          <w:p w14:paraId="1825C208" w14:textId="77777777" w:rsidR="005B6BB5" w:rsidRPr="00420EAB" w:rsidRDefault="005B6BB5" w:rsidP="00551B0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68, 95 y 96. </w:t>
            </w:r>
          </w:p>
          <w:p w14:paraId="7B917C7A"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Ley 1</w:t>
            </w:r>
            <w:r>
              <w:rPr>
                <w:rFonts w:ascii="Verdana" w:eastAsia="Arial MT" w:hAnsi="Verdana" w:cs="Arial"/>
                <w:lang w:val="es-ES" w:eastAsia="es-ES" w:bidi="es-ES"/>
              </w:rPr>
              <w:t>150 de 2007, artículos 3 y 13</w:t>
            </w:r>
            <w:r w:rsidRPr="00420EAB">
              <w:rPr>
                <w:rFonts w:ascii="Verdana" w:eastAsia="Arial MT" w:hAnsi="Verdana" w:cs="Arial"/>
                <w:lang w:val="es-ES" w:eastAsia="es-ES" w:bidi="es-ES"/>
              </w:rPr>
              <w:t>.</w:t>
            </w:r>
          </w:p>
          <w:p w14:paraId="176150C7"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Decreto Ley 4170 de 2011, artículo 3° numerales 2, 5 y 8. </w:t>
            </w:r>
          </w:p>
          <w:p w14:paraId="0B64B0E5"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1712 de 2014, artículos 2, 5, 9 y 11. </w:t>
            </w:r>
          </w:p>
          <w:p w14:paraId="30E3096C"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Decreto 1081 de 2015, artículos 2.1.1.2.1.7., 2.1.1.4.3.2. </w:t>
            </w:r>
          </w:p>
          <w:p w14:paraId="10ED51F9"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Decreto 1082 de 2015, artículos 2.2.1.1.1.7.1, 2.2.1.1.1.3.1., 2.2.2.1.8.3., 2.2.2.1.5.11., 2.2.2.1.12.7.</w:t>
            </w:r>
          </w:p>
          <w:p w14:paraId="7B6E79D9"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Circular Externa 02 de 2022 de la Agencia Nacional de Contratación Pública –Colombia Compra Eficiente.</w:t>
            </w:r>
          </w:p>
          <w:p w14:paraId="5845631B" w14:textId="77777777" w:rsidR="005B6BB5" w:rsidRPr="001E679F"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lastRenderedPageBreak/>
              <w:t>Circular Externa 02 de 2024 de la Agencia Nacional de Contratación Pública –Colombia Compra Eficiente.</w:t>
            </w:r>
          </w:p>
          <w:p w14:paraId="78F7E496" w14:textId="77777777" w:rsidR="005B6BB5" w:rsidRPr="001E679F"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E679F">
              <w:rPr>
                <w:rFonts w:ascii="Verdana" w:eastAsia="Arial MT" w:hAnsi="Verdana" w:cs="Arial"/>
                <w:lang w:val="es-ES" w:eastAsia="es-ES" w:bidi="es-ES"/>
              </w:rPr>
              <w:t>CONSEJO DE ESTADO. Sección Tercera. Subsección C. Sentencia del 13 de abril de 2011. Exp. 37423. C.P. Jaime Orlando Santofimio Gamboa.</w:t>
            </w:r>
          </w:p>
          <w:p w14:paraId="59095044"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CONSEJO DE ESTADO. Sección Tercera. Subsección B. Sentencia del 15 de noviembre de 2011. Exp. 21178. C.P. Ruth Stella Correa Palacio.</w:t>
            </w:r>
          </w:p>
          <w:p w14:paraId="5559319E"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CONSEJO DE ESTADO. Sección Tercera, Subsección A. Sentencia del 25 de mayo de 2025. C.P. María Adriana Marín Hernández. Exp. 70.504.</w:t>
            </w:r>
          </w:p>
          <w:p w14:paraId="59D17056"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CONSEJO DE ESTADO. Sección Tercera, Subsección A. Sentencia del 16 de agosto de 2022, C.P.: María Adriana Marín. Exp. 60434.</w:t>
            </w:r>
          </w:p>
          <w:p w14:paraId="52CF6955"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CONSEJO DE ESTADO. Sección Quinta. Sentencia del veinte (20) de febrero de dos mil veinticinco (2025). Rad. 25000-23-41-000-2024-01938-01. C.P. Pedro Pablo Vanegas Gil. </w:t>
            </w:r>
          </w:p>
          <w:p w14:paraId="7A08D6C4"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8272F">
              <w:rPr>
                <w:rFonts w:ascii="Verdana" w:eastAsia="Arial MT" w:hAnsi="Verdana" w:cs="Arial"/>
                <w:lang w:val="pt-BR" w:eastAsia="es-ES" w:bidi="es-ES"/>
              </w:rPr>
              <w:t xml:space="preserve">CORTE CONSTITUCIONAL. Sentencia C-736 de 2007. </w:t>
            </w:r>
            <w:r w:rsidRPr="00420EAB">
              <w:rPr>
                <w:rFonts w:ascii="Verdana" w:eastAsia="Arial MT" w:hAnsi="Verdana" w:cs="Arial"/>
                <w:lang w:val="es-ES" w:eastAsia="es-ES" w:bidi="es-ES"/>
              </w:rPr>
              <w:t>M.P. Marco Gerardo Monroy Cabra.</w:t>
            </w:r>
          </w:p>
          <w:p w14:paraId="402404D4"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8272F">
              <w:rPr>
                <w:rFonts w:ascii="Verdana" w:eastAsia="Arial MT" w:hAnsi="Verdana" w:cs="Arial"/>
                <w:lang w:val="pt-BR" w:eastAsia="es-ES" w:bidi="es-ES"/>
              </w:rPr>
              <w:t xml:space="preserve">CORTE CONSTITUCIONAL. Sentencia C‒274 de 2013. </w:t>
            </w:r>
            <w:r w:rsidRPr="00420EAB">
              <w:rPr>
                <w:rFonts w:ascii="Verdana" w:eastAsia="Arial MT" w:hAnsi="Verdana" w:cs="Arial"/>
                <w:lang w:val="es-ES" w:eastAsia="es-ES" w:bidi="es-ES"/>
              </w:rPr>
              <w:t xml:space="preserve">M.P. María Victoria Calle Correa. </w:t>
            </w:r>
          </w:p>
          <w:p w14:paraId="40DA1AF2"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AGENCIA NACIONAL DE CONTRATACIÓN PÚBLICA –COLOMBIA COMPRA EFICIENTE. Circular Externa Única, 2023. </w:t>
            </w:r>
          </w:p>
          <w:p w14:paraId="0A489F44" w14:textId="77777777" w:rsidR="005B6BB5"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AUDITORÍA GENERAL DE LA REPÚBLICA. Concepto 110.069.2025 del 1 de diciembre de 2025.</w:t>
            </w:r>
          </w:p>
          <w:p w14:paraId="1F12B604" w14:textId="77777777" w:rsidR="005B6BB5" w:rsidRPr="007B7B6A"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BARRETO MORENO, Antonio Alejandro. El derecho de la compra pública: estudio jurídico de un mercado imperfecto. Bogotá: Legis, 2019. pp. 281 y ss.</w:t>
            </w:r>
          </w:p>
          <w:p w14:paraId="2BDD87C7"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BENAVIDES, José Luis. El contrato estatal: entre el derecho público y el derecho privado. Segunda edición. Bogotá: Universidad Externado de Colombia, 2009. pp. 78-79.      </w:t>
            </w:r>
          </w:p>
          <w:p w14:paraId="6CAEAC57"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BETANCUR JARAMILLO, Carlos. Derecho procesal administrativo. Octava edición. Medellín: Señal Editora, 2013. </w:t>
            </w:r>
          </w:p>
          <w:p w14:paraId="041677A6"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lastRenderedPageBreak/>
              <w:t xml:space="preserve">BOBBIO, Norberto. Democracia y secreto. México: Fondo de Cultura Económica, 2013. </w:t>
            </w:r>
          </w:p>
          <w:p w14:paraId="6CF8E076"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 xml:space="preserve">CHAVÉZ MARÍN, Augusto Ramón. Los convenios de la Administración. Entre la gestión pública y la actividad contractual. Bogotá: Temis, 2020. </w:t>
            </w:r>
          </w:p>
          <w:p w14:paraId="22C801CF" w14:textId="77777777" w:rsidR="005B6BB5"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JOJOA BOLAÑOS, Alexander. Los regímenes exceptuados en los contratos estatales. Bogotá: Grupo Editorial Ibáñez, 2012. </w:t>
            </w:r>
          </w:p>
          <w:p w14:paraId="6DFA2E40"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LUQUE, Guillermo Sánchez. ¿Las empresas prestadoras de servicios públicos privadas son entidades estatales? A propósito de la Sentencia C 736 de 2007. Con-texto Revista de Derecho y Economía, 2008. Vol 25.</w:t>
            </w:r>
          </w:p>
          <w:p w14:paraId="31CD351A" w14:textId="77777777" w:rsidR="005B6BB5"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MARÍN CORTES, Fabián Gonzalo. Los servicios semipúblicos domiciliarios. Bogotá: Temis, 2010.</w:t>
            </w:r>
          </w:p>
          <w:p w14:paraId="287AF6FF" w14:textId="77777777" w:rsidR="005B6BB5" w:rsidRPr="00420EAB" w:rsidRDefault="005B6BB5" w:rsidP="00551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20EAB">
              <w:rPr>
                <w:rFonts w:ascii="Verdana" w:eastAsia="Arial MT" w:hAnsi="Verdana" w:cs="Arial"/>
                <w:lang w:val="es-ES" w:eastAsia="es-ES" w:bidi="es-ES"/>
              </w:rPr>
              <w:t>SANTOS RODRÍGUEZ, Jorge Enrique. Consideraciones sobre los contratos y convenios interadministrativos. En: Revista Digital de Derecho Administrativo, 2008.</w:t>
            </w:r>
          </w:p>
        </w:tc>
      </w:tr>
    </w:tbl>
    <w:p w14:paraId="26F960C0" w14:textId="77777777" w:rsidR="005B6BB5" w:rsidRPr="00B57A1B" w:rsidRDefault="005B6BB5" w:rsidP="005B6BB5">
      <w:pPr>
        <w:widowControl w:val="0"/>
        <w:autoSpaceDE w:val="0"/>
        <w:autoSpaceDN w:val="0"/>
        <w:spacing w:after="0" w:line="276" w:lineRule="auto"/>
        <w:jc w:val="both"/>
        <w:rPr>
          <w:rFonts w:ascii="Verdana" w:hAnsi="Verdana" w:cs="Arial"/>
        </w:rPr>
      </w:pPr>
    </w:p>
    <w:p w14:paraId="48016BE2" w14:textId="77777777" w:rsidR="005B6BB5" w:rsidRPr="00B57A1B" w:rsidRDefault="005B6BB5" w:rsidP="005B6BB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79949789" w14:textId="77777777" w:rsidR="005B6BB5" w:rsidRPr="00B57A1B" w:rsidRDefault="005B6BB5" w:rsidP="005B6BB5">
      <w:pPr>
        <w:widowControl w:val="0"/>
        <w:autoSpaceDE w:val="0"/>
        <w:autoSpaceDN w:val="0"/>
        <w:spacing w:after="0" w:line="276" w:lineRule="auto"/>
        <w:jc w:val="both"/>
        <w:rPr>
          <w:rFonts w:ascii="Verdana" w:hAnsi="Verdana" w:cs="Arial"/>
        </w:rPr>
      </w:pPr>
    </w:p>
    <w:p w14:paraId="54866C30" w14:textId="77777777" w:rsidR="005B6BB5" w:rsidRPr="007D6CC8" w:rsidRDefault="005B6BB5" w:rsidP="005B6BB5">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C-1368 del 5 de noviembre de 2025, entre otras.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3F14C5F" w14:textId="77777777" w:rsidR="005B6BB5" w:rsidRPr="00185EE9" w:rsidRDefault="00531C38" w:rsidP="005B6BB5">
      <w:pPr>
        <w:spacing w:after="0" w:line="256" w:lineRule="auto"/>
        <w:jc w:val="both"/>
        <w:rPr>
          <w:rFonts w:ascii="Verdana" w:eastAsia="Calibri" w:hAnsi="Verdana" w:cs="Times New Roman"/>
        </w:rPr>
      </w:pPr>
      <w:hyperlink r:id="rId14" w:history="1">
        <w:r w:rsidR="005B6BB5" w:rsidRPr="00F14AAD">
          <w:rPr>
            <w:rStyle w:val="Hipervnculo"/>
            <w:rFonts w:ascii="Verdana" w:eastAsia="Calibri" w:hAnsi="Verdana" w:cs="Times New Roman"/>
            <w:lang w:val="es-ES"/>
          </w:rPr>
          <w:t>https://relatoria.colombiacompra.gov.co/busqueda/conceptos</w:t>
        </w:r>
      </w:hyperlink>
      <w:r w:rsidR="005B6BB5" w:rsidRPr="00185EE9">
        <w:rPr>
          <w:rFonts w:ascii="Verdana" w:eastAsia="Calibri" w:hAnsi="Verdana" w:cs="Times New Roman"/>
        </w:rPr>
        <w:t xml:space="preserve">. </w:t>
      </w:r>
    </w:p>
    <w:p w14:paraId="1B0BB7AC" w14:textId="77777777" w:rsidR="005B6BB5" w:rsidRPr="00B57A1B" w:rsidRDefault="005B6BB5" w:rsidP="005B6BB5">
      <w:pPr>
        <w:spacing w:after="0"/>
        <w:jc w:val="both"/>
        <w:rPr>
          <w:rFonts w:ascii="Verdana" w:hAnsi="Verdana"/>
        </w:rPr>
      </w:pPr>
    </w:p>
    <w:p w14:paraId="2B920F30" w14:textId="77777777" w:rsidR="005B6BB5" w:rsidRPr="00B57A1B" w:rsidRDefault="005B6BB5" w:rsidP="005B6BB5">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w:t>
      </w:r>
      <w:r w:rsidRPr="00B57A1B">
        <w:rPr>
          <w:rFonts w:ascii="Verdana" w:eastAsia="Calibri" w:hAnsi="Verdana" w:cs="Times New Roman"/>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D5D65C7" w14:textId="77777777" w:rsidR="005B6BB5" w:rsidRPr="00B57A1B" w:rsidRDefault="005B6BB5" w:rsidP="005B6BB5">
      <w:pPr>
        <w:spacing w:after="0" w:line="240" w:lineRule="auto"/>
        <w:jc w:val="both"/>
        <w:rPr>
          <w:rFonts w:ascii="Verdana" w:hAnsi="Verdana"/>
        </w:rPr>
      </w:pPr>
    </w:p>
    <w:p w14:paraId="231645C2" w14:textId="77777777" w:rsidR="005B6BB5" w:rsidRPr="00B57A1B" w:rsidRDefault="005B6BB5" w:rsidP="005B6BB5">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87EDB60" w14:textId="77777777" w:rsidR="005B6BB5" w:rsidRPr="00B57A1B" w:rsidRDefault="005B6BB5" w:rsidP="005B6BB5">
      <w:pPr>
        <w:spacing w:after="0" w:line="256" w:lineRule="auto"/>
        <w:jc w:val="both"/>
        <w:rPr>
          <w:rFonts w:ascii="Verdana" w:eastAsia="Calibri" w:hAnsi="Verdana" w:cs="Times New Roman"/>
        </w:rPr>
      </w:pPr>
    </w:p>
    <w:p w14:paraId="25B2B8AF" w14:textId="77777777" w:rsidR="005B6BB5" w:rsidRPr="00B57A1B" w:rsidRDefault="005B6BB5" w:rsidP="005B6BB5">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463DE00" w14:textId="451EFB98" w:rsidR="005B6BB5" w:rsidRDefault="0097307D" w:rsidP="005B6BB5">
      <w:pPr>
        <w:spacing w:after="0" w:line="256" w:lineRule="auto"/>
        <w:jc w:val="center"/>
        <w:rPr>
          <w:noProof/>
          <w:lang w:val="en-US"/>
        </w:rPr>
      </w:pPr>
      <w:r w:rsidRPr="002C3AD6">
        <w:rPr>
          <w:rFonts w:ascii="Century Gothic" w:hAnsi="Century Gothic"/>
          <w:noProof/>
          <w:lang w:val="en-US"/>
        </w:rPr>
        <w:drawing>
          <wp:inline distT="0" distB="0" distL="0" distR="0" wp14:anchorId="50A6C56B" wp14:editId="28F0737D">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16488A55" w14:textId="77777777" w:rsidR="005B6BB5" w:rsidRPr="00D471F3" w:rsidRDefault="005B6BB5" w:rsidP="005B6BB5">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B6BB5" w:rsidRPr="00B57A1B" w14:paraId="2B4CD5C2" w14:textId="77777777" w:rsidTr="00551B0E">
        <w:trPr>
          <w:trHeight w:val="409"/>
        </w:trPr>
        <w:tc>
          <w:tcPr>
            <w:tcW w:w="817" w:type="dxa"/>
            <w:tcBorders>
              <w:top w:val="nil"/>
              <w:left w:val="nil"/>
              <w:bottom w:val="nil"/>
              <w:right w:val="nil"/>
            </w:tcBorders>
            <w:vAlign w:val="center"/>
            <w:hideMark/>
          </w:tcPr>
          <w:p w14:paraId="77EF9AAB"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E0D9060"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9688F43"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5B6BB5" w:rsidRPr="00B57A1B" w14:paraId="3373813E" w14:textId="77777777" w:rsidTr="00551B0E">
        <w:trPr>
          <w:trHeight w:val="409"/>
        </w:trPr>
        <w:tc>
          <w:tcPr>
            <w:tcW w:w="817" w:type="dxa"/>
            <w:tcBorders>
              <w:top w:val="nil"/>
              <w:left w:val="nil"/>
              <w:bottom w:val="nil"/>
              <w:right w:val="nil"/>
            </w:tcBorders>
            <w:vAlign w:val="center"/>
            <w:hideMark/>
          </w:tcPr>
          <w:p w14:paraId="3DB133D7"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21E9A11"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7B096BA5"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5B6BB5" w:rsidRPr="00B57A1B" w14:paraId="110B99F1" w14:textId="77777777" w:rsidTr="00551B0E">
        <w:trPr>
          <w:trHeight w:val="389"/>
        </w:trPr>
        <w:tc>
          <w:tcPr>
            <w:tcW w:w="817" w:type="dxa"/>
            <w:tcBorders>
              <w:top w:val="nil"/>
              <w:left w:val="nil"/>
              <w:bottom w:val="nil"/>
              <w:right w:val="nil"/>
            </w:tcBorders>
            <w:vAlign w:val="center"/>
            <w:hideMark/>
          </w:tcPr>
          <w:p w14:paraId="7131FB5E"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58528CE"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007B30CB" w14:textId="77777777" w:rsidR="005B6BB5" w:rsidRPr="00B57A1B" w:rsidRDefault="005B6BB5" w:rsidP="00551B0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0F293BF4" w14:textId="2C08DAB6" w:rsidR="00127233" w:rsidRPr="005B6BB5" w:rsidRDefault="00127233" w:rsidP="005B6BB5"/>
    <w:sectPr w:rsidR="00127233" w:rsidRPr="005B6BB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747F96" w14:textId="77777777" w:rsidR="00531C38" w:rsidRDefault="00531C38" w:rsidP="004A1847">
      <w:pPr>
        <w:spacing w:after="0" w:line="240" w:lineRule="auto"/>
      </w:pPr>
      <w:r>
        <w:separator/>
      </w:r>
    </w:p>
  </w:endnote>
  <w:endnote w:type="continuationSeparator" w:id="0">
    <w:p w14:paraId="5DEF3A8C" w14:textId="77777777" w:rsidR="00531C38" w:rsidRDefault="00531C3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Weiss">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43968" w:rsidRDefault="00443968">
    <w:pPr>
      <w:pStyle w:val="Piedepgina"/>
    </w:pPr>
  </w:p>
  <w:p w14:paraId="594D6D9F" w14:textId="756DE555" w:rsidR="00443968" w:rsidRPr="00174B77" w:rsidRDefault="0044396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F130A" w:rsidRPr="00AF130A">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43968" w:rsidRDefault="0044396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43968" w:rsidRPr="00E41027" w:rsidRDefault="0044396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43968" w:rsidRDefault="0044396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19E5D" w14:textId="77777777" w:rsidR="00531C38" w:rsidRDefault="00531C38" w:rsidP="004A1847">
      <w:pPr>
        <w:spacing w:after="0" w:line="240" w:lineRule="auto"/>
      </w:pPr>
      <w:r>
        <w:separator/>
      </w:r>
    </w:p>
  </w:footnote>
  <w:footnote w:type="continuationSeparator" w:id="0">
    <w:p w14:paraId="13712544" w14:textId="77777777" w:rsidR="00531C38" w:rsidRDefault="00531C38" w:rsidP="004A1847">
      <w:pPr>
        <w:spacing w:after="0" w:line="240" w:lineRule="auto"/>
      </w:pPr>
      <w:r>
        <w:continuationSeparator/>
      </w:r>
    </w:p>
  </w:footnote>
  <w:footnote w:id="1">
    <w:p w14:paraId="6014F741" w14:textId="77777777" w:rsidR="005B6BB5" w:rsidRPr="0097307D" w:rsidRDefault="005B6BB5" w:rsidP="005B6BB5">
      <w:pPr>
        <w:pStyle w:val="Textonotapie"/>
        <w:tabs>
          <w:tab w:val="left" w:pos="6521"/>
        </w:tabs>
        <w:ind w:firstLine="708"/>
        <w:jc w:val="both"/>
        <w:rPr>
          <w:rFonts w:ascii="Verdana" w:hAnsi="Verdana" w:cs="Arial"/>
          <w:sz w:val="16"/>
          <w:szCs w:val="16"/>
        </w:rPr>
      </w:pPr>
      <w:r w:rsidRPr="0097307D">
        <w:rPr>
          <w:rStyle w:val="Refdenotaalpie"/>
          <w:rFonts w:ascii="Verdana" w:hAnsi="Verdana" w:cs="Arial"/>
          <w:sz w:val="16"/>
          <w:szCs w:val="16"/>
        </w:rPr>
        <w:footnoteRef/>
      </w:r>
      <w:r w:rsidRPr="0097307D">
        <w:rPr>
          <w:rFonts w:ascii="Verdana" w:hAnsi="Verdana" w:cs="Arial"/>
          <w:sz w:val="16"/>
          <w:szCs w:val="16"/>
          <w:vertAlign w:val="superscript"/>
        </w:rPr>
        <w:t xml:space="preserve"> </w:t>
      </w:r>
      <w:r w:rsidRPr="0097307D">
        <w:rPr>
          <w:rFonts w:ascii="Verdana" w:hAnsi="Verdana" w:cs="Arial"/>
          <w:sz w:val="16"/>
          <w:szCs w:val="16"/>
        </w:rPr>
        <w:t xml:space="preserve">Cfr. BENAVIDES, José Luis. El contrato estatal: entre el derecho público y el derecho privado. Segunda edición. Bogotá: Universidad Externado de Colombia, 2009. pp. 78-79.  </w:t>
      </w:r>
    </w:p>
  </w:footnote>
  <w:footnote w:id="2">
    <w:p w14:paraId="1F5E4F75" w14:textId="77777777" w:rsidR="005B6BB5" w:rsidRPr="0097307D" w:rsidRDefault="005B6BB5" w:rsidP="005B6BB5">
      <w:pPr>
        <w:pStyle w:val="Textonotapie"/>
        <w:tabs>
          <w:tab w:val="left" w:pos="6521"/>
        </w:tabs>
        <w:ind w:firstLine="708"/>
        <w:jc w:val="both"/>
        <w:rPr>
          <w:rFonts w:ascii="Verdana" w:hAnsi="Verdana" w:cs="Arial"/>
          <w:sz w:val="16"/>
          <w:szCs w:val="16"/>
          <w:lang w:val="es-ES"/>
        </w:rPr>
      </w:pPr>
      <w:r w:rsidRPr="0097307D">
        <w:rPr>
          <w:rStyle w:val="Refdenotaalpie"/>
          <w:rFonts w:ascii="Verdana" w:hAnsi="Verdana" w:cs="Arial"/>
          <w:sz w:val="16"/>
          <w:szCs w:val="16"/>
        </w:rPr>
        <w:footnoteRef/>
      </w:r>
      <w:r w:rsidRPr="0097307D">
        <w:rPr>
          <w:rFonts w:ascii="Verdana" w:hAnsi="Verdana" w:cs="Arial"/>
          <w:sz w:val="16"/>
          <w:szCs w:val="16"/>
          <w:vertAlign w:val="superscript"/>
        </w:rPr>
        <w:t xml:space="preserve"> </w:t>
      </w:r>
      <w:r w:rsidRPr="0097307D">
        <w:rPr>
          <w:rFonts w:ascii="Verdana" w:hAnsi="Verdana" w:cs="Arial"/>
          <w:sz w:val="16"/>
          <w:szCs w:val="16"/>
        </w:rPr>
        <w:t xml:space="preserve">BETANCUR JARAMILLO, Carlos. Derecho procesal administrativo. Octava edición. Medellín: Señal Editora, 2013. p. 627. </w:t>
      </w:r>
    </w:p>
  </w:footnote>
  <w:footnote w:id="3">
    <w:p w14:paraId="001B02FD" w14:textId="77777777" w:rsidR="005B6BB5" w:rsidRPr="0097307D" w:rsidRDefault="005B6BB5" w:rsidP="005B6BB5">
      <w:pPr>
        <w:pStyle w:val="Textonotapie"/>
        <w:tabs>
          <w:tab w:val="left" w:pos="6521"/>
        </w:tabs>
        <w:ind w:firstLine="708"/>
        <w:jc w:val="both"/>
        <w:rPr>
          <w:rFonts w:ascii="Verdana" w:hAnsi="Verdana" w:cs="Arial"/>
          <w:sz w:val="16"/>
          <w:szCs w:val="16"/>
        </w:rPr>
      </w:pPr>
      <w:r w:rsidRPr="0097307D">
        <w:rPr>
          <w:rStyle w:val="Refdenotaalpie"/>
          <w:rFonts w:ascii="Verdana" w:hAnsi="Verdana" w:cs="Arial"/>
          <w:sz w:val="16"/>
          <w:szCs w:val="16"/>
        </w:rPr>
        <w:footnoteRef/>
      </w:r>
      <w:r w:rsidRPr="0097307D">
        <w:rPr>
          <w:rFonts w:ascii="Verdana" w:hAnsi="Verdana" w:cs="Arial"/>
          <w:sz w:val="16"/>
          <w:szCs w:val="16"/>
          <w:vertAlign w:val="superscript"/>
        </w:rPr>
        <w:t xml:space="preserve"> </w:t>
      </w:r>
      <w:r w:rsidRPr="0097307D">
        <w:rPr>
          <w:rFonts w:ascii="Verdana" w:hAnsi="Verdana" w:cs="Arial"/>
          <w:sz w:val="16"/>
          <w:szCs w:val="16"/>
        </w:rPr>
        <w:t>JOJOA BOLAÑOS, Alexander. Los regímenes exceptuados en los contratos estatales. Bogotá: Grupo Editorial Ibáñez, 2012. p. 89.</w:t>
      </w:r>
    </w:p>
  </w:footnote>
  <w:footnote w:id="4">
    <w:p w14:paraId="274E6254" w14:textId="77777777" w:rsidR="005B6BB5" w:rsidRPr="0097307D" w:rsidRDefault="005B6BB5" w:rsidP="005B6BB5">
      <w:pPr>
        <w:pStyle w:val="Textonotapie"/>
        <w:tabs>
          <w:tab w:val="left" w:pos="6521"/>
        </w:tabs>
        <w:ind w:firstLine="708"/>
        <w:jc w:val="both"/>
        <w:rPr>
          <w:rFonts w:ascii="Verdana" w:hAnsi="Verdana" w:cs="Arial"/>
          <w:sz w:val="16"/>
          <w:szCs w:val="16"/>
        </w:rPr>
      </w:pPr>
      <w:r w:rsidRPr="0097307D">
        <w:rPr>
          <w:rStyle w:val="Refdenotaalpie"/>
          <w:rFonts w:ascii="Verdana" w:hAnsi="Verdana" w:cs="Arial"/>
          <w:sz w:val="16"/>
          <w:szCs w:val="16"/>
        </w:rPr>
        <w:footnoteRef/>
      </w:r>
      <w:r w:rsidRPr="0097307D">
        <w:rPr>
          <w:rFonts w:ascii="Verdana" w:hAnsi="Verdana" w:cs="Arial"/>
          <w:sz w:val="16"/>
          <w:szCs w:val="16"/>
        </w:rPr>
        <w:t xml:space="preserve"> BARRETO MORENO, Antonio Alejandro. El derecho de la compra pública: estudio jurídico de un mercado imperfecto. Bogotá: Legis, 2019. pp. 281 y ss.</w:t>
      </w:r>
    </w:p>
  </w:footnote>
  <w:footnote w:id="5">
    <w:p w14:paraId="051EEFC3" w14:textId="77777777" w:rsidR="005B6BB5" w:rsidRPr="0097307D" w:rsidRDefault="005B6BB5" w:rsidP="005B6BB5">
      <w:pPr>
        <w:pStyle w:val="Textonotapie"/>
        <w:tabs>
          <w:tab w:val="left" w:pos="6521"/>
        </w:tabs>
        <w:ind w:firstLine="709"/>
        <w:jc w:val="both"/>
        <w:rPr>
          <w:rFonts w:ascii="Verdana" w:hAnsi="Verdana" w:cs="Arial"/>
          <w:color w:val="000000" w:themeColor="text1"/>
          <w:sz w:val="16"/>
          <w:szCs w:val="16"/>
        </w:rPr>
      </w:pPr>
      <w:r w:rsidRPr="0097307D">
        <w:rPr>
          <w:rStyle w:val="Refdenotaalpie"/>
          <w:rFonts w:ascii="Verdana" w:hAnsi="Verdana" w:cs="Arial"/>
          <w:color w:val="000000" w:themeColor="text1"/>
          <w:sz w:val="16"/>
          <w:szCs w:val="16"/>
        </w:rPr>
        <w:footnoteRef/>
      </w:r>
      <w:r w:rsidRPr="0097307D">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6">
    <w:p w14:paraId="0EE0B308" w14:textId="77777777" w:rsidR="005B6BB5" w:rsidRPr="0097307D" w:rsidRDefault="005B6BB5" w:rsidP="005B6BB5">
      <w:pPr>
        <w:pStyle w:val="Textonotapie"/>
        <w:tabs>
          <w:tab w:val="left" w:pos="6521"/>
        </w:tabs>
        <w:ind w:firstLine="709"/>
        <w:jc w:val="both"/>
        <w:rPr>
          <w:rFonts w:ascii="Verdana" w:hAnsi="Verdana" w:cs="Arial"/>
          <w:color w:val="000000" w:themeColor="text1"/>
          <w:sz w:val="16"/>
          <w:szCs w:val="16"/>
          <w:lang w:val="es-ES"/>
        </w:rPr>
      </w:pPr>
      <w:r w:rsidRPr="0097307D">
        <w:rPr>
          <w:rStyle w:val="Refdenotaalpie"/>
          <w:rFonts w:ascii="Verdana" w:hAnsi="Verdana" w:cs="Arial"/>
          <w:color w:val="000000" w:themeColor="text1"/>
          <w:sz w:val="16"/>
          <w:szCs w:val="16"/>
        </w:rPr>
        <w:footnoteRef/>
      </w:r>
      <w:r w:rsidRPr="0097307D">
        <w:rPr>
          <w:rFonts w:ascii="Verdana" w:hAnsi="Verdana" w:cs="Arial"/>
          <w:color w:val="000000" w:themeColor="text1"/>
          <w:sz w:val="16"/>
          <w:szCs w:val="16"/>
          <w:lang w:val="pt-BR"/>
        </w:rPr>
        <w:t xml:space="preserve"> CORTE CONSTITUCIONAL. Sentencia C-736 de 2007. </w:t>
      </w:r>
      <w:r w:rsidRPr="0097307D">
        <w:rPr>
          <w:rFonts w:ascii="Verdana" w:hAnsi="Verdana" w:cs="Arial"/>
          <w:color w:val="000000" w:themeColor="text1"/>
          <w:sz w:val="16"/>
          <w:szCs w:val="16"/>
        </w:rPr>
        <w:t>M.P. Marco Gerardo Monroy Cabra.</w:t>
      </w:r>
    </w:p>
  </w:footnote>
  <w:footnote w:id="7">
    <w:p w14:paraId="5D40ED4E"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rFonts w:ascii="Verdana" w:hAnsi="Verdana"/>
          <w:sz w:val="16"/>
          <w:szCs w:val="16"/>
        </w:rPr>
        <w:footnoteRef/>
      </w:r>
      <w:r w:rsidRPr="0097307D">
        <w:rPr>
          <w:rFonts w:ascii="Verdana" w:hAnsi="Verdana"/>
          <w:sz w:val="16"/>
          <w:szCs w:val="16"/>
        </w:rPr>
        <w:t xml:space="preserve"> </w:t>
      </w:r>
      <w:r w:rsidRPr="0097307D">
        <w:rPr>
          <w:rFonts w:ascii="Verdana" w:hAnsi="Verdana"/>
          <w:bCs/>
          <w:sz w:val="16"/>
          <w:szCs w:val="16"/>
          <w:lang w:val="es-CO"/>
        </w:rPr>
        <w:t xml:space="preserve">Artículo 38. </w:t>
      </w:r>
      <w:r w:rsidRPr="0097307D">
        <w:rPr>
          <w:rFonts w:ascii="Verdana" w:hAnsi="Verdana"/>
          <w:i/>
          <w:iCs/>
          <w:sz w:val="16"/>
          <w:szCs w:val="16"/>
          <w:lang w:val="es-CO"/>
        </w:rPr>
        <w:t>Integración de la Rama Ejecutiva del Poder Público en el orden nacional. </w:t>
      </w:r>
      <w:r w:rsidRPr="0097307D">
        <w:rPr>
          <w:rFonts w:ascii="Verdana" w:hAnsi="Verdana"/>
          <w:sz w:val="16"/>
          <w:szCs w:val="16"/>
          <w:lang w:val="es-CO"/>
        </w:rPr>
        <w:t>La Rama Ejecutiva del Poder Público en el orden nacional, está integrada por los siguientes organismos y entidades: </w:t>
      </w:r>
    </w:p>
    <w:p w14:paraId="1EDCBA68"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1. Del Sector Central:  </w:t>
      </w:r>
    </w:p>
    <w:p w14:paraId="14E7DEEE"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a) La Presidencia de la República; </w:t>
      </w:r>
    </w:p>
    <w:p w14:paraId="1E601E50"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b) La Vicepresidencia de la República; </w:t>
      </w:r>
    </w:p>
    <w:p w14:paraId="6877B256"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c) Los Consejos Superiores de la administración; </w:t>
      </w:r>
    </w:p>
    <w:p w14:paraId="53016DD3"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d) Los ministerios y departamentos administrativos; </w:t>
      </w:r>
    </w:p>
    <w:p w14:paraId="78DF16A9"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e) Las superintendencias y unidades administrativas especiales sin personería jurídica. </w:t>
      </w:r>
    </w:p>
    <w:p w14:paraId="21753786"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2. Del Sector descentralizado por servicios: </w:t>
      </w:r>
    </w:p>
    <w:p w14:paraId="28DFD956"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a) Los establecimientos públicos; </w:t>
      </w:r>
    </w:p>
    <w:p w14:paraId="2EA180ED"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b) Las empresas industriales y comerciales del Estado; </w:t>
      </w:r>
    </w:p>
    <w:p w14:paraId="04DBBEEC"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c) Las superintendencias y las unidades administrativas especiales con personería jurídica; </w:t>
      </w:r>
    </w:p>
    <w:p w14:paraId="7D380766"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d) Las empresas sociales del Estado y las empresas oficiales de servicios públicos domiciliarios; </w:t>
      </w:r>
    </w:p>
    <w:p w14:paraId="6980BF93"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e) Los institutos científicos y tecnológicos; </w:t>
      </w:r>
    </w:p>
    <w:p w14:paraId="0B425D6C"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f) Las sociedades públicas y las sociedades de economía mixta; </w:t>
      </w:r>
    </w:p>
    <w:p w14:paraId="0C06A4BF"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75EAE2D0"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bCs/>
          <w:sz w:val="16"/>
          <w:szCs w:val="16"/>
          <w:lang w:val="es-CO"/>
        </w:rPr>
        <w:t>Parágrafo 1°.</w:t>
      </w:r>
      <w:r w:rsidRPr="0097307D">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4F0C44F1"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bCs/>
          <w:sz w:val="16"/>
          <w:szCs w:val="16"/>
          <w:lang w:val="es-CO"/>
        </w:rPr>
        <w:t>Parágrafo 2°.</w:t>
      </w:r>
      <w:r w:rsidRPr="0097307D">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quedaren adscritos tales organismos.</w:t>
      </w:r>
    </w:p>
  </w:footnote>
  <w:footnote w:id="8">
    <w:p w14:paraId="24BDA34D"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rFonts w:ascii="Verdana" w:hAnsi="Verdana"/>
          <w:sz w:val="16"/>
          <w:szCs w:val="16"/>
        </w:rPr>
        <w:footnoteRef/>
      </w:r>
      <w:r w:rsidRPr="0097307D">
        <w:rPr>
          <w:rFonts w:ascii="Verdana" w:hAnsi="Verdana"/>
          <w:sz w:val="16"/>
          <w:szCs w:val="16"/>
        </w:rPr>
        <w:t xml:space="preserve"> </w:t>
      </w:r>
      <w:r w:rsidRPr="0097307D">
        <w:rPr>
          <w:rFonts w:ascii="Verdana" w:hAnsi="Verdana"/>
          <w:bCs/>
          <w:sz w:val="16"/>
          <w:szCs w:val="16"/>
          <w:lang w:val="es-CO"/>
        </w:rPr>
        <w:t xml:space="preserve">Artículo 68. </w:t>
      </w:r>
      <w:r w:rsidRPr="0097307D">
        <w:rPr>
          <w:rFonts w:ascii="Verdana" w:hAnsi="Verdana"/>
          <w:i/>
          <w:iCs/>
          <w:sz w:val="16"/>
          <w:szCs w:val="16"/>
          <w:lang w:val="es-CO"/>
        </w:rPr>
        <w:t>Entidades descentralizadas. </w:t>
      </w:r>
      <w:r w:rsidRPr="0097307D">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1A2E7AF8"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04304634"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4B01DEA7"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21C79B7D"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bCs/>
          <w:sz w:val="16"/>
          <w:szCs w:val="16"/>
          <w:lang w:val="es-CO"/>
        </w:rPr>
        <w:t>Parágrafo 1°.</w:t>
      </w:r>
      <w:r w:rsidRPr="0097307D">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autoridades del orden territorial. […]</w:t>
      </w:r>
    </w:p>
    <w:p w14:paraId="01A4D6B1" w14:textId="77777777" w:rsidR="005B6BB5" w:rsidRPr="0097307D" w:rsidRDefault="005B6BB5" w:rsidP="005B6BB5">
      <w:pPr>
        <w:pStyle w:val="Textonotapie"/>
        <w:tabs>
          <w:tab w:val="left" w:pos="6521"/>
        </w:tabs>
        <w:ind w:firstLine="708"/>
        <w:rPr>
          <w:sz w:val="16"/>
          <w:szCs w:val="16"/>
          <w:lang w:val="es-ES"/>
        </w:rPr>
      </w:pPr>
    </w:p>
  </w:footnote>
  <w:footnote w:id="9">
    <w:p w14:paraId="2BCCF455"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sz w:val="16"/>
          <w:szCs w:val="16"/>
        </w:rPr>
        <w:footnoteRef/>
      </w:r>
      <w:r w:rsidRPr="0097307D">
        <w:rPr>
          <w:sz w:val="16"/>
          <w:szCs w:val="16"/>
        </w:rPr>
        <w:t xml:space="preserve"> </w:t>
      </w:r>
      <w:r w:rsidRPr="0097307D">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97307D">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97307D">
        <w:rPr>
          <w:rFonts w:ascii="Verdana" w:hAnsi="Verdana"/>
          <w:i/>
          <w:iCs/>
          <w:sz w:val="16"/>
          <w:szCs w:val="16"/>
          <w:lang w:val="es-CO"/>
        </w:rPr>
        <w:t>“entidad estatal”</w:t>
      </w:r>
      <w:r w:rsidRPr="0097307D">
        <w:rPr>
          <w:rFonts w:ascii="Verdana" w:hAnsi="Verdana"/>
          <w:sz w:val="16"/>
          <w:szCs w:val="16"/>
          <w:lang w:val="es-CO"/>
        </w:rPr>
        <w:t>.  En esta oportunidad la Sala se limitó a obedecer el pronunciamiento de constitucionalidad.</w:t>
      </w:r>
    </w:p>
    <w:p w14:paraId="70C624EA" w14:textId="77777777" w:rsidR="005B6BB5" w:rsidRPr="0097307D" w:rsidRDefault="005B6BB5" w:rsidP="005B6BB5">
      <w:pPr>
        <w:pStyle w:val="Textonotapie"/>
        <w:tabs>
          <w:tab w:val="left" w:pos="6521"/>
        </w:tabs>
        <w:ind w:firstLine="708"/>
        <w:jc w:val="both"/>
        <w:rPr>
          <w:rFonts w:ascii="Verdana" w:hAnsi="Verdana"/>
          <w:i/>
          <w:iCs/>
          <w:sz w:val="16"/>
          <w:szCs w:val="16"/>
          <w:lang w:val="es-CO"/>
        </w:rPr>
      </w:pPr>
      <w:r w:rsidRPr="0097307D">
        <w:rPr>
          <w:rFonts w:ascii="Verdana" w:hAnsi="Verdana"/>
          <w:sz w:val="16"/>
          <w:szCs w:val="16"/>
          <w:lang w:val="es-CO"/>
        </w:rPr>
        <w:t xml:space="preserve">Sin embargo, el Señor Consejero de Estado Mauricio Fajardo Gómez, al aclarar su voto en esta última sentencia, rectificó lo afirmado en tres providencias de la Sala con ponencia suya y manifestó que resultaba innecesario e inútil invocar ese fallo de constitucionalidad para determinar la competencia del juez administrativo, </w:t>
      </w:r>
      <w:r w:rsidRPr="0097307D">
        <w:rPr>
          <w:rFonts w:ascii="Verdana" w:hAnsi="Verdana"/>
          <w:i/>
          <w:iCs/>
          <w:sz w:val="16"/>
          <w:szCs w:val="16"/>
          <w:lang w:val="es-CO"/>
        </w:rPr>
        <w:t>“puesto que</w:t>
      </w:r>
      <w:r w:rsidRPr="0097307D">
        <w:rPr>
          <w:rFonts w:ascii="Verdana" w:hAnsi="Verdana"/>
          <w:sz w:val="16"/>
          <w:szCs w:val="16"/>
          <w:lang w:val="es-CO"/>
        </w:rPr>
        <w:t xml:space="preserve"> </w:t>
      </w:r>
      <w:r w:rsidRPr="0097307D">
        <w:rPr>
          <w:rFonts w:ascii="Verdana" w:hAnsi="Verdana"/>
          <w:i/>
          <w:iCs/>
          <w:sz w:val="16"/>
          <w:szCs w:val="16"/>
          <w:lang w:val="es-CO"/>
        </w:rPr>
        <w:t>las consideraciones que le sirvieron de soporte acerca</w:t>
      </w:r>
      <w:r w:rsidRPr="0097307D">
        <w:rPr>
          <w:rFonts w:ascii="Verdana" w:hAnsi="Verdana"/>
          <w:sz w:val="16"/>
          <w:szCs w:val="16"/>
          <w:lang w:val="es-CO"/>
        </w:rPr>
        <w:t xml:space="preserve"> </w:t>
      </w:r>
      <w:r w:rsidRPr="0097307D">
        <w:rPr>
          <w:rFonts w:ascii="Verdana" w:hAnsi="Verdana"/>
          <w:i/>
          <w:iCs/>
          <w:sz w:val="16"/>
          <w:szCs w:val="16"/>
          <w:lang w:val="es-CO"/>
        </w:rPr>
        <w:t>de la naturaleza jurídica de las empresas de servicios</w:t>
      </w:r>
      <w:r w:rsidRPr="0097307D">
        <w:rPr>
          <w:rFonts w:ascii="Verdana" w:hAnsi="Verdana"/>
          <w:sz w:val="16"/>
          <w:szCs w:val="16"/>
          <w:lang w:val="es-CO"/>
        </w:rPr>
        <w:t xml:space="preserve"> </w:t>
      </w:r>
      <w:r w:rsidRPr="0097307D">
        <w:rPr>
          <w:rFonts w:ascii="Verdana" w:hAnsi="Verdana"/>
          <w:i/>
          <w:iCs/>
          <w:sz w:val="16"/>
          <w:szCs w:val="16"/>
          <w:lang w:val="es-CO"/>
        </w:rPr>
        <w:t>públicos domiciliarios de carácter mixto no resultan</w:t>
      </w:r>
      <w:r w:rsidRPr="0097307D">
        <w:rPr>
          <w:rFonts w:ascii="Verdana" w:hAnsi="Verdana"/>
          <w:sz w:val="16"/>
          <w:szCs w:val="16"/>
          <w:lang w:val="es-CO"/>
        </w:rPr>
        <w:t xml:space="preserve"> </w:t>
      </w:r>
      <w:r w:rsidRPr="0097307D">
        <w:rPr>
          <w:rFonts w:ascii="Verdana" w:hAnsi="Verdana"/>
          <w:i/>
          <w:iCs/>
          <w:sz w:val="16"/>
          <w:szCs w:val="16"/>
          <w:lang w:val="es-CO"/>
        </w:rPr>
        <w:t>vinculantes y desafortunadamente no aportan claridad</w:t>
      </w:r>
      <w:r w:rsidRPr="0097307D">
        <w:rPr>
          <w:rFonts w:ascii="Verdana" w:hAnsi="Verdana"/>
          <w:sz w:val="16"/>
          <w:szCs w:val="16"/>
          <w:lang w:val="es-CO"/>
        </w:rPr>
        <w:t xml:space="preserve"> </w:t>
      </w:r>
      <w:r w:rsidRPr="0097307D">
        <w:rPr>
          <w:rFonts w:ascii="Verdana" w:hAnsi="Verdana"/>
          <w:i/>
          <w:iCs/>
          <w:sz w:val="16"/>
          <w:szCs w:val="16"/>
          <w:lang w:val="es-CO"/>
        </w:rPr>
        <w:t>en esa materia”.</w:t>
      </w:r>
    </w:p>
    <w:p w14:paraId="7C8307A6"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i/>
          <w:iCs/>
          <w:sz w:val="16"/>
          <w:szCs w:val="16"/>
          <w:lang w:val="es-CO"/>
        </w:rPr>
        <w:t xml:space="preserve"> </w:t>
      </w:r>
      <w:r w:rsidRPr="0097307D">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97307D">
        <w:rPr>
          <w:rFonts w:ascii="Verdana" w:hAnsi="Verdana"/>
          <w:i/>
          <w:iCs/>
          <w:sz w:val="16"/>
          <w:szCs w:val="16"/>
          <w:lang w:val="es-CO"/>
        </w:rPr>
        <w:t>“la misma que sin fundamentación alguna calificó de</w:t>
      </w:r>
      <w:r w:rsidRPr="0097307D">
        <w:rPr>
          <w:rFonts w:ascii="Verdana" w:hAnsi="Verdana"/>
          <w:sz w:val="16"/>
          <w:szCs w:val="16"/>
          <w:lang w:val="es-CO"/>
        </w:rPr>
        <w:t xml:space="preserve"> </w:t>
      </w:r>
      <w:r w:rsidRPr="0097307D">
        <w:rPr>
          <w:rFonts w:ascii="Verdana" w:hAnsi="Verdana"/>
          <w:i/>
          <w:iCs/>
          <w:sz w:val="16"/>
          <w:szCs w:val="16"/>
          <w:lang w:val="es-CO"/>
        </w:rPr>
        <w:t>inconstitucional”</w:t>
      </w:r>
      <w:r w:rsidRPr="0097307D">
        <w:rPr>
          <w:rFonts w:ascii="Verdana" w:hAnsi="Verdana"/>
          <w:sz w:val="16"/>
          <w:szCs w:val="16"/>
          <w:lang w:val="es-CO"/>
        </w:rPr>
        <w:t xml:space="preserve">, al sostener y anunciar que las empresas de servicios públicos mixtas y privadas son entidades descentralizadas, sobre la base de </w:t>
      </w:r>
      <w:r w:rsidRPr="0097307D">
        <w:rPr>
          <w:rFonts w:ascii="Verdana" w:hAnsi="Verdana"/>
          <w:i/>
          <w:iCs/>
          <w:sz w:val="16"/>
          <w:szCs w:val="16"/>
          <w:lang w:val="es-CO"/>
        </w:rPr>
        <w:t>“un análisis eminentemente legal, que no</w:t>
      </w:r>
      <w:r w:rsidRPr="0097307D">
        <w:rPr>
          <w:rFonts w:ascii="Verdana" w:hAnsi="Verdana"/>
          <w:sz w:val="16"/>
          <w:szCs w:val="16"/>
          <w:lang w:val="es-CO"/>
        </w:rPr>
        <w:t xml:space="preserve"> </w:t>
      </w:r>
      <w:r w:rsidRPr="0097307D">
        <w:rPr>
          <w:rFonts w:ascii="Verdana" w:hAnsi="Verdana"/>
          <w:i/>
          <w:iCs/>
          <w:sz w:val="16"/>
          <w:szCs w:val="16"/>
          <w:lang w:val="es-CO"/>
        </w:rPr>
        <w:t xml:space="preserve">constitucional” </w:t>
      </w:r>
      <w:r w:rsidRPr="0097307D">
        <w:rPr>
          <w:rFonts w:ascii="Verdana" w:hAnsi="Verdana"/>
          <w:sz w:val="16"/>
          <w:szCs w:val="16"/>
          <w:lang w:val="es-CO"/>
        </w:rPr>
        <w:t>a partir de lo dispuesto por el artículo 38 de la Ley 489 de 1998.</w:t>
      </w:r>
    </w:p>
    <w:p w14:paraId="49C95D6C"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 xml:space="preserve">Al concluir el Señor Magistrado Fajardo Gómez anotó que las normas acusadas </w:t>
      </w:r>
      <w:r w:rsidRPr="0097307D">
        <w:rPr>
          <w:rFonts w:ascii="Verdana" w:hAnsi="Verdana"/>
          <w:i/>
          <w:iCs/>
          <w:sz w:val="16"/>
          <w:szCs w:val="16"/>
          <w:lang w:val="es-CO"/>
        </w:rPr>
        <w:t>“no sufrieron alteración alguna en cuanto a su contenido</w:t>
      </w:r>
      <w:r w:rsidRPr="0097307D">
        <w:rPr>
          <w:rFonts w:ascii="Verdana" w:hAnsi="Verdana"/>
          <w:sz w:val="16"/>
          <w:szCs w:val="16"/>
          <w:lang w:val="es-CO"/>
        </w:rPr>
        <w:t xml:space="preserve"> </w:t>
      </w:r>
      <w:r w:rsidRPr="0097307D">
        <w:rPr>
          <w:rFonts w:ascii="Verdana" w:hAnsi="Verdana"/>
          <w:i/>
          <w:iCs/>
          <w:sz w:val="16"/>
          <w:szCs w:val="16"/>
          <w:lang w:val="es-CO"/>
        </w:rPr>
        <w:t>y, por tanto, seguirán rigiendo normalmente</w:t>
      </w:r>
      <w:r w:rsidRPr="0097307D">
        <w:rPr>
          <w:rFonts w:ascii="Verdana" w:hAnsi="Verdana"/>
          <w:sz w:val="16"/>
          <w:szCs w:val="16"/>
          <w:lang w:val="es-CO"/>
        </w:rPr>
        <w:t xml:space="preserve"> </w:t>
      </w:r>
      <w:r w:rsidRPr="0097307D">
        <w:rPr>
          <w:rFonts w:ascii="Verdana" w:hAnsi="Verdana"/>
          <w:i/>
          <w:iCs/>
          <w:sz w:val="16"/>
          <w:szCs w:val="16"/>
          <w:lang w:val="es-CO"/>
        </w:rPr>
        <w:t>hacia el futuro”</w:t>
      </w:r>
      <w:r w:rsidRPr="0097307D">
        <w:rPr>
          <w:rFonts w:ascii="Verdana" w:hAnsi="Verdana"/>
          <w:sz w:val="16"/>
          <w:szCs w:val="16"/>
          <w:lang w:val="es-CO"/>
        </w:rPr>
        <w:t xml:space="preserve">, dado que se trata de una sentencia de constitucionalidad pura y simple y que –a su juicio– todo lo demás expuesto por la Corte </w:t>
      </w:r>
      <w:r w:rsidRPr="0097307D">
        <w:rPr>
          <w:rFonts w:ascii="Verdana" w:hAnsi="Verdana"/>
          <w:i/>
          <w:iCs/>
          <w:sz w:val="16"/>
          <w:szCs w:val="16"/>
          <w:lang w:val="es-CO"/>
        </w:rPr>
        <w:t>“no pasa de ser un obiter dictum que</w:t>
      </w:r>
      <w:r w:rsidRPr="0097307D">
        <w:rPr>
          <w:rFonts w:ascii="Verdana" w:hAnsi="Verdana"/>
          <w:sz w:val="16"/>
          <w:szCs w:val="16"/>
          <w:lang w:val="es-CO"/>
        </w:rPr>
        <w:t xml:space="preserve"> </w:t>
      </w:r>
      <w:r w:rsidRPr="0097307D">
        <w:rPr>
          <w:rFonts w:ascii="Verdana" w:hAnsi="Verdana"/>
          <w:i/>
          <w:iCs/>
          <w:sz w:val="16"/>
          <w:szCs w:val="16"/>
          <w:lang w:val="es-CO"/>
        </w:rPr>
        <w:t>en cada caso concreto podría ser valorado por el juez</w:t>
      </w:r>
      <w:r w:rsidRPr="0097307D">
        <w:rPr>
          <w:rFonts w:ascii="Verdana" w:hAnsi="Verdana"/>
          <w:sz w:val="16"/>
          <w:szCs w:val="16"/>
          <w:lang w:val="es-CO"/>
        </w:rPr>
        <w:t xml:space="preserve"> </w:t>
      </w:r>
      <w:r w:rsidRPr="0097307D">
        <w:rPr>
          <w:rFonts w:ascii="Verdana" w:hAnsi="Verdana"/>
          <w:i/>
          <w:iCs/>
          <w:sz w:val="16"/>
          <w:szCs w:val="16"/>
          <w:lang w:val="es-CO"/>
        </w:rPr>
        <w:t>de la respectiva causa</w:t>
      </w:r>
      <w:r w:rsidRPr="0097307D">
        <w:rPr>
          <w:rFonts w:ascii="Verdana" w:hAnsi="Verdana"/>
          <w:sz w:val="16"/>
          <w:szCs w:val="16"/>
          <w:lang w:val="es-CO"/>
        </w:rPr>
        <w:t>” (LUQUE, Guillermo Sánchez. ¿Las empresas prestadoras de servicios públicos privadas son entidades estatales? A propósito de la Sentencia C 736 de 2007. </w:t>
      </w:r>
      <w:r w:rsidRPr="0097307D">
        <w:rPr>
          <w:rFonts w:ascii="Verdana" w:hAnsi="Verdana"/>
          <w:i/>
          <w:iCs/>
          <w:sz w:val="16"/>
          <w:szCs w:val="16"/>
          <w:lang w:val="es-CO"/>
        </w:rPr>
        <w:t>Con-texto</w:t>
      </w:r>
      <w:r w:rsidRPr="0097307D">
        <w:rPr>
          <w:rFonts w:ascii="Verdana" w:hAnsi="Verdana"/>
          <w:sz w:val="16"/>
          <w:szCs w:val="16"/>
          <w:lang w:val="es-CO"/>
        </w:rPr>
        <w:t xml:space="preserve"> Revista de Derecho y Economía, 2008. Vol 25. p. 88)</w:t>
      </w:r>
    </w:p>
  </w:footnote>
  <w:footnote w:id="10">
    <w:p w14:paraId="4D11C449"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rFonts w:ascii="Verdana" w:hAnsi="Verdana"/>
          <w:sz w:val="16"/>
          <w:szCs w:val="16"/>
        </w:rPr>
        <w:footnoteRef/>
      </w:r>
      <w:r w:rsidRPr="0097307D">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97307D">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3DA40C5F" w14:textId="77777777" w:rsidR="005B6BB5" w:rsidRPr="0097307D" w:rsidRDefault="005B6BB5" w:rsidP="005B6BB5">
      <w:pPr>
        <w:pStyle w:val="Textonotapie"/>
        <w:tabs>
          <w:tab w:val="left" w:pos="6521"/>
        </w:tabs>
        <w:ind w:firstLine="708"/>
        <w:jc w:val="both"/>
        <w:rPr>
          <w:rFonts w:ascii="Verdana" w:hAnsi="Verdana"/>
          <w:sz w:val="16"/>
          <w:szCs w:val="16"/>
          <w:lang w:val="es-CO"/>
        </w:rPr>
      </w:pPr>
    </w:p>
  </w:footnote>
  <w:footnote w:id="11">
    <w:p w14:paraId="597B68E9" w14:textId="77777777" w:rsidR="005B6BB5" w:rsidRPr="0097307D" w:rsidRDefault="005B6BB5" w:rsidP="005B6BB5">
      <w:pPr>
        <w:pStyle w:val="Textonotapie"/>
        <w:tabs>
          <w:tab w:val="left" w:pos="6521"/>
        </w:tabs>
        <w:ind w:firstLine="708"/>
        <w:jc w:val="both"/>
        <w:rPr>
          <w:rFonts w:ascii="Verdana" w:hAnsi="Verdana"/>
          <w:sz w:val="16"/>
          <w:szCs w:val="16"/>
          <w:lang w:val="es-ES"/>
        </w:rPr>
      </w:pPr>
      <w:r w:rsidRPr="0097307D">
        <w:rPr>
          <w:rStyle w:val="Refdenotaalpie"/>
          <w:rFonts w:ascii="Verdana" w:hAnsi="Verdana"/>
          <w:sz w:val="16"/>
          <w:szCs w:val="16"/>
        </w:rPr>
        <w:footnoteRef/>
      </w:r>
      <w:r w:rsidRPr="0097307D">
        <w:rPr>
          <w:rFonts w:ascii="Verdana" w:hAnsi="Verdana"/>
          <w:sz w:val="16"/>
          <w:szCs w:val="16"/>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12">
    <w:p w14:paraId="6E7488A9" w14:textId="77777777" w:rsidR="005B6BB5" w:rsidRPr="0097307D" w:rsidRDefault="005B6BB5" w:rsidP="005B6BB5">
      <w:pPr>
        <w:pStyle w:val="Textonotapie"/>
        <w:tabs>
          <w:tab w:val="left" w:pos="6521"/>
        </w:tabs>
        <w:ind w:firstLine="709"/>
        <w:jc w:val="both"/>
        <w:rPr>
          <w:rFonts w:ascii="Verdana" w:hAnsi="Verdana" w:cs="Arial"/>
          <w:sz w:val="16"/>
          <w:szCs w:val="16"/>
          <w:lang w:val="es-ES"/>
        </w:rPr>
      </w:pPr>
      <w:r w:rsidRPr="0097307D">
        <w:rPr>
          <w:rStyle w:val="Refdenotaalpie"/>
          <w:rFonts w:ascii="Verdana" w:hAnsi="Verdana" w:cs="Arial"/>
          <w:sz w:val="16"/>
          <w:szCs w:val="16"/>
        </w:rPr>
        <w:footnoteRef/>
      </w:r>
      <w:r w:rsidRPr="0097307D">
        <w:rPr>
          <w:rFonts w:ascii="Verdana" w:hAnsi="Verdana" w:cs="Arial"/>
          <w:sz w:val="16"/>
          <w:szCs w:val="16"/>
        </w:rPr>
        <w:t xml:space="preserve"> </w:t>
      </w:r>
      <w:r w:rsidRPr="0097307D">
        <w:rPr>
          <w:rFonts w:ascii="Verdana" w:hAnsi="Verdana" w:cs="Arial"/>
          <w:sz w:val="16"/>
          <w:szCs w:val="16"/>
          <w:lang w:val="es-ES"/>
        </w:rPr>
        <w:t>BOBBIO, Norberto. Democracia y secreto. México: Fondo de Cultura Económica, 2013. p. 27.</w:t>
      </w:r>
    </w:p>
  </w:footnote>
  <w:footnote w:id="13">
    <w:p w14:paraId="07ABA951" w14:textId="77777777" w:rsidR="005B6BB5" w:rsidRPr="0097307D" w:rsidRDefault="005B6BB5" w:rsidP="005B6BB5">
      <w:pPr>
        <w:pStyle w:val="Textonotapie"/>
        <w:tabs>
          <w:tab w:val="left" w:pos="6521"/>
        </w:tabs>
        <w:ind w:firstLine="709"/>
        <w:jc w:val="both"/>
        <w:rPr>
          <w:rFonts w:ascii="Verdana" w:hAnsi="Verdana" w:cs="Arial"/>
          <w:color w:val="000000" w:themeColor="text1"/>
          <w:sz w:val="16"/>
          <w:szCs w:val="16"/>
        </w:rPr>
      </w:pPr>
      <w:r w:rsidRPr="0097307D">
        <w:rPr>
          <w:rStyle w:val="Refdenotaalpie"/>
          <w:rFonts w:ascii="Verdana" w:hAnsi="Verdana" w:cs="Arial"/>
          <w:color w:val="000000" w:themeColor="text1"/>
          <w:sz w:val="16"/>
          <w:szCs w:val="16"/>
        </w:rPr>
        <w:footnoteRef/>
      </w:r>
      <w:r w:rsidRPr="0097307D">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5F8B4DE2" w14:textId="77777777" w:rsidR="005B6BB5" w:rsidRPr="0097307D" w:rsidRDefault="005B6BB5" w:rsidP="005B6BB5">
      <w:pPr>
        <w:pStyle w:val="Textonotapie"/>
        <w:tabs>
          <w:tab w:val="left" w:pos="6521"/>
        </w:tabs>
        <w:ind w:firstLine="709"/>
        <w:jc w:val="both"/>
        <w:rPr>
          <w:rFonts w:ascii="Verdana" w:hAnsi="Verdana" w:cs="Arial"/>
          <w:color w:val="000000" w:themeColor="text1"/>
          <w:sz w:val="16"/>
          <w:szCs w:val="16"/>
          <w:lang w:val="es-CO"/>
        </w:rPr>
      </w:pPr>
    </w:p>
  </w:footnote>
  <w:footnote w:id="14">
    <w:p w14:paraId="7E37BF8C" w14:textId="77777777" w:rsidR="005B6BB5" w:rsidRPr="0097307D" w:rsidRDefault="005B6BB5" w:rsidP="005B6BB5">
      <w:pPr>
        <w:pStyle w:val="Textonotapie"/>
        <w:tabs>
          <w:tab w:val="left" w:pos="6521"/>
        </w:tabs>
        <w:ind w:firstLine="709"/>
        <w:jc w:val="both"/>
        <w:rPr>
          <w:rFonts w:ascii="Verdana" w:hAnsi="Verdana" w:cs="Arial"/>
          <w:color w:val="000000" w:themeColor="text1"/>
          <w:sz w:val="16"/>
          <w:szCs w:val="16"/>
        </w:rPr>
      </w:pPr>
      <w:r w:rsidRPr="0097307D">
        <w:rPr>
          <w:rFonts w:ascii="Verdana" w:eastAsia="Times New Roman" w:hAnsi="Verdana" w:cs="Arial"/>
          <w:color w:val="000000" w:themeColor="text1"/>
          <w:sz w:val="16"/>
          <w:szCs w:val="16"/>
          <w:vertAlign w:val="superscript"/>
          <w:lang w:val="es-ES" w:eastAsia="es-ES"/>
        </w:rPr>
        <w:footnoteRef/>
      </w:r>
      <w:r w:rsidRPr="0097307D">
        <w:rPr>
          <w:rFonts w:ascii="Verdana" w:eastAsia="Times New Roman" w:hAnsi="Verdana" w:cs="Arial"/>
          <w:color w:val="000000" w:themeColor="text1"/>
          <w:sz w:val="16"/>
          <w:szCs w:val="16"/>
          <w:vertAlign w:val="superscript"/>
          <w:lang w:val="es-ES" w:eastAsia="es-ES"/>
        </w:rPr>
        <w:t xml:space="preserve"> </w:t>
      </w:r>
      <w:r w:rsidRPr="0097307D">
        <w:rPr>
          <w:rFonts w:ascii="Verdana" w:eastAsia="Times New Roman" w:hAnsi="Verdana" w:cs="Arial"/>
          <w:color w:val="000000" w:themeColor="text1"/>
          <w:sz w:val="16"/>
          <w:szCs w:val="16"/>
          <w:lang w:val="es-ES" w:eastAsia="es-ES"/>
        </w:rPr>
        <w:t>«</w:t>
      </w:r>
      <w:r w:rsidRPr="0097307D">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BBC6601" w14:textId="77777777" w:rsidR="005B6BB5" w:rsidRPr="0097307D" w:rsidRDefault="005B6BB5" w:rsidP="005B6BB5">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hAnsi="Verdana" w:cs="Arial"/>
          <w:color w:val="000000" w:themeColor="text1"/>
          <w:sz w:val="16"/>
          <w:szCs w:val="16"/>
        </w:rPr>
        <w:t>[…].</w:t>
      </w:r>
    </w:p>
    <w:p w14:paraId="45A20FDA" w14:textId="77777777" w:rsidR="005B6BB5" w:rsidRPr="0097307D" w:rsidRDefault="005B6BB5" w:rsidP="005B6BB5">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7546EFB7" w14:textId="77777777" w:rsidR="005B6BB5" w:rsidRPr="0097307D" w:rsidRDefault="005B6BB5" w:rsidP="005B6BB5">
      <w:pPr>
        <w:pStyle w:val="Textonotapie"/>
        <w:tabs>
          <w:tab w:val="left" w:pos="6521"/>
        </w:tabs>
        <w:ind w:firstLine="709"/>
        <w:jc w:val="both"/>
        <w:rPr>
          <w:rFonts w:ascii="Verdana" w:eastAsia="Times New Roman" w:hAnsi="Verdana" w:cs="Arial"/>
          <w:color w:val="000000" w:themeColor="text1"/>
          <w:sz w:val="16"/>
          <w:szCs w:val="16"/>
          <w:lang w:val="es-ES" w:eastAsia="es-ES"/>
        </w:rPr>
      </w:pPr>
    </w:p>
  </w:footnote>
  <w:footnote w:id="15">
    <w:p w14:paraId="3D67314C" w14:textId="77777777" w:rsidR="005B6BB5" w:rsidRPr="0097307D" w:rsidRDefault="005B6BB5" w:rsidP="005B6BB5">
      <w:pPr>
        <w:pStyle w:val="Textonotapie"/>
        <w:tabs>
          <w:tab w:val="left" w:pos="6521"/>
        </w:tabs>
        <w:ind w:firstLine="709"/>
        <w:jc w:val="both"/>
        <w:rPr>
          <w:rFonts w:ascii="Verdana" w:hAnsi="Verdana" w:cs="Arial"/>
          <w:color w:val="000000"/>
          <w:sz w:val="16"/>
          <w:szCs w:val="16"/>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lang w:val="pt-BR"/>
        </w:rPr>
        <w:t xml:space="preserve"> C</w:t>
      </w:r>
      <w:r w:rsidRPr="0097307D">
        <w:rPr>
          <w:rFonts w:ascii="Verdana" w:eastAsia="Times New Roman" w:hAnsi="Verdana" w:cs="Arial"/>
          <w:color w:val="000000"/>
          <w:sz w:val="16"/>
          <w:szCs w:val="16"/>
          <w:lang w:val="pt-BR" w:eastAsia="es-ES"/>
        </w:rPr>
        <w:t xml:space="preserve">ORTE CONSTITUCIONAL. Sentencia C‒274 de 2013. </w:t>
      </w:r>
      <w:r w:rsidRPr="0097307D">
        <w:rPr>
          <w:rFonts w:ascii="Verdana" w:eastAsia="Times New Roman" w:hAnsi="Verdana" w:cs="Arial"/>
          <w:color w:val="000000"/>
          <w:sz w:val="16"/>
          <w:szCs w:val="16"/>
          <w:lang w:val="es-ES" w:eastAsia="es-ES"/>
        </w:rPr>
        <w:t>M.P. Mar</w:t>
      </w:r>
      <w:r w:rsidRPr="0097307D">
        <w:rPr>
          <w:rFonts w:ascii="Verdana" w:eastAsia="Times New Roman" w:hAnsi="Verdana" w:cs="Century Gothic"/>
          <w:color w:val="000000"/>
          <w:sz w:val="16"/>
          <w:szCs w:val="16"/>
          <w:lang w:val="es-ES" w:eastAsia="es-ES"/>
        </w:rPr>
        <w:t>í</w:t>
      </w:r>
      <w:r w:rsidRPr="0097307D">
        <w:rPr>
          <w:rFonts w:ascii="Verdana" w:eastAsia="Times New Roman" w:hAnsi="Verdana" w:cs="Arial"/>
          <w:color w:val="000000"/>
          <w:sz w:val="16"/>
          <w:szCs w:val="16"/>
          <w:lang w:val="es-ES" w:eastAsia="es-ES"/>
        </w:rPr>
        <w:t xml:space="preserve">a Victoria Calle Correa. </w:t>
      </w:r>
    </w:p>
    <w:p w14:paraId="3ADB0727" w14:textId="77777777" w:rsidR="005B6BB5" w:rsidRPr="0097307D" w:rsidRDefault="005B6BB5" w:rsidP="005B6BB5">
      <w:pPr>
        <w:pStyle w:val="Textonotapie"/>
        <w:tabs>
          <w:tab w:val="left" w:pos="6521"/>
        </w:tabs>
        <w:ind w:firstLine="709"/>
        <w:jc w:val="both"/>
        <w:rPr>
          <w:rFonts w:ascii="Verdana" w:hAnsi="Verdana" w:cs="Arial"/>
          <w:color w:val="000000"/>
          <w:sz w:val="16"/>
          <w:szCs w:val="16"/>
          <w:lang w:val="es-CO"/>
        </w:rPr>
      </w:pPr>
    </w:p>
  </w:footnote>
  <w:footnote w:id="16">
    <w:p w14:paraId="7FAE3523" w14:textId="77777777" w:rsidR="005B6BB5" w:rsidRPr="0097307D" w:rsidRDefault="005B6BB5" w:rsidP="005B6BB5">
      <w:pPr>
        <w:pStyle w:val="Textonotapie"/>
        <w:tabs>
          <w:tab w:val="left" w:pos="6521"/>
        </w:tabs>
        <w:ind w:firstLine="708"/>
        <w:jc w:val="both"/>
        <w:rPr>
          <w:rFonts w:ascii="Verdana" w:hAnsi="Verdana" w:cs="Arial"/>
          <w:color w:val="000000"/>
          <w:sz w:val="16"/>
          <w:szCs w:val="16"/>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593974FA" w14:textId="77777777" w:rsidR="005B6BB5" w:rsidRPr="0097307D" w:rsidRDefault="005B6BB5" w:rsidP="005B6BB5">
      <w:pPr>
        <w:pStyle w:val="Textonotapie"/>
        <w:tabs>
          <w:tab w:val="left" w:pos="6521"/>
        </w:tabs>
        <w:ind w:firstLine="708"/>
        <w:jc w:val="both"/>
        <w:rPr>
          <w:rFonts w:ascii="Verdana" w:hAnsi="Verdana" w:cs="Arial"/>
          <w:color w:val="000000"/>
          <w:sz w:val="16"/>
          <w:szCs w:val="16"/>
        </w:rPr>
      </w:pPr>
      <w:r w:rsidRPr="0097307D">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17">
    <w:p w14:paraId="0C497F01"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rFonts w:ascii="Verdana" w:hAnsi="Verdana"/>
          <w:sz w:val="16"/>
          <w:szCs w:val="16"/>
        </w:rPr>
        <w:footnoteRef/>
      </w:r>
      <w:r w:rsidRPr="0097307D">
        <w:rPr>
          <w:rFonts w:ascii="Verdana" w:hAnsi="Verdana"/>
          <w:sz w:val="16"/>
          <w:szCs w:val="16"/>
        </w:rPr>
        <w:t xml:space="preserve"> </w:t>
      </w:r>
      <w:r w:rsidRPr="0097307D">
        <w:rPr>
          <w:rFonts w:ascii="Verdana" w:hAnsi="Verdana"/>
          <w:bCs/>
          <w:sz w:val="16"/>
          <w:szCs w:val="16"/>
          <w:lang w:val="es-CO"/>
        </w:rPr>
        <w:t>Artículo 53.</w:t>
      </w:r>
      <w:r w:rsidRPr="0097307D">
        <w:rPr>
          <w:rFonts w:ascii="Verdana" w:hAnsi="Verdana"/>
          <w:sz w:val="16"/>
          <w:szCs w:val="16"/>
          <w:lang w:val="es-CO"/>
        </w:rPr>
        <w:t> Adiciónese los siguientes incisos al artículo 13 de la Ley 1150 de 2007, el cual quedará así: </w:t>
      </w:r>
    </w:p>
    <w:p w14:paraId="7A99F737"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bCs/>
          <w:sz w:val="16"/>
          <w:szCs w:val="16"/>
          <w:lang w:val="es-CO"/>
        </w:rPr>
        <w:t>Artículo 13. Principios generales de la actividad contractual para entidades no sometidas al Estatuto General de Contratación de la Administración Pública.</w:t>
      </w:r>
      <w:r w:rsidRPr="0097307D">
        <w:rPr>
          <w:rFonts w:ascii="Verdana" w:hAnsi="Verdana"/>
          <w:sz w:val="16"/>
          <w:szCs w:val="16"/>
          <w:lang w:val="es-CO"/>
        </w:rPr>
        <w:t>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7FADFF79"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 </w:t>
      </w:r>
    </w:p>
    <w:p w14:paraId="512EC6F5"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A partir de la entrada en vigencia de la presente Ley, se establecerá un periodo de transición de seis (6) meses, para que las entidades den cumplimiento efectivo a lo aquí establecido. </w:t>
      </w:r>
    </w:p>
  </w:footnote>
  <w:footnote w:id="18">
    <w:p w14:paraId="0A93848B" w14:textId="77777777" w:rsidR="005B6BB5" w:rsidRPr="0097307D" w:rsidRDefault="005B6BB5" w:rsidP="005B6BB5">
      <w:pPr>
        <w:pStyle w:val="Textonotapie"/>
        <w:tabs>
          <w:tab w:val="left" w:pos="6521"/>
        </w:tabs>
        <w:ind w:firstLine="708"/>
        <w:rPr>
          <w:rFonts w:ascii="Verdana" w:hAnsi="Verdana"/>
          <w:sz w:val="16"/>
          <w:szCs w:val="16"/>
          <w:lang w:val="es-ES"/>
        </w:rPr>
      </w:pPr>
      <w:r w:rsidRPr="0097307D">
        <w:rPr>
          <w:rStyle w:val="Refdenotaalpie"/>
          <w:rFonts w:ascii="Verdana" w:hAnsi="Verdana"/>
          <w:sz w:val="16"/>
          <w:szCs w:val="16"/>
        </w:rPr>
        <w:footnoteRef/>
      </w:r>
      <w:r w:rsidRPr="0097307D">
        <w:rPr>
          <w:rFonts w:ascii="Verdana" w:hAnsi="Verdana"/>
          <w:sz w:val="16"/>
          <w:szCs w:val="16"/>
        </w:rPr>
        <w:t xml:space="preserve"> CONSEJO DE ESTADO. Sección Quinta. Sentencia del veinte (20) de febrero de dos mil veinticinco (2025). Rad. </w:t>
      </w:r>
      <w:r w:rsidRPr="0097307D">
        <w:rPr>
          <w:rFonts w:ascii="Verdana" w:hAnsi="Verdana"/>
          <w:sz w:val="16"/>
          <w:szCs w:val="16"/>
          <w:lang w:val="es-CO"/>
        </w:rPr>
        <w:t xml:space="preserve">25000-23-41-000-2024-01938-01. C.P. Pedro Pablo Vanegas Gil. </w:t>
      </w:r>
    </w:p>
  </w:footnote>
  <w:footnote w:id="19">
    <w:p w14:paraId="58506C50"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Style w:val="Refdenotaalpie"/>
          <w:rFonts w:ascii="Verdana" w:hAnsi="Verdana"/>
          <w:sz w:val="16"/>
          <w:szCs w:val="16"/>
        </w:rPr>
        <w:footnoteRef/>
      </w:r>
      <w:r w:rsidRPr="0097307D">
        <w:rPr>
          <w:rFonts w:ascii="Verdana" w:hAnsi="Verdana"/>
          <w:sz w:val="16"/>
          <w:szCs w:val="16"/>
        </w:rPr>
        <w:t xml:space="preserve"> “</w:t>
      </w:r>
      <w:r w:rsidRPr="0097307D">
        <w:rPr>
          <w:rFonts w:ascii="Verdana" w:hAnsi="Verdana"/>
          <w:bCs/>
          <w:sz w:val="16"/>
          <w:szCs w:val="16"/>
          <w:lang w:val="es-CO"/>
        </w:rPr>
        <w:t>Artículo 3°.</w:t>
      </w:r>
      <w:r w:rsidRPr="0097307D">
        <w:rPr>
          <w:rFonts w:ascii="Verdana" w:hAnsi="Verdana"/>
          <w:i/>
          <w:iCs/>
          <w:sz w:val="16"/>
          <w:szCs w:val="16"/>
          <w:lang w:val="es-CO"/>
        </w:rPr>
        <w:t> Funciones.</w:t>
      </w:r>
      <w:r w:rsidRPr="0097307D">
        <w:rPr>
          <w:rFonts w:ascii="Verdana" w:hAnsi="Verdana"/>
          <w:sz w:val="16"/>
          <w:szCs w:val="16"/>
          <w:lang w:val="es-CO"/>
        </w:rPr>
        <w:t> La Agencia Nacional de Contratación Pública -Colombia Compra Eficiente- ejercerá las siguientes funciones: […]</w:t>
      </w:r>
    </w:p>
    <w:p w14:paraId="20580C29"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2.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w:t>
      </w:r>
    </w:p>
    <w:p w14:paraId="6CD7453A"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 5. Absolver consultas sobre la aplicación de normas de carácter general y expedir circulares externas en materia de compras y contratación pública.</w:t>
      </w:r>
    </w:p>
    <w:p w14:paraId="1987B517" w14:textId="77777777" w:rsidR="005B6BB5" w:rsidRPr="0097307D" w:rsidRDefault="005B6BB5" w:rsidP="005B6BB5">
      <w:pPr>
        <w:pStyle w:val="Textonotapie"/>
        <w:tabs>
          <w:tab w:val="left" w:pos="6521"/>
        </w:tabs>
        <w:ind w:firstLine="708"/>
        <w:jc w:val="both"/>
        <w:rPr>
          <w:rFonts w:ascii="Verdana" w:hAnsi="Verdana"/>
          <w:sz w:val="16"/>
          <w:szCs w:val="16"/>
          <w:lang w:val="es-CO"/>
        </w:rPr>
      </w:pPr>
      <w:r w:rsidRPr="0097307D">
        <w:rPr>
          <w:rFonts w:ascii="Verdana" w:hAnsi="Verdana"/>
          <w:sz w:val="16"/>
          <w:szCs w:val="16"/>
          <w:lang w:val="es-CO"/>
        </w:rPr>
        <w:t>[…] 8. Desarrollar y administrar el Sistema Electrónico para la Contratación Pública (SECOP) o el que haga sus veces, y gestionar nuevos desarrollos tecnológicos en los asuntos de su competencia, teniendo en cuenta los parámetros fijados por el Consejo Directivo”. </w:t>
      </w:r>
    </w:p>
    <w:p w14:paraId="063ADFF1" w14:textId="77777777" w:rsidR="005B6BB5" w:rsidRPr="0097307D" w:rsidRDefault="005B6BB5" w:rsidP="005B6BB5">
      <w:pPr>
        <w:pStyle w:val="Textonotapie"/>
        <w:tabs>
          <w:tab w:val="left" w:pos="6521"/>
        </w:tabs>
        <w:jc w:val="both"/>
        <w:rPr>
          <w:rFonts w:ascii="Verdana" w:hAnsi="Verdana"/>
          <w:sz w:val="16"/>
          <w:szCs w:val="16"/>
          <w:lang w:val="es-CO"/>
        </w:rPr>
      </w:pPr>
    </w:p>
  </w:footnote>
  <w:footnote w:id="20">
    <w:p w14:paraId="1BADD6F4" w14:textId="77777777" w:rsidR="005B6BB5" w:rsidRPr="0097307D" w:rsidRDefault="005B6BB5" w:rsidP="005B6BB5">
      <w:pPr>
        <w:pStyle w:val="Textonotapie"/>
        <w:tabs>
          <w:tab w:val="left" w:pos="6521"/>
        </w:tabs>
        <w:ind w:firstLine="708"/>
        <w:jc w:val="both"/>
        <w:rPr>
          <w:rFonts w:ascii="Verdana" w:hAnsi="Verdana"/>
          <w:sz w:val="16"/>
          <w:szCs w:val="16"/>
          <w:lang w:val="es-ES"/>
        </w:rPr>
      </w:pPr>
      <w:r w:rsidRPr="0097307D">
        <w:rPr>
          <w:rStyle w:val="Refdenotaalpie"/>
          <w:rFonts w:ascii="Verdana" w:hAnsi="Verdana"/>
          <w:sz w:val="16"/>
          <w:szCs w:val="16"/>
        </w:rPr>
        <w:footnoteRef/>
      </w:r>
      <w:r w:rsidRPr="0097307D">
        <w:rPr>
          <w:rFonts w:ascii="Verdana" w:hAnsi="Verdana"/>
          <w:sz w:val="16"/>
          <w:szCs w:val="16"/>
        </w:rPr>
        <w:t xml:space="preserve"> AGENCIA NACIONAL DE CONTRATACIÓN PÚBLICA –COLOMBIA COMPRA EFICIENTE. Circular Externa Única, 2023. p. 9. </w:t>
      </w:r>
    </w:p>
  </w:footnote>
  <w:footnote w:id="21">
    <w:p w14:paraId="771BFD2B" w14:textId="77777777" w:rsidR="005B6BB5" w:rsidRPr="00E22A07" w:rsidRDefault="005B6BB5" w:rsidP="005B6BB5">
      <w:pPr>
        <w:pStyle w:val="Textonotapie"/>
        <w:tabs>
          <w:tab w:val="left" w:pos="6521"/>
        </w:tabs>
        <w:ind w:firstLine="708"/>
        <w:rPr>
          <w:rFonts w:ascii="Verdana" w:hAnsi="Verdana"/>
          <w:sz w:val="12"/>
          <w:szCs w:val="12"/>
          <w:lang w:val="es-ES"/>
        </w:rPr>
      </w:pPr>
      <w:r w:rsidRPr="0097307D">
        <w:rPr>
          <w:rStyle w:val="Refdenotaalpie"/>
          <w:rFonts w:ascii="Verdana" w:hAnsi="Verdana"/>
          <w:sz w:val="16"/>
          <w:szCs w:val="16"/>
        </w:rPr>
        <w:footnoteRef/>
      </w:r>
      <w:r w:rsidRPr="0097307D">
        <w:rPr>
          <w:rFonts w:ascii="Verdana" w:hAnsi="Verdana"/>
          <w:sz w:val="16"/>
          <w:szCs w:val="16"/>
        </w:rPr>
        <w:t xml:space="preserve"> AUDITORÍA GENERAL DE LA REPÚBLICA. Concepto</w:t>
      </w:r>
      <w:r w:rsidRPr="0097307D">
        <w:rPr>
          <w:rFonts w:ascii="Verdana" w:hAnsi="Verdana"/>
          <w:sz w:val="16"/>
          <w:szCs w:val="16"/>
          <w:lang w:val="es-CO"/>
        </w:rPr>
        <w:t xml:space="preserve"> 110.069.2025 del 1 de diciembre de 2025.</w:t>
      </w:r>
      <w:r w:rsidRPr="00E22A07">
        <w:rPr>
          <w:rFonts w:ascii="Verdana" w:hAnsi="Verdana"/>
          <w:sz w:val="12"/>
          <w:szCs w:val="12"/>
          <w:lang w:val="es-CO"/>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43968" w:rsidRDefault="0044396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43968" w:rsidRDefault="00443968">
    <w:pPr>
      <w:pStyle w:val="Encabezado"/>
    </w:pPr>
  </w:p>
  <w:p w14:paraId="5E18350A" w14:textId="705F7B76" w:rsidR="00443968" w:rsidRPr="004A305D" w:rsidRDefault="00443968" w:rsidP="00B01B1A">
    <w:pPr>
      <w:spacing w:after="0" w:line="120" w:lineRule="auto"/>
      <w:rPr>
        <w:rFonts w:ascii="Century Gothic" w:eastAsia="Geo" w:hAnsi="Century Gothic" w:cs="Geo"/>
        <w:sz w:val="16"/>
        <w:szCs w:val="16"/>
        <w:lang w:eastAsia="es-CO"/>
      </w:rPr>
    </w:pPr>
  </w:p>
  <w:p w14:paraId="211B7F5D" w14:textId="77777777" w:rsidR="00443968" w:rsidRDefault="00443968" w:rsidP="00844AE9">
    <w:pPr>
      <w:spacing w:after="0" w:line="240" w:lineRule="auto"/>
      <w:rPr>
        <w:rFonts w:ascii="Verdana" w:hAnsi="Verdana"/>
        <w:sz w:val="24"/>
        <w:szCs w:val="24"/>
      </w:rPr>
    </w:pPr>
  </w:p>
  <w:p w14:paraId="5A0054B1" w14:textId="77777777" w:rsidR="00443968" w:rsidRPr="00C925AC" w:rsidRDefault="00443968" w:rsidP="00844AE9">
    <w:pPr>
      <w:spacing w:after="0" w:line="240" w:lineRule="auto"/>
      <w:rPr>
        <w:rFonts w:ascii="Verdana" w:hAnsi="Verdana"/>
        <w:sz w:val="24"/>
        <w:szCs w:val="24"/>
      </w:rPr>
    </w:pPr>
  </w:p>
  <w:p w14:paraId="1FD1C243" w14:textId="37C5500A" w:rsidR="00443968" w:rsidRPr="00C925AC" w:rsidRDefault="0044396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BFB0D20"/>
    <w:multiLevelType w:val="hybridMultilevel"/>
    <w:tmpl w:val="8954CDC0"/>
    <w:lvl w:ilvl="0" w:tplc="BDC00656">
      <w:start w:val="1"/>
      <w:numFmt w:val="bullet"/>
      <w:lvlText w:val="-"/>
      <w:lvlJc w:val="left"/>
      <w:pPr>
        <w:ind w:left="435" w:hanging="360"/>
      </w:pPr>
      <w:rPr>
        <w:rFonts w:ascii="Verdana" w:eastAsia="Calibri" w:hAnsi="Verdana" w:cs="Arial"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2790"/>
    <w:rsid w:val="00012A71"/>
    <w:rsid w:val="00016F78"/>
    <w:rsid w:val="00046945"/>
    <w:rsid w:val="00061B2A"/>
    <w:rsid w:val="00082362"/>
    <w:rsid w:val="000A683E"/>
    <w:rsid w:val="000B07AC"/>
    <w:rsid w:val="000B1417"/>
    <w:rsid w:val="000B19B9"/>
    <w:rsid w:val="000D0334"/>
    <w:rsid w:val="000D5DA7"/>
    <w:rsid w:val="000F6486"/>
    <w:rsid w:val="00116940"/>
    <w:rsid w:val="00125105"/>
    <w:rsid w:val="00127233"/>
    <w:rsid w:val="0015699B"/>
    <w:rsid w:val="001A33BF"/>
    <w:rsid w:val="001B0ECC"/>
    <w:rsid w:val="001C0417"/>
    <w:rsid w:val="001E4177"/>
    <w:rsid w:val="001E679F"/>
    <w:rsid w:val="001F0B24"/>
    <w:rsid w:val="001F7DC6"/>
    <w:rsid w:val="00223020"/>
    <w:rsid w:val="0022400B"/>
    <w:rsid w:val="002253DA"/>
    <w:rsid w:val="002421BB"/>
    <w:rsid w:val="0025796E"/>
    <w:rsid w:val="002707A2"/>
    <w:rsid w:val="002951A0"/>
    <w:rsid w:val="002962BC"/>
    <w:rsid w:val="002A093D"/>
    <w:rsid w:val="002A0DD0"/>
    <w:rsid w:val="002A49AC"/>
    <w:rsid w:val="002A64FD"/>
    <w:rsid w:val="002B730F"/>
    <w:rsid w:val="002C7A84"/>
    <w:rsid w:val="002E2BF8"/>
    <w:rsid w:val="002E4FD9"/>
    <w:rsid w:val="0030657A"/>
    <w:rsid w:val="00313B99"/>
    <w:rsid w:val="00322A85"/>
    <w:rsid w:val="00324168"/>
    <w:rsid w:val="00330834"/>
    <w:rsid w:val="003448F4"/>
    <w:rsid w:val="003518C7"/>
    <w:rsid w:val="0037015E"/>
    <w:rsid w:val="00374F5E"/>
    <w:rsid w:val="00377E3E"/>
    <w:rsid w:val="003A779E"/>
    <w:rsid w:val="003D0F4D"/>
    <w:rsid w:val="003D5B0D"/>
    <w:rsid w:val="003E0499"/>
    <w:rsid w:val="003E4F80"/>
    <w:rsid w:val="003E6439"/>
    <w:rsid w:val="003F3941"/>
    <w:rsid w:val="00406575"/>
    <w:rsid w:val="00414C74"/>
    <w:rsid w:val="00420EAB"/>
    <w:rsid w:val="0042722E"/>
    <w:rsid w:val="00443968"/>
    <w:rsid w:val="0044528D"/>
    <w:rsid w:val="00466E39"/>
    <w:rsid w:val="00495D3E"/>
    <w:rsid w:val="004A1847"/>
    <w:rsid w:val="004A305D"/>
    <w:rsid w:val="004F21C4"/>
    <w:rsid w:val="004F685F"/>
    <w:rsid w:val="00531C38"/>
    <w:rsid w:val="00553DD8"/>
    <w:rsid w:val="005566E8"/>
    <w:rsid w:val="00574867"/>
    <w:rsid w:val="00591460"/>
    <w:rsid w:val="005A65E0"/>
    <w:rsid w:val="005B6BB5"/>
    <w:rsid w:val="005C3777"/>
    <w:rsid w:val="005C5CDC"/>
    <w:rsid w:val="005D476C"/>
    <w:rsid w:val="005F2D07"/>
    <w:rsid w:val="0060475D"/>
    <w:rsid w:val="00606D63"/>
    <w:rsid w:val="006200BF"/>
    <w:rsid w:val="006219F8"/>
    <w:rsid w:val="006273DB"/>
    <w:rsid w:val="006302F7"/>
    <w:rsid w:val="0063535B"/>
    <w:rsid w:val="00646B9F"/>
    <w:rsid w:val="00665D70"/>
    <w:rsid w:val="006900D9"/>
    <w:rsid w:val="006A31A8"/>
    <w:rsid w:val="00706C16"/>
    <w:rsid w:val="00713888"/>
    <w:rsid w:val="007340C3"/>
    <w:rsid w:val="0075235A"/>
    <w:rsid w:val="00756841"/>
    <w:rsid w:val="007649AB"/>
    <w:rsid w:val="00771D0C"/>
    <w:rsid w:val="007833AC"/>
    <w:rsid w:val="007A1830"/>
    <w:rsid w:val="007B268C"/>
    <w:rsid w:val="007B7171"/>
    <w:rsid w:val="007C0C0F"/>
    <w:rsid w:val="007C3DC2"/>
    <w:rsid w:val="007E5497"/>
    <w:rsid w:val="0080227D"/>
    <w:rsid w:val="00806F5F"/>
    <w:rsid w:val="00820278"/>
    <w:rsid w:val="008258C9"/>
    <w:rsid w:val="00842758"/>
    <w:rsid w:val="00844AE9"/>
    <w:rsid w:val="00867F95"/>
    <w:rsid w:val="00880AF1"/>
    <w:rsid w:val="008843B6"/>
    <w:rsid w:val="00891928"/>
    <w:rsid w:val="008A446D"/>
    <w:rsid w:val="008B25F1"/>
    <w:rsid w:val="008C1E52"/>
    <w:rsid w:val="008D180B"/>
    <w:rsid w:val="008F0EA7"/>
    <w:rsid w:val="00923EEF"/>
    <w:rsid w:val="009419F9"/>
    <w:rsid w:val="0095685E"/>
    <w:rsid w:val="00961B09"/>
    <w:rsid w:val="00965334"/>
    <w:rsid w:val="0097093E"/>
    <w:rsid w:val="0097307D"/>
    <w:rsid w:val="009A0DFA"/>
    <w:rsid w:val="009B2D26"/>
    <w:rsid w:val="009C5581"/>
    <w:rsid w:val="009C71FA"/>
    <w:rsid w:val="009C72E7"/>
    <w:rsid w:val="009C7F7E"/>
    <w:rsid w:val="009D3058"/>
    <w:rsid w:val="009F3A13"/>
    <w:rsid w:val="00A05DBC"/>
    <w:rsid w:val="00A122D3"/>
    <w:rsid w:val="00A14468"/>
    <w:rsid w:val="00A17F13"/>
    <w:rsid w:val="00A20739"/>
    <w:rsid w:val="00A23AF9"/>
    <w:rsid w:val="00A33C78"/>
    <w:rsid w:val="00A467EE"/>
    <w:rsid w:val="00AB0ADB"/>
    <w:rsid w:val="00AC58FE"/>
    <w:rsid w:val="00AE7C45"/>
    <w:rsid w:val="00AF130A"/>
    <w:rsid w:val="00B00C0E"/>
    <w:rsid w:val="00B01B1A"/>
    <w:rsid w:val="00B44A47"/>
    <w:rsid w:val="00B72CD3"/>
    <w:rsid w:val="00B72FFF"/>
    <w:rsid w:val="00BC3D36"/>
    <w:rsid w:val="00BD54A6"/>
    <w:rsid w:val="00BD7F72"/>
    <w:rsid w:val="00BF7425"/>
    <w:rsid w:val="00C04FB3"/>
    <w:rsid w:val="00C11D8B"/>
    <w:rsid w:val="00C330EB"/>
    <w:rsid w:val="00C50D69"/>
    <w:rsid w:val="00C5365C"/>
    <w:rsid w:val="00C55F8A"/>
    <w:rsid w:val="00C612FD"/>
    <w:rsid w:val="00C754BE"/>
    <w:rsid w:val="00C76B1C"/>
    <w:rsid w:val="00C85D94"/>
    <w:rsid w:val="00C925AC"/>
    <w:rsid w:val="00CB6357"/>
    <w:rsid w:val="00CC1B26"/>
    <w:rsid w:val="00CD3E1E"/>
    <w:rsid w:val="00CE2727"/>
    <w:rsid w:val="00CE7798"/>
    <w:rsid w:val="00D2021E"/>
    <w:rsid w:val="00D361FD"/>
    <w:rsid w:val="00D423A2"/>
    <w:rsid w:val="00D44E26"/>
    <w:rsid w:val="00D520D8"/>
    <w:rsid w:val="00D532F2"/>
    <w:rsid w:val="00D63AC2"/>
    <w:rsid w:val="00D7383B"/>
    <w:rsid w:val="00D7788A"/>
    <w:rsid w:val="00D820F2"/>
    <w:rsid w:val="00DA231B"/>
    <w:rsid w:val="00DB6E88"/>
    <w:rsid w:val="00DC39FC"/>
    <w:rsid w:val="00DF5254"/>
    <w:rsid w:val="00E014DA"/>
    <w:rsid w:val="00E02524"/>
    <w:rsid w:val="00E16408"/>
    <w:rsid w:val="00E20894"/>
    <w:rsid w:val="00E245AB"/>
    <w:rsid w:val="00E2764C"/>
    <w:rsid w:val="00E27F2E"/>
    <w:rsid w:val="00E30252"/>
    <w:rsid w:val="00E50AFE"/>
    <w:rsid w:val="00E75C92"/>
    <w:rsid w:val="00E771DC"/>
    <w:rsid w:val="00E8772A"/>
    <w:rsid w:val="00E90F6B"/>
    <w:rsid w:val="00E92C27"/>
    <w:rsid w:val="00EA0E3D"/>
    <w:rsid w:val="00EC38A7"/>
    <w:rsid w:val="00EE1AA8"/>
    <w:rsid w:val="00F23FEA"/>
    <w:rsid w:val="00F27B7B"/>
    <w:rsid w:val="00F31EDC"/>
    <w:rsid w:val="00F462B3"/>
    <w:rsid w:val="00F56437"/>
    <w:rsid w:val="00F5664F"/>
    <w:rsid w:val="00F603AF"/>
    <w:rsid w:val="00F63231"/>
    <w:rsid w:val="00F666C4"/>
    <w:rsid w:val="00F76AFC"/>
    <w:rsid w:val="00F83180"/>
    <w:rsid w:val="00FA47C0"/>
    <w:rsid w:val="00FB5DD1"/>
    <w:rsid w:val="00FB6FA3"/>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6BB5"/>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decreto_1494_2015.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ildanarvaezdejoy@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BB54F-606A-4444-B2AA-C12971669E82}"/>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310E41D-0E57-4B83-9512-43796C285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33</Pages>
  <Words>10367</Words>
  <Characters>59095</Characters>
  <Application>Microsoft Office Word</Application>
  <DocSecurity>0</DocSecurity>
  <Lines>492</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2025-12-16T00:23:00Z</dcterms:created>
  <dcterms:modified xsi:type="dcterms:W3CDTF">2025-12-16T12:58:00Z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