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0DAC9" w14:textId="77777777" w:rsidR="003A5EB7" w:rsidRPr="00240ACF" w:rsidRDefault="003A5EB7" w:rsidP="00240ACF">
      <w:pPr>
        <w:spacing w:after="0" w:line="240" w:lineRule="auto"/>
        <w:jc w:val="both"/>
        <w:rPr>
          <w:rFonts w:ascii="Verdana" w:hAnsi="Verdana" w:cs="Arial"/>
          <w:b/>
          <w:bCs/>
          <w:color w:val="000000" w:themeColor="text1"/>
          <w:lang w:val="es-ES"/>
        </w:rPr>
      </w:pPr>
      <w:bookmarkStart w:id="0" w:name="_Hlk213674657"/>
      <w:bookmarkStart w:id="1" w:name="_Hlk143780582"/>
      <w:bookmarkEnd w:id="0"/>
      <w:r w:rsidRPr="00240ACF">
        <w:rPr>
          <w:rFonts w:ascii="Verdana" w:hAnsi="Verdana" w:cs="Arial"/>
          <w:b/>
          <w:bCs/>
          <w:color w:val="000000" w:themeColor="text1"/>
          <w:lang w:val="es-ES"/>
        </w:rPr>
        <w:t xml:space="preserve">SUBSANABILIDAD – Aplicación – Regla general – Excepciones </w:t>
      </w:r>
    </w:p>
    <w:p w14:paraId="25B62EFB" w14:textId="77777777" w:rsidR="003A5EB7" w:rsidRPr="00240ACF" w:rsidRDefault="003A5EB7" w:rsidP="00240ACF">
      <w:pPr>
        <w:spacing w:after="0" w:line="240" w:lineRule="auto"/>
        <w:jc w:val="both"/>
        <w:rPr>
          <w:rFonts w:ascii="Verdana" w:hAnsi="Verdana" w:cs="Arial"/>
          <w:b/>
          <w:bCs/>
          <w:color w:val="000000" w:themeColor="text1"/>
          <w:lang w:val="es-ES"/>
        </w:rPr>
      </w:pPr>
    </w:p>
    <w:p w14:paraId="5935247B" w14:textId="77777777" w:rsidR="003A5EB7" w:rsidRPr="00240ACF" w:rsidRDefault="003A5EB7" w:rsidP="00240ACF">
      <w:pPr>
        <w:spacing w:after="0" w:line="240" w:lineRule="auto"/>
        <w:jc w:val="both"/>
        <w:rPr>
          <w:rFonts w:ascii="Verdana" w:eastAsia="Times New Roman" w:hAnsi="Verdana" w:cs="Arial"/>
          <w:sz w:val="20"/>
          <w:szCs w:val="20"/>
          <w:lang w:val="es-ES" w:eastAsia="es-ES"/>
        </w:rPr>
      </w:pPr>
      <w:r w:rsidRPr="00240ACF">
        <w:rPr>
          <w:rFonts w:ascii="Verdana" w:hAnsi="Verdana" w:cs="Arial"/>
          <w:noProof/>
          <w:sz w:val="20"/>
          <w:szCs w:val="20"/>
          <w:lang w:val="es-ES"/>
        </w:rPr>
        <w:t>L</w:t>
      </w:r>
      <w:r w:rsidRPr="00240ACF">
        <w:rPr>
          <w:rFonts w:ascii="Verdana" w:eastAsia="Times New Roman" w:hAnsi="Verdana" w:cs="Arial"/>
          <w:sz w:val="20"/>
          <w:szCs w:val="20"/>
        </w:rPr>
        <w:t xml:space="preserve">a regla de la </w:t>
      </w:r>
      <w:proofErr w:type="spellStart"/>
      <w:r w:rsidRPr="00240ACF">
        <w:rPr>
          <w:rFonts w:ascii="Verdana" w:eastAsia="Times New Roman" w:hAnsi="Verdana" w:cs="Arial"/>
          <w:sz w:val="20"/>
          <w:szCs w:val="20"/>
        </w:rPr>
        <w:t>subsanabilidad</w:t>
      </w:r>
      <w:proofErr w:type="spellEnd"/>
      <w:r w:rsidRPr="00240ACF">
        <w:rPr>
          <w:rFonts w:ascii="Verdana" w:eastAsia="Times New Roman" w:hAnsi="Verdana" w:cs="Arial"/>
          <w:sz w:val="20"/>
          <w:szCs w:val="20"/>
        </w:rPr>
        <w:t xml:space="preserve"> de las ofertas en los procedimientos de selección</w:t>
      </w:r>
      <w:r w:rsidRPr="00240ACF">
        <w:rPr>
          <w:rFonts w:ascii="Verdana" w:eastAsia="Times New Roman" w:hAnsi="Verdana" w:cs="Arial"/>
          <w:b/>
          <w:bCs/>
          <w:sz w:val="20"/>
          <w:szCs w:val="20"/>
        </w:rPr>
        <w:t xml:space="preserve"> </w:t>
      </w:r>
      <w:r w:rsidRPr="00240ACF">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6C55F98" w14:textId="77777777" w:rsidR="003A5EB7" w:rsidRPr="00240ACF" w:rsidRDefault="003A5EB7" w:rsidP="00240ACF">
      <w:pPr>
        <w:spacing w:after="0" w:line="240" w:lineRule="auto"/>
        <w:jc w:val="both"/>
        <w:rPr>
          <w:rFonts w:ascii="Verdana" w:eastAsia="Times New Roman" w:hAnsi="Verdana" w:cs="Arial"/>
          <w:sz w:val="20"/>
          <w:szCs w:val="20"/>
          <w:lang w:val="es-ES" w:eastAsia="es-ES"/>
        </w:rPr>
      </w:pPr>
    </w:p>
    <w:p w14:paraId="3CF12D0D" w14:textId="77777777" w:rsidR="003A5EB7" w:rsidRPr="00240ACF" w:rsidRDefault="003A5EB7" w:rsidP="00240ACF">
      <w:pPr>
        <w:spacing w:after="0" w:line="240" w:lineRule="auto"/>
        <w:jc w:val="both"/>
        <w:rPr>
          <w:rFonts w:ascii="Verdana" w:hAnsi="Verdana" w:cs="Arial"/>
          <w:b/>
          <w:bCs/>
          <w:color w:val="000000" w:themeColor="text1"/>
          <w:lang w:val="es-ES"/>
        </w:rPr>
      </w:pPr>
      <w:r w:rsidRPr="00240ACF">
        <w:rPr>
          <w:rFonts w:ascii="Verdana" w:hAnsi="Verdana" w:cs="Arial"/>
          <w:b/>
          <w:bCs/>
          <w:color w:val="000000" w:themeColor="text1"/>
          <w:lang w:val="es-ES"/>
        </w:rPr>
        <w:t>SUBSANABILIDAD – Ley 1882 de 2018</w:t>
      </w:r>
    </w:p>
    <w:p w14:paraId="0B5A159B" w14:textId="77777777" w:rsidR="003A5EB7" w:rsidRPr="00240ACF" w:rsidRDefault="003A5EB7" w:rsidP="00240ACF">
      <w:pPr>
        <w:spacing w:after="0" w:line="240" w:lineRule="auto"/>
        <w:jc w:val="both"/>
        <w:rPr>
          <w:rFonts w:ascii="Verdana" w:hAnsi="Verdana" w:cs="Arial"/>
          <w:b/>
          <w:bCs/>
          <w:color w:val="000000" w:themeColor="text1"/>
          <w:lang w:val="es-ES"/>
        </w:rPr>
      </w:pPr>
    </w:p>
    <w:p w14:paraId="19FB9289" w14:textId="77777777" w:rsidR="003A5EB7" w:rsidRPr="00240ACF" w:rsidRDefault="003A5EB7" w:rsidP="00240ACF">
      <w:pPr>
        <w:spacing w:after="0" w:line="240" w:lineRule="auto"/>
        <w:jc w:val="both"/>
        <w:rPr>
          <w:rFonts w:ascii="Verdana" w:eastAsia="Times New Roman" w:hAnsi="Verdana" w:cs="Arial"/>
          <w:sz w:val="20"/>
          <w:szCs w:val="20"/>
          <w:lang w:val="es-ES" w:eastAsia="es-ES"/>
        </w:rPr>
      </w:pPr>
      <w:r w:rsidRPr="00240ACF">
        <w:rPr>
          <w:rFonts w:ascii="Verdana" w:eastAsia="Arial" w:hAnsi="Verdana" w:cs="Arial"/>
          <w:color w:val="000000"/>
          <w:sz w:val="20"/>
          <w:szCs w:val="20"/>
        </w:rPr>
        <w:t xml:space="preserve">[…] el legislador expidió la Ley 1882 de 2018, con la finalidad de introducir cambios y ajustes para fortalecer la contratación pública. […] esta norma: i) mantiene el criterio de la Ley 80 de 1993, relativo a que todo lo que no sea necesario para la comparación de propuestas no es título suficiente para su rechazo; </w:t>
      </w:r>
      <w:proofErr w:type="spellStart"/>
      <w:r w:rsidRPr="00240ACF">
        <w:rPr>
          <w:rFonts w:ascii="Verdana" w:eastAsia="Arial" w:hAnsi="Verdana" w:cs="Arial"/>
          <w:color w:val="000000"/>
          <w:sz w:val="20"/>
          <w:szCs w:val="20"/>
        </w:rPr>
        <w:t>ii</w:t>
      </w:r>
      <w:proofErr w:type="spellEnd"/>
      <w:r w:rsidRPr="00240ACF">
        <w:rPr>
          <w:rFonts w:ascii="Verdana" w:eastAsia="Arial" w:hAnsi="Verdana" w:cs="Arial"/>
          <w:color w:val="000000"/>
          <w:sz w:val="20"/>
          <w:szCs w:val="20"/>
        </w:rPr>
        <w:t xml:space="preserve">) mantiene el criterio aclaratorio de la Ley 1150 de 2007, según el cual todo lo que no afecte la asignación de puntaje puede subsanarse e </w:t>
      </w:r>
      <w:proofErr w:type="spellStart"/>
      <w:r w:rsidRPr="00240ACF">
        <w:rPr>
          <w:rFonts w:ascii="Verdana" w:eastAsia="Arial" w:hAnsi="Verdana" w:cs="Arial"/>
          <w:color w:val="000000"/>
          <w:sz w:val="20"/>
          <w:szCs w:val="20"/>
        </w:rPr>
        <w:t>iii</w:t>
      </w:r>
      <w:proofErr w:type="spellEnd"/>
      <w:r w:rsidRPr="00240ACF">
        <w:rPr>
          <w:rFonts w:ascii="Verdana" w:eastAsia="Arial" w:hAnsi="Verdana" w:cs="Arial"/>
          <w:color w:val="000000"/>
          <w:sz w:val="20"/>
          <w:szCs w:val="20"/>
        </w:rPr>
        <w:t xml:space="preserve">) introduce modificaciones en relación con algunos aspectos que se analizarán a continuación. </w:t>
      </w:r>
    </w:p>
    <w:p w14:paraId="63314039"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7379BC38"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2036B7AB"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6E30D03E"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 xml:space="preserve">[…] </w:t>
      </w:r>
    </w:p>
    <w:p w14:paraId="61B1D268"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7DE1D198"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5B32B10C"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42BF0ABA"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 xml:space="preserve">De otro lado, el segundo cambio importante de la Ley 1882 de 2018 fue la introducción de un criterio material, directamente relacionado con los aspectos subsanables: “los </w:t>
      </w:r>
      <w:r w:rsidRPr="00240ACF">
        <w:rPr>
          <w:rFonts w:ascii="Verdana" w:eastAsia="Arial" w:hAnsi="Verdana" w:cs="Arial"/>
          <w:color w:val="000000"/>
          <w:sz w:val="20"/>
          <w:szCs w:val="20"/>
        </w:rPr>
        <w:lastRenderedPageBreak/>
        <w:t>proponentes no podrán acreditar circunstancias ocurridas con posterioridad al cierre del proceso”</w:t>
      </w:r>
      <w:r w:rsidRPr="00240ACF">
        <w:rPr>
          <w:rFonts w:ascii="Verdana" w:eastAsia="Arial" w:hAnsi="Verdana" w:cs="Arial"/>
          <w:b/>
          <w:i/>
          <w:color w:val="000000"/>
          <w:sz w:val="20"/>
          <w:szCs w:val="20"/>
        </w:rPr>
        <w:t>.</w:t>
      </w:r>
      <w:r w:rsidRPr="00240ACF">
        <w:rPr>
          <w:rFonts w:ascii="Verdana" w:eastAsia="Arial" w:hAnsi="Verdana" w:cs="Arial"/>
          <w:b/>
          <w:color w:val="000000"/>
          <w:sz w:val="20"/>
          <w:szCs w:val="20"/>
        </w:rPr>
        <w:t xml:space="preserve"> </w:t>
      </w:r>
    </w:p>
    <w:p w14:paraId="360B5497"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p>
    <w:p w14:paraId="6BB90895"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r w:rsidRPr="00240ACF">
        <w:rPr>
          <w:rFonts w:ascii="Verdana" w:eastAsia="Arial" w:hAnsi="Verdana" w:cs="Arial"/>
          <w:bCs/>
          <w:color w:val="000000"/>
          <w:sz w:val="20"/>
          <w:szCs w:val="20"/>
        </w:rPr>
        <w:t xml:space="preserve">[…] </w:t>
      </w:r>
    </w:p>
    <w:p w14:paraId="348B3344"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5B3A8A33"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240ACF">
        <w:rPr>
          <w:rFonts w:ascii="Verdana" w:eastAsia="Arial" w:hAnsi="Verdana" w:cs="Arial"/>
          <w:color w:val="000000"/>
          <w:sz w:val="20"/>
          <w:szCs w:val="20"/>
        </w:rPr>
        <w:t>subsanabilidad</w:t>
      </w:r>
      <w:proofErr w:type="spellEnd"/>
      <w:r w:rsidRPr="00240ACF">
        <w:rPr>
          <w:rFonts w:ascii="Verdana" w:eastAsia="Arial" w:hAnsi="Verdana" w:cs="Arial"/>
          <w:color w:val="000000"/>
          <w:sz w:val="20"/>
          <w:szCs w:val="2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w:t>
      </w:r>
    </w:p>
    <w:p w14:paraId="6FD49FD7"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4B04E8BA" w14:textId="77777777" w:rsidR="003A5EB7" w:rsidRPr="00240ACF" w:rsidRDefault="003A5EB7" w:rsidP="00240ACF">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240ACF">
        <w:rPr>
          <w:rFonts w:ascii="Verdana" w:eastAsia="Arial" w:hAnsi="Verdana" w:cs="Arial"/>
          <w:color w:val="000000"/>
          <w:sz w:val="20"/>
          <w:szCs w:val="2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1660F786" w14:textId="77777777" w:rsidR="003A5EB7" w:rsidRPr="00240ACF" w:rsidRDefault="003A5EB7" w:rsidP="00240ACF">
      <w:pPr>
        <w:spacing w:after="0" w:line="240" w:lineRule="auto"/>
        <w:jc w:val="both"/>
        <w:rPr>
          <w:rFonts w:ascii="Verdana" w:eastAsia="Calibri" w:hAnsi="Verdana" w:cs="Arial"/>
          <w:b/>
          <w:bCs/>
          <w:lang w:eastAsia="es-ES"/>
        </w:rPr>
      </w:pPr>
    </w:p>
    <w:p w14:paraId="21047BE4" w14:textId="77777777" w:rsidR="003A5EB7" w:rsidRPr="00240ACF" w:rsidRDefault="003A5EB7" w:rsidP="00240ACF">
      <w:pPr>
        <w:spacing w:after="0" w:line="240" w:lineRule="auto"/>
        <w:rPr>
          <w:rFonts w:ascii="Verdana" w:eastAsia="Calibri" w:hAnsi="Verdana" w:cs="Arial"/>
          <w:b/>
          <w:bCs/>
        </w:rPr>
      </w:pPr>
      <w:r w:rsidRPr="00240ACF">
        <w:rPr>
          <w:rFonts w:ascii="Verdana" w:eastAsia="Calibri" w:hAnsi="Verdana" w:cs="Arial"/>
          <w:b/>
          <w:bCs/>
        </w:rPr>
        <w:t>DOCUMENTOS TIPO – EXPERIENCIA – Acreditación – Formato 3 – Finalidad</w:t>
      </w:r>
    </w:p>
    <w:p w14:paraId="441193BF" w14:textId="77777777" w:rsidR="003A5EB7" w:rsidRPr="00240ACF" w:rsidRDefault="003A5EB7" w:rsidP="00240ACF">
      <w:pPr>
        <w:widowControl w:val="0"/>
        <w:autoSpaceDE w:val="0"/>
        <w:autoSpaceDN w:val="0"/>
        <w:spacing w:after="0" w:line="240" w:lineRule="auto"/>
        <w:ind w:right="102"/>
        <w:jc w:val="both"/>
        <w:rPr>
          <w:rFonts w:ascii="Verdana" w:hAnsi="Verdana" w:cs="Arial"/>
          <w:noProof/>
          <w:lang w:val="es-ES_tradnl"/>
        </w:rPr>
      </w:pPr>
    </w:p>
    <w:p w14:paraId="715DEFE2" w14:textId="77777777" w:rsidR="003A5EB7" w:rsidRPr="007B6867" w:rsidRDefault="003A5EB7" w:rsidP="00240ACF">
      <w:pPr>
        <w:widowControl w:val="0"/>
        <w:autoSpaceDE w:val="0"/>
        <w:autoSpaceDN w:val="0"/>
        <w:spacing w:line="240" w:lineRule="auto"/>
        <w:ind w:right="102"/>
        <w:jc w:val="both"/>
        <w:rPr>
          <w:rFonts w:ascii="Verdana" w:hAnsi="Verdana" w:cs="Arial"/>
          <w:noProof/>
          <w:sz w:val="20"/>
          <w:szCs w:val="20"/>
          <w:lang w:val="es-ES_tradnl"/>
        </w:rPr>
      </w:pPr>
      <w:r w:rsidRPr="007B6867">
        <w:rPr>
          <w:rFonts w:ascii="Verdana" w:hAnsi="Verdana" w:cs="Arial"/>
          <w:noProof/>
          <w:sz w:val="20"/>
          <w:szCs w:val="20"/>
          <w:lang w:val="es-ES_tradnl"/>
        </w:rPr>
        <w:t xml:space="preserve">El literal B) del numeral “3.5.1 Características de los contratos presentados para acreditar la experiencia exigida”, indica que el “Formato 3 – Experiencia” debe contar con el número consecutivo del contrato en el RUP y que los proponentes plurales deben indicar qué integrante aporta cada uno de los contratos señalados en el Formato 3 – Experiencia. Este documento debe presentarlo el proponente plural y no cada integrante. </w:t>
      </w:r>
    </w:p>
    <w:p w14:paraId="3BC8A7B7" w14:textId="77777777" w:rsidR="003A5EB7" w:rsidRPr="007B6867" w:rsidRDefault="003A5EB7" w:rsidP="00240ACF">
      <w:pPr>
        <w:widowControl w:val="0"/>
        <w:autoSpaceDE w:val="0"/>
        <w:autoSpaceDN w:val="0"/>
        <w:spacing w:line="240" w:lineRule="auto"/>
        <w:ind w:right="102"/>
        <w:jc w:val="both"/>
        <w:rPr>
          <w:rFonts w:ascii="Verdana" w:hAnsi="Verdana" w:cs="Arial"/>
          <w:noProof/>
          <w:sz w:val="20"/>
          <w:szCs w:val="20"/>
          <w:lang w:val="es-ES_tradnl"/>
        </w:rPr>
      </w:pPr>
      <w:r w:rsidRPr="007B6867">
        <w:rPr>
          <w:rFonts w:ascii="Verdana" w:hAnsi="Verdana" w:cs="Arial"/>
          <w:noProof/>
          <w:sz w:val="20"/>
          <w:szCs w:val="20"/>
          <w:lang w:val="es-ES_tradnl"/>
        </w:rPr>
        <w:t>(…) el inciso segundo del numeral indicado establece la siguiente regla: “Si el Proponente no diligencia el Formato 3 – Experiencia, la Entidad pedirá su subsanación en los términos del numeral 1.6. En caso de que el oferente no subsane se tendrán en cuenta para la evaluación los cinco (5) contratos de mayor valor aportados (…)”</w:t>
      </w:r>
      <w:r w:rsidRPr="007B6867">
        <w:rPr>
          <w:rFonts w:ascii="Verdana" w:hAnsi="Verdana"/>
          <w:noProof/>
          <w:sz w:val="20"/>
          <w:szCs w:val="20"/>
          <w:vertAlign w:val="superscript"/>
          <w:lang w:val="es-ES_tradnl"/>
        </w:rPr>
        <w:t>.</w:t>
      </w:r>
      <w:r w:rsidRPr="007B6867">
        <w:rPr>
          <w:rFonts w:ascii="Verdana" w:hAnsi="Verdana" w:cs="Arial"/>
          <w:noProof/>
          <w:sz w:val="20"/>
          <w:szCs w:val="20"/>
          <w:lang w:val="es-ES_tradnl"/>
        </w:rPr>
        <w:t xml:space="preserve"> </w:t>
      </w:r>
    </w:p>
    <w:p w14:paraId="1BD6DFA4" w14:textId="77777777" w:rsidR="003A5EB7" w:rsidRPr="007B6867" w:rsidRDefault="003A5EB7" w:rsidP="00240ACF">
      <w:pPr>
        <w:widowControl w:val="0"/>
        <w:autoSpaceDE w:val="0"/>
        <w:autoSpaceDN w:val="0"/>
        <w:spacing w:after="0" w:line="240" w:lineRule="auto"/>
        <w:ind w:right="102"/>
        <w:jc w:val="both"/>
        <w:rPr>
          <w:rFonts w:ascii="Verdana" w:hAnsi="Verdana" w:cs="Arial"/>
          <w:noProof/>
          <w:sz w:val="20"/>
          <w:szCs w:val="20"/>
          <w:lang w:val="es-ES_tradnl"/>
        </w:rPr>
      </w:pPr>
      <w:r w:rsidRPr="007B6867">
        <w:rPr>
          <w:rFonts w:ascii="Verdana" w:hAnsi="Verdana" w:cs="Arial"/>
          <w:noProof/>
          <w:sz w:val="20"/>
          <w:szCs w:val="20"/>
          <w:lang w:val="es-ES_tradnl"/>
        </w:rPr>
        <w:t>Como se observa, si el proponente no diligencia el Formato 3 – Experiencia se prevé que puede subsanarlo en los términos del numeral 1.6. del Documento Base y en caso de no hacerlo, la Entidad Estatal tendrá en cuenta para la evaluación los cinco contratos aportados de mayor valor.</w:t>
      </w:r>
    </w:p>
    <w:p w14:paraId="1D4E46FC" w14:textId="77777777" w:rsidR="003A5EB7" w:rsidRPr="00240ACF" w:rsidRDefault="003A5EB7" w:rsidP="00240ACF">
      <w:pPr>
        <w:widowControl w:val="0"/>
        <w:autoSpaceDE w:val="0"/>
        <w:autoSpaceDN w:val="0"/>
        <w:spacing w:after="0" w:line="240" w:lineRule="auto"/>
        <w:ind w:right="102"/>
        <w:jc w:val="both"/>
        <w:rPr>
          <w:rFonts w:ascii="Verdana" w:hAnsi="Verdana" w:cs="Arial"/>
          <w:noProof/>
          <w:lang w:val="es-ES_tradnl"/>
        </w:rPr>
      </w:pPr>
    </w:p>
    <w:p w14:paraId="0224125A" w14:textId="20476A02" w:rsidR="003A5EB7" w:rsidRPr="00240ACF" w:rsidRDefault="003A5EB7" w:rsidP="00240ACF">
      <w:pPr>
        <w:widowControl w:val="0"/>
        <w:autoSpaceDE w:val="0"/>
        <w:autoSpaceDN w:val="0"/>
        <w:spacing w:after="0" w:line="240" w:lineRule="auto"/>
        <w:ind w:right="102"/>
        <w:jc w:val="both"/>
        <w:rPr>
          <w:rFonts w:ascii="Verdana" w:eastAsia="Calibri" w:hAnsi="Verdana" w:cs="Arial"/>
          <w:b/>
          <w:bCs/>
          <w:lang w:val="es-ES" w:eastAsia="es-ES"/>
        </w:rPr>
      </w:pPr>
      <w:r w:rsidRPr="00240ACF">
        <w:rPr>
          <w:rFonts w:ascii="Verdana" w:eastAsia="Calibri" w:hAnsi="Verdana" w:cs="Arial"/>
          <w:b/>
          <w:bCs/>
          <w:lang w:val="es-ES" w:eastAsia="es-ES"/>
        </w:rPr>
        <w:t xml:space="preserve">FORMATO 3 – </w:t>
      </w:r>
      <w:proofErr w:type="spellStart"/>
      <w:r w:rsidRPr="00240ACF">
        <w:rPr>
          <w:rFonts w:ascii="Verdana" w:eastAsia="Calibri" w:hAnsi="Verdana" w:cs="Arial"/>
          <w:b/>
          <w:bCs/>
          <w:lang w:val="es-ES" w:eastAsia="es-ES"/>
        </w:rPr>
        <w:t>Subsanabilidad</w:t>
      </w:r>
      <w:proofErr w:type="spellEnd"/>
      <w:r w:rsidRPr="00240ACF">
        <w:rPr>
          <w:rFonts w:ascii="Verdana" w:eastAsia="Calibri" w:hAnsi="Verdana" w:cs="Arial"/>
          <w:b/>
          <w:bCs/>
          <w:lang w:val="es-ES" w:eastAsia="es-ES"/>
        </w:rPr>
        <w:t xml:space="preserve"> – Circunstancias – Anterioridad al cierre</w:t>
      </w:r>
    </w:p>
    <w:p w14:paraId="3CE0C590" w14:textId="77777777" w:rsidR="003A5EB7" w:rsidRPr="007B6867" w:rsidRDefault="003A5EB7" w:rsidP="00240ACF">
      <w:pPr>
        <w:widowControl w:val="0"/>
        <w:autoSpaceDE w:val="0"/>
        <w:autoSpaceDN w:val="0"/>
        <w:spacing w:after="0" w:line="240" w:lineRule="auto"/>
        <w:jc w:val="both"/>
        <w:rPr>
          <w:rFonts w:ascii="Verdana" w:hAnsi="Verdana" w:cs="Arial"/>
          <w:noProof/>
          <w:sz w:val="20"/>
          <w:szCs w:val="20"/>
          <w:lang w:val="es-ES_tradnl"/>
        </w:rPr>
      </w:pPr>
      <w:r w:rsidRPr="007B6867">
        <w:rPr>
          <w:rFonts w:ascii="Verdana" w:hAnsi="Verdana" w:cs="Arial"/>
          <w:noProof/>
          <w:sz w:val="20"/>
          <w:szCs w:val="20"/>
          <w:lang w:val="es-ES_tradnl"/>
        </w:rPr>
        <w:lastRenderedPageBreak/>
        <w:t xml:space="preserve">(…) aun cuando se haya presentado indebidamente diligenciado, se haya incluido un contrato que no cumple con lo exigido, o no se haya presentado el “Formato 3 – Experiencia”, ninguna de estas causas será un motivo para rechazar los proponentes. </w:t>
      </w:r>
    </w:p>
    <w:p w14:paraId="1CB8E7B9" w14:textId="77777777" w:rsidR="00240ACF" w:rsidRPr="007B6867" w:rsidRDefault="00240ACF" w:rsidP="00240ACF">
      <w:pPr>
        <w:widowControl w:val="0"/>
        <w:autoSpaceDE w:val="0"/>
        <w:autoSpaceDN w:val="0"/>
        <w:spacing w:after="0" w:line="240" w:lineRule="auto"/>
        <w:jc w:val="both"/>
        <w:rPr>
          <w:rFonts w:ascii="Verdana" w:hAnsi="Verdana" w:cs="Arial"/>
          <w:noProof/>
          <w:sz w:val="20"/>
          <w:szCs w:val="20"/>
          <w:lang w:val="es-ES_tradnl"/>
        </w:rPr>
      </w:pPr>
    </w:p>
    <w:p w14:paraId="1607E801" w14:textId="77777777" w:rsidR="003A5EB7" w:rsidRPr="007B6867" w:rsidRDefault="003A5EB7" w:rsidP="00240ACF">
      <w:pPr>
        <w:widowControl w:val="0"/>
        <w:autoSpaceDE w:val="0"/>
        <w:autoSpaceDN w:val="0"/>
        <w:spacing w:after="0" w:line="240" w:lineRule="auto"/>
        <w:jc w:val="both"/>
        <w:rPr>
          <w:rFonts w:ascii="Verdana" w:hAnsi="Verdana" w:cs="Arial"/>
          <w:noProof/>
          <w:sz w:val="20"/>
          <w:szCs w:val="20"/>
          <w:lang w:val="es-ES_tradnl"/>
        </w:rPr>
      </w:pPr>
      <w:r w:rsidRPr="007B6867">
        <w:rPr>
          <w:rFonts w:ascii="Verdana" w:hAnsi="Verdana" w:cs="Arial"/>
          <w:noProof/>
          <w:sz w:val="20"/>
          <w:szCs w:val="20"/>
          <w:lang w:val="es-ES_tradnl"/>
        </w:rPr>
        <w:t>Esto, considerando que, de acuerdo con el artículo 6 de la Ley 1150 de 2007, el registro único de proponentes será plena prueba de la información relacionada con la experiencia del oferente. Por lo tanto, si el oferente aporta el RUP con la información relacionada con la experiencia, o aporta la experiencia de los contratos que tiene a su nombre, deberá acreditar este requisito en el procedimiento de selección, a pesar de no aportar o diligenciar o haber incluido un contrato en el “Formato 3 – Experiencia” que no cumple lo exigido.  Por lo tanto, el “Formato 3 – Experiencia” consolida la experiencia aportada, pero no acredita la experiencia del proponente.</w:t>
      </w:r>
    </w:p>
    <w:p w14:paraId="60CD6F4C" w14:textId="77777777" w:rsidR="00240ACF" w:rsidRPr="007B6867" w:rsidRDefault="00240ACF" w:rsidP="00240ACF">
      <w:pPr>
        <w:widowControl w:val="0"/>
        <w:autoSpaceDE w:val="0"/>
        <w:autoSpaceDN w:val="0"/>
        <w:spacing w:after="0" w:line="240" w:lineRule="auto"/>
        <w:jc w:val="both"/>
        <w:rPr>
          <w:rFonts w:ascii="Verdana" w:hAnsi="Verdana" w:cs="Arial"/>
          <w:noProof/>
          <w:sz w:val="20"/>
          <w:szCs w:val="20"/>
          <w:lang w:val="es-ES_tradnl"/>
        </w:rPr>
      </w:pPr>
    </w:p>
    <w:p w14:paraId="485C2BCE" w14:textId="77777777" w:rsidR="003A5EB7" w:rsidRPr="007B6867" w:rsidRDefault="003A5EB7" w:rsidP="00240ACF">
      <w:pPr>
        <w:widowControl w:val="0"/>
        <w:autoSpaceDE w:val="0"/>
        <w:autoSpaceDN w:val="0"/>
        <w:spacing w:after="0" w:line="240" w:lineRule="auto"/>
        <w:jc w:val="both"/>
        <w:rPr>
          <w:rFonts w:ascii="Verdana" w:hAnsi="Verdana" w:cs="Arial"/>
          <w:noProof/>
          <w:sz w:val="20"/>
          <w:szCs w:val="20"/>
          <w:lang w:val="es-ES_tradnl"/>
        </w:rPr>
      </w:pPr>
      <w:r w:rsidRPr="007B6867">
        <w:rPr>
          <w:rFonts w:ascii="Verdana" w:hAnsi="Verdana" w:cs="Arial"/>
          <w:noProof/>
          <w:sz w:val="20"/>
          <w:szCs w:val="20"/>
          <w:lang w:val="es-ES_tradnl"/>
        </w:rPr>
        <w:t>Por tratarse de un requisito de verificación que no otorga puntaje, debe tenerse en cuenta que si el proponente desea acreditar otro contrato no incluido en el “Formato 3 – Experiencia”, podrá incluirlo en este documento siempre y cuando se encuentre registrado en el RUP antes de la presentación de la oferta. Esto en la medida que –de conformidad con lo señalado por el parágrafo 1 del artículo 5 de la Ley 1150 de 2007– “[…] los proponentes no podrán acreditar circunstancias ocurridas con posterioridad al cierre del proceso […]”.</w:t>
      </w:r>
    </w:p>
    <w:p w14:paraId="13095594" w14:textId="77777777" w:rsidR="003A5EB7" w:rsidRPr="00240ACF" w:rsidRDefault="003A5EB7" w:rsidP="00240ACF">
      <w:pPr>
        <w:widowControl w:val="0"/>
        <w:autoSpaceDE w:val="0"/>
        <w:autoSpaceDN w:val="0"/>
        <w:spacing w:after="0" w:line="240" w:lineRule="auto"/>
        <w:ind w:right="102"/>
        <w:jc w:val="both"/>
        <w:rPr>
          <w:rFonts w:ascii="Verdana" w:hAnsi="Verdana" w:cs="Arial"/>
          <w:noProof/>
          <w:lang w:val="es-ES_tradnl"/>
        </w:rPr>
      </w:pPr>
    </w:p>
    <w:p w14:paraId="6824DD23" w14:textId="77777777" w:rsidR="003A5EB7" w:rsidRPr="00240ACF" w:rsidRDefault="003A5EB7" w:rsidP="00240ACF">
      <w:pPr>
        <w:spacing w:after="0" w:line="240" w:lineRule="auto"/>
        <w:jc w:val="both"/>
        <w:rPr>
          <w:rFonts w:ascii="Verdana" w:eastAsia="Calibri" w:hAnsi="Verdana" w:cs="Arial"/>
          <w:b/>
          <w:bCs/>
          <w:kern w:val="2"/>
          <w14:ligatures w14:val="standardContextual"/>
        </w:rPr>
      </w:pPr>
      <w:r w:rsidRPr="00240ACF">
        <w:rPr>
          <w:rFonts w:ascii="Verdana" w:eastAsia="Calibri" w:hAnsi="Verdana" w:cs="Arial"/>
          <w:b/>
          <w:bCs/>
          <w:kern w:val="2"/>
          <w14:ligatures w14:val="standardContextual"/>
        </w:rPr>
        <w:t xml:space="preserve">DOCUMENTOS TIPO </w:t>
      </w:r>
      <w:r w:rsidRPr="00240ACF">
        <w:rPr>
          <w:rFonts w:ascii="Verdana" w:eastAsia="Calibri" w:hAnsi="Verdana" w:cs="Arial"/>
          <w:b/>
          <w:bCs/>
          <w:color w:val="000000"/>
          <w:kern w:val="2"/>
          <w14:ligatures w14:val="standardContextual"/>
        </w:rPr>
        <w:t xml:space="preserve">– Infraestructura social – </w:t>
      </w:r>
      <w:r w:rsidRPr="00240ACF">
        <w:rPr>
          <w:rFonts w:ascii="Verdana" w:eastAsia="Calibri" w:hAnsi="Verdana" w:cs="Arial"/>
          <w:b/>
          <w:bCs/>
          <w:kern w:val="2"/>
          <w14:ligatures w14:val="standardContextual"/>
        </w:rPr>
        <w:t>Causales de rechazo – Información Inexacta - Literal G</w:t>
      </w:r>
    </w:p>
    <w:p w14:paraId="694487C4" w14:textId="77777777" w:rsidR="003A5EB7" w:rsidRPr="00240ACF" w:rsidRDefault="003A5EB7" w:rsidP="00240ACF">
      <w:pPr>
        <w:spacing w:after="0" w:line="240" w:lineRule="auto"/>
        <w:jc w:val="both"/>
        <w:rPr>
          <w:rFonts w:ascii="Verdana" w:eastAsia="Calibri" w:hAnsi="Verdana" w:cs="Arial"/>
          <w:b/>
          <w:bCs/>
          <w:kern w:val="2"/>
          <w:sz w:val="20"/>
          <w:szCs w:val="20"/>
          <w14:ligatures w14:val="standardContextual"/>
        </w:rPr>
      </w:pPr>
    </w:p>
    <w:p w14:paraId="0519544E" w14:textId="77777777" w:rsidR="003A5EB7" w:rsidRPr="00240ACF" w:rsidRDefault="003A5EB7" w:rsidP="00240ACF">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240ACF">
        <w:rPr>
          <w:rFonts w:ascii="Verdana" w:eastAsia="Times New Roman" w:hAnsi="Verdana" w:cs="Arial"/>
          <w:kern w:val="2"/>
          <w:sz w:val="20"/>
          <w:szCs w:val="20"/>
          <w:shd w:val="clear" w:color="auto" w:fill="FFFFFF"/>
          <w:lang w:val="es-ES_tradnl" w:eastAsia="es-ES_tradnl"/>
          <w14:ligatures w14:val="standardContextual"/>
        </w:rPr>
        <w:t xml:space="preserve">(…) la causal de rechazo del literal G del numeral 1.15 del documento tipo prescribe: “[…] Que el Proponente aporte información inexacta sobre la cual pueda existir una posible falsedad en los términos de la sección 1.11. del documento base”. Esta causal aplica en los supuestos en el que la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37C3EF9B" w14:textId="77777777" w:rsidR="003A5EB7" w:rsidRPr="00240ACF" w:rsidRDefault="003A5EB7" w:rsidP="00240ACF">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72CBDAC8" w14:textId="77777777" w:rsidR="003A5EB7" w:rsidRPr="00240ACF" w:rsidRDefault="003A5EB7" w:rsidP="00240ACF">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240ACF">
        <w:rPr>
          <w:rFonts w:ascii="Verdana" w:eastAsia="Times New Roman" w:hAnsi="Verdana" w:cs="Arial"/>
          <w:kern w:val="2"/>
          <w:sz w:val="20"/>
          <w:szCs w:val="20"/>
          <w:shd w:val="clear" w:color="auto" w:fill="FFFFFF"/>
          <w:lang w:val="es-ES_tradnl" w:eastAsia="es-ES_tradnl"/>
          <w14:ligatures w14:val="standardContextual"/>
        </w:rPr>
        <w:t>Según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09EDF71B" w14:textId="77777777" w:rsidR="007B6867" w:rsidRDefault="007B6867" w:rsidP="003A5EB7">
      <w:pPr>
        <w:spacing w:after="0" w:line="240" w:lineRule="auto"/>
        <w:rPr>
          <w:rFonts w:ascii="Verdana" w:eastAsia="Geomanist Light" w:hAnsi="Verdana" w:cs="Arial"/>
          <w:lang w:val="es-ES_tradnl"/>
        </w:rPr>
      </w:pPr>
    </w:p>
    <w:p w14:paraId="7B48DF5F" w14:textId="6E59E689" w:rsidR="003A5EB7" w:rsidRDefault="003A5EB7" w:rsidP="003A5EB7">
      <w:pPr>
        <w:spacing w:after="0" w:line="240" w:lineRule="auto"/>
        <w:rPr>
          <w:rFonts w:ascii="Verdana" w:eastAsia="Calibri" w:hAnsi="Verdana" w:cs="Vrinda"/>
        </w:rPr>
      </w:pPr>
      <w:r w:rsidRPr="00523AA0">
        <w:rPr>
          <w:rFonts w:ascii="Verdana" w:eastAsia="Calibri" w:hAnsi="Verdana" w:cs="Vrinda"/>
        </w:rPr>
        <w:lastRenderedPageBreak/>
        <w:t xml:space="preserve">Bogotá D.C., </w:t>
      </w:r>
      <w:r w:rsidR="000326EF">
        <w:rPr>
          <w:rFonts w:ascii="Verdana" w:eastAsia="Calibri" w:hAnsi="Verdana" w:cs="Vrinda"/>
        </w:rPr>
        <w:t>3 diciembre 2025</w:t>
      </w:r>
    </w:p>
    <w:p w14:paraId="6B42A1E4" w14:textId="70377257" w:rsidR="00B01C6D" w:rsidRDefault="00B01C6D" w:rsidP="003A5EB7">
      <w:pPr>
        <w:spacing w:after="0" w:line="240" w:lineRule="auto"/>
        <w:rPr>
          <w:rFonts w:ascii="Verdana" w:eastAsia="Calibri" w:hAnsi="Verdana" w:cs="Arial"/>
          <w:lang w:val="es-ES" w:eastAsia="es-ES"/>
        </w:rPr>
      </w:pPr>
    </w:p>
    <w:p w14:paraId="4D4303C9" w14:textId="52EF7E3C" w:rsidR="00B01C6D" w:rsidRPr="00771F2C" w:rsidRDefault="00B01C6D" w:rsidP="003A5EB7">
      <w:pPr>
        <w:spacing w:after="0" w:line="240" w:lineRule="auto"/>
        <w:rPr>
          <w:rFonts w:ascii="Verdana" w:eastAsia="Calibri" w:hAnsi="Verdana" w:cs="Arial"/>
          <w:lang w:val="es-ES" w:eastAsia="es-ES"/>
        </w:rPr>
      </w:pPr>
    </w:p>
    <w:p w14:paraId="35AE2FC1" w14:textId="6F41BD49" w:rsidR="003A5EB7" w:rsidRDefault="003A5EB7" w:rsidP="003A5EB7">
      <w:pPr>
        <w:spacing w:after="0"/>
        <w:rPr>
          <w:rFonts w:ascii="Verdana" w:hAnsi="Verdana"/>
        </w:rPr>
      </w:pPr>
    </w:p>
    <w:p w14:paraId="21E7EAFF" w14:textId="17B594DA" w:rsidR="002F111F" w:rsidRDefault="002F111F" w:rsidP="003A5EB7">
      <w:pPr>
        <w:spacing w:after="0"/>
        <w:rPr>
          <w:rFonts w:ascii="Verdana" w:hAnsi="Verdana"/>
        </w:rPr>
      </w:pPr>
    </w:p>
    <w:p w14:paraId="7D1B6D0B" w14:textId="1A2A6161" w:rsidR="002F111F" w:rsidRDefault="007B6867" w:rsidP="003A5EB7">
      <w:pPr>
        <w:spacing w:after="0"/>
        <w:rPr>
          <w:rFonts w:ascii="Verdana" w:hAnsi="Verdana"/>
        </w:rPr>
      </w:pPr>
      <w:r w:rsidRPr="002F111F">
        <w:rPr>
          <w:rFonts w:ascii="Verdana" w:hAnsi="Verdana"/>
          <w:noProof/>
        </w:rPr>
        <w:drawing>
          <wp:anchor distT="0" distB="0" distL="114300" distR="114300" simplePos="0" relativeHeight="251658240" behindDoc="0" locked="0" layoutInCell="1" allowOverlap="1" wp14:anchorId="0DA5C036" wp14:editId="66E67DC2">
            <wp:simplePos x="0" y="0"/>
            <wp:positionH relativeFrom="margin">
              <wp:align>right</wp:align>
            </wp:positionH>
            <wp:positionV relativeFrom="paragraph">
              <wp:posOffset>8006</wp:posOffset>
            </wp:positionV>
            <wp:extent cx="2976537" cy="979714"/>
            <wp:effectExtent l="0" t="0" r="0" b="0"/>
            <wp:wrapSquare wrapText="bothSides"/>
            <wp:docPr id="1913007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00707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76537" cy="979714"/>
                    </a:xfrm>
                    <a:prstGeom prst="rect">
                      <a:avLst/>
                    </a:prstGeom>
                  </pic:spPr>
                </pic:pic>
              </a:graphicData>
            </a:graphic>
            <wp14:sizeRelH relativeFrom="page">
              <wp14:pctWidth>0</wp14:pctWidth>
            </wp14:sizeRelH>
            <wp14:sizeRelV relativeFrom="page">
              <wp14:pctHeight>0</wp14:pctHeight>
            </wp14:sizeRelV>
          </wp:anchor>
        </w:drawing>
      </w:r>
    </w:p>
    <w:p w14:paraId="1271E714" w14:textId="77777777" w:rsidR="00B01C6D" w:rsidRDefault="00B01C6D" w:rsidP="003A5EB7">
      <w:pPr>
        <w:spacing w:after="0"/>
        <w:rPr>
          <w:rFonts w:ascii="Verdana" w:hAnsi="Verdana"/>
        </w:rPr>
      </w:pPr>
    </w:p>
    <w:p w14:paraId="766ADCB2" w14:textId="77777777" w:rsidR="003A5EB7" w:rsidRPr="0042419A" w:rsidRDefault="003A5EB7" w:rsidP="003A5EB7">
      <w:pPr>
        <w:spacing w:after="0" w:line="240" w:lineRule="auto"/>
        <w:jc w:val="both"/>
        <w:rPr>
          <w:rFonts w:ascii="Verdana" w:eastAsia="Calibri" w:hAnsi="Verdana" w:cs="Arial"/>
          <w:lang w:val="es-ES" w:eastAsia="es-ES"/>
        </w:rPr>
      </w:pPr>
      <w:r w:rsidRPr="0042419A">
        <w:rPr>
          <w:rFonts w:ascii="Verdana" w:eastAsia="Calibri" w:hAnsi="Verdana" w:cs="Arial"/>
          <w:lang w:val="es-ES" w:eastAsia="es-ES"/>
        </w:rPr>
        <w:t>Señor</w:t>
      </w:r>
    </w:p>
    <w:p w14:paraId="7CA193D8" w14:textId="77777777" w:rsidR="003A5EB7" w:rsidRPr="000E38C9" w:rsidRDefault="003A5EB7" w:rsidP="003A5EB7">
      <w:pPr>
        <w:spacing w:after="0" w:line="240" w:lineRule="auto"/>
        <w:rPr>
          <w:rFonts w:ascii="Verdana" w:hAnsi="Verdana" w:cs="Arial"/>
          <w:b/>
          <w:bCs/>
          <w:color w:val="000000"/>
          <w:lang w:val="es-MX"/>
          <w14:ligatures w14:val="standardContextual"/>
        </w:rPr>
      </w:pPr>
      <w:r w:rsidRPr="000E38C9">
        <w:rPr>
          <w:rFonts w:ascii="Verdana" w:hAnsi="Verdana" w:cs="Arial"/>
          <w:b/>
          <w:bCs/>
          <w:color w:val="000000"/>
          <w:lang w:val="es-MX"/>
          <w14:ligatures w14:val="standardContextual"/>
        </w:rPr>
        <w:t>Leonardo Acuña Guasca</w:t>
      </w:r>
    </w:p>
    <w:p w14:paraId="5DB1B6FC" w14:textId="77777777" w:rsidR="003A5EB7" w:rsidRPr="0042419A" w:rsidRDefault="003A5EB7" w:rsidP="003A5EB7">
      <w:pPr>
        <w:spacing w:after="0" w:line="240" w:lineRule="auto"/>
        <w:rPr>
          <w:rFonts w:ascii="Verdana" w:eastAsia="Calibri" w:hAnsi="Verdana" w:cs="Arial"/>
          <w:lang w:val="es-ES_tradnl" w:eastAsia="es-ES_tradnl"/>
        </w:rPr>
      </w:pPr>
      <w:r w:rsidRPr="0042419A">
        <w:rPr>
          <w:rFonts w:ascii="Verdana" w:hAnsi="Verdana" w:cs="Arial"/>
          <w:color w:val="000000"/>
          <w:lang w:val="es-MX"/>
          <w14:ligatures w14:val="standardContextual"/>
        </w:rPr>
        <w:t>Gutierrez, Cundinamarca</w:t>
      </w:r>
    </w:p>
    <w:p w14:paraId="05C5C295" w14:textId="77777777" w:rsidR="003A5EB7" w:rsidRDefault="003A5EB7" w:rsidP="003A5EB7">
      <w:pPr>
        <w:spacing w:after="0" w:line="240" w:lineRule="auto"/>
        <w:rPr>
          <w:rFonts w:ascii="Verdana" w:eastAsia="Calibri" w:hAnsi="Verdana" w:cs="Arial"/>
          <w:b/>
          <w:bCs/>
          <w:lang w:val="es-ES_tradnl" w:eastAsia="es-ES_tradnl"/>
        </w:rPr>
      </w:pPr>
    </w:p>
    <w:p w14:paraId="5D4E7D7A" w14:textId="77777777" w:rsidR="00B01C6D" w:rsidRPr="0063746A" w:rsidRDefault="00B01C6D" w:rsidP="003A5EB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521"/>
      </w:tblGrid>
      <w:tr w:rsidR="003A5EB7" w:rsidRPr="0063746A" w14:paraId="4757E2F2" w14:textId="77777777" w:rsidTr="00EC05CF">
        <w:trPr>
          <w:trHeight w:val="243"/>
        </w:trPr>
        <w:tc>
          <w:tcPr>
            <w:tcW w:w="2268" w:type="dxa"/>
          </w:tcPr>
          <w:p w14:paraId="0EC68A3A" w14:textId="77777777" w:rsidR="003A5EB7" w:rsidRPr="0063746A" w:rsidRDefault="003A5EB7" w:rsidP="00EC05CF">
            <w:pPr>
              <w:jc w:val="both"/>
              <w:rPr>
                <w:rFonts w:ascii="Verdana" w:eastAsia="Calibri" w:hAnsi="Verdana" w:cs="Arial"/>
                <w:b/>
                <w:bCs/>
                <w:lang w:val="es-ES_tradnl" w:eastAsia="es-ES_tradnl"/>
              </w:rPr>
            </w:pPr>
          </w:p>
        </w:tc>
        <w:tc>
          <w:tcPr>
            <w:tcW w:w="6521" w:type="dxa"/>
          </w:tcPr>
          <w:p w14:paraId="71B17A1B" w14:textId="77777777" w:rsidR="003A5EB7" w:rsidRPr="0063746A" w:rsidRDefault="003A5EB7" w:rsidP="00EC05CF">
            <w:pPr>
              <w:jc w:val="both"/>
              <w:rPr>
                <w:rFonts w:ascii="Verdana" w:eastAsia="Calibri" w:hAnsi="Verdana" w:cs="Arial"/>
                <w:b/>
                <w:bCs/>
                <w:lang w:val="es-ES" w:eastAsia="es-ES"/>
              </w:rPr>
            </w:pPr>
            <w:r w:rsidRPr="0063746A">
              <w:rPr>
                <w:rFonts w:ascii="Verdana" w:eastAsia="Calibri" w:hAnsi="Verdana" w:cs="Arial"/>
                <w:b/>
                <w:bCs/>
                <w:lang w:val="es-ES" w:eastAsia="es-ES"/>
              </w:rPr>
              <w:t>Concepto C-</w:t>
            </w:r>
            <w:r>
              <w:rPr>
                <w:rFonts w:ascii="Verdana" w:eastAsia="Calibri" w:hAnsi="Verdana" w:cs="Arial"/>
                <w:b/>
                <w:bCs/>
                <w:lang w:val="es-ES" w:eastAsia="es-ES"/>
              </w:rPr>
              <w:t>1609</w:t>
            </w:r>
            <w:r w:rsidRPr="0063746A">
              <w:rPr>
                <w:rFonts w:ascii="Verdana" w:eastAsia="Calibri" w:hAnsi="Verdana" w:cs="Arial"/>
                <w:b/>
                <w:bCs/>
                <w:lang w:val="es-ES" w:eastAsia="es-ES"/>
              </w:rPr>
              <w:t xml:space="preserve"> de 202</w:t>
            </w:r>
            <w:r>
              <w:rPr>
                <w:rFonts w:ascii="Verdana" w:eastAsia="Calibri" w:hAnsi="Verdana" w:cs="Arial"/>
                <w:b/>
                <w:bCs/>
                <w:lang w:val="es-ES" w:eastAsia="es-ES"/>
              </w:rPr>
              <w:t>5</w:t>
            </w:r>
          </w:p>
          <w:p w14:paraId="0C8293A1" w14:textId="77777777" w:rsidR="003A5EB7" w:rsidRDefault="003A5EB7" w:rsidP="00EC05CF">
            <w:pPr>
              <w:jc w:val="both"/>
              <w:rPr>
                <w:rFonts w:ascii="Verdana" w:eastAsia="Calibri" w:hAnsi="Verdana" w:cs="Arial"/>
                <w:b/>
                <w:bCs/>
                <w:lang w:val="es-ES" w:eastAsia="es-ES"/>
              </w:rPr>
            </w:pPr>
          </w:p>
          <w:p w14:paraId="40A65000" w14:textId="77777777" w:rsidR="00B01C6D" w:rsidRPr="0063746A" w:rsidRDefault="00B01C6D" w:rsidP="00EC05CF">
            <w:pPr>
              <w:jc w:val="both"/>
              <w:rPr>
                <w:rFonts w:ascii="Verdana" w:eastAsia="Calibri" w:hAnsi="Verdana" w:cs="Arial"/>
                <w:b/>
                <w:bCs/>
                <w:lang w:val="es-ES" w:eastAsia="es-ES"/>
              </w:rPr>
            </w:pPr>
          </w:p>
        </w:tc>
      </w:tr>
      <w:tr w:rsidR="003A5EB7" w:rsidRPr="0063746A" w14:paraId="2AC25247" w14:textId="77777777" w:rsidTr="00EC05CF">
        <w:trPr>
          <w:trHeight w:val="884"/>
        </w:trPr>
        <w:tc>
          <w:tcPr>
            <w:tcW w:w="2268" w:type="dxa"/>
          </w:tcPr>
          <w:p w14:paraId="11AA3AAE" w14:textId="77777777" w:rsidR="003A5EB7" w:rsidRPr="0063746A" w:rsidRDefault="003A5EB7" w:rsidP="00EC05CF">
            <w:pPr>
              <w:jc w:val="both"/>
              <w:rPr>
                <w:rFonts w:ascii="Verdana" w:eastAsia="Calibri" w:hAnsi="Verdana" w:cs="Arial"/>
                <w:lang w:val="es-ES_tradnl" w:eastAsia="es-ES_tradnl"/>
              </w:rPr>
            </w:pPr>
            <w:r w:rsidRPr="0063746A">
              <w:rPr>
                <w:rFonts w:ascii="Verdana" w:eastAsia="Calibri" w:hAnsi="Verdana" w:cs="Arial"/>
                <w:b/>
                <w:lang w:val="es-ES_tradnl" w:eastAsia="es-ES_tradnl"/>
              </w:rPr>
              <w:t>Temas:</w:t>
            </w:r>
            <w:r w:rsidRPr="0063746A">
              <w:rPr>
                <w:rFonts w:ascii="Verdana" w:eastAsia="Calibri" w:hAnsi="Verdana" w:cs="Arial"/>
                <w:lang w:val="es-ES_tradnl" w:eastAsia="es-ES_tradnl"/>
              </w:rPr>
              <w:t xml:space="preserve">                   </w:t>
            </w:r>
          </w:p>
        </w:tc>
        <w:tc>
          <w:tcPr>
            <w:tcW w:w="6521" w:type="dxa"/>
          </w:tcPr>
          <w:p w14:paraId="4A99D3BE" w14:textId="77777777" w:rsidR="003A5EB7" w:rsidRPr="00CA6289" w:rsidRDefault="003A5EB7" w:rsidP="00EC05CF">
            <w:pPr>
              <w:jc w:val="both"/>
              <w:rPr>
                <w:rFonts w:ascii="Verdana" w:eastAsia="Calibri" w:hAnsi="Verdana" w:cs="Arial"/>
                <w:kern w:val="2"/>
                <w14:ligatures w14:val="standardContextual"/>
              </w:rPr>
            </w:pPr>
            <w:r w:rsidRPr="00CA6289">
              <w:rPr>
                <w:rFonts w:ascii="Verdana" w:hAnsi="Verdana" w:cs="Arial"/>
                <w:color w:val="000000" w:themeColor="text1"/>
                <w:lang w:val="es-ES"/>
              </w:rPr>
              <w:t xml:space="preserve">SUBSANABILIDAD – Aplicación – Regla general – Excepciones / SUBSANABILIDAD – Ley 1882 de 2018 / </w:t>
            </w:r>
            <w:r w:rsidRPr="00CA6289">
              <w:rPr>
                <w:rFonts w:ascii="Arial" w:eastAsia="Calibri" w:hAnsi="Arial" w:cs="Arial"/>
              </w:rPr>
              <w:t xml:space="preserve">DOCUMENTOS TIPO – EXPERIENCIA – Acreditación – Formato 3 – Finalidad / </w:t>
            </w:r>
            <w:r w:rsidRPr="00CA6289">
              <w:rPr>
                <w:rFonts w:ascii="Verdana" w:eastAsia="Calibri" w:hAnsi="Verdana" w:cs="Arial"/>
                <w:lang w:val="es-ES" w:eastAsia="es-ES"/>
              </w:rPr>
              <w:t xml:space="preserve">FORMATO 3 – </w:t>
            </w:r>
            <w:proofErr w:type="spellStart"/>
            <w:r w:rsidRPr="00CA6289">
              <w:rPr>
                <w:rFonts w:ascii="Verdana" w:eastAsia="Calibri" w:hAnsi="Verdana" w:cs="Arial"/>
                <w:lang w:val="es-ES" w:eastAsia="es-ES"/>
              </w:rPr>
              <w:t>Subsanabilidad</w:t>
            </w:r>
            <w:proofErr w:type="spellEnd"/>
            <w:r w:rsidRPr="00CA6289">
              <w:rPr>
                <w:rFonts w:ascii="Verdana" w:eastAsia="Calibri" w:hAnsi="Verdana" w:cs="Arial"/>
                <w:lang w:val="es-ES" w:eastAsia="es-ES"/>
              </w:rPr>
              <w:t xml:space="preserve"> – Circunstancias – Anterioridad al cierre / </w:t>
            </w:r>
            <w:r w:rsidRPr="00CA6289">
              <w:rPr>
                <w:rFonts w:ascii="Verdana" w:eastAsia="Calibri" w:hAnsi="Verdana" w:cs="Arial"/>
                <w:kern w:val="2"/>
                <w14:ligatures w14:val="standardContextual"/>
              </w:rPr>
              <w:t xml:space="preserve">DOCUMENTOS TIPO </w:t>
            </w:r>
            <w:r w:rsidRPr="00CA6289">
              <w:rPr>
                <w:rFonts w:ascii="Verdana" w:eastAsia="Calibri" w:hAnsi="Verdana" w:cs="Arial"/>
                <w:color w:val="000000"/>
                <w:kern w:val="2"/>
                <w14:ligatures w14:val="standardContextual"/>
              </w:rPr>
              <w:t xml:space="preserve">Infraestructura social – </w:t>
            </w:r>
            <w:r w:rsidRPr="00CA6289">
              <w:rPr>
                <w:rFonts w:ascii="Verdana" w:eastAsia="Calibri" w:hAnsi="Verdana" w:cs="Arial"/>
                <w:kern w:val="2"/>
                <w14:ligatures w14:val="standardContextual"/>
              </w:rPr>
              <w:t>Causales de rechazo – Información Inexacta - Literal G</w:t>
            </w:r>
          </w:p>
          <w:p w14:paraId="0A5CF226" w14:textId="77777777" w:rsidR="003A5EB7" w:rsidRPr="00263718" w:rsidRDefault="003A5EB7" w:rsidP="00EC05CF">
            <w:pPr>
              <w:jc w:val="both"/>
              <w:rPr>
                <w:rFonts w:ascii="Verdana" w:eastAsia="Calibri" w:hAnsi="Verdana" w:cs="Arial"/>
                <w:lang w:eastAsia="es-ES"/>
              </w:rPr>
            </w:pPr>
          </w:p>
        </w:tc>
      </w:tr>
      <w:tr w:rsidR="003A5EB7" w:rsidRPr="0063746A" w14:paraId="362D9031" w14:textId="77777777" w:rsidTr="00EC05CF">
        <w:trPr>
          <w:trHeight w:val="377"/>
        </w:trPr>
        <w:tc>
          <w:tcPr>
            <w:tcW w:w="2268" w:type="dxa"/>
          </w:tcPr>
          <w:p w14:paraId="7BDB49A7" w14:textId="77777777" w:rsidR="003A5EB7" w:rsidRPr="0063746A" w:rsidRDefault="003A5EB7" w:rsidP="00EC05CF">
            <w:pPr>
              <w:jc w:val="both"/>
              <w:rPr>
                <w:rFonts w:ascii="Verdana" w:eastAsia="Calibri" w:hAnsi="Verdana" w:cs="Arial"/>
                <w:b/>
                <w:lang w:val="es-ES_tradnl" w:eastAsia="es-ES_tradnl"/>
              </w:rPr>
            </w:pPr>
            <w:r w:rsidRPr="0063746A">
              <w:rPr>
                <w:rFonts w:ascii="Verdana" w:eastAsia="Calibri" w:hAnsi="Verdana" w:cs="Arial"/>
                <w:b/>
                <w:lang w:val="es-ES_tradnl" w:eastAsia="es-ES_tradnl"/>
              </w:rPr>
              <w:t>Radicación:</w:t>
            </w:r>
            <w:r w:rsidRPr="0063746A">
              <w:rPr>
                <w:rFonts w:ascii="Verdana" w:eastAsia="Calibri" w:hAnsi="Verdana" w:cs="Arial"/>
                <w:lang w:val="es-ES_tradnl" w:eastAsia="es-ES_tradnl"/>
              </w:rPr>
              <w:t xml:space="preserve">               </w:t>
            </w:r>
          </w:p>
        </w:tc>
        <w:tc>
          <w:tcPr>
            <w:tcW w:w="6521" w:type="dxa"/>
          </w:tcPr>
          <w:p w14:paraId="26A58009" w14:textId="77777777" w:rsidR="003A5EB7" w:rsidRPr="0063746A" w:rsidRDefault="003A5EB7" w:rsidP="00EC05CF">
            <w:pPr>
              <w:jc w:val="both"/>
              <w:rPr>
                <w:rFonts w:ascii="Verdana" w:hAnsi="Verdana" w:cs="Calibri"/>
              </w:rPr>
            </w:pPr>
            <w:r w:rsidRPr="0063746A">
              <w:rPr>
                <w:rFonts w:ascii="Verdana" w:eastAsia="Calibri" w:hAnsi="Verdana" w:cs="Arial"/>
                <w:lang w:val="es-ES_tradnl" w:eastAsia="es-ES_tradnl"/>
              </w:rPr>
              <w:t xml:space="preserve">Respuesta a consulta con radicado No. </w:t>
            </w:r>
            <w:r w:rsidRPr="0042419A">
              <w:rPr>
                <w:rFonts w:ascii="Verdana" w:hAnsi="Verdana" w:cs="Calibri"/>
              </w:rPr>
              <w:t>1_2025_10_30_012279</w:t>
            </w:r>
          </w:p>
        </w:tc>
      </w:tr>
    </w:tbl>
    <w:p w14:paraId="0D01871D" w14:textId="77777777" w:rsidR="003A5EB7" w:rsidRPr="0063746A" w:rsidRDefault="003A5EB7" w:rsidP="003A5EB7">
      <w:pPr>
        <w:spacing w:after="0" w:line="276" w:lineRule="auto"/>
        <w:jc w:val="both"/>
        <w:rPr>
          <w:rFonts w:ascii="Verdana" w:eastAsia="Calibri" w:hAnsi="Verdana" w:cs="Arial"/>
          <w:lang w:val="es-ES_tradnl" w:eastAsia="es-ES_tradnl"/>
        </w:rPr>
      </w:pPr>
    </w:p>
    <w:p w14:paraId="0EA918D0" w14:textId="77777777" w:rsidR="003A5EB7" w:rsidRPr="0063746A" w:rsidRDefault="003A5EB7" w:rsidP="003A5EB7">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 xml:space="preserve">Estimado señor </w:t>
      </w:r>
      <w:r>
        <w:rPr>
          <w:rFonts w:ascii="Verdana" w:hAnsi="Verdana" w:cs="Arial"/>
          <w:color w:val="000000"/>
          <w:lang w:val="es-MX"/>
          <w14:ligatures w14:val="standardContextual"/>
        </w:rPr>
        <w:t>A</w:t>
      </w:r>
      <w:r w:rsidRPr="0042419A">
        <w:rPr>
          <w:rFonts w:ascii="Verdana" w:hAnsi="Verdana" w:cs="Arial"/>
          <w:color w:val="000000"/>
          <w:lang w:val="es-MX"/>
          <w14:ligatures w14:val="standardContextual"/>
        </w:rPr>
        <w:t xml:space="preserve">cuña </w:t>
      </w:r>
      <w:r>
        <w:rPr>
          <w:rFonts w:ascii="Verdana" w:hAnsi="Verdana" w:cs="Arial"/>
          <w:color w:val="000000"/>
          <w:lang w:val="es-MX"/>
          <w14:ligatures w14:val="standardContextual"/>
        </w:rPr>
        <w:t>G</w:t>
      </w:r>
      <w:r w:rsidRPr="0042419A">
        <w:rPr>
          <w:rFonts w:ascii="Verdana" w:hAnsi="Verdana" w:cs="Arial"/>
          <w:color w:val="000000"/>
          <w:lang w:val="es-MX"/>
          <w14:ligatures w14:val="standardContextual"/>
        </w:rPr>
        <w:t>uasca</w:t>
      </w:r>
      <w:r w:rsidRPr="0063746A">
        <w:rPr>
          <w:rFonts w:ascii="Verdana" w:eastAsia="Calibri" w:hAnsi="Verdana" w:cs="Arial"/>
          <w:lang w:val="es-ES" w:eastAsia="es-ES"/>
        </w:rPr>
        <w:t xml:space="preserve">: </w:t>
      </w:r>
    </w:p>
    <w:p w14:paraId="08299CA9" w14:textId="77777777" w:rsidR="003A5EB7" w:rsidRPr="0063746A" w:rsidRDefault="003A5EB7" w:rsidP="003A5EB7">
      <w:pPr>
        <w:tabs>
          <w:tab w:val="left" w:pos="3768"/>
        </w:tabs>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ab/>
      </w:r>
    </w:p>
    <w:p w14:paraId="3F6BC29B" w14:textId="77777777" w:rsidR="003A5EB7" w:rsidRPr="0063746A" w:rsidRDefault="003A5EB7" w:rsidP="003A5EB7">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En ejercicio de la competencia otorgada por los artículos 3, numeral 5º, y 11, numeral 8º, del Decreto Ley 4170 de 2011,</w:t>
      </w:r>
      <w:r w:rsidRPr="0063746A">
        <w:rPr>
          <w:rFonts w:ascii="Verdana" w:eastAsia="Arial MT" w:hAnsi="Verdana" w:cs="Arial MT"/>
          <w:lang w:val="es-ES" w:eastAsia="es-ES"/>
        </w:rPr>
        <w:t xml:space="preserve"> </w:t>
      </w:r>
      <w:r w:rsidRPr="0063746A">
        <w:rPr>
          <w:rFonts w:ascii="Verdana" w:hAnsi="Verdana" w:cs="Arial"/>
        </w:rPr>
        <w:t xml:space="preserve">así como lo establecido en el artículo 4 de la Resolución 1707 de 2018 expedida por esta Entidad, </w:t>
      </w:r>
      <w:r w:rsidRPr="0063746A">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30</w:t>
      </w:r>
      <w:r w:rsidRPr="0063746A">
        <w:rPr>
          <w:rFonts w:ascii="Verdana" w:eastAsia="Calibri" w:hAnsi="Verdana" w:cs="Arial"/>
          <w:lang w:val="es-ES" w:eastAsia="es-ES"/>
        </w:rPr>
        <w:t xml:space="preserve"> de </w:t>
      </w:r>
      <w:r>
        <w:rPr>
          <w:rFonts w:ascii="Verdana" w:eastAsia="Calibri" w:hAnsi="Verdana" w:cs="Arial"/>
          <w:lang w:val="es-ES" w:eastAsia="es-ES"/>
        </w:rPr>
        <w:t>octubre</w:t>
      </w:r>
      <w:r w:rsidRPr="0063746A">
        <w:rPr>
          <w:rFonts w:ascii="Verdana" w:eastAsia="Calibri" w:hAnsi="Verdana" w:cs="Arial"/>
          <w:lang w:val="es-ES" w:eastAsia="es-ES"/>
        </w:rPr>
        <w:t xml:space="preserve"> de 202</w:t>
      </w:r>
      <w:r>
        <w:rPr>
          <w:rFonts w:ascii="Verdana" w:eastAsia="Calibri" w:hAnsi="Verdana" w:cs="Arial"/>
          <w:lang w:val="es-ES" w:eastAsia="es-ES"/>
        </w:rPr>
        <w:t>5</w:t>
      </w:r>
      <w:r w:rsidRPr="0063746A">
        <w:rPr>
          <w:rFonts w:ascii="Verdana" w:eastAsia="Calibri" w:hAnsi="Verdana" w:cs="Arial"/>
          <w:lang w:val="es-ES" w:eastAsia="es-ES"/>
        </w:rPr>
        <w:t xml:space="preserve">, en la cual manifiesta lo siguiente: </w:t>
      </w:r>
    </w:p>
    <w:p w14:paraId="24158B87" w14:textId="77777777" w:rsidR="003A5EB7" w:rsidRDefault="003A5EB7" w:rsidP="003A5EB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9967E00" w14:textId="77777777" w:rsidR="003A5EB7" w:rsidRPr="0042419A"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42419A">
        <w:rPr>
          <w:rFonts w:ascii="Verdana" w:hAnsi="Verdana"/>
          <w:sz w:val="21"/>
          <w:szCs w:val="21"/>
        </w:rPr>
        <w:t>“</w:t>
      </w:r>
      <w:r w:rsidRPr="0042419A">
        <w:rPr>
          <w:rFonts w:ascii="Verdana" w:hAnsi="Verdana" w:cs="Helvetica"/>
          <w:color w:val="000000"/>
          <w:sz w:val="21"/>
          <w:szCs w:val="21"/>
          <w:lang w:val="es-MX"/>
          <w14:ligatures w14:val="standardContextual"/>
        </w:rPr>
        <w:t>Dentro de la documentación que se debe allegar por los proponentes en proceso pliego tipo licitación de obra se establece la necesidad de diligenciar Formato 3 - experiencia, en este contexto surge las siguientes dudas:</w:t>
      </w:r>
    </w:p>
    <w:p w14:paraId="4D6CBC89" w14:textId="77777777" w:rsidR="003A5EB7" w:rsidRPr="0042419A"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42419A">
        <w:rPr>
          <w:rFonts w:ascii="Verdana" w:hAnsi="Verdana" w:cs="Helvetica"/>
          <w:color w:val="000000"/>
          <w:sz w:val="21"/>
          <w:szCs w:val="21"/>
          <w:lang w:val="es-MX"/>
          <w14:ligatures w14:val="standardContextual"/>
        </w:rPr>
        <w:lastRenderedPageBreak/>
        <w:t>1.¿Si el oferente en su propuesta inicial presenta mal diligenciado el Formato 3- experiencia y se le solicita la subsanación y no la allega en términos del cronograma planteado, es viable aplicar la CAUSAL DE RECHAZO D) Que el proponente no aclara o aporte documentos necesarios para cumplir un requisito habilitante, o aportándolos no lo haga de forma correcta</w:t>
      </w:r>
    </w:p>
    <w:p w14:paraId="5F89BB3E" w14:textId="77777777" w:rsidR="003A5EB7" w:rsidRPr="0042419A"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42419A">
        <w:rPr>
          <w:rFonts w:ascii="Verdana" w:hAnsi="Verdana" w:cs="Helvetica"/>
          <w:color w:val="000000"/>
          <w:sz w:val="21"/>
          <w:szCs w:val="21"/>
          <w:lang w:val="es-MX"/>
          <w14:ligatures w14:val="standardContextual"/>
        </w:rPr>
        <w:t>2. ¿Si el oferente en su propuesta inicial presenta mal diligenciado el Formato 3- experiencia y se le solicita la subsanación y la allega pero subsana mal, en las casillas del valor del SMMLV, pero para el comité evaluador es posible verificar la experiencia con los</w:t>
      </w:r>
      <w:r>
        <w:rPr>
          <w:rFonts w:ascii="Verdana" w:hAnsi="Verdana" w:cs="Helvetica"/>
          <w:color w:val="000000"/>
          <w:sz w:val="21"/>
          <w:szCs w:val="21"/>
          <w:lang w:val="es-MX"/>
          <w14:ligatures w14:val="standardContextual"/>
        </w:rPr>
        <w:t xml:space="preserve"> </w:t>
      </w:r>
      <w:r w:rsidRPr="0042419A">
        <w:rPr>
          <w:rFonts w:ascii="Verdana" w:hAnsi="Verdana" w:cs="Helvetica"/>
          <w:color w:val="000000"/>
          <w:sz w:val="21"/>
          <w:szCs w:val="21"/>
          <w:lang w:val="es-MX"/>
          <w14:ligatures w14:val="standardContextual"/>
        </w:rPr>
        <w:t>documentos, es viable aplicar la CAUSAL DE RECHAZO D) Que el proponente no aclara o aporte documentos necesarios para cumplir un requisito habilitante, o aportándolos no lo haga de forma correcta, o este formato 3 no es determinante en la habilitación del oferente, es decir no es necesario finalmente su correcto diligenciamiento?</w:t>
      </w:r>
    </w:p>
    <w:p w14:paraId="41E133CE" w14:textId="77777777" w:rsidR="003A5EB7" w:rsidRPr="0042419A"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42419A">
        <w:rPr>
          <w:rFonts w:ascii="Verdana" w:hAnsi="Verdana" w:cs="Helvetica"/>
          <w:color w:val="000000"/>
          <w:sz w:val="21"/>
          <w:szCs w:val="21"/>
          <w:lang w:val="es-MX"/>
          <w14:ligatures w14:val="standardContextual"/>
        </w:rPr>
        <w:t>3. ¿El proponente como constructor de su propuesta tiene la obligación de subsanar todo lo enunciado en el informe de la evaluación preliminar, incluidos los formatos que hace parte integral del Pliego Tipo?</w:t>
      </w:r>
    </w:p>
    <w:p w14:paraId="778D5075" w14:textId="77777777" w:rsidR="003A5EB7" w:rsidRPr="0042419A"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Helvetica"/>
          <w:color w:val="000000"/>
          <w:sz w:val="21"/>
          <w:szCs w:val="21"/>
          <w:lang w:val="es-MX"/>
          <w14:ligatures w14:val="standardContextual"/>
        </w:rPr>
      </w:pPr>
      <w:r w:rsidRPr="0042419A">
        <w:rPr>
          <w:rFonts w:ascii="Verdana" w:hAnsi="Verdana" w:cs="Helvetica"/>
          <w:color w:val="000000"/>
          <w:sz w:val="21"/>
          <w:szCs w:val="21"/>
          <w:lang w:val="es-MX"/>
          <w14:ligatures w14:val="standardContextual"/>
        </w:rPr>
        <w:t>4. ¿Si en desarrollo del proceso de calificación se evidencia posible falsedad relacionada con la firma del proponente y/o revisor fiscal, es viable la aplicación de la CAUSAL G , en el informe de calificación final, en el entendido que la subsanación presentada difiere de manera notoria posible alteración en las firmas?</w:t>
      </w:r>
      <w:r w:rsidRPr="0042419A">
        <w:rPr>
          <w:rFonts w:ascii="Verdana" w:hAnsi="Verdana"/>
          <w:sz w:val="21"/>
          <w:szCs w:val="21"/>
        </w:rPr>
        <w:t>”.</w:t>
      </w:r>
    </w:p>
    <w:p w14:paraId="0354848E" w14:textId="77777777" w:rsidR="003A5EB7" w:rsidRPr="00893811" w:rsidRDefault="003A5EB7" w:rsidP="003A5EB7">
      <w:pPr>
        <w:pStyle w:val="NormalWeb"/>
        <w:spacing w:before="0" w:beforeAutospacing="0" w:after="0" w:afterAutospacing="0"/>
        <w:ind w:left="709" w:right="709"/>
        <w:jc w:val="both"/>
      </w:pPr>
    </w:p>
    <w:p w14:paraId="5C6DEC37" w14:textId="77777777" w:rsidR="003A5EB7" w:rsidRPr="00CA2545" w:rsidRDefault="003A5EB7" w:rsidP="003A5EB7">
      <w:pPr>
        <w:spacing w:after="120" w:line="276" w:lineRule="auto"/>
        <w:ind w:firstLine="708"/>
        <w:jc w:val="both"/>
        <w:rPr>
          <w:rFonts w:ascii="Verdana" w:eastAsia="Calibri" w:hAnsi="Verdana" w:cs="Arial"/>
          <w:color w:val="000000"/>
          <w:lang w:val="es-ES_tradnl" w:eastAsia="es-ES_tradnl"/>
        </w:rPr>
      </w:pPr>
      <w:r w:rsidRPr="00CA254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2545">
        <w:rPr>
          <w:rFonts w:ascii="Verdana" w:eastAsia="Calibri" w:hAnsi="Verdana" w:cs="Arial"/>
          <w:color w:val="000000"/>
          <w:lang w:val="es-ES_tradnl" w:eastAsia="es-ES_tradnl"/>
        </w:rPr>
        <w:tab/>
      </w:r>
    </w:p>
    <w:p w14:paraId="000BCF68" w14:textId="77777777" w:rsidR="003A5EB7" w:rsidRDefault="003A5EB7" w:rsidP="003A5EB7">
      <w:pPr>
        <w:spacing w:after="0" w:line="276" w:lineRule="auto"/>
        <w:ind w:firstLine="708"/>
        <w:jc w:val="both"/>
        <w:rPr>
          <w:rFonts w:ascii="Verdana" w:eastAsia="Calibri" w:hAnsi="Verdana" w:cs="Arial"/>
          <w:color w:val="000000"/>
          <w:lang w:val="es-ES" w:eastAsia="es-ES"/>
        </w:rPr>
      </w:pPr>
      <w:r w:rsidRPr="00CA2545">
        <w:rPr>
          <w:rFonts w:ascii="Verdana" w:eastAsia="Calibri" w:hAnsi="Verdana" w:cs="Arial"/>
          <w:color w:val="000000"/>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e</w:t>
      </w:r>
      <w:r w:rsidRPr="00893811">
        <w:rPr>
          <w:rFonts w:ascii="Verdana" w:eastAsia="Calibri" w:hAnsi="Verdana" w:cs="Arial"/>
          <w:color w:val="000000"/>
          <w:lang w:val="es-ES" w:eastAsia="es-ES"/>
        </w:rPr>
        <w:t xml:space="preserve">l </w:t>
      </w:r>
      <w:r w:rsidRPr="00CA2545">
        <w:rPr>
          <w:rFonts w:ascii="Verdana" w:eastAsia="Calibri" w:hAnsi="Verdana" w:cs="Arial"/>
          <w:color w:val="000000"/>
          <w:lang w:val="es-ES" w:eastAsia="es-ES"/>
        </w:rPr>
        <w:t>problema</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jurídico</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 xml:space="preserve">de su consulta. </w:t>
      </w:r>
    </w:p>
    <w:p w14:paraId="60206F98" w14:textId="77777777" w:rsidR="003A5EB7" w:rsidRPr="00CA2545" w:rsidRDefault="003A5EB7" w:rsidP="003A5EB7">
      <w:pPr>
        <w:spacing w:after="0" w:line="276" w:lineRule="auto"/>
        <w:ind w:firstLine="708"/>
        <w:jc w:val="both"/>
        <w:rPr>
          <w:rFonts w:ascii="Verdana" w:eastAsia="Calibri" w:hAnsi="Verdana" w:cs="Arial"/>
          <w:color w:val="000000"/>
          <w:lang w:val="es-ES" w:eastAsia="es-ES"/>
        </w:rPr>
      </w:pPr>
    </w:p>
    <w:p w14:paraId="5765F781" w14:textId="77777777" w:rsidR="003A5EB7" w:rsidRPr="00C75C5C" w:rsidRDefault="003A5EB7" w:rsidP="003A5EB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75C5C">
        <w:rPr>
          <w:rFonts w:ascii="Verdana" w:eastAsia="Century Gothic" w:hAnsi="Verdana" w:cs="Century Gothic"/>
          <w:b/>
          <w:bCs/>
        </w:rPr>
        <w:t>Problema planteado:</w:t>
      </w:r>
    </w:p>
    <w:p w14:paraId="7DD4FCCE" w14:textId="77777777" w:rsidR="003A5EB7" w:rsidRPr="00C75C5C" w:rsidRDefault="003A5EB7" w:rsidP="003A5EB7">
      <w:pPr>
        <w:tabs>
          <w:tab w:val="left" w:pos="426"/>
        </w:tabs>
        <w:spacing w:after="0" w:line="276" w:lineRule="auto"/>
        <w:jc w:val="both"/>
        <w:rPr>
          <w:rFonts w:ascii="Verdana" w:eastAsia="Century Gothic" w:hAnsi="Verdana" w:cs="Century Gothic"/>
          <w:lang w:val="es-ES"/>
        </w:rPr>
      </w:pPr>
    </w:p>
    <w:p w14:paraId="6EF36F15" w14:textId="77777777" w:rsidR="003A5EB7" w:rsidRDefault="003A5EB7" w:rsidP="003A5EB7">
      <w:pPr>
        <w:spacing w:after="0" w:line="276" w:lineRule="auto"/>
        <w:jc w:val="both"/>
        <w:rPr>
          <w:rFonts w:ascii="Verdana" w:eastAsia="Century Gothic" w:hAnsi="Verdana" w:cs="Century Gothic"/>
        </w:rPr>
      </w:pPr>
      <w:r w:rsidRPr="008D5D4A">
        <w:rPr>
          <w:rFonts w:ascii="Verdana" w:eastAsia="Century Gothic" w:hAnsi="Verdana" w:cs="Century Gothic"/>
        </w:rPr>
        <w:t>De acuerdo con el contenido de su solicitud, esta Agencia resolverá l</w:t>
      </w:r>
      <w:r>
        <w:rPr>
          <w:rFonts w:ascii="Verdana" w:eastAsia="Century Gothic" w:hAnsi="Verdana" w:cs="Century Gothic"/>
        </w:rPr>
        <w:t>os</w:t>
      </w:r>
      <w:r w:rsidRPr="008D5D4A">
        <w:rPr>
          <w:rFonts w:ascii="Verdana" w:eastAsia="Century Gothic" w:hAnsi="Verdana" w:cs="Century Gothic"/>
        </w:rPr>
        <w:t xml:space="preserve"> siguiente</w:t>
      </w:r>
      <w:r>
        <w:rPr>
          <w:rFonts w:ascii="Verdana" w:eastAsia="Century Gothic" w:hAnsi="Verdana" w:cs="Century Gothic"/>
        </w:rPr>
        <w:t>s</w:t>
      </w:r>
      <w:r w:rsidRPr="008D5D4A">
        <w:rPr>
          <w:rFonts w:ascii="Verdana" w:eastAsia="Century Gothic" w:hAnsi="Verdana" w:cs="Century Gothic"/>
        </w:rPr>
        <w:t xml:space="preserve"> problema</w:t>
      </w:r>
      <w:r>
        <w:rPr>
          <w:rFonts w:ascii="Verdana" w:eastAsia="Century Gothic" w:hAnsi="Verdana" w:cs="Century Gothic"/>
        </w:rPr>
        <w:t>s</w:t>
      </w:r>
      <w:r w:rsidRPr="008D5D4A">
        <w:rPr>
          <w:rFonts w:ascii="Verdana" w:eastAsia="Century Gothic" w:hAnsi="Verdana" w:cs="Century Gothic"/>
        </w:rPr>
        <w:t xml:space="preserve"> jurídico</w:t>
      </w:r>
      <w:r>
        <w:rPr>
          <w:rFonts w:ascii="Verdana" w:eastAsia="Century Gothic" w:hAnsi="Verdana" w:cs="Century Gothic"/>
        </w:rPr>
        <w:t>s</w:t>
      </w:r>
      <w:r w:rsidRPr="008D5D4A">
        <w:rPr>
          <w:rFonts w:ascii="Verdana" w:eastAsia="Century Gothic" w:hAnsi="Verdana" w:cs="Century Gothic"/>
        </w:rPr>
        <w:t xml:space="preserve">: </w:t>
      </w:r>
      <w:r w:rsidRPr="741F9A7A">
        <w:rPr>
          <w:rFonts w:ascii="Verdana" w:eastAsia="Calibri" w:hAnsi="Verdana" w:cs="Arial"/>
          <w:color w:val="000000" w:themeColor="text1"/>
          <w:lang w:eastAsia="es-ES"/>
        </w:rPr>
        <w:t xml:space="preserve">i) </w:t>
      </w:r>
      <w:r w:rsidRPr="00944AEB">
        <w:rPr>
          <w:rFonts w:ascii="Verdana" w:eastAsia="Calibri" w:hAnsi="Verdana" w:cs="Arial"/>
          <w:color w:val="000000" w:themeColor="text1"/>
          <w:lang w:eastAsia="es-ES"/>
        </w:rPr>
        <w:t xml:space="preserve">¿Cuál es el régimen de </w:t>
      </w:r>
      <w:proofErr w:type="spellStart"/>
      <w:r w:rsidRPr="00944AEB">
        <w:rPr>
          <w:rFonts w:ascii="Verdana" w:eastAsia="Calibri" w:hAnsi="Verdana" w:cs="Arial"/>
          <w:color w:val="000000" w:themeColor="text1"/>
          <w:lang w:eastAsia="es-ES"/>
        </w:rPr>
        <w:t>subsanabilidad</w:t>
      </w:r>
      <w:proofErr w:type="spellEnd"/>
      <w:r w:rsidRPr="00944AEB">
        <w:rPr>
          <w:rFonts w:ascii="Verdana" w:eastAsia="Calibri" w:hAnsi="Verdana" w:cs="Arial"/>
          <w:color w:val="000000" w:themeColor="text1"/>
          <w:lang w:eastAsia="es-ES"/>
        </w:rPr>
        <w:t xml:space="preserve"> en los procedimientos de selección?</w:t>
      </w:r>
      <w:r>
        <w:rPr>
          <w:rFonts w:ascii="Verdana" w:eastAsia="Calibri" w:hAnsi="Verdana" w:cs="Arial"/>
          <w:color w:val="000000" w:themeColor="text1"/>
          <w:lang w:eastAsia="es-ES"/>
        </w:rPr>
        <w:t xml:space="preserve">, </w:t>
      </w:r>
      <w:proofErr w:type="spellStart"/>
      <w:r>
        <w:rPr>
          <w:rFonts w:ascii="Verdana" w:eastAsia="Calibri" w:hAnsi="Verdana" w:cs="Arial"/>
          <w:color w:val="000000" w:themeColor="text1"/>
          <w:lang w:eastAsia="es-ES"/>
        </w:rPr>
        <w:t>ii</w:t>
      </w:r>
      <w:proofErr w:type="spellEnd"/>
      <w:r>
        <w:rPr>
          <w:rFonts w:ascii="Verdana" w:eastAsia="Calibri" w:hAnsi="Verdana" w:cs="Arial"/>
          <w:color w:val="000000" w:themeColor="text1"/>
          <w:lang w:eastAsia="es-ES"/>
        </w:rPr>
        <w:t xml:space="preserve">) </w:t>
      </w:r>
      <w:r>
        <w:rPr>
          <w:rFonts w:ascii="Verdana" w:eastAsia="Century Gothic" w:hAnsi="Verdana" w:cs="Century Gothic"/>
        </w:rPr>
        <w:t xml:space="preserve">¿En los </w:t>
      </w:r>
      <w:r w:rsidRPr="002D2FBE">
        <w:rPr>
          <w:rFonts w:ascii="Verdana" w:eastAsia="Century Gothic" w:hAnsi="Verdana" w:cs="Century Gothic"/>
        </w:rPr>
        <w:t xml:space="preserve">documentos tipo de licitación de obra pública de infraestructura </w:t>
      </w:r>
      <w:r>
        <w:rPr>
          <w:rFonts w:ascii="Verdana" w:eastAsia="Century Gothic" w:hAnsi="Verdana" w:cs="Century Gothic"/>
        </w:rPr>
        <w:t xml:space="preserve">social, es causal de rechazo no aportar o aportar mal diligenciado el “Formato 3 – Experiencia”? y </w:t>
      </w:r>
      <w:proofErr w:type="spellStart"/>
      <w:r>
        <w:rPr>
          <w:rFonts w:ascii="Verdana" w:eastAsia="Century Gothic" w:hAnsi="Verdana" w:cs="Century Gothic"/>
        </w:rPr>
        <w:t>iii</w:t>
      </w:r>
      <w:proofErr w:type="spellEnd"/>
      <w:r>
        <w:rPr>
          <w:rFonts w:ascii="Verdana" w:eastAsia="Century Gothic" w:hAnsi="Verdana" w:cs="Century Gothic"/>
        </w:rPr>
        <w:t xml:space="preserve">) ¿Cuál es el alcance de la </w:t>
      </w:r>
      <w:r w:rsidRPr="002D2FBE">
        <w:rPr>
          <w:rFonts w:ascii="Verdana" w:eastAsia="Century Gothic" w:hAnsi="Verdana" w:cs="Century Gothic"/>
        </w:rPr>
        <w:t xml:space="preserve">causal de rechazo contenida en el literal </w:t>
      </w:r>
      <w:r>
        <w:rPr>
          <w:rFonts w:ascii="Verdana" w:eastAsia="Century Gothic" w:hAnsi="Verdana" w:cs="Century Gothic"/>
        </w:rPr>
        <w:t>G</w:t>
      </w:r>
      <w:r w:rsidRPr="002D2FBE">
        <w:rPr>
          <w:rFonts w:ascii="Verdana" w:eastAsia="Century Gothic" w:hAnsi="Verdana" w:cs="Century Gothic"/>
        </w:rPr>
        <w:t xml:space="preserve"> del numeral 1.15 de los documentos tipo de licitación de obra pública de infraestructura </w:t>
      </w:r>
      <w:r>
        <w:rPr>
          <w:rFonts w:ascii="Verdana" w:eastAsia="Century Gothic" w:hAnsi="Verdana" w:cs="Century Gothic"/>
        </w:rPr>
        <w:t>social?</w:t>
      </w:r>
    </w:p>
    <w:p w14:paraId="0BF96966" w14:textId="77777777" w:rsidR="003A5EB7" w:rsidRPr="00384705" w:rsidRDefault="003A5EB7" w:rsidP="003A5EB7">
      <w:pPr>
        <w:spacing w:after="0" w:line="276" w:lineRule="auto"/>
        <w:jc w:val="both"/>
        <w:rPr>
          <w:rFonts w:ascii="Verdana" w:eastAsia="Calibri" w:hAnsi="Verdana" w:cs="Arial"/>
          <w:color w:val="7030A0"/>
        </w:rPr>
      </w:pPr>
    </w:p>
    <w:p w14:paraId="7A4D2FC3" w14:textId="77777777" w:rsidR="003A5EB7" w:rsidRPr="00B74530" w:rsidRDefault="003A5EB7" w:rsidP="003A5EB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4530">
        <w:rPr>
          <w:rFonts w:ascii="Verdana" w:eastAsia="Century Gothic" w:hAnsi="Verdana" w:cs="Century Gothic"/>
          <w:b/>
          <w:bCs/>
        </w:rPr>
        <w:t>Respuesta:</w:t>
      </w:r>
    </w:p>
    <w:p w14:paraId="7E2E5781" w14:textId="77777777" w:rsidR="003A5EB7" w:rsidRPr="00DE4E8C" w:rsidRDefault="003A5EB7" w:rsidP="003A5EB7">
      <w:pPr>
        <w:tabs>
          <w:tab w:val="left" w:pos="142"/>
          <w:tab w:val="left" w:pos="284"/>
        </w:tabs>
        <w:spacing w:after="0" w:line="276" w:lineRule="auto"/>
        <w:jc w:val="both"/>
        <w:rPr>
          <w:rFonts w:ascii="Verdana" w:eastAsia="Century Gothic" w:hAnsi="Verdana" w:cs="Century Gothic"/>
          <w:b/>
          <w:bCs/>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5EB7" w:rsidRPr="00593A5F" w14:paraId="153C34A6" w14:textId="77777777" w:rsidTr="00EC05CF">
        <w:tc>
          <w:tcPr>
            <w:tcW w:w="8828" w:type="dxa"/>
          </w:tcPr>
          <w:p w14:paraId="52DFDFE1" w14:textId="77777777" w:rsidR="003A5EB7" w:rsidRDefault="003A5EB7" w:rsidP="00EC05CF">
            <w:pPr>
              <w:spacing w:after="120" w:line="276" w:lineRule="auto"/>
              <w:jc w:val="both"/>
              <w:rPr>
                <w:rFonts w:ascii="Verdana" w:eastAsia="Times New Roman" w:hAnsi="Verdana" w:cs="Arial"/>
                <w:lang w:val="es-ES" w:eastAsia="es-ES"/>
              </w:rPr>
            </w:pPr>
            <w:r>
              <w:rPr>
                <w:rFonts w:ascii="Verdana" w:hAnsi="Verdana" w:cs="Arial"/>
                <w:noProof/>
                <w:lang w:val="es-ES"/>
              </w:rPr>
              <w:t xml:space="preserve">i) </w:t>
            </w: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719CA9DB" w14:textId="77777777" w:rsidR="003A5EB7" w:rsidRPr="000E38C9" w:rsidRDefault="003A5EB7" w:rsidP="00EC05CF">
            <w:pPr>
              <w:pBdr>
                <w:top w:val="nil"/>
                <w:left w:val="nil"/>
                <w:bottom w:val="nil"/>
                <w:right w:val="nil"/>
                <w:between w:val="nil"/>
              </w:pBdr>
              <w:tabs>
                <w:tab w:val="left" w:pos="284"/>
              </w:tabs>
              <w:spacing w:before="120"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artículo 5 </w:t>
            </w:r>
            <w:r>
              <w:rPr>
                <w:rFonts w:ascii="Verdana" w:eastAsia="Arial" w:hAnsi="Verdana" w:cs="Arial"/>
                <w:color w:val="000000"/>
              </w:rPr>
              <w:t xml:space="preserve">de la Ley 1882 de 2018 </w:t>
            </w:r>
            <w:r w:rsidRPr="00C64261">
              <w:rPr>
                <w:rFonts w:ascii="Verdana" w:eastAsia="Arial" w:hAnsi="Verdana" w:cs="Arial"/>
                <w:color w:val="000000"/>
              </w:rPr>
              <w:t xml:space="preserve">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w:t>
            </w:r>
            <w:r w:rsidRPr="00C64261">
              <w:rPr>
                <w:rFonts w:ascii="Verdana" w:eastAsia="Arial" w:hAnsi="Verdana" w:cs="Arial"/>
                <w:color w:val="000000"/>
              </w:rPr>
              <w:lastRenderedPageBreak/>
              <w:t xml:space="preserve">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22D1EB6" w14:textId="77777777" w:rsidR="003A5EB7" w:rsidRDefault="003A5EB7" w:rsidP="00EC05CF">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w:t>
            </w:r>
          </w:p>
          <w:p w14:paraId="37FFF207" w14:textId="77777777" w:rsidR="003A5EB7" w:rsidRDefault="003A5EB7" w:rsidP="00EC05CF">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70F4BC13" w14:textId="77777777" w:rsidR="003A5EB7" w:rsidRDefault="003A5EB7" w:rsidP="00EC05CF">
            <w:pPr>
              <w:spacing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77E01451" w14:textId="77777777" w:rsidR="003A5EB7" w:rsidRDefault="003A5EB7" w:rsidP="00EC05CF">
            <w:pPr>
              <w:spacing w:line="276" w:lineRule="auto"/>
              <w:ind w:firstLine="709"/>
              <w:jc w:val="both"/>
              <w:rPr>
                <w:rFonts w:ascii="Verdana" w:eastAsia="Arial" w:hAnsi="Verdana" w:cs="Arial"/>
                <w:color w:val="000000"/>
              </w:rPr>
            </w:pPr>
          </w:p>
          <w:p w14:paraId="6A786B86" w14:textId="77777777" w:rsidR="003A5EB7" w:rsidRPr="00C00991" w:rsidRDefault="003A5EB7" w:rsidP="00EC05CF">
            <w:pPr>
              <w:spacing w:after="120" w:line="276" w:lineRule="auto"/>
              <w:jc w:val="both"/>
              <w:rPr>
                <w:rFonts w:ascii="Verdana" w:hAnsi="Verdana" w:cs="Arial"/>
                <w:noProof/>
                <w:lang w:val="es-ES_tradnl"/>
              </w:rPr>
            </w:pPr>
            <w:r>
              <w:rPr>
                <w:rFonts w:ascii="Verdana" w:hAnsi="Verdana" w:cs="Arial"/>
                <w:noProof/>
                <w:lang w:val="es-ES_tradnl"/>
              </w:rPr>
              <w:t xml:space="preserve">ii) </w:t>
            </w:r>
            <w:r w:rsidRPr="008D5D4A">
              <w:rPr>
                <w:rFonts w:ascii="Verdana" w:hAnsi="Verdana" w:cs="Arial"/>
                <w:noProof/>
                <w:lang w:val="es-ES_tradnl"/>
              </w:rPr>
              <w:t>Concretamente, teniendo en cuenta el objeto de su solicitud,</w:t>
            </w:r>
            <w:r>
              <w:rPr>
                <w:rFonts w:ascii="Verdana" w:hAnsi="Verdana" w:cs="Arial"/>
                <w:noProof/>
                <w:lang w:val="es-ES_tradnl"/>
              </w:rPr>
              <w:t xml:space="preserve"> debe indicarse que, </w:t>
            </w:r>
            <w:r w:rsidRPr="00C00991">
              <w:rPr>
                <w:rFonts w:ascii="Verdana" w:hAnsi="Verdana" w:cs="Arial"/>
                <w:noProof/>
                <w:lang w:val="es-ES_tradnl"/>
              </w:rPr>
              <w:t xml:space="preserve">aun cuando se haya presentado indebidamente diligenciado, se haya incluido un contrato que no cumple con lo exigido, o no se haya presentado el “Formato 3 – Experiencia”, ninguna de estas causas será un motivo para rechazar los proponentes. </w:t>
            </w:r>
          </w:p>
          <w:p w14:paraId="28C1D683" w14:textId="77777777" w:rsidR="003A5EB7" w:rsidRDefault="003A5EB7" w:rsidP="00EC05CF">
            <w:pPr>
              <w:spacing w:line="276" w:lineRule="auto"/>
              <w:ind w:firstLine="709"/>
              <w:jc w:val="both"/>
              <w:rPr>
                <w:rFonts w:ascii="Verdana" w:hAnsi="Verdana" w:cs="Arial"/>
                <w:noProof/>
                <w:lang w:val="es-ES_tradnl"/>
              </w:rPr>
            </w:pPr>
            <w:r>
              <w:rPr>
                <w:rFonts w:ascii="Verdana" w:hAnsi="Verdana" w:cs="Arial"/>
                <w:noProof/>
                <w:lang w:val="es-ES_tradnl"/>
              </w:rPr>
              <w:lastRenderedPageBreak/>
              <w:t xml:space="preserve">Esto, considerando que, </w:t>
            </w:r>
            <w:r w:rsidRPr="00C00991">
              <w:rPr>
                <w:rFonts w:ascii="Verdana" w:hAnsi="Verdana" w:cs="Arial"/>
                <w:noProof/>
                <w:lang w:val="es-ES_tradnl"/>
              </w:rPr>
              <w:t xml:space="preserve">de acuerdo con el artículo 6 de la Ley 1150 de 2007, el registro único de proponentes será plena prueba de la información relacionada con la experiencia del oferente. Por lo tanto, si el oferente aporta el RUP con la información relacionada con la experiencia, o aporta la experiencia de los contratos que tiene a su nombre, deberá acreditar este requisito en el procedimiento de selección, a pesar de no aportar o diligenciar </w:t>
            </w:r>
            <w:r>
              <w:rPr>
                <w:rFonts w:ascii="Verdana" w:hAnsi="Verdana" w:cs="Arial"/>
                <w:noProof/>
                <w:lang w:val="es-ES_tradnl"/>
              </w:rPr>
              <w:t xml:space="preserve">o haber incluido un contrato </w:t>
            </w:r>
            <w:r w:rsidRPr="00C00991">
              <w:rPr>
                <w:rFonts w:ascii="Verdana" w:hAnsi="Verdana" w:cs="Arial"/>
                <w:noProof/>
                <w:lang w:val="es-ES_tradnl"/>
              </w:rPr>
              <w:t xml:space="preserve">en el </w:t>
            </w:r>
            <w:r>
              <w:rPr>
                <w:rFonts w:ascii="Verdana" w:hAnsi="Verdana" w:cs="Arial"/>
                <w:noProof/>
                <w:lang w:val="es-ES_tradnl"/>
              </w:rPr>
              <w:t>“</w:t>
            </w:r>
            <w:r w:rsidRPr="00C00991">
              <w:rPr>
                <w:rFonts w:ascii="Verdana" w:hAnsi="Verdana" w:cs="Arial"/>
                <w:noProof/>
                <w:lang w:val="es-ES_tradnl"/>
              </w:rPr>
              <w:t xml:space="preserve">Formato 3 </w:t>
            </w:r>
            <w:r>
              <w:rPr>
                <w:rFonts w:ascii="Verdana" w:hAnsi="Verdana" w:cs="Arial"/>
                <w:noProof/>
                <w:lang w:val="es-ES_tradnl"/>
              </w:rPr>
              <w:t>–</w:t>
            </w:r>
            <w:r w:rsidRPr="00C00991">
              <w:rPr>
                <w:rFonts w:ascii="Verdana" w:hAnsi="Verdana" w:cs="Arial"/>
                <w:noProof/>
                <w:lang w:val="es-ES_tradnl"/>
              </w:rPr>
              <w:t xml:space="preserve"> Experiencia</w:t>
            </w:r>
            <w:r>
              <w:rPr>
                <w:rFonts w:ascii="Verdana" w:hAnsi="Verdana" w:cs="Arial"/>
                <w:noProof/>
                <w:lang w:val="es-ES_tradnl"/>
              </w:rPr>
              <w:t>”</w:t>
            </w:r>
            <w:r w:rsidRPr="00C00991">
              <w:rPr>
                <w:rFonts w:ascii="Verdana" w:hAnsi="Verdana" w:cs="Arial"/>
                <w:noProof/>
                <w:lang w:val="es-ES_tradnl"/>
              </w:rPr>
              <w:t xml:space="preserve"> que no cumple lo exigido.  Por lo tanto, el </w:t>
            </w:r>
            <w:r>
              <w:rPr>
                <w:rFonts w:ascii="Verdana" w:hAnsi="Verdana" w:cs="Arial"/>
                <w:noProof/>
                <w:lang w:val="es-ES_tradnl"/>
              </w:rPr>
              <w:t>“</w:t>
            </w:r>
            <w:r w:rsidRPr="00C00991">
              <w:rPr>
                <w:rFonts w:ascii="Verdana" w:hAnsi="Verdana" w:cs="Arial"/>
                <w:noProof/>
                <w:lang w:val="es-ES_tradnl"/>
              </w:rPr>
              <w:t xml:space="preserve">Formato 3 </w:t>
            </w:r>
            <w:r>
              <w:rPr>
                <w:rFonts w:ascii="Verdana" w:hAnsi="Verdana" w:cs="Arial"/>
                <w:noProof/>
                <w:lang w:val="es-ES_tradnl"/>
              </w:rPr>
              <w:t>–</w:t>
            </w:r>
            <w:r w:rsidRPr="00C00991">
              <w:rPr>
                <w:rFonts w:ascii="Verdana" w:hAnsi="Verdana" w:cs="Arial"/>
                <w:noProof/>
                <w:lang w:val="es-ES_tradnl"/>
              </w:rPr>
              <w:t xml:space="preserve"> Experiencia</w:t>
            </w:r>
            <w:r>
              <w:rPr>
                <w:rFonts w:ascii="Verdana" w:hAnsi="Verdana" w:cs="Arial"/>
                <w:noProof/>
                <w:lang w:val="es-ES_tradnl"/>
              </w:rPr>
              <w:t>”</w:t>
            </w:r>
            <w:r w:rsidRPr="00C00991">
              <w:rPr>
                <w:rFonts w:ascii="Verdana" w:hAnsi="Verdana" w:cs="Arial"/>
                <w:noProof/>
                <w:lang w:val="es-ES_tradnl"/>
              </w:rPr>
              <w:t xml:space="preserve"> consolida la experiencia aportada, pero no acredita la experiencia del proponente.</w:t>
            </w:r>
          </w:p>
          <w:p w14:paraId="2F4F2978" w14:textId="77777777" w:rsidR="003A5EB7" w:rsidRDefault="003A5EB7" w:rsidP="00EC05CF">
            <w:pPr>
              <w:spacing w:line="276" w:lineRule="auto"/>
              <w:ind w:firstLine="709"/>
              <w:jc w:val="both"/>
              <w:rPr>
                <w:rFonts w:ascii="Verdana" w:hAnsi="Verdana" w:cs="Arial"/>
                <w:noProof/>
                <w:lang w:val="es-ES_tradnl"/>
              </w:rPr>
            </w:pPr>
          </w:p>
          <w:p w14:paraId="0AF6BE2F" w14:textId="77777777" w:rsidR="003A5EB7" w:rsidRPr="002D2FBE" w:rsidRDefault="003A5EB7" w:rsidP="00EC05CF">
            <w:pPr>
              <w:spacing w:after="120" w:line="276" w:lineRule="auto"/>
              <w:jc w:val="both"/>
              <w:rPr>
                <w:rFonts w:ascii="Verdana" w:eastAsia="Calibri" w:hAnsi="Verdana" w:cs="Arial"/>
                <w:bCs/>
              </w:rPr>
            </w:pPr>
            <w:r>
              <w:rPr>
                <w:rFonts w:ascii="Verdana" w:hAnsi="Verdana" w:cs="Arial"/>
                <w:noProof/>
                <w:lang w:val="es-ES_tradnl"/>
              </w:rPr>
              <w:t xml:space="preserve">iii) </w:t>
            </w:r>
            <w:r>
              <w:rPr>
                <w:rFonts w:ascii="Verdana" w:eastAsia="Calibri" w:hAnsi="Verdana" w:cs="Arial"/>
                <w:bCs/>
              </w:rPr>
              <w:t xml:space="preserve">En los </w:t>
            </w:r>
            <w:r w:rsidRPr="002D2FBE">
              <w:rPr>
                <w:rFonts w:ascii="Verdana" w:eastAsia="Calibri" w:hAnsi="Verdana" w:cs="Arial"/>
                <w:bCs/>
              </w:rPr>
              <w:t>documentos tipo de licitación pública de obra de infraestructura</w:t>
            </w:r>
            <w:r>
              <w:rPr>
                <w:rFonts w:ascii="Verdana" w:eastAsia="Calibri" w:hAnsi="Verdana" w:cs="Arial"/>
                <w:bCs/>
              </w:rPr>
              <w:t xml:space="preserve"> social</w:t>
            </w:r>
            <w:r w:rsidRPr="002D2FBE">
              <w:rPr>
                <w:rFonts w:ascii="Verdana" w:eastAsia="Calibri" w:hAnsi="Verdana" w:cs="Arial"/>
                <w:bCs/>
              </w:rPr>
              <w:t>, se incluyeron las causales de rechazo de las ofertas, entre ellas, la relacionada con</w:t>
            </w:r>
            <w:r>
              <w:rPr>
                <w:rFonts w:ascii="Verdana" w:eastAsia="Calibri" w:hAnsi="Verdana" w:cs="Arial"/>
                <w:bCs/>
              </w:rPr>
              <w:t xml:space="preserve"> el presente problema jurídico </w:t>
            </w:r>
            <w:r w:rsidRPr="002D2FBE">
              <w:rPr>
                <w:rFonts w:ascii="Verdana" w:eastAsia="Calibri" w:hAnsi="Verdana" w:cs="Arial"/>
                <w:bCs/>
              </w:rPr>
              <w:t xml:space="preserve">–causal </w:t>
            </w:r>
            <w:r>
              <w:rPr>
                <w:rFonts w:ascii="Verdana" w:eastAsia="Calibri" w:hAnsi="Verdana" w:cs="Arial"/>
                <w:bCs/>
              </w:rPr>
              <w:t>G</w:t>
            </w:r>
            <w:r w:rsidRPr="002D2FBE">
              <w:rPr>
                <w:rFonts w:ascii="Verdana" w:eastAsia="Calibri" w:hAnsi="Verdana" w:cs="Arial"/>
                <w:bCs/>
              </w:rPr>
              <w:t xml:space="preserve">–, la cual se transcribe en los siguientes términos:    </w:t>
            </w:r>
          </w:p>
          <w:p w14:paraId="36EABF88" w14:textId="77777777" w:rsidR="003A5EB7" w:rsidRPr="002D2FBE" w:rsidRDefault="003A5EB7" w:rsidP="00EC05CF">
            <w:pPr>
              <w:ind w:left="709" w:right="709"/>
              <w:jc w:val="both"/>
              <w:rPr>
                <w:rFonts w:ascii="Verdana" w:eastAsia="Calibri" w:hAnsi="Verdana" w:cs="Arial"/>
                <w:bCs/>
                <w:sz w:val="21"/>
                <w:szCs w:val="21"/>
              </w:rPr>
            </w:pPr>
          </w:p>
          <w:p w14:paraId="66C28F8F" w14:textId="77777777" w:rsidR="003A5EB7" w:rsidRPr="002B0F84" w:rsidRDefault="003A5EB7" w:rsidP="00EC05CF">
            <w:pPr>
              <w:ind w:left="709" w:right="709"/>
              <w:jc w:val="both"/>
              <w:rPr>
                <w:rFonts w:ascii="Verdana" w:hAnsi="Verdana"/>
                <w:sz w:val="21"/>
                <w:szCs w:val="21"/>
                <w:lang w:val="es-MX"/>
              </w:rPr>
            </w:pPr>
            <w:r w:rsidRPr="002B0F84">
              <w:rPr>
                <w:rFonts w:ascii="Verdana" w:hAnsi="Verdana"/>
                <w:sz w:val="21"/>
                <w:szCs w:val="21"/>
                <w:lang w:val="es-MX"/>
              </w:rPr>
              <w:t>“G. Que el Proponente aporte información inexacta sobre la cual pueda existir una posible falsedad en los términos de la sección 1.11”.</w:t>
            </w:r>
          </w:p>
          <w:p w14:paraId="510A41E8" w14:textId="77777777" w:rsidR="003A5EB7" w:rsidRPr="002D2FBE" w:rsidRDefault="003A5EB7" w:rsidP="00EC05CF">
            <w:pPr>
              <w:ind w:right="709"/>
              <w:jc w:val="both"/>
              <w:rPr>
                <w:rFonts w:ascii="Verdana" w:eastAsia="Calibri" w:hAnsi="Verdana" w:cs="Arial"/>
                <w:bCs/>
                <w:sz w:val="21"/>
                <w:szCs w:val="21"/>
              </w:rPr>
            </w:pPr>
          </w:p>
          <w:p w14:paraId="118F3CC6" w14:textId="77777777" w:rsidR="003A5EB7" w:rsidRDefault="003A5EB7" w:rsidP="00EC05CF">
            <w:pPr>
              <w:spacing w:after="120" w:line="276" w:lineRule="auto"/>
              <w:ind w:firstLine="708"/>
              <w:jc w:val="both"/>
              <w:rPr>
                <w:rFonts w:ascii="Verdana" w:eastAsia="Calibri" w:hAnsi="Verdana" w:cs="Arial"/>
                <w:bCs/>
              </w:rPr>
            </w:pPr>
            <w:r>
              <w:rPr>
                <w:rFonts w:ascii="Verdana" w:eastAsia="Calibri" w:hAnsi="Verdana" w:cs="Arial"/>
                <w:bCs/>
              </w:rPr>
              <w:t>Sobre la causal de rechazo referida, e</w:t>
            </w:r>
            <w:r w:rsidRPr="002D2FBE">
              <w:rPr>
                <w:rFonts w:ascii="Verdana" w:eastAsia="Calibri" w:hAnsi="Verdana" w:cs="Arial"/>
                <w:bCs/>
              </w:rPr>
              <w:t xml:space="preserve">sta Agencia </w:t>
            </w:r>
            <w:r>
              <w:rPr>
                <w:rFonts w:ascii="Verdana" w:eastAsia="Calibri" w:hAnsi="Verdana" w:cs="Arial"/>
                <w:bCs/>
              </w:rPr>
              <w:t xml:space="preserve">señaló </w:t>
            </w:r>
            <w:r w:rsidRPr="002D2FBE">
              <w:rPr>
                <w:rFonts w:ascii="Verdana" w:eastAsia="Calibri" w:hAnsi="Verdana" w:cs="Arial"/>
                <w:bCs/>
              </w:rPr>
              <w:t>que,</w:t>
            </w:r>
            <w:r>
              <w:rPr>
                <w:rFonts w:ascii="Verdana" w:eastAsia="Calibri" w:hAnsi="Verdana" w:cs="Arial"/>
                <w:bCs/>
              </w:rPr>
              <w:t xml:space="preserve"> </w:t>
            </w:r>
            <w:r w:rsidRPr="002D2FBE">
              <w:rPr>
                <w:rFonts w:ascii="Verdana" w:eastAsia="Calibri" w:hAnsi="Verdana" w:cs="Arial"/>
                <w:bCs/>
              </w:rPr>
              <w:t>aplica cuando el proponente aporta información inexacta, de acuerdo con lo señalado en el numeral 1.11. del documento base</w:t>
            </w:r>
            <w:r>
              <w:rPr>
                <w:rFonts w:ascii="Verdana" w:eastAsia="Calibri" w:hAnsi="Verdana" w:cs="Arial"/>
                <w:bCs/>
              </w:rPr>
              <w:t xml:space="preserve">. </w:t>
            </w:r>
            <w:r w:rsidRPr="002D2FBE">
              <w:rPr>
                <w:rFonts w:ascii="Verdana" w:eastAsia="Calibri" w:hAnsi="Verdana" w:cs="Arial"/>
                <w:bCs/>
              </w:rPr>
              <w:t>Este numeral faculta a la entidad estatal para verificar la información aportada, para lo cual podrá acudir a las autoridades, personas, empresas o entidades que estén en posición de verificar la información. No obstante, tal verificación es potestativa, no obligatoria, ya que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Pr="002D2FBE">
              <w:rPr>
                <w:rFonts w:ascii="Verdana" w:eastAsia="Calibri" w:hAnsi="Verdana" w:cs="Arial"/>
                <w:bCs/>
                <w:vertAlign w:val="superscript"/>
              </w:rPr>
              <w:footnoteReference w:id="2"/>
            </w:r>
            <w:r w:rsidRPr="002D2FBE">
              <w:rPr>
                <w:rFonts w:ascii="Verdana" w:eastAsia="Calibri" w:hAnsi="Verdana" w:cs="Arial"/>
                <w:bCs/>
              </w:rPr>
              <w:t>. Conforme a ello, la prerrogativa de verificación es una herramienta para que la Administración adquiera certeza en el cumplimiento de los requisitos del procedimiento de selección y del comportamiento leal que se exige a los proponentes.</w:t>
            </w:r>
          </w:p>
          <w:p w14:paraId="3F1B2317" w14:textId="77777777" w:rsidR="003A5EB7" w:rsidRDefault="003A5EB7" w:rsidP="00EC05CF">
            <w:pPr>
              <w:spacing w:after="120" w:line="276" w:lineRule="auto"/>
              <w:ind w:firstLine="708"/>
              <w:jc w:val="both"/>
              <w:rPr>
                <w:rFonts w:ascii="Verdana" w:eastAsia="Calibri" w:hAnsi="Verdana" w:cs="Arial"/>
                <w:bCs/>
              </w:rPr>
            </w:pPr>
            <w:r w:rsidRPr="002D2FBE">
              <w:rPr>
                <w:rFonts w:ascii="Verdana" w:eastAsia="Calibri" w:hAnsi="Verdana" w:cs="Arial"/>
                <w:bCs/>
                <w:kern w:val="2"/>
                <w:lang w:val="es-ES_tradnl"/>
                <w14:ligatures w14:val="standardContextual"/>
              </w:rPr>
              <w:lastRenderedPageBreak/>
              <w:t>En este sentido, la causal</w:t>
            </w:r>
            <w:r w:rsidRPr="002D2FBE">
              <w:rPr>
                <w:rFonts w:ascii="Verdana" w:eastAsia="Calibri" w:hAnsi="Verdana" w:cs="Arial"/>
                <w:bCs/>
                <w:kern w:val="2"/>
                <w14:ligatures w14:val="standardContextual"/>
              </w:rPr>
              <w:t xml:space="preserve"> de rechazo contenida en el literal </w:t>
            </w:r>
            <w:r>
              <w:rPr>
                <w:rFonts w:ascii="Verdana" w:eastAsia="Calibri" w:hAnsi="Verdana" w:cs="Arial"/>
                <w:bCs/>
                <w:kern w:val="2"/>
                <w14:ligatures w14:val="standardContextual"/>
              </w:rPr>
              <w:t>G</w:t>
            </w:r>
            <w:r w:rsidRPr="002D2FBE">
              <w:rPr>
                <w:rFonts w:ascii="Verdana" w:eastAsia="Calibri" w:hAnsi="Verdana" w:cs="Arial"/>
                <w:bCs/>
                <w:kern w:val="2"/>
                <w14:ligatures w14:val="standardContextual"/>
              </w:rPr>
              <w:t xml:space="preserve"> del numeral 1.15 de los documentos tipo de licitación de obra pública de infraestructura</w:t>
            </w:r>
            <w:r>
              <w:rPr>
                <w:rFonts w:ascii="Verdana" w:eastAsia="Calibri" w:hAnsi="Verdana" w:cs="Arial"/>
                <w:bCs/>
                <w:kern w:val="2"/>
                <w14:ligatures w14:val="standardContextual"/>
              </w:rPr>
              <w:t xml:space="preserve"> social</w:t>
            </w:r>
            <w:r w:rsidRPr="002D2FBE">
              <w:rPr>
                <w:rFonts w:ascii="Verdana" w:eastAsia="Calibri" w:hAnsi="Verdana" w:cs="Arial"/>
                <w:bCs/>
                <w:kern w:val="2"/>
                <w14:ligatures w14:val="standardContextual"/>
              </w:rPr>
              <w:t>, aplica en los supuestos en el que la</w:t>
            </w:r>
            <w:r w:rsidRPr="002D2FBE">
              <w:rPr>
                <w:rFonts w:ascii="Verdana" w:eastAsia="Aptos" w:hAnsi="Verdana" w:cs="Arial"/>
                <w:kern w:val="2"/>
                <w14:ligatures w14:val="standardContextual"/>
              </w:rPr>
              <w:t xml:space="preserve">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0F1DF4D0" w14:textId="77777777" w:rsidR="003A5EB7" w:rsidRDefault="003A5EB7" w:rsidP="00EC05CF">
            <w:pPr>
              <w:spacing w:after="120" w:line="276" w:lineRule="auto"/>
              <w:ind w:firstLine="708"/>
              <w:jc w:val="both"/>
              <w:rPr>
                <w:rFonts w:ascii="Verdana" w:eastAsia="Calibri" w:hAnsi="Verdana" w:cs="Arial"/>
                <w:bCs/>
                <w:lang w:val="es-MX"/>
              </w:rPr>
            </w:pPr>
            <w:r w:rsidRPr="002D2FBE">
              <w:rPr>
                <w:rFonts w:ascii="Verdana" w:eastAsia="Aptos" w:hAnsi="Verdana" w:cs="Arial"/>
                <w:kern w:val="2"/>
                <w:lang w:eastAsia="es-CO"/>
                <w14:ligatures w14:val="standardContextual"/>
              </w:rPr>
              <w:t>Según</w:t>
            </w:r>
            <w:r w:rsidRPr="002D2FBE">
              <w:rPr>
                <w:rFonts w:ascii="Verdana" w:eastAsia="Aptos" w:hAnsi="Verdana" w:cs="Arial"/>
                <w:kern w:val="2"/>
                <w:lang w:val="es-MX" w:eastAsia="es-CO"/>
                <w14:ligatures w14:val="standardContextual"/>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0B457FAC" w14:textId="77777777" w:rsidR="003A5EB7" w:rsidRDefault="003A5EB7" w:rsidP="00EC05CF">
            <w:pPr>
              <w:spacing w:after="120" w:line="276" w:lineRule="auto"/>
              <w:ind w:firstLine="708"/>
              <w:jc w:val="both"/>
              <w:rPr>
                <w:rFonts w:ascii="Verdana" w:eastAsia="Calibri" w:hAnsi="Verdana" w:cs="Arial"/>
                <w:bCs/>
              </w:rPr>
            </w:pPr>
            <w:r>
              <w:rPr>
                <w:rFonts w:ascii="Verdana" w:eastAsia="Calibri" w:hAnsi="Verdana" w:cs="Arial"/>
                <w:kern w:val="2"/>
                <w:lang w:val="es-MX"/>
                <w14:ligatures w14:val="standardContextual"/>
              </w:rPr>
              <w:t>L</w:t>
            </w:r>
            <w:r w:rsidRPr="002D2FBE">
              <w:rPr>
                <w:rFonts w:ascii="Verdana" w:eastAsia="Calibri" w:hAnsi="Verdana" w:cs="Arial"/>
                <w:kern w:val="2"/>
                <w14:ligatures w14:val="standardContextual"/>
              </w:rPr>
              <w:t>a configuración de la causal se determinará teniendo en cuenta si la información inexacta conduce a una posible falsedad de los documentos sujetos de verificación y/o evaluación por parte de la Entidad Estatal, tanto para requisitos habilitantes como de calificación o ponderables. Por consiguiente, la entidad estatal deberá analizar concretamente cada uno de los casos en concreto para determinar si existe una posible falsedad, caso en el cual, luego de dar la oportunidad para que el proponente se manifieste, es procedente rechazar la oferta y remitir copias a las autoridades competentes, quienes adelantarán las respectivas investigaciones.</w:t>
            </w:r>
          </w:p>
          <w:p w14:paraId="043F8E21" w14:textId="77777777" w:rsidR="003A5EB7" w:rsidRPr="009E0262" w:rsidRDefault="003A5EB7" w:rsidP="00EC05CF">
            <w:pPr>
              <w:spacing w:after="120" w:line="276" w:lineRule="auto"/>
              <w:ind w:firstLine="708"/>
              <w:jc w:val="both"/>
              <w:rPr>
                <w:rFonts w:ascii="Verdana" w:eastAsia="Calibri" w:hAnsi="Verdana" w:cs="Arial"/>
                <w:bCs/>
              </w:rPr>
            </w:pPr>
            <w:r w:rsidRPr="002D2FBE">
              <w:rPr>
                <w:rFonts w:ascii="Verdana" w:eastAsia="Calibri" w:hAnsi="Verdana" w:cs="Arial"/>
                <w:kern w:val="2"/>
                <w14:ligatures w14:val="standardContextual"/>
              </w:rPr>
              <w:t xml:space="preserve">Finalmente, es pertinente resaltar que el alcance de la causal de rechazo analizada es restrictivo, en la medida en que podría configurarse el supuesto siempre la entidad que adelante el proceso analice en caso concreto si esta procede, considerando los elementos señalados en este concepto. </w:t>
            </w:r>
          </w:p>
        </w:tc>
      </w:tr>
    </w:tbl>
    <w:p w14:paraId="41BC81AC" w14:textId="77777777" w:rsidR="003A5EB7" w:rsidRPr="00593A5F" w:rsidRDefault="003A5EB7" w:rsidP="003A5EB7">
      <w:pPr>
        <w:tabs>
          <w:tab w:val="left" w:pos="142"/>
          <w:tab w:val="left" w:pos="284"/>
        </w:tabs>
        <w:spacing w:after="0" w:line="276" w:lineRule="auto"/>
        <w:jc w:val="both"/>
        <w:rPr>
          <w:rFonts w:ascii="Verdana" w:eastAsia="Century Gothic" w:hAnsi="Verdana" w:cs="Century Gothic"/>
          <w:b/>
          <w:bCs/>
          <w:lang w:val="es-ES"/>
        </w:rPr>
      </w:pPr>
    </w:p>
    <w:p w14:paraId="77C77441" w14:textId="77777777" w:rsidR="003A5EB7" w:rsidRPr="008D5D4A" w:rsidRDefault="003A5EB7" w:rsidP="003A5EB7">
      <w:pPr>
        <w:pStyle w:val="Prrafodelista"/>
        <w:numPr>
          <w:ilvl w:val="0"/>
          <w:numId w:val="16"/>
        </w:numPr>
        <w:tabs>
          <w:tab w:val="left" w:pos="142"/>
          <w:tab w:val="left" w:pos="284"/>
        </w:tabs>
        <w:spacing w:after="0" w:line="276" w:lineRule="auto"/>
        <w:ind w:left="0" w:firstLine="0"/>
        <w:contextualSpacing w:val="0"/>
        <w:jc w:val="both"/>
        <w:rPr>
          <w:rFonts w:ascii="Verdana" w:eastAsia="Calibri" w:hAnsi="Verdana" w:cs="Arial"/>
          <w:color w:val="7030A0"/>
        </w:rPr>
      </w:pPr>
      <w:r w:rsidRPr="00593A5F">
        <w:rPr>
          <w:rFonts w:ascii="Verdana" w:eastAsia="Century Gothic" w:hAnsi="Verdana" w:cs="Century Gothic"/>
          <w:b/>
          <w:bCs/>
        </w:rPr>
        <w:t>Razones de la respuesta:</w:t>
      </w:r>
    </w:p>
    <w:p w14:paraId="39C3DA79" w14:textId="77777777" w:rsidR="003A5EB7" w:rsidRDefault="003A5EB7" w:rsidP="003A5EB7">
      <w:pPr>
        <w:spacing w:after="0" w:line="276" w:lineRule="auto"/>
        <w:jc w:val="both"/>
        <w:rPr>
          <w:rFonts w:ascii="Verdana" w:eastAsia="Calibri" w:hAnsi="Verdana" w:cs="Arial"/>
          <w:lang w:val="es-ES" w:eastAsia="es-ES"/>
        </w:rPr>
      </w:pPr>
    </w:p>
    <w:p w14:paraId="29A12D59" w14:textId="77777777" w:rsidR="003A5EB7" w:rsidRPr="005B7C42" w:rsidRDefault="003A5EB7" w:rsidP="003A5EB7">
      <w:pPr>
        <w:spacing w:after="0" w:line="276" w:lineRule="auto"/>
        <w:jc w:val="both"/>
        <w:rPr>
          <w:rFonts w:ascii="Verdana" w:eastAsia="Calibri" w:hAnsi="Verdana" w:cs="Arial"/>
        </w:rPr>
      </w:pPr>
      <w:r>
        <w:rPr>
          <w:rFonts w:ascii="Verdana" w:eastAsia="Calibri" w:hAnsi="Verdana" w:cs="Arial"/>
        </w:rPr>
        <w:t>L</w:t>
      </w:r>
      <w:r w:rsidRPr="005B7C42">
        <w:rPr>
          <w:rFonts w:ascii="Verdana" w:eastAsia="Calibri" w:hAnsi="Verdana" w:cs="Arial"/>
        </w:rPr>
        <w:t xml:space="preserve">o anterior se sustenta en las siguientes consideraciones: </w:t>
      </w:r>
    </w:p>
    <w:p w14:paraId="27557D8F" w14:textId="77777777" w:rsidR="003A5EB7" w:rsidRPr="00B36F85" w:rsidRDefault="003A5EB7" w:rsidP="003A5EB7">
      <w:pPr>
        <w:spacing w:after="0" w:line="276" w:lineRule="auto"/>
        <w:jc w:val="both"/>
        <w:rPr>
          <w:rFonts w:ascii="Verdana" w:eastAsia="Calibri" w:hAnsi="Verdana" w:cs="Arial"/>
        </w:rPr>
      </w:pPr>
    </w:p>
    <w:p w14:paraId="15BEA2B4" w14:textId="77777777" w:rsidR="003A5EB7" w:rsidRPr="0055341A" w:rsidDel="004D5F83" w:rsidRDefault="003A5EB7" w:rsidP="003A5EB7">
      <w:pPr>
        <w:spacing w:after="120" w:line="276" w:lineRule="auto"/>
        <w:jc w:val="both"/>
        <w:rPr>
          <w:rFonts w:ascii="Verdana" w:eastAsia="Times New Roman" w:hAnsi="Verdana" w:cs="Arial"/>
          <w:lang w:val="es-ES" w:eastAsia="es-ES"/>
        </w:rPr>
      </w:pPr>
      <w:r w:rsidRPr="00B36F85">
        <w:rPr>
          <w:rFonts w:ascii="Verdana" w:eastAsia="Calibri" w:hAnsi="Verdana" w:cs="Arial"/>
        </w:rPr>
        <w:t xml:space="preserve">i. </w:t>
      </w: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D749F5E" w14:textId="77777777" w:rsidR="003A5EB7" w:rsidRDefault="003A5EB7" w:rsidP="003A5EB7">
      <w:pPr>
        <w:tabs>
          <w:tab w:val="left" w:pos="3828"/>
        </w:tabs>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La posibilidad de enmendar, corregir o subsanar los errores en los que se incurre en los documentos contentivos de la oferta</w:t>
      </w:r>
      <w:r>
        <w:rPr>
          <w:rFonts w:ascii="Verdana" w:eastAsia="Times New Roman" w:hAnsi="Verdana" w:cs="Arial"/>
          <w:lang w:val="es-ES" w:eastAsia="es-ES"/>
        </w:rPr>
        <w:t>,</w:t>
      </w:r>
      <w:r w:rsidRPr="37C57DE6">
        <w:rPr>
          <w:rFonts w:ascii="Verdana" w:eastAsia="Times New Roman" w:hAnsi="Verdana" w:cs="Arial"/>
          <w:lang w:val="es-ES" w:eastAsia="es-ES"/>
        </w:rPr>
        <w:t xml:space="preserve"> es un </w:t>
      </w:r>
      <w:r>
        <w:rPr>
          <w:rFonts w:ascii="Verdana" w:eastAsia="Times New Roman" w:hAnsi="Verdana" w:cs="Arial"/>
          <w:lang w:val="es-ES" w:eastAsia="es-ES"/>
        </w:rPr>
        <w:t xml:space="preserve">asunto </w:t>
      </w:r>
      <w:r w:rsidRPr="37C57DE6">
        <w:rPr>
          <w:rFonts w:ascii="Verdana" w:eastAsia="Times New Roman" w:hAnsi="Verdana" w:cs="Arial"/>
          <w:lang w:val="es-ES" w:eastAsia="es-ES"/>
        </w:rPr>
        <w:t>que ha tenido diferentes momentos o etapas en el ordenamiento jurídico colombiano</w:t>
      </w:r>
      <w:r>
        <w:rPr>
          <w:rFonts w:ascii="Verdana" w:eastAsia="Times New Roman" w:hAnsi="Verdana" w:cs="Arial"/>
          <w:lang w:val="es-ES" w:eastAsia="es-ES"/>
        </w:rPr>
        <w:t xml:space="preserve">. </w:t>
      </w:r>
    </w:p>
    <w:p w14:paraId="0E12BA09" w14:textId="77777777" w:rsidR="003A5EB7" w:rsidRDefault="003A5EB7" w:rsidP="003A5EB7">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En un </w:t>
      </w:r>
      <w:r w:rsidRPr="05E3EA9D">
        <w:rPr>
          <w:rFonts w:ascii="Verdana" w:eastAsia="Arial" w:hAnsi="Verdana" w:cs="Arial"/>
          <w:i/>
          <w:color w:val="000000" w:themeColor="text1"/>
        </w:rPr>
        <w:t>primer momento</w:t>
      </w:r>
      <w:r w:rsidRPr="05E3EA9D">
        <w:rPr>
          <w:rFonts w:ascii="Verdana" w:eastAsia="Arial" w:hAnsi="Verdana" w:cs="Arial"/>
          <w:color w:val="000000" w:themeColor="text1"/>
        </w:rPr>
        <w:t xml:space="preserve">, antes de expedirse la Constitución Política de 1991, el régimen jurídico de la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7F77996C" w14:textId="77777777" w:rsidR="003A5EB7" w:rsidRPr="00166975" w:rsidRDefault="003A5EB7" w:rsidP="003A5EB7">
      <w:pPr>
        <w:spacing w:before="120" w:after="0" w:line="276" w:lineRule="auto"/>
        <w:ind w:firstLine="709"/>
        <w:jc w:val="both"/>
        <w:rPr>
          <w:rFonts w:ascii="Verdana" w:eastAsia="Arial" w:hAnsi="Verdana" w:cs="Arial"/>
          <w:color w:val="000000" w:themeColor="text1"/>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2A45C03E" w14:textId="77777777" w:rsidR="003A5EB7" w:rsidRPr="00C64261" w:rsidRDefault="003A5EB7" w:rsidP="003A5EB7">
      <w:pPr>
        <w:spacing w:after="0" w:line="240" w:lineRule="auto"/>
        <w:jc w:val="both"/>
        <w:rPr>
          <w:rFonts w:ascii="Verdana" w:eastAsia="Arial" w:hAnsi="Verdana" w:cs="Arial"/>
          <w:color w:val="000000"/>
        </w:rPr>
      </w:pPr>
    </w:p>
    <w:p w14:paraId="50ECD5AD" w14:textId="77777777" w:rsidR="003A5EB7" w:rsidRPr="00216288" w:rsidRDefault="003A5EB7" w:rsidP="003A5EB7">
      <w:pPr>
        <w:spacing w:after="0" w:line="240" w:lineRule="auto"/>
        <w:ind w:left="709" w:right="709"/>
        <w:jc w:val="both"/>
        <w:rPr>
          <w:rFonts w:ascii="Verdana" w:eastAsia="Arial" w:hAnsi="Verdana" w:cs="Arial"/>
          <w:color w:val="000000"/>
          <w:sz w:val="20"/>
          <w:szCs w:val="20"/>
        </w:rPr>
      </w:pPr>
      <w:r w:rsidRPr="00216288">
        <w:rPr>
          <w:rFonts w:ascii="Verdana" w:eastAsia="Arial" w:hAnsi="Verdana"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28CE2ECE" w14:textId="77777777" w:rsidR="003A5EB7" w:rsidRDefault="003A5EB7" w:rsidP="003A5EB7">
      <w:pPr>
        <w:spacing w:after="0" w:line="240" w:lineRule="auto"/>
        <w:ind w:left="709" w:right="709"/>
        <w:jc w:val="both"/>
        <w:rPr>
          <w:rFonts w:ascii="Verdana" w:eastAsia="Arial" w:hAnsi="Verdana" w:cs="Arial"/>
          <w:color w:val="000000" w:themeColor="text1"/>
          <w:sz w:val="20"/>
          <w:szCs w:val="20"/>
        </w:rPr>
      </w:pPr>
    </w:p>
    <w:p w14:paraId="08E67054" w14:textId="77777777" w:rsidR="003A5EB7" w:rsidRPr="001F283D" w:rsidRDefault="003A5EB7" w:rsidP="003A5EB7">
      <w:pPr>
        <w:spacing w:after="0" w:line="240" w:lineRule="auto"/>
        <w:ind w:left="709" w:right="709"/>
        <w:jc w:val="both"/>
        <w:rPr>
          <w:rFonts w:ascii="Verdana" w:eastAsia="Arial" w:hAnsi="Verdana" w:cs="Arial"/>
          <w:color w:val="000000"/>
          <w:sz w:val="20"/>
          <w:szCs w:val="20"/>
        </w:rPr>
      </w:pPr>
      <w:r w:rsidRPr="05E3EA9D">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w:t>
      </w:r>
      <w:r w:rsidRPr="05E3EA9D">
        <w:rPr>
          <w:rFonts w:ascii="Verdana" w:eastAsia="Arial" w:hAnsi="Verdana" w:cs="Arial"/>
          <w:color w:val="000000" w:themeColor="text1"/>
          <w:sz w:val="20"/>
          <w:szCs w:val="20"/>
        </w:rPr>
        <w:lastRenderedPageBreak/>
        <w:t xml:space="preserve">propuestas, no servirá de título suficiente para el rechazo de los ofrecimientos hechos”. </w:t>
      </w:r>
    </w:p>
    <w:p w14:paraId="0B6FF1AE" w14:textId="77777777" w:rsidR="003A5EB7" w:rsidRPr="00693ABA" w:rsidRDefault="003A5EB7" w:rsidP="003A5EB7">
      <w:pPr>
        <w:spacing w:after="0" w:line="240" w:lineRule="auto"/>
        <w:ind w:left="709" w:right="709"/>
        <w:jc w:val="both"/>
        <w:rPr>
          <w:rFonts w:ascii="Verdana" w:eastAsia="Arial" w:hAnsi="Verdana" w:cs="Arial"/>
          <w:color w:val="000000"/>
        </w:rPr>
      </w:pPr>
    </w:p>
    <w:p w14:paraId="6097454C" w14:textId="77777777" w:rsidR="003A5EB7" w:rsidRDefault="003A5EB7" w:rsidP="003A5EB7">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Bajo el amparo de esta norma, el régimen jurídico de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5E3EA9D">
        <w:rPr>
          <w:rFonts w:ascii="Verdana" w:eastAsia="Arial" w:hAnsi="Verdana" w:cs="Arial"/>
          <w:i/>
          <w:color w:val="000000" w:themeColor="text1"/>
        </w:rPr>
        <w:t>necesarios para la comparación de propuestas</w:t>
      </w:r>
      <w:r w:rsidRPr="05E3EA9D">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264A7171"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25</w:t>
      </w:r>
      <w:r>
        <w:rPr>
          <w:rFonts w:ascii="Verdana" w:eastAsia="Arial" w:hAnsi="Verdana" w:cs="Arial"/>
          <w:color w:val="000000"/>
        </w:rPr>
        <w:t xml:space="preserve"> numeral 1</w:t>
      </w:r>
      <w:r w:rsidRPr="00C64261">
        <w:rPr>
          <w:rFonts w:ascii="Verdana" w:eastAsia="Arial" w:hAnsi="Verdana" w:cs="Arial"/>
          <w:color w:val="000000"/>
        </w:rPr>
        <w:t xml:space="preserve">5 </w:t>
      </w:r>
      <w:r>
        <w:rPr>
          <w:rFonts w:ascii="Verdana" w:eastAsia="Arial" w:hAnsi="Verdana" w:cs="Arial"/>
          <w:color w:val="000000"/>
        </w:rPr>
        <w:t xml:space="preserve">de la Ley 80 de 1993 </w:t>
      </w:r>
      <w:r w:rsidRPr="00C64261">
        <w:rPr>
          <w:rFonts w:ascii="Verdana" w:eastAsia="Arial" w:hAnsi="Verdana" w:cs="Arial"/>
          <w:color w:val="000000"/>
        </w:rPr>
        <w:t>debía leerse en conjunto con otras de</w:t>
      </w:r>
      <w:r>
        <w:rPr>
          <w:rFonts w:ascii="Verdana" w:eastAsia="Arial" w:hAnsi="Verdana" w:cs="Arial"/>
          <w:color w:val="000000"/>
        </w:rPr>
        <w:t>l EGCAP</w:t>
      </w:r>
      <w:r w:rsidRPr="00C64261">
        <w:rPr>
          <w:rFonts w:ascii="Verdana" w:eastAsia="Arial" w:hAnsi="Verdana" w:cs="Arial"/>
          <w:color w:val="000000"/>
        </w:rPr>
        <w:t>, particularmente con el artículo 30</w:t>
      </w:r>
      <w:r>
        <w:rPr>
          <w:rFonts w:ascii="Verdana" w:eastAsia="Arial" w:hAnsi="Verdana" w:cs="Arial"/>
          <w:color w:val="000000"/>
        </w:rPr>
        <w:t xml:space="preserve"> numeral </w:t>
      </w:r>
      <w:r w:rsidRPr="00C64261">
        <w:rPr>
          <w:rFonts w:ascii="Verdana" w:eastAsia="Arial" w:hAnsi="Verdana" w:cs="Arial"/>
          <w:color w:val="000000"/>
        </w:rPr>
        <w:t>7</w:t>
      </w:r>
      <w:r w:rsidRPr="00C64261">
        <w:rPr>
          <w:rFonts w:ascii="Verdana" w:eastAsia="Arial" w:hAnsi="Verdana" w:cs="Arial"/>
          <w:color w:val="000000"/>
          <w:vertAlign w:val="superscript"/>
        </w:rPr>
        <w:footnoteReference w:id="3"/>
      </w:r>
      <w:r w:rsidRPr="00C64261">
        <w:rPr>
          <w:rFonts w:ascii="Verdana" w:eastAsia="Arial" w:hAnsi="Verdana" w:cs="Arial"/>
          <w:color w:val="000000"/>
        </w:rPr>
        <w:t xml:space="preserve">, que ordena a la </w:t>
      </w:r>
      <w:r w:rsidRPr="003C06BF">
        <w:rPr>
          <w:rFonts w:ascii="Verdana" w:eastAsia="Arial" w:hAnsi="Verdana" w:cs="Arial"/>
          <w:color w:val="000000"/>
        </w:rPr>
        <w:t>entidad señalar un plazo razonable para evaluar las propuestas y pedir a los proponentes, de ser necesario, que aclaren o expliquen aspectos que ofrezcan dudas y resulten indispensables para hacer la evaluación</w:t>
      </w:r>
      <w:r>
        <w:rPr>
          <w:rFonts w:ascii="Verdana" w:eastAsia="Arial" w:hAnsi="Verdana" w:cs="Arial"/>
          <w:color w:val="000000"/>
        </w:rPr>
        <w:t>. C</w:t>
      </w:r>
      <w:r w:rsidRPr="003C06BF">
        <w:rPr>
          <w:rFonts w:ascii="Verdana" w:eastAsia="Arial" w:hAnsi="Verdana" w:cs="Arial"/>
          <w:color w:val="000000"/>
        </w:rPr>
        <w:t>on el artículo 30</w:t>
      </w:r>
      <w:r>
        <w:rPr>
          <w:rFonts w:ascii="Verdana" w:eastAsia="Arial" w:hAnsi="Verdana" w:cs="Arial"/>
          <w:color w:val="000000"/>
        </w:rPr>
        <w:t xml:space="preserve"> numeral </w:t>
      </w:r>
      <w:r w:rsidRPr="003C06BF">
        <w:rPr>
          <w:rFonts w:ascii="Verdana" w:eastAsia="Arial" w:hAnsi="Verdana" w:cs="Arial"/>
          <w:color w:val="000000"/>
        </w:rPr>
        <w:t>8</w:t>
      </w:r>
      <w:r w:rsidRPr="003C06BF">
        <w:rPr>
          <w:rFonts w:ascii="Verdana" w:eastAsia="Arial" w:hAnsi="Verdana" w:cs="Arial"/>
          <w:color w:val="000000"/>
          <w:vertAlign w:val="superscript"/>
        </w:rPr>
        <w:footnoteReference w:id="4"/>
      </w:r>
      <w:r w:rsidRPr="003C06BF">
        <w:rPr>
          <w:rFonts w:ascii="Verdana" w:eastAsia="Arial" w:hAnsi="Verdana" w:cs="Arial"/>
          <w:color w:val="000000"/>
        </w:rPr>
        <w:t>, que consagró el término de 5 días hábiles para que los oferentes presenten observaciones al informe de evaluación de las propuestas, sin que sea posible completar, adicionar, modificar o mejorar la oferta. A partir de la lectura integrada de estas tres normas</w:t>
      </w:r>
      <w:r>
        <w:rPr>
          <w:rFonts w:ascii="Verdana" w:eastAsia="Arial" w:hAnsi="Verdana" w:cs="Arial"/>
          <w:color w:val="000000"/>
        </w:rPr>
        <w:t>,</w:t>
      </w:r>
      <w:r w:rsidRPr="003C06BF">
        <w:rPr>
          <w:rFonts w:ascii="Verdana" w:eastAsia="Arial" w:hAnsi="Verdana" w:cs="Arial"/>
          <w:color w:val="000000"/>
        </w:rPr>
        <w:t xml:space="preserve"> debía concluirse que con la Ley 80 de 1993 era posible subsanar las propuestas, y la omisión o el error en algún aspecto de la misma no podía llevar a su rechazo, sin antes verificar que lo omitido fuera un aspecto necesario para la comparación.</w:t>
      </w:r>
      <w:r w:rsidRPr="00C64261">
        <w:rPr>
          <w:rFonts w:ascii="Verdana" w:eastAsia="Arial" w:hAnsi="Verdana" w:cs="Arial"/>
          <w:color w:val="000000"/>
        </w:rPr>
        <w:t xml:space="preserve"> </w:t>
      </w:r>
    </w:p>
    <w:p w14:paraId="10EEC70F"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tercer momento</w:t>
      </w:r>
      <w:r w:rsidRPr="00C64261">
        <w:rPr>
          <w:rFonts w:ascii="Verdana" w:eastAsia="Arial" w:hAnsi="Verdana" w:cs="Arial"/>
          <w:color w:val="000000"/>
        </w:rPr>
        <w:t xml:space="preserve">, y siguiendo la línea trazada por la Ley 80 de 1993, el legislador expidió la Ley 1150 de 2007, que, en el parágrafo 1º del artículo 5, determinó lo siguiente: “La ausencia de requisitos o la falta de documentos </w:t>
      </w:r>
      <w:r w:rsidRPr="00C64261">
        <w:rPr>
          <w:rFonts w:ascii="Verdana" w:eastAsia="Arial" w:hAnsi="Verdana" w:cs="Arial"/>
          <w:color w:val="000000"/>
        </w:rPr>
        <w:lastRenderedPageBreak/>
        <w:t>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todos aquellos requisitos de la propuesta que no afecten la asignación de puntaje</w:t>
      </w:r>
      <w:r>
        <w:rPr>
          <w:rFonts w:ascii="Verdana" w:eastAsia="Arial" w:hAnsi="Verdana" w:cs="Arial"/>
          <w:color w:val="000000"/>
        </w:rPr>
        <w:t>,</w:t>
      </w:r>
      <w:r w:rsidRPr="00C64261">
        <w:rPr>
          <w:rFonts w:ascii="Verdana" w:eastAsia="Arial" w:hAnsi="Verdana" w:cs="Arial"/>
          <w:color w:val="000000"/>
        </w:rPr>
        <w:t xml:space="preserv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3357371C"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33E9EA8A" w14:textId="77777777" w:rsidR="003A5EB7" w:rsidRPr="00C64261"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2FD780E8" w14:textId="77777777" w:rsidR="003A5EB7" w:rsidRPr="00C64261" w:rsidRDefault="003A5EB7" w:rsidP="003A5EB7">
      <w:pPr>
        <w:spacing w:after="0" w:line="240" w:lineRule="auto"/>
        <w:jc w:val="both"/>
        <w:rPr>
          <w:rFonts w:ascii="Verdana" w:eastAsia="Arial" w:hAnsi="Verdana" w:cs="Arial"/>
          <w:color w:val="000000"/>
        </w:rPr>
      </w:pPr>
    </w:p>
    <w:p w14:paraId="797916C6" w14:textId="77777777" w:rsidR="003A5EB7" w:rsidRDefault="003A5EB7" w:rsidP="003A5EB7">
      <w:pPr>
        <w:spacing w:after="0" w:line="240" w:lineRule="auto"/>
        <w:ind w:left="709" w:right="709"/>
        <w:jc w:val="both"/>
        <w:rPr>
          <w:rFonts w:ascii="Verdana" w:eastAsia="Arial" w:hAnsi="Verdana" w:cs="Arial"/>
          <w:color w:val="000000"/>
          <w:sz w:val="20"/>
          <w:szCs w:val="20"/>
        </w:rPr>
      </w:pPr>
      <w:r w:rsidRPr="003C06BF">
        <w:rPr>
          <w:rFonts w:ascii="Verdana" w:eastAsia="Arial" w:hAnsi="Verdana" w:cs="Arial"/>
          <w:color w:val="000000"/>
          <w:sz w:val="20"/>
          <w:szCs w:val="20"/>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w:t>
      </w:r>
      <w:r w:rsidRPr="003C06BF">
        <w:rPr>
          <w:rFonts w:ascii="Verdana" w:eastAsia="Arial" w:hAnsi="Verdana" w:cs="Arial"/>
          <w:color w:val="000000"/>
          <w:sz w:val="20"/>
          <w:szCs w:val="20"/>
        </w:rPr>
        <w:lastRenderedPageBreak/>
        <w:t>ofertas, con la condición de que cuando le pidan la acreditación la satisfaga suficientemente”</w:t>
      </w:r>
      <w:r w:rsidRPr="003C06BF">
        <w:rPr>
          <w:rFonts w:ascii="Verdana" w:eastAsia="Arial" w:hAnsi="Verdana" w:cs="Arial"/>
          <w:color w:val="000000"/>
          <w:sz w:val="20"/>
          <w:szCs w:val="20"/>
          <w:vertAlign w:val="superscript"/>
        </w:rPr>
        <w:footnoteReference w:id="5"/>
      </w:r>
      <w:r w:rsidRPr="003C06BF">
        <w:rPr>
          <w:rFonts w:ascii="Verdana" w:eastAsia="Arial" w:hAnsi="Verdana" w:cs="Arial"/>
          <w:color w:val="000000"/>
          <w:sz w:val="20"/>
          <w:szCs w:val="20"/>
        </w:rPr>
        <w:t>.</w:t>
      </w:r>
    </w:p>
    <w:p w14:paraId="356BA99C" w14:textId="77777777" w:rsidR="003A5EB7" w:rsidRPr="00EC0EEB" w:rsidRDefault="003A5EB7" w:rsidP="003A5EB7">
      <w:pPr>
        <w:spacing w:after="0" w:line="240" w:lineRule="auto"/>
        <w:ind w:left="709" w:right="709"/>
        <w:jc w:val="both"/>
        <w:rPr>
          <w:rFonts w:ascii="Verdana" w:eastAsia="Arial" w:hAnsi="Verdana" w:cs="Arial"/>
          <w:color w:val="000000"/>
          <w:sz w:val="20"/>
          <w:szCs w:val="20"/>
        </w:rPr>
      </w:pPr>
    </w:p>
    <w:p w14:paraId="7E568CED" w14:textId="77777777" w:rsidR="003A5EB7" w:rsidRDefault="003A5EB7" w:rsidP="003A5EB7">
      <w:pPr>
        <w:pBdr>
          <w:top w:val="nil"/>
          <w:left w:val="nil"/>
          <w:bottom w:val="nil"/>
          <w:right w:val="nil"/>
          <w:between w:val="nil"/>
        </w:pBdr>
        <w:tabs>
          <w:tab w:val="left" w:pos="284"/>
        </w:tabs>
        <w:spacing w:after="0" w:line="276" w:lineRule="auto"/>
        <w:ind w:firstLine="709"/>
        <w:jc w:val="both"/>
        <w:rPr>
          <w:rFonts w:ascii="Verdana" w:eastAsia="Arial" w:hAnsi="Verdana" w:cs="Arial"/>
          <w:color w:val="000000"/>
        </w:rPr>
      </w:pPr>
      <w:r w:rsidRPr="00C64261">
        <w:rPr>
          <w:rFonts w:ascii="Verdana" w:eastAsia="Arial" w:hAnsi="Verdana" w:cs="Arial"/>
          <w:color w:val="000000"/>
        </w:rPr>
        <w:t>Esa interpretación fue compartida por la Agencia Nacional de Contratación Pública – Colombia Compra Eficiente, pues en la Circular Externa Única</w:t>
      </w:r>
      <w:r>
        <w:rPr>
          <w:rStyle w:val="Refdenotaalpie"/>
          <w:rFonts w:ascii="Verdana" w:eastAsia="Arial" w:hAnsi="Verdana" w:cs="Arial"/>
          <w:color w:val="000000"/>
        </w:rPr>
        <w:footnoteReference w:id="6"/>
      </w:r>
      <w:r w:rsidRPr="00C64261">
        <w:rPr>
          <w:rFonts w:ascii="Verdana" w:eastAsia="Arial" w:hAnsi="Verdana" w:cs="Arial"/>
          <w:color w:val="000000"/>
        </w:rPr>
        <w:t xml:space="preserve"> se había precisado que</w:t>
      </w:r>
      <w:r>
        <w:rPr>
          <w:rFonts w:ascii="Verdana" w:eastAsia="Arial" w:hAnsi="Verdana" w:cs="Arial"/>
          <w:color w:val="000000"/>
        </w:rPr>
        <w:t>,</w:t>
      </w:r>
      <w:r w:rsidRPr="00C64261">
        <w:rPr>
          <w:rFonts w:ascii="Verdana" w:eastAsia="Arial" w:hAnsi="Verdana" w:cs="Arial"/>
          <w:color w:val="000000"/>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59695655"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3921ECD8"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mantiene el criterio </w:t>
      </w:r>
      <w:r w:rsidRPr="00C64261">
        <w:rPr>
          <w:rFonts w:ascii="Verdana" w:eastAsia="Arial" w:hAnsi="Verdana" w:cs="Arial"/>
          <w:color w:val="000000"/>
        </w:rPr>
        <w:lastRenderedPageBreak/>
        <w:t xml:space="preserve">aclaratorio de la Ley 1150 de 2007, según el cual todo lo que no afecte la asignación de puntaje puede subsanarse 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xml:space="preserve">) introduce modificaciones en relación con algunos aspectos que se analizarán a continuación. </w:t>
      </w:r>
    </w:p>
    <w:p w14:paraId="6587FEDF"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7"/>
      </w:r>
      <w:r w:rsidRPr="00C64261">
        <w:rPr>
          <w:rFonts w:ascii="Verdana" w:eastAsia="Arial" w:hAnsi="Verdana" w:cs="Arial"/>
          <w:color w:val="000000"/>
        </w:rPr>
        <w:t>; en el último</w:t>
      </w:r>
      <w:r>
        <w:rPr>
          <w:rFonts w:ascii="Verdana" w:eastAsia="Arial" w:hAnsi="Verdana" w:cs="Arial"/>
          <w:color w:val="000000"/>
        </w:rPr>
        <w:t>,</w:t>
      </w:r>
      <w:r w:rsidRPr="00C64261">
        <w:rPr>
          <w:rFonts w:ascii="Verdana" w:eastAsia="Arial" w:hAnsi="Verdana" w:cs="Arial"/>
          <w:color w:val="000000"/>
        </w:rPr>
        <w:t xml:space="preserve"> los documentos o requisitos subsanables pueden y deben solicitarse hasta el momento previo a su realización.</w:t>
      </w:r>
    </w:p>
    <w:p w14:paraId="2D499A23"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7BAB047B"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6AD7E5BB"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77952B4B"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30AADFE5"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265C3394" w14:textId="77777777" w:rsidR="003A5EB7"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w:t>
      </w:r>
      <w:r w:rsidRPr="00C64261">
        <w:rPr>
          <w:rFonts w:ascii="Verdana" w:eastAsia="Arial" w:hAnsi="Verdana" w:cs="Arial"/>
          <w:color w:val="000000"/>
        </w:rPr>
        <w:lastRenderedPageBreak/>
        <w:t xml:space="preserve">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3A337102" w14:textId="77777777" w:rsidR="003A5EB7" w:rsidRPr="00C64261" w:rsidRDefault="003A5EB7" w:rsidP="003A5EB7">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64261">
        <w:rPr>
          <w:rFonts w:ascii="Verdana" w:eastAsia="Arial" w:hAnsi="Verdana" w:cs="Arial"/>
          <w:color w:val="000000"/>
          <w:vertAlign w:val="superscript"/>
        </w:rPr>
        <w:footnoteReference w:id="8"/>
      </w:r>
      <w:r w:rsidRPr="00C64261">
        <w:rPr>
          <w:rFonts w:ascii="Verdana" w:eastAsia="Arial" w:hAnsi="Verdana"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62833510" w14:textId="77777777" w:rsidR="003A5EB7" w:rsidRPr="00C64261" w:rsidRDefault="003A5EB7" w:rsidP="003A5EB7">
      <w:pPr>
        <w:spacing w:after="0" w:line="240" w:lineRule="auto"/>
        <w:ind w:left="709" w:right="709"/>
        <w:jc w:val="both"/>
        <w:rPr>
          <w:rFonts w:ascii="Verdana" w:eastAsia="Arial" w:hAnsi="Verdana" w:cs="Arial"/>
          <w:color w:val="000000"/>
        </w:rPr>
      </w:pPr>
    </w:p>
    <w:p w14:paraId="5E9790C2" w14:textId="77777777" w:rsidR="003A5EB7" w:rsidRPr="00817F71" w:rsidRDefault="003A5EB7" w:rsidP="003A5EB7">
      <w:pPr>
        <w:spacing w:after="12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17F71">
        <w:rPr>
          <w:rFonts w:ascii="Verdana" w:eastAsia="Arial" w:hAnsi="Verdana" w:cs="Arial"/>
          <w:color w:val="000000"/>
          <w:sz w:val="20"/>
          <w:szCs w:val="20"/>
        </w:rPr>
        <w:t>subsanabilidad</w:t>
      </w:r>
      <w:proofErr w:type="spellEnd"/>
      <w:r w:rsidRPr="00817F71">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77995C88" w14:textId="77777777" w:rsidR="003A5EB7" w:rsidRPr="001F283D" w:rsidRDefault="003A5EB7" w:rsidP="003A5EB7">
      <w:pPr>
        <w:spacing w:after="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w:t>
      </w:r>
      <w:r w:rsidRPr="00817F71">
        <w:rPr>
          <w:rFonts w:ascii="Verdana" w:eastAsia="Arial" w:hAnsi="Verdana" w:cs="Arial"/>
          <w:color w:val="000000"/>
          <w:sz w:val="20"/>
          <w:szCs w:val="20"/>
        </w:rPr>
        <w:lastRenderedPageBreak/>
        <w:t>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Pr="00817F71">
        <w:rPr>
          <w:rFonts w:ascii="Verdana" w:eastAsia="Arial" w:hAnsi="Verdana" w:cs="Arial"/>
          <w:color w:val="000000"/>
          <w:sz w:val="20"/>
          <w:szCs w:val="20"/>
          <w:vertAlign w:val="superscript"/>
        </w:rPr>
        <w:footnoteReference w:id="9"/>
      </w:r>
      <w:r w:rsidRPr="00817F71">
        <w:rPr>
          <w:rFonts w:ascii="Verdana" w:eastAsia="Arial" w:hAnsi="Verdana" w:cs="Arial"/>
          <w:color w:val="000000"/>
          <w:sz w:val="20"/>
          <w:szCs w:val="20"/>
        </w:rPr>
        <w:t>.</w:t>
      </w:r>
    </w:p>
    <w:p w14:paraId="517FC97D" w14:textId="77777777" w:rsidR="003A5EB7" w:rsidRPr="00693ABA" w:rsidRDefault="003A5EB7" w:rsidP="003A5EB7">
      <w:pPr>
        <w:spacing w:after="0" w:line="240" w:lineRule="auto"/>
        <w:ind w:left="709" w:right="709"/>
        <w:jc w:val="both"/>
        <w:rPr>
          <w:rFonts w:ascii="Verdana" w:eastAsia="Arial" w:hAnsi="Verdana" w:cs="Arial"/>
          <w:color w:val="000000"/>
        </w:rPr>
      </w:pPr>
    </w:p>
    <w:p w14:paraId="2E619275" w14:textId="77777777" w:rsidR="003A5EB7" w:rsidRDefault="003A5EB7" w:rsidP="003A5EB7">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03C685E"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587CE47E"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si un oferente presentó la propuesta sin aportar la autorización al representante legal, </w:t>
      </w:r>
      <w:r w:rsidRPr="00C64261">
        <w:rPr>
          <w:rFonts w:ascii="Verdana" w:eastAsia="Arial" w:hAnsi="Verdana" w:cs="Arial"/>
          <w:color w:val="000000"/>
        </w:rPr>
        <w:lastRenderedPageBreak/>
        <w:t>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10"/>
      </w:r>
      <w:r w:rsidRPr="00C64261">
        <w:rPr>
          <w:rFonts w:ascii="Verdana" w:eastAsia="Arial" w:hAnsi="Verdana" w:cs="Arial"/>
          <w:color w:val="000000"/>
        </w:rPr>
        <w:t xml:space="preserv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11"/>
      </w:r>
      <w:r w:rsidRPr="00C64261">
        <w:rPr>
          <w:rFonts w:ascii="Verdana" w:eastAsia="Arial" w:hAnsi="Verdana" w:cs="Arial"/>
          <w:color w:val="000000"/>
        </w:rPr>
        <w:t xml:space="preserve">; </w:t>
      </w:r>
      <w:proofErr w:type="spellStart"/>
      <w:r w:rsidRPr="00C64261">
        <w:rPr>
          <w:rFonts w:ascii="Verdana" w:eastAsia="Arial" w:hAnsi="Verdana" w:cs="Arial"/>
          <w:color w:val="000000"/>
        </w:rPr>
        <w:t>iv</w:t>
      </w:r>
      <w:proofErr w:type="spellEnd"/>
      <w:r w:rsidRPr="00C64261">
        <w:rPr>
          <w:rFonts w:ascii="Verdana" w:eastAsia="Arial" w:hAnsi="Verdana" w:cs="Arial"/>
          <w:color w:val="000000"/>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w:t>
      </w:r>
      <w:r>
        <w:rPr>
          <w:rFonts w:ascii="Verdana" w:eastAsia="Arial" w:hAnsi="Verdana" w:cs="Arial"/>
          <w:color w:val="000000"/>
        </w:rPr>
        <w:t>o</w:t>
      </w:r>
      <w:r w:rsidRPr="00C64261">
        <w:rPr>
          <w:rFonts w:ascii="Verdana" w:eastAsia="Arial" w:hAnsi="Verdana" w:cs="Arial"/>
          <w:color w:val="000000"/>
        </w:rPr>
        <w:t xml:space="preserve"> vi) si el oferente olvidó firmar la propuesta o presentar una copia de ella, puede subsanar sin que se entienda que acreditó una circunstancia ocurrida con posterioridad al cierre del proceso. </w:t>
      </w:r>
    </w:p>
    <w:p w14:paraId="4A56A9D6" w14:textId="77777777" w:rsidR="003A5EB7" w:rsidRPr="00C64261"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2"/>
      </w:r>
      <w:r w:rsidRPr="00C64261">
        <w:rPr>
          <w:rFonts w:ascii="Verdana" w:eastAsia="Arial" w:hAnsi="Verdana" w:cs="Arial"/>
          <w:color w:val="000000"/>
        </w:rPr>
        <w:t xml:space="preserve">. </w:t>
      </w:r>
    </w:p>
    <w:p w14:paraId="79BE5E71" w14:textId="77777777" w:rsidR="003A5EB7" w:rsidRDefault="003A5EB7" w:rsidP="003A5EB7">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1739FDE1" w14:textId="77777777" w:rsidR="003A5EB7" w:rsidRDefault="003A5EB7" w:rsidP="003A5EB7">
      <w:pPr>
        <w:spacing w:before="120" w:after="0" w:line="240"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14:paraId="26CD58B6" w14:textId="77777777" w:rsidR="003A5EB7" w:rsidRPr="000E38C9" w:rsidRDefault="003A5EB7" w:rsidP="003A5EB7">
      <w:pPr>
        <w:spacing w:before="120" w:after="0" w:line="240" w:lineRule="auto"/>
        <w:ind w:firstLine="709"/>
        <w:jc w:val="both"/>
        <w:rPr>
          <w:rFonts w:ascii="Verdana" w:eastAsia="Arial" w:hAnsi="Verdana" w:cs="Arial"/>
          <w:color w:val="000000"/>
        </w:rPr>
      </w:pPr>
    </w:p>
    <w:p w14:paraId="2ED10BE5" w14:textId="77777777" w:rsidR="003A5EB7"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jc w:val="both"/>
        <w:rPr>
          <w:rFonts w:ascii="Verdana" w:hAnsi="Verdana" w:cs="Arial"/>
          <w:noProof/>
          <w:lang w:val="es-ES_tradnl"/>
        </w:rPr>
      </w:pPr>
      <w:r>
        <w:rPr>
          <w:rFonts w:ascii="Verdana" w:hAnsi="Verdana" w:cs="Arial"/>
          <w:noProof/>
          <w:lang w:val="es-ES_tradnl"/>
        </w:rPr>
        <w:t xml:space="preserve">ii. Para resolver el segundo problema jurídico planteado en este concepto, considerando que en su solicitud usted no hace referencia a un documento tipo en concreto expedido por esta Agencia, sino que menciona </w:t>
      </w:r>
      <w:r w:rsidRPr="000F5D57">
        <w:rPr>
          <w:rFonts w:ascii="Verdana" w:hAnsi="Verdana" w:cs="Arial"/>
          <w:i/>
          <w:iCs/>
          <w:noProof/>
          <w:lang w:val="es-ES_tradnl"/>
        </w:rPr>
        <w:t xml:space="preserve">“(…) </w:t>
      </w:r>
      <w:r w:rsidRPr="000F5D57">
        <w:rPr>
          <w:rFonts w:ascii="Arial" w:hAnsi="Arial" w:cs="Arial"/>
          <w:i/>
          <w:iCs/>
          <w:color w:val="000000"/>
          <w:sz w:val="24"/>
          <w:szCs w:val="24"/>
          <w:lang w:val="es-MX"/>
          <w14:ligatures w14:val="standardContextual"/>
        </w:rPr>
        <w:t>en proceso pliego tipo licitación de obra</w:t>
      </w:r>
      <w:r w:rsidRPr="000F5D57">
        <w:rPr>
          <w:rFonts w:ascii="Verdana" w:hAnsi="Verdana" w:cs="Arial"/>
          <w:i/>
          <w:iCs/>
          <w:noProof/>
          <w:lang w:val="es-ES_tradnl"/>
        </w:rPr>
        <w:t xml:space="preserve"> (…)”</w:t>
      </w:r>
      <w:r w:rsidRPr="001C2AE6">
        <w:rPr>
          <w:rFonts w:ascii="Verdana" w:hAnsi="Verdana" w:cs="Arial"/>
          <w:noProof/>
          <w:lang w:val="es-ES_tradnl"/>
        </w:rPr>
        <w:t xml:space="preserve"> </w:t>
      </w:r>
      <w:r>
        <w:rPr>
          <w:rFonts w:ascii="Verdana" w:hAnsi="Verdana" w:cs="Arial"/>
          <w:noProof/>
          <w:lang w:val="es-ES_tradnl"/>
        </w:rPr>
        <w:t>esta se atenderá en relación con los de licitación de obra pública de infraestructura social, considerando que las causales de rechazo que se indican, se encuentran en los documentos señalados.</w:t>
      </w:r>
    </w:p>
    <w:p w14:paraId="24C21880" w14:textId="77777777" w:rsidR="003A5EB7" w:rsidRPr="000E38C9" w:rsidRDefault="003A5EB7" w:rsidP="003A5E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jc w:val="both"/>
        <w:rPr>
          <w:rFonts w:ascii="Arial" w:hAnsi="Arial" w:cs="Arial"/>
          <w:color w:val="000000"/>
          <w:sz w:val="24"/>
          <w:szCs w:val="24"/>
          <w:lang w:val="es-MX"/>
          <w14:ligatures w14:val="standardContextual"/>
        </w:rPr>
      </w:pPr>
      <w:r>
        <w:rPr>
          <w:rFonts w:ascii="Verdana" w:hAnsi="Verdana" w:cs="Arial"/>
          <w:noProof/>
          <w:lang w:val="es-ES_tradnl"/>
        </w:rPr>
        <w:tab/>
        <w:t xml:space="preserve">En este sentido, el documento base de los documentos tipo de licitación de obra pública de infraestructura social, adoptado por la Agencia Nacional de Contratación Pública - Colombia Compra Eficiente mediante la Resolución 219 del 6 de agosto de 2021, </w:t>
      </w:r>
      <w:r w:rsidRPr="001C2AE6">
        <w:rPr>
          <w:rFonts w:ascii="Verdana" w:hAnsi="Verdana" w:cs="Arial"/>
          <w:noProof/>
          <w:lang w:val="es-ES_tradnl"/>
        </w:rPr>
        <w:t xml:space="preserve">prescribe que los proponentes deben acreditar su experiencia a través de: 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p>
    <w:p w14:paraId="4532A4D7" w14:textId="77777777" w:rsidR="003A5EB7" w:rsidRPr="00581A90" w:rsidRDefault="003A5EB7" w:rsidP="003A5EB7">
      <w:pPr>
        <w:widowControl w:val="0"/>
        <w:autoSpaceDE w:val="0"/>
        <w:autoSpaceDN w:val="0"/>
        <w:ind w:right="102" w:firstLine="708"/>
        <w:jc w:val="both"/>
        <w:rPr>
          <w:rFonts w:ascii="Verdana" w:hAnsi="Verdana" w:cs="Arial"/>
          <w:noProof/>
          <w:lang w:val="es-ES_tradnl"/>
        </w:rPr>
      </w:pPr>
      <w:r w:rsidRPr="00581A90">
        <w:rPr>
          <w:rFonts w:ascii="Verdana" w:hAnsi="Verdana" w:cs="Arial"/>
          <w:noProof/>
          <w:lang w:val="es-ES_tradnl"/>
        </w:rPr>
        <w:t xml:space="preserve">Específicamente, </w:t>
      </w:r>
      <w:bookmarkStart w:id="2" w:name="_Hlk48830924"/>
      <w:r w:rsidRPr="00581A90">
        <w:rPr>
          <w:rFonts w:ascii="Verdana" w:hAnsi="Verdana" w:cs="Arial"/>
          <w:noProof/>
          <w:lang w:val="es-ES_tradnl"/>
        </w:rPr>
        <w:t xml:space="preserve">para efectos de su consulta, debe señalarse que el </w:t>
      </w:r>
      <w:r>
        <w:rPr>
          <w:rFonts w:ascii="Verdana" w:hAnsi="Verdana" w:cs="Arial"/>
          <w:noProof/>
          <w:lang w:val="es-ES_tradnl"/>
        </w:rPr>
        <w:t xml:space="preserve">literal B) del </w:t>
      </w:r>
      <w:r w:rsidRPr="00581A90">
        <w:rPr>
          <w:rFonts w:ascii="Verdana" w:hAnsi="Verdana" w:cs="Arial"/>
          <w:noProof/>
          <w:lang w:val="es-ES_tradnl"/>
        </w:rPr>
        <w:t>numeral “3.5.</w:t>
      </w:r>
      <w:r>
        <w:rPr>
          <w:rFonts w:ascii="Verdana" w:hAnsi="Verdana" w:cs="Arial"/>
          <w:noProof/>
          <w:lang w:val="es-ES_tradnl"/>
        </w:rPr>
        <w:t>1</w:t>
      </w:r>
      <w:r w:rsidRPr="00581A90">
        <w:rPr>
          <w:rFonts w:ascii="Verdana" w:hAnsi="Verdana" w:cs="Arial"/>
          <w:noProof/>
          <w:lang w:val="es-ES_tradnl"/>
        </w:rPr>
        <w:t xml:space="preserve"> Características de los contratos presentados para acreditar la experiencia exigida”, indica que el </w:t>
      </w:r>
      <w:r>
        <w:rPr>
          <w:rFonts w:ascii="Verdana" w:hAnsi="Verdana" w:cs="Arial"/>
          <w:noProof/>
          <w:lang w:val="es-ES_tradnl"/>
        </w:rPr>
        <w:t>“</w:t>
      </w:r>
      <w:r w:rsidRPr="00581A90">
        <w:rPr>
          <w:rFonts w:ascii="Verdana" w:hAnsi="Verdana" w:cs="Arial"/>
          <w:noProof/>
          <w:lang w:val="es-ES_tradnl"/>
        </w:rPr>
        <w:t xml:space="preserve">Formato 3 </w:t>
      </w:r>
      <w:r>
        <w:rPr>
          <w:rFonts w:ascii="Verdana" w:hAnsi="Verdana" w:cs="Arial"/>
          <w:noProof/>
          <w:lang w:val="es-ES_tradnl"/>
        </w:rPr>
        <w:t>–</w:t>
      </w:r>
      <w:r w:rsidRPr="00581A90">
        <w:rPr>
          <w:rFonts w:ascii="Verdana" w:hAnsi="Verdana" w:cs="Arial"/>
          <w:noProof/>
          <w:lang w:val="es-ES_tradnl"/>
        </w:rPr>
        <w:t xml:space="preserve"> Experiencia</w:t>
      </w:r>
      <w:r>
        <w:rPr>
          <w:rFonts w:ascii="Verdana" w:hAnsi="Verdana" w:cs="Arial"/>
          <w:noProof/>
          <w:lang w:val="es-ES_tradnl"/>
        </w:rPr>
        <w:t>”</w:t>
      </w:r>
      <w:r w:rsidRPr="00581A90">
        <w:rPr>
          <w:rFonts w:ascii="Verdana" w:hAnsi="Verdana" w:cs="Arial"/>
          <w:noProof/>
          <w:lang w:val="es-ES_tradnl"/>
        </w:rPr>
        <w:t xml:space="preserve"> debe contar con el número consecutivo del contrato en el RUP y que los proponentes plurales deben indicar qué integrante aporta cada uno de los contratos </w:t>
      </w:r>
      <w:r w:rsidRPr="00581A90">
        <w:rPr>
          <w:rFonts w:ascii="Verdana" w:hAnsi="Verdana" w:cs="Arial"/>
          <w:noProof/>
          <w:lang w:val="es-ES_tradnl"/>
        </w:rPr>
        <w:lastRenderedPageBreak/>
        <w:t xml:space="preserve">señalados en el Formato 3 – Experiencia. Este documento debe presentarlo el proponente plural y no cada integrante. </w:t>
      </w:r>
    </w:p>
    <w:p w14:paraId="42EAAABD" w14:textId="77777777" w:rsidR="003A5EB7" w:rsidRDefault="003A5EB7" w:rsidP="003A5EB7">
      <w:pPr>
        <w:widowControl w:val="0"/>
        <w:autoSpaceDE w:val="0"/>
        <w:autoSpaceDN w:val="0"/>
        <w:ind w:right="102" w:firstLine="708"/>
        <w:jc w:val="both"/>
        <w:rPr>
          <w:rFonts w:ascii="Verdana" w:hAnsi="Verdana" w:cs="Arial"/>
          <w:noProof/>
          <w:lang w:val="es-ES_tradnl"/>
        </w:rPr>
      </w:pPr>
      <w:bookmarkStart w:id="3" w:name="_Toc73368197"/>
      <w:r>
        <w:rPr>
          <w:rFonts w:ascii="Verdana" w:hAnsi="Verdana" w:cs="Arial"/>
          <w:noProof/>
          <w:lang w:val="es-ES_tradnl"/>
        </w:rPr>
        <w:t xml:space="preserve">Por su parte, el inciso segundo del numeral indicado </w:t>
      </w:r>
      <w:bookmarkEnd w:id="3"/>
      <w:r w:rsidRPr="00581A90">
        <w:rPr>
          <w:rFonts w:ascii="Verdana" w:hAnsi="Verdana" w:cs="Arial"/>
          <w:noProof/>
          <w:lang w:val="es-ES_tradnl"/>
        </w:rPr>
        <w:t xml:space="preserve">establece la siguiente regla: </w:t>
      </w:r>
      <w:r w:rsidRPr="00C00991">
        <w:rPr>
          <w:rFonts w:ascii="Verdana" w:hAnsi="Verdana" w:cs="Arial"/>
          <w:noProof/>
          <w:lang w:val="es-ES_tradnl"/>
        </w:rPr>
        <w:t>“Si el Proponente no diligencia el Formato 3 – Experiencia, la Entidad pedirá su subsanación en los términos del numeral 1.6. En caso de que el oferente no subsane se tendrán en cuenta para la evaluación los cinco (5) contratos de mayor valor aportados (…)”</w:t>
      </w:r>
      <w:r>
        <w:rPr>
          <w:rStyle w:val="Refdenotaalpie"/>
          <w:rFonts w:ascii="Verdana" w:hAnsi="Verdana" w:cs="Arial"/>
          <w:noProof/>
          <w:lang w:val="es-ES_tradnl"/>
        </w:rPr>
        <w:footnoteReference w:id="13"/>
      </w:r>
      <w:r w:rsidRPr="00C00991">
        <w:rPr>
          <w:rFonts w:ascii="Verdana" w:hAnsi="Verdana" w:cs="Arial"/>
          <w:noProof/>
          <w:vertAlign w:val="superscript"/>
          <w:lang w:val="es-ES_tradnl"/>
        </w:rPr>
        <w:t>.</w:t>
      </w:r>
      <w:r w:rsidRPr="00C00991">
        <w:rPr>
          <w:rFonts w:ascii="Verdana" w:hAnsi="Verdana" w:cs="Arial"/>
          <w:noProof/>
          <w:lang w:val="es-ES_tradnl"/>
        </w:rPr>
        <w:t xml:space="preserve"> </w:t>
      </w:r>
    </w:p>
    <w:p w14:paraId="3FA4FE4F" w14:textId="77777777" w:rsidR="003A5EB7" w:rsidRPr="00C00991" w:rsidRDefault="003A5EB7" w:rsidP="003A5EB7">
      <w:pPr>
        <w:widowControl w:val="0"/>
        <w:autoSpaceDE w:val="0"/>
        <w:autoSpaceDN w:val="0"/>
        <w:ind w:right="102" w:firstLine="708"/>
        <w:jc w:val="both"/>
        <w:rPr>
          <w:rFonts w:ascii="Verdana" w:hAnsi="Verdana" w:cs="Arial"/>
          <w:noProof/>
          <w:lang w:val="es-ES_tradnl"/>
        </w:rPr>
      </w:pPr>
      <w:r w:rsidRPr="00C00991">
        <w:rPr>
          <w:rFonts w:ascii="Verdana" w:hAnsi="Verdana" w:cs="Arial"/>
          <w:noProof/>
          <w:lang w:val="es-ES_tradnl"/>
        </w:rPr>
        <w:t xml:space="preserve">Como se observa, si el proponente no diligencia el Formato 3 – Experiencia se prevé que puede subsanarlo en los términos del numeral 1.6. del </w:t>
      </w:r>
      <w:r>
        <w:rPr>
          <w:rFonts w:ascii="Verdana" w:hAnsi="Verdana" w:cs="Arial"/>
          <w:noProof/>
          <w:lang w:val="es-ES_tradnl"/>
        </w:rPr>
        <w:t>D</w:t>
      </w:r>
      <w:r w:rsidRPr="00C00991">
        <w:rPr>
          <w:rFonts w:ascii="Verdana" w:hAnsi="Verdana" w:cs="Arial"/>
          <w:noProof/>
          <w:lang w:val="es-ES_tradnl"/>
        </w:rPr>
        <w:t xml:space="preserve">ocumento </w:t>
      </w:r>
      <w:r>
        <w:rPr>
          <w:rFonts w:ascii="Verdana" w:hAnsi="Verdana" w:cs="Arial"/>
          <w:noProof/>
          <w:lang w:val="es-ES_tradnl"/>
        </w:rPr>
        <w:t>B</w:t>
      </w:r>
      <w:r w:rsidRPr="00C00991">
        <w:rPr>
          <w:rFonts w:ascii="Verdana" w:hAnsi="Verdana" w:cs="Arial"/>
          <w:noProof/>
          <w:lang w:val="es-ES_tradnl"/>
        </w:rPr>
        <w:t>ase y en caso de no hacerlo, la Entidad Estatal ten</w:t>
      </w:r>
      <w:r>
        <w:rPr>
          <w:rFonts w:ascii="Verdana" w:hAnsi="Verdana" w:cs="Arial"/>
          <w:noProof/>
          <w:lang w:val="es-ES_tradnl"/>
        </w:rPr>
        <w:t>drá</w:t>
      </w:r>
      <w:r w:rsidRPr="00C00991">
        <w:rPr>
          <w:rFonts w:ascii="Verdana" w:hAnsi="Verdana" w:cs="Arial"/>
          <w:noProof/>
          <w:lang w:val="es-ES_tradnl"/>
        </w:rPr>
        <w:t xml:space="preserve"> en cuenta para la evaluación los cinco </w:t>
      </w:r>
      <w:r>
        <w:rPr>
          <w:rFonts w:ascii="Verdana" w:hAnsi="Verdana" w:cs="Arial"/>
          <w:noProof/>
          <w:lang w:val="es-ES_tradnl"/>
        </w:rPr>
        <w:t xml:space="preserve">(5) </w:t>
      </w:r>
      <w:r w:rsidRPr="00C00991">
        <w:rPr>
          <w:rFonts w:ascii="Verdana" w:hAnsi="Verdana" w:cs="Arial"/>
          <w:noProof/>
          <w:lang w:val="es-ES_tradnl"/>
        </w:rPr>
        <w:t>contratos aportados de mayor valor.</w:t>
      </w:r>
    </w:p>
    <w:p w14:paraId="37BCFAE3" w14:textId="77777777" w:rsidR="003A5EB7" w:rsidRPr="006558FF" w:rsidRDefault="003A5EB7" w:rsidP="003A5EB7">
      <w:pPr>
        <w:spacing w:after="0"/>
        <w:ind w:firstLine="708"/>
        <w:jc w:val="both"/>
        <w:rPr>
          <w:rFonts w:ascii="Verdana" w:hAnsi="Verdana" w:cs="Arial"/>
          <w:noProof/>
          <w:lang w:val="es-ES_tradnl"/>
        </w:rPr>
      </w:pPr>
      <w:r w:rsidRPr="006558FF">
        <w:rPr>
          <w:rFonts w:ascii="Verdana" w:hAnsi="Verdana" w:cs="Arial"/>
          <w:noProof/>
          <w:lang w:val="es-ES_tradnl"/>
        </w:rPr>
        <w:t xml:space="preserve">Así mismo, el Formato 3 – Experiencia </w:t>
      </w:r>
      <w:r w:rsidRPr="001C2AE6">
        <w:rPr>
          <w:rFonts w:ascii="Verdana" w:hAnsi="Verdana" w:cs="Arial"/>
          <w:noProof/>
          <w:lang w:val="es-ES_tradnl"/>
        </w:rPr>
        <w:t xml:space="preserve">para procesos de licitación pública de infraestructura </w:t>
      </w:r>
      <w:r>
        <w:rPr>
          <w:rFonts w:ascii="Verdana" w:hAnsi="Verdana" w:cs="Arial"/>
          <w:noProof/>
          <w:lang w:val="es-ES_tradnl"/>
        </w:rPr>
        <w:t>social</w:t>
      </w:r>
      <w:r w:rsidRPr="001C2AE6">
        <w:rPr>
          <w:rFonts w:ascii="Verdana" w:hAnsi="Verdana" w:cs="Arial"/>
          <w:noProof/>
          <w:lang w:val="es-ES_tradnl"/>
        </w:rPr>
        <w:t xml:space="preserve"> – Versión </w:t>
      </w:r>
      <w:r>
        <w:rPr>
          <w:rFonts w:ascii="Verdana" w:hAnsi="Verdana" w:cs="Arial"/>
          <w:noProof/>
          <w:lang w:val="es-ES_tradnl"/>
        </w:rPr>
        <w:t xml:space="preserve">1, indica en </w:t>
      </w:r>
      <w:r w:rsidRPr="006558FF">
        <w:rPr>
          <w:rFonts w:ascii="Verdana" w:hAnsi="Verdana" w:cs="Arial"/>
          <w:noProof/>
          <w:lang w:val="es-ES_tradnl"/>
        </w:rPr>
        <w:t>una nota lo siguiente:</w:t>
      </w:r>
    </w:p>
    <w:p w14:paraId="67F1964D" w14:textId="77777777" w:rsidR="003A5EB7" w:rsidRPr="006558FF" w:rsidRDefault="003A5EB7" w:rsidP="003A5EB7">
      <w:pPr>
        <w:spacing w:after="0"/>
        <w:ind w:firstLine="708"/>
        <w:jc w:val="both"/>
        <w:rPr>
          <w:rFonts w:ascii="Arial" w:hAnsi="Arial" w:cs="Arial"/>
          <w:color w:val="000000" w:themeColor="text1"/>
          <w:lang w:val="es-ES_tradnl"/>
        </w:rPr>
      </w:pPr>
    </w:p>
    <w:p w14:paraId="3A1FFEE2" w14:textId="77777777" w:rsidR="003A5EB7" w:rsidRPr="00C00991" w:rsidRDefault="003A5EB7" w:rsidP="003A5EB7">
      <w:pPr>
        <w:spacing w:after="0" w:line="240" w:lineRule="auto"/>
        <w:ind w:left="709" w:right="709"/>
        <w:jc w:val="both"/>
        <w:rPr>
          <w:rFonts w:ascii="Verdana" w:hAnsi="Verdana"/>
          <w:sz w:val="21"/>
          <w:szCs w:val="21"/>
          <w:lang w:val="es-MX"/>
        </w:rPr>
      </w:pPr>
      <w:r w:rsidRPr="00C00991">
        <w:rPr>
          <w:rFonts w:ascii="Verdana" w:hAnsi="Verdana"/>
          <w:sz w:val="21"/>
          <w:szCs w:val="21"/>
          <w:lang w:val="es-MX"/>
        </w:rPr>
        <w:t>“Formato 3 - Experiencia” consolida la experiencia que se está aportando, pero no acredita la experiencia del Proponente. Si el Proponente aporta el RUP con la información de su experiencia relacionada o aporta los contratos de experiencia que tiene a su nombre, se deberá acreditar la experiencia, a pesar de no allegar o diligenciar indebidamente el “Formato 3- Experiencia”.</w:t>
      </w:r>
    </w:p>
    <w:p w14:paraId="7882080E" w14:textId="77777777" w:rsidR="003A5EB7" w:rsidRPr="00C00991" w:rsidRDefault="003A5EB7" w:rsidP="003A5EB7">
      <w:pPr>
        <w:spacing w:after="120" w:line="240" w:lineRule="auto"/>
        <w:ind w:left="709" w:right="709"/>
        <w:jc w:val="both"/>
        <w:rPr>
          <w:sz w:val="21"/>
          <w:szCs w:val="21"/>
          <w:lang w:val="es-ES_tradnl"/>
        </w:rPr>
      </w:pPr>
    </w:p>
    <w:p w14:paraId="2F7BE6C4" w14:textId="77777777" w:rsidR="003A5EB7" w:rsidRDefault="003A5EB7" w:rsidP="003A5EB7">
      <w:pPr>
        <w:spacing w:after="0" w:line="276" w:lineRule="auto"/>
        <w:ind w:firstLine="708"/>
        <w:jc w:val="both"/>
        <w:rPr>
          <w:rFonts w:ascii="Verdana" w:eastAsia="Calibri" w:hAnsi="Verdana" w:cs="Arial"/>
        </w:rPr>
      </w:pPr>
      <w:r w:rsidRPr="002B0F84">
        <w:rPr>
          <w:rFonts w:ascii="Verdana" w:hAnsi="Verdana" w:cs="Arial"/>
          <w:noProof/>
          <w:lang w:val="es-ES_tradnl"/>
        </w:rPr>
        <w:t xml:space="preserve">Así, aun cuando se haya presentado indebidamente diligenciado, se haya incluido un contrato que no cumple con lo exigido, o no se haya presentado el “Formato 3 – Experiencia”, ninguna de estas causas será un motivo para rechazar los proponentes. </w:t>
      </w:r>
      <w:r w:rsidRPr="002B0F84">
        <w:rPr>
          <w:rFonts w:ascii="Verdana" w:eastAsia="Calibri" w:hAnsi="Verdana" w:cs="Arial"/>
        </w:rPr>
        <w:t>Para mayor claridad se explicará de forma detallada cada una de las casillas del “Formato 3 – Experiencia”:</w:t>
      </w:r>
    </w:p>
    <w:p w14:paraId="3F50B369" w14:textId="77777777" w:rsidR="003A5EB7" w:rsidRPr="002B0F84" w:rsidRDefault="003A5EB7" w:rsidP="003A5EB7">
      <w:pPr>
        <w:spacing w:after="0" w:line="276" w:lineRule="auto"/>
        <w:ind w:firstLine="708"/>
        <w:jc w:val="both"/>
        <w:rPr>
          <w:rFonts w:ascii="Verdana" w:eastAsia="Calibri" w:hAnsi="Verdana" w:cs="Arial"/>
        </w:rPr>
      </w:pPr>
    </w:p>
    <w:tbl>
      <w:tblPr>
        <w:tblW w:w="8838" w:type="dxa"/>
        <w:tblCellMar>
          <w:left w:w="70" w:type="dxa"/>
          <w:right w:w="70" w:type="dxa"/>
        </w:tblCellMar>
        <w:tblLook w:val="04A0" w:firstRow="1" w:lastRow="0" w:firstColumn="1" w:lastColumn="0" w:noHBand="0" w:noVBand="1"/>
      </w:tblPr>
      <w:tblGrid>
        <w:gridCol w:w="8692"/>
        <w:gridCol w:w="146"/>
      </w:tblGrid>
      <w:tr w:rsidR="003A5EB7" w:rsidRPr="002B0F84" w14:paraId="0B589429" w14:textId="77777777" w:rsidTr="00EC05CF">
        <w:trPr>
          <w:trHeight w:val="675"/>
        </w:trPr>
        <w:tc>
          <w:tcPr>
            <w:tcW w:w="8838" w:type="dxa"/>
            <w:gridSpan w:val="2"/>
            <w:tcBorders>
              <w:top w:val="nil"/>
              <w:left w:val="nil"/>
              <w:bottom w:val="nil"/>
              <w:right w:val="nil"/>
            </w:tcBorders>
            <w:hideMark/>
          </w:tcPr>
          <w:p w14:paraId="15FFA48E"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r>
              <w:rPr>
                <w:rFonts w:ascii="Verdana" w:eastAsia="Times New Roman" w:hAnsi="Verdana" w:cs="Arial"/>
                <w:b/>
                <w:bCs/>
                <w:lang w:eastAsia="es-MX"/>
              </w:rPr>
              <w:t xml:space="preserve">i) </w:t>
            </w:r>
            <w:r w:rsidRPr="002B0F84">
              <w:rPr>
                <w:rFonts w:ascii="Verdana" w:eastAsia="Times New Roman" w:hAnsi="Verdana" w:cs="Arial"/>
                <w:b/>
                <w:bCs/>
                <w:lang w:eastAsia="es-MX"/>
              </w:rPr>
              <w:t xml:space="preserve">Número de orden: </w:t>
            </w:r>
            <w:r w:rsidRPr="002B0F84">
              <w:rPr>
                <w:rFonts w:ascii="Verdana" w:eastAsia="Times New Roman" w:hAnsi="Verdana" w:cs="Arial"/>
                <w:lang w:eastAsia="es-MX"/>
              </w:rPr>
              <w:t xml:space="preserve">Se refiere al número de contratos aportados para acreditar la experiencia que como mínimo se deberá presentar un (1) contrato y cómo máximo cinco (5) contratos,  sin perjuicio de lo indicado para la acreditación de combinaciones de experiencia y con ocasión al </w:t>
            </w:r>
            <w:r w:rsidRPr="002B0F84">
              <w:rPr>
                <w:rFonts w:ascii="Verdana" w:eastAsia="Times New Roman" w:hAnsi="Verdana" w:cs="Arial"/>
                <w:lang w:eastAsia="es-MX"/>
              </w:rPr>
              <w:lastRenderedPageBreak/>
              <w:t xml:space="preserve">criterio diferencial a las </w:t>
            </w:r>
            <w:proofErr w:type="spellStart"/>
            <w:r w:rsidRPr="002B0F84">
              <w:rPr>
                <w:rFonts w:ascii="Verdana" w:eastAsia="Times New Roman" w:hAnsi="Verdana" w:cs="Arial"/>
                <w:lang w:eastAsia="es-MX"/>
              </w:rPr>
              <w:t>Mipymes</w:t>
            </w:r>
            <w:proofErr w:type="spellEnd"/>
            <w:r w:rsidRPr="002B0F84">
              <w:rPr>
                <w:rFonts w:ascii="Verdana" w:eastAsia="Times New Roman" w:hAnsi="Verdana" w:cs="Arial"/>
                <w:lang w:eastAsia="es-MX"/>
              </w:rPr>
              <w:t xml:space="preserve"> y/o emprendimiento y empresas de mujeres en cuanto a los requisitos habilitantes relacionados con el número de contratos aportados para acreditar la experiencia solicitada. </w:t>
            </w:r>
          </w:p>
        </w:tc>
      </w:tr>
      <w:tr w:rsidR="003A5EB7" w:rsidRPr="002B0F84" w14:paraId="779FD100" w14:textId="77777777" w:rsidTr="00EC05CF">
        <w:trPr>
          <w:trHeight w:val="330"/>
        </w:trPr>
        <w:tc>
          <w:tcPr>
            <w:tcW w:w="8838" w:type="dxa"/>
            <w:gridSpan w:val="2"/>
            <w:tcBorders>
              <w:top w:val="nil"/>
              <w:left w:val="nil"/>
              <w:bottom w:val="nil"/>
              <w:right w:val="nil"/>
            </w:tcBorders>
            <w:vAlign w:val="center"/>
            <w:hideMark/>
          </w:tcPr>
          <w:p w14:paraId="6038A1B0"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lastRenderedPageBreak/>
              <w:t>ii</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Número consecutivo del reporte del contrato ejecutado en el RUP:</w:t>
            </w:r>
            <w:r w:rsidRPr="002B0F84">
              <w:rPr>
                <w:rFonts w:ascii="Verdana" w:eastAsia="Times New Roman" w:hAnsi="Verdana" w:cs="Arial"/>
                <w:lang w:eastAsia="es-MX"/>
              </w:rPr>
              <w:t xml:space="preserve"> Esta casilla se diligenciará únicamente por los Proponentes que se encuentran obligados a tener RUP, ahora sí está obligado se deberá señalar el número consecutivo donde se encuentra ubicado el contrato en el RUP.</w:t>
            </w:r>
          </w:p>
        </w:tc>
      </w:tr>
      <w:tr w:rsidR="003A5EB7" w:rsidRPr="002B0F84" w14:paraId="31E9BFDA" w14:textId="77777777" w:rsidTr="00EC05CF">
        <w:trPr>
          <w:trHeight w:val="405"/>
        </w:trPr>
        <w:tc>
          <w:tcPr>
            <w:tcW w:w="8838" w:type="dxa"/>
            <w:gridSpan w:val="2"/>
            <w:tcBorders>
              <w:top w:val="nil"/>
              <w:left w:val="nil"/>
              <w:bottom w:val="nil"/>
              <w:right w:val="nil"/>
            </w:tcBorders>
            <w:vAlign w:val="center"/>
            <w:hideMark/>
          </w:tcPr>
          <w:p w14:paraId="4921D4B3"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t>iii</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 xml:space="preserve">Experiencia requerida: </w:t>
            </w:r>
            <w:r w:rsidRPr="002B0F84">
              <w:rPr>
                <w:rFonts w:ascii="Verdana" w:eastAsia="Times New Roman" w:hAnsi="Verdana" w:cs="Arial"/>
                <w:lang w:eastAsia="es-MX"/>
              </w:rPr>
              <w:t>En relación con este acápite se indicará si el contrato aportado para acreditar lo exigido en la actividad principal acredita la experiencia general o específica.</w:t>
            </w:r>
          </w:p>
        </w:tc>
      </w:tr>
      <w:tr w:rsidR="003A5EB7" w:rsidRPr="002B0F84" w14:paraId="00890B51" w14:textId="77777777" w:rsidTr="00EC05CF">
        <w:trPr>
          <w:trHeight w:val="320"/>
        </w:trPr>
        <w:tc>
          <w:tcPr>
            <w:tcW w:w="8838" w:type="dxa"/>
            <w:gridSpan w:val="2"/>
            <w:tcBorders>
              <w:top w:val="nil"/>
              <w:left w:val="nil"/>
              <w:bottom w:val="nil"/>
              <w:right w:val="nil"/>
            </w:tcBorders>
            <w:vAlign w:val="center"/>
            <w:hideMark/>
          </w:tcPr>
          <w:p w14:paraId="6F71EC74"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t>iv</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Entidad contratante:</w:t>
            </w:r>
            <w:r w:rsidRPr="002B0F84">
              <w:rPr>
                <w:rFonts w:ascii="Verdana" w:eastAsia="Times New Roman" w:hAnsi="Verdana" w:cs="Arial"/>
                <w:lang w:eastAsia="es-MX"/>
              </w:rPr>
              <w:t xml:space="preserve"> El nombre de la persona natural o jurídica, pública o privada, con la cual se celebró el Contrato. </w:t>
            </w:r>
          </w:p>
        </w:tc>
      </w:tr>
      <w:tr w:rsidR="003A5EB7" w:rsidRPr="002B0F84" w14:paraId="6EB2279C" w14:textId="77777777" w:rsidTr="00EC05CF">
        <w:trPr>
          <w:trHeight w:val="320"/>
        </w:trPr>
        <w:tc>
          <w:tcPr>
            <w:tcW w:w="8838" w:type="dxa"/>
            <w:gridSpan w:val="2"/>
            <w:tcBorders>
              <w:top w:val="nil"/>
              <w:left w:val="nil"/>
              <w:bottom w:val="nil"/>
              <w:right w:val="nil"/>
            </w:tcBorders>
            <w:vAlign w:val="center"/>
            <w:hideMark/>
          </w:tcPr>
          <w:p w14:paraId="2483C891"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r>
              <w:rPr>
                <w:rFonts w:ascii="Verdana" w:eastAsia="Times New Roman" w:hAnsi="Verdana" w:cs="Arial"/>
                <w:b/>
                <w:bCs/>
                <w:lang w:eastAsia="es-MX"/>
              </w:rPr>
              <w:t xml:space="preserve">v) </w:t>
            </w:r>
            <w:r w:rsidRPr="002B0F84">
              <w:rPr>
                <w:rFonts w:ascii="Verdana" w:eastAsia="Times New Roman" w:hAnsi="Verdana" w:cs="Arial"/>
                <w:b/>
                <w:bCs/>
                <w:lang w:eastAsia="es-MX"/>
              </w:rPr>
              <w:t>Contrato o resolución:</w:t>
            </w:r>
            <w:r w:rsidRPr="002B0F84">
              <w:rPr>
                <w:rFonts w:ascii="Verdana" w:eastAsia="Times New Roman" w:hAnsi="Verdana" w:cs="Arial"/>
                <w:lang w:eastAsia="es-MX"/>
              </w:rPr>
              <w:t xml:space="preserve"> Se deberá diligenciar el número del contrato o la resolución de la adjudicación del contrato y, además la descripción del objeto contractual. </w:t>
            </w:r>
          </w:p>
        </w:tc>
      </w:tr>
      <w:tr w:rsidR="003A5EB7" w:rsidRPr="002B0F84" w14:paraId="63EB5921" w14:textId="77777777" w:rsidTr="00EC05CF">
        <w:trPr>
          <w:trHeight w:val="405"/>
        </w:trPr>
        <w:tc>
          <w:tcPr>
            <w:tcW w:w="8838" w:type="dxa"/>
            <w:gridSpan w:val="2"/>
            <w:tcBorders>
              <w:top w:val="nil"/>
              <w:left w:val="nil"/>
              <w:bottom w:val="nil"/>
              <w:right w:val="nil"/>
            </w:tcBorders>
            <w:noWrap/>
            <w:vAlign w:val="center"/>
            <w:hideMark/>
          </w:tcPr>
          <w:p w14:paraId="43A67535"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r>
              <w:rPr>
                <w:rFonts w:ascii="Verdana" w:eastAsia="Times New Roman" w:hAnsi="Verdana" w:cs="Arial"/>
                <w:b/>
                <w:bCs/>
                <w:lang w:eastAsia="es-MX"/>
              </w:rPr>
              <w:t xml:space="preserve">vi) </w:t>
            </w:r>
            <w:r w:rsidRPr="002B0F84">
              <w:rPr>
                <w:rFonts w:ascii="Verdana" w:eastAsia="Times New Roman" w:hAnsi="Verdana" w:cs="Arial"/>
                <w:b/>
                <w:bCs/>
                <w:lang w:eastAsia="es-MX"/>
              </w:rPr>
              <w:t>Contrato ejecutado identificado con el clasificador de bienes y servicios:</w:t>
            </w:r>
            <w:r w:rsidRPr="002B0F84">
              <w:rPr>
                <w:rFonts w:ascii="Verdana" w:eastAsia="Times New Roman" w:hAnsi="Verdana" w:cs="Arial"/>
                <w:lang w:eastAsia="es-MX"/>
              </w:rPr>
              <w:t xml:space="preserve"> Se deberá diligenciar el código que coincida con los códigos requeridos por la Entidad en el numeral “3.5.4 CLASIFICACIÓN DE LA EXPERIENCIA EN EL CLASIFICADOR DE BIENES, OBRAS Y SERVICIOS DE LAS NACIONES UNIDAS”  </w:t>
            </w:r>
          </w:p>
        </w:tc>
      </w:tr>
      <w:tr w:rsidR="003A5EB7" w:rsidRPr="002B0F84" w14:paraId="3284FCB2" w14:textId="77777777" w:rsidTr="00EC05CF">
        <w:trPr>
          <w:trHeight w:val="375"/>
        </w:trPr>
        <w:tc>
          <w:tcPr>
            <w:tcW w:w="8838" w:type="dxa"/>
            <w:gridSpan w:val="2"/>
            <w:tcBorders>
              <w:top w:val="nil"/>
              <w:left w:val="nil"/>
              <w:bottom w:val="nil"/>
              <w:right w:val="nil"/>
            </w:tcBorders>
            <w:noWrap/>
            <w:vAlign w:val="center"/>
            <w:hideMark/>
          </w:tcPr>
          <w:p w14:paraId="56C72FE3"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t>vii</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 xml:space="preserve">Formas de ejecución:  </w:t>
            </w:r>
            <w:r w:rsidRPr="002B0F84">
              <w:rPr>
                <w:rFonts w:ascii="Verdana" w:eastAsia="Times New Roman" w:hAnsi="Verdana" w:cs="Arial"/>
                <w:lang w:eastAsia="es-MX"/>
              </w:rPr>
              <w:t xml:space="preserve">El Proponente deberá indicar si el contrato se ejecutó de las siguientes formas: i) Forma individual (i); </w:t>
            </w:r>
            <w:proofErr w:type="spellStart"/>
            <w:r w:rsidRPr="002B0F84">
              <w:rPr>
                <w:rFonts w:ascii="Verdana" w:eastAsia="Times New Roman" w:hAnsi="Verdana" w:cs="Arial"/>
                <w:lang w:eastAsia="es-MX"/>
              </w:rPr>
              <w:t>ii</w:t>
            </w:r>
            <w:proofErr w:type="spellEnd"/>
            <w:r w:rsidRPr="002B0F84">
              <w:rPr>
                <w:rFonts w:ascii="Verdana" w:eastAsia="Times New Roman" w:hAnsi="Verdana" w:cs="Arial"/>
                <w:lang w:eastAsia="es-MX"/>
              </w:rPr>
              <w:t xml:space="preserve">) Consorcio (c); </w:t>
            </w:r>
            <w:proofErr w:type="spellStart"/>
            <w:r w:rsidRPr="002B0F84">
              <w:rPr>
                <w:rFonts w:ascii="Verdana" w:eastAsia="Times New Roman" w:hAnsi="Verdana" w:cs="Arial"/>
                <w:lang w:eastAsia="es-MX"/>
              </w:rPr>
              <w:t>iii</w:t>
            </w:r>
            <w:proofErr w:type="spellEnd"/>
            <w:r w:rsidRPr="002B0F84">
              <w:rPr>
                <w:rFonts w:ascii="Verdana" w:eastAsia="Times New Roman" w:hAnsi="Verdana" w:cs="Arial"/>
                <w:lang w:eastAsia="es-MX"/>
              </w:rPr>
              <w:t xml:space="preserve">) Unión Temporal (UT); </w:t>
            </w:r>
            <w:proofErr w:type="spellStart"/>
            <w:r w:rsidRPr="002B0F84">
              <w:rPr>
                <w:rFonts w:ascii="Verdana" w:eastAsia="Times New Roman" w:hAnsi="Verdana" w:cs="Arial"/>
                <w:lang w:eastAsia="es-MX"/>
              </w:rPr>
              <w:t>iv</w:t>
            </w:r>
            <w:proofErr w:type="spellEnd"/>
            <w:r w:rsidRPr="002B0F84">
              <w:rPr>
                <w:rFonts w:ascii="Verdana" w:eastAsia="Times New Roman" w:hAnsi="Verdana" w:cs="Arial"/>
                <w:lang w:eastAsia="es-MX"/>
              </w:rPr>
              <w:t xml:space="preserve">) Bajo cualquier otra modalidad de asociación (Otra). Además, se deberá indicar el porcentaje de participación de la persona que ejecutó el contrato. </w:t>
            </w:r>
          </w:p>
        </w:tc>
      </w:tr>
      <w:tr w:rsidR="003A5EB7" w:rsidRPr="002B0F84" w14:paraId="2F5D7880" w14:textId="77777777" w:rsidTr="00EC05CF">
        <w:trPr>
          <w:trHeight w:val="320"/>
        </w:trPr>
        <w:tc>
          <w:tcPr>
            <w:tcW w:w="8838" w:type="dxa"/>
            <w:gridSpan w:val="2"/>
            <w:tcBorders>
              <w:top w:val="nil"/>
              <w:left w:val="nil"/>
              <w:bottom w:val="nil"/>
              <w:right w:val="nil"/>
            </w:tcBorders>
            <w:vAlign w:val="center"/>
            <w:hideMark/>
          </w:tcPr>
          <w:p w14:paraId="32DEFB5A"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t>viii</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 xml:space="preserve">Integrante de la estructura plural que se está presentando: </w:t>
            </w:r>
            <w:r w:rsidRPr="002B0F84">
              <w:rPr>
                <w:rFonts w:ascii="Verdana" w:eastAsia="Times New Roman" w:hAnsi="Verdana" w:cs="Arial"/>
                <w:lang w:eastAsia="es-MX"/>
              </w:rPr>
              <w:t xml:space="preserve">Identificar del contrato que se aporta quién es el integrante de la estructura plural que se está presentado. </w:t>
            </w:r>
          </w:p>
        </w:tc>
      </w:tr>
      <w:tr w:rsidR="003A5EB7" w:rsidRPr="002B0F84" w14:paraId="11605BFF" w14:textId="77777777" w:rsidTr="00EC05CF">
        <w:trPr>
          <w:trHeight w:val="320"/>
        </w:trPr>
        <w:tc>
          <w:tcPr>
            <w:tcW w:w="8797" w:type="dxa"/>
            <w:tcBorders>
              <w:top w:val="nil"/>
              <w:left w:val="nil"/>
              <w:bottom w:val="nil"/>
              <w:right w:val="nil"/>
            </w:tcBorders>
            <w:vAlign w:val="center"/>
            <w:hideMark/>
          </w:tcPr>
          <w:p w14:paraId="2FE480F2"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roofErr w:type="spellStart"/>
            <w:r>
              <w:rPr>
                <w:rFonts w:ascii="Verdana" w:eastAsia="Times New Roman" w:hAnsi="Verdana" w:cs="Arial"/>
                <w:b/>
                <w:bCs/>
                <w:lang w:eastAsia="es-MX"/>
              </w:rPr>
              <w:t>ix</w:t>
            </w:r>
            <w:proofErr w:type="spellEnd"/>
            <w:r>
              <w:rPr>
                <w:rFonts w:ascii="Verdana" w:eastAsia="Times New Roman" w:hAnsi="Verdana" w:cs="Arial"/>
                <w:b/>
                <w:bCs/>
                <w:lang w:eastAsia="es-MX"/>
              </w:rPr>
              <w:t xml:space="preserve">) </w:t>
            </w:r>
            <w:r w:rsidRPr="002B0F84">
              <w:rPr>
                <w:rFonts w:ascii="Verdana" w:eastAsia="Times New Roman" w:hAnsi="Verdana" w:cs="Arial"/>
                <w:b/>
                <w:bCs/>
                <w:lang w:eastAsia="es-MX"/>
              </w:rPr>
              <w:t xml:space="preserve">Valor total reportado en el RUP: </w:t>
            </w:r>
            <w:r w:rsidRPr="002B0F84">
              <w:rPr>
                <w:rFonts w:ascii="Verdana" w:eastAsia="Times New Roman" w:hAnsi="Verdana" w:cs="Arial"/>
                <w:lang w:eastAsia="es-MX"/>
              </w:rPr>
              <w:t xml:space="preserve">Incluir el valor total del contrato que se encuentra registrado en el RUP. De acuerdo con la “Nota No. 3” los valores consignados deben expresarse en pesos colombianos. </w:t>
            </w:r>
          </w:p>
        </w:tc>
        <w:tc>
          <w:tcPr>
            <w:tcW w:w="41" w:type="dxa"/>
            <w:tcBorders>
              <w:top w:val="nil"/>
              <w:left w:val="nil"/>
              <w:bottom w:val="nil"/>
              <w:right w:val="nil"/>
            </w:tcBorders>
            <w:noWrap/>
            <w:vAlign w:val="bottom"/>
            <w:hideMark/>
          </w:tcPr>
          <w:p w14:paraId="6C339176"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p>
        </w:tc>
      </w:tr>
      <w:tr w:rsidR="003A5EB7" w:rsidRPr="002B0F84" w14:paraId="3B9DB71E" w14:textId="77777777" w:rsidTr="00EC05CF">
        <w:trPr>
          <w:trHeight w:val="320"/>
        </w:trPr>
        <w:tc>
          <w:tcPr>
            <w:tcW w:w="8838" w:type="dxa"/>
            <w:gridSpan w:val="2"/>
            <w:tcBorders>
              <w:top w:val="nil"/>
              <w:left w:val="nil"/>
              <w:bottom w:val="nil"/>
              <w:right w:val="nil"/>
            </w:tcBorders>
            <w:vAlign w:val="center"/>
            <w:hideMark/>
          </w:tcPr>
          <w:p w14:paraId="38B61057" w14:textId="77777777" w:rsidR="003A5EB7" w:rsidRPr="002B0F84" w:rsidRDefault="003A5EB7" w:rsidP="00EC05CF">
            <w:pPr>
              <w:snapToGrid w:val="0"/>
              <w:spacing w:after="120" w:line="240" w:lineRule="auto"/>
              <w:ind w:left="709"/>
              <w:jc w:val="both"/>
              <w:rPr>
                <w:rFonts w:ascii="Verdana" w:eastAsia="Times New Roman" w:hAnsi="Verdana" w:cs="Arial"/>
                <w:lang w:eastAsia="es-MX"/>
              </w:rPr>
            </w:pPr>
            <w:r>
              <w:rPr>
                <w:rFonts w:ascii="Verdana" w:eastAsia="Times New Roman" w:hAnsi="Verdana" w:cs="Arial"/>
                <w:b/>
                <w:bCs/>
                <w:lang w:eastAsia="es-MX"/>
              </w:rPr>
              <w:t xml:space="preserve">x) </w:t>
            </w:r>
            <w:r w:rsidRPr="002B0F84">
              <w:rPr>
                <w:rFonts w:ascii="Verdana" w:eastAsia="Times New Roman" w:hAnsi="Verdana" w:cs="Arial"/>
                <w:b/>
                <w:bCs/>
                <w:lang w:eastAsia="es-MX"/>
              </w:rPr>
              <w:t>Valor total del contrato en SMMLV</w:t>
            </w:r>
            <w:r w:rsidRPr="002B0F84">
              <w:rPr>
                <w:rFonts w:ascii="Verdana" w:eastAsia="Times New Roman" w:hAnsi="Verdana" w:cs="Arial"/>
                <w:lang w:eastAsia="es-MX"/>
              </w:rPr>
              <w:t>:  Esta casilla la deberán diligenciar los Proponentes que no tienen RUP e incluirán el valor total del contrato en SMMLV. Además, se deberá diligenciar este formato en pesos colombianos, haciendo su conversión a SMMLV.</w:t>
            </w:r>
          </w:p>
        </w:tc>
      </w:tr>
      <w:tr w:rsidR="003A5EB7" w:rsidRPr="002B0F84" w14:paraId="49A9E006" w14:textId="77777777" w:rsidTr="00EC05CF">
        <w:trPr>
          <w:trHeight w:val="320"/>
        </w:trPr>
        <w:tc>
          <w:tcPr>
            <w:tcW w:w="8838" w:type="dxa"/>
            <w:gridSpan w:val="2"/>
            <w:tcBorders>
              <w:top w:val="nil"/>
              <w:left w:val="nil"/>
              <w:bottom w:val="nil"/>
              <w:right w:val="nil"/>
            </w:tcBorders>
            <w:noWrap/>
            <w:vAlign w:val="center"/>
            <w:hideMark/>
          </w:tcPr>
          <w:p w14:paraId="2C86C7C0" w14:textId="77777777" w:rsidR="003A5EB7" w:rsidRPr="002B0F84" w:rsidRDefault="003A5EB7" w:rsidP="00EC05CF">
            <w:pPr>
              <w:snapToGrid w:val="0"/>
              <w:spacing w:after="0" w:line="240" w:lineRule="auto"/>
              <w:ind w:left="709"/>
              <w:jc w:val="both"/>
              <w:rPr>
                <w:rFonts w:ascii="Verdana" w:eastAsia="Times New Roman" w:hAnsi="Verdana" w:cs="Arial"/>
                <w:lang w:eastAsia="es-MX"/>
              </w:rPr>
            </w:pPr>
            <w:r>
              <w:rPr>
                <w:rFonts w:ascii="Verdana" w:eastAsia="Times New Roman" w:hAnsi="Verdana" w:cs="Arial"/>
                <w:b/>
                <w:bCs/>
                <w:lang w:eastAsia="es-MX"/>
              </w:rPr>
              <w:lastRenderedPageBreak/>
              <w:t xml:space="preserve">xi) </w:t>
            </w:r>
            <w:r w:rsidRPr="002B0F84">
              <w:rPr>
                <w:rFonts w:ascii="Verdana" w:eastAsia="Times New Roman" w:hAnsi="Verdana" w:cs="Arial"/>
                <w:b/>
                <w:bCs/>
                <w:lang w:eastAsia="es-MX"/>
              </w:rPr>
              <w:t xml:space="preserve">Lotes: </w:t>
            </w:r>
            <w:r w:rsidRPr="002B0F84">
              <w:rPr>
                <w:rFonts w:ascii="Verdana" w:eastAsia="Times New Roman" w:hAnsi="Verdana" w:cs="Arial"/>
                <w:lang w:eastAsia="es-MX"/>
              </w:rPr>
              <w:t xml:space="preserve">En los procesos estructurados por lotes indicar si el certificado de experiencia es para un determinado lote, para varios o para todos. Por ejemplo: Lote 1, Lote 2, 3 y 5 o todos. </w:t>
            </w:r>
          </w:p>
        </w:tc>
      </w:tr>
    </w:tbl>
    <w:p w14:paraId="150426C4" w14:textId="77777777" w:rsidR="003A5EB7" w:rsidRPr="0077075F" w:rsidRDefault="003A5EB7" w:rsidP="003A5EB7">
      <w:pPr>
        <w:spacing w:after="0" w:line="276" w:lineRule="auto"/>
        <w:ind w:firstLine="708"/>
        <w:jc w:val="both"/>
        <w:rPr>
          <w:rFonts w:ascii="Arial" w:eastAsia="Calibri" w:hAnsi="Arial" w:cs="Arial"/>
        </w:rPr>
      </w:pPr>
    </w:p>
    <w:p w14:paraId="5B4FE5D9" w14:textId="77777777" w:rsidR="003A5EB7" w:rsidRPr="002B0F84" w:rsidRDefault="003A5EB7" w:rsidP="003A5EB7">
      <w:pPr>
        <w:spacing w:after="120" w:line="276" w:lineRule="auto"/>
        <w:ind w:firstLine="708"/>
        <w:jc w:val="both"/>
        <w:rPr>
          <w:rFonts w:ascii="Verdana" w:hAnsi="Verdana" w:cs="Arial"/>
        </w:rPr>
      </w:pPr>
      <w:r w:rsidRPr="002B0F84">
        <w:rPr>
          <w:rFonts w:ascii="Verdana" w:hAnsi="Verdana" w:cs="Arial"/>
        </w:rPr>
        <w:t>Conforme a lo anterior, los proponentes deberán diligenciar el “Formato 3 – Experiencia” con las instrucciones señaladas; ahora, si no se diligencia de esta forma, esta no será una razón para que la entidad rechace la propuesta. Lo anterior toda vez que –de acuerdo con lo previsto en el numeral “3.5.1 Consideraciones para la validez de la experiencia requerida”– si no se aporta el “Formato 3 – Experiencia” la entidad tendrá en cuenta para la evaluación los cinco (6) contratos aportados por mayor valor.</w:t>
      </w:r>
    </w:p>
    <w:p w14:paraId="23319BF6" w14:textId="77777777" w:rsidR="003A5EB7" w:rsidRPr="00C00991" w:rsidRDefault="003A5EB7" w:rsidP="003A5EB7">
      <w:pPr>
        <w:widowControl w:val="0"/>
        <w:autoSpaceDE w:val="0"/>
        <w:autoSpaceDN w:val="0"/>
        <w:spacing w:after="120"/>
        <w:ind w:right="102" w:firstLine="708"/>
        <w:jc w:val="both"/>
        <w:rPr>
          <w:rFonts w:ascii="Verdana" w:hAnsi="Verdana" w:cs="Arial"/>
          <w:noProof/>
          <w:lang w:val="es-ES_tradnl"/>
        </w:rPr>
      </w:pPr>
      <w:r>
        <w:rPr>
          <w:rFonts w:ascii="Verdana" w:hAnsi="Verdana" w:cs="Arial"/>
          <w:noProof/>
          <w:lang w:val="es-ES_tradnl"/>
        </w:rPr>
        <w:t xml:space="preserve">Esto, considerando que, </w:t>
      </w:r>
      <w:r w:rsidRPr="00C00991">
        <w:rPr>
          <w:rFonts w:ascii="Verdana" w:hAnsi="Verdana" w:cs="Arial"/>
          <w:noProof/>
          <w:lang w:val="es-ES_tradnl"/>
        </w:rPr>
        <w:t>de acuerdo con el artículo 6 de la Ley 1150 de 2007, el registro único de proponentes será plena prueba de la información relacionada con la experiencia del oferente</w:t>
      </w:r>
      <w:r w:rsidRPr="006558FF">
        <w:rPr>
          <w:rFonts w:ascii="Verdana" w:hAnsi="Verdana" w:cs="Arial"/>
          <w:noProof/>
          <w:vertAlign w:val="superscript"/>
          <w:lang w:val="es-ES_tradnl"/>
        </w:rPr>
        <w:footnoteReference w:id="14"/>
      </w:r>
      <w:r w:rsidRPr="00C00991">
        <w:rPr>
          <w:rFonts w:ascii="Verdana" w:hAnsi="Verdana" w:cs="Arial"/>
          <w:noProof/>
          <w:lang w:val="es-ES_tradnl"/>
        </w:rPr>
        <w:t xml:space="preserve">. Por lo tanto, si el oferente aporta el RUP con la información relacionada con la experiencia, o aporta la experiencia de los contratos que tiene a su nombre, deberá acreditar este requisito en el procedimiento de selección, a pesar de no aportar o diligenciar </w:t>
      </w:r>
      <w:r>
        <w:rPr>
          <w:rFonts w:ascii="Verdana" w:hAnsi="Verdana" w:cs="Arial"/>
          <w:noProof/>
          <w:lang w:val="es-ES_tradnl"/>
        </w:rPr>
        <w:t xml:space="preserve">o haber incluido un contrato </w:t>
      </w:r>
      <w:r w:rsidRPr="00C00991">
        <w:rPr>
          <w:rFonts w:ascii="Verdana" w:hAnsi="Verdana" w:cs="Arial"/>
          <w:noProof/>
          <w:lang w:val="es-ES_tradnl"/>
        </w:rPr>
        <w:t xml:space="preserve">en el </w:t>
      </w:r>
      <w:r>
        <w:rPr>
          <w:rFonts w:ascii="Verdana" w:hAnsi="Verdana" w:cs="Arial"/>
          <w:noProof/>
          <w:lang w:val="es-ES_tradnl"/>
        </w:rPr>
        <w:t>“</w:t>
      </w:r>
      <w:r w:rsidRPr="00C00991">
        <w:rPr>
          <w:rFonts w:ascii="Verdana" w:hAnsi="Verdana" w:cs="Arial"/>
          <w:noProof/>
          <w:lang w:val="es-ES_tradnl"/>
        </w:rPr>
        <w:t xml:space="preserve">Formato 3 </w:t>
      </w:r>
      <w:r>
        <w:rPr>
          <w:rFonts w:ascii="Verdana" w:hAnsi="Verdana" w:cs="Arial"/>
          <w:noProof/>
          <w:lang w:val="es-ES_tradnl"/>
        </w:rPr>
        <w:t>–</w:t>
      </w:r>
      <w:r w:rsidRPr="00C00991">
        <w:rPr>
          <w:rFonts w:ascii="Verdana" w:hAnsi="Verdana" w:cs="Arial"/>
          <w:noProof/>
          <w:lang w:val="es-ES_tradnl"/>
        </w:rPr>
        <w:t xml:space="preserve"> Experiencia</w:t>
      </w:r>
      <w:r>
        <w:rPr>
          <w:rFonts w:ascii="Verdana" w:hAnsi="Verdana" w:cs="Arial"/>
          <w:noProof/>
          <w:lang w:val="es-ES_tradnl"/>
        </w:rPr>
        <w:t>”</w:t>
      </w:r>
      <w:r w:rsidRPr="00C00991">
        <w:rPr>
          <w:rFonts w:ascii="Verdana" w:hAnsi="Verdana" w:cs="Arial"/>
          <w:noProof/>
          <w:lang w:val="es-ES_tradnl"/>
        </w:rPr>
        <w:t xml:space="preserve"> que no cumple lo exigido.  Por lo tanto, el </w:t>
      </w:r>
      <w:r>
        <w:rPr>
          <w:rFonts w:ascii="Verdana" w:hAnsi="Verdana" w:cs="Arial"/>
          <w:noProof/>
          <w:lang w:val="es-ES_tradnl"/>
        </w:rPr>
        <w:t>“</w:t>
      </w:r>
      <w:r w:rsidRPr="00C00991">
        <w:rPr>
          <w:rFonts w:ascii="Verdana" w:hAnsi="Verdana" w:cs="Arial"/>
          <w:noProof/>
          <w:lang w:val="es-ES_tradnl"/>
        </w:rPr>
        <w:t xml:space="preserve">Formato 3 </w:t>
      </w:r>
      <w:r>
        <w:rPr>
          <w:rFonts w:ascii="Verdana" w:hAnsi="Verdana" w:cs="Arial"/>
          <w:noProof/>
          <w:lang w:val="es-ES_tradnl"/>
        </w:rPr>
        <w:t>–</w:t>
      </w:r>
      <w:r w:rsidRPr="00C00991">
        <w:rPr>
          <w:rFonts w:ascii="Verdana" w:hAnsi="Verdana" w:cs="Arial"/>
          <w:noProof/>
          <w:lang w:val="es-ES_tradnl"/>
        </w:rPr>
        <w:t xml:space="preserve"> Experiencia</w:t>
      </w:r>
      <w:r>
        <w:rPr>
          <w:rFonts w:ascii="Verdana" w:hAnsi="Verdana" w:cs="Arial"/>
          <w:noProof/>
          <w:lang w:val="es-ES_tradnl"/>
        </w:rPr>
        <w:t>”</w:t>
      </w:r>
      <w:r w:rsidRPr="00C00991">
        <w:rPr>
          <w:rFonts w:ascii="Verdana" w:hAnsi="Verdana" w:cs="Arial"/>
          <w:noProof/>
          <w:lang w:val="es-ES_tradnl"/>
        </w:rPr>
        <w:t xml:space="preserve"> consolida la experiencia aportada, pero no acredita la experiencia del proponente.</w:t>
      </w:r>
    </w:p>
    <w:p w14:paraId="4138F5F2" w14:textId="77777777" w:rsidR="003A5EB7" w:rsidRPr="006558FF" w:rsidRDefault="003A5EB7" w:rsidP="003A5EB7">
      <w:pPr>
        <w:widowControl w:val="0"/>
        <w:autoSpaceDE w:val="0"/>
        <w:autoSpaceDN w:val="0"/>
        <w:spacing w:after="0"/>
        <w:ind w:right="102" w:firstLine="708"/>
        <w:jc w:val="both"/>
        <w:rPr>
          <w:rFonts w:ascii="Verdana" w:hAnsi="Verdana" w:cs="Arial"/>
          <w:noProof/>
          <w:lang w:val="es-ES_tradnl"/>
        </w:rPr>
      </w:pPr>
      <w:r>
        <w:rPr>
          <w:rFonts w:ascii="Verdana" w:hAnsi="Verdana" w:cs="Arial"/>
          <w:noProof/>
          <w:lang w:val="es-ES_tradnl"/>
        </w:rPr>
        <w:t>P</w:t>
      </w:r>
      <w:r w:rsidRPr="00C00991">
        <w:rPr>
          <w:rFonts w:ascii="Verdana" w:hAnsi="Verdana" w:cs="Arial"/>
          <w:noProof/>
          <w:lang w:val="es-ES_tradnl"/>
        </w:rPr>
        <w:t xml:space="preserve">or tratarse de un requisito de verificación que no otorga puntaje, debe tenerse en cuenta que si el proponente desea acreditar otro contrato no incluido en el </w:t>
      </w:r>
      <w:r>
        <w:rPr>
          <w:rFonts w:ascii="Verdana" w:hAnsi="Verdana" w:cs="Arial"/>
          <w:noProof/>
          <w:lang w:val="es-ES_tradnl"/>
        </w:rPr>
        <w:t>“</w:t>
      </w:r>
      <w:r w:rsidRPr="00C00991">
        <w:rPr>
          <w:rFonts w:ascii="Verdana" w:hAnsi="Verdana" w:cs="Arial"/>
          <w:noProof/>
          <w:lang w:val="es-ES_tradnl"/>
        </w:rPr>
        <w:t xml:space="preserve">Formato 3 </w:t>
      </w:r>
      <w:r>
        <w:rPr>
          <w:rFonts w:ascii="Verdana" w:hAnsi="Verdana" w:cs="Arial"/>
          <w:noProof/>
          <w:lang w:val="es-ES_tradnl"/>
        </w:rPr>
        <w:t>–</w:t>
      </w:r>
      <w:r w:rsidRPr="00C00991">
        <w:rPr>
          <w:rFonts w:ascii="Verdana" w:hAnsi="Verdana" w:cs="Arial"/>
          <w:noProof/>
          <w:lang w:val="es-ES_tradnl"/>
        </w:rPr>
        <w:t xml:space="preserve"> Experiencia</w:t>
      </w:r>
      <w:r>
        <w:rPr>
          <w:rFonts w:ascii="Verdana" w:hAnsi="Verdana" w:cs="Arial"/>
          <w:noProof/>
          <w:lang w:val="es-ES_tradnl"/>
        </w:rPr>
        <w:t>”</w:t>
      </w:r>
      <w:r w:rsidRPr="00C00991">
        <w:rPr>
          <w:rFonts w:ascii="Verdana" w:hAnsi="Verdana" w:cs="Arial"/>
          <w:noProof/>
          <w:lang w:val="es-ES_tradnl"/>
        </w:rPr>
        <w:t xml:space="preserve">, podrá incluirlo en este documento siempre y cuando se encuentre registrado en el RUP antes de la presentación de la oferta. </w:t>
      </w:r>
      <w:r w:rsidRPr="00C00991">
        <w:rPr>
          <w:rFonts w:ascii="Verdana" w:hAnsi="Verdana" w:cs="Arial"/>
          <w:noProof/>
          <w:lang w:val="es-ES_tradnl"/>
        </w:rPr>
        <w:lastRenderedPageBreak/>
        <w:t xml:space="preserve">Esto en la medida que –de conformidad con lo señalado por el parágrafo 1 del artículo 5 de la Ley 1150 de 2007– </w:t>
      </w:r>
      <w:r>
        <w:rPr>
          <w:rFonts w:ascii="Verdana" w:hAnsi="Verdana" w:cs="Arial"/>
          <w:noProof/>
          <w:lang w:val="es-ES_tradnl"/>
        </w:rPr>
        <w:t>“</w:t>
      </w:r>
      <w:r w:rsidRPr="00C00991">
        <w:rPr>
          <w:rFonts w:ascii="Verdana" w:hAnsi="Verdana" w:cs="Arial"/>
          <w:noProof/>
          <w:lang w:val="es-ES_tradnl"/>
        </w:rPr>
        <w:t>[…] los proponentes no podrán acreditar circunstancias ocurridas con posterioridad al cierre del proceso […]</w:t>
      </w:r>
      <w:r>
        <w:rPr>
          <w:rFonts w:ascii="Verdana" w:hAnsi="Verdana" w:cs="Arial"/>
          <w:noProof/>
          <w:lang w:val="es-ES_tradnl"/>
        </w:rPr>
        <w:t>”</w:t>
      </w:r>
      <w:bookmarkEnd w:id="2"/>
      <w:r>
        <w:rPr>
          <w:rFonts w:ascii="Verdana" w:hAnsi="Verdana" w:cs="Arial"/>
          <w:noProof/>
          <w:lang w:val="es-ES_tradnl"/>
        </w:rPr>
        <w:t>.</w:t>
      </w:r>
    </w:p>
    <w:p w14:paraId="41402CFD" w14:textId="77777777" w:rsidR="003A5EB7" w:rsidRDefault="003A5EB7" w:rsidP="003A5EB7">
      <w:pPr>
        <w:widowControl w:val="0"/>
        <w:autoSpaceDE w:val="0"/>
        <w:autoSpaceDN w:val="0"/>
        <w:spacing w:after="0" w:line="276" w:lineRule="auto"/>
        <w:jc w:val="both"/>
        <w:rPr>
          <w:rFonts w:ascii="Verdana" w:hAnsi="Verdana" w:cs="Arial"/>
        </w:rPr>
      </w:pPr>
    </w:p>
    <w:p w14:paraId="560ACB36" w14:textId="77777777" w:rsidR="003A5EB7" w:rsidRPr="002D2FBE" w:rsidRDefault="003A5EB7" w:rsidP="003A5EB7">
      <w:pPr>
        <w:spacing w:after="0" w:line="276" w:lineRule="auto"/>
        <w:jc w:val="both"/>
        <w:rPr>
          <w:rFonts w:ascii="Verdana" w:eastAsia="Calibri" w:hAnsi="Verdana" w:cs="Arial"/>
          <w:bCs/>
        </w:rPr>
      </w:pPr>
      <w:proofErr w:type="spellStart"/>
      <w:r>
        <w:rPr>
          <w:rFonts w:ascii="Verdana" w:hAnsi="Verdana" w:cs="Arial"/>
        </w:rPr>
        <w:t>iii</w:t>
      </w:r>
      <w:proofErr w:type="spellEnd"/>
      <w:r>
        <w:rPr>
          <w:rFonts w:ascii="Verdana" w:hAnsi="Verdana" w:cs="Arial"/>
        </w:rPr>
        <w:t xml:space="preserve">) </w:t>
      </w:r>
      <w:r w:rsidRPr="002D2FBE">
        <w:rPr>
          <w:rFonts w:ascii="Verdana" w:eastAsia="Calibri" w:hAnsi="Verdana" w:cs="Arial"/>
          <w:bCs/>
        </w:rPr>
        <w:t>Es importante señalar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Pr>
          <w:rStyle w:val="Refdenotaalpie"/>
          <w:rFonts w:ascii="Verdana" w:eastAsia="Calibri" w:hAnsi="Verdana" w:cs="Arial"/>
          <w:bCs/>
        </w:rPr>
        <w:footnoteReference w:id="15"/>
      </w:r>
      <w:r w:rsidRPr="002D2FBE">
        <w:rPr>
          <w:rFonts w:ascii="Verdana" w:eastAsia="Calibri" w:hAnsi="Verdana" w:cs="Arial"/>
          <w:bCs/>
        </w:rPr>
        <w:t xml:space="preserve"> señala:</w:t>
      </w:r>
    </w:p>
    <w:p w14:paraId="7722C6A2" w14:textId="77777777" w:rsidR="003A5EB7" w:rsidRPr="002D2FBE" w:rsidRDefault="003A5EB7" w:rsidP="003A5EB7">
      <w:pPr>
        <w:spacing w:after="0" w:line="276" w:lineRule="auto"/>
        <w:ind w:left="720"/>
        <w:jc w:val="both"/>
        <w:rPr>
          <w:rFonts w:ascii="Verdana" w:eastAsia="Calibri" w:hAnsi="Verdana" w:cs="Arial"/>
          <w:bCs/>
        </w:rPr>
      </w:pPr>
    </w:p>
    <w:p w14:paraId="0C2B23E6" w14:textId="77777777" w:rsidR="003A5EB7" w:rsidRPr="002D2FBE" w:rsidRDefault="003A5EB7" w:rsidP="003A5EB7">
      <w:pPr>
        <w:spacing w:after="0" w:line="240" w:lineRule="auto"/>
        <w:ind w:left="709" w:right="709"/>
        <w:jc w:val="both"/>
        <w:rPr>
          <w:rFonts w:ascii="Verdana" w:eastAsia="Calibri" w:hAnsi="Verdana" w:cs="Arial"/>
          <w:bCs/>
          <w:sz w:val="21"/>
          <w:szCs w:val="21"/>
        </w:rPr>
      </w:pPr>
      <w:r w:rsidRPr="002D2FBE">
        <w:rPr>
          <w:rFonts w:ascii="Verdana" w:eastAsia="Calibri" w:hAnsi="Verdana" w:cs="Arial"/>
          <w:bCs/>
          <w:sz w:val="21"/>
          <w:szCs w:val="21"/>
        </w:rPr>
        <w:t xml:space="preserve">“Quiere con esto destacar la Sala que las causales de rechazo de las propuestas pueden ser legales y por lo mismo generan el efecto del descarte o exclusión de la oferta </w:t>
      </w:r>
      <w:proofErr w:type="spellStart"/>
      <w:r w:rsidRPr="002D2FBE">
        <w:rPr>
          <w:rFonts w:ascii="Verdana" w:eastAsia="Calibri" w:hAnsi="Verdana" w:cs="Arial"/>
          <w:bCs/>
          <w:sz w:val="21"/>
          <w:szCs w:val="21"/>
        </w:rPr>
        <w:t>ope</w:t>
      </w:r>
      <w:proofErr w:type="spellEnd"/>
      <w:r w:rsidRPr="002D2FBE">
        <w:rPr>
          <w:rFonts w:ascii="Verdana" w:eastAsia="Calibri" w:hAnsi="Verdana" w:cs="Arial"/>
          <w:bCs/>
          <w:sz w:val="21"/>
          <w:szCs w:val="21"/>
        </w:rPr>
        <w:t xml:space="preserve"> </w:t>
      </w:r>
      <w:proofErr w:type="spellStart"/>
      <w:r w:rsidRPr="002D2FBE">
        <w:rPr>
          <w:rFonts w:ascii="Verdana" w:eastAsia="Calibri" w:hAnsi="Verdana" w:cs="Arial"/>
          <w:bCs/>
          <w:sz w:val="21"/>
          <w:szCs w:val="21"/>
        </w:rPr>
        <w:t>legis</w:t>
      </w:r>
      <w:proofErr w:type="spellEnd"/>
      <w:r w:rsidRPr="002D2FBE">
        <w:rPr>
          <w:rFonts w:ascii="Verdana" w:eastAsia="Calibri" w:hAnsi="Verdana" w:cs="Arial"/>
          <w:bCs/>
          <w:sz w:val="21"/>
          <w:szCs w:val="21"/>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6E0CE95F" w14:textId="77777777" w:rsidR="003A5EB7" w:rsidRPr="002D2FBE" w:rsidRDefault="003A5EB7" w:rsidP="003A5EB7">
      <w:pPr>
        <w:spacing w:after="0" w:line="276" w:lineRule="auto"/>
        <w:ind w:left="720"/>
        <w:jc w:val="both"/>
        <w:rPr>
          <w:rFonts w:ascii="Verdana" w:eastAsia="Calibri" w:hAnsi="Verdana" w:cs="Arial"/>
          <w:bCs/>
        </w:rPr>
      </w:pPr>
    </w:p>
    <w:p w14:paraId="0061D1E9" w14:textId="77777777" w:rsidR="003A5EB7" w:rsidRPr="002D2FBE" w:rsidRDefault="003A5EB7" w:rsidP="003A5EB7">
      <w:pPr>
        <w:spacing w:after="0" w:line="276" w:lineRule="auto"/>
        <w:ind w:firstLine="708"/>
        <w:jc w:val="both"/>
        <w:rPr>
          <w:rFonts w:ascii="Verdana" w:eastAsia="Calibri" w:hAnsi="Verdana" w:cs="Arial"/>
          <w:bCs/>
        </w:rPr>
      </w:pPr>
      <w:r w:rsidRPr="002D2FBE">
        <w:rPr>
          <w:rFonts w:ascii="Verdana" w:eastAsia="Calibri" w:hAnsi="Verdana" w:cs="Arial"/>
          <w:bC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w:t>
      </w:r>
      <w:r>
        <w:rPr>
          <w:rStyle w:val="Refdenotaalpie"/>
          <w:rFonts w:ascii="Verdana" w:eastAsia="Calibri" w:hAnsi="Verdana" w:cs="Arial"/>
          <w:bCs/>
        </w:rPr>
        <w:footnoteReference w:id="16"/>
      </w:r>
      <w:r w:rsidRPr="002D2FBE">
        <w:rPr>
          <w:rFonts w:ascii="Verdana" w:eastAsia="Calibri" w:hAnsi="Verdana" w:cs="Arial"/>
          <w:bCs/>
        </w:rPr>
        <w:t xml:space="preserve"> de Estado sostuvo: </w:t>
      </w:r>
    </w:p>
    <w:p w14:paraId="43BE7671" w14:textId="77777777" w:rsidR="003A5EB7" w:rsidRPr="002D2FBE" w:rsidRDefault="003A5EB7" w:rsidP="003A5EB7">
      <w:pPr>
        <w:spacing w:after="0" w:line="276" w:lineRule="auto"/>
        <w:ind w:left="720"/>
        <w:jc w:val="both"/>
        <w:rPr>
          <w:rFonts w:ascii="Verdana" w:eastAsia="Calibri" w:hAnsi="Verdana" w:cs="Arial"/>
          <w:bCs/>
        </w:rPr>
      </w:pPr>
    </w:p>
    <w:p w14:paraId="7CD299A0" w14:textId="77777777" w:rsidR="003A5EB7" w:rsidRPr="002D2FBE" w:rsidRDefault="003A5EB7" w:rsidP="003A5EB7">
      <w:pPr>
        <w:spacing w:after="0" w:line="240" w:lineRule="auto"/>
        <w:ind w:left="709" w:right="709"/>
        <w:jc w:val="both"/>
        <w:rPr>
          <w:rFonts w:ascii="Verdana" w:eastAsia="Calibri" w:hAnsi="Verdana" w:cs="Arial"/>
          <w:bCs/>
          <w:sz w:val="21"/>
          <w:szCs w:val="21"/>
        </w:rPr>
      </w:pPr>
      <w:r w:rsidRPr="002D2FBE">
        <w:rPr>
          <w:rFonts w:ascii="Verdana" w:eastAsia="Calibri" w:hAnsi="Verdana" w:cs="Arial"/>
          <w:bCs/>
          <w:sz w:val="21"/>
          <w:szCs w:val="21"/>
        </w:rPr>
        <w:t xml:space="preserve">“En esta línea de pensamiento, resulta claro que el rechazo o la descalificación de ofertas no puede depender de la libre </w:t>
      </w:r>
      <w:r w:rsidRPr="002D2FBE">
        <w:rPr>
          <w:rFonts w:ascii="Verdana" w:eastAsia="Calibri" w:hAnsi="Verdana" w:cs="Arial"/>
          <w:bCs/>
          <w:sz w:val="21"/>
          <w:szCs w:val="21"/>
        </w:rPr>
        <w:lastRenderedPageBreak/>
        <w:t>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365C8FC7" w14:textId="77777777" w:rsidR="003A5EB7" w:rsidRPr="002D2FBE" w:rsidRDefault="003A5EB7" w:rsidP="003A5EB7">
      <w:pPr>
        <w:spacing w:after="0" w:line="276" w:lineRule="auto"/>
        <w:ind w:left="720"/>
        <w:jc w:val="both"/>
        <w:rPr>
          <w:rFonts w:ascii="Verdana" w:eastAsia="Calibri" w:hAnsi="Verdana" w:cs="Arial"/>
          <w:bCs/>
        </w:rPr>
      </w:pPr>
    </w:p>
    <w:p w14:paraId="18049A7D"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bC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03A7750C"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bCs/>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4A41F359" w14:textId="77777777" w:rsidR="003A5EB7" w:rsidRPr="002D2FBE" w:rsidRDefault="003A5EB7" w:rsidP="003A5EB7">
      <w:pPr>
        <w:spacing w:after="0" w:line="276" w:lineRule="auto"/>
        <w:ind w:firstLine="708"/>
        <w:jc w:val="both"/>
        <w:rPr>
          <w:rFonts w:ascii="Verdana" w:eastAsia="Calibri" w:hAnsi="Verdana" w:cs="Arial"/>
          <w:bCs/>
        </w:rPr>
      </w:pPr>
      <w:r w:rsidRPr="002D2FBE">
        <w:rPr>
          <w:rFonts w:ascii="Verdana" w:eastAsia="Calibri" w:hAnsi="Verdana" w:cs="Arial"/>
          <w:bCs/>
        </w:rPr>
        <w:t xml:space="preserve">Ahora bien, los documentos tipo contienen parámetros obligatorios para las entidades estatales sometidas al Estatuto General de Contratación de la Administración Pública que adelanten la tipología contractual que estos se encarguen de desarrollar. </w:t>
      </w:r>
      <w:r>
        <w:rPr>
          <w:rFonts w:ascii="Verdana" w:eastAsia="Calibri" w:hAnsi="Verdana" w:cs="Arial"/>
          <w:bCs/>
        </w:rPr>
        <w:t xml:space="preserve">En los </w:t>
      </w:r>
      <w:r w:rsidRPr="002D2FBE">
        <w:rPr>
          <w:rFonts w:ascii="Verdana" w:eastAsia="Calibri" w:hAnsi="Verdana" w:cs="Arial"/>
          <w:bCs/>
        </w:rPr>
        <w:t xml:space="preserve">documentos tipo de licitación pública de obra </w:t>
      </w:r>
      <w:r w:rsidRPr="002D2FBE">
        <w:rPr>
          <w:rFonts w:ascii="Verdana" w:eastAsia="Calibri" w:hAnsi="Verdana" w:cs="Arial"/>
          <w:bCs/>
        </w:rPr>
        <w:lastRenderedPageBreak/>
        <w:t>de infraestructura</w:t>
      </w:r>
      <w:r>
        <w:rPr>
          <w:rFonts w:ascii="Verdana" w:eastAsia="Calibri" w:hAnsi="Verdana" w:cs="Arial"/>
          <w:bCs/>
        </w:rPr>
        <w:t xml:space="preserve"> social</w:t>
      </w:r>
      <w:r w:rsidRPr="002D2FBE">
        <w:rPr>
          <w:rFonts w:ascii="Verdana" w:eastAsia="Calibri" w:hAnsi="Verdana" w:cs="Arial"/>
          <w:bCs/>
        </w:rPr>
        <w:t>, se incluyeron las causales de rechazo de las ofertas, entre ellas, la relacionada con</w:t>
      </w:r>
      <w:r>
        <w:rPr>
          <w:rFonts w:ascii="Verdana" w:eastAsia="Calibri" w:hAnsi="Verdana" w:cs="Arial"/>
          <w:bCs/>
        </w:rPr>
        <w:t xml:space="preserve"> el presente problema jurídico </w:t>
      </w:r>
      <w:r w:rsidRPr="002D2FBE">
        <w:rPr>
          <w:rFonts w:ascii="Verdana" w:eastAsia="Calibri" w:hAnsi="Verdana" w:cs="Arial"/>
          <w:bCs/>
        </w:rPr>
        <w:t xml:space="preserve">–causal </w:t>
      </w:r>
      <w:r>
        <w:rPr>
          <w:rFonts w:ascii="Verdana" w:eastAsia="Calibri" w:hAnsi="Verdana" w:cs="Arial"/>
          <w:bCs/>
        </w:rPr>
        <w:t>G</w:t>
      </w:r>
      <w:r w:rsidRPr="002D2FBE">
        <w:rPr>
          <w:rFonts w:ascii="Verdana" w:eastAsia="Calibri" w:hAnsi="Verdana" w:cs="Arial"/>
          <w:bCs/>
        </w:rPr>
        <w:t xml:space="preserve">–, la cual se transcribe en los siguientes términos:    </w:t>
      </w:r>
    </w:p>
    <w:p w14:paraId="5F217AB1" w14:textId="77777777" w:rsidR="003A5EB7" w:rsidRPr="002D2FBE" w:rsidRDefault="003A5EB7" w:rsidP="003A5EB7">
      <w:pPr>
        <w:spacing w:after="0" w:line="240" w:lineRule="auto"/>
        <w:ind w:left="709" w:right="709"/>
        <w:jc w:val="both"/>
        <w:rPr>
          <w:rFonts w:ascii="Verdana" w:eastAsia="Calibri" w:hAnsi="Verdana" w:cs="Arial"/>
          <w:bCs/>
          <w:sz w:val="21"/>
          <w:szCs w:val="21"/>
        </w:rPr>
      </w:pPr>
    </w:p>
    <w:p w14:paraId="40D80B48" w14:textId="7F6F4FCA" w:rsidR="003A5EB7" w:rsidRPr="003A5EB7" w:rsidRDefault="003A5EB7" w:rsidP="003A5EB7">
      <w:pPr>
        <w:spacing w:after="0" w:line="240" w:lineRule="auto"/>
        <w:ind w:left="709" w:right="709"/>
        <w:jc w:val="both"/>
        <w:rPr>
          <w:rFonts w:ascii="Verdana" w:hAnsi="Verdana"/>
          <w:sz w:val="21"/>
          <w:szCs w:val="21"/>
          <w:lang w:val="es-MX"/>
        </w:rPr>
      </w:pPr>
      <w:r w:rsidRPr="002B0F84">
        <w:rPr>
          <w:rFonts w:ascii="Verdana" w:hAnsi="Verdana"/>
          <w:sz w:val="21"/>
          <w:szCs w:val="21"/>
          <w:lang w:val="es-MX"/>
        </w:rPr>
        <w:t>“G. Que el Proponente aporte información inexacta sobre la cual pueda existir una posible falsedad en los términos de la sección 1.11”.</w:t>
      </w:r>
    </w:p>
    <w:p w14:paraId="3B35A8FD" w14:textId="77777777" w:rsidR="003A5EB7" w:rsidRPr="002D2FBE" w:rsidRDefault="003A5EB7" w:rsidP="003A5EB7">
      <w:pPr>
        <w:spacing w:after="0" w:line="240" w:lineRule="auto"/>
        <w:ind w:right="709"/>
        <w:jc w:val="both"/>
        <w:rPr>
          <w:rFonts w:ascii="Verdana" w:eastAsia="Calibri" w:hAnsi="Verdana" w:cs="Arial"/>
          <w:bCs/>
          <w:sz w:val="21"/>
          <w:szCs w:val="21"/>
        </w:rPr>
      </w:pPr>
    </w:p>
    <w:p w14:paraId="14A0D7F7" w14:textId="77777777" w:rsidR="003A5EB7" w:rsidRPr="002D2FBE" w:rsidRDefault="003A5EB7" w:rsidP="003A5EB7">
      <w:pPr>
        <w:spacing w:after="0" w:line="276" w:lineRule="auto"/>
        <w:ind w:firstLine="708"/>
        <w:jc w:val="both"/>
        <w:rPr>
          <w:rFonts w:ascii="Verdana" w:eastAsia="Calibri" w:hAnsi="Verdana" w:cs="Arial"/>
          <w:bCs/>
        </w:rPr>
      </w:pPr>
      <w:r>
        <w:rPr>
          <w:rFonts w:ascii="Verdana" w:eastAsia="Calibri" w:hAnsi="Verdana" w:cs="Arial"/>
          <w:bCs/>
        </w:rPr>
        <w:t>Sobre la causal de rechazo referida, e</w:t>
      </w:r>
      <w:r w:rsidRPr="002D2FBE">
        <w:rPr>
          <w:rFonts w:ascii="Verdana" w:eastAsia="Calibri" w:hAnsi="Verdana" w:cs="Arial"/>
          <w:bCs/>
        </w:rPr>
        <w:t xml:space="preserve">sta Agencia </w:t>
      </w:r>
      <w:r>
        <w:rPr>
          <w:rFonts w:ascii="Verdana" w:eastAsia="Calibri" w:hAnsi="Verdana" w:cs="Arial"/>
          <w:bCs/>
        </w:rPr>
        <w:t xml:space="preserve">señaló </w:t>
      </w:r>
      <w:r w:rsidRPr="002D2FBE">
        <w:rPr>
          <w:rFonts w:ascii="Verdana" w:eastAsia="Calibri" w:hAnsi="Verdana" w:cs="Arial"/>
          <w:bCs/>
        </w:rPr>
        <w:t>que,</w:t>
      </w:r>
      <w:r>
        <w:rPr>
          <w:rFonts w:ascii="Verdana" w:eastAsia="Calibri" w:hAnsi="Verdana" w:cs="Arial"/>
          <w:bCs/>
        </w:rPr>
        <w:t xml:space="preserve"> </w:t>
      </w:r>
      <w:r w:rsidRPr="002D2FBE">
        <w:rPr>
          <w:rFonts w:ascii="Verdana" w:eastAsia="Calibri" w:hAnsi="Verdana" w:cs="Arial"/>
          <w:bCs/>
        </w:rPr>
        <w:t xml:space="preserve">aplica cuando el proponente aporta información inexacta, de acuerdo con lo señalado en el numeral 1.11. del documento base: </w:t>
      </w:r>
    </w:p>
    <w:p w14:paraId="7989E157" w14:textId="77777777" w:rsidR="003A5EB7" w:rsidRPr="002D2FBE" w:rsidRDefault="003A5EB7" w:rsidP="003A5EB7">
      <w:pPr>
        <w:spacing w:after="0" w:line="276" w:lineRule="auto"/>
        <w:jc w:val="both"/>
        <w:rPr>
          <w:rFonts w:ascii="Arial" w:eastAsia="Calibri" w:hAnsi="Arial" w:cs="Arial"/>
          <w:lang w:val="es-MX"/>
        </w:rPr>
      </w:pPr>
    </w:p>
    <w:p w14:paraId="3996B2CD" w14:textId="77777777" w:rsidR="003A5EB7" w:rsidRPr="002D2FBE" w:rsidRDefault="003A5EB7" w:rsidP="003A5EB7">
      <w:pPr>
        <w:spacing w:after="120" w:line="240" w:lineRule="auto"/>
        <w:ind w:left="709" w:right="709"/>
        <w:jc w:val="both"/>
        <w:rPr>
          <w:rFonts w:ascii="Arial" w:eastAsia="Calibri" w:hAnsi="Arial" w:cs="Arial"/>
          <w:b/>
          <w:bCs/>
          <w:sz w:val="21"/>
          <w:szCs w:val="21"/>
        </w:rPr>
      </w:pPr>
      <w:bookmarkStart w:id="4" w:name="_Toc508648251"/>
      <w:bookmarkStart w:id="5" w:name="_Toc508984035"/>
      <w:bookmarkStart w:id="6" w:name="_Toc509843865"/>
      <w:bookmarkStart w:id="7" w:name="_Toc511924773"/>
      <w:bookmarkStart w:id="8" w:name="_Toc520226862"/>
      <w:bookmarkStart w:id="9" w:name="_Toc520297832"/>
      <w:bookmarkStart w:id="10" w:name="_Toc520317097"/>
      <w:bookmarkStart w:id="11" w:name="_Toc533083698"/>
      <w:bookmarkStart w:id="12" w:name="_Ref4940712"/>
      <w:bookmarkStart w:id="13" w:name="_Toc5006129"/>
      <w:r w:rsidRPr="002D2FBE">
        <w:rPr>
          <w:rFonts w:ascii="Arial" w:eastAsia="Calibri" w:hAnsi="Arial" w:cs="Arial"/>
          <w:b/>
          <w:bCs/>
          <w:sz w:val="21"/>
          <w:szCs w:val="21"/>
        </w:rPr>
        <w:t>1.11 INFORMACIÓN INEXACTA</w:t>
      </w:r>
      <w:bookmarkEnd w:id="4"/>
      <w:bookmarkEnd w:id="5"/>
      <w:bookmarkEnd w:id="6"/>
      <w:bookmarkEnd w:id="7"/>
      <w:bookmarkEnd w:id="8"/>
      <w:bookmarkEnd w:id="9"/>
      <w:bookmarkEnd w:id="10"/>
      <w:bookmarkEnd w:id="11"/>
      <w:bookmarkEnd w:id="12"/>
      <w:bookmarkEnd w:id="13"/>
      <w:r w:rsidRPr="002D2FBE">
        <w:rPr>
          <w:rFonts w:ascii="Arial" w:eastAsia="Calibri" w:hAnsi="Arial" w:cs="Arial"/>
          <w:b/>
          <w:bCs/>
          <w:sz w:val="21"/>
          <w:szCs w:val="21"/>
        </w:rPr>
        <w:t xml:space="preserve"> </w:t>
      </w:r>
    </w:p>
    <w:p w14:paraId="65564766" w14:textId="77777777" w:rsidR="003A5EB7" w:rsidRPr="002D2FBE" w:rsidRDefault="003A5EB7" w:rsidP="003A5EB7">
      <w:pPr>
        <w:spacing w:after="12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La Entidad se reserva el derecho de verificar integralmente la información aportada por el Proponente. Para esto, puede acudir a las autoridades, personas, empresas o entidades respectivas. </w:t>
      </w:r>
    </w:p>
    <w:p w14:paraId="39FE0798" w14:textId="77777777" w:rsidR="003A5EB7" w:rsidRPr="002D2FBE" w:rsidRDefault="003A5EB7" w:rsidP="003A5EB7">
      <w:pPr>
        <w:spacing w:after="12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Cuando exista inconsistencia entre la información suministrada por el Proponente y la verificada por la Entidad, la información que </w:t>
      </w:r>
      <w:r>
        <w:rPr>
          <w:rFonts w:ascii="Arial" w:eastAsia="Calibri" w:hAnsi="Arial" w:cs="Arial"/>
          <w:sz w:val="21"/>
          <w:szCs w:val="21"/>
        </w:rPr>
        <w:t xml:space="preserve">se </w:t>
      </w:r>
      <w:r w:rsidRPr="002D2FBE">
        <w:rPr>
          <w:rFonts w:ascii="Arial" w:eastAsia="Calibri" w:hAnsi="Arial" w:cs="Arial"/>
          <w:sz w:val="21"/>
          <w:szCs w:val="21"/>
        </w:rPr>
        <w:t>pretende demostrar</w:t>
      </w:r>
      <w:r>
        <w:rPr>
          <w:rFonts w:ascii="Arial" w:eastAsia="Calibri" w:hAnsi="Arial" w:cs="Arial"/>
          <w:sz w:val="21"/>
          <w:szCs w:val="21"/>
        </w:rPr>
        <w:t xml:space="preserve"> </w:t>
      </w:r>
      <w:r w:rsidRPr="002D2FBE">
        <w:rPr>
          <w:rFonts w:ascii="Arial" w:eastAsia="Calibri" w:hAnsi="Arial" w:cs="Arial"/>
          <w:sz w:val="21"/>
          <w:szCs w:val="21"/>
        </w:rPr>
        <w:t xml:space="preserve">se </w:t>
      </w:r>
      <w:r>
        <w:rPr>
          <w:rFonts w:ascii="Arial" w:eastAsia="Calibri" w:hAnsi="Arial" w:cs="Arial"/>
          <w:sz w:val="21"/>
          <w:szCs w:val="21"/>
        </w:rPr>
        <w:t>entenderá</w:t>
      </w:r>
      <w:r w:rsidRPr="002D2FBE">
        <w:rPr>
          <w:rFonts w:ascii="Arial" w:eastAsia="Calibri" w:hAnsi="Arial" w:cs="Arial"/>
          <w:sz w:val="21"/>
          <w:szCs w:val="21"/>
        </w:rPr>
        <w:t xml:space="preserve"> </w:t>
      </w:r>
      <w:r>
        <w:rPr>
          <w:rFonts w:ascii="Arial" w:eastAsia="Calibri" w:hAnsi="Arial" w:cs="Arial"/>
          <w:sz w:val="21"/>
          <w:szCs w:val="21"/>
        </w:rPr>
        <w:t>como no</w:t>
      </w:r>
      <w:r w:rsidRPr="002D2FBE">
        <w:rPr>
          <w:rFonts w:ascii="Arial" w:eastAsia="Calibri" w:hAnsi="Arial" w:cs="Arial"/>
          <w:sz w:val="21"/>
          <w:szCs w:val="21"/>
        </w:rPr>
        <w:t xml:space="preserve"> acreditada. </w:t>
      </w:r>
    </w:p>
    <w:p w14:paraId="61762F81" w14:textId="77777777" w:rsidR="003A5EB7" w:rsidRPr="002D2FBE" w:rsidRDefault="003A5EB7" w:rsidP="003A5EB7">
      <w:pPr>
        <w:spacing w:after="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La Entidad </w:t>
      </w:r>
      <w:r>
        <w:rPr>
          <w:rFonts w:ascii="Arial" w:eastAsia="Calibri" w:hAnsi="Arial" w:cs="Arial"/>
          <w:sz w:val="21"/>
          <w:szCs w:val="21"/>
        </w:rPr>
        <w:t xml:space="preserve">remitirá </w:t>
      </w:r>
      <w:r w:rsidRPr="002D2FBE">
        <w:rPr>
          <w:rFonts w:ascii="Arial" w:eastAsia="Calibri" w:hAnsi="Arial" w:cs="Arial"/>
          <w:sz w:val="21"/>
          <w:szCs w:val="21"/>
        </w:rPr>
        <w:t>copias a las autoridades competentes en aquellos eventos en los cuales la información aportada tenga inconsistencias sobre las cuales pueda existir una presunta falsedad, sin que el Proponente haya demostrado lo contrario, y rechazar</w:t>
      </w:r>
      <w:r>
        <w:rPr>
          <w:rFonts w:ascii="Arial" w:eastAsia="Calibri" w:hAnsi="Arial" w:cs="Arial"/>
          <w:sz w:val="21"/>
          <w:szCs w:val="21"/>
        </w:rPr>
        <w:t>á</w:t>
      </w:r>
      <w:r w:rsidRPr="002D2FBE">
        <w:rPr>
          <w:rFonts w:ascii="Arial" w:eastAsia="Calibri" w:hAnsi="Arial" w:cs="Arial"/>
          <w:sz w:val="21"/>
          <w:szCs w:val="21"/>
        </w:rPr>
        <w:t xml:space="preserve"> la oferta. </w:t>
      </w:r>
    </w:p>
    <w:p w14:paraId="0E09472D" w14:textId="77777777" w:rsidR="003A5EB7" w:rsidRPr="002D2FBE" w:rsidRDefault="003A5EB7" w:rsidP="003A5EB7">
      <w:pPr>
        <w:spacing w:after="0" w:line="276" w:lineRule="auto"/>
        <w:jc w:val="both"/>
        <w:rPr>
          <w:rFonts w:ascii="Arial" w:eastAsia="Calibri" w:hAnsi="Arial" w:cs="Arial"/>
        </w:rPr>
      </w:pPr>
    </w:p>
    <w:p w14:paraId="14FC3EA0"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bCs/>
        </w:rPr>
        <w:t>Este numeral faculta a la entidad estatal para verificar la información aportada, para lo cual podrá acudir a las autoridades, personas, empresas o entidades que estén en posición de verificar la información. No obstante, tal verificación es potestativa, no obligatoria, ya que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Pr="002D2FBE">
        <w:rPr>
          <w:rFonts w:ascii="Verdana" w:eastAsia="Calibri" w:hAnsi="Verdana" w:cs="Arial"/>
          <w:bCs/>
          <w:vertAlign w:val="superscript"/>
        </w:rPr>
        <w:footnoteReference w:id="17"/>
      </w:r>
      <w:r w:rsidRPr="002D2FBE">
        <w:rPr>
          <w:rFonts w:ascii="Verdana" w:eastAsia="Calibri" w:hAnsi="Verdana" w:cs="Arial"/>
          <w:bCs/>
        </w:rPr>
        <w:t>. Conforme a ello, la prerrogativa de verificación es una herramienta para que la Administración adquiera certeza en el cumplimiento de los requisitos del procedimiento de selección y del comportamiento leal que se exige a los proponentes.</w:t>
      </w:r>
    </w:p>
    <w:p w14:paraId="2BFB3939"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bCs/>
          <w:kern w:val="2"/>
          <w:lang w:val="es-ES_tradnl"/>
          <w14:ligatures w14:val="standardContextual"/>
        </w:rPr>
        <w:lastRenderedPageBreak/>
        <w:t>En este sentido, la causal</w:t>
      </w:r>
      <w:r w:rsidRPr="002D2FBE">
        <w:rPr>
          <w:rFonts w:ascii="Verdana" w:eastAsia="Calibri" w:hAnsi="Verdana" w:cs="Arial"/>
          <w:bCs/>
          <w:kern w:val="2"/>
          <w14:ligatures w14:val="standardContextual"/>
        </w:rPr>
        <w:t xml:space="preserve"> de rechazo contenida en el literal </w:t>
      </w:r>
      <w:r>
        <w:rPr>
          <w:rFonts w:ascii="Verdana" w:eastAsia="Calibri" w:hAnsi="Verdana" w:cs="Arial"/>
          <w:bCs/>
          <w:kern w:val="2"/>
          <w14:ligatures w14:val="standardContextual"/>
        </w:rPr>
        <w:t>G</w:t>
      </w:r>
      <w:r w:rsidRPr="002D2FBE">
        <w:rPr>
          <w:rFonts w:ascii="Verdana" w:eastAsia="Calibri" w:hAnsi="Verdana" w:cs="Arial"/>
          <w:bCs/>
          <w:kern w:val="2"/>
          <w14:ligatures w14:val="standardContextual"/>
        </w:rPr>
        <w:t xml:space="preserve"> del numeral 1.15 de los documentos tipo de licitación de obra pública de infraestructura</w:t>
      </w:r>
      <w:r>
        <w:rPr>
          <w:rFonts w:ascii="Verdana" w:eastAsia="Calibri" w:hAnsi="Verdana" w:cs="Arial"/>
          <w:bCs/>
          <w:kern w:val="2"/>
          <w14:ligatures w14:val="standardContextual"/>
        </w:rPr>
        <w:t xml:space="preserve"> social</w:t>
      </w:r>
      <w:r w:rsidRPr="002D2FBE">
        <w:rPr>
          <w:rFonts w:ascii="Verdana" w:eastAsia="Calibri" w:hAnsi="Verdana" w:cs="Arial"/>
          <w:bCs/>
          <w:kern w:val="2"/>
          <w14:ligatures w14:val="standardContextual"/>
        </w:rPr>
        <w:t>, aplica en los supuestos en el que la</w:t>
      </w:r>
      <w:r w:rsidRPr="002D2FBE">
        <w:rPr>
          <w:rFonts w:ascii="Verdana" w:eastAsia="Aptos" w:hAnsi="Verdana" w:cs="Arial"/>
          <w:kern w:val="2"/>
          <w14:ligatures w14:val="standardContextual"/>
        </w:rPr>
        <w:t xml:space="preserve">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5FCF02EB" w14:textId="77777777" w:rsidR="003A5EB7" w:rsidRDefault="003A5EB7" w:rsidP="003A5EB7">
      <w:pPr>
        <w:spacing w:after="120" w:line="276" w:lineRule="auto"/>
        <w:ind w:firstLine="708"/>
        <w:jc w:val="both"/>
        <w:rPr>
          <w:rFonts w:ascii="Verdana" w:eastAsia="Calibri" w:hAnsi="Verdana" w:cs="Arial"/>
          <w:bCs/>
          <w:lang w:val="es-MX"/>
        </w:rPr>
      </w:pPr>
      <w:r w:rsidRPr="002D2FBE">
        <w:rPr>
          <w:rFonts w:ascii="Verdana" w:eastAsia="Aptos" w:hAnsi="Verdana" w:cs="Arial"/>
          <w:kern w:val="2"/>
          <w:lang w:eastAsia="es-CO"/>
          <w14:ligatures w14:val="standardContextual"/>
        </w:rPr>
        <w:t>Según</w:t>
      </w:r>
      <w:r w:rsidRPr="002D2FBE">
        <w:rPr>
          <w:rFonts w:ascii="Verdana" w:eastAsia="Aptos" w:hAnsi="Verdana" w:cs="Arial"/>
          <w:kern w:val="2"/>
          <w:lang w:val="es-MX" w:eastAsia="es-CO"/>
          <w14:ligatures w14:val="standardContextual"/>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23AFC897"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kern w:val="2"/>
          <w:lang w:val="es-MX"/>
          <w14:ligatures w14:val="standardContextual"/>
        </w:rPr>
        <w:t xml:space="preserve">La </w:t>
      </w:r>
      <w:r w:rsidRPr="002D2FBE">
        <w:rPr>
          <w:rFonts w:ascii="Verdana" w:eastAsia="Calibri" w:hAnsi="Verdana" w:cs="Arial"/>
          <w:kern w:val="2"/>
          <w14:ligatures w14:val="standardContextual"/>
        </w:rPr>
        <w:t xml:space="preserve">regla de verificación de la información prevista en el numeral 1.11 del documento base aplica frente a la </w:t>
      </w:r>
      <w:r w:rsidRPr="002D2FBE">
        <w:rPr>
          <w:rFonts w:ascii="Verdana" w:eastAsia="Calibri" w:hAnsi="Verdana" w:cs="Arial"/>
          <w:i/>
          <w:iCs/>
          <w:kern w:val="2"/>
          <w14:ligatures w14:val="standardContextual"/>
        </w:rPr>
        <w:t>totalidad de la información y documentación aportada para cumplir los requisitos exigidos en el pliego de condiciones</w:t>
      </w:r>
      <w:r w:rsidRPr="002D2FBE">
        <w:rPr>
          <w:rFonts w:ascii="Verdana" w:eastAsia="Calibri" w:hAnsi="Verdana" w:cs="Arial"/>
          <w:kern w:val="2"/>
          <w14:ligatures w14:val="standardContextual"/>
        </w:rPr>
        <w:t xml:space="preserve">. Además, consagra dos supuestos, con consecuencias diferentes: el primero, señala que una vez verificada la información y evidenciada la inconsistencia, la entidad estatal la tendrá por no acreditada. Por ejemplo, cuando se presente documentación para acreditar un requisito habilitante y ante las observaciones recibidas en el traslado del informe de evaluación no se logue constatar con exactitud lo acreditado o la veracidad del mismo y ante esa duda, no tendrá en cuenta la documentación aportada, sin perjuicio de que el proponente cumpla con el requisito habilitante con los demás documentos que aporte. En este evento, se trata de inconsistencias que, aunque no se superan por la ausencia de otro medio probatorio, no tienen la connotación de falsedad. </w:t>
      </w:r>
    </w:p>
    <w:p w14:paraId="29AF0CD1"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kern w:val="2"/>
          <w14:ligatures w14:val="standardContextual"/>
        </w:rPr>
        <w:t xml:space="preserve">El segundo evento se configura cuando de la verificación se corrobora que las inconsistencias obedecerían a una presunta falsedad no desvirtuada por el </w:t>
      </w:r>
      <w:r w:rsidRPr="002D2FBE">
        <w:rPr>
          <w:rFonts w:ascii="Verdana" w:eastAsia="Calibri" w:hAnsi="Verdana" w:cs="Arial"/>
          <w:kern w:val="2"/>
          <w14:ligatures w14:val="standardContextual"/>
        </w:rPr>
        <w:lastRenderedPageBreak/>
        <w:t xml:space="preserve">proponente, caso en el cual se rechaza la oferta y se informa a las autoridades correspondientes. En ese sentido, cuando la entidad tiene el suficiente convencimiento de la existencia de la presunta falsedad, y luego de dar la oportunidad para que el proponente se manifieste, es procedente rechazar la oferta y </w:t>
      </w:r>
      <w:r>
        <w:rPr>
          <w:rFonts w:ascii="Verdana" w:eastAsia="Calibri" w:hAnsi="Verdana" w:cs="Arial"/>
          <w:kern w:val="2"/>
          <w14:ligatures w14:val="standardContextual"/>
        </w:rPr>
        <w:t xml:space="preserve">remitirá </w:t>
      </w:r>
      <w:r w:rsidRPr="002D2FBE">
        <w:rPr>
          <w:rFonts w:ascii="Verdana" w:eastAsia="Calibri" w:hAnsi="Verdana" w:cs="Arial"/>
          <w:kern w:val="2"/>
          <w14:ligatures w14:val="standardContextual"/>
        </w:rPr>
        <w:t xml:space="preserve">copias a las autoridades competentes, quienes adelantarán las respectivas investigaciones. </w:t>
      </w:r>
    </w:p>
    <w:p w14:paraId="3B8B7E1A"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Times New Roman" w:hAnsi="Verdana" w:cs="Arial"/>
          <w:color w:val="000000"/>
          <w:kern w:val="2"/>
          <w:shd w:val="clear" w:color="auto" w:fill="FFFFFF"/>
          <w:lang w:val="es-ES" w:eastAsia="es-MX"/>
          <w14:ligatures w14:val="standardContextual"/>
        </w:rPr>
        <w:t xml:space="preserve">En este último caso, </w:t>
      </w:r>
      <w:r w:rsidRPr="002D2FBE">
        <w:rPr>
          <w:rFonts w:ascii="Verdana" w:eastAsia="Calibri" w:hAnsi="Verdana" w:cs="Arial"/>
          <w:kern w:val="2"/>
          <w14:ligatures w14:val="standardContextual"/>
        </w:rPr>
        <w:t xml:space="preserve">no se puede subsanar el estar incurso en la causal de rechazo del literal </w:t>
      </w:r>
      <w:r>
        <w:rPr>
          <w:rFonts w:ascii="Verdana" w:eastAsia="Calibri" w:hAnsi="Verdana" w:cs="Arial"/>
          <w:kern w:val="2"/>
          <w14:ligatures w14:val="standardContextual"/>
        </w:rPr>
        <w:t>G</w:t>
      </w:r>
      <w:r w:rsidRPr="002D2FBE">
        <w:rPr>
          <w:rFonts w:ascii="Verdana" w:eastAsia="Calibri" w:hAnsi="Verdana" w:cs="Arial"/>
          <w:kern w:val="2"/>
          <w14:ligatures w14:val="standardContextual"/>
        </w:rPr>
        <w:t>, pues el rechazo procede de forma automática, es decir, sin permitirle al proponente subsanar la “inexactitud” de la oferta o la presunta falsedad sobre un documento aportado</w:t>
      </w:r>
      <w:r w:rsidRPr="002D2FBE">
        <w:rPr>
          <w:rFonts w:ascii="Verdana" w:eastAsia="Aptos" w:hAnsi="Verdana" w:cs="Arial"/>
          <w:kern w:val="2"/>
          <w14:ligatures w14:val="standardContextual"/>
        </w:rPr>
        <w:t>.</w:t>
      </w:r>
    </w:p>
    <w:p w14:paraId="71716C8E"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Aptos" w:hAnsi="Verdana" w:cs="Arial"/>
          <w:noProof/>
          <w:kern w:val="2"/>
          <w14:ligatures w14:val="standardContextual"/>
        </w:rPr>
        <w:t>Ahora bien, es importante precisar teniendo en cuenta su petición que lo</w:t>
      </w:r>
      <w:r w:rsidRPr="002D2FBE">
        <w:rPr>
          <w:rFonts w:ascii="Verdana" w:eastAsia="Aptos" w:hAnsi="Verdana" w:cs="Arial"/>
          <w:kern w:val="2"/>
          <w14:ligatures w14:val="standardContextual"/>
        </w:rPr>
        <w:t xml:space="preserve"> expresado en el párrafo precedente tan sólo es exigible con la documentación objeto de verificación y de evaluación por parte de la Entidad Estatal, tanto para requisitos habilitantes como de calificación o ponderables, lo que no contradice lo dispuesto en el artículo 5, parágrafo 1, de la Ley 1150 de 2007, adicionado por el artículo 5 de la Ley 1882 de 2018, norma que dispone que “[…]</w:t>
      </w:r>
      <w:r w:rsidRPr="002D2FBE">
        <w:rPr>
          <w:rFonts w:ascii="Verdana" w:eastAsia="Aptos" w:hAnsi="Verdana" w:cs="Times New Roman"/>
          <w:kern w:val="2"/>
          <w14:ligatures w14:val="standardContextual"/>
        </w:rPr>
        <w:t xml:space="preserve"> </w:t>
      </w:r>
      <w:r w:rsidRPr="002D2FBE">
        <w:rPr>
          <w:rFonts w:ascii="Verdana" w:eastAsia="Aptos" w:hAnsi="Verdana" w:cs="Arial"/>
          <w:kern w:val="2"/>
          <w14:ligatures w14:val="standardContextual"/>
        </w:rPr>
        <w:t xml:space="preserve">todos aquellos requisitos de la propuesta que no afecten la asignación de puntaje deberán ser solicitados por las entidades estatales y deberán ser entregados por los proponentes”. Sin embargo, los supuestos de hecho en los que se fundamenta la causal de rechazo del literal </w:t>
      </w:r>
      <w:r>
        <w:rPr>
          <w:rFonts w:ascii="Verdana" w:eastAsia="Aptos" w:hAnsi="Verdana" w:cs="Arial"/>
          <w:kern w:val="2"/>
          <w14:ligatures w14:val="standardContextual"/>
        </w:rPr>
        <w:t>G</w:t>
      </w:r>
      <w:r w:rsidRPr="002D2FBE">
        <w:rPr>
          <w:rFonts w:ascii="Verdana" w:eastAsia="Aptos" w:hAnsi="Verdana" w:cs="Arial"/>
          <w:kern w:val="2"/>
          <w14:ligatures w14:val="standardContextual"/>
        </w:rPr>
        <w:t xml:space="preserve">, esto es por presunta falsedad, no permite subsanación, sin que en esto sea relevante que se otorguen o no puntos a la propuesta, pues ocurridos los eventos que contienen se configura el supuesto que da lugar al rechazo </w:t>
      </w:r>
      <w:r w:rsidRPr="002D2FBE">
        <w:rPr>
          <w:rFonts w:ascii="Verdana" w:eastAsia="Calibri" w:hAnsi="Verdana" w:cs="Arial"/>
          <w:kern w:val="2"/>
          <w14:ligatures w14:val="standardContextual"/>
        </w:rPr>
        <w:t xml:space="preserve">dado a que la finalidad que persigue la causal </w:t>
      </w:r>
      <w:r w:rsidRPr="002D2FBE">
        <w:rPr>
          <w:rFonts w:ascii="Verdana" w:eastAsia="Calibri" w:hAnsi="Verdana" w:cs="Arial"/>
          <w:i/>
          <w:kern w:val="2"/>
          <w14:ligatures w14:val="standardContextual"/>
        </w:rPr>
        <w:t>sub examine</w:t>
      </w:r>
      <w:r w:rsidRPr="002D2FBE">
        <w:rPr>
          <w:rFonts w:ascii="Verdana" w:eastAsia="Calibri" w:hAnsi="Verdana" w:cs="Arial"/>
          <w:kern w:val="2"/>
          <w14:ligatures w14:val="standardContextual"/>
        </w:rPr>
        <w:t xml:space="preserve"> es desincentivar todas las prácticas delictivas en los procesos de contratación estatal.</w:t>
      </w:r>
      <w:bookmarkStart w:id="14" w:name="_Hlk88745204"/>
    </w:p>
    <w:p w14:paraId="275E7DDF" w14:textId="77777777" w:rsidR="003A5EB7" w:rsidRDefault="003A5EB7" w:rsidP="003A5EB7">
      <w:pPr>
        <w:spacing w:after="120" w:line="276" w:lineRule="auto"/>
        <w:ind w:firstLine="708"/>
        <w:jc w:val="both"/>
        <w:rPr>
          <w:rFonts w:ascii="Verdana" w:eastAsia="Calibri" w:hAnsi="Verdana" w:cs="Arial"/>
          <w:bCs/>
        </w:rPr>
      </w:pPr>
      <w:r w:rsidRPr="002D2FBE">
        <w:rPr>
          <w:rFonts w:ascii="Verdana" w:eastAsia="Calibri" w:hAnsi="Verdana" w:cs="Arial"/>
          <w:kern w:val="2"/>
          <w14:ligatures w14:val="standardContextual"/>
        </w:rPr>
        <w:t>En este sentido, la configuración de la causal se determinará teniendo en cuenta si la información inexacta conduce a una posible falsedad de los documentos sujetos de verificación y/o evaluación por parte de la Entidad Estatal, tanto para requisitos habilitantes como de calificación o ponderables.</w:t>
      </w:r>
      <w:bookmarkEnd w:id="14"/>
      <w:r w:rsidRPr="002D2FBE">
        <w:rPr>
          <w:rFonts w:ascii="Verdana" w:eastAsia="Calibri" w:hAnsi="Verdana" w:cs="Arial"/>
          <w:kern w:val="2"/>
          <w14:ligatures w14:val="standardContextual"/>
        </w:rPr>
        <w:t xml:space="preserve"> Por consiguiente, la entidad estatal deberá analizar concretamente cada uno de los casos en concreto para determinar si existe una posible falsedad, caso en el cual, luego de dar la oportunidad para que el proponente se manifieste, es procedente rechazar la oferta y remitir copias a las autoridades competentes, quienes adelantarán las respectivas investigaciones.</w:t>
      </w:r>
    </w:p>
    <w:p w14:paraId="6F0F9845" w14:textId="77777777" w:rsidR="003A5EB7" w:rsidRDefault="003A5EB7" w:rsidP="003A5EB7">
      <w:pPr>
        <w:spacing w:after="120" w:line="276" w:lineRule="auto"/>
        <w:ind w:firstLine="708"/>
        <w:jc w:val="both"/>
        <w:rPr>
          <w:rFonts w:ascii="Verdana" w:eastAsia="Calibri" w:hAnsi="Verdana" w:cs="Arial"/>
          <w:kern w:val="2"/>
          <w14:ligatures w14:val="standardContextual"/>
        </w:rPr>
      </w:pPr>
      <w:r>
        <w:rPr>
          <w:rFonts w:ascii="Verdana" w:eastAsia="Calibri" w:hAnsi="Verdana" w:cs="Arial"/>
          <w:kern w:val="2"/>
          <w14:ligatures w14:val="standardContextual"/>
        </w:rPr>
        <w:lastRenderedPageBreak/>
        <w:t>E</w:t>
      </w:r>
      <w:r w:rsidRPr="002D2FBE">
        <w:rPr>
          <w:rFonts w:ascii="Verdana" w:eastAsia="Calibri" w:hAnsi="Verdana" w:cs="Arial"/>
          <w:kern w:val="2"/>
          <w14:ligatures w14:val="standardContextual"/>
        </w:rPr>
        <w:t>s pertinente resaltar que el alcance de la causal de rechazo analizada es restrictivo, en la medida en que podría configurarse el supuesto siempre la entidad que adelante el proceso analice en caso concreto si esta procede, considerando los elementos señalados en este concepto.</w:t>
      </w:r>
    </w:p>
    <w:p w14:paraId="44517B1D" w14:textId="77777777" w:rsidR="003A5EB7" w:rsidRPr="00D8463A" w:rsidRDefault="003A5EB7" w:rsidP="003A5EB7">
      <w:pPr>
        <w:snapToGrid w:val="0"/>
        <w:spacing w:after="120"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ECDE88" w14:textId="77777777" w:rsidR="003A5EB7" w:rsidRPr="00EF1157" w:rsidRDefault="003A5EB7" w:rsidP="003A5EB7">
      <w:pPr>
        <w:snapToGrid w:val="0"/>
        <w:spacing w:after="0"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2D2FBE">
        <w:rPr>
          <w:rFonts w:ascii="Verdana" w:eastAsia="Calibri" w:hAnsi="Verdana" w:cs="Arial"/>
          <w:kern w:val="2"/>
          <w14:ligatures w14:val="standardContextual"/>
        </w:rPr>
        <w:t xml:space="preserve"> </w:t>
      </w:r>
    </w:p>
    <w:p w14:paraId="0E21B677" w14:textId="77777777" w:rsidR="003A5EB7" w:rsidRPr="00593A5F" w:rsidRDefault="003A5EB7" w:rsidP="003A5EB7">
      <w:pPr>
        <w:widowControl w:val="0"/>
        <w:autoSpaceDE w:val="0"/>
        <w:autoSpaceDN w:val="0"/>
        <w:spacing w:after="0" w:line="276" w:lineRule="auto"/>
        <w:jc w:val="both"/>
        <w:rPr>
          <w:rFonts w:ascii="Verdana" w:hAnsi="Verdana" w:cs="Arial"/>
        </w:rPr>
      </w:pPr>
    </w:p>
    <w:p w14:paraId="3E61A967" w14:textId="77777777" w:rsidR="003A5EB7" w:rsidRDefault="003A5EB7" w:rsidP="003A5EB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ACBAC5" w14:textId="77777777" w:rsidR="003A5EB7" w:rsidRPr="00D33658" w:rsidRDefault="003A5EB7" w:rsidP="003A5EB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5EB7" w:rsidRPr="00593A5F" w14:paraId="68E525F4" w14:textId="77777777" w:rsidTr="006B3AC7">
        <w:trPr>
          <w:trHeight w:val="2154"/>
        </w:trPr>
        <w:tc>
          <w:tcPr>
            <w:tcW w:w="8647" w:type="dxa"/>
          </w:tcPr>
          <w:p w14:paraId="5485F60D" w14:textId="77777777" w:rsidR="003A5EB7" w:rsidRPr="00D16A5E" w:rsidRDefault="003A5EB7" w:rsidP="003A5EB7">
            <w:pPr>
              <w:pStyle w:val="Prrafodelista"/>
              <w:numPr>
                <w:ilvl w:val="0"/>
                <w:numId w:val="17"/>
              </w:numPr>
              <w:spacing w:after="120" w:line="276" w:lineRule="auto"/>
              <w:jc w:val="both"/>
              <w:rPr>
                <w:rFonts w:ascii="Verdana" w:hAnsi="Verdana" w:cs="Arial"/>
                <w:noProof/>
                <w:lang w:val="es-ES_tradnl"/>
              </w:rPr>
            </w:pPr>
            <w:r>
              <w:rPr>
                <w:rFonts w:ascii="Verdana" w:hAnsi="Verdana" w:cs="Arial"/>
                <w:noProof/>
                <w:lang w:val="es-ES_tradnl"/>
              </w:rPr>
              <w:t>A</w:t>
            </w:r>
            <w:r w:rsidRPr="009F4606">
              <w:rPr>
                <w:rFonts w:ascii="Verdana" w:hAnsi="Verdana" w:cs="Arial"/>
                <w:noProof/>
                <w:lang w:val="es-ES_tradnl"/>
              </w:rPr>
              <w:t>rtículo 5 de la Ley 1150 de 2007, modificado por la Ley 1882 de 2018, parágrafos 1, 3 y 4.</w:t>
            </w:r>
            <w:r>
              <w:rPr>
                <w:rFonts w:ascii="Verdana" w:hAnsi="Verdana" w:cs="Arial"/>
                <w:noProof/>
                <w:lang w:val="es-ES_tradnl"/>
              </w:rPr>
              <w:t xml:space="preserve"> </w:t>
            </w:r>
          </w:p>
          <w:p w14:paraId="323D2C70" w14:textId="77777777" w:rsidR="003A5EB7" w:rsidRDefault="003A5EB7" w:rsidP="003A5EB7">
            <w:pPr>
              <w:pStyle w:val="Prrafodelista"/>
              <w:numPr>
                <w:ilvl w:val="0"/>
                <w:numId w:val="17"/>
              </w:numPr>
              <w:spacing w:after="120" w:line="276" w:lineRule="auto"/>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6FDE84C0" w14:textId="77777777" w:rsidR="003A5EB7" w:rsidRDefault="003A5EB7" w:rsidP="003A5EB7">
            <w:pPr>
              <w:pStyle w:val="Prrafodelista"/>
              <w:numPr>
                <w:ilvl w:val="0"/>
                <w:numId w:val="17"/>
              </w:numPr>
              <w:spacing w:after="120" w:line="276" w:lineRule="auto"/>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2014. Expediente: 25.804. Consejero Ponente: Enrique Gil Botero</w:t>
            </w:r>
            <w:r>
              <w:rPr>
                <w:rFonts w:ascii="Verdana" w:hAnsi="Verdana" w:cs="Arial"/>
                <w:noProof/>
                <w:lang w:val="es-ES_tradnl"/>
              </w:rPr>
              <w:t>.</w:t>
            </w:r>
          </w:p>
          <w:p w14:paraId="46979F34" w14:textId="77777777" w:rsidR="003A5EB7" w:rsidRDefault="003A5EB7" w:rsidP="003A5EB7">
            <w:pPr>
              <w:pStyle w:val="Prrafodelista"/>
              <w:numPr>
                <w:ilvl w:val="0"/>
                <w:numId w:val="17"/>
              </w:numPr>
              <w:spacing w:after="120" w:line="276" w:lineRule="auto"/>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2011. C.P. Jaime Orlando Santofimio. Rad. 36.408.</w:t>
            </w:r>
          </w:p>
          <w:p w14:paraId="41C3657B" w14:textId="77777777" w:rsidR="003A5EB7" w:rsidRDefault="003A5EB7" w:rsidP="003A5EB7">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lastRenderedPageBreak/>
              <w:t>Consejo de Estado. Sala de Consulta y Servicio Civil, concepto del 6 de noviembre de 2008. Rad. 2008-00079-00 (1927). C.P. William Zambrano Cetina.</w:t>
            </w:r>
          </w:p>
          <w:p w14:paraId="0019067D" w14:textId="77777777" w:rsidR="003A5EB7" w:rsidRDefault="003A5EB7" w:rsidP="003A5EB7">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Sección Tercera, Subsección C. Sentencia del 26 de febrero de 2014. C.P. Enrique Gil Botero. Radicado: 13001-23-31-000-1999-00113-01 (25.804). M.P: Enrique Gil Botero.   </w:t>
            </w:r>
          </w:p>
          <w:p w14:paraId="5B1AA4FA" w14:textId="77777777" w:rsidR="003A5EB7" w:rsidRDefault="003A5EB7" w:rsidP="003A5EB7">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Consulta y Servicio Civil. Concepto del 20 de mayo de 2010. Rad. 2010-00034-00 (1992). C.P. Enrique José Arboleda Perdomo.</w:t>
            </w:r>
          </w:p>
          <w:p w14:paraId="2837F42C" w14:textId="77777777" w:rsidR="003A5EB7" w:rsidRPr="002D2FBE" w:rsidRDefault="003A5EB7" w:rsidP="003A5EB7">
            <w:pPr>
              <w:widowControl w:val="0"/>
              <w:numPr>
                <w:ilvl w:val="0"/>
                <w:numId w:val="17"/>
              </w:numPr>
              <w:autoSpaceDE w:val="0"/>
              <w:autoSpaceDN w:val="0"/>
              <w:snapToGrid w:val="0"/>
              <w:spacing w:after="120" w:line="276" w:lineRule="auto"/>
              <w:jc w:val="both"/>
              <w:rPr>
                <w:rFonts w:ascii="Verdana" w:eastAsia="Calibri" w:hAnsi="Verdana" w:cs="Arial"/>
                <w:lang w:val="es-ES"/>
              </w:rPr>
            </w:pPr>
            <w:r w:rsidRPr="002D2FBE">
              <w:rPr>
                <w:rFonts w:ascii="Verdana" w:eastAsia="Calibri" w:hAnsi="Verdana" w:cs="Arial"/>
                <w:lang w:val="es-ES"/>
              </w:rPr>
              <w:t xml:space="preserve">Consejo de Estado. Sección Tercera. Sentencia del 27 de abril de 2011. </w:t>
            </w:r>
            <w:proofErr w:type="spellStart"/>
            <w:r w:rsidRPr="002D2FBE">
              <w:rPr>
                <w:rFonts w:ascii="Verdana" w:eastAsia="Calibri" w:hAnsi="Verdana" w:cs="Arial"/>
                <w:lang w:val="es-ES"/>
              </w:rPr>
              <w:t>Exp</w:t>
            </w:r>
            <w:proofErr w:type="spellEnd"/>
            <w:r w:rsidRPr="002D2FBE">
              <w:rPr>
                <w:rFonts w:ascii="Verdana" w:eastAsia="Calibri" w:hAnsi="Verdana" w:cs="Arial"/>
                <w:lang w:val="es-ES"/>
              </w:rPr>
              <w:t>. 18.293. C.P. Ruth Stella Correa Palacio.</w:t>
            </w:r>
          </w:p>
          <w:p w14:paraId="059F0BF0" w14:textId="77777777" w:rsidR="003A5EB7" w:rsidRPr="00263718" w:rsidRDefault="003A5EB7" w:rsidP="003A5EB7">
            <w:pPr>
              <w:widowControl w:val="0"/>
              <w:numPr>
                <w:ilvl w:val="0"/>
                <w:numId w:val="17"/>
              </w:numPr>
              <w:autoSpaceDE w:val="0"/>
              <w:autoSpaceDN w:val="0"/>
              <w:snapToGrid w:val="0"/>
              <w:spacing w:after="120" w:line="276" w:lineRule="auto"/>
              <w:jc w:val="both"/>
              <w:rPr>
                <w:rFonts w:ascii="Verdana" w:eastAsia="Calibri" w:hAnsi="Verdana" w:cs="Arial"/>
                <w:lang w:val="es-ES"/>
              </w:rPr>
            </w:pPr>
            <w:r w:rsidRPr="002D2FBE">
              <w:rPr>
                <w:rFonts w:ascii="Verdana" w:eastAsia="Calibri" w:hAnsi="Verdana" w:cs="Arial"/>
                <w:lang w:val="es-ES"/>
              </w:rPr>
              <w:t xml:space="preserve">Consejo de Estado. Sección Tercera. Sentencia del 21 de noviembre de 2013. </w:t>
            </w:r>
            <w:proofErr w:type="spellStart"/>
            <w:r w:rsidRPr="002D2FBE">
              <w:rPr>
                <w:rFonts w:ascii="Verdana" w:eastAsia="Calibri" w:hAnsi="Verdana" w:cs="Arial"/>
                <w:lang w:val="es-ES"/>
              </w:rPr>
              <w:t>Exp</w:t>
            </w:r>
            <w:proofErr w:type="spellEnd"/>
            <w:r w:rsidRPr="002D2FBE">
              <w:rPr>
                <w:rFonts w:ascii="Verdana" w:eastAsia="Calibri" w:hAnsi="Verdana" w:cs="Arial"/>
                <w:lang w:val="es-ES"/>
              </w:rPr>
              <w:t>. 25397. C.P. Carlos Alberto Zambrano Barrera.</w:t>
            </w:r>
          </w:p>
          <w:p w14:paraId="3DF7DCFA" w14:textId="0739B02D" w:rsidR="003A5EB7" w:rsidRPr="005E1881" w:rsidRDefault="003A5EB7" w:rsidP="005E1881">
            <w:pPr>
              <w:pStyle w:val="Prrafodelista"/>
              <w:numPr>
                <w:ilvl w:val="0"/>
                <w:numId w:val="17"/>
              </w:numPr>
              <w:spacing w:after="120" w:line="276" w:lineRule="auto"/>
              <w:jc w:val="both"/>
              <w:rPr>
                <w:rFonts w:ascii="Verdana" w:hAnsi="Verdana" w:cs="Arial"/>
                <w:noProof/>
                <w:lang w:val="es-ES_tradnl"/>
              </w:rPr>
            </w:pPr>
            <w:r w:rsidRPr="002B0F84">
              <w:rPr>
                <w:rFonts w:ascii="Verdana" w:eastAsia="Calibri" w:hAnsi="Verdana" w:cs="Arial"/>
                <w:shd w:val="clear" w:color="auto" w:fill="FFFFFF"/>
              </w:rPr>
              <w:t xml:space="preserve">Documentos tipo de licitación de obra pública de infraestructura social. Consultar en </w:t>
            </w:r>
            <w:hyperlink r:id="rId11" w:history="1">
              <w:r w:rsidRPr="002B0F84">
                <w:rPr>
                  <w:rStyle w:val="Hipervnculo"/>
                  <w:rFonts w:ascii="Verdana" w:eastAsia="Calibri" w:hAnsi="Verdana" w:cs="Arial"/>
                  <w:shd w:val="clear" w:color="auto" w:fill="FFFFFF"/>
                </w:rPr>
                <w:t>https://www.colombiacompra.gov.co/normativa-y-relatoria/documentos-tipo</w:t>
              </w:r>
            </w:hyperlink>
            <w:r w:rsidRPr="002B0F84">
              <w:rPr>
                <w:rFonts w:ascii="Verdana" w:eastAsia="Calibri" w:hAnsi="Verdana" w:cs="Arial"/>
                <w:shd w:val="clear" w:color="auto" w:fill="FFFFFF"/>
              </w:rPr>
              <w:t xml:space="preserve"> </w:t>
            </w:r>
          </w:p>
        </w:tc>
      </w:tr>
    </w:tbl>
    <w:p w14:paraId="39EDF841" w14:textId="77777777" w:rsidR="003A5EB7" w:rsidRPr="00593A5F" w:rsidRDefault="003A5EB7" w:rsidP="003A5EB7">
      <w:pPr>
        <w:widowControl w:val="0"/>
        <w:autoSpaceDE w:val="0"/>
        <w:autoSpaceDN w:val="0"/>
        <w:spacing w:after="0" w:line="276" w:lineRule="auto"/>
        <w:jc w:val="both"/>
        <w:rPr>
          <w:rFonts w:ascii="Verdana" w:hAnsi="Verdana" w:cs="Arial"/>
        </w:rPr>
      </w:pPr>
    </w:p>
    <w:p w14:paraId="79599DB1" w14:textId="77777777" w:rsidR="003A5EB7" w:rsidRPr="00593A5F" w:rsidRDefault="003A5EB7" w:rsidP="003A5EB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E038576" w14:textId="77777777" w:rsidR="003A5EB7" w:rsidRPr="00593A5F" w:rsidRDefault="003A5EB7" w:rsidP="003A5EB7">
      <w:pPr>
        <w:widowControl w:val="0"/>
        <w:autoSpaceDE w:val="0"/>
        <w:autoSpaceDN w:val="0"/>
        <w:spacing w:after="0" w:line="276" w:lineRule="auto"/>
        <w:jc w:val="both"/>
        <w:rPr>
          <w:rFonts w:ascii="Verdana" w:hAnsi="Verdana" w:cs="Arial"/>
        </w:rPr>
      </w:pPr>
    </w:p>
    <w:p w14:paraId="6823EAF0" w14:textId="77777777" w:rsidR="003A5EB7" w:rsidRDefault="003A5EB7" w:rsidP="003A5EB7">
      <w:pPr>
        <w:widowControl w:val="0"/>
        <w:autoSpaceDE w:val="0"/>
        <w:autoSpaceDN w:val="0"/>
        <w:spacing w:after="0" w:line="276" w:lineRule="auto"/>
        <w:jc w:val="both"/>
        <w:rPr>
          <w:rStyle w:val="normaltextrun"/>
          <w:rFonts w:ascii="Verdana" w:hAnsi="Verdana" w:cs="Arial"/>
          <w:shd w:val="clear" w:color="auto" w:fill="FFFFFF"/>
          <w:lang w:val="es-ES"/>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la </w:t>
      </w:r>
      <w:r>
        <w:rPr>
          <w:rStyle w:val="normaltextrun"/>
          <w:rFonts w:ascii="Verdana" w:hAnsi="Verdana" w:cs="Arial"/>
          <w:shd w:val="clear" w:color="auto" w:fill="FFFFFF"/>
          <w:lang w:val="es-ES"/>
        </w:rPr>
        <w:t xml:space="preserve">regla de </w:t>
      </w:r>
      <w:proofErr w:type="spellStart"/>
      <w:r>
        <w:rPr>
          <w:rStyle w:val="normaltextrun"/>
          <w:rFonts w:ascii="Verdana" w:hAnsi="Verdana" w:cs="Arial"/>
          <w:shd w:val="clear" w:color="auto" w:fill="FFFFFF"/>
          <w:lang w:val="es-ES"/>
        </w:rPr>
        <w:t>subsanabilidad</w:t>
      </w:r>
      <w:proofErr w:type="spellEnd"/>
      <w:r w:rsidRPr="00277E26">
        <w:rPr>
          <w:rStyle w:val="normaltextrun"/>
          <w:rFonts w:ascii="Verdana" w:hAnsi="Verdana" w:cs="Arial"/>
          <w:shd w:val="clear" w:color="auto" w:fill="FFFFFF"/>
          <w:lang w:val="es-ES"/>
        </w:rPr>
        <w:t xml:space="preserve"> en los Conceptos </w:t>
      </w:r>
      <w:r w:rsidRPr="00E90148">
        <w:rPr>
          <w:rStyle w:val="normaltextrun"/>
          <w:rFonts w:ascii="Verdana" w:hAnsi="Verdana" w:cs="Arial"/>
          <w:shd w:val="clear" w:color="auto" w:fill="FFFFFF"/>
          <w:lang w:val="es-ES"/>
        </w:rPr>
        <w:t xml:space="preserve">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w:t>
      </w:r>
      <w:r w:rsidRPr="00E90148">
        <w:rPr>
          <w:rStyle w:val="normaltextrun"/>
          <w:rFonts w:ascii="Verdana" w:hAnsi="Verdana" w:cs="Arial"/>
          <w:shd w:val="clear" w:color="auto" w:fill="FFFFFF"/>
          <w:lang w:val="es-ES"/>
        </w:rPr>
        <w:lastRenderedPageBreak/>
        <w:t>C-923 del 27 de diciembre de 2022, C-965 del 27 de enero de 2023, C-058 del 10 de mayo de 2023, C-082 del 19 de abril de 2023</w:t>
      </w:r>
      <w:r>
        <w:rPr>
          <w:rStyle w:val="normaltextrun"/>
          <w:rFonts w:ascii="Verdana" w:hAnsi="Verdana" w:cs="Arial"/>
          <w:shd w:val="clear" w:color="auto" w:fill="FFFFFF"/>
          <w:lang w:val="es-ES"/>
        </w:rPr>
        <w:t>,</w:t>
      </w:r>
      <w:r w:rsidRPr="00E90148">
        <w:rPr>
          <w:rStyle w:val="normaltextrun"/>
          <w:rFonts w:ascii="Verdana" w:hAnsi="Verdana" w:cs="Arial"/>
          <w:shd w:val="clear" w:color="auto" w:fill="FFFFFF"/>
          <w:lang w:val="es-ES"/>
        </w:rPr>
        <w:t xml:space="preserve"> C-216 del 6 de junio de 2023</w:t>
      </w:r>
      <w:r>
        <w:rPr>
          <w:rStyle w:val="normaltextrun"/>
          <w:rFonts w:ascii="Verdana" w:hAnsi="Verdana" w:cs="Arial"/>
          <w:shd w:val="clear" w:color="auto" w:fill="FFFFFF"/>
          <w:lang w:val="es-ES"/>
        </w:rPr>
        <w:t>, C-304 del 4 de julio de 2023, C-051 del 21 de febrero de 2025, C-293 del 16 de abril de 2025, C-295 del 16 de abril de 2025, C-678 del 9 de julio de 2025, C- 1363 del 30 de octubre de 2025, C-1376 del 31 de octubre de 2025 y C-1465 del 6 de noviembre de 2025, entre otros</w:t>
      </w:r>
      <w:r w:rsidRPr="00277E26">
        <w:rPr>
          <w:rStyle w:val="normaltextrun"/>
          <w:rFonts w:ascii="Verdana" w:hAnsi="Verdana" w:cs="Arial"/>
          <w:shd w:val="clear" w:color="auto" w:fill="FFFFFF"/>
          <w:lang w:val="es-ES"/>
        </w:rPr>
        <w:t xml:space="preserve">. </w:t>
      </w:r>
    </w:p>
    <w:p w14:paraId="44F8E8C1" w14:textId="77777777" w:rsidR="003A5EB7" w:rsidRPr="00DD4A32" w:rsidRDefault="003A5EB7" w:rsidP="003A5EB7">
      <w:pPr>
        <w:widowControl w:val="0"/>
        <w:autoSpaceDE w:val="0"/>
        <w:autoSpaceDN w:val="0"/>
        <w:spacing w:after="0" w:line="276" w:lineRule="auto"/>
        <w:jc w:val="both"/>
        <w:rPr>
          <w:rFonts w:ascii="Verdana" w:hAnsi="Verdana" w:cs="Arial"/>
          <w:lang w:val="es-ES"/>
        </w:rPr>
      </w:pPr>
    </w:p>
    <w:p w14:paraId="1C061FB6" w14:textId="77777777" w:rsidR="003A5EB7" w:rsidRDefault="003A5EB7" w:rsidP="003A5EB7">
      <w:pPr>
        <w:widowControl w:val="0"/>
        <w:autoSpaceDE w:val="0"/>
        <w:autoSpaceDN w:val="0"/>
        <w:spacing w:after="0" w:line="276" w:lineRule="auto"/>
        <w:jc w:val="both"/>
        <w:rPr>
          <w:rFonts w:ascii="Verdana" w:eastAsia="Calibri" w:hAnsi="Verdana" w:cs="Arial"/>
          <w:shd w:val="clear" w:color="auto" w:fill="FFFFFF"/>
        </w:rPr>
      </w:pPr>
      <w:r w:rsidRPr="00825DEA">
        <w:rPr>
          <w:rFonts w:ascii="Verdana" w:hAnsi="Verdana" w:cs="Arial"/>
        </w:rPr>
        <w:t xml:space="preserve">Sobre la </w:t>
      </w:r>
      <w:proofErr w:type="spellStart"/>
      <w:r w:rsidRPr="00825DEA">
        <w:rPr>
          <w:rFonts w:ascii="Verdana" w:hAnsi="Verdana" w:cs="Arial"/>
        </w:rPr>
        <w:t>subsanabilidad</w:t>
      </w:r>
      <w:proofErr w:type="spellEnd"/>
      <w:r w:rsidRPr="00825DEA">
        <w:rPr>
          <w:rFonts w:ascii="Verdana" w:hAnsi="Verdana" w:cs="Arial"/>
        </w:rPr>
        <w:t xml:space="preserve"> del Formato 3 – Experiencia de los documentos tipo, la </w:t>
      </w:r>
      <w:r w:rsidRPr="00825DEA">
        <w:rPr>
          <w:rFonts w:ascii="Verdana" w:eastAsia="Calibri" w:hAnsi="Verdana" w:cs="Arial"/>
          <w:shd w:val="clear" w:color="auto" w:fill="FFFFFF"/>
        </w:rPr>
        <w:t>Agencia Nacional de Contratación Pública – Colombia Compra Eficiente se pronunció en los conceptos  C-545 del 18 de agosto de 2020, C-548 del 21 de agosto de 2020, C-248 del 1 de junio de 2021, C-501 del 16 de septiembre de 2021 y C-120 del 7 de marzo de 2025.</w:t>
      </w:r>
    </w:p>
    <w:p w14:paraId="31FB5CAA" w14:textId="77777777" w:rsidR="003A5EB7" w:rsidRPr="00825DEA" w:rsidRDefault="003A5EB7" w:rsidP="003A5EB7">
      <w:pPr>
        <w:widowControl w:val="0"/>
        <w:autoSpaceDE w:val="0"/>
        <w:autoSpaceDN w:val="0"/>
        <w:spacing w:after="0" w:line="276" w:lineRule="auto"/>
        <w:jc w:val="both"/>
        <w:rPr>
          <w:rFonts w:ascii="Verdana" w:eastAsia="Calibri" w:hAnsi="Verdana" w:cs="Arial"/>
          <w:shd w:val="clear" w:color="auto" w:fill="FFFFFF"/>
        </w:rPr>
      </w:pPr>
    </w:p>
    <w:p w14:paraId="131EAD8B" w14:textId="77777777" w:rsidR="003A5EB7" w:rsidRPr="002D2FBE" w:rsidRDefault="003A5EB7" w:rsidP="003A5EB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Pr>
          <w:rFonts w:ascii="Verdana" w:hAnsi="Verdana" w:cs="Arial"/>
          <w:lang w:val="es-ES_tradnl"/>
        </w:rPr>
        <w:t xml:space="preserve">Finalmente, debe indicarse que la </w:t>
      </w:r>
      <w:r w:rsidRPr="002D2FBE">
        <w:rPr>
          <w:rFonts w:ascii="Verdana" w:eastAsia="Calibri" w:hAnsi="Verdana" w:cs="Arial"/>
          <w:kern w:val="2"/>
          <w:shd w:val="clear" w:color="auto" w:fill="FFFFFF"/>
          <w:lang w:val="es-ES_tradnl"/>
          <w14:ligatures w14:val="standardContextual"/>
        </w:rPr>
        <w:t>Agencia Nacional de Contratación Pública – Colombia Compra Eficiente se</w:t>
      </w:r>
      <w:r w:rsidRPr="002D2FBE">
        <w:rPr>
          <w:rFonts w:ascii="Aptos" w:eastAsia="Aptos" w:hAnsi="Aptos" w:cs="Times New Roman"/>
          <w:kern w:val="2"/>
          <w14:ligatures w14:val="standardContextual"/>
        </w:rPr>
        <w:t xml:space="preserve"> </w:t>
      </w:r>
      <w:r w:rsidRPr="002D2FBE">
        <w:rPr>
          <w:rFonts w:ascii="Verdana" w:eastAsia="Calibri" w:hAnsi="Verdana" w:cs="Arial"/>
          <w:kern w:val="2"/>
          <w:shd w:val="clear" w:color="auto" w:fill="FFFFFF"/>
          <w:lang w:val="es-ES_tradnl"/>
          <w14:ligatures w14:val="standardContextual"/>
        </w:rPr>
        <w:t>pronunció 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w:t>
      </w:r>
      <w:r>
        <w:rPr>
          <w:rFonts w:ascii="Verdana" w:eastAsia="Calibri" w:hAnsi="Verdana" w:cs="Arial"/>
          <w:kern w:val="2"/>
          <w:shd w:val="clear" w:color="auto" w:fill="FFFFFF"/>
          <w:lang w:val="es-ES_tradnl"/>
          <w14:ligatures w14:val="standardContextual"/>
        </w:rPr>
        <w:t xml:space="preserve">, </w:t>
      </w:r>
      <w:r w:rsidRPr="002D2FBE">
        <w:rPr>
          <w:rFonts w:ascii="Verdana" w:eastAsia="Calibri" w:hAnsi="Verdana" w:cs="Arial"/>
          <w:kern w:val="2"/>
          <w:shd w:val="clear" w:color="auto" w:fill="FFFFFF"/>
          <w:lang w:val="es-ES_tradnl"/>
          <w14:ligatures w14:val="standardContextual"/>
        </w:rPr>
        <w:t>C-326 del 25 de abril de 2025</w:t>
      </w:r>
      <w:r>
        <w:rPr>
          <w:rFonts w:ascii="Verdana" w:eastAsia="Calibri" w:hAnsi="Verdana" w:cs="Arial"/>
          <w:kern w:val="2"/>
          <w:shd w:val="clear" w:color="auto" w:fill="FFFFFF"/>
          <w:lang w:val="es-ES_tradnl"/>
          <w14:ligatures w14:val="standardContextual"/>
        </w:rPr>
        <w:t xml:space="preserve"> y C-767 del 17 de julio de 2025</w:t>
      </w:r>
      <w:r w:rsidRPr="002D2FBE">
        <w:rPr>
          <w:rFonts w:ascii="Verdana" w:eastAsia="Calibri" w:hAnsi="Verdana" w:cs="Arial"/>
          <w:kern w:val="2"/>
          <w:shd w:val="clear" w:color="auto" w:fill="FFFFFF"/>
          <w:lang w:val="es-ES_tradnl"/>
          <w14:ligatures w14:val="standardContextual"/>
        </w:rPr>
        <w:t>, entre otros.</w:t>
      </w:r>
    </w:p>
    <w:p w14:paraId="1AF4616D" w14:textId="77777777" w:rsidR="003A5EB7" w:rsidRPr="008D5D4A" w:rsidRDefault="003A5EB7" w:rsidP="003A5EB7">
      <w:pPr>
        <w:widowControl w:val="0"/>
        <w:autoSpaceDE w:val="0"/>
        <w:autoSpaceDN w:val="0"/>
        <w:spacing w:after="0" w:line="276" w:lineRule="auto"/>
        <w:jc w:val="both"/>
        <w:rPr>
          <w:rFonts w:ascii="Verdana" w:hAnsi="Verdana" w:cs="Arial"/>
          <w:lang w:val="es-ES_tradnl"/>
        </w:rPr>
      </w:pPr>
    </w:p>
    <w:bookmarkEnd w:id="1"/>
    <w:p w14:paraId="2C4A415B" w14:textId="77777777" w:rsidR="003A5EB7" w:rsidRDefault="003A5EB7" w:rsidP="003A5EB7">
      <w:pPr>
        <w:widowControl w:val="0"/>
        <w:autoSpaceDE w:val="0"/>
        <w:autoSpaceDN w:val="0"/>
        <w:spacing w:after="0" w:line="276" w:lineRule="auto"/>
        <w:jc w:val="both"/>
        <w:rPr>
          <w:rFonts w:ascii="Verdana" w:eastAsia="Calibri" w:hAnsi="Verdana" w:cs="Arial"/>
          <w:color w:val="0000FF"/>
          <w:u w:val="single"/>
          <w:shd w:val="clear" w:color="auto" w:fill="FFFFFF"/>
        </w:rPr>
      </w:pPr>
      <w:r w:rsidRPr="007B7E63">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B7E63">
          <w:rPr>
            <w:rFonts w:ascii="Verdana" w:eastAsia="Calibri" w:hAnsi="Verdana" w:cs="Arial"/>
            <w:color w:val="0000FF"/>
            <w:u w:val="single"/>
            <w:shd w:val="clear" w:color="auto" w:fill="FFFFFF"/>
          </w:rPr>
          <w:t>https://relatoria.colombiacompra.gov.co/</w:t>
        </w:r>
      </w:hyperlink>
      <w:r w:rsidRPr="007B7E63">
        <w:rPr>
          <w:rFonts w:ascii="Verdana" w:eastAsia="Calibri" w:hAnsi="Verdana" w:cs="Arial"/>
          <w:color w:val="0000FF"/>
          <w:u w:val="single"/>
          <w:shd w:val="clear" w:color="auto" w:fill="FFFFFF"/>
        </w:rPr>
        <w:t> .</w:t>
      </w:r>
    </w:p>
    <w:p w14:paraId="37BA00B9" w14:textId="77777777" w:rsidR="003A5EB7" w:rsidRPr="007B7E63" w:rsidRDefault="003A5EB7" w:rsidP="003A5EB7">
      <w:pPr>
        <w:widowControl w:val="0"/>
        <w:autoSpaceDE w:val="0"/>
        <w:autoSpaceDN w:val="0"/>
        <w:spacing w:after="0" w:line="276" w:lineRule="auto"/>
        <w:jc w:val="both"/>
        <w:rPr>
          <w:rFonts w:ascii="Verdana" w:eastAsia="Times New Roman" w:hAnsi="Verdana" w:cs="Arial"/>
          <w:shd w:val="clear" w:color="auto" w:fill="FFFFFF"/>
          <w:lang w:val="es-ES"/>
        </w:rPr>
      </w:pPr>
    </w:p>
    <w:p w14:paraId="75BA89AD" w14:textId="77777777" w:rsidR="003A5EB7" w:rsidRPr="007B7E63" w:rsidRDefault="003A5EB7" w:rsidP="003A5EB7">
      <w:pPr>
        <w:spacing w:after="0" w:line="240" w:lineRule="auto"/>
        <w:jc w:val="both"/>
        <w:rPr>
          <w:rFonts w:ascii="Verdana" w:eastAsia="Calibri" w:hAnsi="Verdana" w:cs="Arial"/>
          <w:color w:val="000000"/>
          <w:shd w:val="clear" w:color="auto" w:fill="FFFFFF"/>
        </w:rPr>
      </w:pPr>
      <w:r w:rsidRPr="007B7E63">
        <w:rPr>
          <w:rFonts w:ascii="Verdana" w:eastAsia="Calibri" w:hAnsi="Verdana" w:cs="Arial"/>
          <w:color w:val="000000"/>
          <w:shd w:val="clear" w:color="auto" w:fill="FFFFFF"/>
        </w:rPr>
        <w:t>La Agencia Nacional de Contratación Pública – Colombia Compra Eficiente le informa que ya se encuentra disponible la </w:t>
      </w:r>
      <w:r w:rsidRPr="007B7E63">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7B7E63">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w:t>
      </w:r>
      <w:r w:rsidRPr="007B7E63">
        <w:rPr>
          <w:rFonts w:ascii="Verdana" w:eastAsia="Calibri" w:hAnsi="Verdana" w:cs="Arial"/>
          <w:color w:val="000000"/>
          <w:shd w:val="clear" w:color="auto" w:fill="FFFFFF"/>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7B7E63">
        <w:rPr>
          <w:rFonts w:ascii="Verdana" w:eastAsia="Calibri" w:hAnsi="Verdana" w:cs="Arial"/>
          <w:color w:val="000000"/>
          <w:shd w:val="clear" w:color="auto" w:fill="FFFFFF"/>
        </w:rPr>
        <w:t>Wayúu</w:t>
      </w:r>
      <w:proofErr w:type="spellEnd"/>
      <w:r w:rsidRPr="007B7E63">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7B7E63">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7B7E63">
        <w:rPr>
          <w:rFonts w:ascii="Verdana" w:eastAsia="Calibri" w:hAnsi="Verdana" w:cs="Arial"/>
          <w:color w:val="000000"/>
          <w:u w:val="single"/>
          <w:shd w:val="clear" w:color="auto" w:fill="FFFFFF"/>
        </w:rPr>
        <w:t>"</w:t>
      </w:r>
    </w:p>
    <w:p w14:paraId="1040B533" w14:textId="77777777" w:rsidR="003A5EB7" w:rsidRPr="007B7E63" w:rsidRDefault="003A5EB7" w:rsidP="003A5EB7">
      <w:pPr>
        <w:spacing w:after="0"/>
        <w:jc w:val="both"/>
        <w:rPr>
          <w:rFonts w:ascii="Verdana" w:eastAsia="Aptos" w:hAnsi="Verdana" w:cs="Times New Roman"/>
          <w:color w:val="212121"/>
        </w:rPr>
      </w:pPr>
    </w:p>
    <w:p w14:paraId="1D74290A" w14:textId="77777777" w:rsidR="003A5EB7" w:rsidRPr="007B7E63" w:rsidRDefault="003A5EB7" w:rsidP="003A5EB7">
      <w:pPr>
        <w:spacing w:after="0" w:line="240" w:lineRule="auto"/>
        <w:jc w:val="both"/>
        <w:rPr>
          <w:rFonts w:ascii="Verdana" w:eastAsia="Calibri" w:hAnsi="Verdana" w:cs="Times New Roman"/>
        </w:rPr>
      </w:pPr>
      <w:r w:rsidRPr="007B7E63">
        <w:rPr>
          <w:rFonts w:ascii="Verdana" w:eastAsia="Aptos" w:hAnsi="Verdana" w:cs="Times New Roman"/>
        </w:rPr>
        <w:t xml:space="preserve">Por último, lo invitamos a seguirnos en las redes sociales en las cuales se difunde información institucional: </w:t>
      </w:r>
    </w:p>
    <w:p w14:paraId="0C57315D" w14:textId="77777777" w:rsidR="003A5EB7" w:rsidRPr="007B7E63" w:rsidRDefault="003A5EB7" w:rsidP="003A5EB7">
      <w:pPr>
        <w:spacing w:after="0" w:line="240" w:lineRule="auto"/>
        <w:jc w:val="both"/>
        <w:rPr>
          <w:rFonts w:ascii="Verdana" w:eastAsia="Aptos" w:hAnsi="Verdana" w:cs="Times New Roman"/>
        </w:rPr>
      </w:pPr>
    </w:p>
    <w:p w14:paraId="080D7044" w14:textId="77777777" w:rsidR="003A5EB7" w:rsidRPr="007B7E63" w:rsidRDefault="003A5EB7" w:rsidP="003A5EB7">
      <w:pPr>
        <w:spacing w:after="0" w:line="240" w:lineRule="auto"/>
        <w:jc w:val="both"/>
        <w:rPr>
          <w:rFonts w:ascii="Verdana" w:eastAsia="Aptos" w:hAnsi="Verdana" w:cs="Times New Roman"/>
        </w:rPr>
      </w:pPr>
      <w:r w:rsidRPr="007B7E63">
        <w:rPr>
          <w:rFonts w:ascii="Verdana" w:eastAsia="Aptos" w:hAnsi="Verdana" w:cs="Times New Roman"/>
        </w:rPr>
        <w:t xml:space="preserve">Twitter: </w:t>
      </w:r>
      <w:r w:rsidRPr="007B7E63">
        <w:rPr>
          <w:rFonts w:ascii="Verdana" w:eastAsia="Calibri" w:hAnsi="Verdana" w:cs="Times New Roman"/>
          <w:color w:val="156082"/>
          <w:u w:val="single"/>
        </w:rPr>
        <w:t>@colombiacompra</w:t>
      </w:r>
      <w:r w:rsidRPr="007B7E63">
        <w:rPr>
          <w:rFonts w:ascii="Verdana" w:eastAsia="Calibri" w:hAnsi="Verdana" w:cs="Times New Roman"/>
          <w:color w:val="156082"/>
        </w:rPr>
        <w:t xml:space="preserve"> </w:t>
      </w:r>
    </w:p>
    <w:p w14:paraId="06988C04" w14:textId="77777777" w:rsidR="003A5EB7" w:rsidRPr="007B7E63" w:rsidRDefault="003A5EB7" w:rsidP="003A5EB7">
      <w:pPr>
        <w:spacing w:after="0" w:line="240" w:lineRule="auto"/>
        <w:jc w:val="both"/>
        <w:rPr>
          <w:rFonts w:ascii="Verdana" w:eastAsia="Aptos" w:hAnsi="Verdana" w:cs="Times New Roman"/>
        </w:rPr>
      </w:pPr>
      <w:r w:rsidRPr="007B7E63">
        <w:rPr>
          <w:rFonts w:ascii="Verdana" w:eastAsia="Aptos" w:hAnsi="Verdana" w:cs="Times New Roman"/>
        </w:rPr>
        <w:t xml:space="preserve">Facebook: </w:t>
      </w:r>
      <w:proofErr w:type="spellStart"/>
      <w:r w:rsidRPr="007B7E63">
        <w:rPr>
          <w:rFonts w:ascii="Verdana" w:eastAsia="Calibri" w:hAnsi="Verdana" w:cs="Times New Roman"/>
          <w:color w:val="156082"/>
          <w:u w:val="single"/>
        </w:rPr>
        <w:t>ColombiaCompraEficiente</w:t>
      </w:r>
      <w:proofErr w:type="spellEnd"/>
    </w:p>
    <w:p w14:paraId="2540287B" w14:textId="77777777" w:rsidR="003A5EB7" w:rsidRPr="007B7E63" w:rsidRDefault="003A5EB7" w:rsidP="003A5EB7">
      <w:pPr>
        <w:spacing w:after="0" w:line="240" w:lineRule="auto"/>
        <w:jc w:val="both"/>
        <w:rPr>
          <w:rFonts w:ascii="Verdana" w:eastAsia="Aptos" w:hAnsi="Verdana" w:cs="Times New Roman"/>
        </w:rPr>
      </w:pPr>
      <w:r w:rsidRPr="007B7E63">
        <w:rPr>
          <w:rFonts w:ascii="Verdana" w:eastAsia="Aptos" w:hAnsi="Verdana" w:cs="Times New Roman"/>
        </w:rPr>
        <w:t xml:space="preserve">LinkedIn: </w:t>
      </w:r>
      <w:r w:rsidRPr="007B7E63">
        <w:rPr>
          <w:rFonts w:ascii="Verdana" w:eastAsia="Calibri" w:hAnsi="Verdana" w:cs="Times New Roman"/>
          <w:color w:val="156082"/>
          <w:u w:val="single"/>
        </w:rPr>
        <w:t>Agencia Nacional de Contratación Pública - Colombia Compra Eficiente</w:t>
      </w:r>
      <w:r w:rsidRPr="007B7E63">
        <w:rPr>
          <w:rFonts w:ascii="Verdana" w:eastAsia="Calibri" w:hAnsi="Verdana" w:cs="Times New Roman"/>
          <w:color w:val="156082"/>
        </w:rPr>
        <w:t xml:space="preserve"> </w:t>
      </w:r>
      <w:r w:rsidRPr="007B7E63">
        <w:rPr>
          <w:rFonts w:ascii="Verdana" w:eastAsia="Aptos" w:hAnsi="Verdana" w:cs="Times New Roman"/>
        </w:rPr>
        <w:t xml:space="preserve">Instagram: </w:t>
      </w:r>
      <w:r w:rsidRPr="007B7E63">
        <w:rPr>
          <w:rFonts w:ascii="Verdana" w:eastAsia="Calibri" w:hAnsi="Verdana" w:cs="Times New Roman"/>
          <w:color w:val="156082"/>
          <w:u w:val="single"/>
        </w:rPr>
        <w:t>@colombiacompraeficiente_cce</w:t>
      </w:r>
    </w:p>
    <w:p w14:paraId="295DC4E9" w14:textId="77777777" w:rsidR="003A5EB7" w:rsidRPr="007B7E63" w:rsidRDefault="003A5EB7" w:rsidP="003A5EB7">
      <w:pPr>
        <w:spacing w:after="0" w:line="276" w:lineRule="auto"/>
        <w:jc w:val="both"/>
        <w:rPr>
          <w:rFonts w:ascii="Verdana" w:eastAsia="Aptos" w:hAnsi="Verdana" w:cs="Times New Roman"/>
        </w:rPr>
      </w:pPr>
    </w:p>
    <w:p w14:paraId="0D57EA67" w14:textId="77777777" w:rsidR="003A5EB7" w:rsidRPr="007B7E63" w:rsidRDefault="003A5EB7" w:rsidP="003A5EB7">
      <w:pPr>
        <w:spacing w:after="0" w:line="276" w:lineRule="auto"/>
        <w:jc w:val="both"/>
        <w:rPr>
          <w:rFonts w:ascii="Verdana" w:eastAsia="Calibri" w:hAnsi="Verdana" w:cs="Times New Roman"/>
          <w:bCs/>
          <w:lang w:val="es-ES_tradnl"/>
        </w:rPr>
      </w:pPr>
      <w:r w:rsidRPr="007B7E6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0C81709" w14:textId="77777777" w:rsidR="003A5EB7" w:rsidRPr="007B7E63" w:rsidRDefault="003A5EB7" w:rsidP="003A5EB7">
      <w:pPr>
        <w:spacing w:after="0" w:line="276" w:lineRule="auto"/>
        <w:jc w:val="both"/>
        <w:rPr>
          <w:rFonts w:ascii="Verdana" w:eastAsia="Calibri" w:hAnsi="Verdana" w:cs="Times New Roman"/>
        </w:rPr>
      </w:pPr>
    </w:p>
    <w:p w14:paraId="17286ECB" w14:textId="77777777" w:rsidR="003A5EB7" w:rsidRPr="007B7E63" w:rsidRDefault="003A5EB7" w:rsidP="003A5EB7">
      <w:pPr>
        <w:spacing w:after="0" w:line="276" w:lineRule="auto"/>
        <w:jc w:val="both"/>
        <w:rPr>
          <w:rFonts w:ascii="Verdana" w:eastAsia="Calibri" w:hAnsi="Verdana" w:cs="Times New Roman"/>
        </w:rPr>
      </w:pPr>
      <w:r w:rsidRPr="007B7E63">
        <w:rPr>
          <w:rFonts w:ascii="Verdana" w:eastAsia="Calibri" w:hAnsi="Verdana" w:cs="Times New Roman"/>
        </w:rPr>
        <w:t>Atentamente,</w:t>
      </w:r>
    </w:p>
    <w:p w14:paraId="052F0FE8" w14:textId="3358DD48" w:rsidR="003A5EB7" w:rsidRPr="001D1DF1" w:rsidRDefault="006B3AC7" w:rsidP="003A5EB7">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732DD9F6" wp14:editId="410FA528">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3A5EB7" w:rsidRPr="001D1DF1" w14:paraId="3F7E4081" w14:textId="77777777" w:rsidTr="00EC05CF">
        <w:trPr>
          <w:trHeight w:val="323"/>
        </w:trPr>
        <w:tc>
          <w:tcPr>
            <w:tcW w:w="1041" w:type="dxa"/>
            <w:vAlign w:val="center"/>
            <w:hideMark/>
          </w:tcPr>
          <w:p w14:paraId="7981F20F" w14:textId="77777777" w:rsidR="003A5EB7" w:rsidRPr="001D1DF1" w:rsidRDefault="003A5EB7" w:rsidP="00EC05CF">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930298B" w14:textId="77777777" w:rsidR="003A5EB7" w:rsidRPr="001D1DF1" w:rsidRDefault="003A5EB7" w:rsidP="00EC05CF">
            <w:pPr>
              <w:rPr>
                <w:rFonts w:ascii="Verdana" w:eastAsia="Arial" w:hAnsi="Verdana" w:cs="Arial"/>
                <w:sz w:val="16"/>
                <w:szCs w:val="16"/>
                <w:lang w:val="es-ES"/>
              </w:rPr>
            </w:pPr>
            <w:r w:rsidRPr="001D1DF1">
              <w:rPr>
                <w:rFonts w:ascii="Verdana" w:eastAsia="Arial" w:hAnsi="Verdana" w:cs="Arial"/>
                <w:sz w:val="16"/>
                <w:szCs w:val="16"/>
                <w:lang w:val="es-ES"/>
              </w:rPr>
              <w:t xml:space="preserve">Carlos Mario Castrillón Endo </w:t>
            </w:r>
          </w:p>
          <w:p w14:paraId="17B66D93" w14:textId="77777777" w:rsidR="003A5EB7" w:rsidRPr="001D1DF1" w:rsidRDefault="003A5EB7" w:rsidP="00EC05CF">
            <w:pPr>
              <w:rPr>
                <w:rFonts w:ascii="Verdana" w:eastAsia="Arial" w:hAnsi="Verdana" w:cs="Arial"/>
                <w:sz w:val="16"/>
                <w:szCs w:val="16"/>
                <w:lang w:val="es-ES_tradnl"/>
              </w:rPr>
            </w:pPr>
            <w:r w:rsidRPr="001D1DF1">
              <w:rPr>
                <w:rFonts w:ascii="Verdana" w:eastAsia="Arial" w:hAnsi="Verdana" w:cs="Arial"/>
                <w:sz w:val="16"/>
                <w:szCs w:val="16"/>
                <w:lang w:val="es-ES_tradnl"/>
              </w:rPr>
              <w:t>Contratista de la Subdirección de Gestión Contractual</w:t>
            </w:r>
          </w:p>
          <w:p w14:paraId="4C965D18" w14:textId="77777777" w:rsidR="003A5EB7" w:rsidRPr="001D1DF1" w:rsidRDefault="003A5EB7" w:rsidP="00EC05CF">
            <w:pPr>
              <w:rPr>
                <w:rFonts w:ascii="Verdana" w:eastAsia="Arial" w:hAnsi="Verdana" w:cs="Arial"/>
                <w:sz w:val="16"/>
                <w:szCs w:val="16"/>
                <w:lang w:val="es-ES_tradnl"/>
              </w:rPr>
            </w:pPr>
          </w:p>
        </w:tc>
      </w:tr>
      <w:tr w:rsidR="003A5EB7" w:rsidRPr="001D1DF1" w14:paraId="4D855C37" w14:textId="77777777" w:rsidTr="00EC05CF">
        <w:trPr>
          <w:trHeight w:val="338"/>
        </w:trPr>
        <w:tc>
          <w:tcPr>
            <w:tcW w:w="1041" w:type="dxa"/>
            <w:vAlign w:val="center"/>
            <w:hideMark/>
          </w:tcPr>
          <w:p w14:paraId="697D6615" w14:textId="77777777" w:rsidR="003A5EB7" w:rsidRPr="001D1DF1" w:rsidRDefault="003A5EB7" w:rsidP="00EC05CF">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0AC22FF0" w14:textId="77777777" w:rsidR="003A5EB7" w:rsidRPr="001D1DF1" w:rsidRDefault="003A5EB7" w:rsidP="00EC05CF">
            <w:pPr>
              <w:textAlignment w:val="baseline"/>
              <w:rPr>
                <w:rFonts w:ascii="Verdana" w:eastAsia="Times New Roman" w:hAnsi="Verdana" w:cs="Segoe UI"/>
                <w:sz w:val="16"/>
                <w:szCs w:val="16"/>
                <w:lang w:val="es-ES_tradnl" w:eastAsia="es-ES_tradnl"/>
              </w:rPr>
            </w:pPr>
            <w:r w:rsidRPr="001D1DF1">
              <w:rPr>
                <w:rFonts w:ascii="Verdana" w:eastAsia="Times New Roman" w:hAnsi="Verdana" w:cs="Segoe UI"/>
                <w:sz w:val="16"/>
                <w:szCs w:val="16"/>
                <w:lang w:val="es-ES_tradnl" w:eastAsia="es-ES_tradnl"/>
              </w:rPr>
              <w:t xml:space="preserve">Juan David Cárdenas Cabeza </w:t>
            </w:r>
          </w:p>
          <w:p w14:paraId="56B5CAC6" w14:textId="77777777" w:rsidR="003A5EB7" w:rsidRPr="001D1DF1" w:rsidRDefault="003A5EB7" w:rsidP="00EC05CF">
            <w:pPr>
              <w:textAlignment w:val="baseline"/>
              <w:rPr>
                <w:rFonts w:ascii="Verdana" w:eastAsia="Times New Roman" w:hAnsi="Verdana" w:cs="Arial"/>
                <w:sz w:val="16"/>
                <w:szCs w:val="16"/>
                <w:lang w:val="es-ES_tradnl" w:eastAsia="es-ES_tradnl"/>
              </w:rPr>
            </w:pPr>
            <w:r w:rsidRPr="001D1DF1">
              <w:rPr>
                <w:rFonts w:ascii="Verdana" w:eastAsia="Times New Roman" w:hAnsi="Verdana" w:cs="Arial"/>
                <w:sz w:val="16"/>
                <w:szCs w:val="16"/>
                <w:lang w:val="es-ES_tradnl" w:eastAsia="es-ES_tradnl"/>
              </w:rPr>
              <w:t>Contratista de la Subdirección de Gestión Contractual </w:t>
            </w:r>
          </w:p>
          <w:p w14:paraId="1730FDCD" w14:textId="77777777" w:rsidR="003A5EB7" w:rsidRPr="001D1DF1" w:rsidRDefault="003A5EB7" w:rsidP="00EC05CF">
            <w:pPr>
              <w:textAlignment w:val="baseline"/>
              <w:rPr>
                <w:rFonts w:ascii="Verdana" w:eastAsia="Times New Roman" w:hAnsi="Verdana" w:cs="Segoe UI"/>
                <w:sz w:val="16"/>
                <w:szCs w:val="16"/>
                <w:lang w:val="es-ES_tradnl" w:eastAsia="es-ES_tradnl"/>
              </w:rPr>
            </w:pPr>
          </w:p>
        </w:tc>
      </w:tr>
      <w:tr w:rsidR="003A5EB7" w:rsidRPr="001D1DF1" w14:paraId="722E08E0" w14:textId="77777777" w:rsidTr="00EC05CF">
        <w:trPr>
          <w:trHeight w:val="308"/>
        </w:trPr>
        <w:tc>
          <w:tcPr>
            <w:tcW w:w="1041" w:type="dxa"/>
            <w:vAlign w:val="center"/>
          </w:tcPr>
          <w:p w14:paraId="102F9368" w14:textId="77777777" w:rsidR="003A5EB7" w:rsidRPr="001D1DF1" w:rsidRDefault="003A5EB7" w:rsidP="00EC05CF">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C36C611" w14:textId="77777777" w:rsidR="003A5EB7" w:rsidRPr="001D1DF1" w:rsidRDefault="003A5EB7" w:rsidP="00EC05CF">
            <w:pPr>
              <w:rPr>
                <w:rFonts w:ascii="Verdana" w:eastAsia="Calibri" w:hAnsi="Verdana" w:cs="Arial"/>
                <w:sz w:val="16"/>
                <w:szCs w:val="16"/>
                <w:lang w:val="es-ES" w:eastAsia="es-ES"/>
              </w:rPr>
            </w:pPr>
            <w:r w:rsidRPr="001D1DF1">
              <w:rPr>
                <w:rFonts w:ascii="Verdana" w:eastAsia="Calibri" w:hAnsi="Verdana" w:cs="Arial"/>
                <w:sz w:val="16"/>
                <w:szCs w:val="16"/>
                <w:lang w:val="es-ES" w:eastAsia="es-ES"/>
              </w:rPr>
              <w:t xml:space="preserve">Carolina Quintero </w:t>
            </w:r>
            <w:proofErr w:type="spellStart"/>
            <w:r w:rsidRPr="001D1DF1">
              <w:rPr>
                <w:rFonts w:ascii="Verdana" w:eastAsia="Calibri" w:hAnsi="Verdana" w:cs="Arial"/>
                <w:sz w:val="16"/>
                <w:szCs w:val="16"/>
                <w:lang w:val="es-ES" w:eastAsia="es-ES"/>
              </w:rPr>
              <w:t>Gacharná</w:t>
            </w:r>
            <w:proofErr w:type="spellEnd"/>
          </w:p>
          <w:p w14:paraId="2C592004" w14:textId="77777777" w:rsidR="003A5EB7" w:rsidRPr="001D1DF1" w:rsidRDefault="003A5EB7" w:rsidP="00EC05CF">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Subdirectora de Gestión Contractual ANCP – CCE</w:t>
            </w:r>
          </w:p>
        </w:tc>
      </w:tr>
    </w:tbl>
    <w:p w14:paraId="6B1767E4" w14:textId="77777777" w:rsidR="003A5EB7" w:rsidRPr="001D1DF1" w:rsidRDefault="003A5EB7" w:rsidP="003A5EB7">
      <w:pPr>
        <w:rPr>
          <w:rFonts w:ascii="Calibri" w:eastAsia="Calibri" w:hAnsi="Calibri" w:cs="Times New Roman"/>
        </w:rPr>
      </w:pPr>
    </w:p>
    <w:p w14:paraId="7BF99308" w14:textId="77777777" w:rsidR="003A5EB7" w:rsidRPr="001D1DF1" w:rsidRDefault="003A5EB7" w:rsidP="003A5EB7">
      <w:pPr>
        <w:rPr>
          <w:rFonts w:ascii="Aptos" w:eastAsia="Aptos" w:hAnsi="Aptos" w:cs="Times New Roman"/>
        </w:rPr>
      </w:pPr>
    </w:p>
    <w:p w14:paraId="308A87D4" w14:textId="77777777" w:rsidR="003A5EB7" w:rsidRPr="001D1DF1" w:rsidRDefault="003A5EB7" w:rsidP="003A5EB7">
      <w:pPr>
        <w:rPr>
          <w:rFonts w:ascii="Calibri" w:eastAsia="Calibri" w:hAnsi="Calibri" w:cs="Times New Roman"/>
        </w:rPr>
      </w:pPr>
    </w:p>
    <w:p w14:paraId="4D899579" w14:textId="77777777" w:rsidR="003A5EB7" w:rsidRDefault="003A5EB7" w:rsidP="003A5EB7"/>
    <w:sectPr w:rsidR="003A5EB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EE2FC" w14:textId="77777777" w:rsidR="003C5B1C" w:rsidRDefault="003C5B1C" w:rsidP="004A1847">
      <w:pPr>
        <w:spacing w:after="0" w:line="240" w:lineRule="auto"/>
      </w:pPr>
      <w:r>
        <w:separator/>
      </w:r>
    </w:p>
  </w:endnote>
  <w:endnote w:type="continuationSeparator" w:id="0">
    <w:p w14:paraId="5524E369" w14:textId="77777777" w:rsidR="003C5B1C" w:rsidRDefault="003C5B1C" w:rsidP="004A1847">
      <w:pPr>
        <w:spacing w:after="0" w:line="240" w:lineRule="auto"/>
      </w:pPr>
      <w:r>
        <w:continuationSeparator/>
      </w:r>
    </w:p>
  </w:endnote>
  <w:endnote w:type="continuationNotice" w:id="1">
    <w:p w14:paraId="28E34752" w14:textId="77777777" w:rsidR="003C5B1C" w:rsidRDefault="003C5B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449DEF09" w14:textId="77777777" w:rsidR="00B01C6D" w:rsidRDefault="00B01C6D">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039F1" w14:textId="77777777" w:rsidR="003C5B1C" w:rsidRDefault="003C5B1C" w:rsidP="004A1847">
      <w:pPr>
        <w:spacing w:after="0" w:line="240" w:lineRule="auto"/>
      </w:pPr>
      <w:r>
        <w:separator/>
      </w:r>
    </w:p>
  </w:footnote>
  <w:footnote w:type="continuationSeparator" w:id="0">
    <w:p w14:paraId="01D47F12" w14:textId="77777777" w:rsidR="003C5B1C" w:rsidRDefault="003C5B1C" w:rsidP="004A1847">
      <w:pPr>
        <w:spacing w:after="0" w:line="240" w:lineRule="auto"/>
      </w:pPr>
      <w:r>
        <w:continuationSeparator/>
      </w:r>
    </w:p>
  </w:footnote>
  <w:footnote w:type="continuationNotice" w:id="1">
    <w:p w14:paraId="4A9DD90D" w14:textId="77777777" w:rsidR="003C5B1C" w:rsidRDefault="003C5B1C">
      <w:pPr>
        <w:spacing w:after="0" w:line="240" w:lineRule="auto"/>
      </w:pPr>
    </w:p>
  </w:footnote>
  <w:footnote w:id="2">
    <w:p w14:paraId="28FC6DBA" w14:textId="77777777" w:rsidR="003A5EB7" w:rsidRPr="00F50E2F" w:rsidRDefault="003A5EB7" w:rsidP="003A5EB7">
      <w:pPr>
        <w:pStyle w:val="Textonotapie"/>
        <w:ind w:firstLine="708"/>
        <w:jc w:val="both"/>
        <w:rPr>
          <w:rFonts w:ascii="Arial" w:hAnsi="Arial" w:cs="Arial"/>
          <w:sz w:val="19"/>
          <w:szCs w:val="19"/>
        </w:rPr>
      </w:pPr>
      <w:r w:rsidRPr="00F50E2F">
        <w:rPr>
          <w:rStyle w:val="Refdenotaalpie"/>
          <w:rFonts w:ascii="Arial" w:hAnsi="Arial" w:cs="Arial"/>
          <w:sz w:val="19"/>
          <w:szCs w:val="19"/>
        </w:rPr>
        <w:footnoteRef/>
      </w:r>
      <w:r w:rsidRPr="00F50E2F">
        <w:rPr>
          <w:rFonts w:ascii="Arial" w:hAnsi="Arial" w:cs="Arial"/>
          <w:sz w:val="19"/>
          <w:szCs w:val="19"/>
        </w:rPr>
        <w:t xml:space="preserve"> </w:t>
      </w:r>
      <w:r w:rsidRPr="00F50E2F">
        <w:rPr>
          <w:rFonts w:ascii="Arial" w:hAnsi="Arial" w:cs="Arial"/>
          <w:i/>
          <w:iCs/>
          <w:sz w:val="19"/>
          <w:szCs w:val="19"/>
        </w:rPr>
        <w:t>Ibídem</w:t>
      </w:r>
      <w:r w:rsidRPr="00F50E2F">
        <w:rPr>
          <w:rFonts w:ascii="Arial" w:hAnsi="Arial" w:cs="Arial"/>
          <w:sz w:val="19"/>
          <w:szCs w:val="19"/>
        </w:rPr>
        <w:t xml:space="preserve"> </w:t>
      </w:r>
    </w:p>
  </w:footnote>
  <w:footnote w:id="3">
    <w:p w14:paraId="770A431F"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5FBDF232"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p>
  </w:footnote>
  <w:footnote w:id="4">
    <w:p w14:paraId="1501649F"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717DF649"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Consejo de Estado. Sala de lo Contencioso Administrativo Sección Tercera, Subsección C. Sentencia del 26 de febrero de 2014. Radicado: 1999-00113-01 (25.804). C.P. Enrique Gil Botero. </w:t>
      </w:r>
    </w:p>
    <w:p w14:paraId="085E3626"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p>
  </w:footnote>
  <w:footnote w:id="6">
    <w:p w14:paraId="21500B60" w14:textId="77777777" w:rsidR="003A5EB7" w:rsidRPr="002B0F84" w:rsidRDefault="003A5EB7" w:rsidP="003A5EB7">
      <w:pPr>
        <w:pStyle w:val="Textonotapie"/>
        <w:ind w:firstLine="709"/>
        <w:jc w:val="both"/>
        <w:rPr>
          <w:rFonts w:ascii="Verdana" w:hAnsi="Verdana"/>
          <w:sz w:val="19"/>
          <w:szCs w:val="19"/>
        </w:rPr>
      </w:pPr>
      <w:r w:rsidRPr="002B0F84">
        <w:rPr>
          <w:rStyle w:val="Refdenotaalpie"/>
          <w:rFonts w:ascii="Verdana" w:hAnsi="Verdana"/>
          <w:sz w:val="19"/>
          <w:szCs w:val="19"/>
        </w:rPr>
        <w:footnoteRef/>
      </w:r>
      <w:r w:rsidRPr="002B0F84">
        <w:rPr>
          <w:rFonts w:ascii="Verdana" w:hAnsi="Verdana"/>
          <w:sz w:val="19"/>
          <w:szCs w:val="19"/>
        </w:rPr>
        <w:t xml:space="preserve"> En </w:t>
      </w:r>
      <w:hyperlink r:id="rId1" w:history="1">
        <w:r w:rsidRPr="002B0F84">
          <w:rPr>
            <w:rStyle w:val="Hipervnculo"/>
            <w:rFonts w:ascii="Verdana" w:hAnsi="Verdana"/>
            <w:sz w:val="19"/>
            <w:szCs w:val="19"/>
            <w:lang w:val="es-CO"/>
          </w:rPr>
          <w:t>circular_externa_unica_version_3_vf49.pdf</w:t>
        </w:r>
      </w:hyperlink>
    </w:p>
  </w:footnote>
  <w:footnote w:id="7">
    <w:p w14:paraId="16D124DD"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vertAlign w:val="superscript"/>
        </w:rPr>
        <w:t xml:space="preserve"> </w:t>
      </w:r>
      <w:r w:rsidRPr="002B0F84">
        <w:rPr>
          <w:rFonts w:ascii="Verdana" w:eastAsia="Arial" w:hAnsi="Verdana" w:cs="Arial"/>
          <w:color w:val="000000"/>
          <w:sz w:val="19"/>
          <w:szCs w:val="19"/>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8">
    <w:p w14:paraId="707FF498"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2B0F84">
          <w:rPr>
            <w:rFonts w:ascii="Verdana" w:eastAsia="Arial" w:hAnsi="Verdana" w:cs="Arial"/>
            <w:color w:val="000000"/>
            <w:sz w:val="19"/>
            <w:szCs w:val="19"/>
          </w:rPr>
          <w:t>Ley 1150 de 2007</w:t>
        </w:r>
      </w:hyperlink>
      <w:r w:rsidRPr="002B0F84">
        <w:rPr>
          <w:rFonts w:ascii="Verdana" w:eastAsia="Arial" w:hAnsi="Verdana" w:cs="Arial"/>
          <w:color w:val="000000"/>
          <w:sz w:val="19"/>
          <w:szCs w:val="19"/>
        </w:rPr>
        <w:t> y en el presente decreto.</w:t>
      </w:r>
    </w:p>
    <w:p w14:paraId="77D761E7"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r w:rsidRPr="002B0F84">
        <w:rPr>
          <w:rFonts w:ascii="Verdana" w:eastAsia="Arial" w:hAnsi="Verdana" w:cs="Arial"/>
          <w:color w:val="000000"/>
          <w:sz w:val="19"/>
          <w:szCs w:val="19"/>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1CD3D055"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r w:rsidRPr="002B0F84">
        <w:rPr>
          <w:rFonts w:ascii="Verdana" w:eastAsia="Arial" w:hAnsi="Verdana" w:cs="Arial"/>
          <w:color w:val="000000"/>
          <w:sz w:val="19"/>
          <w:szCs w:val="19"/>
        </w:rPr>
        <w:t>Será rechazada la oferta del proponente que dentro del término previsto en el pliego o en la solicitud, no responda al requerimiento que le haga la entidad para subsanarla.</w:t>
      </w:r>
    </w:p>
    <w:p w14:paraId="04EC18A3"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r w:rsidRPr="002B0F84">
        <w:rPr>
          <w:rFonts w:ascii="Verdana" w:eastAsia="Arial" w:hAnsi="Verdana" w:cs="Arial"/>
          <w:color w:val="000000"/>
          <w:sz w:val="19"/>
          <w:szCs w:val="19"/>
        </w:rPr>
        <w:t>Cuando se utilice el mecanismo de subasta esta posibilidad deberá ejercerse hasta el momento previo a su realización, de conformidad con el artículo 22 del presente decreto.</w:t>
      </w:r>
    </w:p>
    <w:p w14:paraId="7079CAD4"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r w:rsidRPr="002B0F84">
        <w:rPr>
          <w:rFonts w:ascii="Verdana" w:eastAsia="Arial" w:hAnsi="Verdana" w:cs="Arial"/>
          <w:color w:val="000000"/>
          <w:sz w:val="19"/>
          <w:szCs w:val="19"/>
        </w:rPr>
        <w:t xml:space="preserve">En ningún caso la entidad podrá señalar taxativamente los requisitos o documentos subsanables o no subsanables en el pliego de condiciones, </w:t>
      </w:r>
      <w:r w:rsidRPr="002B0F84">
        <w:rPr>
          <w:rFonts w:ascii="Verdana" w:eastAsia="Arial" w:hAnsi="Verdana" w:cs="Arial"/>
          <w:i/>
          <w:color w:val="000000"/>
          <w:sz w:val="19"/>
          <w:szCs w:val="19"/>
        </w:rPr>
        <w:t>ni permitir que se subsane la falta de capacidad para presentar la oferta, ni que se acrediten circunstancias ocurridas con posterioridad al cierre del proceso</w:t>
      </w:r>
      <w:r w:rsidRPr="002B0F84">
        <w:rPr>
          <w:rFonts w:ascii="Verdana" w:eastAsia="Arial" w:hAnsi="Verdana" w:cs="Arial"/>
          <w:color w:val="000000"/>
          <w:sz w:val="19"/>
          <w:szCs w:val="19"/>
        </w:rPr>
        <w:t xml:space="preserve">”. (Cursivas fuera de texto). </w:t>
      </w:r>
    </w:p>
    <w:p w14:paraId="0B6707E7" w14:textId="77777777" w:rsidR="003A5EB7" w:rsidRPr="002B0F84" w:rsidRDefault="003A5EB7" w:rsidP="003A5EB7">
      <w:pPr>
        <w:spacing w:after="0" w:line="240" w:lineRule="auto"/>
        <w:ind w:firstLine="709"/>
        <w:jc w:val="both"/>
        <w:rPr>
          <w:rFonts w:ascii="Verdana" w:eastAsia="Arial" w:hAnsi="Verdana" w:cs="Arial"/>
          <w:color w:val="000000"/>
          <w:sz w:val="19"/>
          <w:szCs w:val="19"/>
        </w:rPr>
      </w:pPr>
    </w:p>
  </w:footnote>
  <w:footnote w:id="9">
    <w:p w14:paraId="0AA6D727"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Consejo de Estado. Sala de Consulta y Servicio Civil, concepto del 6 de noviembre de 2008. Rad. 2008-00079-00 (1927). C.P. William Zambrano Cetina.</w:t>
      </w:r>
    </w:p>
  </w:footnote>
  <w:footnote w:id="10">
    <w:p w14:paraId="3D98A96B"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Ver Consejo de Estado. Sala de lo Contencioso Administrativo. Sección Tercera, Subsección C. Sentencia del 26 de febrero de 2011. Radicado: 11001-03-26-000-2009-00018-00 (36.408). C.P. Jaime Orlando Santofimio.   </w:t>
      </w:r>
    </w:p>
    <w:p w14:paraId="24A834D5"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p>
  </w:footnote>
  <w:footnote w:id="11">
    <w:p w14:paraId="63FF8361"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Ver Consejo de Estado, Sección Tercera, Subsección C. Sentencia del 26 de febrero de 2014. C.P. Enrique Gil Botero. Radicado: 13001-23-31-000-1999-00113-01 (25.804). M.P: Enrique Gil Botero.   </w:t>
      </w:r>
    </w:p>
    <w:p w14:paraId="5C5FFC53"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p>
  </w:footnote>
  <w:footnote w:id="12">
    <w:p w14:paraId="695FDF0E"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r w:rsidRPr="002B0F84">
        <w:rPr>
          <w:rFonts w:ascii="Verdana" w:hAnsi="Verdana" w:cs="Arial"/>
          <w:sz w:val="19"/>
          <w:szCs w:val="19"/>
          <w:vertAlign w:val="superscript"/>
        </w:rPr>
        <w:footnoteRef/>
      </w:r>
      <w:r w:rsidRPr="002B0F84">
        <w:rPr>
          <w:rFonts w:ascii="Verdana" w:eastAsia="Arial" w:hAnsi="Verdana" w:cs="Arial"/>
          <w:color w:val="000000"/>
          <w:sz w:val="19"/>
          <w:szCs w:val="19"/>
        </w:rPr>
        <w:t xml:space="preserve"> Consejo de Estado. Sala de Consulta y Servicio Civil. Concepto del 20 de mayo de 2010. Rad. 2010-00034-00 (1992). C.P. Enrique José Arboleda Perdomo.</w:t>
      </w:r>
    </w:p>
    <w:p w14:paraId="1DFD134D" w14:textId="77777777" w:rsidR="003A5EB7" w:rsidRPr="002B0F84" w:rsidRDefault="003A5EB7" w:rsidP="003A5EB7">
      <w:pPr>
        <w:pBdr>
          <w:top w:val="nil"/>
          <w:left w:val="nil"/>
          <w:bottom w:val="nil"/>
          <w:right w:val="nil"/>
          <w:between w:val="nil"/>
        </w:pBdr>
        <w:spacing w:after="0" w:line="240" w:lineRule="auto"/>
        <w:ind w:firstLine="709"/>
        <w:jc w:val="both"/>
        <w:rPr>
          <w:rFonts w:ascii="Verdana" w:eastAsia="Arial" w:hAnsi="Verdana" w:cs="Arial"/>
          <w:color w:val="000000"/>
          <w:sz w:val="19"/>
          <w:szCs w:val="19"/>
        </w:rPr>
      </w:pPr>
    </w:p>
  </w:footnote>
  <w:footnote w:id="13">
    <w:p w14:paraId="10DA2414" w14:textId="77777777" w:rsidR="003A5EB7" w:rsidRPr="002B0F84" w:rsidRDefault="003A5EB7" w:rsidP="003A5EB7">
      <w:pPr>
        <w:pStyle w:val="Textonotapie"/>
        <w:ind w:firstLine="708"/>
        <w:jc w:val="both"/>
        <w:rPr>
          <w:rFonts w:ascii="Verdana" w:hAnsi="Verdana"/>
          <w:sz w:val="19"/>
          <w:szCs w:val="19"/>
        </w:rPr>
      </w:pPr>
      <w:r w:rsidRPr="002B0F84">
        <w:rPr>
          <w:rStyle w:val="Refdenotaalpie"/>
          <w:rFonts w:ascii="Verdana" w:hAnsi="Verdana"/>
          <w:sz w:val="19"/>
          <w:szCs w:val="19"/>
        </w:rPr>
        <w:footnoteRef/>
      </w:r>
      <w:r w:rsidRPr="002B0F84">
        <w:rPr>
          <w:rFonts w:ascii="Verdana" w:hAnsi="Verdana"/>
          <w:sz w:val="19"/>
          <w:szCs w:val="19"/>
        </w:rPr>
        <w:t xml:space="preserve"> En terminos similares el Formato 3 – Experiencia dispone una nota con lo siguiente: “De acuerdo con la sección 3.5.2 del Documento Base, si el Proponente no diligencia el “Formato 3 - Experiencia”, la Entidad solicitará su subsanación en los términos del numeral 1.6. En caso de que el oferente no subsane se tendrán en cuenta para la evaluación los cinco (5) contratos de mayor valor aportados (…)”. </w:t>
      </w:r>
    </w:p>
  </w:footnote>
  <w:footnote w:id="14">
    <w:p w14:paraId="1BA6C219" w14:textId="77777777" w:rsidR="003A5EB7" w:rsidRPr="002B0F84" w:rsidRDefault="003A5EB7" w:rsidP="003A5EB7">
      <w:pPr>
        <w:pStyle w:val="NormalWeb"/>
        <w:spacing w:before="0" w:beforeAutospacing="0" w:after="0" w:afterAutospacing="0"/>
        <w:ind w:firstLine="708"/>
        <w:jc w:val="both"/>
        <w:rPr>
          <w:rFonts w:ascii="Verdana" w:hAnsi="Verdana" w:cs="Arial"/>
          <w:sz w:val="19"/>
          <w:szCs w:val="19"/>
        </w:rPr>
      </w:pPr>
      <w:r w:rsidRPr="002B0F84">
        <w:rPr>
          <w:rStyle w:val="Refdenotaalpie"/>
          <w:rFonts w:ascii="Verdana" w:hAnsi="Verdana" w:cs="Arial"/>
          <w:sz w:val="19"/>
          <w:szCs w:val="19"/>
        </w:rPr>
        <w:footnoteRef/>
      </w:r>
      <w:r w:rsidRPr="002B0F84">
        <w:rPr>
          <w:rFonts w:ascii="Verdana" w:hAnsi="Verdana" w:cs="Arial"/>
          <w:sz w:val="19"/>
          <w:szCs w:val="19"/>
        </w:rPr>
        <w:t xml:space="preserve"> Ley 1150 de 2007: «Artículo 6. De la verificación de la condición de los Proponentes. En dicho registro constará la información relacionada con la experiencia, capacidad jurídica, financiera y de organización del proponente y su clasificación.</w:t>
      </w:r>
    </w:p>
    <w:p w14:paraId="677100B6" w14:textId="77777777" w:rsidR="003A5EB7" w:rsidRPr="002B0F84" w:rsidRDefault="003A5EB7" w:rsidP="003A5EB7">
      <w:pPr>
        <w:pStyle w:val="NormalWeb"/>
        <w:spacing w:before="0" w:beforeAutospacing="0" w:after="0" w:afterAutospacing="0"/>
        <w:ind w:firstLine="708"/>
        <w:jc w:val="both"/>
        <w:rPr>
          <w:rFonts w:ascii="Verdana" w:hAnsi="Verdana" w:cs="Arial"/>
          <w:sz w:val="19"/>
          <w:szCs w:val="19"/>
        </w:rPr>
      </w:pPr>
      <w:r w:rsidRPr="002B0F84">
        <w:rPr>
          <w:rFonts w:ascii="Verdana" w:hAnsi="Verdana" w:cs="Arial"/>
          <w:sz w:val="19"/>
          <w:szCs w:val="19"/>
        </w:rPr>
        <w:t>6.1. Del proceso de inscripción en el Registro Único de Proponentes (RUP). Corresponderá a los proponentes inscribirse en el registro de conformidad con los documentos aportados. Las cámaras de comercio harán la verificación documental de la información presentada por los interesados al momento de inscribirse en el registro.</w:t>
      </w:r>
    </w:p>
    <w:p w14:paraId="753538D4" w14:textId="77777777" w:rsidR="003A5EB7" w:rsidRPr="002B0F84" w:rsidRDefault="003A5EB7" w:rsidP="003A5EB7">
      <w:pPr>
        <w:pStyle w:val="NormalWeb"/>
        <w:spacing w:before="0" w:beforeAutospacing="0" w:after="0" w:afterAutospacing="0"/>
        <w:ind w:firstLine="708"/>
        <w:jc w:val="both"/>
        <w:rPr>
          <w:rFonts w:ascii="Verdana" w:hAnsi="Verdana" w:cs="Arial"/>
          <w:sz w:val="19"/>
          <w:szCs w:val="19"/>
        </w:rPr>
      </w:pPr>
      <w:r w:rsidRPr="002B0F84">
        <w:rPr>
          <w:rFonts w:ascii="Verdana" w:hAnsi="Verdana" w:cs="Arial"/>
          <w:sz w:val="19"/>
          <w:szCs w:val="19"/>
        </w:rPr>
        <w:t>El certificado de Registro Único de Proponentes será plena prueba de las circunstancias que en ella se hagan constar y que hayan sido verificadas por las Cámaras de Comercio. En tal sentido, la verificación de las condiciones establecidas en el numeral 1 del artículo </w:t>
      </w:r>
      <w:hyperlink r:id="rId3" w:anchor="5" w:history="1">
        <w:r w:rsidRPr="002B0F84">
          <w:rPr>
            <w:rStyle w:val="Hipervnculo"/>
            <w:rFonts w:ascii="Verdana" w:hAnsi="Verdana" w:cs="Arial"/>
            <w:sz w:val="19"/>
            <w:szCs w:val="19"/>
          </w:rPr>
          <w:t>5</w:t>
        </w:r>
      </w:hyperlink>
      <w:r w:rsidRPr="002B0F84">
        <w:rPr>
          <w:rFonts w:ascii="Verdana" w:hAnsi="Verdana" w:cs="Arial"/>
          <w:sz w:val="19"/>
          <w:szCs w:val="19"/>
        </w:rPr>
        <w:t>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5D220BE" w14:textId="77777777" w:rsidR="003A5EB7" w:rsidRPr="002B0F84" w:rsidRDefault="003A5EB7" w:rsidP="003A5EB7">
      <w:pPr>
        <w:spacing w:after="0" w:line="240" w:lineRule="auto"/>
        <w:ind w:firstLine="708"/>
        <w:rPr>
          <w:rFonts w:ascii="Verdana" w:hAnsi="Verdana" w:cs="Arial"/>
          <w:sz w:val="19"/>
          <w:szCs w:val="19"/>
        </w:rPr>
      </w:pPr>
      <w:r w:rsidRPr="002B0F84">
        <w:rPr>
          <w:rFonts w:ascii="Verdana" w:hAnsi="Verdana" w:cs="Arial"/>
          <w:sz w:val="19"/>
          <w:szCs w:val="19"/>
        </w:rPr>
        <w:t>[…]”.</w:t>
      </w:r>
    </w:p>
  </w:footnote>
  <w:footnote w:id="15">
    <w:p w14:paraId="393ED8F0" w14:textId="77777777" w:rsidR="003A5EB7" w:rsidRPr="00263718" w:rsidRDefault="003A5EB7" w:rsidP="003A5EB7">
      <w:pPr>
        <w:pStyle w:val="Textonotapie"/>
        <w:ind w:firstLine="708"/>
        <w:rPr>
          <w:lang w:val="es-ES_tradnl"/>
        </w:rPr>
      </w:pPr>
      <w:r>
        <w:rPr>
          <w:rStyle w:val="Refdenotaalpie"/>
        </w:rPr>
        <w:footnoteRef/>
      </w:r>
      <w:r>
        <w:t xml:space="preserve"> </w:t>
      </w:r>
      <w:r w:rsidRPr="00CA419A">
        <w:rPr>
          <w:rFonts w:ascii="Verdana" w:eastAsia="Times New Roman" w:hAnsi="Verdana" w:cs="Arial"/>
          <w:sz w:val="16"/>
          <w:szCs w:val="16"/>
          <w:lang w:val="es-CO" w:eastAsia="es-CO"/>
        </w:rPr>
        <w:t>Consejo de Estado. Sección Tercera. Sentencia del 27 de abril de 2011. Exp. 18.293. C.P. Ruth Stella Correa Palacio.</w:t>
      </w:r>
    </w:p>
  </w:footnote>
  <w:footnote w:id="16">
    <w:p w14:paraId="3B1546B4" w14:textId="77777777" w:rsidR="003A5EB7" w:rsidRPr="00CA419A" w:rsidRDefault="003A5EB7" w:rsidP="003A5EB7">
      <w:pPr>
        <w:pStyle w:val="Textonotapie"/>
        <w:ind w:firstLine="708"/>
        <w:jc w:val="both"/>
        <w:rPr>
          <w:rFonts w:ascii="Verdana" w:eastAsia="Times New Roman" w:hAnsi="Verdana" w:cs="Arial"/>
          <w:sz w:val="16"/>
          <w:szCs w:val="16"/>
          <w:lang w:val="es-CO" w:eastAsia="es-CO"/>
        </w:rPr>
      </w:pPr>
      <w:r>
        <w:rPr>
          <w:rStyle w:val="Refdenotaalpie"/>
        </w:rPr>
        <w:footnoteRef/>
      </w:r>
      <w:r>
        <w:t xml:space="preserve"> </w:t>
      </w:r>
      <w:r w:rsidRPr="00CA419A">
        <w:rPr>
          <w:rFonts w:ascii="Verdana" w:eastAsia="Times New Roman" w:hAnsi="Verdana" w:cs="Arial"/>
          <w:sz w:val="16"/>
          <w:szCs w:val="16"/>
          <w:lang w:val="es-CO" w:eastAsia="es-CO"/>
        </w:rPr>
        <w:t>Consejo de Estado. Sección Tercera. Sentencia del 21 de noviembre de 2013 Exp. 25397. C.P. Carlos Alberto Zambrano Barrera.</w:t>
      </w:r>
    </w:p>
    <w:p w14:paraId="3A464739" w14:textId="77777777" w:rsidR="003A5EB7" w:rsidRPr="00263718" w:rsidRDefault="003A5EB7" w:rsidP="003A5EB7">
      <w:pPr>
        <w:pStyle w:val="Textonotapie"/>
        <w:rPr>
          <w:lang w:val="es-ES_tradnl"/>
        </w:rPr>
      </w:pPr>
    </w:p>
  </w:footnote>
  <w:footnote w:id="17">
    <w:p w14:paraId="35273BC3" w14:textId="77777777" w:rsidR="003A5EB7" w:rsidRPr="00F50E2F" w:rsidRDefault="003A5EB7" w:rsidP="003A5EB7">
      <w:pPr>
        <w:pStyle w:val="Textonotapie"/>
        <w:ind w:firstLine="708"/>
        <w:jc w:val="both"/>
        <w:rPr>
          <w:rFonts w:ascii="Arial" w:hAnsi="Arial" w:cs="Arial"/>
          <w:sz w:val="19"/>
          <w:szCs w:val="19"/>
        </w:rPr>
      </w:pPr>
      <w:r w:rsidRPr="00F50E2F">
        <w:rPr>
          <w:rStyle w:val="Refdenotaalpie"/>
          <w:rFonts w:ascii="Arial" w:hAnsi="Arial" w:cs="Arial"/>
          <w:sz w:val="19"/>
          <w:szCs w:val="19"/>
        </w:rPr>
        <w:footnoteRef/>
      </w:r>
      <w:r w:rsidRPr="00F50E2F">
        <w:rPr>
          <w:rFonts w:ascii="Arial" w:hAnsi="Arial" w:cs="Arial"/>
          <w:sz w:val="19"/>
          <w:szCs w:val="19"/>
        </w:rPr>
        <w:t xml:space="preserve"> </w:t>
      </w:r>
      <w:r w:rsidRPr="00F50E2F">
        <w:rPr>
          <w:rFonts w:ascii="Arial" w:hAnsi="Arial" w:cs="Arial"/>
          <w:i/>
          <w:iCs/>
          <w:sz w:val="19"/>
          <w:szCs w:val="19"/>
        </w:rPr>
        <w:t>Ibídem</w:t>
      </w:r>
      <w:r w:rsidRPr="00F50E2F">
        <w:rPr>
          <w:rFonts w:ascii="Arial" w:hAnsi="Arial" w:cs="Arial"/>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9pt;height:11.9pt" o:bullet="t">
        <v:imagedata r:id="rId1" o:title="mso1B13"/>
      </v:shape>
    </w:pict>
  </w:numPicBullet>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330140246">
    <w:abstractNumId w:val="0"/>
  </w:num>
  <w:num w:numId="17" w16cid:durableId="7840391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6EF"/>
    <w:rsid w:val="00046945"/>
    <w:rsid w:val="00061B2A"/>
    <w:rsid w:val="0007091E"/>
    <w:rsid w:val="00082362"/>
    <w:rsid w:val="000A683E"/>
    <w:rsid w:val="000B19B9"/>
    <w:rsid w:val="000D0334"/>
    <w:rsid w:val="000D5DA7"/>
    <w:rsid w:val="000F6486"/>
    <w:rsid w:val="00116940"/>
    <w:rsid w:val="00125105"/>
    <w:rsid w:val="00127233"/>
    <w:rsid w:val="0015699B"/>
    <w:rsid w:val="001A33BF"/>
    <w:rsid w:val="001E234C"/>
    <w:rsid w:val="001E4177"/>
    <w:rsid w:val="001F0B24"/>
    <w:rsid w:val="001F7DC6"/>
    <w:rsid w:val="0022400B"/>
    <w:rsid w:val="00240ACF"/>
    <w:rsid w:val="002421BB"/>
    <w:rsid w:val="0025796E"/>
    <w:rsid w:val="002707A2"/>
    <w:rsid w:val="002951A0"/>
    <w:rsid w:val="002962BC"/>
    <w:rsid w:val="002A093D"/>
    <w:rsid w:val="002A0DD0"/>
    <w:rsid w:val="002A49AC"/>
    <w:rsid w:val="002A64FD"/>
    <w:rsid w:val="002C7A84"/>
    <w:rsid w:val="002E2BF8"/>
    <w:rsid w:val="002E4FD9"/>
    <w:rsid w:val="002F111F"/>
    <w:rsid w:val="0030657A"/>
    <w:rsid w:val="00322A85"/>
    <w:rsid w:val="00324168"/>
    <w:rsid w:val="00330834"/>
    <w:rsid w:val="003448F4"/>
    <w:rsid w:val="00374F5E"/>
    <w:rsid w:val="00377E3E"/>
    <w:rsid w:val="003A3918"/>
    <w:rsid w:val="003A5EB7"/>
    <w:rsid w:val="003A779E"/>
    <w:rsid w:val="003C5B1C"/>
    <w:rsid w:val="003D0F4D"/>
    <w:rsid w:val="003D5B0D"/>
    <w:rsid w:val="003E0499"/>
    <w:rsid w:val="003E4F80"/>
    <w:rsid w:val="003E6439"/>
    <w:rsid w:val="003F3941"/>
    <w:rsid w:val="003F6419"/>
    <w:rsid w:val="00406575"/>
    <w:rsid w:val="00414C74"/>
    <w:rsid w:val="0042722E"/>
    <w:rsid w:val="00442E28"/>
    <w:rsid w:val="0044528D"/>
    <w:rsid w:val="00466E39"/>
    <w:rsid w:val="004A1847"/>
    <w:rsid w:val="004A305D"/>
    <w:rsid w:val="004F21C4"/>
    <w:rsid w:val="004F685F"/>
    <w:rsid w:val="005566E8"/>
    <w:rsid w:val="00574867"/>
    <w:rsid w:val="00591460"/>
    <w:rsid w:val="005A65E0"/>
    <w:rsid w:val="005C3777"/>
    <w:rsid w:val="005C5CDC"/>
    <w:rsid w:val="005D476C"/>
    <w:rsid w:val="005E1881"/>
    <w:rsid w:val="006200BF"/>
    <w:rsid w:val="006219F8"/>
    <w:rsid w:val="006302F7"/>
    <w:rsid w:val="00646B9F"/>
    <w:rsid w:val="00665D70"/>
    <w:rsid w:val="006737F0"/>
    <w:rsid w:val="006900D9"/>
    <w:rsid w:val="006B3AC7"/>
    <w:rsid w:val="00706C16"/>
    <w:rsid w:val="007340C3"/>
    <w:rsid w:val="0075235A"/>
    <w:rsid w:val="00756841"/>
    <w:rsid w:val="007649AB"/>
    <w:rsid w:val="00771D0C"/>
    <w:rsid w:val="007833AC"/>
    <w:rsid w:val="007B268C"/>
    <w:rsid w:val="007B6867"/>
    <w:rsid w:val="007B7171"/>
    <w:rsid w:val="007C0C0F"/>
    <w:rsid w:val="007C3DC2"/>
    <w:rsid w:val="007E5497"/>
    <w:rsid w:val="007F4601"/>
    <w:rsid w:val="00806F5F"/>
    <w:rsid w:val="00820278"/>
    <w:rsid w:val="008258C9"/>
    <w:rsid w:val="00844AE9"/>
    <w:rsid w:val="0085165D"/>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1C6D"/>
    <w:rsid w:val="00B03179"/>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63B1"/>
    <w:rsid w:val="00D361FD"/>
    <w:rsid w:val="00D423A2"/>
    <w:rsid w:val="00D44E26"/>
    <w:rsid w:val="00D520D8"/>
    <w:rsid w:val="00D63AC2"/>
    <w:rsid w:val="00D7383B"/>
    <w:rsid w:val="00D7788A"/>
    <w:rsid w:val="00DA231B"/>
    <w:rsid w:val="00DC39FC"/>
    <w:rsid w:val="00DD3D67"/>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5EB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A5EB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1150_2007.html"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256F6D1-76B4-4669-A766-C6DB113560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31</Pages>
  <Words>11205</Words>
  <Characters>58495</Characters>
  <Application>Microsoft Office Word</Application>
  <DocSecurity>0</DocSecurity>
  <Lines>1124</Lines>
  <Paragraphs>204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2025-12-03T16:06:00Z</dcterms:created>
  <dcterms:modified xsi:type="dcterms:W3CDTF">2025-12-04T15:42:00Z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