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3DE43" w14:textId="4073510D" w:rsidR="00132D3F" w:rsidRPr="00132D3F" w:rsidRDefault="00132D3F" w:rsidP="00132D3F">
      <w:pPr>
        <w:spacing w:after="0"/>
        <w:jc w:val="both"/>
        <w:rPr>
          <w:rFonts w:ascii="Verdana" w:hAnsi="Verdana"/>
        </w:rPr>
      </w:pPr>
      <w:bookmarkStart w:id="0" w:name="_Hlk143780582"/>
      <w:r w:rsidRPr="00132D3F">
        <w:rPr>
          <w:rFonts w:ascii="Verdana" w:eastAsia="Aptos" w:hAnsi="Verdana" w:cs="Arial"/>
          <w:b/>
          <w:color w:val="000000"/>
          <w:kern w:val="2"/>
          <w:lang w:val="es-ES_tradnl"/>
          <w14:ligatures w14:val="standardContextual"/>
        </w:rPr>
        <w:t>DOCUMENTOS TIPO – Fundamento normativo</w:t>
      </w:r>
    </w:p>
    <w:p w14:paraId="5FA27B6B"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776591DB" w14:textId="0DFC2DA9" w:rsidR="00132D3F" w:rsidRPr="00132D3F" w:rsidRDefault="00681D48" w:rsidP="00132D3F">
      <w:pPr>
        <w:snapToGrid w:val="0"/>
        <w:spacing w:after="0" w:line="240" w:lineRule="auto"/>
        <w:jc w:val="both"/>
        <w:rPr>
          <w:rFonts w:ascii="Verdana" w:eastAsia="Calibri" w:hAnsi="Verdana" w:cs="Times New Roman"/>
          <w:kern w:val="2"/>
          <w:sz w:val="20"/>
          <w:szCs w:val="20"/>
          <w:lang w:val="es-ES_tradnl"/>
          <w14:ligatures w14:val="standardContextual"/>
        </w:rPr>
      </w:pPr>
      <w:r w:rsidRPr="00681D48">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E998489"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327E268E"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r w:rsidRPr="00132D3F">
        <w:rPr>
          <w:rFonts w:ascii="Verdana" w:eastAsia="Aptos" w:hAnsi="Verdana" w:cs="Arial"/>
          <w:b/>
          <w:color w:val="000000"/>
          <w:kern w:val="2"/>
          <w:lang w:val="es-ES_tradnl"/>
          <w14:ligatures w14:val="standardContextual"/>
        </w:rPr>
        <w:t>DOCUMENTOS TIPO – Infraestructura de transporte – Formato 3 – Experiencia</w:t>
      </w:r>
    </w:p>
    <w:p w14:paraId="2C99E490"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26E22D06" w14:textId="0C852652" w:rsidR="00132D3F" w:rsidRPr="00132D3F" w:rsidRDefault="00132D3F" w:rsidP="00132D3F">
      <w:pPr>
        <w:snapToGrid w:val="0"/>
        <w:spacing w:after="0" w:line="240" w:lineRule="auto"/>
        <w:jc w:val="both"/>
        <w:rPr>
          <w:rFonts w:ascii="Verdana" w:eastAsia="Times New Roman" w:hAnsi="Verdana" w:cs="Aptos"/>
          <w:i/>
          <w:iCs/>
          <w:color w:val="000000"/>
          <w:sz w:val="20"/>
          <w:szCs w:val="20"/>
          <w:lang w:val="es-ES_tradnl" w:eastAsia="es-MX"/>
        </w:rPr>
      </w:pPr>
      <w:r w:rsidRPr="00132D3F">
        <w:rPr>
          <w:rFonts w:ascii="Verdana" w:eastAsia="Times New Roman" w:hAnsi="Verdana" w:cs="Aptos"/>
          <w:color w:val="000000"/>
          <w:sz w:val="20"/>
          <w:szCs w:val="20"/>
          <w:lang w:val="es-ES_tradnl" w:eastAsia="es-MX"/>
        </w:rPr>
        <w:t xml:space="preserve">[…] </w:t>
      </w:r>
      <w:r w:rsidR="00681D48" w:rsidRPr="00681D48">
        <w:rPr>
          <w:rFonts w:ascii="Verdana" w:eastAsia="Times New Roman" w:hAnsi="Verdana" w:cs="Aptos"/>
          <w:color w:val="000000"/>
          <w:sz w:val="20"/>
          <w:szCs w:val="20"/>
          <w:lang w:val="es-ES_tradnl" w:eastAsia="es-MX"/>
        </w:rPr>
        <w:t xml:space="preserve">el numeral 3.5 “EXPERIENCIA” del documento base de los documentos tipo de infraestructura de transporte indica que los proponentes deben acreditar la experiencia a través de los siguientes documentos: i) la información consignada en el RUP para aquellos que estén obligados a tenerlo, </w:t>
      </w:r>
      <w:proofErr w:type="spellStart"/>
      <w:r w:rsidR="00681D48" w:rsidRPr="00681D48">
        <w:rPr>
          <w:rFonts w:ascii="Verdana" w:eastAsia="Times New Roman" w:hAnsi="Verdana" w:cs="Aptos"/>
          <w:color w:val="000000"/>
          <w:sz w:val="20"/>
          <w:szCs w:val="20"/>
          <w:lang w:val="es-ES_tradnl" w:eastAsia="es-MX"/>
        </w:rPr>
        <w:t>ii</w:t>
      </w:r>
      <w:proofErr w:type="spellEnd"/>
      <w:r w:rsidR="00681D48" w:rsidRPr="00681D48">
        <w:rPr>
          <w:rFonts w:ascii="Verdana" w:eastAsia="Times New Roman" w:hAnsi="Verdana" w:cs="Aptos"/>
          <w:color w:val="000000"/>
          <w:sz w:val="20"/>
          <w:szCs w:val="20"/>
          <w:lang w:val="es-ES_tradnl" w:eastAsia="es-MX"/>
        </w:rPr>
        <w:t>) la presentación el Formato 3 – Experiencia para todos los proponentes y (</w:t>
      </w:r>
      <w:proofErr w:type="spellStart"/>
      <w:r w:rsidR="00681D48" w:rsidRPr="00681D48">
        <w:rPr>
          <w:rFonts w:ascii="Verdana" w:eastAsia="Times New Roman" w:hAnsi="Verdana" w:cs="Aptos"/>
          <w:color w:val="000000"/>
          <w:sz w:val="20"/>
          <w:szCs w:val="20"/>
          <w:lang w:val="es-ES_tradnl" w:eastAsia="es-MX"/>
        </w:rPr>
        <w:t>iii</w:t>
      </w:r>
      <w:proofErr w:type="spellEnd"/>
      <w:r w:rsidR="00681D48" w:rsidRPr="00681D48">
        <w:rPr>
          <w:rFonts w:ascii="Verdana" w:eastAsia="Times New Roman" w:hAnsi="Verdana" w:cs="Aptos"/>
          <w:color w:val="000000"/>
          <w:sz w:val="20"/>
          <w:szCs w:val="20"/>
          <w:lang w:val="es-ES_tradnl" w:eastAsia="es-MX"/>
        </w:rPr>
        <w:t>) alguno de los documentos válidos para la acreditación de la experiencia señalados en el numeral 3.5.6 cuando se requiera la verificación de información del proponente adicional a la contenida en el RUP. Adicionalmente, en el numeral 3.5.5 “ACREDITACIÓN DE LA EXPERIENCIA REQUERIDA” señala la información que deben presentar los proponentes para efectos de acreditar la experiencia en cada uno de los contratos que se presenten.</w:t>
      </w:r>
    </w:p>
    <w:p w14:paraId="4DE6084F"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0CD9A355" w14:textId="77777777" w:rsidR="00132D3F" w:rsidRPr="00132D3F" w:rsidRDefault="00132D3F" w:rsidP="00132D3F">
      <w:pPr>
        <w:spacing w:after="0" w:line="276" w:lineRule="auto"/>
        <w:jc w:val="both"/>
        <w:rPr>
          <w:rFonts w:ascii="Verdana" w:eastAsia="Calibri" w:hAnsi="Verdana" w:cs="Times New Roman"/>
        </w:rPr>
      </w:pPr>
      <w:r w:rsidRPr="00132D3F">
        <w:rPr>
          <w:rFonts w:ascii="Verdana" w:eastAsia="Aptos" w:hAnsi="Verdana" w:cs="Arial"/>
          <w:b/>
          <w:color w:val="000000"/>
          <w:kern w:val="2"/>
          <w:lang w:val="es-ES_tradnl"/>
          <w14:ligatures w14:val="standardContextual"/>
        </w:rPr>
        <w:t>CAUSALES DE RECHAZO – Principio de legalidad – Configuración – Documentos Tipo</w:t>
      </w:r>
    </w:p>
    <w:p w14:paraId="145BA52F"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1ADCC37C" w14:textId="3DE8D164" w:rsidR="00132D3F" w:rsidRPr="00132D3F" w:rsidRDefault="00132D3F" w:rsidP="00132D3F">
      <w:pPr>
        <w:spacing w:after="0" w:line="240" w:lineRule="auto"/>
        <w:jc w:val="both"/>
        <w:rPr>
          <w:rFonts w:ascii="Verdana" w:eastAsia="Aptos" w:hAnsi="Verdana" w:cs="Arial"/>
          <w:bCs/>
          <w:color w:val="000000"/>
          <w:kern w:val="2"/>
          <w:sz w:val="20"/>
          <w:szCs w:val="20"/>
          <w:lang w:val="es-ES_tradnl"/>
          <w14:ligatures w14:val="standardContextual"/>
        </w:rPr>
      </w:pPr>
      <w:r w:rsidRPr="00132D3F">
        <w:rPr>
          <w:rFonts w:ascii="Verdana" w:eastAsia="Aptos" w:hAnsi="Verdana" w:cs="Arial"/>
          <w:bCs/>
          <w:color w:val="000000"/>
          <w:kern w:val="2"/>
          <w:sz w:val="20"/>
          <w:szCs w:val="20"/>
          <w:lang w:val="es-ES_tradnl"/>
          <w14:ligatures w14:val="standardContextual"/>
        </w:rPr>
        <w:t xml:space="preserve">[…] </w:t>
      </w:r>
      <w:r w:rsidR="00681D48" w:rsidRPr="00681D48">
        <w:rPr>
          <w:rFonts w:ascii="Verdana" w:eastAsia="Aptos" w:hAnsi="Verdana" w:cs="Arial"/>
          <w:bCs/>
          <w:color w:val="000000"/>
          <w:kern w:val="2"/>
          <w:sz w:val="20"/>
          <w:szCs w:val="20"/>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2244237F" w14:textId="77777777" w:rsidR="00132D3F" w:rsidRPr="00132D3F" w:rsidRDefault="00132D3F" w:rsidP="00132D3F">
      <w:pPr>
        <w:spacing w:after="0" w:line="240" w:lineRule="auto"/>
        <w:jc w:val="both"/>
        <w:rPr>
          <w:rFonts w:ascii="Verdana" w:eastAsia="Aptos" w:hAnsi="Verdana" w:cs="Arial"/>
          <w:bCs/>
          <w:color w:val="000000"/>
          <w:kern w:val="2"/>
          <w:sz w:val="20"/>
          <w:szCs w:val="20"/>
          <w:lang w:val="es-ES_tradnl"/>
          <w14:ligatures w14:val="standardContextual"/>
        </w:rPr>
      </w:pPr>
      <w:r w:rsidRPr="00132D3F">
        <w:rPr>
          <w:rFonts w:ascii="Verdana" w:eastAsia="Aptos" w:hAnsi="Verdana" w:cs="Arial"/>
          <w:bCs/>
          <w:color w:val="000000"/>
          <w:kern w:val="2"/>
          <w:sz w:val="20"/>
          <w:szCs w:val="20"/>
          <w:lang w:val="es-ES_tradnl"/>
          <w14:ligatures w14:val="standardContextual"/>
        </w:rPr>
        <w:t>[…]</w:t>
      </w:r>
    </w:p>
    <w:p w14:paraId="2B128280" w14:textId="52A5CE51" w:rsidR="00132D3F" w:rsidRPr="00132D3F" w:rsidRDefault="00681D48" w:rsidP="00132D3F">
      <w:pPr>
        <w:spacing w:after="0" w:line="240" w:lineRule="auto"/>
        <w:jc w:val="both"/>
        <w:rPr>
          <w:rFonts w:ascii="Verdana" w:eastAsia="Aptos" w:hAnsi="Verdana" w:cs="Arial"/>
          <w:bCs/>
          <w:color w:val="000000"/>
          <w:kern w:val="2"/>
          <w:sz w:val="20"/>
          <w:szCs w:val="20"/>
          <w:lang w:val="es-ES_tradnl"/>
          <w14:ligatures w14:val="standardContextual"/>
        </w:rPr>
      </w:pPr>
      <w:r w:rsidRPr="00681D48">
        <w:rPr>
          <w:rFonts w:ascii="Verdana" w:eastAsia="Aptos" w:hAnsi="Verdana" w:cs="Arial"/>
          <w:bCs/>
          <w:color w:val="000000"/>
          <w:kern w:val="2"/>
          <w:sz w:val="20"/>
          <w:szCs w:val="20"/>
          <w:lang w:val="es-ES_tradnl"/>
          <w14:ligatures w14:val="standardContextual"/>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 </w:t>
      </w:r>
      <w:r w:rsidR="00132D3F" w:rsidRPr="00132D3F">
        <w:rPr>
          <w:rFonts w:ascii="Verdana" w:eastAsia="Aptos" w:hAnsi="Verdana" w:cs="Arial"/>
          <w:bCs/>
          <w:color w:val="000000"/>
          <w:kern w:val="2"/>
          <w:sz w:val="20"/>
          <w:szCs w:val="20"/>
          <w:lang w:val="es-ES_tradnl"/>
          <w14:ligatures w14:val="standardContextual"/>
        </w:rPr>
        <w:t>[…]</w:t>
      </w:r>
    </w:p>
    <w:p w14:paraId="0025274B" w14:textId="77777777" w:rsidR="00132D3F" w:rsidRPr="00132D3F" w:rsidRDefault="00132D3F" w:rsidP="00132D3F">
      <w:pPr>
        <w:spacing w:after="0" w:line="276" w:lineRule="auto"/>
        <w:jc w:val="both"/>
        <w:rPr>
          <w:rFonts w:ascii="Verdana" w:eastAsia="Aptos" w:hAnsi="Verdana" w:cs="Arial"/>
          <w:b/>
          <w:color w:val="000000"/>
          <w:kern w:val="2"/>
          <w:lang w:val="es-ES_tradnl"/>
          <w14:ligatures w14:val="standardContextual"/>
        </w:rPr>
      </w:pPr>
    </w:p>
    <w:p w14:paraId="2C6123F7" w14:textId="77777777" w:rsidR="00132D3F" w:rsidRPr="00132D3F" w:rsidRDefault="00132D3F" w:rsidP="00132D3F">
      <w:pPr>
        <w:spacing w:after="0" w:line="276" w:lineRule="auto"/>
        <w:jc w:val="both"/>
        <w:rPr>
          <w:rFonts w:ascii="Verdana" w:eastAsia="Aptos" w:hAnsi="Verdana" w:cs="Times New Roman"/>
          <w:kern w:val="2"/>
          <w14:ligatures w14:val="standardContextual"/>
        </w:rPr>
      </w:pPr>
      <w:r w:rsidRPr="00132D3F">
        <w:rPr>
          <w:rFonts w:ascii="Verdana" w:eastAsia="Aptos" w:hAnsi="Verdana" w:cs="Arial"/>
          <w:b/>
          <w:color w:val="000000"/>
          <w:kern w:val="2"/>
          <w:lang w:val="es-ES_tradnl"/>
          <w14:ligatures w14:val="standardContextual"/>
        </w:rPr>
        <w:t xml:space="preserve">DOCUMENTOS TIPO – Infraestructura de transporte – Causales de rechazo de los literales E y H – Interpretación </w:t>
      </w:r>
    </w:p>
    <w:p w14:paraId="25AD8BA8" w14:textId="77777777" w:rsidR="00132D3F" w:rsidRPr="00132D3F" w:rsidRDefault="00132D3F" w:rsidP="00132D3F">
      <w:pPr>
        <w:spacing w:after="0" w:line="276" w:lineRule="auto"/>
        <w:jc w:val="both"/>
        <w:rPr>
          <w:rFonts w:ascii="Verdana" w:eastAsia="Geomanist Light" w:hAnsi="Verdana" w:cs="Arial"/>
          <w:lang w:val="es-ES_tradnl"/>
        </w:rPr>
      </w:pPr>
    </w:p>
    <w:p w14:paraId="0DD3747E" w14:textId="777AABFA" w:rsidR="00132D3F" w:rsidRPr="00132D3F" w:rsidRDefault="00132D3F" w:rsidP="00132D3F">
      <w:pPr>
        <w:spacing w:after="0" w:line="240" w:lineRule="auto"/>
        <w:jc w:val="both"/>
        <w:rPr>
          <w:rFonts w:ascii="Verdana" w:eastAsia="Calibri" w:hAnsi="Verdana" w:cs="Arial"/>
          <w:bCs/>
          <w:sz w:val="20"/>
          <w:szCs w:val="20"/>
        </w:rPr>
      </w:pPr>
      <w:r w:rsidRPr="00132D3F">
        <w:rPr>
          <w:rFonts w:ascii="Verdana" w:eastAsia="Aptos" w:hAnsi="Verdana" w:cs="Arial"/>
          <w:color w:val="000000"/>
          <w:kern w:val="2"/>
          <w:sz w:val="20"/>
          <w:szCs w:val="20"/>
          <w:bdr w:val="none" w:sz="0" w:space="0" w:color="auto" w:frame="1"/>
          <w:lang w:val="es-ES_tradnl"/>
          <w14:ligatures w14:val="standardContextual"/>
        </w:rPr>
        <w:t xml:space="preserve">[…] </w:t>
      </w:r>
      <w:r w:rsidR="00681D48" w:rsidRPr="00681D48">
        <w:rPr>
          <w:rFonts w:ascii="Verdana" w:eastAsia="Aptos" w:hAnsi="Verdana" w:cs="Arial"/>
          <w:color w:val="000000"/>
          <w:kern w:val="2"/>
          <w:sz w:val="20"/>
          <w:szCs w:val="20"/>
          <w:bdr w:val="none" w:sz="0" w:space="0" w:color="auto" w:frame="1"/>
          <w:lang w:val="es-ES_tradnl"/>
          <w14:ligatures w14:val="standardContextual"/>
        </w:rPr>
        <w:t xml:space="preserve">los documentos tipo contienen parámetros obligatorios para las entidades estatales sometidas al Estatuto General de Contratación de la Administración Pública que </w:t>
      </w:r>
      <w:r w:rsidR="00681D48" w:rsidRPr="00681D48">
        <w:rPr>
          <w:rFonts w:ascii="Verdana" w:eastAsia="Aptos" w:hAnsi="Verdana" w:cs="Arial"/>
          <w:color w:val="000000"/>
          <w:kern w:val="2"/>
          <w:sz w:val="20"/>
          <w:szCs w:val="20"/>
          <w:bdr w:val="none" w:sz="0" w:space="0" w:color="auto" w:frame="1"/>
          <w:lang w:val="es-ES_tradnl"/>
          <w14:ligatures w14:val="standardContextual"/>
        </w:rPr>
        <w:lastRenderedPageBreak/>
        <w:t xml:space="preserve">adelanten la tipología contractual que estos se encarguen de desarrollar. En la versión 4 de los documentos tipo de licitación pública de obra de infraestructura de </w:t>
      </w:r>
      <w:proofErr w:type="gramStart"/>
      <w:r w:rsidR="00681D48" w:rsidRPr="00681D48">
        <w:rPr>
          <w:rFonts w:ascii="Verdana" w:eastAsia="Aptos" w:hAnsi="Verdana" w:cs="Arial"/>
          <w:color w:val="000000"/>
          <w:kern w:val="2"/>
          <w:sz w:val="20"/>
          <w:szCs w:val="20"/>
          <w:bdr w:val="none" w:sz="0" w:space="0" w:color="auto" w:frame="1"/>
          <w:lang w:val="es-ES_tradnl"/>
          <w14:ligatures w14:val="standardContextual"/>
        </w:rPr>
        <w:t>transporte ,</w:t>
      </w:r>
      <w:proofErr w:type="gramEnd"/>
      <w:r w:rsidR="00681D48" w:rsidRPr="00681D48">
        <w:rPr>
          <w:rFonts w:ascii="Verdana" w:eastAsia="Aptos" w:hAnsi="Verdana" w:cs="Arial"/>
          <w:color w:val="000000"/>
          <w:kern w:val="2"/>
          <w:sz w:val="20"/>
          <w:szCs w:val="20"/>
          <w:bdr w:val="none" w:sz="0" w:space="0" w:color="auto" w:frame="1"/>
          <w:lang w:val="es-ES_tradnl"/>
          <w14:ligatures w14:val="standardContextual"/>
        </w:rPr>
        <w:t xml:space="preserve"> se incluyeron las causales de rechazo de las ofertas, entre ellas, la relacionada con la presente consulta –causal H–, la cual se transcribe en los siguientes términos:    </w:t>
      </w:r>
    </w:p>
    <w:p w14:paraId="0428ABB1" w14:textId="77777777" w:rsidR="00132D3F" w:rsidRPr="00132D3F" w:rsidRDefault="00132D3F" w:rsidP="00132D3F">
      <w:pPr>
        <w:spacing w:after="0" w:line="240" w:lineRule="auto"/>
        <w:jc w:val="both"/>
        <w:rPr>
          <w:rFonts w:ascii="Arial" w:eastAsia="Calibri" w:hAnsi="Arial" w:cs="Arial"/>
          <w:sz w:val="20"/>
          <w:szCs w:val="20"/>
        </w:rPr>
      </w:pPr>
      <w:r w:rsidRPr="00132D3F">
        <w:rPr>
          <w:rFonts w:ascii="Verdana" w:eastAsia="Calibri" w:hAnsi="Verdana" w:cs="Arial"/>
          <w:bCs/>
          <w:sz w:val="20"/>
          <w:szCs w:val="20"/>
        </w:rPr>
        <w:t>[…]</w:t>
      </w:r>
    </w:p>
    <w:p w14:paraId="298961EA" w14:textId="11E8B1DB" w:rsidR="00132D3F" w:rsidRDefault="00132D3F" w:rsidP="00681D48">
      <w:pPr>
        <w:spacing w:after="0" w:line="240" w:lineRule="auto"/>
        <w:jc w:val="both"/>
        <w:rPr>
          <w:rFonts w:ascii="Verdana" w:eastAsia="Calibri" w:hAnsi="Verdana" w:cs="Arial"/>
          <w:bCs/>
          <w:kern w:val="2"/>
          <w:sz w:val="20"/>
          <w:szCs w:val="20"/>
          <w:lang w:val="es-ES_tradnl"/>
          <w14:ligatures w14:val="standardContextual"/>
        </w:rPr>
      </w:pPr>
      <w:r w:rsidRPr="00132D3F">
        <w:rPr>
          <w:rFonts w:ascii="Verdana" w:eastAsia="Calibri" w:hAnsi="Verdana" w:cs="Arial"/>
          <w:bCs/>
          <w:kern w:val="2"/>
          <w:sz w:val="20"/>
          <w:szCs w:val="20"/>
          <w:lang w:val="es-ES_tradnl"/>
          <w14:ligatures w14:val="standardContextual"/>
        </w:rPr>
        <w:t>E</w:t>
      </w:r>
      <w:r w:rsidR="00681D48" w:rsidRPr="00681D48">
        <w:rPr>
          <w:rFonts w:ascii="Verdana" w:eastAsia="Calibri" w:hAnsi="Verdana" w:cs="Arial"/>
          <w:bCs/>
          <w:kern w:val="2"/>
          <w:sz w:val="20"/>
          <w:szCs w:val="20"/>
          <w:lang w:val="es-ES_tradnl"/>
          <w14:ligatures w14:val="standardContextual"/>
        </w:rPr>
        <w:t>n este sentido, la causal de rechazo contenida en el literal H del numeral 1.15 de los documentos tipo de infraestructura de transporte, aplica en los supuestos en que la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w:t>
      </w:r>
    </w:p>
    <w:p w14:paraId="3D66BB9C" w14:textId="0332C877" w:rsidR="00681D48" w:rsidRPr="00132D3F" w:rsidRDefault="00B1475B" w:rsidP="00681D48">
      <w:pPr>
        <w:spacing w:after="0" w:line="240" w:lineRule="auto"/>
        <w:jc w:val="both"/>
        <w:rPr>
          <w:rFonts w:ascii="Verdana" w:eastAsia="Aptos" w:hAnsi="Verdana" w:cs="Arial"/>
          <w:kern w:val="2"/>
          <w:sz w:val="20"/>
          <w:szCs w:val="20"/>
          <w:lang w:eastAsia="es-CO"/>
          <w14:ligatures w14:val="standardContextual"/>
        </w:rPr>
      </w:pPr>
      <w:r>
        <w:rPr>
          <w:rFonts w:ascii="Verdana" w:eastAsia="Aptos" w:hAnsi="Verdana" w:cs="Arial"/>
          <w:kern w:val="2"/>
          <w:sz w:val="20"/>
          <w:szCs w:val="20"/>
          <w:lang w:eastAsia="es-CO"/>
          <w14:ligatures w14:val="standardContextual"/>
        </w:rPr>
        <w:t>[…]</w:t>
      </w:r>
    </w:p>
    <w:p w14:paraId="167E2527" w14:textId="0D8D51D7" w:rsidR="00132D3F" w:rsidRPr="00132D3F" w:rsidRDefault="00B1475B" w:rsidP="00132D3F">
      <w:pPr>
        <w:spacing w:after="0" w:line="240" w:lineRule="auto"/>
        <w:jc w:val="both"/>
        <w:rPr>
          <w:rFonts w:ascii="Verdana" w:eastAsia="Calibri" w:hAnsi="Verdana" w:cs="Arial"/>
          <w:kern w:val="2"/>
          <w:sz w:val="20"/>
          <w:szCs w:val="20"/>
          <w14:ligatures w14:val="standardContextual"/>
        </w:rPr>
      </w:pPr>
      <w:r w:rsidRPr="00B1475B">
        <w:rPr>
          <w:rFonts w:ascii="Verdana" w:eastAsia="Calibri" w:hAnsi="Verdana" w:cs="Arial"/>
          <w:kern w:val="2"/>
          <w:sz w:val="20"/>
          <w:szCs w:val="20"/>
          <w14:ligatures w14:val="standardContextual"/>
        </w:rPr>
        <w:t>Por otra parte, respecto a la no subsanación o aclaración de la oferta por parte del proponente, y teniendo en cuenta su consulta, el documento base, en el literal E del numeral 1.15, señala lo siguiente:</w:t>
      </w:r>
    </w:p>
    <w:p w14:paraId="0064062A" w14:textId="77777777" w:rsidR="00132D3F" w:rsidRPr="00132D3F" w:rsidRDefault="00132D3F" w:rsidP="00132D3F">
      <w:pPr>
        <w:spacing w:after="0" w:line="240" w:lineRule="auto"/>
        <w:jc w:val="both"/>
        <w:rPr>
          <w:rFonts w:ascii="Verdana" w:eastAsia="Aptos" w:hAnsi="Verdana" w:cs="Arial"/>
          <w:color w:val="000000"/>
          <w:kern w:val="2"/>
          <w:sz w:val="20"/>
          <w:szCs w:val="20"/>
          <w:lang w:val="es-ES_tradnl"/>
          <w14:ligatures w14:val="standardContextual"/>
        </w:rPr>
      </w:pPr>
      <w:r w:rsidRPr="00132D3F">
        <w:rPr>
          <w:rFonts w:ascii="Verdana" w:eastAsia="Aptos" w:hAnsi="Verdana" w:cs="Arial"/>
          <w:color w:val="000000"/>
          <w:kern w:val="2"/>
          <w:sz w:val="20"/>
          <w:szCs w:val="20"/>
          <w:lang w:val="es-ES_tradnl"/>
          <w14:ligatures w14:val="standardContextual"/>
        </w:rPr>
        <w:t>[…]</w:t>
      </w:r>
    </w:p>
    <w:p w14:paraId="184D2731" w14:textId="4B2F48A9" w:rsidR="00132D3F" w:rsidRPr="00132D3F" w:rsidRDefault="00480FBD" w:rsidP="00132D3F">
      <w:pPr>
        <w:spacing w:after="0" w:line="240" w:lineRule="auto"/>
        <w:jc w:val="both"/>
        <w:rPr>
          <w:rFonts w:ascii="Verdana" w:eastAsia="Aptos" w:hAnsi="Verdana" w:cs="Arial"/>
          <w:color w:val="000000"/>
          <w:kern w:val="2"/>
          <w:sz w:val="20"/>
          <w:szCs w:val="20"/>
          <w:lang w:val="es-ES_tradnl"/>
          <w14:ligatures w14:val="standardContextual"/>
        </w:rPr>
      </w:pPr>
      <w:r w:rsidRPr="00480FBD">
        <w:rPr>
          <w:rFonts w:ascii="Verdana" w:eastAsia="Aptos" w:hAnsi="Verdana" w:cs="Arial"/>
          <w:color w:val="000000"/>
          <w:kern w:val="2"/>
          <w:sz w:val="20"/>
          <w:szCs w:val="20"/>
          <w:lang w:val="es-ES_tradnl"/>
          <w14:ligatures w14:val="standardContextual"/>
        </w:rPr>
        <w:t>La causal de rechazo en mención aplica cuando, a pesar de que la Entidad Estatal haya requerido al proponente para subsanar o aclarar o aportar un documento, este no lo hace dentro del plazo indicado o en la forma adecuada, siempre y cuando se trate de un aspecto necesario para acreditar los requisitos habilitantes del proceso de contratación.</w:t>
      </w:r>
    </w:p>
    <w:p w14:paraId="62E5438A" w14:textId="77777777" w:rsidR="00132D3F" w:rsidRPr="00132D3F" w:rsidRDefault="00132D3F" w:rsidP="00132D3F">
      <w:pPr>
        <w:spacing w:after="0" w:line="276" w:lineRule="auto"/>
        <w:jc w:val="both"/>
        <w:rPr>
          <w:rFonts w:ascii="Verdana" w:eastAsia="Aptos" w:hAnsi="Verdana" w:cs="Arial"/>
          <w:color w:val="000000"/>
          <w:kern w:val="2"/>
          <w:lang w:val="es-ES_tradnl"/>
          <w14:ligatures w14:val="standardContextual"/>
        </w:rPr>
      </w:pPr>
    </w:p>
    <w:p w14:paraId="105CEAF2" w14:textId="77777777" w:rsidR="00132D3F" w:rsidRPr="00132D3F" w:rsidRDefault="00132D3F" w:rsidP="00132D3F">
      <w:pPr>
        <w:spacing w:after="0" w:line="276" w:lineRule="auto"/>
        <w:jc w:val="both"/>
        <w:rPr>
          <w:rFonts w:ascii="Verdana" w:eastAsia="Calibri" w:hAnsi="Verdana" w:cs="Times New Roman"/>
          <w:kern w:val="2"/>
          <w14:ligatures w14:val="standardContextual"/>
        </w:rPr>
      </w:pPr>
      <w:r w:rsidRPr="00132D3F">
        <w:rPr>
          <w:rFonts w:ascii="Verdana" w:eastAsia="Calibri" w:hAnsi="Verdana" w:cs="Arial"/>
          <w:b/>
          <w:bCs/>
          <w:kern w:val="2"/>
          <w:lang w:val="es-ES" w:eastAsia="es-ES"/>
          <w14:ligatures w14:val="standardContextual"/>
        </w:rPr>
        <w:t>SUBSANABILIDAD – Aplicación – R</w:t>
      </w:r>
      <w:r w:rsidRPr="00132D3F">
        <w:rPr>
          <w:rFonts w:ascii="Verdana" w:eastAsia="Calibri" w:hAnsi="Verdana" w:cs="Times New Roman"/>
          <w:b/>
          <w:bCs/>
          <w:kern w:val="2"/>
          <w:lang w:val="es-ES" w:eastAsia="es-ES"/>
          <w14:ligatures w14:val="standardContextual"/>
        </w:rPr>
        <w:t>egla general</w:t>
      </w:r>
      <w:r w:rsidRPr="00132D3F">
        <w:rPr>
          <w:rFonts w:ascii="Verdana" w:eastAsia="Calibri" w:hAnsi="Verdana" w:cs="Arial"/>
          <w:b/>
          <w:bCs/>
          <w:kern w:val="2"/>
          <w:lang w:val="es-ES" w:eastAsia="es-ES"/>
          <w14:ligatures w14:val="standardContextual"/>
        </w:rPr>
        <w:t xml:space="preserve"> – Excepciones </w:t>
      </w:r>
    </w:p>
    <w:p w14:paraId="57ADFB7D" w14:textId="77777777" w:rsidR="00132D3F" w:rsidRPr="00132D3F" w:rsidRDefault="00132D3F" w:rsidP="00132D3F">
      <w:pPr>
        <w:tabs>
          <w:tab w:val="left" w:pos="426"/>
        </w:tabs>
        <w:spacing w:after="0" w:line="276" w:lineRule="auto"/>
        <w:jc w:val="both"/>
        <w:rPr>
          <w:rFonts w:ascii="Verdana" w:eastAsia="Calibri" w:hAnsi="Verdana" w:cs="Arial"/>
          <w:b/>
          <w:kern w:val="2"/>
          <w:lang w:eastAsia="es-CO"/>
          <w14:ligatures w14:val="standardContextual"/>
        </w:rPr>
      </w:pPr>
    </w:p>
    <w:p w14:paraId="4895BF61" w14:textId="2BAAF5E1" w:rsidR="00132D3F" w:rsidRPr="00132D3F" w:rsidRDefault="00480FBD" w:rsidP="00132D3F">
      <w:pPr>
        <w:spacing w:after="0" w:line="240" w:lineRule="auto"/>
        <w:jc w:val="both"/>
        <w:rPr>
          <w:rFonts w:ascii="Verdana" w:eastAsia="Calibri" w:hAnsi="Verdana" w:cs="Arial"/>
          <w:bCs/>
          <w:kern w:val="2"/>
          <w:sz w:val="20"/>
          <w:szCs w:val="20"/>
          <w:lang w:eastAsia="es-CO"/>
          <w14:ligatures w14:val="standardContextual"/>
        </w:rPr>
      </w:pPr>
      <w:r w:rsidRPr="00480FBD">
        <w:rPr>
          <w:rFonts w:ascii="Verdana" w:eastAsia="Calibri" w:hAnsi="Verdana" w:cs="Arial"/>
          <w:bCs/>
          <w:kern w:val="2"/>
          <w:sz w:val="20"/>
          <w:szCs w:val="20"/>
          <w:lang w:eastAsia="es-CO"/>
          <w14:ligatures w14:val="standardContextual"/>
        </w:rPr>
        <w:t xml:space="preserve">La regla de la </w:t>
      </w:r>
      <w:proofErr w:type="spellStart"/>
      <w:r w:rsidRPr="00480FBD">
        <w:rPr>
          <w:rFonts w:ascii="Verdana" w:eastAsia="Calibri" w:hAnsi="Verdana" w:cs="Arial"/>
          <w:bCs/>
          <w:kern w:val="2"/>
          <w:sz w:val="20"/>
          <w:szCs w:val="20"/>
          <w:lang w:eastAsia="es-CO"/>
          <w14:ligatures w14:val="standardContextual"/>
        </w:rPr>
        <w:t>subsanabilidad</w:t>
      </w:r>
      <w:proofErr w:type="spellEnd"/>
      <w:r w:rsidRPr="00480FBD">
        <w:rPr>
          <w:rFonts w:ascii="Verdana" w:eastAsia="Calibri" w:hAnsi="Verdana" w:cs="Arial"/>
          <w:bCs/>
          <w:kern w:val="2"/>
          <w:sz w:val="20"/>
          <w:szCs w:val="20"/>
          <w:lang w:eastAsia="es-CO"/>
          <w14:ligatures w14:val="standardContextual"/>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33DBC554" w14:textId="77777777" w:rsidR="00132D3F" w:rsidRPr="00132D3F" w:rsidRDefault="00132D3F" w:rsidP="00132D3F">
      <w:pPr>
        <w:spacing w:after="0" w:line="276" w:lineRule="auto"/>
        <w:jc w:val="both"/>
        <w:rPr>
          <w:rFonts w:ascii="Verdana" w:eastAsia="Calibri" w:hAnsi="Verdana" w:cs="Arial"/>
          <w:bCs/>
          <w:kern w:val="2"/>
          <w:lang w:val="es-ES_tradnl" w:eastAsia="es-CO"/>
          <w14:ligatures w14:val="standardContextual"/>
        </w:rPr>
      </w:pPr>
    </w:p>
    <w:p w14:paraId="112E003C" w14:textId="77777777" w:rsidR="00132D3F" w:rsidRPr="00132D3F" w:rsidRDefault="00132D3F" w:rsidP="00132D3F">
      <w:pPr>
        <w:spacing w:after="0" w:line="276" w:lineRule="auto"/>
        <w:jc w:val="both"/>
        <w:rPr>
          <w:rFonts w:ascii="Verdana" w:eastAsia="Calibri" w:hAnsi="Verdana" w:cs="Arial"/>
          <w:b/>
          <w:bCs/>
          <w:kern w:val="2"/>
          <w:lang w:val="es-ES" w:eastAsia="es-ES"/>
          <w14:ligatures w14:val="standardContextual"/>
        </w:rPr>
      </w:pPr>
      <w:r w:rsidRPr="00132D3F">
        <w:rPr>
          <w:rFonts w:ascii="Verdana" w:eastAsia="Calibri" w:hAnsi="Verdana" w:cs="Arial"/>
          <w:b/>
          <w:bCs/>
          <w:kern w:val="2"/>
          <w:lang w:val="es-ES" w:eastAsia="es-ES"/>
          <w14:ligatures w14:val="standardContextual"/>
        </w:rPr>
        <w:t>SUBSANABILIDAD – Ley 1882 de 2018</w:t>
      </w:r>
    </w:p>
    <w:p w14:paraId="2CCBB3AC" w14:textId="77777777" w:rsidR="00132D3F" w:rsidRPr="00132D3F" w:rsidRDefault="00132D3F" w:rsidP="00132D3F">
      <w:pPr>
        <w:spacing w:after="0" w:line="276" w:lineRule="auto"/>
        <w:jc w:val="both"/>
        <w:rPr>
          <w:rFonts w:ascii="Verdana" w:eastAsia="Times New Roman" w:hAnsi="Verdana" w:cs="Arial"/>
          <w:kern w:val="2"/>
          <w:lang w:val="es-ES" w:eastAsia="es-ES_tradnl"/>
          <w14:ligatures w14:val="standardContextual"/>
        </w:rPr>
      </w:pPr>
    </w:p>
    <w:p w14:paraId="1DB897F7" w14:textId="25566289" w:rsidR="00132D3F" w:rsidRPr="00132D3F" w:rsidRDefault="00132D3F" w:rsidP="00132D3F">
      <w:pPr>
        <w:spacing w:after="0" w:line="240" w:lineRule="auto"/>
        <w:jc w:val="both"/>
        <w:rPr>
          <w:rFonts w:ascii="Verdana" w:eastAsia="Calibri" w:hAnsi="Verdana" w:cs="Arial"/>
          <w:bCs/>
          <w:kern w:val="2"/>
          <w:sz w:val="20"/>
          <w:szCs w:val="20"/>
          <w:lang w:eastAsia="es-CO"/>
          <w14:ligatures w14:val="standardContextual"/>
        </w:rPr>
      </w:pPr>
      <w:r w:rsidRPr="00132D3F">
        <w:rPr>
          <w:rFonts w:ascii="Verdana" w:eastAsia="Calibri" w:hAnsi="Verdana" w:cs="Arial"/>
          <w:bCs/>
          <w:kern w:val="2"/>
          <w:sz w:val="20"/>
          <w:szCs w:val="20"/>
          <w:lang w:eastAsia="es-CO"/>
          <w14:ligatures w14:val="standardContextual"/>
        </w:rPr>
        <w:t xml:space="preserve">[…] </w:t>
      </w:r>
      <w:r w:rsidR="00480FBD" w:rsidRPr="00480FBD">
        <w:rPr>
          <w:rFonts w:ascii="Verdana" w:eastAsia="Calibri" w:hAnsi="Verdana" w:cs="Arial"/>
          <w:bCs/>
          <w:kern w:val="2"/>
          <w:sz w:val="20"/>
          <w:szCs w:val="20"/>
          <w:lang w:eastAsia="es-CO"/>
          <w14:ligatures w14:val="standardContextual"/>
        </w:rPr>
        <w:t xml:space="preserve">la Ley 1882 de 2018: i) mantiene el criterio de la Ley 80 de 1993, relativo a que todo lo que no sea necesario para la comparación de propuestas no es título suficiente para su rechazo; </w:t>
      </w:r>
      <w:proofErr w:type="spellStart"/>
      <w:r w:rsidR="00480FBD" w:rsidRPr="00480FBD">
        <w:rPr>
          <w:rFonts w:ascii="Verdana" w:eastAsia="Calibri" w:hAnsi="Verdana" w:cs="Arial"/>
          <w:bCs/>
          <w:kern w:val="2"/>
          <w:sz w:val="20"/>
          <w:szCs w:val="20"/>
          <w:lang w:eastAsia="es-CO"/>
          <w14:ligatures w14:val="standardContextual"/>
        </w:rPr>
        <w:t>ii</w:t>
      </w:r>
      <w:proofErr w:type="spellEnd"/>
      <w:r w:rsidR="00480FBD" w:rsidRPr="00480FBD">
        <w:rPr>
          <w:rFonts w:ascii="Verdana" w:eastAsia="Calibri" w:hAnsi="Verdana" w:cs="Arial"/>
          <w:bCs/>
          <w:kern w:val="2"/>
          <w:sz w:val="20"/>
          <w:szCs w:val="20"/>
          <w:lang w:eastAsia="es-CO"/>
          <w14:ligatures w14:val="standardContextual"/>
        </w:rPr>
        <w:t xml:space="preserve">) mantiene el criterio aclaratorio de la Ley 1150 de 2007, según el cual todo lo que no afecte la asignación de puntaje puede subsanarse; y, </w:t>
      </w:r>
      <w:proofErr w:type="spellStart"/>
      <w:r w:rsidR="00480FBD" w:rsidRPr="00480FBD">
        <w:rPr>
          <w:rFonts w:ascii="Verdana" w:eastAsia="Calibri" w:hAnsi="Verdana" w:cs="Arial"/>
          <w:bCs/>
          <w:kern w:val="2"/>
          <w:sz w:val="20"/>
          <w:szCs w:val="20"/>
          <w:lang w:eastAsia="es-CO"/>
          <w14:ligatures w14:val="standardContextual"/>
        </w:rPr>
        <w:t>iii</w:t>
      </w:r>
      <w:proofErr w:type="spellEnd"/>
      <w:r w:rsidR="00480FBD" w:rsidRPr="00480FBD">
        <w:rPr>
          <w:rFonts w:ascii="Verdana" w:eastAsia="Calibri" w:hAnsi="Verdana" w:cs="Arial"/>
          <w:bCs/>
          <w:kern w:val="2"/>
          <w:sz w:val="20"/>
          <w:szCs w:val="20"/>
          <w:lang w:eastAsia="es-CO"/>
          <w14:ligatures w14:val="standardContextual"/>
        </w:rPr>
        <w:t>) introduce modificaciones en relación con algunos aspectos que se analizarán a continuación.</w:t>
      </w:r>
    </w:p>
    <w:p w14:paraId="4DAAA756" w14:textId="77777777" w:rsidR="00132D3F" w:rsidRPr="00132D3F" w:rsidRDefault="00132D3F" w:rsidP="00132D3F">
      <w:pPr>
        <w:spacing w:after="0" w:line="276" w:lineRule="auto"/>
        <w:jc w:val="both"/>
        <w:rPr>
          <w:rFonts w:ascii="Verdana" w:eastAsia="Calibri" w:hAnsi="Verdana" w:cs="Arial"/>
          <w:b/>
          <w:bCs/>
          <w:kern w:val="2"/>
          <w:lang w:eastAsia="es-ES"/>
          <w14:ligatures w14:val="standardContextual"/>
        </w:rPr>
      </w:pPr>
    </w:p>
    <w:p w14:paraId="26E26875" w14:textId="77777777" w:rsidR="00132D3F" w:rsidRPr="00132D3F" w:rsidRDefault="00132D3F" w:rsidP="00132D3F">
      <w:pPr>
        <w:spacing w:after="0" w:line="276" w:lineRule="auto"/>
        <w:jc w:val="both"/>
        <w:rPr>
          <w:rFonts w:ascii="Verdana" w:eastAsia="Calibri" w:hAnsi="Verdana" w:cs="Arial"/>
          <w:b/>
          <w:bCs/>
          <w:color w:val="000000"/>
          <w:kern w:val="2"/>
          <w14:ligatures w14:val="standardContextual"/>
        </w:rPr>
      </w:pPr>
      <w:r w:rsidRPr="00132D3F">
        <w:rPr>
          <w:rFonts w:ascii="Verdana" w:eastAsia="Calibri" w:hAnsi="Verdana" w:cs="Arial"/>
          <w:b/>
          <w:bCs/>
          <w:color w:val="000000"/>
          <w:kern w:val="2"/>
          <w14:ligatures w14:val="standardContextual"/>
        </w:rPr>
        <w:lastRenderedPageBreak/>
        <w:t>SUBSANABILIDAD – Circunstancias posteriores – Cierre del proceso – Prueba</w:t>
      </w:r>
    </w:p>
    <w:p w14:paraId="56CE1EA7" w14:textId="77777777" w:rsidR="00132D3F" w:rsidRPr="00132D3F" w:rsidRDefault="00132D3F" w:rsidP="00132D3F">
      <w:pPr>
        <w:spacing w:after="0" w:line="276" w:lineRule="auto"/>
        <w:jc w:val="both"/>
        <w:rPr>
          <w:rFonts w:ascii="Verdana" w:eastAsia="Calibri" w:hAnsi="Verdana" w:cs="Times New Roman"/>
          <w:color w:val="000000"/>
          <w:kern w:val="2"/>
          <w:lang w:val="es-ES_tradnl"/>
          <w14:ligatures w14:val="standardContextual"/>
        </w:rPr>
      </w:pPr>
    </w:p>
    <w:p w14:paraId="3C7AD7D1" w14:textId="4F1D0104" w:rsidR="00132D3F" w:rsidRPr="00132D3F" w:rsidRDefault="00132D3F" w:rsidP="00132D3F">
      <w:pPr>
        <w:spacing w:after="0" w:line="240" w:lineRule="auto"/>
        <w:jc w:val="both"/>
        <w:rPr>
          <w:rFonts w:ascii="Verdana" w:eastAsia="Calibri" w:hAnsi="Verdana" w:cs="Times New Roman"/>
          <w:color w:val="000000"/>
          <w:kern w:val="2"/>
          <w:sz w:val="20"/>
          <w:szCs w:val="20"/>
          <w:lang w:val="es-ES"/>
          <w14:ligatures w14:val="standardContextual"/>
        </w:rPr>
      </w:pPr>
      <w:r w:rsidRPr="00132D3F">
        <w:rPr>
          <w:rFonts w:ascii="Verdana" w:eastAsia="Calibri" w:hAnsi="Verdana" w:cs="Times New Roman"/>
          <w:color w:val="000000"/>
          <w:kern w:val="2"/>
          <w:sz w:val="20"/>
          <w:szCs w:val="20"/>
          <w:lang w:val="es-ES"/>
          <w14:ligatures w14:val="standardContextual"/>
        </w:rPr>
        <w:t xml:space="preserve">[…] </w:t>
      </w:r>
      <w:r w:rsidR="00480FBD" w:rsidRPr="00480FBD">
        <w:rPr>
          <w:rFonts w:ascii="Verdana" w:eastAsia="Calibri" w:hAnsi="Verdana" w:cs="Times New Roman"/>
          <w:color w:val="000000"/>
          <w:kern w:val="2"/>
          <w:sz w:val="20"/>
          <w:szCs w:val="20"/>
          <w:lang w:val="es-ES"/>
          <w14:ligatures w14:val="standardContextual"/>
        </w:rPr>
        <w:t xml:space="preserve">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00480FBD" w:rsidRPr="00480FBD">
        <w:rPr>
          <w:rFonts w:ascii="Verdana" w:eastAsia="Calibri" w:hAnsi="Verdana" w:cs="Times New Roman"/>
          <w:color w:val="000000"/>
          <w:kern w:val="2"/>
          <w:sz w:val="20"/>
          <w:szCs w:val="20"/>
          <w:lang w:val="es-ES"/>
          <w14:ligatures w14:val="standardContextual"/>
        </w:rPr>
        <w:t>que</w:t>
      </w:r>
      <w:proofErr w:type="gramEnd"/>
      <w:r w:rsidR="00480FBD" w:rsidRPr="00480FBD">
        <w:rPr>
          <w:rFonts w:ascii="Verdana" w:eastAsia="Calibri" w:hAnsi="Verdana" w:cs="Times New Roman"/>
          <w:color w:val="000000"/>
          <w:kern w:val="2"/>
          <w:sz w:val="20"/>
          <w:szCs w:val="20"/>
          <w:lang w:val="es-ES"/>
          <w14:ligatures w14:val="standardContextual"/>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p>
    <w:p w14:paraId="4FB63D06" w14:textId="77777777" w:rsidR="00132D3F" w:rsidRPr="00132D3F" w:rsidRDefault="00132D3F" w:rsidP="00132D3F">
      <w:pPr>
        <w:spacing w:line="276" w:lineRule="auto"/>
        <w:contextualSpacing/>
        <w:jc w:val="both"/>
        <w:rPr>
          <w:rFonts w:ascii="Verdana" w:eastAsia="Aptos" w:hAnsi="Verdana" w:cs="Arial"/>
          <w:color w:val="000000"/>
          <w:kern w:val="2"/>
          <w:lang w:val="es-ES_tradnl"/>
          <w14:ligatures w14:val="standardContextual"/>
        </w:rPr>
      </w:pPr>
    </w:p>
    <w:p w14:paraId="1D4FEFB1" w14:textId="77777777" w:rsidR="00132D3F" w:rsidRPr="00132D3F" w:rsidRDefault="00132D3F" w:rsidP="00132D3F">
      <w:pPr>
        <w:spacing w:after="0" w:line="240" w:lineRule="auto"/>
        <w:rPr>
          <w:rFonts w:ascii="Verdana" w:eastAsia="Geomanist Light" w:hAnsi="Verdana" w:cs="Arial"/>
          <w:lang w:val="es-ES_tradnl"/>
        </w:rPr>
      </w:pPr>
    </w:p>
    <w:p w14:paraId="1EAB0AFB" w14:textId="77777777" w:rsidR="00132D3F" w:rsidRPr="00132D3F" w:rsidRDefault="00132D3F" w:rsidP="00132D3F">
      <w:pPr>
        <w:spacing w:after="0" w:line="240" w:lineRule="auto"/>
        <w:rPr>
          <w:rFonts w:ascii="Verdana" w:eastAsia="Calibri" w:hAnsi="Verdana" w:cs="Times New Roman"/>
          <w:lang w:val="es-ES_tradnl"/>
        </w:rPr>
      </w:pPr>
    </w:p>
    <w:p w14:paraId="22D10312" w14:textId="77777777" w:rsidR="00132D3F" w:rsidRPr="00132D3F" w:rsidRDefault="00132D3F" w:rsidP="00132D3F">
      <w:pPr>
        <w:spacing w:after="0" w:line="240" w:lineRule="auto"/>
        <w:rPr>
          <w:rFonts w:ascii="Verdana" w:eastAsia="Calibri" w:hAnsi="Verdana" w:cs="Times New Roman"/>
          <w:lang w:val="es-ES_tradnl"/>
        </w:rPr>
      </w:pPr>
    </w:p>
    <w:p w14:paraId="476F92BE" w14:textId="77777777" w:rsidR="00132D3F" w:rsidRPr="00132D3F" w:rsidRDefault="00132D3F" w:rsidP="00132D3F">
      <w:pPr>
        <w:spacing w:after="0" w:line="240" w:lineRule="auto"/>
        <w:rPr>
          <w:rFonts w:ascii="Verdana" w:eastAsia="Calibri" w:hAnsi="Verdana" w:cs="Times New Roman"/>
          <w:lang w:val="es-ES_tradnl"/>
        </w:rPr>
      </w:pPr>
    </w:p>
    <w:p w14:paraId="1E5D6E9F" w14:textId="77777777" w:rsidR="00132D3F" w:rsidRPr="00132D3F" w:rsidRDefault="00132D3F" w:rsidP="00132D3F">
      <w:pPr>
        <w:spacing w:after="0" w:line="240" w:lineRule="auto"/>
        <w:rPr>
          <w:rFonts w:ascii="Verdana" w:eastAsia="Calibri" w:hAnsi="Verdana" w:cs="Times New Roman"/>
          <w:lang w:val="es-ES_tradnl"/>
        </w:rPr>
      </w:pPr>
    </w:p>
    <w:p w14:paraId="01699D50" w14:textId="77777777" w:rsidR="00132D3F" w:rsidRPr="00132D3F" w:rsidRDefault="00132D3F" w:rsidP="00132D3F">
      <w:pPr>
        <w:spacing w:after="0" w:line="240" w:lineRule="auto"/>
        <w:rPr>
          <w:rFonts w:ascii="Verdana" w:eastAsia="Calibri" w:hAnsi="Verdana" w:cs="Times New Roman"/>
          <w:lang w:val="es-ES_tradnl"/>
        </w:rPr>
      </w:pPr>
    </w:p>
    <w:p w14:paraId="4BC4A77B" w14:textId="77777777" w:rsidR="00132D3F" w:rsidRPr="00132D3F" w:rsidRDefault="00132D3F" w:rsidP="00132D3F">
      <w:pPr>
        <w:spacing w:after="0" w:line="240" w:lineRule="auto"/>
        <w:rPr>
          <w:rFonts w:ascii="Verdana" w:eastAsia="Calibri" w:hAnsi="Verdana" w:cs="Times New Roman"/>
          <w:lang w:val="es-ES_tradnl"/>
        </w:rPr>
      </w:pPr>
    </w:p>
    <w:p w14:paraId="5259F3F9" w14:textId="77777777" w:rsidR="00132D3F" w:rsidRPr="00132D3F" w:rsidRDefault="00132D3F" w:rsidP="00132D3F">
      <w:pPr>
        <w:spacing w:after="0" w:line="240" w:lineRule="auto"/>
        <w:jc w:val="both"/>
        <w:rPr>
          <w:rFonts w:ascii="Verdana" w:eastAsia="Calibri" w:hAnsi="Verdana" w:cs="Times New Roman"/>
          <w:lang w:val="es-ES_tradnl"/>
        </w:rPr>
      </w:pPr>
    </w:p>
    <w:p w14:paraId="5FF1780A" w14:textId="77777777" w:rsidR="00132D3F" w:rsidRPr="00132D3F" w:rsidRDefault="00132D3F" w:rsidP="00132D3F">
      <w:pPr>
        <w:spacing w:after="0" w:line="240" w:lineRule="auto"/>
        <w:jc w:val="both"/>
        <w:rPr>
          <w:rFonts w:ascii="Verdana" w:eastAsia="Calibri" w:hAnsi="Verdana" w:cs="Times New Roman"/>
          <w:lang w:val="es-ES_tradnl"/>
        </w:rPr>
      </w:pPr>
    </w:p>
    <w:p w14:paraId="4D96F6A4" w14:textId="77777777" w:rsidR="00132D3F" w:rsidRPr="00132D3F" w:rsidRDefault="00132D3F" w:rsidP="00132D3F">
      <w:pPr>
        <w:spacing w:after="0" w:line="240" w:lineRule="auto"/>
        <w:jc w:val="both"/>
        <w:rPr>
          <w:rFonts w:ascii="Verdana" w:eastAsia="Calibri" w:hAnsi="Verdana" w:cs="Times New Roman"/>
          <w:lang w:val="es-ES_tradnl"/>
        </w:rPr>
      </w:pPr>
    </w:p>
    <w:p w14:paraId="3380D7B5" w14:textId="77777777" w:rsidR="00132D3F" w:rsidRPr="00132D3F" w:rsidRDefault="00132D3F" w:rsidP="00132D3F">
      <w:pPr>
        <w:spacing w:after="0" w:line="240" w:lineRule="auto"/>
        <w:jc w:val="both"/>
        <w:rPr>
          <w:rFonts w:ascii="Verdana" w:eastAsia="Calibri" w:hAnsi="Verdana" w:cs="Times New Roman"/>
          <w:lang w:val="es-ES_tradnl"/>
        </w:rPr>
      </w:pPr>
    </w:p>
    <w:p w14:paraId="70E00455" w14:textId="77777777" w:rsidR="00132D3F" w:rsidRPr="00132D3F" w:rsidRDefault="00132D3F" w:rsidP="00132D3F">
      <w:pPr>
        <w:spacing w:after="0" w:line="240" w:lineRule="auto"/>
        <w:jc w:val="both"/>
        <w:rPr>
          <w:rFonts w:ascii="Verdana" w:eastAsia="Calibri" w:hAnsi="Verdana" w:cs="Times New Roman"/>
          <w:lang w:val="es-ES_tradnl"/>
        </w:rPr>
      </w:pPr>
    </w:p>
    <w:p w14:paraId="5D1318F4" w14:textId="77777777" w:rsidR="00132D3F" w:rsidRPr="00132D3F" w:rsidRDefault="00132D3F" w:rsidP="00132D3F">
      <w:pPr>
        <w:spacing w:after="0" w:line="240" w:lineRule="auto"/>
        <w:jc w:val="both"/>
        <w:rPr>
          <w:rFonts w:ascii="Verdana" w:eastAsia="Calibri" w:hAnsi="Verdana" w:cs="Times New Roman"/>
          <w:lang w:val="es-ES_tradnl"/>
        </w:rPr>
      </w:pPr>
    </w:p>
    <w:p w14:paraId="40B12E05" w14:textId="77777777" w:rsidR="00132D3F" w:rsidRPr="00132D3F" w:rsidRDefault="00132D3F" w:rsidP="00132D3F">
      <w:pPr>
        <w:spacing w:after="0" w:line="240" w:lineRule="auto"/>
        <w:jc w:val="both"/>
        <w:rPr>
          <w:rFonts w:ascii="Verdana" w:eastAsia="Calibri" w:hAnsi="Verdana" w:cs="Times New Roman"/>
          <w:lang w:val="es-ES_tradnl"/>
        </w:rPr>
      </w:pPr>
    </w:p>
    <w:p w14:paraId="683F4670" w14:textId="77777777" w:rsidR="00132D3F" w:rsidRPr="00132D3F" w:rsidRDefault="00132D3F" w:rsidP="00132D3F">
      <w:pPr>
        <w:spacing w:after="0" w:line="240" w:lineRule="auto"/>
        <w:jc w:val="both"/>
        <w:rPr>
          <w:rFonts w:ascii="Verdana" w:eastAsia="Calibri" w:hAnsi="Verdana" w:cs="Times New Roman"/>
          <w:lang w:val="es-ES_tradnl"/>
        </w:rPr>
      </w:pPr>
    </w:p>
    <w:p w14:paraId="5E7E219C" w14:textId="77777777" w:rsidR="00132D3F" w:rsidRPr="00132D3F" w:rsidRDefault="00132D3F" w:rsidP="00132D3F">
      <w:pPr>
        <w:spacing w:after="0" w:line="240" w:lineRule="auto"/>
        <w:jc w:val="both"/>
        <w:rPr>
          <w:rFonts w:ascii="Verdana" w:eastAsia="Calibri" w:hAnsi="Verdana" w:cs="Times New Roman"/>
          <w:lang w:val="es-ES_tradnl"/>
        </w:rPr>
      </w:pPr>
    </w:p>
    <w:p w14:paraId="27DC3F3B" w14:textId="77777777" w:rsidR="00132D3F" w:rsidRPr="00132D3F" w:rsidRDefault="00132D3F" w:rsidP="00132D3F">
      <w:pPr>
        <w:spacing w:after="0" w:line="240" w:lineRule="auto"/>
        <w:jc w:val="both"/>
        <w:rPr>
          <w:rFonts w:ascii="Verdana" w:eastAsia="Calibri" w:hAnsi="Verdana" w:cs="Times New Roman"/>
          <w:lang w:val="es-ES_tradnl"/>
        </w:rPr>
      </w:pPr>
    </w:p>
    <w:p w14:paraId="477280F1" w14:textId="77777777" w:rsidR="00132D3F" w:rsidRPr="00132D3F" w:rsidRDefault="00132D3F" w:rsidP="00132D3F">
      <w:pPr>
        <w:spacing w:after="0" w:line="240" w:lineRule="auto"/>
        <w:jc w:val="both"/>
        <w:rPr>
          <w:rFonts w:ascii="Verdana" w:eastAsia="Calibri" w:hAnsi="Verdana" w:cs="Times New Roman"/>
          <w:lang w:val="es-ES_tradnl"/>
        </w:rPr>
      </w:pPr>
    </w:p>
    <w:p w14:paraId="0EC97479" w14:textId="77777777" w:rsidR="00132D3F" w:rsidRPr="00132D3F" w:rsidRDefault="00132D3F" w:rsidP="00132D3F">
      <w:pPr>
        <w:spacing w:after="0" w:line="240" w:lineRule="auto"/>
        <w:jc w:val="both"/>
        <w:rPr>
          <w:rFonts w:ascii="Verdana" w:eastAsia="Calibri" w:hAnsi="Verdana" w:cs="Times New Roman"/>
          <w:lang w:val="es-ES_tradnl"/>
        </w:rPr>
      </w:pPr>
    </w:p>
    <w:p w14:paraId="6185EE0B" w14:textId="77777777" w:rsidR="00132D3F" w:rsidRPr="00132D3F" w:rsidRDefault="00132D3F" w:rsidP="00132D3F">
      <w:pPr>
        <w:spacing w:after="0" w:line="240" w:lineRule="auto"/>
        <w:jc w:val="both"/>
        <w:rPr>
          <w:rFonts w:ascii="Verdana" w:eastAsia="Calibri" w:hAnsi="Verdana" w:cs="Times New Roman"/>
          <w:lang w:val="es-ES_tradnl"/>
        </w:rPr>
      </w:pPr>
    </w:p>
    <w:p w14:paraId="6A09FCA7" w14:textId="77777777" w:rsidR="00132D3F" w:rsidRPr="00132D3F" w:rsidRDefault="00132D3F" w:rsidP="00132D3F">
      <w:pPr>
        <w:spacing w:after="0" w:line="240" w:lineRule="auto"/>
        <w:jc w:val="both"/>
        <w:rPr>
          <w:rFonts w:ascii="Verdana" w:eastAsia="Calibri" w:hAnsi="Verdana" w:cs="Times New Roman"/>
          <w:lang w:val="es-ES_tradnl"/>
        </w:rPr>
      </w:pPr>
    </w:p>
    <w:p w14:paraId="1C2E78A6" w14:textId="77777777" w:rsidR="00132D3F" w:rsidRPr="00132D3F" w:rsidRDefault="00132D3F" w:rsidP="00132D3F">
      <w:pPr>
        <w:spacing w:after="0" w:line="240" w:lineRule="auto"/>
        <w:jc w:val="both"/>
        <w:rPr>
          <w:rFonts w:ascii="Verdana" w:eastAsia="Calibri" w:hAnsi="Verdana" w:cs="Times New Roman"/>
          <w:lang w:val="es-ES_tradnl"/>
        </w:rPr>
      </w:pPr>
    </w:p>
    <w:p w14:paraId="3DD733F3" w14:textId="77777777" w:rsidR="00132D3F" w:rsidRPr="00132D3F" w:rsidRDefault="00132D3F" w:rsidP="00132D3F">
      <w:pPr>
        <w:spacing w:after="0" w:line="240" w:lineRule="auto"/>
        <w:jc w:val="both"/>
        <w:rPr>
          <w:rFonts w:ascii="Verdana" w:eastAsia="Calibri" w:hAnsi="Verdana" w:cs="Times New Roman"/>
          <w:lang w:val="es-ES_tradnl"/>
        </w:rPr>
      </w:pPr>
    </w:p>
    <w:p w14:paraId="03F0BB3C" w14:textId="77777777" w:rsidR="00132D3F" w:rsidRPr="00132D3F" w:rsidRDefault="00132D3F" w:rsidP="00132D3F">
      <w:pPr>
        <w:spacing w:after="0" w:line="240" w:lineRule="auto"/>
        <w:jc w:val="both"/>
        <w:rPr>
          <w:rFonts w:ascii="Verdana" w:eastAsia="Calibri" w:hAnsi="Verdana" w:cs="Times New Roman"/>
          <w:lang w:val="es-ES_tradnl"/>
        </w:rPr>
      </w:pPr>
    </w:p>
    <w:p w14:paraId="454BAAFD" w14:textId="77777777" w:rsidR="00132D3F" w:rsidRPr="00132D3F" w:rsidRDefault="00132D3F" w:rsidP="00132D3F">
      <w:pPr>
        <w:spacing w:after="0" w:line="240" w:lineRule="auto"/>
        <w:jc w:val="both"/>
        <w:rPr>
          <w:rFonts w:ascii="Verdana" w:eastAsia="Calibri" w:hAnsi="Verdana" w:cs="Times New Roman"/>
          <w:lang w:val="es-ES_tradnl"/>
        </w:rPr>
      </w:pPr>
    </w:p>
    <w:p w14:paraId="02EB7C9D" w14:textId="77777777" w:rsidR="00132D3F" w:rsidRPr="00132D3F" w:rsidRDefault="00132D3F" w:rsidP="00132D3F">
      <w:pPr>
        <w:spacing w:after="0" w:line="240" w:lineRule="auto"/>
        <w:jc w:val="both"/>
        <w:rPr>
          <w:rFonts w:ascii="Verdana" w:eastAsia="Calibri" w:hAnsi="Verdana" w:cs="Times New Roman"/>
          <w:lang w:val="es-ES_tradnl"/>
        </w:rPr>
      </w:pPr>
    </w:p>
    <w:p w14:paraId="1F183834" w14:textId="77777777" w:rsidR="00132D3F" w:rsidRPr="00132D3F" w:rsidRDefault="00132D3F" w:rsidP="00132D3F">
      <w:pPr>
        <w:spacing w:after="0" w:line="240" w:lineRule="auto"/>
        <w:jc w:val="both"/>
        <w:rPr>
          <w:rFonts w:ascii="Verdana" w:eastAsia="Calibri" w:hAnsi="Verdana" w:cs="Times New Roman"/>
          <w:lang w:val="es-ES_tradnl"/>
        </w:rPr>
      </w:pPr>
    </w:p>
    <w:p w14:paraId="163E9419" w14:textId="77777777" w:rsidR="00132D3F" w:rsidRDefault="00132D3F" w:rsidP="00132D3F">
      <w:pPr>
        <w:spacing w:after="0" w:line="240" w:lineRule="auto"/>
        <w:jc w:val="both"/>
        <w:rPr>
          <w:rFonts w:ascii="Verdana" w:eastAsia="Calibri" w:hAnsi="Verdana" w:cs="Times New Roman"/>
          <w:lang w:val="es-ES_tradnl"/>
        </w:rPr>
      </w:pPr>
    </w:p>
    <w:p w14:paraId="0F818512" w14:textId="33C9F91A" w:rsidR="00132D3F" w:rsidRPr="002D54EE" w:rsidRDefault="00132D3F" w:rsidP="00132D3F">
      <w:pPr>
        <w:spacing w:after="0" w:line="240" w:lineRule="auto"/>
        <w:jc w:val="both"/>
        <w:rPr>
          <w:rFonts w:ascii="Verdana" w:hAnsi="Verdana"/>
        </w:rPr>
      </w:pPr>
      <w:r w:rsidRPr="0024624F">
        <w:rPr>
          <w:rFonts w:ascii="Verdana" w:hAnsi="Verdana"/>
        </w:rPr>
        <w:lastRenderedPageBreak/>
        <w:t>Bogotá D.C.,</w:t>
      </w:r>
      <w:r w:rsidR="002D54EE">
        <w:rPr>
          <w:rFonts w:ascii="Verdana" w:hAnsi="Verdana"/>
        </w:rPr>
        <w:t xml:space="preserve"> 04 Diciembre 2025</w:t>
      </w:r>
    </w:p>
    <w:p w14:paraId="79C4525A" w14:textId="49FD90AD" w:rsidR="00132D3F" w:rsidRPr="00132D3F" w:rsidRDefault="002D54EE" w:rsidP="002D54EE">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1FA41172" wp14:editId="666635EE">
            <wp:extent cx="2872509" cy="834207"/>
            <wp:effectExtent l="0" t="0" r="0" b="4445"/>
            <wp:docPr id="9961533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53339" name="Imagen 99615333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09649" cy="844993"/>
                    </a:xfrm>
                    <a:prstGeom prst="rect">
                      <a:avLst/>
                    </a:prstGeom>
                  </pic:spPr>
                </pic:pic>
              </a:graphicData>
            </a:graphic>
          </wp:inline>
        </w:drawing>
      </w:r>
    </w:p>
    <w:p w14:paraId="7B984DA3" w14:textId="77777777" w:rsidR="00132D3F" w:rsidRPr="00132D3F" w:rsidRDefault="00132D3F" w:rsidP="00132D3F">
      <w:pPr>
        <w:spacing w:after="0" w:line="240" w:lineRule="auto"/>
        <w:jc w:val="both"/>
        <w:rPr>
          <w:rFonts w:ascii="Verdana" w:eastAsia="Calibri" w:hAnsi="Verdana" w:cs="Arial"/>
          <w:lang w:val="es-ES_tradnl" w:eastAsia="es-ES"/>
        </w:rPr>
      </w:pPr>
      <w:r w:rsidRPr="00132D3F">
        <w:rPr>
          <w:rFonts w:ascii="Verdana" w:eastAsia="Calibri" w:hAnsi="Verdana" w:cs="Arial"/>
          <w:lang w:val="es-ES_tradnl" w:eastAsia="es-ES"/>
        </w:rPr>
        <w:t>Señora</w:t>
      </w:r>
    </w:p>
    <w:p w14:paraId="1CE76BAA" w14:textId="77777777" w:rsidR="00132D3F" w:rsidRPr="00132D3F" w:rsidRDefault="00132D3F" w:rsidP="00132D3F">
      <w:pPr>
        <w:spacing w:after="0" w:line="240" w:lineRule="auto"/>
        <w:rPr>
          <w:rFonts w:ascii="Verdana" w:eastAsia="Calibri" w:hAnsi="Verdana" w:cs="Arial"/>
          <w:b/>
          <w:bCs/>
          <w:lang w:val="es-ES" w:eastAsia="es-ES"/>
        </w:rPr>
      </w:pPr>
      <w:r w:rsidRPr="00132D3F">
        <w:rPr>
          <w:rFonts w:ascii="Verdana" w:eastAsia="Calibri" w:hAnsi="Verdana" w:cs="Arial"/>
          <w:b/>
          <w:bCs/>
          <w:lang w:val="es-ES" w:eastAsia="es-ES"/>
        </w:rPr>
        <w:t>Luisa Fernanda Jiménez Baquero</w:t>
      </w:r>
    </w:p>
    <w:p w14:paraId="751A1F90" w14:textId="77777777" w:rsidR="00132D3F" w:rsidRPr="00132D3F" w:rsidRDefault="00132D3F" w:rsidP="00132D3F">
      <w:pPr>
        <w:spacing w:after="0" w:line="240" w:lineRule="auto"/>
        <w:rPr>
          <w:rFonts w:ascii="Verdana" w:eastAsia="Calibri" w:hAnsi="Verdana" w:cs="Arial"/>
          <w:lang w:val="es-ES_tradnl" w:eastAsia="es-ES"/>
        </w:rPr>
      </w:pPr>
      <w:r w:rsidRPr="00132D3F">
        <w:rPr>
          <w:rFonts w:ascii="Verdana" w:eastAsia="Calibri" w:hAnsi="Verdana" w:cs="Arial"/>
          <w:lang w:val="es-ES_tradnl" w:eastAsia="es-ES"/>
        </w:rPr>
        <w:t>Ciudad</w:t>
      </w:r>
    </w:p>
    <w:p w14:paraId="0639CA1B" w14:textId="77777777" w:rsidR="00132D3F" w:rsidRPr="00132D3F" w:rsidRDefault="00132D3F" w:rsidP="00132D3F">
      <w:pPr>
        <w:spacing w:after="0" w:line="240" w:lineRule="auto"/>
        <w:rPr>
          <w:rFonts w:ascii="Verdana" w:eastAsia="Calibri" w:hAnsi="Verdana" w:cs="Arial"/>
          <w:b/>
          <w:bCs/>
          <w:lang w:val="es-ES_tradnl" w:eastAsia="es-ES_tradnl"/>
        </w:rPr>
      </w:pPr>
    </w:p>
    <w:p w14:paraId="720B2BC6" w14:textId="77777777" w:rsidR="00132D3F" w:rsidRPr="00132D3F" w:rsidRDefault="00132D3F" w:rsidP="00132D3F">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32D3F" w:rsidRPr="00132D3F" w14:paraId="57F175BC" w14:textId="77777777" w:rsidTr="000F4136">
        <w:trPr>
          <w:trHeight w:val="884"/>
        </w:trPr>
        <w:tc>
          <w:tcPr>
            <w:tcW w:w="2689" w:type="dxa"/>
          </w:tcPr>
          <w:p w14:paraId="319B2D16" w14:textId="77777777" w:rsidR="00132D3F" w:rsidRPr="00132D3F" w:rsidRDefault="00132D3F" w:rsidP="00132D3F">
            <w:pPr>
              <w:jc w:val="both"/>
              <w:rPr>
                <w:rFonts w:ascii="Verdana" w:eastAsia="Calibri" w:hAnsi="Verdana" w:cs="Arial"/>
                <w:b/>
                <w:bCs/>
                <w:lang w:val="es-ES_tradnl" w:eastAsia="es-ES_tradnl"/>
              </w:rPr>
            </w:pPr>
          </w:p>
        </w:tc>
        <w:tc>
          <w:tcPr>
            <w:tcW w:w="6100" w:type="dxa"/>
          </w:tcPr>
          <w:p w14:paraId="291D7D09" w14:textId="77777777" w:rsidR="00132D3F" w:rsidRPr="00132D3F" w:rsidRDefault="00132D3F" w:rsidP="00132D3F">
            <w:pPr>
              <w:jc w:val="both"/>
              <w:rPr>
                <w:rFonts w:ascii="Verdana" w:eastAsia="Calibri" w:hAnsi="Verdana" w:cs="Arial"/>
                <w:b/>
                <w:bCs/>
                <w:lang w:val="es-ES_tradnl" w:eastAsia="es-ES"/>
              </w:rPr>
            </w:pPr>
            <w:r w:rsidRPr="00132D3F">
              <w:rPr>
                <w:rFonts w:ascii="Verdana" w:eastAsia="Calibri" w:hAnsi="Verdana" w:cs="Arial"/>
                <w:b/>
                <w:bCs/>
                <w:lang w:val="es-ES_tradnl" w:eastAsia="es-ES"/>
              </w:rPr>
              <w:t>Concepto C – 1610 de 2025</w:t>
            </w:r>
          </w:p>
          <w:p w14:paraId="6B528627" w14:textId="77777777" w:rsidR="00132D3F" w:rsidRPr="00132D3F" w:rsidRDefault="00132D3F" w:rsidP="00132D3F">
            <w:pPr>
              <w:tabs>
                <w:tab w:val="left" w:pos="1137"/>
              </w:tabs>
              <w:rPr>
                <w:rFonts w:ascii="Verdana" w:eastAsia="Calibri" w:hAnsi="Verdana" w:cs="Arial"/>
                <w:lang w:val="es-ES_tradnl" w:eastAsia="es-ES"/>
              </w:rPr>
            </w:pPr>
            <w:r w:rsidRPr="00132D3F">
              <w:rPr>
                <w:rFonts w:ascii="Verdana" w:eastAsia="Calibri" w:hAnsi="Verdana" w:cs="Arial"/>
                <w:lang w:val="es-ES_tradnl" w:eastAsia="es-ES"/>
              </w:rPr>
              <w:tab/>
            </w:r>
          </w:p>
        </w:tc>
      </w:tr>
      <w:tr w:rsidR="00132D3F" w:rsidRPr="00132D3F" w14:paraId="40C4C78B" w14:textId="77777777" w:rsidTr="000F4136">
        <w:trPr>
          <w:trHeight w:val="884"/>
        </w:trPr>
        <w:tc>
          <w:tcPr>
            <w:tcW w:w="2689" w:type="dxa"/>
          </w:tcPr>
          <w:p w14:paraId="653E98F8" w14:textId="77777777" w:rsidR="00132D3F" w:rsidRPr="00132D3F" w:rsidRDefault="00132D3F" w:rsidP="00132D3F">
            <w:pPr>
              <w:jc w:val="both"/>
              <w:rPr>
                <w:rFonts w:ascii="Verdana" w:eastAsia="Calibri" w:hAnsi="Verdana" w:cs="Arial"/>
                <w:lang w:val="es-ES_tradnl" w:eastAsia="es-ES_tradnl"/>
              </w:rPr>
            </w:pPr>
            <w:r w:rsidRPr="00132D3F">
              <w:rPr>
                <w:rFonts w:ascii="Verdana" w:eastAsia="Calibri" w:hAnsi="Verdana" w:cs="Arial"/>
                <w:b/>
                <w:lang w:val="es-ES_tradnl" w:eastAsia="es-ES_tradnl"/>
              </w:rPr>
              <w:t>Temas:</w:t>
            </w:r>
            <w:r w:rsidRPr="00132D3F">
              <w:rPr>
                <w:rFonts w:ascii="Verdana" w:eastAsia="Calibri" w:hAnsi="Verdana" w:cs="Arial"/>
                <w:lang w:val="es-ES_tradnl" w:eastAsia="es-ES_tradnl"/>
              </w:rPr>
              <w:t xml:space="preserve">                   </w:t>
            </w:r>
          </w:p>
        </w:tc>
        <w:tc>
          <w:tcPr>
            <w:tcW w:w="6100" w:type="dxa"/>
          </w:tcPr>
          <w:p w14:paraId="2D7F3C9C" w14:textId="77777777" w:rsidR="00132D3F" w:rsidRPr="00132D3F" w:rsidRDefault="00132D3F" w:rsidP="00132D3F">
            <w:pPr>
              <w:spacing w:line="276" w:lineRule="auto"/>
              <w:jc w:val="both"/>
              <w:rPr>
                <w:rFonts w:ascii="Verdana" w:eastAsia="Calibri" w:hAnsi="Verdana" w:cs="Arial"/>
                <w:bCs/>
                <w:color w:val="000000"/>
              </w:rPr>
            </w:pPr>
            <w:r w:rsidRPr="00132D3F">
              <w:rPr>
                <w:rFonts w:ascii="Verdana" w:eastAsia="Aptos" w:hAnsi="Verdana" w:cs="Arial"/>
                <w:bCs/>
                <w:color w:val="000000"/>
                <w:lang w:val="es-ES_tradnl"/>
              </w:rPr>
              <w:t xml:space="preserve">DOCUMENTOS TIPO – Fundamento normativo / DOCUMENTOS TIPO – Infraestructura de transporte – Formato 3 – Experiencia / CAUSALES DE RECHAZO – Principio de legalidad – Configuración – Documentos Tipo / DOCUMENTOS TIPO – Infraestructura de transporte – Causales de rechazo de los literales E y H – Interpretación / </w:t>
            </w:r>
            <w:r w:rsidRPr="00132D3F">
              <w:rPr>
                <w:rFonts w:ascii="Verdana" w:eastAsia="Calibri" w:hAnsi="Verdana" w:cs="Arial"/>
                <w:bCs/>
                <w:lang w:val="es-ES" w:eastAsia="es-ES"/>
              </w:rPr>
              <w:t>SUBSANABILIDAD – Aplicación – R</w:t>
            </w:r>
            <w:r w:rsidRPr="00132D3F">
              <w:rPr>
                <w:rFonts w:ascii="Verdana" w:eastAsia="Calibri" w:hAnsi="Verdana" w:cs="Times New Roman"/>
                <w:bCs/>
                <w:lang w:val="es-ES" w:eastAsia="es-ES"/>
              </w:rPr>
              <w:t>egla general</w:t>
            </w:r>
            <w:r w:rsidRPr="00132D3F">
              <w:rPr>
                <w:rFonts w:ascii="Verdana" w:eastAsia="Calibri" w:hAnsi="Verdana" w:cs="Arial"/>
                <w:bCs/>
                <w:lang w:val="es-ES" w:eastAsia="es-ES"/>
              </w:rPr>
              <w:t xml:space="preserve"> – Excepciones / SUBSANABILIDAD – Ley 1882 de 2018 / </w:t>
            </w:r>
            <w:r w:rsidRPr="00132D3F">
              <w:rPr>
                <w:rFonts w:ascii="Verdana" w:eastAsia="Calibri" w:hAnsi="Verdana" w:cs="Arial"/>
                <w:bCs/>
                <w:color w:val="000000"/>
              </w:rPr>
              <w:t xml:space="preserve">SUBSANABILIDAD – Circunstancias posteriores – Cierre del proceso – Prueba </w:t>
            </w:r>
          </w:p>
          <w:p w14:paraId="0544F056" w14:textId="77777777" w:rsidR="00132D3F" w:rsidRPr="00132D3F" w:rsidRDefault="00132D3F" w:rsidP="00132D3F">
            <w:pPr>
              <w:spacing w:line="276" w:lineRule="auto"/>
              <w:jc w:val="both"/>
              <w:rPr>
                <w:rFonts w:ascii="Verdana" w:eastAsia="Calibri" w:hAnsi="Verdana" w:cs="Arial"/>
                <w:bCs/>
                <w:highlight w:val="yellow"/>
                <w:lang w:val="es-ES_tradnl" w:eastAsia="es-ES"/>
              </w:rPr>
            </w:pPr>
          </w:p>
        </w:tc>
      </w:tr>
      <w:tr w:rsidR="00132D3F" w:rsidRPr="00132D3F" w14:paraId="63344F6C" w14:textId="77777777" w:rsidTr="000F4136">
        <w:tc>
          <w:tcPr>
            <w:tcW w:w="2689" w:type="dxa"/>
          </w:tcPr>
          <w:p w14:paraId="5827F118" w14:textId="77777777" w:rsidR="00132D3F" w:rsidRPr="00132D3F" w:rsidRDefault="00132D3F" w:rsidP="00132D3F">
            <w:pPr>
              <w:jc w:val="both"/>
              <w:rPr>
                <w:rFonts w:ascii="Verdana" w:eastAsia="Calibri" w:hAnsi="Verdana" w:cs="Arial"/>
                <w:b/>
                <w:lang w:val="es-ES_tradnl" w:eastAsia="es-ES_tradnl"/>
              </w:rPr>
            </w:pPr>
            <w:r w:rsidRPr="00132D3F">
              <w:rPr>
                <w:rFonts w:ascii="Verdana" w:eastAsia="Calibri" w:hAnsi="Verdana" w:cs="Arial"/>
                <w:b/>
                <w:lang w:val="es-ES_tradnl" w:eastAsia="es-ES_tradnl"/>
              </w:rPr>
              <w:t>Radicación:</w:t>
            </w:r>
            <w:r w:rsidRPr="00132D3F">
              <w:rPr>
                <w:rFonts w:ascii="Verdana" w:eastAsia="Calibri" w:hAnsi="Verdana" w:cs="Arial"/>
                <w:lang w:val="es-ES_tradnl" w:eastAsia="es-ES_tradnl"/>
              </w:rPr>
              <w:t xml:space="preserve">               </w:t>
            </w:r>
          </w:p>
        </w:tc>
        <w:tc>
          <w:tcPr>
            <w:tcW w:w="6100" w:type="dxa"/>
          </w:tcPr>
          <w:p w14:paraId="0F58F825" w14:textId="77777777" w:rsidR="00132D3F" w:rsidRPr="00132D3F" w:rsidRDefault="00132D3F" w:rsidP="00132D3F">
            <w:pPr>
              <w:jc w:val="both"/>
              <w:rPr>
                <w:rFonts w:ascii="Verdana" w:eastAsia="Calibri" w:hAnsi="Verdana" w:cs="Arial"/>
                <w:lang w:val="es-ES_tradnl" w:eastAsia="es-ES_tradnl"/>
              </w:rPr>
            </w:pPr>
            <w:r w:rsidRPr="00132D3F">
              <w:rPr>
                <w:rFonts w:ascii="Verdana" w:eastAsia="Calibri" w:hAnsi="Verdana" w:cs="Arial"/>
                <w:lang w:val="es-ES_tradnl" w:eastAsia="es-ES_tradnl"/>
              </w:rPr>
              <w:t>Respuesta a consulta con radicado No. 1_2025_10_31_012316</w:t>
            </w:r>
          </w:p>
        </w:tc>
      </w:tr>
    </w:tbl>
    <w:p w14:paraId="68D7D3F9" w14:textId="77777777" w:rsidR="00132D3F" w:rsidRPr="00132D3F" w:rsidRDefault="00132D3F" w:rsidP="00132D3F">
      <w:pPr>
        <w:spacing w:after="0" w:line="240" w:lineRule="auto"/>
        <w:jc w:val="both"/>
        <w:rPr>
          <w:rFonts w:ascii="Verdana" w:eastAsia="Calibri" w:hAnsi="Verdana" w:cs="Arial"/>
          <w:lang w:val="es-ES_tradnl" w:eastAsia="es-ES_tradnl"/>
        </w:rPr>
      </w:pPr>
    </w:p>
    <w:p w14:paraId="3AEBED52" w14:textId="77777777" w:rsidR="00132D3F" w:rsidRPr="00132D3F" w:rsidRDefault="00132D3F" w:rsidP="00132D3F">
      <w:pPr>
        <w:spacing w:after="0" w:line="240" w:lineRule="auto"/>
        <w:jc w:val="both"/>
        <w:rPr>
          <w:rFonts w:ascii="Verdana" w:eastAsia="Calibri" w:hAnsi="Verdana" w:cs="Arial"/>
          <w:lang w:val="es-ES_tradnl" w:eastAsia="es-ES_tradnl"/>
        </w:rPr>
      </w:pPr>
    </w:p>
    <w:p w14:paraId="07FC31EB" w14:textId="77777777" w:rsidR="00132D3F" w:rsidRPr="00132D3F" w:rsidRDefault="00132D3F" w:rsidP="00132D3F">
      <w:pPr>
        <w:spacing w:after="0" w:line="276" w:lineRule="auto"/>
        <w:jc w:val="both"/>
        <w:rPr>
          <w:rFonts w:ascii="Verdana" w:eastAsia="Calibri" w:hAnsi="Verdana" w:cs="Arial"/>
          <w:lang w:val="es-ES" w:eastAsia="es-ES"/>
        </w:rPr>
      </w:pPr>
      <w:r w:rsidRPr="00132D3F">
        <w:rPr>
          <w:rFonts w:ascii="Verdana" w:eastAsia="Calibri" w:hAnsi="Verdana" w:cs="Arial"/>
          <w:lang w:val="es-ES" w:eastAsia="es-ES"/>
        </w:rPr>
        <w:t xml:space="preserve">Estimada señora Jiménez Baquero: </w:t>
      </w:r>
    </w:p>
    <w:p w14:paraId="7113B0A7" w14:textId="77777777" w:rsidR="00132D3F" w:rsidRPr="00132D3F" w:rsidRDefault="00132D3F" w:rsidP="00132D3F">
      <w:pPr>
        <w:tabs>
          <w:tab w:val="left" w:pos="3768"/>
        </w:tabs>
        <w:spacing w:after="0" w:line="276" w:lineRule="auto"/>
        <w:jc w:val="both"/>
        <w:rPr>
          <w:rFonts w:ascii="Verdana" w:eastAsia="Calibri" w:hAnsi="Verdana" w:cs="Arial"/>
          <w:lang w:val="es-ES_tradnl" w:eastAsia="es-ES"/>
        </w:rPr>
      </w:pPr>
      <w:r w:rsidRPr="00132D3F">
        <w:rPr>
          <w:rFonts w:ascii="Verdana" w:eastAsia="Calibri" w:hAnsi="Verdana" w:cs="Arial"/>
          <w:lang w:val="es-ES_tradnl" w:eastAsia="es-ES"/>
        </w:rPr>
        <w:tab/>
      </w:r>
    </w:p>
    <w:p w14:paraId="1B6CDDEC" w14:textId="77777777" w:rsidR="00132D3F" w:rsidRPr="00132D3F" w:rsidRDefault="00132D3F" w:rsidP="00132D3F">
      <w:pPr>
        <w:snapToGrid w:val="0"/>
        <w:spacing w:after="0" w:line="276" w:lineRule="auto"/>
        <w:jc w:val="both"/>
        <w:rPr>
          <w:rFonts w:ascii="Verdana" w:eastAsia="Calibri" w:hAnsi="Verdana" w:cs="Arial"/>
          <w:lang w:val="es-ES_tradnl" w:eastAsia="es-ES"/>
        </w:rPr>
      </w:pPr>
      <w:r w:rsidRPr="00132D3F">
        <w:rPr>
          <w:rFonts w:ascii="Verdana" w:eastAsia="Calibri" w:hAnsi="Verdana" w:cs="Arial"/>
          <w:lang w:val="es-ES_tradnl" w:eastAsia="es-ES"/>
        </w:rPr>
        <w:t>En ejercicio de la competencia otorgada por los artículos 3, numeral 5º, y 11, numeral 8º, del Decreto Ley 4170 de 2011,</w:t>
      </w:r>
      <w:r w:rsidRPr="00132D3F">
        <w:rPr>
          <w:rFonts w:ascii="Verdana" w:eastAsia="Arial MT" w:hAnsi="Verdana" w:cs="Arial MT"/>
          <w:lang w:val="es-ES_tradnl" w:eastAsia="es-ES"/>
        </w:rPr>
        <w:t xml:space="preserve"> </w:t>
      </w:r>
      <w:r w:rsidRPr="00132D3F">
        <w:rPr>
          <w:rFonts w:ascii="Verdana" w:eastAsia="Calibri" w:hAnsi="Verdana" w:cs="Arial"/>
          <w:lang w:val="es-ES_tradnl"/>
        </w:rPr>
        <w:t xml:space="preserve">así como lo establecido en el artículo 4 de la Resolución 1707 de 2018 expedida por esta Entidad, </w:t>
      </w:r>
      <w:r w:rsidRPr="00132D3F">
        <w:rPr>
          <w:rFonts w:ascii="Verdana" w:eastAsia="Calibri" w:hAnsi="Verdana" w:cs="Arial"/>
          <w:lang w:val="es-ES_tradnl" w:eastAsia="es-ES"/>
        </w:rPr>
        <w:t>la Agencia Nacional de Contratación Pública –Colombia Compra Eficiente– responde su solicitud de consulta de fecha 30 de octubre de 2025. En relación con los documentos tipo, usted pregunta lo siguiente:</w:t>
      </w:r>
    </w:p>
    <w:p w14:paraId="3A8A65E6" w14:textId="77777777" w:rsidR="00132D3F" w:rsidRPr="00132D3F" w:rsidRDefault="00132D3F" w:rsidP="00132D3F">
      <w:pPr>
        <w:tabs>
          <w:tab w:val="left" w:pos="142"/>
          <w:tab w:val="left" w:pos="1275"/>
        </w:tabs>
        <w:snapToGrid w:val="0"/>
        <w:spacing w:after="0" w:line="276" w:lineRule="auto"/>
        <w:jc w:val="both"/>
        <w:rPr>
          <w:rFonts w:ascii="Verdana" w:eastAsia="Century Gothic" w:hAnsi="Verdana" w:cs="Century Gothic"/>
          <w:b/>
          <w:bCs/>
          <w:lang w:val="es-ES_tradnl"/>
        </w:rPr>
      </w:pPr>
      <w:r w:rsidRPr="00132D3F">
        <w:rPr>
          <w:rFonts w:ascii="Verdana" w:eastAsia="Century Gothic" w:hAnsi="Verdana" w:cs="Century Gothic"/>
          <w:b/>
          <w:bCs/>
          <w:lang w:val="es-ES_tradnl"/>
        </w:rPr>
        <w:tab/>
      </w:r>
      <w:r w:rsidRPr="00132D3F">
        <w:rPr>
          <w:rFonts w:ascii="Verdana" w:eastAsia="Century Gothic" w:hAnsi="Verdana" w:cs="Century Gothic"/>
          <w:b/>
          <w:bCs/>
          <w:lang w:val="es-ES_tradnl"/>
        </w:rPr>
        <w:tab/>
      </w:r>
    </w:p>
    <w:p w14:paraId="6A74071D"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r w:rsidRPr="00132D3F">
        <w:rPr>
          <w:rFonts w:ascii="Verdana" w:eastAsia="Century Gothic" w:hAnsi="Verdana" w:cs="Century Gothic"/>
          <w:sz w:val="21"/>
          <w:szCs w:val="21"/>
          <w:lang w:val="es-ES"/>
        </w:rPr>
        <w:lastRenderedPageBreak/>
        <w:t>“1. ¿Si el oferente en su propuesta inicial presenta mal diligenciado el Formato 3- experiencia y se le solicita la subsanación y no la allega en términos del cronograma planteado, es viable aplicar la CAUSAL DE RECHAZO D) Que el proponente no aclara o aporte documentos necesarios para cumplir un requisito habilitante, o aportándolos no lo haga de forma correcta</w:t>
      </w:r>
    </w:p>
    <w:p w14:paraId="0041C638"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p>
    <w:p w14:paraId="765E0E49"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r w:rsidRPr="00132D3F">
        <w:rPr>
          <w:rFonts w:ascii="Verdana" w:eastAsia="Century Gothic" w:hAnsi="Verdana" w:cs="Century Gothic"/>
          <w:sz w:val="21"/>
          <w:szCs w:val="21"/>
          <w:lang w:val="es-ES"/>
        </w:rPr>
        <w:t>2. ¿Si el oferente en su propuesta inicial presenta mal diligenciado el Formato 3- experiencia y se le solicita la subsanación y la allega pero subsana mal, en las casillas del valor del SMMLV, pero para el comité evaluador es posible verificar la experiencia con los documentos, es viable aplicar la CAUSAL DE RECHAZO D) Que el proponente no aclara o aporte documentos necesarios para cumplir un requisito habilitante, o aportándolos no lo haga de forma correcta, o este formato 3 no es determinante en la habilitación del oferente, es decir no es necesario finalmente su correcto diligenciamiento?</w:t>
      </w:r>
    </w:p>
    <w:p w14:paraId="1156EC5A"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p>
    <w:p w14:paraId="4EB5F4DD"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r w:rsidRPr="00132D3F">
        <w:rPr>
          <w:rFonts w:ascii="Verdana" w:eastAsia="Century Gothic" w:hAnsi="Verdana" w:cs="Century Gothic"/>
          <w:sz w:val="21"/>
          <w:szCs w:val="21"/>
          <w:lang w:val="es-ES"/>
        </w:rPr>
        <w:t>3. ¿El proponente como constructor de su propuesta tiene la obligación de subsanar todo lo enunciado en el informe de la evaluación preliminar, incluidos los formatos que hace parte integral del Pliego Tipo?</w:t>
      </w:r>
    </w:p>
    <w:p w14:paraId="357F96A8"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p>
    <w:p w14:paraId="7AC372BC" w14:textId="77777777" w:rsidR="00132D3F" w:rsidRPr="00132D3F" w:rsidRDefault="00132D3F" w:rsidP="00132D3F">
      <w:pPr>
        <w:snapToGrid w:val="0"/>
        <w:spacing w:after="0" w:line="240" w:lineRule="auto"/>
        <w:ind w:left="720" w:right="709"/>
        <w:jc w:val="both"/>
        <w:rPr>
          <w:rFonts w:ascii="Verdana" w:eastAsia="Century Gothic" w:hAnsi="Verdana" w:cs="Century Gothic"/>
          <w:sz w:val="21"/>
          <w:szCs w:val="21"/>
          <w:lang w:val="es-ES"/>
        </w:rPr>
      </w:pPr>
      <w:r w:rsidRPr="00132D3F">
        <w:rPr>
          <w:rFonts w:ascii="Verdana" w:eastAsia="Century Gothic" w:hAnsi="Verdana" w:cs="Century Gothic"/>
          <w:sz w:val="21"/>
          <w:szCs w:val="21"/>
          <w:lang w:val="es-ES"/>
        </w:rPr>
        <w:t>4. ¿Si en desarrollo del proceso de calificación se evidencia posible falsedad relacionada con la firma del proponente y/o revisor fiscal, es viable la aplicación de la CAUSAL G, en el informe de calificación final, en el entendido que la subsanación presentada difiere de manera notoria posible alteración en las firmas?”</w:t>
      </w:r>
    </w:p>
    <w:p w14:paraId="37158FFB" w14:textId="77777777" w:rsidR="00132D3F" w:rsidRPr="00132D3F" w:rsidRDefault="00132D3F" w:rsidP="00132D3F">
      <w:pPr>
        <w:snapToGrid w:val="0"/>
        <w:spacing w:after="0" w:line="240" w:lineRule="auto"/>
        <w:ind w:left="720" w:right="709"/>
        <w:jc w:val="both"/>
        <w:rPr>
          <w:rFonts w:ascii="Verdana" w:eastAsia="Century Gothic" w:hAnsi="Verdana" w:cs="Century Gothic"/>
          <w:lang w:val="es-ES_tradnl"/>
        </w:rPr>
      </w:pPr>
    </w:p>
    <w:p w14:paraId="5141696C" w14:textId="77777777" w:rsidR="00132D3F" w:rsidRPr="00132D3F" w:rsidRDefault="00132D3F" w:rsidP="00132D3F">
      <w:pPr>
        <w:spacing w:after="120" w:line="276" w:lineRule="auto"/>
        <w:ind w:firstLine="709"/>
        <w:jc w:val="both"/>
        <w:rPr>
          <w:rFonts w:ascii="Verdana" w:eastAsia="Calibri" w:hAnsi="Verdana" w:cs="Arial"/>
          <w:lang w:val="es-ES" w:eastAsia="es-ES"/>
        </w:rPr>
      </w:pPr>
      <w:r w:rsidRPr="00132D3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32D3F">
        <w:rPr>
          <w:rFonts w:ascii="Calibri" w:eastAsia="Calibri" w:hAnsi="Calibri" w:cs="Times New Roman"/>
        </w:rPr>
        <w:tab/>
      </w:r>
    </w:p>
    <w:p w14:paraId="55763AE3" w14:textId="77777777" w:rsidR="00132D3F" w:rsidRPr="00132D3F" w:rsidRDefault="00132D3F" w:rsidP="00132D3F">
      <w:pPr>
        <w:snapToGrid w:val="0"/>
        <w:spacing w:after="0" w:line="276" w:lineRule="auto"/>
        <w:ind w:firstLine="709"/>
        <w:jc w:val="both"/>
        <w:rPr>
          <w:rFonts w:ascii="Verdana" w:eastAsia="Calibri" w:hAnsi="Verdana" w:cs="Arial"/>
          <w:lang w:val="es-ES_tradnl" w:eastAsia="es-ES"/>
        </w:rPr>
      </w:pPr>
      <w:r w:rsidRPr="00132D3F">
        <w:rPr>
          <w:rFonts w:ascii="Verdana" w:eastAsia="Calibri" w:hAnsi="Verdana" w:cs="Arial"/>
          <w:lang w:val="es-ES_tradnl" w:eastAsia="es-ES"/>
        </w:rPr>
        <w:lastRenderedPageBreak/>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3BDEA76" w14:textId="77777777" w:rsidR="00132D3F" w:rsidRPr="00132D3F" w:rsidRDefault="00132D3F" w:rsidP="00132D3F">
      <w:pPr>
        <w:snapToGrid w:val="0"/>
        <w:spacing w:after="0" w:line="276" w:lineRule="auto"/>
        <w:ind w:firstLine="709"/>
        <w:jc w:val="both"/>
        <w:rPr>
          <w:rFonts w:ascii="Verdana" w:eastAsia="Calibri" w:hAnsi="Verdana" w:cs="Arial"/>
          <w:lang w:val="es-ES_tradnl" w:eastAsia="es-ES"/>
        </w:rPr>
      </w:pPr>
    </w:p>
    <w:p w14:paraId="17D87C19" w14:textId="77777777" w:rsidR="00132D3F" w:rsidRPr="00132D3F" w:rsidRDefault="00132D3F" w:rsidP="00132D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32D3F">
        <w:rPr>
          <w:rFonts w:ascii="Verdana" w:eastAsia="Century Gothic" w:hAnsi="Verdana" w:cs="Century Gothic"/>
          <w:b/>
          <w:bCs/>
          <w:lang w:val="es-ES_tradnl"/>
        </w:rPr>
        <w:t>Problema planteado:</w:t>
      </w:r>
    </w:p>
    <w:p w14:paraId="671D8CA4" w14:textId="77777777" w:rsidR="00132D3F" w:rsidRPr="00132D3F" w:rsidRDefault="00132D3F" w:rsidP="00132D3F">
      <w:pPr>
        <w:tabs>
          <w:tab w:val="left" w:pos="426"/>
        </w:tabs>
        <w:snapToGrid w:val="0"/>
        <w:spacing w:after="0" w:line="276" w:lineRule="auto"/>
        <w:jc w:val="both"/>
        <w:rPr>
          <w:rFonts w:ascii="Verdana" w:eastAsia="Century Gothic" w:hAnsi="Verdana" w:cs="Century Gothic"/>
          <w:lang w:val="es-ES_tradnl"/>
        </w:rPr>
      </w:pPr>
    </w:p>
    <w:p w14:paraId="73A96D4E" w14:textId="77777777" w:rsidR="00132D3F" w:rsidRPr="00132D3F" w:rsidRDefault="00132D3F" w:rsidP="00132D3F">
      <w:pPr>
        <w:snapToGrid w:val="0"/>
        <w:spacing w:after="0" w:line="276" w:lineRule="auto"/>
        <w:jc w:val="both"/>
        <w:rPr>
          <w:rFonts w:ascii="Verdana" w:eastAsia="Century Gothic" w:hAnsi="Verdana" w:cs="Century Gothic"/>
          <w:lang w:val="es-ES"/>
        </w:rPr>
      </w:pPr>
      <w:r w:rsidRPr="00132D3F">
        <w:rPr>
          <w:rFonts w:ascii="Verdana" w:eastAsia="Century Gothic" w:hAnsi="Verdana" w:cs="Century Gothic"/>
          <w:lang w:val="es-ES"/>
        </w:rPr>
        <w:t>De acuerdo con el contenido de su solicitud, esta Agencia resolverá los siguientes problemas jurídicos:</w:t>
      </w:r>
    </w:p>
    <w:p w14:paraId="45D34199" w14:textId="77777777" w:rsidR="00132D3F" w:rsidRPr="00132D3F" w:rsidRDefault="00132D3F" w:rsidP="00132D3F">
      <w:pPr>
        <w:snapToGrid w:val="0"/>
        <w:spacing w:after="0" w:line="276" w:lineRule="auto"/>
        <w:jc w:val="both"/>
        <w:rPr>
          <w:rFonts w:ascii="Verdana" w:eastAsia="Century Gothic" w:hAnsi="Verdana" w:cs="Century Gothic"/>
          <w:lang w:val="es-ES"/>
        </w:rPr>
      </w:pPr>
    </w:p>
    <w:p w14:paraId="54885296" w14:textId="77777777" w:rsidR="00132D3F" w:rsidRPr="00132D3F" w:rsidRDefault="00132D3F" w:rsidP="00132D3F">
      <w:pPr>
        <w:numPr>
          <w:ilvl w:val="0"/>
          <w:numId w:val="18"/>
        </w:numPr>
        <w:snapToGrid w:val="0"/>
        <w:spacing w:after="0" w:line="276" w:lineRule="auto"/>
        <w:contextualSpacing/>
        <w:jc w:val="both"/>
        <w:rPr>
          <w:rFonts w:ascii="Verdana" w:eastAsia="Century Gothic" w:hAnsi="Verdana" w:cs="Century Gothic"/>
          <w:lang w:val="es-ES"/>
        </w:rPr>
      </w:pPr>
      <w:r w:rsidRPr="00132D3F">
        <w:rPr>
          <w:rFonts w:ascii="Verdana" w:eastAsia="Century Gothic" w:hAnsi="Verdana" w:cs="Century Gothic"/>
          <w:lang w:val="es-ES"/>
        </w:rPr>
        <w:t>¿Cuál es el alcance de las causales de rechazo de los literales E y H de los documentos tipo de infraestructura de transporte?</w:t>
      </w:r>
    </w:p>
    <w:p w14:paraId="0CD533B0" w14:textId="77777777" w:rsidR="00132D3F" w:rsidRPr="00132D3F" w:rsidRDefault="00132D3F" w:rsidP="00132D3F">
      <w:pPr>
        <w:snapToGrid w:val="0"/>
        <w:spacing w:after="0" w:line="276" w:lineRule="auto"/>
        <w:ind w:left="720"/>
        <w:contextualSpacing/>
        <w:jc w:val="both"/>
        <w:rPr>
          <w:rFonts w:ascii="Verdana" w:eastAsia="Century Gothic" w:hAnsi="Verdana" w:cs="Century Gothic"/>
          <w:lang w:val="es-ES"/>
        </w:rPr>
      </w:pPr>
    </w:p>
    <w:p w14:paraId="6A2CAFB1" w14:textId="77777777" w:rsidR="00132D3F" w:rsidRPr="00132D3F" w:rsidRDefault="00132D3F" w:rsidP="00132D3F">
      <w:pPr>
        <w:numPr>
          <w:ilvl w:val="0"/>
          <w:numId w:val="18"/>
        </w:numPr>
        <w:snapToGrid w:val="0"/>
        <w:spacing w:after="0" w:line="276" w:lineRule="auto"/>
        <w:contextualSpacing/>
        <w:jc w:val="both"/>
        <w:rPr>
          <w:rFonts w:ascii="Verdana" w:eastAsia="Century Gothic" w:hAnsi="Verdana" w:cs="Century Gothic"/>
          <w:lang w:val="es-ES"/>
        </w:rPr>
      </w:pPr>
      <w:r w:rsidRPr="00132D3F">
        <w:rPr>
          <w:rFonts w:ascii="Verdana" w:eastAsia="Century Gothic" w:hAnsi="Verdana" w:cs="Century Gothic"/>
          <w:lang w:val="es-ES"/>
        </w:rPr>
        <w:t xml:space="preserve">¿Cómo opera la regla de </w:t>
      </w:r>
      <w:proofErr w:type="spellStart"/>
      <w:r w:rsidRPr="00132D3F">
        <w:rPr>
          <w:rFonts w:ascii="Verdana" w:eastAsia="Century Gothic" w:hAnsi="Verdana" w:cs="Century Gothic"/>
          <w:lang w:val="es-ES"/>
        </w:rPr>
        <w:t>subsanbilidad</w:t>
      </w:r>
      <w:proofErr w:type="spellEnd"/>
      <w:r w:rsidRPr="00132D3F">
        <w:rPr>
          <w:rFonts w:ascii="Verdana" w:eastAsia="Century Gothic" w:hAnsi="Verdana" w:cs="Century Gothic"/>
          <w:lang w:val="es-ES"/>
        </w:rPr>
        <w:t xml:space="preserve"> en los procesos de contratación adelantados con documentos tipo?</w:t>
      </w:r>
    </w:p>
    <w:p w14:paraId="4F5D0173" w14:textId="77777777" w:rsidR="00132D3F" w:rsidRPr="00132D3F" w:rsidRDefault="00132D3F" w:rsidP="00132D3F">
      <w:pPr>
        <w:snapToGrid w:val="0"/>
        <w:spacing w:after="0" w:line="276" w:lineRule="auto"/>
        <w:jc w:val="both"/>
        <w:rPr>
          <w:rFonts w:ascii="Verdana" w:eastAsia="Century Gothic" w:hAnsi="Verdana" w:cs="Century Gothic"/>
          <w:lang w:val="es-ES_tradnl"/>
        </w:rPr>
      </w:pPr>
    </w:p>
    <w:p w14:paraId="3E0D850D" w14:textId="77777777" w:rsidR="00132D3F" w:rsidRPr="00132D3F" w:rsidRDefault="00132D3F" w:rsidP="00132D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32D3F">
        <w:rPr>
          <w:rFonts w:ascii="Verdana" w:eastAsia="Century Gothic" w:hAnsi="Verdana" w:cs="Century Gothic"/>
          <w:b/>
          <w:bCs/>
          <w:lang w:val="es-ES_tradnl"/>
        </w:rPr>
        <w:t>Respuesta:</w:t>
      </w:r>
    </w:p>
    <w:p w14:paraId="27B60942" w14:textId="77777777" w:rsidR="00132D3F" w:rsidRPr="00132D3F" w:rsidRDefault="00132D3F" w:rsidP="00132D3F">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32D3F" w:rsidRPr="00132D3F" w14:paraId="3F1ACF27" w14:textId="77777777" w:rsidTr="6CD5CE64">
        <w:tc>
          <w:tcPr>
            <w:tcW w:w="8828" w:type="dxa"/>
          </w:tcPr>
          <w:p w14:paraId="0D8DF209" w14:textId="77777777" w:rsidR="00132D3F" w:rsidRPr="00132D3F" w:rsidRDefault="00132D3F" w:rsidP="00132D3F">
            <w:pPr>
              <w:snapToGrid w:val="0"/>
              <w:spacing w:line="276" w:lineRule="auto"/>
              <w:jc w:val="both"/>
              <w:rPr>
                <w:rFonts w:ascii="Verdana" w:eastAsia="Times New Roman" w:hAnsi="Verdana" w:cs="Aptos"/>
                <w:color w:val="000000"/>
                <w:lang w:val="es-ES" w:eastAsia="es-MX"/>
              </w:rPr>
            </w:pPr>
            <w:r w:rsidRPr="00132D3F">
              <w:rPr>
                <w:rFonts w:ascii="Verdana" w:eastAsia="Times New Roman" w:hAnsi="Verdana" w:cs="Aptos"/>
                <w:color w:val="000000"/>
                <w:lang w:val="es-ES_tradnl" w:eastAsia="es-MX"/>
              </w:rPr>
              <w:t>i. El numeral 3.5 “EXPERIENCIA” del documento base de los documentos tipo de infraestructura de transporte indica que los proponentes deben acreditar la experiencia a través de los siguientes documentos:</w:t>
            </w:r>
            <w:r w:rsidRPr="00132D3F">
              <w:rPr>
                <w:rFonts w:ascii="Verdana" w:eastAsia="Aptos" w:hAnsi="Verdana" w:cs="Aptos"/>
                <w:color w:val="000000"/>
                <w:lang w:val="es-MX"/>
              </w:rPr>
              <w:t xml:space="preserve"> </w:t>
            </w:r>
            <w:r w:rsidRPr="00132D3F">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132D3F">
              <w:rPr>
                <w:rFonts w:ascii="Verdana" w:eastAsia="Times New Roman" w:hAnsi="Verdana" w:cs="Aptos"/>
                <w:color w:val="000000"/>
                <w:lang w:val="es-ES" w:eastAsia="es-MX"/>
              </w:rPr>
              <w:t xml:space="preserve">Adicionalmente, en el numeral </w:t>
            </w:r>
            <w:r w:rsidRPr="00132D3F">
              <w:rPr>
                <w:rFonts w:ascii="Verdana" w:eastAsia="Times New Roman" w:hAnsi="Verdana" w:cs="Aptos"/>
                <w:iCs/>
                <w:color w:val="000000"/>
                <w:lang w:val="es-ES" w:eastAsia="es-MX"/>
              </w:rPr>
              <w:t xml:space="preserve">3.5.5 “ACREDITACIÓN DE LA EXPERIENCIA REQUERIDA” </w:t>
            </w:r>
            <w:r w:rsidRPr="00132D3F">
              <w:rPr>
                <w:rFonts w:ascii="Verdana" w:eastAsia="Times New Roman" w:hAnsi="Verdana" w:cs="Aptos"/>
                <w:color w:val="000000"/>
                <w:lang w:val="es-ES" w:eastAsia="es-MX"/>
              </w:rPr>
              <w:t>señala la información que deben presentar los proponentes para efectos de acreditar la experiencia en cada uno de los contratos que se presenten. En consecuencia, el Formato 3 – Experiencia debe ser presentado por los proponentes con su oferta.</w:t>
            </w:r>
          </w:p>
          <w:p w14:paraId="198AFA92" w14:textId="77777777" w:rsidR="00132D3F" w:rsidRPr="00132D3F" w:rsidRDefault="00132D3F" w:rsidP="00132D3F">
            <w:pPr>
              <w:snapToGrid w:val="0"/>
              <w:spacing w:line="276" w:lineRule="auto"/>
              <w:jc w:val="both"/>
              <w:rPr>
                <w:rFonts w:ascii="Verdana" w:eastAsia="Times New Roman" w:hAnsi="Verdana" w:cs="Aptos"/>
                <w:i/>
                <w:iCs/>
                <w:color w:val="000000"/>
                <w:sz w:val="21"/>
                <w:szCs w:val="21"/>
                <w:lang w:val="es-ES_tradnl" w:eastAsia="es-MX"/>
              </w:rPr>
            </w:pPr>
          </w:p>
          <w:p w14:paraId="03BB6878" w14:textId="77777777" w:rsidR="00132D3F" w:rsidRPr="00132D3F" w:rsidRDefault="00132D3F" w:rsidP="00132D3F">
            <w:pPr>
              <w:spacing w:after="120" w:line="276" w:lineRule="auto"/>
              <w:jc w:val="both"/>
              <w:rPr>
                <w:rFonts w:ascii="Verdana" w:eastAsia="Calibri" w:hAnsi="Verdana" w:cs="Arial"/>
                <w:bCs/>
              </w:rPr>
            </w:pPr>
            <w:proofErr w:type="spellStart"/>
            <w:r w:rsidRPr="00132D3F">
              <w:rPr>
                <w:rFonts w:ascii="Verdana" w:eastAsia="Aptos" w:hAnsi="Verdana" w:cs="Arial"/>
                <w:color w:val="000000"/>
                <w:lang w:val="es-ES"/>
              </w:rPr>
              <w:t>ii</w:t>
            </w:r>
            <w:proofErr w:type="spellEnd"/>
            <w:r w:rsidRPr="00132D3F">
              <w:rPr>
                <w:rFonts w:ascii="Verdana" w:eastAsia="Aptos" w:hAnsi="Verdana" w:cs="Arial"/>
                <w:color w:val="000000"/>
                <w:lang w:val="es-ES"/>
              </w:rPr>
              <w:t>. L</w:t>
            </w:r>
            <w:r w:rsidRPr="00132D3F">
              <w:rPr>
                <w:rFonts w:ascii="Verdana" w:eastAsia="Calibri" w:hAnsi="Verdana" w:cs="Arial"/>
                <w:bCs/>
                <w:lang w:val="es-ES_tradnl"/>
              </w:rPr>
              <w:t>a causal</w:t>
            </w:r>
            <w:r w:rsidRPr="00132D3F">
              <w:rPr>
                <w:rFonts w:ascii="Verdana" w:eastAsia="Calibri" w:hAnsi="Verdana" w:cs="Arial"/>
                <w:bCs/>
              </w:rPr>
              <w:t xml:space="preserve"> de rechazo contenida en el literal H del numeral 1.15 de los documentos tipo de infraestructura de transporte, aplica en los supuestos en que la</w:t>
            </w:r>
            <w:r w:rsidRPr="00132D3F">
              <w:rPr>
                <w:rFonts w:ascii="Verdana" w:eastAsia="Aptos" w:hAnsi="Verdana" w:cs="Arial"/>
              </w:rPr>
              <w:t xml:space="preserve"> Entidad Estatal, en ejercicio de su derecho de verificar integralmente la </w:t>
            </w:r>
            <w:r w:rsidRPr="00132D3F">
              <w:rPr>
                <w:rFonts w:ascii="Verdana" w:eastAsia="Aptos" w:hAnsi="Verdana" w:cs="Arial"/>
              </w:rPr>
              <w:lastRenderedPageBreak/>
              <w:t xml:space="preserve">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47A36443" w14:textId="77777777" w:rsidR="00132D3F" w:rsidRPr="00132D3F" w:rsidRDefault="00132D3F" w:rsidP="6CD5CE64">
            <w:pPr>
              <w:spacing w:line="276" w:lineRule="auto"/>
              <w:ind w:firstLine="709"/>
              <w:jc w:val="both"/>
              <w:rPr>
                <w:rFonts w:ascii="Verdana" w:eastAsia="Aptos" w:hAnsi="Verdana" w:cs="Arial"/>
                <w:color w:val="000000"/>
                <w:lang w:val="es-ES"/>
              </w:rPr>
            </w:pPr>
            <w:r w:rsidRPr="6CD5CE64">
              <w:rPr>
                <w:rFonts w:ascii="Verdana" w:eastAsia="Aptos" w:hAnsi="Verdana" w:cs="Arial"/>
                <w:color w:val="000000" w:themeColor="text1"/>
                <w:lang w:val="es-ES"/>
              </w:rPr>
              <w:t>Por su parte, la causal de rechazo del literal E aplica cuando, a pesar de que la Entidad Estatal haya requerido al proponente para subsanar o aclarar o aportar un documento, este no lo hace dentro del plazo indicado o en la forma adecuada, siempre y cuando se trate de un aspecto necesario para acreditar los requisitos habilitantes del proceso de contratación. De esta manera, la interpretación y aplicación de esta causal debe realizarse teniendo en cuenta lo dispuesto en el numeral 1.6 del pliego de condiciones tipo, por lo que solo será procedente el rechazo previo al otorgamiento de la oportunidad para subsanar o aclarar las ofertas, cuando ello sea procedente.</w:t>
            </w:r>
          </w:p>
          <w:p w14:paraId="624A3FAC" w14:textId="77777777" w:rsidR="00132D3F" w:rsidRPr="00132D3F" w:rsidRDefault="00132D3F" w:rsidP="00132D3F">
            <w:pPr>
              <w:spacing w:line="276" w:lineRule="auto"/>
              <w:ind w:firstLine="709"/>
              <w:jc w:val="both"/>
              <w:rPr>
                <w:rFonts w:ascii="Verdana" w:eastAsia="Aptos" w:hAnsi="Verdana" w:cs="Arial"/>
                <w:color w:val="000000"/>
                <w:lang w:val="es-ES_tradnl"/>
              </w:rPr>
            </w:pPr>
          </w:p>
          <w:p w14:paraId="55798173" w14:textId="77777777" w:rsidR="00132D3F" w:rsidRPr="00132D3F" w:rsidRDefault="00132D3F" w:rsidP="00132D3F">
            <w:pPr>
              <w:spacing w:after="120" w:line="276" w:lineRule="auto"/>
              <w:jc w:val="both"/>
              <w:rPr>
                <w:rFonts w:ascii="Verdana" w:eastAsia="Times New Roman" w:hAnsi="Verdana" w:cs="Arial"/>
                <w:lang w:val="es-ES" w:eastAsia="es-ES"/>
              </w:rPr>
            </w:pPr>
            <w:proofErr w:type="spellStart"/>
            <w:r w:rsidRPr="00132D3F">
              <w:rPr>
                <w:rFonts w:ascii="Verdana" w:eastAsia="Times New Roman" w:hAnsi="Verdana" w:cs="Arial"/>
                <w:lang w:val="es-ES" w:eastAsia="es-ES"/>
              </w:rPr>
              <w:t>iii</w:t>
            </w:r>
            <w:proofErr w:type="spellEnd"/>
            <w:r w:rsidRPr="00132D3F">
              <w:rPr>
                <w:rFonts w:ascii="Verdana" w:eastAsia="Times New Roman" w:hAnsi="Verdana" w:cs="Arial"/>
                <w:lang w:val="es-ES" w:eastAsia="es-ES"/>
              </w:rPr>
              <w:t xml:space="preserve">. 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3167FC0F" w14:textId="77777777" w:rsidR="00132D3F" w:rsidRPr="00132D3F" w:rsidRDefault="00132D3F" w:rsidP="6CD5CE64">
            <w:pPr>
              <w:spacing w:after="120" w:line="276" w:lineRule="auto"/>
              <w:ind w:firstLine="709"/>
              <w:jc w:val="both"/>
              <w:rPr>
                <w:rFonts w:ascii="Verdana" w:eastAsia="Times New Roman" w:hAnsi="Verdana" w:cs="Arial"/>
                <w:lang w:val="es-ES" w:eastAsia="es-ES"/>
              </w:rPr>
            </w:pPr>
            <w:r w:rsidRPr="6CD5CE64">
              <w:rPr>
                <w:rFonts w:ascii="Verdana" w:eastAsia="Times New Roman" w:hAnsi="Verdana" w:cs="Arial"/>
                <w:lang w:val="es-ES" w:eastAsia="es-ES"/>
              </w:rPr>
              <w:t>Así las cosas,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7D3D98C6"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En virtud de lo anterior, corresponderá a la entidad establecer si es procedente la subsanación en un caso particular, teniendo presente que no </w:t>
            </w:r>
            <w:r w:rsidRPr="00132D3F">
              <w:rPr>
                <w:rFonts w:ascii="Verdana" w:eastAsia="Times New Roman" w:hAnsi="Verdana" w:cs="Arial"/>
                <w:lang w:val="es-ES" w:eastAsia="es-ES"/>
              </w:rPr>
              <w:lastRenderedPageBreak/>
              <w:t>puede recaer sobre aspectos que otorgan puntaje o la acreditación de circunstancias ocurridas con posterioridad al cierre del proceso de selección.</w:t>
            </w:r>
          </w:p>
        </w:tc>
      </w:tr>
    </w:tbl>
    <w:p w14:paraId="0289E250" w14:textId="77777777" w:rsidR="00132D3F" w:rsidRPr="00132D3F" w:rsidRDefault="00132D3F" w:rsidP="00132D3F">
      <w:pPr>
        <w:tabs>
          <w:tab w:val="left" w:pos="142"/>
          <w:tab w:val="left" w:pos="284"/>
        </w:tabs>
        <w:snapToGrid w:val="0"/>
        <w:spacing w:after="0" w:line="276" w:lineRule="auto"/>
        <w:jc w:val="both"/>
        <w:rPr>
          <w:rFonts w:ascii="Verdana" w:eastAsia="Century Gothic" w:hAnsi="Verdana" w:cs="Century Gothic"/>
          <w:b/>
          <w:bCs/>
          <w:lang w:val="es-ES_tradnl"/>
        </w:rPr>
      </w:pPr>
    </w:p>
    <w:p w14:paraId="7EBBD40D" w14:textId="77777777" w:rsidR="00132D3F" w:rsidRPr="00132D3F" w:rsidRDefault="00132D3F" w:rsidP="00132D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32D3F">
        <w:rPr>
          <w:rFonts w:ascii="Verdana" w:eastAsia="Century Gothic" w:hAnsi="Verdana" w:cs="Century Gothic"/>
          <w:b/>
          <w:bCs/>
          <w:lang w:val="es-ES_tradnl"/>
        </w:rPr>
        <w:t>Razones de la respuesta:</w:t>
      </w:r>
    </w:p>
    <w:p w14:paraId="06C2F163" w14:textId="77777777" w:rsidR="00132D3F" w:rsidRPr="00132D3F" w:rsidRDefault="00132D3F" w:rsidP="00132D3F">
      <w:pPr>
        <w:snapToGrid w:val="0"/>
        <w:spacing w:after="0" w:line="276" w:lineRule="auto"/>
        <w:jc w:val="both"/>
        <w:rPr>
          <w:rFonts w:ascii="Verdana" w:eastAsia="Calibri" w:hAnsi="Verdana" w:cs="Arial"/>
          <w:lang w:val="es-ES_tradnl"/>
        </w:rPr>
      </w:pPr>
    </w:p>
    <w:p w14:paraId="7FB31457" w14:textId="77777777" w:rsidR="00132D3F" w:rsidRPr="00132D3F" w:rsidRDefault="00132D3F" w:rsidP="00132D3F">
      <w:pPr>
        <w:snapToGrid w:val="0"/>
        <w:spacing w:after="0" w:line="276" w:lineRule="auto"/>
        <w:jc w:val="both"/>
        <w:rPr>
          <w:rFonts w:ascii="Verdana" w:eastAsia="Calibri" w:hAnsi="Verdana" w:cs="Arial"/>
          <w:lang w:val="es-ES_tradnl"/>
        </w:rPr>
      </w:pPr>
      <w:r w:rsidRPr="00132D3F">
        <w:rPr>
          <w:rFonts w:ascii="Verdana" w:eastAsia="Calibri" w:hAnsi="Verdana" w:cs="Arial"/>
          <w:lang w:val="es-ES_tradnl"/>
        </w:rPr>
        <w:t xml:space="preserve">Lo anterior se sustenta en las siguientes consideraciones: </w:t>
      </w:r>
    </w:p>
    <w:p w14:paraId="14204259" w14:textId="77777777" w:rsidR="00132D3F" w:rsidRPr="00132D3F" w:rsidRDefault="00132D3F" w:rsidP="00132D3F">
      <w:pPr>
        <w:snapToGrid w:val="0"/>
        <w:spacing w:after="0" w:line="276" w:lineRule="auto"/>
        <w:jc w:val="both"/>
        <w:rPr>
          <w:rFonts w:ascii="Verdana" w:eastAsia="Calibri" w:hAnsi="Verdana" w:cs="Arial"/>
          <w:lang w:val="es-ES_tradnl"/>
        </w:rPr>
      </w:pPr>
    </w:p>
    <w:p w14:paraId="349E03CF" w14:textId="77777777" w:rsidR="00132D3F" w:rsidRPr="00132D3F" w:rsidRDefault="00132D3F" w:rsidP="00132D3F">
      <w:pPr>
        <w:snapToGrid w:val="0"/>
        <w:spacing w:after="0" w:line="276" w:lineRule="auto"/>
        <w:jc w:val="both"/>
        <w:rPr>
          <w:rFonts w:ascii="Verdana" w:eastAsia="Calibri" w:hAnsi="Verdana" w:cs="Arial"/>
          <w:lang w:val="es-ES_tradnl"/>
        </w:rPr>
      </w:pPr>
      <w:r w:rsidRPr="00132D3F">
        <w:rPr>
          <w:rFonts w:ascii="Verdana" w:eastAsia="Calibri" w:hAnsi="Verdana" w:cs="Arial"/>
          <w:lang w:val="es-ES_tradnl"/>
        </w:rPr>
        <w:t>i. 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D04EDDF" w14:textId="77777777" w:rsidR="00132D3F" w:rsidRPr="00132D3F" w:rsidRDefault="00132D3F" w:rsidP="00132D3F">
      <w:pPr>
        <w:snapToGrid w:val="0"/>
        <w:spacing w:before="120" w:after="0" w:line="276" w:lineRule="auto"/>
        <w:ind w:firstLine="709"/>
        <w:jc w:val="both"/>
        <w:rPr>
          <w:rFonts w:ascii="Verdana" w:eastAsia="Calibri" w:hAnsi="Verdana" w:cs="Times New Roman"/>
          <w:lang w:val="es-ES"/>
        </w:rPr>
      </w:pPr>
      <w:r w:rsidRPr="00132D3F">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31265D67" w14:textId="77777777" w:rsidR="00132D3F" w:rsidRPr="00132D3F" w:rsidRDefault="00132D3F" w:rsidP="00132D3F">
      <w:pPr>
        <w:snapToGrid w:val="0"/>
        <w:spacing w:before="120" w:after="0" w:line="276" w:lineRule="auto"/>
        <w:ind w:firstLine="709"/>
        <w:jc w:val="both"/>
        <w:rPr>
          <w:rFonts w:ascii="Verdana" w:eastAsia="Calibri" w:hAnsi="Verdana" w:cs="Arial"/>
          <w:lang w:val="es-ES_tradnl"/>
        </w:rPr>
      </w:pPr>
      <w:r w:rsidRPr="00132D3F">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132D3F">
        <w:rPr>
          <w:rFonts w:ascii="Verdana" w:eastAsia="Calibri" w:hAnsi="Verdana" w:cs="Times New Roman"/>
          <w:vertAlign w:val="superscript"/>
          <w:lang w:val="es-ES_tradnl"/>
        </w:rPr>
        <w:footnoteReference w:id="1"/>
      </w:r>
      <w:r w:rsidRPr="00132D3F">
        <w:rPr>
          <w:rFonts w:ascii="Verdana" w:eastAsia="Calibri" w:hAnsi="Verdana" w:cs="Times New Roman"/>
          <w:lang w:val="es-ES_tradnl"/>
        </w:rPr>
        <w:t xml:space="preserve"> </w:t>
      </w:r>
    </w:p>
    <w:p w14:paraId="27DA06A5" w14:textId="77777777" w:rsidR="00132D3F" w:rsidRPr="00132D3F" w:rsidRDefault="00132D3F" w:rsidP="00132D3F">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132D3F">
        <w:rPr>
          <w:rFonts w:ascii="Verdana" w:eastAsia="Times New Roman" w:hAnsi="Verdana" w:cs="Arial"/>
          <w:kern w:val="2"/>
          <w:shd w:val="clear" w:color="auto" w:fill="FFFFFF"/>
          <w:lang w:val="es-ES" w:eastAsia="es-ES"/>
          <w14:ligatures w14:val="standardContextual"/>
        </w:rPr>
        <w:t xml:space="preserve">Es importante resaltar que, en virtud de la regla de inalterabilidad, los Documentos Tipo solo pueden ser modificados en los aspectos en que estos lo permitan. Esto corresponde a aquellos apartados que se encuentran entre </w:t>
      </w:r>
      <w:r w:rsidRPr="00132D3F">
        <w:rPr>
          <w:rFonts w:ascii="Verdana" w:eastAsia="Times New Roman" w:hAnsi="Verdana" w:cs="Arial"/>
          <w:kern w:val="2"/>
          <w:shd w:val="clear" w:color="auto" w:fill="FFFFFF"/>
          <w:lang w:val="es-ES" w:eastAsia="es-ES"/>
          <w14:ligatures w14:val="standardContextual"/>
        </w:rPr>
        <w:lastRenderedPageBreak/>
        <w:t>corchetes y resaltados en gris –</w:t>
      </w:r>
      <w:r w:rsidRPr="00132D3F">
        <w:rPr>
          <w:rFonts w:ascii="Verdana" w:eastAsia="Times New Roman" w:hAnsi="Verdana" w:cs="Arial"/>
          <w:kern w:val="2"/>
          <w:highlight w:val="lightGray"/>
          <w:shd w:val="clear" w:color="auto" w:fill="FFFFFF"/>
          <w:lang w:val="es-ES" w:eastAsia="es-ES"/>
          <w14:ligatures w14:val="standardContextual"/>
        </w:rPr>
        <w:t>[texto]</w:t>
      </w:r>
      <w:r w:rsidRPr="00132D3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723DB3B1" w14:textId="77777777" w:rsidR="00132D3F" w:rsidRPr="00132D3F" w:rsidRDefault="00132D3F" w:rsidP="00132D3F">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132D3F">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44237FA4" w14:textId="77777777" w:rsidR="00132D3F" w:rsidRPr="00132D3F" w:rsidRDefault="00132D3F" w:rsidP="00132D3F">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132D3F">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0E4979D" w14:textId="77777777" w:rsidR="00132D3F" w:rsidRPr="00132D3F" w:rsidRDefault="00132D3F" w:rsidP="00132D3F">
      <w:pPr>
        <w:snapToGrid w:val="0"/>
        <w:spacing w:after="120" w:line="276" w:lineRule="auto"/>
        <w:ind w:firstLine="709"/>
        <w:jc w:val="both"/>
        <w:rPr>
          <w:rFonts w:ascii="Verdana" w:eastAsia="Calibri" w:hAnsi="Verdana" w:cs="Times New Roman"/>
          <w:lang w:val="es-ES"/>
        </w:rPr>
      </w:pPr>
      <w:r w:rsidRPr="00132D3F">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132D3F">
        <w:rPr>
          <w:rFonts w:ascii="Verdana" w:eastAsia="Calibri" w:hAnsi="Verdana" w:cs="Times New Roman"/>
          <w:lang w:val="es-ES"/>
        </w:rPr>
        <w:t>ii</w:t>
      </w:r>
      <w:proofErr w:type="spellEnd"/>
      <w:r w:rsidRPr="00132D3F">
        <w:rPr>
          <w:rFonts w:ascii="Verdana" w:eastAsia="Calibri" w:hAnsi="Verdana" w:cs="Times New Roman"/>
          <w:lang w:val="es-ES"/>
        </w:rPr>
        <w:t xml:space="preserve">) la actividad a contratar y </w:t>
      </w:r>
      <w:proofErr w:type="spellStart"/>
      <w:r w:rsidRPr="00132D3F">
        <w:rPr>
          <w:rFonts w:ascii="Verdana" w:eastAsia="Calibri" w:hAnsi="Verdana" w:cs="Times New Roman"/>
          <w:lang w:val="es-ES"/>
        </w:rPr>
        <w:t>iii</w:t>
      </w:r>
      <w:proofErr w:type="spellEnd"/>
      <w:r w:rsidRPr="00132D3F">
        <w:rPr>
          <w:rFonts w:ascii="Verdana" w:eastAsia="Calibri" w:hAnsi="Verdana" w:cs="Times New Roman"/>
          <w:lang w:val="es-ES"/>
        </w:rPr>
        <w:t>) la cuantía del proceso de contratación.</w:t>
      </w:r>
    </w:p>
    <w:p w14:paraId="7C991E20" w14:textId="77777777" w:rsidR="00132D3F" w:rsidRPr="00132D3F" w:rsidRDefault="00132D3F" w:rsidP="00132D3F">
      <w:pPr>
        <w:snapToGrid w:val="0"/>
        <w:spacing w:after="0" w:line="276" w:lineRule="auto"/>
        <w:ind w:firstLine="709"/>
        <w:jc w:val="both"/>
        <w:rPr>
          <w:rFonts w:ascii="Verdana" w:eastAsia="Times New Roman" w:hAnsi="Verdana" w:cs="Aptos"/>
          <w:i/>
          <w:iCs/>
          <w:color w:val="000000"/>
          <w:sz w:val="21"/>
          <w:szCs w:val="21"/>
          <w:lang w:val="es-ES_tradnl" w:eastAsia="es-MX"/>
        </w:rPr>
      </w:pPr>
      <w:r w:rsidRPr="00132D3F">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132D3F">
        <w:rPr>
          <w:rFonts w:ascii="Verdana" w:eastAsia="Aptos" w:hAnsi="Verdana" w:cs="Aptos"/>
          <w:color w:val="000000"/>
          <w:lang w:val="es-MX"/>
        </w:rPr>
        <w:t xml:space="preserve"> </w:t>
      </w:r>
      <w:r w:rsidRPr="00132D3F">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132D3F">
        <w:rPr>
          <w:rFonts w:ascii="Verdana" w:eastAsia="Times New Roman" w:hAnsi="Verdana" w:cs="Aptos"/>
          <w:color w:val="000000"/>
          <w:lang w:val="es-ES" w:eastAsia="es-MX"/>
        </w:rPr>
        <w:t xml:space="preserve">Adicionalmente, en el numeral </w:t>
      </w:r>
      <w:r w:rsidRPr="00132D3F">
        <w:rPr>
          <w:rFonts w:ascii="Verdana" w:eastAsia="Times New Roman" w:hAnsi="Verdana" w:cs="Aptos"/>
          <w:iCs/>
          <w:color w:val="000000"/>
          <w:lang w:val="es-ES" w:eastAsia="es-MX"/>
        </w:rPr>
        <w:t xml:space="preserve">3.5.5 “ACREDITACIÓN DE LA EXPERIENCIA REQUERIDA” </w:t>
      </w:r>
      <w:r w:rsidRPr="00132D3F">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1925A564" w14:textId="77777777" w:rsidR="00132D3F" w:rsidRPr="00132D3F" w:rsidRDefault="00132D3F" w:rsidP="00132D3F">
      <w:pPr>
        <w:snapToGrid w:val="0"/>
        <w:spacing w:after="0" w:line="276" w:lineRule="auto"/>
        <w:jc w:val="both"/>
        <w:rPr>
          <w:rFonts w:ascii="Verdana" w:eastAsia="Calibri" w:hAnsi="Verdana" w:cs="Arial"/>
          <w:lang w:val="es-ES_tradnl"/>
        </w:rPr>
      </w:pPr>
    </w:p>
    <w:p w14:paraId="5446B93B" w14:textId="77777777" w:rsidR="00132D3F" w:rsidRPr="00132D3F" w:rsidRDefault="00132D3F" w:rsidP="6CD5CE64">
      <w:pPr>
        <w:snapToGrid w:val="0"/>
        <w:spacing w:after="120" w:line="276" w:lineRule="auto"/>
        <w:jc w:val="both"/>
        <w:rPr>
          <w:rFonts w:ascii="Verdana" w:eastAsia="Calibri" w:hAnsi="Verdana" w:cs="Arial"/>
          <w:lang w:val="es-ES"/>
        </w:rPr>
      </w:pPr>
      <w:proofErr w:type="spellStart"/>
      <w:r w:rsidRPr="6CD5CE64">
        <w:rPr>
          <w:rFonts w:ascii="Verdana" w:eastAsia="Calibri" w:hAnsi="Verdana" w:cs="Arial"/>
          <w:lang w:val="es-ES"/>
        </w:rPr>
        <w:t>ii</w:t>
      </w:r>
      <w:proofErr w:type="spellEnd"/>
      <w:r w:rsidRPr="6CD5CE64">
        <w:rPr>
          <w:rFonts w:ascii="Verdana" w:eastAsia="Calibri" w:hAnsi="Verdana" w:cs="Arial"/>
          <w:lang w:val="es-ES"/>
        </w:rPr>
        <w:t xml:space="preserve">. La Agencia Nacional de Contratación Pública – Colombia Compra Eficiente expidió los documentos tipo para procesos de contratación de obra pública de infraestructura de transporte adelantados bajo las modalidades de selección de </w:t>
      </w:r>
      <w:r w:rsidRPr="6CD5CE64">
        <w:rPr>
          <w:rFonts w:ascii="Verdana" w:eastAsia="Calibri" w:hAnsi="Verdana" w:cs="Arial"/>
          <w:lang w:val="es-ES"/>
        </w:rPr>
        <w:lastRenderedPageBreak/>
        <w:t>licitación pública –versión 4–, selección abreviada de menor cuantía –versión 3– y mínima cuantía –versión 2 con modificaciones–, mediante las resoluciones 465, 463 y 464 de 2024, respectivamente. Estos documentos tipo entraron en vigor para procesos de contratación cuyo aviso de convocatoria o invitación se publique a partir del 3 de febrero de 2025.</w:t>
      </w:r>
      <w:r w:rsidRPr="6CD5CE64">
        <w:rPr>
          <w:rFonts w:ascii="Verdana" w:eastAsia="Calibri" w:hAnsi="Verdana" w:cs="Arial"/>
          <w:vertAlign w:val="superscript"/>
          <w:lang w:val="es-ES"/>
        </w:rPr>
        <w:footnoteReference w:id="2"/>
      </w:r>
    </w:p>
    <w:p w14:paraId="383CE659" w14:textId="77777777" w:rsidR="00132D3F" w:rsidRPr="00132D3F" w:rsidRDefault="00132D3F" w:rsidP="00132D3F">
      <w:pPr>
        <w:snapToGrid w:val="0"/>
        <w:spacing w:after="0" w:line="276" w:lineRule="auto"/>
        <w:ind w:firstLine="709"/>
        <w:jc w:val="both"/>
        <w:rPr>
          <w:rFonts w:ascii="Verdana" w:eastAsia="Calibri" w:hAnsi="Verdana" w:cs="Arial"/>
          <w:kern w:val="2"/>
          <w:lang w:val="es-ES"/>
          <w14:ligatures w14:val="standardContextual"/>
        </w:rPr>
      </w:pPr>
      <w:r w:rsidRPr="00132D3F">
        <w:rPr>
          <w:rFonts w:ascii="Verdana" w:eastAsia="Calibri" w:hAnsi="Verdana" w:cs="Arial"/>
          <w:kern w:val="2"/>
          <w:lang w:val="es-ES_tradnl"/>
          <w14:ligatures w14:val="standardContextual"/>
        </w:rPr>
        <w:t>Es importante señalar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132D3F">
        <w:rPr>
          <w:rFonts w:ascii="Verdana" w:eastAsia="Calibri" w:hAnsi="Verdana" w:cs="Arial"/>
          <w:i/>
          <w:iCs/>
          <w:kern w:val="2"/>
          <w:vertAlign w:val="superscript"/>
          <w:lang w:val="es-ES_tradnl"/>
          <w14:ligatures w14:val="standardContextual"/>
        </w:rPr>
        <w:footnoteReference w:id="3"/>
      </w:r>
      <w:r w:rsidRPr="00132D3F">
        <w:rPr>
          <w:rFonts w:ascii="Verdana" w:eastAsia="Calibri" w:hAnsi="Verdana" w:cs="Arial"/>
          <w:kern w:val="2"/>
          <w:lang w:val="es-ES_tradnl"/>
          <w14:ligatures w14:val="standardContextual"/>
        </w:rPr>
        <w:t xml:space="preserve"> señala:</w:t>
      </w:r>
    </w:p>
    <w:p w14:paraId="135DBCFA" w14:textId="77777777" w:rsidR="00132D3F" w:rsidRPr="00132D3F" w:rsidRDefault="00132D3F" w:rsidP="00132D3F">
      <w:pPr>
        <w:tabs>
          <w:tab w:val="left" w:pos="709"/>
        </w:tabs>
        <w:spacing w:after="0" w:line="276" w:lineRule="auto"/>
        <w:jc w:val="both"/>
        <w:rPr>
          <w:rFonts w:ascii="Verdana" w:eastAsia="Calibri" w:hAnsi="Verdana" w:cs="Arial"/>
          <w:kern w:val="2"/>
          <w:lang w:val="es-ES_tradnl"/>
          <w14:ligatures w14:val="standardContextual"/>
        </w:rPr>
      </w:pPr>
    </w:p>
    <w:p w14:paraId="0E2771BB" w14:textId="77777777" w:rsidR="00132D3F" w:rsidRPr="00132D3F" w:rsidRDefault="00132D3F" w:rsidP="00132D3F">
      <w:pPr>
        <w:tabs>
          <w:tab w:val="left" w:pos="709"/>
        </w:tabs>
        <w:spacing w:after="0" w:line="240" w:lineRule="auto"/>
        <w:ind w:left="709" w:right="709"/>
        <w:jc w:val="both"/>
        <w:rPr>
          <w:rFonts w:ascii="Verdana" w:eastAsia="Calibri" w:hAnsi="Verdana" w:cs="Arial"/>
          <w:kern w:val="2"/>
          <w:sz w:val="21"/>
          <w:szCs w:val="21"/>
          <w:lang w:val="es-ES"/>
          <w14:ligatures w14:val="standardContextual"/>
        </w:rPr>
      </w:pPr>
      <w:r w:rsidRPr="00132D3F">
        <w:rPr>
          <w:rFonts w:ascii="Verdana" w:eastAsia="Calibri" w:hAnsi="Verdana" w:cs="Arial"/>
          <w:kern w:val="2"/>
          <w:sz w:val="21"/>
          <w:szCs w:val="21"/>
          <w:lang w:val="es-ES"/>
          <w14:ligatures w14:val="standardContextual"/>
        </w:rPr>
        <w:t xml:space="preserve">“Quiere con esto destacar la Sala que las causales de rechazo de las propuestas pueden ser legales y por lo mismo generan el efecto del descarte o exclusión de la oferta </w:t>
      </w:r>
      <w:proofErr w:type="spellStart"/>
      <w:r w:rsidRPr="00132D3F">
        <w:rPr>
          <w:rFonts w:ascii="Verdana" w:eastAsia="Calibri" w:hAnsi="Verdana" w:cs="Arial"/>
          <w:kern w:val="2"/>
          <w:sz w:val="21"/>
          <w:szCs w:val="21"/>
          <w:lang w:val="es-ES"/>
          <w14:ligatures w14:val="standardContextual"/>
        </w:rPr>
        <w:t>ope</w:t>
      </w:r>
      <w:proofErr w:type="spellEnd"/>
      <w:r w:rsidRPr="00132D3F">
        <w:rPr>
          <w:rFonts w:ascii="Verdana" w:eastAsia="Calibri" w:hAnsi="Verdana" w:cs="Arial"/>
          <w:kern w:val="2"/>
          <w:sz w:val="21"/>
          <w:szCs w:val="21"/>
          <w:lang w:val="es-ES"/>
          <w14:ligatures w14:val="standardContextual"/>
        </w:rPr>
        <w:t xml:space="preserve"> </w:t>
      </w:r>
      <w:proofErr w:type="spellStart"/>
      <w:r w:rsidRPr="00132D3F">
        <w:rPr>
          <w:rFonts w:ascii="Verdana" w:eastAsia="Calibri" w:hAnsi="Verdana" w:cs="Arial"/>
          <w:kern w:val="2"/>
          <w:sz w:val="21"/>
          <w:szCs w:val="21"/>
          <w:lang w:val="es-ES"/>
          <w14:ligatures w14:val="standardContextual"/>
        </w:rPr>
        <w:t>legis</w:t>
      </w:r>
      <w:proofErr w:type="spellEnd"/>
      <w:r w:rsidRPr="00132D3F">
        <w:rPr>
          <w:rFonts w:ascii="Verdana" w:eastAsia="Calibri" w:hAnsi="Verdana" w:cs="Arial"/>
          <w:kern w:val="2"/>
          <w:sz w:val="21"/>
          <w:szCs w:val="21"/>
          <w:lang w:val="es-ES"/>
          <w14:ligatures w14:val="standardContextual"/>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1A42BB2C" w14:textId="77777777" w:rsidR="00132D3F" w:rsidRPr="00132D3F" w:rsidRDefault="00132D3F" w:rsidP="00132D3F">
      <w:pPr>
        <w:spacing w:after="0" w:line="276" w:lineRule="auto"/>
        <w:ind w:firstLine="708"/>
        <w:jc w:val="both"/>
        <w:rPr>
          <w:rFonts w:ascii="Verdana" w:eastAsia="Calibri" w:hAnsi="Verdana" w:cs="Arial"/>
          <w:kern w:val="2"/>
          <w:lang w:val="es-ES_tradnl"/>
          <w14:ligatures w14:val="standardContextual"/>
        </w:rPr>
      </w:pPr>
    </w:p>
    <w:p w14:paraId="0D134F38" w14:textId="77777777" w:rsidR="00132D3F" w:rsidRPr="00132D3F" w:rsidRDefault="00132D3F" w:rsidP="00132D3F">
      <w:pPr>
        <w:snapToGrid w:val="0"/>
        <w:spacing w:after="0" w:line="276" w:lineRule="auto"/>
        <w:ind w:firstLine="709"/>
        <w:jc w:val="both"/>
        <w:rPr>
          <w:rFonts w:ascii="Verdana" w:eastAsia="Calibri" w:hAnsi="Verdana" w:cs="Arial"/>
          <w:kern w:val="2"/>
          <w:lang w:val="es-ES_tradnl"/>
          <w14:ligatures w14:val="standardContextual"/>
        </w:rPr>
      </w:pPr>
      <w:bookmarkStart w:id="1" w:name="_Hlk207200434"/>
      <w:r w:rsidRPr="00132D3F">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132D3F">
        <w:rPr>
          <w:rFonts w:ascii="Aptos" w:eastAsia="Aptos" w:hAnsi="Aptos" w:cs="Times New Roman"/>
          <w:i/>
          <w:kern w:val="2"/>
          <w:sz w:val="24"/>
          <w:szCs w:val="24"/>
          <w:vertAlign w:val="superscript"/>
          <w:lang w:val="es-ES_tradnl"/>
          <w14:ligatures w14:val="standardContextual"/>
        </w:rPr>
        <w:footnoteReference w:id="4"/>
      </w:r>
      <w:r w:rsidRPr="00132D3F">
        <w:rPr>
          <w:rFonts w:ascii="Verdana" w:eastAsia="Calibri" w:hAnsi="Verdana" w:cs="Arial"/>
          <w:kern w:val="2"/>
          <w:lang w:val="es-ES_tradnl"/>
          <w14:ligatures w14:val="standardContextual"/>
        </w:rPr>
        <w:t xml:space="preserve"> sostuvo: </w:t>
      </w:r>
    </w:p>
    <w:bookmarkEnd w:id="1"/>
    <w:p w14:paraId="38D2CEB7" w14:textId="77777777" w:rsidR="00132D3F" w:rsidRPr="00132D3F" w:rsidRDefault="00132D3F" w:rsidP="00132D3F">
      <w:pPr>
        <w:spacing w:after="0" w:line="276" w:lineRule="auto"/>
        <w:ind w:left="709" w:right="709"/>
        <w:jc w:val="both"/>
        <w:rPr>
          <w:rFonts w:ascii="Verdana" w:eastAsia="Times New Roman" w:hAnsi="Verdana" w:cs="Arial"/>
          <w:bCs/>
          <w:iCs/>
          <w:kern w:val="2"/>
          <w:lang w:val="es-ES_tradnl" w:eastAsia="es-MX"/>
          <w14:ligatures w14:val="standardContextual"/>
        </w:rPr>
      </w:pPr>
    </w:p>
    <w:p w14:paraId="0A51253D" w14:textId="77777777" w:rsidR="00132D3F" w:rsidRPr="00132D3F" w:rsidRDefault="00132D3F" w:rsidP="00132D3F">
      <w:pPr>
        <w:spacing w:after="0" w:line="240" w:lineRule="auto"/>
        <w:ind w:left="709" w:right="709"/>
        <w:jc w:val="both"/>
        <w:rPr>
          <w:rFonts w:ascii="Verdana" w:eastAsia="Times New Roman" w:hAnsi="Verdana" w:cs="Arial"/>
          <w:bCs/>
          <w:iCs/>
          <w:kern w:val="2"/>
          <w:sz w:val="21"/>
          <w:szCs w:val="21"/>
          <w:lang w:val="es-ES_tradnl" w:eastAsia="es-MX"/>
          <w14:ligatures w14:val="standardContextual"/>
        </w:rPr>
      </w:pPr>
      <w:r w:rsidRPr="00132D3F">
        <w:rPr>
          <w:rFonts w:ascii="Verdana" w:eastAsia="Times New Roman" w:hAnsi="Verdana" w:cs="Arial"/>
          <w:bCs/>
          <w:iCs/>
          <w:kern w:val="2"/>
          <w:sz w:val="21"/>
          <w:szCs w:val="21"/>
          <w:lang w:val="es-ES_tradnl" w:eastAsia="es-MX"/>
          <w14:ligatures w14:val="standardContextual"/>
        </w:rPr>
        <w:lastRenderedPageBreak/>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60E5812" w14:textId="77777777" w:rsidR="00132D3F" w:rsidRPr="00132D3F" w:rsidRDefault="00132D3F" w:rsidP="00132D3F">
      <w:pPr>
        <w:spacing w:after="0" w:line="276" w:lineRule="auto"/>
        <w:ind w:left="709" w:right="709"/>
        <w:jc w:val="both"/>
        <w:rPr>
          <w:rFonts w:ascii="Verdana" w:eastAsia="Times New Roman" w:hAnsi="Verdana" w:cs="Arial"/>
          <w:bCs/>
          <w:iCs/>
          <w:kern w:val="2"/>
          <w:lang w:val="es-ES_tradnl" w:eastAsia="es-MX"/>
          <w14:ligatures w14:val="standardContextual"/>
        </w:rPr>
      </w:pPr>
    </w:p>
    <w:p w14:paraId="4F558C3F" w14:textId="77777777" w:rsidR="00132D3F" w:rsidRPr="00132D3F" w:rsidRDefault="00132D3F" w:rsidP="00132D3F">
      <w:pPr>
        <w:snapToGrid w:val="0"/>
        <w:spacing w:after="120" w:line="276" w:lineRule="auto"/>
        <w:ind w:firstLine="709"/>
        <w:jc w:val="both"/>
        <w:rPr>
          <w:rFonts w:ascii="Verdana" w:eastAsia="Calibri" w:hAnsi="Verdana" w:cs="Arial"/>
          <w:kern w:val="2"/>
          <w:lang w:val="es-ES"/>
          <w14:ligatures w14:val="standardContextual"/>
        </w:rPr>
      </w:pPr>
      <w:r w:rsidRPr="00132D3F">
        <w:rPr>
          <w:rFonts w:ascii="Verdana" w:eastAsia="Calibri" w:hAnsi="Verdana" w:cs="Arial"/>
          <w:kern w:val="2"/>
          <w:lang w:val="es-ES"/>
          <w14:ligatures w14:val="standardContextual"/>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1FF22155" w14:textId="77777777" w:rsidR="00132D3F" w:rsidRPr="00132D3F" w:rsidRDefault="00132D3F" w:rsidP="00132D3F">
      <w:pPr>
        <w:spacing w:after="120" w:line="276" w:lineRule="auto"/>
        <w:ind w:firstLine="709"/>
        <w:jc w:val="both"/>
        <w:rPr>
          <w:rFonts w:ascii="Verdana" w:eastAsia="Calibri" w:hAnsi="Verdana" w:cs="Arial"/>
          <w:kern w:val="2"/>
          <w:lang w:val="es-ES_tradnl"/>
          <w14:ligatures w14:val="standardContextual"/>
        </w:rPr>
      </w:pPr>
      <w:r w:rsidRPr="00132D3F">
        <w:rPr>
          <w:rFonts w:ascii="Verdana" w:eastAsia="Calibri" w:hAnsi="Verdana" w:cs="Arial"/>
          <w:lang w:val="es-MX" w:eastAsia="es-MX"/>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26F5888E" w14:textId="77777777" w:rsidR="00132D3F" w:rsidRPr="00132D3F" w:rsidRDefault="00132D3F" w:rsidP="00132D3F">
      <w:pPr>
        <w:spacing w:after="0" w:line="276" w:lineRule="auto"/>
        <w:ind w:firstLine="709"/>
        <w:jc w:val="both"/>
        <w:rPr>
          <w:rFonts w:ascii="Verdana" w:eastAsia="Calibri" w:hAnsi="Verdana" w:cs="Arial"/>
          <w:bCs/>
        </w:rPr>
      </w:pPr>
      <w:r w:rsidRPr="00132D3F">
        <w:rPr>
          <w:rFonts w:ascii="Verdana" w:eastAsia="Aptos" w:hAnsi="Verdana" w:cs="Arial"/>
          <w:color w:val="000000"/>
          <w:kern w:val="2"/>
          <w:bdr w:val="none" w:sz="0" w:space="0" w:color="auto" w:frame="1"/>
          <w:lang w:val="es-ES_tradnl"/>
          <w14:ligatures w14:val="standardContextual"/>
        </w:rPr>
        <w:t xml:space="preserve">Ahora bien, los documentos tipo contienen parámetros obligatorios para las entidades estatales sometidas al Estatuto General de Contratación de la Administración Pública que adelanten la tipología contractual que estos se </w:t>
      </w:r>
      <w:r w:rsidRPr="00132D3F">
        <w:rPr>
          <w:rFonts w:ascii="Verdana" w:eastAsia="Aptos" w:hAnsi="Verdana" w:cs="Arial"/>
          <w:color w:val="000000"/>
          <w:kern w:val="2"/>
          <w:bdr w:val="none" w:sz="0" w:space="0" w:color="auto" w:frame="1"/>
          <w:lang w:val="es-ES_tradnl"/>
          <w14:ligatures w14:val="standardContextual"/>
        </w:rPr>
        <w:lastRenderedPageBreak/>
        <w:t>encarguen de desarrollar. En la versión 4 de los documentos tipo de licitación pública de obra de infraestructura de transporte</w:t>
      </w:r>
      <w:r w:rsidRPr="00132D3F">
        <w:rPr>
          <w:rFonts w:ascii="Verdana" w:eastAsia="Aptos" w:hAnsi="Verdana" w:cs="Arial"/>
          <w:color w:val="000000"/>
          <w:kern w:val="2"/>
          <w:bdr w:val="none" w:sz="0" w:space="0" w:color="auto" w:frame="1"/>
          <w:vertAlign w:val="superscript"/>
          <w:lang w:val="es-ES_tradnl"/>
          <w14:ligatures w14:val="standardContextual"/>
        </w:rPr>
        <w:footnoteReference w:id="5"/>
      </w:r>
      <w:r w:rsidRPr="00132D3F">
        <w:rPr>
          <w:rFonts w:ascii="Verdana" w:eastAsia="Aptos" w:hAnsi="Verdana" w:cs="Arial"/>
          <w:color w:val="000000"/>
          <w:kern w:val="2"/>
          <w:bdr w:val="none" w:sz="0" w:space="0" w:color="auto" w:frame="1"/>
          <w:lang w:val="es-ES_tradnl"/>
          <w14:ligatures w14:val="standardContextual"/>
        </w:rPr>
        <w:t>, se incluyeron las causales de rechazo de las ofertas</w:t>
      </w:r>
      <w:r w:rsidRPr="00132D3F">
        <w:rPr>
          <w:rFonts w:ascii="Verdana" w:eastAsia="Calibri" w:hAnsi="Verdana" w:cs="Arial"/>
          <w:bCs/>
        </w:rPr>
        <w:t xml:space="preserve">, entre ellas, la relacionada con la presente consulta –causal H–, la cual se transcribe en los siguientes términos:    </w:t>
      </w:r>
    </w:p>
    <w:p w14:paraId="34847EC9" w14:textId="77777777" w:rsidR="00132D3F" w:rsidRPr="00132D3F" w:rsidRDefault="00132D3F" w:rsidP="00132D3F">
      <w:pPr>
        <w:spacing w:after="0" w:line="240" w:lineRule="auto"/>
        <w:ind w:left="709" w:right="709"/>
        <w:jc w:val="both"/>
        <w:rPr>
          <w:rFonts w:ascii="Verdana" w:eastAsia="Calibri" w:hAnsi="Verdana" w:cs="Arial"/>
          <w:bCs/>
          <w:sz w:val="21"/>
          <w:szCs w:val="21"/>
        </w:rPr>
      </w:pPr>
    </w:p>
    <w:p w14:paraId="5A00BEA2" w14:textId="77777777" w:rsidR="00132D3F" w:rsidRPr="00132D3F" w:rsidRDefault="00132D3F" w:rsidP="00132D3F">
      <w:pPr>
        <w:spacing w:after="0" w:line="240" w:lineRule="auto"/>
        <w:ind w:left="709" w:right="709"/>
        <w:jc w:val="both"/>
        <w:rPr>
          <w:rFonts w:ascii="Verdana" w:eastAsia="Calibri" w:hAnsi="Verdana" w:cs="Arial"/>
          <w:bCs/>
          <w:sz w:val="21"/>
          <w:szCs w:val="21"/>
        </w:rPr>
      </w:pPr>
      <w:r w:rsidRPr="00132D3F">
        <w:rPr>
          <w:rFonts w:ascii="Verdana" w:eastAsia="Calibri" w:hAnsi="Verdana" w:cs="Arial"/>
          <w:bCs/>
          <w:sz w:val="21"/>
          <w:szCs w:val="21"/>
        </w:rPr>
        <w:t xml:space="preserve">“H. Que el proponente aporte información inexacta sobre la cual pueda existir una posible falsedad en los términos de la sección 1.11 del Documento Base”. </w:t>
      </w:r>
    </w:p>
    <w:p w14:paraId="699E2FFB" w14:textId="77777777" w:rsidR="00132D3F" w:rsidRPr="00132D3F" w:rsidRDefault="00132D3F" w:rsidP="00132D3F">
      <w:pPr>
        <w:spacing w:after="0" w:line="240" w:lineRule="auto"/>
        <w:ind w:left="709" w:right="709"/>
        <w:jc w:val="both"/>
        <w:rPr>
          <w:rFonts w:ascii="Verdana" w:eastAsia="Calibri" w:hAnsi="Verdana" w:cs="Arial"/>
          <w:bCs/>
          <w:sz w:val="21"/>
          <w:szCs w:val="21"/>
        </w:rPr>
      </w:pPr>
    </w:p>
    <w:p w14:paraId="74A395EF" w14:textId="77777777" w:rsidR="00132D3F" w:rsidRPr="00132D3F" w:rsidRDefault="00132D3F" w:rsidP="00132D3F">
      <w:pPr>
        <w:spacing w:after="0" w:line="276" w:lineRule="auto"/>
        <w:ind w:firstLine="709"/>
        <w:jc w:val="both"/>
        <w:rPr>
          <w:rFonts w:ascii="Verdana" w:eastAsia="Calibri" w:hAnsi="Verdana" w:cs="Arial"/>
          <w:bCs/>
        </w:rPr>
      </w:pPr>
      <w:r w:rsidRPr="00132D3F">
        <w:rPr>
          <w:rFonts w:ascii="Verdana" w:eastAsia="Calibri" w:hAnsi="Verdana" w:cs="Arial"/>
          <w:bCs/>
        </w:rPr>
        <w:t xml:space="preserve">Esta Agencia ha señalado que, esta causal de rechazo aplica cuando el proponente aporta información inexacta, de acuerdo con lo señalado en el numeral 1.11. del documento base: </w:t>
      </w:r>
    </w:p>
    <w:p w14:paraId="42BBE54A" w14:textId="77777777" w:rsidR="00132D3F" w:rsidRPr="00132D3F" w:rsidRDefault="00132D3F" w:rsidP="00132D3F">
      <w:pPr>
        <w:spacing w:after="0" w:line="276" w:lineRule="auto"/>
        <w:jc w:val="both"/>
        <w:rPr>
          <w:rFonts w:ascii="Arial" w:eastAsia="Calibri" w:hAnsi="Arial" w:cs="Arial"/>
          <w:lang w:val="es-MX"/>
        </w:rPr>
      </w:pPr>
    </w:p>
    <w:p w14:paraId="3D581E47" w14:textId="77777777" w:rsidR="00132D3F" w:rsidRPr="00132D3F" w:rsidRDefault="00132D3F" w:rsidP="00132D3F">
      <w:pPr>
        <w:spacing w:after="120" w:line="240" w:lineRule="auto"/>
        <w:ind w:left="709" w:right="709"/>
        <w:jc w:val="both"/>
        <w:rPr>
          <w:rFonts w:ascii="Verdana" w:eastAsia="Calibri" w:hAnsi="Verdana" w:cs="Arial"/>
          <w:b/>
          <w:bCs/>
          <w:sz w:val="21"/>
          <w:szCs w:val="21"/>
        </w:rPr>
      </w:pPr>
      <w:bookmarkStart w:id="2" w:name="_Toc508648251"/>
      <w:bookmarkStart w:id="3" w:name="_Toc508984035"/>
      <w:bookmarkStart w:id="4" w:name="_Toc509843865"/>
      <w:bookmarkStart w:id="5" w:name="_Toc511924773"/>
      <w:bookmarkStart w:id="6" w:name="_Toc520226862"/>
      <w:bookmarkStart w:id="7" w:name="_Toc520297832"/>
      <w:bookmarkStart w:id="8" w:name="_Toc520317097"/>
      <w:bookmarkStart w:id="9" w:name="_Toc533083698"/>
      <w:bookmarkStart w:id="10" w:name="_Ref4940712"/>
      <w:bookmarkStart w:id="11" w:name="_Toc5006129"/>
      <w:r w:rsidRPr="00132D3F">
        <w:rPr>
          <w:rFonts w:ascii="Verdana" w:eastAsia="Calibri" w:hAnsi="Verdana" w:cs="Arial"/>
          <w:sz w:val="21"/>
          <w:szCs w:val="21"/>
        </w:rPr>
        <w:t>“</w:t>
      </w:r>
      <w:r w:rsidRPr="00132D3F">
        <w:rPr>
          <w:rFonts w:ascii="Verdana" w:eastAsia="Calibri" w:hAnsi="Verdana" w:cs="Arial"/>
          <w:b/>
          <w:bCs/>
          <w:sz w:val="21"/>
          <w:szCs w:val="21"/>
        </w:rPr>
        <w:t>1.11</w:t>
      </w:r>
      <w:bookmarkEnd w:id="2"/>
      <w:bookmarkEnd w:id="3"/>
      <w:bookmarkEnd w:id="4"/>
      <w:bookmarkEnd w:id="5"/>
      <w:bookmarkEnd w:id="6"/>
      <w:bookmarkEnd w:id="7"/>
      <w:bookmarkEnd w:id="8"/>
      <w:bookmarkEnd w:id="9"/>
      <w:bookmarkEnd w:id="10"/>
      <w:bookmarkEnd w:id="11"/>
      <w:r w:rsidRPr="00132D3F">
        <w:rPr>
          <w:rFonts w:ascii="Verdana" w:eastAsia="Calibri" w:hAnsi="Verdana" w:cs="Arial"/>
          <w:b/>
          <w:bCs/>
          <w:sz w:val="21"/>
          <w:szCs w:val="21"/>
        </w:rPr>
        <w:t>. INFORMACIÓN INEXACTA</w:t>
      </w:r>
    </w:p>
    <w:p w14:paraId="788E4DD3" w14:textId="77777777" w:rsidR="00132D3F" w:rsidRPr="00132D3F" w:rsidRDefault="00132D3F" w:rsidP="00132D3F">
      <w:pPr>
        <w:spacing w:after="120" w:line="240" w:lineRule="auto"/>
        <w:ind w:left="709" w:right="709"/>
        <w:jc w:val="both"/>
        <w:rPr>
          <w:rFonts w:ascii="Verdana" w:eastAsia="Calibri" w:hAnsi="Verdana" w:cs="Arial"/>
          <w:sz w:val="21"/>
          <w:szCs w:val="21"/>
        </w:rPr>
      </w:pPr>
      <w:r w:rsidRPr="00132D3F">
        <w:rPr>
          <w:rFonts w:ascii="Verdana" w:eastAsia="Calibri" w:hAnsi="Verdana" w:cs="Arial"/>
          <w:sz w:val="21"/>
          <w:szCs w:val="21"/>
        </w:rPr>
        <w:t xml:space="preserve">La entidad se reserva el derecho de verificar integralmente la información aportada por el proponente. Para esto, puede acudir a las autoridades, personas, empresas o entidades   respectivas. </w:t>
      </w:r>
    </w:p>
    <w:p w14:paraId="064C9529" w14:textId="77777777" w:rsidR="00132D3F" w:rsidRPr="00132D3F" w:rsidRDefault="00132D3F" w:rsidP="00132D3F">
      <w:pPr>
        <w:spacing w:after="120" w:line="240" w:lineRule="auto"/>
        <w:ind w:left="709" w:right="709"/>
        <w:jc w:val="both"/>
        <w:rPr>
          <w:rFonts w:ascii="Verdana" w:eastAsia="Calibri" w:hAnsi="Verdana" w:cs="Arial"/>
          <w:sz w:val="21"/>
          <w:szCs w:val="21"/>
        </w:rPr>
      </w:pPr>
      <w:r w:rsidRPr="00132D3F">
        <w:rPr>
          <w:rFonts w:ascii="Verdana" w:eastAsia="Calibri" w:hAnsi="Verdana" w:cs="Arial"/>
          <w:sz w:val="21"/>
          <w:szCs w:val="21"/>
        </w:rPr>
        <w:t xml:space="preserve">Cuando exista inconsistencia entre la información suministrada por el proponente y la verificada por la entidad, la información que pretende demostrar el proponente se tendrá por no acreditada. </w:t>
      </w:r>
    </w:p>
    <w:p w14:paraId="430302F6" w14:textId="77777777" w:rsidR="00132D3F" w:rsidRPr="00132D3F" w:rsidRDefault="00132D3F" w:rsidP="00132D3F">
      <w:pPr>
        <w:spacing w:after="0" w:line="240" w:lineRule="auto"/>
        <w:ind w:left="709" w:right="709"/>
        <w:jc w:val="both"/>
        <w:rPr>
          <w:rFonts w:ascii="Verdana" w:eastAsia="Calibri" w:hAnsi="Verdana" w:cs="Arial"/>
          <w:sz w:val="21"/>
          <w:szCs w:val="21"/>
        </w:rPr>
      </w:pPr>
      <w:r w:rsidRPr="00132D3F">
        <w:rPr>
          <w:rFonts w:ascii="Verdana" w:eastAsia="Calibri" w:hAnsi="Verdana" w:cs="Arial"/>
          <w:sz w:val="21"/>
          <w:szCs w:val="21"/>
        </w:rPr>
        <w:t>La entidad compulsará copias a las autoridades competentes en aquellos eventos en los cuales la información aportada tenga inconsistencias sobre las cuales pueda existir una posible falsedad, sin que el proponente haya demostrado lo contrario, y rechazará la oferta”.</w:t>
      </w:r>
    </w:p>
    <w:p w14:paraId="659572A1" w14:textId="77777777" w:rsidR="00132D3F" w:rsidRPr="00132D3F" w:rsidRDefault="00132D3F" w:rsidP="00132D3F">
      <w:pPr>
        <w:spacing w:after="0" w:line="276" w:lineRule="auto"/>
        <w:jc w:val="both"/>
        <w:rPr>
          <w:rFonts w:ascii="Arial" w:eastAsia="Calibri" w:hAnsi="Arial" w:cs="Arial"/>
        </w:rPr>
      </w:pPr>
    </w:p>
    <w:p w14:paraId="315B6D78" w14:textId="77777777" w:rsidR="00132D3F" w:rsidRPr="00132D3F" w:rsidRDefault="00132D3F" w:rsidP="00132D3F">
      <w:pPr>
        <w:spacing w:after="120" w:line="276" w:lineRule="auto"/>
        <w:ind w:firstLine="709"/>
        <w:jc w:val="both"/>
        <w:rPr>
          <w:rFonts w:ascii="Verdana" w:eastAsia="Calibri" w:hAnsi="Verdana" w:cs="Arial"/>
          <w:bCs/>
        </w:rPr>
      </w:pPr>
      <w:r w:rsidRPr="00132D3F">
        <w:rPr>
          <w:rFonts w:ascii="Verdana" w:eastAsia="Calibri" w:hAnsi="Verdana" w:cs="Arial"/>
          <w:bCs/>
        </w:rPr>
        <w:t xml:space="preserve">Este numeral faculta a la entidad estatal para verificar la información aportada por el proponente, para lo cual podrá acudir a las autoridades, personas, empresas o entidades que estén en posición de verificar la información. No obstante, tal verificación es potestativa, no obligatoria, ya que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 Conforme a </w:t>
      </w:r>
      <w:r w:rsidRPr="00132D3F">
        <w:rPr>
          <w:rFonts w:ascii="Verdana" w:eastAsia="Calibri" w:hAnsi="Verdana" w:cs="Arial"/>
          <w:bCs/>
        </w:rPr>
        <w:lastRenderedPageBreak/>
        <w:t>ello, la prerrogativa de verificación es una herramienta para que la Administración adquiera certeza en el cumplimiento de los requisitos del procedimiento de selección y del comportamiento leal que se exige a los proponentes.</w:t>
      </w:r>
    </w:p>
    <w:p w14:paraId="1B836C6A" w14:textId="77777777" w:rsidR="00132D3F" w:rsidRPr="00132D3F" w:rsidRDefault="00132D3F" w:rsidP="00132D3F">
      <w:pPr>
        <w:spacing w:after="120" w:line="276" w:lineRule="auto"/>
        <w:ind w:firstLine="709"/>
        <w:jc w:val="both"/>
        <w:rPr>
          <w:rFonts w:ascii="Verdana" w:eastAsia="Calibri" w:hAnsi="Verdana" w:cs="Arial"/>
          <w:bCs/>
        </w:rPr>
      </w:pPr>
      <w:r w:rsidRPr="00132D3F">
        <w:rPr>
          <w:rFonts w:ascii="Verdana" w:eastAsia="Calibri" w:hAnsi="Verdana" w:cs="Arial"/>
          <w:bCs/>
          <w:kern w:val="2"/>
          <w:lang w:val="es-ES_tradnl"/>
          <w14:ligatures w14:val="standardContextual"/>
        </w:rPr>
        <w:t>En este sentido, la causal</w:t>
      </w:r>
      <w:r w:rsidRPr="00132D3F">
        <w:rPr>
          <w:rFonts w:ascii="Verdana" w:eastAsia="Calibri" w:hAnsi="Verdana" w:cs="Arial"/>
          <w:bCs/>
          <w:kern w:val="2"/>
          <w14:ligatures w14:val="standardContextual"/>
        </w:rPr>
        <w:t xml:space="preserve"> de rechazo contenida en el literal H del numeral 1.15 de los documentos tipo </w:t>
      </w:r>
      <w:r w:rsidRPr="00132D3F">
        <w:rPr>
          <w:rFonts w:ascii="Verdana" w:eastAsia="Calibri" w:hAnsi="Verdana" w:cs="Arial"/>
          <w:bCs/>
        </w:rPr>
        <w:t>de infraestructura de transporte</w:t>
      </w:r>
      <w:r w:rsidRPr="00132D3F">
        <w:rPr>
          <w:rFonts w:ascii="Verdana" w:eastAsia="Calibri" w:hAnsi="Verdana" w:cs="Arial"/>
          <w:bCs/>
          <w:kern w:val="2"/>
          <w14:ligatures w14:val="standardContextual"/>
        </w:rPr>
        <w:t>, aplica en los supuestos en que la</w:t>
      </w:r>
      <w:r w:rsidRPr="00132D3F">
        <w:rPr>
          <w:rFonts w:ascii="Verdana" w:eastAsia="Aptos" w:hAnsi="Verdana" w:cs="Arial"/>
          <w:kern w:val="2"/>
          <w14:ligatures w14:val="standardContextual"/>
        </w:rPr>
        <w:t xml:space="preserve"> Entidad Estatal, en ejercicio de su derecho de verificar integralmente la información aportada por el Proponente, evidencie que existe una inconsistencia entre la información suministrada por el Proponente y la efectivamente verificada por la Entidad, cuya consecuencia será que la información que pretende demostrar el Proponente se tendrá por no acreditada y la Entidad Estatal además deberá compulsar copias a las autoridades competentes en aquellos eventos en los cuales la información aportada tenga inconsistencias sobre las cuales pueda existir una presunta falsedad, sin que el Proponente haya demostrado lo contrario, y procederá a rechazar la oferta. </w:t>
      </w:r>
    </w:p>
    <w:p w14:paraId="1BE2CD7E" w14:textId="77777777" w:rsidR="00132D3F" w:rsidRPr="00132D3F" w:rsidRDefault="00132D3F" w:rsidP="00132D3F">
      <w:pPr>
        <w:spacing w:after="120" w:line="276" w:lineRule="auto"/>
        <w:ind w:firstLine="709"/>
        <w:jc w:val="both"/>
        <w:rPr>
          <w:rFonts w:ascii="Verdana" w:eastAsia="Aptos" w:hAnsi="Verdana" w:cs="Arial"/>
          <w:kern w:val="2"/>
          <w:lang w:val="es-MX" w:eastAsia="es-CO"/>
          <w14:ligatures w14:val="standardContextual"/>
        </w:rPr>
      </w:pPr>
      <w:r w:rsidRPr="00132D3F">
        <w:rPr>
          <w:rFonts w:ascii="Verdana" w:eastAsia="Aptos" w:hAnsi="Verdana" w:cs="Arial"/>
          <w:kern w:val="2"/>
          <w:lang w:eastAsia="es-CO"/>
          <w14:ligatures w14:val="standardContextual"/>
        </w:rPr>
        <w:t>Según</w:t>
      </w:r>
      <w:r w:rsidRPr="00132D3F">
        <w:rPr>
          <w:rFonts w:ascii="Verdana" w:eastAsia="Aptos" w:hAnsi="Verdana" w:cs="Arial"/>
          <w:kern w:val="2"/>
          <w:lang w:val="es-MX" w:eastAsia="es-CO"/>
          <w14:ligatures w14:val="standardContextual"/>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66F209FA" w14:textId="77777777" w:rsidR="00132D3F" w:rsidRPr="00132D3F" w:rsidRDefault="00132D3F" w:rsidP="00132D3F">
      <w:pPr>
        <w:spacing w:after="120" w:line="276" w:lineRule="auto"/>
        <w:ind w:firstLine="709"/>
        <w:jc w:val="both"/>
        <w:rPr>
          <w:rFonts w:ascii="Verdana" w:eastAsia="Calibri" w:hAnsi="Verdana" w:cs="Arial"/>
          <w:kern w:val="2"/>
          <w14:ligatures w14:val="standardContextual"/>
        </w:rPr>
      </w:pPr>
      <w:r w:rsidRPr="00132D3F">
        <w:rPr>
          <w:rFonts w:ascii="Verdana" w:eastAsia="Calibri" w:hAnsi="Verdana" w:cs="Arial"/>
          <w:kern w:val="2"/>
          <w:lang w:val="es-MX"/>
          <w14:ligatures w14:val="standardContextual"/>
        </w:rPr>
        <w:t xml:space="preserve">La </w:t>
      </w:r>
      <w:r w:rsidRPr="00132D3F">
        <w:rPr>
          <w:rFonts w:ascii="Verdana" w:eastAsia="Calibri" w:hAnsi="Verdana" w:cs="Arial"/>
          <w:kern w:val="2"/>
          <w14:ligatures w14:val="standardContextual"/>
        </w:rPr>
        <w:t xml:space="preserve">regla de verificación de la información prevista en el numeral 1.11 del documento base aplica frente a la </w:t>
      </w:r>
      <w:r w:rsidRPr="00132D3F">
        <w:rPr>
          <w:rFonts w:ascii="Verdana" w:eastAsia="Calibri" w:hAnsi="Verdana" w:cs="Arial"/>
          <w:i/>
          <w:iCs/>
          <w:kern w:val="2"/>
          <w14:ligatures w14:val="standardContextual"/>
        </w:rPr>
        <w:t>totalidad de la información y documentación aportada para cumplir los requisitos exigidos en el pliego de condiciones</w:t>
      </w:r>
      <w:r w:rsidRPr="00132D3F">
        <w:rPr>
          <w:rFonts w:ascii="Verdana" w:eastAsia="Calibri" w:hAnsi="Verdana" w:cs="Arial"/>
          <w:kern w:val="2"/>
          <w14:ligatures w14:val="standardContextual"/>
        </w:rPr>
        <w:t xml:space="preserve">. Además, consagra dos supuestos, con consecuencias diferentes: el primero, señala que una vez verificada la información y evidenciada la inconsistencia, la entidad estatal la tendrá por no acreditada. Por ejemplo, cuando se presente documentación para acreditar un requisito habilitante y ante las observaciones recibidas en el traslado del informe de evaluación no se logre constatar con exactitud lo acreditado o la veracidad del mismo, y ante esa duda, no tendrá en cuenta la documentación aportada, sin perjuicio de que el proponente cumpla con el requisito habilitante con los demás documentos que aporte. En este evento, se trata de inconsistencias que, aunque no se superan por la ausencia de otro medio probatorio, no tienen la connotación de falsedad. </w:t>
      </w:r>
    </w:p>
    <w:p w14:paraId="6E75A64A" w14:textId="77777777" w:rsidR="00132D3F" w:rsidRPr="00132D3F" w:rsidRDefault="00132D3F" w:rsidP="00132D3F">
      <w:pPr>
        <w:spacing w:after="120" w:line="276" w:lineRule="auto"/>
        <w:ind w:firstLine="709"/>
        <w:jc w:val="both"/>
        <w:rPr>
          <w:rFonts w:ascii="Verdana" w:eastAsia="Calibri" w:hAnsi="Verdana" w:cs="Arial"/>
          <w:kern w:val="2"/>
          <w14:ligatures w14:val="standardContextual"/>
        </w:rPr>
      </w:pPr>
      <w:r w:rsidRPr="00132D3F">
        <w:rPr>
          <w:rFonts w:ascii="Verdana" w:eastAsia="Calibri" w:hAnsi="Verdana" w:cs="Arial"/>
          <w:kern w:val="2"/>
          <w14:ligatures w14:val="standardContextual"/>
        </w:rPr>
        <w:lastRenderedPageBreak/>
        <w:t xml:space="preserve">El segundo evento se configura cuando de la verificación se corrobora que las inconsistencias obedecerían a una presunta falsedad no desvirtuada por el proponente, caso en el cual se rechaza la oferta y se informa a las autoridades correspondientes. En ese sentido, cuando la entidad tiene el suficiente convencimiento de la existencia de la presunta falsedad, y luego de dar la oportunidad para que el proponente se manifieste, es procedente rechazar la oferta y compulsar copias a las autoridades competentes, quienes adelantarán las respectivas investigaciones. </w:t>
      </w:r>
    </w:p>
    <w:p w14:paraId="3279695B" w14:textId="77777777" w:rsidR="00132D3F" w:rsidRPr="00132D3F" w:rsidRDefault="00132D3F" w:rsidP="00132D3F">
      <w:pPr>
        <w:spacing w:after="120" w:line="276" w:lineRule="auto"/>
        <w:ind w:firstLine="709"/>
        <w:jc w:val="both"/>
        <w:rPr>
          <w:rFonts w:ascii="Verdana" w:eastAsia="Calibri" w:hAnsi="Verdana" w:cs="Arial"/>
          <w:kern w:val="2"/>
          <w14:ligatures w14:val="standardContextual"/>
        </w:rPr>
      </w:pPr>
      <w:r w:rsidRPr="00132D3F">
        <w:rPr>
          <w:rFonts w:ascii="Verdana" w:eastAsia="Times New Roman" w:hAnsi="Verdana" w:cs="Arial"/>
          <w:color w:val="000000"/>
          <w:kern w:val="2"/>
          <w:shd w:val="clear" w:color="auto" w:fill="FFFFFF"/>
          <w:lang w:val="es-ES" w:eastAsia="es-MX"/>
          <w14:ligatures w14:val="standardContextual"/>
        </w:rPr>
        <w:t xml:space="preserve">En este último caso, </w:t>
      </w:r>
      <w:r w:rsidRPr="00132D3F">
        <w:rPr>
          <w:rFonts w:ascii="Verdana" w:eastAsia="Calibri" w:hAnsi="Verdana" w:cs="Arial"/>
          <w:kern w:val="2"/>
          <w14:ligatures w14:val="standardContextual"/>
        </w:rPr>
        <w:t>no se puede subsanar el estar incurso en la causal de rechazo del literal H, pues el rechazo procede de forma automática, es decir, sin permitirle al proponente subsanar la “inexactitud” de la oferta o la presunta falsedad sobre un documento aportado</w:t>
      </w:r>
      <w:r w:rsidRPr="00132D3F">
        <w:rPr>
          <w:rFonts w:ascii="Verdana" w:eastAsia="Aptos" w:hAnsi="Verdana" w:cs="Arial"/>
          <w:kern w:val="2"/>
          <w14:ligatures w14:val="standardContextual"/>
        </w:rPr>
        <w:t>.</w:t>
      </w:r>
    </w:p>
    <w:p w14:paraId="76CBA74A" w14:textId="77777777" w:rsidR="00132D3F" w:rsidRPr="00132D3F" w:rsidRDefault="00132D3F" w:rsidP="00132D3F">
      <w:pPr>
        <w:spacing w:after="120" w:line="276" w:lineRule="auto"/>
        <w:ind w:firstLine="709"/>
        <w:jc w:val="both"/>
        <w:rPr>
          <w:rFonts w:ascii="Verdana" w:eastAsia="Calibri" w:hAnsi="Verdana" w:cs="Arial"/>
          <w:kern w:val="2"/>
          <w14:ligatures w14:val="standardContextual"/>
        </w:rPr>
      </w:pPr>
      <w:bookmarkStart w:id="12" w:name="_Hlk88745204"/>
      <w:r w:rsidRPr="00132D3F">
        <w:rPr>
          <w:rFonts w:ascii="Verdana" w:eastAsia="Calibri" w:hAnsi="Verdana" w:cs="Arial"/>
          <w:kern w:val="2"/>
          <w14:ligatures w14:val="standardContextual"/>
        </w:rPr>
        <w:t>En este sentido, la configuración de la causal se determinará teniendo en cuenta si la información inexacta conduce a una posible falsedad de los documentos sujetos de verificación y/o evaluación por parte de la Entidad Estatal, tanto para requisitos habilitantes como de calificación o ponderables.</w:t>
      </w:r>
      <w:bookmarkEnd w:id="12"/>
      <w:r w:rsidRPr="00132D3F">
        <w:rPr>
          <w:rFonts w:ascii="Verdana" w:eastAsia="Calibri" w:hAnsi="Verdana" w:cs="Arial"/>
          <w:kern w:val="2"/>
          <w14:ligatures w14:val="standardContextual"/>
        </w:rPr>
        <w:t xml:space="preserve"> Por consiguiente, la entidad estatal deberá analizar concretamente cada uno de los casos en concreto para determinar si existe una posible falsedad, caso en el cual, luego de dar la oportunidad para que el proponente se manifieste, es procedente rechazar la oferta y remitir copias a las autoridades competentes, quienes adelantarán las respectivas investigaciones.</w:t>
      </w:r>
    </w:p>
    <w:p w14:paraId="7DDDBCE9" w14:textId="77777777" w:rsidR="00132D3F" w:rsidRPr="00132D3F" w:rsidRDefault="00132D3F" w:rsidP="00132D3F">
      <w:pPr>
        <w:spacing w:after="0" w:line="276" w:lineRule="auto"/>
        <w:ind w:firstLine="709"/>
        <w:jc w:val="both"/>
        <w:rPr>
          <w:rFonts w:ascii="Verdana" w:eastAsia="Calibri" w:hAnsi="Verdana" w:cs="Arial"/>
          <w:kern w:val="2"/>
          <w14:ligatures w14:val="standardContextual"/>
        </w:rPr>
      </w:pPr>
      <w:r w:rsidRPr="00132D3F">
        <w:rPr>
          <w:rFonts w:ascii="Verdana" w:eastAsia="Calibri" w:hAnsi="Verdana" w:cs="Arial"/>
          <w:kern w:val="2"/>
          <w14:ligatures w14:val="standardContextual"/>
        </w:rPr>
        <w:t xml:space="preserve">Por otra parte, respecto a la no subsanación o aclaración de la oferta por parte del proponente, y teniendo en cuenta su consulta, el documento base, en el literal E del numeral 1.15, señala lo siguiente: </w:t>
      </w:r>
    </w:p>
    <w:p w14:paraId="3EA540BD" w14:textId="77777777" w:rsidR="00132D3F" w:rsidRPr="00132D3F" w:rsidRDefault="00132D3F" w:rsidP="00132D3F">
      <w:pPr>
        <w:spacing w:line="276" w:lineRule="auto"/>
        <w:ind w:firstLine="709"/>
        <w:contextualSpacing/>
        <w:jc w:val="both"/>
        <w:rPr>
          <w:rFonts w:ascii="Verdana" w:eastAsia="Aptos" w:hAnsi="Verdana" w:cs="Arial"/>
          <w:color w:val="000000"/>
          <w:kern w:val="2"/>
          <w:lang w:val="es-ES_tradnl"/>
          <w14:ligatures w14:val="standardContextual"/>
        </w:rPr>
      </w:pPr>
    </w:p>
    <w:p w14:paraId="64B16382" w14:textId="77777777" w:rsidR="00132D3F" w:rsidRPr="00132D3F" w:rsidRDefault="00132D3F" w:rsidP="00132D3F">
      <w:pPr>
        <w:spacing w:after="0" w:line="240" w:lineRule="auto"/>
        <w:ind w:left="709" w:right="709"/>
        <w:jc w:val="both"/>
        <w:rPr>
          <w:rFonts w:ascii="Verdana" w:eastAsia="Aptos" w:hAnsi="Verdana" w:cs="Arial"/>
          <w:color w:val="000000"/>
          <w:kern w:val="2"/>
          <w:sz w:val="21"/>
          <w:szCs w:val="21"/>
          <w:lang w:val="es-ES_tradnl"/>
          <w14:ligatures w14:val="standardContextual"/>
        </w:rPr>
      </w:pPr>
      <w:r w:rsidRPr="00132D3F">
        <w:rPr>
          <w:rFonts w:ascii="Verdana" w:eastAsia="Aptos" w:hAnsi="Verdana" w:cs="Arial"/>
          <w:color w:val="000000"/>
          <w:kern w:val="2"/>
          <w:sz w:val="21"/>
          <w:szCs w:val="21"/>
          <w:lang w:val="es-ES_tradnl"/>
          <w14:ligatures w14:val="standardContextual"/>
        </w:rPr>
        <w:t>“E. 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04434BB2" w14:textId="77777777" w:rsidR="00132D3F" w:rsidRPr="00132D3F" w:rsidRDefault="00132D3F" w:rsidP="00132D3F">
      <w:pPr>
        <w:spacing w:line="276" w:lineRule="auto"/>
        <w:contextualSpacing/>
        <w:jc w:val="both"/>
        <w:rPr>
          <w:rFonts w:ascii="Verdana" w:eastAsia="Aptos" w:hAnsi="Verdana" w:cs="Arial"/>
          <w:color w:val="000000"/>
          <w:kern w:val="2"/>
          <w:lang w:val="es-ES_tradnl"/>
          <w14:ligatures w14:val="standardContextual"/>
        </w:rPr>
      </w:pPr>
    </w:p>
    <w:p w14:paraId="24BB9A7F" w14:textId="77777777" w:rsidR="00132D3F" w:rsidRPr="00132D3F" w:rsidRDefault="00132D3F" w:rsidP="00132D3F">
      <w:pPr>
        <w:spacing w:after="120" w:line="276" w:lineRule="auto"/>
        <w:ind w:firstLine="709"/>
        <w:jc w:val="both"/>
        <w:rPr>
          <w:rFonts w:ascii="Verdana" w:eastAsia="Aptos" w:hAnsi="Verdana" w:cs="Arial"/>
          <w:color w:val="000000"/>
          <w:kern w:val="2"/>
          <w:lang w:val="es-ES_tradnl"/>
          <w14:ligatures w14:val="standardContextual"/>
        </w:rPr>
      </w:pPr>
      <w:r w:rsidRPr="00132D3F">
        <w:rPr>
          <w:rFonts w:ascii="Verdana" w:eastAsia="Aptos" w:hAnsi="Verdana" w:cs="Arial"/>
          <w:color w:val="000000"/>
          <w:kern w:val="2"/>
          <w:lang w:val="es-ES_tradnl"/>
          <w14:ligatures w14:val="standardContextual"/>
        </w:rPr>
        <w:t xml:space="preserve">La causal de rechazo en mención aplica cuando, a pesar de que la Entidad Estatal haya requerido al proponente para subsanar o aclarar o aportar un documento, este no lo hace dentro del plazo indicado o en la forma adecuada, </w:t>
      </w:r>
      <w:r w:rsidRPr="00132D3F">
        <w:rPr>
          <w:rFonts w:ascii="Verdana" w:eastAsia="Aptos" w:hAnsi="Verdana" w:cs="Arial"/>
          <w:color w:val="000000"/>
          <w:kern w:val="2"/>
          <w:lang w:val="es-ES_tradnl"/>
          <w14:ligatures w14:val="standardContextual"/>
        </w:rPr>
        <w:lastRenderedPageBreak/>
        <w:t>siempre y cuando se trate de un aspecto necesario para acreditar los requisitos habilitantes del proceso de contratación.</w:t>
      </w:r>
    </w:p>
    <w:p w14:paraId="4C22C1C5" w14:textId="77777777" w:rsidR="00132D3F" w:rsidRPr="00132D3F" w:rsidRDefault="00132D3F" w:rsidP="6CD5CE64">
      <w:pPr>
        <w:spacing w:after="0" w:line="276" w:lineRule="auto"/>
        <w:ind w:firstLine="709"/>
        <w:jc w:val="both"/>
        <w:rPr>
          <w:rFonts w:ascii="Verdana" w:eastAsia="Aptos" w:hAnsi="Verdana" w:cs="Arial"/>
          <w:color w:val="000000"/>
          <w:kern w:val="2"/>
          <w:lang w:val="es-ES"/>
          <w14:ligatures w14:val="standardContextual"/>
        </w:rPr>
      </w:pPr>
      <w:r w:rsidRPr="6CD5CE64">
        <w:rPr>
          <w:rFonts w:ascii="Verdana" w:eastAsia="Aptos" w:hAnsi="Verdana" w:cs="Arial"/>
          <w:color w:val="000000"/>
          <w:kern w:val="2"/>
          <w:lang w:val="es-ES"/>
          <w14:ligatures w14:val="standardContextual"/>
        </w:rPr>
        <w:t xml:space="preserve">Sobre lo anterior, debe advertirse que el numeral 1.6 del documento base de los documentos tipo de infraestructura de transporte se refiere a las reglas de </w:t>
      </w:r>
      <w:proofErr w:type="spellStart"/>
      <w:r w:rsidRPr="6CD5CE64">
        <w:rPr>
          <w:rFonts w:ascii="Verdana" w:eastAsia="Aptos" w:hAnsi="Verdana" w:cs="Arial"/>
          <w:color w:val="000000"/>
          <w:kern w:val="2"/>
          <w:lang w:val="es-ES"/>
          <w14:ligatures w14:val="standardContextual"/>
        </w:rPr>
        <w:t>subsanabilidad</w:t>
      </w:r>
      <w:proofErr w:type="spellEnd"/>
      <w:r w:rsidRPr="6CD5CE64">
        <w:rPr>
          <w:rFonts w:ascii="Verdana" w:eastAsia="Aptos" w:hAnsi="Verdana" w:cs="Arial"/>
          <w:color w:val="000000"/>
          <w:kern w:val="2"/>
          <w:lang w:val="es-ES"/>
          <w14:ligatures w14:val="standardContextual"/>
        </w:rPr>
        <w:t xml:space="preserve">, explicaciones y aclaraciones, y establece que: </w:t>
      </w:r>
    </w:p>
    <w:p w14:paraId="6C706EEA" w14:textId="77777777" w:rsidR="00132D3F" w:rsidRPr="00132D3F" w:rsidRDefault="00132D3F" w:rsidP="00132D3F">
      <w:pPr>
        <w:spacing w:line="276" w:lineRule="auto"/>
        <w:contextualSpacing/>
        <w:jc w:val="both"/>
        <w:rPr>
          <w:rFonts w:ascii="Verdana" w:eastAsia="Aptos" w:hAnsi="Verdana" w:cs="Arial"/>
          <w:color w:val="000000"/>
          <w:kern w:val="2"/>
          <w:lang w:val="es-ES_tradnl"/>
          <w14:ligatures w14:val="standardContextual"/>
        </w:rPr>
      </w:pPr>
    </w:p>
    <w:p w14:paraId="305C0ABC" w14:textId="77777777" w:rsidR="00132D3F" w:rsidRPr="00132D3F" w:rsidRDefault="00132D3F" w:rsidP="00132D3F">
      <w:pPr>
        <w:spacing w:after="0" w:line="240" w:lineRule="auto"/>
        <w:ind w:left="709" w:right="709"/>
        <w:jc w:val="both"/>
        <w:rPr>
          <w:rFonts w:ascii="Verdana" w:eastAsia="Aptos" w:hAnsi="Verdana" w:cs="Arial"/>
          <w:color w:val="000000"/>
          <w:kern w:val="2"/>
          <w:sz w:val="21"/>
          <w:szCs w:val="21"/>
          <w:lang w:val="es-ES_tradnl"/>
          <w14:ligatures w14:val="standardContextual"/>
        </w:rPr>
      </w:pPr>
      <w:r w:rsidRPr="00132D3F">
        <w:rPr>
          <w:rFonts w:ascii="Verdana" w:eastAsia="Aptos" w:hAnsi="Verdana" w:cs="Arial"/>
          <w:color w:val="000000"/>
          <w:kern w:val="2"/>
          <w:sz w:val="21"/>
          <w:szCs w:val="21"/>
          <w:lang w:val="es-ES_tradnl"/>
          <w14:ligatures w14:val="standardContextual"/>
        </w:rPr>
        <w:t>“En caso de ser necesario, la entidad debe solicitar a los proponentes durante el proceso de evaluación, y a más tardar en el informe de evaluación, las aclaraciones, precisiones o solicitud de documentos que puedan ser subsanables. No obstante, los proponentes no podrán completar, adicionar, modificar o mejorar sus propuestas en los aspectos que otorgan puntaje, los cuales podrán ser objeto de aclaraciones y explicaciones. Los proponentes deberán allegar las aclaraciones o documentos requeridos en el momento en el que fueron solicitados y a más tardar hasta el término de traslado del informe de evaluación, es decir, dentro de los cinco (5) días hábiles siguientes, contados a partir del día hábil siguiente a la expedición del informe de evaluación”.</w:t>
      </w:r>
    </w:p>
    <w:p w14:paraId="56148E5C" w14:textId="77777777" w:rsidR="00132D3F" w:rsidRPr="00132D3F" w:rsidRDefault="00132D3F" w:rsidP="00132D3F">
      <w:pPr>
        <w:spacing w:line="276" w:lineRule="auto"/>
        <w:contextualSpacing/>
        <w:jc w:val="both"/>
        <w:rPr>
          <w:rFonts w:ascii="Verdana" w:eastAsia="Aptos" w:hAnsi="Verdana" w:cs="Arial"/>
          <w:color w:val="000000"/>
          <w:kern w:val="2"/>
          <w:lang w:val="es-ES_tradnl"/>
          <w14:ligatures w14:val="standardContextual"/>
        </w:rPr>
      </w:pPr>
    </w:p>
    <w:p w14:paraId="6DA644DF" w14:textId="77777777" w:rsidR="00132D3F" w:rsidRPr="00132D3F" w:rsidRDefault="00132D3F" w:rsidP="482C7EF5">
      <w:pPr>
        <w:spacing w:after="120" w:line="276" w:lineRule="auto"/>
        <w:ind w:firstLine="709"/>
        <w:jc w:val="both"/>
        <w:rPr>
          <w:rFonts w:ascii="Verdana" w:eastAsia="Aptos" w:hAnsi="Verdana" w:cs="Arial"/>
          <w:color w:val="000000"/>
          <w:kern w:val="2"/>
          <w:lang w:val="es-ES"/>
          <w14:ligatures w14:val="standardContextual"/>
        </w:rPr>
      </w:pPr>
      <w:r w:rsidRPr="482C7EF5">
        <w:rPr>
          <w:rFonts w:ascii="Verdana" w:eastAsia="Aptos" w:hAnsi="Verdana" w:cs="Arial"/>
          <w:color w:val="000000"/>
          <w:kern w:val="2"/>
          <w:lang w:val="es-ES"/>
          <w14:ligatures w14:val="standardContextual"/>
        </w:rPr>
        <w:t xml:space="preserve">De esta manera, la interpretación y aplicación de la causal de rechazo del literal E debe realizarse teniendo en cuenta lo dispuesto en el numeral 1.6 del pliego de condiciones tipo, por lo que solo será procedente el rechazo previo al otorgamiento de la oportunidad para subsanar o aclarar las ofertas, cuando ello sea procedente. </w:t>
      </w:r>
    </w:p>
    <w:p w14:paraId="1EAD1CF8" w14:textId="77777777" w:rsidR="00132D3F" w:rsidRPr="00132D3F" w:rsidRDefault="00132D3F" w:rsidP="6CD5CE64">
      <w:pPr>
        <w:spacing w:after="0" w:line="276" w:lineRule="auto"/>
        <w:ind w:firstLine="709"/>
        <w:jc w:val="both"/>
        <w:rPr>
          <w:rFonts w:ascii="Verdana" w:eastAsia="Aptos" w:hAnsi="Verdana" w:cs="Arial"/>
          <w:color w:val="000000"/>
          <w:kern w:val="2"/>
          <w:lang w:val="es-ES"/>
          <w14:ligatures w14:val="standardContextual"/>
        </w:rPr>
      </w:pPr>
      <w:r w:rsidRPr="6CD5CE64">
        <w:rPr>
          <w:rFonts w:ascii="Verdana" w:eastAsia="Aptos" w:hAnsi="Verdana" w:cs="Arial"/>
          <w:color w:val="000000"/>
          <w:kern w:val="2"/>
          <w:lang w:val="es-ES"/>
          <w14:ligatures w14:val="standardContextual"/>
        </w:rPr>
        <w:t xml:space="preserve">En todo caso, para efectos de una adecuada comprensión de la causal de rechazo en comento, es importante tener en cuenta la regla de </w:t>
      </w:r>
      <w:proofErr w:type="spellStart"/>
      <w:r w:rsidRPr="6CD5CE64">
        <w:rPr>
          <w:rFonts w:ascii="Verdana" w:eastAsia="Aptos" w:hAnsi="Verdana" w:cs="Arial"/>
          <w:color w:val="000000"/>
          <w:kern w:val="2"/>
          <w:lang w:val="es-ES"/>
          <w14:ligatures w14:val="standardContextual"/>
        </w:rPr>
        <w:t>subsanabildiad</w:t>
      </w:r>
      <w:proofErr w:type="spellEnd"/>
      <w:r w:rsidRPr="6CD5CE64">
        <w:rPr>
          <w:rFonts w:ascii="Verdana" w:eastAsia="Aptos" w:hAnsi="Verdana" w:cs="Arial"/>
          <w:color w:val="000000"/>
          <w:kern w:val="2"/>
          <w:lang w:val="es-ES"/>
          <w14:ligatures w14:val="standardContextual"/>
        </w:rPr>
        <w:t xml:space="preserve"> de las ofertas que se estudiará a continuación. </w:t>
      </w:r>
    </w:p>
    <w:p w14:paraId="723D169B" w14:textId="77777777" w:rsidR="00132D3F" w:rsidRPr="00132D3F" w:rsidRDefault="00132D3F" w:rsidP="00132D3F">
      <w:pPr>
        <w:shd w:val="clear" w:color="auto" w:fill="FFFFFF"/>
        <w:spacing w:after="0" w:line="276" w:lineRule="auto"/>
        <w:ind w:firstLine="709"/>
        <w:jc w:val="both"/>
        <w:textAlignment w:val="baseline"/>
        <w:rPr>
          <w:rFonts w:ascii="Verdana" w:eastAsia="Aptos" w:hAnsi="Verdana" w:cs="Arial"/>
          <w:color w:val="000000"/>
          <w:kern w:val="2"/>
          <w:lang w:val="es-ES_tradnl"/>
          <w14:ligatures w14:val="standardContextual"/>
        </w:rPr>
      </w:pPr>
    </w:p>
    <w:p w14:paraId="2C992136" w14:textId="77777777" w:rsidR="00132D3F" w:rsidRPr="00132D3F" w:rsidRDefault="00132D3F" w:rsidP="00132D3F">
      <w:pPr>
        <w:spacing w:after="120" w:line="276" w:lineRule="auto"/>
        <w:jc w:val="both"/>
        <w:rPr>
          <w:rFonts w:ascii="Verdana" w:eastAsia="Times New Roman" w:hAnsi="Verdana" w:cs="Arial"/>
          <w:lang w:val="es-ES_tradnl" w:eastAsia="es-ES_tradnl"/>
        </w:rPr>
      </w:pPr>
      <w:r w:rsidRPr="00132D3F">
        <w:rPr>
          <w:rFonts w:ascii="Verdana" w:eastAsia="Calibri" w:hAnsi="Verdana" w:cs="Arial"/>
          <w:noProof/>
          <w:lang w:val="es-ES_tradnl"/>
        </w:rPr>
        <w:t>iii. L</w:t>
      </w:r>
      <w:r w:rsidRPr="00132D3F">
        <w:rPr>
          <w:rFonts w:ascii="Verdana" w:eastAsia="Times New Roman" w:hAnsi="Verdana" w:cs="Arial"/>
        </w:rPr>
        <w:t xml:space="preserve">a regla de la </w:t>
      </w:r>
      <w:proofErr w:type="spellStart"/>
      <w:r w:rsidRPr="00132D3F">
        <w:rPr>
          <w:rFonts w:ascii="Verdana" w:eastAsia="Times New Roman" w:hAnsi="Verdana" w:cs="Arial"/>
        </w:rPr>
        <w:t>subsanabilidad</w:t>
      </w:r>
      <w:proofErr w:type="spellEnd"/>
      <w:r w:rsidRPr="00132D3F">
        <w:rPr>
          <w:rFonts w:ascii="Verdana" w:eastAsia="Times New Roman" w:hAnsi="Verdana" w:cs="Arial"/>
        </w:rPr>
        <w:t xml:space="preserve"> de las ofertas en los procedimientos de selección</w:t>
      </w:r>
      <w:r w:rsidRPr="00132D3F">
        <w:rPr>
          <w:rFonts w:ascii="Verdana" w:eastAsia="Times New Roman" w:hAnsi="Verdana" w:cs="Arial"/>
          <w:b/>
          <w:bCs/>
        </w:rPr>
        <w:t xml:space="preserve"> </w:t>
      </w:r>
      <w:r w:rsidRPr="00132D3F">
        <w:rPr>
          <w:rFonts w:ascii="Verdana" w:eastAsia="Times New Roman" w:hAnsi="Verdana" w:cs="Arial"/>
          <w:lang w:val="es-ES_tradnl" w:eastAsia="es-ES_tradnl"/>
        </w:rPr>
        <w:t>indica que, por regla general, la falta de entrega y los defectos en la acreditación de los requisitos habilitantes son aspectos subsanables. La excepción a esta regla se encuentra en la prohibición de permitir que se subsanen aspectos que otorgan puntaje, la acreditación de circunstancias ocurridas con posterioridad al cierre del proceso y de permitir la entrega de la garantía de seriedad de la oferta que no fue aportada con la propuesta.</w:t>
      </w:r>
    </w:p>
    <w:p w14:paraId="099BD37C" w14:textId="77777777" w:rsidR="00132D3F" w:rsidRPr="00132D3F" w:rsidRDefault="00132D3F" w:rsidP="00132D3F">
      <w:pPr>
        <w:spacing w:after="120" w:line="276" w:lineRule="auto"/>
        <w:ind w:firstLine="708"/>
        <w:jc w:val="both"/>
        <w:rPr>
          <w:rFonts w:ascii="Verdana" w:eastAsia="Times New Roman" w:hAnsi="Verdana" w:cs="Arial"/>
          <w:lang w:val="es-ES" w:eastAsia="es-ES"/>
        </w:rPr>
      </w:pPr>
      <w:r w:rsidRPr="00132D3F">
        <w:rPr>
          <w:rFonts w:ascii="Verdana" w:eastAsia="Times New Roman" w:hAnsi="Verdana" w:cs="Arial"/>
          <w:lang w:val="es-ES_tradnl" w:eastAsia="es-ES_tradnl"/>
        </w:rPr>
        <w:t xml:space="preserve">La posibilidad de enmendar, corregir o subsanar los errores en los que se incurre en los documentos contentivos de la oferta es un tema que ha tenido </w:t>
      </w:r>
      <w:r w:rsidRPr="00132D3F">
        <w:rPr>
          <w:rFonts w:ascii="Verdana" w:eastAsia="Times New Roman" w:hAnsi="Verdana" w:cs="Arial"/>
          <w:lang w:val="es-ES_tradnl" w:eastAsia="es-ES_tradnl"/>
        </w:rPr>
        <w:lastRenderedPageBreak/>
        <w:t>diferentes momentos o etapas en el ordenamiento jurídico colombiano, momentos que se han expuesto de manera detallada en conceptos como el C-285 del 20 de mayo de 2022</w:t>
      </w:r>
      <w:r w:rsidRPr="00132D3F">
        <w:rPr>
          <w:rFonts w:ascii="Verdana" w:eastAsia="Times New Roman" w:hAnsi="Verdana" w:cs="Arial"/>
          <w:vertAlign w:val="superscript"/>
          <w:lang w:val="es-ES_tradnl" w:eastAsia="es-ES_tradnl"/>
        </w:rPr>
        <w:footnoteReference w:id="6"/>
      </w:r>
      <w:r w:rsidRPr="00132D3F">
        <w:rPr>
          <w:rFonts w:ascii="Verdana" w:eastAsia="Times New Roman" w:hAnsi="Verdana" w:cs="Arial"/>
          <w:lang w:val="es-ES_tradnl" w:eastAsia="es-ES_tradnl"/>
        </w:rPr>
        <w:t xml:space="preserve"> o el C-447 del 19 de septiembre de 2024</w:t>
      </w:r>
      <w:r w:rsidRPr="00132D3F">
        <w:rPr>
          <w:rFonts w:ascii="Verdana" w:eastAsia="Times New Roman" w:hAnsi="Verdana" w:cs="Arial"/>
          <w:vertAlign w:val="superscript"/>
          <w:lang w:val="es-ES_tradnl" w:eastAsia="es-ES_tradnl"/>
        </w:rPr>
        <w:footnoteReference w:id="7"/>
      </w:r>
      <w:r w:rsidRPr="00132D3F">
        <w:rPr>
          <w:rFonts w:ascii="Verdana" w:eastAsia="Times New Roman" w:hAnsi="Verdana" w:cs="Arial"/>
          <w:lang w:val="es-ES_tradnl" w:eastAsia="es-ES_tradnl"/>
        </w:rPr>
        <w:t>, los cuales, en el evento en que tenga interés, podrá consultar en los enlaces de la nota al pie. Sin embargo</w:t>
      </w:r>
      <w:r w:rsidRPr="00132D3F">
        <w:rPr>
          <w:rFonts w:ascii="Verdana" w:eastAsia="Times New Roman" w:hAnsi="Verdana" w:cs="Arial"/>
          <w:lang w:val="es-ES" w:eastAsia="es-ES"/>
        </w:rPr>
        <w:t xml:space="preserve">, a continuación, se hará referencia particularmente al último momento, que refleja la postura vigente en torno a la </w:t>
      </w:r>
      <w:proofErr w:type="spellStart"/>
      <w:r w:rsidRPr="00132D3F">
        <w:rPr>
          <w:rFonts w:ascii="Verdana" w:eastAsia="Times New Roman" w:hAnsi="Verdana" w:cs="Arial"/>
          <w:lang w:val="es-ES" w:eastAsia="es-ES"/>
        </w:rPr>
        <w:t>subsanabilidad</w:t>
      </w:r>
      <w:proofErr w:type="spellEnd"/>
      <w:r w:rsidRPr="00132D3F">
        <w:rPr>
          <w:rFonts w:ascii="Verdana" w:eastAsia="Times New Roman" w:hAnsi="Verdana" w:cs="Arial"/>
          <w:lang w:val="es-ES" w:eastAsia="es-ES"/>
        </w:rPr>
        <w:t>.</w:t>
      </w:r>
    </w:p>
    <w:p w14:paraId="3A0CFEBC" w14:textId="77777777" w:rsidR="00132D3F" w:rsidRPr="00132D3F" w:rsidRDefault="00132D3F" w:rsidP="00132D3F">
      <w:pPr>
        <w:tabs>
          <w:tab w:val="left" w:pos="284"/>
        </w:tabs>
        <w:spacing w:after="0" w:line="276" w:lineRule="auto"/>
        <w:ind w:firstLine="709"/>
        <w:jc w:val="both"/>
        <w:rPr>
          <w:rFonts w:ascii="Verdana" w:eastAsia="Times New Roman" w:hAnsi="Verdana" w:cs="Arial"/>
          <w:lang w:val="es-ES_tradnl" w:eastAsia="es-CO"/>
        </w:rPr>
      </w:pPr>
      <w:r w:rsidRPr="00132D3F">
        <w:rPr>
          <w:rFonts w:ascii="Verdana" w:eastAsia="Times New Roman" w:hAnsi="Verdana" w:cs="Arial"/>
          <w:lang w:val="es-ES_tradnl" w:eastAsia="es-ES_tradnl"/>
        </w:rPr>
        <w:t xml:space="preserve">La expedición de la Ley </w:t>
      </w:r>
      <w:r w:rsidRPr="00132D3F">
        <w:rPr>
          <w:rFonts w:ascii="Verdana" w:eastAsia="Times New Roman" w:hAnsi="Verdana" w:cs="Arial"/>
          <w:lang w:val="es-ES_tradnl"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1F953F1A" w14:textId="77777777" w:rsidR="00132D3F" w:rsidRPr="00132D3F" w:rsidRDefault="00132D3F" w:rsidP="00132D3F">
      <w:pPr>
        <w:spacing w:after="0" w:line="276" w:lineRule="auto"/>
        <w:ind w:left="709" w:right="709"/>
        <w:jc w:val="both"/>
        <w:rPr>
          <w:rFonts w:ascii="Verdana" w:eastAsia="Times New Roman" w:hAnsi="Verdana" w:cs="Arial"/>
          <w:lang w:val="es-ES_tradnl" w:eastAsia="es-CO"/>
        </w:rPr>
      </w:pPr>
    </w:p>
    <w:p w14:paraId="3BA282E4" w14:textId="77777777" w:rsidR="00132D3F" w:rsidRPr="00132D3F" w:rsidRDefault="00132D3F" w:rsidP="00132D3F">
      <w:pPr>
        <w:spacing w:after="0" w:line="240" w:lineRule="auto"/>
        <w:ind w:left="709" w:right="709"/>
        <w:jc w:val="both"/>
        <w:rPr>
          <w:rFonts w:ascii="Verdana" w:eastAsia="Times New Roman" w:hAnsi="Verdana" w:cs="Arial"/>
          <w:sz w:val="21"/>
          <w:szCs w:val="21"/>
          <w:lang w:val="es-ES_tradnl" w:eastAsia="es-CO"/>
        </w:rPr>
      </w:pPr>
      <w:r w:rsidRPr="00132D3F">
        <w:rPr>
          <w:rFonts w:ascii="Verdana" w:eastAsia="Times New Roman" w:hAnsi="Verdana" w:cs="Arial"/>
          <w:sz w:val="21"/>
          <w:szCs w:val="21"/>
          <w:lang w:val="es-ES_tradnl" w:eastAsia="es-CO"/>
        </w:rPr>
        <w:t xml:space="preserve">“Artículo 5°. De la selección objetiva. </w:t>
      </w:r>
    </w:p>
    <w:p w14:paraId="64843261" w14:textId="77777777" w:rsidR="00132D3F" w:rsidRPr="00132D3F" w:rsidRDefault="00132D3F" w:rsidP="00132D3F">
      <w:pPr>
        <w:spacing w:after="0" w:line="240" w:lineRule="auto"/>
        <w:ind w:left="709" w:right="709"/>
        <w:jc w:val="both"/>
        <w:textAlignment w:val="baseline"/>
        <w:rPr>
          <w:rFonts w:ascii="Verdana" w:eastAsia="Times New Roman" w:hAnsi="Verdana" w:cs="Arial"/>
          <w:color w:val="000000"/>
          <w:sz w:val="21"/>
          <w:szCs w:val="21"/>
          <w:lang w:val="es-ES" w:eastAsia="es-CO"/>
        </w:rPr>
      </w:pPr>
    </w:p>
    <w:p w14:paraId="3E8D8D01"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132D3F">
        <w:rPr>
          <w:rFonts w:ascii="Verdana" w:eastAsia="Times New Roman" w:hAnsi="Verdana" w:cs="Arial"/>
          <w:color w:val="000000"/>
          <w:sz w:val="21"/>
          <w:szCs w:val="21"/>
          <w:lang w:val="es-ES" w:eastAsia="es-CO"/>
        </w:rPr>
        <w:t>equivalentes,</w:t>
      </w:r>
      <w:proofErr w:type="gramEnd"/>
      <w:r w:rsidRPr="00132D3F">
        <w:rPr>
          <w:rFonts w:ascii="Verdana" w:eastAsia="Times New Roman" w:hAnsi="Verdana" w:cs="Arial"/>
          <w:color w:val="000000"/>
          <w:sz w:val="21"/>
          <w:szCs w:val="21"/>
          <w:lang w:val="es-ES" w:eastAsia="es-CO"/>
        </w:rPr>
        <w:t xml:space="preserve"> tendrán en cuenta los siguientes criterios:</w:t>
      </w:r>
      <w:r w:rsidRPr="00132D3F">
        <w:rPr>
          <w:rFonts w:ascii="Verdana" w:eastAsia="Times New Roman" w:hAnsi="Verdana" w:cs="Arial"/>
          <w:color w:val="000000"/>
          <w:sz w:val="21"/>
          <w:szCs w:val="21"/>
          <w:lang w:eastAsia="es-CO"/>
        </w:rPr>
        <w:t> </w:t>
      </w:r>
    </w:p>
    <w:p w14:paraId="57672A11"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2BC5ABB0"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132D3F">
        <w:rPr>
          <w:rFonts w:ascii="Verdana" w:eastAsia="Times New Roman" w:hAnsi="Verdana" w:cs="Arial"/>
          <w:color w:val="000000"/>
          <w:sz w:val="21"/>
          <w:szCs w:val="21"/>
          <w:lang w:eastAsia="es-CO"/>
        </w:rPr>
        <w:t> </w:t>
      </w:r>
    </w:p>
    <w:p w14:paraId="59584CC9"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2B86B0A9"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lastRenderedPageBreak/>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132D3F">
        <w:rPr>
          <w:rFonts w:ascii="Verdana" w:eastAsia="Times New Roman" w:hAnsi="Verdana" w:cs="Arial"/>
          <w:color w:val="000000"/>
          <w:sz w:val="21"/>
          <w:szCs w:val="21"/>
          <w:lang w:eastAsia="es-CO"/>
        </w:rPr>
        <w:t> </w:t>
      </w:r>
    </w:p>
    <w:p w14:paraId="6933FD9D"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p>
    <w:p w14:paraId="0A954F0C"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En los procesos de selección en los que se tenga en cuenta los factores técnicos y económicos, la oferta más ventajosa será la que resulte de aplicar alguna de las siguientes alternativas:</w:t>
      </w:r>
      <w:r w:rsidRPr="00132D3F">
        <w:rPr>
          <w:rFonts w:ascii="Verdana" w:eastAsia="Times New Roman" w:hAnsi="Verdana" w:cs="Arial"/>
          <w:color w:val="000000"/>
          <w:sz w:val="21"/>
          <w:szCs w:val="21"/>
          <w:lang w:eastAsia="es-CO"/>
        </w:rPr>
        <w:t> </w:t>
      </w:r>
    </w:p>
    <w:p w14:paraId="1D063F20"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p>
    <w:p w14:paraId="13B07835"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a) La ponderación de los elementos de calidad y precio soportados en puntajes o fórmulas señaladas en el pliego de condiciones; o</w:t>
      </w:r>
    </w:p>
    <w:p w14:paraId="74004AF7"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p>
    <w:p w14:paraId="4A48CB09"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b) La ponderación de los elementos de calidad y precio que representen la mejor relación de costo-beneficio para la entidad.</w:t>
      </w:r>
      <w:r w:rsidRPr="00132D3F">
        <w:rPr>
          <w:rFonts w:ascii="Verdana" w:eastAsia="Times New Roman" w:hAnsi="Verdana" w:cs="Arial"/>
          <w:color w:val="000000"/>
          <w:sz w:val="21"/>
          <w:szCs w:val="21"/>
          <w:lang w:eastAsia="es-CO"/>
        </w:rPr>
        <w:t> </w:t>
      </w:r>
    </w:p>
    <w:p w14:paraId="65A1E1EC"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p>
    <w:p w14:paraId="0E6509C8"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132D3F">
        <w:rPr>
          <w:rFonts w:ascii="Verdana" w:eastAsia="Times New Roman" w:hAnsi="Verdana" w:cs="Arial"/>
          <w:color w:val="000000"/>
          <w:sz w:val="21"/>
          <w:szCs w:val="21"/>
          <w:lang w:eastAsia="es-CO"/>
        </w:rPr>
        <w:t> </w:t>
      </w:r>
    </w:p>
    <w:p w14:paraId="5534F879"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6C2D2A59"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132D3F">
        <w:rPr>
          <w:rFonts w:ascii="Verdana" w:eastAsia="Times New Roman" w:hAnsi="Verdana" w:cs="Arial"/>
          <w:color w:val="000000"/>
          <w:sz w:val="21"/>
          <w:szCs w:val="21"/>
          <w:lang w:eastAsia="es-CO"/>
        </w:rPr>
        <w:t> </w:t>
      </w:r>
    </w:p>
    <w:p w14:paraId="1BBE83DB"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76D53535"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En ningún caso se podrá incluir el precio, como factor de escogencia para la selección de consultores.</w:t>
      </w:r>
      <w:r w:rsidRPr="00132D3F">
        <w:rPr>
          <w:rFonts w:ascii="Verdana" w:eastAsia="Times New Roman" w:hAnsi="Verdana" w:cs="Arial"/>
          <w:color w:val="000000"/>
          <w:sz w:val="21"/>
          <w:szCs w:val="21"/>
          <w:lang w:eastAsia="es-CO"/>
        </w:rPr>
        <w:t> </w:t>
      </w:r>
    </w:p>
    <w:p w14:paraId="6C672B7C"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4CFC305A"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u w:val="single"/>
          <w:lang w:val="es-ES" w:eastAsia="es-CO"/>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w:t>
      </w:r>
      <w:r w:rsidRPr="00132D3F">
        <w:rPr>
          <w:rFonts w:ascii="Verdana" w:eastAsia="Times New Roman" w:hAnsi="Verdana" w:cs="Arial"/>
          <w:color w:val="000000"/>
          <w:sz w:val="21"/>
          <w:szCs w:val="21"/>
          <w:u w:val="single"/>
          <w:lang w:val="es-ES" w:eastAsia="es-CO"/>
        </w:rPr>
        <w:lastRenderedPageBreak/>
        <w:t xml:space="preserve">no afecten la asignación de </w:t>
      </w:r>
      <w:proofErr w:type="gramStart"/>
      <w:r w:rsidRPr="00132D3F">
        <w:rPr>
          <w:rFonts w:ascii="Verdana" w:eastAsia="Times New Roman" w:hAnsi="Verdana" w:cs="Arial"/>
          <w:color w:val="000000"/>
          <w:sz w:val="21"/>
          <w:szCs w:val="21"/>
          <w:u w:val="single"/>
          <w:lang w:val="es-ES" w:eastAsia="es-CO"/>
        </w:rPr>
        <w:t>puntaje,</w:t>
      </w:r>
      <w:proofErr w:type="gramEnd"/>
      <w:r w:rsidRPr="00132D3F">
        <w:rPr>
          <w:rFonts w:ascii="Verdana" w:eastAsia="Times New Roman" w:hAnsi="Verdana" w:cs="Arial"/>
          <w:color w:val="000000"/>
          <w:sz w:val="21"/>
          <w:szCs w:val="21"/>
          <w:u w:val="single"/>
          <w:lang w:val="es-ES" w:eastAsia="es-CO"/>
        </w:rPr>
        <w:t xml:space="preserve"> deberán ser solicitados por las entidades estatales y deberán ser entregados por los proponentes hasta el término de traslado del informe de evaluación que corresponda a cada modalidad de selección</w:t>
      </w:r>
      <w:r w:rsidRPr="00132D3F">
        <w:rPr>
          <w:rFonts w:ascii="Verdana" w:eastAsia="Times New Roman" w:hAnsi="Verdana" w:cs="Arial"/>
          <w:color w:val="000000"/>
          <w:sz w:val="21"/>
          <w:szCs w:val="21"/>
          <w:lang w:val="es-ES" w:eastAsia="es-CO"/>
        </w:rPr>
        <w:t xml:space="preserve">, salvo lo dispuesto para el proceso de Mínima cuantía y para el proceso de selección a través del sistema de subasta. </w:t>
      </w:r>
      <w:r w:rsidRPr="00132D3F">
        <w:rPr>
          <w:rFonts w:ascii="Verdana" w:eastAsia="Times New Roman" w:hAnsi="Verdana" w:cs="Arial"/>
          <w:color w:val="000000"/>
          <w:sz w:val="21"/>
          <w:szCs w:val="21"/>
          <w:u w:val="single"/>
          <w:lang w:val="es-ES" w:eastAsia="es-CO"/>
        </w:rPr>
        <w:t>Serán rechazadas las ofertas de aquellos proponentes que no suministren la información y la documentación solicitada por la entidad estatal hasta el plazo anteriormente señalado.</w:t>
      </w:r>
      <w:r w:rsidRPr="00132D3F">
        <w:rPr>
          <w:rFonts w:ascii="Verdana" w:eastAsia="Times New Roman" w:hAnsi="Verdana" w:cs="Arial"/>
          <w:color w:val="000000"/>
          <w:sz w:val="21"/>
          <w:szCs w:val="21"/>
          <w:u w:val="single"/>
          <w:lang w:eastAsia="es-CO"/>
        </w:rPr>
        <w:t> </w:t>
      </w:r>
    </w:p>
    <w:p w14:paraId="01D7D3BA"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4FE230AE"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u w:val="single"/>
          <w:lang w:val="es-ES" w:eastAsia="es-CO"/>
        </w:rPr>
        <w:t>Durante el término otorgado para subsanar las ofertas, los proponentes no podrán acreditar circunstancias ocurridas con posterioridad al cierre del proceso.</w:t>
      </w:r>
      <w:r w:rsidRPr="00132D3F">
        <w:rPr>
          <w:rFonts w:ascii="Verdana" w:eastAsia="Times New Roman" w:hAnsi="Verdana" w:cs="Arial"/>
          <w:color w:val="000000"/>
          <w:sz w:val="21"/>
          <w:szCs w:val="21"/>
          <w:lang w:eastAsia="es-CO"/>
        </w:rPr>
        <w:t> </w:t>
      </w:r>
    </w:p>
    <w:p w14:paraId="33726033"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45E15EF7"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PARÁGRAFO 2o. Las certificaciones de sistemas de gestión de calidad no serán objeto de calificación, ni podrán establecerse como documento habilitante para participar en licitaciones o concursos.</w:t>
      </w:r>
      <w:r w:rsidRPr="00132D3F">
        <w:rPr>
          <w:rFonts w:ascii="Verdana" w:eastAsia="Times New Roman" w:hAnsi="Verdana" w:cs="Arial"/>
          <w:color w:val="000000"/>
          <w:sz w:val="21"/>
          <w:szCs w:val="21"/>
          <w:lang w:eastAsia="es-CO"/>
        </w:rPr>
        <w:t> </w:t>
      </w:r>
    </w:p>
    <w:p w14:paraId="72050CC8"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46C859CE"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u w:val="single"/>
          <w:lang w:eastAsia="es-CO"/>
        </w:rPr>
      </w:pPr>
      <w:r w:rsidRPr="00132D3F">
        <w:rPr>
          <w:rFonts w:ascii="Verdana" w:eastAsia="Times New Roman" w:hAnsi="Verdana" w:cs="Arial"/>
          <w:color w:val="000000"/>
          <w:sz w:val="21"/>
          <w:szCs w:val="21"/>
          <w:u w:val="single"/>
          <w:lang w:val="es-ES" w:eastAsia="es-CO"/>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132D3F">
        <w:rPr>
          <w:rFonts w:ascii="Verdana" w:eastAsia="Times New Roman" w:hAnsi="Verdana" w:cs="Arial"/>
          <w:color w:val="000000"/>
          <w:sz w:val="21"/>
          <w:szCs w:val="21"/>
          <w:u w:val="single"/>
          <w:lang w:val="es-ES" w:eastAsia="es-CO"/>
        </w:rPr>
        <w:t>la misma</w:t>
      </w:r>
      <w:proofErr w:type="gramEnd"/>
      <w:r w:rsidRPr="00132D3F">
        <w:rPr>
          <w:rFonts w:ascii="Verdana" w:eastAsia="Times New Roman" w:hAnsi="Verdana" w:cs="Arial"/>
          <w:color w:val="000000"/>
          <w:sz w:val="21"/>
          <w:szCs w:val="21"/>
          <w:u w:val="single"/>
          <w:lang w:val="es-ES" w:eastAsia="es-CO"/>
        </w:rPr>
        <w:t>.</w:t>
      </w:r>
      <w:r w:rsidRPr="00132D3F">
        <w:rPr>
          <w:rFonts w:ascii="Verdana" w:eastAsia="Times New Roman" w:hAnsi="Verdana" w:cs="Arial"/>
          <w:color w:val="000000"/>
          <w:sz w:val="21"/>
          <w:szCs w:val="21"/>
          <w:u w:val="single"/>
          <w:lang w:eastAsia="es-CO"/>
        </w:rPr>
        <w:t> </w:t>
      </w:r>
    </w:p>
    <w:p w14:paraId="0F2A0523"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5A13C643"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132D3F">
        <w:rPr>
          <w:rFonts w:ascii="Verdana" w:eastAsia="Times New Roman" w:hAnsi="Verdana" w:cs="Arial"/>
          <w:color w:val="000000"/>
          <w:sz w:val="21"/>
          <w:szCs w:val="21"/>
          <w:lang w:eastAsia="es-CO"/>
        </w:rPr>
        <w:t> </w:t>
      </w:r>
    </w:p>
    <w:p w14:paraId="43A9DB2C"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eastAsia="es-CO"/>
        </w:rPr>
        <w:t> </w:t>
      </w:r>
    </w:p>
    <w:p w14:paraId="6649F0DD" w14:textId="77777777" w:rsidR="00132D3F" w:rsidRPr="00132D3F" w:rsidRDefault="00132D3F" w:rsidP="00132D3F">
      <w:pPr>
        <w:spacing w:after="0" w:line="240" w:lineRule="auto"/>
        <w:ind w:left="709" w:right="709"/>
        <w:jc w:val="both"/>
        <w:textAlignment w:val="baseline"/>
        <w:rPr>
          <w:rFonts w:ascii="Verdana" w:eastAsia="Times New Roman" w:hAnsi="Verdana" w:cs="Segoe UI"/>
          <w:sz w:val="21"/>
          <w:szCs w:val="21"/>
          <w:lang w:eastAsia="es-CO"/>
        </w:rPr>
      </w:pPr>
      <w:r w:rsidRPr="00132D3F">
        <w:rPr>
          <w:rFonts w:ascii="Verdana" w:eastAsia="Times New Roman" w:hAnsi="Verdana" w:cs="Arial"/>
          <w:color w:val="000000"/>
          <w:sz w:val="21"/>
          <w:szCs w:val="21"/>
          <w:lang w:val="es-ES" w:eastAsia="es-CO"/>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 [Subrayado por fuera de texto original]</w:t>
      </w:r>
    </w:p>
    <w:p w14:paraId="3DAA2BDF" w14:textId="77777777" w:rsidR="00132D3F" w:rsidRPr="00132D3F" w:rsidRDefault="00132D3F" w:rsidP="00132D3F">
      <w:pPr>
        <w:spacing w:after="0" w:line="276" w:lineRule="auto"/>
        <w:ind w:left="709" w:right="709"/>
        <w:jc w:val="both"/>
        <w:rPr>
          <w:rFonts w:ascii="Verdana" w:eastAsia="Times New Roman" w:hAnsi="Verdana" w:cs="Arial"/>
          <w:lang w:eastAsia="es-CO"/>
        </w:rPr>
      </w:pPr>
    </w:p>
    <w:p w14:paraId="4461DED5"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132D3F">
        <w:rPr>
          <w:rFonts w:ascii="Verdana" w:eastAsia="Times New Roman" w:hAnsi="Verdana" w:cs="Arial"/>
          <w:lang w:val="es-ES" w:eastAsia="es-ES"/>
        </w:rPr>
        <w:t>ii</w:t>
      </w:r>
      <w:proofErr w:type="spellEnd"/>
      <w:r w:rsidRPr="00132D3F">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132D3F">
        <w:rPr>
          <w:rFonts w:ascii="Verdana" w:eastAsia="Times New Roman" w:hAnsi="Verdana" w:cs="Arial"/>
          <w:lang w:val="es-ES" w:eastAsia="es-ES"/>
        </w:rPr>
        <w:t>iii</w:t>
      </w:r>
      <w:proofErr w:type="spellEnd"/>
      <w:r w:rsidRPr="00132D3F">
        <w:rPr>
          <w:rFonts w:ascii="Verdana" w:eastAsia="Times New Roman" w:hAnsi="Verdana" w:cs="Arial"/>
          <w:lang w:val="es-ES" w:eastAsia="es-ES"/>
        </w:rPr>
        <w:t xml:space="preserve">) introduce modificaciones en relación con algunos aspectos que se analizarán a continuación. </w:t>
      </w:r>
    </w:p>
    <w:p w14:paraId="79AE5C87" w14:textId="77777777" w:rsidR="00132D3F" w:rsidRPr="00132D3F" w:rsidRDefault="00132D3F" w:rsidP="00132D3F">
      <w:pPr>
        <w:spacing w:after="120" w:line="276" w:lineRule="auto"/>
        <w:ind w:right="51" w:firstLine="709"/>
        <w:jc w:val="both"/>
        <w:rPr>
          <w:rFonts w:ascii="Verdana" w:eastAsia="Times New Roman" w:hAnsi="Verdana" w:cs="Arial"/>
          <w:lang w:val="es-ES_tradnl" w:eastAsia="es-ES_tradnl"/>
        </w:rPr>
      </w:pPr>
      <w:r w:rsidRPr="00132D3F">
        <w:rPr>
          <w:rFonts w:ascii="Verdana" w:eastAsia="Times New Roman" w:hAnsi="Verdana" w:cs="Arial"/>
          <w:i/>
          <w:iCs/>
          <w:lang w:val="es-ES_tradnl" w:eastAsia="es-ES_tradnl"/>
        </w:rPr>
        <w:lastRenderedPageBreak/>
        <w:t xml:space="preserve">La primera modificación </w:t>
      </w:r>
      <w:r w:rsidRPr="00132D3F">
        <w:rPr>
          <w:rFonts w:ascii="Verdana" w:eastAsia="Times New Roman"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132D3F">
        <w:rPr>
          <w:rFonts w:ascii="Verdana" w:eastAsia="Times New Roman" w:hAnsi="Verdana" w:cs="Arial"/>
          <w:vertAlign w:val="superscript"/>
          <w:lang w:val="es-ES_tradnl" w:eastAsia="es-ES_tradnl"/>
        </w:rPr>
        <w:footnoteReference w:id="8"/>
      </w:r>
      <w:r w:rsidRPr="00132D3F">
        <w:rPr>
          <w:rFonts w:ascii="Verdana" w:eastAsia="Times New Roman" w:hAnsi="Verdana" w:cs="Arial"/>
          <w:lang w:val="es-ES_tradnl" w:eastAsia="es-ES_tradnl"/>
        </w:rPr>
        <w:t>.</w:t>
      </w:r>
    </w:p>
    <w:p w14:paraId="3120AE5D"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00132D3F">
        <w:rPr>
          <w:rFonts w:ascii="Verdana" w:eastAsia="Times New Roman" w:hAnsi="Verdana" w:cs="Arial"/>
          <w:lang w:val="es-ES" w:eastAsia="es-ES"/>
        </w:rPr>
        <w:t>obstante</w:t>
      </w:r>
      <w:proofErr w:type="gramEnd"/>
      <w:r w:rsidRPr="00132D3F">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 traslado del informe de evaluación: “</w:t>
      </w:r>
      <w:r w:rsidRPr="00132D3F">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00132D3F">
        <w:rPr>
          <w:rFonts w:ascii="Verdana" w:eastAsia="Times New Roman" w:hAnsi="Verdana" w:cs="Arial"/>
          <w:lang w:val="es-ES" w:eastAsia="es-ES"/>
        </w:rPr>
        <w:t xml:space="preserve"> </w:t>
      </w:r>
    </w:p>
    <w:p w14:paraId="4DCE016C"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Sin perjuicio de lo expuesto, de la lectura de este aparte podrían, en la práctica, darse dos interpretaciones que dan lugar a dos formas de proceder en los procesos de selección, en lo que a la </w:t>
      </w:r>
      <w:proofErr w:type="spellStart"/>
      <w:r w:rsidRPr="00132D3F">
        <w:rPr>
          <w:rFonts w:ascii="Verdana" w:eastAsia="Times New Roman" w:hAnsi="Verdana" w:cs="Arial"/>
          <w:lang w:val="es-ES" w:eastAsia="es-ES"/>
        </w:rPr>
        <w:t>subsanabilidad</w:t>
      </w:r>
      <w:proofErr w:type="spellEnd"/>
      <w:r w:rsidRPr="00132D3F">
        <w:rPr>
          <w:rFonts w:ascii="Verdana" w:eastAsia="Times New Roman" w:hAnsi="Verdana" w:cs="Arial"/>
          <w:lang w:val="es-ES" w:eastAsia="es-ES"/>
        </w:rPr>
        <w:t xml:space="preserve"> de las ofertas se refiere. </w:t>
      </w:r>
      <w:r w:rsidRPr="00132D3F">
        <w:rPr>
          <w:rFonts w:ascii="Verdana" w:eastAsia="Times New Roman" w:hAnsi="Verdana" w:cs="Arial"/>
          <w:i/>
          <w:iCs/>
          <w:lang w:val="es-ES" w:eastAsia="es-ES"/>
        </w:rPr>
        <w:t>Primera</w:t>
      </w:r>
      <w:r w:rsidRPr="00132D3F">
        <w:rPr>
          <w:rFonts w:ascii="Verdana" w:eastAsia="Times New Roman" w:hAnsi="Verdana" w:cs="Arial"/>
          <w:lang w:val="es-ES" w:eastAsia="es-ES"/>
        </w:rPr>
        <w:t xml:space="preserve">, que la posibilidad para subsanar de los oferentes es el término de traslado del informe de evaluación, ya que es en este documento donde la Administración consigna los requisitos o documentos omitidos que los oferentes deben subsanar, so pena de rechazo. </w:t>
      </w:r>
      <w:r w:rsidRPr="00132D3F">
        <w:rPr>
          <w:rFonts w:ascii="Verdana" w:eastAsia="Times New Roman" w:hAnsi="Verdana" w:cs="Arial"/>
          <w:i/>
          <w:iCs/>
          <w:lang w:val="es-ES" w:eastAsia="es-ES"/>
        </w:rPr>
        <w:t>Segunda</w:t>
      </w:r>
      <w:r w:rsidRPr="00132D3F">
        <w:rPr>
          <w:rFonts w:ascii="Verdana" w:eastAsia="Times New Roman" w:hAnsi="Verdana" w:cs="Arial"/>
          <w:lang w:val="es-ES" w:eastAsia="es-ES"/>
        </w:rPr>
        <w:t xml:space="preserve">, que el término del traslado del informe de evaluación es el </w:t>
      </w:r>
      <w:r w:rsidRPr="00132D3F">
        <w:rPr>
          <w:rFonts w:ascii="Verdana" w:eastAsia="Times New Roman" w:hAnsi="Verdana" w:cs="Arial"/>
          <w:i/>
          <w:lang w:val="es-ES" w:eastAsia="es-ES"/>
        </w:rPr>
        <w:t>límite</w:t>
      </w:r>
      <w:r w:rsidRPr="00132D3F">
        <w:rPr>
          <w:rFonts w:ascii="Verdana" w:eastAsia="Times New Roman" w:hAnsi="Verdana" w:cs="Arial"/>
          <w:lang w:val="es-ES" w:eastAsia="es-ES"/>
        </w:rPr>
        <w:t xml:space="preserve"> para la subsanación de ofertas, pero no el único momento para hacerlo. </w:t>
      </w:r>
    </w:p>
    <w:p w14:paraId="73196BB1" w14:textId="77777777" w:rsidR="00132D3F" w:rsidRPr="00132D3F" w:rsidRDefault="00132D3F" w:rsidP="00132D3F">
      <w:pPr>
        <w:spacing w:after="120" w:line="276" w:lineRule="auto"/>
        <w:ind w:firstLine="709"/>
        <w:jc w:val="both"/>
        <w:rPr>
          <w:rFonts w:ascii="Verdana" w:eastAsia="Times New Roman" w:hAnsi="Verdana" w:cs="Arial"/>
          <w:lang w:val="es-ES_tradnl" w:eastAsia="es-ES_tradnl"/>
        </w:rPr>
      </w:pPr>
      <w:r w:rsidRPr="00132D3F">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w:t>
      </w:r>
      <w:r w:rsidRPr="00132D3F">
        <w:rPr>
          <w:rFonts w:ascii="Verdana" w:eastAsia="Times New Roman" w:hAnsi="Verdana" w:cs="Arial"/>
          <w:lang w:val="es-ES_tradnl" w:eastAsia="es-ES_tradnl"/>
        </w:rPr>
        <w:lastRenderedPageBreak/>
        <w:t xml:space="preserve">Consecuentemente, el término del traslado es la oportunidad del proponente para cumplir con lo solicitado.  </w:t>
      </w:r>
    </w:p>
    <w:p w14:paraId="31454EE0" w14:textId="77777777" w:rsidR="00132D3F" w:rsidRPr="00132D3F" w:rsidRDefault="00132D3F" w:rsidP="00132D3F">
      <w:pPr>
        <w:spacing w:after="120" w:line="276" w:lineRule="auto"/>
        <w:ind w:firstLine="709"/>
        <w:jc w:val="both"/>
        <w:rPr>
          <w:rFonts w:ascii="Verdana" w:eastAsia="Times New Roman" w:hAnsi="Verdana" w:cs="Arial"/>
          <w:lang w:val="es-ES_tradnl" w:eastAsia="es-ES_tradnl"/>
        </w:rPr>
      </w:pPr>
      <w:r w:rsidRPr="00132D3F">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4AEFBEAB"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6A72710C" w14:textId="77777777" w:rsidR="00132D3F" w:rsidRPr="00132D3F" w:rsidRDefault="00132D3F" w:rsidP="00132D3F">
      <w:pPr>
        <w:spacing w:after="120" w:line="276" w:lineRule="auto"/>
        <w:ind w:firstLine="709"/>
        <w:jc w:val="both"/>
        <w:rPr>
          <w:rFonts w:ascii="Verdana" w:eastAsia="Times New Roman" w:hAnsi="Verdana" w:cs="Arial"/>
          <w:lang w:val="es-ES_tradnl" w:eastAsia="es-ES_tradnl"/>
        </w:rPr>
      </w:pPr>
      <w:r w:rsidRPr="00132D3F">
        <w:rPr>
          <w:rFonts w:ascii="Verdana" w:eastAsia="Times New Roman" w:hAnsi="Verdana" w:cs="Arial"/>
          <w:lang w:val="es-ES_tradnl" w:eastAsia="es-ES_tradnl"/>
        </w:rPr>
        <w:t xml:space="preserve">El </w:t>
      </w:r>
      <w:r w:rsidRPr="00132D3F">
        <w:rPr>
          <w:rFonts w:ascii="Verdana" w:eastAsia="Times New Roman" w:hAnsi="Verdana" w:cs="Arial"/>
          <w:i/>
          <w:iCs/>
          <w:lang w:val="es-ES_tradnl" w:eastAsia="es-ES_tradnl"/>
        </w:rPr>
        <w:t>segundo cambio</w:t>
      </w:r>
      <w:r w:rsidRPr="00132D3F">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132D3F">
        <w:rPr>
          <w:rFonts w:ascii="Verdana" w:eastAsia="Times New Roman" w:hAnsi="Verdana" w:cs="Arial"/>
          <w:i/>
          <w:iCs/>
          <w:lang w:val="es-ES_tradnl" w:eastAsia="es-ES_tradnl"/>
        </w:rPr>
        <w:t>“los proponentes no podrán acreditar circunstancias ocurridas con posterioridad al cierre del proceso”.</w:t>
      </w:r>
      <w:r w:rsidRPr="00132D3F">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4367CBC6"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w:t>
      </w:r>
      <w:r w:rsidRPr="00132D3F">
        <w:rPr>
          <w:rFonts w:ascii="Verdana" w:eastAsia="Times New Roman" w:hAnsi="Verdana" w:cs="Arial"/>
          <w:lang w:val="es-ES" w:eastAsia="es-ES"/>
        </w:rPr>
        <w:lastRenderedPageBreak/>
        <w:t>vencimiento del plazo para la presentación de las ofertas y que lo subsanable son las circunstancias que ocurrieron con anterioridad a esa fecha</w:t>
      </w:r>
      <w:r w:rsidRPr="00132D3F">
        <w:rPr>
          <w:rFonts w:ascii="Verdana" w:eastAsia="Times New Roman" w:hAnsi="Verdana" w:cs="Arial"/>
          <w:vertAlign w:val="superscript"/>
          <w:lang w:val="es-ES" w:eastAsia="es-ES"/>
        </w:rPr>
        <w:footnoteReference w:id="9"/>
      </w:r>
      <w:r w:rsidRPr="00132D3F">
        <w:rPr>
          <w:rFonts w:ascii="Verdana" w:eastAsia="Times New Roman" w:hAnsi="Verdana" w:cs="Arial"/>
          <w:lang w:val="es-ES" w:eastAsia="es-ES"/>
        </w:rPr>
        <w:t>.</w:t>
      </w:r>
    </w:p>
    <w:p w14:paraId="000152C9"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4DD1930E"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t xml:space="preserve">Un mejor entendimiento del significado de la expresión </w:t>
      </w:r>
      <w:r w:rsidRPr="00132D3F">
        <w:rPr>
          <w:rFonts w:ascii="Verdana" w:eastAsia="Times New Roman" w:hAnsi="Verdana" w:cs="Arial"/>
          <w:i/>
          <w:lang w:val="es-ES" w:eastAsia="es-ES"/>
        </w:rPr>
        <w:t>“circunstancias ocurridas con posterioridad al cierre del proceso”</w:t>
      </w:r>
      <w:r w:rsidRPr="00132D3F">
        <w:rPr>
          <w:rFonts w:ascii="Verdana" w:eastAsia="Times New Roman" w:hAnsi="Verdana" w:cs="Arial"/>
          <w:lang w:val="es-ES" w:eastAsia="es-ES"/>
        </w:rPr>
        <w:t xml:space="preserve"> implica distinguir entre la prueba de un hecho y el hecho mismo. En el caso de la </w:t>
      </w:r>
      <w:proofErr w:type="spellStart"/>
      <w:r w:rsidRPr="00132D3F">
        <w:rPr>
          <w:rFonts w:ascii="Verdana" w:eastAsia="Times New Roman" w:hAnsi="Verdana" w:cs="Arial"/>
          <w:lang w:val="es-ES" w:eastAsia="es-ES"/>
        </w:rPr>
        <w:t>subsanabilidad</w:t>
      </w:r>
      <w:proofErr w:type="spellEnd"/>
      <w:r w:rsidRPr="00132D3F">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00132D3F">
        <w:rPr>
          <w:rFonts w:ascii="Verdana" w:eastAsia="Times New Roman" w:hAnsi="Verdana" w:cs="Arial"/>
          <w:vertAlign w:val="superscript"/>
          <w:lang w:val="es-ES" w:eastAsia="es-ES"/>
        </w:rPr>
        <w:footnoteReference w:id="10"/>
      </w:r>
      <w:r w:rsidRPr="00132D3F">
        <w:rPr>
          <w:rFonts w:ascii="Verdana" w:eastAsia="Times New Roman" w:hAnsi="Verdana" w:cs="Arial"/>
          <w:lang w:val="es-ES" w:eastAsia="es-ES"/>
        </w:rPr>
        <w:t xml:space="preserve">. </w:t>
      </w:r>
    </w:p>
    <w:p w14:paraId="7C03561A" w14:textId="77777777" w:rsidR="00132D3F" w:rsidRPr="00132D3F" w:rsidRDefault="00132D3F" w:rsidP="00132D3F">
      <w:pPr>
        <w:spacing w:after="120" w:line="276" w:lineRule="auto"/>
        <w:ind w:firstLine="709"/>
        <w:jc w:val="both"/>
        <w:rPr>
          <w:rFonts w:ascii="Verdana" w:eastAsia="Times New Roman" w:hAnsi="Verdana" w:cs="Arial"/>
          <w:lang w:val="es-ES" w:eastAsia="es-ES"/>
        </w:rPr>
      </w:pPr>
      <w:r w:rsidRPr="00132D3F">
        <w:rPr>
          <w:rFonts w:ascii="Verdana" w:eastAsia="Times New Roman" w:hAnsi="Verdana" w:cs="Arial"/>
          <w:lang w:val="es-ES" w:eastAsia="es-ES"/>
        </w:rPr>
        <w:lastRenderedPageBreak/>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w:t>
      </w:r>
      <w:proofErr w:type="spellStart"/>
      <w:r w:rsidRPr="00132D3F">
        <w:rPr>
          <w:rFonts w:ascii="Verdana" w:eastAsia="Times New Roman" w:hAnsi="Verdana" w:cs="Arial"/>
          <w:lang w:val="es-ES" w:eastAsia="es-ES"/>
        </w:rPr>
        <w:t>esta</w:t>
      </w:r>
      <w:proofErr w:type="spellEnd"/>
      <w:r w:rsidRPr="00132D3F">
        <w:rPr>
          <w:rFonts w:ascii="Verdana" w:eastAsia="Times New Roman" w:hAnsi="Verdana" w:cs="Arial"/>
          <w:lang w:val="es-ES" w:eastAsia="es-ES"/>
        </w:rPr>
        <w:t xml:space="preserve"> en firme para dicho momento; </w:t>
      </w:r>
      <w:proofErr w:type="spellStart"/>
      <w:r w:rsidRPr="00132D3F">
        <w:rPr>
          <w:rFonts w:ascii="Verdana" w:eastAsia="Times New Roman" w:hAnsi="Verdana" w:cs="Arial"/>
          <w:lang w:val="es-ES" w:eastAsia="es-ES"/>
        </w:rPr>
        <w:t>ii</w:t>
      </w:r>
      <w:proofErr w:type="spellEnd"/>
      <w:r w:rsidRPr="00132D3F">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132D3F">
        <w:rPr>
          <w:rFonts w:ascii="Verdana" w:eastAsia="Times New Roman" w:hAnsi="Verdana" w:cs="Arial"/>
          <w:vertAlign w:val="superscript"/>
          <w:lang w:val="es-ES" w:eastAsia="es-ES"/>
        </w:rPr>
        <w:footnoteReference w:id="11"/>
      </w:r>
      <w:r w:rsidRPr="00132D3F">
        <w:rPr>
          <w:rFonts w:ascii="Verdana" w:eastAsia="Times New Roman" w:hAnsi="Verdana" w:cs="Arial"/>
          <w:lang w:val="es-ES" w:eastAsia="es-ES"/>
        </w:rPr>
        <w:t xml:space="preserve">; </w:t>
      </w:r>
      <w:proofErr w:type="spellStart"/>
      <w:r w:rsidRPr="00132D3F">
        <w:rPr>
          <w:rFonts w:ascii="Verdana" w:eastAsia="Times New Roman" w:hAnsi="Verdana" w:cs="Arial"/>
          <w:lang w:val="es-ES" w:eastAsia="es-ES"/>
        </w:rPr>
        <w:t>iii</w:t>
      </w:r>
      <w:proofErr w:type="spellEnd"/>
      <w:r w:rsidRPr="00132D3F">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132D3F">
        <w:rPr>
          <w:rFonts w:ascii="Verdana" w:eastAsia="Times New Roman" w:hAnsi="Verdana" w:cs="Arial"/>
          <w:vertAlign w:val="superscript"/>
          <w:lang w:val="es-ES" w:eastAsia="es-ES"/>
        </w:rPr>
        <w:footnoteReference w:id="12"/>
      </w:r>
      <w:r w:rsidRPr="00132D3F">
        <w:rPr>
          <w:rFonts w:ascii="Verdana" w:eastAsia="Times New Roman" w:hAnsi="Verdana" w:cs="Arial"/>
          <w:lang w:val="es-ES" w:eastAsia="es-ES"/>
        </w:rPr>
        <w:t xml:space="preserve">; </w:t>
      </w:r>
      <w:proofErr w:type="spellStart"/>
      <w:r w:rsidRPr="00132D3F">
        <w:rPr>
          <w:rFonts w:ascii="Verdana" w:eastAsia="Times New Roman" w:hAnsi="Verdana" w:cs="Arial"/>
          <w:lang w:val="es-ES" w:eastAsia="es-ES"/>
        </w:rPr>
        <w:t>iv</w:t>
      </w:r>
      <w:proofErr w:type="spellEnd"/>
      <w:r w:rsidRPr="00132D3F">
        <w:rPr>
          <w:rFonts w:ascii="Verdana" w:eastAsia="Times New Roman" w:hAnsi="Verdana" w:cs="Arial"/>
          <w:lang w:val="es-ES" w:eastAsia="es-ES"/>
        </w:rPr>
        <w:t xml:space="preserve">)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ofertas, y vi) si el oferente olvidó firmar la propuesta o presentar una copia de </w:t>
      </w:r>
      <w:r w:rsidRPr="00132D3F">
        <w:rPr>
          <w:rFonts w:ascii="Verdana" w:eastAsia="Times New Roman" w:hAnsi="Verdana" w:cs="Arial"/>
          <w:lang w:val="es-ES" w:eastAsia="es-ES"/>
        </w:rPr>
        <w:lastRenderedPageBreak/>
        <w:t xml:space="preserve">ella, puede subsanar sin que con ello se entienda que acreditó una circunstancia ocurrida con posterioridad al cierre del proceso. </w:t>
      </w:r>
    </w:p>
    <w:p w14:paraId="270B1F3B" w14:textId="77777777" w:rsidR="00132D3F" w:rsidRPr="00132D3F" w:rsidRDefault="00132D3F" w:rsidP="00132D3F">
      <w:pPr>
        <w:spacing w:after="120" w:line="276" w:lineRule="auto"/>
        <w:ind w:firstLine="709"/>
        <w:jc w:val="both"/>
        <w:rPr>
          <w:rFonts w:ascii="Verdana" w:eastAsia="Times New Roman" w:hAnsi="Verdana" w:cs="Arial"/>
          <w:i/>
          <w:lang w:val="es-ES" w:eastAsia="es-ES"/>
        </w:rPr>
      </w:pPr>
      <w:r w:rsidRPr="00132D3F">
        <w:rPr>
          <w:rFonts w:ascii="Verdana" w:eastAsia="Times New Roman" w:hAnsi="Verdana" w:cs="Arial"/>
          <w:lang w:val="es-ES" w:eastAsia="es-ES"/>
        </w:rPr>
        <w:t xml:space="preserve">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132D3F">
        <w:rPr>
          <w:rFonts w:ascii="Verdana" w:eastAsia="Times New Roman" w:hAnsi="Verdana" w:cs="Arial"/>
          <w:lang w:val="es-ES" w:eastAsia="es-ES"/>
        </w:rPr>
        <w:t>que</w:t>
      </w:r>
      <w:proofErr w:type="gramEnd"/>
      <w:r w:rsidRPr="00132D3F">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132D3F">
        <w:rPr>
          <w:rFonts w:ascii="Verdana" w:eastAsia="Times New Roman" w:hAnsi="Verdana" w:cs="Arial"/>
          <w:vertAlign w:val="superscript"/>
          <w:lang w:val="es-ES" w:eastAsia="es-ES"/>
        </w:rPr>
        <w:footnoteReference w:id="13"/>
      </w:r>
      <w:r w:rsidRPr="00132D3F">
        <w:rPr>
          <w:rFonts w:ascii="Verdana" w:eastAsia="Times New Roman" w:hAnsi="Verdana" w:cs="Arial"/>
          <w:lang w:val="es-ES" w:eastAsia="es-ES"/>
        </w:rPr>
        <w:t>.</w:t>
      </w:r>
    </w:p>
    <w:p w14:paraId="70B9D09B" w14:textId="77777777" w:rsidR="00132D3F" w:rsidRPr="00132D3F" w:rsidRDefault="00132D3F" w:rsidP="00132D3F">
      <w:pPr>
        <w:spacing w:after="120" w:line="276" w:lineRule="auto"/>
        <w:ind w:firstLine="708"/>
        <w:jc w:val="both"/>
        <w:rPr>
          <w:rFonts w:ascii="Verdana" w:eastAsia="Calibri" w:hAnsi="Verdana" w:cs="Arial"/>
          <w:color w:val="000000"/>
        </w:rPr>
      </w:pPr>
      <w:r w:rsidRPr="00132D3F">
        <w:rPr>
          <w:rFonts w:ascii="Verdana" w:eastAsia="Times New Roman" w:hAnsi="Verdana" w:cs="Arial"/>
          <w:iCs/>
          <w:lang w:val="es-ES" w:eastAsia="es-ES"/>
        </w:rPr>
        <w:t>Ahora bien, e</w:t>
      </w:r>
      <w:r w:rsidRPr="00132D3F">
        <w:rPr>
          <w:rFonts w:ascii="Verdana" w:eastAsia="Calibri" w:hAnsi="Verdana" w:cs="Arial"/>
          <w:iCs/>
          <w:color w:val="000000"/>
          <w:lang w:val="es-ES"/>
        </w:rPr>
        <w:t>l</w:t>
      </w:r>
      <w:r w:rsidRPr="00132D3F">
        <w:rPr>
          <w:rFonts w:ascii="Verdana" w:eastAsia="Calibri" w:hAnsi="Verdana" w:cs="Arial"/>
          <w:color w:val="000000"/>
          <w:lang w:val="es-ES"/>
        </w:rPr>
        <w:t xml:space="preserve"> parágrafo 3 del artículo 5 de la Ley 1882 de 2018 determinó, de manera expresa, que “la no entrega de la garantía de seriedad junto con la propuesta no será subsanable y será causal de rechazo de </w:t>
      </w:r>
      <w:proofErr w:type="gramStart"/>
      <w:r w:rsidRPr="00132D3F">
        <w:rPr>
          <w:rFonts w:ascii="Verdana" w:eastAsia="Calibri" w:hAnsi="Verdana" w:cs="Arial"/>
          <w:color w:val="000000"/>
          <w:lang w:val="es-ES"/>
        </w:rPr>
        <w:t>la misma</w:t>
      </w:r>
      <w:proofErr w:type="gramEnd"/>
      <w:r w:rsidRPr="00132D3F">
        <w:rPr>
          <w:rFonts w:ascii="Verdana" w:eastAsia="Calibri" w:hAnsi="Verdana" w:cs="Arial"/>
          <w:color w:val="000000"/>
          <w:lang w:val="es-ES"/>
        </w:rPr>
        <w:t>”, dejando claro que se trata de un documento de obligatoria presentación junto con la propuesta y que materializa los principios de seriedad e irrevocabilidad de la oferta.</w:t>
      </w:r>
      <w:r w:rsidRPr="00132D3F">
        <w:rPr>
          <w:rFonts w:ascii="Verdana" w:eastAsia="Calibri" w:hAnsi="Verdana" w:cs="Arial"/>
          <w:color w:val="000000"/>
        </w:rPr>
        <w:t> </w:t>
      </w:r>
    </w:p>
    <w:p w14:paraId="2384B0AA" w14:textId="77777777" w:rsidR="00132D3F" w:rsidRPr="00132D3F" w:rsidRDefault="00132D3F" w:rsidP="00132D3F">
      <w:pPr>
        <w:spacing w:after="0" w:line="276" w:lineRule="auto"/>
        <w:ind w:firstLine="709"/>
        <w:jc w:val="both"/>
        <w:rPr>
          <w:rFonts w:ascii="Verdana" w:eastAsia="Calibri" w:hAnsi="Verdana" w:cs="Arial"/>
          <w:color w:val="000000"/>
        </w:rPr>
      </w:pPr>
      <w:r w:rsidRPr="00132D3F">
        <w:rPr>
          <w:rFonts w:ascii="Verdana" w:eastAsia="Calibri" w:hAnsi="Verdana" w:cs="Arial"/>
          <w:color w:val="000000"/>
        </w:rPr>
        <w:t xml:space="preserve">Las anteriores consideraciones son, claramente, aplicables a los documentos tipo expedidos por esta Agencia. Por lo tanto, tratándose de los documentos tipo de infraestructura de transporte, la subsanación de las ofertas debe realizarse en los términos expuesto sen este concepto, teniendo en cuenta los aspectos frente a los cuales es procedente la subsanación y aquellos sobre los cuales no procede. </w:t>
      </w:r>
    </w:p>
    <w:p w14:paraId="347A2208" w14:textId="77777777" w:rsidR="00132D3F" w:rsidRPr="00132D3F" w:rsidRDefault="00132D3F" w:rsidP="00132D3F">
      <w:pPr>
        <w:spacing w:after="0" w:line="276" w:lineRule="auto"/>
        <w:ind w:firstLine="709"/>
        <w:jc w:val="both"/>
        <w:rPr>
          <w:rFonts w:ascii="Verdana" w:eastAsia="Calibri" w:hAnsi="Verdana" w:cs="Arial"/>
          <w:color w:val="000000"/>
        </w:rPr>
      </w:pPr>
    </w:p>
    <w:p w14:paraId="4C785031" w14:textId="77777777" w:rsidR="00132D3F" w:rsidRPr="00132D3F" w:rsidRDefault="00132D3F" w:rsidP="00132D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32D3F">
        <w:rPr>
          <w:rFonts w:ascii="Verdana" w:eastAsia="Century Gothic" w:hAnsi="Verdana" w:cs="Century Gothic"/>
          <w:b/>
          <w:bCs/>
          <w:lang w:val="es-ES_tradnl"/>
        </w:rPr>
        <w:t>Referencias normativas, jurisprudenciales y otras fuentes:</w:t>
      </w:r>
    </w:p>
    <w:p w14:paraId="3EA945FC" w14:textId="77777777" w:rsidR="00132D3F" w:rsidRPr="00132D3F" w:rsidRDefault="00132D3F" w:rsidP="00132D3F">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32D3F" w:rsidRPr="00132D3F" w14:paraId="2155BFD3" w14:textId="77777777" w:rsidTr="000F4136">
        <w:trPr>
          <w:trHeight w:val="870"/>
        </w:trPr>
        <w:tc>
          <w:tcPr>
            <w:tcW w:w="8647" w:type="dxa"/>
          </w:tcPr>
          <w:p w14:paraId="7EEEBABF" w14:textId="77777777" w:rsidR="00132D3F" w:rsidRPr="00132D3F" w:rsidRDefault="00132D3F" w:rsidP="00132D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132D3F">
              <w:rPr>
                <w:rFonts w:ascii="Verdana" w:eastAsia="Calibri" w:hAnsi="Verdana" w:cs="Arial"/>
                <w:lang w:val="es-ES_tradnl"/>
              </w:rPr>
              <w:t>Ley 2022 de 2020, artículo 1.</w:t>
            </w:r>
          </w:p>
          <w:p w14:paraId="277F284D" w14:textId="77777777" w:rsidR="00132D3F" w:rsidRPr="00132D3F" w:rsidRDefault="00132D3F" w:rsidP="00132D3F">
            <w:pPr>
              <w:numPr>
                <w:ilvl w:val="0"/>
                <w:numId w:val="17"/>
              </w:numPr>
              <w:snapToGrid w:val="0"/>
              <w:spacing w:after="120" w:line="276" w:lineRule="auto"/>
              <w:jc w:val="both"/>
              <w:rPr>
                <w:rFonts w:ascii="Verdana" w:eastAsia="Calibri" w:hAnsi="Verdana" w:cs="Arial"/>
                <w:noProof/>
                <w:lang w:val="es-ES_tradnl"/>
              </w:rPr>
            </w:pPr>
            <w:r w:rsidRPr="00132D3F">
              <w:rPr>
                <w:rFonts w:ascii="Verdana" w:eastAsia="Calibri" w:hAnsi="Verdana" w:cs="Arial"/>
                <w:noProof/>
                <w:lang w:val="es-ES_tradnl"/>
              </w:rPr>
              <w:t xml:space="preserve">Ley 1150 de 2007, artículo 5. Modificado por la Ley 1882 de 2018, parágrafos 1, 3 y 4. </w:t>
            </w:r>
          </w:p>
          <w:p w14:paraId="5439CFA3" w14:textId="77777777" w:rsidR="00132D3F" w:rsidRPr="00132D3F" w:rsidRDefault="00132D3F" w:rsidP="00132D3F">
            <w:pPr>
              <w:widowControl w:val="0"/>
              <w:numPr>
                <w:ilvl w:val="0"/>
                <w:numId w:val="17"/>
              </w:numPr>
              <w:autoSpaceDE w:val="0"/>
              <w:autoSpaceDN w:val="0"/>
              <w:snapToGrid w:val="0"/>
              <w:spacing w:after="120" w:line="276" w:lineRule="auto"/>
              <w:jc w:val="both"/>
              <w:rPr>
                <w:rFonts w:ascii="Verdana" w:eastAsia="Calibri" w:hAnsi="Verdana" w:cs="Arial"/>
                <w:lang w:val="es-ES"/>
              </w:rPr>
            </w:pPr>
            <w:r w:rsidRPr="00132D3F">
              <w:rPr>
                <w:rFonts w:ascii="Verdana" w:eastAsia="Calibri" w:hAnsi="Verdana" w:cs="Arial"/>
                <w:lang w:val="es-ES"/>
              </w:rPr>
              <w:lastRenderedPageBreak/>
              <w:t xml:space="preserve">Consejo de Estado. Sección Tercera. Sentencia del 27 de abril de 2011. </w:t>
            </w:r>
            <w:proofErr w:type="spellStart"/>
            <w:r w:rsidRPr="00132D3F">
              <w:rPr>
                <w:rFonts w:ascii="Verdana" w:eastAsia="Calibri" w:hAnsi="Verdana" w:cs="Arial"/>
                <w:lang w:val="es-ES"/>
              </w:rPr>
              <w:t>Exp</w:t>
            </w:r>
            <w:proofErr w:type="spellEnd"/>
            <w:r w:rsidRPr="00132D3F">
              <w:rPr>
                <w:rFonts w:ascii="Verdana" w:eastAsia="Calibri" w:hAnsi="Verdana" w:cs="Arial"/>
                <w:lang w:val="es-ES"/>
              </w:rPr>
              <w:t>. 18.293. C.P. Ruth Stella Correa Palacio.</w:t>
            </w:r>
          </w:p>
          <w:p w14:paraId="48DF8CDC" w14:textId="77777777" w:rsidR="00132D3F" w:rsidRPr="00132D3F" w:rsidRDefault="00132D3F" w:rsidP="00132D3F">
            <w:pPr>
              <w:widowControl w:val="0"/>
              <w:numPr>
                <w:ilvl w:val="0"/>
                <w:numId w:val="17"/>
              </w:numPr>
              <w:autoSpaceDE w:val="0"/>
              <w:autoSpaceDN w:val="0"/>
              <w:snapToGrid w:val="0"/>
              <w:spacing w:after="120" w:line="276" w:lineRule="auto"/>
              <w:jc w:val="both"/>
              <w:rPr>
                <w:rFonts w:ascii="Verdana" w:eastAsia="Calibri" w:hAnsi="Verdana" w:cs="Arial"/>
                <w:lang w:val="es-ES"/>
              </w:rPr>
            </w:pPr>
            <w:r w:rsidRPr="00132D3F">
              <w:rPr>
                <w:rFonts w:ascii="Verdana" w:eastAsia="Calibri" w:hAnsi="Verdana" w:cs="Arial"/>
                <w:lang w:val="es-ES"/>
              </w:rPr>
              <w:t xml:space="preserve">Consejo de Estado. Sección Tercera. Sentencia del 21 de noviembre de 2013. </w:t>
            </w:r>
            <w:proofErr w:type="spellStart"/>
            <w:r w:rsidRPr="00132D3F">
              <w:rPr>
                <w:rFonts w:ascii="Verdana" w:eastAsia="Calibri" w:hAnsi="Verdana" w:cs="Arial"/>
                <w:lang w:val="es-ES"/>
              </w:rPr>
              <w:t>Exp</w:t>
            </w:r>
            <w:proofErr w:type="spellEnd"/>
            <w:r w:rsidRPr="00132D3F">
              <w:rPr>
                <w:rFonts w:ascii="Verdana" w:eastAsia="Calibri" w:hAnsi="Verdana" w:cs="Arial"/>
                <w:lang w:val="es-ES"/>
              </w:rPr>
              <w:t>. 25397. C.P. Carlos Alberto Zambrano Barrera.</w:t>
            </w:r>
          </w:p>
          <w:p w14:paraId="432BBC4C" w14:textId="77777777" w:rsidR="00132D3F" w:rsidRPr="00132D3F" w:rsidRDefault="00132D3F" w:rsidP="00132D3F">
            <w:pPr>
              <w:numPr>
                <w:ilvl w:val="0"/>
                <w:numId w:val="17"/>
              </w:numPr>
              <w:snapToGrid w:val="0"/>
              <w:spacing w:after="120" w:line="276" w:lineRule="auto"/>
              <w:jc w:val="both"/>
              <w:rPr>
                <w:rFonts w:ascii="Verdana" w:eastAsia="Aptos" w:hAnsi="Verdana" w:cs="Arial"/>
                <w:lang w:val="es-ES"/>
              </w:rPr>
            </w:pPr>
            <w:r w:rsidRPr="00132D3F">
              <w:rPr>
                <w:rFonts w:ascii="Verdana" w:eastAsia="Calibri" w:hAnsi="Verdana" w:cs="Arial"/>
                <w:noProof/>
                <w:lang w:val="es-ES_tradnl"/>
              </w:rPr>
              <w:t>Consejo de Estado. Sala de Consulta y Servicio Civil. Concepto del 20 de mayo de 2010. Exp. 1.992. C.P. Enrique José Arboleda Perdomo.</w:t>
            </w:r>
          </w:p>
          <w:p w14:paraId="7FE38A6B" w14:textId="77777777" w:rsidR="00132D3F" w:rsidRPr="00132D3F" w:rsidRDefault="00132D3F" w:rsidP="00132D3F">
            <w:pPr>
              <w:numPr>
                <w:ilvl w:val="0"/>
                <w:numId w:val="17"/>
              </w:numPr>
              <w:snapToGrid w:val="0"/>
              <w:spacing w:after="120" w:line="276" w:lineRule="auto"/>
              <w:jc w:val="both"/>
              <w:rPr>
                <w:rFonts w:ascii="Verdana" w:eastAsia="Calibri" w:hAnsi="Verdana" w:cs="Arial"/>
                <w:noProof/>
                <w:lang w:val="es-ES_tradnl"/>
              </w:rPr>
            </w:pPr>
            <w:r w:rsidRPr="00132D3F">
              <w:rPr>
                <w:rFonts w:ascii="Verdana" w:eastAsia="Calibri" w:hAnsi="Verdana" w:cs="Arial"/>
                <w:noProof/>
                <w:lang w:val="es-ES_tradnl"/>
              </w:rPr>
              <w:t>Consejo De Estado, Sección Tercera, Subsección C. Sentencia del 26 de febrero de 2011. C.P. Jaime Orlando Santofimio. Rad. 36.408.</w:t>
            </w:r>
          </w:p>
          <w:p w14:paraId="574230C4" w14:textId="77777777" w:rsidR="00132D3F" w:rsidRPr="00132D3F" w:rsidRDefault="00132D3F" w:rsidP="00132D3F">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132D3F">
              <w:rPr>
                <w:rFonts w:ascii="Verdana" w:eastAsia="Aptos" w:hAnsi="Verdana" w:cs="Arial"/>
                <w:lang w:val="es-ES_tradnl"/>
              </w:rPr>
              <w:t xml:space="preserve">Documentos tipo de infraestructura de transporte. Disponibles en: </w:t>
            </w:r>
            <w:hyperlink r:id="rId11" w:history="1">
              <w:r w:rsidRPr="00132D3F">
                <w:rPr>
                  <w:rFonts w:ascii="Verdana" w:eastAsia="Aptos" w:hAnsi="Verdana" w:cs="Arial"/>
                  <w:color w:val="0000FF"/>
                  <w:u w:val="single"/>
                  <w:lang w:val="es-ES_tradnl"/>
                </w:rPr>
                <w:t>https://www.colombiacompra.gov.co/normativa-y-relatoria/documentos-tipo</w:t>
              </w:r>
            </w:hyperlink>
            <w:r w:rsidRPr="00132D3F">
              <w:rPr>
                <w:rFonts w:ascii="Verdana" w:eastAsia="Aptos" w:hAnsi="Verdana" w:cs="Arial"/>
                <w:lang w:val="es-ES_tradnl"/>
              </w:rPr>
              <w:t xml:space="preserve">. </w:t>
            </w:r>
          </w:p>
        </w:tc>
      </w:tr>
    </w:tbl>
    <w:p w14:paraId="71ACB55A" w14:textId="77777777" w:rsidR="00132D3F" w:rsidRPr="00132D3F" w:rsidRDefault="00132D3F" w:rsidP="00132D3F">
      <w:pPr>
        <w:widowControl w:val="0"/>
        <w:autoSpaceDE w:val="0"/>
        <w:autoSpaceDN w:val="0"/>
        <w:snapToGrid w:val="0"/>
        <w:spacing w:after="0" w:line="276" w:lineRule="auto"/>
        <w:jc w:val="both"/>
        <w:rPr>
          <w:rFonts w:ascii="Verdana" w:eastAsia="Calibri" w:hAnsi="Verdana" w:cs="Arial"/>
          <w:lang w:val="es-ES_tradnl"/>
        </w:rPr>
      </w:pPr>
    </w:p>
    <w:p w14:paraId="09B62447" w14:textId="77777777" w:rsidR="00132D3F" w:rsidRPr="00132D3F" w:rsidRDefault="00132D3F" w:rsidP="00132D3F">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132D3F">
        <w:rPr>
          <w:rFonts w:ascii="Verdana" w:eastAsia="Century Gothic" w:hAnsi="Verdana" w:cs="Century Gothic"/>
          <w:b/>
          <w:bCs/>
          <w:lang w:val="es-ES_tradnl"/>
        </w:rPr>
        <w:t>Doctrina de la Agencia Nacional de Contratación Pública:</w:t>
      </w:r>
    </w:p>
    <w:p w14:paraId="2B9A5E88" w14:textId="77777777" w:rsidR="00132D3F" w:rsidRPr="00132D3F" w:rsidRDefault="00132D3F" w:rsidP="00132D3F">
      <w:pPr>
        <w:widowControl w:val="0"/>
        <w:autoSpaceDE w:val="0"/>
        <w:autoSpaceDN w:val="0"/>
        <w:snapToGrid w:val="0"/>
        <w:spacing w:after="0" w:line="276" w:lineRule="auto"/>
        <w:jc w:val="both"/>
        <w:rPr>
          <w:rFonts w:ascii="Verdana" w:eastAsia="Calibri" w:hAnsi="Verdana" w:cs="Arial"/>
          <w:lang w:val="es-ES_tradnl"/>
        </w:rPr>
      </w:pPr>
    </w:p>
    <w:p w14:paraId="5C295DB9"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32D3F">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w:t>
      </w:r>
    </w:p>
    <w:p w14:paraId="39FD65A3"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930F97A"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32D3F">
        <w:rPr>
          <w:rFonts w:ascii="Verdana" w:eastAsia="Calibri" w:hAnsi="Verdana" w:cs="Arial"/>
          <w:kern w:val="2"/>
          <w:shd w:val="clear" w:color="auto" w:fill="FFFFFF"/>
          <w:lang w:val="es-ES_tradnl"/>
          <w14:ligatures w14:val="standardContextual"/>
        </w:rPr>
        <w:t>A su vez, esta entidad se</w:t>
      </w:r>
      <w:r w:rsidRPr="00132D3F">
        <w:rPr>
          <w:rFonts w:ascii="Aptos" w:eastAsia="Aptos" w:hAnsi="Aptos" w:cs="Times New Roman"/>
          <w:kern w:val="2"/>
          <w:sz w:val="24"/>
          <w:szCs w:val="24"/>
          <w14:ligatures w14:val="standardContextual"/>
        </w:rPr>
        <w:t xml:space="preserve"> </w:t>
      </w:r>
      <w:r w:rsidRPr="00132D3F">
        <w:rPr>
          <w:rFonts w:ascii="Verdana" w:eastAsia="Calibri" w:hAnsi="Verdana" w:cs="Arial"/>
          <w:kern w:val="2"/>
          <w:shd w:val="clear" w:color="auto" w:fill="FFFFFF"/>
          <w:lang w:val="es-ES_tradnl"/>
          <w14:ligatures w14:val="standardContextual"/>
        </w:rPr>
        <w:t xml:space="preserve">refirió a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 entre otros. También ha estudiado la regla de </w:t>
      </w:r>
      <w:proofErr w:type="spellStart"/>
      <w:r w:rsidRPr="00132D3F">
        <w:rPr>
          <w:rFonts w:ascii="Verdana" w:eastAsia="Calibri" w:hAnsi="Verdana" w:cs="Arial"/>
          <w:kern w:val="2"/>
          <w:shd w:val="clear" w:color="auto" w:fill="FFFFFF"/>
          <w:lang w:val="es-ES_tradnl"/>
          <w14:ligatures w14:val="standardContextual"/>
        </w:rPr>
        <w:t>subsanabilidad</w:t>
      </w:r>
      <w:proofErr w:type="spellEnd"/>
      <w:r w:rsidRPr="00132D3F">
        <w:rPr>
          <w:rFonts w:ascii="Verdana" w:eastAsia="Calibri" w:hAnsi="Verdana" w:cs="Arial"/>
          <w:kern w:val="2"/>
          <w:shd w:val="clear" w:color="auto" w:fill="FFFFFF"/>
          <w:lang w:val="es-ES_tradnl"/>
          <w14:ligatures w14:val="standardContextual"/>
        </w:rPr>
        <w:t xml:space="preserve"> en los procesos de selección, en los conceptos </w:t>
      </w:r>
      <w:r w:rsidRPr="00132D3F">
        <w:rPr>
          <w:rFonts w:ascii="Verdana" w:eastAsia="Calibri" w:hAnsi="Verdana" w:cs="Arial"/>
          <w:kern w:val="2"/>
          <w:lang w:val="es-ES"/>
          <w14:ligatures w14:val="standardContextual"/>
        </w:rPr>
        <w:t>4201913000007643 del 26 de diciembre de 2019, C-343 del 17 de junio de 2020, C-518 del 9 de septiembre de 2020, C-614 del 5 de octubre de 2022, C-882 del 21 de diciembre de 2022, C-172 del 6 de junio de 2023, C-120 del 7 de marzo de 2025 y C-1210 del 8 de octubre de 2025.</w:t>
      </w:r>
    </w:p>
    <w:p w14:paraId="76DFA04C"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C1581C9" w14:textId="77777777" w:rsidR="00132D3F" w:rsidRPr="00132D3F" w:rsidRDefault="00132D3F" w:rsidP="00132D3F">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32D3F">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132D3F">
          <w:rPr>
            <w:rFonts w:ascii="Verdana" w:eastAsia="Times New Roman" w:hAnsi="Verdana" w:cs="Arial"/>
            <w:kern w:val="2"/>
            <w:shd w:val="clear" w:color="auto" w:fill="FFFFFF"/>
            <w:lang w:val="es-ES"/>
            <w14:ligatures w14:val="standardContextual"/>
          </w:rPr>
          <w:t>https://relatoria.colombiacompra.gov.co/</w:t>
        </w:r>
      </w:hyperlink>
      <w:r w:rsidRPr="00132D3F">
        <w:rPr>
          <w:rFonts w:ascii="Verdana" w:eastAsia="Times New Roman" w:hAnsi="Verdana" w:cs="Arial"/>
          <w:kern w:val="2"/>
          <w:shd w:val="clear" w:color="auto" w:fill="FFFFFF"/>
          <w:lang w:val="es-ES"/>
          <w14:ligatures w14:val="standardContextual"/>
        </w:rPr>
        <w:t>.</w:t>
      </w:r>
    </w:p>
    <w:p w14:paraId="6020F7B9" w14:textId="77777777" w:rsidR="00132D3F" w:rsidRPr="00132D3F" w:rsidRDefault="00132D3F" w:rsidP="00132D3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BCC7036"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32D3F">
        <w:rPr>
          <w:rFonts w:ascii="Verdana" w:eastAsia="Calibri" w:hAnsi="Verdana" w:cs="Arial"/>
          <w:kern w:val="2"/>
          <w:shd w:val="clear" w:color="auto" w:fill="FFFFFF"/>
          <w:lang w:val="es-ES_tradnl"/>
          <w14:ligatures w14:val="standardContextual"/>
        </w:rPr>
        <w:t>La</w:t>
      </w:r>
      <w:r w:rsidRPr="00132D3F">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132D3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132D3F">
        <w:rPr>
          <w:rFonts w:ascii="Verdana" w:eastAsia="Calibri" w:hAnsi="Verdana" w:cs="Arial"/>
          <w:b/>
          <w:bCs/>
          <w:kern w:val="2"/>
          <w:shd w:val="clear" w:color="auto" w:fill="FFFFFF"/>
          <w:lang w:val="es-ES_tradnl"/>
          <w14:ligatures w14:val="standardContextual"/>
        </w:rPr>
        <w:t>Documentos Tipo</w:t>
      </w:r>
      <w:r w:rsidRPr="00132D3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132D3F">
        <w:rPr>
          <w:rFonts w:ascii="Verdana" w:eastAsia="Calibri" w:hAnsi="Verdana" w:cs="Arial"/>
          <w:b/>
          <w:bCs/>
          <w:kern w:val="2"/>
          <w:shd w:val="clear" w:color="auto" w:fill="FFFFFF"/>
          <w:lang w:val="es-ES_tradnl"/>
          <w14:ligatures w14:val="standardContextual"/>
        </w:rPr>
        <w:t>transparencia</w:t>
      </w:r>
      <w:r w:rsidRPr="00132D3F">
        <w:rPr>
          <w:rFonts w:ascii="Verdana" w:eastAsia="Calibri" w:hAnsi="Verdana" w:cs="Arial"/>
          <w:kern w:val="2"/>
          <w:shd w:val="clear" w:color="auto" w:fill="FFFFFF"/>
          <w:lang w:val="es-ES_tradnl"/>
          <w14:ligatures w14:val="standardContextual"/>
        </w:rPr>
        <w:t> y promover un proceso de </w:t>
      </w:r>
      <w:r w:rsidRPr="00132D3F">
        <w:rPr>
          <w:rFonts w:ascii="Verdana" w:eastAsia="Calibri" w:hAnsi="Verdana" w:cs="Arial"/>
          <w:b/>
          <w:bCs/>
          <w:kern w:val="2"/>
          <w:shd w:val="clear" w:color="auto" w:fill="FFFFFF"/>
          <w:lang w:val="es-ES_tradnl"/>
          <w14:ligatures w14:val="standardContextual"/>
        </w:rPr>
        <w:t>selección objetiva</w:t>
      </w:r>
      <w:r w:rsidRPr="00132D3F">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CF9B910"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33D4E97"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132D3F">
        <w:rPr>
          <w:rFonts w:ascii="Verdana" w:eastAsia="Calibri" w:hAnsi="Verdana" w:cs="Arial"/>
          <w:kern w:val="2"/>
          <w:shd w:val="clear" w:color="auto" w:fill="FFFFFF"/>
          <w:lang w:val="es-ES"/>
          <w14:ligatures w14:val="standardContextual"/>
        </w:rPr>
        <w:t>También, le contamos que ya se encuentra disponible la </w:t>
      </w:r>
      <w:r w:rsidRPr="00132D3F">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132D3F">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w:t>
      </w:r>
      <w:r w:rsidRPr="00132D3F">
        <w:rPr>
          <w:rFonts w:ascii="Verdana" w:eastAsia="Calibri" w:hAnsi="Verdana" w:cs="Arial"/>
          <w:kern w:val="2"/>
          <w:shd w:val="clear" w:color="auto" w:fill="FFFFFF"/>
          <w:lang w:val="es-ES"/>
          <w14:ligatures w14:val="standardContextual"/>
        </w:rPr>
        <w:lastRenderedPageBreak/>
        <w:t xml:space="preserve">implementación, se busca contribuir a la superación del Estado de Cosas Inconstitucional declarado por la situación de vulneración masiva y recurrente de los derechos fundamentales de los niños y de las niñas del Pueblo </w:t>
      </w:r>
      <w:proofErr w:type="spellStart"/>
      <w:r w:rsidRPr="00132D3F">
        <w:rPr>
          <w:rFonts w:ascii="Verdana" w:eastAsia="Calibri" w:hAnsi="Verdana" w:cs="Arial"/>
          <w:kern w:val="2"/>
          <w:shd w:val="clear" w:color="auto" w:fill="FFFFFF"/>
          <w:lang w:val="es-ES"/>
          <w14:ligatures w14:val="standardContextual"/>
        </w:rPr>
        <w:t>Wayúu</w:t>
      </w:r>
      <w:proofErr w:type="spellEnd"/>
      <w:r w:rsidRPr="00132D3F">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132D3F">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132D3F">
        <w:rPr>
          <w:rFonts w:ascii="Verdana" w:eastAsia="Calibri" w:hAnsi="Verdana" w:cs="Arial"/>
          <w:kern w:val="2"/>
          <w:u w:val="single"/>
          <w:shd w:val="clear" w:color="auto" w:fill="FFFFFF"/>
          <w:lang w:val="es-ES"/>
          <w14:ligatures w14:val="standardContextual"/>
        </w:rPr>
        <w:t>.</w:t>
      </w:r>
    </w:p>
    <w:p w14:paraId="51FCBE09"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8134E89" w14:textId="77777777" w:rsidR="00132D3F" w:rsidRPr="00132D3F" w:rsidRDefault="00132D3F" w:rsidP="00132D3F">
      <w:pPr>
        <w:spacing w:after="0" w:line="276" w:lineRule="auto"/>
        <w:jc w:val="both"/>
        <w:rPr>
          <w:rFonts w:ascii="Verdana" w:eastAsia="Calibri" w:hAnsi="Verdana" w:cs="Times New Roman"/>
          <w:kern w:val="2"/>
          <w:lang w:val="es-ES_tradnl"/>
          <w14:ligatures w14:val="standardContextual"/>
        </w:rPr>
      </w:pPr>
      <w:r w:rsidRPr="00132D3F">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47B8D3DB" w14:textId="77777777" w:rsidR="00132D3F" w:rsidRPr="00132D3F" w:rsidRDefault="00132D3F" w:rsidP="00132D3F">
      <w:pPr>
        <w:spacing w:after="0" w:line="240" w:lineRule="auto"/>
        <w:jc w:val="both"/>
        <w:rPr>
          <w:rFonts w:ascii="Verdana" w:eastAsia="Calibri" w:hAnsi="Verdana" w:cs="Times New Roman"/>
          <w:kern w:val="2"/>
          <w:lang w:val="es-ES_tradnl"/>
          <w14:ligatures w14:val="standardContextual"/>
        </w:rPr>
      </w:pPr>
    </w:p>
    <w:p w14:paraId="18A45C97" w14:textId="77777777" w:rsidR="00132D3F" w:rsidRPr="00132D3F" w:rsidRDefault="00132D3F" w:rsidP="00132D3F">
      <w:pPr>
        <w:spacing w:after="0" w:line="240" w:lineRule="auto"/>
        <w:jc w:val="both"/>
        <w:rPr>
          <w:rFonts w:ascii="Verdana" w:eastAsia="Calibri" w:hAnsi="Verdana" w:cs="Times New Roman"/>
          <w:kern w:val="2"/>
          <w:lang w:val="es-ES_tradnl"/>
          <w14:ligatures w14:val="standardContextual"/>
        </w:rPr>
      </w:pPr>
      <w:r w:rsidRPr="00132D3F">
        <w:rPr>
          <w:rFonts w:ascii="Verdana" w:eastAsia="Calibri" w:hAnsi="Verdana" w:cs="Times New Roman"/>
          <w:kern w:val="2"/>
          <w:lang w:val="es-ES_tradnl"/>
          <w14:ligatures w14:val="standardContextual"/>
        </w:rPr>
        <w:t xml:space="preserve">X: </w:t>
      </w:r>
      <w:r w:rsidRPr="00132D3F">
        <w:rPr>
          <w:rFonts w:ascii="Verdana" w:eastAsia="Calibri" w:hAnsi="Verdana" w:cs="Times New Roman"/>
          <w:kern w:val="2"/>
          <w:u w:val="single"/>
          <w:lang w:val="es-ES_tradnl"/>
          <w14:ligatures w14:val="standardContextual"/>
        </w:rPr>
        <w:t>@colombiacompra</w:t>
      </w:r>
      <w:r w:rsidRPr="00132D3F">
        <w:rPr>
          <w:rFonts w:ascii="Verdana" w:eastAsia="Calibri" w:hAnsi="Verdana" w:cs="Times New Roman"/>
          <w:kern w:val="2"/>
          <w:lang w:val="es-ES_tradnl"/>
          <w14:ligatures w14:val="standardContextual"/>
        </w:rPr>
        <w:t xml:space="preserve"> </w:t>
      </w:r>
    </w:p>
    <w:p w14:paraId="7480D323" w14:textId="77777777" w:rsidR="00132D3F" w:rsidRPr="00132D3F" w:rsidRDefault="00132D3F" w:rsidP="00132D3F">
      <w:pPr>
        <w:spacing w:after="0" w:line="240" w:lineRule="auto"/>
        <w:jc w:val="both"/>
        <w:rPr>
          <w:rFonts w:ascii="Verdana" w:eastAsia="Calibri" w:hAnsi="Verdana" w:cs="Times New Roman"/>
          <w:kern w:val="2"/>
          <w:lang w:val="es-ES"/>
          <w14:ligatures w14:val="standardContextual"/>
        </w:rPr>
      </w:pPr>
      <w:r w:rsidRPr="00132D3F">
        <w:rPr>
          <w:rFonts w:ascii="Verdana" w:eastAsia="Calibri" w:hAnsi="Verdana" w:cs="Times New Roman"/>
          <w:kern w:val="2"/>
          <w:lang w:val="es-ES"/>
          <w14:ligatures w14:val="standardContextual"/>
        </w:rPr>
        <w:t xml:space="preserve">Facebook: </w:t>
      </w:r>
      <w:proofErr w:type="spellStart"/>
      <w:r w:rsidRPr="00132D3F">
        <w:rPr>
          <w:rFonts w:ascii="Verdana" w:eastAsia="Calibri" w:hAnsi="Verdana" w:cs="Times New Roman"/>
          <w:kern w:val="2"/>
          <w:u w:val="single"/>
          <w:lang w:val="es-ES"/>
          <w14:ligatures w14:val="standardContextual"/>
        </w:rPr>
        <w:t>ColombiaCompraEficiente</w:t>
      </w:r>
      <w:proofErr w:type="spellEnd"/>
    </w:p>
    <w:p w14:paraId="0D30CE18" w14:textId="77777777" w:rsidR="00132D3F" w:rsidRPr="00132D3F" w:rsidRDefault="00132D3F" w:rsidP="00132D3F">
      <w:pPr>
        <w:spacing w:after="0" w:line="240" w:lineRule="auto"/>
        <w:jc w:val="both"/>
        <w:rPr>
          <w:rFonts w:ascii="Verdana" w:eastAsia="Calibri" w:hAnsi="Verdana" w:cs="Times New Roman"/>
          <w:kern w:val="2"/>
          <w:lang w:val="es-ES_tradnl"/>
          <w14:ligatures w14:val="standardContextual"/>
        </w:rPr>
      </w:pPr>
      <w:r w:rsidRPr="00132D3F">
        <w:rPr>
          <w:rFonts w:ascii="Verdana" w:eastAsia="Calibri" w:hAnsi="Verdana" w:cs="Times New Roman"/>
          <w:kern w:val="2"/>
          <w:lang w:val="es-ES_tradnl"/>
          <w14:ligatures w14:val="standardContextual"/>
        </w:rPr>
        <w:t xml:space="preserve">LinkedIn: </w:t>
      </w:r>
      <w:r w:rsidRPr="00132D3F">
        <w:rPr>
          <w:rFonts w:ascii="Verdana" w:eastAsia="Calibri" w:hAnsi="Verdana" w:cs="Times New Roman"/>
          <w:kern w:val="2"/>
          <w:u w:val="single"/>
          <w:lang w:val="es-ES_tradnl"/>
          <w14:ligatures w14:val="standardContextual"/>
        </w:rPr>
        <w:t>Agencia Nacional de Contratación Pública - Colombia Compra Eficiente</w:t>
      </w:r>
      <w:r w:rsidRPr="00132D3F">
        <w:rPr>
          <w:rFonts w:ascii="Verdana" w:eastAsia="Calibri" w:hAnsi="Verdana" w:cs="Times New Roman"/>
          <w:kern w:val="2"/>
          <w:lang w:val="es-ES_tradnl"/>
          <w14:ligatures w14:val="standardContextual"/>
        </w:rPr>
        <w:t xml:space="preserve"> Instagram: </w:t>
      </w:r>
      <w:r w:rsidRPr="00132D3F">
        <w:rPr>
          <w:rFonts w:ascii="Verdana" w:eastAsia="Calibri" w:hAnsi="Verdana" w:cs="Times New Roman"/>
          <w:kern w:val="2"/>
          <w:u w:val="single"/>
          <w:lang w:val="es-ES_tradnl"/>
          <w14:ligatures w14:val="standardContextual"/>
        </w:rPr>
        <w:t>@colombiacompraeficiente_cce</w:t>
      </w:r>
    </w:p>
    <w:p w14:paraId="245F233F"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0D7E806" w14:textId="77777777" w:rsidR="00132D3F" w:rsidRPr="00132D3F" w:rsidRDefault="00132D3F" w:rsidP="00132D3F">
      <w:pPr>
        <w:widowControl w:val="0"/>
        <w:autoSpaceDE w:val="0"/>
        <w:autoSpaceDN w:val="0"/>
        <w:spacing w:after="0" w:line="276" w:lineRule="auto"/>
        <w:jc w:val="both"/>
        <w:rPr>
          <w:rFonts w:ascii="Verdana" w:eastAsia="Calibri" w:hAnsi="Verdana" w:cs="Arial"/>
          <w:kern w:val="2"/>
          <w:lang w:val="es-ES_tradnl"/>
          <w14:ligatures w14:val="standardContextual"/>
        </w:rPr>
      </w:pPr>
      <w:r w:rsidRPr="00132D3F">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ED1A9A" w14:textId="77777777" w:rsidR="00132D3F" w:rsidRPr="00132D3F" w:rsidRDefault="00132D3F" w:rsidP="00132D3F">
      <w:pPr>
        <w:widowControl w:val="0"/>
        <w:autoSpaceDE w:val="0"/>
        <w:autoSpaceDN w:val="0"/>
        <w:spacing w:after="0" w:line="276" w:lineRule="auto"/>
        <w:jc w:val="both"/>
        <w:rPr>
          <w:rFonts w:ascii="Verdana" w:eastAsia="Calibri" w:hAnsi="Verdana" w:cs="Arial"/>
          <w:lang w:val="es-ES_tradnl"/>
        </w:rPr>
      </w:pPr>
    </w:p>
    <w:p w14:paraId="1422597E" w14:textId="77777777" w:rsidR="00132D3F" w:rsidRPr="00132D3F" w:rsidRDefault="00132D3F" w:rsidP="00132D3F">
      <w:pPr>
        <w:spacing w:after="0" w:line="240" w:lineRule="auto"/>
        <w:rPr>
          <w:rFonts w:ascii="Verdana" w:eastAsia="Calibri" w:hAnsi="Verdana" w:cs="Arial"/>
          <w:lang w:val="es-ES_tradnl" w:eastAsia="es-CO"/>
        </w:rPr>
      </w:pPr>
      <w:r w:rsidRPr="00132D3F">
        <w:rPr>
          <w:rFonts w:ascii="Verdana" w:eastAsia="Times New Roman" w:hAnsi="Verdana" w:cs="Arial"/>
          <w:lang w:val="es-ES_tradnl" w:eastAsia="es-CO"/>
        </w:rPr>
        <w:t>Atentamente,</w:t>
      </w:r>
      <w:r w:rsidRPr="00132D3F">
        <w:rPr>
          <w:rFonts w:ascii="Verdana" w:eastAsia="Calibri" w:hAnsi="Verdana" w:cs="Arial"/>
          <w:lang w:val="es-ES_tradnl" w:eastAsia="es-CO"/>
        </w:rPr>
        <w:t xml:space="preserve"> </w:t>
      </w:r>
    </w:p>
    <w:p w14:paraId="04CFFE8F" w14:textId="57917224" w:rsidR="00132D3F" w:rsidRPr="00132D3F" w:rsidRDefault="00856A9A" w:rsidP="00132D3F">
      <w:pPr>
        <w:spacing w:line="276" w:lineRule="auto"/>
        <w:jc w:val="center"/>
        <w:rPr>
          <w:rFonts w:ascii="Verdana" w:eastAsia="Calibri" w:hAnsi="Verdana" w:cs="Arial"/>
          <w:lang w:val="es-ES_tradnl" w:eastAsia="es-CO"/>
        </w:rPr>
      </w:pPr>
      <w:r>
        <w:rPr>
          <w:noProof/>
        </w:rPr>
        <w:drawing>
          <wp:inline distT="0" distB="0" distL="0" distR="0" wp14:anchorId="01D4C40C" wp14:editId="5A71A23A">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32D3F" w:rsidRPr="00132D3F" w14:paraId="219649F3" w14:textId="77777777" w:rsidTr="482C7EF5">
        <w:trPr>
          <w:trHeight w:val="315"/>
        </w:trPr>
        <w:tc>
          <w:tcPr>
            <w:tcW w:w="893" w:type="dxa"/>
            <w:vAlign w:val="center"/>
            <w:hideMark/>
          </w:tcPr>
          <w:p w14:paraId="3A6567E0" w14:textId="77777777" w:rsidR="00132D3F" w:rsidRPr="00132D3F" w:rsidRDefault="00132D3F" w:rsidP="00132D3F">
            <w:pPr>
              <w:rPr>
                <w:rFonts w:ascii="Verdana" w:eastAsia="Calibri" w:hAnsi="Verdana" w:cs="Arial"/>
                <w:sz w:val="16"/>
                <w:szCs w:val="16"/>
                <w:lang w:val="es-ES_tradnl" w:eastAsia="es-ES"/>
              </w:rPr>
            </w:pPr>
            <w:r w:rsidRPr="00132D3F">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5F4ED17E" w14:textId="77777777" w:rsidR="00132D3F" w:rsidRPr="00132D3F" w:rsidRDefault="00132D3F" w:rsidP="6CD5CE64">
            <w:pPr>
              <w:rPr>
                <w:rFonts w:ascii="Verdana" w:eastAsia="Arial" w:hAnsi="Verdana" w:cs="Arial"/>
                <w:sz w:val="16"/>
                <w:szCs w:val="16"/>
                <w:lang w:val="es-ES"/>
              </w:rPr>
            </w:pPr>
            <w:r w:rsidRPr="6CD5CE64">
              <w:rPr>
                <w:rFonts w:ascii="Verdana" w:eastAsia="Arial" w:hAnsi="Verdana" w:cs="Arial"/>
                <w:sz w:val="16"/>
                <w:szCs w:val="16"/>
                <w:lang w:val="es-ES"/>
              </w:rPr>
              <w:t>Kevin Arlid Herrera Santa</w:t>
            </w:r>
          </w:p>
          <w:p w14:paraId="6DC7B5CC" w14:textId="77777777" w:rsidR="00132D3F" w:rsidRPr="00132D3F" w:rsidRDefault="00132D3F" w:rsidP="00132D3F">
            <w:pPr>
              <w:rPr>
                <w:rFonts w:ascii="Verdana" w:eastAsia="Arial" w:hAnsi="Verdana" w:cs="Arial"/>
                <w:sz w:val="16"/>
                <w:szCs w:val="16"/>
                <w:lang w:val="es-ES_tradnl"/>
              </w:rPr>
            </w:pPr>
            <w:r w:rsidRPr="00132D3F">
              <w:rPr>
                <w:rFonts w:ascii="Verdana" w:eastAsia="Arial" w:hAnsi="Verdana" w:cs="Arial"/>
                <w:sz w:val="16"/>
                <w:szCs w:val="16"/>
                <w:lang w:val="es-ES_tradnl"/>
              </w:rPr>
              <w:t xml:space="preserve">Contratista de la Subdirección de Gestión Contractual </w:t>
            </w:r>
          </w:p>
        </w:tc>
      </w:tr>
      <w:tr w:rsidR="00132D3F" w:rsidRPr="00132D3F" w14:paraId="63A2FA4A" w14:textId="77777777" w:rsidTr="482C7EF5">
        <w:trPr>
          <w:trHeight w:val="330"/>
        </w:trPr>
        <w:tc>
          <w:tcPr>
            <w:tcW w:w="893" w:type="dxa"/>
            <w:vAlign w:val="center"/>
            <w:hideMark/>
          </w:tcPr>
          <w:p w14:paraId="1D9FA60D" w14:textId="77777777" w:rsidR="00132D3F" w:rsidRPr="00132D3F" w:rsidRDefault="00132D3F" w:rsidP="00132D3F">
            <w:pPr>
              <w:rPr>
                <w:rFonts w:ascii="Verdana" w:eastAsia="Calibri" w:hAnsi="Verdana" w:cs="Arial"/>
                <w:sz w:val="16"/>
                <w:szCs w:val="16"/>
                <w:lang w:val="es-ES_tradnl" w:eastAsia="es-ES"/>
              </w:rPr>
            </w:pPr>
            <w:r w:rsidRPr="00132D3F">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B21219" w14:textId="77777777" w:rsidR="00132D3F" w:rsidRPr="00132D3F" w:rsidRDefault="00132D3F" w:rsidP="482C7EF5">
            <w:pPr>
              <w:textAlignment w:val="baseline"/>
              <w:rPr>
                <w:rFonts w:ascii="Verdana" w:eastAsia="Times New Roman" w:hAnsi="Verdana" w:cs="Segoe UI"/>
                <w:sz w:val="16"/>
                <w:szCs w:val="16"/>
                <w:lang w:val="es-ES" w:eastAsia="es-ES"/>
              </w:rPr>
            </w:pPr>
            <w:r w:rsidRPr="482C7EF5">
              <w:rPr>
                <w:rFonts w:ascii="Verdana" w:eastAsia="Times New Roman" w:hAnsi="Verdana" w:cs="Segoe UI"/>
                <w:sz w:val="16"/>
                <w:szCs w:val="16"/>
                <w:lang w:val="es-ES" w:eastAsia="es-ES"/>
              </w:rPr>
              <w:t xml:space="preserve">Adriana </w:t>
            </w:r>
            <w:proofErr w:type="spellStart"/>
            <w:r w:rsidRPr="482C7EF5">
              <w:rPr>
                <w:rFonts w:ascii="Verdana" w:eastAsia="Times New Roman" w:hAnsi="Verdana" w:cs="Segoe UI"/>
                <w:sz w:val="16"/>
                <w:szCs w:val="16"/>
                <w:lang w:val="es-ES" w:eastAsia="es-ES"/>
              </w:rPr>
              <w:t>Katerine</w:t>
            </w:r>
            <w:proofErr w:type="spellEnd"/>
            <w:r w:rsidRPr="482C7EF5">
              <w:rPr>
                <w:rFonts w:ascii="Verdana" w:eastAsia="Times New Roman" w:hAnsi="Verdana" w:cs="Segoe UI"/>
                <w:sz w:val="16"/>
                <w:szCs w:val="16"/>
                <w:lang w:val="es-ES" w:eastAsia="es-ES"/>
              </w:rPr>
              <w:t xml:space="preserve"> López Rodríguez</w:t>
            </w:r>
          </w:p>
          <w:p w14:paraId="1A6D069A" w14:textId="77777777" w:rsidR="00132D3F" w:rsidRPr="00132D3F" w:rsidRDefault="00132D3F" w:rsidP="00132D3F">
            <w:pPr>
              <w:textAlignment w:val="baseline"/>
              <w:rPr>
                <w:rFonts w:ascii="Verdana" w:eastAsia="Times New Roman" w:hAnsi="Verdana" w:cs="Segoe UI"/>
                <w:sz w:val="16"/>
                <w:szCs w:val="16"/>
                <w:lang w:val="es-ES_tradnl" w:eastAsia="es-ES_tradnl"/>
              </w:rPr>
            </w:pPr>
            <w:r w:rsidRPr="00132D3F">
              <w:rPr>
                <w:rFonts w:ascii="Verdana" w:eastAsia="Times New Roman" w:hAnsi="Verdana" w:cs="Arial"/>
                <w:sz w:val="16"/>
                <w:szCs w:val="16"/>
                <w:lang w:val="es-ES_tradnl" w:eastAsia="es-ES_tradnl"/>
              </w:rPr>
              <w:t>Contratista de la Subdirección de Gestión Contractual </w:t>
            </w:r>
          </w:p>
        </w:tc>
      </w:tr>
      <w:tr w:rsidR="00132D3F" w:rsidRPr="00132D3F" w14:paraId="3B798E99" w14:textId="77777777" w:rsidTr="482C7EF5">
        <w:trPr>
          <w:trHeight w:val="300"/>
        </w:trPr>
        <w:tc>
          <w:tcPr>
            <w:tcW w:w="893" w:type="dxa"/>
            <w:vAlign w:val="center"/>
          </w:tcPr>
          <w:p w14:paraId="7E68D97F" w14:textId="77777777" w:rsidR="00132D3F" w:rsidRPr="00132D3F" w:rsidRDefault="00132D3F" w:rsidP="00132D3F">
            <w:pPr>
              <w:rPr>
                <w:rFonts w:ascii="Verdana" w:eastAsia="Calibri" w:hAnsi="Verdana" w:cs="Arial"/>
                <w:sz w:val="16"/>
                <w:szCs w:val="16"/>
                <w:lang w:val="es-ES_tradnl" w:eastAsia="es-ES"/>
              </w:rPr>
            </w:pPr>
            <w:r w:rsidRPr="00132D3F">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6CDD91" w14:textId="77777777" w:rsidR="00132D3F" w:rsidRPr="00132D3F" w:rsidRDefault="00132D3F" w:rsidP="00132D3F">
            <w:pPr>
              <w:rPr>
                <w:rFonts w:ascii="Verdana" w:eastAsia="Calibri" w:hAnsi="Verdana" w:cs="Arial"/>
                <w:sz w:val="16"/>
                <w:szCs w:val="16"/>
                <w:lang w:val="es-ES" w:eastAsia="es-ES"/>
              </w:rPr>
            </w:pPr>
            <w:r w:rsidRPr="00132D3F">
              <w:rPr>
                <w:rFonts w:ascii="Verdana" w:eastAsia="Calibri" w:hAnsi="Verdana" w:cs="Arial"/>
                <w:sz w:val="16"/>
                <w:szCs w:val="16"/>
                <w:lang w:val="es-ES" w:eastAsia="es-ES"/>
              </w:rPr>
              <w:t xml:space="preserve">Carolina Quintero </w:t>
            </w:r>
            <w:proofErr w:type="spellStart"/>
            <w:r w:rsidRPr="00132D3F">
              <w:rPr>
                <w:rFonts w:ascii="Verdana" w:eastAsia="Calibri" w:hAnsi="Verdana" w:cs="Arial"/>
                <w:sz w:val="16"/>
                <w:szCs w:val="16"/>
                <w:lang w:val="es-ES" w:eastAsia="es-ES"/>
              </w:rPr>
              <w:t>Gacharná</w:t>
            </w:r>
            <w:proofErr w:type="spellEnd"/>
          </w:p>
          <w:p w14:paraId="467CC40A" w14:textId="77777777" w:rsidR="00132D3F" w:rsidRPr="00132D3F" w:rsidRDefault="00132D3F" w:rsidP="00132D3F">
            <w:pPr>
              <w:rPr>
                <w:rFonts w:ascii="Verdana" w:eastAsia="Calibri" w:hAnsi="Verdana" w:cs="Arial"/>
                <w:sz w:val="16"/>
                <w:szCs w:val="16"/>
                <w:lang w:val="es-ES_tradnl" w:eastAsia="es-ES"/>
              </w:rPr>
            </w:pPr>
            <w:r w:rsidRPr="00132D3F">
              <w:rPr>
                <w:rFonts w:ascii="Verdana" w:eastAsia="Calibri" w:hAnsi="Verdana" w:cs="Arial"/>
                <w:sz w:val="16"/>
                <w:szCs w:val="16"/>
                <w:lang w:val="es-ES_tradnl"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0C155" w14:textId="77777777" w:rsidR="00EB04B3" w:rsidRDefault="00EB04B3" w:rsidP="004A1847">
      <w:pPr>
        <w:spacing w:after="0" w:line="240" w:lineRule="auto"/>
      </w:pPr>
      <w:r>
        <w:separator/>
      </w:r>
    </w:p>
  </w:endnote>
  <w:endnote w:type="continuationSeparator" w:id="0">
    <w:p w14:paraId="730F7B25" w14:textId="77777777" w:rsidR="00EB04B3" w:rsidRDefault="00EB04B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7D07E" w14:textId="77777777" w:rsidR="00EB04B3" w:rsidRDefault="00EB04B3" w:rsidP="004A1847">
      <w:pPr>
        <w:spacing w:after="0" w:line="240" w:lineRule="auto"/>
      </w:pPr>
      <w:r>
        <w:separator/>
      </w:r>
    </w:p>
  </w:footnote>
  <w:footnote w:type="continuationSeparator" w:id="0">
    <w:p w14:paraId="27866B2A" w14:textId="77777777" w:rsidR="00EB04B3" w:rsidRDefault="00EB04B3" w:rsidP="004A1847">
      <w:pPr>
        <w:spacing w:after="0" w:line="240" w:lineRule="auto"/>
      </w:pPr>
      <w:r>
        <w:continuationSeparator/>
      </w:r>
    </w:p>
  </w:footnote>
  <w:footnote w:id="1">
    <w:p w14:paraId="5004B5C5" w14:textId="77777777" w:rsidR="00132D3F" w:rsidRPr="00C472FF" w:rsidRDefault="00132D3F" w:rsidP="00132D3F">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Estos Documentos Tipo pueden ser consultados en la página web de Colombia Compra Eficiente, a través del siguiente enlace: </w:t>
      </w:r>
      <w:hyperlink r:id="rId1" w:history="1">
        <w:r w:rsidRPr="00C472FF">
          <w:rPr>
            <w:rStyle w:val="Hipervnculo"/>
            <w:rFonts w:ascii="Verdana" w:hAnsi="Verdana"/>
            <w:sz w:val="18"/>
            <w:szCs w:val="18"/>
          </w:rPr>
          <w:t>https://www.colombiacompra.gov.co/documentos-tipo/documentos-tipo</w:t>
        </w:r>
      </w:hyperlink>
      <w:r w:rsidRPr="00C472FF">
        <w:rPr>
          <w:rFonts w:ascii="Verdana" w:hAnsi="Verdana"/>
          <w:sz w:val="18"/>
          <w:szCs w:val="18"/>
        </w:rPr>
        <w:t xml:space="preserve"> </w:t>
      </w:r>
    </w:p>
  </w:footnote>
  <w:footnote w:id="2">
    <w:p w14:paraId="5FBE2B1E" w14:textId="77777777" w:rsidR="00132D3F" w:rsidRPr="00C472FF" w:rsidRDefault="00132D3F" w:rsidP="00132D3F">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w:t>
      </w:r>
      <w:r>
        <w:rPr>
          <w:rFonts w:ascii="Verdana" w:hAnsi="Verdana"/>
          <w:sz w:val="18"/>
          <w:szCs w:val="18"/>
        </w:rPr>
        <w:t>Ibidem.</w:t>
      </w:r>
    </w:p>
  </w:footnote>
  <w:footnote w:id="3">
    <w:p w14:paraId="1D8914F6" w14:textId="77777777" w:rsidR="00132D3F" w:rsidRPr="00C472FF" w:rsidRDefault="00132D3F" w:rsidP="00132D3F">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Consejo de Estado. Sección Tercera. Sentencia del 27 de abril de 2011. Exp. 18.293. C.P. Ruth Stella Correa Palacio.</w:t>
      </w:r>
    </w:p>
  </w:footnote>
  <w:footnote w:id="4">
    <w:p w14:paraId="2EF5ECE5" w14:textId="77777777" w:rsidR="00132D3F" w:rsidRPr="00C472FF" w:rsidRDefault="00132D3F" w:rsidP="00132D3F">
      <w:pPr>
        <w:pStyle w:val="Textonotapie"/>
        <w:ind w:firstLine="709"/>
        <w:jc w:val="both"/>
        <w:rPr>
          <w:rFonts w:ascii="Verdana" w:eastAsia="Times New Roman" w:hAnsi="Verdana" w:cs="Arial"/>
          <w:sz w:val="18"/>
          <w:szCs w:val="18"/>
          <w:lang w:val="es-CO" w:eastAsia="es-CO"/>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eastAsia="Times New Roman" w:hAnsi="Verdana" w:cs="Arial"/>
          <w:sz w:val="18"/>
          <w:szCs w:val="18"/>
          <w:lang w:val="es-CO" w:eastAsia="es-CO"/>
        </w:rPr>
        <w:t>Consejo de Estado. Sección Tercera. Sentencia del 21 de noviembre de 2013. Exp. 25397. C.P. Carlos Alberto Zambrano Barrera.</w:t>
      </w:r>
    </w:p>
    <w:p w14:paraId="2B8DEAA1" w14:textId="77777777" w:rsidR="00132D3F" w:rsidRPr="00C472FF" w:rsidRDefault="00132D3F" w:rsidP="00132D3F">
      <w:pPr>
        <w:pStyle w:val="Textonotapie"/>
        <w:ind w:firstLine="709"/>
        <w:jc w:val="both"/>
        <w:rPr>
          <w:rFonts w:ascii="Verdana" w:eastAsia="Calibri" w:hAnsi="Verdana" w:cs="Arial"/>
          <w:sz w:val="18"/>
          <w:szCs w:val="18"/>
          <w:lang w:val="es-CO"/>
        </w:rPr>
      </w:pPr>
    </w:p>
  </w:footnote>
  <w:footnote w:id="5">
    <w:p w14:paraId="7E6EE95E" w14:textId="77777777" w:rsidR="00132D3F" w:rsidRPr="00C472FF" w:rsidRDefault="00132D3F" w:rsidP="00132D3F">
      <w:pPr>
        <w:pStyle w:val="Textonotapie"/>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Para el desarrollo del presente concepto, se t</w:t>
      </w:r>
      <w:r>
        <w:rPr>
          <w:rFonts w:ascii="Verdana" w:hAnsi="Verdana"/>
          <w:sz w:val="18"/>
          <w:szCs w:val="18"/>
        </w:rPr>
        <w:t>ienen</w:t>
      </w:r>
      <w:r w:rsidRPr="00C472FF">
        <w:rPr>
          <w:rFonts w:ascii="Verdana" w:hAnsi="Verdana"/>
          <w:sz w:val="18"/>
          <w:szCs w:val="18"/>
        </w:rPr>
        <w:t xml:space="preserve"> en cuenta estos documentos tipo del sector de infraestructura de transporte, </w:t>
      </w:r>
      <w:r>
        <w:rPr>
          <w:rFonts w:ascii="Verdana" w:hAnsi="Verdana"/>
          <w:sz w:val="18"/>
          <w:szCs w:val="18"/>
        </w:rPr>
        <w:t>en consideración a</w:t>
      </w:r>
      <w:r w:rsidRPr="00C472FF">
        <w:rPr>
          <w:rFonts w:ascii="Verdana" w:hAnsi="Verdana"/>
          <w:sz w:val="18"/>
          <w:szCs w:val="18"/>
        </w:rPr>
        <w:t xml:space="preserve"> que en la petición no se hace referencia</w:t>
      </w:r>
      <w:r>
        <w:rPr>
          <w:rFonts w:ascii="Verdana" w:hAnsi="Verdana"/>
          <w:sz w:val="18"/>
          <w:szCs w:val="18"/>
        </w:rPr>
        <w:t xml:space="preserve"> a algún documento tipo </w:t>
      </w:r>
      <w:r w:rsidRPr="00C472FF">
        <w:rPr>
          <w:rFonts w:ascii="Verdana" w:hAnsi="Verdana"/>
          <w:sz w:val="18"/>
          <w:szCs w:val="18"/>
        </w:rPr>
        <w:t xml:space="preserve">en particular. </w:t>
      </w:r>
    </w:p>
  </w:footnote>
  <w:footnote w:id="6">
    <w:p w14:paraId="7FFBB4E7" w14:textId="77777777" w:rsidR="00132D3F" w:rsidRPr="00573814" w:rsidRDefault="00132D3F" w:rsidP="00132D3F">
      <w:pPr>
        <w:pStyle w:val="Textonotapie"/>
        <w:ind w:firstLine="708"/>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Agencia Nacional de Contratación Pública – Colombia Compra Eficiente. Concepto C-285 del 20 de mayo de 2022. Consultar en: </w:t>
      </w:r>
      <w:hyperlink r:id="rId2" w:history="1">
        <w:r w:rsidRPr="00C472FF">
          <w:rPr>
            <w:rStyle w:val="Hipervnculo"/>
            <w:rFonts w:ascii="Verdana" w:hAnsi="Verdana"/>
            <w:sz w:val="18"/>
            <w:szCs w:val="18"/>
          </w:rPr>
          <w:t>https://relatoria.colombiacompra.gov.co/conceptos/c-285-de-2022/</w:t>
        </w:r>
      </w:hyperlink>
    </w:p>
  </w:footnote>
  <w:footnote w:id="7">
    <w:p w14:paraId="76580890" w14:textId="77777777" w:rsidR="00132D3F" w:rsidRPr="00C472FF" w:rsidRDefault="00132D3F" w:rsidP="00132D3F">
      <w:pPr>
        <w:pStyle w:val="Textonotapie"/>
        <w:ind w:firstLine="708"/>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Agencia Nacional de Contratación Pública – Colombia Compra Eficiente. Concepto C-447 del 19 de septiembre de 2024. Consultar en: </w:t>
      </w:r>
      <w:hyperlink r:id="rId3" w:history="1">
        <w:r w:rsidRPr="00C472FF">
          <w:rPr>
            <w:rStyle w:val="Hipervnculo"/>
            <w:rFonts w:ascii="Verdana" w:hAnsi="Verdana"/>
            <w:sz w:val="18"/>
            <w:szCs w:val="18"/>
          </w:rPr>
          <w:t>https://relatoria.colombiacompra.gov.co/conceptos/c-447-de-2024/</w:t>
        </w:r>
      </w:hyperlink>
      <w:r w:rsidRPr="00C472FF">
        <w:rPr>
          <w:rFonts w:ascii="Verdana" w:hAnsi="Verdana"/>
          <w:sz w:val="18"/>
          <w:szCs w:val="18"/>
        </w:rPr>
        <w:t xml:space="preserve"> </w:t>
      </w:r>
    </w:p>
    <w:p w14:paraId="2A4D65E3" w14:textId="77777777" w:rsidR="00132D3F" w:rsidRPr="00C472FF" w:rsidRDefault="00132D3F" w:rsidP="00132D3F">
      <w:pPr>
        <w:pStyle w:val="Textonotapie"/>
        <w:jc w:val="both"/>
        <w:rPr>
          <w:rFonts w:ascii="Verdana" w:hAnsi="Verdana"/>
          <w:sz w:val="18"/>
          <w:szCs w:val="18"/>
        </w:rPr>
      </w:pPr>
    </w:p>
  </w:footnote>
  <w:footnote w:id="8">
    <w:p w14:paraId="764A8CC1" w14:textId="77777777" w:rsidR="00132D3F" w:rsidRPr="00C472FF" w:rsidRDefault="00132D3F" w:rsidP="00132D3F">
      <w:pPr>
        <w:pStyle w:val="Textonotapie"/>
        <w:ind w:firstLine="709"/>
        <w:jc w:val="both"/>
        <w:rPr>
          <w:rFonts w:ascii="Verdana" w:hAnsi="Verdana" w:cs="Arial"/>
          <w:color w:val="000000"/>
          <w:sz w:val="18"/>
          <w:szCs w:val="18"/>
        </w:rPr>
      </w:pPr>
      <w:r w:rsidRPr="00C472FF">
        <w:rPr>
          <w:rStyle w:val="Refdenotaalpie"/>
          <w:rFonts w:ascii="Verdana" w:hAnsi="Verdana" w:cs="Arial"/>
          <w:color w:val="000000"/>
          <w:sz w:val="18"/>
          <w:szCs w:val="18"/>
        </w:rPr>
        <w:footnoteRef/>
      </w:r>
      <w:r w:rsidRPr="00C472FF">
        <w:rPr>
          <w:rStyle w:val="Refdenotaalpie"/>
          <w:rFonts w:ascii="Verdana" w:hAnsi="Verdana" w:cs="Arial"/>
          <w:color w:val="000000"/>
          <w:sz w:val="18"/>
          <w:szCs w:val="18"/>
        </w:rPr>
        <w:t xml:space="preserve"> </w:t>
      </w:r>
      <w:r w:rsidRPr="00C472FF">
        <w:rPr>
          <w:rFonts w:ascii="Verdana" w:hAnsi="Verdana" w:cs="Arial"/>
          <w:color w:val="000000"/>
          <w:sz w:val="18"/>
          <w:szCs w:val="18"/>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2506B968" w14:textId="77777777" w:rsidR="00132D3F" w:rsidRPr="00C472FF" w:rsidRDefault="00132D3F" w:rsidP="00132D3F">
      <w:pPr>
        <w:pStyle w:val="Textonotapie"/>
        <w:ind w:firstLine="709"/>
        <w:jc w:val="both"/>
        <w:rPr>
          <w:rFonts w:ascii="Verdana" w:hAnsi="Verdana" w:cs="Arial"/>
          <w:color w:val="000000"/>
          <w:sz w:val="18"/>
          <w:szCs w:val="18"/>
        </w:rPr>
      </w:pPr>
    </w:p>
  </w:footnote>
  <w:footnote w:id="9">
    <w:p w14:paraId="0E0396D6" w14:textId="77777777" w:rsidR="00132D3F" w:rsidRPr="00C472FF" w:rsidRDefault="00132D3F" w:rsidP="00132D3F">
      <w:pPr>
        <w:pStyle w:val="Textonotapie"/>
        <w:ind w:firstLine="709"/>
        <w:jc w:val="both"/>
        <w:rPr>
          <w:rFonts w:ascii="Verdana" w:hAnsi="Verdana" w:cs="Arial"/>
          <w:color w:val="000000"/>
          <w:sz w:val="18"/>
          <w:szCs w:val="18"/>
        </w:rPr>
      </w:pPr>
      <w:r w:rsidRPr="00C472FF">
        <w:rPr>
          <w:rStyle w:val="Refdenotaalpie"/>
          <w:rFonts w:ascii="Verdana" w:hAnsi="Verdana" w:cs="Arial"/>
          <w:color w:val="000000"/>
          <w:sz w:val="18"/>
          <w:szCs w:val="18"/>
        </w:rPr>
        <w:footnoteRef/>
      </w:r>
      <w:r w:rsidRPr="00C472FF">
        <w:rPr>
          <w:rFonts w:ascii="Verdana" w:hAnsi="Verdana" w:cs="Arial"/>
          <w:color w:val="000000"/>
          <w:sz w:val="18"/>
          <w:szCs w:val="18"/>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3ABE513B" w14:textId="77777777" w:rsidR="00132D3F" w:rsidRPr="00C472FF" w:rsidRDefault="00132D3F" w:rsidP="00132D3F">
      <w:pPr>
        <w:pStyle w:val="Textonotapie"/>
        <w:ind w:firstLine="709"/>
        <w:jc w:val="both"/>
        <w:rPr>
          <w:rFonts w:ascii="Verdana" w:hAnsi="Verdana" w:cs="Arial"/>
          <w:color w:val="000000"/>
          <w:sz w:val="18"/>
          <w:szCs w:val="18"/>
        </w:rPr>
      </w:pPr>
      <w:r w:rsidRPr="00C472FF">
        <w:rPr>
          <w:rFonts w:ascii="Verdana" w:hAnsi="Verdana" w:cs="Arial"/>
          <w:color w:val="000000"/>
          <w:sz w:val="18"/>
          <w:szCs w:val="18"/>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323F14D5" w14:textId="77777777" w:rsidR="00132D3F" w:rsidRPr="00C472FF" w:rsidRDefault="00132D3F" w:rsidP="00132D3F">
      <w:pPr>
        <w:pStyle w:val="Textonotapie"/>
        <w:ind w:firstLine="709"/>
        <w:jc w:val="both"/>
        <w:rPr>
          <w:rFonts w:ascii="Verdana" w:hAnsi="Verdana" w:cs="Arial"/>
          <w:color w:val="000000"/>
          <w:sz w:val="18"/>
          <w:szCs w:val="18"/>
        </w:rPr>
      </w:pPr>
    </w:p>
  </w:footnote>
  <w:footnote w:id="10">
    <w:p w14:paraId="390F0566" w14:textId="77777777" w:rsidR="00132D3F" w:rsidRPr="00C472FF" w:rsidRDefault="00132D3F" w:rsidP="00132D3F">
      <w:pPr>
        <w:pStyle w:val="Textonotapie"/>
        <w:ind w:firstLine="709"/>
        <w:jc w:val="both"/>
        <w:rPr>
          <w:rFonts w:ascii="Verdana" w:hAnsi="Verdana" w:cs="Arial"/>
          <w:color w:val="000000"/>
          <w:sz w:val="18"/>
          <w:szCs w:val="18"/>
        </w:rPr>
      </w:pPr>
      <w:r w:rsidRPr="00C472FF">
        <w:rPr>
          <w:rStyle w:val="Refdenotaalpie"/>
          <w:rFonts w:ascii="Verdana" w:hAnsi="Verdana" w:cs="Arial"/>
          <w:sz w:val="18"/>
          <w:szCs w:val="18"/>
        </w:rPr>
        <w:footnoteRef/>
      </w:r>
      <w:r w:rsidRPr="00C472FF">
        <w:rPr>
          <w:rFonts w:ascii="Verdana" w:hAnsi="Verdana" w:cs="Arial"/>
          <w:sz w:val="18"/>
          <w:szCs w:val="18"/>
        </w:rPr>
        <w:t xml:space="preserve"> </w:t>
      </w:r>
      <w:r w:rsidRPr="00C472FF">
        <w:rPr>
          <w:rFonts w:ascii="Verdana" w:hAnsi="Verdana" w:cs="Arial"/>
          <w:color w:val="000000"/>
          <w:sz w:val="18"/>
          <w:szCs w:val="18"/>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104EE19D" w14:textId="77777777" w:rsidR="00132D3F" w:rsidRPr="00C472FF" w:rsidRDefault="00132D3F" w:rsidP="00132D3F">
      <w:pPr>
        <w:pStyle w:val="Textonotapie"/>
        <w:ind w:firstLine="709"/>
        <w:jc w:val="both"/>
        <w:rPr>
          <w:rFonts w:ascii="Verdana" w:hAnsi="Verdana" w:cs="Arial"/>
          <w:color w:val="000000"/>
          <w:sz w:val="18"/>
          <w:szCs w:val="18"/>
        </w:rPr>
      </w:pPr>
      <w:r w:rsidRPr="00C472FF">
        <w:rPr>
          <w:rFonts w:ascii="Verdana" w:hAnsi="Verdana" w:cs="Arial"/>
          <w:color w:val="000000"/>
          <w:sz w:val="18"/>
          <w:szCs w:val="18"/>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4" w:history="1">
        <w:r w:rsidRPr="00C472FF">
          <w:rPr>
            <w:rStyle w:val="Hipervnculo"/>
            <w:rFonts w:ascii="Verdana" w:hAnsi="Verdana" w:cs="Arial"/>
            <w:sz w:val="18"/>
            <w:szCs w:val="18"/>
          </w:rPr>
          <w:t>https://www.colombiacompra.gov.co/circulares?page=2</w:t>
        </w:r>
      </w:hyperlink>
      <w:r w:rsidRPr="00C472FF">
        <w:rPr>
          <w:rStyle w:val="Hipervnculo"/>
          <w:rFonts w:ascii="Verdana" w:hAnsi="Verdana" w:cs="Arial"/>
          <w:color w:val="000000"/>
          <w:sz w:val="18"/>
          <w:szCs w:val="18"/>
        </w:rPr>
        <w:t xml:space="preserve"> </w:t>
      </w:r>
    </w:p>
  </w:footnote>
  <w:footnote w:id="11">
    <w:p w14:paraId="3D32096B" w14:textId="77777777" w:rsidR="00132D3F" w:rsidRPr="00C472FF" w:rsidRDefault="00132D3F" w:rsidP="00132D3F">
      <w:pPr>
        <w:pStyle w:val="Textonotapie"/>
        <w:ind w:firstLine="709"/>
        <w:jc w:val="both"/>
        <w:rPr>
          <w:rFonts w:ascii="Verdana" w:hAnsi="Verdana" w:cs="Arial"/>
          <w:color w:val="000000"/>
          <w:sz w:val="18"/>
          <w:szCs w:val="18"/>
        </w:rPr>
      </w:pPr>
      <w:r w:rsidRPr="00C472FF">
        <w:rPr>
          <w:rStyle w:val="Refdenotaalpie"/>
          <w:rFonts w:ascii="Verdana" w:hAnsi="Verdana" w:cs="Arial"/>
          <w:color w:val="000000"/>
          <w:sz w:val="18"/>
          <w:szCs w:val="18"/>
        </w:rPr>
        <w:footnoteRef/>
      </w:r>
      <w:r w:rsidRPr="00C472FF">
        <w:rPr>
          <w:rFonts w:ascii="Verdana" w:hAnsi="Verdana" w:cs="Arial"/>
          <w:color w:val="000000"/>
          <w:sz w:val="18"/>
          <w:szCs w:val="18"/>
        </w:rPr>
        <w:t xml:space="preserve"> Ver CONSEJO DE ESTADO, Sección Tercera, Subsección C. Sentencia del 26 de febrero de 2011. C.P. Jaime Orlando Santofimio. Rad. 36.408. </w:t>
      </w:r>
    </w:p>
  </w:footnote>
  <w:footnote w:id="12">
    <w:p w14:paraId="43A02F5A" w14:textId="77777777" w:rsidR="00132D3F" w:rsidRPr="00C472FF" w:rsidRDefault="00132D3F" w:rsidP="00132D3F">
      <w:pPr>
        <w:pStyle w:val="Textonotapie"/>
        <w:jc w:val="both"/>
        <w:rPr>
          <w:rFonts w:ascii="Verdana" w:hAnsi="Verdana" w:cs="Arial"/>
          <w:color w:val="000000"/>
          <w:sz w:val="18"/>
          <w:szCs w:val="18"/>
        </w:rPr>
      </w:pPr>
    </w:p>
    <w:p w14:paraId="73457598" w14:textId="77777777" w:rsidR="00132D3F" w:rsidRPr="00C472FF" w:rsidRDefault="00132D3F" w:rsidP="00132D3F">
      <w:pPr>
        <w:pStyle w:val="Textonotapie"/>
        <w:ind w:firstLine="709"/>
        <w:jc w:val="both"/>
        <w:rPr>
          <w:rFonts w:ascii="Verdana" w:hAnsi="Verdana" w:cs="Arial"/>
          <w:color w:val="000000"/>
          <w:sz w:val="18"/>
          <w:szCs w:val="18"/>
        </w:rPr>
      </w:pPr>
      <w:r w:rsidRPr="00C472FF">
        <w:rPr>
          <w:rStyle w:val="Refdenotaalpie"/>
          <w:rFonts w:ascii="Verdana" w:hAnsi="Verdana" w:cs="Arial"/>
          <w:color w:val="000000"/>
          <w:sz w:val="18"/>
          <w:szCs w:val="18"/>
        </w:rPr>
        <w:footnoteRef/>
      </w:r>
      <w:r w:rsidRPr="00C472FF">
        <w:rPr>
          <w:rFonts w:ascii="Verdana" w:hAnsi="Verdana" w:cs="Arial"/>
          <w:color w:val="000000"/>
          <w:sz w:val="18"/>
          <w:szCs w:val="18"/>
        </w:rPr>
        <w:t xml:space="preserve"> Ver CONSEJO DE ESTADO, Sección Tercera, Subsección C. Sentencia del 26 de febrero de 2014. C.P. Enrique Gil Botero. Rad. 25.804. </w:t>
      </w:r>
    </w:p>
    <w:p w14:paraId="4ABD499F" w14:textId="77777777" w:rsidR="00132D3F" w:rsidRPr="00C472FF" w:rsidRDefault="00132D3F" w:rsidP="00132D3F">
      <w:pPr>
        <w:pStyle w:val="Textonotapie"/>
        <w:ind w:firstLine="709"/>
        <w:jc w:val="both"/>
        <w:rPr>
          <w:rFonts w:ascii="Verdana" w:hAnsi="Verdana" w:cs="Arial"/>
          <w:color w:val="000000"/>
          <w:sz w:val="18"/>
          <w:szCs w:val="18"/>
        </w:rPr>
      </w:pPr>
    </w:p>
  </w:footnote>
  <w:footnote w:id="13">
    <w:p w14:paraId="5ABE26E9" w14:textId="77777777" w:rsidR="00132D3F" w:rsidRPr="00C472FF" w:rsidRDefault="00132D3F" w:rsidP="00132D3F">
      <w:pPr>
        <w:pStyle w:val="Textonotapie"/>
        <w:ind w:firstLine="708"/>
        <w:jc w:val="both"/>
        <w:rPr>
          <w:rFonts w:ascii="Verdana" w:hAnsi="Verdana" w:cs="Arial"/>
          <w:color w:val="000000"/>
          <w:sz w:val="18"/>
          <w:szCs w:val="18"/>
        </w:rPr>
      </w:pPr>
      <w:r w:rsidRPr="00C472FF">
        <w:rPr>
          <w:rStyle w:val="Refdenotaalpie"/>
          <w:rFonts w:ascii="Verdana" w:hAnsi="Verdana" w:cs="Arial"/>
          <w:color w:val="000000"/>
          <w:sz w:val="18"/>
          <w:szCs w:val="18"/>
        </w:rPr>
        <w:footnoteRef/>
      </w:r>
      <w:r w:rsidRPr="00C472FF">
        <w:rPr>
          <w:rFonts w:ascii="Verdana" w:hAnsi="Verdana" w:cs="Arial"/>
          <w:color w:val="000000"/>
          <w:sz w:val="18"/>
          <w:szCs w:val="18"/>
        </w:rPr>
        <w:t xml:space="preserve"> CONSEJO DE ESTADO. Sala de Consulta y Servicio Civil. Concepto del 20 de mayo de 2010. Expediente: 1992. Consejero Ponente: Enrique José Arboleda Perdomo.</w:t>
      </w:r>
    </w:p>
    <w:p w14:paraId="4BE7A3CB" w14:textId="77777777" w:rsidR="00132D3F" w:rsidRPr="00C472FF" w:rsidRDefault="00132D3F" w:rsidP="00132D3F">
      <w:pPr>
        <w:pStyle w:val="Textonotapie"/>
        <w:ind w:firstLine="708"/>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5pt;height:12.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E8614DC"/>
    <w:multiLevelType w:val="hybridMultilevel"/>
    <w:tmpl w:val="1B3AE40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3353828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2D3F"/>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54EE"/>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0FBD"/>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1D48"/>
    <w:rsid w:val="006900D9"/>
    <w:rsid w:val="006F0EEC"/>
    <w:rsid w:val="00706C16"/>
    <w:rsid w:val="007340C3"/>
    <w:rsid w:val="0075235A"/>
    <w:rsid w:val="00756841"/>
    <w:rsid w:val="007649AB"/>
    <w:rsid w:val="00771D0C"/>
    <w:rsid w:val="007833AC"/>
    <w:rsid w:val="007B268C"/>
    <w:rsid w:val="007B7171"/>
    <w:rsid w:val="007C0C0F"/>
    <w:rsid w:val="007C3DC2"/>
    <w:rsid w:val="007D4A8A"/>
    <w:rsid w:val="007E5497"/>
    <w:rsid w:val="00806F5F"/>
    <w:rsid w:val="00820278"/>
    <w:rsid w:val="00824878"/>
    <w:rsid w:val="008258C9"/>
    <w:rsid w:val="00844AE9"/>
    <w:rsid w:val="00856A9A"/>
    <w:rsid w:val="00867F95"/>
    <w:rsid w:val="00881520"/>
    <w:rsid w:val="008843B6"/>
    <w:rsid w:val="00891928"/>
    <w:rsid w:val="008A446D"/>
    <w:rsid w:val="008B25F1"/>
    <w:rsid w:val="008D180B"/>
    <w:rsid w:val="008F0EA7"/>
    <w:rsid w:val="00923EEF"/>
    <w:rsid w:val="009419F9"/>
    <w:rsid w:val="0095685E"/>
    <w:rsid w:val="00961B09"/>
    <w:rsid w:val="009631A5"/>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70EF"/>
    <w:rsid w:val="00AB0ADB"/>
    <w:rsid w:val="00B00C0E"/>
    <w:rsid w:val="00B01B1A"/>
    <w:rsid w:val="00B0381D"/>
    <w:rsid w:val="00B1475B"/>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4CDF"/>
    <w:rsid w:val="00C925AC"/>
    <w:rsid w:val="00CB6357"/>
    <w:rsid w:val="00CC1B26"/>
    <w:rsid w:val="00D32840"/>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04B3"/>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482C7EF5"/>
    <w:rsid w:val="69614A15"/>
    <w:rsid w:val="6CD5CE64"/>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32D3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relatoria.colombiacompra.gov.co/conceptos/c-447-de-2024/" TargetMode="External"/><Relationship Id="rId2" Type="http://schemas.openxmlformats.org/officeDocument/2006/relationships/hyperlink" Target="https://relatoria.colombiacompra.gov.co/conceptos/c-285-de-2022/" TargetMode="External"/><Relationship Id="rId1" Type="http://schemas.openxmlformats.org/officeDocument/2006/relationships/hyperlink" Target="https://www.colombiacompra.gov.co/documentos-tipo/documentos-tipo" TargetMode="External"/><Relationship Id="rId4" Type="http://schemas.openxmlformats.org/officeDocument/2006/relationships/hyperlink" Target="https://www.colombiacompra.gov.co/circulares?page=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D1CD85E3-EABF-4652-AE46-BB24D641B2C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26</Pages>
  <Words>8855</Words>
  <Characters>46757</Characters>
  <Application>Microsoft Office Word</Application>
  <DocSecurity>0</DocSecurity>
  <Lines>865</Lines>
  <Paragraphs>175</Paragraphs>
  <ScaleCrop>false</ScaleCrop>
  <Company/>
  <LinksUpToDate>false</LinksUpToDate>
  <CharactersWithSpaces>55437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2025-12-04T20:20:00Z</dcterms:created>
  <dcterms:modified xsi:type="dcterms:W3CDTF">2025-12-04T20:36:00Z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