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F6834" w14:textId="77777777" w:rsidR="005E6A25" w:rsidRPr="000239A6" w:rsidRDefault="005E6A25" w:rsidP="005E6A25">
      <w:pPr>
        <w:spacing w:after="0" w:line="240" w:lineRule="auto"/>
        <w:contextualSpacing/>
        <w:jc w:val="both"/>
        <w:rPr>
          <w:rFonts w:ascii="Verdana" w:eastAsia="Calibri" w:hAnsi="Verdana" w:cs="Arial"/>
          <w:b/>
          <w:bCs/>
          <w:sz w:val="20"/>
          <w:szCs w:val="20"/>
          <w:lang w:val="es-MX" w:eastAsia="es-ES_tradnl"/>
          <w14:ligatures w14:val="standardContextual"/>
        </w:rPr>
      </w:pPr>
    </w:p>
    <w:p w14:paraId="721D4AB6" w14:textId="77777777" w:rsidR="005E6A25" w:rsidRPr="000239A6" w:rsidRDefault="005E6A25" w:rsidP="005E6A25">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DETERMINACIÓN DEL VALOR DEL CONTRATO – Etapa de planeación – Metodologías – Factores que inciden</w:t>
      </w:r>
    </w:p>
    <w:p w14:paraId="68C80E51" w14:textId="77777777" w:rsidR="005E6A25" w:rsidRPr="000239A6" w:rsidRDefault="005E6A25" w:rsidP="005E6A25">
      <w:pPr>
        <w:spacing w:after="0" w:line="240" w:lineRule="auto"/>
        <w:contextualSpacing/>
        <w:jc w:val="both"/>
        <w:rPr>
          <w:rFonts w:ascii="Verdana" w:eastAsia="Calibri" w:hAnsi="Verdana" w:cs="Arial"/>
          <w:b/>
          <w:bCs/>
          <w:sz w:val="20"/>
          <w:szCs w:val="20"/>
          <w:lang w:val="es-MX" w:eastAsia="es-ES_tradnl"/>
          <w14:ligatures w14:val="standardContextual"/>
        </w:rPr>
      </w:pPr>
    </w:p>
    <w:p w14:paraId="5DDA3056" w14:textId="77777777" w:rsidR="005E6A25" w:rsidRPr="000239A6" w:rsidRDefault="005E6A25" w:rsidP="005E6A25">
      <w:pPr>
        <w:spacing w:after="0" w:line="240" w:lineRule="auto"/>
        <w:contextualSpacing/>
        <w:jc w:val="both"/>
        <w:rPr>
          <w:rFonts w:ascii="Verdana" w:eastAsia="Times New Roman" w:hAnsi="Verdana" w:cs="Arial"/>
          <w:noProof/>
          <w:sz w:val="20"/>
          <w:szCs w:val="20"/>
          <w:lang w:val="es-ES_tradnl" w:eastAsia="es-ES_tradnl"/>
          <w14:ligatures w14:val="standardContextual"/>
        </w:rPr>
      </w:pPr>
      <w:r w:rsidRPr="000239A6">
        <w:rPr>
          <w:rFonts w:ascii="Verdana" w:eastAsia="Times New Roman" w:hAnsi="Verdana" w:cs="Arial"/>
          <w:noProof/>
          <w:sz w:val="20"/>
          <w:szCs w:val="20"/>
          <w:lang w:val="es-ES_tradnl" w:eastAsia="es-ES_tradnl"/>
          <w14:ligatures w14:val="standardContextua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167D3733" w14:textId="77777777" w:rsidR="005E6A25" w:rsidRPr="000239A6" w:rsidRDefault="005E6A25" w:rsidP="005E6A25">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5CBB5ED7" w14:textId="77777777" w:rsidR="005E6A25" w:rsidRPr="000239A6" w:rsidRDefault="005E6A25" w:rsidP="005E6A25">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SISTEMA DE FACTOR MULTIPLICADOR – Noción – Costos directos – Imputables al contrato</w:t>
      </w:r>
    </w:p>
    <w:p w14:paraId="1B324A9B" w14:textId="77777777" w:rsidR="005E6A25" w:rsidRPr="000239A6" w:rsidRDefault="005E6A25" w:rsidP="005E6A25">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7364D062" w14:textId="77777777" w:rsidR="005E6A25" w:rsidRPr="000239A6" w:rsidRDefault="005E6A25" w:rsidP="005E6A25">
      <w:pPr>
        <w:spacing w:after="0" w:line="240" w:lineRule="auto"/>
        <w:jc w:val="both"/>
        <w:rPr>
          <w:rFonts w:ascii="Verdana" w:eastAsia="Geomanist Light" w:hAnsi="Verdana" w:cs="Arial"/>
          <w:sz w:val="20"/>
          <w:szCs w:val="20"/>
          <w:lang w:val="es-MX"/>
        </w:rPr>
      </w:pPr>
      <w:r w:rsidRPr="000239A6">
        <w:rPr>
          <w:rFonts w:ascii="Verdana" w:eastAsia="Times New Roman" w:hAnsi="Verdana" w:cs="Arial"/>
          <w:noProof/>
          <w:sz w:val="20"/>
          <w:szCs w:val="20"/>
          <w:lang w:val="es-ES_tradnl" w:eastAsia="es-ES_tradnl"/>
          <w14:ligatures w14:val="standardContextual"/>
        </w:rPr>
        <w:t>[…] 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7D9B22A7" w14:textId="77777777" w:rsidR="005E6A25" w:rsidRPr="000239A6" w:rsidRDefault="005E6A25" w:rsidP="005E6A25">
      <w:pPr>
        <w:spacing w:after="0" w:line="240" w:lineRule="auto"/>
        <w:rPr>
          <w:rFonts w:ascii="Verdana" w:eastAsia="Geomanist Light" w:hAnsi="Verdana" w:cs="Arial"/>
          <w:sz w:val="20"/>
          <w:szCs w:val="20"/>
          <w:lang w:val="es-MX"/>
        </w:rPr>
      </w:pPr>
    </w:p>
    <w:p w14:paraId="438D65D1" w14:textId="77777777" w:rsidR="005E6A25" w:rsidRPr="000239A6" w:rsidRDefault="005E6A25" w:rsidP="005E6A25">
      <w:pPr>
        <w:spacing w:after="0" w:line="240" w:lineRule="auto"/>
        <w:jc w:val="both"/>
        <w:rPr>
          <w:rFonts w:ascii="Verdana" w:eastAsia="Calibri" w:hAnsi="Verdana" w:cs="Arial"/>
          <w:b/>
          <w:bCs/>
          <w:lang w:val="es-ES" w:eastAsia="es-ES"/>
        </w:rPr>
      </w:pPr>
      <w:r w:rsidRPr="000239A6">
        <w:rPr>
          <w:rFonts w:ascii="Verdana" w:eastAsia="Calibri" w:hAnsi="Verdana" w:cs="Arial"/>
          <w:b/>
          <w:bCs/>
        </w:rPr>
        <w:t>FACTOR MULTIPLICADOR – Costos – Determinación</w:t>
      </w:r>
    </w:p>
    <w:p w14:paraId="2287D43A" w14:textId="77777777" w:rsidR="005E6A25" w:rsidRDefault="005E6A25" w:rsidP="005E6A25">
      <w:pPr>
        <w:spacing w:after="0" w:line="240" w:lineRule="auto"/>
        <w:jc w:val="both"/>
        <w:rPr>
          <w:rFonts w:ascii="Verdana" w:eastAsia="Geomanist Light" w:hAnsi="Verdana" w:cs="Arial"/>
          <w:sz w:val="20"/>
          <w:szCs w:val="20"/>
          <w:lang w:val="es-MX"/>
        </w:rPr>
      </w:pPr>
    </w:p>
    <w:p w14:paraId="4FE56B9E" w14:textId="77777777" w:rsidR="005E6A25" w:rsidRPr="000239A6" w:rsidRDefault="005E6A25" w:rsidP="005E6A25">
      <w:pPr>
        <w:spacing w:after="0" w:line="240" w:lineRule="auto"/>
        <w:jc w:val="both"/>
        <w:rPr>
          <w:rFonts w:ascii="Verdana" w:eastAsia="Geomanist Light" w:hAnsi="Verdana" w:cs="Arial"/>
          <w:sz w:val="20"/>
          <w:szCs w:val="20"/>
          <w:lang w:val="es-MX"/>
        </w:rPr>
      </w:pPr>
      <w:r>
        <w:rPr>
          <w:rFonts w:ascii="Verdana" w:eastAsia="Calibri" w:hAnsi="Verdana" w:cs="Arial"/>
          <w:color w:val="000000"/>
          <w:sz w:val="20"/>
          <w:szCs w:val="20"/>
          <w:lang w:val="es-MX"/>
        </w:rPr>
        <w:t>S</w:t>
      </w:r>
      <w:r w:rsidRPr="000239A6">
        <w:rPr>
          <w:rFonts w:ascii="Verdana" w:eastAsia="Calibri" w:hAnsi="Verdana" w:cs="Arial"/>
          <w:color w:val="000000"/>
          <w:sz w:val="20"/>
          <w:szCs w:val="20"/>
        </w:rPr>
        <w:t xml:space="preserve">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w:t>
      </w:r>
      <w:r w:rsidRPr="000239A6">
        <w:rPr>
          <w:rFonts w:ascii="Verdana" w:eastAsia="Calibri" w:hAnsi="Verdana" w:cs="Arial"/>
          <w:color w:val="000000"/>
          <w:sz w:val="20"/>
          <w:szCs w:val="20"/>
        </w:rPr>
        <w:lastRenderedPageBreak/>
        <w:t xml:space="preserve">el saldo no ejecutado debería liberarse y no ser facturado sin justificación. En conclusión, los valores facturados deben corresponder a costos reales soportados. </w:t>
      </w:r>
    </w:p>
    <w:p w14:paraId="54DDF450" w14:textId="77777777" w:rsidR="005E6A25" w:rsidRPr="000239A6" w:rsidRDefault="005E6A25" w:rsidP="005E6A25">
      <w:pPr>
        <w:spacing w:after="0" w:line="240" w:lineRule="auto"/>
        <w:rPr>
          <w:rFonts w:ascii="Verdana" w:eastAsia="Geomanist Light" w:hAnsi="Verdana" w:cs="Arial"/>
          <w:sz w:val="20"/>
          <w:szCs w:val="20"/>
          <w:lang w:val="es-MX"/>
        </w:rPr>
      </w:pPr>
    </w:p>
    <w:p w14:paraId="61F27EA5" w14:textId="77777777" w:rsidR="005E6A25" w:rsidRPr="000239A6" w:rsidRDefault="005E6A25" w:rsidP="005E6A25">
      <w:pPr>
        <w:spacing w:after="0" w:line="240" w:lineRule="auto"/>
        <w:jc w:val="both"/>
        <w:rPr>
          <w:rFonts w:ascii="Verdana" w:eastAsia="Calibri" w:hAnsi="Verdana" w:cs="Arial"/>
          <w:b/>
          <w:bCs/>
          <w:lang w:val="es-ES" w:eastAsia="es-ES"/>
        </w:rPr>
      </w:pPr>
      <w:r>
        <w:rPr>
          <w:rFonts w:ascii="Verdana" w:eastAsia="Calibri" w:hAnsi="Verdana" w:cs="Arial"/>
          <w:b/>
          <w:bCs/>
        </w:rPr>
        <w:t>REESTRUCTURACIÓN</w:t>
      </w:r>
      <w:r w:rsidRPr="000239A6">
        <w:rPr>
          <w:rFonts w:ascii="Verdana" w:eastAsia="Calibri" w:hAnsi="Verdana" w:cs="Arial"/>
          <w:b/>
          <w:bCs/>
        </w:rPr>
        <w:t xml:space="preserve"> – </w:t>
      </w:r>
      <w:r>
        <w:rPr>
          <w:rFonts w:ascii="Verdana" w:eastAsia="Calibri" w:hAnsi="Verdana" w:cs="Arial"/>
          <w:b/>
          <w:bCs/>
        </w:rPr>
        <w:t>Factor multiplicador</w:t>
      </w:r>
      <w:r w:rsidRPr="000239A6">
        <w:rPr>
          <w:rFonts w:ascii="Verdana" w:eastAsia="Calibri" w:hAnsi="Verdana" w:cs="Arial"/>
          <w:b/>
          <w:bCs/>
        </w:rPr>
        <w:t xml:space="preserve"> – </w:t>
      </w:r>
      <w:r>
        <w:rPr>
          <w:rFonts w:ascii="Verdana" w:eastAsia="Calibri" w:hAnsi="Verdana" w:cs="Arial"/>
          <w:b/>
          <w:bCs/>
        </w:rPr>
        <w:t xml:space="preserve">Ausencia de obligatoriedad – Principio de planeación y buena fe </w:t>
      </w:r>
    </w:p>
    <w:p w14:paraId="2EF17B20" w14:textId="77777777" w:rsidR="005E6A25" w:rsidRDefault="005E6A25" w:rsidP="005E6A25">
      <w:pPr>
        <w:spacing w:after="0" w:line="240" w:lineRule="auto"/>
        <w:jc w:val="both"/>
        <w:rPr>
          <w:rFonts w:ascii="Verdana" w:eastAsia="Geomanist Light" w:hAnsi="Verdana" w:cs="Arial"/>
          <w:sz w:val="20"/>
          <w:szCs w:val="20"/>
          <w:lang w:val="es-MX"/>
        </w:rPr>
      </w:pPr>
    </w:p>
    <w:p w14:paraId="010D45C8" w14:textId="77777777" w:rsidR="005E6A25" w:rsidRDefault="005E6A25" w:rsidP="005E6A25">
      <w:pPr>
        <w:spacing w:after="0" w:line="240" w:lineRule="auto"/>
        <w:jc w:val="both"/>
        <w:rPr>
          <w:rFonts w:ascii="Verdana" w:eastAsia="Calibri" w:hAnsi="Verdana" w:cs="Arial"/>
          <w:color w:val="000000"/>
          <w:sz w:val="20"/>
          <w:szCs w:val="20"/>
          <w:lang w:val="es-MX"/>
        </w:rPr>
      </w:pPr>
      <w:r>
        <w:rPr>
          <w:rFonts w:ascii="Verdana" w:eastAsia="Calibri" w:hAnsi="Verdana" w:cs="Arial"/>
          <w:color w:val="000000"/>
          <w:sz w:val="20"/>
          <w:szCs w:val="20"/>
          <w:lang w:val="es-MX"/>
        </w:rPr>
        <w:t>E</w:t>
      </w:r>
      <w:r w:rsidRPr="001467C7">
        <w:rPr>
          <w:rFonts w:ascii="Verdana" w:eastAsia="Calibri" w:hAnsi="Verdana" w:cs="Arial"/>
          <w:color w:val="000000"/>
          <w:sz w:val="20"/>
          <w:szCs w:val="20"/>
          <w:lang w:val="es-MX"/>
        </w:rPr>
        <w:t>l deber de planeación no es privativo de las entidades públicas, por lo que también se extiende a los interesados en el proceso de selección. Al respecto, la Subsección A de la Sección Tercera del Consejo de Estado –en Sentencia del 21 de febrero de 2025, Exp. 71583, con ponencia del Consejero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p>
    <w:p w14:paraId="753AC43F" w14:textId="77777777" w:rsidR="005E6A25" w:rsidRPr="001467C7" w:rsidRDefault="005E6A25" w:rsidP="005E6A25">
      <w:pPr>
        <w:spacing w:after="0" w:line="240" w:lineRule="auto"/>
        <w:jc w:val="both"/>
        <w:rPr>
          <w:rFonts w:ascii="Verdana" w:eastAsia="Calibri" w:hAnsi="Verdana" w:cs="Arial"/>
          <w:color w:val="000000"/>
          <w:sz w:val="20"/>
          <w:szCs w:val="20"/>
          <w:lang w:val="es-MX"/>
        </w:rPr>
      </w:pPr>
    </w:p>
    <w:p w14:paraId="6A87A6BD" w14:textId="77777777" w:rsidR="005E6A25" w:rsidRDefault="005E6A25" w:rsidP="005E6A25">
      <w:pPr>
        <w:spacing w:after="0" w:line="240" w:lineRule="auto"/>
        <w:jc w:val="both"/>
        <w:rPr>
          <w:rFonts w:ascii="Verdana" w:eastAsia="Calibri" w:hAnsi="Verdana" w:cs="Arial"/>
          <w:color w:val="000000"/>
          <w:sz w:val="20"/>
          <w:szCs w:val="20"/>
          <w:lang w:val="es-MX"/>
        </w:rPr>
      </w:pPr>
      <w:r w:rsidRPr="001467C7">
        <w:rPr>
          <w:rFonts w:ascii="Verdana" w:eastAsia="Calibri" w:hAnsi="Verdana" w:cs="Arial"/>
          <w:color w:val="000000"/>
          <w:sz w:val="20"/>
          <w:szCs w:val="20"/>
          <w:lang w:val="es-MX"/>
        </w:rPr>
        <w:t>Es decir, si existían inquietudes sobre los componentes del factor multiplicador, los interesados tuvieron la oportunidad de formular observaciones para aclarar sus dudas.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71147DA5" w14:textId="77777777" w:rsidR="005E6A25" w:rsidRPr="001467C7" w:rsidRDefault="005E6A25" w:rsidP="005E6A25">
      <w:pPr>
        <w:spacing w:after="0" w:line="240" w:lineRule="auto"/>
        <w:jc w:val="both"/>
        <w:rPr>
          <w:rFonts w:ascii="Verdana" w:eastAsia="Calibri" w:hAnsi="Verdana" w:cs="Arial"/>
          <w:color w:val="000000"/>
          <w:sz w:val="20"/>
          <w:szCs w:val="20"/>
          <w:lang w:val="es-MX"/>
        </w:rPr>
      </w:pPr>
    </w:p>
    <w:p w14:paraId="3A250CBE" w14:textId="77777777" w:rsidR="005E6A25" w:rsidRDefault="005E6A25" w:rsidP="005E6A25">
      <w:pPr>
        <w:spacing w:after="0" w:line="240" w:lineRule="auto"/>
        <w:jc w:val="both"/>
        <w:rPr>
          <w:rFonts w:ascii="Verdana" w:eastAsia="Calibri" w:hAnsi="Verdana" w:cs="Arial"/>
          <w:color w:val="000000"/>
          <w:sz w:val="20"/>
          <w:szCs w:val="20"/>
          <w:lang w:val="es-MX"/>
        </w:rPr>
      </w:pPr>
      <w:r w:rsidRPr="001467C7">
        <w:rPr>
          <w:rFonts w:ascii="Verdana" w:eastAsia="Calibri" w:hAnsi="Verdana" w:cs="Arial"/>
          <w:color w:val="000000"/>
          <w:sz w:val="20"/>
          <w:szCs w:val="20"/>
          <w:lang w:val="es-MX"/>
        </w:rPr>
        <w:t>En este contexto, bajo el criterio de que “nadie puede beneficiarse de su propia culpa”, se restringe a los contratistas la posibilidad de solicitar reconocimientos económicos derivados de fallas de planeación que debieron advertir a la entidad contratante antes del perfeccionamiento del contrato. Si bien el parágrafo del artículo 40 de la Ley 80 de 1993 dispone que “Los contratos no podrán adicionarse en más del cincuenta por ciento (50%) de su valor inicial, expresado éste en salarios mínimos legales mensuales”, el Estado no se encuentra obligado a reestructurar el porcentaje ni los componentes del factor multiplicador, pues las modificaciones contractuales no son un derecho del contratista.</w:t>
      </w:r>
    </w:p>
    <w:p w14:paraId="3A669AC8" w14:textId="77777777" w:rsidR="005E6A25" w:rsidRDefault="005E6A25" w:rsidP="005E6A25">
      <w:pPr>
        <w:spacing w:after="0" w:line="240" w:lineRule="auto"/>
        <w:rPr>
          <w:rFonts w:ascii="Verdana" w:eastAsia="Calibri" w:hAnsi="Verdana" w:cs="Arial"/>
          <w:color w:val="000000"/>
          <w:sz w:val="20"/>
          <w:szCs w:val="20"/>
          <w:lang w:val="es-MX"/>
        </w:rPr>
      </w:pPr>
    </w:p>
    <w:p w14:paraId="0D4CC89F" w14:textId="77777777" w:rsidR="005E6A25" w:rsidRDefault="005E6A25" w:rsidP="005E6A25">
      <w:pPr>
        <w:spacing w:after="0" w:line="240" w:lineRule="auto"/>
        <w:rPr>
          <w:rFonts w:ascii="Verdana" w:eastAsia="Calibri" w:hAnsi="Verdana" w:cs="Arial"/>
          <w:color w:val="000000"/>
          <w:sz w:val="20"/>
          <w:szCs w:val="20"/>
          <w:lang w:val="es-MX"/>
        </w:rPr>
      </w:pPr>
    </w:p>
    <w:p w14:paraId="55B926B2" w14:textId="77777777" w:rsidR="005E6A25" w:rsidRDefault="005E6A25" w:rsidP="005E6A25">
      <w:pPr>
        <w:spacing w:after="0" w:line="240" w:lineRule="auto"/>
        <w:rPr>
          <w:rFonts w:ascii="Verdana" w:eastAsia="Calibri" w:hAnsi="Verdana" w:cs="Arial"/>
          <w:color w:val="000000"/>
          <w:sz w:val="20"/>
          <w:szCs w:val="20"/>
          <w:lang w:val="es-MX"/>
        </w:rPr>
      </w:pPr>
    </w:p>
    <w:p w14:paraId="3B0E5793" w14:textId="77777777" w:rsidR="005E6A25" w:rsidRDefault="005E6A25" w:rsidP="005E6A25">
      <w:pPr>
        <w:spacing w:after="0" w:line="240" w:lineRule="auto"/>
        <w:rPr>
          <w:rFonts w:ascii="Verdana" w:eastAsia="Calibri" w:hAnsi="Verdana" w:cs="Arial"/>
          <w:color w:val="000000"/>
          <w:sz w:val="20"/>
          <w:szCs w:val="20"/>
          <w:lang w:val="es-MX"/>
        </w:rPr>
      </w:pPr>
    </w:p>
    <w:p w14:paraId="3042853C" w14:textId="77777777" w:rsidR="005E6A25" w:rsidRDefault="005E6A25" w:rsidP="005E6A25">
      <w:pPr>
        <w:spacing w:after="0" w:line="240" w:lineRule="auto"/>
        <w:rPr>
          <w:rFonts w:ascii="Verdana" w:eastAsia="Calibri" w:hAnsi="Verdana" w:cs="Arial"/>
          <w:color w:val="000000"/>
          <w:sz w:val="20"/>
          <w:szCs w:val="20"/>
          <w:lang w:val="es-MX"/>
        </w:rPr>
      </w:pPr>
    </w:p>
    <w:p w14:paraId="02FE18AE" w14:textId="77777777" w:rsidR="005E6A25" w:rsidRDefault="005E6A25" w:rsidP="005E6A25">
      <w:pPr>
        <w:spacing w:after="0" w:line="240" w:lineRule="auto"/>
        <w:rPr>
          <w:rFonts w:ascii="Verdana" w:eastAsia="Calibri" w:hAnsi="Verdana" w:cs="Arial"/>
          <w:color w:val="000000"/>
          <w:sz w:val="20"/>
          <w:szCs w:val="20"/>
          <w:lang w:val="es-MX"/>
        </w:rPr>
      </w:pPr>
    </w:p>
    <w:p w14:paraId="6905826E" w14:textId="77777777" w:rsidR="005E6A25" w:rsidRDefault="005E6A25" w:rsidP="005E6A25">
      <w:pPr>
        <w:spacing w:after="0" w:line="240" w:lineRule="auto"/>
        <w:rPr>
          <w:rFonts w:ascii="Verdana" w:eastAsia="Calibri" w:hAnsi="Verdana" w:cs="Arial"/>
          <w:color w:val="000000"/>
          <w:sz w:val="20"/>
          <w:szCs w:val="20"/>
          <w:lang w:val="es-MX"/>
        </w:rPr>
      </w:pPr>
    </w:p>
    <w:p w14:paraId="1369B126" w14:textId="77777777" w:rsidR="005E6A25" w:rsidRDefault="005E6A25" w:rsidP="005E6A25">
      <w:pPr>
        <w:spacing w:after="0" w:line="240" w:lineRule="auto"/>
        <w:rPr>
          <w:rFonts w:ascii="Verdana" w:eastAsia="Calibri" w:hAnsi="Verdana" w:cs="Arial"/>
          <w:color w:val="000000"/>
          <w:sz w:val="20"/>
          <w:szCs w:val="20"/>
          <w:lang w:val="es-MX"/>
        </w:rPr>
      </w:pPr>
    </w:p>
    <w:p w14:paraId="58BDBA99" w14:textId="77777777" w:rsidR="005E6A25" w:rsidRDefault="005E6A25" w:rsidP="005E6A25">
      <w:pPr>
        <w:spacing w:after="0" w:line="240" w:lineRule="auto"/>
        <w:rPr>
          <w:rFonts w:ascii="Verdana" w:eastAsia="Calibri" w:hAnsi="Verdana" w:cs="Arial"/>
          <w:color w:val="000000"/>
          <w:sz w:val="20"/>
          <w:szCs w:val="20"/>
          <w:lang w:val="es-MX"/>
        </w:rPr>
      </w:pPr>
    </w:p>
    <w:p w14:paraId="456DD325" w14:textId="77777777" w:rsidR="005E6A25" w:rsidRDefault="005E6A25" w:rsidP="00367F09">
      <w:pPr>
        <w:spacing w:after="0" w:line="240" w:lineRule="auto"/>
        <w:rPr>
          <w:rFonts w:ascii="Verdana" w:eastAsia="Calibri" w:hAnsi="Verdana" w:cs="Arial"/>
          <w:color w:val="000000"/>
          <w:sz w:val="20"/>
          <w:szCs w:val="20"/>
          <w:lang w:val="es-MX"/>
        </w:rPr>
      </w:pPr>
    </w:p>
    <w:p w14:paraId="0C1416CC" w14:textId="77777777" w:rsidR="005E6A25" w:rsidRDefault="005E6A25" w:rsidP="00367F09">
      <w:pPr>
        <w:spacing w:after="0" w:line="240" w:lineRule="auto"/>
        <w:rPr>
          <w:rFonts w:ascii="Verdana" w:eastAsia="Geomanist Light" w:hAnsi="Verdana" w:cs="Arial"/>
          <w:color w:val="000000" w:themeColor="text1"/>
          <w:lang w:val="es-MX"/>
        </w:rPr>
      </w:pPr>
    </w:p>
    <w:p w14:paraId="5DACBBC4" w14:textId="7F3E1762" w:rsidR="00367F09" w:rsidRPr="00593A5F" w:rsidRDefault="00367F09" w:rsidP="00367F0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6615A" w:rsidRPr="0076615A">
        <w:rPr>
          <w:rFonts w:ascii="Verdana" w:eastAsia="Geomanist Light" w:hAnsi="Verdana" w:cs="Arial"/>
          <w:color w:val="000000" w:themeColor="text1"/>
          <w:lang w:val="es-MX"/>
        </w:rPr>
        <w:t>22 de Diciembre de 2025</w:t>
      </w:r>
    </w:p>
    <w:p w14:paraId="46AC330E" w14:textId="77777777" w:rsidR="00367F09" w:rsidRDefault="00367F09" w:rsidP="00367F09">
      <w:pPr>
        <w:spacing w:after="0" w:line="240" w:lineRule="auto"/>
        <w:jc w:val="both"/>
        <w:rPr>
          <w:rFonts w:ascii="Verdana" w:eastAsia="Calibri" w:hAnsi="Verdana" w:cs="Arial"/>
          <w:color w:val="000000"/>
          <w:lang w:val="es-ES"/>
        </w:rPr>
      </w:pPr>
    </w:p>
    <w:p w14:paraId="257A7804" w14:textId="530015DE" w:rsidR="0076615A" w:rsidRDefault="0076615A" w:rsidP="0076615A">
      <w:pPr>
        <w:spacing w:after="0" w:line="240" w:lineRule="auto"/>
        <w:jc w:val="right"/>
        <w:rPr>
          <w:rFonts w:ascii="Verdana" w:eastAsia="Calibri" w:hAnsi="Verdana" w:cs="Arial"/>
          <w:color w:val="000000"/>
          <w:lang w:val="es-ES"/>
        </w:rPr>
      </w:pPr>
      <w:r w:rsidRPr="0076615A">
        <w:rPr>
          <w:rFonts w:ascii="Verdana" w:eastAsia="Calibri" w:hAnsi="Verdana" w:cs="Arial"/>
          <w:noProof/>
          <w:color w:val="000000"/>
          <w:lang w:val="es-ES"/>
        </w:rPr>
        <w:drawing>
          <wp:inline distT="0" distB="0" distL="0" distR="0" wp14:anchorId="4553C8C7" wp14:editId="3A4A600C">
            <wp:extent cx="3238500" cy="901700"/>
            <wp:effectExtent l="0" t="0" r="0" b="0"/>
            <wp:docPr id="4014618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61847" name=""/>
                    <pic:cNvPicPr/>
                  </pic:nvPicPr>
                  <pic:blipFill>
                    <a:blip r:embed="rId10"/>
                    <a:stretch>
                      <a:fillRect/>
                    </a:stretch>
                  </pic:blipFill>
                  <pic:spPr>
                    <a:xfrm>
                      <a:off x="0" y="0"/>
                      <a:ext cx="3238500" cy="901700"/>
                    </a:xfrm>
                    <a:prstGeom prst="rect">
                      <a:avLst/>
                    </a:prstGeom>
                  </pic:spPr>
                </pic:pic>
              </a:graphicData>
            </a:graphic>
          </wp:inline>
        </w:drawing>
      </w:r>
    </w:p>
    <w:p w14:paraId="572F8CA8" w14:textId="77777777" w:rsidR="00367F09" w:rsidRPr="00593A5F" w:rsidRDefault="00367F09" w:rsidP="00367F09">
      <w:pPr>
        <w:spacing w:after="0" w:line="240" w:lineRule="auto"/>
        <w:jc w:val="both"/>
        <w:rPr>
          <w:rFonts w:ascii="Verdana" w:eastAsia="Calibri" w:hAnsi="Verdana" w:cs="Arial"/>
          <w:color w:val="000000"/>
          <w:lang w:val="es-ES"/>
        </w:rPr>
      </w:pPr>
    </w:p>
    <w:p w14:paraId="5633EA70" w14:textId="77777777" w:rsidR="00367F09" w:rsidRPr="00B96799" w:rsidRDefault="00367F09" w:rsidP="00367F09">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0B5A9A0" w14:textId="77777777" w:rsidR="00367F09" w:rsidRPr="0085423D" w:rsidRDefault="00367F09" w:rsidP="00367F09">
      <w:pPr>
        <w:spacing w:after="0" w:line="240" w:lineRule="auto"/>
        <w:rPr>
          <w:rFonts w:ascii="Verdana" w:eastAsia="Calibri" w:hAnsi="Verdana" w:cs="Arial"/>
          <w:b/>
          <w:lang w:val="es-ES_tradnl" w:eastAsia="es-ES_tradnl"/>
        </w:rPr>
      </w:pPr>
      <w:r w:rsidRPr="00DD3241">
        <w:rPr>
          <w:rFonts w:ascii="Verdana" w:eastAsia="Calibri" w:hAnsi="Verdana" w:cs="Arial"/>
          <w:b/>
          <w:lang w:val="es-ES_tradnl" w:eastAsia="es-ES_tradnl"/>
        </w:rPr>
        <w:t>José Gregorio Gil Vanegas</w:t>
      </w:r>
      <w:r>
        <w:rPr>
          <w:rFonts w:ascii="Verdana" w:eastAsia="Calibri" w:hAnsi="Verdana" w:cs="Arial"/>
          <w:b/>
          <w:lang w:val="es-ES_tradnl" w:eastAsia="es-ES_tradnl"/>
        </w:rPr>
        <w:t xml:space="preserve"> </w:t>
      </w:r>
    </w:p>
    <w:p w14:paraId="743917EB" w14:textId="77777777" w:rsidR="00367F09" w:rsidRPr="00B40A30" w:rsidRDefault="00367F09" w:rsidP="00367F09">
      <w:pPr>
        <w:spacing w:after="0" w:line="240" w:lineRule="auto"/>
        <w:rPr>
          <w:rFonts w:ascii="Verdana" w:eastAsia="Calibri" w:hAnsi="Verdana" w:cs="Arial"/>
          <w:lang w:val="es-ES" w:eastAsia="es-ES"/>
        </w:rPr>
      </w:pPr>
      <w:hyperlink r:id="rId11" w:history="1">
        <w:r w:rsidRPr="00737FDD">
          <w:rPr>
            <w:rStyle w:val="Hipervnculo"/>
            <w:rFonts w:ascii="Verdana" w:hAnsi="Verdana"/>
          </w:rPr>
          <w:t>gregoriogil96@gmail.com</w:t>
        </w:r>
      </w:hyperlink>
      <w:r>
        <w:rPr>
          <w:rFonts w:ascii="Verdana" w:hAnsi="Verdana"/>
        </w:rPr>
        <w:t xml:space="preserve"> </w:t>
      </w:r>
      <w:r w:rsidRPr="00B40A30">
        <w:rPr>
          <w:rFonts w:ascii="Verdana" w:hAnsi="Verdana"/>
        </w:rPr>
        <w:t xml:space="preserve">              </w:t>
      </w:r>
      <w:r w:rsidRPr="00B40A30">
        <w:rPr>
          <w:rFonts w:ascii="Verdana" w:eastAsia="Calibri" w:hAnsi="Verdana" w:cs="Arial"/>
          <w:lang w:val="es-ES" w:eastAsia="es-ES"/>
        </w:rPr>
        <w:t xml:space="preserve">    </w:t>
      </w:r>
    </w:p>
    <w:p w14:paraId="4D57866F" w14:textId="77777777" w:rsidR="00367F09" w:rsidRDefault="00367F09" w:rsidP="00367F09">
      <w:pPr>
        <w:spacing w:after="0" w:line="240" w:lineRule="auto"/>
        <w:rPr>
          <w:rFonts w:ascii="Verdana" w:eastAsia="Calibri" w:hAnsi="Verdana" w:cs="Arial"/>
          <w:lang w:val="es-ES" w:eastAsia="es-ES"/>
        </w:rPr>
      </w:pPr>
      <w:r>
        <w:rPr>
          <w:rFonts w:ascii="Verdana" w:eastAsia="Calibri" w:hAnsi="Verdana" w:cs="Arial"/>
          <w:lang w:val="es-ES" w:eastAsia="es-ES"/>
        </w:rPr>
        <w:t xml:space="preserve">Florencia, Caquetá </w:t>
      </w:r>
    </w:p>
    <w:p w14:paraId="31CD381A" w14:textId="77777777" w:rsidR="00367F09" w:rsidRPr="00593A5F" w:rsidRDefault="00367F09" w:rsidP="00367F09">
      <w:pPr>
        <w:spacing w:after="0" w:line="240" w:lineRule="auto"/>
        <w:rPr>
          <w:rFonts w:ascii="Verdana" w:eastAsia="Calibri" w:hAnsi="Verdana" w:cs="Arial"/>
          <w:b/>
          <w:bCs/>
          <w:color w:val="000000"/>
          <w:lang w:val="es-ES_tradnl" w:eastAsia="es-ES_tradnl"/>
        </w:rPr>
      </w:pPr>
    </w:p>
    <w:p w14:paraId="28EE06E0" w14:textId="77777777" w:rsidR="00367F09" w:rsidRPr="00593A5F" w:rsidRDefault="00367F09" w:rsidP="00367F0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67F09" w:rsidRPr="00593A5F" w14:paraId="6FE71B9E" w14:textId="77777777" w:rsidTr="003D216B">
        <w:trPr>
          <w:trHeight w:val="884"/>
        </w:trPr>
        <w:tc>
          <w:tcPr>
            <w:tcW w:w="2689" w:type="dxa"/>
          </w:tcPr>
          <w:p w14:paraId="4E8A9983" w14:textId="77777777" w:rsidR="00367F09" w:rsidRPr="00C00976" w:rsidRDefault="00367F09" w:rsidP="003D216B">
            <w:pPr>
              <w:jc w:val="both"/>
              <w:rPr>
                <w:rFonts w:ascii="Verdana" w:eastAsia="Calibri" w:hAnsi="Verdana" w:cs="Arial"/>
                <w:b/>
                <w:bCs/>
                <w:color w:val="7030A0"/>
                <w:lang w:val="es-ES_tradnl" w:eastAsia="es-ES_tradnl"/>
              </w:rPr>
            </w:pPr>
          </w:p>
        </w:tc>
        <w:tc>
          <w:tcPr>
            <w:tcW w:w="6100" w:type="dxa"/>
          </w:tcPr>
          <w:p w14:paraId="36302423" w14:textId="77777777" w:rsidR="00367F09" w:rsidRPr="00C00976" w:rsidRDefault="00367F09" w:rsidP="003D216B">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1613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367F09" w:rsidRPr="00593A5F" w14:paraId="4DBEAF3C" w14:textId="77777777" w:rsidTr="003D216B">
        <w:trPr>
          <w:trHeight w:val="884"/>
        </w:trPr>
        <w:tc>
          <w:tcPr>
            <w:tcW w:w="2689" w:type="dxa"/>
          </w:tcPr>
          <w:p w14:paraId="101B727D" w14:textId="77777777" w:rsidR="00367F09" w:rsidRPr="00593A5F" w:rsidRDefault="00367F09" w:rsidP="003D216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803E314" w14:textId="77777777" w:rsidR="00367F09" w:rsidRPr="00A11406" w:rsidRDefault="00367F09" w:rsidP="003D216B">
            <w:pPr>
              <w:spacing w:line="276" w:lineRule="auto"/>
              <w:jc w:val="both"/>
              <w:rPr>
                <w:rFonts w:ascii="Verdana" w:eastAsia="Calibri" w:hAnsi="Verdana" w:cs="Arial"/>
                <w:lang w:val="es-ES" w:eastAsia="es-ES"/>
              </w:rPr>
            </w:pPr>
            <w:r w:rsidRPr="000239A6">
              <w:rPr>
                <w:rFonts w:ascii="Verdana" w:eastAsia="Calibri" w:hAnsi="Verdana" w:cs="Arial"/>
                <w:lang w:val="es-ES" w:eastAsia="es-ES"/>
              </w:rPr>
              <w:t>DETERMINACIÓN DEL VALOR DEL CONTRATO – Etapa de planeación – Metodologías – Factores que inciden</w:t>
            </w:r>
            <w:r>
              <w:rPr>
                <w:rFonts w:ascii="Verdana" w:eastAsia="Calibri" w:hAnsi="Verdana" w:cs="Arial"/>
                <w:lang w:val="es-ES" w:eastAsia="es-ES"/>
              </w:rPr>
              <w:t xml:space="preserve"> / </w:t>
            </w:r>
            <w:r w:rsidRPr="000239A6">
              <w:rPr>
                <w:rFonts w:ascii="Verdana" w:eastAsia="Calibri" w:hAnsi="Verdana" w:cs="Arial"/>
                <w:lang w:val="es-ES" w:eastAsia="es-ES"/>
              </w:rPr>
              <w:t>SISTEMA DE FACTOR MULTIPLICADOR – Noción – Costos directos – Imputables al contrato</w:t>
            </w:r>
            <w:r>
              <w:rPr>
                <w:rFonts w:ascii="Verdana" w:eastAsia="Calibri" w:hAnsi="Verdana" w:cs="Arial"/>
                <w:lang w:val="es-ES" w:eastAsia="es-ES"/>
              </w:rPr>
              <w:t xml:space="preserve"> / </w:t>
            </w:r>
            <w:r w:rsidRPr="000239A6">
              <w:rPr>
                <w:rFonts w:ascii="Verdana" w:eastAsia="Calibri" w:hAnsi="Verdana" w:cs="Arial"/>
                <w:lang w:val="es-ES" w:eastAsia="es-ES"/>
              </w:rPr>
              <w:t>FACTOR MULTIPLICADOR – Costos – Determinación</w:t>
            </w:r>
            <w:r>
              <w:rPr>
                <w:rFonts w:ascii="Verdana" w:eastAsia="Calibri" w:hAnsi="Verdana" w:cs="Arial"/>
                <w:lang w:val="es-ES" w:eastAsia="es-ES"/>
              </w:rPr>
              <w:t xml:space="preserve"> / </w:t>
            </w:r>
            <w:r w:rsidRPr="001467C7">
              <w:rPr>
                <w:rFonts w:ascii="Verdana" w:eastAsia="Calibri" w:hAnsi="Verdana" w:cs="Arial"/>
                <w:lang w:val="es-ES" w:eastAsia="es-ES"/>
              </w:rPr>
              <w:t>REESTRUCTURACIÓN – Factor multiplicador – Ausencia de obligatoriedad – Principio de planeación y buena fe</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182B3C8D" w14:textId="77777777" w:rsidR="00367F09" w:rsidRPr="00593A5F" w:rsidRDefault="00367F09" w:rsidP="003D216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367F09" w:rsidRPr="008E6AD9" w14:paraId="1FCFFE6F" w14:textId="77777777" w:rsidTr="003D216B">
        <w:tc>
          <w:tcPr>
            <w:tcW w:w="2689" w:type="dxa"/>
          </w:tcPr>
          <w:p w14:paraId="27556B9D" w14:textId="77777777" w:rsidR="00367F09" w:rsidRPr="008E6AD9" w:rsidRDefault="00367F09" w:rsidP="003D216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30E1F35" w14:textId="77777777" w:rsidR="00367F09" w:rsidRPr="00B92340" w:rsidRDefault="00367F09" w:rsidP="003D216B">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8F7B63">
              <w:rPr>
                <w:rFonts w:ascii="Verdana" w:eastAsia="Calibri" w:hAnsi="Verdana" w:cs="Arial"/>
                <w:lang w:val="es-ES_tradnl" w:eastAsia="es-ES_tradnl"/>
              </w:rPr>
              <w:t>1_2025_12_12_013918</w:t>
            </w:r>
            <w:r>
              <w:rPr>
                <w:rFonts w:ascii="Verdana" w:eastAsia="Calibri" w:hAnsi="Verdana" w:cs="Arial"/>
                <w:lang w:val="es-ES_tradnl" w:eastAsia="es-ES_tradnl"/>
              </w:rPr>
              <w:t xml:space="preserve">                                   </w:t>
            </w:r>
          </w:p>
        </w:tc>
      </w:tr>
    </w:tbl>
    <w:p w14:paraId="0960BB6C" w14:textId="77777777" w:rsidR="00367F09" w:rsidRPr="00593A5F" w:rsidRDefault="00367F09" w:rsidP="00367F09">
      <w:pPr>
        <w:spacing w:after="0" w:line="240" w:lineRule="auto"/>
        <w:jc w:val="both"/>
        <w:rPr>
          <w:rFonts w:ascii="Verdana" w:eastAsia="Calibri" w:hAnsi="Verdana" w:cs="Arial"/>
          <w:color w:val="000000"/>
          <w:lang w:val="es-ES_tradnl" w:eastAsia="es-ES_tradnl"/>
        </w:rPr>
      </w:pPr>
    </w:p>
    <w:p w14:paraId="5F02E291" w14:textId="77777777" w:rsidR="00367F09" w:rsidRPr="00593A5F" w:rsidRDefault="00367F09" w:rsidP="00367F09">
      <w:pPr>
        <w:spacing w:after="0" w:line="240" w:lineRule="auto"/>
        <w:jc w:val="both"/>
        <w:rPr>
          <w:rFonts w:ascii="Verdana" w:eastAsia="Calibri" w:hAnsi="Verdana" w:cs="Arial"/>
          <w:color w:val="000000"/>
          <w:lang w:val="es-ES_tradnl" w:eastAsia="es-ES_tradnl"/>
        </w:rPr>
      </w:pPr>
    </w:p>
    <w:p w14:paraId="0CBAC7B2" w14:textId="77777777" w:rsidR="00367F09" w:rsidRPr="008E6AD9" w:rsidRDefault="00367F09" w:rsidP="00367F0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8F7B63">
        <w:rPr>
          <w:rFonts w:ascii="Verdana" w:eastAsia="Calibri" w:hAnsi="Verdana" w:cs="Arial"/>
          <w:lang w:val="es-ES" w:eastAsia="es-ES"/>
        </w:rPr>
        <w:t>Gil Vanegas</w:t>
      </w:r>
      <w:r w:rsidRPr="008E6AD9">
        <w:rPr>
          <w:rFonts w:ascii="Verdana" w:eastAsia="Calibri" w:hAnsi="Verdana" w:cs="Arial"/>
          <w:lang w:val="es-ES" w:eastAsia="es-ES"/>
        </w:rPr>
        <w:t xml:space="preserve">: </w:t>
      </w:r>
    </w:p>
    <w:p w14:paraId="748BA42B" w14:textId="77777777" w:rsidR="00367F09" w:rsidRDefault="00367F09" w:rsidP="00367F0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C2601C7" w14:textId="77777777" w:rsidR="00367F09" w:rsidRPr="00593A5F" w:rsidRDefault="00367F09" w:rsidP="00367F0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12 de diciembre de 2025, donde pregunta lo siguiente</w:t>
      </w:r>
      <w:r w:rsidRPr="008E6AD9">
        <w:rPr>
          <w:rFonts w:ascii="Verdana" w:eastAsia="Calibri" w:hAnsi="Verdana" w:cs="Arial"/>
          <w:lang w:val="es-ES" w:eastAsia="es-ES"/>
        </w:rPr>
        <w:t xml:space="preserve">: </w:t>
      </w:r>
    </w:p>
    <w:p w14:paraId="491F0862" w14:textId="77777777" w:rsidR="00367F09" w:rsidRPr="00272A7B" w:rsidRDefault="00367F09" w:rsidP="00367F09">
      <w:pPr>
        <w:pStyle w:val="Prrafodelista"/>
        <w:tabs>
          <w:tab w:val="left" w:pos="142"/>
          <w:tab w:val="left" w:pos="284"/>
        </w:tabs>
        <w:spacing w:after="0" w:line="276" w:lineRule="auto"/>
        <w:ind w:left="0"/>
        <w:jc w:val="both"/>
        <w:rPr>
          <w:rFonts w:ascii="Verdana" w:eastAsia="Century Gothic" w:hAnsi="Verdana" w:cs="Century Gothic"/>
          <w:b/>
          <w:bCs/>
        </w:rPr>
      </w:pPr>
    </w:p>
    <w:p w14:paraId="46917051" w14:textId="77777777" w:rsidR="00367F09" w:rsidRPr="001904AF" w:rsidRDefault="00367F09" w:rsidP="00367F09">
      <w:pPr>
        <w:spacing w:after="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lastRenderedPageBreak/>
        <w:t>“</w:t>
      </w:r>
      <w:bookmarkEnd w:id="0"/>
      <w:r w:rsidRPr="002E2EAE">
        <w:rPr>
          <w:rFonts w:ascii="Verdana" w:eastAsia="Century Gothic" w:hAnsi="Verdana" w:cs="Century Gothic"/>
          <w:sz w:val="20"/>
          <w:szCs w:val="20"/>
          <w:lang w:val="es-ES"/>
        </w:rPr>
        <w:t>Deseo consultar sobre el factor multiplicador, cuando estamos en la etapa de ejecución contractual y el contratista de interventoría solicita un ajuste del factor multiplicador, pues en su propuesta consideró gastos como por ejemplo valores en seguridad social a los que estaba exonerado, personal no facturado y para el tema de las estampillas consideró un 1% cuando sus gastos reales en este último fueron un 13% más, sin embargo, las estampillas ya existían antes de la convocatoria, no fueron sobrevinientes ni imprevisibles, ni cambiaron su valor, solo que al calcular el factor multiplicador no lo contemplaron, entonces la consulta es, ¿estando en ejecución contractual, es posible modificar el factor multiplicador para que esos gatos reales que ha tenido el contratista puedan ser cobrados, o al ser la propuesta algo inmodificable en principio, ya es un riesgo que asume el contratista?</w:t>
      </w:r>
      <w:r w:rsidRPr="001904AF">
        <w:rPr>
          <w:rFonts w:ascii="Verdana" w:eastAsia="Century Gothic" w:hAnsi="Verdana" w:cs="Century Gothic"/>
          <w:sz w:val="20"/>
          <w:szCs w:val="20"/>
          <w:lang w:val="es-ES"/>
        </w:rPr>
        <w:t>”.</w:t>
      </w:r>
    </w:p>
    <w:p w14:paraId="548EAFA9" w14:textId="77777777" w:rsidR="00367F09" w:rsidRPr="008E6AD9" w:rsidRDefault="00367F09" w:rsidP="00367F09">
      <w:pPr>
        <w:pStyle w:val="Prrafodelista"/>
        <w:tabs>
          <w:tab w:val="left" w:pos="142"/>
          <w:tab w:val="left" w:pos="284"/>
        </w:tabs>
        <w:spacing w:after="0" w:line="276" w:lineRule="auto"/>
        <w:ind w:left="0"/>
        <w:jc w:val="both"/>
        <w:rPr>
          <w:rFonts w:ascii="Verdana" w:eastAsia="Century Gothic" w:hAnsi="Verdana" w:cs="Century Gothic"/>
          <w:b/>
          <w:bCs/>
        </w:rPr>
      </w:pPr>
    </w:p>
    <w:p w14:paraId="00F5D73E" w14:textId="77777777" w:rsidR="00367F09" w:rsidRPr="00A652FF" w:rsidRDefault="00367F09" w:rsidP="00367F0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24F07C3" w14:textId="77777777" w:rsidR="00367F09" w:rsidRDefault="00367F09" w:rsidP="00367F0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CE9C46B" w14:textId="77777777" w:rsidR="00367F09" w:rsidRPr="00593A5F" w:rsidRDefault="00367F09" w:rsidP="00367F09">
      <w:pPr>
        <w:spacing w:after="0" w:line="276" w:lineRule="auto"/>
        <w:ind w:firstLine="709"/>
        <w:jc w:val="both"/>
        <w:rPr>
          <w:rFonts w:ascii="Verdana" w:eastAsia="Calibri" w:hAnsi="Verdana" w:cs="Arial"/>
          <w:color w:val="000000"/>
          <w:lang w:val="es-ES" w:eastAsia="es-ES"/>
        </w:rPr>
      </w:pPr>
    </w:p>
    <w:p w14:paraId="0F211690" w14:textId="77777777" w:rsidR="00367F09" w:rsidRPr="00593A5F" w:rsidRDefault="00367F09" w:rsidP="00367F0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36B560D" w14:textId="77777777" w:rsidR="00367F09" w:rsidRPr="00593A5F" w:rsidRDefault="00367F09" w:rsidP="00367F09">
      <w:pPr>
        <w:tabs>
          <w:tab w:val="left" w:pos="426"/>
        </w:tabs>
        <w:spacing w:after="0" w:line="276" w:lineRule="auto"/>
        <w:jc w:val="both"/>
        <w:rPr>
          <w:rFonts w:ascii="Verdana" w:eastAsia="Century Gothic" w:hAnsi="Verdana" w:cs="Century Gothic"/>
          <w:lang w:val="es-ES"/>
        </w:rPr>
      </w:pPr>
    </w:p>
    <w:p w14:paraId="47D0EBFE" w14:textId="77777777" w:rsidR="00367F09" w:rsidRPr="00593A5F" w:rsidRDefault="00367F09" w:rsidP="00367F0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D85592">
        <w:rPr>
          <w:rFonts w:ascii="Verdana" w:eastAsia="Century Gothic" w:hAnsi="Verdana" w:cs="Century Gothic"/>
        </w:rPr>
        <w:t xml:space="preserve">¿cuál es el marco normativo </w:t>
      </w:r>
      <w:r>
        <w:rPr>
          <w:rFonts w:ascii="Verdana" w:eastAsia="Century Gothic" w:hAnsi="Verdana" w:cs="Century Gothic"/>
        </w:rPr>
        <w:t>y el alcance del factor multiplicador en el sistema de compras públicas</w:t>
      </w:r>
      <w:r w:rsidRPr="00D85592">
        <w:rPr>
          <w:rFonts w:ascii="Verdana" w:eastAsia="Century Gothic" w:hAnsi="Verdana" w:cs="Century Gothic"/>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4FA3CC0" w14:textId="77777777" w:rsidR="00367F09" w:rsidRPr="004B140F" w:rsidRDefault="00367F09" w:rsidP="00367F09">
      <w:pPr>
        <w:spacing w:after="0" w:line="276" w:lineRule="auto"/>
        <w:jc w:val="both"/>
        <w:rPr>
          <w:rFonts w:ascii="Verdana" w:eastAsia="Calibri" w:hAnsi="Verdana" w:cs="Arial"/>
          <w:color w:val="7030A0"/>
        </w:rPr>
      </w:pPr>
    </w:p>
    <w:p w14:paraId="7EF9648B" w14:textId="77777777" w:rsidR="00367F09" w:rsidRPr="00593A5F" w:rsidRDefault="00367F09" w:rsidP="00367F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0931DAF" w14:textId="77777777" w:rsidR="00367F09" w:rsidRPr="00593A5F" w:rsidRDefault="00367F09" w:rsidP="00367F0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67F09" w:rsidRPr="00593A5F" w14:paraId="7A145543" w14:textId="77777777" w:rsidTr="003D216B">
        <w:trPr>
          <w:jc w:val="center"/>
        </w:trPr>
        <w:tc>
          <w:tcPr>
            <w:tcW w:w="8828" w:type="dxa"/>
          </w:tcPr>
          <w:p w14:paraId="66E69FB5" w14:textId="77777777" w:rsidR="00367F09" w:rsidRPr="00F848A6" w:rsidRDefault="00367F09" w:rsidP="003D216B">
            <w:pPr>
              <w:spacing w:after="120" w:line="276" w:lineRule="auto"/>
              <w:jc w:val="both"/>
              <w:rPr>
                <w:rFonts w:ascii="Verdana" w:eastAsia="Times New Roman" w:hAnsi="Verdana" w:cs="Arial"/>
                <w:lang w:val="es-MX" w:eastAsia="es-CO"/>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d</w:t>
            </w:r>
            <w:r w:rsidRPr="001467C7">
              <w:rPr>
                <w:rFonts w:ascii="Verdana" w:eastAsia="Arial" w:hAnsi="Verdana" w:cs="Arial"/>
                <w:lang w:val="es-MX" w:eastAsia="es-ES" w:bidi="es-ES"/>
              </w:rPr>
              <w:t>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Pr>
                <w:rFonts w:ascii="Verdana" w:eastAsia="Arial" w:hAnsi="Verdana" w:cs="Arial"/>
                <w:lang w:val="es-MX" w:eastAsia="es-ES" w:bidi="es-ES"/>
              </w:rPr>
              <w:t>.</w:t>
            </w:r>
          </w:p>
          <w:p w14:paraId="3889DA7D" w14:textId="77777777" w:rsidR="00367F09" w:rsidRDefault="00367F09" w:rsidP="003D216B">
            <w:pPr>
              <w:spacing w:after="120" w:line="276" w:lineRule="auto"/>
              <w:ind w:firstLine="737"/>
              <w:jc w:val="both"/>
              <w:rPr>
                <w:rFonts w:ascii="Verdana" w:hAnsi="Verdana" w:cs="Arial"/>
              </w:rPr>
            </w:pPr>
            <w:r>
              <w:rPr>
                <w:rFonts w:ascii="Verdana" w:hAnsi="Verdana" w:cs="Arial"/>
                <w:lang w:val="es-ES_tradnl"/>
              </w:rPr>
              <w:t>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w:t>
            </w:r>
            <w:r>
              <w:rPr>
                <w:rFonts w:ascii="Verdana" w:hAnsi="Verdana" w:cs="Arial"/>
              </w:rPr>
              <w:t>.</w:t>
            </w:r>
            <w:r w:rsidRPr="00167C84">
              <w:rPr>
                <w:rFonts w:ascii="Verdana" w:hAnsi="Verdana" w:cs="Arial"/>
              </w:rPr>
              <w:t>, cuya discriminación se exige de manera separada de los costos de personal, para ser sumados al valor resultante la aplicación del factor multiplicador.</w:t>
            </w:r>
          </w:p>
          <w:p w14:paraId="1B8FD14B" w14:textId="77777777" w:rsidR="00367F09" w:rsidRDefault="00367F09" w:rsidP="003D216B">
            <w:pPr>
              <w:spacing w:after="120" w:line="276" w:lineRule="auto"/>
              <w:ind w:firstLine="709"/>
              <w:jc w:val="both"/>
              <w:rPr>
                <w:rFonts w:ascii="Verdana" w:hAnsi="Verdana" w:cs="Arial"/>
                <w:bCs/>
                <w:lang w:val="es-ES_tradnl"/>
              </w:rPr>
            </w:pPr>
            <w:r>
              <w:rPr>
                <w:rFonts w:ascii="Verdana" w:hAnsi="Verdana" w:cs="Arial"/>
                <w:bCs/>
                <w:lang w:val="es-ES_tradnl"/>
              </w:rPr>
              <w:t xml:space="preserve">Por lo demás, </w:t>
            </w:r>
            <w:r w:rsidRPr="00166E46">
              <w:rPr>
                <w:rFonts w:ascii="Verdana" w:hAnsi="Verdana" w:cs="Arial"/>
                <w:bCs/>
                <w:lang w:val="es-ES_tradnl"/>
              </w:rPr>
              <w:t xml:space="preserve">es necesario tener en cuenta que el deber de planeación no es privativo de las entidades públicas, por lo que también se extiende </w:t>
            </w:r>
            <w:r>
              <w:rPr>
                <w:rFonts w:ascii="Verdana" w:hAnsi="Verdana" w:cs="Arial"/>
                <w:bCs/>
                <w:lang w:val="es-ES_tradnl"/>
              </w:rPr>
              <w:t>a los interesados en el proceso de selección</w:t>
            </w:r>
            <w:r w:rsidRPr="00166E46">
              <w:rPr>
                <w:rFonts w:ascii="Verdana" w:hAnsi="Verdana" w:cs="Arial"/>
                <w:bCs/>
                <w:lang w:val="es-ES_tradnl"/>
              </w:rPr>
              <w:t xml:space="preserve">. </w:t>
            </w:r>
            <w:r>
              <w:rPr>
                <w:rFonts w:ascii="Verdana" w:hAnsi="Verdana" w:cs="Arial"/>
                <w:bCs/>
                <w:lang w:val="es-ES_tradnl"/>
              </w:rPr>
              <w:t>Al respecto</w:t>
            </w:r>
            <w:r w:rsidRPr="00166E46">
              <w:rPr>
                <w:rFonts w:ascii="Verdana" w:hAnsi="Verdana" w:cs="Arial"/>
                <w:bCs/>
                <w:lang w:val="es-ES_tradnl"/>
              </w:rPr>
              <w:t xml:space="preserve">, la Subsección A de la Sección Tercera del Consejo de Estado –en Sentencia del 21 de febrero de 2025, </w:t>
            </w:r>
            <w:proofErr w:type="spellStart"/>
            <w:r w:rsidRPr="00166E46">
              <w:rPr>
                <w:rFonts w:ascii="Verdana" w:hAnsi="Verdana" w:cs="Arial"/>
                <w:bCs/>
                <w:lang w:val="es-ES_tradnl"/>
              </w:rPr>
              <w:t>Exp</w:t>
            </w:r>
            <w:proofErr w:type="spellEnd"/>
            <w:r w:rsidRPr="00166E46">
              <w:rPr>
                <w:rFonts w:ascii="Verdana" w:hAnsi="Verdana" w:cs="Arial"/>
                <w:bCs/>
                <w:lang w:val="es-ES_tradnl"/>
              </w:rPr>
              <w:t xml:space="preserve">. 71583, con ponencia del </w:t>
            </w:r>
            <w:proofErr w:type="gramStart"/>
            <w:r w:rsidRPr="00166E46">
              <w:rPr>
                <w:rFonts w:ascii="Verdana" w:hAnsi="Verdana" w:cs="Arial"/>
                <w:bCs/>
                <w:lang w:val="es-ES_tradnl"/>
              </w:rPr>
              <w:t>Consejero</w:t>
            </w:r>
            <w:proofErr w:type="gramEnd"/>
            <w:r w:rsidRPr="00166E46">
              <w:rPr>
                <w:rFonts w:ascii="Verdana" w:hAnsi="Verdana" w:cs="Arial"/>
                <w:bCs/>
                <w:lang w:val="es-ES_tradnl"/>
              </w:rPr>
              <w:t xml:space="preserve">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p>
          <w:p w14:paraId="775CE297" w14:textId="77777777" w:rsidR="00367F09" w:rsidRDefault="00367F09" w:rsidP="003D216B">
            <w:pPr>
              <w:spacing w:after="120" w:line="276" w:lineRule="auto"/>
              <w:ind w:firstLine="709"/>
              <w:jc w:val="both"/>
              <w:rPr>
                <w:rFonts w:ascii="Verdana" w:hAnsi="Verdana" w:cs="Arial"/>
                <w:bCs/>
                <w:lang w:val="es-ES_tradnl"/>
              </w:rPr>
            </w:pPr>
            <w:r>
              <w:rPr>
                <w:rFonts w:ascii="Verdana" w:hAnsi="Verdana" w:cs="Arial"/>
                <w:bCs/>
                <w:lang w:val="es-ES_tradnl"/>
              </w:rPr>
              <w:lastRenderedPageBreak/>
              <w:t xml:space="preserve">Es decir, si existían inquietudes sobre los componentes del factor multiplicador, </w:t>
            </w:r>
            <w:r w:rsidRPr="000A30A6">
              <w:rPr>
                <w:rFonts w:ascii="Verdana" w:hAnsi="Verdana" w:cs="Arial"/>
                <w:bCs/>
                <w:lang w:val="es-ES_tradnl"/>
              </w:rPr>
              <w:t xml:space="preserve">los interesados </w:t>
            </w:r>
            <w:r>
              <w:rPr>
                <w:rFonts w:ascii="Verdana" w:hAnsi="Verdana" w:cs="Arial"/>
                <w:bCs/>
                <w:lang w:val="es-ES_tradnl"/>
              </w:rPr>
              <w:t>tuvieron la oportunidad de</w:t>
            </w:r>
            <w:r w:rsidRPr="000A30A6">
              <w:rPr>
                <w:rFonts w:ascii="Verdana" w:hAnsi="Verdana" w:cs="Arial"/>
                <w:bCs/>
                <w:lang w:val="es-ES_tradnl"/>
              </w:rPr>
              <w:t xml:space="preserve"> formular observaciones para aclarar sus </w:t>
            </w:r>
            <w:r>
              <w:rPr>
                <w:rFonts w:ascii="Verdana" w:hAnsi="Verdana" w:cs="Arial"/>
                <w:bCs/>
                <w:lang w:val="es-ES_tradnl"/>
              </w:rPr>
              <w:t>dudas</w:t>
            </w:r>
            <w:r w:rsidRPr="000A30A6">
              <w:rPr>
                <w:rFonts w:ascii="Verdana" w:hAnsi="Verdana" w:cs="Arial"/>
                <w:bCs/>
                <w:lang w:val="es-ES_tradnl"/>
              </w:rPr>
              <w:t>.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416DAB79" w14:textId="77777777" w:rsidR="00367F09" w:rsidRPr="001467C7" w:rsidRDefault="00367F09" w:rsidP="003D216B">
            <w:pPr>
              <w:spacing w:after="120" w:line="276" w:lineRule="auto"/>
              <w:ind w:firstLine="709"/>
              <w:jc w:val="both"/>
              <w:rPr>
                <w:rFonts w:ascii="Verdana" w:hAnsi="Verdana" w:cs="Arial"/>
                <w:lang w:val="es-MX"/>
              </w:rPr>
            </w:pPr>
            <w:r w:rsidRPr="000A30A6">
              <w:rPr>
                <w:rFonts w:ascii="Verdana" w:hAnsi="Verdana" w:cs="Arial"/>
                <w:lang w:val="es-MX"/>
              </w:rPr>
              <w:t>En este contexto, bajo el criterio de que “nadie puede ben</w:t>
            </w:r>
            <w:r>
              <w:rPr>
                <w:rFonts w:ascii="Verdana" w:hAnsi="Verdana" w:cs="Arial"/>
                <w:lang w:val="es-MX"/>
              </w:rPr>
              <w:t>e</w:t>
            </w:r>
            <w:r w:rsidRPr="000A30A6">
              <w:rPr>
                <w:rFonts w:ascii="Verdana" w:hAnsi="Verdana" w:cs="Arial"/>
                <w:lang w:val="es-MX"/>
              </w:rPr>
              <w:t xml:space="preserve">ficiarse de su propia culpa”, </w:t>
            </w:r>
            <w:r>
              <w:rPr>
                <w:rFonts w:ascii="Verdana" w:hAnsi="Verdana" w:cs="Arial"/>
                <w:lang w:val="es-MX"/>
              </w:rPr>
              <w:t>se restringe a los contratistas la posibilidad de solicitar</w:t>
            </w:r>
            <w:r w:rsidRPr="000A30A6">
              <w:rPr>
                <w:rFonts w:ascii="Verdana" w:hAnsi="Verdana" w:cs="Arial"/>
                <w:lang w:val="es-MX"/>
              </w:rPr>
              <w:t xml:space="preserve"> reconocimientos económicos</w:t>
            </w:r>
            <w:r>
              <w:rPr>
                <w:rFonts w:ascii="Verdana" w:hAnsi="Verdana" w:cs="Arial"/>
                <w:lang w:val="es-MX"/>
              </w:rPr>
              <w:t xml:space="preserve"> derivados</w:t>
            </w:r>
            <w:r w:rsidRPr="000A30A6">
              <w:rPr>
                <w:rFonts w:ascii="Verdana" w:hAnsi="Verdana" w:cs="Arial"/>
                <w:lang w:val="es-MX"/>
              </w:rPr>
              <w:t xml:space="preserve"> de fallas de planeación que debi</w:t>
            </w:r>
            <w:r>
              <w:rPr>
                <w:rFonts w:ascii="Verdana" w:hAnsi="Verdana" w:cs="Arial"/>
                <w:lang w:val="es-MX"/>
              </w:rPr>
              <w:t>eron</w:t>
            </w:r>
            <w:r w:rsidRPr="000A30A6">
              <w:rPr>
                <w:rFonts w:ascii="Verdana" w:hAnsi="Verdana" w:cs="Arial"/>
                <w:lang w:val="es-MX"/>
              </w:rPr>
              <w:t xml:space="preserve"> advertir </w:t>
            </w:r>
            <w:r>
              <w:rPr>
                <w:rFonts w:ascii="Verdana" w:hAnsi="Verdana" w:cs="Arial"/>
                <w:lang w:val="es-MX"/>
              </w:rPr>
              <w:t xml:space="preserve">a la entidad contratante </w:t>
            </w:r>
            <w:r w:rsidRPr="000A30A6">
              <w:rPr>
                <w:rFonts w:ascii="Verdana" w:hAnsi="Verdana" w:cs="Arial"/>
                <w:lang w:val="es-MX"/>
              </w:rPr>
              <w:t>antes del perfeccionamiento del contrato.</w:t>
            </w:r>
            <w:r>
              <w:rPr>
                <w:rFonts w:ascii="Verdana" w:hAnsi="Verdana" w:cs="Arial"/>
                <w:lang w:val="es-MX"/>
              </w:rPr>
              <w:t xml:space="preserve"> Si bien el parágrafo del artículo 40 de la Ley 80 de 1993 dispone que “</w:t>
            </w:r>
            <w:r w:rsidRPr="00E93FA0">
              <w:rPr>
                <w:rFonts w:ascii="Verdana" w:hAnsi="Verdana" w:cs="Arial"/>
                <w:lang w:val="es-MX"/>
              </w:rPr>
              <w:t>Los contratos no podrán adicionarse en más del cincuenta por ciento (50%) de su valor inicial, expresado éste en salarios mínimos legales mensuales</w:t>
            </w:r>
            <w:r>
              <w:rPr>
                <w:rFonts w:ascii="Verdana" w:hAnsi="Verdana" w:cs="Arial"/>
                <w:lang w:val="es-MX"/>
              </w:rPr>
              <w:t xml:space="preserve">”, el Estado no se encuentra obligado a reestructurar el porcentaje ni los componentes del factor multiplicador, pues las modificaciones contractuales no son un derecho del contratista. </w:t>
            </w:r>
          </w:p>
          <w:p w14:paraId="27581B19" w14:textId="77777777" w:rsidR="00367F09" w:rsidRPr="001941FD" w:rsidRDefault="00367F09" w:rsidP="003D216B">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917DA9B" w14:textId="77777777" w:rsidR="00367F09" w:rsidRPr="00593A5F" w:rsidRDefault="00367F09" w:rsidP="00367F09">
      <w:pPr>
        <w:tabs>
          <w:tab w:val="left" w:pos="142"/>
          <w:tab w:val="left" w:pos="284"/>
        </w:tabs>
        <w:spacing w:after="0" w:line="276" w:lineRule="auto"/>
        <w:jc w:val="both"/>
        <w:rPr>
          <w:rFonts w:ascii="Verdana" w:eastAsia="Century Gothic" w:hAnsi="Verdana" w:cs="Century Gothic"/>
          <w:b/>
          <w:bCs/>
          <w:lang w:val="es-ES"/>
        </w:rPr>
      </w:pPr>
    </w:p>
    <w:bookmarkEnd w:id="1"/>
    <w:p w14:paraId="232A6279" w14:textId="77777777" w:rsidR="00367F09" w:rsidRPr="00593A5F" w:rsidRDefault="00367F09" w:rsidP="00367F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C1080AB" w14:textId="77777777" w:rsidR="00367F09" w:rsidRPr="00593A5F" w:rsidRDefault="00367F09" w:rsidP="00367F09">
      <w:pPr>
        <w:spacing w:after="0" w:line="276" w:lineRule="auto"/>
        <w:jc w:val="both"/>
        <w:rPr>
          <w:rFonts w:ascii="Verdana" w:eastAsia="Calibri" w:hAnsi="Verdana" w:cs="Arial"/>
          <w:color w:val="7030A0"/>
          <w:lang w:val="es-ES"/>
        </w:rPr>
      </w:pPr>
    </w:p>
    <w:p w14:paraId="1024E941" w14:textId="77777777" w:rsidR="00367F09" w:rsidRDefault="00367F09" w:rsidP="00367F0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31520E0" w14:textId="77777777" w:rsidR="00367F09" w:rsidRPr="00415608" w:rsidRDefault="00367F09" w:rsidP="00367F09">
      <w:pPr>
        <w:spacing w:after="0" w:line="276" w:lineRule="auto"/>
        <w:jc w:val="both"/>
        <w:rPr>
          <w:rFonts w:ascii="Verdana" w:eastAsia="Calibri" w:hAnsi="Verdana" w:cs="Arial"/>
          <w:lang w:val="es-ES"/>
        </w:rPr>
      </w:pPr>
    </w:p>
    <w:p w14:paraId="0C9B2F68" w14:textId="77777777" w:rsidR="00367F09" w:rsidRPr="000D4C3B" w:rsidRDefault="00367F09" w:rsidP="00367F09">
      <w:pPr>
        <w:spacing w:after="120" w:line="276" w:lineRule="auto"/>
        <w:jc w:val="both"/>
        <w:rPr>
          <w:rFonts w:ascii="Verdana" w:hAnsi="Verdana" w:cs="Arial"/>
          <w:bCs/>
          <w:lang w:val="es-ES_tradnl"/>
        </w:rPr>
      </w:pPr>
      <w:r w:rsidRPr="000D4C3B">
        <w:rPr>
          <w:rFonts w:ascii="Verdana" w:hAnsi="Verdana" w:cs="Arial"/>
          <w:bCs/>
          <w:lang w:val="es-ES_tradnl"/>
        </w:rPr>
        <w:lastRenderedPageBreak/>
        <w:t xml:space="preserve">Como es sabido, uno de los elementos más comunes en los contratos estatales es el </w:t>
      </w:r>
      <w:r w:rsidRPr="000D4C3B">
        <w:rPr>
          <w:rFonts w:ascii="Verdana" w:hAnsi="Verdana" w:cs="Arial"/>
          <w:bCs/>
          <w:i/>
          <w:iCs/>
          <w:lang w:val="es-ES_tradnl"/>
        </w:rPr>
        <w:t>precio</w:t>
      </w:r>
      <w:r w:rsidRPr="000D4C3B">
        <w:rPr>
          <w:rFonts w:ascii="Verdana" w:hAnsi="Verdana" w:cs="Arial"/>
          <w:bCs/>
          <w:lang w:val="es-ES_tradnl"/>
        </w:rPr>
        <w:t>,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38767030" w14:textId="77777777" w:rsidR="00367F09" w:rsidRPr="000D4C3B" w:rsidRDefault="00367F09" w:rsidP="00367F09">
      <w:pPr>
        <w:spacing w:before="120" w:after="120" w:line="276" w:lineRule="auto"/>
        <w:ind w:firstLine="709"/>
        <w:jc w:val="both"/>
        <w:rPr>
          <w:rFonts w:ascii="Verdana" w:hAnsi="Verdana" w:cs="Arial"/>
          <w:bCs/>
          <w:lang w:val="es-ES_tradnl"/>
        </w:rPr>
      </w:pPr>
      <w:r w:rsidRPr="000D4C3B">
        <w:rPr>
          <w:rFonts w:ascii="Verdana" w:hAnsi="Verdana" w:cs="Arial"/>
          <w:bCs/>
          <w:lang w:val="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0D4C3B">
        <w:rPr>
          <w:rStyle w:val="Refdenotaalpie"/>
          <w:rFonts w:ascii="Verdana" w:hAnsi="Verdana" w:cs="Arial"/>
          <w:bCs/>
          <w:lang w:val="es-ES_tradnl"/>
        </w:rPr>
        <w:footnoteReference w:id="1"/>
      </w:r>
      <w:r w:rsidRPr="000D4C3B">
        <w:rPr>
          <w:rFonts w:ascii="Verdana" w:hAnsi="Verdana" w:cs="Arial"/>
          <w:bCs/>
          <w:lang w:val="es-ES_tradnl"/>
        </w:rPr>
        <w:t>.</w:t>
      </w:r>
    </w:p>
    <w:p w14:paraId="32BABF40" w14:textId="77777777" w:rsidR="00367F09" w:rsidRPr="000D4C3B" w:rsidRDefault="00367F09" w:rsidP="00367F09">
      <w:pPr>
        <w:spacing w:before="120" w:after="120" w:line="276" w:lineRule="auto"/>
        <w:ind w:firstLine="709"/>
        <w:jc w:val="both"/>
        <w:rPr>
          <w:rFonts w:ascii="Verdana" w:hAnsi="Verdana" w:cs="Arial"/>
          <w:bCs/>
          <w:lang w:val="es-ES_tradnl"/>
        </w:rPr>
      </w:pPr>
      <w:r w:rsidRPr="000D4C3B">
        <w:rPr>
          <w:rFonts w:ascii="Verdana" w:hAnsi="Verdana" w:cs="Arial"/>
          <w:bCs/>
          <w:lang w:val="es-ES_tradnl"/>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0D4C3B">
        <w:rPr>
          <w:rFonts w:ascii="Verdana" w:hAnsi="Verdana" w:cs="Arial"/>
          <w:bCs/>
          <w:lang w:val="es-ES_tradnl"/>
        </w:rPr>
        <w:lastRenderedPageBreak/>
        <w:t>ii</w:t>
      </w:r>
      <w:proofErr w:type="spellEnd"/>
      <w:r w:rsidRPr="000D4C3B">
        <w:rPr>
          <w:rFonts w:ascii="Verdana" w:hAnsi="Verdana" w:cs="Arial"/>
          <w:bCs/>
          <w:lang w:val="es-ES_tradnl"/>
        </w:rPr>
        <w:t xml:space="preserve">) el precio global –que equivale al monto total, sin discriminar unidades–, y </w:t>
      </w:r>
      <w:proofErr w:type="spellStart"/>
      <w:r w:rsidRPr="000D4C3B">
        <w:rPr>
          <w:rFonts w:ascii="Verdana" w:hAnsi="Verdana" w:cs="Arial"/>
          <w:bCs/>
          <w:lang w:val="es-ES_tradnl"/>
        </w:rPr>
        <w:t>iii</w:t>
      </w:r>
      <w:proofErr w:type="spellEnd"/>
      <w:r w:rsidRPr="000D4C3B">
        <w:rPr>
          <w:rFonts w:ascii="Verdana" w:hAnsi="Verdana" w:cs="Arial"/>
          <w:bCs/>
          <w:lang w:val="es-ES_tradnl"/>
        </w:rPr>
        <w:t>) la administración delegada de recursos –en la que se distinguen los costos de inversión de los honorarios del administrador–.</w:t>
      </w:r>
    </w:p>
    <w:p w14:paraId="4147BD9C" w14:textId="77777777" w:rsidR="00367F09" w:rsidRDefault="00367F09" w:rsidP="00367F09">
      <w:pPr>
        <w:spacing w:line="276" w:lineRule="auto"/>
        <w:ind w:firstLine="709"/>
        <w:jc w:val="both"/>
        <w:rPr>
          <w:rFonts w:ascii="Verdana" w:hAnsi="Verdana" w:cs="Arial"/>
          <w:sz w:val="21"/>
          <w:szCs w:val="21"/>
          <w:lang w:val="es-ES_tradnl"/>
        </w:rPr>
      </w:pPr>
      <w:r w:rsidRPr="000D4C3B">
        <w:rPr>
          <w:rFonts w:ascii="Verdana" w:hAnsi="Verdana" w:cs="Arial"/>
          <w:bCs/>
          <w:lang w:val="es-ES_tradnl"/>
        </w:rPr>
        <w:t xml:space="preserve">Por ejemplo,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0D4C3B">
        <w:rPr>
          <w:rFonts w:ascii="Verdana" w:hAnsi="Verdana" w:cs="Arial"/>
          <w:bCs/>
          <w:i/>
          <w:iCs/>
          <w:lang w:val="es-ES_tradnl"/>
        </w:rPr>
        <w:t>ítems</w:t>
      </w:r>
      <w:r w:rsidRPr="000D4C3B">
        <w:rPr>
          <w:rFonts w:ascii="Verdana" w:hAnsi="Verdana" w:cs="Arial"/>
          <w:bCs/>
          <w:lang w:val="es-ES_tradnl"/>
        </w:rPr>
        <w:t xml:space="preserve"> según su unidad de medida, los costos indirectos se suelen abreviar en las variables que integran el acrónimo AIU –Administración, Imprevistos y Utilidad–, que se calcula como un porcentaje aplicado a los costos indirectos</w:t>
      </w:r>
      <w:r w:rsidRPr="000D4C3B">
        <w:rPr>
          <w:rStyle w:val="Refdenotaalpie"/>
          <w:rFonts w:ascii="Verdana" w:hAnsi="Verdana" w:cs="Arial"/>
          <w:sz w:val="21"/>
          <w:szCs w:val="21"/>
          <w:lang w:val="es-ES_tradnl"/>
        </w:rPr>
        <w:footnoteReference w:id="2"/>
      </w:r>
      <w:r w:rsidRPr="000D4C3B">
        <w:rPr>
          <w:rFonts w:ascii="Verdana" w:hAnsi="Verdana" w:cs="Arial"/>
          <w:sz w:val="21"/>
          <w:szCs w:val="21"/>
          <w:lang w:val="es-ES_tradnl"/>
        </w:rPr>
        <w:t>.</w:t>
      </w:r>
    </w:p>
    <w:p w14:paraId="7841EED2" w14:textId="77777777" w:rsidR="00367F09" w:rsidRDefault="00367F09" w:rsidP="00367F09">
      <w:pPr>
        <w:spacing w:after="120" w:line="276" w:lineRule="auto"/>
        <w:ind w:firstLine="709"/>
        <w:jc w:val="both"/>
        <w:rPr>
          <w:rFonts w:ascii="Verdana" w:hAnsi="Verdana" w:cs="Arial"/>
        </w:rPr>
      </w:pPr>
      <w:r>
        <w:rPr>
          <w:rFonts w:ascii="Verdana" w:hAnsi="Verdana" w:cs="Arial"/>
          <w:lang w:val="es-ES_tradnl"/>
        </w:rPr>
        <w:t>De igual forma, 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w:t>
      </w:r>
      <w:r w:rsidRPr="00167C84">
        <w:rPr>
          <w:rStyle w:val="Refdenotaalpie"/>
          <w:rFonts w:ascii="Verdana" w:hAnsi="Verdana" w:cs="Arial"/>
        </w:rPr>
        <w:footnoteReference w:id="3"/>
      </w:r>
      <w:r w:rsidRPr="00167C84">
        <w:rPr>
          <w:rFonts w:ascii="Verdana" w:hAnsi="Verdana" w:cs="Arial"/>
        </w:rPr>
        <w:t>.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w:t>
      </w:r>
      <w:r>
        <w:rPr>
          <w:rFonts w:ascii="Verdana" w:hAnsi="Verdana" w:cs="Arial"/>
        </w:rPr>
        <w:t>.</w:t>
      </w:r>
      <w:r w:rsidRPr="00167C84">
        <w:rPr>
          <w:rFonts w:ascii="Verdana" w:hAnsi="Verdana" w:cs="Arial"/>
        </w:rPr>
        <w:t xml:space="preserve">, cuya discriminación se exige de manera separada de los costos de </w:t>
      </w:r>
      <w:r w:rsidRPr="00167C84">
        <w:rPr>
          <w:rFonts w:ascii="Verdana" w:hAnsi="Verdana" w:cs="Arial"/>
        </w:rPr>
        <w:lastRenderedPageBreak/>
        <w:t xml:space="preserve">personal, para ser sumados al valor resultante la aplicación del factor multiplicador. </w:t>
      </w:r>
    </w:p>
    <w:p w14:paraId="1473F6BD" w14:textId="77777777" w:rsidR="00367F09" w:rsidRPr="00DF05AC" w:rsidRDefault="00367F09" w:rsidP="00367F09">
      <w:pPr>
        <w:spacing w:after="120" w:line="276" w:lineRule="auto"/>
        <w:ind w:firstLine="709"/>
        <w:jc w:val="both"/>
        <w:textAlignment w:val="baseline"/>
        <w:rPr>
          <w:rFonts w:ascii="Verdana" w:eastAsia="Times New Roman" w:hAnsi="Verdana" w:cs="Arial"/>
          <w:bCs/>
          <w:lang w:val="es-ES_tradnl" w:eastAsia="es-CO"/>
        </w:rPr>
      </w:pPr>
      <w:r w:rsidRPr="00DF05AC">
        <w:rPr>
          <w:rFonts w:ascii="Verdana" w:eastAsia="Times New Roman" w:hAnsi="Verdana" w:cs="Arial"/>
          <w:lang w:eastAsia="es-CO"/>
        </w:rPr>
        <w:t>En ese contexto, las metodologías señaladas están asociadas, por un lado, a la estimación del valor del contrato por parte de la Entidad Estatal en el marco de lo requerido por la planeación correspondiente, y por otro lado, a la determinación del precio del contrato en el marco del proceso de selección, en la medida en que se tornan relevantes para la presentación de la oferta económica. Sin embargo, debe advertirse que ni en el sistema de precios unitario ni el factor multiplicador son asuntos expresamente regulados en el conjunto de las disposiciones legales y reglamentarias que integran la normativa contractual del Estado. La justificación de estas formas de establecer o cotizar el precio procede, incluso, de la formación universitaria que reciben los ingenieros, a quienes se les enseña esta metodología para elaborar las ofertas. En ese sentido, estas metodologías para la configuración del precio del contrato, determinantes para la elaboración de la propuesta económica, no proceden de la ley ni del reglamento, sino de la costumbre</w:t>
      </w:r>
      <w:r w:rsidRPr="00DF05AC">
        <w:rPr>
          <w:rFonts w:ascii="Verdana" w:eastAsia="Times New Roman" w:hAnsi="Verdana" w:cs="Arial"/>
          <w:vertAlign w:val="superscript"/>
          <w:lang w:val="es-ES_tradnl" w:eastAsia="es-CO"/>
        </w:rPr>
        <w:footnoteReference w:id="4"/>
      </w:r>
      <w:r w:rsidRPr="00DF05AC">
        <w:rPr>
          <w:rFonts w:ascii="Verdana" w:eastAsia="Times New Roman" w:hAnsi="Verdana" w:cs="Arial"/>
          <w:bCs/>
          <w:lang w:val="es-ES_tradnl" w:eastAsia="es-CO"/>
        </w:rPr>
        <w:t>.</w:t>
      </w:r>
    </w:p>
    <w:p w14:paraId="3FCD5B4B" w14:textId="77777777" w:rsidR="00367F09" w:rsidRDefault="00367F09" w:rsidP="00367F09">
      <w:pPr>
        <w:spacing w:after="120" w:line="276" w:lineRule="auto"/>
        <w:ind w:firstLine="709"/>
        <w:jc w:val="both"/>
        <w:rPr>
          <w:rFonts w:ascii="Verdana" w:hAnsi="Verdana" w:cs="Arial"/>
          <w:lang w:val="es-ES_tradnl"/>
        </w:rPr>
      </w:pPr>
      <w:r w:rsidRPr="006E75FD">
        <w:rPr>
          <w:rFonts w:ascii="Verdana" w:hAnsi="Verdana" w:cs="Arial"/>
          <w:lang w:val="es-ES_tradnl"/>
        </w:rPr>
        <w:t>Pese a que el Estatuto General de Contratación de la Administración Pública, en adelante EGCAP, no establece una regulación integral o detallada conforme a la cual se debe dar la estructuración del valor del contrato cuando se usa el sistema de precios unitarios, el Decreto 1082 de 2015 impone taxativamente una carga justificativa para las entidades que utilicen dicho sistema. Al respecto, el artículo 2.2.1.1.2.1.1 del Decreto 1082 de 2015 que regula el contenido del estudio del sector, indica en su numeral 4 que: “Cuando el valor del contrato esté determinado por precios unitarios, la Entidad Estatal debe incluir la forma como los calculó y soportar sus cálculos presupuestales en la estimación de aquello”.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el valor del contrato, esto, independientemente del método que haya utilizado para calcularlo.</w:t>
      </w:r>
    </w:p>
    <w:p w14:paraId="443433A6" w14:textId="77777777" w:rsidR="00367F09" w:rsidRPr="00DF05AC" w:rsidRDefault="00367F09" w:rsidP="00367F09">
      <w:pPr>
        <w:spacing w:after="120" w:line="276" w:lineRule="auto"/>
        <w:ind w:firstLine="709"/>
        <w:jc w:val="both"/>
        <w:rPr>
          <w:rFonts w:ascii="Verdana" w:hAnsi="Verdana" w:cs="Arial"/>
          <w:lang w:val="es-ES_tradnl"/>
        </w:rPr>
      </w:pPr>
      <w:r>
        <w:rPr>
          <w:rFonts w:ascii="Verdana" w:hAnsi="Verdana" w:cs="Arial"/>
          <w:lang w:val="es-ES_tradnl"/>
        </w:rPr>
        <w:t>E</w:t>
      </w:r>
      <w:r w:rsidRPr="00143443">
        <w:rPr>
          <w:rFonts w:ascii="Verdana" w:hAnsi="Verdana" w:cs="Arial"/>
          <w:lang w:val="es-ES_tradnl"/>
        </w:rPr>
        <w:t xml:space="preserve">l principal sustento para que las Entidades Estatales sujetas al EGCAP, como las excluidas de este, aplique las referidas metodologías, es la autonomía </w:t>
      </w:r>
      <w:r w:rsidRPr="00143443">
        <w:rPr>
          <w:rFonts w:ascii="Verdana" w:hAnsi="Verdana" w:cs="Arial"/>
          <w:lang w:val="es-ES_tradnl"/>
        </w:rPr>
        <w:lastRenderedPageBreak/>
        <w:t xml:space="preserve">de la que gozan para la estructuración de las condiciones del negocio jurídico, determinando el sistema más apropiado para satisfacer los fines de la contratación, respetando los límites previstos en el ordenamiento. </w:t>
      </w:r>
      <w:r w:rsidRPr="000D4C3B">
        <w:rPr>
          <w:rFonts w:ascii="Verdana" w:hAnsi="Verdana" w:cs="Arial"/>
          <w:bCs/>
          <w:lang w:val="es-ES_tradnl"/>
        </w:rPr>
        <w:t>Para las entidades que se rigen por el Estatuto General de Contratación de la Administración Pública, tal autonomía está reconocida en los artículos 13, 32 y 40 de la Ley 80 de 1993.</w:t>
      </w:r>
      <w:r>
        <w:rPr>
          <w:rFonts w:ascii="Verdana" w:hAnsi="Verdana" w:cs="Arial"/>
          <w:bCs/>
          <w:lang w:val="es-ES_tradnl"/>
        </w:rPr>
        <w:t xml:space="preserve"> </w:t>
      </w:r>
      <w:r w:rsidRPr="00143443">
        <w:rPr>
          <w:rFonts w:ascii="Verdana" w:hAnsi="Verdana" w:cs="Arial"/>
          <w:lang w:val="es-ES_tradnl"/>
        </w:rPr>
        <w:t>De ahí que, las entidades cuenten con la discrecionalidad para disponer en los documentos del proceso, la aplicación de metodologías como las explicadas, siempre que resulten adecuadas y proporcionales al objeto del contrato.</w:t>
      </w:r>
    </w:p>
    <w:p w14:paraId="21AE3442" w14:textId="77777777" w:rsidR="00367F09" w:rsidRDefault="00367F09" w:rsidP="00367F09">
      <w:pPr>
        <w:spacing w:after="120" w:line="276" w:lineRule="auto"/>
        <w:ind w:firstLine="709"/>
        <w:jc w:val="both"/>
        <w:rPr>
          <w:rFonts w:ascii="Verdana" w:hAnsi="Verdana" w:cs="Arial"/>
        </w:rPr>
      </w:pPr>
      <w:r w:rsidRPr="00143443">
        <w:rPr>
          <w:rFonts w:ascii="Verdana" w:hAnsi="Verdana" w:cs="Arial"/>
        </w:rPr>
        <w:t>En es</w:t>
      </w:r>
      <w:r>
        <w:rPr>
          <w:rFonts w:ascii="Verdana" w:hAnsi="Verdana" w:cs="Arial"/>
        </w:rPr>
        <w:t>te</w:t>
      </w:r>
      <w:r w:rsidRPr="00143443">
        <w:rPr>
          <w:rFonts w:ascii="Verdana" w:hAnsi="Verdana" w:cs="Arial"/>
        </w:rPr>
        <w:t xml:space="preserve"> orden</w:t>
      </w:r>
      <w:r>
        <w:rPr>
          <w:rFonts w:ascii="Verdana" w:hAnsi="Verdana" w:cs="Arial"/>
        </w:rPr>
        <w:t xml:space="preserve"> de ideas</w:t>
      </w:r>
      <w:r w:rsidRPr="00143443">
        <w:rPr>
          <w:rFonts w:ascii="Verdana" w:hAnsi="Verdana" w:cs="Arial"/>
        </w:rPr>
        <w:t>, ante la ausencia de un marco normativo particularmente aplicable a las referidas metodologías, corresponderá a las Entidades Estatales establecer las reglas para su aplicación, con el propósito de dar a conocer los aspectos que deben tenerse en cuenta a la hora de configurar las ofertas. A partir de tales reglas, la entidad podrá exigir el desglose de determinados factores imputables a costos directos de cierta forma, realizar una tasación del AIU o el factor multiplicador, y en general, establecer parámetros que garanticen el desarrollo de principios de la función administrativa y de la gestión fiscal, dentro de los cuales se encuentra el principio de economía, postulado este, que exige la optimización de los recursos públicos.</w:t>
      </w:r>
    </w:p>
    <w:p w14:paraId="3317905C" w14:textId="77777777" w:rsidR="00367F09" w:rsidRPr="00143443" w:rsidRDefault="00367F09" w:rsidP="00367F09">
      <w:pPr>
        <w:spacing w:after="120" w:line="276" w:lineRule="auto"/>
        <w:ind w:firstLine="709"/>
        <w:jc w:val="both"/>
        <w:rPr>
          <w:rFonts w:ascii="Verdana" w:hAnsi="Verdana" w:cs="Arial"/>
          <w:bCs/>
          <w:lang w:val="es-ES_tradnl"/>
        </w:rPr>
      </w:pPr>
      <w:r w:rsidRPr="00143443">
        <w:rPr>
          <w:rFonts w:ascii="Verdana" w:hAnsi="Verdana" w:cs="Arial"/>
          <w:bCs/>
          <w:lang w:val="es-ES_tradnl"/>
        </w:rPr>
        <w:t>Bajo esta órbita, se aclara que los proponentes al momento de estructurar sus ofertas tienen la obligación, respecto del proceso de selección, de conocer las normas que lo rigen, sus características, condiciones de ejecución del contrato y riesgos previsibles. Esto, en razón a que, mediante la presentación de la oferta se pone en contexto a la entidad contratante frente a una serie de documentos que en conjunto conforman un acervo probatorio, de los requisitos que se pretenden hacer valer y que permiten determinar, entre varias ofertas, la que represente la mejor condición de elegibilidad.</w:t>
      </w:r>
    </w:p>
    <w:p w14:paraId="2A09DEBB" w14:textId="77777777" w:rsidR="00367F09" w:rsidRPr="00143443" w:rsidRDefault="00367F09" w:rsidP="00367F09">
      <w:pPr>
        <w:spacing w:after="120" w:line="276" w:lineRule="auto"/>
        <w:ind w:firstLine="709"/>
        <w:jc w:val="both"/>
        <w:rPr>
          <w:rFonts w:ascii="Verdana" w:hAnsi="Verdana" w:cs="Arial"/>
          <w:bCs/>
          <w:lang w:val="es-ES_tradnl"/>
        </w:rPr>
      </w:pPr>
      <w:r w:rsidRPr="00143443">
        <w:rPr>
          <w:rFonts w:ascii="Verdana" w:hAnsi="Verdana" w:cs="Arial"/>
          <w:bCs/>
          <w:lang w:val="es-ES_tradnl"/>
        </w:rPr>
        <w:t xml:space="preserve">Los requisitos de los proponentes, que se hacen valer por medio de la oferta en su integridad, pueden ser entendidos en tres cales: i) </w:t>
      </w:r>
      <w:r w:rsidRPr="00143443">
        <w:rPr>
          <w:rFonts w:ascii="Verdana" w:hAnsi="Verdana" w:cs="Arial"/>
          <w:bCs/>
          <w:i/>
          <w:iCs/>
          <w:lang w:val="es-ES_tradnl"/>
        </w:rPr>
        <w:t xml:space="preserve">subjetivos, </w:t>
      </w:r>
      <w:r w:rsidRPr="00143443">
        <w:rPr>
          <w:rFonts w:ascii="Verdana" w:hAnsi="Verdana" w:cs="Arial"/>
          <w:bCs/>
          <w:lang w:val="es-ES_tradnl"/>
        </w:rPr>
        <w:t xml:space="preserve">que atienden a las calidades, capacidades, idoneidad y condiciones de los oferentes; </w:t>
      </w:r>
      <w:proofErr w:type="spellStart"/>
      <w:r w:rsidRPr="00143443">
        <w:rPr>
          <w:rFonts w:ascii="Verdana" w:hAnsi="Verdana" w:cs="Arial"/>
          <w:bCs/>
          <w:lang w:val="es-ES_tradnl"/>
        </w:rPr>
        <w:t>ii</w:t>
      </w:r>
      <w:proofErr w:type="spellEnd"/>
      <w:r w:rsidRPr="00143443">
        <w:rPr>
          <w:rFonts w:ascii="Verdana" w:hAnsi="Verdana" w:cs="Arial"/>
          <w:bCs/>
          <w:lang w:val="es-ES_tradnl"/>
        </w:rPr>
        <w:t xml:space="preserve">) </w:t>
      </w:r>
      <w:r w:rsidRPr="00143443">
        <w:rPr>
          <w:rFonts w:ascii="Verdana" w:hAnsi="Verdana" w:cs="Arial"/>
          <w:bCs/>
          <w:i/>
          <w:iCs/>
          <w:lang w:val="es-ES_tradnl"/>
        </w:rPr>
        <w:t xml:space="preserve">objetivos </w:t>
      </w:r>
      <w:r w:rsidRPr="00143443">
        <w:rPr>
          <w:rFonts w:ascii="Verdana" w:hAnsi="Verdana" w:cs="Arial"/>
          <w:bCs/>
          <w:lang w:val="es-ES_tradnl"/>
        </w:rPr>
        <w:t xml:space="preserve">que se refieren a aspectos técnicos, económicos, presupuestales, etc., que permiten ponderar las ofertas en su real y efectiva dimensión; y </w:t>
      </w:r>
      <w:proofErr w:type="spellStart"/>
      <w:r w:rsidRPr="00143443">
        <w:rPr>
          <w:rFonts w:ascii="Verdana" w:hAnsi="Verdana" w:cs="Arial"/>
          <w:bCs/>
          <w:lang w:val="es-ES_tradnl"/>
        </w:rPr>
        <w:t>iii</w:t>
      </w:r>
      <w:proofErr w:type="spellEnd"/>
      <w:r w:rsidRPr="00143443">
        <w:rPr>
          <w:rFonts w:ascii="Verdana" w:hAnsi="Verdana" w:cs="Arial"/>
          <w:bCs/>
          <w:lang w:val="es-ES_tradnl"/>
        </w:rPr>
        <w:t xml:space="preserve">) </w:t>
      </w:r>
      <w:r w:rsidRPr="00143443">
        <w:rPr>
          <w:rFonts w:ascii="Verdana" w:hAnsi="Verdana" w:cs="Arial"/>
          <w:bCs/>
          <w:i/>
          <w:iCs/>
          <w:lang w:val="es-ES_tradnl"/>
        </w:rPr>
        <w:t xml:space="preserve">formales </w:t>
      </w:r>
      <w:r w:rsidRPr="00143443">
        <w:rPr>
          <w:rFonts w:ascii="Verdana" w:hAnsi="Verdana" w:cs="Arial"/>
          <w:bCs/>
          <w:lang w:val="es-ES_tradnl"/>
        </w:rPr>
        <w:t xml:space="preserve">que se atienden a la instrumentalización y protocolización de los actos jurídicos, tanto de la propuesta como del contrato estatal. </w:t>
      </w:r>
    </w:p>
    <w:p w14:paraId="57B28672" w14:textId="77777777" w:rsidR="00367F09" w:rsidRDefault="00367F09" w:rsidP="00367F09">
      <w:pPr>
        <w:spacing w:after="120" w:line="276" w:lineRule="auto"/>
        <w:ind w:firstLine="709"/>
        <w:jc w:val="both"/>
        <w:rPr>
          <w:rFonts w:ascii="Verdana" w:hAnsi="Verdana" w:cs="Arial"/>
          <w:lang w:val="es-ES"/>
        </w:rPr>
      </w:pPr>
      <w:r w:rsidRPr="00143443">
        <w:rPr>
          <w:rFonts w:ascii="Verdana" w:hAnsi="Verdana" w:cs="Arial"/>
          <w:lang w:val="es-ES"/>
        </w:rPr>
        <w:lastRenderedPageBreak/>
        <w:t>Ahora bien, desde luego que los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w:t>
      </w:r>
      <w:r>
        <w:rPr>
          <w:rFonts w:ascii="Verdana" w:hAnsi="Verdana" w:cs="Arial"/>
          <w:lang w:val="es-ES"/>
        </w:rPr>
        <w:t xml:space="preserve"> </w:t>
      </w:r>
      <w:r w:rsidRPr="00143443">
        <w:rPr>
          <w:rFonts w:ascii="Verdana" w:hAnsi="Verdana" w:cs="Arial"/>
          <w:lang w:val="es-ES"/>
        </w:rPr>
        <w:t xml:space="preserve">–ya sea laboral o por prestación de servicios–, se incorporen al precio del contrato, por la vía del factor multiplicador aplicado para hacer la oferta económica. </w:t>
      </w:r>
    </w:p>
    <w:p w14:paraId="76DCAD6F" w14:textId="77777777" w:rsidR="00367F09" w:rsidRPr="00143443" w:rsidRDefault="00367F09" w:rsidP="00367F09">
      <w:pPr>
        <w:spacing w:after="120" w:line="276" w:lineRule="auto"/>
        <w:ind w:firstLine="709"/>
        <w:jc w:val="both"/>
        <w:rPr>
          <w:rFonts w:ascii="Verdana" w:hAnsi="Verdana" w:cs="Arial"/>
          <w:lang w:val="es-ES"/>
        </w:rPr>
      </w:pPr>
      <w:r>
        <w:rPr>
          <w:rFonts w:ascii="Verdana" w:hAnsi="Verdana" w:cs="Arial"/>
          <w:lang w:val="es-ES"/>
        </w:rPr>
        <w:t>S</w:t>
      </w:r>
      <w:r w:rsidRPr="00A76060">
        <w:rPr>
          <w:rFonts w:ascii="Verdana" w:hAnsi="Verdana" w:cs="Arial"/>
          <w:lang w:val="es-ES"/>
        </w:rPr>
        <w:t>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 En conclusión, los valores facturados deben corresponder a costos reales soportados.</w:t>
      </w:r>
    </w:p>
    <w:p w14:paraId="0AF67C5B" w14:textId="77777777" w:rsidR="00367F09" w:rsidRDefault="00367F09" w:rsidP="00367F09">
      <w:pPr>
        <w:spacing w:after="120" w:line="276" w:lineRule="auto"/>
        <w:ind w:firstLine="709"/>
        <w:jc w:val="both"/>
        <w:rPr>
          <w:rFonts w:ascii="Verdana" w:hAnsi="Verdana" w:cs="Arial"/>
          <w:bCs/>
          <w:lang w:val="es-ES_tradnl"/>
        </w:rPr>
      </w:pPr>
      <w:r>
        <w:rPr>
          <w:rFonts w:ascii="Verdana" w:hAnsi="Verdana" w:cs="Arial"/>
          <w:bCs/>
          <w:lang w:val="es-ES_tradnl"/>
        </w:rPr>
        <w:t>De esta manera</w:t>
      </w:r>
      <w:r w:rsidRPr="00143443">
        <w:rPr>
          <w:rFonts w:ascii="Verdana" w:hAnsi="Verdana" w:cs="Arial"/>
          <w:bCs/>
          <w:lang w:val="es-ES_tradnl"/>
        </w:rPr>
        <w:t>, cuando la Entidad Estatal haga uso del factor multiplicador, debe asegurarse de ejercer una buena vigilancia de la ejecución contractual, con el fin de poder realizar adecuadamente la auditoría de los costos del contrato para apagar sólo aquello que se hayan causado efectivamente. Por tanto, podrán verificarse los soportes contables, administrativos y financieros de la ejecución, ya que la Entidad Estatal sólo debe pagar aquellos costos que hubieran sido pagados por el contratista so pena de que se configure un enriquecimiento sin causa de su parte.</w:t>
      </w:r>
    </w:p>
    <w:p w14:paraId="2D0D5A4B" w14:textId="77777777" w:rsidR="00367F09" w:rsidRDefault="00367F09" w:rsidP="00367F09">
      <w:pPr>
        <w:spacing w:after="120" w:line="276" w:lineRule="auto"/>
        <w:ind w:firstLine="709"/>
        <w:jc w:val="both"/>
        <w:rPr>
          <w:rFonts w:ascii="Verdana" w:hAnsi="Verdana" w:cs="Arial"/>
          <w:bCs/>
          <w:lang w:val="es-ES_tradnl"/>
        </w:rPr>
      </w:pPr>
      <w:r>
        <w:rPr>
          <w:rFonts w:ascii="Verdana" w:hAnsi="Verdana" w:cs="Arial"/>
          <w:bCs/>
          <w:lang w:val="es-ES_tradnl"/>
        </w:rPr>
        <w:lastRenderedPageBreak/>
        <w:t xml:space="preserve">Por lo demás, </w:t>
      </w:r>
      <w:r w:rsidRPr="00166E46">
        <w:rPr>
          <w:rFonts w:ascii="Verdana" w:hAnsi="Verdana" w:cs="Arial"/>
          <w:bCs/>
          <w:lang w:val="es-ES_tradnl"/>
        </w:rPr>
        <w:t xml:space="preserve">es necesario tener en cuenta que el deber de planeación no es privativo de las entidades públicas, por lo que también se extiende </w:t>
      </w:r>
      <w:r>
        <w:rPr>
          <w:rFonts w:ascii="Verdana" w:hAnsi="Verdana" w:cs="Arial"/>
          <w:bCs/>
          <w:lang w:val="es-ES_tradnl"/>
        </w:rPr>
        <w:t>a los interesados en el proceso de selección</w:t>
      </w:r>
      <w:r w:rsidRPr="00166E46">
        <w:rPr>
          <w:rFonts w:ascii="Verdana" w:hAnsi="Verdana" w:cs="Arial"/>
          <w:bCs/>
          <w:lang w:val="es-ES_tradnl"/>
        </w:rPr>
        <w:t xml:space="preserve">. </w:t>
      </w:r>
      <w:r>
        <w:rPr>
          <w:rFonts w:ascii="Verdana" w:hAnsi="Verdana" w:cs="Arial"/>
          <w:bCs/>
          <w:lang w:val="es-ES_tradnl"/>
        </w:rPr>
        <w:t>Al respecto</w:t>
      </w:r>
      <w:r w:rsidRPr="00166E46">
        <w:rPr>
          <w:rFonts w:ascii="Verdana" w:hAnsi="Verdana" w:cs="Arial"/>
          <w:bCs/>
          <w:lang w:val="es-ES_tradnl"/>
        </w:rPr>
        <w:t xml:space="preserve">, la Subsección A de la Sección Tercera del Consejo de Estado –en Sentencia del 21 de febrero de 2025, </w:t>
      </w:r>
      <w:proofErr w:type="spellStart"/>
      <w:r w:rsidRPr="00166E46">
        <w:rPr>
          <w:rFonts w:ascii="Verdana" w:hAnsi="Verdana" w:cs="Arial"/>
          <w:bCs/>
          <w:lang w:val="es-ES_tradnl"/>
        </w:rPr>
        <w:t>Exp</w:t>
      </w:r>
      <w:proofErr w:type="spellEnd"/>
      <w:r w:rsidRPr="00166E46">
        <w:rPr>
          <w:rFonts w:ascii="Verdana" w:hAnsi="Verdana" w:cs="Arial"/>
          <w:bCs/>
          <w:lang w:val="es-ES_tradnl"/>
        </w:rPr>
        <w:t xml:space="preserve">. 71583, con ponencia del </w:t>
      </w:r>
      <w:proofErr w:type="gramStart"/>
      <w:r w:rsidRPr="00166E46">
        <w:rPr>
          <w:rFonts w:ascii="Verdana" w:hAnsi="Verdana" w:cs="Arial"/>
          <w:bCs/>
          <w:lang w:val="es-ES_tradnl"/>
        </w:rPr>
        <w:t>Consejero</w:t>
      </w:r>
      <w:proofErr w:type="gramEnd"/>
      <w:r w:rsidRPr="00166E46">
        <w:rPr>
          <w:rFonts w:ascii="Verdana" w:hAnsi="Verdana" w:cs="Arial"/>
          <w:bCs/>
          <w:lang w:val="es-ES_tradnl"/>
        </w:rPr>
        <w:t xml:space="preserve">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p>
    <w:p w14:paraId="744DC1AA" w14:textId="77777777" w:rsidR="00367F09" w:rsidRDefault="00367F09" w:rsidP="00367F09">
      <w:pPr>
        <w:spacing w:after="120" w:line="276" w:lineRule="auto"/>
        <w:ind w:firstLine="709"/>
        <w:jc w:val="both"/>
        <w:rPr>
          <w:rFonts w:ascii="Verdana" w:hAnsi="Verdana" w:cs="Arial"/>
          <w:bCs/>
          <w:lang w:val="es-ES_tradnl"/>
        </w:rPr>
      </w:pPr>
      <w:r>
        <w:rPr>
          <w:rFonts w:ascii="Verdana" w:hAnsi="Verdana" w:cs="Arial"/>
          <w:bCs/>
          <w:lang w:val="es-ES_tradnl"/>
        </w:rPr>
        <w:t xml:space="preserve">Es decir, si existían inquietudes sobre los componentes del factor multiplicador, </w:t>
      </w:r>
      <w:r w:rsidRPr="000A30A6">
        <w:rPr>
          <w:rFonts w:ascii="Verdana" w:hAnsi="Verdana" w:cs="Arial"/>
          <w:bCs/>
          <w:lang w:val="es-ES_tradnl"/>
        </w:rPr>
        <w:t xml:space="preserve">los interesados </w:t>
      </w:r>
      <w:r>
        <w:rPr>
          <w:rFonts w:ascii="Verdana" w:hAnsi="Verdana" w:cs="Arial"/>
          <w:bCs/>
          <w:lang w:val="es-ES_tradnl"/>
        </w:rPr>
        <w:t>tuvieron la oportunidad de</w:t>
      </w:r>
      <w:r w:rsidRPr="000A30A6">
        <w:rPr>
          <w:rFonts w:ascii="Verdana" w:hAnsi="Verdana" w:cs="Arial"/>
          <w:bCs/>
          <w:lang w:val="es-ES_tradnl"/>
        </w:rPr>
        <w:t xml:space="preserve"> formular observaciones para aclarar sus </w:t>
      </w:r>
      <w:r>
        <w:rPr>
          <w:rFonts w:ascii="Verdana" w:hAnsi="Verdana" w:cs="Arial"/>
          <w:bCs/>
          <w:lang w:val="es-ES_tradnl"/>
        </w:rPr>
        <w:t>dudas</w:t>
      </w:r>
      <w:r w:rsidRPr="000A30A6">
        <w:rPr>
          <w:rFonts w:ascii="Verdana" w:hAnsi="Verdana" w:cs="Arial"/>
          <w:bCs/>
          <w:lang w:val="es-ES_tradnl"/>
        </w:rPr>
        <w:t>.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660B8F77" w14:textId="77777777" w:rsidR="00367F09" w:rsidRPr="000A30A6" w:rsidRDefault="00367F09" w:rsidP="00367F09">
      <w:pPr>
        <w:spacing w:after="120" w:line="276" w:lineRule="auto"/>
        <w:ind w:firstLine="709"/>
        <w:jc w:val="both"/>
        <w:rPr>
          <w:rFonts w:ascii="Verdana" w:hAnsi="Verdana" w:cs="Arial"/>
          <w:lang w:val="es-MX"/>
        </w:rPr>
      </w:pPr>
      <w:r w:rsidRPr="000A30A6">
        <w:rPr>
          <w:rFonts w:ascii="Verdana" w:hAnsi="Verdana" w:cs="Arial"/>
          <w:lang w:val="es-MX"/>
        </w:rPr>
        <w:t>En este contexto, bajo el criterio de que “nadie puede ben</w:t>
      </w:r>
      <w:r>
        <w:rPr>
          <w:rFonts w:ascii="Verdana" w:hAnsi="Verdana" w:cs="Arial"/>
          <w:lang w:val="es-MX"/>
        </w:rPr>
        <w:t>e</w:t>
      </w:r>
      <w:r w:rsidRPr="000A30A6">
        <w:rPr>
          <w:rFonts w:ascii="Verdana" w:hAnsi="Verdana" w:cs="Arial"/>
          <w:lang w:val="es-MX"/>
        </w:rPr>
        <w:t xml:space="preserve">ficiarse de su propia culpa”, </w:t>
      </w:r>
      <w:r>
        <w:rPr>
          <w:rFonts w:ascii="Verdana" w:hAnsi="Verdana" w:cs="Arial"/>
          <w:lang w:val="es-MX"/>
        </w:rPr>
        <w:t>se restringe a los contratistas la posibilidad de solicitar</w:t>
      </w:r>
      <w:r w:rsidRPr="000A30A6">
        <w:rPr>
          <w:rFonts w:ascii="Verdana" w:hAnsi="Verdana" w:cs="Arial"/>
          <w:lang w:val="es-MX"/>
        </w:rPr>
        <w:t xml:space="preserve"> reconocimientos económicos</w:t>
      </w:r>
      <w:r>
        <w:rPr>
          <w:rFonts w:ascii="Verdana" w:hAnsi="Verdana" w:cs="Arial"/>
          <w:lang w:val="es-MX"/>
        </w:rPr>
        <w:t xml:space="preserve"> derivados</w:t>
      </w:r>
      <w:r w:rsidRPr="000A30A6">
        <w:rPr>
          <w:rFonts w:ascii="Verdana" w:hAnsi="Verdana" w:cs="Arial"/>
          <w:lang w:val="es-MX"/>
        </w:rPr>
        <w:t xml:space="preserve"> de fallas de planeación que debi</w:t>
      </w:r>
      <w:r>
        <w:rPr>
          <w:rFonts w:ascii="Verdana" w:hAnsi="Verdana" w:cs="Arial"/>
          <w:lang w:val="es-MX"/>
        </w:rPr>
        <w:t>eron</w:t>
      </w:r>
      <w:r w:rsidRPr="000A30A6">
        <w:rPr>
          <w:rFonts w:ascii="Verdana" w:hAnsi="Verdana" w:cs="Arial"/>
          <w:lang w:val="es-MX"/>
        </w:rPr>
        <w:t xml:space="preserve"> advertir </w:t>
      </w:r>
      <w:r>
        <w:rPr>
          <w:rFonts w:ascii="Verdana" w:hAnsi="Verdana" w:cs="Arial"/>
          <w:lang w:val="es-MX"/>
        </w:rPr>
        <w:t xml:space="preserve">a la entidad contratante </w:t>
      </w:r>
      <w:r w:rsidRPr="000A30A6">
        <w:rPr>
          <w:rFonts w:ascii="Verdana" w:hAnsi="Verdana" w:cs="Arial"/>
          <w:lang w:val="es-MX"/>
        </w:rPr>
        <w:t>antes del perfeccionamiento del contrato.</w:t>
      </w:r>
      <w:r>
        <w:rPr>
          <w:rFonts w:ascii="Verdana" w:hAnsi="Verdana" w:cs="Arial"/>
          <w:lang w:val="es-MX"/>
        </w:rPr>
        <w:t xml:space="preserve"> Si bien el parágrafo del artículo 40 de la Ley 80 de 1993 dispone que “</w:t>
      </w:r>
      <w:r w:rsidRPr="00E93FA0">
        <w:rPr>
          <w:rFonts w:ascii="Verdana" w:hAnsi="Verdana" w:cs="Arial"/>
          <w:lang w:val="es-MX"/>
        </w:rPr>
        <w:t>Los contratos no podrán adicionarse en más del cincuenta por ciento (50%) de su valor inicial, expresado éste en salarios mínimos legales mensuales</w:t>
      </w:r>
      <w:r>
        <w:rPr>
          <w:rFonts w:ascii="Verdana" w:hAnsi="Verdana" w:cs="Arial"/>
          <w:lang w:val="es-MX"/>
        </w:rPr>
        <w:t xml:space="preserve">”, el Estado no se encuentra obligado a reestructurar el porcentaje ni los componentes del factor multiplicador, pues las modificaciones contractuales no son un derecho del contratista. </w:t>
      </w:r>
    </w:p>
    <w:p w14:paraId="648BBA0B" w14:textId="77777777" w:rsidR="00367F09" w:rsidRPr="003A380F" w:rsidRDefault="00367F09" w:rsidP="00367F09">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w:t>
      </w:r>
      <w:r>
        <w:rPr>
          <w:rFonts w:ascii="Verdana" w:eastAsia="Calibri" w:hAnsi="Verdana" w:cs="Arial"/>
          <w:bCs/>
          <w:color w:val="000000" w:themeColor="text1"/>
        </w:rPr>
        <w:t xml:space="preserve"> </w:t>
      </w:r>
      <w:r w:rsidRPr="003A380F">
        <w:rPr>
          <w:rFonts w:ascii="Verdana" w:eastAsia="Calibri" w:hAnsi="Verdana" w:cs="Arial"/>
          <w:bCs/>
          <w:color w:val="000000" w:themeColor="text1"/>
        </w:rPr>
        <w:t xml:space="preserve">De esta manera, las afirmaciones aquí realizadas no pueden ser interpretadas como </w:t>
      </w:r>
      <w:r w:rsidRPr="003A380F">
        <w:rPr>
          <w:rFonts w:ascii="Verdana" w:eastAsia="Calibri" w:hAnsi="Verdana" w:cs="Arial"/>
          <w:bCs/>
          <w:color w:val="000000" w:themeColor="text1"/>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F6D34D3" w14:textId="77777777" w:rsidR="00367F09" w:rsidRPr="00185EE9" w:rsidRDefault="00367F09" w:rsidP="00367F09">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7B907404" w14:textId="77777777" w:rsidR="00367F09" w:rsidRPr="00182C89" w:rsidRDefault="00367F09" w:rsidP="00367F09">
      <w:pPr>
        <w:tabs>
          <w:tab w:val="left" w:pos="709"/>
        </w:tabs>
        <w:spacing w:after="0" w:line="276" w:lineRule="auto"/>
        <w:jc w:val="both"/>
        <w:rPr>
          <w:rFonts w:ascii="Verdana" w:eastAsia="Calibri" w:hAnsi="Verdana" w:cs="Arial"/>
          <w:color w:val="000000" w:themeColor="text1"/>
        </w:rPr>
      </w:pPr>
    </w:p>
    <w:p w14:paraId="6FBFB6D6" w14:textId="77777777" w:rsidR="00367F09" w:rsidRPr="00593A5F" w:rsidRDefault="00367F09" w:rsidP="00367F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8D61379" w14:textId="77777777" w:rsidR="00367F09" w:rsidRPr="00593A5F" w:rsidRDefault="00367F09" w:rsidP="00367F0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67F09" w:rsidRPr="002407CE" w14:paraId="5D46982A" w14:textId="77777777" w:rsidTr="003D216B">
        <w:trPr>
          <w:trHeight w:val="870"/>
          <w:jc w:val="center"/>
        </w:trPr>
        <w:tc>
          <w:tcPr>
            <w:tcW w:w="8647" w:type="dxa"/>
          </w:tcPr>
          <w:p w14:paraId="37B5D9CE" w14:textId="77777777" w:rsidR="00367F09" w:rsidRPr="00D85592" w:rsidRDefault="00367F09" w:rsidP="003D216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85592">
              <w:rPr>
                <w:rFonts w:ascii="Verdana" w:hAnsi="Verdana" w:cs="Arial"/>
              </w:rPr>
              <w:t xml:space="preserve">Ley 80 de 1993, artículos </w:t>
            </w:r>
            <w:r>
              <w:rPr>
                <w:rFonts w:ascii="Verdana" w:hAnsi="Verdana" w:cs="Arial"/>
              </w:rPr>
              <w:t>13, 24, 32 y 40</w:t>
            </w:r>
            <w:r w:rsidRPr="00D85592">
              <w:rPr>
                <w:rFonts w:ascii="Verdana" w:hAnsi="Verdana" w:cs="Arial"/>
              </w:rPr>
              <w:t>.</w:t>
            </w:r>
          </w:p>
          <w:p w14:paraId="56718D4D" w14:textId="77777777" w:rsidR="00367F09" w:rsidRPr="00F803DB" w:rsidRDefault="00367F09" w:rsidP="003D216B">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D85592">
              <w:rPr>
                <w:rFonts w:ascii="Verdana" w:hAnsi="Verdana" w:cs="Arial"/>
                <w:color w:val="000000" w:themeColor="text1"/>
                <w:lang w:val="es-ES_tradnl"/>
              </w:rPr>
              <w:t>Decreto 1082 de 2015</w:t>
            </w:r>
            <w:r>
              <w:rPr>
                <w:rFonts w:ascii="Verdana" w:hAnsi="Verdana" w:cs="Arial"/>
                <w:color w:val="000000" w:themeColor="text1"/>
                <w:lang w:val="es-ES_tradnl"/>
              </w:rPr>
              <w:t>,</w:t>
            </w:r>
            <w:r w:rsidRPr="00D85592">
              <w:rPr>
                <w:rFonts w:ascii="Verdana" w:hAnsi="Verdana" w:cs="Arial"/>
                <w:color w:val="000000" w:themeColor="text1"/>
                <w:lang w:val="es-ES_tradnl"/>
              </w:rPr>
              <w:t xml:space="preserve"> artículo 2.2.1.1.2.1.1</w:t>
            </w:r>
            <w:r>
              <w:rPr>
                <w:rFonts w:ascii="Verdana" w:hAnsi="Verdana" w:cs="Arial"/>
                <w:color w:val="000000" w:themeColor="text1"/>
                <w:lang w:val="es-ES_tradnl"/>
              </w:rPr>
              <w:t>.</w:t>
            </w:r>
          </w:p>
        </w:tc>
      </w:tr>
    </w:tbl>
    <w:p w14:paraId="78487140" w14:textId="77777777" w:rsidR="00367F09" w:rsidRPr="002407CE" w:rsidRDefault="00367F09" w:rsidP="00367F09">
      <w:pPr>
        <w:widowControl w:val="0"/>
        <w:autoSpaceDE w:val="0"/>
        <w:autoSpaceDN w:val="0"/>
        <w:spacing w:after="0" w:line="276" w:lineRule="auto"/>
        <w:jc w:val="both"/>
        <w:rPr>
          <w:rFonts w:ascii="Verdana" w:hAnsi="Verdana" w:cs="Arial"/>
        </w:rPr>
      </w:pPr>
    </w:p>
    <w:p w14:paraId="0E2D96F8" w14:textId="77777777" w:rsidR="00367F09" w:rsidRPr="00593A5F" w:rsidRDefault="00367F09" w:rsidP="00367F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6055F2B" w14:textId="77777777" w:rsidR="00367F09" w:rsidRPr="00593A5F" w:rsidRDefault="00367F09" w:rsidP="00367F09">
      <w:pPr>
        <w:widowControl w:val="0"/>
        <w:autoSpaceDE w:val="0"/>
        <w:autoSpaceDN w:val="0"/>
        <w:spacing w:after="0" w:line="276" w:lineRule="auto"/>
        <w:jc w:val="both"/>
        <w:rPr>
          <w:rFonts w:ascii="Verdana" w:hAnsi="Verdana" w:cs="Arial"/>
        </w:rPr>
      </w:pPr>
    </w:p>
    <w:p w14:paraId="1720BB82" w14:textId="77777777" w:rsidR="00367F09" w:rsidRPr="00ED0098" w:rsidRDefault="00367F09" w:rsidP="00367F09">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Esta Subdirección</w:t>
      </w:r>
      <w:r w:rsidRPr="00D85592">
        <w:rPr>
          <w:rFonts w:ascii="Verdana" w:hAnsi="Verdana" w:cs="Arial"/>
          <w:shd w:val="clear" w:color="auto" w:fill="FFFFFF"/>
        </w:rPr>
        <w:t xml:space="preserve"> se ha pronunciado en varias ocasiones sobre </w:t>
      </w:r>
      <w:r>
        <w:rPr>
          <w:rFonts w:ascii="Verdana" w:hAnsi="Verdana" w:cs="Arial"/>
          <w:shd w:val="clear" w:color="auto" w:fill="FFFFFF"/>
        </w:rPr>
        <w:t>la determinación del precio en los contratos estatales</w:t>
      </w:r>
      <w:r w:rsidRPr="00D85592">
        <w:rPr>
          <w:rFonts w:ascii="Verdana" w:hAnsi="Verdana" w:cs="Arial"/>
          <w:shd w:val="clear" w:color="auto" w:fill="FFFFFF"/>
        </w:rPr>
        <w:t xml:space="preserve">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w:t>
      </w:r>
      <w:r>
        <w:rPr>
          <w:rFonts w:ascii="Verdana" w:hAnsi="Verdana" w:cs="Arial"/>
          <w:shd w:val="clear" w:color="auto" w:fill="FFFFFF"/>
        </w:rPr>
        <w:t>C-</w:t>
      </w:r>
      <w:r w:rsidRPr="00D85592">
        <w:rPr>
          <w:rFonts w:ascii="Verdana" w:hAnsi="Verdana" w:cs="Arial"/>
          <w:shd w:val="clear" w:color="auto" w:fill="FFFFFF"/>
        </w:rPr>
        <w:t xml:space="preserve">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w:t>
      </w:r>
      <w:r w:rsidRPr="00D85592">
        <w:rPr>
          <w:rFonts w:ascii="Verdana" w:hAnsi="Verdana" w:cs="Arial"/>
          <w:shd w:val="clear" w:color="auto" w:fill="FFFFFF"/>
        </w:rPr>
        <w:lastRenderedPageBreak/>
        <w:t>del 9 de diciembre de 2022, C-914 del 27 de diciembre de 2022, C-361 de septiembre de 2023, C-401 del 27 de septiembre de 2023 y C-455 del 18 de septiembre de 2024, C-248 del 3 de abril de 2025</w:t>
      </w:r>
      <w:r>
        <w:rPr>
          <w:rFonts w:ascii="Verdana" w:hAnsi="Verdana" w:cs="Arial"/>
          <w:shd w:val="clear" w:color="auto" w:fill="FFFFFF"/>
        </w:rPr>
        <w:t>,</w:t>
      </w:r>
      <w:r w:rsidRPr="00D85592">
        <w:rPr>
          <w:rFonts w:ascii="Verdana" w:hAnsi="Verdana" w:cs="Arial"/>
          <w:shd w:val="clear" w:color="auto" w:fill="FFFFFF"/>
        </w:rPr>
        <w:t xml:space="preserve"> C-460 del 18 de junio de 2025</w:t>
      </w:r>
      <w:r>
        <w:rPr>
          <w:rFonts w:ascii="Verdana" w:hAnsi="Verdana" w:cs="Arial"/>
          <w:shd w:val="clear" w:color="auto" w:fill="FFFFFF"/>
        </w:rPr>
        <w:t xml:space="preserve"> y C-1797 del 16 de diciembre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DC61742" w14:textId="77777777" w:rsidR="00367F09" w:rsidRPr="00096788" w:rsidRDefault="00367F09" w:rsidP="00367F09">
      <w:pPr>
        <w:widowControl w:val="0"/>
        <w:autoSpaceDE w:val="0"/>
        <w:autoSpaceDN w:val="0"/>
        <w:spacing w:after="0" w:line="276" w:lineRule="auto"/>
        <w:jc w:val="both"/>
        <w:rPr>
          <w:rFonts w:ascii="Verdana" w:hAnsi="Verdana" w:cs="Arial"/>
          <w:color w:val="000000" w:themeColor="text1"/>
          <w:shd w:val="clear" w:color="auto" w:fill="FFFFFF"/>
        </w:rPr>
      </w:pPr>
    </w:p>
    <w:p w14:paraId="13771F30" w14:textId="77777777" w:rsidR="00367F09" w:rsidRPr="00E440FD" w:rsidRDefault="00367F09" w:rsidP="00367F09">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5BF4309B" w14:textId="77777777" w:rsidR="00367F09" w:rsidRDefault="00367F09" w:rsidP="00367F09">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41F97EAE" w14:textId="77777777" w:rsidR="00367F09" w:rsidRPr="00116940" w:rsidRDefault="00367F09" w:rsidP="00367F0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B7DA0EB" w14:textId="77777777" w:rsidR="00367F09" w:rsidRPr="00116940" w:rsidRDefault="00367F09" w:rsidP="00367F09">
      <w:pPr>
        <w:spacing w:after="0"/>
        <w:jc w:val="both"/>
        <w:rPr>
          <w:rFonts w:ascii="Verdana" w:hAnsi="Verdana"/>
        </w:rPr>
      </w:pPr>
    </w:p>
    <w:p w14:paraId="3D932AB1" w14:textId="77777777" w:rsidR="00367F09" w:rsidRPr="00116940" w:rsidRDefault="00367F09" w:rsidP="00367F0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1D9A18A" w14:textId="77777777" w:rsidR="00367F09" w:rsidRPr="00116940" w:rsidRDefault="00367F09" w:rsidP="00367F0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51711C9" w14:textId="77777777" w:rsidR="00367F09" w:rsidRPr="00116940" w:rsidRDefault="00367F09" w:rsidP="00367F0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01122005" w14:textId="77777777" w:rsidR="00367F09" w:rsidRPr="00116940" w:rsidRDefault="00367F09" w:rsidP="00367F0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2F6304AF" w14:textId="77777777" w:rsidR="00367F09" w:rsidRPr="00116940" w:rsidRDefault="00367F09" w:rsidP="00367F09">
      <w:pPr>
        <w:spacing w:after="0" w:line="240" w:lineRule="auto"/>
        <w:ind w:left="720"/>
        <w:jc w:val="both"/>
        <w:rPr>
          <w:rFonts w:ascii="Verdana" w:hAnsi="Verdana"/>
        </w:rPr>
      </w:pPr>
    </w:p>
    <w:p w14:paraId="04B76F24" w14:textId="77777777" w:rsidR="00367F09" w:rsidRPr="00116940" w:rsidRDefault="00367F09" w:rsidP="00367F0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0C2F7496" w14:textId="77777777" w:rsidR="00367F09" w:rsidRPr="00116940" w:rsidRDefault="00367F09" w:rsidP="00367F09">
      <w:pPr>
        <w:spacing w:after="0" w:line="240" w:lineRule="auto"/>
        <w:rPr>
          <w:rFonts w:ascii="Verdana" w:hAnsi="Verdana"/>
        </w:rPr>
      </w:pPr>
    </w:p>
    <w:p w14:paraId="139858AD" w14:textId="77777777" w:rsidR="00367F09" w:rsidRPr="00116940" w:rsidRDefault="00367F09" w:rsidP="00367F0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68EAD31" w14:textId="77777777" w:rsidR="00367F09" w:rsidRPr="00116940" w:rsidRDefault="00367F09" w:rsidP="00367F09">
      <w:pPr>
        <w:spacing w:after="0" w:line="240" w:lineRule="auto"/>
        <w:jc w:val="both"/>
        <w:rPr>
          <w:rFonts w:ascii="Verdana" w:hAnsi="Verdana"/>
        </w:rPr>
      </w:pPr>
    </w:p>
    <w:p w14:paraId="3A9705CF" w14:textId="77777777" w:rsidR="00367F09" w:rsidRPr="00116940" w:rsidRDefault="00367F09" w:rsidP="00367F0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EC69FA1" w14:textId="77777777" w:rsidR="00367F09" w:rsidRPr="00116940" w:rsidRDefault="00367F09" w:rsidP="00367F0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4E6BDA1" w14:textId="77777777" w:rsidR="00367F09" w:rsidRPr="00116940" w:rsidRDefault="00367F09" w:rsidP="00367F0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30590AC" w14:textId="77777777" w:rsidR="00367F09" w:rsidRPr="009C4035" w:rsidRDefault="00367F09" w:rsidP="00367F09">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78BDF63" w14:textId="77777777" w:rsidR="00367F09" w:rsidRPr="00593A5F" w:rsidRDefault="00367F09" w:rsidP="00367F0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C05CF0E" w14:textId="77777777" w:rsidR="00367F09" w:rsidRPr="00593A5F" w:rsidRDefault="00367F09" w:rsidP="00367F09">
      <w:pPr>
        <w:widowControl w:val="0"/>
        <w:autoSpaceDE w:val="0"/>
        <w:autoSpaceDN w:val="0"/>
        <w:spacing w:after="0" w:line="276" w:lineRule="auto"/>
        <w:jc w:val="both"/>
        <w:rPr>
          <w:rFonts w:ascii="Verdana" w:hAnsi="Verdana" w:cs="Arial"/>
        </w:rPr>
      </w:pPr>
    </w:p>
    <w:p w14:paraId="75E509C0" w14:textId="77777777" w:rsidR="00367F09" w:rsidRPr="00593A5F" w:rsidRDefault="00367F09" w:rsidP="00367F0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EB3F765" w14:textId="2684F2A0" w:rsidR="00367F09" w:rsidRPr="00593A5F" w:rsidRDefault="0076615A" w:rsidP="00367F09">
      <w:pPr>
        <w:spacing w:line="276" w:lineRule="auto"/>
        <w:jc w:val="center"/>
        <w:rPr>
          <w:rFonts w:ascii="Verdana" w:hAnsi="Verdana" w:cs="Arial"/>
          <w:color w:val="000000"/>
          <w:lang w:val="es-ES_tradnl" w:eastAsia="es-CO"/>
        </w:rPr>
      </w:pPr>
      <w:r>
        <w:rPr>
          <w:noProof/>
        </w:rPr>
        <w:drawing>
          <wp:inline distT="0" distB="0" distL="0" distR="0" wp14:anchorId="555CA790" wp14:editId="5E951C1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67F09" w:rsidRPr="00593A5F" w14:paraId="5684427C" w14:textId="77777777" w:rsidTr="003D216B">
        <w:trPr>
          <w:trHeight w:val="315"/>
        </w:trPr>
        <w:tc>
          <w:tcPr>
            <w:tcW w:w="893" w:type="dxa"/>
            <w:vAlign w:val="center"/>
            <w:hideMark/>
          </w:tcPr>
          <w:p w14:paraId="0926C612" w14:textId="77777777" w:rsidR="00367F09" w:rsidRPr="003751C7" w:rsidRDefault="00367F09" w:rsidP="003D216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F895511" w14:textId="77777777" w:rsidR="00367F09" w:rsidRPr="00254A7A" w:rsidRDefault="00367F09" w:rsidP="003D216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2912D51" w14:textId="77777777" w:rsidR="00367F09" w:rsidRPr="00254A7A" w:rsidRDefault="00367F09" w:rsidP="003D216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67F09" w:rsidRPr="00593A5F" w14:paraId="75B5FECC" w14:textId="77777777" w:rsidTr="003D216B">
        <w:trPr>
          <w:trHeight w:val="330"/>
        </w:trPr>
        <w:tc>
          <w:tcPr>
            <w:tcW w:w="893" w:type="dxa"/>
            <w:vAlign w:val="center"/>
            <w:hideMark/>
          </w:tcPr>
          <w:p w14:paraId="2AF76285" w14:textId="77777777" w:rsidR="00367F09" w:rsidRPr="003751C7" w:rsidRDefault="00367F09" w:rsidP="003D216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8B4920" w14:textId="77777777" w:rsidR="00367F09" w:rsidRPr="00FE00BE" w:rsidRDefault="00367F09" w:rsidP="003D216B">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4D815566" w14:textId="77777777" w:rsidR="00367F09" w:rsidRPr="00FE00BE" w:rsidRDefault="00367F09" w:rsidP="003D216B">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367F09" w:rsidRPr="00593A5F" w14:paraId="19E56A91" w14:textId="77777777" w:rsidTr="003D216B">
        <w:trPr>
          <w:trHeight w:val="300"/>
        </w:trPr>
        <w:tc>
          <w:tcPr>
            <w:tcW w:w="893" w:type="dxa"/>
            <w:vAlign w:val="center"/>
          </w:tcPr>
          <w:p w14:paraId="61FCC2A8" w14:textId="77777777" w:rsidR="00367F09" w:rsidRPr="003751C7" w:rsidRDefault="00367F09" w:rsidP="003D216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C48C1C" w14:textId="77777777" w:rsidR="00367F09" w:rsidRPr="00FE00BE" w:rsidRDefault="00367F09" w:rsidP="003D216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673FE948" w14:textId="77777777" w:rsidR="00367F09" w:rsidRPr="00FE00BE" w:rsidRDefault="00367F09" w:rsidP="003D216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1135F660" w14:textId="77777777" w:rsidR="00367F09" w:rsidRPr="00543BFE" w:rsidRDefault="00367F09" w:rsidP="00367F09"/>
    <w:p w14:paraId="0F293BF4" w14:textId="3F723E13" w:rsidR="00127233" w:rsidRPr="00E4261E" w:rsidRDefault="00127233" w:rsidP="00E4261E"/>
    <w:sectPr w:rsidR="00127233" w:rsidRPr="00E4261E"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EA82B" w14:textId="77777777" w:rsidR="00CC6F16" w:rsidRDefault="00CC6F16" w:rsidP="004A1847">
      <w:pPr>
        <w:spacing w:after="0" w:line="240" w:lineRule="auto"/>
      </w:pPr>
      <w:r>
        <w:separator/>
      </w:r>
    </w:p>
  </w:endnote>
  <w:endnote w:type="continuationSeparator" w:id="0">
    <w:p w14:paraId="52BE6324" w14:textId="77777777" w:rsidR="00CC6F16" w:rsidRDefault="00CC6F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DE6CD" w14:textId="77777777" w:rsidR="00CC6F16" w:rsidRDefault="00CC6F16" w:rsidP="004A1847">
      <w:pPr>
        <w:spacing w:after="0" w:line="240" w:lineRule="auto"/>
      </w:pPr>
      <w:r>
        <w:separator/>
      </w:r>
    </w:p>
  </w:footnote>
  <w:footnote w:type="continuationSeparator" w:id="0">
    <w:p w14:paraId="3C753A0B" w14:textId="77777777" w:rsidR="00CC6F16" w:rsidRDefault="00CC6F16" w:rsidP="004A1847">
      <w:pPr>
        <w:spacing w:after="0" w:line="240" w:lineRule="auto"/>
      </w:pPr>
      <w:r>
        <w:continuationSeparator/>
      </w:r>
    </w:p>
  </w:footnote>
  <w:footnote w:id="1">
    <w:p w14:paraId="25BC6532" w14:textId="77777777" w:rsidR="00367F09" w:rsidRPr="00DF05AC" w:rsidRDefault="00367F09" w:rsidP="00367F09">
      <w:pPr>
        <w:pStyle w:val="Textonotapie"/>
        <w:ind w:firstLine="709"/>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w:t>
      </w:r>
      <w:r w:rsidRPr="00DF05AC">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4782E32A" w14:textId="77777777" w:rsidR="00367F09" w:rsidRPr="00DF05AC" w:rsidRDefault="00367F09" w:rsidP="00367F09">
      <w:pPr>
        <w:pStyle w:val="Textonotapie"/>
        <w:ind w:firstLine="709"/>
        <w:jc w:val="both"/>
        <w:rPr>
          <w:rFonts w:ascii="Verdana" w:hAnsi="Verdana" w:cs="Arial"/>
          <w:sz w:val="16"/>
          <w:szCs w:val="16"/>
          <w:lang w:val="es-ES"/>
        </w:rPr>
      </w:pPr>
      <w:r w:rsidRPr="00DF05AC">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DF05AC">
        <w:rPr>
          <w:rFonts w:ascii="Verdana" w:hAnsi="Verdana" w:cs="Arial"/>
          <w:i/>
          <w:iCs/>
          <w:sz w:val="16"/>
          <w:szCs w:val="16"/>
          <w:lang w:val="es-ES"/>
        </w:rPr>
        <w:t>costos directos</w:t>
      </w:r>
      <w:r w:rsidRPr="00DF05AC">
        <w:rPr>
          <w:rFonts w:ascii="Verdana" w:hAnsi="Verdana" w:cs="Arial"/>
          <w:sz w:val="16"/>
          <w:szCs w:val="16"/>
          <w:lang w:val="es-ES"/>
        </w:rPr>
        <w:t xml:space="preserve"> y los</w:t>
      </w:r>
      <w:r w:rsidRPr="00DF05AC">
        <w:rPr>
          <w:rFonts w:ascii="Verdana" w:hAnsi="Verdana" w:cs="Arial"/>
          <w:i/>
          <w:iCs/>
          <w:sz w:val="16"/>
          <w:szCs w:val="16"/>
          <w:lang w:val="es-ES"/>
        </w:rPr>
        <w:t xml:space="preserve"> costos indirectos</w:t>
      </w:r>
      <w:r w:rsidRPr="00DF05AC">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DF05AC">
        <w:rPr>
          <w:rFonts w:ascii="Verdana" w:hAnsi="Verdana" w:cs="Arial"/>
          <w:i/>
          <w:iCs/>
          <w:sz w:val="16"/>
          <w:szCs w:val="16"/>
          <w:lang w:val="es-ES"/>
        </w:rPr>
        <w:t>ítems</w:t>
      </w:r>
      <w:r w:rsidRPr="00DF05AC">
        <w:rPr>
          <w:rFonts w:ascii="Verdana" w:hAnsi="Verdana" w:cs="Arial"/>
          <w:sz w:val="16"/>
          <w:szCs w:val="16"/>
          <w:lang w:val="es-ES"/>
        </w:rPr>
        <w:t xml:space="preserve"> que componen el contrato–. Los costos </w:t>
      </w:r>
      <w:r w:rsidRPr="00DF05AC">
        <w:rPr>
          <w:rFonts w:ascii="Verdana" w:hAnsi="Verdana" w:cs="Arial"/>
          <w:i/>
          <w:iCs/>
          <w:sz w:val="16"/>
          <w:szCs w:val="16"/>
          <w:lang w:val="es-ES"/>
        </w:rPr>
        <w:t>indirectos</w:t>
      </w:r>
      <w:r w:rsidRPr="00DF05AC">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
    <w:p w14:paraId="03519E59" w14:textId="77777777" w:rsidR="00367F09" w:rsidRPr="00DF05AC" w:rsidRDefault="00367F09" w:rsidP="00367F09">
      <w:pPr>
        <w:pStyle w:val="Textonotapie"/>
        <w:ind w:firstLine="709"/>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Consejo de Estado. Sección Tercera. Subsección B. Sentencia del 14 de octubre de 2011. Exp. 20811, C.P. Ruth Stella Correa Palacio.</w:t>
      </w:r>
    </w:p>
  </w:footnote>
  <w:footnote w:id="3">
    <w:p w14:paraId="6D3478DF" w14:textId="77777777" w:rsidR="00367F09" w:rsidRPr="00DF05AC" w:rsidRDefault="00367F09" w:rsidP="00367F09">
      <w:pPr>
        <w:pStyle w:val="Textonotapie"/>
        <w:ind w:firstLine="708"/>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Frente a ello, esta Agencia en respuesta a consulta del 27 de septiembre de 2017, indicó, </w:t>
      </w:r>
      <w:r w:rsidRPr="00DF05AC">
        <w:rPr>
          <w:rFonts w:ascii="Verdana" w:eastAsia="Calibri" w:hAnsi="Verdana" w:cs="Arial"/>
          <w:sz w:val="16"/>
          <w:szCs w:val="16"/>
        </w:rPr>
        <w:t>“</w:t>
      </w:r>
      <w:r w:rsidRPr="00DF05AC">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DF05AC">
        <w:rPr>
          <w:rFonts w:ascii="Verdana" w:eastAsia="Calibri" w:hAnsi="Verdana" w:cs="Arial"/>
          <w:sz w:val="16"/>
          <w:szCs w:val="16"/>
        </w:rPr>
        <w:t>”</w:t>
      </w:r>
      <w:r w:rsidRPr="00DF05AC">
        <w:rPr>
          <w:rFonts w:ascii="Verdana" w:hAnsi="Verdana" w:cs="Arial"/>
          <w:sz w:val="16"/>
          <w:szCs w:val="16"/>
        </w:rPr>
        <w:t xml:space="preserve"> </w:t>
      </w:r>
      <w:r w:rsidRPr="00DF05AC">
        <w:rPr>
          <w:rFonts w:ascii="Verdana" w:hAnsi="Verdana" w:cs="Arial"/>
          <w:sz w:val="16"/>
          <w:szCs w:val="16"/>
          <w:lang w:val="es-ES"/>
        </w:rPr>
        <w:t>Radicación: Respuesta a consulta #4201714000006240 Temas: Contrato de consultoría Tipo de asunto consultado: Cómo se aplica y evalúa el factor multiplicador.</w:t>
      </w:r>
    </w:p>
  </w:footnote>
  <w:footnote w:id="4">
    <w:p w14:paraId="110DFA3A" w14:textId="77777777" w:rsidR="00367F09" w:rsidRPr="00DF05AC" w:rsidRDefault="00367F09" w:rsidP="00367F09">
      <w:pPr>
        <w:pStyle w:val="Textonotapie"/>
        <w:ind w:firstLine="708"/>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w:t>
      </w:r>
      <w:r w:rsidRPr="00DF05AC">
        <w:rPr>
          <w:rFonts w:ascii="Verdana" w:hAnsi="Verdana" w:cs="Arial"/>
          <w:sz w:val="16"/>
          <w:szCs w:val="16"/>
          <w:lang w:val="es-ES"/>
        </w:rPr>
        <w:t>MARÍN</w:t>
      </w:r>
      <w:r>
        <w:rPr>
          <w:rFonts w:ascii="Verdana" w:hAnsi="Verdana" w:cs="Arial"/>
          <w:sz w:val="16"/>
          <w:szCs w:val="16"/>
          <w:lang w:val="es-ES"/>
        </w:rPr>
        <w:t xml:space="preserve"> </w:t>
      </w:r>
      <w:r w:rsidRPr="00C37D4D">
        <w:rPr>
          <w:rFonts w:ascii="Verdana" w:hAnsi="Verdana" w:cs="Arial"/>
          <w:sz w:val="16"/>
          <w:szCs w:val="16"/>
          <w:lang w:val="es-ES"/>
        </w:rPr>
        <w:t>CORTÉS</w:t>
      </w:r>
      <w:r w:rsidRPr="00DF05AC">
        <w:rPr>
          <w:rFonts w:ascii="Verdana" w:hAnsi="Verdana" w:cs="Arial"/>
          <w:sz w:val="16"/>
          <w:szCs w:val="16"/>
          <w:lang w:val="es-ES"/>
        </w:rPr>
        <w:t>, Op. Cit., pp. 64-65.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30AC"/>
    <w:rsid w:val="000A683E"/>
    <w:rsid w:val="000B19B9"/>
    <w:rsid w:val="000D0334"/>
    <w:rsid w:val="000D5DA7"/>
    <w:rsid w:val="000F6486"/>
    <w:rsid w:val="00116940"/>
    <w:rsid w:val="00125105"/>
    <w:rsid w:val="001252E3"/>
    <w:rsid w:val="00127233"/>
    <w:rsid w:val="00145CD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7F09"/>
    <w:rsid w:val="00374F5E"/>
    <w:rsid w:val="00377E3E"/>
    <w:rsid w:val="003A779E"/>
    <w:rsid w:val="003D0F4D"/>
    <w:rsid w:val="003D5B0D"/>
    <w:rsid w:val="003E0499"/>
    <w:rsid w:val="003E4F80"/>
    <w:rsid w:val="003E6439"/>
    <w:rsid w:val="003F00B2"/>
    <w:rsid w:val="003F3941"/>
    <w:rsid w:val="00406575"/>
    <w:rsid w:val="00414C74"/>
    <w:rsid w:val="0042722E"/>
    <w:rsid w:val="0044528D"/>
    <w:rsid w:val="00466E39"/>
    <w:rsid w:val="004A1847"/>
    <w:rsid w:val="004A305D"/>
    <w:rsid w:val="004F21C4"/>
    <w:rsid w:val="004F2FE8"/>
    <w:rsid w:val="004F685F"/>
    <w:rsid w:val="00510B8A"/>
    <w:rsid w:val="005566E8"/>
    <w:rsid w:val="00574867"/>
    <w:rsid w:val="00591460"/>
    <w:rsid w:val="005A65E0"/>
    <w:rsid w:val="005C3777"/>
    <w:rsid w:val="005C5CDC"/>
    <w:rsid w:val="005D476C"/>
    <w:rsid w:val="005E6A25"/>
    <w:rsid w:val="006200BF"/>
    <w:rsid w:val="006219F8"/>
    <w:rsid w:val="006302F7"/>
    <w:rsid w:val="00646B9F"/>
    <w:rsid w:val="00665D70"/>
    <w:rsid w:val="006900D9"/>
    <w:rsid w:val="00706C16"/>
    <w:rsid w:val="007340C3"/>
    <w:rsid w:val="0075235A"/>
    <w:rsid w:val="00756841"/>
    <w:rsid w:val="007649AB"/>
    <w:rsid w:val="0076615A"/>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CD"/>
    <w:rsid w:val="009419F9"/>
    <w:rsid w:val="0095685E"/>
    <w:rsid w:val="00961B09"/>
    <w:rsid w:val="00965334"/>
    <w:rsid w:val="0097093E"/>
    <w:rsid w:val="009A0DFA"/>
    <w:rsid w:val="009A1C6F"/>
    <w:rsid w:val="009B2D26"/>
    <w:rsid w:val="009C3285"/>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6C4A"/>
    <w:rsid w:val="00C330EB"/>
    <w:rsid w:val="00C50D69"/>
    <w:rsid w:val="00C5365C"/>
    <w:rsid w:val="00C754BE"/>
    <w:rsid w:val="00C76B1C"/>
    <w:rsid w:val="00C925AC"/>
    <w:rsid w:val="00CB6357"/>
    <w:rsid w:val="00CC1B26"/>
    <w:rsid w:val="00CC6F16"/>
    <w:rsid w:val="00D361FD"/>
    <w:rsid w:val="00D423A2"/>
    <w:rsid w:val="00D44E26"/>
    <w:rsid w:val="00D520D8"/>
    <w:rsid w:val="00D63AC2"/>
    <w:rsid w:val="00D7383B"/>
    <w:rsid w:val="00D7788A"/>
    <w:rsid w:val="00DA231B"/>
    <w:rsid w:val="00DC1E7D"/>
    <w:rsid w:val="00DC39FC"/>
    <w:rsid w:val="00DF5254"/>
    <w:rsid w:val="00E02524"/>
    <w:rsid w:val="00E16408"/>
    <w:rsid w:val="00E20894"/>
    <w:rsid w:val="00E245AB"/>
    <w:rsid w:val="00E2764C"/>
    <w:rsid w:val="00E27F2E"/>
    <w:rsid w:val="00E4261E"/>
    <w:rsid w:val="00E50AFE"/>
    <w:rsid w:val="00E73AA1"/>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67F0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67F09"/>
    <w:rPr>
      <w:rFonts w:ascii="Geomanist Light" w:hAnsi="Geomanist Light"/>
      <w:lang w:val="es-ES"/>
    </w:rPr>
  </w:style>
  <w:style w:type="character" w:customStyle="1" w:styleId="s15">
    <w:name w:val="s15"/>
    <w:basedOn w:val="Fuentedeprrafopredeter"/>
    <w:rsid w:val="00367F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regoriogil96@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6F2C29-C022-49E6-BC3A-114313DB57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25</TotalTime>
  <Pages>15</Pages>
  <Words>5161</Words>
  <Characters>28439</Characters>
  <Application>Microsoft Office Word</Application>
  <DocSecurity>0</DocSecurity>
  <Lines>546</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2025-12-21T00:54:00Z</dcterms:created>
  <dcterms:modified xsi:type="dcterms:W3CDTF">2025-12-22T16:17:00Z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