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671CB" w14:textId="77777777" w:rsidR="0029749B" w:rsidRPr="00AF1555" w:rsidRDefault="0029749B" w:rsidP="0029749B">
      <w:pPr>
        <w:spacing w:after="0" w:line="240" w:lineRule="auto"/>
        <w:jc w:val="both"/>
        <w:rPr>
          <w:rFonts w:ascii="Verdana" w:eastAsia="Calibri" w:hAnsi="Verdana" w:cs="Arial"/>
          <w:b/>
          <w:sz w:val="20"/>
          <w:szCs w:val="20"/>
          <w:lang w:val="es-ES"/>
        </w:rPr>
      </w:pPr>
      <w:r w:rsidRPr="00817818">
        <w:rPr>
          <w:rFonts w:ascii="Verdana" w:eastAsia="Calibri" w:hAnsi="Verdana" w:cs="Arial"/>
          <w:b/>
          <w:lang w:val="es-ES"/>
        </w:rPr>
        <w:t>SISTEMA GENERAL DE REGALÍAS – Ley 2056 de 2020 – Finalidad – Objeto</w:t>
      </w:r>
    </w:p>
    <w:p w14:paraId="2AC874AE" w14:textId="77777777" w:rsidR="0029749B" w:rsidRDefault="0029749B" w:rsidP="0029749B">
      <w:pPr>
        <w:spacing w:after="0" w:line="240" w:lineRule="auto"/>
        <w:jc w:val="both"/>
        <w:rPr>
          <w:rFonts w:ascii="Verdana" w:eastAsia="Calibri" w:hAnsi="Verdana" w:cs="Arial"/>
          <w:bCs/>
          <w:sz w:val="20"/>
          <w:szCs w:val="20"/>
          <w:lang w:val="es-ES"/>
        </w:rPr>
      </w:pPr>
    </w:p>
    <w:p w14:paraId="6637F983" w14:textId="0C2D6DDE" w:rsidR="009C75C3" w:rsidRPr="009C75C3" w:rsidRDefault="009C75C3" w:rsidP="009C75C3">
      <w:pPr>
        <w:spacing w:after="0" w:line="240" w:lineRule="auto"/>
        <w:jc w:val="both"/>
        <w:rPr>
          <w:rFonts w:ascii="Verdana" w:hAnsi="Verdana" w:cs="Arial"/>
          <w:noProof/>
          <w:sz w:val="20"/>
          <w:szCs w:val="20"/>
        </w:rPr>
      </w:pPr>
      <w:r w:rsidRPr="009C75C3">
        <w:rPr>
          <w:rFonts w:ascii="Verdana" w:hAnsi="Verdana" w:cs="Arial"/>
          <w:noProof/>
          <w:sz w:val="20"/>
          <w:szCs w:val="20"/>
        </w:rPr>
        <w:t xml:space="preserve">La Ley 2056 de 2020 establece las reglas generales para los proyectos de inversión en el Sistema General de Regalías. </w:t>
      </w:r>
      <w:r w:rsidRPr="009C75C3">
        <w:rPr>
          <w:rFonts w:ascii="Verdana" w:hAnsi="Verdana" w:cs="Arial"/>
          <w:sz w:val="20"/>
          <w:szCs w:val="20"/>
        </w:rPr>
        <w:t xml:space="preserve">Los artículos 31 de la Ley 2056 de 2020 y 1.2.1.2.22 del Decreto 1821 de 2020 – Decreto Único Reglamentario del Sistema General de Regalías – indican que, como síntesis del ciclo de los proyectos de inversión, será </w:t>
      </w:r>
      <w:r w:rsidRPr="009C75C3">
        <w:rPr>
          <w:rFonts w:ascii="Verdana" w:hAnsi="Verdana" w:cs="Arial"/>
          <w:i/>
          <w:iCs/>
          <w:sz w:val="20"/>
          <w:szCs w:val="20"/>
        </w:rPr>
        <w:t>designada</w:t>
      </w:r>
      <w:r w:rsidRPr="009C75C3">
        <w:rPr>
          <w:rFonts w:ascii="Verdana" w:hAnsi="Verdana" w:cs="Arial"/>
          <w:sz w:val="20"/>
          <w:szCs w:val="20"/>
        </w:rPr>
        <w:t xml:space="preserve"> una entidad ejecutora, la cual estará encargada de su materialización. Al efecto, la entidad ejecutora deberá cumplir con los requisitos establecidos en las normas del sector al que pertenezca el proyecto.</w:t>
      </w:r>
    </w:p>
    <w:p w14:paraId="5D2C16A4" w14:textId="77777777" w:rsidR="0029749B" w:rsidRPr="00AF1555" w:rsidRDefault="0029749B" w:rsidP="0029749B">
      <w:pPr>
        <w:spacing w:after="0" w:line="240" w:lineRule="auto"/>
        <w:rPr>
          <w:rFonts w:ascii="Verdana" w:eastAsia="Geomanist Light" w:hAnsi="Verdana" w:cs="Arial"/>
          <w:color w:val="000000" w:themeColor="text1"/>
          <w:sz w:val="20"/>
          <w:szCs w:val="20"/>
          <w:lang w:val="es-ES_tradnl"/>
        </w:rPr>
      </w:pPr>
    </w:p>
    <w:p w14:paraId="7F6D6891" w14:textId="77777777" w:rsidR="0029749B" w:rsidRPr="00AF1555" w:rsidRDefault="0029749B" w:rsidP="0029749B">
      <w:pPr>
        <w:spacing w:after="0" w:line="240" w:lineRule="auto"/>
        <w:jc w:val="both"/>
        <w:rPr>
          <w:rFonts w:ascii="Verdana" w:eastAsia="Calibri" w:hAnsi="Verdana" w:cs="Arial"/>
          <w:b/>
          <w:sz w:val="20"/>
          <w:szCs w:val="20"/>
          <w:lang w:val="es-ES"/>
        </w:rPr>
      </w:pPr>
      <w:r>
        <w:rPr>
          <w:rFonts w:ascii="Verdana" w:eastAsia="Calibri" w:hAnsi="Verdana" w:cs="Arial"/>
          <w:b/>
          <w:lang w:val="es-ES"/>
        </w:rPr>
        <w:t>ENTIDADES EJECUTORAS</w:t>
      </w:r>
      <w:r w:rsidRPr="00817818">
        <w:rPr>
          <w:rFonts w:ascii="Verdana" w:eastAsia="Calibri" w:hAnsi="Verdana" w:cs="Arial"/>
          <w:b/>
          <w:lang w:val="es-ES"/>
        </w:rPr>
        <w:t xml:space="preserve"> – </w:t>
      </w:r>
      <w:r>
        <w:rPr>
          <w:rFonts w:ascii="Verdana" w:eastAsia="Calibri" w:hAnsi="Verdana" w:cs="Arial"/>
          <w:b/>
          <w:lang w:val="es-ES"/>
        </w:rPr>
        <w:t>Designación</w:t>
      </w:r>
      <w:r w:rsidRPr="00817818">
        <w:rPr>
          <w:rFonts w:ascii="Verdana" w:eastAsia="Calibri" w:hAnsi="Verdana" w:cs="Arial"/>
          <w:b/>
          <w:lang w:val="es-ES"/>
        </w:rPr>
        <w:t xml:space="preserve"> – </w:t>
      </w:r>
      <w:r>
        <w:rPr>
          <w:rFonts w:ascii="Verdana" w:eastAsia="Calibri" w:hAnsi="Verdana" w:cs="Arial"/>
          <w:b/>
          <w:lang w:val="es-ES"/>
        </w:rPr>
        <w:t>Acto administrativo</w:t>
      </w:r>
    </w:p>
    <w:p w14:paraId="23517E76" w14:textId="77777777" w:rsidR="0029749B" w:rsidRDefault="0029749B" w:rsidP="0029749B">
      <w:pPr>
        <w:spacing w:after="0" w:line="240" w:lineRule="auto"/>
        <w:jc w:val="both"/>
        <w:rPr>
          <w:rFonts w:ascii="Verdana" w:eastAsia="Calibri" w:hAnsi="Verdana" w:cs="Arial"/>
          <w:bCs/>
          <w:sz w:val="20"/>
          <w:szCs w:val="20"/>
          <w:lang w:val="es-ES"/>
        </w:rPr>
      </w:pPr>
    </w:p>
    <w:p w14:paraId="086D2B0B" w14:textId="77777777" w:rsidR="0029749B" w:rsidRDefault="0029749B" w:rsidP="0029749B">
      <w:pPr>
        <w:spacing w:after="0" w:line="240" w:lineRule="auto"/>
        <w:jc w:val="both"/>
        <w:rPr>
          <w:rFonts w:ascii="Verdana" w:eastAsia="Calibri" w:hAnsi="Verdana" w:cs="Arial"/>
          <w:bCs/>
          <w:sz w:val="20"/>
          <w:szCs w:val="20"/>
          <w:lang w:val="es-ES"/>
        </w:rPr>
      </w:pPr>
      <w:r w:rsidRPr="00817818">
        <w:rPr>
          <w:rFonts w:ascii="Verdana" w:eastAsia="Calibri" w:hAnsi="Verdana" w:cs="Arial"/>
          <w:bCs/>
          <w:sz w:val="20"/>
          <w:szCs w:val="20"/>
          <w:lang w:val="es-ES"/>
        </w:rPr>
        <w:t>La designación de la entidad ejecutora en los proyectos adelantados con cargo al Sistema General de Regalías corresponde a un acto administrativo, pues se trata de una declaración unilateral de voluntad de un órgano del Estado que ejerce función administrativa y que produce efectos jurídicos. Una vez concurren sus elementos de existencia, la validez depende de la competencia de funcionario, la ausencia de desviación de poder, la licitud del objeto, entre otras. Al ser un acto administrativo, la designación no corresponde a un contrato estatal, de forma que ni siquiera tiene la naturaleza de un convenio interadministrativo. En consecuencia, la designación no requiere aceptación de la entidad ejecutora ni ésta se considera contratista de los órganos de que tratan los artículos 35 y 36 de la Ley 2056 de 2020.</w:t>
      </w:r>
    </w:p>
    <w:p w14:paraId="5166DF04" w14:textId="77777777" w:rsidR="0029749B" w:rsidRDefault="0029749B" w:rsidP="001E5AD4">
      <w:pPr>
        <w:snapToGrid w:val="0"/>
        <w:contextualSpacing/>
        <w:jc w:val="both"/>
        <w:rPr>
          <w:rFonts w:ascii="Verdana" w:eastAsia="Calibri" w:hAnsi="Verdana" w:cs="Arial"/>
          <w:b/>
          <w:bCs/>
          <w:lang w:val="es-ES" w:eastAsia="es-ES"/>
        </w:rPr>
      </w:pPr>
    </w:p>
    <w:p w14:paraId="445D4BFA" w14:textId="7608F9DF" w:rsidR="0088688C" w:rsidRPr="001E5AD4" w:rsidRDefault="0088688C" w:rsidP="001E5AD4">
      <w:pPr>
        <w:snapToGrid w:val="0"/>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Finalidad</w:t>
      </w:r>
    </w:p>
    <w:p w14:paraId="1792DDF6"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2D5909A2" w14:textId="721C2E28" w:rsidR="0088688C" w:rsidRPr="001E5AD4" w:rsidRDefault="0088688C" w:rsidP="001E5AD4">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27EABF83"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31BC7B38" w14:textId="77777777" w:rsidR="0088688C" w:rsidRPr="001E5AD4" w:rsidRDefault="0088688C" w:rsidP="001E5AD4">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40041FB1"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36E03940" w14:textId="54D896FC" w:rsidR="0088688C" w:rsidRDefault="0088688C" w:rsidP="001E5AD4">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A84248"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rPr>
      </w:pPr>
    </w:p>
    <w:p w14:paraId="5301165A" w14:textId="142532D7" w:rsidR="0088688C" w:rsidRPr="001E5AD4" w:rsidRDefault="0088688C" w:rsidP="001E5AD4">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2164E635"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6C7581FA" w14:textId="77777777" w:rsidR="0088688C" w:rsidRPr="001E5AD4" w:rsidRDefault="0088688C" w:rsidP="001E5AD4">
      <w:pPr>
        <w:snapToGrid w:val="0"/>
        <w:spacing w:after="0" w:line="240" w:lineRule="auto"/>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Artículo 33 ‒ Ámbito material</w:t>
      </w:r>
    </w:p>
    <w:p w14:paraId="236BD93D" w14:textId="77777777" w:rsidR="001E5AD4" w:rsidRDefault="001E5AD4" w:rsidP="001E5AD4">
      <w:pPr>
        <w:snapToGrid w:val="0"/>
        <w:spacing w:after="0" w:line="240" w:lineRule="auto"/>
        <w:contextualSpacing/>
        <w:jc w:val="both"/>
        <w:rPr>
          <w:rFonts w:ascii="Verdana" w:eastAsia="Times New Roman" w:hAnsi="Verdana" w:cs="Arial"/>
          <w:sz w:val="20"/>
          <w:szCs w:val="20"/>
          <w:lang w:val="es-ES"/>
        </w:rPr>
      </w:pPr>
    </w:p>
    <w:p w14:paraId="6D17E240" w14:textId="30681149" w:rsidR="0088688C" w:rsidRPr="001E5AD4" w:rsidRDefault="0088688C" w:rsidP="001E5AD4">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20E63D0"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2034672A" w14:textId="51FD222F" w:rsidR="0088688C" w:rsidRPr="001E5AD4" w:rsidRDefault="0088688C" w:rsidP="001E5AD4">
      <w:pPr>
        <w:snapToGrid w:val="0"/>
        <w:spacing w:after="0" w:line="240" w:lineRule="auto"/>
        <w:contextualSpacing/>
        <w:jc w:val="both"/>
        <w:rPr>
          <w:rFonts w:ascii="Verdana" w:eastAsia="Arial" w:hAnsi="Verdana" w:cs="Arial"/>
          <w:b/>
          <w:bCs/>
          <w:color w:val="000000" w:themeColor="text1"/>
        </w:rPr>
      </w:pPr>
      <w:r w:rsidRPr="001E5AD4">
        <w:rPr>
          <w:rFonts w:ascii="Verdana" w:eastAsia="Calibri" w:hAnsi="Verdana" w:cs="Arial"/>
          <w:b/>
          <w:bCs/>
          <w:lang w:val="es-ES" w:eastAsia="es-ES"/>
        </w:rPr>
        <w:t xml:space="preserve">LEY DE GARANTÍAS ELECTORALES ‒ Aplicación ‒ </w:t>
      </w:r>
      <w:r w:rsidR="00820866">
        <w:rPr>
          <w:rFonts w:ascii="Verdana" w:eastAsia="Calibri" w:hAnsi="Verdana" w:cs="Arial"/>
          <w:b/>
          <w:bCs/>
          <w:lang w:val="es-ES" w:eastAsia="es-ES"/>
        </w:rPr>
        <w:t>Acto de designación SGR</w:t>
      </w:r>
    </w:p>
    <w:p w14:paraId="0A4A6811" w14:textId="77777777" w:rsidR="001E5AD4" w:rsidRDefault="001E5AD4" w:rsidP="001E5AD4">
      <w:pPr>
        <w:snapToGrid w:val="0"/>
        <w:contextualSpacing/>
        <w:jc w:val="both"/>
        <w:rPr>
          <w:rFonts w:ascii="Verdana" w:eastAsia="Arial" w:hAnsi="Verdana" w:cs="Arial"/>
          <w:color w:val="000000" w:themeColor="text1"/>
          <w:sz w:val="20"/>
          <w:szCs w:val="20"/>
        </w:rPr>
      </w:pPr>
    </w:p>
    <w:p w14:paraId="024A4413" w14:textId="77777777" w:rsidR="00820866" w:rsidRPr="00820866" w:rsidRDefault="00820866" w:rsidP="00820866">
      <w:pPr>
        <w:spacing w:after="0" w:line="240" w:lineRule="auto"/>
        <w:jc w:val="both"/>
        <w:rPr>
          <w:rFonts w:ascii="Verdana" w:hAnsi="Verdana" w:cs="Arial"/>
          <w:bCs/>
          <w:sz w:val="20"/>
          <w:szCs w:val="20"/>
          <w:lang w:val="es-ES_tradnl" w:eastAsia="es-CO"/>
        </w:rPr>
      </w:pPr>
      <w:r w:rsidRPr="00820866">
        <w:rPr>
          <w:rFonts w:ascii="Verdana" w:hAnsi="Verdana" w:cs="Arial"/>
          <w:sz w:val="20"/>
          <w:szCs w:val="20"/>
        </w:rPr>
        <w:t>Bajo estas consideraciones, de cara a la consulta planteada, se puede afirmar que a la designación</w:t>
      </w:r>
      <w:r w:rsidRPr="00820866">
        <w:rPr>
          <w:rFonts w:ascii="Verdana" w:eastAsia="Calibri" w:hAnsi="Verdana" w:cs="Arial"/>
          <w:sz w:val="20"/>
          <w:szCs w:val="20"/>
        </w:rPr>
        <w:t xml:space="preserve"> </w:t>
      </w:r>
      <w:r w:rsidRPr="00820866">
        <w:rPr>
          <w:rFonts w:ascii="Verdana" w:eastAsia="Calibri" w:hAnsi="Verdana" w:cs="Arial"/>
          <w:bCs/>
          <w:color w:val="000000" w:themeColor="text1"/>
          <w:sz w:val="20"/>
          <w:szCs w:val="20"/>
        </w:rPr>
        <w:t>de la entidad ejecutora en los proyectos adelantados con cargo al Sistema General de Regalías,</w:t>
      </w:r>
      <w:r w:rsidRPr="00820866">
        <w:rPr>
          <w:rFonts w:ascii="Verdana" w:hAnsi="Verdana" w:cs="Arial"/>
          <w:bCs/>
          <w:sz w:val="20"/>
          <w:szCs w:val="20"/>
          <w:lang w:val="es-ES_tradnl" w:eastAsia="es-CO"/>
        </w:rPr>
        <w:t xml:space="preserve"> al tratarse de un acto administrativo, no le resulta aplicable las restricciones previstas en los artículos 33 y 38 de la Ley 996 de 2005, porque lo que en estos preceptos se prohíbe es </w:t>
      </w:r>
      <w:r w:rsidRPr="00820866">
        <w:rPr>
          <w:rFonts w:ascii="Verdana" w:hAnsi="Verdana" w:cs="Arial"/>
          <w:bCs/>
          <w:sz w:val="20"/>
          <w:szCs w:val="20"/>
          <w:lang w:val="es-MX" w:eastAsia="x-none"/>
        </w:rPr>
        <w:t>celebrar cualquier contrato de forma directa</w:t>
      </w:r>
      <w:r w:rsidRPr="00820866">
        <w:rPr>
          <w:rFonts w:ascii="Verdana" w:hAnsi="Verdana" w:cs="Arial"/>
          <w:bCs/>
          <w:sz w:val="20"/>
          <w:szCs w:val="20"/>
          <w:lang w:val="es-ES_tradnl" w:eastAsia="es-CO"/>
        </w:rPr>
        <w:t xml:space="preserve"> y “celebrar convenios interadministrativos para la ejecución de recursos públicos”. En este sentido, </w:t>
      </w:r>
      <w:r w:rsidRPr="00820866">
        <w:rPr>
          <w:rFonts w:ascii="Verdana" w:eastAsia="Times New Roman" w:hAnsi="Verdana" w:cs="Arial"/>
          <w:sz w:val="20"/>
          <w:szCs w:val="20"/>
          <w:lang w:val="es-ES"/>
        </w:rPr>
        <w:t xml:space="preserve">la celebración de estos contratos de forma directa y de convenios interadministrativo </w:t>
      </w:r>
      <w:r w:rsidRPr="00820866">
        <w:rPr>
          <w:rFonts w:ascii="Verdana" w:hAnsi="Verdana" w:cs="Arial"/>
          <w:bCs/>
          <w:sz w:val="20"/>
          <w:szCs w:val="20"/>
          <w:lang w:val="es-ES_tradnl" w:eastAsia="es-CO"/>
        </w:rPr>
        <w:t xml:space="preserve">son </w:t>
      </w:r>
      <w:r w:rsidRPr="00820866">
        <w:rPr>
          <w:rFonts w:ascii="Verdana" w:hAnsi="Verdana" w:cs="Arial"/>
          <w:bCs/>
          <w:i/>
          <w:iCs/>
          <w:sz w:val="20"/>
          <w:szCs w:val="20"/>
          <w:lang w:val="es-ES_tradnl" w:eastAsia="es-CO"/>
        </w:rPr>
        <w:t>acuerdos de voluntades</w:t>
      </w:r>
      <w:r w:rsidRPr="00820866">
        <w:rPr>
          <w:rFonts w:ascii="Verdana" w:hAnsi="Verdana" w:cs="Arial"/>
          <w:bCs/>
          <w:sz w:val="20"/>
          <w:szCs w:val="20"/>
          <w:lang w:val="es-ES_tradnl" w:eastAsia="es-CO"/>
        </w:rPr>
        <w:t xml:space="preserve">, o sea un acto jurídico </w:t>
      </w:r>
      <w:r w:rsidRPr="00820866">
        <w:rPr>
          <w:rFonts w:ascii="Verdana" w:hAnsi="Verdana" w:cs="Arial"/>
          <w:bCs/>
          <w:i/>
          <w:iCs/>
          <w:sz w:val="20"/>
          <w:szCs w:val="20"/>
          <w:lang w:val="es-ES_tradnl" w:eastAsia="es-CO"/>
        </w:rPr>
        <w:t>bilateral</w:t>
      </w:r>
      <w:r w:rsidRPr="00820866">
        <w:rPr>
          <w:rFonts w:ascii="Verdana" w:hAnsi="Verdana" w:cs="Arial"/>
          <w:bCs/>
          <w:sz w:val="20"/>
          <w:szCs w:val="20"/>
          <w:lang w:val="es-ES_tradnl" w:eastAsia="es-CO"/>
        </w:rPr>
        <w:t xml:space="preserve"> o que participa de la forma contractual, de conformidad con el artículo 1495 del Código Civil. En cambio, la forma jurídica de designación que se desprende del artículo 37 de la Ley 2056 de 2020 </w:t>
      </w:r>
      <w:r w:rsidRPr="00820866">
        <w:rPr>
          <w:rFonts w:ascii="Verdana" w:hAnsi="Verdana" w:cs="Arial"/>
          <w:bCs/>
          <w:i/>
          <w:iCs/>
          <w:sz w:val="20"/>
          <w:szCs w:val="20"/>
          <w:lang w:val="es-ES_tradnl" w:eastAsia="es-CO"/>
        </w:rPr>
        <w:t>es el acto administrativo</w:t>
      </w:r>
      <w:r w:rsidRPr="00820866">
        <w:rPr>
          <w:rFonts w:ascii="Verdana" w:hAnsi="Verdana" w:cs="Arial"/>
          <w:bCs/>
          <w:sz w:val="20"/>
          <w:szCs w:val="20"/>
          <w:lang w:val="es-ES_tradnl" w:eastAsia="es-CO"/>
        </w:rPr>
        <w:t xml:space="preserve">, no el convenio interadministrativo. Si el artículo 33 y el parágrafo del artículo 38 de la Ley 996 de 2005 prohibieron la celebración directa de contratos y la suscripción de convenios interadministrativos para la ejecución de recursos públicos, no puede entenderse </w:t>
      </w:r>
      <w:r w:rsidRPr="00820866">
        <w:rPr>
          <w:rFonts w:ascii="Verdana" w:hAnsi="Verdana" w:cs="Arial"/>
          <w:bCs/>
          <w:i/>
          <w:iCs/>
          <w:sz w:val="20"/>
          <w:szCs w:val="20"/>
          <w:lang w:val="es-ES_tradnl" w:eastAsia="es-CO"/>
        </w:rPr>
        <w:t>también</w:t>
      </w:r>
      <w:r w:rsidRPr="00820866">
        <w:rPr>
          <w:rFonts w:ascii="Verdana" w:hAnsi="Verdana" w:cs="Arial"/>
          <w:bCs/>
          <w:sz w:val="20"/>
          <w:szCs w:val="20"/>
          <w:lang w:val="es-ES_tradnl" w:eastAsia="es-CO"/>
        </w:rPr>
        <w:t xml:space="preserve"> prohibida la designación del ente ejecutor, porque se estaría incluyendo una circunstancia que el supuesto de hecho de la restricción no contempla. </w:t>
      </w:r>
    </w:p>
    <w:p w14:paraId="6028760F" w14:textId="77777777" w:rsidR="001E5AD4" w:rsidRDefault="001E5AD4" w:rsidP="00927895">
      <w:pPr>
        <w:spacing w:after="0"/>
        <w:rPr>
          <w:rFonts w:ascii="Verdana" w:hAnsi="Verdana"/>
          <w:lang w:val="es-ES"/>
        </w:rPr>
      </w:pPr>
    </w:p>
    <w:p w14:paraId="17409724" w14:textId="77777777" w:rsidR="001E5AD4" w:rsidRDefault="001E5AD4" w:rsidP="00927895">
      <w:pPr>
        <w:spacing w:after="0"/>
        <w:rPr>
          <w:rFonts w:ascii="Verdana" w:hAnsi="Verdana"/>
          <w:lang w:val="es-ES"/>
        </w:rPr>
      </w:pPr>
    </w:p>
    <w:p w14:paraId="3E58F383" w14:textId="77777777" w:rsidR="001E5AD4" w:rsidRDefault="001E5AD4" w:rsidP="00927895">
      <w:pPr>
        <w:spacing w:after="0"/>
        <w:rPr>
          <w:rFonts w:ascii="Verdana" w:hAnsi="Verdana"/>
          <w:lang w:val="es-ES"/>
        </w:rPr>
      </w:pPr>
    </w:p>
    <w:p w14:paraId="33615388" w14:textId="77777777" w:rsidR="001E5AD4" w:rsidRDefault="001E5AD4" w:rsidP="00927895">
      <w:pPr>
        <w:spacing w:after="0"/>
        <w:rPr>
          <w:rFonts w:ascii="Verdana" w:hAnsi="Verdana"/>
          <w:lang w:val="es-ES"/>
        </w:rPr>
      </w:pPr>
    </w:p>
    <w:p w14:paraId="0DAB5BF9" w14:textId="77777777" w:rsidR="001E5AD4" w:rsidRDefault="001E5AD4" w:rsidP="00927895">
      <w:pPr>
        <w:spacing w:after="0"/>
        <w:rPr>
          <w:rFonts w:ascii="Verdana" w:hAnsi="Verdana"/>
          <w:lang w:val="es-ES"/>
        </w:rPr>
      </w:pPr>
    </w:p>
    <w:p w14:paraId="0D0B3B0A" w14:textId="77777777" w:rsidR="001E5AD4" w:rsidRDefault="001E5AD4" w:rsidP="00927895">
      <w:pPr>
        <w:spacing w:after="0"/>
        <w:rPr>
          <w:rFonts w:ascii="Verdana" w:hAnsi="Verdana"/>
          <w:lang w:val="es-ES"/>
        </w:rPr>
      </w:pPr>
    </w:p>
    <w:p w14:paraId="1AF7B4A3" w14:textId="77777777" w:rsidR="001E5AD4" w:rsidRDefault="001E5AD4" w:rsidP="00927895">
      <w:pPr>
        <w:spacing w:after="0"/>
        <w:rPr>
          <w:rFonts w:ascii="Verdana" w:hAnsi="Verdana"/>
          <w:lang w:val="es-ES"/>
        </w:rPr>
      </w:pPr>
    </w:p>
    <w:p w14:paraId="02C72C19" w14:textId="77777777" w:rsidR="00E66AD4" w:rsidRDefault="00E66AD4" w:rsidP="00927895">
      <w:pPr>
        <w:spacing w:after="0"/>
        <w:rPr>
          <w:rFonts w:ascii="Verdana" w:hAnsi="Verdana"/>
          <w:lang w:val="es-ES"/>
        </w:rPr>
      </w:pPr>
    </w:p>
    <w:p w14:paraId="749502DE" w14:textId="77777777" w:rsidR="001E5AD4" w:rsidRDefault="001E5AD4" w:rsidP="00927895">
      <w:pPr>
        <w:spacing w:after="0"/>
        <w:rPr>
          <w:rFonts w:ascii="Verdana" w:hAnsi="Verdana"/>
          <w:lang w:val="es-ES"/>
        </w:rPr>
      </w:pPr>
    </w:p>
    <w:p w14:paraId="5EDB0D90" w14:textId="77777777" w:rsidR="001E5AD4" w:rsidRDefault="001E5AD4" w:rsidP="00927895">
      <w:pPr>
        <w:spacing w:after="0"/>
        <w:rPr>
          <w:rFonts w:ascii="Verdana" w:hAnsi="Verdana"/>
          <w:lang w:val="es-ES"/>
        </w:rPr>
      </w:pPr>
    </w:p>
    <w:p w14:paraId="7B826485" w14:textId="77777777" w:rsidR="007A74DB" w:rsidRDefault="007A74DB" w:rsidP="007A74DB">
      <w:pPr>
        <w:spacing w:after="0" w:line="240" w:lineRule="auto"/>
        <w:rPr>
          <w:rFonts w:ascii="Verdana" w:eastAsia="Geomanist Light" w:hAnsi="Verdana" w:cs="Arial"/>
          <w:color w:val="000000" w:themeColor="text1"/>
          <w:lang w:val="es-MX"/>
        </w:rPr>
      </w:pPr>
    </w:p>
    <w:p w14:paraId="20F6021F" w14:textId="33567E54" w:rsidR="007A74DB" w:rsidRPr="00A27102" w:rsidRDefault="007A74DB" w:rsidP="007A74DB">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t>Bogotá D.C., </w:t>
      </w:r>
      <w:r w:rsidR="00CF7791">
        <w:rPr>
          <w:rFonts w:ascii="Verdana" w:eastAsia="Geomanist Light" w:hAnsi="Verdana" w:cs="Arial"/>
          <w:color w:val="201F1E"/>
          <w:lang w:val="es-MX"/>
        </w:rPr>
        <w:t>1</w:t>
      </w:r>
      <w:r w:rsidR="009C75C3">
        <w:rPr>
          <w:rFonts w:ascii="Verdana" w:eastAsia="Geomanist Light" w:hAnsi="Verdana" w:cs="Arial"/>
          <w:color w:val="201F1E"/>
          <w:lang w:val="es-MX"/>
        </w:rPr>
        <w:t>0</w:t>
      </w:r>
      <w:r w:rsidR="00CF7791">
        <w:rPr>
          <w:rFonts w:ascii="Verdana" w:eastAsia="Geomanist Light" w:hAnsi="Verdana" w:cs="Arial"/>
          <w:color w:val="201F1E"/>
          <w:lang w:val="es-MX"/>
        </w:rPr>
        <w:t xml:space="preserve"> de diciembre de 2025</w:t>
      </w:r>
    </w:p>
    <w:p w14:paraId="18BC3236" w14:textId="679AFD4E" w:rsidR="007A74DB" w:rsidRDefault="007A74DB" w:rsidP="00CF7791">
      <w:pPr>
        <w:spacing w:after="0"/>
        <w:jc w:val="right"/>
        <w:rPr>
          <w:rFonts w:ascii="Verdana" w:hAnsi="Verdana"/>
          <w:lang w:val="es-ES"/>
        </w:rPr>
      </w:pPr>
    </w:p>
    <w:p w14:paraId="06DEF805" w14:textId="3FF48B74" w:rsidR="007A74DB" w:rsidRPr="00FC6F34" w:rsidRDefault="00CC6216" w:rsidP="007A74DB">
      <w:pPr>
        <w:spacing w:after="0"/>
        <w:rPr>
          <w:rFonts w:ascii="Verdana" w:hAnsi="Verdana"/>
          <w:lang w:val="es-ES"/>
        </w:rPr>
      </w:pPr>
      <w:r w:rsidRPr="00CF7791">
        <w:rPr>
          <w:rFonts w:ascii="Verdana" w:hAnsi="Verdana"/>
          <w:noProof/>
          <w:lang w:val="es-ES"/>
        </w:rPr>
        <w:drawing>
          <wp:anchor distT="0" distB="0" distL="114300" distR="114300" simplePos="0" relativeHeight="251658240" behindDoc="0" locked="0" layoutInCell="1" allowOverlap="1" wp14:anchorId="2723F662" wp14:editId="1A8132A7">
            <wp:simplePos x="0" y="0"/>
            <wp:positionH relativeFrom="margin">
              <wp:align>right</wp:align>
            </wp:positionH>
            <wp:positionV relativeFrom="paragraph">
              <wp:posOffset>4528</wp:posOffset>
            </wp:positionV>
            <wp:extent cx="2173605" cy="819150"/>
            <wp:effectExtent l="0" t="0" r="0" b="0"/>
            <wp:wrapSquare wrapText="bothSides"/>
            <wp:docPr id="5447199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3605"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DD8659" w14:textId="77777777" w:rsidR="007A74DB" w:rsidRDefault="007A74DB" w:rsidP="007A74DB">
      <w:pPr>
        <w:spacing w:after="0" w:line="240" w:lineRule="auto"/>
        <w:rPr>
          <w:rFonts w:ascii="Verdana" w:eastAsia="Calibri" w:hAnsi="Verdana" w:cs="Arial"/>
          <w:color w:val="000000" w:themeColor="text1"/>
          <w:lang w:val="es-ES" w:eastAsia="es-ES"/>
        </w:rPr>
      </w:pPr>
      <w:bookmarkStart w:id="0" w:name="_Hlk143780582"/>
      <w:r>
        <w:rPr>
          <w:rFonts w:ascii="Verdana" w:eastAsia="Calibri" w:hAnsi="Verdana" w:cs="Arial"/>
          <w:color w:val="000000" w:themeColor="text1"/>
          <w:lang w:val="es-ES" w:eastAsia="es-ES"/>
        </w:rPr>
        <w:t>Señor</w:t>
      </w:r>
    </w:p>
    <w:p w14:paraId="7777D673" w14:textId="77777777" w:rsidR="007A74DB" w:rsidRPr="006713F3" w:rsidRDefault="007A74DB" w:rsidP="007A74DB">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 xml:space="preserve">Jorge Andrés Baquero Vanegas </w:t>
      </w:r>
      <w:r w:rsidRPr="006713F3">
        <w:rPr>
          <w:rFonts w:ascii="Verdana" w:eastAsia="Calibri" w:hAnsi="Verdana" w:cs="Arial"/>
          <w:b/>
          <w:bCs/>
          <w:color w:val="000000" w:themeColor="text1"/>
          <w:lang w:val="es-ES" w:eastAsia="es-ES"/>
        </w:rPr>
        <w:t xml:space="preserve"> </w:t>
      </w:r>
    </w:p>
    <w:p w14:paraId="4B6AFCFA" w14:textId="77777777" w:rsidR="007A74DB" w:rsidRPr="006713F3" w:rsidRDefault="007A74DB" w:rsidP="007A74DB">
      <w:pPr>
        <w:spacing w:after="0" w:line="240" w:lineRule="auto"/>
        <w:rPr>
          <w:rFonts w:ascii="Verdana" w:eastAsia="Calibri" w:hAnsi="Verdana" w:cs="Arial"/>
          <w:b/>
          <w:bCs/>
          <w:color w:val="000000" w:themeColor="text1"/>
          <w:lang w:val="es-ES" w:eastAsia="es-ES"/>
        </w:rPr>
      </w:pPr>
      <w:r w:rsidRPr="006713F3">
        <w:rPr>
          <w:rFonts w:ascii="Verdana" w:eastAsia="Calibri" w:hAnsi="Verdana" w:cs="Arial"/>
          <w:b/>
          <w:bCs/>
          <w:color w:val="000000" w:themeColor="text1"/>
          <w:lang w:val="es-ES" w:eastAsia="es-ES"/>
        </w:rPr>
        <w:t>Dire</w:t>
      </w:r>
      <w:r>
        <w:rPr>
          <w:rFonts w:ascii="Verdana" w:eastAsia="Calibri" w:hAnsi="Verdana" w:cs="Arial"/>
          <w:b/>
          <w:bCs/>
          <w:color w:val="000000" w:themeColor="text1"/>
          <w:lang w:val="es-ES" w:eastAsia="es-ES"/>
        </w:rPr>
        <w:t xml:space="preserve">ctor ejecutivo </w:t>
      </w:r>
      <w:r w:rsidRPr="006713F3">
        <w:rPr>
          <w:rFonts w:ascii="Verdana" w:eastAsia="Calibri" w:hAnsi="Verdana" w:cs="Arial"/>
          <w:b/>
          <w:bCs/>
          <w:color w:val="000000" w:themeColor="text1"/>
          <w:lang w:val="es-ES" w:eastAsia="es-ES"/>
        </w:rPr>
        <w:t xml:space="preserve"> </w:t>
      </w:r>
    </w:p>
    <w:p w14:paraId="6277DEC1" w14:textId="77777777" w:rsidR="007A74DB" w:rsidRPr="006713F3" w:rsidRDefault="007A74DB" w:rsidP="007A74DB">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ASOSUPRO</w:t>
      </w:r>
    </w:p>
    <w:p w14:paraId="2BA98D72" w14:textId="77777777" w:rsidR="007A74DB" w:rsidRPr="006713F3" w:rsidRDefault="007A74DB" w:rsidP="007A74DB">
      <w:pPr>
        <w:spacing w:after="0" w:line="240" w:lineRule="auto"/>
        <w:jc w:val="both"/>
        <w:rPr>
          <w:rFonts w:ascii="Verdana" w:hAnsi="Verdana"/>
          <w:lang w:val="es-ES"/>
        </w:rPr>
      </w:pPr>
      <w:hyperlink r:id="rId12" w:history="1">
        <w:r w:rsidRPr="00B55C5D">
          <w:rPr>
            <w:rStyle w:val="Hipervnculo"/>
            <w:rFonts w:ascii="Verdana" w:hAnsi="Verdana"/>
            <w:lang w:val="es-ES"/>
          </w:rPr>
          <w:t>juridica@asosupro.gov.co</w:t>
        </w:r>
      </w:hyperlink>
      <w:r>
        <w:rPr>
          <w:rFonts w:ascii="Verdana" w:hAnsi="Verdana"/>
          <w:lang w:val="es-ES"/>
        </w:rPr>
        <w:t xml:space="preserve">, </w:t>
      </w:r>
      <w:hyperlink r:id="rId13" w:history="1">
        <w:r w:rsidRPr="00B55C5D">
          <w:rPr>
            <w:rStyle w:val="Hipervnculo"/>
            <w:rFonts w:ascii="Verdana" w:hAnsi="Verdana"/>
            <w:lang w:val="es-ES"/>
          </w:rPr>
          <w:t>direccionejecutiva@asosupro.gov.co</w:t>
        </w:r>
      </w:hyperlink>
      <w:r>
        <w:rPr>
          <w:rFonts w:ascii="Verdana" w:hAnsi="Verdana"/>
          <w:lang w:val="es-ES"/>
        </w:rPr>
        <w:t xml:space="preserve">, </w:t>
      </w:r>
      <w:hyperlink r:id="rId14" w:history="1">
        <w:r w:rsidRPr="00B55C5D">
          <w:rPr>
            <w:rStyle w:val="Hipervnculo"/>
            <w:rFonts w:ascii="Verdana" w:hAnsi="Verdana"/>
            <w:lang w:val="es-ES"/>
          </w:rPr>
          <w:t>info@asosupro.gov.co</w:t>
        </w:r>
      </w:hyperlink>
      <w:r>
        <w:rPr>
          <w:rFonts w:ascii="Verdana" w:hAnsi="Verdana"/>
          <w:lang w:val="es-ES"/>
        </w:rPr>
        <w:t xml:space="preserve">, </w:t>
      </w:r>
      <w:hyperlink r:id="rId15" w:history="1">
        <w:r w:rsidRPr="00B55C5D">
          <w:rPr>
            <w:rStyle w:val="Hipervnculo"/>
            <w:rFonts w:ascii="Verdana" w:hAnsi="Verdana"/>
            <w:lang w:val="es-ES"/>
          </w:rPr>
          <w:t>juridica@asosupro.gov.co</w:t>
        </w:r>
      </w:hyperlink>
      <w:r>
        <w:rPr>
          <w:rFonts w:ascii="Verdana" w:hAnsi="Verdana"/>
          <w:lang w:val="es-ES"/>
        </w:rPr>
        <w:t xml:space="preserve"> </w:t>
      </w:r>
    </w:p>
    <w:p w14:paraId="22A42782" w14:textId="77777777" w:rsidR="007A74DB" w:rsidRPr="00BC4697" w:rsidRDefault="007A74DB" w:rsidP="007A74DB">
      <w:pPr>
        <w:spacing w:after="0" w:line="240" w:lineRule="auto"/>
        <w:rPr>
          <w:rFonts w:ascii="Verdana" w:eastAsia="Calibri" w:hAnsi="Verdana" w:cs="Arial"/>
          <w:color w:val="000000" w:themeColor="text1"/>
          <w:lang w:eastAsia="es-ES"/>
        </w:rPr>
      </w:pPr>
      <w:r>
        <w:rPr>
          <w:rFonts w:ascii="Verdana" w:hAnsi="Verdana"/>
          <w:lang w:val="es-ES"/>
        </w:rPr>
        <w:t>Villavicencio, Meta</w:t>
      </w:r>
    </w:p>
    <w:p w14:paraId="0E8C5895" w14:textId="77777777" w:rsidR="007A74DB" w:rsidRPr="00FC6F34" w:rsidRDefault="007A74DB" w:rsidP="007A74DB">
      <w:pPr>
        <w:spacing w:after="0" w:line="240" w:lineRule="auto"/>
        <w:rPr>
          <w:rFonts w:ascii="Verdana" w:eastAsia="Calibri" w:hAnsi="Verdana" w:cs="Arial"/>
          <w:b/>
          <w:bCs/>
          <w:color w:val="000000" w:themeColor="text1"/>
          <w:lang w:val="es-ES" w:eastAsia="es-ES"/>
        </w:rPr>
      </w:pPr>
    </w:p>
    <w:tbl>
      <w:tblPr>
        <w:tblStyle w:val="Tablaconcuadrcula"/>
        <w:tblW w:w="906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66"/>
        <w:gridCol w:w="6496"/>
      </w:tblGrid>
      <w:tr w:rsidR="007A74DB" w:rsidRPr="00FC6F34" w14:paraId="5585450C" w14:textId="77777777" w:rsidTr="00FE6ED8">
        <w:trPr>
          <w:trHeight w:val="304"/>
        </w:trPr>
        <w:tc>
          <w:tcPr>
            <w:tcW w:w="2566" w:type="dxa"/>
          </w:tcPr>
          <w:p w14:paraId="392F0201" w14:textId="77777777" w:rsidR="007A74DB" w:rsidRPr="00FC6F34" w:rsidRDefault="007A74DB" w:rsidP="00FE6ED8">
            <w:pPr>
              <w:ind w:left="-142"/>
              <w:jc w:val="both"/>
              <w:rPr>
                <w:rFonts w:ascii="Verdana" w:eastAsia="Calibri" w:hAnsi="Verdana" w:cs="Arial"/>
                <w:b/>
                <w:bCs/>
                <w:color w:val="000000" w:themeColor="text1"/>
                <w:lang w:val="es-ES" w:eastAsia="es-ES_tradnl"/>
              </w:rPr>
            </w:pPr>
          </w:p>
        </w:tc>
        <w:tc>
          <w:tcPr>
            <w:tcW w:w="6496" w:type="dxa"/>
          </w:tcPr>
          <w:p w14:paraId="5B6CAAD7" w14:textId="77777777" w:rsidR="007A74DB" w:rsidRDefault="007A74DB" w:rsidP="00FE6ED8">
            <w:pPr>
              <w:ind w:left="3"/>
              <w:jc w:val="both"/>
              <w:rPr>
                <w:rFonts w:ascii="Verdana" w:eastAsia="Calibri" w:hAnsi="Verdana" w:cs="Arial"/>
                <w:b/>
                <w:bCs/>
                <w:color w:val="000000" w:themeColor="text1"/>
                <w:lang w:val="es-ES" w:eastAsia="es-ES"/>
              </w:rPr>
            </w:pPr>
          </w:p>
          <w:p w14:paraId="72E2E912" w14:textId="77777777" w:rsidR="007A74DB" w:rsidRPr="00FC6F34" w:rsidRDefault="007A74DB" w:rsidP="00FE6ED8">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 xml:space="preserve">1613 </w:t>
            </w:r>
            <w:r w:rsidRPr="00FC6F34">
              <w:rPr>
                <w:rFonts w:ascii="Verdana" w:eastAsia="Calibri" w:hAnsi="Verdana" w:cs="Arial"/>
                <w:b/>
                <w:bCs/>
                <w:color w:val="000000" w:themeColor="text1"/>
                <w:lang w:val="es-ES" w:eastAsia="es-ES"/>
              </w:rPr>
              <w:t>de 2025</w:t>
            </w:r>
          </w:p>
          <w:p w14:paraId="0614581F" w14:textId="77777777" w:rsidR="007A74DB" w:rsidRPr="00FC6F34" w:rsidRDefault="007A74DB" w:rsidP="00FE6ED8">
            <w:pPr>
              <w:ind w:left="3"/>
              <w:jc w:val="both"/>
              <w:rPr>
                <w:rFonts w:ascii="Verdana" w:eastAsia="Calibri" w:hAnsi="Verdana" w:cs="Arial"/>
                <w:b/>
                <w:bCs/>
                <w:color w:val="000000" w:themeColor="text1"/>
                <w:lang w:val="es-ES" w:eastAsia="es-ES"/>
              </w:rPr>
            </w:pPr>
          </w:p>
        </w:tc>
      </w:tr>
      <w:tr w:rsidR="007A74DB" w:rsidRPr="00FC6F34" w14:paraId="39C6E64F" w14:textId="77777777" w:rsidTr="00FE6ED8">
        <w:trPr>
          <w:trHeight w:val="304"/>
        </w:trPr>
        <w:tc>
          <w:tcPr>
            <w:tcW w:w="2566" w:type="dxa"/>
          </w:tcPr>
          <w:p w14:paraId="74B6C881" w14:textId="77777777" w:rsidR="007A74DB" w:rsidRPr="00FC6F34" w:rsidRDefault="007A74DB" w:rsidP="00FE6ED8">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496" w:type="dxa"/>
          </w:tcPr>
          <w:p w14:paraId="2336F354" w14:textId="77777777" w:rsidR="007A74DB" w:rsidRDefault="007A74DB" w:rsidP="00FE6ED8">
            <w:pPr>
              <w:spacing w:line="276" w:lineRule="auto"/>
              <w:jc w:val="both"/>
              <w:rPr>
                <w:rFonts w:ascii="Verdana" w:eastAsia="Arial" w:hAnsi="Verdana" w:cs="Arial"/>
                <w:bCs/>
                <w:color w:val="000000" w:themeColor="text1"/>
              </w:rPr>
            </w:pPr>
            <w:r w:rsidRPr="00817818">
              <w:rPr>
                <w:rFonts w:ascii="Verdana" w:eastAsia="Calibri" w:hAnsi="Verdana" w:cs="Arial"/>
                <w:lang w:val="es-ES" w:eastAsia="es-ES"/>
              </w:rPr>
              <w:t>SISTEMA GENERAL DE REGALÍAS – Ley 2056 de 2020 – Finalidad – Objeto</w:t>
            </w:r>
            <w:r>
              <w:rPr>
                <w:rFonts w:ascii="Verdana" w:eastAsia="Calibri" w:hAnsi="Verdana" w:cs="Arial"/>
                <w:lang w:val="es-ES" w:eastAsia="es-ES"/>
              </w:rPr>
              <w:t xml:space="preserve"> / </w:t>
            </w:r>
            <w:r w:rsidRPr="00817818">
              <w:rPr>
                <w:rFonts w:ascii="Verdana" w:eastAsia="Calibri" w:hAnsi="Verdana" w:cs="Arial"/>
                <w:lang w:val="es-ES" w:eastAsia="es-ES"/>
              </w:rPr>
              <w:t>ENTIDADES EJECUTORAS – Designación – Acto administrativo</w:t>
            </w:r>
            <w:r>
              <w:rPr>
                <w:rFonts w:ascii="Verdana" w:eastAsia="Calibri" w:hAnsi="Verdana" w:cs="Arial"/>
                <w:lang w:val="es-ES" w:eastAsia="es-ES"/>
              </w:rPr>
              <w:t xml:space="preserve"> / </w:t>
            </w: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w:t>
            </w:r>
            <w:r w:rsidRPr="00FC6F34">
              <w:rPr>
                <w:rFonts w:ascii="Verdana" w:eastAsia="Calibri" w:hAnsi="Verdana" w:cs="Arial"/>
                <w:lang w:val="es-ES" w:eastAsia="es-ES"/>
              </w:rPr>
              <w:t xml:space="preserve">LEY DE GARANTÍAS ELECTORALES ‒ </w:t>
            </w:r>
            <w:r>
              <w:rPr>
                <w:rFonts w:ascii="Verdana" w:eastAsia="Calibri" w:hAnsi="Verdana" w:cs="Arial"/>
                <w:lang w:val="es-ES" w:eastAsia="es-ES"/>
              </w:rPr>
              <w:t xml:space="preserve">Aplicación </w:t>
            </w:r>
            <w:r w:rsidRPr="00FC6F34">
              <w:rPr>
                <w:rFonts w:ascii="Verdana" w:eastAsia="Calibri" w:hAnsi="Verdana" w:cs="Arial"/>
                <w:lang w:val="es-ES" w:eastAsia="es-ES"/>
              </w:rPr>
              <w:t>‒</w:t>
            </w:r>
            <w:r>
              <w:rPr>
                <w:rFonts w:ascii="Verdana" w:eastAsia="Calibri" w:hAnsi="Verdana" w:cs="Arial"/>
                <w:lang w:val="es-ES" w:eastAsia="es-ES"/>
              </w:rPr>
              <w:t xml:space="preserve"> Acto de designación SGR</w:t>
            </w:r>
          </w:p>
          <w:p w14:paraId="0E2197BD" w14:textId="77777777" w:rsidR="007A74DB" w:rsidRPr="00FC6F34" w:rsidRDefault="007A74DB" w:rsidP="00FE6ED8">
            <w:pPr>
              <w:spacing w:line="276" w:lineRule="auto"/>
              <w:jc w:val="both"/>
              <w:rPr>
                <w:rFonts w:ascii="Verdana" w:eastAsia="Calibri" w:hAnsi="Verdana" w:cs="Arial"/>
                <w:color w:val="000000" w:themeColor="text1"/>
                <w:lang w:val="es-ES" w:eastAsia="es-ES"/>
              </w:rPr>
            </w:pPr>
          </w:p>
        </w:tc>
      </w:tr>
      <w:tr w:rsidR="007A74DB" w:rsidRPr="00FC6F34" w14:paraId="6E5D9746" w14:textId="77777777" w:rsidTr="00FE6ED8">
        <w:trPr>
          <w:trHeight w:val="770"/>
        </w:trPr>
        <w:tc>
          <w:tcPr>
            <w:tcW w:w="2566" w:type="dxa"/>
          </w:tcPr>
          <w:p w14:paraId="1E7E2477" w14:textId="77777777" w:rsidR="007A74DB" w:rsidRPr="00FC6F34" w:rsidRDefault="007A74DB" w:rsidP="00FE6ED8">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496" w:type="dxa"/>
          </w:tcPr>
          <w:p w14:paraId="6849B2CF" w14:textId="77777777" w:rsidR="007A74DB" w:rsidRPr="00FC6F34" w:rsidRDefault="007A74DB" w:rsidP="00FE6ED8">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w:t>
            </w:r>
            <w:r>
              <w:rPr>
                <w:rFonts w:ascii="Verdana" w:eastAsia="Calibri" w:hAnsi="Verdana" w:cs="Arial"/>
                <w:color w:val="000000" w:themeColor="text1"/>
                <w:lang w:val="es-ES" w:eastAsia="es-ES"/>
              </w:rPr>
              <w:t xml:space="preserve">las </w:t>
            </w:r>
            <w:r w:rsidRPr="00FC6F34">
              <w:rPr>
                <w:rFonts w:ascii="Verdana" w:eastAsia="Calibri" w:hAnsi="Verdana" w:cs="Arial"/>
                <w:color w:val="000000" w:themeColor="text1"/>
                <w:lang w:val="es-ES" w:eastAsia="es-ES"/>
              </w:rPr>
              <w:t>consulta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No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0204C4">
              <w:rPr>
                <w:rFonts w:ascii="Verdana" w:eastAsia="Calibri" w:hAnsi="Verdana" w:cs="Arial"/>
                <w:color w:val="000000" w:themeColor="text1"/>
                <w:lang w:val="es-ES" w:eastAsia="es-ES"/>
              </w:rPr>
              <w:t xml:space="preserve">1_2025_10_31_012321 </w:t>
            </w:r>
            <w:r>
              <w:rPr>
                <w:rFonts w:ascii="Verdana" w:eastAsia="Calibri" w:hAnsi="Verdana" w:cs="Arial"/>
                <w:color w:val="000000" w:themeColor="text1"/>
                <w:lang w:val="es-ES" w:eastAsia="es-ES"/>
              </w:rPr>
              <w:t>y</w:t>
            </w:r>
            <w:r w:rsidRPr="000204C4">
              <w:rPr>
                <w:rFonts w:ascii="Verdana" w:eastAsia="Calibri" w:hAnsi="Verdana" w:cs="Arial"/>
                <w:color w:val="000000" w:themeColor="text1"/>
                <w:lang w:val="es-ES" w:eastAsia="es-ES"/>
              </w:rPr>
              <w:t xml:space="preserve"> 1_2025_10_31_012320</w:t>
            </w:r>
          </w:p>
        </w:tc>
      </w:tr>
    </w:tbl>
    <w:p w14:paraId="17813DBC" w14:textId="77777777" w:rsidR="007A74DB" w:rsidRPr="00FC6F34" w:rsidRDefault="007A74DB" w:rsidP="007A74DB">
      <w:pPr>
        <w:spacing w:after="0" w:line="276" w:lineRule="auto"/>
        <w:jc w:val="both"/>
        <w:rPr>
          <w:rFonts w:ascii="Verdana" w:eastAsia="Calibri" w:hAnsi="Verdana" w:cs="Arial"/>
          <w:color w:val="000000" w:themeColor="text1"/>
          <w:lang w:val="es-ES" w:eastAsia="es-ES"/>
        </w:rPr>
      </w:pPr>
    </w:p>
    <w:p w14:paraId="542A1EF3" w14:textId="77777777" w:rsidR="007A74DB" w:rsidRPr="00FC6F34" w:rsidRDefault="007A74DB" w:rsidP="007A74DB">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señor Baquero</w:t>
      </w:r>
      <w:r w:rsidRPr="00FC6F34">
        <w:rPr>
          <w:rFonts w:ascii="Verdana" w:eastAsia="Calibri" w:hAnsi="Verdana" w:cs="Arial"/>
          <w:color w:val="000000" w:themeColor="text1"/>
          <w:lang w:val="es-ES" w:eastAsia="es-ES"/>
        </w:rPr>
        <w:t>:</w:t>
      </w:r>
    </w:p>
    <w:p w14:paraId="6EF23F52" w14:textId="77777777" w:rsidR="007A74DB" w:rsidRPr="00FC6F34" w:rsidRDefault="007A74DB" w:rsidP="007A74DB">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5E740DF8" w14:textId="77777777" w:rsidR="007A74DB" w:rsidRPr="00FC6F34" w:rsidRDefault="007A74DB" w:rsidP="007A74DB">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FC6F34">
        <w:rPr>
          <w:rFonts w:ascii="Verdana" w:hAnsi="Verdana" w:cs="Arial"/>
          <w:color w:val="000000" w:themeColor="text1"/>
          <w:lang w:val="es-ES"/>
        </w:rPr>
        <w:t xml:space="preserve">, </w:t>
      </w:r>
      <w:r w:rsidRPr="00FC6F34">
        <w:rPr>
          <w:rFonts w:ascii="Verdana" w:eastAsia="Calibri" w:hAnsi="Verdana" w:cs="Arial"/>
          <w:color w:val="000000" w:themeColor="text1"/>
          <w:lang w:val="es-ES" w:eastAsia="es-ES"/>
        </w:rPr>
        <w:t xml:space="preserve">la Agencia Nacional de Contratación Pública – Colombia Compra Eficiente– responde su solicitud </w:t>
      </w:r>
      <w:r>
        <w:rPr>
          <w:rFonts w:ascii="Verdana" w:eastAsia="Calibri" w:hAnsi="Verdana" w:cs="Arial"/>
          <w:color w:val="000000" w:themeColor="text1"/>
          <w:lang w:val="es-ES" w:eastAsia="es-ES"/>
        </w:rPr>
        <w:t>remitida por competencia por el Departamento Nacional de Planeación el</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 xml:space="preserve">31 </w:t>
      </w:r>
      <w:r w:rsidRPr="00FC6F34">
        <w:rPr>
          <w:rFonts w:ascii="Verdana" w:eastAsia="Calibri" w:hAnsi="Verdana" w:cs="Arial"/>
          <w:color w:val="000000" w:themeColor="text1"/>
          <w:lang w:val="es-ES" w:eastAsia="es-ES"/>
        </w:rPr>
        <w:t xml:space="preserve">de </w:t>
      </w:r>
      <w:r>
        <w:rPr>
          <w:rFonts w:ascii="Verdana" w:eastAsia="Calibri" w:hAnsi="Verdana" w:cs="Arial"/>
          <w:color w:val="000000" w:themeColor="text1"/>
          <w:lang w:val="es-ES" w:eastAsia="es-ES"/>
        </w:rPr>
        <w:t>octubre</w:t>
      </w:r>
      <w:r w:rsidRPr="00FC6F34">
        <w:rPr>
          <w:rFonts w:ascii="Verdana" w:eastAsia="Calibri" w:hAnsi="Verdana" w:cs="Arial"/>
          <w:color w:val="000000" w:themeColor="text1"/>
          <w:lang w:val="es-ES" w:eastAsia="es-ES"/>
        </w:rPr>
        <w:t xml:space="preserve"> de 2025, en la</w:t>
      </w:r>
      <w:r>
        <w:rPr>
          <w:rFonts w:ascii="Verdana" w:eastAsia="Calibri" w:hAnsi="Verdana" w:cs="Arial"/>
          <w:color w:val="000000" w:themeColor="text1"/>
          <w:lang w:val="es-ES" w:eastAsia="es-ES"/>
        </w:rPr>
        <w:t xml:space="preserve"> cual pregunta</w:t>
      </w:r>
      <w:r w:rsidRPr="00FC6F34">
        <w:rPr>
          <w:rFonts w:ascii="Verdana" w:eastAsia="Calibri" w:hAnsi="Verdana" w:cs="Arial"/>
          <w:color w:val="000000" w:themeColor="text1"/>
          <w:lang w:val="es-ES" w:eastAsia="es-ES"/>
        </w:rPr>
        <w:t xml:space="preserve"> lo siguiente: </w:t>
      </w:r>
    </w:p>
    <w:p w14:paraId="2548D390" w14:textId="77777777" w:rsidR="007A74DB" w:rsidRPr="00BF306B" w:rsidRDefault="007A74DB" w:rsidP="007A74DB">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75E90770" w14:textId="77777777" w:rsidR="007A74DB" w:rsidRDefault="007A74DB" w:rsidP="007A74DB">
      <w:pPr>
        <w:spacing w:after="0" w:line="240" w:lineRule="auto"/>
        <w:ind w:left="709" w:right="709"/>
        <w:jc w:val="both"/>
        <w:rPr>
          <w:rFonts w:ascii="Verdana" w:eastAsia="Century Gothic" w:hAnsi="Verdana" w:cs="Century Gothic"/>
          <w:i/>
          <w:color w:val="000000" w:themeColor="text1"/>
          <w:sz w:val="20"/>
          <w:szCs w:val="20"/>
          <w:lang w:val="es-ES"/>
        </w:rPr>
      </w:pPr>
      <w:r w:rsidRPr="001A70DA">
        <w:rPr>
          <w:rFonts w:ascii="Verdana" w:eastAsia="Century Gothic" w:hAnsi="Verdana" w:cs="Century Gothic"/>
          <w:i/>
          <w:color w:val="000000" w:themeColor="text1"/>
          <w:sz w:val="20"/>
          <w:szCs w:val="20"/>
          <w:lang w:val="es-ES"/>
        </w:rPr>
        <w:t>“</w:t>
      </w:r>
      <w:r>
        <w:rPr>
          <w:rFonts w:ascii="Verdana" w:eastAsia="Century Gothic" w:hAnsi="Verdana" w:cs="Century Gothic"/>
          <w:i/>
          <w:color w:val="000000" w:themeColor="text1"/>
          <w:sz w:val="20"/>
          <w:szCs w:val="20"/>
          <w:lang w:val="es-ES"/>
        </w:rPr>
        <w:t>Por medio de la presente, me permito solicitar de manera respetuosa, emitir concepto sobra la procedencia de realizar designaciones como ente ejecutor durante la vigencia de la Ley de Garantías Electorales, conforme a lo establecido en la Ley 996 de 2005.</w:t>
      </w:r>
    </w:p>
    <w:p w14:paraId="07CF4283" w14:textId="77777777" w:rsidR="007A74DB" w:rsidRDefault="007A74DB" w:rsidP="007A74DB">
      <w:pPr>
        <w:spacing w:after="0" w:line="240" w:lineRule="auto"/>
        <w:ind w:left="709" w:right="709"/>
        <w:jc w:val="both"/>
        <w:rPr>
          <w:rFonts w:ascii="Verdana" w:eastAsia="Century Gothic" w:hAnsi="Verdana" w:cs="Century Gothic"/>
          <w:i/>
          <w:color w:val="000000" w:themeColor="text1"/>
          <w:sz w:val="20"/>
          <w:szCs w:val="20"/>
          <w:lang w:val="es-ES"/>
        </w:rPr>
      </w:pPr>
    </w:p>
    <w:p w14:paraId="35374194" w14:textId="77777777" w:rsidR="007A74DB" w:rsidRDefault="007A74DB" w:rsidP="007A74DB">
      <w:pPr>
        <w:spacing w:after="0" w:line="240" w:lineRule="auto"/>
        <w:ind w:left="709" w:right="709"/>
        <w:jc w:val="both"/>
        <w:rPr>
          <w:rFonts w:ascii="Verdana" w:hAnsi="Verdana"/>
          <w:sz w:val="20"/>
          <w:szCs w:val="20"/>
        </w:rPr>
      </w:pPr>
      <w:r>
        <w:rPr>
          <w:rFonts w:ascii="Verdana" w:eastAsia="Century Gothic" w:hAnsi="Verdana" w:cs="Century Gothic"/>
          <w:i/>
          <w:color w:val="000000" w:themeColor="text1"/>
          <w:sz w:val="20"/>
          <w:szCs w:val="20"/>
          <w:lang w:val="es-ES"/>
        </w:rPr>
        <w:t xml:space="preserve">En particular, se requiere precisar si es jurídicamente viable que una entidad territorial, como una Gobernación, designe mediante acto administrativo a una asociación de municipios como ente ejecutor durante el periodo de aplicación de la citada ley, o si dicha actuación se encuentra dentro de las prohibiciones establecidas en ella”. </w:t>
      </w:r>
    </w:p>
    <w:p w14:paraId="23DBA821" w14:textId="77777777" w:rsidR="007A74DB" w:rsidRPr="00FC6F34" w:rsidRDefault="007A74DB" w:rsidP="007A74DB">
      <w:pPr>
        <w:spacing w:after="0" w:line="276" w:lineRule="auto"/>
        <w:ind w:right="709"/>
        <w:jc w:val="both"/>
        <w:rPr>
          <w:rFonts w:ascii="Verdana" w:eastAsia="Calibri" w:hAnsi="Verdana" w:cs="Arial"/>
          <w:lang w:val="es-ES"/>
        </w:rPr>
      </w:pPr>
    </w:p>
    <w:p w14:paraId="3CCDB9E7" w14:textId="77777777" w:rsidR="007A74DB" w:rsidRPr="00FC6F34" w:rsidRDefault="007A74DB" w:rsidP="007A74DB">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3B61AA6F" w14:textId="77777777" w:rsidR="007A74DB" w:rsidRPr="00FC6F34" w:rsidRDefault="007A74DB" w:rsidP="007A74DB">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FC6F34">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de su consulta. </w:t>
      </w:r>
    </w:p>
    <w:p w14:paraId="2CD44429" w14:textId="77777777" w:rsidR="007A74DB" w:rsidRPr="00FC6F34" w:rsidRDefault="007A74DB" w:rsidP="007A74DB">
      <w:pPr>
        <w:spacing w:after="0" w:line="276" w:lineRule="auto"/>
        <w:ind w:firstLine="709"/>
        <w:jc w:val="both"/>
        <w:rPr>
          <w:rFonts w:ascii="Verdana" w:eastAsia="Calibri" w:hAnsi="Verdana" w:cs="Arial"/>
          <w:color w:val="000000" w:themeColor="text1"/>
          <w:lang w:val="es-ES" w:eastAsia="es-ES"/>
        </w:rPr>
      </w:pPr>
    </w:p>
    <w:p w14:paraId="66479895" w14:textId="77777777" w:rsidR="007A74DB" w:rsidRPr="00FC6F34" w:rsidRDefault="007A74DB" w:rsidP="007A74D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63B5751A" w14:textId="77777777" w:rsidR="007A74DB" w:rsidRPr="00FC6F34" w:rsidRDefault="007A74DB" w:rsidP="007A74DB">
      <w:pPr>
        <w:tabs>
          <w:tab w:val="left" w:pos="426"/>
        </w:tabs>
        <w:spacing w:after="0" w:line="276" w:lineRule="auto"/>
        <w:jc w:val="both"/>
        <w:rPr>
          <w:rFonts w:ascii="Verdana" w:eastAsia="Century Gothic" w:hAnsi="Verdana" w:cs="Century Gothic"/>
          <w:color w:val="000000" w:themeColor="text1"/>
          <w:lang w:val="es-ES"/>
        </w:rPr>
      </w:pPr>
    </w:p>
    <w:p w14:paraId="435A52A4" w14:textId="77777777" w:rsidR="007A74DB" w:rsidRPr="00FC6F34" w:rsidRDefault="007A74DB" w:rsidP="007A74DB">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FC6F34">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w:t>
      </w:r>
      <w:r>
        <w:rPr>
          <w:rFonts w:ascii="Verdana" w:eastAsia="Century Gothic" w:hAnsi="Verdana" w:cs="Century Gothic"/>
          <w:color w:val="000000" w:themeColor="text1"/>
          <w:lang w:val="es-ES"/>
        </w:rPr>
        <w:t xml:space="preserve"> i) </w:t>
      </w:r>
      <w:r>
        <w:rPr>
          <w:rFonts w:ascii="Verdana" w:eastAsia="Century Gothic" w:hAnsi="Verdana" w:cs="Century Gothic"/>
        </w:rPr>
        <w:t xml:space="preserve">¿cuál es la naturaleza jurídica del acto mediante el cual se designa a la entidad ejecutora en los proyectos adelantados con cargo al Sistema General de Regalías?, y ii) </w:t>
      </w:r>
      <w:r w:rsidRPr="004D22F7">
        <w:rPr>
          <w:rFonts w:ascii="Verdana" w:eastAsia="Century Gothic" w:hAnsi="Verdana" w:cs="Century Gothic"/>
          <w:iCs/>
          <w:color w:val="000000" w:themeColor="text1"/>
          <w:lang w:val="es-ES"/>
        </w:rPr>
        <w:t>¿</w:t>
      </w:r>
      <w:r>
        <w:rPr>
          <w:rFonts w:ascii="Verdana" w:eastAsia="Century Gothic" w:hAnsi="Verdana" w:cs="Century Gothic"/>
          <w:iCs/>
          <w:color w:val="000000" w:themeColor="text1"/>
          <w:lang w:val="es-ES"/>
        </w:rPr>
        <w:t xml:space="preserve">aplican </w:t>
      </w:r>
      <w:r>
        <w:rPr>
          <w:rFonts w:ascii="Verdana" w:eastAsia="Century Gothic" w:hAnsi="Verdana" w:cs="Century Gothic"/>
        </w:rPr>
        <w:t>las restricciones previstas en los artículos 33 y 38 de la Ley 996 de 2005 frente al acto de designación de la entidad ejecutora en el marco del Sistema General de Regalías</w:t>
      </w:r>
      <w:r>
        <w:rPr>
          <w:rFonts w:ascii="Verdana" w:eastAsia="Century Gothic" w:hAnsi="Verdana" w:cs="Century Gothic"/>
          <w:iCs/>
          <w:color w:val="000000" w:themeColor="text1"/>
          <w:lang w:val="es-ES"/>
        </w:rPr>
        <w:t>?</w:t>
      </w:r>
    </w:p>
    <w:p w14:paraId="7B214281" w14:textId="77777777" w:rsidR="007A74DB" w:rsidRPr="00FC6F34" w:rsidRDefault="007A74DB" w:rsidP="007A74DB">
      <w:pPr>
        <w:spacing w:after="0" w:line="276" w:lineRule="auto"/>
        <w:jc w:val="both"/>
        <w:rPr>
          <w:rFonts w:ascii="Verdana" w:eastAsia="Calibri" w:hAnsi="Verdana" w:cs="Arial"/>
          <w:color w:val="000000" w:themeColor="text1"/>
          <w:lang w:val="es-ES"/>
        </w:rPr>
      </w:pPr>
    </w:p>
    <w:p w14:paraId="46014267" w14:textId="77777777" w:rsidR="007A74DB" w:rsidRPr="00FC6F34" w:rsidRDefault="007A74DB" w:rsidP="007A74D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395D46DB" w14:textId="77777777" w:rsidR="007A74DB" w:rsidRPr="00FC6F34" w:rsidRDefault="007A74DB" w:rsidP="007A74D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A74DB" w:rsidRPr="00FC6F34" w14:paraId="5E835297" w14:textId="77777777" w:rsidTr="00FE6ED8">
        <w:tc>
          <w:tcPr>
            <w:tcW w:w="8828" w:type="dxa"/>
          </w:tcPr>
          <w:p w14:paraId="4A740671" w14:textId="77777777" w:rsidR="007A74DB" w:rsidRDefault="007A74DB" w:rsidP="00FE6ED8">
            <w:pPr>
              <w:spacing w:after="120" w:line="276" w:lineRule="auto"/>
              <w:jc w:val="both"/>
              <w:rPr>
                <w:rFonts w:ascii="Verdana" w:hAnsi="Verdana"/>
              </w:rPr>
            </w:pPr>
            <w:r>
              <w:rPr>
                <w:rFonts w:ascii="Verdana" w:hAnsi="Verdana"/>
              </w:rPr>
              <w:t>i. L</w:t>
            </w:r>
            <w:r w:rsidRPr="007A47F9">
              <w:rPr>
                <w:rFonts w:ascii="Verdana" w:hAnsi="Verdana"/>
              </w:rPr>
              <w:t>a designación de la entidad ejecutora en los proyectos adelantados con cargo al Sistema General de Regalías corresponde a un acto administrativo</w:t>
            </w:r>
            <w:r>
              <w:rPr>
                <w:rFonts w:ascii="Verdana" w:hAnsi="Verdana"/>
              </w:rPr>
              <w:t xml:space="preserve">, pues se trata de </w:t>
            </w:r>
            <w:r w:rsidRPr="00AC291C">
              <w:rPr>
                <w:rFonts w:ascii="Verdana" w:eastAsia="Calibri" w:hAnsi="Verdana" w:cs="Arial"/>
              </w:rPr>
              <w:t>una declaración unilateral de voluntad de un órgano del Estado que ejerce función administrativa y que produce efectos jurídicos</w:t>
            </w:r>
            <w:r w:rsidRPr="007A47F9">
              <w:rPr>
                <w:rFonts w:ascii="Verdana" w:hAnsi="Verdana"/>
              </w:rPr>
              <w:t>. Una vez concurren sus elementos de existencia, la validez depende de la competencia de funcionario, la ausencia de desviación de poder, la licitud del objeto, entre otras. Al ser un acto administrativo, la designación no corresponde a un contrato estatal, de forma que ni siquiera tiene la naturaleza de un convenio interadministrativo. En consecuencia, la designación no requiere aceptación de la entidad ejecutora ni ésta se considera contratista de los órganos de que tratan los artículos 35 y 36 de la Ley 2056 de 2020.</w:t>
            </w:r>
          </w:p>
          <w:p w14:paraId="6027F072" w14:textId="77777777" w:rsidR="007A74DB" w:rsidRPr="003E638E" w:rsidRDefault="007A74DB" w:rsidP="00FE6ED8">
            <w:pPr>
              <w:spacing w:after="120" w:line="276" w:lineRule="auto"/>
              <w:jc w:val="both"/>
              <w:rPr>
                <w:rFonts w:ascii="Verdana" w:eastAsia="Arial" w:hAnsi="Verdana" w:cs="Arial"/>
                <w:lang w:val="es-ES" w:eastAsia="es-ES" w:bidi="es-ES"/>
              </w:rPr>
            </w:pPr>
            <w:r>
              <w:rPr>
                <w:rFonts w:ascii="Verdana" w:hAnsi="Verdana"/>
              </w:rPr>
              <w:t>ii. L</w:t>
            </w:r>
            <w:r w:rsidRPr="003E638E">
              <w:rPr>
                <w:rFonts w:ascii="Verdana" w:eastAsia="Arial" w:hAnsi="Verdana" w:cs="Arial"/>
                <w:lang w:val="es-ES" w:eastAsia="es-ES" w:bidi="es-ES"/>
              </w:rPr>
              <w:t>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7740259E" w14:textId="77777777" w:rsidR="007A74DB" w:rsidRPr="00FC6F34" w:rsidRDefault="007A74DB" w:rsidP="00FE6ED8">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2F0274A" w14:textId="77777777" w:rsidR="007A74DB" w:rsidRDefault="007A74DB" w:rsidP="00FE6ED8">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w:t>
            </w:r>
            <w:r w:rsidRPr="00FC6F34">
              <w:rPr>
                <w:rFonts w:ascii="Verdana" w:eastAsia="Calibri" w:hAnsi="Verdana" w:cs="Arial"/>
                <w:lang w:val="es-ES"/>
              </w:rPr>
              <w:lastRenderedPageBreak/>
              <w:t xml:space="preserve">que prohíbe a los gobernadores, alcaldes municipales o distritales, secretarios, gerentes y directores de entidades descentralizadas del orden municipal, departamental o distrital “[…] </w:t>
            </w:r>
            <w:r w:rsidRPr="00856D2C">
              <w:rPr>
                <w:rFonts w:ascii="Verdana" w:eastAsia="Calibri" w:hAnsi="Verdana" w:cs="Arial"/>
                <w:i/>
                <w:iCs/>
                <w:lang w:val="es-ES"/>
              </w:rPr>
              <w:t>celebrar convenios interadministrativos para la ejecución de recursos públicos</w:t>
            </w:r>
            <w:r w:rsidRPr="00FC6F34">
              <w:rPr>
                <w:rFonts w:ascii="Verdana" w:eastAsia="Calibri" w:hAnsi="Verdana" w:cs="Arial"/>
                <w:lang w:val="es-ES"/>
              </w:rPr>
              <w:t>,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2"/>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02203CB2" w14:textId="77777777" w:rsidR="007A74DB" w:rsidRDefault="007A74DB" w:rsidP="00FE6ED8">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Times New Roman" w:hAnsi="Verdana" w:cs="Arial"/>
                <w:lang w:eastAsia="es-CO"/>
              </w:rPr>
              <w:t>A</w:t>
            </w:r>
            <w:r w:rsidRPr="00C55BDE">
              <w:rPr>
                <w:rFonts w:ascii="Verdana" w:eastAsia="Times New Roman" w:hAnsi="Verdana" w:cs="Arial"/>
                <w:lang w:eastAsia="es-CO"/>
              </w:rPr>
              <w:t xml:space="preserve">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contratos 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Pr>
                <w:rFonts w:ascii="Verdana" w:eastAsia="Times New Roman" w:hAnsi="Verdana" w:cs="Arial"/>
                <w:lang w:eastAsia="es-CO"/>
              </w:rPr>
              <w:t>.</w:t>
            </w:r>
          </w:p>
          <w:p w14:paraId="29C5210D" w14:textId="77777777" w:rsidR="007A74DB" w:rsidRDefault="007A74DB" w:rsidP="00FE6ED8">
            <w:pPr>
              <w:spacing w:after="120" w:line="276" w:lineRule="auto"/>
              <w:ind w:firstLine="709"/>
              <w:jc w:val="both"/>
              <w:rPr>
                <w:rFonts w:ascii="Verdana" w:hAnsi="Verdana" w:cs="Arial"/>
                <w:bCs/>
                <w:lang w:val="es-ES_tradnl" w:eastAsia="es-CO"/>
              </w:rPr>
            </w:pPr>
            <w:r>
              <w:rPr>
                <w:rFonts w:ascii="Verdana" w:hAnsi="Verdana" w:cs="Arial"/>
              </w:rPr>
              <w:t>Bajo estas consideraciones, de cara a la consulta planteada, se puede afirmar que a la designación</w:t>
            </w:r>
            <w:r>
              <w:rPr>
                <w:rFonts w:ascii="Verdana" w:eastAsia="Calibri" w:hAnsi="Verdana" w:cs="Arial"/>
              </w:rPr>
              <w:t xml:space="preserve"> </w:t>
            </w:r>
            <w:r>
              <w:rPr>
                <w:rFonts w:ascii="Verdana" w:eastAsia="Calibri" w:hAnsi="Verdana" w:cs="Arial"/>
                <w:bCs/>
                <w:color w:val="000000" w:themeColor="text1"/>
              </w:rPr>
              <w:t>de la entidad ejecutora en los proyectos adelantados con cargo al Sistema General de Regalías,</w:t>
            </w:r>
            <w:r>
              <w:rPr>
                <w:rFonts w:ascii="Verdana" w:hAnsi="Verdana" w:cs="Arial"/>
                <w:bCs/>
                <w:lang w:val="es-ES_tradnl" w:eastAsia="es-CO"/>
              </w:rPr>
              <w:t xml:space="preserve"> al tratarse de un acto administrativo, no le resulta aplicable las restricciones previstas en los artículos 33 y 38 de la Ley 996 de 2005, porque lo que en estos preceptos se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y “celebrar convenios interadministrativos para la ejecución de recursos públicos”. En este sentido, </w:t>
            </w:r>
            <w:r>
              <w:rPr>
                <w:rFonts w:ascii="Verdana" w:eastAsia="Times New Roman" w:hAnsi="Verdana" w:cs="Arial"/>
                <w:lang w:val="es-ES"/>
              </w:rPr>
              <w:t xml:space="preserve">la celebración de estos contratos de forma directa y de convenios interadministrativo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la forma jurídica de designación que se desprende del artículo 37 de la Ley 2056 de 2020 </w:t>
            </w:r>
            <w:r>
              <w:rPr>
                <w:rFonts w:ascii="Verdana" w:hAnsi="Verdana" w:cs="Arial"/>
                <w:bCs/>
                <w:i/>
                <w:iCs/>
                <w:lang w:val="es-ES_tradnl" w:eastAsia="es-CO"/>
              </w:rPr>
              <w:t>es el acto administrativo</w:t>
            </w:r>
            <w:r>
              <w:rPr>
                <w:rFonts w:ascii="Verdana" w:hAnsi="Verdana" w:cs="Arial"/>
                <w:bCs/>
                <w:lang w:val="es-ES_tradnl" w:eastAsia="es-CO"/>
              </w:rPr>
              <w:t xml:space="preserve">, no el convenio interadministrativo. Si el artículo 33 y el parágrafo del artículo 38 de la Ley 996 de 2005 prohibieron la celebración directa de contratos y la suscripción de convenios interadministrativos para la ejecución de recursos públicos, no puede entenderse </w:t>
            </w:r>
            <w:r>
              <w:rPr>
                <w:rFonts w:ascii="Verdana" w:hAnsi="Verdana" w:cs="Arial"/>
                <w:bCs/>
                <w:i/>
                <w:iCs/>
                <w:lang w:val="es-ES_tradnl" w:eastAsia="es-CO"/>
              </w:rPr>
              <w:t>también</w:t>
            </w:r>
            <w:r>
              <w:rPr>
                <w:rFonts w:ascii="Verdana" w:hAnsi="Verdana" w:cs="Arial"/>
                <w:bCs/>
                <w:lang w:val="es-ES_tradnl" w:eastAsia="es-CO"/>
              </w:rPr>
              <w:t xml:space="preserve"> prohibida la designación del ente ejecutor, porque </w:t>
            </w:r>
            <w:r>
              <w:rPr>
                <w:rFonts w:ascii="Verdana" w:hAnsi="Verdana" w:cs="Arial"/>
                <w:bCs/>
                <w:lang w:val="es-ES_tradnl" w:eastAsia="es-CO"/>
              </w:rPr>
              <w:lastRenderedPageBreak/>
              <w:t xml:space="preserve">se estaría incluyendo una circunstancia que el supuesto de hecho de la restricción no contempla. </w:t>
            </w:r>
          </w:p>
          <w:p w14:paraId="0A91C5E5" w14:textId="77777777" w:rsidR="007A74DB" w:rsidRPr="00531419" w:rsidRDefault="007A74DB" w:rsidP="00FE6ED8">
            <w:pPr>
              <w:spacing w:after="120" w:line="276" w:lineRule="auto"/>
              <w:ind w:firstLine="708"/>
              <w:jc w:val="both"/>
              <w:rPr>
                <w:rFonts w:ascii="Verdana" w:eastAsia="Arial" w:hAnsi="Verdana" w:cs="Arial"/>
                <w:color w:val="000000" w:themeColor="text1"/>
                <w:lang w:val="es-ES"/>
              </w:rPr>
            </w:pPr>
            <w:r>
              <w:rPr>
                <w:rFonts w:ascii="Verdana" w:eastAsia="Arial" w:hAnsi="Verdana" w:cs="Arial"/>
                <w:color w:val="000000" w:themeColor="text1"/>
                <w:lang w:val="es-ES"/>
              </w:rPr>
              <w:t>En este sentido</w:t>
            </w:r>
            <w:r w:rsidRPr="00531419">
              <w:rPr>
                <w:rFonts w:ascii="Verdana" w:eastAsia="Arial" w:hAnsi="Verdana" w:cs="Arial"/>
                <w:color w:val="000000" w:themeColor="text1"/>
                <w:lang w:val="es-ES"/>
              </w:rPr>
              <w:t>, no se considera que la designación de un ente ejecutor en el marco del Sistema General de Regalías se encuentre comprendida dentro de las prohibiciones establecidas por la Ley de Garantías Electorales. Sin embargo, ello no exime la aplicación de dichas restricciones a los contratos directos o a los convenios interadministrativos que se celebren para la ejecución de los recursos con posterioridad a esa designación y que se encuentren dentro del ámbito de aplicación de las prohibiciones previstas en los artículos 33 y 38 de la Ley 996 de 2005.</w:t>
            </w:r>
          </w:p>
          <w:p w14:paraId="1561A854" w14:textId="77777777" w:rsidR="007A74DB" w:rsidRPr="00E528DA" w:rsidRDefault="007A74DB" w:rsidP="00FE6ED8">
            <w:pPr>
              <w:spacing w:after="120" w:line="276" w:lineRule="auto"/>
              <w:ind w:firstLine="708"/>
              <w:jc w:val="both"/>
              <w:rPr>
                <w:rFonts w:ascii="Verdana" w:eastAsia="Arial" w:hAnsi="Verdana" w:cs="Arial"/>
                <w:color w:val="000000" w:themeColor="text1"/>
                <w:lang w:val="es-ES"/>
              </w:rPr>
            </w:pPr>
            <w:r w:rsidRPr="00531419">
              <w:rPr>
                <w:rFonts w:ascii="Verdana" w:eastAsia="Arial" w:hAnsi="Verdana" w:cs="Arial"/>
                <w:color w:val="000000" w:themeColor="text1"/>
                <w:lang w:val="es-ES"/>
              </w:rPr>
              <w:t xml:space="preserve">En otras palabras, una vez efectuado </w:t>
            </w:r>
            <w:r>
              <w:rPr>
                <w:rFonts w:ascii="Verdana" w:eastAsia="Arial" w:hAnsi="Verdana" w:cs="Arial"/>
                <w:color w:val="000000" w:themeColor="text1"/>
                <w:lang w:val="es-ES"/>
              </w:rPr>
              <w:t xml:space="preserve">la designación </w:t>
            </w:r>
            <w:r w:rsidRPr="00531419">
              <w:rPr>
                <w:rFonts w:ascii="Verdana" w:eastAsia="Arial" w:hAnsi="Verdana" w:cs="Arial"/>
                <w:color w:val="000000" w:themeColor="text1"/>
                <w:lang w:val="es-ES"/>
              </w:rPr>
              <w:t xml:space="preserve">del ente ejecutor, este deberá observar estrictamente las limitaciones impuestas por la Ley de Garantías </w:t>
            </w:r>
            <w:r>
              <w:rPr>
                <w:rFonts w:ascii="Verdana" w:eastAsia="Arial" w:hAnsi="Verdana" w:cs="Arial"/>
                <w:color w:val="000000" w:themeColor="text1"/>
                <w:lang w:val="es-ES"/>
              </w:rPr>
              <w:t xml:space="preserve">Electorales </w:t>
            </w:r>
            <w:r w:rsidRPr="00531419">
              <w:rPr>
                <w:rFonts w:ascii="Verdana" w:eastAsia="Arial" w:hAnsi="Verdana" w:cs="Arial"/>
                <w:color w:val="000000" w:themeColor="text1"/>
                <w:lang w:val="es-ES"/>
              </w:rPr>
              <w:t>durante todo el periodo en que dichas prohibiciones se mantengan vigentes. Esto implica que, aunque la designación en sí misma no está restringida,</w:t>
            </w:r>
            <w:r>
              <w:rPr>
                <w:rFonts w:ascii="Verdana" w:eastAsia="Arial" w:hAnsi="Verdana" w:cs="Arial"/>
                <w:color w:val="000000" w:themeColor="text1"/>
                <w:lang w:val="es-ES"/>
              </w:rPr>
              <w:t xml:space="preserve"> es indispensable analizar </w:t>
            </w:r>
            <w:r w:rsidRPr="00697201">
              <w:rPr>
                <w:rFonts w:ascii="Verdana" w:eastAsia="Arial" w:hAnsi="Verdana" w:cs="Arial"/>
                <w:color w:val="000000" w:themeColor="text1"/>
              </w:rPr>
              <w:t>si los contratos que se celebren con posterioridad a dicha designación están sujetos a las restricciones previstas en esta normativa.</w:t>
            </w:r>
          </w:p>
        </w:tc>
      </w:tr>
    </w:tbl>
    <w:p w14:paraId="6F044DE8" w14:textId="77777777" w:rsidR="007A74DB" w:rsidRPr="00FC6F34" w:rsidRDefault="007A74DB" w:rsidP="007A74D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32DC26F" w14:textId="77777777" w:rsidR="007A74DB" w:rsidRPr="00FC6F34" w:rsidRDefault="007A74DB" w:rsidP="007A74D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5D88C742" w14:textId="77777777" w:rsidR="007A74DB" w:rsidRPr="00FC6F34" w:rsidRDefault="007A74DB" w:rsidP="007A74DB">
      <w:pPr>
        <w:spacing w:after="0" w:line="276" w:lineRule="auto"/>
        <w:jc w:val="both"/>
        <w:rPr>
          <w:rFonts w:ascii="Verdana" w:eastAsia="Calibri" w:hAnsi="Verdana" w:cs="Arial"/>
          <w:color w:val="000000" w:themeColor="text1"/>
          <w:lang w:val="es-ES"/>
        </w:rPr>
      </w:pPr>
    </w:p>
    <w:p w14:paraId="63510BE3" w14:textId="77777777" w:rsidR="007A74DB" w:rsidRDefault="007A74DB" w:rsidP="007A74DB">
      <w:pPr>
        <w:tabs>
          <w:tab w:val="left" w:pos="426"/>
        </w:tabs>
        <w:spacing w:after="120" w:line="276" w:lineRule="auto"/>
        <w:jc w:val="both"/>
        <w:rPr>
          <w:rFonts w:ascii="Verdana" w:eastAsia="Calibri" w:hAnsi="Verdana" w:cs="Arial"/>
          <w:noProof/>
          <w:lang w:val="es-ES_tradnl"/>
        </w:rPr>
      </w:pPr>
      <w:bookmarkStart w:id="1" w:name="_Hlk102983874"/>
      <w:bookmarkStart w:id="2" w:name="_Hlk102388095"/>
      <w:r w:rsidRPr="00FC6F34">
        <w:rPr>
          <w:rFonts w:ascii="Verdana" w:eastAsia="Calibri" w:hAnsi="Verdana" w:cs="Arial"/>
          <w:color w:val="000000" w:themeColor="text1"/>
          <w:lang w:val="es-ES"/>
        </w:rPr>
        <w:t>i</w:t>
      </w:r>
      <w:r>
        <w:rPr>
          <w:rFonts w:ascii="Verdana" w:eastAsia="Calibri" w:hAnsi="Verdana" w:cs="Arial"/>
          <w:color w:val="000000" w:themeColor="text1"/>
          <w:lang w:val="es-ES"/>
        </w:rPr>
        <w:t>.</w:t>
      </w:r>
      <w:r w:rsidRPr="00DE07BF">
        <w:rPr>
          <w:rFonts w:ascii="Verdana" w:hAnsi="Verdana" w:cs="Arial"/>
          <w:noProof/>
        </w:rPr>
        <w:t xml:space="preserve"> </w:t>
      </w: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xml:space="preserve">, </w:t>
      </w:r>
      <w:r>
        <w:rPr>
          <w:rFonts w:ascii="Verdana" w:eastAsia="Times New Roman" w:hAnsi="Verdana" w:cs="Arial"/>
          <w:bCs/>
          <w:lang w:eastAsia="es-CO"/>
        </w:rPr>
        <w:t xml:space="preserve">tiene como propósito </w:t>
      </w:r>
      <w:r w:rsidRPr="003E638E">
        <w:rPr>
          <w:rFonts w:ascii="Verdana" w:eastAsia="Times New Roman" w:hAnsi="Verdana" w:cs="Arial"/>
          <w:bCs/>
          <w:lang w:eastAsia="es-CO"/>
        </w:rPr>
        <w:t xml:space="preserve">evitar la injerencia inadecuada de intereses particulares en el ejercicio de la función pública. Esta ley </w:t>
      </w:r>
      <w:r>
        <w:rPr>
          <w:rFonts w:ascii="Verdana" w:eastAsia="Times New Roman" w:hAnsi="Verdana" w:cs="Arial"/>
          <w:bCs/>
          <w:lang w:eastAsia="es-CO"/>
        </w:rPr>
        <w:t>busca</w:t>
      </w:r>
      <w:r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3"/>
      </w:r>
      <w:r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3741E64C" w14:textId="77777777" w:rsidR="007A74DB" w:rsidRPr="003E638E" w:rsidRDefault="007A74DB" w:rsidP="007A74DB">
      <w:pPr>
        <w:spacing w:after="0" w:line="276" w:lineRule="auto"/>
        <w:ind w:firstLine="709"/>
        <w:jc w:val="both"/>
        <w:rPr>
          <w:rFonts w:ascii="Verdana" w:eastAsia="Times New Roman" w:hAnsi="Verdana" w:cs="Arial"/>
          <w:bCs/>
          <w:lang w:eastAsia="es-CO"/>
        </w:rPr>
      </w:pPr>
      <w:bookmarkStart w:id="3" w:name="_Hlk78818186"/>
      <w:r w:rsidRPr="003E638E">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3E638E">
        <w:rPr>
          <w:rFonts w:ascii="Verdana" w:eastAsia="Times New Roman" w:hAnsi="Verdana" w:cs="Arial"/>
          <w:bCs/>
          <w:lang w:eastAsia="es-CO"/>
        </w:rPr>
        <w:t xml:space="preserve">Por ello, varias de las disposiciones de la Ley 996 de 2005, al </w:t>
      </w:r>
      <w:r w:rsidRPr="003E638E">
        <w:rPr>
          <w:rFonts w:ascii="Verdana" w:eastAsia="Times New Roman" w:hAnsi="Verdana" w:cs="Arial"/>
          <w:bCs/>
          <w:lang w:eastAsia="es-CO"/>
        </w:rPr>
        <w:lastRenderedPageBreak/>
        <w:t>contener normas prohibitivas, no admiten una interpretación amplia, sino que deben interpretarse restrictivamente. En efecto, la Sala de Consulta y Servicio Civil del Consejo de Estado al analizar la referida ley, precisó lo siguiente:</w:t>
      </w:r>
    </w:p>
    <w:p w14:paraId="762CBB7C" w14:textId="77777777" w:rsidR="007A74DB" w:rsidRPr="003E638E" w:rsidRDefault="007A74DB" w:rsidP="007A74DB">
      <w:pPr>
        <w:spacing w:after="0"/>
        <w:ind w:firstLine="709"/>
        <w:jc w:val="both"/>
        <w:rPr>
          <w:rFonts w:ascii="Verdana" w:eastAsia="Times New Roman" w:hAnsi="Verdana" w:cs="Arial"/>
          <w:bCs/>
          <w:lang w:eastAsia="es-CO"/>
        </w:rPr>
      </w:pPr>
    </w:p>
    <w:p w14:paraId="2D2187FF" w14:textId="77777777" w:rsidR="007A74DB" w:rsidRDefault="007A74DB" w:rsidP="007A74DB">
      <w:pPr>
        <w:spacing w:after="12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E638E">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A6B1687" w14:textId="77777777" w:rsidR="007A74DB" w:rsidRPr="003E638E" w:rsidRDefault="007A74DB" w:rsidP="007A74DB">
      <w:pPr>
        <w:spacing w:after="12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6"/>
      </w:r>
      <w:r w:rsidRPr="003E638E">
        <w:rPr>
          <w:rFonts w:ascii="Verdana" w:eastAsia="Times New Roman" w:hAnsi="Verdana" w:cs="Arial"/>
          <w:bCs/>
          <w:sz w:val="20"/>
          <w:szCs w:val="20"/>
          <w:lang w:eastAsia="es-CO"/>
        </w:rPr>
        <w:t>.</w:t>
      </w:r>
    </w:p>
    <w:p w14:paraId="794C3186" w14:textId="77777777" w:rsidR="007A74DB" w:rsidRPr="00990FC7" w:rsidRDefault="007A74DB" w:rsidP="007A74DB">
      <w:pPr>
        <w:spacing w:after="0" w:line="240" w:lineRule="auto"/>
        <w:ind w:right="709"/>
        <w:rPr>
          <w:rFonts w:ascii="Arial" w:eastAsia="Times New Roman" w:hAnsi="Arial" w:cs="Arial"/>
          <w:bCs/>
          <w:sz w:val="21"/>
          <w:szCs w:val="21"/>
          <w:lang w:eastAsia="es-CO"/>
        </w:rPr>
      </w:pPr>
    </w:p>
    <w:p w14:paraId="7B14E4E0" w14:textId="77777777" w:rsidR="007A74DB" w:rsidRPr="003E638E" w:rsidRDefault="007A74DB" w:rsidP="007A74DB">
      <w:pPr>
        <w:spacing w:after="120" w:line="276" w:lineRule="auto"/>
        <w:jc w:val="both"/>
        <w:rPr>
          <w:rFonts w:ascii="Verdana" w:eastAsia="Arial" w:hAnsi="Verdana" w:cs="Arial"/>
          <w:lang w:val="es-ES" w:eastAsia="es-ES" w:bidi="es-ES"/>
        </w:rPr>
      </w:pPr>
      <w:r w:rsidRPr="00990FC7">
        <w:rPr>
          <w:rFonts w:ascii="Arial" w:eastAsia="Times New Roman" w:hAnsi="Arial" w:cs="Arial"/>
          <w:bCs/>
          <w:lang w:eastAsia="es-CO"/>
        </w:rPr>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4" w:name="_Hlk77236098"/>
      <w:r w:rsidRPr="003E638E">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w:t>
      </w:r>
      <w:r w:rsidRPr="003E638E">
        <w:rPr>
          <w:rFonts w:ascii="Verdana" w:eastAsia="Arial" w:hAnsi="Verdana" w:cs="Arial"/>
          <w:lang w:val="es-ES" w:eastAsia="es-ES" w:bidi="es-ES"/>
        </w:rPr>
        <w:lastRenderedPageBreak/>
        <w:t>(2) tipos de campañas electorales claramente diferenciadas: las presidenciales y las demás que se adelanten para la elección de los demás cargos de elección popular, tanto a nivel nacional como a nivel territorial.</w:t>
      </w:r>
      <w:bookmarkEnd w:id="4"/>
    </w:p>
    <w:p w14:paraId="6B9D67AC" w14:textId="77777777" w:rsidR="007A74DB" w:rsidRPr="00FC6F34" w:rsidRDefault="007A74DB" w:rsidP="007A74DB">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7"/>
      </w:r>
      <w:r w:rsidRPr="00FC6F34">
        <w:rPr>
          <w:rFonts w:ascii="Verdana" w:eastAsia="Calibri" w:hAnsi="Verdana" w:cs="Arial"/>
          <w:lang w:val="es-ES"/>
        </w:rPr>
        <w:t>.</w:t>
      </w:r>
    </w:p>
    <w:p w14:paraId="109F2CE5" w14:textId="77777777" w:rsidR="007A74DB" w:rsidRPr="00FC6F34" w:rsidRDefault="007A74DB" w:rsidP="007A74DB">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458A06F6" w14:textId="77777777" w:rsidR="007A74DB" w:rsidRPr="00FC6F34" w:rsidRDefault="007A74DB" w:rsidP="007A74DB">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B39E6EE" w14:textId="77777777" w:rsidR="007A74DB" w:rsidRPr="00FC6F34" w:rsidRDefault="007A74DB" w:rsidP="007A74DB">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75D10F3" w14:textId="77777777" w:rsidR="007A74DB" w:rsidRPr="00FC6F34" w:rsidRDefault="007A74DB" w:rsidP="007A74DB">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w:t>
      </w:r>
      <w:r w:rsidRPr="00FC6F34">
        <w:rPr>
          <w:rFonts w:ascii="Verdana" w:eastAsia="Arial" w:hAnsi="Verdana" w:cs="Arial"/>
          <w:sz w:val="20"/>
          <w:szCs w:val="20"/>
          <w:lang w:val="es-ES" w:eastAsia="es-ES" w:bidi="es-ES"/>
        </w:rPr>
        <w:lastRenderedPageBreak/>
        <w:t>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286027F9" w14:textId="77777777" w:rsidR="007A74DB" w:rsidRPr="00FC6F34" w:rsidRDefault="007A74DB" w:rsidP="007A74DB">
      <w:pPr>
        <w:widowControl w:val="0"/>
        <w:autoSpaceDE w:val="0"/>
        <w:autoSpaceDN w:val="0"/>
        <w:spacing w:after="0" w:line="276" w:lineRule="auto"/>
        <w:contextualSpacing/>
        <w:rPr>
          <w:rFonts w:ascii="Verdana" w:eastAsia="Arial" w:hAnsi="Verdana" w:cs="Arial"/>
          <w:lang w:val="es-ES" w:eastAsia="es-ES" w:bidi="es-ES"/>
        </w:rPr>
      </w:pPr>
    </w:p>
    <w:p w14:paraId="0BEA524D" w14:textId="77777777" w:rsidR="007A74DB" w:rsidRPr="00FC6F34" w:rsidRDefault="007A74DB" w:rsidP="007A74DB">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37641B75" w14:textId="77777777" w:rsidR="007A74DB" w:rsidRPr="00FC6F34" w:rsidRDefault="007A74DB" w:rsidP="007A74DB">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w:t>
      </w:r>
      <w:r w:rsidRPr="00FC6F34">
        <w:rPr>
          <w:rFonts w:ascii="Verdana" w:eastAsia="Arial" w:hAnsi="Verdana" w:cs="Arial"/>
          <w:lang w:val="es-ES" w:eastAsia="es-ES" w:bidi="es-ES"/>
        </w:rPr>
        <w:lastRenderedPageBreak/>
        <w:t>autoridades allí mencionadas sólo deben aplicar las restricciones contenidas en el parágrafo del artículo 38.</w:t>
      </w:r>
    </w:p>
    <w:p w14:paraId="167E15EC" w14:textId="77777777" w:rsidR="007A74DB" w:rsidRDefault="007A74DB" w:rsidP="007A74DB">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7E1BBDF8" w14:textId="77777777" w:rsidR="007A74DB" w:rsidRDefault="007A74DB" w:rsidP="007A74DB">
      <w:pPr>
        <w:spacing w:after="0" w:line="276" w:lineRule="auto"/>
        <w:jc w:val="both"/>
        <w:rPr>
          <w:rFonts w:ascii="Verdana" w:hAnsi="Verdana" w:cs="Arial"/>
          <w:bCs/>
          <w:lang w:val="es-MX" w:eastAsia="es-CO"/>
        </w:rPr>
      </w:pPr>
      <w:r>
        <w:rPr>
          <w:rFonts w:ascii="Verdana" w:eastAsia="Arial" w:hAnsi="Verdana" w:cs="Arial"/>
          <w:lang w:val="es-ES" w:eastAsia="es-ES" w:bidi="es-ES"/>
        </w:rPr>
        <w:t xml:space="preserve">ii. </w:t>
      </w:r>
      <w:r>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hAnsi="Verdana" w:cs="Arial"/>
          <w:bCs/>
          <w:lang w:val="es-MX" w:eastAsia="x-none"/>
        </w:rPr>
        <w:t>queda prohibida la contratación directa</w:t>
      </w:r>
      <w:r>
        <w:rPr>
          <w:rFonts w:ascii="Verdana" w:hAnsi="Verdana" w:cs="Arial"/>
          <w:sz w:val="20"/>
          <w:szCs w:val="20"/>
          <w:lang w:val="es-MX"/>
        </w:rPr>
        <w:t>”</w:t>
      </w:r>
      <w:r>
        <w:rPr>
          <w:rFonts w:ascii="Verdana" w:hAnsi="Verdana" w:cs="Arial"/>
          <w:bCs/>
          <w:lang w:val="es-MX" w:eastAsia="x-none"/>
        </w:rPr>
        <w:t xml:space="preserve">. </w:t>
      </w:r>
      <w:r>
        <w:rPr>
          <w:rFonts w:ascii="Verdana" w:hAnsi="Verdana" w:cs="Arial"/>
          <w:lang w:val="es-MX" w:eastAsia="es-CO"/>
        </w:rPr>
        <w:t xml:space="preserve"> A propósito de </w:t>
      </w:r>
      <w:r>
        <w:rPr>
          <w:rFonts w:ascii="Verdana" w:hAnsi="Verdana" w:cs="Arial"/>
          <w:lang w:eastAsia="es-CO"/>
        </w:rPr>
        <w:t>esta restricción de la Ley de Garantías Electorales, la Sala de Consulta y Servicio Civil del Consejo de Estado ha considerado que:</w:t>
      </w:r>
    </w:p>
    <w:p w14:paraId="0953DEFD" w14:textId="77777777" w:rsidR="007A74DB" w:rsidRDefault="007A74DB" w:rsidP="007A74DB">
      <w:pPr>
        <w:spacing w:after="0" w:line="276" w:lineRule="auto"/>
        <w:ind w:left="708" w:right="709"/>
        <w:jc w:val="both"/>
        <w:rPr>
          <w:rFonts w:ascii="Verdana" w:hAnsi="Verdana" w:cs="Arial"/>
          <w:lang w:val="es-MX"/>
        </w:rPr>
      </w:pPr>
    </w:p>
    <w:p w14:paraId="719E482E" w14:textId="77777777" w:rsidR="007A74DB" w:rsidRDefault="007A74DB" w:rsidP="007A74DB">
      <w:pPr>
        <w:spacing w:after="120"/>
        <w:ind w:left="709" w:right="709"/>
        <w:jc w:val="both"/>
        <w:rPr>
          <w:rFonts w:ascii="Verdana" w:hAnsi="Verdana" w:cs="Arial"/>
          <w:sz w:val="20"/>
          <w:szCs w:val="20"/>
          <w:lang w:val="es-MX"/>
        </w:rPr>
      </w:pPr>
      <w:r>
        <w:rPr>
          <w:rFonts w:ascii="Verdana" w:hAnsi="Verdana" w:cs="Arial"/>
          <w:sz w:val="18"/>
          <w:szCs w:val="18"/>
          <w:lang w:val="es-MX"/>
        </w:rPr>
        <w:t>“</w:t>
      </w:r>
      <w:r>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hAnsi="Verdana" w:cs="Arial"/>
          <w:sz w:val="20"/>
          <w:szCs w:val="20"/>
          <w:vertAlign w:val="superscript"/>
          <w:lang w:eastAsia="es-CO"/>
        </w:rPr>
        <w:footnoteReference w:id="10"/>
      </w:r>
      <w:r>
        <w:rPr>
          <w:rFonts w:ascii="Verdana" w:hAnsi="Verdana" w:cs="Arial"/>
          <w:sz w:val="20"/>
          <w:szCs w:val="20"/>
          <w:lang w:val="es-MX"/>
        </w:rPr>
        <w:t>.</w:t>
      </w:r>
    </w:p>
    <w:p w14:paraId="6043F65C" w14:textId="77777777" w:rsidR="007A74DB" w:rsidRDefault="007A74DB" w:rsidP="007A74DB">
      <w:pPr>
        <w:spacing w:after="0"/>
        <w:ind w:left="708" w:right="709"/>
        <w:jc w:val="both"/>
        <w:rPr>
          <w:rFonts w:ascii="Verdana" w:hAnsi="Verdana" w:cs="Arial"/>
          <w:sz w:val="20"/>
          <w:szCs w:val="20"/>
          <w:lang w:val="es-MX"/>
        </w:rPr>
      </w:pPr>
      <w:r>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hAnsi="Verdana" w:cs="Arial"/>
          <w:sz w:val="20"/>
          <w:szCs w:val="20"/>
          <w:vertAlign w:val="superscript"/>
          <w:lang w:val="es-MX"/>
        </w:rPr>
        <w:footnoteReference w:id="11"/>
      </w:r>
      <w:r>
        <w:rPr>
          <w:rFonts w:ascii="Verdana" w:hAnsi="Verdana" w:cs="Arial"/>
          <w:sz w:val="20"/>
          <w:szCs w:val="20"/>
          <w:vertAlign w:val="superscript"/>
          <w:lang w:val="es-MX"/>
        </w:rPr>
        <w:t>.</w:t>
      </w:r>
      <w:r>
        <w:rPr>
          <w:rFonts w:ascii="Verdana" w:hAnsi="Verdana" w:cs="Arial"/>
          <w:sz w:val="20"/>
          <w:szCs w:val="20"/>
          <w:lang w:val="es-MX"/>
        </w:rPr>
        <w:t xml:space="preserve"> Por tanto, no son materia de la prohibición las demás </w:t>
      </w:r>
      <w:r>
        <w:rPr>
          <w:rFonts w:ascii="Verdana" w:hAnsi="Verdana" w:cs="Arial"/>
          <w:sz w:val="20"/>
          <w:szCs w:val="20"/>
          <w:lang w:val="es-MX"/>
        </w:rPr>
        <w:lastRenderedPageBreak/>
        <w:t>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vertAlign w:val="superscript"/>
          <w:lang w:eastAsia="es-CO"/>
        </w:rPr>
        <w:footnoteReference w:id="12"/>
      </w:r>
      <w:r>
        <w:rPr>
          <w:rFonts w:ascii="Verdana" w:hAnsi="Verdana" w:cs="Arial"/>
          <w:sz w:val="20"/>
          <w:szCs w:val="20"/>
          <w:lang w:val="es-MX"/>
        </w:rPr>
        <w:t>.</w:t>
      </w:r>
    </w:p>
    <w:p w14:paraId="2A4F05C2" w14:textId="77777777" w:rsidR="007A74DB" w:rsidRDefault="007A74DB" w:rsidP="007A74DB">
      <w:pPr>
        <w:shd w:val="clear" w:color="auto" w:fill="FFFFFF"/>
        <w:spacing w:after="0" w:line="276" w:lineRule="auto"/>
        <w:ind w:firstLine="709"/>
        <w:jc w:val="both"/>
        <w:rPr>
          <w:rFonts w:ascii="Verdana" w:hAnsi="Verdana" w:cs="Arial"/>
          <w:lang w:eastAsia="x-none"/>
        </w:rPr>
      </w:pPr>
    </w:p>
    <w:p w14:paraId="349CB141" w14:textId="77777777" w:rsidR="007A74DB" w:rsidRDefault="007A74DB" w:rsidP="007A74DB">
      <w:pPr>
        <w:spacing w:after="120" w:line="276" w:lineRule="auto"/>
        <w:ind w:firstLine="708"/>
        <w:jc w:val="both"/>
        <w:rPr>
          <w:rFonts w:ascii="Verdana" w:hAnsi="Verdana" w:cs="Arial"/>
          <w:bCs/>
          <w:lang w:eastAsia="x-none"/>
        </w:rPr>
      </w:pPr>
      <w:r>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Pr>
          <w:rFonts w:ascii="Verdana" w:hAnsi="Verdana" w:cs="Arial"/>
          <w:lang w:eastAsia="x-none"/>
        </w:rPr>
        <w:t>cualquier sistema que no implique convocatoria pública y posibilidad de pluralidad de oferentes</w:t>
      </w:r>
      <w:r>
        <w:rPr>
          <w:rFonts w:ascii="Verdana" w:hAnsi="Verdana" w:cs="Arial"/>
          <w:lang w:eastAsia="en-GB"/>
        </w:rPr>
        <w:t>”</w:t>
      </w:r>
      <w:r>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Pr>
          <w:rFonts w:ascii="Verdana" w:hAnsi="Verdana" w:cs="Arial"/>
          <w:vertAlign w:val="superscript"/>
          <w:lang w:val="en-GB" w:eastAsia="x-none"/>
        </w:rPr>
        <w:footnoteReference w:id="13"/>
      </w:r>
      <w:r>
        <w:rPr>
          <w:rFonts w:ascii="Verdana" w:hAnsi="Verdana" w:cs="Arial"/>
          <w:lang w:eastAsia="x-none"/>
        </w:rPr>
        <w:t xml:space="preserve"> y sistematizó las causales de contratación directa</w:t>
      </w:r>
      <w:r>
        <w:rPr>
          <w:rFonts w:ascii="Verdana" w:hAnsi="Verdana" w:cs="Arial"/>
          <w:vertAlign w:val="superscript"/>
          <w:lang w:val="en-GB" w:eastAsia="x-none"/>
        </w:rPr>
        <w:footnoteReference w:id="14"/>
      </w:r>
      <w:r>
        <w:rPr>
          <w:rFonts w:ascii="Verdana" w:hAnsi="Verdana" w:cs="Arial"/>
          <w:lang w:eastAsia="x-none"/>
        </w:rPr>
        <w:t xml:space="preserve">. </w:t>
      </w:r>
    </w:p>
    <w:p w14:paraId="7A48D2EA" w14:textId="77777777" w:rsidR="007A74DB" w:rsidRDefault="007A74DB" w:rsidP="007A74DB">
      <w:pPr>
        <w:spacing w:after="120" w:line="276" w:lineRule="auto"/>
        <w:ind w:firstLine="708"/>
        <w:jc w:val="both"/>
        <w:rPr>
          <w:rFonts w:ascii="Verdana" w:hAnsi="Verdana" w:cs="Arial"/>
          <w:lang w:val="es-MX" w:eastAsia="x-none"/>
        </w:rPr>
      </w:pPr>
      <w:r>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Pr>
          <w:rFonts w:ascii="Verdana" w:hAnsi="Verdana" w:cs="Arial"/>
          <w:lang w:eastAsia="x-none"/>
        </w:rPr>
        <w:t>contratación directa</w:t>
      </w:r>
      <w:r>
        <w:rPr>
          <w:rFonts w:ascii="Verdana" w:hAnsi="Verdana" w:cs="Arial"/>
          <w:lang w:eastAsia="en-GB"/>
        </w:rPr>
        <w:t>”</w:t>
      </w:r>
      <w:r>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hAnsi="Verdana" w:cs="Arial"/>
          <w:vertAlign w:val="superscript"/>
          <w:lang w:val="en-GB" w:eastAsia="x-none"/>
        </w:rPr>
        <w:footnoteReference w:id="15"/>
      </w:r>
      <w:r>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Pr>
          <w:rFonts w:ascii="Verdana" w:hAnsi="Verdana" w:cs="Arial"/>
          <w:lang w:eastAsia="x-none"/>
        </w:rPr>
        <w:t xml:space="preserve">. </w:t>
      </w:r>
    </w:p>
    <w:p w14:paraId="56D06613" w14:textId="77777777" w:rsidR="007A74DB" w:rsidRDefault="007A74DB" w:rsidP="007A74DB">
      <w:pPr>
        <w:spacing w:after="120" w:line="276" w:lineRule="auto"/>
        <w:ind w:firstLine="708"/>
        <w:jc w:val="both"/>
        <w:rPr>
          <w:rFonts w:ascii="Verdana" w:hAnsi="Verdana" w:cs="Arial"/>
          <w:bCs/>
          <w:lang w:val="es-MX" w:eastAsia="es-CO"/>
        </w:rPr>
      </w:pPr>
      <w:r>
        <w:rPr>
          <w:rFonts w:ascii="Verdana" w:hAnsi="Verdana" w:cs="Arial"/>
          <w:bCs/>
          <w:lang w:val="es-MX" w:eastAsia="x-none"/>
        </w:rPr>
        <w:t>E</w:t>
      </w:r>
      <w:r>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Pr>
          <w:rFonts w:ascii="Verdana" w:hAnsi="Verdana" w:cs="Arial"/>
          <w:lang w:eastAsia="x-none"/>
        </w:rPr>
        <w:lastRenderedPageBreak/>
        <w:t>inscribirse en forma previa se haga de manera pública, y que se permita la participación de una pluralidad de oferentes</w:t>
      </w:r>
      <w:r>
        <w:rPr>
          <w:rFonts w:ascii="Verdana" w:hAnsi="Verdana" w:cs="Arial"/>
          <w:vertAlign w:val="superscript"/>
          <w:lang w:eastAsia="x-none"/>
        </w:rPr>
        <w:footnoteReference w:id="16"/>
      </w:r>
      <w:r>
        <w:rPr>
          <w:rFonts w:ascii="Verdana" w:hAnsi="Verdana" w:cs="Arial"/>
          <w:lang w:eastAsia="x-none"/>
        </w:rPr>
        <w:t xml:space="preserve">. </w:t>
      </w:r>
    </w:p>
    <w:p w14:paraId="13E8C58A" w14:textId="77777777" w:rsidR="007A74DB" w:rsidRDefault="007A74DB" w:rsidP="007A74DB">
      <w:pPr>
        <w:spacing w:after="120" w:line="276" w:lineRule="auto"/>
        <w:ind w:firstLine="708"/>
        <w:jc w:val="both"/>
        <w:rPr>
          <w:rFonts w:ascii="Verdana" w:hAnsi="Verdana" w:cs="Arial"/>
          <w:bCs/>
          <w:lang w:val="es-MX" w:eastAsia="es-CO"/>
        </w:rPr>
      </w:pPr>
      <w:r>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63EF026B" w14:textId="77777777" w:rsidR="007A74DB" w:rsidRDefault="007A74DB" w:rsidP="007A74DB">
      <w:pPr>
        <w:spacing w:after="120" w:line="276" w:lineRule="auto"/>
        <w:ind w:firstLine="708"/>
        <w:jc w:val="both"/>
        <w:rPr>
          <w:rFonts w:ascii="Verdana" w:hAnsi="Verdana" w:cs="Arial"/>
          <w:bCs/>
          <w:lang w:val="es-MX" w:eastAsia="x-none"/>
        </w:rPr>
      </w:pPr>
      <w:r>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hAnsi="Verdana" w:cs="Arial"/>
          <w:vertAlign w:val="superscript"/>
          <w:lang w:eastAsia="x-none"/>
        </w:rPr>
        <w:footnoteReference w:id="17"/>
      </w:r>
      <w:r>
        <w:rPr>
          <w:rFonts w:ascii="Verdana" w:hAnsi="Verdana" w:cs="Arial"/>
          <w:bCs/>
          <w:lang w:val="es-MX" w:eastAsia="x-none"/>
        </w:rPr>
        <w:t>.</w:t>
      </w:r>
      <w:r>
        <w:rPr>
          <w:rFonts w:ascii="Verdana" w:hAnsi="Verdana" w:cs="Arial"/>
          <w:vertAlign w:val="superscript"/>
          <w:lang w:val="es-MX" w:eastAsia="x-none"/>
        </w:rPr>
        <w:t xml:space="preserve"> </w:t>
      </w:r>
    </w:p>
    <w:p w14:paraId="633CA10E" w14:textId="77777777" w:rsidR="007A74DB" w:rsidRDefault="007A74DB" w:rsidP="007A74DB">
      <w:pPr>
        <w:spacing w:after="120" w:line="276" w:lineRule="auto"/>
        <w:ind w:firstLine="708"/>
        <w:jc w:val="both"/>
        <w:rPr>
          <w:rFonts w:ascii="Verdana" w:hAnsi="Verdana" w:cs="Arial"/>
          <w:lang w:eastAsia="x-none"/>
        </w:rPr>
      </w:pPr>
      <w:r>
        <w:rPr>
          <w:rFonts w:ascii="Verdana" w:hAnsi="Verdana" w:cs="Arial"/>
          <w:bCs/>
          <w:lang w:val="es-MX" w:eastAsia="x-none"/>
        </w:rPr>
        <w:t xml:space="preserve">De lo anterior se desprende que la restricción aplica, sin perjuicio de las excepciones establecidas en la misma ley, para </w:t>
      </w:r>
      <w:bookmarkStart w:id="5" w:name="_Hlk215951696"/>
      <w:r>
        <w:rPr>
          <w:rFonts w:ascii="Verdana" w:hAnsi="Verdana" w:cs="Arial"/>
          <w:bCs/>
          <w:lang w:val="es-MX" w:eastAsia="x-none"/>
        </w:rPr>
        <w:t>celebrar cualquier contrato de forma directa</w:t>
      </w:r>
      <w:bookmarkEnd w:id="5"/>
      <w:r>
        <w:rPr>
          <w:rFonts w:ascii="Verdana" w:hAnsi="Verdana" w:cs="Arial"/>
          <w:bCs/>
          <w:lang w:val="es-MX" w:eastAsia="x-none"/>
        </w:rPr>
        <w:t>, esto es, sin que exista un proceso abierto y competitivo.</w:t>
      </w:r>
      <w:r>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7FB7C4A" w14:textId="77777777" w:rsidR="007A74DB" w:rsidRDefault="007A74DB" w:rsidP="007A74DB">
      <w:pPr>
        <w:spacing w:after="120" w:line="276" w:lineRule="auto"/>
        <w:ind w:firstLine="708"/>
        <w:jc w:val="both"/>
        <w:rPr>
          <w:rFonts w:ascii="Verdana" w:hAnsi="Verdana" w:cs="Arial"/>
          <w:bCs/>
          <w:lang w:val="es-MX" w:eastAsia="x-none"/>
        </w:rPr>
      </w:pPr>
      <w:bookmarkStart w:id="6" w:name="_Hlk77237094"/>
      <w:r>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6"/>
    </w:p>
    <w:p w14:paraId="75DBF36E" w14:textId="77777777" w:rsidR="007A74DB" w:rsidRDefault="007A74DB" w:rsidP="007A74DB">
      <w:pPr>
        <w:spacing w:after="120" w:line="276" w:lineRule="auto"/>
        <w:ind w:firstLine="708"/>
        <w:jc w:val="both"/>
        <w:rPr>
          <w:rFonts w:ascii="Verdana" w:hAnsi="Verdana" w:cs="Arial"/>
          <w:bCs/>
          <w:lang w:val="es-MX" w:eastAsia="es-CO"/>
        </w:rPr>
      </w:pPr>
      <w:r>
        <w:rPr>
          <w:rFonts w:ascii="Verdana" w:hAnsi="Verdana" w:cs="Arial"/>
          <w:bCs/>
          <w:lang w:val="es-MX" w:eastAsia="x-none"/>
        </w:rPr>
        <w:t xml:space="preserve">De otro lado, las excepciones a la restricción prevista en la Ley de Garantías, con fundamento en las cuales podrán las entidades públicas adelantar </w:t>
      </w:r>
      <w:r>
        <w:rPr>
          <w:rFonts w:ascii="Verdana" w:hAnsi="Verdana" w:cs="Arial"/>
          <w:bCs/>
          <w:lang w:val="es-MX" w:eastAsia="x-none"/>
        </w:rPr>
        <w:lastRenderedPageBreak/>
        <w:t>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216A6EB" w14:textId="77777777" w:rsidR="007A74DB" w:rsidRDefault="007A74DB" w:rsidP="007A74DB">
      <w:pPr>
        <w:spacing w:after="120" w:line="276" w:lineRule="auto"/>
        <w:ind w:firstLine="709"/>
        <w:jc w:val="both"/>
        <w:rPr>
          <w:rFonts w:ascii="Verdana" w:hAnsi="Verdana" w:cs="Arial"/>
          <w:bCs/>
          <w:lang w:val="es-MX" w:eastAsia="x-none"/>
        </w:rPr>
      </w:pPr>
      <w:r>
        <w:rPr>
          <w:rFonts w:ascii="Verdana"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hAnsi="Verdana" w:cs="Arial"/>
          <w:vertAlign w:val="superscript"/>
          <w:lang w:val="es-MX"/>
        </w:rPr>
        <w:footnoteReference w:id="18"/>
      </w:r>
      <w:r>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A0E44D7" w14:textId="77777777" w:rsidR="007A74DB" w:rsidRDefault="007A74DB" w:rsidP="007A74DB">
      <w:pPr>
        <w:spacing w:after="0" w:line="276" w:lineRule="auto"/>
        <w:ind w:firstLine="709"/>
        <w:jc w:val="both"/>
        <w:rPr>
          <w:rFonts w:ascii="Verdana" w:hAnsi="Verdana" w:cs="Arial"/>
          <w:bCs/>
          <w:lang w:val="es-MX" w:eastAsia="x-none"/>
        </w:rPr>
      </w:pPr>
      <w:r>
        <w:rPr>
          <w:rFonts w:ascii="Verdana" w:hAnsi="Verdana" w:cs="Arial"/>
          <w:bCs/>
          <w:lang w:val="es-MX" w:eastAsia="x-none"/>
        </w:rPr>
        <w:t>Respecto de los sujetos destinatarios, el artículo 33 de la Ley 996 de 2005 señala expresamente que son “todos los entes del Estado”, expresión que contempla a los diferentes organismos o entidades autorizadas por la ley para suscribir contratos.</w:t>
      </w:r>
      <w:r>
        <w:rPr>
          <w:rFonts w:ascii="Verdana" w:hAnsi="Verdana" w:cs="Arial"/>
          <w:lang w:val="es-MX"/>
        </w:rPr>
        <w:t xml:space="preserve"> </w:t>
      </w:r>
      <w:r>
        <w:rPr>
          <w:rFonts w:ascii="Verdana" w:hAnsi="Verdana" w:cs="Arial"/>
          <w:bCs/>
          <w:lang w:val="es-MX" w:eastAsia="x-none"/>
        </w:rPr>
        <w:t>En efecto, tal como lo ha sostenido el Consejo de Estado, el vocablo “todos” utilizado por el legislador comprende</w:t>
      </w:r>
      <w:r>
        <w:rPr>
          <w:rFonts w:ascii="Verdana" w:hAnsi="Verdana" w:cs="Arial"/>
          <w:lang w:val="es-MX"/>
        </w:rPr>
        <w:t xml:space="preserve"> </w:t>
      </w:r>
      <w:r>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w:t>
      </w:r>
      <w:r>
        <w:rPr>
          <w:rFonts w:ascii="Verdana" w:hAnsi="Verdana" w:cs="Arial"/>
          <w:bCs/>
          <w:lang w:val="es-MX" w:eastAsia="x-none"/>
        </w:rPr>
        <w:lastRenderedPageBreak/>
        <w:t xml:space="preserve">de la Administración Pública. El Consejo de Estado, en Concepto con radicado 1727 de fecha 20 de febrero de 2006, consideró que: </w:t>
      </w:r>
    </w:p>
    <w:p w14:paraId="607399CF" w14:textId="77777777" w:rsidR="007A74DB" w:rsidRDefault="007A74DB" w:rsidP="007A74DB">
      <w:pPr>
        <w:spacing w:after="0" w:line="276" w:lineRule="auto"/>
        <w:ind w:firstLine="708"/>
        <w:jc w:val="both"/>
        <w:rPr>
          <w:rFonts w:ascii="Verdana" w:hAnsi="Verdana" w:cs="Arial"/>
          <w:bCs/>
          <w:lang w:val="es-MX" w:eastAsia="x-none"/>
        </w:rPr>
      </w:pPr>
    </w:p>
    <w:p w14:paraId="4DE092C2" w14:textId="77777777" w:rsidR="007A74DB" w:rsidRDefault="007A74DB" w:rsidP="007A74DB">
      <w:pPr>
        <w:spacing w:after="0" w:line="240" w:lineRule="auto"/>
        <w:ind w:left="708" w:right="709"/>
        <w:jc w:val="both"/>
        <w:rPr>
          <w:rFonts w:ascii="Verdana" w:hAnsi="Verdana" w:cs="Arial"/>
          <w:bCs/>
          <w:sz w:val="20"/>
          <w:szCs w:val="20"/>
          <w:lang w:val="es-MX" w:eastAsia="es-CO"/>
        </w:rPr>
      </w:pPr>
      <w:r>
        <w:rPr>
          <w:rFonts w:ascii="Verdana" w:hAnsi="Verdana" w:cs="Arial"/>
          <w:bCs/>
          <w:sz w:val="20"/>
          <w:szCs w:val="20"/>
          <w:lang w:val="es-MX" w:eastAsia="x-none"/>
        </w:rPr>
        <w:t xml:space="preserve">“El artículo 33 de la ley 996 de 2005, </w:t>
      </w:r>
      <w:bookmarkStart w:id="7" w:name="_Hlk75787147"/>
      <w:r>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hAnsi="Verdana" w:cs="Arial"/>
          <w:bCs/>
          <w:sz w:val="20"/>
          <w:szCs w:val="20"/>
          <w:vertAlign w:val="superscript"/>
          <w:lang w:val="es-MX" w:eastAsia="x-none"/>
        </w:rPr>
        <w:footnoteReference w:id="19"/>
      </w:r>
      <w:r>
        <w:rPr>
          <w:rFonts w:ascii="Verdana" w:hAnsi="Verdana" w:cs="Arial"/>
          <w:bCs/>
          <w:sz w:val="20"/>
          <w:szCs w:val="20"/>
          <w:lang w:val="es-MX" w:eastAsia="x-none"/>
        </w:rPr>
        <w:t>.</w:t>
      </w:r>
      <w:r>
        <w:rPr>
          <w:rFonts w:ascii="Verdana" w:hAnsi="Verdana" w:cs="Arial"/>
          <w:bCs/>
          <w:sz w:val="20"/>
          <w:szCs w:val="20"/>
          <w:lang w:val="es-MX" w:eastAsia="es-CO"/>
        </w:rPr>
        <w:t xml:space="preserve"> </w:t>
      </w:r>
    </w:p>
    <w:p w14:paraId="3B6B0048" w14:textId="77777777" w:rsidR="007A74DB" w:rsidRDefault="007A74DB" w:rsidP="007A74DB">
      <w:pPr>
        <w:spacing w:after="0" w:line="276" w:lineRule="auto"/>
        <w:ind w:firstLine="708"/>
        <w:jc w:val="both"/>
        <w:rPr>
          <w:rFonts w:ascii="Verdana" w:hAnsi="Verdana" w:cs="Arial"/>
          <w:bCs/>
          <w:lang w:val="es-MX" w:eastAsia="es-CO"/>
        </w:rPr>
      </w:pPr>
    </w:p>
    <w:p w14:paraId="12F6A1E6" w14:textId="77777777" w:rsidR="007A74DB" w:rsidRDefault="007A74DB" w:rsidP="007A74DB">
      <w:pPr>
        <w:spacing w:after="0" w:line="276" w:lineRule="auto"/>
        <w:ind w:firstLine="708"/>
        <w:jc w:val="both"/>
        <w:rPr>
          <w:rFonts w:ascii="Verdana" w:hAnsi="Verdana" w:cs="Arial"/>
          <w:lang w:val="es-MX"/>
        </w:rPr>
      </w:pPr>
      <w:r>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8" w:name="_Hlk75758868"/>
      <w:bookmarkStart w:id="9" w:name="_Hlk75741220"/>
      <w:r>
        <w:rPr>
          <w:rFonts w:ascii="Verdana" w:hAnsi="Verdana" w:cs="Arial"/>
          <w:vertAlign w:val="superscript"/>
          <w:lang w:val="es-MX"/>
        </w:rPr>
        <w:footnoteReference w:id="20"/>
      </w:r>
      <w:bookmarkEnd w:id="8"/>
      <w:bookmarkEnd w:id="9"/>
      <w:r>
        <w:rPr>
          <w:rFonts w:ascii="Verdana" w:hAnsi="Verdana" w:cs="Arial"/>
          <w:bCs/>
          <w:lang w:val="es-MX" w:eastAsia="x-none"/>
        </w:rPr>
        <w:t>.</w:t>
      </w:r>
      <w:r>
        <w:rPr>
          <w:rFonts w:ascii="Verdana" w:hAnsi="Verdana" w:cs="Arial"/>
          <w:lang w:val="es-MX"/>
        </w:rPr>
        <w:t xml:space="preserve"> Sin embargo, debe precisarse el siguiente aspecto que distinguió la Sala de Consulta y Servicio Civil:</w:t>
      </w:r>
    </w:p>
    <w:p w14:paraId="1AADC2EF" w14:textId="77777777" w:rsidR="007A74DB" w:rsidRDefault="007A74DB" w:rsidP="007A74DB">
      <w:pPr>
        <w:spacing w:after="0" w:line="276" w:lineRule="auto"/>
        <w:jc w:val="both"/>
        <w:rPr>
          <w:rFonts w:ascii="Verdana" w:hAnsi="Verdana" w:cs="Arial"/>
          <w:lang w:val="es-MX"/>
        </w:rPr>
      </w:pPr>
    </w:p>
    <w:p w14:paraId="171BFE27" w14:textId="77777777" w:rsidR="007A74DB" w:rsidRDefault="007A74DB" w:rsidP="007A74DB">
      <w:pPr>
        <w:spacing w:after="0" w:line="240" w:lineRule="auto"/>
        <w:ind w:left="708" w:right="709"/>
        <w:jc w:val="both"/>
        <w:rPr>
          <w:rFonts w:ascii="Verdana" w:hAnsi="Verdana" w:cs="Arial"/>
          <w:sz w:val="20"/>
          <w:szCs w:val="20"/>
          <w:lang w:val="es-MX"/>
        </w:rPr>
      </w:pPr>
      <w:bookmarkStart w:id="11" w:name="_Hlk75811446"/>
      <w:r>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w:t>
      </w:r>
      <w:r>
        <w:rPr>
          <w:rFonts w:ascii="Verdana" w:hAnsi="Verdana" w:cs="Arial"/>
          <w:sz w:val="20"/>
          <w:szCs w:val="20"/>
          <w:lang w:val="es-MX"/>
        </w:rPr>
        <w:lastRenderedPageBreak/>
        <w:t>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1"/>
      <w:r>
        <w:rPr>
          <w:rFonts w:ascii="Verdana" w:hAnsi="Verdana" w:cs="Arial"/>
          <w:sz w:val="20"/>
          <w:szCs w:val="20"/>
          <w:lang w:val="es-MX"/>
        </w:rPr>
        <w:t>”</w:t>
      </w:r>
      <w:r>
        <w:rPr>
          <w:vertAlign w:val="superscript"/>
        </w:rPr>
        <w:footnoteReference w:id="21"/>
      </w:r>
      <w:r>
        <w:rPr>
          <w:rFonts w:ascii="Verdana" w:hAnsi="Verdana" w:cs="Arial"/>
          <w:bCs/>
          <w:sz w:val="20"/>
          <w:szCs w:val="20"/>
          <w:lang w:val="es-MX" w:eastAsia="x-none"/>
        </w:rPr>
        <w:t>.</w:t>
      </w:r>
    </w:p>
    <w:p w14:paraId="27F1E1E8" w14:textId="77777777" w:rsidR="007A74DB" w:rsidRDefault="007A74DB" w:rsidP="007A74DB">
      <w:pPr>
        <w:spacing w:after="0" w:line="276" w:lineRule="auto"/>
        <w:jc w:val="both"/>
        <w:rPr>
          <w:rFonts w:ascii="Verdana" w:hAnsi="Verdana" w:cs="Arial"/>
          <w:lang w:val="es-MX"/>
        </w:rPr>
      </w:pPr>
    </w:p>
    <w:p w14:paraId="05743C8E" w14:textId="77777777" w:rsidR="007A74DB" w:rsidRDefault="007A74DB" w:rsidP="007A74DB">
      <w:pPr>
        <w:spacing w:after="120" w:line="276" w:lineRule="auto"/>
        <w:ind w:firstLine="709"/>
        <w:jc w:val="both"/>
        <w:rPr>
          <w:rFonts w:ascii="Verdana" w:hAnsi="Verdana" w:cs="Arial"/>
          <w:bCs/>
          <w:lang w:val="es-MX" w:eastAsia="x-none"/>
        </w:rPr>
      </w:pPr>
      <w:r>
        <w:rPr>
          <w:rFonts w:ascii="Verdana" w:hAnsi="Verdana" w:cs="Arial"/>
          <w:lang w:val="es-MX"/>
        </w:rPr>
        <w:t>Aplicando este razonamiento,</w:t>
      </w:r>
      <w:bookmarkStart w:id="12" w:name="_Hlk75811096"/>
      <w:r>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12"/>
      <w:r>
        <w:rPr>
          <w:rFonts w:ascii="Verdana" w:hAnsi="Verdana" w:cs="Arial"/>
          <w:lang w:val="es-MX"/>
        </w:rPr>
        <w:t>”</w:t>
      </w:r>
      <w:r w:rsidRPr="00C173AD">
        <w:rPr>
          <w:vertAlign w:val="superscript"/>
        </w:rPr>
        <w:footnoteReference w:id="22"/>
      </w:r>
      <w:r w:rsidRPr="00C173AD">
        <w:rPr>
          <w:rFonts w:ascii="Verdana" w:hAnsi="Verdana" w:cs="Arial"/>
          <w:vertAlign w:val="superscript"/>
          <w:lang w:val="es-MX"/>
        </w:rPr>
        <w:t>.</w:t>
      </w:r>
    </w:p>
    <w:bookmarkEnd w:id="7"/>
    <w:p w14:paraId="5743BAB3" w14:textId="77777777" w:rsidR="007A74DB" w:rsidRPr="0087361B" w:rsidRDefault="007A74DB" w:rsidP="007A74DB">
      <w:pPr>
        <w:spacing w:after="120" w:line="276" w:lineRule="auto"/>
        <w:ind w:firstLine="708"/>
        <w:jc w:val="both"/>
        <w:rPr>
          <w:rFonts w:ascii="Verdana" w:hAnsi="Verdana" w:cs="Arial"/>
          <w:bCs/>
          <w:lang w:val="es-MX" w:eastAsia="x-none"/>
        </w:rPr>
      </w:pPr>
      <w:r>
        <w:rPr>
          <w:rFonts w:ascii="Verdana" w:hAnsi="Verdana" w:cs="Arial"/>
          <w:lang w:val="es-MX"/>
        </w:rPr>
        <w:t xml:space="preserve">Por lo tanto, la restricción prevista en la Ley 996 de 2005, </w:t>
      </w:r>
      <w:r>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5C5E37D2" w14:textId="77777777" w:rsidR="007A74DB" w:rsidRPr="005D6BDD" w:rsidRDefault="007A74DB" w:rsidP="007A74DB">
      <w:pPr>
        <w:spacing w:after="120" w:line="276" w:lineRule="auto"/>
        <w:jc w:val="both"/>
        <w:rPr>
          <w:rFonts w:ascii="Verdana" w:eastAsia="Times New Roman" w:hAnsi="Verdana" w:cs="Arial"/>
          <w:lang w:val="es-MX" w:eastAsia="x-none"/>
        </w:rPr>
      </w:pPr>
      <w:r w:rsidRPr="00FC6F34">
        <w:rPr>
          <w:rFonts w:ascii="Verdana" w:eastAsia="Calibri" w:hAnsi="Verdana" w:cs="Arial"/>
          <w:lang w:val="es-ES"/>
        </w:rPr>
        <w:t>ii</w:t>
      </w:r>
      <w:r>
        <w:rPr>
          <w:rFonts w:ascii="Verdana" w:eastAsia="Calibri" w:hAnsi="Verdana" w:cs="Arial"/>
          <w:lang w:val="es-ES"/>
        </w:rPr>
        <w:t>i</w:t>
      </w:r>
      <w:r w:rsidRPr="00FC6F34">
        <w:rPr>
          <w:rFonts w:ascii="Verdana" w:eastAsia="Calibri" w:hAnsi="Verdana" w:cs="Arial"/>
          <w:lang w:val="es-ES"/>
        </w:rPr>
        <w:t xml:space="preserve">) </w:t>
      </w:r>
      <w:r>
        <w:rPr>
          <w:rFonts w:ascii="Verdana" w:eastAsia="Arial" w:hAnsi="Verdana" w:cs="Arial"/>
          <w:lang w:val="es-ES" w:eastAsia="es-ES" w:bidi="es-ES"/>
        </w:rPr>
        <w:t>También</w:t>
      </w:r>
      <w:r>
        <w:rPr>
          <w:rFonts w:ascii="Verdana" w:eastAsia="Calibri" w:hAnsi="Verdana" w:cs="Arial"/>
          <w:lang w:eastAsia="es-ES" w:bidi="es-ES"/>
        </w:rPr>
        <w:t xml:space="preserve"> resulta necesario precisar el alcance de la prohibición </w:t>
      </w:r>
      <w:r>
        <w:rPr>
          <w:rFonts w:ascii="Verdana" w:eastAsia="Arial" w:hAnsi="Verdana" w:cs="Arial"/>
          <w:lang w:val="es-ES" w:eastAsia="es-ES" w:bidi="es-ES"/>
        </w:rPr>
        <w:t>establecida en e</w:t>
      </w:r>
      <w:r>
        <w:rPr>
          <w:rFonts w:ascii="Verdana" w:eastAsia="Calibri" w:hAnsi="Verdana" w:cs="Arial"/>
        </w:rPr>
        <w:t xml:space="preserve">l parágrafo del artículo 38 de la Ley 996 de 2005. La citada norma dispone: “[l]os Gobernadores, Alcaldes Municipales y/o Distritales, Secretarios, Gerentes y directores de Entidades Descentralizadas del orden Municipal, Departamental o Distrital, dentro de los cuatro (4) meses anteriores a las elecciones, no podrán celebrar </w:t>
      </w:r>
      <w:r>
        <w:rPr>
          <w:rFonts w:ascii="Verdana" w:eastAsia="Calibri" w:hAnsi="Verdana" w:cs="Arial"/>
          <w:i/>
          <w:iCs/>
        </w:rPr>
        <w:t>convenios interadministrativos</w:t>
      </w:r>
      <w:r>
        <w:rPr>
          <w:rFonts w:ascii="Verdana" w:eastAsia="Calibri" w:hAnsi="Verdana" w:cs="Arial"/>
        </w:rPr>
        <w:t xml:space="preserve"> para la ejecución de recursos públicos”.</w:t>
      </w:r>
      <w:r>
        <w:rPr>
          <w:rFonts w:ascii="Verdana" w:eastAsia="Times New Roman" w:hAnsi="Verdana" w:cs="Arial"/>
          <w:lang w:val="es-MX" w:eastAsia="x-none"/>
        </w:rPr>
        <w:t xml:space="preserve"> [Énfasis fuera del texto original]</w:t>
      </w:r>
    </w:p>
    <w:p w14:paraId="2590687B" w14:textId="77777777" w:rsidR="007A74DB" w:rsidRDefault="007A74DB" w:rsidP="007A74DB">
      <w:pPr>
        <w:spacing w:after="120" w:line="276" w:lineRule="auto"/>
        <w:ind w:firstLine="709"/>
        <w:jc w:val="both"/>
        <w:rPr>
          <w:rFonts w:ascii="Verdana" w:eastAsia="Calibri" w:hAnsi="Verdana" w:cs="Arial"/>
          <w:lang w:eastAsia="es-ES"/>
        </w:rPr>
      </w:pPr>
      <w:r w:rsidRPr="00E56814">
        <w:rPr>
          <w:rFonts w:ascii="Verdana" w:eastAsia="Times New Roman" w:hAnsi="Verdana" w:cs="Arial"/>
          <w:lang w:val="es-ES" w:eastAsia="es-ES_tradnl"/>
        </w:rPr>
        <w:lastRenderedPageBreak/>
        <w:t xml:space="preserve">Para tales efectos, debe precisarse que </w:t>
      </w:r>
      <w:r w:rsidRPr="00E56814">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E56814">
        <w:rPr>
          <w:rFonts w:ascii="Verdana" w:eastAsia="Calibri"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E56814">
        <w:rPr>
          <w:rFonts w:ascii="Verdana" w:eastAsia="Calibri" w:hAnsi="Verdana" w:cs="Arial"/>
          <w:vertAlign w:val="superscript"/>
          <w:lang w:eastAsia="es-ES"/>
        </w:rPr>
        <w:footnoteReference w:id="23"/>
      </w:r>
      <w:r w:rsidRPr="00E56814">
        <w:rPr>
          <w:rFonts w:ascii="Verdana" w:eastAsia="Calibri" w:hAnsi="Verdana" w:cs="Arial"/>
          <w:lang w:eastAsia="es-ES"/>
        </w:rPr>
        <w:t>.</w:t>
      </w:r>
    </w:p>
    <w:p w14:paraId="3004ED75" w14:textId="77777777" w:rsidR="007A74DB" w:rsidRPr="000F2131" w:rsidRDefault="007A74DB" w:rsidP="007A74DB">
      <w:pPr>
        <w:spacing w:before="120" w:after="0" w:line="276" w:lineRule="auto"/>
        <w:ind w:firstLine="708"/>
        <w:jc w:val="both"/>
        <w:rPr>
          <w:rFonts w:ascii="Verdana" w:eastAsia="Calibri" w:hAnsi="Verdana" w:cs="Times New Roman"/>
          <w:sz w:val="24"/>
          <w:szCs w:val="24"/>
          <w:lang w:eastAsia="es-CO"/>
        </w:rPr>
      </w:pPr>
      <w:r w:rsidRPr="000F2131">
        <w:rPr>
          <w:rFonts w:ascii="Verdana" w:eastAsia="Calibri" w:hAnsi="Verdana" w:cs="Arial"/>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0F2131">
        <w:rPr>
          <w:rFonts w:ascii="Verdana" w:eastAsia="Calibri" w:hAnsi="Verdana" w:cs="Arial"/>
          <w:vertAlign w:val="superscript"/>
          <w:lang w:val="es-ES_tradnl"/>
        </w:rPr>
        <w:footnoteReference w:id="24"/>
      </w:r>
      <w:r w:rsidRPr="000F2131">
        <w:rPr>
          <w:rFonts w:ascii="Verdana" w:eastAsia="Calibri" w:hAnsi="Verdana" w:cs="Arial"/>
          <w:lang w:val="es-ES_tradnl"/>
        </w:rPr>
        <w:t>, pues, de acuerdo con lo anotado, esta clase de acuerdos de voluntades se definen por un criterio orgánico, por lo que uno de sus elementos esenciales es que en los extremos de la relación jurídico negocial concurran personas de derecho público</w:t>
      </w:r>
      <w:r w:rsidRPr="000F2131">
        <w:rPr>
          <w:rFonts w:ascii="Verdana" w:eastAsia="Calibri" w:hAnsi="Verdana" w:cs="Times New Roman"/>
          <w:sz w:val="24"/>
          <w:szCs w:val="24"/>
          <w:lang w:eastAsia="es-CO"/>
        </w:rPr>
        <w:t>.</w:t>
      </w:r>
    </w:p>
    <w:p w14:paraId="481672E0" w14:textId="77777777" w:rsidR="007A74DB" w:rsidRPr="00C55BDE" w:rsidRDefault="007A74DB" w:rsidP="007A74DB">
      <w:pPr>
        <w:spacing w:before="120" w:after="0" w:line="276" w:lineRule="auto"/>
        <w:ind w:firstLine="708"/>
        <w:jc w:val="both"/>
        <w:rPr>
          <w:rFonts w:ascii="Verdana" w:eastAsia="Times New Roman" w:hAnsi="Verdana" w:cs="Arial"/>
          <w:lang w:val="es-MX" w:eastAsia="es-CO"/>
        </w:rPr>
      </w:pPr>
      <w:r w:rsidRPr="00C55BDE">
        <w:rPr>
          <w:rFonts w:ascii="Verdana" w:eastAsia="Arial" w:hAnsi="Verdana" w:cs="Arial"/>
          <w:lang w:val="es-MX" w:eastAsia="es-ES" w:bidi="es-ES"/>
        </w:rPr>
        <w:t>De esta manera, se</w:t>
      </w:r>
      <w:r w:rsidRPr="00C55BDE">
        <w:rPr>
          <w:rFonts w:ascii="Verdana" w:eastAsia="Times New Roman" w:hAnsi="Verdana" w:cs="Arial"/>
          <w:lang w:eastAsia="es-CO"/>
        </w:rPr>
        <w:t xml:space="preserve"> observa que </w:t>
      </w:r>
      <w:r w:rsidRPr="00C55BDE">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55BDE">
        <w:rPr>
          <w:rFonts w:ascii="Verdana" w:eastAsia="Times New Roman" w:hAnsi="Verdana" w:cs="Arial"/>
          <w:i/>
          <w:iCs/>
          <w:lang w:val="es-MX" w:eastAsia="es-CO"/>
        </w:rPr>
        <w:t>convenios interadministrativos</w:t>
      </w:r>
      <w:r w:rsidRPr="00C55BDE">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55BDE">
        <w:rPr>
          <w:rFonts w:ascii="Verdana" w:eastAsia="Times New Roman" w:hAnsi="Verdana" w:cs="Arial"/>
          <w:i/>
          <w:lang w:val="es-MX" w:eastAsia="es-CO"/>
        </w:rPr>
        <w:t>ibidem</w:t>
      </w:r>
      <w:r w:rsidRPr="00C55BDE">
        <w:rPr>
          <w:rFonts w:ascii="Verdana" w:eastAsia="Times New Roman" w:hAnsi="Verdana" w:cs="Arial"/>
          <w:lang w:val="es-MX" w:eastAsia="es-CO"/>
        </w:rPr>
        <w:t xml:space="preserve">, no podrá celebrar tales </w:t>
      </w:r>
      <w:r w:rsidRPr="00C55BDE">
        <w:rPr>
          <w:rFonts w:ascii="Verdana" w:eastAsia="Times New Roman" w:hAnsi="Verdana" w:cs="Arial"/>
          <w:i/>
          <w:iCs/>
          <w:lang w:val="es-MX" w:eastAsia="es-CO"/>
        </w:rPr>
        <w:t>convenios</w:t>
      </w:r>
      <w:r w:rsidRPr="00C55BDE">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041DF42" w14:textId="77777777" w:rsidR="007A74DB" w:rsidRDefault="007A74DB" w:rsidP="007A74DB">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val="es-MX" w:eastAsia="es-CO"/>
        </w:rPr>
        <w:t>Respecto del alcance de esta prohibición la Circular Externa No. 006 de 2025 expedida por la ANCP -CCE, en los literales ii) y iv) del numeral 2</w:t>
      </w:r>
      <w:r w:rsidRPr="00C55BDE">
        <w:rPr>
          <w:rFonts w:ascii="Verdana" w:eastAsia="Times New Roman" w:hAnsi="Verdana" w:cs="Arial"/>
          <w:lang w:eastAsia="es-CO"/>
        </w:rPr>
        <w:t>,</w:t>
      </w:r>
      <w:r w:rsidRPr="00C55BDE">
        <w:rPr>
          <w:rFonts w:ascii="Verdana" w:eastAsia="Times New Roman" w:hAnsi="Verdana" w:cs="Arial"/>
          <w:lang w:val="es-MX" w:eastAsia="es-CO"/>
        </w:rPr>
        <w:t xml:space="preserve"> indica que el </w:t>
      </w:r>
      <w:r w:rsidRPr="00C55BDE">
        <w:rPr>
          <w:rFonts w:ascii="Verdana" w:eastAsia="Times New Roman" w:hAnsi="Verdana" w:cs="Arial"/>
          <w:lang w:eastAsia="es-CO"/>
        </w:rPr>
        <w:t xml:space="preserve">parágrafo del artículo 38 de la Ley 996 de 2005 cobija expresamente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w:t>
      </w:r>
      <w:r w:rsidRPr="00C55BDE">
        <w:rPr>
          <w:rFonts w:ascii="Verdana" w:eastAsia="Times New Roman" w:hAnsi="Verdana" w:cs="Arial"/>
          <w:lang w:eastAsia="es-CO"/>
        </w:rPr>
        <w:lastRenderedPageBreak/>
        <w:t xml:space="preserve">los sujetos allí señalados, </w:t>
      </w:r>
      <w:r w:rsidRPr="00C55BDE">
        <w:rPr>
          <w:rFonts w:ascii="Verdana" w:eastAsia="Times New Roman" w:hAnsi="Verdana" w:cs="Arial"/>
          <w:i/>
          <w:iCs/>
          <w:lang w:eastAsia="es-CO"/>
        </w:rPr>
        <w:t>“aunque se configure alguno de los supuestos de excepción que señaló el inciso final del artículo 33”.</w:t>
      </w:r>
      <w:r w:rsidRPr="00C55BDE">
        <w:rPr>
          <w:rFonts w:ascii="Verdana" w:eastAsia="Times New Roman" w:hAnsi="Verdana" w:cs="Arial"/>
          <w:lang w:eastAsia="es-CO"/>
        </w:rPr>
        <w:t xml:space="preserve"> </w:t>
      </w:r>
    </w:p>
    <w:p w14:paraId="1A1E9F53" w14:textId="77777777" w:rsidR="007A74DB" w:rsidRPr="00C55BDE" w:rsidRDefault="007A74DB" w:rsidP="007A74DB">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Asimismo, respecto de los sujetos </w:t>
      </w:r>
      <w:r w:rsidRPr="005173C4">
        <w:rPr>
          <w:rFonts w:ascii="Verdana" w:eastAsia="Times New Roman" w:hAnsi="Verdana" w:cs="Arial"/>
          <w:lang w:eastAsia="es-CO"/>
        </w:rPr>
        <w:t>que tienen prohibido celebrar convenios interadministrativos</w:t>
      </w:r>
      <w:r>
        <w:rPr>
          <w:rFonts w:ascii="Verdana" w:eastAsia="Times New Roman" w:hAnsi="Verdana" w:cs="Arial"/>
          <w:lang w:eastAsia="es-CO"/>
        </w:rPr>
        <w:t xml:space="preserve"> se precisa que</w:t>
      </w:r>
      <w:r w:rsidRPr="005173C4">
        <w:rPr>
          <w:rFonts w:ascii="Verdana" w:eastAsia="Times New Roman" w:hAnsi="Verdana" w:cs="Arial"/>
          <w:lang w:eastAsia="es-CO"/>
        </w:rPr>
        <w:t xml:space="preserve"> </w:t>
      </w:r>
      <w:r>
        <w:rPr>
          <w:rFonts w:ascii="Verdana" w:eastAsia="Times New Roman" w:hAnsi="Verdana" w:cs="Arial"/>
          <w:lang w:eastAsia="es-CO"/>
        </w:rPr>
        <w:t>“l</w:t>
      </w:r>
      <w:r w:rsidRPr="005173C4">
        <w:rPr>
          <w:rFonts w:ascii="Verdana" w:eastAsia="Times New Roman" w:hAnsi="Verdana" w:cs="Arial"/>
          <w:lang w:eastAsia="es-CO"/>
        </w:rPr>
        <w:t xml:space="preserve">a norma señala expresamente los sujetos a quienes aplica la prohibición, es decir: a los </w:t>
      </w:r>
      <w:r w:rsidRPr="00C54178">
        <w:rPr>
          <w:rFonts w:ascii="Verdana" w:eastAsia="Times New Roman" w:hAnsi="Verdana" w:cs="Arial"/>
          <w:i/>
          <w:iCs/>
          <w:lang w:eastAsia="es-CO"/>
        </w:rPr>
        <w:t>Alcaldes, Gobernadores, Secretarios, Gerentes y Directores de las entidades descentralizadas del orden municipal, departamental o distrital</w:t>
      </w:r>
      <w:r w:rsidRPr="005173C4">
        <w:rPr>
          <w:rFonts w:ascii="Verdana" w:eastAsia="Times New Roman" w:hAnsi="Verdana" w:cs="Arial"/>
          <w:lang w:eastAsia="es-CO"/>
        </w:rPr>
        <w:t xml:space="preserve">. En consecuencia, no se extiende a sujetos adicionales o distintos a los referidos, </w:t>
      </w:r>
      <w:r w:rsidRPr="000673BA">
        <w:rPr>
          <w:rFonts w:ascii="Verdana" w:eastAsia="Times New Roman" w:hAnsi="Verdana" w:cs="Arial"/>
          <w:i/>
          <w:iCs/>
          <w:lang w:eastAsia="es-CO"/>
        </w:rPr>
        <w:t>de modo que no cobija a todos los entes públicos que tienen la facultad de contratar</w:t>
      </w:r>
      <w:r w:rsidRPr="005173C4">
        <w:rPr>
          <w:rFonts w:ascii="Verdana" w:eastAsia="Times New Roman" w:hAnsi="Verdana" w:cs="Arial"/>
          <w:lang w:eastAsia="es-CO"/>
        </w:rPr>
        <w:t>, como ocurre con la prohibición del artículo 33</w:t>
      </w:r>
      <w:r>
        <w:rPr>
          <w:rFonts w:ascii="Verdana" w:eastAsia="Times New Roman" w:hAnsi="Verdana" w:cs="Arial"/>
          <w:lang w:eastAsia="es-CO"/>
        </w:rPr>
        <w:t>”</w:t>
      </w:r>
      <w:r w:rsidRPr="005173C4">
        <w:rPr>
          <w:rFonts w:ascii="Verdana" w:eastAsia="Times New Roman" w:hAnsi="Verdana" w:cs="Arial"/>
          <w:lang w:eastAsia="es-CO"/>
        </w:rPr>
        <w:t>.</w:t>
      </w:r>
    </w:p>
    <w:p w14:paraId="23D2FD69" w14:textId="77777777" w:rsidR="007A74DB" w:rsidRPr="00C55BDE" w:rsidRDefault="007A74DB" w:rsidP="007A74DB">
      <w:pPr>
        <w:spacing w:before="120" w:after="0" w:line="276" w:lineRule="auto"/>
        <w:ind w:firstLine="708"/>
        <w:jc w:val="both"/>
        <w:rPr>
          <w:rFonts w:ascii="Verdana" w:eastAsia="Times New Roman" w:hAnsi="Verdana" w:cs="Arial"/>
          <w:lang w:val="es-MX" w:eastAsia="es-CO"/>
        </w:rPr>
      </w:pPr>
      <w:r>
        <w:rPr>
          <w:rFonts w:ascii="Verdana" w:eastAsia="Times New Roman" w:hAnsi="Verdana" w:cs="Arial"/>
          <w:lang w:eastAsia="es-CO"/>
        </w:rPr>
        <w:t>En este contexto, e</w:t>
      </w:r>
      <w:r w:rsidRPr="00C55BDE">
        <w:rPr>
          <w:rFonts w:ascii="Verdana" w:eastAsia="Times New Roman" w:hAnsi="Verdana" w:cs="Arial"/>
          <w:lang w:eastAsia="es-CO"/>
        </w:rPr>
        <w:t xml:space="preserve">s importante tener en cuenta que el ámbito de aplicación de la restricción prevista en el parágrafo del artículo 38 de la Ley 996 de 2005 solo se extiende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w:t>
      </w:r>
      <w:r w:rsidRPr="00C55BDE">
        <w:rPr>
          <w:rFonts w:ascii="Verdana" w:eastAsia="Times New Roman" w:hAnsi="Verdana" w:cs="Arial"/>
          <w:i/>
          <w:iCs/>
          <w:lang w:eastAsia="es-CO"/>
        </w:rPr>
        <w:t>ejecución de recursos públicos</w:t>
      </w:r>
      <w:r w:rsidRPr="00C55BDE">
        <w:rPr>
          <w:rFonts w:ascii="Verdana" w:eastAsia="Times New Roman" w:hAnsi="Verdana" w:cs="Arial"/>
          <w:lang w:eastAsia="es-CO"/>
        </w:rPr>
        <w:t xml:space="preserve">. Esto significa que la prohibición no resulta aplicable a </w:t>
      </w:r>
      <w:r w:rsidRPr="00C55BDE">
        <w:rPr>
          <w:rFonts w:ascii="Verdana" w:eastAsia="Times New Roman" w:hAnsi="Verdana" w:cs="Arial"/>
          <w:i/>
          <w:iCs/>
          <w:lang w:eastAsia="es-CO"/>
        </w:rPr>
        <w:t>convenios interadministrativos a título gratuito,</w:t>
      </w:r>
      <w:r w:rsidRPr="00C55BDE">
        <w:rPr>
          <w:rFonts w:ascii="Verdana" w:eastAsia="Times New Roman" w:hAnsi="Verdana" w:cs="Arial"/>
          <w:lang w:eastAsia="es-CO"/>
        </w:rPr>
        <w:t xml:space="preserve"> los cuales pueden celebrarse válidamente durante la vigencia de la mencionada restricción. </w:t>
      </w:r>
    </w:p>
    <w:p w14:paraId="705058D8" w14:textId="77777777" w:rsidR="007A74DB" w:rsidRPr="00C55BDE" w:rsidRDefault="007A74DB" w:rsidP="007A74DB">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En este punto, teniendo en cuenta lo señalado en el contenido de su petición, vale la pena destacar que </w:t>
      </w:r>
      <w:r w:rsidRPr="00C55BD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55BDE">
        <w:rPr>
          <w:rFonts w:ascii="Verdana" w:hAnsi="Verdana" w:cs="Arial"/>
        </w:rPr>
        <w:t>numeral 16.2 de la Circular Externa Única de 2022 expedida por la Agencia Nacional de Contratación Pública -Colombia Compra Eficiente-, concretamente, respecto de los siguientes apartes normativos</w:t>
      </w:r>
      <w:r w:rsidRPr="00C55BDE">
        <w:rPr>
          <w:rFonts w:ascii="Verdana" w:hAnsi="Verdana" w:cs="Arial"/>
          <w:vertAlign w:val="superscript"/>
        </w:rPr>
        <w:footnoteReference w:id="25"/>
      </w:r>
      <w:r w:rsidRPr="00C55BDE">
        <w:rPr>
          <w:rFonts w:ascii="Verdana" w:hAnsi="Verdana" w:cs="Arial"/>
        </w:rPr>
        <w:t xml:space="preserve">: </w:t>
      </w:r>
    </w:p>
    <w:p w14:paraId="556D3D0B" w14:textId="77777777" w:rsidR="007A74DB" w:rsidRPr="00C55BDE" w:rsidRDefault="007A74DB" w:rsidP="007A74DB">
      <w:pPr>
        <w:spacing w:after="0" w:line="276" w:lineRule="auto"/>
        <w:ind w:firstLine="709"/>
        <w:jc w:val="both"/>
        <w:rPr>
          <w:rFonts w:ascii="Verdana" w:hAnsi="Verdana" w:cs="Arial"/>
        </w:rPr>
      </w:pPr>
    </w:p>
    <w:p w14:paraId="5ACBC276" w14:textId="77777777" w:rsidR="007A74DB" w:rsidRPr="00C55BDE" w:rsidRDefault="007A74DB" w:rsidP="007A74DB">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C55BDE">
        <w:rPr>
          <w:rFonts w:ascii="Verdana" w:hAnsi="Verdana" w:cs="Arial"/>
          <w:sz w:val="20"/>
          <w:szCs w:val="20"/>
          <w:lang w:val="es-MX"/>
        </w:rPr>
        <w:t>i)</w:t>
      </w:r>
      <w:r w:rsidRPr="00C55BDE">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5EFFF2F" w14:textId="77777777" w:rsidR="007A74DB" w:rsidRPr="00C55BDE" w:rsidRDefault="007A74DB" w:rsidP="007A74DB">
      <w:pPr>
        <w:spacing w:after="0" w:line="240" w:lineRule="auto"/>
        <w:ind w:left="709" w:right="709"/>
        <w:jc w:val="both"/>
        <w:rPr>
          <w:rFonts w:ascii="Verdana" w:hAnsi="Verdana" w:cs="Arial"/>
          <w:sz w:val="20"/>
          <w:szCs w:val="20"/>
        </w:rPr>
      </w:pPr>
    </w:p>
    <w:p w14:paraId="731D9180" w14:textId="77777777" w:rsidR="007A74DB" w:rsidRPr="00C55BDE" w:rsidRDefault="007A74DB" w:rsidP="007A74DB">
      <w:pPr>
        <w:spacing w:after="0" w:line="240" w:lineRule="auto"/>
        <w:ind w:left="709" w:right="709"/>
        <w:jc w:val="both"/>
        <w:rPr>
          <w:rFonts w:ascii="Verdana" w:hAnsi="Verdana" w:cs="Arial"/>
          <w:sz w:val="20"/>
          <w:szCs w:val="20"/>
        </w:rPr>
      </w:pPr>
      <w:r w:rsidRPr="00C55BDE">
        <w:rPr>
          <w:rFonts w:ascii="Verdana" w:hAnsi="Verdana" w:cs="Arial"/>
          <w:sz w:val="20"/>
          <w:szCs w:val="20"/>
        </w:rPr>
        <w:t xml:space="preserve">ii) la expresión y el siguiente párrafo contenidos en el inciso cuarto “contratos” y “En este sentido, la prohibición que establece el parágrafo </w:t>
      </w:r>
      <w:r w:rsidRPr="00C55BDE">
        <w:rPr>
          <w:rFonts w:ascii="Verdana" w:hAnsi="Verdana" w:cs="Arial"/>
          <w:sz w:val="20"/>
          <w:szCs w:val="20"/>
        </w:rPr>
        <w:lastRenderedPageBreak/>
        <w:t xml:space="preserve">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063DD20" w14:textId="77777777" w:rsidR="007A74DB" w:rsidRPr="00C55BDE" w:rsidRDefault="007A74DB" w:rsidP="007A74DB">
      <w:pPr>
        <w:spacing w:after="0" w:line="276" w:lineRule="auto"/>
        <w:ind w:left="709" w:right="709"/>
        <w:jc w:val="both"/>
        <w:rPr>
          <w:rFonts w:ascii="Verdana" w:hAnsi="Verdana" w:cs="Arial"/>
        </w:rPr>
      </w:pPr>
    </w:p>
    <w:p w14:paraId="2226F7C2" w14:textId="77777777" w:rsidR="007A74DB" w:rsidRPr="00C55BDE" w:rsidRDefault="007A74DB" w:rsidP="007A74DB">
      <w:pPr>
        <w:spacing w:after="120" w:line="276" w:lineRule="auto"/>
        <w:ind w:firstLine="709"/>
        <w:jc w:val="both"/>
        <w:rPr>
          <w:rFonts w:ascii="Verdana" w:eastAsia="Arial" w:hAnsi="Verdana" w:cs="Arial"/>
          <w:i/>
          <w:iCs/>
          <w:lang w:eastAsia="es-ES" w:bidi="es-ES"/>
        </w:rPr>
      </w:pPr>
      <w:r w:rsidRPr="00C55BDE">
        <w:rPr>
          <w:rFonts w:ascii="Verdana" w:eastAsia="Arial" w:hAnsi="Verdana" w:cs="Arial"/>
          <w:lang w:val="es-MX" w:eastAsia="es-ES" w:bidi="es-ES"/>
        </w:rPr>
        <w:t xml:space="preserve">De conformidad con los argumentos de dicha providencia, se parte de la distinción entre los conceptos </w:t>
      </w:r>
      <w:r w:rsidRPr="00C55BD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55BDE">
        <w:rPr>
          <w:rFonts w:ascii="Verdana" w:hAnsi="Verdana"/>
          <w:sz w:val="24"/>
          <w:szCs w:val="24"/>
          <w:lang w:eastAsia="es-CO"/>
        </w:rPr>
        <w:t xml:space="preserve"> </w:t>
      </w:r>
      <w:r w:rsidRPr="00C55BDE">
        <w:rPr>
          <w:rFonts w:ascii="Verdana" w:eastAsia="Arial" w:hAnsi="Verdana" w:cs="Arial"/>
          <w:lang w:eastAsia="es-ES" w:bidi="es-ES"/>
        </w:rPr>
        <w:t xml:space="preserve">En este sentido, en relación con el parágrafo del artículo 38 de la Ley 996 de 2005 concluyó que </w:t>
      </w:r>
      <w:r w:rsidRPr="00C55BD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BFB8CDE" w14:textId="77777777" w:rsidR="007A74DB" w:rsidRPr="00C55BDE" w:rsidRDefault="007A74DB" w:rsidP="007A74DB">
      <w:pPr>
        <w:spacing w:after="120" w:line="276" w:lineRule="auto"/>
        <w:ind w:firstLine="709"/>
        <w:jc w:val="both"/>
        <w:rPr>
          <w:rFonts w:ascii="Verdana" w:eastAsia="Arial" w:hAnsi="Verdana" w:cs="Arial"/>
          <w:lang w:eastAsia="es-ES" w:bidi="es-ES"/>
        </w:rPr>
      </w:pPr>
      <w:r w:rsidRPr="00C55BDE">
        <w:rPr>
          <w:rFonts w:ascii="Verdana" w:eastAsia="Arial" w:hAnsi="Verdana" w:cs="Arial"/>
          <w:lang w:eastAsia="es-ES" w:bidi="es-ES"/>
        </w:rPr>
        <w:t>De igual manera, mediante auto del 6 de noviembre de 2025, el Consejo de Estado, Subsección A de la Sección Tercera, decretó</w:t>
      </w:r>
      <w:r w:rsidRPr="00C55BDE">
        <w:rPr>
          <w:rFonts w:ascii="Verdana" w:eastAsia="Arial" w:hAnsi="Verdana" w:cs="Arial"/>
          <w:b/>
          <w:bCs/>
          <w:lang w:eastAsia="es-ES" w:bidi="es-ES"/>
        </w:rPr>
        <w:t xml:space="preserve"> </w:t>
      </w:r>
      <w:r w:rsidRPr="00C55BDE">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55BDE">
        <w:rPr>
          <w:rFonts w:ascii="Verdana" w:eastAsia="Arial" w:hAnsi="Verdana" w:cs="Arial"/>
          <w:vertAlign w:val="superscript"/>
          <w:lang w:eastAsia="es-ES" w:bidi="es-ES"/>
        </w:rPr>
        <w:footnoteReference w:id="26"/>
      </w:r>
      <w:r w:rsidRPr="00C55BDE">
        <w:rPr>
          <w:rFonts w:ascii="Verdana" w:eastAsia="Arial" w:hAnsi="Verdana" w:cs="Arial"/>
          <w:lang w:eastAsia="es-ES" w:bidi="es-ES"/>
        </w:rPr>
        <w:t xml:space="preserve">. Para tales </w:t>
      </w:r>
      <w:r w:rsidRPr="00C55BDE">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0C57EDC1" w14:textId="77777777" w:rsidR="007A74DB" w:rsidRPr="00C55BDE" w:rsidRDefault="007A74DB" w:rsidP="007A74DB">
      <w:pPr>
        <w:spacing w:after="120" w:line="276" w:lineRule="auto"/>
        <w:ind w:firstLine="709"/>
        <w:jc w:val="both"/>
        <w:rPr>
          <w:rFonts w:ascii="Verdana" w:eastAsia="Times New Roman" w:hAnsi="Verdana" w:cs="Times New Roman"/>
          <w:lang w:eastAsia="es-ES"/>
        </w:rPr>
      </w:pPr>
      <w:r w:rsidRPr="00C55BD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55BD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448B512" w14:textId="77777777" w:rsidR="007A74DB" w:rsidRPr="00C55BDE" w:rsidRDefault="007A74DB" w:rsidP="007A74DB">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55BDE">
        <w:rPr>
          <w:rStyle w:val="Refdenotaalpie"/>
          <w:rFonts w:ascii="Verdana" w:eastAsia="Times New Roman" w:hAnsi="Verdana" w:cs="Times New Roman"/>
          <w:lang w:eastAsia="es-ES"/>
        </w:rPr>
        <w:footnoteReference w:id="27"/>
      </w:r>
      <w:r w:rsidRPr="00C55BDE">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457309C" w14:textId="77777777" w:rsidR="007A74DB" w:rsidRPr="00C55BDE" w:rsidRDefault="007A74DB" w:rsidP="007A74DB">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 xml:space="preserve">A juicio de la Sala, aunque el propósito de la Circular Externa era legítimo —evitar el uso indebido de recursos en época electoral—, el numeral 16.2. </w:t>
      </w:r>
      <w:r w:rsidRPr="00C55BDE">
        <w:rPr>
          <w:rFonts w:ascii="Verdana" w:eastAsia="Times New Roman" w:hAnsi="Verdana" w:cs="Times New Roman"/>
          <w:lang w:eastAsia="es-ES"/>
        </w:rPr>
        <w:lastRenderedPageBreak/>
        <w:t xml:space="preserve">desconoció el alcance literal del artículo 38 de la Ley 996 de 2005 y los límites de la potestad reglamentaria, lo que configuró un vicio de contenido. </w:t>
      </w:r>
    </w:p>
    <w:p w14:paraId="6FF08592" w14:textId="77777777" w:rsidR="007A74DB" w:rsidRDefault="007A74DB" w:rsidP="007A74DB">
      <w:pPr>
        <w:spacing w:after="120" w:line="276" w:lineRule="auto"/>
        <w:ind w:firstLine="709"/>
        <w:jc w:val="both"/>
        <w:rPr>
          <w:rFonts w:ascii="Verdana" w:eastAsia="Times New Roman" w:hAnsi="Verdana" w:cs="Arial"/>
          <w:lang w:eastAsia="es-CO"/>
        </w:rPr>
      </w:pPr>
      <w:r w:rsidRPr="00C55BDE">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contratos 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sidRPr="00C55BDE">
        <w:rPr>
          <w:rStyle w:val="Refdenotaalpie"/>
          <w:rFonts w:ascii="Verdana" w:eastAsia="Times New Roman" w:hAnsi="Verdana" w:cs="Arial"/>
          <w:lang w:eastAsia="es-CO"/>
        </w:rPr>
        <w:footnoteReference w:id="28"/>
      </w:r>
      <w:r w:rsidRPr="00C55BDE">
        <w:rPr>
          <w:rFonts w:ascii="Verdana" w:eastAsia="Times New Roman" w:hAnsi="Verdana" w:cs="Arial"/>
          <w:lang w:eastAsia="es-CO"/>
        </w:rPr>
        <w:t>.</w:t>
      </w:r>
    </w:p>
    <w:p w14:paraId="79411504" w14:textId="77777777" w:rsidR="007A74DB" w:rsidRDefault="007A74DB" w:rsidP="007A74DB">
      <w:pPr>
        <w:spacing w:after="120" w:line="276" w:lineRule="auto"/>
        <w:jc w:val="both"/>
        <w:rPr>
          <w:rFonts w:ascii="Verdana" w:hAnsi="Verdana" w:cs="Arial"/>
          <w:noProof/>
        </w:rPr>
      </w:pPr>
      <w:r>
        <w:rPr>
          <w:rFonts w:ascii="Verdana" w:eastAsia="Times New Roman" w:hAnsi="Verdana" w:cs="Arial"/>
          <w:bCs/>
          <w:lang w:val="es-MX" w:eastAsia="x-none"/>
        </w:rPr>
        <w:t xml:space="preserve">iv. Ahora bien, teniendo en cuenta estas precisiones, es necesario revisar si al acto de designación de un ente ejecutor en el marco de los dispuesto en el Sistema General de Regalías le aplican las restricciones expuestas establecidas en Ley 996 de 2005. Para tales efectos, es pertinente indicar que </w:t>
      </w:r>
      <w:r>
        <w:rPr>
          <w:rFonts w:ascii="Verdana" w:hAnsi="Verdana" w:cs="Arial"/>
          <w:noProof/>
        </w:rPr>
        <w:t>l</w:t>
      </w:r>
      <w:r w:rsidRPr="0015567A">
        <w:rPr>
          <w:rFonts w:ascii="Verdana" w:hAnsi="Verdana" w:cs="Arial"/>
          <w:noProof/>
        </w:rPr>
        <w:t>a Ley 2056 de 2020 establece las reglas generales para los proyectos de inversión en el Sistema General de Regalías</w:t>
      </w:r>
      <w:r>
        <w:rPr>
          <w:rFonts w:ascii="Verdana" w:hAnsi="Verdana" w:cs="Arial"/>
          <w:noProof/>
        </w:rPr>
        <w:t xml:space="preserve">. </w:t>
      </w:r>
    </w:p>
    <w:p w14:paraId="50D038B5" w14:textId="77777777" w:rsidR="007A74DB" w:rsidRPr="0041095A" w:rsidRDefault="007A74DB" w:rsidP="007A74DB">
      <w:pPr>
        <w:spacing w:after="120" w:line="276" w:lineRule="auto"/>
        <w:ind w:firstLine="709"/>
        <w:jc w:val="both"/>
        <w:rPr>
          <w:rFonts w:ascii="Verdana" w:hAnsi="Verdana" w:cs="Arial"/>
        </w:rPr>
      </w:pPr>
      <w:r>
        <w:rPr>
          <w:rFonts w:ascii="Verdana" w:hAnsi="Verdana" w:cs="Arial"/>
        </w:rPr>
        <w:t>L</w:t>
      </w:r>
      <w:r w:rsidRPr="0041095A">
        <w:rPr>
          <w:rFonts w:ascii="Verdana" w:hAnsi="Verdana" w:cs="Arial"/>
        </w:rPr>
        <w:t xml:space="preserve">os artículos 31 de la Ley 2056 de 2020 y 1.2.1.2.22 del Decreto 1821 de 2020 – Decreto Único Reglamentario del Sistema General de Regalías – indican que, como síntesis del ciclo de los proyectos de inversión, será </w:t>
      </w:r>
      <w:r w:rsidRPr="00F716AE">
        <w:rPr>
          <w:rFonts w:ascii="Verdana" w:hAnsi="Verdana" w:cs="Arial"/>
          <w:i/>
          <w:iCs/>
        </w:rPr>
        <w:t>designada</w:t>
      </w:r>
      <w:r w:rsidRPr="0041095A">
        <w:rPr>
          <w:rFonts w:ascii="Verdana" w:hAnsi="Verdana" w:cs="Arial"/>
        </w:rPr>
        <w:t xml:space="preserve"> una entidad ejecutora, la cual estará encargada de su materialización. Al efecto, la entidad ejecutora deberá cumplir con los requisitos establecidos en las normas del sector al que pertenezca el proyecto.</w:t>
      </w:r>
    </w:p>
    <w:p w14:paraId="5F1C5424" w14:textId="77777777" w:rsidR="007A74DB" w:rsidRPr="0041095A" w:rsidRDefault="007A74DB" w:rsidP="007A74DB">
      <w:pPr>
        <w:spacing w:after="120" w:line="276" w:lineRule="auto"/>
        <w:ind w:firstLine="709"/>
        <w:jc w:val="both"/>
        <w:rPr>
          <w:rFonts w:ascii="Verdana" w:hAnsi="Verdana" w:cs="Arial"/>
        </w:rPr>
      </w:pPr>
      <w:r w:rsidRPr="0041095A">
        <w:rPr>
          <w:rFonts w:ascii="Verdana" w:hAnsi="Verdana" w:cs="Arial"/>
        </w:rPr>
        <w:t xml:space="preserve">De conformidad con el literal b) del artículo 1.2.10.1.2 del Decreto 1821 de 2020, son entidades ejecutoras las: “entidades de naturaleza pública, esquemas asociativos territoriales, las señaladas en el parágrafo primero del artículo 84 y el parágrafo primero del artículo 98 de la Ley 2056 de 2020 designadas para la ejecución de proyectos de inversión financiados con recursos del SGR por las instancias competentes para su aprobación, así como los ejecutores de que trata el artículo 54 de la Ley 2056 de 2020”. </w:t>
      </w:r>
    </w:p>
    <w:p w14:paraId="5CD4C17E" w14:textId="77777777" w:rsidR="007A74DB" w:rsidRPr="00C30604" w:rsidRDefault="007A74DB" w:rsidP="007A74DB">
      <w:pPr>
        <w:spacing w:after="120" w:line="276" w:lineRule="auto"/>
        <w:ind w:firstLine="709"/>
        <w:jc w:val="both"/>
        <w:rPr>
          <w:rFonts w:ascii="Verdana" w:hAnsi="Verdana" w:cs="Arial"/>
        </w:rPr>
      </w:pPr>
      <w:r w:rsidRPr="0041095A">
        <w:rPr>
          <w:rFonts w:ascii="Verdana" w:hAnsi="Verdana" w:cs="Arial"/>
        </w:rPr>
        <w:t xml:space="preserve">Sobre el particular, el Departamento Nacional de Planeación ha señalado que, teniendo en cuenta la normativa del Sistema General de Regalías, es posible concluir que, las instancias encargadas de designar al ejecutor de los proyectos de inversión financiados con recursos de Asignaciones Directas, la Asignación </w:t>
      </w:r>
      <w:r w:rsidRPr="0041095A">
        <w:rPr>
          <w:rFonts w:ascii="Verdana" w:hAnsi="Verdana" w:cs="Arial"/>
        </w:rPr>
        <w:lastRenderedPageBreak/>
        <w:t xml:space="preserve">para la Inversión Local y de la Asignación para la Inversión Regional en cabeza de los departamentos podrán </w:t>
      </w:r>
      <w:r w:rsidRPr="00F716AE">
        <w:rPr>
          <w:rFonts w:ascii="Verdana" w:hAnsi="Verdana" w:cs="Arial"/>
          <w:i/>
          <w:iCs/>
        </w:rPr>
        <w:t>designar</w:t>
      </w:r>
      <w:r w:rsidRPr="0041095A">
        <w:rPr>
          <w:rFonts w:ascii="Verdana" w:hAnsi="Verdana" w:cs="Arial"/>
        </w:rPr>
        <w:t xml:space="preserve"> como tal a aquellas asociaciones o personas jurídicas creadas en virtud del artículo 96 de la Ley 489 de 1998</w:t>
      </w:r>
      <w:r>
        <w:rPr>
          <w:rFonts w:ascii="Verdana" w:hAnsi="Verdana" w:cs="Arial"/>
        </w:rPr>
        <w:t>.</w:t>
      </w:r>
    </w:p>
    <w:p w14:paraId="690FE57F" w14:textId="77777777" w:rsidR="007A74DB" w:rsidRDefault="007A74DB" w:rsidP="007A74DB">
      <w:pPr>
        <w:spacing w:after="120" w:line="276" w:lineRule="auto"/>
        <w:ind w:firstLine="709"/>
        <w:jc w:val="both"/>
        <w:rPr>
          <w:rFonts w:ascii="Verdana" w:hAnsi="Verdana" w:cs="Arial"/>
        </w:rPr>
      </w:pPr>
      <w:r>
        <w:rPr>
          <w:rFonts w:ascii="Verdana" w:hAnsi="Verdana" w:cs="Arial"/>
        </w:rPr>
        <w:t>E</w:t>
      </w:r>
      <w:r w:rsidRPr="0015567A">
        <w:rPr>
          <w:rFonts w:ascii="Verdana" w:hAnsi="Verdana" w:cs="Arial"/>
        </w:rPr>
        <w:t xml:space="preserve">l artículo 37 de la Ley 2056 de 2020 dispone que los proyectos de inversión que se financien con cargo al Sistema General de Regalías serán ejecutados por quien </w:t>
      </w:r>
      <w:r w:rsidRPr="00335DB4">
        <w:rPr>
          <w:rFonts w:ascii="Verdana" w:hAnsi="Verdana" w:cs="Arial"/>
          <w:i/>
          <w:iCs/>
        </w:rPr>
        <w:t>designe</w:t>
      </w:r>
      <w:r w:rsidRPr="0015567A">
        <w:rPr>
          <w:rFonts w:ascii="Verdana" w:hAnsi="Verdana" w:cs="Arial"/>
        </w:rPr>
        <w:t xml:space="preserve"> las entidades u órganos de que tratan los artículos 35 y 36 </w:t>
      </w:r>
      <w:r w:rsidRPr="0015567A">
        <w:rPr>
          <w:rFonts w:ascii="Verdana" w:hAnsi="Verdana" w:cs="Arial"/>
          <w:i/>
          <w:iCs/>
        </w:rPr>
        <w:t>ibidem</w:t>
      </w:r>
      <w:r w:rsidRPr="0015567A">
        <w:rPr>
          <w:rFonts w:ascii="Verdana" w:hAnsi="Verdana" w:cs="Arial"/>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los mismos, sin perjuicio de las acciones de control a las que haya lugar. </w:t>
      </w:r>
    </w:p>
    <w:p w14:paraId="21E43A77" w14:textId="77777777" w:rsidR="007A74DB" w:rsidRPr="00DE07BF" w:rsidRDefault="007A74DB" w:rsidP="007A74DB">
      <w:pPr>
        <w:spacing w:after="120" w:line="276" w:lineRule="auto"/>
        <w:ind w:firstLine="709"/>
        <w:jc w:val="both"/>
        <w:rPr>
          <w:rFonts w:ascii="Verdana" w:hAnsi="Verdana" w:cs="Arial"/>
        </w:rPr>
      </w:pPr>
      <w:r>
        <w:rPr>
          <w:rFonts w:ascii="Verdana" w:hAnsi="Verdana" w:cs="Arial"/>
        </w:rPr>
        <w:t xml:space="preserve">Las normas precitadas no señalan el alcance del verbo “designar”, por lo </w:t>
      </w:r>
      <w:r>
        <w:rPr>
          <w:rFonts w:ascii="Verdana" w:eastAsia="Calibri" w:hAnsi="Verdana" w:cs="Arial"/>
          <w:bCs/>
          <w:color w:val="000000" w:themeColor="text1"/>
        </w:rPr>
        <w:t xml:space="preserve">es necesario aplicar las reglas generales sobre el alcance de los términos consagrados en el ordenamiento jurídico. </w:t>
      </w:r>
      <w:r w:rsidRPr="00B620EA">
        <w:rPr>
          <w:rFonts w:ascii="Verdana" w:eastAsia="Calibri" w:hAnsi="Verdana" w:cs="Arial"/>
          <w:bCs/>
          <w:color w:val="000000" w:themeColor="text1"/>
        </w:rPr>
        <w:t>Al respecto,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w:t>
      </w:r>
      <w:r>
        <w:rPr>
          <w:rFonts w:ascii="Verdana" w:eastAsia="Calibri" w:hAnsi="Verdana" w:cs="Arial"/>
          <w:bCs/>
          <w:color w:val="000000" w:themeColor="text1"/>
        </w:rPr>
        <w:t>; i</w:t>
      </w:r>
      <w:r w:rsidRPr="00B620EA">
        <w:rPr>
          <w:rFonts w:ascii="Verdana" w:eastAsia="Calibri" w:hAnsi="Verdana" w:cs="Arial"/>
          <w:bCs/>
          <w:color w:val="000000" w:themeColor="text1"/>
        </w:rPr>
        <w:t xml:space="preserve">gualmente, el artículo 29 </w:t>
      </w:r>
      <w:r w:rsidRPr="00240A54">
        <w:rPr>
          <w:rFonts w:ascii="Verdana" w:eastAsia="Calibri" w:hAnsi="Verdana" w:cs="Arial"/>
          <w:bCs/>
          <w:i/>
          <w:iCs/>
          <w:color w:val="000000" w:themeColor="text1"/>
        </w:rPr>
        <w:t>ibidem</w:t>
      </w:r>
      <w:r w:rsidRPr="00B620EA">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Pr>
          <w:rStyle w:val="Refdenotaalpie"/>
          <w:rFonts w:ascii="Verdana" w:eastAsia="Calibri" w:hAnsi="Verdana" w:cs="Arial"/>
          <w:bCs/>
          <w:color w:val="000000" w:themeColor="text1"/>
        </w:rPr>
        <w:footnoteReference w:id="29"/>
      </w:r>
      <w:r>
        <w:rPr>
          <w:rFonts w:ascii="Verdana" w:eastAsia="Calibri" w:hAnsi="Verdana" w:cs="Arial"/>
          <w:bCs/>
          <w:color w:val="000000" w:themeColor="text1"/>
        </w:rPr>
        <w:t>.</w:t>
      </w:r>
    </w:p>
    <w:p w14:paraId="4BA3AE56" w14:textId="77777777" w:rsidR="007A74DB" w:rsidRDefault="007A74DB" w:rsidP="007A74DB">
      <w:pPr>
        <w:spacing w:after="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Conforme al diccionario de la RAE, </w:t>
      </w:r>
      <w:r>
        <w:rPr>
          <w:rFonts w:ascii="Verdana" w:hAnsi="Verdana" w:cs="Arial"/>
        </w:rPr>
        <w:t>“designar” corresponde a “</w:t>
      </w:r>
      <w:r w:rsidRPr="00594523">
        <w:rPr>
          <w:rFonts w:ascii="Verdana" w:eastAsia="Calibri" w:hAnsi="Verdana" w:cs="Arial"/>
          <w:bCs/>
          <w:color w:val="000000" w:themeColor="text1"/>
        </w:rPr>
        <w:t>Señalar o destinar a alguien o algo para determinado fin</w:t>
      </w:r>
      <w:r>
        <w:rPr>
          <w:rFonts w:ascii="Verdana" w:eastAsia="Calibri" w:hAnsi="Verdana" w:cs="Arial"/>
          <w:bCs/>
          <w:color w:val="000000" w:themeColor="text1"/>
        </w:rPr>
        <w:t>”</w:t>
      </w:r>
      <w:r w:rsidRPr="00594523">
        <w:rPr>
          <w:rFonts w:ascii="Verdana" w:eastAsia="Calibri" w:hAnsi="Verdana" w:cs="Arial"/>
          <w:bCs/>
          <w:color w:val="000000" w:themeColor="text1"/>
        </w:rPr>
        <w:t>.</w:t>
      </w:r>
      <w:r>
        <w:rPr>
          <w:rFonts w:ascii="Verdana" w:eastAsia="Calibri" w:hAnsi="Verdana" w:cs="Arial"/>
          <w:bCs/>
          <w:color w:val="000000" w:themeColor="text1"/>
        </w:rPr>
        <w:t xml:space="preserve"> El significado de esta palabra indica la naturaleza jurídica del acto que designa a la entidad ejecutora de los </w:t>
      </w:r>
      <w:r>
        <w:rPr>
          <w:rFonts w:ascii="Verdana" w:eastAsia="Calibri" w:hAnsi="Verdana" w:cs="Arial"/>
          <w:bCs/>
          <w:color w:val="000000" w:themeColor="text1"/>
        </w:rPr>
        <w:lastRenderedPageBreak/>
        <w:t>proyectos adelantados con cargo al Sistema General de Regalías, pues se trata de una actuación unilateral que no requiere aceptación o consentimiento por parte del destinatario. Ello hace que, conforme a la doctrina sentada por la ANCP – CCE en el Concepto C-489 del 1˚ de agosto de 2022, la designación del ejecutor tenga la naturaleza de un acto administrativo, no de un contrato estatal. En torno a estas dos manifestaciones de la actuación administrativa, la doctrina sostiene que:</w:t>
      </w:r>
    </w:p>
    <w:p w14:paraId="6164018A" w14:textId="77777777" w:rsidR="007A74DB" w:rsidRDefault="007A74DB" w:rsidP="007A74DB">
      <w:pPr>
        <w:spacing w:after="0" w:line="276" w:lineRule="auto"/>
        <w:ind w:firstLine="709"/>
        <w:jc w:val="both"/>
        <w:rPr>
          <w:rFonts w:ascii="Verdana" w:eastAsia="Calibri" w:hAnsi="Verdana" w:cs="Arial"/>
          <w:bCs/>
          <w:color w:val="000000" w:themeColor="text1"/>
        </w:rPr>
      </w:pPr>
    </w:p>
    <w:p w14:paraId="549C0557" w14:textId="77777777" w:rsidR="007A74DB" w:rsidRPr="002D7472" w:rsidRDefault="007A74DB" w:rsidP="007A74DB">
      <w:pPr>
        <w:spacing w:after="0" w:line="240" w:lineRule="auto"/>
        <w:ind w:left="709" w:right="709"/>
        <w:jc w:val="both"/>
        <w:rPr>
          <w:rFonts w:ascii="Verdana" w:eastAsia="Calibri" w:hAnsi="Verdana" w:cs="Arial"/>
          <w:bCs/>
          <w:color w:val="000000" w:themeColor="text1"/>
          <w:sz w:val="20"/>
          <w:szCs w:val="20"/>
        </w:rPr>
      </w:pPr>
      <w:r w:rsidRPr="002D7472">
        <w:rPr>
          <w:rFonts w:ascii="Verdana" w:eastAsia="Calibri" w:hAnsi="Verdana" w:cs="Arial"/>
          <w:bCs/>
          <w:color w:val="000000" w:themeColor="text1"/>
          <w:sz w:val="20"/>
          <w:szCs w:val="20"/>
        </w:rPr>
        <w:t>“Las diferencias entre el contrato (acto bilateral) y el acto administrativo (acto unilateral) son mayores que las similitudes y marcan dos instituciones bien diversas del derecho administrativo. Cualquier libro de la materia con uno o más acápites especiales sobre los contratos administrativos, muestra de hecho cómo no es posible analizar conjuntamente los contratos y los actos unilaterales de la administración. De allí se sigue, para nosotros, que tampoco conviene conceptuarlos conjuntamente”</w:t>
      </w:r>
      <w:r w:rsidRPr="002D7472">
        <w:rPr>
          <w:rStyle w:val="Refdenotaalpie"/>
          <w:rFonts w:ascii="Verdana" w:eastAsia="Calibri" w:hAnsi="Verdana" w:cs="Arial"/>
          <w:bCs/>
          <w:color w:val="000000" w:themeColor="text1"/>
          <w:sz w:val="20"/>
          <w:szCs w:val="20"/>
        </w:rPr>
        <w:footnoteReference w:id="30"/>
      </w:r>
      <w:r w:rsidRPr="002D7472">
        <w:rPr>
          <w:rFonts w:ascii="Verdana" w:eastAsia="Calibri" w:hAnsi="Verdana" w:cs="Arial"/>
          <w:bCs/>
          <w:color w:val="000000" w:themeColor="text1"/>
          <w:sz w:val="20"/>
          <w:szCs w:val="20"/>
        </w:rPr>
        <w:t>.</w:t>
      </w:r>
    </w:p>
    <w:p w14:paraId="0085BE44" w14:textId="77777777" w:rsidR="007A74DB" w:rsidRDefault="007A74DB" w:rsidP="007A74DB">
      <w:pPr>
        <w:spacing w:after="0" w:line="276" w:lineRule="auto"/>
        <w:jc w:val="both"/>
        <w:rPr>
          <w:rFonts w:ascii="Verdana" w:eastAsia="Calibri" w:hAnsi="Verdana" w:cs="Arial"/>
          <w:bCs/>
          <w:color w:val="000000" w:themeColor="text1"/>
        </w:rPr>
      </w:pPr>
    </w:p>
    <w:p w14:paraId="25E0DA25" w14:textId="77777777" w:rsidR="007A74DB" w:rsidRDefault="007A74DB" w:rsidP="007A74DB">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En efecto, </w:t>
      </w:r>
      <w:r w:rsidRPr="0053322E">
        <w:rPr>
          <w:rFonts w:ascii="Verdana" w:eastAsia="Calibri" w:hAnsi="Verdana" w:cs="Arial"/>
          <w:bCs/>
          <w:color w:val="000000" w:themeColor="text1"/>
        </w:rPr>
        <w:t xml:space="preserve">el </w:t>
      </w:r>
      <w:r w:rsidRPr="0053322E">
        <w:rPr>
          <w:rFonts w:ascii="Verdana" w:eastAsia="Calibri" w:hAnsi="Verdana" w:cs="Arial"/>
          <w:bCs/>
          <w:i/>
          <w:iCs/>
          <w:color w:val="000000" w:themeColor="text1"/>
        </w:rPr>
        <w:t>contrato</w:t>
      </w:r>
      <w:r w:rsidRPr="0053322E">
        <w:rPr>
          <w:rFonts w:ascii="Verdana" w:eastAsia="Calibri" w:hAnsi="Verdana" w:cs="Arial"/>
          <w:bCs/>
          <w:color w:val="000000" w:themeColor="text1"/>
        </w:rPr>
        <w:t xml:space="preserve"> es un acuerdo de voluntades para producir obligaciones. Como dispone el artículo 1495 del Código Civil, </w:t>
      </w:r>
      <w:r>
        <w:rPr>
          <w:rFonts w:ascii="Verdana" w:eastAsia="Calibri" w:hAnsi="Verdana" w:cs="Arial"/>
          <w:bCs/>
          <w:color w:val="000000" w:themeColor="text1"/>
          <w:sz w:val="20"/>
          <w:szCs w:val="20"/>
        </w:rPr>
        <w:t>“</w:t>
      </w:r>
      <w:r w:rsidRPr="0053322E">
        <w:rPr>
          <w:rFonts w:ascii="Verdana" w:eastAsia="Calibri" w:hAnsi="Verdana" w:cs="Arial"/>
          <w:bCs/>
          <w:color w:val="000000" w:themeColor="text1"/>
        </w:rPr>
        <w:t>[…] es un acto por el cual una parte se obliga para con otra a dar, hacer o no hacer alguna cosa […]</w:t>
      </w:r>
      <w:r>
        <w:rPr>
          <w:rFonts w:ascii="Verdana" w:eastAsia="Calibri" w:hAnsi="Verdana" w:cs="Arial"/>
          <w:bCs/>
          <w:color w:val="000000" w:themeColor="text1"/>
        </w:rPr>
        <w:t>”</w:t>
      </w:r>
      <w:r w:rsidRPr="0053322E">
        <w:rPr>
          <w:rFonts w:ascii="Verdana" w:eastAsia="Calibri" w:hAnsi="Verdana" w:cs="Arial"/>
          <w:bCs/>
          <w:color w:val="000000" w:themeColor="text1"/>
        </w:rPr>
        <w:t xml:space="preserve">. Si bien es una manifestación de voluntad, el surgimiento del contrato estatal requiere el concurso de por lo menos dos (2) personas, uno de las cuales será necesariamente un sujeto de derecho público. De esta definición no se desprende que </w:t>
      </w:r>
      <w:r>
        <w:rPr>
          <w:rFonts w:ascii="Verdana" w:eastAsia="Calibri" w:hAnsi="Verdana" w:cs="Arial"/>
          <w:bCs/>
          <w:color w:val="000000" w:themeColor="text1"/>
        </w:rPr>
        <w:t>el acto que designa a la entidad ejecutora de los proyectos adelantados con cargo al Sistema General de Regalías</w:t>
      </w:r>
      <w:r w:rsidRPr="0053322E">
        <w:rPr>
          <w:rFonts w:ascii="Verdana" w:eastAsia="Calibri" w:hAnsi="Verdana" w:cs="Arial"/>
          <w:bCs/>
          <w:color w:val="000000" w:themeColor="text1"/>
        </w:rPr>
        <w:t xml:space="preserve"> responda a esta idea, máxime cuando basta la manifestación unilateral para su expedición. </w:t>
      </w:r>
    </w:p>
    <w:p w14:paraId="3E1D940F" w14:textId="77777777" w:rsidR="007A74DB" w:rsidRPr="00AC291C" w:rsidRDefault="007A74DB" w:rsidP="007A74DB">
      <w:pPr>
        <w:spacing w:after="0" w:line="276" w:lineRule="auto"/>
        <w:ind w:firstLine="708"/>
        <w:jc w:val="both"/>
        <w:rPr>
          <w:rFonts w:ascii="Verdana" w:eastAsia="Calibri" w:hAnsi="Verdana" w:cs="Arial"/>
        </w:rPr>
      </w:pPr>
      <w:bookmarkStart w:id="13" w:name="_Hlk37098745"/>
      <w:r>
        <w:rPr>
          <w:rFonts w:ascii="Verdana" w:eastAsia="Calibri" w:hAnsi="Verdana" w:cs="Arial"/>
        </w:rPr>
        <w:t>Por ello, la Agencia estima que la designación del ejecutor</w:t>
      </w:r>
      <w:r w:rsidRPr="00AC291C">
        <w:rPr>
          <w:rFonts w:ascii="Verdana" w:eastAsia="Calibri" w:hAnsi="Verdana" w:cs="Arial"/>
        </w:rPr>
        <w:t xml:space="preserve"> es un </w:t>
      </w:r>
      <w:r w:rsidRPr="00AC291C">
        <w:rPr>
          <w:rFonts w:ascii="Verdana" w:eastAsia="Calibri" w:hAnsi="Verdana" w:cs="Arial"/>
          <w:i/>
          <w:iCs/>
        </w:rPr>
        <w:t>acto administrativo</w:t>
      </w:r>
      <w:r w:rsidRPr="00AC291C">
        <w:rPr>
          <w:rFonts w:ascii="Verdana" w:eastAsia="Calibri" w:hAnsi="Verdana" w:cs="Arial"/>
        </w:rPr>
        <w:t xml:space="preserve">, esto es, </w:t>
      </w:r>
      <w:bookmarkStart w:id="14" w:name="_Hlk37098142"/>
      <w:r w:rsidRPr="00AC291C">
        <w:rPr>
          <w:rFonts w:ascii="Verdana" w:eastAsia="Calibri" w:hAnsi="Verdana" w:cs="Arial"/>
        </w:rPr>
        <w:t>una declaración unilateral de voluntad de un órgano del Estado que ejerce función administrativa y que produce efectos jurídicos</w:t>
      </w:r>
      <w:bookmarkEnd w:id="14"/>
      <w:r w:rsidRPr="00AC291C">
        <w:rPr>
          <w:rFonts w:ascii="Verdana" w:eastAsia="Calibri" w:hAnsi="Verdana" w:cs="Arial"/>
        </w:rPr>
        <w:t xml:space="preserve">. En efecto, que sea una declaración de voluntad supone que este documento no es una operación, un hecho o una omisión, pues mientras la primera implica la realización de actividades materiales para el cumplimiento de una decisión previa, las restantes se relacionan con circunstancias ajenas al querer de las entidades públicas, las cuales tienen origen en determinados sucesos físicos –como la ruina de un edificio– o en la abstenciones de la Administración –como la accidentalidad vial derivada de la ausencia en el mantenimiento de las </w:t>
      </w:r>
      <w:r w:rsidRPr="00AC291C">
        <w:rPr>
          <w:rFonts w:ascii="Verdana" w:eastAsia="Calibri" w:hAnsi="Verdana" w:cs="Arial"/>
        </w:rPr>
        <w:lastRenderedPageBreak/>
        <w:t>carreteras–. Además, que sea una declaración unilateral explica por</w:t>
      </w:r>
      <w:r>
        <w:rPr>
          <w:rFonts w:ascii="Verdana" w:eastAsia="Calibri" w:hAnsi="Verdana" w:cs="Arial"/>
        </w:rPr>
        <w:t xml:space="preserve"> </w:t>
      </w:r>
      <w:r w:rsidRPr="00AC291C">
        <w:rPr>
          <w:rFonts w:ascii="Verdana" w:eastAsia="Calibri" w:hAnsi="Verdana" w:cs="Arial"/>
        </w:rPr>
        <w:t>qué los actos administrativos se diferencian de los contratos, pues aquellos excluyen el concurso de voluntades entre dos (2) o más personas; motivo por el cual, no es necesario el consentimiento para su expedición</w:t>
      </w:r>
      <w:bookmarkEnd w:id="13"/>
      <w:r w:rsidRPr="00AC291C">
        <w:rPr>
          <w:rFonts w:ascii="Verdana" w:eastAsia="Calibri" w:hAnsi="Verdana" w:cs="Arial"/>
        </w:rPr>
        <w:t xml:space="preserve">. No en vano, la jurisprudencia explica </w:t>
      </w:r>
      <w:r>
        <w:rPr>
          <w:rFonts w:ascii="Verdana" w:eastAsia="Calibri" w:hAnsi="Verdana" w:cs="Arial"/>
        </w:rPr>
        <w:t>lo siguiente</w:t>
      </w:r>
      <w:r w:rsidRPr="00AC291C">
        <w:rPr>
          <w:rFonts w:ascii="Verdana" w:eastAsia="Calibri" w:hAnsi="Verdana" w:cs="Arial"/>
        </w:rPr>
        <w:t xml:space="preserve">:  </w:t>
      </w:r>
    </w:p>
    <w:p w14:paraId="0FC5E7E5" w14:textId="77777777" w:rsidR="007A74DB" w:rsidRPr="00AC291C" w:rsidRDefault="007A74DB" w:rsidP="007A74DB">
      <w:pPr>
        <w:spacing w:after="0" w:line="276" w:lineRule="auto"/>
        <w:jc w:val="both"/>
        <w:rPr>
          <w:rFonts w:ascii="Verdana" w:eastAsia="Calibri" w:hAnsi="Verdana" w:cs="Arial"/>
        </w:rPr>
      </w:pPr>
    </w:p>
    <w:p w14:paraId="365DEF4B" w14:textId="77777777" w:rsidR="007A74DB" w:rsidRPr="00312D9E" w:rsidRDefault="007A74DB" w:rsidP="007A74DB">
      <w:pPr>
        <w:spacing w:after="120" w:line="240" w:lineRule="auto"/>
        <w:ind w:left="709" w:right="709"/>
        <w:jc w:val="both"/>
        <w:rPr>
          <w:rFonts w:ascii="Verdana" w:eastAsia="Calibri" w:hAnsi="Verdana" w:cs="Arial"/>
          <w:sz w:val="20"/>
          <w:szCs w:val="20"/>
        </w:rPr>
      </w:pPr>
      <w:r w:rsidRPr="00312D9E">
        <w:rPr>
          <w:rFonts w:ascii="Verdana" w:eastAsia="Calibri" w:hAnsi="Verdana" w:cs="Arial"/>
          <w:sz w:val="20"/>
          <w:szCs w:val="20"/>
        </w:rPr>
        <w:t>“Por acto administrativo […] se entiende toda manifestación unilateral, por regla general de voluntad, de quienes ejercen funciones administrativas, tendiente a la producción de efectos jurídicos.</w:t>
      </w:r>
    </w:p>
    <w:p w14:paraId="4CB1E570" w14:textId="77777777" w:rsidR="007A74DB" w:rsidRPr="00312D9E" w:rsidRDefault="007A74DB" w:rsidP="007A74DB">
      <w:pPr>
        <w:spacing w:after="0" w:line="240" w:lineRule="auto"/>
        <w:ind w:left="709" w:right="709"/>
        <w:jc w:val="both"/>
        <w:rPr>
          <w:rFonts w:ascii="Verdana" w:eastAsia="Calibri" w:hAnsi="Verdana" w:cs="Arial"/>
          <w:sz w:val="20"/>
          <w:szCs w:val="20"/>
        </w:rPr>
      </w:pPr>
      <w:r w:rsidRPr="00312D9E">
        <w:rPr>
          <w:rFonts w:ascii="Verdana" w:eastAsia="Calibri" w:hAnsi="Verdana" w:cs="Arial"/>
          <w:sz w:val="20"/>
          <w:szCs w:val="20"/>
        </w:rPr>
        <w:t>De esta manera se dice que son 5 los elementos claves para llegar a la conclusión de que existe un acto administrativo: (i) la expresión o manifestación concreta de la administración; (ii) la expresión unilateral del querer de la administración; (iii) el ejercicio de la función administrativa mediante la declaración de la voluntad de la administración; (iv) que su contenido material equivalga al ejercicio de una función administrativa así provenga de cualquiera de los órganos del poder público o de particulares; (v) que posea la fuerza suficiente para decidir y crear situaciones jurídicas a partir de su contenido, de manera que esta se configura como la característica reveladora o de mayor importancia”</w:t>
      </w:r>
      <w:r w:rsidRPr="00312D9E">
        <w:rPr>
          <w:rStyle w:val="Refdenotaalpie"/>
          <w:rFonts w:ascii="Verdana" w:eastAsia="Calibri" w:hAnsi="Verdana" w:cs="Arial"/>
          <w:sz w:val="20"/>
          <w:szCs w:val="20"/>
        </w:rPr>
        <w:footnoteReference w:id="31"/>
      </w:r>
      <w:r w:rsidRPr="00312D9E">
        <w:rPr>
          <w:rFonts w:ascii="Verdana" w:eastAsia="Calibri" w:hAnsi="Verdana" w:cs="Arial"/>
          <w:sz w:val="20"/>
          <w:szCs w:val="20"/>
        </w:rPr>
        <w:t>.</w:t>
      </w:r>
    </w:p>
    <w:p w14:paraId="5FBBE7AE" w14:textId="77777777" w:rsidR="007A74DB" w:rsidRPr="00312D9E" w:rsidRDefault="007A74DB" w:rsidP="007A74DB">
      <w:pPr>
        <w:spacing w:after="0" w:line="276" w:lineRule="auto"/>
        <w:jc w:val="both"/>
        <w:rPr>
          <w:rFonts w:ascii="Verdana" w:eastAsia="Calibri" w:hAnsi="Verdana" w:cs="Arial"/>
          <w:sz w:val="20"/>
          <w:szCs w:val="20"/>
        </w:rPr>
      </w:pPr>
    </w:p>
    <w:p w14:paraId="46B3F0ED" w14:textId="77777777" w:rsidR="007A74DB" w:rsidRPr="00AC291C" w:rsidRDefault="007A74DB" w:rsidP="007A74DB">
      <w:pPr>
        <w:spacing w:after="120" w:line="276" w:lineRule="auto"/>
        <w:ind w:firstLine="708"/>
        <w:jc w:val="both"/>
        <w:rPr>
          <w:rFonts w:ascii="Verdana" w:eastAsia="Calibri" w:hAnsi="Verdana" w:cs="Arial"/>
        </w:rPr>
      </w:pPr>
      <w:r w:rsidRPr="00AC291C">
        <w:rPr>
          <w:rFonts w:ascii="Verdana" w:eastAsia="Calibri" w:hAnsi="Verdana" w:cs="Arial"/>
        </w:rPr>
        <w:t xml:space="preserve">Aunque el criterio de exclusión es útil para identificar la naturaleza jurídica de determinadas actuaciones públicas en casos dudosos, </w:t>
      </w:r>
      <w:r>
        <w:rPr>
          <w:rFonts w:ascii="Verdana" w:eastAsia="Calibri" w:hAnsi="Verdana" w:cs="Arial"/>
          <w:bCs/>
          <w:color w:val="000000" w:themeColor="text1"/>
        </w:rPr>
        <w:t>la designación de la entidad ejecutora de los proyectos adelantados con cargo al Sistema General de Regalía</w:t>
      </w:r>
      <w:r w:rsidRPr="00AC291C">
        <w:rPr>
          <w:rFonts w:ascii="Verdana" w:eastAsia="Calibri" w:hAnsi="Verdana" w:cs="Arial"/>
        </w:rPr>
        <w:t xml:space="preserve"> cumple con todos los elementos que caracterizan los actos administrativos. Por un lado, se trata de una </w:t>
      </w:r>
      <w:r w:rsidRPr="00AC291C">
        <w:rPr>
          <w:rFonts w:ascii="Verdana" w:eastAsia="Calibri" w:hAnsi="Verdana" w:cs="Arial"/>
          <w:i/>
          <w:iCs/>
        </w:rPr>
        <w:t>manifestación de voluntad</w:t>
      </w:r>
      <w:r w:rsidRPr="00AC291C">
        <w:rPr>
          <w:rFonts w:ascii="Verdana" w:eastAsia="Calibri" w:hAnsi="Verdana" w:cs="Arial"/>
        </w:rPr>
        <w:t xml:space="preserve">, es decir, mediante dicho documento se toma una decisión que no se confunde con un acto de conocimiento o de deseo. En efecto, a diferencia de los conceptos o los exhortos, a través </w:t>
      </w:r>
      <w:r>
        <w:rPr>
          <w:rFonts w:ascii="Verdana" w:eastAsia="Calibri" w:hAnsi="Verdana" w:cs="Arial"/>
        </w:rPr>
        <w:t>de la designación</w:t>
      </w:r>
      <w:r w:rsidRPr="00AC291C">
        <w:rPr>
          <w:rFonts w:ascii="Verdana" w:eastAsia="Calibri" w:hAnsi="Verdana" w:cs="Arial"/>
        </w:rPr>
        <w:t xml:space="preserve"> l</w:t>
      </w:r>
      <w:r>
        <w:rPr>
          <w:rFonts w:ascii="Verdana" w:eastAsia="Calibri" w:hAnsi="Verdana" w:cs="Arial"/>
        </w:rPr>
        <w:t>os órganos competentes</w:t>
      </w:r>
      <w:r w:rsidRPr="00AC291C">
        <w:rPr>
          <w:rFonts w:ascii="Verdana" w:eastAsia="Calibri" w:hAnsi="Verdana" w:cs="Arial"/>
        </w:rPr>
        <w:t xml:space="preserve"> define</w:t>
      </w:r>
      <w:r>
        <w:rPr>
          <w:rFonts w:ascii="Verdana" w:eastAsia="Calibri" w:hAnsi="Verdana" w:cs="Arial"/>
        </w:rPr>
        <w:t>n</w:t>
      </w:r>
      <w:r w:rsidRPr="00AC291C">
        <w:rPr>
          <w:rFonts w:ascii="Verdana" w:eastAsia="Calibri" w:hAnsi="Verdana" w:cs="Arial"/>
        </w:rPr>
        <w:t xml:space="preserve"> </w:t>
      </w:r>
      <w:r>
        <w:rPr>
          <w:rFonts w:ascii="Verdana" w:eastAsia="Calibri" w:hAnsi="Verdana" w:cs="Arial"/>
        </w:rPr>
        <w:t>al ejecutor del respectivo proyecto</w:t>
      </w:r>
      <w:r w:rsidRPr="00AC291C">
        <w:rPr>
          <w:rFonts w:ascii="Verdana" w:eastAsia="Calibri" w:hAnsi="Verdana" w:cs="Arial"/>
        </w:rPr>
        <w:t>, es decir, no se expresa alguna opinión sobre un punto de derecho ni se formulan solitudes a otros sujetos. Al respecto, si bien la diferencia entre declaraciones de voluntad, conocimiento y deseo es borrosa en casos como las certificaciones y las circulares de servicio, se considera que lo determinante no es esta clasificación sino la existencia de una declaración que decida algo y que provenga de quien tiene</w:t>
      </w:r>
      <w:r>
        <w:rPr>
          <w:rFonts w:ascii="Verdana" w:eastAsia="Calibri" w:hAnsi="Verdana" w:cs="Arial"/>
        </w:rPr>
        <w:t xml:space="preserve"> la facultad</w:t>
      </w:r>
      <w:r w:rsidRPr="00AC291C">
        <w:rPr>
          <w:rFonts w:ascii="Verdana" w:eastAsia="Calibri" w:hAnsi="Verdana" w:cs="Arial"/>
        </w:rPr>
        <w:t xml:space="preserve"> para hacerlo</w:t>
      </w:r>
      <w:r w:rsidRPr="00AC291C">
        <w:rPr>
          <w:rStyle w:val="Refdenotaalpie"/>
          <w:rFonts w:ascii="Verdana" w:eastAsia="Calibri" w:hAnsi="Verdana" w:cs="Arial"/>
        </w:rPr>
        <w:footnoteReference w:id="32"/>
      </w:r>
      <w:r w:rsidRPr="00AC291C">
        <w:rPr>
          <w:rFonts w:ascii="Verdana" w:eastAsia="Calibri" w:hAnsi="Verdana" w:cs="Arial"/>
        </w:rPr>
        <w:t>.</w:t>
      </w:r>
    </w:p>
    <w:p w14:paraId="002E9176" w14:textId="77777777" w:rsidR="007A74DB" w:rsidRPr="00AC291C" w:rsidRDefault="007A74DB" w:rsidP="007A74DB">
      <w:pPr>
        <w:spacing w:after="120" w:line="276" w:lineRule="auto"/>
        <w:jc w:val="both"/>
        <w:rPr>
          <w:rFonts w:ascii="Verdana" w:eastAsia="Calibri" w:hAnsi="Verdana" w:cs="Arial"/>
        </w:rPr>
      </w:pPr>
      <w:r w:rsidRPr="00AC291C">
        <w:rPr>
          <w:rFonts w:ascii="Verdana" w:eastAsia="Calibri" w:hAnsi="Verdana" w:cs="Arial"/>
        </w:rPr>
        <w:tab/>
        <w:t xml:space="preserve">Igualmente, </w:t>
      </w:r>
      <w:r>
        <w:rPr>
          <w:rFonts w:ascii="Verdana" w:eastAsia="Calibri" w:hAnsi="Verdana" w:cs="Arial"/>
        </w:rPr>
        <w:t>la designación del ejecutor</w:t>
      </w:r>
      <w:r w:rsidRPr="00AC291C">
        <w:rPr>
          <w:rFonts w:ascii="Verdana" w:eastAsia="Calibri" w:hAnsi="Verdana" w:cs="Arial"/>
        </w:rPr>
        <w:t xml:space="preserve"> es una </w:t>
      </w:r>
      <w:r w:rsidRPr="00AC291C">
        <w:rPr>
          <w:rFonts w:ascii="Verdana" w:eastAsia="Calibri" w:hAnsi="Verdana" w:cs="Arial"/>
          <w:i/>
          <w:iCs/>
        </w:rPr>
        <w:t>expresión unilateral de la voluntad</w:t>
      </w:r>
      <w:r w:rsidRPr="00AC291C">
        <w:rPr>
          <w:rFonts w:ascii="Verdana" w:eastAsia="Calibri" w:hAnsi="Verdana" w:cs="Arial"/>
        </w:rPr>
        <w:t xml:space="preserve">. Esta forma de actuación representa la esencia del derecho </w:t>
      </w:r>
      <w:r w:rsidRPr="00AC291C">
        <w:rPr>
          <w:rFonts w:ascii="Verdana" w:eastAsia="Calibri" w:hAnsi="Verdana" w:cs="Arial"/>
        </w:rPr>
        <w:lastRenderedPageBreak/>
        <w:t>administrativo, pues en el derecho privado –salvo excepciones– los actos jurídicos son resultado del concurso de voluntades. Aunque es razonable que las personas se rijan por el principio de coordinación en el ámbito civil y comercial, las relaciones en el ámbito de lo público se rigen por el principio de subordinación</w:t>
      </w:r>
      <w:r w:rsidRPr="00AC291C">
        <w:rPr>
          <w:rStyle w:val="Refdenotaalpie"/>
          <w:rFonts w:ascii="Verdana" w:eastAsia="Calibri" w:hAnsi="Verdana" w:cs="Arial"/>
        </w:rPr>
        <w:footnoteReference w:id="33"/>
      </w:r>
      <w:r w:rsidRPr="00AC291C">
        <w:rPr>
          <w:rFonts w:ascii="Verdana" w:eastAsia="Calibri" w:hAnsi="Verdana" w:cs="Arial"/>
        </w:rPr>
        <w:t xml:space="preserve">. En consecuencia, a diferencia de los contratos estatales, la entidad no requiere del consentimiento previo </w:t>
      </w:r>
      <w:r>
        <w:rPr>
          <w:rFonts w:ascii="Verdana" w:eastAsia="Calibri" w:hAnsi="Verdana" w:cs="Arial"/>
        </w:rPr>
        <w:t>de la entidad designada</w:t>
      </w:r>
      <w:r w:rsidRPr="00AC291C">
        <w:rPr>
          <w:rFonts w:ascii="Verdana" w:eastAsia="Calibri" w:hAnsi="Verdana" w:cs="Arial"/>
        </w:rPr>
        <w:t>, idea que fundamenta el cumplimiento de elemento característico de la definición de acto administrativo</w:t>
      </w:r>
      <w:r>
        <w:rPr>
          <w:rStyle w:val="Refdenotaalpie"/>
          <w:rFonts w:ascii="Verdana" w:eastAsia="Calibri" w:hAnsi="Verdana" w:cs="Arial"/>
        </w:rPr>
        <w:footnoteReference w:id="34"/>
      </w:r>
      <w:r w:rsidRPr="00AC291C">
        <w:rPr>
          <w:rFonts w:ascii="Verdana" w:eastAsia="Calibri" w:hAnsi="Verdana" w:cs="Arial"/>
        </w:rPr>
        <w:t xml:space="preserve">. </w:t>
      </w:r>
    </w:p>
    <w:p w14:paraId="158F1BC9" w14:textId="77777777" w:rsidR="007A74DB" w:rsidRPr="00AC291C" w:rsidRDefault="007A74DB" w:rsidP="007A74DB">
      <w:pPr>
        <w:spacing w:after="120" w:line="276" w:lineRule="auto"/>
        <w:jc w:val="both"/>
        <w:rPr>
          <w:rFonts w:ascii="Verdana" w:eastAsia="Calibri" w:hAnsi="Verdana" w:cs="Arial"/>
        </w:rPr>
      </w:pPr>
      <w:r w:rsidRPr="00AC291C">
        <w:rPr>
          <w:rFonts w:ascii="Verdana" w:eastAsia="Calibri" w:hAnsi="Verdana" w:cs="Arial"/>
        </w:rPr>
        <w:tab/>
        <w:t xml:space="preserve">Además, esta decisión unilateral depende de un </w:t>
      </w:r>
      <w:r w:rsidRPr="00AC291C">
        <w:rPr>
          <w:rFonts w:ascii="Verdana" w:eastAsia="Calibri" w:hAnsi="Verdana" w:cs="Arial"/>
          <w:i/>
          <w:iCs/>
        </w:rPr>
        <w:t>órgano estatal en cumplimiento de la función administrativa</w:t>
      </w:r>
      <w:r>
        <w:rPr>
          <w:rFonts w:ascii="Verdana" w:eastAsia="Calibri" w:hAnsi="Verdana" w:cs="Arial"/>
        </w:rPr>
        <w:t>, la cual se define tanto</w:t>
      </w:r>
      <w:r w:rsidRPr="00B33A59">
        <w:rPr>
          <w:rFonts w:ascii="Verdana" w:eastAsia="Calibri" w:hAnsi="Verdana" w:cs="Arial"/>
          <w:color w:val="000000" w:themeColor="text1"/>
          <w:lang w:val="es-ES_tradnl"/>
        </w:rPr>
        <w:t xml:space="preserve"> desde un punto de vista negativo</w:t>
      </w:r>
      <w:r>
        <w:rPr>
          <w:rFonts w:ascii="Verdana" w:eastAsia="Calibri" w:hAnsi="Verdana" w:cs="Arial"/>
          <w:color w:val="000000" w:themeColor="text1"/>
          <w:lang w:val="es-ES_tradnl"/>
        </w:rPr>
        <w:t xml:space="preserve"> como</w:t>
      </w:r>
      <w:r w:rsidRPr="00B33A59">
        <w:rPr>
          <w:rFonts w:ascii="Verdana" w:eastAsia="Calibri" w:hAnsi="Verdana" w:cs="Arial"/>
          <w:color w:val="000000" w:themeColor="text1"/>
          <w:lang w:val="es-ES_tradnl"/>
        </w:rPr>
        <w:t xml:space="preserve"> positivo. En la primera perspectiva, tiene carácter residual y, por tanto, corresponde a las potestades que le quedan a las entidades </w:t>
      </w:r>
      <w:r>
        <w:rPr>
          <w:rFonts w:ascii="Verdana" w:eastAsia="Calibri" w:hAnsi="Verdana" w:cs="Arial"/>
          <w:color w:val="000000" w:themeColor="text1"/>
          <w:lang w:val="es-ES_tradnl"/>
        </w:rPr>
        <w:t>del Estado</w:t>
      </w:r>
      <w:r w:rsidRPr="00B33A59">
        <w:rPr>
          <w:rFonts w:ascii="Verdana" w:eastAsia="Calibri" w:hAnsi="Verdana" w:cs="Arial"/>
          <w:color w:val="000000" w:themeColor="text1"/>
          <w:lang w:val="es-ES_tradnl"/>
        </w:rPr>
        <w:t xml:space="preserve"> después de restar aquellas que impliquen la facultad de dictar normas generales obligatorias para los ciudadanos, resolver controversias con efectos de cosa juzgada o ejercer atribuciones en el ámbito fiscal, disciplinario o electoral</w:t>
      </w:r>
      <w:r w:rsidRPr="00B33A59">
        <w:rPr>
          <w:rStyle w:val="Refdenotaalpie"/>
          <w:rFonts w:ascii="Verdana" w:eastAsia="Calibri" w:hAnsi="Verdana" w:cs="Arial"/>
          <w:color w:val="000000" w:themeColor="text1"/>
          <w:lang w:val="es-ES_tradnl"/>
        </w:rPr>
        <w:footnoteReference w:id="35"/>
      </w:r>
      <w:r w:rsidRPr="00B33A59">
        <w:rPr>
          <w:rFonts w:ascii="Verdana" w:eastAsia="Calibri" w:hAnsi="Verdana" w:cs="Arial"/>
          <w:color w:val="000000" w:themeColor="text1"/>
          <w:lang w:val="es-ES_tradnl"/>
        </w:rPr>
        <w:t>. Por otra parte, también puede definirse como toda actividad concreta dirigida a la realización de los fines del Estado, así como a la integración de la actividad individual en vista del interés general</w:t>
      </w:r>
      <w:r w:rsidRPr="00B33A59">
        <w:rPr>
          <w:rStyle w:val="Refdenotaalpie"/>
          <w:rFonts w:ascii="Verdana" w:eastAsia="Calibri" w:hAnsi="Verdana" w:cs="Arial"/>
          <w:color w:val="000000" w:themeColor="text1"/>
          <w:lang w:val="es-ES_tradnl"/>
        </w:rPr>
        <w:footnoteReference w:id="36"/>
      </w:r>
      <w:r w:rsidRPr="00B33A59">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Así, la designación del ejecutor en los proyectos de inversión del </w:t>
      </w:r>
      <w:r>
        <w:rPr>
          <w:rFonts w:ascii="Verdana" w:eastAsia="Calibri" w:hAnsi="Verdana" w:cs="Arial"/>
          <w:bCs/>
          <w:color w:val="000000" w:themeColor="text1"/>
        </w:rPr>
        <w:t xml:space="preserve">Sistema General de Regalías no corresponde al ejercicio de otras funciones del Estado –legislativa, judicial, de control o electoral–, además de que busca la satisfacción del bien común. </w:t>
      </w:r>
    </w:p>
    <w:p w14:paraId="2E299F2D" w14:textId="77777777" w:rsidR="007A74DB" w:rsidRPr="00AC291C" w:rsidRDefault="007A74DB" w:rsidP="007A74DB">
      <w:pPr>
        <w:spacing w:after="120" w:line="276" w:lineRule="auto"/>
        <w:jc w:val="both"/>
        <w:rPr>
          <w:rFonts w:ascii="Verdana" w:eastAsia="Calibri" w:hAnsi="Verdana" w:cs="Arial"/>
        </w:rPr>
      </w:pPr>
      <w:r>
        <w:rPr>
          <w:rFonts w:ascii="Arial" w:eastAsia="Calibri" w:hAnsi="Arial" w:cs="Arial"/>
        </w:rPr>
        <w:lastRenderedPageBreak/>
        <w:tab/>
      </w:r>
      <w:r w:rsidRPr="00AC291C">
        <w:rPr>
          <w:rFonts w:ascii="Verdana" w:eastAsia="Calibri" w:hAnsi="Verdana" w:cs="Arial"/>
        </w:rPr>
        <w:t xml:space="preserve">Por último, </w:t>
      </w:r>
      <w:r>
        <w:rPr>
          <w:rFonts w:ascii="Verdana" w:eastAsia="Calibri" w:hAnsi="Verdana" w:cs="Arial"/>
        </w:rPr>
        <w:t>la designación del ejecutor</w:t>
      </w:r>
      <w:r w:rsidRPr="00AC291C">
        <w:rPr>
          <w:rFonts w:ascii="Verdana" w:eastAsia="Calibri" w:hAnsi="Verdana" w:cs="Arial"/>
        </w:rPr>
        <w:t xml:space="preserve"> implica una </w:t>
      </w:r>
      <w:r w:rsidRPr="00AC291C">
        <w:rPr>
          <w:rFonts w:ascii="Verdana" w:eastAsia="Calibri" w:hAnsi="Verdana" w:cs="Arial"/>
          <w:i/>
          <w:iCs/>
        </w:rPr>
        <w:t>decisión que produce efectos jurídicos</w:t>
      </w:r>
      <w:r w:rsidRPr="00AC291C">
        <w:rPr>
          <w:rFonts w:ascii="Verdana" w:eastAsia="Calibri" w:hAnsi="Verdana" w:cs="Arial"/>
        </w:rPr>
        <w:t>, creando, modificando o extinguiendo situaciones jurídicas</w:t>
      </w:r>
      <w:r w:rsidRPr="00AC291C">
        <w:rPr>
          <w:rStyle w:val="Refdenotaalpie"/>
          <w:rFonts w:ascii="Verdana" w:eastAsia="Calibri" w:hAnsi="Verdana" w:cs="Arial"/>
        </w:rPr>
        <w:footnoteReference w:id="37"/>
      </w:r>
      <w:r w:rsidRPr="00AC291C">
        <w:rPr>
          <w:rFonts w:ascii="Verdana" w:eastAsia="Calibri" w:hAnsi="Verdana" w:cs="Arial"/>
        </w:rPr>
        <w:t>. Su expedición no sólo implica el cumplimiento de un debe</w:t>
      </w:r>
      <w:r>
        <w:rPr>
          <w:rFonts w:ascii="Verdana" w:eastAsia="Calibri" w:hAnsi="Verdana" w:cs="Arial"/>
        </w:rPr>
        <w:t>r</w:t>
      </w:r>
      <w:r w:rsidRPr="00AC291C">
        <w:rPr>
          <w:rFonts w:ascii="Verdana" w:eastAsia="Calibri" w:hAnsi="Verdana" w:cs="Arial"/>
        </w:rPr>
        <w:t xml:space="preserve"> legal, sino que también </w:t>
      </w:r>
      <w:r>
        <w:rPr>
          <w:rFonts w:ascii="Verdana" w:eastAsia="Calibri" w:hAnsi="Verdana" w:cs="Arial"/>
        </w:rPr>
        <w:t>obliga al destinatario a hacer uso eficaz y eficiente de los recursos asignados para la ejecución del proyecto</w:t>
      </w:r>
      <w:r w:rsidRPr="00AC291C">
        <w:rPr>
          <w:rFonts w:ascii="Verdana" w:eastAsia="Calibri" w:hAnsi="Verdana" w:cs="Arial"/>
        </w:rPr>
        <w:t xml:space="preserve">. </w:t>
      </w:r>
      <w:r>
        <w:rPr>
          <w:rFonts w:ascii="Verdana" w:eastAsia="Calibri" w:hAnsi="Verdana" w:cs="Arial"/>
        </w:rPr>
        <w:t>De esta manera la entidad ejecutora tiene el deber de velar por el cumplimiento oportuno de las metas propuestas y rendir cuentas las gestiones realizadas.</w:t>
      </w:r>
    </w:p>
    <w:p w14:paraId="0DCC4930" w14:textId="77777777" w:rsidR="007A74DB" w:rsidRDefault="007A74DB" w:rsidP="007A74DB">
      <w:pPr>
        <w:spacing w:after="120" w:line="276" w:lineRule="auto"/>
        <w:ind w:firstLine="709"/>
        <w:jc w:val="both"/>
        <w:rPr>
          <w:rFonts w:ascii="Verdana" w:hAnsi="Verdana" w:cs="Arial"/>
        </w:rPr>
      </w:pPr>
      <w:bookmarkStart w:id="16" w:name="_Hlk37098845"/>
      <w:r w:rsidRPr="00AC291C">
        <w:rPr>
          <w:rFonts w:ascii="Verdana" w:eastAsia="Calibri" w:hAnsi="Verdana" w:cs="Arial"/>
        </w:rPr>
        <w:t xml:space="preserve">Analizados estos elementos, </w:t>
      </w:r>
      <w:r>
        <w:rPr>
          <w:rFonts w:ascii="Verdana" w:eastAsia="Calibri" w:hAnsi="Verdana" w:cs="Arial"/>
        </w:rPr>
        <w:t>la Agencia</w:t>
      </w:r>
      <w:r w:rsidRPr="00AC291C">
        <w:rPr>
          <w:rFonts w:ascii="Verdana" w:eastAsia="Calibri" w:hAnsi="Verdana" w:cs="Arial"/>
        </w:rPr>
        <w:t xml:space="preserve"> concluye que </w:t>
      </w:r>
      <w:bookmarkStart w:id="17" w:name="_Hlk215870370"/>
      <w:r>
        <w:rPr>
          <w:rFonts w:ascii="Verdana" w:eastAsia="Calibri" w:hAnsi="Verdana" w:cs="Arial"/>
        </w:rPr>
        <w:t xml:space="preserve">la </w:t>
      </w:r>
      <w:r>
        <w:rPr>
          <w:rFonts w:ascii="Verdana" w:eastAsia="Calibri" w:hAnsi="Verdana" w:cs="Arial"/>
          <w:bCs/>
          <w:color w:val="000000" w:themeColor="text1"/>
        </w:rPr>
        <w:t>designación de la entidad ejecutora en los proyectos adelantados con cargo al Sistema General de Regalías</w:t>
      </w:r>
      <w:bookmarkEnd w:id="17"/>
      <w:r w:rsidRPr="00AC291C">
        <w:rPr>
          <w:rFonts w:ascii="Verdana" w:eastAsia="Calibri" w:hAnsi="Verdana" w:cs="Arial"/>
        </w:rPr>
        <w:t xml:space="preserve"> </w:t>
      </w:r>
      <w:r>
        <w:rPr>
          <w:rFonts w:ascii="Verdana" w:eastAsia="Calibri" w:hAnsi="Verdana" w:cs="Arial"/>
        </w:rPr>
        <w:t>corresponde a</w:t>
      </w:r>
      <w:r w:rsidRPr="00AC291C">
        <w:rPr>
          <w:rFonts w:ascii="Verdana" w:eastAsia="Calibri" w:hAnsi="Verdana" w:cs="Arial"/>
        </w:rPr>
        <w:t xml:space="preserve"> un acto administrativo con independencia de que adopte el nombre de decreto, resolución, acuerdo, etc., pues lo determinante es el cumplimiento los requisitos que determinan su naturaleza</w:t>
      </w:r>
      <w:r>
        <w:rPr>
          <w:rFonts w:ascii="Verdana" w:eastAsia="Calibri" w:hAnsi="Verdana" w:cs="Arial"/>
        </w:rPr>
        <w:t>. U</w:t>
      </w:r>
      <w:r w:rsidRPr="00AC291C">
        <w:rPr>
          <w:rFonts w:ascii="Verdana" w:eastAsia="Calibri" w:hAnsi="Verdana" w:cs="Arial"/>
        </w:rPr>
        <w:t>na vez concurren sus elementos de existencia, la validez depende de la competencia de funcionario, la ausencia de desviación de poder, la licitud del objeto, entre otras</w:t>
      </w:r>
      <w:bookmarkEnd w:id="16"/>
      <w:r w:rsidRPr="00AC291C">
        <w:rPr>
          <w:rFonts w:ascii="Verdana" w:eastAsia="Calibri" w:hAnsi="Verdana" w:cs="Arial"/>
        </w:rPr>
        <w:t>.</w:t>
      </w:r>
      <w:r>
        <w:rPr>
          <w:rFonts w:ascii="Verdana" w:eastAsia="Calibri" w:hAnsi="Verdana" w:cs="Arial"/>
        </w:rPr>
        <w:t xml:space="preserve"> Al ser un acto administrativo, la designación no corresponde a un contrato estatal, de forma que ni siquiera tiene la naturaleza de un convenio interadministrativo</w:t>
      </w:r>
      <w:r>
        <w:rPr>
          <w:rStyle w:val="Refdenotaalpie"/>
          <w:rFonts w:ascii="Verdana" w:eastAsia="Calibri" w:hAnsi="Verdana" w:cs="Arial"/>
        </w:rPr>
        <w:footnoteReference w:id="38"/>
      </w:r>
      <w:r>
        <w:rPr>
          <w:rFonts w:ascii="Verdana" w:eastAsia="Calibri" w:hAnsi="Verdana" w:cs="Arial"/>
        </w:rPr>
        <w:t xml:space="preserve">. En consecuencia, la designación no requiere aceptación de la entidad ejecutora ni ésta se considera contratista </w:t>
      </w:r>
      <w:r>
        <w:rPr>
          <w:rFonts w:ascii="Verdana" w:hAnsi="Verdana" w:cs="Arial"/>
        </w:rPr>
        <w:t>de los</w:t>
      </w:r>
      <w:r w:rsidRPr="0015567A">
        <w:rPr>
          <w:rFonts w:ascii="Verdana" w:hAnsi="Verdana" w:cs="Arial"/>
        </w:rPr>
        <w:t xml:space="preserve"> órganos de que tratan los artículos 35 y 36</w:t>
      </w:r>
      <w:r>
        <w:rPr>
          <w:rFonts w:ascii="Verdana" w:hAnsi="Verdana" w:cs="Arial"/>
        </w:rPr>
        <w:t xml:space="preserve"> de la </w:t>
      </w:r>
      <w:r w:rsidRPr="00BD247A">
        <w:rPr>
          <w:rFonts w:ascii="Verdana" w:hAnsi="Verdana" w:cs="Arial"/>
        </w:rPr>
        <w:t>Ley 2056 de 2020</w:t>
      </w:r>
      <w:r>
        <w:rPr>
          <w:rFonts w:ascii="Verdana" w:hAnsi="Verdana" w:cs="Arial"/>
        </w:rPr>
        <w:t>.</w:t>
      </w:r>
    </w:p>
    <w:p w14:paraId="71207932" w14:textId="77777777" w:rsidR="007A74DB" w:rsidRDefault="007A74DB" w:rsidP="007A74DB">
      <w:pPr>
        <w:spacing w:before="120" w:line="276" w:lineRule="auto"/>
        <w:ind w:firstLine="709"/>
        <w:jc w:val="both"/>
        <w:rPr>
          <w:rFonts w:ascii="Verdana" w:hAnsi="Verdana" w:cs="Arial"/>
          <w:bCs/>
          <w:lang w:val="es-ES_tradnl" w:eastAsia="es-CO"/>
        </w:rPr>
      </w:pPr>
      <w:r>
        <w:rPr>
          <w:rFonts w:ascii="Verdana" w:hAnsi="Verdana" w:cs="Arial"/>
        </w:rPr>
        <w:t>Bajo estas consideraciones, de cara a la consulta planteada, se puede afirmar que a la designación</w:t>
      </w:r>
      <w:r>
        <w:rPr>
          <w:rFonts w:ascii="Verdana" w:eastAsia="Calibri" w:hAnsi="Verdana" w:cs="Arial"/>
        </w:rPr>
        <w:t xml:space="preserve"> </w:t>
      </w:r>
      <w:r>
        <w:rPr>
          <w:rFonts w:ascii="Verdana" w:eastAsia="Calibri" w:hAnsi="Verdana" w:cs="Arial"/>
          <w:bCs/>
          <w:color w:val="000000" w:themeColor="text1"/>
        </w:rPr>
        <w:t>de la entidad ejecutora en los proyectos adelantados con cargo al Sistema General de Regalías,</w:t>
      </w:r>
      <w:r>
        <w:rPr>
          <w:rFonts w:ascii="Verdana" w:hAnsi="Verdana" w:cs="Arial"/>
          <w:bCs/>
          <w:lang w:val="es-ES_tradnl" w:eastAsia="es-CO"/>
        </w:rPr>
        <w:t xml:space="preserve"> al tratarse de un acto administrativo, no le resulta aplicable las restricciones previstas en los artículos 33 y 38 de la Ley 996 de 2005, porque lo que en estos preceptos se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y “celebrar convenios interadministrativos para la ejecución de recursos públicos”. En este sentido, </w:t>
      </w:r>
      <w:r>
        <w:rPr>
          <w:rFonts w:ascii="Verdana" w:eastAsia="Times New Roman" w:hAnsi="Verdana" w:cs="Arial"/>
          <w:lang w:val="es-ES"/>
        </w:rPr>
        <w:t xml:space="preserve">la celebración de estos contratos de forma directa y de convenios interadministrativo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la forma jurídica de designación que se desprende del artículo 37 de la Ley 2056 de 2020 </w:t>
      </w:r>
      <w:r>
        <w:rPr>
          <w:rFonts w:ascii="Verdana" w:hAnsi="Verdana" w:cs="Arial"/>
          <w:bCs/>
          <w:i/>
          <w:iCs/>
          <w:lang w:val="es-ES_tradnl" w:eastAsia="es-CO"/>
        </w:rPr>
        <w:t>es el acto administrativo</w:t>
      </w:r>
      <w:r>
        <w:rPr>
          <w:rFonts w:ascii="Verdana" w:hAnsi="Verdana" w:cs="Arial"/>
          <w:bCs/>
          <w:lang w:val="es-ES_tradnl" w:eastAsia="es-CO"/>
        </w:rPr>
        <w:t xml:space="preserve">, no el convenio interadministrativo. Si el artículo 33 y el parágrafo del artículo 38 de la Ley 996 </w:t>
      </w:r>
      <w:r>
        <w:rPr>
          <w:rFonts w:ascii="Verdana" w:hAnsi="Verdana" w:cs="Arial"/>
          <w:bCs/>
          <w:lang w:val="es-ES_tradnl" w:eastAsia="es-CO"/>
        </w:rPr>
        <w:lastRenderedPageBreak/>
        <w:t xml:space="preserve">de 2005 prohibieron la celebración directa de contratos y la suscripción de convenios interadministrativos para la ejecución de recursos públicos, no puede entenderse </w:t>
      </w:r>
      <w:r>
        <w:rPr>
          <w:rFonts w:ascii="Verdana" w:hAnsi="Verdana" w:cs="Arial"/>
          <w:bCs/>
          <w:i/>
          <w:iCs/>
          <w:lang w:val="es-ES_tradnl" w:eastAsia="es-CO"/>
        </w:rPr>
        <w:t>también</w:t>
      </w:r>
      <w:r>
        <w:rPr>
          <w:rFonts w:ascii="Verdana" w:hAnsi="Verdana" w:cs="Arial"/>
          <w:bCs/>
          <w:lang w:val="es-ES_tradnl" w:eastAsia="es-CO"/>
        </w:rPr>
        <w:t xml:space="preserve"> prohibida la designación del ente ejecutor, porque se estaría incluyendo una circunstancia que el supuesto de hecho de la restricción no contempla. </w:t>
      </w:r>
    </w:p>
    <w:p w14:paraId="05D66D4D" w14:textId="77777777" w:rsidR="007A74DB" w:rsidRPr="007562F6" w:rsidRDefault="007A74DB" w:rsidP="007A74DB">
      <w:pPr>
        <w:spacing w:before="120" w:line="276" w:lineRule="auto"/>
        <w:ind w:firstLine="709"/>
        <w:jc w:val="both"/>
        <w:rPr>
          <w:rFonts w:ascii="Verdana" w:hAnsi="Verdana" w:cs="Arial"/>
          <w:bCs/>
          <w:lang w:val="es-ES_tradnl" w:eastAsia="es-CO"/>
        </w:rPr>
      </w:pPr>
      <w:r>
        <w:rPr>
          <w:rFonts w:ascii="Verdana" w:hAnsi="Verdana" w:cs="Arial"/>
          <w:bCs/>
          <w:lang w:val="es-ES_tradnl" w:eastAsia="es-CO"/>
        </w:rPr>
        <w:t>Debe destacarse que las disposiciones normativas que establecen prohibiciones deben interpretarse restrictivamente, para no ampliar de manera injustificada sus supuestos de hecho a circunstancias que, en sentido lógico, no caben en aquellos. La Sala de Consulta y Servicio Civil del Consejo de Estado así lo sostuvo, refiriéndose, precisamente, al alcance de las limitaciones contractuales contenidas en la ley de garantías electorales. Al respecto, afirmó:</w:t>
      </w:r>
    </w:p>
    <w:p w14:paraId="0E2BD973" w14:textId="77777777" w:rsidR="007A74DB" w:rsidRDefault="007A74DB" w:rsidP="007A74DB">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4341C647" w14:textId="77777777" w:rsidR="007A74DB" w:rsidRDefault="007A74DB" w:rsidP="007A74DB">
      <w:pPr>
        <w:shd w:val="clear" w:color="auto" w:fill="FFFFFF"/>
        <w:spacing w:after="0" w:line="240" w:lineRule="auto"/>
        <w:ind w:left="709" w:right="709"/>
        <w:jc w:val="both"/>
        <w:rPr>
          <w:rFonts w:ascii="Verdana" w:eastAsia="Times New Roman" w:hAnsi="Verdana" w:cs="Arial"/>
          <w:color w:val="000000"/>
          <w:sz w:val="20"/>
          <w:szCs w:val="20"/>
          <w:lang w:val="es-ES" w:eastAsia="es-CO"/>
        </w:rPr>
      </w:pPr>
      <w:r>
        <w:rPr>
          <w:rFonts w:ascii="Verdana" w:eastAsia="Times New Roman" w:hAnsi="Verdana" w:cs="Arial"/>
          <w:color w:val="000000"/>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r>
        <w:rPr>
          <w:rFonts w:ascii="Verdana" w:eastAsia="Times New Roman" w:hAnsi="Verdana" w:cs="Arial"/>
          <w:i/>
          <w:iCs/>
          <w:color w:val="000000"/>
          <w:sz w:val="20"/>
          <w:szCs w:val="20"/>
          <w:lang w:val="es-ES" w:eastAsia="es-CO"/>
        </w:rPr>
        <w:t>legis </w:t>
      </w:r>
      <w:r>
        <w:rPr>
          <w:rFonts w:ascii="Verdana" w:eastAsia="Times New Roman" w:hAnsi="Verdana" w:cs="Arial"/>
          <w:color w:val="000000"/>
          <w:sz w:val="20"/>
          <w:szCs w:val="20"/>
          <w:lang w:val="es-ES" w:eastAsia="es-CO"/>
        </w:rPr>
        <w:t>o </w:t>
      </w:r>
      <w:r>
        <w:rPr>
          <w:rFonts w:ascii="Verdana" w:eastAsia="Times New Roman" w:hAnsi="Verdana" w:cs="Arial"/>
          <w:i/>
          <w:iCs/>
          <w:color w:val="000000"/>
          <w:sz w:val="20"/>
          <w:szCs w:val="20"/>
          <w:lang w:val="es-ES" w:eastAsia="es-CO"/>
        </w:rPr>
        <w:t>iuris</w:t>
      </w:r>
      <w:r>
        <w:rPr>
          <w:rFonts w:ascii="Verdana" w:eastAsia="Times New Roman" w:hAnsi="Verdana" w:cs="Arial"/>
          <w:color w:val="000000"/>
          <w:sz w:val="20"/>
          <w:szCs w:val="20"/>
          <w:lang w:val="es-ES" w:eastAsia="es-CO"/>
        </w:rPr>
        <w:t>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D605FCB" w14:textId="77777777" w:rsidR="007A74DB" w:rsidRDefault="007A74DB" w:rsidP="007A74DB">
      <w:pPr>
        <w:shd w:val="clear" w:color="auto" w:fill="FFFFFF"/>
        <w:spacing w:after="0" w:line="240" w:lineRule="auto"/>
        <w:ind w:left="709" w:right="709"/>
        <w:jc w:val="both"/>
        <w:rPr>
          <w:rFonts w:ascii="Verdana" w:eastAsia="Times New Roman" w:hAnsi="Verdana" w:cs="Arial"/>
          <w:color w:val="000000"/>
          <w:sz w:val="20"/>
          <w:szCs w:val="20"/>
          <w:lang w:val="es-ES_tradnl" w:eastAsia="es-CO"/>
        </w:rPr>
      </w:pPr>
      <w:r>
        <w:rPr>
          <w:rFonts w:ascii="Verdana" w:eastAsia="Times New Roman" w:hAnsi="Verdana" w:cs="Arial"/>
          <w:color w:val="000000"/>
          <w:sz w:val="20"/>
          <w:szCs w:val="20"/>
          <w:lang w:val="es-ES_tradnl" w:eastAsia="es-CO"/>
        </w:rPr>
        <w:t>[…]</w:t>
      </w:r>
    </w:p>
    <w:p w14:paraId="0547CBF6" w14:textId="77777777" w:rsidR="007A74DB" w:rsidRDefault="007A74DB" w:rsidP="007A74DB">
      <w:pPr>
        <w:shd w:val="clear" w:color="auto" w:fill="FFFFFF"/>
        <w:spacing w:before="120" w:after="0" w:line="240" w:lineRule="auto"/>
        <w:ind w:left="709" w:right="709"/>
        <w:jc w:val="both"/>
        <w:rPr>
          <w:rFonts w:ascii="Verdana" w:eastAsia="Times New Roman" w:hAnsi="Verdana" w:cs="Arial"/>
          <w:color w:val="000000"/>
          <w:sz w:val="20"/>
          <w:szCs w:val="20"/>
          <w:lang w:val="es-ES" w:eastAsia="es-CO"/>
        </w:rPr>
      </w:pPr>
      <w:r>
        <w:rPr>
          <w:rFonts w:ascii="Verdana" w:eastAsia="Times New Roman" w:hAnsi="Verdana" w:cs="Arial"/>
          <w:color w:val="000000"/>
          <w:sz w:val="20"/>
          <w:szCs w:val="20"/>
          <w:lang w:val="es-ES" w:eastAsia="es-CO"/>
        </w:rPr>
        <w:t>Así, en esta materia cobra importancia la regla de hermenéutica consagrada en el artículo 31 del Código Civil, según la cual, </w:t>
      </w:r>
      <w:r>
        <w:rPr>
          <w:rFonts w:ascii="Verdana" w:eastAsia="Times New Roman" w:hAnsi="Verdana" w:cs="Arial"/>
          <w:i/>
          <w:iCs/>
          <w:color w:val="000000"/>
          <w:sz w:val="20"/>
          <w:szCs w:val="20"/>
          <w:lang w:val="es-ES" w:eastAsia="es-CO"/>
        </w:rPr>
        <w:t>‘[l]o favorable u odioso de una disposición no se tomará en cuenta para ampliar o restringir su interpretación. La extensión que deba darse a toda ley se determinará por su genuino sentido, y según las reglas de interpretación…’ (‘favorabilia sunt amplianda, odiosa sunt restringenda’); </w:t>
      </w:r>
      <w:r>
        <w:rPr>
          <w:rFonts w:ascii="Verdana" w:eastAsia="Times New Roman" w:hAnsi="Verdana" w:cs="Arial"/>
          <w:color w:val="000000"/>
          <w:sz w:val="20"/>
          <w:szCs w:val="20"/>
          <w:lang w:val="es-ES" w:eastAsia="es-CO"/>
        </w:rPr>
        <w:t>y de ahí la proscripción de las interpretaciones extensivas de las normas prohibitivas, tal y como lo precisó la Corte Suprema de Justicia, al señalar que </w:t>
      </w:r>
      <w:r>
        <w:rPr>
          <w:rFonts w:ascii="Verdana" w:eastAsia="Times New Roman" w:hAnsi="Verdana" w:cs="Arial"/>
          <w:i/>
          <w:iCs/>
          <w:color w:val="000000"/>
          <w:sz w:val="20"/>
          <w:szCs w:val="20"/>
          <w:lang w:val="es-ES" w:eastAsia="es-CO"/>
        </w:rPr>
        <w:t>‘[e]n la interpretación de las leyes prohibitivas no deben buscarse analogías o razones para hacerlas extensivas a casos no comprendidos claramente en la prohibición’.</w:t>
      </w:r>
      <w:r>
        <w:rPr>
          <w:rFonts w:ascii="Verdana" w:eastAsia="Times New Roman" w:hAnsi="Verdana" w:cs="Arial"/>
          <w:color w:val="000000"/>
          <w:sz w:val="20"/>
          <w:szCs w:val="20"/>
          <w:lang w:val="es-ES" w:eastAsia="es-CO"/>
        </w:rPr>
        <w:t> </w:t>
      </w:r>
    </w:p>
    <w:p w14:paraId="2E684E59" w14:textId="77777777" w:rsidR="007A74DB" w:rsidRDefault="007A74DB" w:rsidP="007A74DB">
      <w:pPr>
        <w:pStyle w:val="NormalWeb"/>
        <w:shd w:val="clear" w:color="auto" w:fill="FFFFFF"/>
        <w:spacing w:before="120" w:beforeAutospacing="0" w:after="0" w:afterAutospacing="0"/>
        <w:ind w:left="709" w:right="709"/>
        <w:jc w:val="both"/>
        <w:rPr>
          <w:rFonts w:ascii="Verdana" w:hAnsi="Verdana" w:cs="Arial"/>
          <w:color w:val="000000" w:themeColor="text1"/>
          <w:sz w:val="20"/>
          <w:szCs w:val="20"/>
          <w:lang w:val="es-ES_tradnl"/>
        </w:rPr>
      </w:pPr>
      <w:r>
        <w:rPr>
          <w:rFonts w:ascii="Verdana" w:hAnsi="Verdana" w:cs="Arial"/>
          <w:color w:val="000000"/>
          <w:sz w:val="20"/>
          <w:szCs w:val="20"/>
          <w:lang w:val="es-ES_tradnl" w:eastAsia="es-ES_tradnl"/>
        </w:rPr>
        <w:t>En consecuencia, la interpretación y aplicación restrictiva es una regla que rige tratándose de normas prohibitivas, dado que consagran limitaciones al ejercicio de un derecho o de competencias señaladas en la ley, criterio hermenéutico que responde al principio de taxatividad, de acuerdo con el cual solo operan las prohibiciones que en forma precisa establece el legislador”</w:t>
      </w:r>
      <w:r>
        <w:rPr>
          <w:rStyle w:val="Refdenotaalpie"/>
          <w:rFonts w:ascii="Verdana" w:hAnsi="Verdana" w:cs="Arial"/>
          <w:color w:val="000000" w:themeColor="text1"/>
          <w:sz w:val="20"/>
          <w:szCs w:val="20"/>
          <w:lang w:val="es-ES_tradnl"/>
        </w:rPr>
        <w:footnoteReference w:id="39"/>
      </w:r>
      <w:r>
        <w:rPr>
          <w:rFonts w:ascii="Verdana" w:hAnsi="Verdana" w:cs="Arial"/>
          <w:color w:val="000000" w:themeColor="text1"/>
          <w:sz w:val="20"/>
          <w:szCs w:val="20"/>
          <w:lang w:val="es-ES_tradnl"/>
        </w:rPr>
        <w:t>.</w:t>
      </w:r>
    </w:p>
    <w:p w14:paraId="729265B9" w14:textId="77777777" w:rsidR="007A74DB" w:rsidRDefault="007A74DB" w:rsidP="007A74DB">
      <w:pPr>
        <w:pStyle w:val="NormalWeb"/>
        <w:shd w:val="clear" w:color="auto" w:fill="FFFFFF"/>
        <w:spacing w:before="0" w:beforeAutospacing="0" w:after="0" w:afterAutospacing="0" w:line="276" w:lineRule="auto"/>
        <w:ind w:left="709" w:right="709"/>
        <w:jc w:val="both"/>
        <w:rPr>
          <w:rFonts w:ascii="Verdana" w:hAnsi="Verdana" w:cs="Arial"/>
          <w:color w:val="333333"/>
          <w:sz w:val="21"/>
          <w:szCs w:val="21"/>
          <w:lang w:val="es-ES_tradnl"/>
        </w:rPr>
      </w:pPr>
    </w:p>
    <w:p w14:paraId="75556FA7" w14:textId="77777777" w:rsidR="007A74DB" w:rsidRPr="00531419" w:rsidRDefault="007A74DB" w:rsidP="007A74DB">
      <w:pPr>
        <w:spacing w:after="120" w:line="276" w:lineRule="auto"/>
        <w:ind w:firstLine="708"/>
        <w:jc w:val="both"/>
        <w:rPr>
          <w:rFonts w:ascii="Verdana" w:eastAsia="Arial" w:hAnsi="Verdana" w:cs="Arial"/>
          <w:color w:val="000000" w:themeColor="text1"/>
          <w:lang w:val="es-ES"/>
        </w:rPr>
      </w:pPr>
      <w:r>
        <w:rPr>
          <w:rFonts w:ascii="Verdana" w:eastAsia="Arial" w:hAnsi="Verdana" w:cs="Arial"/>
          <w:color w:val="000000" w:themeColor="text1"/>
          <w:lang w:val="es-ES"/>
        </w:rPr>
        <w:t>En este sentido</w:t>
      </w:r>
      <w:r w:rsidRPr="00531419">
        <w:rPr>
          <w:rFonts w:ascii="Verdana" w:eastAsia="Arial" w:hAnsi="Verdana" w:cs="Arial"/>
          <w:color w:val="000000" w:themeColor="text1"/>
          <w:lang w:val="es-ES"/>
        </w:rPr>
        <w:t>, no se considera que la designación de un ente ejecutor en el marco del Sistema General de Regalías se encuentre comprendida dentro de las prohibiciones establecidas por la Ley de Garantías Electorales</w:t>
      </w:r>
      <w:r>
        <w:rPr>
          <w:rFonts w:ascii="Verdana" w:eastAsia="Arial" w:hAnsi="Verdana" w:cs="Arial"/>
          <w:color w:val="000000" w:themeColor="text1"/>
          <w:lang w:val="es-ES"/>
        </w:rPr>
        <w:t>, al tratarse de un acto administrativo</w:t>
      </w:r>
      <w:r w:rsidRPr="00531419">
        <w:rPr>
          <w:rFonts w:ascii="Verdana" w:eastAsia="Arial" w:hAnsi="Verdana" w:cs="Arial"/>
          <w:color w:val="000000" w:themeColor="text1"/>
          <w:lang w:val="es-ES"/>
        </w:rPr>
        <w:t>. Sin embargo, ello no exime la aplicación de dichas restricciones a los contratos directos o a los convenios interadministrativos que se celebren para la ejecución de los recursos con posterioridad a esa designación y que se encuentren dentro del ámbito de aplicación de las prohibiciones previstas en los artículos 33 y 38 de la Ley 996 de 2005.</w:t>
      </w:r>
    </w:p>
    <w:p w14:paraId="69A946D6" w14:textId="77777777" w:rsidR="007A74DB" w:rsidRDefault="007A74DB" w:rsidP="007A74DB">
      <w:pPr>
        <w:spacing w:after="120" w:line="276" w:lineRule="auto"/>
        <w:ind w:firstLine="708"/>
        <w:jc w:val="both"/>
        <w:rPr>
          <w:rFonts w:ascii="Verdana" w:eastAsia="Arial" w:hAnsi="Verdana" w:cs="Arial"/>
          <w:color w:val="000000" w:themeColor="text1"/>
          <w:lang w:val="es-ES"/>
        </w:rPr>
      </w:pPr>
      <w:r w:rsidRPr="00531419">
        <w:rPr>
          <w:rFonts w:ascii="Verdana" w:eastAsia="Arial" w:hAnsi="Verdana" w:cs="Arial"/>
          <w:color w:val="000000" w:themeColor="text1"/>
          <w:lang w:val="es-ES"/>
        </w:rPr>
        <w:t xml:space="preserve">En otras palabras, una vez efectuado </w:t>
      </w:r>
      <w:r>
        <w:rPr>
          <w:rFonts w:ascii="Verdana" w:eastAsia="Arial" w:hAnsi="Verdana" w:cs="Arial"/>
          <w:color w:val="000000" w:themeColor="text1"/>
          <w:lang w:val="es-ES"/>
        </w:rPr>
        <w:t xml:space="preserve">la designación </w:t>
      </w:r>
      <w:r w:rsidRPr="00531419">
        <w:rPr>
          <w:rFonts w:ascii="Verdana" w:eastAsia="Arial" w:hAnsi="Verdana" w:cs="Arial"/>
          <w:color w:val="000000" w:themeColor="text1"/>
          <w:lang w:val="es-ES"/>
        </w:rPr>
        <w:t xml:space="preserve">del ente ejecutor, este deberá observar estrictamente las limitaciones impuestas por la Ley de Garantías </w:t>
      </w:r>
      <w:r>
        <w:rPr>
          <w:rFonts w:ascii="Verdana" w:eastAsia="Arial" w:hAnsi="Verdana" w:cs="Arial"/>
          <w:color w:val="000000" w:themeColor="text1"/>
          <w:lang w:val="es-ES"/>
        </w:rPr>
        <w:t xml:space="preserve">Electorales </w:t>
      </w:r>
      <w:r w:rsidRPr="00531419">
        <w:rPr>
          <w:rFonts w:ascii="Verdana" w:eastAsia="Arial" w:hAnsi="Verdana" w:cs="Arial"/>
          <w:color w:val="000000" w:themeColor="text1"/>
          <w:lang w:val="es-ES"/>
        </w:rPr>
        <w:t>durante todo el periodo en que dichas prohibiciones se mantengan vigentes. Esto implica que, aunque la designación en sí misma no está restringida,</w:t>
      </w:r>
      <w:r>
        <w:rPr>
          <w:rFonts w:ascii="Verdana" w:eastAsia="Arial" w:hAnsi="Verdana" w:cs="Arial"/>
          <w:color w:val="000000" w:themeColor="text1"/>
          <w:lang w:val="es-ES"/>
        </w:rPr>
        <w:t xml:space="preserve"> es indispensable analizar </w:t>
      </w:r>
      <w:r w:rsidRPr="00697201">
        <w:rPr>
          <w:rFonts w:ascii="Verdana" w:eastAsia="Arial" w:hAnsi="Verdana" w:cs="Arial"/>
          <w:color w:val="000000" w:themeColor="text1"/>
        </w:rPr>
        <w:t>si los contratos que se celebren con posterioridad a dicha designación están sujetos a las restricciones previstas en esta normativa.</w:t>
      </w:r>
    </w:p>
    <w:p w14:paraId="1E0F729C" w14:textId="77777777" w:rsidR="007A74DB" w:rsidRPr="00584759" w:rsidRDefault="007A74DB" w:rsidP="007A74DB">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51AC8F9B" w14:textId="77777777" w:rsidR="007A74DB" w:rsidRPr="00FC6F34" w:rsidRDefault="007A74DB" w:rsidP="007A74DB">
      <w:pPr>
        <w:spacing w:after="0" w:line="276" w:lineRule="auto"/>
        <w:ind w:firstLine="708"/>
        <w:jc w:val="both"/>
        <w:rPr>
          <w:rFonts w:ascii="Verdana" w:eastAsia="Calibri" w:hAnsi="Verdana" w:cs="Arial"/>
          <w:lang w:val="es-ES"/>
        </w:rPr>
      </w:pPr>
    </w:p>
    <w:bookmarkEnd w:id="1"/>
    <w:bookmarkEnd w:id="2"/>
    <w:p w14:paraId="640E0B57" w14:textId="77777777" w:rsidR="007A74DB" w:rsidRPr="00FC6F34" w:rsidRDefault="007A74DB" w:rsidP="007A74DB">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D04763">
        <w:rPr>
          <w:rFonts w:ascii="Verdana" w:eastAsia="Century Gothic" w:hAnsi="Verdana" w:cs="Century Gothic"/>
          <w:b/>
          <w:color w:val="000000" w:themeColor="text1"/>
        </w:rPr>
        <w:t>Referencias normativas, jurisprudenciales y otras fuentes:</w:t>
      </w:r>
    </w:p>
    <w:p w14:paraId="09D6073D" w14:textId="77777777" w:rsidR="007A74DB" w:rsidRPr="00FC6F34" w:rsidRDefault="007A74DB" w:rsidP="007A74DB">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74DB" w:rsidRPr="00FC6F34" w14:paraId="5D05BD55" w14:textId="77777777" w:rsidTr="00FE6ED8">
        <w:trPr>
          <w:trHeight w:val="870"/>
        </w:trPr>
        <w:tc>
          <w:tcPr>
            <w:tcW w:w="8647" w:type="dxa"/>
          </w:tcPr>
          <w:p w14:paraId="72E06196" w14:textId="77777777" w:rsidR="007A74DB" w:rsidRPr="00FC6F34" w:rsidRDefault="007A74DB" w:rsidP="007A74DB">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250C9AB3" w14:textId="77777777" w:rsidR="007A74DB" w:rsidRPr="00FC6F34" w:rsidRDefault="007A74DB" w:rsidP="007A74DB">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w:t>
            </w:r>
            <w:r>
              <w:rPr>
                <w:rFonts w:ascii="Verdana" w:eastAsia="Arial MT" w:hAnsi="Verdana" w:cs="Arial"/>
                <w:bCs/>
                <w:lang w:val="es-ES" w:eastAsia="es-ES" w:bidi="es-ES"/>
              </w:rPr>
              <w:t xml:space="preserve">, </w:t>
            </w:r>
            <w:r w:rsidRPr="00FC6F34">
              <w:rPr>
                <w:rFonts w:ascii="Verdana" w:eastAsia="Arial MT" w:hAnsi="Verdana" w:cs="Arial"/>
                <w:bCs/>
                <w:lang w:val="es-ES" w:eastAsia="es-ES" w:bidi="es-ES"/>
              </w:rPr>
              <w:t>artículos 33 y 38.</w:t>
            </w:r>
          </w:p>
          <w:p w14:paraId="6F978B62" w14:textId="77777777" w:rsidR="007A74DB" w:rsidRPr="00FC6F34" w:rsidRDefault="007A74DB" w:rsidP="007A74DB">
            <w:pPr>
              <w:widowControl w:val="0"/>
              <w:numPr>
                <w:ilvl w:val="0"/>
                <w:numId w:val="16"/>
              </w:numPr>
              <w:autoSpaceDE w:val="0"/>
              <w:autoSpaceDN w:val="0"/>
              <w:spacing w:after="120"/>
              <w:jc w:val="both"/>
              <w:rPr>
                <w:rFonts w:ascii="Verdana" w:eastAsia="Arial MT" w:hAnsi="Verdana" w:cs="Arial"/>
                <w:lang w:val="es-ES" w:eastAsia="es-ES" w:bidi="es-ES"/>
              </w:rPr>
            </w:pPr>
            <w:r>
              <w:rPr>
                <w:rFonts w:ascii="Verdana" w:eastAsia="Arial MT" w:hAnsi="Verdana" w:cs="Arial"/>
                <w:lang w:val="es-ES" w:eastAsia="es-ES" w:bidi="es-ES"/>
              </w:rPr>
              <w:t>Ley 2056 de 2020, artículo 37</w:t>
            </w:r>
            <w:r w:rsidRPr="00FC6F34">
              <w:rPr>
                <w:rFonts w:ascii="Verdana" w:eastAsia="Arial MT" w:hAnsi="Verdana" w:cs="Arial"/>
                <w:lang w:val="es-ES" w:eastAsia="es-ES" w:bidi="es-ES"/>
              </w:rPr>
              <w:t xml:space="preserve"> </w:t>
            </w:r>
          </w:p>
          <w:p w14:paraId="23CB1DF2" w14:textId="77777777" w:rsidR="007A74DB" w:rsidRPr="00FC6F34" w:rsidRDefault="007A74DB" w:rsidP="007A74DB">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w:t>
            </w:r>
            <w:r w:rsidRPr="00FC6F34">
              <w:rPr>
                <w:rFonts w:ascii="Verdana" w:eastAsia="Calibri" w:hAnsi="Verdana" w:cs="Arial"/>
                <w:lang w:val="es-ES"/>
              </w:rPr>
              <w:lastRenderedPageBreak/>
              <w:t xml:space="preserve">2005, Exp. 2004-00823-01(PI). </w:t>
            </w:r>
          </w:p>
          <w:p w14:paraId="4248A3C2" w14:textId="77777777" w:rsidR="007A74DB" w:rsidRPr="00FC6F34" w:rsidRDefault="007A74DB" w:rsidP="007A74DB">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77BF10F5" w14:textId="77777777" w:rsidR="007A74DB" w:rsidRPr="00FC6F34" w:rsidRDefault="007A74DB" w:rsidP="007A74DB">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77FA6BC8" w14:textId="77777777" w:rsidR="007A74DB" w:rsidRPr="00997373" w:rsidRDefault="007A74DB" w:rsidP="007A74DB">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r w:rsidRPr="00997373">
              <w:rPr>
                <w:rFonts w:ascii="Verdana" w:hAnsi="Verdana" w:cs="Arial"/>
              </w:rPr>
              <w:t>.</w:t>
            </w:r>
          </w:p>
        </w:tc>
      </w:tr>
    </w:tbl>
    <w:p w14:paraId="403D5273" w14:textId="77777777" w:rsidR="007A74DB" w:rsidRPr="00FC6F34" w:rsidRDefault="007A74DB" w:rsidP="007A74DB">
      <w:pPr>
        <w:widowControl w:val="0"/>
        <w:autoSpaceDE w:val="0"/>
        <w:autoSpaceDN w:val="0"/>
        <w:spacing w:after="0" w:line="276" w:lineRule="auto"/>
        <w:jc w:val="both"/>
        <w:rPr>
          <w:rFonts w:ascii="Verdana" w:hAnsi="Verdana" w:cs="Arial"/>
          <w:color w:val="000000" w:themeColor="text1"/>
          <w:lang w:val="es-ES"/>
        </w:rPr>
      </w:pPr>
    </w:p>
    <w:p w14:paraId="0B90E730" w14:textId="77777777" w:rsidR="007A74DB" w:rsidRPr="00FC6F34" w:rsidRDefault="007A74DB" w:rsidP="007A74DB">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5101D502" w14:textId="77777777" w:rsidR="007A74DB" w:rsidRPr="00FC6F34" w:rsidRDefault="007A74DB" w:rsidP="007A74DB">
      <w:pPr>
        <w:widowControl w:val="0"/>
        <w:autoSpaceDE w:val="0"/>
        <w:autoSpaceDN w:val="0"/>
        <w:spacing w:after="0" w:line="276" w:lineRule="auto"/>
        <w:jc w:val="both"/>
        <w:rPr>
          <w:rFonts w:ascii="Verdana" w:hAnsi="Verdana" w:cs="Arial"/>
          <w:color w:val="000000" w:themeColor="text1"/>
          <w:lang w:val="es-ES"/>
        </w:rPr>
      </w:pPr>
    </w:p>
    <w:p w14:paraId="4E558CE3" w14:textId="77777777" w:rsidR="007A74DB" w:rsidRPr="00982071" w:rsidRDefault="007A74DB" w:rsidP="007A74DB">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w:t>
      </w:r>
      <w:r>
        <w:rPr>
          <w:rFonts w:ascii="Verdana" w:hAnsi="Verdana" w:cs="Arial"/>
          <w:shd w:val="clear" w:color="auto" w:fill="FFFFFF"/>
          <w:lang w:val="es-ES"/>
        </w:rPr>
        <w:t>,</w:t>
      </w:r>
      <w:r w:rsidRPr="00FC6F34">
        <w:rPr>
          <w:rFonts w:ascii="Verdana" w:hAnsi="Verdana" w:cs="Arial"/>
          <w:shd w:val="clear" w:color="auto" w:fill="FFFFFF"/>
          <w:lang w:val="es-ES"/>
        </w:rPr>
        <w:t xml:space="preserve"> C-273-A de 2025</w:t>
      </w:r>
      <w:r>
        <w:rPr>
          <w:rFonts w:ascii="Verdana" w:hAnsi="Verdana" w:cs="Arial"/>
          <w:shd w:val="clear" w:color="auto" w:fill="FFFFFF"/>
          <w:lang w:val="es-ES"/>
        </w:rPr>
        <w:t>,  C-1274 de 2025, C-1488 de 2025 entre otros</w:t>
      </w:r>
      <w:r w:rsidRPr="00FC6F34">
        <w:rPr>
          <w:rFonts w:ascii="Verdana" w:hAnsi="Verdana" w:cs="Arial"/>
          <w:shd w:val="clear" w:color="auto" w:fill="FFFFFF"/>
          <w:lang w:val="es-ES"/>
        </w:rPr>
        <w:t>.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6"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430AAE2A" w14:textId="77777777" w:rsidR="007A74DB" w:rsidRPr="00FC6F34" w:rsidRDefault="007A74DB" w:rsidP="007A74DB">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BC868F6" w14:textId="77777777" w:rsidR="007A74DB" w:rsidRPr="00FC6F34" w:rsidRDefault="007A74DB" w:rsidP="007A74DB">
      <w:pPr>
        <w:widowControl w:val="0"/>
        <w:autoSpaceDE w:val="0"/>
        <w:autoSpaceDN w:val="0"/>
        <w:spacing w:after="0" w:line="276" w:lineRule="auto"/>
        <w:jc w:val="both"/>
        <w:rPr>
          <w:rFonts w:ascii="Verdana" w:hAnsi="Verdana" w:cs="Arial"/>
          <w:lang w:val="es-ES"/>
        </w:rPr>
      </w:pPr>
    </w:p>
    <w:p w14:paraId="226F67D5" w14:textId="77777777" w:rsidR="007A74DB" w:rsidRPr="00FC6F34" w:rsidRDefault="007A74DB" w:rsidP="007A74DB">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bookmarkEnd w:id="0"/>
    <w:p w14:paraId="26EF0E47" w14:textId="77777777" w:rsidR="007A74DB" w:rsidRPr="00FC6F34" w:rsidRDefault="007A74DB" w:rsidP="007A74DB">
      <w:pPr>
        <w:rPr>
          <w:lang w:val="es-ES"/>
        </w:rPr>
      </w:pPr>
    </w:p>
    <w:p w14:paraId="3C03809A" w14:textId="78D51085" w:rsidR="007A74DB" w:rsidRPr="00A27102" w:rsidRDefault="00B06048" w:rsidP="007A74DB">
      <w:pPr>
        <w:spacing w:line="276" w:lineRule="auto"/>
        <w:jc w:val="center"/>
        <w:rPr>
          <w:rFonts w:ascii="Verdana" w:hAnsi="Verdana" w:cs="Arial"/>
          <w:color w:val="000000"/>
          <w:lang w:val="es-ES_tradnl" w:eastAsia="es-CO"/>
        </w:rPr>
      </w:pPr>
      <w:r w:rsidRPr="002C3AD6">
        <w:rPr>
          <w:rFonts w:ascii="Century Gothic" w:hAnsi="Century Gothic"/>
          <w:noProof/>
        </w:rPr>
        <w:lastRenderedPageBreak/>
        <w:drawing>
          <wp:inline distT="0" distB="0" distL="0" distR="0" wp14:anchorId="20E7BF58" wp14:editId="75A464B6">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31844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A74DB" w:rsidRPr="00A27102" w14:paraId="7153342C" w14:textId="77777777" w:rsidTr="00FE6ED8">
        <w:trPr>
          <w:trHeight w:val="315"/>
        </w:trPr>
        <w:tc>
          <w:tcPr>
            <w:tcW w:w="893" w:type="dxa"/>
            <w:vAlign w:val="center"/>
            <w:hideMark/>
          </w:tcPr>
          <w:p w14:paraId="6D69605F" w14:textId="77777777" w:rsidR="007A74DB" w:rsidRPr="00A27102" w:rsidRDefault="007A74DB" w:rsidP="00FE6ED8">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A300D6" w14:textId="77777777" w:rsidR="007A74DB" w:rsidRPr="00A27102" w:rsidRDefault="007A74DB" w:rsidP="00FE6ED8">
            <w:pPr>
              <w:contextualSpacing/>
              <w:rPr>
                <w:rFonts w:ascii="Verdana" w:hAnsi="Verdana"/>
                <w:sz w:val="16"/>
                <w:szCs w:val="16"/>
              </w:rPr>
            </w:pPr>
            <w:r w:rsidRPr="00A27102">
              <w:rPr>
                <w:rFonts w:ascii="Verdana" w:hAnsi="Verdana"/>
                <w:sz w:val="16"/>
                <w:szCs w:val="16"/>
              </w:rPr>
              <w:t>Tatiana Baquero Iguarán</w:t>
            </w:r>
          </w:p>
          <w:p w14:paraId="4E641A56" w14:textId="77777777" w:rsidR="007A74DB" w:rsidRPr="00A27102" w:rsidRDefault="007A74DB" w:rsidP="00FE6ED8">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7A74DB" w:rsidRPr="00A27102" w14:paraId="21953AB8" w14:textId="77777777" w:rsidTr="00FE6ED8">
        <w:trPr>
          <w:trHeight w:val="330"/>
        </w:trPr>
        <w:tc>
          <w:tcPr>
            <w:tcW w:w="893" w:type="dxa"/>
            <w:vAlign w:val="center"/>
            <w:hideMark/>
          </w:tcPr>
          <w:p w14:paraId="20058182" w14:textId="77777777" w:rsidR="007A74DB" w:rsidRPr="00A27102" w:rsidRDefault="007A74DB" w:rsidP="00FE6ED8">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462615" w14:textId="77777777" w:rsidR="007A74DB" w:rsidRPr="00A27102" w:rsidRDefault="007A74DB" w:rsidP="00FE6ED8">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342F9C8A" w14:textId="77777777" w:rsidR="007A74DB" w:rsidRPr="00A27102" w:rsidRDefault="007A74DB" w:rsidP="00FE6ED8">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7A74DB" w:rsidRPr="00A27102" w14:paraId="3B3B8310" w14:textId="77777777" w:rsidTr="00FE6ED8">
        <w:trPr>
          <w:trHeight w:val="300"/>
        </w:trPr>
        <w:tc>
          <w:tcPr>
            <w:tcW w:w="893" w:type="dxa"/>
            <w:vAlign w:val="center"/>
          </w:tcPr>
          <w:p w14:paraId="74FA5D7D" w14:textId="77777777" w:rsidR="007A74DB" w:rsidRPr="00A27102" w:rsidRDefault="007A74DB" w:rsidP="00FE6ED8">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3E16A8A" w14:textId="77777777" w:rsidR="007A74DB" w:rsidRPr="00A27102" w:rsidRDefault="007A74DB" w:rsidP="00FE6ED8">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39C0F9CA" w14:textId="77777777" w:rsidR="007A74DB" w:rsidRPr="00A27102" w:rsidRDefault="007A74DB" w:rsidP="00FE6ED8">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751FDDFE" w14:textId="77777777" w:rsidR="007A74DB" w:rsidRPr="000E6D6F" w:rsidRDefault="007A74DB" w:rsidP="007A74DB"/>
    <w:p w14:paraId="7C7B46ED" w14:textId="77777777" w:rsidR="001E5AD4" w:rsidRDefault="001E5AD4" w:rsidP="00927895">
      <w:pPr>
        <w:spacing w:after="0"/>
        <w:rPr>
          <w:rFonts w:ascii="Verdana" w:hAnsi="Verdana"/>
          <w:lang w:val="es-ES"/>
        </w:rPr>
      </w:pPr>
    </w:p>
    <w:sectPr w:rsidR="001E5AD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B1938" w14:textId="77777777" w:rsidR="002D3F27" w:rsidRDefault="002D3F27" w:rsidP="004A1847">
      <w:pPr>
        <w:spacing w:after="0" w:line="240" w:lineRule="auto"/>
      </w:pPr>
      <w:r>
        <w:separator/>
      </w:r>
    </w:p>
  </w:endnote>
  <w:endnote w:type="continuationSeparator" w:id="0">
    <w:p w14:paraId="3BFDFE93" w14:textId="77777777" w:rsidR="002D3F27" w:rsidRDefault="002D3F27" w:rsidP="004A1847">
      <w:pPr>
        <w:spacing w:after="0" w:line="240" w:lineRule="auto"/>
      </w:pPr>
      <w:r>
        <w:continuationSeparator/>
      </w:r>
    </w:p>
  </w:endnote>
  <w:endnote w:type="continuationNotice" w:id="1">
    <w:p w14:paraId="43541BA1" w14:textId="77777777" w:rsidR="002D3F27" w:rsidRDefault="002D3F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33F1A" w14:textId="77777777" w:rsidR="002D3F27" w:rsidRDefault="002D3F27" w:rsidP="004A1847">
      <w:pPr>
        <w:spacing w:after="0" w:line="240" w:lineRule="auto"/>
      </w:pPr>
      <w:r>
        <w:separator/>
      </w:r>
    </w:p>
  </w:footnote>
  <w:footnote w:type="continuationSeparator" w:id="0">
    <w:p w14:paraId="1E425197" w14:textId="77777777" w:rsidR="002D3F27" w:rsidRDefault="002D3F27" w:rsidP="004A1847">
      <w:pPr>
        <w:spacing w:after="0" w:line="240" w:lineRule="auto"/>
      </w:pPr>
      <w:r>
        <w:continuationSeparator/>
      </w:r>
    </w:p>
  </w:footnote>
  <w:footnote w:type="continuationNotice" w:id="1">
    <w:p w14:paraId="5D4E36A7" w14:textId="77777777" w:rsidR="002D3F27" w:rsidRDefault="002D3F27">
      <w:pPr>
        <w:spacing w:after="0" w:line="240" w:lineRule="auto"/>
      </w:pPr>
    </w:p>
  </w:footnote>
  <w:footnote w:id="2">
    <w:p w14:paraId="025A98BD" w14:textId="77777777" w:rsidR="007A74DB" w:rsidRPr="0016660C" w:rsidRDefault="007A74DB" w:rsidP="007A74DB">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68A23059" w14:textId="77777777" w:rsidR="007A74DB" w:rsidRPr="0016660C" w:rsidRDefault="007A74DB" w:rsidP="007A74DB">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3">
    <w:p w14:paraId="3125AE30" w14:textId="77777777" w:rsidR="007A74DB" w:rsidRPr="00D42A84" w:rsidRDefault="007A74DB" w:rsidP="007A74DB">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Gaceta del Congreso de la República No. 71 del 2005.</w:t>
      </w:r>
    </w:p>
  </w:footnote>
  <w:footnote w:id="4">
    <w:p w14:paraId="0D98287B" w14:textId="77777777" w:rsidR="007A74DB" w:rsidRPr="00D42A84" w:rsidRDefault="007A74DB" w:rsidP="007A74DB">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1559D46" w14:textId="77777777" w:rsidR="007A74DB" w:rsidRPr="00D42A84" w:rsidRDefault="007A74DB" w:rsidP="007A74DB">
      <w:pPr>
        <w:pStyle w:val="Textonotapie"/>
        <w:ind w:firstLine="709"/>
        <w:jc w:val="both"/>
        <w:rPr>
          <w:rFonts w:ascii="Verdana" w:hAnsi="Verdana" w:cs="Arial"/>
          <w:sz w:val="16"/>
          <w:szCs w:val="16"/>
        </w:rPr>
      </w:pPr>
    </w:p>
  </w:footnote>
  <w:footnote w:id="5">
    <w:p w14:paraId="6C7F4ECF" w14:textId="77777777" w:rsidR="007A74DB" w:rsidRPr="00D42A84" w:rsidRDefault="007A74DB" w:rsidP="007A74DB">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Radicado: 2001-0148-01 y, Consejo de Estado. Sala de lo Contencioso Administrativo. Sección Tercera. Sentencia de 20 de noviembre de 2001. Radicado: 2001-0130-01(PI), entre otras.</w:t>
      </w:r>
    </w:p>
    <w:p w14:paraId="6AFF46DE" w14:textId="77777777" w:rsidR="007A74DB" w:rsidRPr="00D42A84" w:rsidRDefault="007A74DB" w:rsidP="007A74DB">
      <w:pPr>
        <w:pStyle w:val="Textonotapie"/>
        <w:ind w:firstLine="709"/>
        <w:jc w:val="both"/>
        <w:rPr>
          <w:rFonts w:ascii="Verdana" w:hAnsi="Verdana" w:cs="Arial"/>
          <w:sz w:val="16"/>
          <w:szCs w:val="16"/>
          <w:lang w:val="es-CO"/>
        </w:rPr>
      </w:pPr>
    </w:p>
  </w:footnote>
  <w:footnote w:id="6">
    <w:p w14:paraId="5E4EB399" w14:textId="77777777" w:rsidR="007A74DB" w:rsidRPr="002817AD" w:rsidRDefault="007A74DB" w:rsidP="007A74DB">
      <w:pPr>
        <w:pStyle w:val="Textonotapie"/>
        <w:ind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Consejo de Estado, Sala de Consulta y Servicio Civil de fecha 24 de julio de 2013, radicado 2166, Consejero Ponente: Álvaro Namén Vargas</w:t>
      </w:r>
      <w:r w:rsidRPr="002817AD">
        <w:rPr>
          <w:rFonts w:ascii="Verdana" w:hAnsi="Verdana" w:cs="Arial"/>
          <w:sz w:val="16"/>
          <w:szCs w:val="16"/>
        </w:rPr>
        <w:t xml:space="preserve">.  </w:t>
      </w:r>
    </w:p>
  </w:footnote>
  <w:footnote w:id="7">
    <w:p w14:paraId="0C4CE5A7" w14:textId="77777777" w:rsidR="007A74DB" w:rsidRPr="0016660C" w:rsidRDefault="007A74DB" w:rsidP="007A74DB">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D12EED0" w14:textId="77777777" w:rsidR="007A74DB" w:rsidRPr="0016660C" w:rsidRDefault="007A74DB" w:rsidP="007A74DB">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5A6095C6" w14:textId="77777777" w:rsidR="007A74DB" w:rsidRPr="0016660C" w:rsidRDefault="007A74DB" w:rsidP="007A74DB">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465EC2A4" w14:textId="77777777" w:rsidR="007A74DB" w:rsidRPr="0016660C" w:rsidRDefault="007A74DB" w:rsidP="007A74DB">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3C5DF521" w14:textId="77777777" w:rsidR="007A74DB" w:rsidRPr="0016660C" w:rsidRDefault="007A74DB" w:rsidP="007A74DB">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7B91CDDF"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1">
    <w:p w14:paraId="2393F0E1"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2">
    <w:p w14:paraId="7D8CADCB" w14:textId="77777777" w:rsidR="007A74DB" w:rsidRDefault="007A74DB" w:rsidP="007A74D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18F43E95" w14:textId="77777777" w:rsidR="007A74DB" w:rsidRDefault="007A74DB" w:rsidP="007A74D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4">
    <w:p w14:paraId="6D119B17" w14:textId="77777777" w:rsidR="007A74DB" w:rsidRDefault="007A74DB" w:rsidP="007A74D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Ibidem</w:t>
      </w:r>
      <w:r>
        <w:rPr>
          <w:rFonts w:ascii="Verdana" w:hAnsi="Verdana" w:cs="Arial"/>
          <w:sz w:val="16"/>
          <w:szCs w:val="16"/>
          <w:lang w:val="es-ES"/>
        </w:rPr>
        <w:t>.</w:t>
      </w:r>
    </w:p>
  </w:footnote>
  <w:footnote w:id="15">
    <w:p w14:paraId="5777ADB3" w14:textId="77777777" w:rsidR="007A74DB" w:rsidRDefault="007A74DB" w:rsidP="007A74D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254F9F0B" w14:textId="77777777" w:rsidR="007A74DB" w:rsidRDefault="007A74DB" w:rsidP="007A74DB">
      <w:pPr>
        <w:shd w:val="clear" w:color="auto" w:fill="FFFFFF"/>
        <w:spacing w:after="0"/>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7A953BDD" w14:textId="77777777" w:rsidR="007A74DB" w:rsidRDefault="007A74DB" w:rsidP="007A74D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8">
    <w:p w14:paraId="4A268971" w14:textId="77777777" w:rsidR="007A74DB" w:rsidRDefault="007A74DB" w:rsidP="007A74D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43738D24" w14:textId="77777777" w:rsidR="007A74DB" w:rsidRDefault="007A74DB" w:rsidP="007A74DB">
      <w:pPr>
        <w:spacing w:after="0"/>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42FA76CB"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10" w:name="_Hlk75633115"/>
      <w:r>
        <w:rPr>
          <w:rFonts w:ascii="Verdana" w:hAnsi="Verdana" w:cs="Arial"/>
          <w:sz w:val="16"/>
          <w:szCs w:val="16"/>
        </w:rPr>
        <w:t xml:space="preserve">Consejo de Estado. Sala de Consulta y Servicio Civil. Concepto </w:t>
      </w:r>
      <w:bookmarkEnd w:id="10"/>
      <w:r>
        <w:rPr>
          <w:rFonts w:ascii="Verdana" w:hAnsi="Verdana" w:cs="Arial"/>
          <w:sz w:val="16"/>
          <w:szCs w:val="16"/>
        </w:rPr>
        <w:t>de 6 de abril de 2006. Radicación Número: 11001-03-06-000-2006-00038-00(1738). Consejero Ponente: Enrique José Arboleda Perdomo:</w:t>
      </w:r>
      <w:r>
        <w:rPr>
          <w:rFonts w:ascii="Verdana" w:eastAsia="Times New Roman" w:hAnsi="Verdana" w:cs="Arial"/>
          <w:bCs/>
          <w:sz w:val="16"/>
          <w:szCs w:val="16"/>
          <w:lang w:eastAsia="x-none"/>
        </w:rPr>
        <w:t xml:space="preserve"> “</w:t>
      </w:r>
      <w:r>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sz w:val="16"/>
          <w:szCs w:val="16"/>
          <w:lang w:eastAsia="x-none"/>
        </w:rPr>
        <w:t>”.</w:t>
      </w:r>
    </w:p>
  </w:footnote>
  <w:footnote w:id="21">
    <w:p w14:paraId="1DAC25FC"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2">
    <w:p w14:paraId="7039FF06" w14:textId="77777777" w:rsidR="007A74DB" w:rsidRDefault="007A74DB" w:rsidP="007A74D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w:t>
      </w:r>
      <w:r>
        <w:rPr>
          <w:rFonts w:ascii="Verdana" w:hAnsi="Verdana" w:cs="Arial"/>
          <w:i/>
          <w:iCs/>
          <w:sz w:val="16"/>
          <w:szCs w:val="16"/>
        </w:rPr>
        <w:t>ibidem</w:t>
      </w:r>
      <w:r>
        <w:rPr>
          <w:rFonts w:ascii="Verdana" w:hAnsi="Verdana" w:cs="Arial"/>
          <w:sz w:val="16"/>
          <w:szCs w:val="16"/>
        </w:rPr>
        <w:t>.</w:t>
      </w:r>
    </w:p>
  </w:footnote>
  <w:footnote w:id="23">
    <w:p w14:paraId="7BF97825" w14:textId="77777777" w:rsidR="007A74DB" w:rsidRPr="00363473" w:rsidRDefault="007A74DB" w:rsidP="007A74DB">
      <w:pPr>
        <w:pStyle w:val="Textonotapie"/>
        <w:ind w:firstLine="709"/>
        <w:jc w:val="both"/>
        <w:rPr>
          <w:rFonts w:ascii="Verdana" w:hAnsi="Verdana"/>
          <w:sz w:val="14"/>
          <w:szCs w:val="14"/>
          <w:lang w:val="es-CO"/>
        </w:rPr>
      </w:pPr>
      <w:r w:rsidRPr="00363473">
        <w:rPr>
          <w:rStyle w:val="Refdenotaalpie"/>
          <w:rFonts w:ascii="Verdana" w:hAnsi="Verdana"/>
          <w:sz w:val="14"/>
          <w:szCs w:val="14"/>
        </w:rPr>
        <w:footnoteRef/>
      </w:r>
      <w:r w:rsidRPr="00363473">
        <w:rPr>
          <w:rFonts w:ascii="Verdana" w:hAnsi="Verdana"/>
          <w:sz w:val="14"/>
          <w:szCs w:val="14"/>
        </w:rPr>
        <w:t xml:space="preserve"> </w:t>
      </w:r>
      <w:r w:rsidRPr="00363473">
        <w:rPr>
          <w:rFonts w:ascii="Verdana" w:hAnsi="Verdana" w:cs="Arial"/>
          <w:sz w:val="14"/>
          <w:szCs w:val="14"/>
        </w:rPr>
        <w:t xml:space="preserve">Consejo de Estado -Sección Tercera-. Sentencia del </w:t>
      </w:r>
      <w:r w:rsidRPr="00363473">
        <w:rPr>
          <w:rFonts w:ascii="Verdana" w:hAnsi="Verdana" w:cs="Arial"/>
          <w:bCs/>
          <w:iCs/>
          <w:sz w:val="14"/>
          <w:szCs w:val="14"/>
        </w:rPr>
        <w:t>21 de febrero de 2025. Radicación Número: 68.280. CP: José Roberto Sáchica Méndez.</w:t>
      </w:r>
    </w:p>
  </w:footnote>
  <w:footnote w:id="24">
    <w:p w14:paraId="2C832418" w14:textId="77777777" w:rsidR="007A74DB" w:rsidRPr="00363473" w:rsidRDefault="007A74DB" w:rsidP="007A74DB">
      <w:pPr>
        <w:pStyle w:val="Textonotapie"/>
        <w:ind w:firstLine="708"/>
        <w:jc w:val="both"/>
        <w:rPr>
          <w:rFonts w:ascii="Verdana" w:hAnsi="Verdana" w:cs="Arial"/>
          <w:sz w:val="14"/>
          <w:szCs w:val="14"/>
        </w:rPr>
      </w:pPr>
      <w:r w:rsidRPr="00363473">
        <w:rPr>
          <w:rFonts w:ascii="Verdana" w:hAnsi="Verdana"/>
          <w:sz w:val="14"/>
          <w:szCs w:val="14"/>
          <w:vertAlign w:val="superscript"/>
        </w:rPr>
        <w:footnoteRef/>
      </w:r>
      <w:r w:rsidRPr="00363473">
        <w:rPr>
          <w:rFonts w:ascii="Verdana" w:hAnsi="Verdana" w:cs="Arial"/>
          <w:sz w:val="14"/>
          <w:szCs w:val="14"/>
          <w:vertAlign w:val="superscript"/>
        </w:rPr>
        <w:t xml:space="preserve"> </w:t>
      </w:r>
      <w:r w:rsidRPr="00363473">
        <w:rPr>
          <w:rFonts w:ascii="Verdana" w:hAnsi="Verdana" w:cs="Arial"/>
          <w:sz w:val="14"/>
          <w:szCs w:val="14"/>
        </w:rPr>
        <w:t>Código Civil: «Artículo 27. Cuando el sentido de la ley sea claro, no se desatenderá su tenor a pretexto de consultar su espíritu».</w:t>
      </w:r>
    </w:p>
  </w:footnote>
  <w:footnote w:id="25">
    <w:p w14:paraId="3E0C81EA" w14:textId="77777777" w:rsidR="007A74DB" w:rsidRPr="00454929" w:rsidRDefault="007A74DB" w:rsidP="007A74DB">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lang w:val="es-CO"/>
        </w:rPr>
        <w:t xml:space="preserve"> Consejo de Estado, Sección Tercera. Auto del 4 de octubre de 2024. Exp. 70.313. C.P: Fredy Ibarra Martínez.</w:t>
      </w:r>
    </w:p>
  </w:footnote>
  <w:footnote w:id="26">
    <w:p w14:paraId="00E0B5A5" w14:textId="77777777" w:rsidR="007A74DB" w:rsidRPr="00454929" w:rsidRDefault="007A74DB" w:rsidP="007A74DB">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La parte resolutiva del auto dispone lo siguiente; “</w:t>
      </w:r>
      <w:r w:rsidRPr="00301509">
        <w:rPr>
          <w:rFonts w:ascii="Verdana" w:hAnsi="Verdana"/>
          <w:bCs/>
          <w:sz w:val="16"/>
          <w:szCs w:val="16"/>
          <w:lang w:val="es-CO"/>
        </w:rPr>
        <w:t>PRIMERO: DECRETAR la</w:t>
      </w:r>
      <w:r w:rsidRPr="00454929">
        <w:rPr>
          <w:rFonts w:ascii="Verdana" w:hAnsi="Verdana"/>
          <w:sz w:val="16"/>
          <w:szCs w:val="16"/>
          <w:lang w:val="es-CO"/>
        </w:rPr>
        <w:t xml:space="preserve"> suspensión provisional de los apartes cuestionados del inciso segundo del numeral 16.2 de la Circular Externa única, versión 3 del 27 de diciembre de 2023, expedida por la Agencia Nacional de Contratación Pública – Colombia Compra Eficiente, según el cual </w:t>
      </w:r>
      <w:r w:rsidRPr="00454929">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54929">
        <w:rPr>
          <w:rFonts w:ascii="Verdana" w:hAnsi="Verdana"/>
          <w:sz w:val="16"/>
          <w:szCs w:val="16"/>
          <w:lang w:val="es-CO"/>
        </w:rPr>
        <w:t xml:space="preserve">, por las razones expuestas en precedencia. </w:t>
      </w:r>
    </w:p>
    <w:p w14:paraId="47A520EE" w14:textId="77777777" w:rsidR="007A74DB" w:rsidRPr="00454929" w:rsidRDefault="007A74DB" w:rsidP="007A74DB">
      <w:pPr>
        <w:pStyle w:val="Textonotapie"/>
        <w:ind w:firstLine="709"/>
        <w:contextualSpacing/>
        <w:jc w:val="both"/>
        <w:rPr>
          <w:rFonts w:ascii="Verdana" w:hAnsi="Verdana"/>
          <w:sz w:val="16"/>
          <w:szCs w:val="16"/>
          <w:lang w:val="es-CO"/>
        </w:rPr>
      </w:pPr>
      <w:r w:rsidRPr="00301509">
        <w:rPr>
          <w:rFonts w:ascii="Verdana" w:hAnsi="Verdana"/>
          <w:bCs/>
          <w:sz w:val="16"/>
          <w:szCs w:val="16"/>
          <w:lang w:val="es-CO"/>
        </w:rPr>
        <w:t>SEGUNDO: DECRETAR</w:t>
      </w:r>
      <w:r w:rsidRPr="00454929">
        <w:rPr>
          <w:rFonts w:ascii="Verdana" w:hAnsi="Verdana"/>
          <w:b/>
          <w:sz w:val="16"/>
          <w:szCs w:val="16"/>
          <w:lang w:val="es-CO"/>
        </w:rPr>
        <w:t xml:space="preserve"> </w:t>
      </w:r>
      <w:r w:rsidRPr="00454929">
        <w:rPr>
          <w:rFonts w:ascii="Verdana" w:hAnsi="Verdana"/>
          <w:sz w:val="16"/>
          <w:szCs w:val="16"/>
          <w:lang w:val="es-CO"/>
        </w:rPr>
        <w:t>la suspensión provisional de la expresión “</w:t>
      </w:r>
      <w:r w:rsidRPr="00454929">
        <w:rPr>
          <w:rFonts w:ascii="Verdana" w:hAnsi="Verdana"/>
          <w:i/>
          <w:sz w:val="16"/>
          <w:szCs w:val="16"/>
          <w:lang w:val="es-CO"/>
        </w:rPr>
        <w:t>contratos</w:t>
      </w:r>
      <w:r w:rsidRPr="00454929">
        <w:rPr>
          <w:rFonts w:ascii="Verdana" w:hAnsi="Verdana"/>
          <w:sz w:val="16"/>
          <w:szCs w:val="16"/>
          <w:lang w:val="es-CO"/>
        </w:rPr>
        <w:t xml:space="preserve">” y del párrafo </w:t>
      </w:r>
      <w:r w:rsidRPr="00454929">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54929">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7">
    <w:p w14:paraId="24ED27D3" w14:textId="77777777" w:rsidR="007A74DB" w:rsidRDefault="007A74DB" w:rsidP="007A74DB">
      <w:pPr>
        <w:spacing w:after="0" w:line="240" w:lineRule="auto"/>
        <w:ind w:firstLine="709"/>
        <w:contextualSpacing/>
        <w:jc w:val="both"/>
        <w:rPr>
          <w:rFonts w:ascii="Verdana" w:eastAsia="Times New Roman" w:hAnsi="Verdana" w:cs="Times New Roman"/>
          <w:sz w:val="16"/>
          <w:szCs w:val="16"/>
          <w:lang w:eastAsia="es-ES"/>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54929">
        <w:rPr>
          <w:rFonts w:ascii="Verdana" w:hAnsi="Verdana"/>
          <w:sz w:val="16"/>
          <w:szCs w:val="16"/>
        </w:rPr>
        <w:t xml:space="preserve">La parte de la providencia señala: </w:t>
      </w:r>
      <w:r w:rsidRPr="00454929">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391D9508" w14:textId="77777777" w:rsidR="007A74DB" w:rsidRPr="00454929" w:rsidRDefault="007A74DB" w:rsidP="007A74DB">
      <w:pPr>
        <w:spacing w:after="0" w:line="240" w:lineRule="auto"/>
        <w:ind w:firstLine="709"/>
        <w:contextualSpacing/>
        <w:jc w:val="both"/>
        <w:rPr>
          <w:rFonts w:ascii="Verdana" w:eastAsia="Times New Roman" w:hAnsi="Verdana" w:cs="Times New Roman"/>
          <w:sz w:val="16"/>
          <w:szCs w:val="16"/>
          <w:lang w:eastAsia="es-ES"/>
        </w:rPr>
      </w:pPr>
    </w:p>
  </w:footnote>
  <w:footnote w:id="28">
    <w:p w14:paraId="3EEB2368" w14:textId="77777777" w:rsidR="007A74DB" w:rsidRPr="00454929" w:rsidRDefault="007A74DB" w:rsidP="007A74DB">
      <w:pPr>
        <w:pStyle w:val="Textonotapie"/>
        <w:ind w:firstLine="709"/>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9">
    <w:p w14:paraId="5DBA1BE7" w14:textId="77777777" w:rsidR="007A74DB" w:rsidRPr="00F473B6" w:rsidRDefault="007A74DB" w:rsidP="007A74DB">
      <w:pPr>
        <w:pStyle w:val="Textonotapie"/>
        <w:ind w:firstLine="708"/>
        <w:jc w:val="both"/>
        <w:rPr>
          <w:rFonts w:ascii="Verdana" w:hAnsi="Verdana"/>
          <w:sz w:val="16"/>
          <w:szCs w:val="16"/>
          <w:lang w:val="es-CO"/>
        </w:rPr>
      </w:pPr>
      <w:r w:rsidRPr="00F473B6">
        <w:rPr>
          <w:rStyle w:val="Refdenotaalpie"/>
          <w:rFonts w:ascii="Verdana" w:hAnsi="Verdana"/>
          <w:sz w:val="16"/>
          <w:szCs w:val="16"/>
        </w:rPr>
        <w:footnoteRef/>
      </w:r>
      <w:r w:rsidRPr="00F473B6">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F473B6">
        <w:rPr>
          <w:rFonts w:ascii="Verdana" w:hAnsi="Verdana"/>
          <w:i/>
          <w:iCs/>
          <w:sz w:val="16"/>
          <w:szCs w:val="16"/>
        </w:rPr>
        <w:t>las palabras de la ley se entenderán en su sentido natural y obvio, según el uso general de las mismas palabras</w:t>
      </w:r>
      <w:r w:rsidRPr="00F473B6">
        <w:rPr>
          <w:rFonts w:ascii="Verdana" w:hAnsi="Verdana"/>
          <w:sz w:val="16"/>
          <w:szCs w:val="16"/>
        </w:rPr>
        <w:t>’, es decir, el uso de la gente educada. El Diccionario de la Lengua publicado por la Real Academia Española goza a este respecto de gran autoridad. ‘</w:t>
      </w:r>
      <w:r w:rsidRPr="00F473B6">
        <w:rPr>
          <w:rFonts w:ascii="Verdana" w:hAnsi="Verdana"/>
          <w:i/>
          <w:iCs/>
          <w:sz w:val="16"/>
          <w:szCs w:val="16"/>
        </w:rPr>
        <w:t>Pero cuando el legislador</w:t>
      </w:r>
      <w:r w:rsidRPr="00F473B6">
        <w:rPr>
          <w:rFonts w:ascii="Verdana" w:hAnsi="Verdana"/>
          <w:sz w:val="16"/>
          <w:szCs w:val="16"/>
        </w:rPr>
        <w:t xml:space="preserve">, agrega el artículo 20, </w:t>
      </w:r>
      <w:r w:rsidRPr="00F473B6">
        <w:rPr>
          <w:rFonts w:ascii="Verdana" w:hAnsi="Verdana"/>
          <w:i/>
          <w:iCs/>
          <w:sz w:val="16"/>
          <w:szCs w:val="16"/>
        </w:rPr>
        <w:t>las haya definido expresamente para ciertas materias se les dará en éstas su significado legal</w:t>
      </w:r>
      <w:r w:rsidRPr="00F473B6">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30">
    <w:p w14:paraId="47CD65ED" w14:textId="77777777" w:rsidR="007A74DB" w:rsidRPr="001B4DB7" w:rsidRDefault="007A74DB" w:rsidP="007A74DB">
      <w:pPr>
        <w:pStyle w:val="Textonotapie"/>
        <w:ind w:firstLine="708"/>
        <w:jc w:val="both"/>
        <w:rPr>
          <w:rFonts w:ascii="Verdana" w:hAnsi="Verdana"/>
          <w:sz w:val="16"/>
          <w:szCs w:val="16"/>
        </w:rPr>
      </w:pPr>
      <w:r w:rsidRPr="007E4770">
        <w:rPr>
          <w:rStyle w:val="Refdenotaalpie"/>
          <w:rFonts w:ascii="Verdana" w:hAnsi="Verdana"/>
          <w:sz w:val="16"/>
          <w:szCs w:val="16"/>
        </w:rPr>
        <w:footnoteRef/>
      </w:r>
      <w:r w:rsidRPr="007E4770">
        <w:rPr>
          <w:rFonts w:ascii="Verdana" w:hAnsi="Verdana"/>
          <w:sz w:val="16"/>
          <w:szCs w:val="16"/>
        </w:rPr>
        <w:t xml:space="preserve"> </w:t>
      </w:r>
      <w:r>
        <w:rPr>
          <w:rFonts w:ascii="Verdana" w:hAnsi="Verdana"/>
          <w:sz w:val="16"/>
          <w:szCs w:val="16"/>
        </w:rPr>
        <w:t xml:space="preserve">GORDILLO, Agustin. </w:t>
      </w:r>
      <w:r w:rsidRPr="001B4DB7">
        <w:rPr>
          <w:rFonts w:ascii="Verdana" w:hAnsi="Verdana"/>
          <w:sz w:val="16"/>
          <w:szCs w:val="16"/>
        </w:rPr>
        <w:t>Actos administrativos, reglamentos y contratos</w:t>
      </w:r>
      <w:r>
        <w:rPr>
          <w:rFonts w:ascii="Verdana" w:hAnsi="Verdana"/>
          <w:sz w:val="16"/>
          <w:szCs w:val="16"/>
        </w:rPr>
        <w:t xml:space="preserve"> </w:t>
      </w:r>
      <w:r w:rsidRPr="001B4DB7">
        <w:rPr>
          <w:rFonts w:ascii="Verdana" w:hAnsi="Verdana"/>
          <w:sz w:val="16"/>
          <w:szCs w:val="16"/>
        </w:rPr>
        <w:t>administrativos</w:t>
      </w:r>
      <w:r>
        <w:rPr>
          <w:rFonts w:ascii="Verdana" w:hAnsi="Verdana"/>
          <w:sz w:val="16"/>
          <w:szCs w:val="16"/>
        </w:rPr>
        <w:t xml:space="preserve">. Consultado el 14 de noviembre de 2024 en la página web </w:t>
      </w:r>
      <w:hyperlink r:id="rId1" w:history="1">
        <w:r w:rsidRPr="00A02C6C">
          <w:rPr>
            <w:rStyle w:val="Hipervnculo"/>
            <w:rFonts w:ascii="Verdana" w:hAnsi="Verdana"/>
            <w:sz w:val="16"/>
            <w:szCs w:val="16"/>
          </w:rPr>
          <w:t>https://www.gordillo.com/pdf_tomo3/capitulo4.pdf</w:t>
        </w:r>
      </w:hyperlink>
      <w:r>
        <w:rPr>
          <w:rFonts w:ascii="Verdana" w:hAnsi="Verdana"/>
          <w:sz w:val="16"/>
          <w:szCs w:val="16"/>
        </w:rPr>
        <w:t xml:space="preserve">. </w:t>
      </w:r>
    </w:p>
  </w:footnote>
  <w:footnote w:id="31">
    <w:p w14:paraId="2DCC1C5A" w14:textId="77777777" w:rsidR="007A74DB" w:rsidRPr="00F473B6" w:rsidRDefault="007A74DB" w:rsidP="007A74DB">
      <w:pPr>
        <w:pStyle w:val="Textonotapie"/>
        <w:ind w:firstLine="708"/>
        <w:jc w:val="both"/>
        <w:rPr>
          <w:rFonts w:ascii="Verdana" w:hAnsi="Verdana" w:cs="Arial"/>
          <w:sz w:val="16"/>
          <w:szCs w:val="16"/>
          <w:lang w:val="es-CO"/>
        </w:rPr>
      </w:pPr>
      <w:r w:rsidRPr="00F473B6">
        <w:rPr>
          <w:rStyle w:val="Refdenotaalpie"/>
          <w:rFonts w:ascii="Verdana" w:hAnsi="Verdana"/>
          <w:sz w:val="16"/>
          <w:szCs w:val="16"/>
        </w:rPr>
        <w:footnoteRef/>
      </w:r>
      <w:r w:rsidRPr="00F473B6">
        <w:rPr>
          <w:rFonts w:ascii="Verdana" w:hAnsi="Verdana"/>
          <w:sz w:val="16"/>
          <w:szCs w:val="16"/>
        </w:rPr>
        <w:t xml:space="preserve"> </w:t>
      </w:r>
      <w:r w:rsidRPr="00F473B6">
        <w:rPr>
          <w:rFonts w:ascii="Verdana" w:hAnsi="Verdana" w:cs="Arial"/>
          <w:sz w:val="16"/>
          <w:szCs w:val="16"/>
          <w:lang w:val="es-CO"/>
        </w:rPr>
        <w:t>CONSEJO DE ESTADO. Sección Tercera. Subsección C. Sentencia del 23 de octubre de 2017. Rad. 53.206. C.P. Jaime Orlando Santofimio Gamboa.</w:t>
      </w:r>
    </w:p>
  </w:footnote>
  <w:footnote w:id="32">
    <w:p w14:paraId="0A6867B7" w14:textId="77777777" w:rsidR="007A74DB" w:rsidRPr="00F473B6" w:rsidRDefault="007A74DB" w:rsidP="007A74DB">
      <w:pPr>
        <w:pStyle w:val="Textonotapie"/>
        <w:ind w:firstLine="708"/>
        <w:jc w:val="both"/>
        <w:rPr>
          <w:rFonts w:ascii="Verdana" w:hAnsi="Verdana" w:cs="Arial"/>
          <w:sz w:val="16"/>
          <w:szCs w:val="16"/>
          <w:lang w:val="es-CO"/>
        </w:rPr>
      </w:pPr>
      <w:r w:rsidRPr="00F473B6">
        <w:rPr>
          <w:rStyle w:val="Refdenotaalpie"/>
          <w:rFonts w:ascii="Verdana" w:hAnsi="Verdana"/>
          <w:sz w:val="16"/>
          <w:szCs w:val="16"/>
        </w:rPr>
        <w:footnoteRef/>
      </w:r>
      <w:r w:rsidRPr="00F473B6">
        <w:rPr>
          <w:rFonts w:ascii="Verdana" w:hAnsi="Verdana"/>
          <w:sz w:val="16"/>
          <w:szCs w:val="16"/>
        </w:rPr>
        <w:t xml:space="preserve"> </w:t>
      </w:r>
      <w:bookmarkStart w:id="15" w:name="_Hlk37089949"/>
      <w:r w:rsidRPr="00F473B6">
        <w:rPr>
          <w:rFonts w:ascii="Verdana" w:hAnsi="Verdana" w:cs="Arial"/>
          <w:sz w:val="16"/>
          <w:szCs w:val="16"/>
          <w:lang w:val="es-CO"/>
        </w:rPr>
        <w:t xml:space="preserve">MARÍN CORTÉS, Fabián Gonzalo. El concepto de acto administrativo. Texto inédito. p. 13.  </w:t>
      </w:r>
      <w:bookmarkEnd w:id="15"/>
    </w:p>
  </w:footnote>
  <w:footnote w:id="33">
    <w:p w14:paraId="625F81BD" w14:textId="77777777" w:rsidR="007A74DB" w:rsidRPr="00F473B6" w:rsidRDefault="007A74DB" w:rsidP="007A74DB">
      <w:pPr>
        <w:pStyle w:val="Textonotapie"/>
        <w:ind w:firstLine="708"/>
        <w:jc w:val="both"/>
        <w:rPr>
          <w:rFonts w:ascii="Verdana" w:hAnsi="Verdana" w:cs="Arial"/>
          <w:sz w:val="16"/>
          <w:szCs w:val="16"/>
          <w:lang w:val="es-CO"/>
        </w:rPr>
      </w:pPr>
      <w:r w:rsidRPr="00F473B6">
        <w:rPr>
          <w:rStyle w:val="Refdenotaalpie"/>
          <w:rFonts w:ascii="Verdana" w:hAnsi="Verdana"/>
          <w:sz w:val="16"/>
          <w:szCs w:val="16"/>
        </w:rPr>
        <w:footnoteRef/>
      </w:r>
      <w:r w:rsidRPr="00F473B6">
        <w:rPr>
          <w:rFonts w:ascii="Verdana" w:hAnsi="Verdana"/>
          <w:sz w:val="16"/>
          <w:szCs w:val="16"/>
        </w:rPr>
        <w:t xml:space="preserve"> </w:t>
      </w:r>
      <w:r w:rsidRPr="00F473B6">
        <w:rPr>
          <w:rFonts w:ascii="Verdana" w:hAnsi="Verdana" w:cs="Arial"/>
          <w:sz w:val="16"/>
          <w:szCs w:val="16"/>
          <w:lang w:val="es-CO"/>
        </w:rPr>
        <w:t xml:space="preserve">No en vano, se explica que “[…] la administración puede modificar las situaciones jurídicas por su sola voluntad, sin el consentimiento de los interesados. Es esta una prerrogativa característica de la potestad pública. La decisión ejecutoria es el acto por el cual la administración pone en marcha este poder de modificación unilateral de las situaciones jurídicas. Es el procedimiento tipo de la acción administrativa, el más utilizado en la práctica y el más característico desde el punto de vista doctrinal” (RIVERO, Jean. Derecho administrativo. Novena Edición. Caracas: Universidad Central de Venezuela, 1984. p. 100). </w:t>
      </w:r>
    </w:p>
  </w:footnote>
  <w:footnote w:id="34">
    <w:p w14:paraId="05011A96" w14:textId="77777777" w:rsidR="007A74DB" w:rsidRPr="00954863" w:rsidRDefault="007A74DB" w:rsidP="007A74DB">
      <w:pPr>
        <w:pStyle w:val="Textonotapie"/>
        <w:ind w:firstLine="708"/>
        <w:jc w:val="both"/>
        <w:rPr>
          <w:rFonts w:ascii="Verdana" w:hAnsi="Verdana"/>
          <w:sz w:val="16"/>
          <w:szCs w:val="16"/>
          <w:lang w:val="es-CO"/>
        </w:rPr>
      </w:pPr>
      <w:r w:rsidRPr="00954863">
        <w:rPr>
          <w:rStyle w:val="Refdenotaalpie"/>
          <w:rFonts w:ascii="Verdana" w:hAnsi="Verdana"/>
          <w:sz w:val="16"/>
          <w:szCs w:val="16"/>
        </w:rPr>
        <w:footnoteRef/>
      </w:r>
      <w:r w:rsidRPr="00954863">
        <w:rPr>
          <w:rFonts w:ascii="Verdana" w:hAnsi="Verdana"/>
          <w:sz w:val="16"/>
          <w:szCs w:val="16"/>
        </w:rPr>
        <w:t xml:space="preserve"> </w:t>
      </w:r>
      <w:r>
        <w:rPr>
          <w:rFonts w:ascii="Verdana" w:hAnsi="Verdana"/>
          <w:sz w:val="16"/>
          <w:szCs w:val="16"/>
        </w:rPr>
        <w:t>Como explica la doctrina, “</w:t>
      </w:r>
      <w:r w:rsidRPr="00954863">
        <w:rPr>
          <w:rFonts w:ascii="Verdana" w:hAnsi="Verdana"/>
          <w:sz w:val="16"/>
          <w:szCs w:val="16"/>
        </w:rPr>
        <w:t>La unilateralidad en el Derecho administrativo hay que encontrarla en el origen de la relación jurídica y de aquí la irrelevancia de la voluntad del administrado que, aunque ponga en marcha un procedimiento y el acto que se dicte al final sea a su petición, no tiene fuerza suficiente para generar un contrato. De mantener una tesis contractualista habría que llegar a consecuencias aberrantes porque serían contratos, es decir, actos bilaterales por su origen, los convenios expropiatorios, la imposición de multas con aceptación, el servicio militar como voluntario, los recursos administrativos estimados y, en fin, todo acto jurídico procedente de la Administración a instancia de parte se transformaría en un contrato</w:t>
      </w:r>
      <w:r>
        <w:rPr>
          <w:rFonts w:ascii="Verdana" w:hAnsi="Verdana"/>
          <w:sz w:val="16"/>
          <w:szCs w:val="16"/>
        </w:rPr>
        <w:t xml:space="preserve">” (Cfr. </w:t>
      </w:r>
      <w:r w:rsidRPr="00954863">
        <w:rPr>
          <w:rFonts w:ascii="Verdana" w:hAnsi="Verdana"/>
          <w:sz w:val="16"/>
          <w:szCs w:val="16"/>
        </w:rPr>
        <w:t>GARCÍA-TREVIJANO FOS, José Antonio. Los actos administrativos. Madrid: Civitas, 1986. pp. 95-97</w:t>
      </w:r>
      <w:r>
        <w:rPr>
          <w:rFonts w:ascii="Verdana" w:hAnsi="Verdana"/>
          <w:sz w:val="16"/>
          <w:szCs w:val="16"/>
        </w:rPr>
        <w:t>)</w:t>
      </w:r>
      <w:r w:rsidRPr="00954863">
        <w:rPr>
          <w:rFonts w:ascii="Verdana" w:hAnsi="Verdana"/>
          <w:sz w:val="16"/>
          <w:szCs w:val="16"/>
        </w:rPr>
        <w:t>.</w:t>
      </w:r>
    </w:p>
  </w:footnote>
  <w:footnote w:id="35">
    <w:p w14:paraId="1665A7B0" w14:textId="77777777" w:rsidR="007A74DB" w:rsidRPr="00F473B6" w:rsidRDefault="007A74DB" w:rsidP="007A74DB">
      <w:pPr>
        <w:pStyle w:val="Textonotapie"/>
        <w:ind w:firstLine="708"/>
        <w:jc w:val="both"/>
        <w:rPr>
          <w:rFonts w:ascii="Verdana" w:hAnsi="Verdana"/>
          <w:sz w:val="16"/>
          <w:szCs w:val="16"/>
        </w:rPr>
      </w:pPr>
      <w:r w:rsidRPr="00F473B6">
        <w:rPr>
          <w:rStyle w:val="Refdenotaalpie"/>
          <w:rFonts w:ascii="Verdana" w:hAnsi="Verdana"/>
          <w:sz w:val="16"/>
          <w:szCs w:val="16"/>
        </w:rPr>
        <w:footnoteRef/>
      </w:r>
      <w:r w:rsidRPr="00F473B6">
        <w:rPr>
          <w:rFonts w:ascii="Verdana" w:hAnsi="Verdana"/>
          <w:sz w:val="16"/>
          <w:szCs w:val="16"/>
        </w:rPr>
        <w:t xml:space="preserve"> Para la doctrina, “Todas las variantes en la determinación del concepto de administración coinciden […] en que la presentan como aquel residuo que una vez eliminada resulta al desglosar del complejo de la total actividad del Estado, la legislativa y la judicial. Todas las nuevas concepciones viables de la administración tienen además de común que la determinan, expresamente, de una manera mediata y negativa; el concepto de administración es el resultado de una </w:t>
      </w:r>
      <w:r w:rsidRPr="00F473B6">
        <w:rPr>
          <w:rFonts w:ascii="Verdana" w:hAnsi="Verdana"/>
          <w:i/>
          <w:iCs/>
          <w:sz w:val="16"/>
          <w:szCs w:val="16"/>
        </w:rPr>
        <w:t>sustracción, en el que el minuendo lo constituyen la suma de las actividades del Estado y el sustraendo la suma de legislación y justicia</w:t>
      </w:r>
      <w:r w:rsidRPr="00F473B6">
        <w:rPr>
          <w:rFonts w:ascii="Verdana" w:hAnsi="Verdana"/>
          <w:sz w:val="16"/>
          <w:szCs w:val="16"/>
        </w:rPr>
        <w:t xml:space="preserve">” (MERKL, Adolf. Teoría general de derecho administrativo. Santiago: Editorial Olejnik, 2018. pp. 21-22. Énfasis dentro del texto). </w:t>
      </w:r>
    </w:p>
  </w:footnote>
  <w:footnote w:id="36">
    <w:p w14:paraId="54DED172" w14:textId="77777777" w:rsidR="007A74DB" w:rsidRPr="00F473B6" w:rsidRDefault="007A74DB" w:rsidP="007A74DB">
      <w:pPr>
        <w:pStyle w:val="Textonotapie"/>
        <w:ind w:firstLine="708"/>
        <w:jc w:val="both"/>
        <w:rPr>
          <w:rFonts w:ascii="Verdana" w:hAnsi="Verdana"/>
          <w:sz w:val="16"/>
          <w:szCs w:val="16"/>
        </w:rPr>
      </w:pPr>
      <w:r w:rsidRPr="00F473B6">
        <w:rPr>
          <w:rStyle w:val="Refdenotaalpie"/>
          <w:rFonts w:ascii="Verdana" w:hAnsi="Verdana"/>
          <w:sz w:val="16"/>
          <w:szCs w:val="16"/>
        </w:rPr>
        <w:footnoteRef/>
      </w:r>
      <w:r w:rsidRPr="00214330">
        <w:rPr>
          <w:rFonts w:ascii="Verdana" w:hAnsi="Verdana"/>
          <w:sz w:val="16"/>
          <w:szCs w:val="16"/>
          <w:lang w:val="pt-BR"/>
        </w:rPr>
        <w:t xml:space="preserve"> Cfr. DROMI, José Roberto. Manual de derecho administrativo. </w:t>
      </w:r>
      <w:r w:rsidRPr="00F473B6">
        <w:rPr>
          <w:rFonts w:ascii="Verdana" w:hAnsi="Verdana"/>
          <w:sz w:val="16"/>
          <w:szCs w:val="16"/>
        </w:rPr>
        <w:t>Tomo I. Buenos Aires: Astrea, 1987. p. 47.</w:t>
      </w:r>
    </w:p>
  </w:footnote>
  <w:footnote w:id="37">
    <w:p w14:paraId="0315D956" w14:textId="77777777" w:rsidR="007A74DB" w:rsidRPr="00F473B6" w:rsidRDefault="007A74DB" w:rsidP="007A74DB">
      <w:pPr>
        <w:pStyle w:val="Textonotapie"/>
        <w:ind w:firstLine="708"/>
        <w:rPr>
          <w:rFonts w:ascii="Verdana" w:hAnsi="Verdana"/>
          <w:sz w:val="16"/>
          <w:szCs w:val="16"/>
          <w:lang w:val="es-ES"/>
        </w:rPr>
      </w:pPr>
      <w:r w:rsidRPr="00F473B6">
        <w:rPr>
          <w:rStyle w:val="Refdenotaalpie"/>
          <w:rFonts w:ascii="Verdana" w:hAnsi="Verdana"/>
          <w:sz w:val="16"/>
          <w:szCs w:val="16"/>
        </w:rPr>
        <w:footnoteRef/>
      </w:r>
      <w:r w:rsidRPr="00F473B6">
        <w:rPr>
          <w:rFonts w:ascii="Verdana" w:hAnsi="Verdana"/>
          <w:sz w:val="16"/>
          <w:szCs w:val="16"/>
        </w:rPr>
        <w:t xml:space="preserve"> </w:t>
      </w:r>
      <w:r w:rsidRPr="00F473B6">
        <w:rPr>
          <w:rFonts w:ascii="Verdana" w:hAnsi="Verdana" w:cs="Arial"/>
          <w:sz w:val="16"/>
          <w:szCs w:val="16"/>
          <w:lang w:val="es-CO"/>
        </w:rPr>
        <w:t xml:space="preserve">MARÍN CORTÉS, Fabián Gonzalo. El concepto de acto administrativo. Texto inédito. pp. 53-54.  </w:t>
      </w:r>
    </w:p>
  </w:footnote>
  <w:footnote w:id="38">
    <w:p w14:paraId="783F6053" w14:textId="77777777" w:rsidR="007A74DB" w:rsidRPr="00575605" w:rsidRDefault="007A74DB" w:rsidP="007A74DB">
      <w:pPr>
        <w:pStyle w:val="Textonotapie"/>
        <w:ind w:firstLine="708"/>
        <w:jc w:val="both"/>
        <w:rPr>
          <w:rFonts w:ascii="Verdana" w:hAnsi="Verdana"/>
          <w:sz w:val="16"/>
          <w:szCs w:val="16"/>
        </w:rPr>
      </w:pPr>
      <w:r w:rsidRPr="00575605">
        <w:rPr>
          <w:rStyle w:val="Refdenotaalpie"/>
          <w:rFonts w:ascii="Verdana" w:hAnsi="Verdana"/>
          <w:sz w:val="16"/>
          <w:szCs w:val="16"/>
        </w:rPr>
        <w:footnoteRef/>
      </w:r>
      <w:r w:rsidRPr="00575605">
        <w:rPr>
          <w:rFonts w:ascii="Verdana" w:hAnsi="Verdana"/>
          <w:sz w:val="16"/>
          <w:szCs w:val="16"/>
        </w:rPr>
        <w:t xml:space="preserve"> </w:t>
      </w:r>
      <w:r>
        <w:rPr>
          <w:rFonts w:ascii="Verdana" w:hAnsi="Verdana"/>
          <w:sz w:val="16"/>
          <w:szCs w:val="16"/>
        </w:rPr>
        <w:t xml:space="preserve">Como explicó la Agencia en el </w:t>
      </w:r>
      <w:r w:rsidRPr="000163E3">
        <w:rPr>
          <w:rFonts w:ascii="Verdana" w:hAnsi="Verdana"/>
          <w:sz w:val="16"/>
          <w:szCs w:val="16"/>
        </w:rPr>
        <w:t>Concepto C-489 del 1˚ de agosto de 2022</w:t>
      </w:r>
      <w:r>
        <w:rPr>
          <w:rFonts w:ascii="Verdana" w:hAnsi="Verdana"/>
          <w:sz w:val="16"/>
          <w:szCs w:val="16"/>
        </w:rPr>
        <w:t xml:space="preserve">: “[…] </w:t>
      </w:r>
      <w:r w:rsidRPr="000163E3">
        <w:rPr>
          <w:rFonts w:ascii="Verdana" w:hAnsi="Verdana"/>
          <w:sz w:val="16"/>
          <w:szCs w:val="16"/>
        </w:rPr>
        <w:t xml:space="preserve">la decisión de designar como ejecutora a determinada entidad de recursos del SGR, corresponde a una decisión unilateral materializada mediante un acto administrativo, de lo que se colige que no corresponden a </w:t>
      </w:r>
      <w:r>
        <w:rPr>
          <w:rFonts w:ascii="Verdana" w:hAnsi="Verdana"/>
          <w:sz w:val="16"/>
          <w:szCs w:val="16"/>
        </w:rPr>
        <w:t>‘</w:t>
      </w:r>
      <w:r w:rsidRPr="000163E3">
        <w:rPr>
          <w:rFonts w:ascii="Verdana" w:hAnsi="Verdana"/>
          <w:sz w:val="16"/>
          <w:szCs w:val="16"/>
        </w:rPr>
        <w:t>contratos o convenios interadministrativos o de cualquier otra índole</w:t>
      </w:r>
      <w:r>
        <w:rPr>
          <w:rFonts w:ascii="Verdana" w:hAnsi="Verdana"/>
          <w:sz w:val="16"/>
          <w:szCs w:val="16"/>
        </w:rPr>
        <w:t xml:space="preserve">‘“. </w:t>
      </w:r>
    </w:p>
  </w:footnote>
  <w:footnote w:id="39">
    <w:p w14:paraId="325F572D" w14:textId="77777777" w:rsidR="007A74DB" w:rsidRDefault="007A74DB" w:rsidP="007A74D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Consejo de Estado. Sala de Consulta y Servicio Civil. Concepto del 24 de julio de 2013. Consejero Ponente: Álvaro Namén Vargas. Número interno: 2166.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B2"/>
    <w:rsid w:val="000037FA"/>
    <w:rsid w:val="0000638F"/>
    <w:rsid w:val="00012144"/>
    <w:rsid w:val="00014CF2"/>
    <w:rsid w:val="00016F78"/>
    <w:rsid w:val="0002029B"/>
    <w:rsid w:val="000204C4"/>
    <w:rsid w:val="00022D0A"/>
    <w:rsid w:val="00022DC8"/>
    <w:rsid w:val="00025859"/>
    <w:rsid w:val="00032636"/>
    <w:rsid w:val="00034F14"/>
    <w:rsid w:val="00035108"/>
    <w:rsid w:val="00037D0B"/>
    <w:rsid w:val="00044408"/>
    <w:rsid w:val="00046945"/>
    <w:rsid w:val="00061B2A"/>
    <w:rsid w:val="00073BF5"/>
    <w:rsid w:val="000771F0"/>
    <w:rsid w:val="00077B44"/>
    <w:rsid w:val="000800AC"/>
    <w:rsid w:val="00082362"/>
    <w:rsid w:val="00083023"/>
    <w:rsid w:val="0008513D"/>
    <w:rsid w:val="00085D81"/>
    <w:rsid w:val="00086D90"/>
    <w:rsid w:val="00095522"/>
    <w:rsid w:val="000A683E"/>
    <w:rsid w:val="000B19B9"/>
    <w:rsid w:val="000B3801"/>
    <w:rsid w:val="000C04C3"/>
    <w:rsid w:val="000C6630"/>
    <w:rsid w:val="000C7500"/>
    <w:rsid w:val="000D0334"/>
    <w:rsid w:val="000D092C"/>
    <w:rsid w:val="000D3BF9"/>
    <w:rsid w:val="000E1B4F"/>
    <w:rsid w:val="000E2D1A"/>
    <w:rsid w:val="000E4620"/>
    <w:rsid w:val="000F2131"/>
    <w:rsid w:val="000F6486"/>
    <w:rsid w:val="00104697"/>
    <w:rsid w:val="00105B59"/>
    <w:rsid w:val="001102C3"/>
    <w:rsid w:val="00110454"/>
    <w:rsid w:val="00114F95"/>
    <w:rsid w:val="00116EDE"/>
    <w:rsid w:val="00117E41"/>
    <w:rsid w:val="001245C5"/>
    <w:rsid w:val="00124CBC"/>
    <w:rsid w:val="00125105"/>
    <w:rsid w:val="00127233"/>
    <w:rsid w:val="00130797"/>
    <w:rsid w:val="0014165C"/>
    <w:rsid w:val="001454C6"/>
    <w:rsid w:val="00150BFF"/>
    <w:rsid w:val="001512F4"/>
    <w:rsid w:val="00153204"/>
    <w:rsid w:val="00155B17"/>
    <w:rsid w:val="001622F7"/>
    <w:rsid w:val="00167B36"/>
    <w:rsid w:val="00175B20"/>
    <w:rsid w:val="0017623F"/>
    <w:rsid w:val="00193FFF"/>
    <w:rsid w:val="00194B53"/>
    <w:rsid w:val="001A326C"/>
    <w:rsid w:val="001A70DA"/>
    <w:rsid w:val="001A79A5"/>
    <w:rsid w:val="001C27C7"/>
    <w:rsid w:val="001C3054"/>
    <w:rsid w:val="001C3B9A"/>
    <w:rsid w:val="001C4ADB"/>
    <w:rsid w:val="001C7B22"/>
    <w:rsid w:val="001D3A49"/>
    <w:rsid w:val="001E39A2"/>
    <w:rsid w:val="001E3D06"/>
    <w:rsid w:val="001E4177"/>
    <w:rsid w:val="001E5236"/>
    <w:rsid w:val="001E5A46"/>
    <w:rsid w:val="001E5AD4"/>
    <w:rsid w:val="001F002F"/>
    <w:rsid w:val="001F0253"/>
    <w:rsid w:val="001F10C9"/>
    <w:rsid w:val="001F5A10"/>
    <w:rsid w:val="001F7DC6"/>
    <w:rsid w:val="002044A6"/>
    <w:rsid w:val="00204834"/>
    <w:rsid w:val="002067F5"/>
    <w:rsid w:val="00210741"/>
    <w:rsid w:val="002125C8"/>
    <w:rsid w:val="002146D6"/>
    <w:rsid w:val="0022048C"/>
    <w:rsid w:val="002227FB"/>
    <w:rsid w:val="00222B1F"/>
    <w:rsid w:val="00222B46"/>
    <w:rsid w:val="0022574A"/>
    <w:rsid w:val="00233044"/>
    <w:rsid w:val="002421BB"/>
    <w:rsid w:val="00243685"/>
    <w:rsid w:val="00257118"/>
    <w:rsid w:val="0025796E"/>
    <w:rsid w:val="00260785"/>
    <w:rsid w:val="002705E0"/>
    <w:rsid w:val="002707A2"/>
    <w:rsid w:val="00273A02"/>
    <w:rsid w:val="002740FF"/>
    <w:rsid w:val="00274A9E"/>
    <w:rsid w:val="00275455"/>
    <w:rsid w:val="00275581"/>
    <w:rsid w:val="00280EFB"/>
    <w:rsid w:val="00282D7F"/>
    <w:rsid w:val="00283F8C"/>
    <w:rsid w:val="00285863"/>
    <w:rsid w:val="0028677B"/>
    <w:rsid w:val="00287CFF"/>
    <w:rsid w:val="0029347E"/>
    <w:rsid w:val="002951A0"/>
    <w:rsid w:val="002962BC"/>
    <w:rsid w:val="0029749B"/>
    <w:rsid w:val="002A093D"/>
    <w:rsid w:val="002A0DD0"/>
    <w:rsid w:val="002A2712"/>
    <w:rsid w:val="002A49AC"/>
    <w:rsid w:val="002A64FD"/>
    <w:rsid w:val="002B205C"/>
    <w:rsid w:val="002B25E0"/>
    <w:rsid w:val="002B2AB8"/>
    <w:rsid w:val="002B432D"/>
    <w:rsid w:val="002C7A84"/>
    <w:rsid w:val="002D0559"/>
    <w:rsid w:val="002D366F"/>
    <w:rsid w:val="002D3F27"/>
    <w:rsid w:val="002D66EC"/>
    <w:rsid w:val="002D7472"/>
    <w:rsid w:val="002D7B14"/>
    <w:rsid w:val="002E4FD9"/>
    <w:rsid w:val="002E740E"/>
    <w:rsid w:val="002E7827"/>
    <w:rsid w:val="002F1143"/>
    <w:rsid w:val="00312D9E"/>
    <w:rsid w:val="00317467"/>
    <w:rsid w:val="003214E2"/>
    <w:rsid w:val="00322A85"/>
    <w:rsid w:val="00324168"/>
    <w:rsid w:val="003242C3"/>
    <w:rsid w:val="00330994"/>
    <w:rsid w:val="00335DB4"/>
    <w:rsid w:val="00340517"/>
    <w:rsid w:val="003448F4"/>
    <w:rsid w:val="003518DE"/>
    <w:rsid w:val="00352506"/>
    <w:rsid w:val="00363F80"/>
    <w:rsid w:val="0037004C"/>
    <w:rsid w:val="00373094"/>
    <w:rsid w:val="00374F5E"/>
    <w:rsid w:val="00376700"/>
    <w:rsid w:val="00377E3E"/>
    <w:rsid w:val="00380CCD"/>
    <w:rsid w:val="00380E25"/>
    <w:rsid w:val="0039092E"/>
    <w:rsid w:val="003A10B0"/>
    <w:rsid w:val="003A779E"/>
    <w:rsid w:val="003B6ABF"/>
    <w:rsid w:val="003C1AA8"/>
    <w:rsid w:val="003C5467"/>
    <w:rsid w:val="003C7700"/>
    <w:rsid w:val="003D0F4D"/>
    <w:rsid w:val="003D180E"/>
    <w:rsid w:val="003D5B0D"/>
    <w:rsid w:val="003D7039"/>
    <w:rsid w:val="003E0499"/>
    <w:rsid w:val="003E608C"/>
    <w:rsid w:val="003F3941"/>
    <w:rsid w:val="003F7FAC"/>
    <w:rsid w:val="00402BA2"/>
    <w:rsid w:val="00406575"/>
    <w:rsid w:val="0041095A"/>
    <w:rsid w:val="00411102"/>
    <w:rsid w:val="00414C74"/>
    <w:rsid w:val="00426310"/>
    <w:rsid w:val="0042722E"/>
    <w:rsid w:val="00430AEE"/>
    <w:rsid w:val="004364BE"/>
    <w:rsid w:val="00440D75"/>
    <w:rsid w:val="00441B42"/>
    <w:rsid w:val="00442E6D"/>
    <w:rsid w:val="0044528D"/>
    <w:rsid w:val="00452F94"/>
    <w:rsid w:val="004550CD"/>
    <w:rsid w:val="00463393"/>
    <w:rsid w:val="0046359C"/>
    <w:rsid w:val="0046511B"/>
    <w:rsid w:val="004739C7"/>
    <w:rsid w:val="0047421D"/>
    <w:rsid w:val="00486687"/>
    <w:rsid w:val="0049167A"/>
    <w:rsid w:val="00493D36"/>
    <w:rsid w:val="00495727"/>
    <w:rsid w:val="004A0628"/>
    <w:rsid w:val="004A1847"/>
    <w:rsid w:val="004A305D"/>
    <w:rsid w:val="004A30C9"/>
    <w:rsid w:val="004A4952"/>
    <w:rsid w:val="004A4AF7"/>
    <w:rsid w:val="004C040C"/>
    <w:rsid w:val="004C3267"/>
    <w:rsid w:val="004C4D35"/>
    <w:rsid w:val="004C751A"/>
    <w:rsid w:val="004D22F7"/>
    <w:rsid w:val="004D7161"/>
    <w:rsid w:val="004E4C40"/>
    <w:rsid w:val="004E7FAE"/>
    <w:rsid w:val="004F21C4"/>
    <w:rsid w:val="004F364D"/>
    <w:rsid w:val="004F6478"/>
    <w:rsid w:val="004F685F"/>
    <w:rsid w:val="00503786"/>
    <w:rsid w:val="00516129"/>
    <w:rsid w:val="005169C2"/>
    <w:rsid w:val="005301FB"/>
    <w:rsid w:val="00531419"/>
    <w:rsid w:val="005317FE"/>
    <w:rsid w:val="00535EC6"/>
    <w:rsid w:val="005566E8"/>
    <w:rsid w:val="005576FC"/>
    <w:rsid w:val="00560352"/>
    <w:rsid w:val="00574867"/>
    <w:rsid w:val="005830F1"/>
    <w:rsid w:val="00591460"/>
    <w:rsid w:val="0059160A"/>
    <w:rsid w:val="0059174D"/>
    <w:rsid w:val="00596962"/>
    <w:rsid w:val="005972A9"/>
    <w:rsid w:val="005A4205"/>
    <w:rsid w:val="005C1345"/>
    <w:rsid w:val="005C3777"/>
    <w:rsid w:val="005C3D06"/>
    <w:rsid w:val="005C409D"/>
    <w:rsid w:val="005C5CDC"/>
    <w:rsid w:val="005C692A"/>
    <w:rsid w:val="005D1521"/>
    <w:rsid w:val="005D476C"/>
    <w:rsid w:val="005D6497"/>
    <w:rsid w:val="005D6BDD"/>
    <w:rsid w:val="005E4DF7"/>
    <w:rsid w:val="005E50BD"/>
    <w:rsid w:val="005E5315"/>
    <w:rsid w:val="005E7883"/>
    <w:rsid w:val="005F6411"/>
    <w:rsid w:val="006123C9"/>
    <w:rsid w:val="006157C1"/>
    <w:rsid w:val="00615AA5"/>
    <w:rsid w:val="006173B4"/>
    <w:rsid w:val="00620D70"/>
    <w:rsid w:val="006219F8"/>
    <w:rsid w:val="006253D4"/>
    <w:rsid w:val="00625A56"/>
    <w:rsid w:val="006302F7"/>
    <w:rsid w:val="00634C61"/>
    <w:rsid w:val="00640803"/>
    <w:rsid w:val="0064149B"/>
    <w:rsid w:val="0066305C"/>
    <w:rsid w:val="00665D70"/>
    <w:rsid w:val="006713F3"/>
    <w:rsid w:val="00675C09"/>
    <w:rsid w:val="00680407"/>
    <w:rsid w:val="00680683"/>
    <w:rsid w:val="00680E31"/>
    <w:rsid w:val="00682D45"/>
    <w:rsid w:val="006900D9"/>
    <w:rsid w:val="00690228"/>
    <w:rsid w:val="00697201"/>
    <w:rsid w:val="006A60AE"/>
    <w:rsid w:val="006A760C"/>
    <w:rsid w:val="006B01A1"/>
    <w:rsid w:val="006B1E12"/>
    <w:rsid w:val="006B54D1"/>
    <w:rsid w:val="006B714E"/>
    <w:rsid w:val="006B7447"/>
    <w:rsid w:val="006E051E"/>
    <w:rsid w:val="006E1FD3"/>
    <w:rsid w:val="006F33E3"/>
    <w:rsid w:val="006F4526"/>
    <w:rsid w:val="0070052E"/>
    <w:rsid w:val="00706C16"/>
    <w:rsid w:val="00722D0F"/>
    <w:rsid w:val="00730C53"/>
    <w:rsid w:val="00732781"/>
    <w:rsid w:val="007327A0"/>
    <w:rsid w:val="00737252"/>
    <w:rsid w:val="007400E0"/>
    <w:rsid w:val="007413D9"/>
    <w:rsid w:val="00742264"/>
    <w:rsid w:val="00751D89"/>
    <w:rsid w:val="007562F6"/>
    <w:rsid w:val="00756841"/>
    <w:rsid w:val="00756ADB"/>
    <w:rsid w:val="00757C42"/>
    <w:rsid w:val="007649AB"/>
    <w:rsid w:val="00771489"/>
    <w:rsid w:val="00771D0C"/>
    <w:rsid w:val="00774A2B"/>
    <w:rsid w:val="0077551B"/>
    <w:rsid w:val="00775C8B"/>
    <w:rsid w:val="007813F7"/>
    <w:rsid w:val="007833AC"/>
    <w:rsid w:val="00785A8A"/>
    <w:rsid w:val="007967DC"/>
    <w:rsid w:val="007A0E99"/>
    <w:rsid w:val="007A347D"/>
    <w:rsid w:val="007A4265"/>
    <w:rsid w:val="007A4B29"/>
    <w:rsid w:val="007A74DB"/>
    <w:rsid w:val="007A7952"/>
    <w:rsid w:val="007B268C"/>
    <w:rsid w:val="007B7171"/>
    <w:rsid w:val="007C0C0F"/>
    <w:rsid w:val="007C3DC2"/>
    <w:rsid w:val="007C6AE0"/>
    <w:rsid w:val="007D4A91"/>
    <w:rsid w:val="007D6FE2"/>
    <w:rsid w:val="007E3119"/>
    <w:rsid w:val="007E39C6"/>
    <w:rsid w:val="007E5497"/>
    <w:rsid w:val="007E5BB4"/>
    <w:rsid w:val="007F10FB"/>
    <w:rsid w:val="007F24DD"/>
    <w:rsid w:val="007F33F9"/>
    <w:rsid w:val="007F4A1F"/>
    <w:rsid w:val="007F5B93"/>
    <w:rsid w:val="00806F5F"/>
    <w:rsid w:val="008151C0"/>
    <w:rsid w:val="00820278"/>
    <w:rsid w:val="00820866"/>
    <w:rsid w:val="00823AC6"/>
    <w:rsid w:val="008259CF"/>
    <w:rsid w:val="00825F17"/>
    <w:rsid w:val="00832694"/>
    <w:rsid w:val="008339F3"/>
    <w:rsid w:val="0083573A"/>
    <w:rsid w:val="00842812"/>
    <w:rsid w:val="00842E4F"/>
    <w:rsid w:val="00844717"/>
    <w:rsid w:val="00852168"/>
    <w:rsid w:val="00854D37"/>
    <w:rsid w:val="00854F25"/>
    <w:rsid w:val="00856D2C"/>
    <w:rsid w:val="00862772"/>
    <w:rsid w:val="00867F95"/>
    <w:rsid w:val="0087361B"/>
    <w:rsid w:val="00875668"/>
    <w:rsid w:val="00875B07"/>
    <w:rsid w:val="008843B6"/>
    <w:rsid w:val="0088442B"/>
    <w:rsid w:val="0088688C"/>
    <w:rsid w:val="00886D64"/>
    <w:rsid w:val="00891928"/>
    <w:rsid w:val="008919B5"/>
    <w:rsid w:val="008937A4"/>
    <w:rsid w:val="00897A3A"/>
    <w:rsid w:val="008A446D"/>
    <w:rsid w:val="008B3B0A"/>
    <w:rsid w:val="008C4E48"/>
    <w:rsid w:val="008D180B"/>
    <w:rsid w:val="008D4A0E"/>
    <w:rsid w:val="008D7289"/>
    <w:rsid w:val="008E4A24"/>
    <w:rsid w:val="008F0EA7"/>
    <w:rsid w:val="008F4A45"/>
    <w:rsid w:val="008F7B5D"/>
    <w:rsid w:val="00901B4F"/>
    <w:rsid w:val="00903345"/>
    <w:rsid w:val="00915AF2"/>
    <w:rsid w:val="00923EEF"/>
    <w:rsid w:val="00923EFF"/>
    <w:rsid w:val="00926A9E"/>
    <w:rsid w:val="00927895"/>
    <w:rsid w:val="00937849"/>
    <w:rsid w:val="009419F9"/>
    <w:rsid w:val="00942490"/>
    <w:rsid w:val="009448A1"/>
    <w:rsid w:val="00944C59"/>
    <w:rsid w:val="0095685E"/>
    <w:rsid w:val="00961B09"/>
    <w:rsid w:val="00964263"/>
    <w:rsid w:val="00965334"/>
    <w:rsid w:val="0097093E"/>
    <w:rsid w:val="0097371E"/>
    <w:rsid w:val="0097674C"/>
    <w:rsid w:val="00980D80"/>
    <w:rsid w:val="0098326D"/>
    <w:rsid w:val="00985C60"/>
    <w:rsid w:val="009877E9"/>
    <w:rsid w:val="009879EA"/>
    <w:rsid w:val="0099029B"/>
    <w:rsid w:val="00991461"/>
    <w:rsid w:val="00993CBB"/>
    <w:rsid w:val="00997373"/>
    <w:rsid w:val="009A0DFA"/>
    <w:rsid w:val="009A5FFF"/>
    <w:rsid w:val="009A6E12"/>
    <w:rsid w:val="009B25A8"/>
    <w:rsid w:val="009B2D26"/>
    <w:rsid w:val="009C1DAD"/>
    <w:rsid w:val="009C71FA"/>
    <w:rsid w:val="009C72E7"/>
    <w:rsid w:val="009C75C3"/>
    <w:rsid w:val="009D273D"/>
    <w:rsid w:val="009D3058"/>
    <w:rsid w:val="009D774D"/>
    <w:rsid w:val="009E4BFA"/>
    <w:rsid w:val="009E5EA3"/>
    <w:rsid w:val="009F3A13"/>
    <w:rsid w:val="00A0159D"/>
    <w:rsid w:val="00A01788"/>
    <w:rsid w:val="00A03407"/>
    <w:rsid w:val="00A07365"/>
    <w:rsid w:val="00A1080A"/>
    <w:rsid w:val="00A119E3"/>
    <w:rsid w:val="00A11BEB"/>
    <w:rsid w:val="00A122D3"/>
    <w:rsid w:val="00A12B5E"/>
    <w:rsid w:val="00A1443D"/>
    <w:rsid w:val="00A17F13"/>
    <w:rsid w:val="00A20739"/>
    <w:rsid w:val="00A20CB1"/>
    <w:rsid w:val="00A230C3"/>
    <w:rsid w:val="00A26574"/>
    <w:rsid w:val="00A33C78"/>
    <w:rsid w:val="00A40CCD"/>
    <w:rsid w:val="00A43251"/>
    <w:rsid w:val="00A46FA6"/>
    <w:rsid w:val="00A52D31"/>
    <w:rsid w:val="00A55690"/>
    <w:rsid w:val="00A56975"/>
    <w:rsid w:val="00A625D5"/>
    <w:rsid w:val="00A76106"/>
    <w:rsid w:val="00A774D0"/>
    <w:rsid w:val="00A869CD"/>
    <w:rsid w:val="00AA2000"/>
    <w:rsid w:val="00AA4151"/>
    <w:rsid w:val="00AA751D"/>
    <w:rsid w:val="00AB0ADB"/>
    <w:rsid w:val="00AB2201"/>
    <w:rsid w:val="00AB619D"/>
    <w:rsid w:val="00AC7D5A"/>
    <w:rsid w:val="00AC7E32"/>
    <w:rsid w:val="00AD027B"/>
    <w:rsid w:val="00AD0D4A"/>
    <w:rsid w:val="00AD1DF8"/>
    <w:rsid w:val="00AD5B6E"/>
    <w:rsid w:val="00AE3BAD"/>
    <w:rsid w:val="00AE7D7A"/>
    <w:rsid w:val="00AF09AE"/>
    <w:rsid w:val="00AF133B"/>
    <w:rsid w:val="00AF33D9"/>
    <w:rsid w:val="00AF5434"/>
    <w:rsid w:val="00AF7609"/>
    <w:rsid w:val="00B00C0E"/>
    <w:rsid w:val="00B01B1A"/>
    <w:rsid w:val="00B02A6D"/>
    <w:rsid w:val="00B06048"/>
    <w:rsid w:val="00B13179"/>
    <w:rsid w:val="00B35B71"/>
    <w:rsid w:val="00B44A47"/>
    <w:rsid w:val="00B44B98"/>
    <w:rsid w:val="00B5322B"/>
    <w:rsid w:val="00B55D09"/>
    <w:rsid w:val="00B64A68"/>
    <w:rsid w:val="00B72CD3"/>
    <w:rsid w:val="00B72FFF"/>
    <w:rsid w:val="00B801E0"/>
    <w:rsid w:val="00B81A79"/>
    <w:rsid w:val="00B879B3"/>
    <w:rsid w:val="00BB3DA3"/>
    <w:rsid w:val="00BB4946"/>
    <w:rsid w:val="00BC3586"/>
    <w:rsid w:val="00BC3D36"/>
    <w:rsid w:val="00BC67D4"/>
    <w:rsid w:val="00BC6BD6"/>
    <w:rsid w:val="00BD008C"/>
    <w:rsid w:val="00BD218B"/>
    <w:rsid w:val="00BD7F72"/>
    <w:rsid w:val="00BF306B"/>
    <w:rsid w:val="00BF367C"/>
    <w:rsid w:val="00BF408C"/>
    <w:rsid w:val="00C00508"/>
    <w:rsid w:val="00C02544"/>
    <w:rsid w:val="00C04FB3"/>
    <w:rsid w:val="00C14B99"/>
    <w:rsid w:val="00C173AD"/>
    <w:rsid w:val="00C27077"/>
    <w:rsid w:val="00C30604"/>
    <w:rsid w:val="00C3283C"/>
    <w:rsid w:val="00C330EB"/>
    <w:rsid w:val="00C3559F"/>
    <w:rsid w:val="00C45727"/>
    <w:rsid w:val="00C46F0E"/>
    <w:rsid w:val="00C65BAD"/>
    <w:rsid w:val="00C66CFF"/>
    <w:rsid w:val="00C73141"/>
    <w:rsid w:val="00C748B3"/>
    <w:rsid w:val="00C754BE"/>
    <w:rsid w:val="00C76B1C"/>
    <w:rsid w:val="00C77EA5"/>
    <w:rsid w:val="00C8362E"/>
    <w:rsid w:val="00C90A1D"/>
    <w:rsid w:val="00C93FFE"/>
    <w:rsid w:val="00CB0F20"/>
    <w:rsid w:val="00CB398B"/>
    <w:rsid w:val="00CB6357"/>
    <w:rsid w:val="00CC1B26"/>
    <w:rsid w:val="00CC2653"/>
    <w:rsid w:val="00CC3A0C"/>
    <w:rsid w:val="00CC6216"/>
    <w:rsid w:val="00CD3419"/>
    <w:rsid w:val="00CD39C7"/>
    <w:rsid w:val="00CD4B40"/>
    <w:rsid w:val="00CE0FF1"/>
    <w:rsid w:val="00CE3D2F"/>
    <w:rsid w:val="00CF0E56"/>
    <w:rsid w:val="00CF4F4C"/>
    <w:rsid w:val="00CF7791"/>
    <w:rsid w:val="00D15328"/>
    <w:rsid w:val="00D2342A"/>
    <w:rsid w:val="00D2437D"/>
    <w:rsid w:val="00D24803"/>
    <w:rsid w:val="00D2506C"/>
    <w:rsid w:val="00D26024"/>
    <w:rsid w:val="00D33CB6"/>
    <w:rsid w:val="00D369A0"/>
    <w:rsid w:val="00D423A2"/>
    <w:rsid w:val="00D43C1A"/>
    <w:rsid w:val="00D46BBF"/>
    <w:rsid w:val="00D47D3D"/>
    <w:rsid w:val="00D520CE"/>
    <w:rsid w:val="00D520D8"/>
    <w:rsid w:val="00D53A36"/>
    <w:rsid w:val="00D60BA2"/>
    <w:rsid w:val="00D62DB1"/>
    <w:rsid w:val="00D63AC2"/>
    <w:rsid w:val="00D7163F"/>
    <w:rsid w:val="00D71DB7"/>
    <w:rsid w:val="00D7383B"/>
    <w:rsid w:val="00D87836"/>
    <w:rsid w:val="00D912B2"/>
    <w:rsid w:val="00D94438"/>
    <w:rsid w:val="00D946B0"/>
    <w:rsid w:val="00DA1601"/>
    <w:rsid w:val="00DA231B"/>
    <w:rsid w:val="00DA4565"/>
    <w:rsid w:val="00DA74A0"/>
    <w:rsid w:val="00DC39FC"/>
    <w:rsid w:val="00DC61D8"/>
    <w:rsid w:val="00DD1135"/>
    <w:rsid w:val="00DD566D"/>
    <w:rsid w:val="00DD5702"/>
    <w:rsid w:val="00DD6EDF"/>
    <w:rsid w:val="00DE02FD"/>
    <w:rsid w:val="00DE07BF"/>
    <w:rsid w:val="00DE22E1"/>
    <w:rsid w:val="00DE72C0"/>
    <w:rsid w:val="00DF00B7"/>
    <w:rsid w:val="00DF524E"/>
    <w:rsid w:val="00DF5254"/>
    <w:rsid w:val="00E0581A"/>
    <w:rsid w:val="00E05DA0"/>
    <w:rsid w:val="00E0661A"/>
    <w:rsid w:val="00E07945"/>
    <w:rsid w:val="00E1179D"/>
    <w:rsid w:val="00E16408"/>
    <w:rsid w:val="00E20894"/>
    <w:rsid w:val="00E245AB"/>
    <w:rsid w:val="00E2764C"/>
    <w:rsid w:val="00E27F2E"/>
    <w:rsid w:val="00E34BEA"/>
    <w:rsid w:val="00E40B3B"/>
    <w:rsid w:val="00E50AFE"/>
    <w:rsid w:val="00E524CC"/>
    <w:rsid w:val="00E528DA"/>
    <w:rsid w:val="00E52901"/>
    <w:rsid w:val="00E56814"/>
    <w:rsid w:val="00E6370E"/>
    <w:rsid w:val="00E652CA"/>
    <w:rsid w:val="00E66717"/>
    <w:rsid w:val="00E66AD4"/>
    <w:rsid w:val="00E75C92"/>
    <w:rsid w:val="00E771DC"/>
    <w:rsid w:val="00E82811"/>
    <w:rsid w:val="00E87434"/>
    <w:rsid w:val="00E8772A"/>
    <w:rsid w:val="00E90495"/>
    <w:rsid w:val="00E90F6B"/>
    <w:rsid w:val="00E92C27"/>
    <w:rsid w:val="00E94C79"/>
    <w:rsid w:val="00E96322"/>
    <w:rsid w:val="00E966D4"/>
    <w:rsid w:val="00EA0C68"/>
    <w:rsid w:val="00EA0E3D"/>
    <w:rsid w:val="00EA203A"/>
    <w:rsid w:val="00EB0AA1"/>
    <w:rsid w:val="00EB3E46"/>
    <w:rsid w:val="00EC227B"/>
    <w:rsid w:val="00EC38A7"/>
    <w:rsid w:val="00EC5084"/>
    <w:rsid w:val="00EC679A"/>
    <w:rsid w:val="00ED20B8"/>
    <w:rsid w:val="00ED5FD4"/>
    <w:rsid w:val="00ED66F4"/>
    <w:rsid w:val="00EE17D8"/>
    <w:rsid w:val="00EE1AA8"/>
    <w:rsid w:val="00EE44AA"/>
    <w:rsid w:val="00EF1EE0"/>
    <w:rsid w:val="00EF2181"/>
    <w:rsid w:val="00EF6953"/>
    <w:rsid w:val="00F00473"/>
    <w:rsid w:val="00F146F4"/>
    <w:rsid w:val="00F155DF"/>
    <w:rsid w:val="00F1796B"/>
    <w:rsid w:val="00F20EBE"/>
    <w:rsid w:val="00F2346B"/>
    <w:rsid w:val="00F31EDC"/>
    <w:rsid w:val="00F36228"/>
    <w:rsid w:val="00F36F01"/>
    <w:rsid w:val="00F37AF9"/>
    <w:rsid w:val="00F41A63"/>
    <w:rsid w:val="00F41CF9"/>
    <w:rsid w:val="00F462B3"/>
    <w:rsid w:val="00F502D3"/>
    <w:rsid w:val="00F52FD5"/>
    <w:rsid w:val="00F5664F"/>
    <w:rsid w:val="00F60A2F"/>
    <w:rsid w:val="00F628BB"/>
    <w:rsid w:val="00F629B6"/>
    <w:rsid w:val="00F663FB"/>
    <w:rsid w:val="00F666C4"/>
    <w:rsid w:val="00F716AE"/>
    <w:rsid w:val="00F728DC"/>
    <w:rsid w:val="00F76AFC"/>
    <w:rsid w:val="00F908CE"/>
    <w:rsid w:val="00F923E5"/>
    <w:rsid w:val="00F95342"/>
    <w:rsid w:val="00F97A4F"/>
    <w:rsid w:val="00FA47C0"/>
    <w:rsid w:val="00FA74F9"/>
    <w:rsid w:val="00FB5DD1"/>
    <w:rsid w:val="00FB76DE"/>
    <w:rsid w:val="00FC14D1"/>
    <w:rsid w:val="00FC2B5D"/>
    <w:rsid w:val="00FC7375"/>
    <w:rsid w:val="00FC79C8"/>
    <w:rsid w:val="00FD2AE6"/>
    <w:rsid w:val="00FE6593"/>
    <w:rsid w:val="00FF1449"/>
    <w:rsid w:val="00FF6E5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8F43A54-EBE6-E045-BD46-C5AD2082C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27895"/>
    <w:pPr>
      <w:spacing w:line="240" w:lineRule="exact"/>
    </w:pPr>
    <w:rPr>
      <w:vertAlign w:val="superscript"/>
    </w:rPr>
  </w:style>
  <w:style w:type="character" w:customStyle="1" w:styleId="baj">
    <w:name w:val="b_aj"/>
    <w:basedOn w:val="Fuentedeprrafopredeter"/>
    <w:rsid w:val="00927895"/>
  </w:style>
  <w:style w:type="character" w:customStyle="1" w:styleId="NormalWebCar">
    <w:name w:val="Normal (Web) Car"/>
    <w:link w:val="NormalWeb"/>
    <w:uiPriority w:val="99"/>
    <w:locked/>
    <w:rsid w:val="00927895"/>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2789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ireccionejecutiva@asosupro.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juridica@asosupro.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elatoria.colombiacompra.gov.co/busqueda/concept%20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juridica@asosupro.gov.c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asosupro.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rdillo.com/pdf_tomo3/capitulo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8D0EC19D-8EB1-4F67-93AC-AABA439309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8AA3217-32F5-4050-8A97-63B507DA8025}">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30</Pages>
  <Words>10239</Words>
  <Characters>55090</Characters>
  <Application>Microsoft Office Word</Application>
  <DocSecurity>0</DocSecurity>
  <Lines>1001</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2023-01-10T18:18:00Z</cp:lastPrinted>
  <dcterms:created xsi:type="dcterms:W3CDTF">2025-12-11T19:10:00Z</dcterms:created>
  <dcterms:modified xsi:type="dcterms:W3CDTF">2025-12-11T22:07:00Z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