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680967" w14:textId="77777777" w:rsidR="000E0B1D" w:rsidRPr="0073431A" w:rsidRDefault="000E0B1D" w:rsidP="0073431A">
      <w:pPr>
        <w:snapToGrid w:val="0"/>
        <w:contextualSpacing/>
        <w:jc w:val="both"/>
        <w:rPr>
          <w:rFonts w:ascii="Verdana" w:hAnsi="Verdana" w:cs="Arial"/>
          <w:b/>
          <w:lang w:val="es-ES" w:eastAsia="es-ES"/>
        </w:rPr>
      </w:pPr>
      <w:bookmarkStart w:id="0" w:name="_Hlk143780582"/>
      <w:r w:rsidRPr="0073431A">
        <w:rPr>
          <w:rFonts w:ascii="Verdana" w:hAnsi="Verdana" w:cs="Arial"/>
          <w:b/>
          <w:lang w:val="es-ES" w:eastAsia="es-ES"/>
        </w:rPr>
        <w:t>MÍNIMA CUANTÍA – Generalidades – Ley 1150 de 2007</w:t>
      </w:r>
    </w:p>
    <w:p w14:paraId="2BF8C94D" w14:textId="77777777" w:rsidR="0073431A" w:rsidRPr="0073431A" w:rsidRDefault="0073431A" w:rsidP="0073431A">
      <w:pPr>
        <w:snapToGrid w:val="0"/>
        <w:spacing w:after="0" w:line="240" w:lineRule="auto"/>
        <w:contextualSpacing/>
        <w:jc w:val="both"/>
        <w:rPr>
          <w:rFonts w:ascii="Verdana" w:hAnsi="Verdana" w:cs="Arial"/>
          <w:bCs/>
          <w:sz w:val="20"/>
          <w:szCs w:val="20"/>
          <w:lang w:val="es-ES" w:eastAsia="es-ES"/>
        </w:rPr>
      </w:pPr>
    </w:p>
    <w:p w14:paraId="0C0FC592" w14:textId="77777777" w:rsidR="0073431A" w:rsidRPr="0073431A" w:rsidRDefault="0073431A" w:rsidP="0073431A">
      <w:pPr>
        <w:snapToGrid w:val="0"/>
        <w:spacing w:after="0" w:line="240" w:lineRule="auto"/>
        <w:contextualSpacing/>
        <w:jc w:val="both"/>
        <w:rPr>
          <w:rFonts w:ascii="Verdana" w:hAnsi="Verdana"/>
          <w:bCs/>
          <w:sz w:val="20"/>
          <w:szCs w:val="20"/>
          <w:lang w:val="es-ES_tradnl"/>
        </w:rPr>
      </w:pPr>
      <w:r w:rsidRPr="0073431A">
        <w:rPr>
          <w:rFonts w:ascii="Verdana" w:hAnsi="Verdana"/>
          <w:bCs/>
          <w:sz w:val="20"/>
          <w:szCs w:val="20"/>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p>
    <w:p w14:paraId="541B1C86" w14:textId="77777777" w:rsidR="0073431A" w:rsidRPr="0073431A" w:rsidRDefault="0073431A" w:rsidP="0073431A">
      <w:pPr>
        <w:snapToGrid w:val="0"/>
        <w:spacing w:after="0" w:line="240" w:lineRule="auto"/>
        <w:contextualSpacing/>
        <w:jc w:val="both"/>
        <w:rPr>
          <w:rFonts w:ascii="Verdana" w:hAnsi="Verdana"/>
          <w:bCs/>
          <w:sz w:val="20"/>
          <w:szCs w:val="20"/>
          <w:lang w:val="es-ES_tradnl"/>
        </w:rPr>
      </w:pPr>
    </w:p>
    <w:p w14:paraId="2F221A25" w14:textId="77777777" w:rsidR="0073431A" w:rsidRPr="0073431A" w:rsidRDefault="0073431A" w:rsidP="0073431A">
      <w:pPr>
        <w:snapToGrid w:val="0"/>
        <w:spacing w:after="0" w:line="240" w:lineRule="auto"/>
        <w:contextualSpacing/>
        <w:jc w:val="both"/>
        <w:rPr>
          <w:rFonts w:ascii="Verdana" w:hAnsi="Verdana"/>
          <w:bCs/>
          <w:sz w:val="20"/>
          <w:szCs w:val="20"/>
          <w:lang w:val="es-ES_tradnl"/>
        </w:rPr>
      </w:pPr>
      <w:r w:rsidRPr="0073431A">
        <w:rPr>
          <w:rFonts w:ascii="Verdana" w:hAnsi="Verdana"/>
          <w:bCs/>
          <w:sz w:val="20"/>
          <w:szCs w:val="20"/>
          <w:lang w:val="es-ES_tradnl"/>
        </w:rPr>
        <w:t>Dicho de otro modo, la mínima cuantía es un procedimiento de selección “especial”,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 y lo segundo, porque sus requisitos, etapas y términos son especiales.</w:t>
      </w:r>
    </w:p>
    <w:p w14:paraId="26F7D0BE" w14:textId="77777777" w:rsidR="0073431A" w:rsidRPr="0073431A" w:rsidRDefault="0073431A" w:rsidP="0073431A">
      <w:pPr>
        <w:snapToGrid w:val="0"/>
        <w:spacing w:after="0" w:line="240" w:lineRule="auto"/>
        <w:contextualSpacing/>
        <w:jc w:val="both"/>
        <w:rPr>
          <w:rFonts w:ascii="Verdana" w:hAnsi="Verdana" w:cs="Arial"/>
          <w:bCs/>
          <w:sz w:val="20"/>
          <w:szCs w:val="20"/>
          <w:lang w:val="es-ES" w:eastAsia="es-ES"/>
        </w:rPr>
      </w:pPr>
    </w:p>
    <w:p w14:paraId="0178DA7E" w14:textId="77777777" w:rsidR="000E0B1D" w:rsidRPr="0073431A" w:rsidRDefault="000E0B1D" w:rsidP="0073431A">
      <w:pPr>
        <w:snapToGrid w:val="0"/>
        <w:contextualSpacing/>
        <w:jc w:val="both"/>
        <w:rPr>
          <w:rFonts w:ascii="Verdana" w:hAnsi="Verdana" w:cs="Arial"/>
          <w:b/>
          <w:lang w:val="es-ES" w:eastAsia="es-ES"/>
        </w:rPr>
      </w:pPr>
      <w:r w:rsidRPr="0073431A">
        <w:rPr>
          <w:rFonts w:ascii="Verdana" w:hAnsi="Verdana" w:cs="Arial"/>
          <w:b/>
          <w:lang w:val="es-ES" w:eastAsia="es-ES"/>
        </w:rPr>
        <w:t>MÍNIMA CUANTÍA – Normas reglamentarias – Decreto 1082 de 2015 – Procedimiento</w:t>
      </w:r>
    </w:p>
    <w:p w14:paraId="1F53E84E" w14:textId="77777777" w:rsidR="0073431A" w:rsidRPr="0073431A" w:rsidRDefault="0073431A" w:rsidP="0073431A">
      <w:pPr>
        <w:snapToGrid w:val="0"/>
        <w:spacing w:after="0" w:line="240" w:lineRule="auto"/>
        <w:contextualSpacing/>
        <w:jc w:val="both"/>
        <w:rPr>
          <w:rFonts w:ascii="Verdana" w:hAnsi="Verdana" w:cs="Arial"/>
          <w:bCs/>
          <w:sz w:val="20"/>
          <w:szCs w:val="20"/>
          <w:lang w:val="es-ES" w:eastAsia="es-ES"/>
        </w:rPr>
      </w:pPr>
    </w:p>
    <w:p w14:paraId="559D3463" w14:textId="77777777" w:rsidR="0073431A" w:rsidRPr="0073431A" w:rsidRDefault="0073431A" w:rsidP="0073431A">
      <w:pPr>
        <w:snapToGrid w:val="0"/>
        <w:spacing w:after="0" w:line="240" w:lineRule="auto"/>
        <w:contextualSpacing/>
        <w:jc w:val="both"/>
        <w:rPr>
          <w:rFonts w:ascii="Verdana" w:hAnsi="Verdana"/>
          <w:bCs/>
          <w:sz w:val="20"/>
          <w:szCs w:val="20"/>
          <w:lang w:val="es-ES"/>
        </w:rPr>
      </w:pPr>
      <w:r w:rsidRPr="0073431A">
        <w:rPr>
          <w:rFonts w:ascii="Verdana" w:hAnsi="Verdana"/>
          <w:bCs/>
          <w:sz w:val="20"/>
          <w:szCs w:val="20"/>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0AEF93CF" w14:textId="77777777" w:rsidR="0073431A" w:rsidRPr="0073431A" w:rsidRDefault="0073431A" w:rsidP="0073431A">
      <w:pPr>
        <w:snapToGrid w:val="0"/>
        <w:spacing w:after="0" w:line="240" w:lineRule="auto"/>
        <w:contextualSpacing/>
        <w:jc w:val="both"/>
        <w:rPr>
          <w:rFonts w:ascii="Verdana" w:hAnsi="Verdana"/>
          <w:bCs/>
          <w:sz w:val="20"/>
          <w:szCs w:val="20"/>
          <w:lang w:val="es-ES"/>
        </w:rPr>
      </w:pPr>
    </w:p>
    <w:p w14:paraId="24061783" w14:textId="77777777" w:rsidR="0073431A" w:rsidRPr="0073431A" w:rsidRDefault="0073431A" w:rsidP="0073431A">
      <w:pPr>
        <w:snapToGrid w:val="0"/>
        <w:spacing w:after="0" w:line="240" w:lineRule="auto"/>
        <w:contextualSpacing/>
        <w:jc w:val="both"/>
        <w:rPr>
          <w:rFonts w:ascii="Verdana" w:hAnsi="Verdana"/>
          <w:bCs/>
          <w:sz w:val="20"/>
          <w:szCs w:val="20"/>
          <w:lang w:val="es-ES"/>
        </w:rPr>
      </w:pPr>
      <w:r w:rsidRPr="0073431A">
        <w:rPr>
          <w:rFonts w:ascii="Verdana" w:hAnsi="Verdana"/>
          <w:bCs/>
          <w:sz w:val="20"/>
          <w:szCs w:val="20"/>
          <w:lang w:val="es-ES"/>
        </w:rPr>
        <w:t xml:space="preserve">Teniendo en cuenta lo anterior, la nueva Subsección 5 a que se hizo referencia contiene los siguientes artículos: i) 2.2.1.2.1.5.1. que se ocupa de desarrollar el contenido de los estudios previos para la contratación de mínima cuantía. </w:t>
      </w:r>
      <w:proofErr w:type="spellStart"/>
      <w:r w:rsidRPr="0073431A">
        <w:rPr>
          <w:rFonts w:ascii="Verdana" w:hAnsi="Verdana"/>
          <w:bCs/>
          <w:sz w:val="20"/>
          <w:szCs w:val="20"/>
          <w:lang w:val="es-ES"/>
        </w:rPr>
        <w:t>ii</w:t>
      </w:r>
      <w:proofErr w:type="spellEnd"/>
      <w:r w:rsidRPr="0073431A">
        <w:rPr>
          <w:rFonts w:ascii="Verdana" w:hAnsi="Verdana"/>
          <w:bCs/>
          <w:sz w:val="20"/>
          <w:szCs w:val="20"/>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w:t>
      </w:r>
      <w:proofErr w:type="spellStart"/>
      <w:r w:rsidRPr="0073431A">
        <w:rPr>
          <w:rFonts w:ascii="Verdana" w:hAnsi="Verdana"/>
          <w:bCs/>
          <w:sz w:val="20"/>
          <w:szCs w:val="20"/>
          <w:lang w:val="es-ES"/>
        </w:rPr>
        <w:t>mipymes</w:t>
      </w:r>
      <w:proofErr w:type="spellEnd"/>
      <w:r w:rsidRPr="0073431A">
        <w:rPr>
          <w:rFonts w:ascii="Verdana" w:hAnsi="Verdana"/>
          <w:bCs/>
          <w:sz w:val="20"/>
          <w:szCs w:val="20"/>
          <w:lang w:val="es-ES"/>
        </w:rPr>
        <w:t xml:space="preserve">, de acuerdo con el mandato del parágrafo 1 del artículo 30 de la Ley 2069 de 2020. </w:t>
      </w:r>
      <w:proofErr w:type="spellStart"/>
      <w:r w:rsidRPr="0073431A">
        <w:rPr>
          <w:rFonts w:ascii="Verdana" w:hAnsi="Verdana"/>
          <w:bCs/>
          <w:sz w:val="20"/>
          <w:szCs w:val="20"/>
          <w:lang w:val="es-ES"/>
        </w:rPr>
        <w:t>iii</w:t>
      </w:r>
      <w:proofErr w:type="spellEnd"/>
      <w:r w:rsidRPr="0073431A">
        <w:rPr>
          <w:rFonts w:ascii="Verdana" w:hAnsi="Verdana"/>
          <w:bCs/>
          <w:sz w:val="20"/>
          <w:szCs w:val="20"/>
          <w:lang w:val="es-ES"/>
        </w:rPr>
        <w:t xml:space="preserve">) 2.2.1.2.1.5.3. que regula un procedimiento especial para las adquisiciones en grandes almacenes cuando se trate de mínima cuantía. </w:t>
      </w:r>
      <w:proofErr w:type="spellStart"/>
      <w:r w:rsidRPr="0073431A">
        <w:rPr>
          <w:rFonts w:ascii="Verdana" w:hAnsi="Verdana"/>
          <w:bCs/>
          <w:sz w:val="20"/>
          <w:szCs w:val="20"/>
          <w:lang w:val="es-ES"/>
        </w:rPr>
        <w:t>iv</w:t>
      </w:r>
      <w:proofErr w:type="spellEnd"/>
      <w:r w:rsidRPr="0073431A">
        <w:rPr>
          <w:rFonts w:ascii="Verdana" w:hAnsi="Verdana"/>
          <w:bCs/>
          <w:sz w:val="20"/>
          <w:szCs w:val="20"/>
          <w:lang w:val="es-ES"/>
        </w:rPr>
        <w:t xml:space="preserve">)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w:t>
      </w:r>
      <w:r w:rsidRPr="0073431A">
        <w:rPr>
          <w:rFonts w:ascii="Verdana" w:hAnsi="Verdana"/>
          <w:bCs/>
          <w:sz w:val="20"/>
          <w:szCs w:val="20"/>
          <w:lang w:val="es-ES"/>
        </w:rPr>
        <w:lastRenderedPageBreak/>
        <w:t>monto de la mínima cuantía con Mipyme y con grandes almacenes. Y v) 2.2.1.2.1.5.5. el cual establece que la entidad estatal es libre de exigir o no garantías en el proceso de selección de mínima cuantía y en la adquisición de “grandes almacenes”.</w:t>
      </w:r>
    </w:p>
    <w:p w14:paraId="790F28CD" w14:textId="77777777" w:rsidR="0073431A" w:rsidRPr="0073431A" w:rsidRDefault="0073431A" w:rsidP="0073431A">
      <w:pPr>
        <w:snapToGrid w:val="0"/>
        <w:spacing w:after="0" w:line="240" w:lineRule="auto"/>
        <w:contextualSpacing/>
        <w:jc w:val="both"/>
        <w:rPr>
          <w:rFonts w:ascii="Verdana" w:hAnsi="Verdana" w:cs="Arial"/>
          <w:bCs/>
          <w:sz w:val="20"/>
          <w:szCs w:val="20"/>
          <w:lang w:val="es-ES" w:eastAsia="es-ES"/>
        </w:rPr>
      </w:pPr>
    </w:p>
    <w:p w14:paraId="1AFD7097" w14:textId="0E0C1B1D" w:rsidR="000E0B1D" w:rsidRPr="0073431A" w:rsidRDefault="000E0B1D" w:rsidP="0073431A">
      <w:pPr>
        <w:snapToGrid w:val="0"/>
        <w:contextualSpacing/>
        <w:jc w:val="both"/>
        <w:rPr>
          <w:rFonts w:ascii="Verdana" w:hAnsi="Verdana" w:cs="Arial"/>
          <w:b/>
          <w:lang w:val="es-ES" w:eastAsia="es-ES"/>
        </w:rPr>
      </w:pPr>
      <w:r w:rsidRPr="0073431A">
        <w:rPr>
          <w:rFonts w:ascii="Verdana" w:hAnsi="Verdana" w:cs="Arial"/>
          <w:b/>
          <w:lang w:val="es-ES" w:eastAsia="es-ES"/>
        </w:rPr>
        <w:t>ACEPTACIÓN DE LA OFERTA – Perfeccionamiento del contrato</w:t>
      </w:r>
    </w:p>
    <w:p w14:paraId="18BFDC50" w14:textId="77777777" w:rsidR="0073431A" w:rsidRPr="0073431A" w:rsidRDefault="0073431A" w:rsidP="0073431A">
      <w:pPr>
        <w:snapToGrid w:val="0"/>
        <w:spacing w:after="0" w:line="240" w:lineRule="auto"/>
        <w:contextualSpacing/>
        <w:jc w:val="both"/>
        <w:rPr>
          <w:rFonts w:ascii="Verdana" w:hAnsi="Verdana" w:cs="Arial"/>
          <w:bCs/>
          <w:sz w:val="20"/>
          <w:szCs w:val="20"/>
          <w:lang w:val="es-ES" w:eastAsia="es-ES"/>
        </w:rPr>
      </w:pPr>
    </w:p>
    <w:p w14:paraId="63E584DC" w14:textId="77777777" w:rsidR="0073431A" w:rsidRDefault="0073431A" w:rsidP="0073431A">
      <w:pPr>
        <w:snapToGrid w:val="0"/>
        <w:spacing w:after="0" w:line="240" w:lineRule="auto"/>
        <w:contextualSpacing/>
        <w:jc w:val="both"/>
        <w:rPr>
          <w:rFonts w:ascii="Verdana" w:hAnsi="Verdana"/>
          <w:bCs/>
          <w:sz w:val="20"/>
          <w:szCs w:val="20"/>
          <w:lang w:val="es-ES"/>
        </w:rPr>
      </w:pPr>
      <w:r w:rsidRPr="0073431A">
        <w:rPr>
          <w:rFonts w:ascii="Verdana" w:hAnsi="Verdana"/>
          <w:bCs/>
          <w:sz w:val="20"/>
          <w:szCs w:val="20"/>
          <w:lang w:val="es-ES"/>
        </w:rPr>
        <w:t xml:space="preserve">En este sentido, el legislador estableció que en los procesos de mínima cuantía no habría un </w:t>
      </w:r>
      <w:r w:rsidRPr="0073431A">
        <w:rPr>
          <w:rFonts w:ascii="Verdana" w:hAnsi="Verdana"/>
          <w:bCs/>
          <w:i/>
          <w:sz w:val="20"/>
          <w:szCs w:val="20"/>
          <w:lang w:val="es-ES"/>
        </w:rPr>
        <w:t>“acto de adjudicación”</w:t>
      </w:r>
      <w:r w:rsidRPr="0073431A">
        <w:rPr>
          <w:rFonts w:ascii="Verdana" w:hAnsi="Verdana"/>
          <w:bCs/>
          <w:sz w:val="20"/>
          <w:szCs w:val="20"/>
          <w:lang w:val="es-ES"/>
        </w:rPr>
        <w:t xml:space="preserve">, sino que en aras de la celeridad y economía que se busca con esta modalidad, la selección de la mejor oferta se realiza mediante una </w:t>
      </w:r>
      <w:r w:rsidRPr="0073431A">
        <w:rPr>
          <w:rFonts w:ascii="Verdana" w:hAnsi="Verdana"/>
          <w:bCs/>
          <w:i/>
          <w:sz w:val="20"/>
          <w:szCs w:val="20"/>
          <w:lang w:val="es-ES"/>
        </w:rPr>
        <w:t>“comunicación de aceptación de la oferta”</w:t>
      </w:r>
      <w:r w:rsidRPr="0073431A">
        <w:rPr>
          <w:rFonts w:ascii="Verdana" w:hAnsi="Verdana"/>
          <w:bCs/>
          <w:sz w:val="20"/>
          <w:szCs w:val="2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3574F160" w14:textId="77777777" w:rsidR="0073431A" w:rsidRDefault="0073431A" w:rsidP="0073431A">
      <w:pPr>
        <w:snapToGrid w:val="0"/>
        <w:spacing w:after="0" w:line="240" w:lineRule="auto"/>
        <w:contextualSpacing/>
        <w:jc w:val="both"/>
        <w:rPr>
          <w:rFonts w:ascii="Verdana" w:hAnsi="Verdana"/>
          <w:bCs/>
          <w:sz w:val="20"/>
          <w:szCs w:val="20"/>
          <w:lang w:val="es-ES"/>
        </w:rPr>
      </w:pPr>
    </w:p>
    <w:p w14:paraId="1BEA0C35" w14:textId="77777777" w:rsidR="0073431A" w:rsidRDefault="0073431A" w:rsidP="0073431A">
      <w:pPr>
        <w:snapToGrid w:val="0"/>
        <w:spacing w:after="0" w:line="240" w:lineRule="auto"/>
        <w:contextualSpacing/>
        <w:jc w:val="both"/>
        <w:rPr>
          <w:rFonts w:ascii="Verdana" w:hAnsi="Verdana"/>
          <w:bCs/>
          <w:sz w:val="20"/>
          <w:szCs w:val="20"/>
          <w:lang w:val="es-ES"/>
        </w:rPr>
      </w:pPr>
    </w:p>
    <w:p w14:paraId="2E8B35FB" w14:textId="77777777" w:rsidR="0073431A" w:rsidRDefault="0073431A" w:rsidP="0073431A">
      <w:pPr>
        <w:snapToGrid w:val="0"/>
        <w:spacing w:after="0" w:line="240" w:lineRule="auto"/>
        <w:contextualSpacing/>
        <w:jc w:val="both"/>
        <w:rPr>
          <w:rFonts w:ascii="Verdana" w:hAnsi="Verdana"/>
          <w:bCs/>
          <w:sz w:val="20"/>
          <w:szCs w:val="20"/>
          <w:lang w:val="es-ES"/>
        </w:rPr>
      </w:pPr>
    </w:p>
    <w:p w14:paraId="56D68BB6" w14:textId="77777777" w:rsidR="0073431A" w:rsidRDefault="0073431A" w:rsidP="0073431A">
      <w:pPr>
        <w:snapToGrid w:val="0"/>
        <w:spacing w:after="0" w:line="240" w:lineRule="auto"/>
        <w:contextualSpacing/>
        <w:jc w:val="both"/>
        <w:rPr>
          <w:rFonts w:ascii="Verdana" w:hAnsi="Verdana"/>
          <w:bCs/>
          <w:sz w:val="20"/>
          <w:szCs w:val="20"/>
          <w:lang w:val="es-ES"/>
        </w:rPr>
      </w:pPr>
    </w:p>
    <w:p w14:paraId="389B8A35" w14:textId="77777777" w:rsidR="0073431A" w:rsidRDefault="0073431A" w:rsidP="0073431A">
      <w:pPr>
        <w:snapToGrid w:val="0"/>
        <w:spacing w:after="0" w:line="240" w:lineRule="auto"/>
        <w:contextualSpacing/>
        <w:jc w:val="both"/>
        <w:rPr>
          <w:rFonts w:ascii="Verdana" w:hAnsi="Verdana"/>
          <w:bCs/>
          <w:sz w:val="20"/>
          <w:szCs w:val="20"/>
          <w:lang w:val="es-ES"/>
        </w:rPr>
      </w:pPr>
    </w:p>
    <w:p w14:paraId="43011791" w14:textId="77777777" w:rsidR="0073431A" w:rsidRDefault="0073431A" w:rsidP="0073431A">
      <w:pPr>
        <w:snapToGrid w:val="0"/>
        <w:spacing w:after="0" w:line="240" w:lineRule="auto"/>
        <w:contextualSpacing/>
        <w:jc w:val="both"/>
        <w:rPr>
          <w:rFonts w:ascii="Verdana" w:hAnsi="Verdana"/>
          <w:bCs/>
          <w:sz w:val="20"/>
          <w:szCs w:val="20"/>
          <w:lang w:val="es-ES"/>
        </w:rPr>
      </w:pPr>
    </w:p>
    <w:p w14:paraId="2A08BD70" w14:textId="77777777" w:rsidR="0073431A" w:rsidRDefault="0073431A" w:rsidP="0073431A">
      <w:pPr>
        <w:snapToGrid w:val="0"/>
        <w:spacing w:after="0" w:line="240" w:lineRule="auto"/>
        <w:contextualSpacing/>
        <w:jc w:val="both"/>
        <w:rPr>
          <w:rFonts w:ascii="Verdana" w:hAnsi="Verdana"/>
          <w:bCs/>
          <w:sz w:val="20"/>
          <w:szCs w:val="20"/>
          <w:lang w:val="es-ES"/>
        </w:rPr>
      </w:pPr>
    </w:p>
    <w:p w14:paraId="52114ED1" w14:textId="77777777" w:rsidR="0073431A" w:rsidRDefault="0073431A" w:rsidP="0073431A">
      <w:pPr>
        <w:snapToGrid w:val="0"/>
        <w:spacing w:after="0" w:line="240" w:lineRule="auto"/>
        <w:contextualSpacing/>
        <w:jc w:val="both"/>
        <w:rPr>
          <w:rFonts w:ascii="Verdana" w:hAnsi="Verdana"/>
          <w:bCs/>
          <w:sz w:val="20"/>
          <w:szCs w:val="20"/>
          <w:lang w:val="es-ES"/>
        </w:rPr>
      </w:pPr>
    </w:p>
    <w:p w14:paraId="7405A85E" w14:textId="77777777" w:rsidR="0073431A" w:rsidRDefault="0073431A" w:rsidP="0073431A">
      <w:pPr>
        <w:snapToGrid w:val="0"/>
        <w:spacing w:after="0" w:line="240" w:lineRule="auto"/>
        <w:contextualSpacing/>
        <w:jc w:val="both"/>
        <w:rPr>
          <w:rFonts w:ascii="Verdana" w:hAnsi="Verdana"/>
          <w:bCs/>
          <w:sz w:val="20"/>
          <w:szCs w:val="20"/>
          <w:lang w:val="es-ES"/>
        </w:rPr>
      </w:pPr>
    </w:p>
    <w:p w14:paraId="15BCBF4F" w14:textId="77777777" w:rsidR="0073431A" w:rsidRDefault="0073431A" w:rsidP="0073431A">
      <w:pPr>
        <w:snapToGrid w:val="0"/>
        <w:spacing w:after="0" w:line="240" w:lineRule="auto"/>
        <w:contextualSpacing/>
        <w:jc w:val="both"/>
        <w:rPr>
          <w:rFonts w:ascii="Verdana" w:hAnsi="Verdana"/>
          <w:bCs/>
          <w:sz w:val="20"/>
          <w:szCs w:val="20"/>
          <w:lang w:val="es-ES"/>
        </w:rPr>
      </w:pPr>
    </w:p>
    <w:p w14:paraId="03CB3C38" w14:textId="77777777" w:rsidR="0073431A" w:rsidRDefault="0073431A" w:rsidP="0073431A">
      <w:pPr>
        <w:snapToGrid w:val="0"/>
        <w:spacing w:after="0" w:line="240" w:lineRule="auto"/>
        <w:contextualSpacing/>
        <w:jc w:val="both"/>
        <w:rPr>
          <w:rFonts w:ascii="Verdana" w:hAnsi="Verdana"/>
          <w:bCs/>
          <w:sz w:val="20"/>
          <w:szCs w:val="20"/>
          <w:lang w:val="es-ES"/>
        </w:rPr>
      </w:pPr>
    </w:p>
    <w:p w14:paraId="5F26098D" w14:textId="77777777" w:rsidR="0073431A" w:rsidRDefault="0073431A" w:rsidP="0073431A">
      <w:pPr>
        <w:snapToGrid w:val="0"/>
        <w:spacing w:after="0" w:line="240" w:lineRule="auto"/>
        <w:contextualSpacing/>
        <w:jc w:val="both"/>
        <w:rPr>
          <w:rFonts w:ascii="Verdana" w:hAnsi="Verdana"/>
          <w:bCs/>
          <w:sz w:val="20"/>
          <w:szCs w:val="20"/>
          <w:lang w:val="es-ES"/>
        </w:rPr>
      </w:pPr>
    </w:p>
    <w:p w14:paraId="054D7368" w14:textId="77777777" w:rsidR="0073431A" w:rsidRDefault="0073431A" w:rsidP="0073431A">
      <w:pPr>
        <w:snapToGrid w:val="0"/>
        <w:spacing w:after="0" w:line="240" w:lineRule="auto"/>
        <w:contextualSpacing/>
        <w:jc w:val="both"/>
        <w:rPr>
          <w:rFonts w:ascii="Verdana" w:hAnsi="Verdana"/>
          <w:bCs/>
          <w:sz w:val="20"/>
          <w:szCs w:val="20"/>
          <w:lang w:val="es-ES"/>
        </w:rPr>
      </w:pPr>
    </w:p>
    <w:p w14:paraId="4C03647C" w14:textId="77777777" w:rsidR="0073431A" w:rsidRDefault="0073431A" w:rsidP="0073431A">
      <w:pPr>
        <w:snapToGrid w:val="0"/>
        <w:spacing w:after="0" w:line="240" w:lineRule="auto"/>
        <w:contextualSpacing/>
        <w:jc w:val="both"/>
        <w:rPr>
          <w:rFonts w:ascii="Verdana" w:hAnsi="Verdana"/>
          <w:bCs/>
          <w:sz w:val="20"/>
          <w:szCs w:val="20"/>
          <w:lang w:val="es-ES"/>
        </w:rPr>
      </w:pPr>
    </w:p>
    <w:p w14:paraId="6B8AEEB6" w14:textId="77777777" w:rsidR="0073431A" w:rsidRDefault="0073431A" w:rsidP="0073431A">
      <w:pPr>
        <w:snapToGrid w:val="0"/>
        <w:spacing w:after="0" w:line="240" w:lineRule="auto"/>
        <w:contextualSpacing/>
        <w:jc w:val="both"/>
        <w:rPr>
          <w:rFonts w:ascii="Verdana" w:hAnsi="Verdana"/>
          <w:bCs/>
          <w:sz w:val="20"/>
          <w:szCs w:val="20"/>
          <w:lang w:val="es-ES"/>
        </w:rPr>
      </w:pPr>
    </w:p>
    <w:p w14:paraId="05CCD445" w14:textId="77777777" w:rsidR="0073431A" w:rsidRDefault="0073431A" w:rsidP="0073431A">
      <w:pPr>
        <w:snapToGrid w:val="0"/>
        <w:spacing w:after="0" w:line="240" w:lineRule="auto"/>
        <w:contextualSpacing/>
        <w:jc w:val="both"/>
        <w:rPr>
          <w:rFonts w:ascii="Verdana" w:hAnsi="Verdana"/>
          <w:bCs/>
          <w:sz w:val="20"/>
          <w:szCs w:val="20"/>
          <w:lang w:val="es-ES"/>
        </w:rPr>
      </w:pPr>
    </w:p>
    <w:p w14:paraId="4E27F521" w14:textId="77777777" w:rsidR="0073431A" w:rsidRDefault="0073431A" w:rsidP="0073431A">
      <w:pPr>
        <w:snapToGrid w:val="0"/>
        <w:spacing w:after="0" w:line="240" w:lineRule="auto"/>
        <w:contextualSpacing/>
        <w:jc w:val="both"/>
        <w:rPr>
          <w:rFonts w:ascii="Verdana" w:hAnsi="Verdana"/>
          <w:bCs/>
          <w:sz w:val="20"/>
          <w:szCs w:val="20"/>
          <w:lang w:val="es-ES"/>
        </w:rPr>
      </w:pPr>
    </w:p>
    <w:p w14:paraId="3B6AA52F" w14:textId="77777777" w:rsidR="0073431A" w:rsidRDefault="0073431A" w:rsidP="0073431A">
      <w:pPr>
        <w:snapToGrid w:val="0"/>
        <w:spacing w:after="0" w:line="240" w:lineRule="auto"/>
        <w:contextualSpacing/>
        <w:jc w:val="both"/>
        <w:rPr>
          <w:rFonts w:ascii="Verdana" w:hAnsi="Verdana"/>
          <w:bCs/>
          <w:sz w:val="20"/>
          <w:szCs w:val="20"/>
          <w:lang w:val="es-ES"/>
        </w:rPr>
      </w:pPr>
    </w:p>
    <w:p w14:paraId="5F13EE9D" w14:textId="77777777" w:rsidR="0073431A" w:rsidRDefault="0073431A" w:rsidP="0073431A">
      <w:pPr>
        <w:snapToGrid w:val="0"/>
        <w:spacing w:after="0" w:line="240" w:lineRule="auto"/>
        <w:contextualSpacing/>
        <w:jc w:val="both"/>
        <w:rPr>
          <w:rFonts w:ascii="Verdana" w:hAnsi="Verdana"/>
          <w:bCs/>
          <w:sz w:val="20"/>
          <w:szCs w:val="20"/>
          <w:lang w:val="es-ES"/>
        </w:rPr>
      </w:pPr>
    </w:p>
    <w:p w14:paraId="50C135DA" w14:textId="77777777" w:rsidR="0073431A" w:rsidRDefault="0073431A" w:rsidP="0073431A">
      <w:pPr>
        <w:snapToGrid w:val="0"/>
        <w:spacing w:after="0" w:line="240" w:lineRule="auto"/>
        <w:contextualSpacing/>
        <w:jc w:val="both"/>
        <w:rPr>
          <w:rFonts w:ascii="Verdana" w:hAnsi="Verdana"/>
          <w:bCs/>
          <w:sz w:val="20"/>
          <w:szCs w:val="20"/>
          <w:lang w:val="es-ES"/>
        </w:rPr>
      </w:pPr>
    </w:p>
    <w:p w14:paraId="53CA11B3" w14:textId="77777777" w:rsidR="0073431A" w:rsidRDefault="0073431A" w:rsidP="0073431A">
      <w:pPr>
        <w:snapToGrid w:val="0"/>
        <w:spacing w:after="0" w:line="240" w:lineRule="auto"/>
        <w:contextualSpacing/>
        <w:jc w:val="both"/>
        <w:rPr>
          <w:rFonts w:ascii="Verdana" w:hAnsi="Verdana"/>
          <w:bCs/>
          <w:sz w:val="20"/>
          <w:szCs w:val="20"/>
          <w:lang w:val="es-ES"/>
        </w:rPr>
      </w:pPr>
    </w:p>
    <w:p w14:paraId="032BAD23" w14:textId="77777777" w:rsidR="0073431A" w:rsidRDefault="0073431A" w:rsidP="0073431A">
      <w:pPr>
        <w:snapToGrid w:val="0"/>
        <w:spacing w:after="0" w:line="240" w:lineRule="auto"/>
        <w:contextualSpacing/>
        <w:jc w:val="both"/>
        <w:rPr>
          <w:rFonts w:ascii="Verdana" w:hAnsi="Verdana"/>
          <w:bCs/>
          <w:sz w:val="20"/>
          <w:szCs w:val="20"/>
          <w:lang w:val="es-ES"/>
        </w:rPr>
      </w:pPr>
    </w:p>
    <w:p w14:paraId="669D8A19" w14:textId="77777777" w:rsidR="0073431A" w:rsidRDefault="0073431A" w:rsidP="0073431A">
      <w:pPr>
        <w:snapToGrid w:val="0"/>
        <w:spacing w:after="0" w:line="240" w:lineRule="auto"/>
        <w:contextualSpacing/>
        <w:jc w:val="both"/>
        <w:rPr>
          <w:rFonts w:ascii="Verdana" w:hAnsi="Verdana"/>
          <w:bCs/>
          <w:sz w:val="20"/>
          <w:szCs w:val="20"/>
          <w:lang w:val="es-ES"/>
        </w:rPr>
      </w:pPr>
    </w:p>
    <w:p w14:paraId="40547F23" w14:textId="77777777" w:rsidR="0073431A" w:rsidRDefault="0073431A" w:rsidP="0073431A">
      <w:pPr>
        <w:snapToGrid w:val="0"/>
        <w:spacing w:after="0" w:line="240" w:lineRule="auto"/>
        <w:contextualSpacing/>
        <w:jc w:val="both"/>
        <w:rPr>
          <w:rFonts w:ascii="Verdana" w:hAnsi="Verdana"/>
          <w:bCs/>
          <w:sz w:val="20"/>
          <w:szCs w:val="20"/>
          <w:lang w:val="es-ES"/>
        </w:rPr>
      </w:pPr>
    </w:p>
    <w:p w14:paraId="429F47F1" w14:textId="77777777" w:rsidR="0073431A" w:rsidRDefault="0073431A" w:rsidP="0073431A">
      <w:pPr>
        <w:snapToGrid w:val="0"/>
        <w:spacing w:after="0" w:line="240" w:lineRule="auto"/>
        <w:contextualSpacing/>
        <w:jc w:val="both"/>
        <w:rPr>
          <w:rFonts w:ascii="Verdana" w:hAnsi="Verdana"/>
          <w:bCs/>
          <w:sz w:val="20"/>
          <w:szCs w:val="20"/>
          <w:lang w:val="es-ES"/>
        </w:rPr>
      </w:pPr>
    </w:p>
    <w:p w14:paraId="21CC93B3" w14:textId="77777777" w:rsidR="0073431A" w:rsidRDefault="0073431A" w:rsidP="0073431A">
      <w:pPr>
        <w:snapToGrid w:val="0"/>
        <w:spacing w:after="0" w:line="240" w:lineRule="auto"/>
        <w:contextualSpacing/>
        <w:jc w:val="both"/>
        <w:rPr>
          <w:rFonts w:ascii="Verdana" w:hAnsi="Verdana"/>
          <w:bCs/>
          <w:sz w:val="20"/>
          <w:szCs w:val="20"/>
          <w:lang w:val="es-ES"/>
        </w:rPr>
      </w:pPr>
    </w:p>
    <w:p w14:paraId="163E3743" w14:textId="77777777" w:rsidR="0073431A" w:rsidRDefault="0073431A" w:rsidP="0073431A">
      <w:pPr>
        <w:snapToGrid w:val="0"/>
        <w:spacing w:after="0" w:line="240" w:lineRule="auto"/>
        <w:contextualSpacing/>
        <w:jc w:val="both"/>
        <w:rPr>
          <w:rFonts w:ascii="Verdana" w:hAnsi="Verdana"/>
          <w:bCs/>
          <w:sz w:val="20"/>
          <w:szCs w:val="20"/>
          <w:lang w:val="es-ES"/>
        </w:rPr>
      </w:pPr>
    </w:p>
    <w:p w14:paraId="4197B419" w14:textId="77777777" w:rsidR="0073431A" w:rsidRPr="0073431A" w:rsidRDefault="0073431A" w:rsidP="0073431A">
      <w:pPr>
        <w:snapToGrid w:val="0"/>
        <w:spacing w:after="0" w:line="240" w:lineRule="auto"/>
        <w:contextualSpacing/>
        <w:jc w:val="both"/>
        <w:rPr>
          <w:rFonts w:ascii="Verdana" w:hAnsi="Verdana"/>
          <w:bCs/>
          <w:sz w:val="20"/>
          <w:szCs w:val="20"/>
          <w:lang w:val="es-ES_tradnl"/>
        </w:rPr>
      </w:pPr>
    </w:p>
    <w:p w14:paraId="011D80DE" w14:textId="77777777" w:rsidR="0073431A" w:rsidRPr="00DD6814" w:rsidRDefault="0073431A" w:rsidP="000E0B1D">
      <w:pPr>
        <w:spacing w:line="276" w:lineRule="auto"/>
        <w:jc w:val="both"/>
        <w:rPr>
          <w:rFonts w:ascii="Verdana" w:hAnsi="Verdana" w:cs="Arial"/>
          <w:bCs/>
          <w:lang w:val="es-ES" w:eastAsia="es-ES"/>
        </w:rPr>
      </w:pPr>
    </w:p>
    <w:p w14:paraId="60E06131" w14:textId="77777777" w:rsidR="000E0B1D" w:rsidRDefault="000E0B1D" w:rsidP="009A4B74">
      <w:pPr>
        <w:spacing w:after="0"/>
        <w:rPr>
          <w:rFonts w:ascii="Verdana" w:hAnsi="Verdana"/>
          <w:lang w:val="es-ES"/>
        </w:rPr>
      </w:pPr>
    </w:p>
    <w:p w14:paraId="7ADF52FE" w14:textId="7B575838" w:rsidR="009A4B74" w:rsidRPr="00DD6814" w:rsidRDefault="009A4B74" w:rsidP="009A4B74">
      <w:pPr>
        <w:spacing w:after="0"/>
        <w:rPr>
          <w:rFonts w:ascii="Verdana" w:hAnsi="Verdana"/>
          <w:lang w:val="es-ES"/>
        </w:rPr>
      </w:pPr>
      <w:r w:rsidRPr="00DD6814">
        <w:rPr>
          <w:rFonts w:ascii="Verdana" w:hAnsi="Verdana"/>
          <w:lang w:val="es-ES"/>
        </w:rPr>
        <w:lastRenderedPageBreak/>
        <w:t xml:space="preserve">Bogotá D.C., </w:t>
      </w:r>
      <w:r w:rsidR="000E0B1D">
        <w:rPr>
          <w:rFonts w:ascii="Verdana" w:hAnsi="Verdana"/>
          <w:lang w:val="es-ES"/>
        </w:rPr>
        <w:t>16 de diciembre de 2025</w:t>
      </w:r>
      <w:r w:rsidRPr="00DD6814">
        <w:rPr>
          <w:rFonts w:ascii="Verdana" w:hAnsi="Verdana"/>
          <w:lang w:val="es-ES"/>
        </w:rPr>
        <w:tab/>
      </w:r>
    </w:p>
    <w:p w14:paraId="647FE57D" w14:textId="69477AA5" w:rsidR="009A4B74" w:rsidRPr="00DD6814" w:rsidRDefault="009A4B74" w:rsidP="009A4B74">
      <w:pPr>
        <w:spacing w:after="0"/>
        <w:rPr>
          <w:rFonts w:ascii="Verdana" w:hAnsi="Verdana"/>
          <w:lang w:val="es-ES"/>
        </w:rPr>
      </w:pPr>
    </w:p>
    <w:p w14:paraId="38690109" w14:textId="77777777" w:rsidR="000E0B1D" w:rsidRDefault="000E0B1D" w:rsidP="009A4B74">
      <w:pPr>
        <w:spacing w:after="0" w:line="240" w:lineRule="auto"/>
        <w:jc w:val="both"/>
        <w:rPr>
          <w:rFonts w:ascii="Verdana" w:eastAsia="Calibri" w:hAnsi="Verdana" w:cs="Arial"/>
          <w:color w:val="000000" w:themeColor="text1"/>
          <w:lang w:val="es-ES" w:eastAsia="es-ES"/>
        </w:rPr>
      </w:pPr>
    </w:p>
    <w:p w14:paraId="1993D922" w14:textId="2BA37269" w:rsidR="009A4B74" w:rsidRPr="00DD6814" w:rsidRDefault="000E0B1D" w:rsidP="009A4B74">
      <w:pPr>
        <w:spacing w:after="0" w:line="240" w:lineRule="auto"/>
        <w:jc w:val="both"/>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anchor distT="0" distB="0" distL="114300" distR="114300" simplePos="0" relativeHeight="251658240" behindDoc="0" locked="0" layoutInCell="1" allowOverlap="1" wp14:anchorId="4E2226B5" wp14:editId="61DE88EB">
            <wp:simplePos x="0" y="0"/>
            <wp:positionH relativeFrom="column">
              <wp:posOffset>3052826</wp:posOffset>
            </wp:positionH>
            <wp:positionV relativeFrom="page">
              <wp:posOffset>2070735</wp:posOffset>
            </wp:positionV>
            <wp:extent cx="2355215" cy="713105"/>
            <wp:effectExtent l="0" t="0" r="0" b="0"/>
            <wp:wrapSquare wrapText="bothSides"/>
            <wp:docPr id="646746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74639" name="Picture 64674639"/>
                    <pic:cNvPicPr/>
                  </pic:nvPicPr>
                  <pic:blipFill>
                    <a:blip r:embed="rId10">
                      <a:extLst>
                        <a:ext uri="{28A0092B-C50C-407E-A947-70E740481C1C}">
                          <a14:useLocalDpi xmlns:a14="http://schemas.microsoft.com/office/drawing/2010/main" val="0"/>
                        </a:ext>
                      </a:extLst>
                    </a:blip>
                    <a:stretch>
                      <a:fillRect/>
                    </a:stretch>
                  </pic:blipFill>
                  <pic:spPr>
                    <a:xfrm>
                      <a:off x="0" y="0"/>
                      <a:ext cx="2355215" cy="713105"/>
                    </a:xfrm>
                    <a:prstGeom prst="rect">
                      <a:avLst/>
                    </a:prstGeom>
                  </pic:spPr>
                </pic:pic>
              </a:graphicData>
            </a:graphic>
            <wp14:sizeRelH relativeFrom="page">
              <wp14:pctWidth>0</wp14:pctWidth>
            </wp14:sizeRelH>
            <wp14:sizeRelV relativeFrom="page">
              <wp14:pctHeight>0</wp14:pctHeight>
            </wp14:sizeRelV>
          </wp:anchor>
        </w:drawing>
      </w:r>
      <w:r w:rsidR="009A4B74" w:rsidRPr="00DD6814">
        <w:rPr>
          <w:rFonts w:ascii="Verdana" w:eastAsia="Calibri" w:hAnsi="Verdana" w:cs="Arial"/>
          <w:color w:val="000000" w:themeColor="text1"/>
          <w:lang w:val="es-ES" w:eastAsia="es-ES"/>
        </w:rPr>
        <w:t>Señor</w:t>
      </w:r>
    </w:p>
    <w:p w14:paraId="57FDB655" w14:textId="01579D33" w:rsidR="009A4B74" w:rsidRPr="00BB4EAD" w:rsidRDefault="009A4B74" w:rsidP="009A4B74">
      <w:pPr>
        <w:spacing w:after="0" w:line="240" w:lineRule="auto"/>
        <w:jc w:val="both"/>
        <w:rPr>
          <w:rFonts w:ascii="Verdana" w:eastAsia="Calibri" w:hAnsi="Verdana" w:cs="Arial"/>
          <w:color w:val="000000" w:themeColor="text1"/>
          <w:lang w:val="es-ES" w:eastAsia="es-ES"/>
        </w:rPr>
      </w:pPr>
      <w:r w:rsidRPr="00DD6814">
        <w:rPr>
          <w:rFonts w:ascii="Verdana" w:eastAsia="Calibri" w:hAnsi="Verdana" w:cs="Arial"/>
          <w:b/>
          <w:bCs/>
          <w:color w:val="000000" w:themeColor="text1"/>
          <w:lang w:val="es-ES" w:eastAsia="es-ES"/>
        </w:rPr>
        <w:t xml:space="preserve">Camilo Sánchez </w:t>
      </w:r>
    </w:p>
    <w:p w14:paraId="3B48B192" w14:textId="466E033F" w:rsidR="009A4B74" w:rsidRPr="00DD6814" w:rsidRDefault="009A4B74" w:rsidP="009A4B74">
      <w:pPr>
        <w:spacing w:after="0" w:line="240" w:lineRule="auto"/>
        <w:jc w:val="both"/>
        <w:rPr>
          <w:rFonts w:ascii="Verdana" w:eastAsia="Calibri" w:hAnsi="Verdana" w:cs="Arial"/>
          <w:color w:val="000000" w:themeColor="text1"/>
          <w:lang w:val="es-ES" w:eastAsia="es-ES"/>
        </w:rPr>
      </w:pPr>
      <w:hyperlink r:id="rId11" w:history="1">
        <w:r w:rsidRPr="00BB4EAD">
          <w:rPr>
            <w:rStyle w:val="Hyperlink"/>
            <w:rFonts w:ascii="Verdana" w:eastAsia="Calibri" w:hAnsi="Verdana" w:cs="Arial"/>
            <w:lang w:val="es-ES" w:eastAsia="es-ES"/>
          </w:rPr>
          <w:t>camilosanchez23456@gmail.com</w:t>
        </w:r>
      </w:hyperlink>
    </w:p>
    <w:p w14:paraId="6ED10DF2" w14:textId="77777777" w:rsidR="009A4B74" w:rsidRPr="00DD6814" w:rsidRDefault="009A4B74" w:rsidP="009A4B74">
      <w:pPr>
        <w:spacing w:after="0" w:line="240" w:lineRule="auto"/>
        <w:jc w:val="both"/>
        <w:rPr>
          <w:rFonts w:ascii="Verdana" w:eastAsia="Calibri" w:hAnsi="Verdana" w:cs="Arial"/>
          <w:color w:val="000000" w:themeColor="text1"/>
          <w:lang w:val="es-ES" w:eastAsia="es-ES"/>
        </w:rPr>
      </w:pPr>
      <w:r w:rsidRPr="00DD6814">
        <w:rPr>
          <w:rFonts w:ascii="Verdana" w:eastAsia="Calibri" w:hAnsi="Verdana" w:cs="Arial"/>
          <w:color w:val="000000" w:themeColor="text1"/>
          <w:lang w:val="es-ES" w:eastAsia="es-ES"/>
        </w:rPr>
        <w:t>Bogotá D.C.</w:t>
      </w:r>
    </w:p>
    <w:p w14:paraId="6510E9EF" w14:textId="77777777" w:rsidR="009A4B74" w:rsidRPr="00DD6814" w:rsidRDefault="009A4B74" w:rsidP="009A4B74">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9A4B74" w:rsidRPr="00DD6814" w14:paraId="5E3EF7EE" w14:textId="77777777" w:rsidTr="0030338F">
        <w:trPr>
          <w:gridAfter w:val="1"/>
          <w:wAfter w:w="4179" w:type="dxa"/>
          <w:trHeight w:val="304"/>
        </w:trPr>
        <w:tc>
          <w:tcPr>
            <w:tcW w:w="2689" w:type="dxa"/>
          </w:tcPr>
          <w:p w14:paraId="54EB5AC0" w14:textId="77777777" w:rsidR="009A4B74" w:rsidRPr="00DD6814" w:rsidRDefault="009A4B74" w:rsidP="0030338F">
            <w:pPr>
              <w:jc w:val="both"/>
              <w:rPr>
                <w:rFonts w:ascii="Verdana" w:eastAsia="Calibri" w:hAnsi="Verdana" w:cs="Arial"/>
                <w:b/>
                <w:bCs/>
                <w:color w:val="000000" w:themeColor="text1"/>
                <w:lang w:val="es-ES" w:eastAsia="es-ES_tradnl"/>
              </w:rPr>
            </w:pPr>
          </w:p>
        </w:tc>
        <w:tc>
          <w:tcPr>
            <w:tcW w:w="6100" w:type="dxa"/>
          </w:tcPr>
          <w:p w14:paraId="16206035" w14:textId="77777777" w:rsidR="000E0B1D" w:rsidRDefault="000E0B1D" w:rsidP="0030338F">
            <w:pPr>
              <w:jc w:val="both"/>
              <w:rPr>
                <w:rFonts w:ascii="Verdana" w:eastAsia="Calibri" w:hAnsi="Verdana" w:cs="Arial"/>
                <w:b/>
                <w:bCs/>
                <w:color w:val="000000" w:themeColor="text1"/>
                <w:lang w:val="es-ES" w:eastAsia="es-ES"/>
              </w:rPr>
            </w:pPr>
          </w:p>
          <w:p w14:paraId="64056B4A" w14:textId="2F597669" w:rsidR="009A4B74" w:rsidRPr="00DD6814" w:rsidRDefault="009A4B74" w:rsidP="0030338F">
            <w:pPr>
              <w:jc w:val="both"/>
              <w:rPr>
                <w:rFonts w:ascii="Verdana" w:eastAsia="Calibri" w:hAnsi="Verdana" w:cs="Arial"/>
                <w:b/>
                <w:bCs/>
                <w:color w:val="000000" w:themeColor="text1"/>
                <w:lang w:val="es-ES" w:eastAsia="es-ES"/>
              </w:rPr>
            </w:pPr>
            <w:r w:rsidRPr="00DD6814">
              <w:rPr>
                <w:rFonts w:ascii="Verdana" w:eastAsia="Calibri" w:hAnsi="Verdana" w:cs="Arial"/>
                <w:b/>
                <w:bCs/>
                <w:color w:val="000000" w:themeColor="text1"/>
                <w:lang w:val="es-ES" w:eastAsia="es-ES"/>
              </w:rPr>
              <w:t>Concepto C-</w:t>
            </w:r>
            <w:r w:rsidR="006F3988">
              <w:rPr>
                <w:rFonts w:ascii="Verdana" w:eastAsia="Calibri" w:hAnsi="Verdana" w:cs="Arial"/>
                <w:b/>
                <w:bCs/>
                <w:color w:val="000000" w:themeColor="text1"/>
                <w:lang w:val="es-ES" w:eastAsia="es-ES"/>
              </w:rPr>
              <w:t>1615</w:t>
            </w:r>
            <w:r w:rsidRPr="00DD6814">
              <w:rPr>
                <w:rFonts w:ascii="Verdana" w:eastAsia="Calibri" w:hAnsi="Verdana" w:cs="Arial"/>
                <w:b/>
                <w:bCs/>
                <w:color w:val="000000" w:themeColor="text1"/>
                <w:lang w:val="es-ES" w:eastAsia="es-ES"/>
              </w:rPr>
              <w:t xml:space="preserve"> de 2025</w:t>
            </w:r>
          </w:p>
          <w:p w14:paraId="3EF1D32B" w14:textId="77777777" w:rsidR="009A4B74" w:rsidRPr="00DD6814" w:rsidRDefault="009A4B74" w:rsidP="0030338F">
            <w:pPr>
              <w:jc w:val="both"/>
              <w:rPr>
                <w:rFonts w:ascii="Verdana" w:eastAsia="Calibri" w:hAnsi="Verdana" w:cs="Arial"/>
                <w:b/>
                <w:bCs/>
                <w:color w:val="000000" w:themeColor="text1"/>
                <w:lang w:val="es-ES" w:eastAsia="es-ES"/>
              </w:rPr>
            </w:pPr>
          </w:p>
        </w:tc>
      </w:tr>
      <w:tr w:rsidR="009A4B74" w:rsidRPr="00DD6814" w14:paraId="0B77CAF0" w14:textId="77777777" w:rsidTr="0030338F">
        <w:trPr>
          <w:trHeight w:val="884"/>
        </w:trPr>
        <w:tc>
          <w:tcPr>
            <w:tcW w:w="2689" w:type="dxa"/>
          </w:tcPr>
          <w:p w14:paraId="30BA4119" w14:textId="77777777" w:rsidR="009A4B74" w:rsidRPr="00DD6814" w:rsidRDefault="009A4B74" w:rsidP="0030338F">
            <w:pPr>
              <w:jc w:val="both"/>
              <w:rPr>
                <w:rFonts w:ascii="Verdana" w:eastAsia="Calibri" w:hAnsi="Verdana" w:cs="Arial"/>
                <w:color w:val="000000" w:themeColor="text1"/>
                <w:lang w:val="es-ES" w:eastAsia="es-ES_tradnl"/>
              </w:rPr>
            </w:pPr>
            <w:r w:rsidRPr="00DD6814">
              <w:rPr>
                <w:rFonts w:ascii="Verdana" w:eastAsia="Calibri" w:hAnsi="Verdana" w:cs="Arial"/>
                <w:b/>
                <w:color w:val="000000" w:themeColor="text1"/>
                <w:lang w:val="es-ES" w:eastAsia="es-ES_tradnl"/>
              </w:rPr>
              <w:t>Temas:</w:t>
            </w:r>
            <w:r w:rsidRPr="00DD6814">
              <w:rPr>
                <w:rFonts w:ascii="Verdana" w:eastAsia="Calibri" w:hAnsi="Verdana" w:cs="Arial"/>
                <w:color w:val="000000" w:themeColor="text1"/>
                <w:lang w:val="es-ES" w:eastAsia="es-ES_tradnl"/>
              </w:rPr>
              <w:t xml:space="preserve">                   </w:t>
            </w:r>
          </w:p>
        </w:tc>
        <w:tc>
          <w:tcPr>
            <w:tcW w:w="6100" w:type="dxa"/>
          </w:tcPr>
          <w:p w14:paraId="74603B8A" w14:textId="77777777" w:rsidR="009A4B74" w:rsidRPr="00DD6814" w:rsidRDefault="009A4B74" w:rsidP="0030338F">
            <w:pPr>
              <w:spacing w:line="276" w:lineRule="auto"/>
              <w:jc w:val="both"/>
              <w:rPr>
                <w:rFonts w:ascii="Verdana" w:hAnsi="Verdana" w:cs="Arial"/>
                <w:bCs/>
                <w:lang w:val="es-ES" w:eastAsia="es-ES"/>
              </w:rPr>
            </w:pPr>
            <w:r w:rsidRPr="00DD6814">
              <w:rPr>
                <w:rFonts w:ascii="Verdana" w:hAnsi="Verdana" w:cs="Arial"/>
                <w:bCs/>
                <w:lang w:val="es-ES" w:eastAsia="es-ES"/>
              </w:rPr>
              <w:t>MÍNIMA CUANTÍA – Generalidades – Ley 1150 de 2007 / MÍNIMA CUANTÍA – Normas reglamentarias – Decreto 1082 de 2015 – Procedimiento / ACEPTACIÓN DE LA OFERTA – Perfeccionamiento del contrato</w:t>
            </w:r>
          </w:p>
          <w:p w14:paraId="2AD906B5" w14:textId="77777777" w:rsidR="009A4B74" w:rsidRPr="00DD6814" w:rsidRDefault="009A4B74" w:rsidP="0030338F">
            <w:pPr>
              <w:spacing w:line="276" w:lineRule="auto"/>
              <w:jc w:val="both"/>
              <w:rPr>
                <w:rFonts w:ascii="Verdana" w:eastAsia="Calibri" w:hAnsi="Verdana" w:cs="Arial"/>
                <w:color w:val="000000" w:themeColor="text1"/>
                <w:lang w:val="es-ES" w:eastAsia="es-ES_tradnl"/>
              </w:rPr>
            </w:pPr>
          </w:p>
        </w:tc>
        <w:tc>
          <w:tcPr>
            <w:tcW w:w="4179" w:type="dxa"/>
          </w:tcPr>
          <w:p w14:paraId="62E3250B" w14:textId="77777777" w:rsidR="009A4B74" w:rsidRPr="00DD6814" w:rsidRDefault="009A4B74" w:rsidP="0030338F">
            <w:pPr>
              <w:spacing w:line="276" w:lineRule="auto"/>
              <w:jc w:val="both"/>
              <w:rPr>
                <w:rFonts w:ascii="Verdana" w:eastAsia="Calibri" w:hAnsi="Verdana" w:cs="Arial"/>
                <w:color w:val="000000" w:themeColor="text1"/>
                <w:lang w:val="es-ES" w:eastAsia="es-ES_tradnl"/>
              </w:rPr>
            </w:pPr>
          </w:p>
          <w:p w14:paraId="3F11084A" w14:textId="77777777" w:rsidR="009A4B74" w:rsidRPr="00DD6814" w:rsidRDefault="009A4B74" w:rsidP="0030338F">
            <w:pPr>
              <w:spacing w:line="276" w:lineRule="auto"/>
              <w:rPr>
                <w:rFonts w:ascii="Verdana" w:eastAsia="Calibri" w:hAnsi="Verdana" w:cs="Arial"/>
                <w:color w:val="000000" w:themeColor="text1"/>
                <w:lang w:val="es-ES" w:eastAsia="es-ES_tradnl"/>
              </w:rPr>
            </w:pPr>
          </w:p>
        </w:tc>
      </w:tr>
      <w:tr w:rsidR="009A4B74" w:rsidRPr="00DD6814" w14:paraId="1E7659E8" w14:textId="77777777" w:rsidTr="0030338F">
        <w:trPr>
          <w:gridAfter w:val="1"/>
          <w:wAfter w:w="4179" w:type="dxa"/>
        </w:trPr>
        <w:tc>
          <w:tcPr>
            <w:tcW w:w="2689" w:type="dxa"/>
          </w:tcPr>
          <w:p w14:paraId="0DB11AAE" w14:textId="77777777" w:rsidR="009A4B74" w:rsidRPr="00DD6814" w:rsidRDefault="009A4B74" w:rsidP="0030338F">
            <w:pPr>
              <w:jc w:val="both"/>
              <w:rPr>
                <w:rFonts w:ascii="Verdana" w:eastAsia="Calibri" w:hAnsi="Verdana" w:cs="Arial"/>
                <w:b/>
                <w:color w:val="000000" w:themeColor="text1"/>
                <w:lang w:val="es-ES" w:eastAsia="es-ES_tradnl"/>
              </w:rPr>
            </w:pPr>
            <w:r w:rsidRPr="00DD6814">
              <w:rPr>
                <w:rFonts w:ascii="Verdana" w:eastAsia="Calibri" w:hAnsi="Verdana" w:cs="Arial"/>
                <w:b/>
                <w:color w:val="000000" w:themeColor="text1"/>
                <w:lang w:val="es-ES" w:eastAsia="es-ES_tradnl"/>
              </w:rPr>
              <w:t>Radicación:</w:t>
            </w:r>
            <w:r w:rsidRPr="00DD6814">
              <w:rPr>
                <w:rFonts w:ascii="Verdana" w:eastAsia="Calibri" w:hAnsi="Verdana" w:cs="Arial"/>
                <w:color w:val="000000" w:themeColor="text1"/>
                <w:lang w:val="es-ES" w:eastAsia="es-ES_tradnl"/>
              </w:rPr>
              <w:t xml:space="preserve">               </w:t>
            </w:r>
          </w:p>
        </w:tc>
        <w:tc>
          <w:tcPr>
            <w:tcW w:w="6100" w:type="dxa"/>
          </w:tcPr>
          <w:p w14:paraId="5E592F3F" w14:textId="77777777" w:rsidR="009A4B74" w:rsidRPr="00DD6814" w:rsidRDefault="009A4B74" w:rsidP="0030338F">
            <w:pPr>
              <w:jc w:val="both"/>
              <w:rPr>
                <w:rFonts w:ascii="Verdana" w:eastAsia="Calibri" w:hAnsi="Verdana" w:cs="Arial"/>
                <w:color w:val="000000" w:themeColor="text1"/>
                <w:lang w:val="es-ES" w:eastAsia="es-ES_tradnl"/>
              </w:rPr>
            </w:pPr>
            <w:r w:rsidRPr="00DD6814">
              <w:rPr>
                <w:rFonts w:ascii="Verdana" w:eastAsia="Calibri" w:hAnsi="Verdana" w:cs="Arial"/>
                <w:color w:val="000000" w:themeColor="text1"/>
                <w:lang w:val="es-ES" w:eastAsia="es-ES_tradnl"/>
              </w:rPr>
              <w:t>Respuesta a consulta con radicado No. 1_2025_10_31_012296</w:t>
            </w:r>
          </w:p>
        </w:tc>
      </w:tr>
    </w:tbl>
    <w:p w14:paraId="3D63E0D7" w14:textId="77777777" w:rsidR="009A4B74" w:rsidRPr="00DD6814" w:rsidRDefault="009A4B74" w:rsidP="009A4B74">
      <w:pPr>
        <w:spacing w:after="0" w:line="276" w:lineRule="auto"/>
        <w:jc w:val="both"/>
        <w:rPr>
          <w:rFonts w:ascii="Verdana" w:eastAsia="Calibri" w:hAnsi="Verdana" w:cs="Arial"/>
          <w:color w:val="000000" w:themeColor="text1"/>
          <w:lang w:val="es-ES" w:eastAsia="es-ES_tradnl"/>
        </w:rPr>
      </w:pPr>
    </w:p>
    <w:p w14:paraId="3BB55D7D" w14:textId="77777777" w:rsidR="009A4B74" w:rsidRPr="00DD6814" w:rsidRDefault="009A4B74" w:rsidP="009A4B74">
      <w:pPr>
        <w:spacing w:after="0" w:line="276" w:lineRule="auto"/>
        <w:jc w:val="both"/>
        <w:rPr>
          <w:rFonts w:ascii="Verdana" w:eastAsia="Calibri" w:hAnsi="Verdana" w:cs="Arial"/>
          <w:color w:val="000000" w:themeColor="text1"/>
          <w:lang w:val="es-ES" w:eastAsia="es-ES"/>
        </w:rPr>
      </w:pPr>
      <w:r w:rsidRPr="00DD6814">
        <w:rPr>
          <w:rFonts w:ascii="Verdana" w:eastAsia="Calibri" w:hAnsi="Verdana" w:cs="Arial"/>
          <w:color w:val="000000" w:themeColor="text1"/>
          <w:lang w:val="es-ES" w:eastAsia="es-ES"/>
        </w:rPr>
        <w:t xml:space="preserve">Estimado señor Sánchez: </w:t>
      </w:r>
    </w:p>
    <w:p w14:paraId="37D065E5" w14:textId="77777777" w:rsidR="009A4B74" w:rsidRPr="00DD6814" w:rsidRDefault="009A4B74" w:rsidP="009A4B74">
      <w:pPr>
        <w:tabs>
          <w:tab w:val="left" w:pos="3768"/>
        </w:tabs>
        <w:spacing w:after="0" w:line="276" w:lineRule="auto"/>
        <w:jc w:val="both"/>
        <w:rPr>
          <w:rFonts w:ascii="Verdana" w:eastAsia="Calibri" w:hAnsi="Verdana" w:cs="Arial"/>
          <w:color w:val="000000" w:themeColor="text1"/>
          <w:lang w:val="es-ES" w:eastAsia="es-ES"/>
        </w:rPr>
      </w:pPr>
      <w:r w:rsidRPr="00DD6814">
        <w:rPr>
          <w:rFonts w:ascii="Verdana" w:eastAsia="Calibri" w:hAnsi="Verdana" w:cs="Arial"/>
          <w:color w:val="000000" w:themeColor="text1"/>
          <w:lang w:val="es-ES" w:eastAsia="es-ES"/>
        </w:rPr>
        <w:tab/>
      </w:r>
    </w:p>
    <w:p w14:paraId="50E1C1BB" w14:textId="77777777" w:rsidR="009A4B74" w:rsidRPr="00DD6814" w:rsidRDefault="009A4B74" w:rsidP="009A4B74">
      <w:pPr>
        <w:spacing w:after="0" w:line="276" w:lineRule="auto"/>
        <w:jc w:val="both"/>
        <w:rPr>
          <w:rFonts w:ascii="Verdana" w:eastAsia="Calibri" w:hAnsi="Verdana" w:cs="Arial"/>
          <w:color w:val="000000" w:themeColor="text1"/>
          <w:lang w:val="es-ES" w:eastAsia="es-ES"/>
        </w:rPr>
      </w:pPr>
      <w:r w:rsidRPr="00DD6814">
        <w:rPr>
          <w:rFonts w:ascii="Verdana" w:eastAsia="Calibri" w:hAnsi="Verdana" w:cs="Arial"/>
          <w:color w:val="000000" w:themeColor="text1"/>
          <w:lang w:val="es-ES" w:eastAsia="es-ES"/>
        </w:rPr>
        <w:t>En ejercicio de la competencia otorgada por los artículos 3, numeral 5º, y 11, numeral 8º, del Decreto Ley 4170 de 2011,</w:t>
      </w:r>
      <w:r w:rsidRPr="00DD6814">
        <w:rPr>
          <w:rFonts w:ascii="Verdana" w:eastAsia="Arial MT" w:hAnsi="Verdana" w:cs="Arial MT"/>
          <w:color w:val="000000" w:themeColor="text1"/>
          <w:lang w:val="es-ES" w:eastAsia="es-ES"/>
        </w:rPr>
        <w:t xml:space="preserve"> </w:t>
      </w:r>
      <w:r w:rsidRPr="00DD6814">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concepto del 31 de octubre 2025, en la cual manifiesta lo siguiente:</w:t>
      </w:r>
      <w:r w:rsidRPr="00DD6814">
        <w:rPr>
          <w:rFonts w:ascii="Verdana" w:eastAsia="Calibri" w:hAnsi="Verdana" w:cs="Arial"/>
          <w:color w:val="000000" w:themeColor="text1"/>
          <w:lang w:val="es-ES" w:eastAsia="es-ES"/>
        </w:rPr>
        <w:t xml:space="preserve"> </w:t>
      </w:r>
    </w:p>
    <w:p w14:paraId="7FD1FDF8" w14:textId="77777777" w:rsidR="009A4B74" w:rsidRPr="00DD6814" w:rsidRDefault="009A4B74" w:rsidP="009A4B74">
      <w:pPr>
        <w:spacing w:after="0" w:line="276" w:lineRule="auto"/>
        <w:jc w:val="both"/>
        <w:rPr>
          <w:rFonts w:ascii="Verdana" w:eastAsia="Calibri" w:hAnsi="Verdana" w:cs="Arial"/>
          <w:color w:val="000000" w:themeColor="text1"/>
          <w:lang w:val="es-ES" w:eastAsia="es-ES"/>
        </w:rPr>
      </w:pPr>
    </w:p>
    <w:p w14:paraId="36090789" w14:textId="77777777" w:rsidR="009A4B74" w:rsidRDefault="009A4B74" w:rsidP="009A4B74">
      <w:pPr>
        <w:spacing w:after="0"/>
        <w:ind w:left="720" w:right="709"/>
        <w:jc w:val="both"/>
        <w:rPr>
          <w:rFonts w:ascii="Verdana" w:eastAsia="Century Gothic" w:hAnsi="Verdana" w:cs="Century Gothic"/>
          <w:color w:val="000000" w:themeColor="text1"/>
          <w:sz w:val="20"/>
          <w:szCs w:val="20"/>
          <w:lang w:val="es-ES"/>
        </w:rPr>
      </w:pPr>
      <w:r w:rsidRPr="00DD6814">
        <w:rPr>
          <w:rFonts w:ascii="Verdana" w:eastAsia="Century Gothic" w:hAnsi="Verdana" w:cs="Century Gothic"/>
          <w:color w:val="000000" w:themeColor="text1"/>
          <w:sz w:val="20"/>
          <w:szCs w:val="20"/>
          <w:lang w:val="es-ES"/>
        </w:rPr>
        <w:t>“ 5.</w:t>
      </w:r>
      <w:r w:rsidRPr="00DD6814">
        <w:rPr>
          <w:rFonts w:ascii="Verdana" w:eastAsia="Century Gothic" w:hAnsi="Verdana" w:cs="Century Gothic"/>
          <w:color w:val="000000" w:themeColor="text1"/>
          <w:sz w:val="20"/>
          <w:szCs w:val="20"/>
          <w:lang w:val="es-ES"/>
        </w:rPr>
        <w:tab/>
        <w:t>Dentro de las funciones de La Agencia Nacional de Contratación Pública -Colombia Compra Eficiente, consignadas en el Decreto 4170 de 2011 en el artículo 3, se encuentra que en el numeral 1 una de sus funciones es la de “</w:t>
      </w:r>
      <w:r w:rsidRPr="00DD6814">
        <w:rPr>
          <w:rFonts w:ascii="Verdana" w:eastAsia="Century Gothic" w:hAnsi="Verdana" w:cs="Century Gothic"/>
          <w:i/>
          <w:iCs/>
          <w:color w:val="000000" w:themeColor="text1"/>
          <w:sz w:val="20"/>
          <w:szCs w:val="20"/>
          <w:lang w:val="es-ES"/>
        </w:rPr>
        <w:t>Proponer al Gobierno Nacional las políticas públicas, planes, programas y normas en materia de compras y contratación pública buscando la efectividad entre la oferta y la demanda en el mercado y criterios de racionalización normativa, con el fin de lograr una mayor eficiencia, transparencia y optimización de los recursos del Estado</w:t>
      </w:r>
      <w:r w:rsidRPr="00DD6814">
        <w:rPr>
          <w:rFonts w:ascii="Verdana" w:eastAsia="Century Gothic" w:hAnsi="Verdana" w:cs="Century Gothic"/>
          <w:color w:val="000000" w:themeColor="text1"/>
          <w:sz w:val="20"/>
          <w:szCs w:val="20"/>
          <w:lang w:val="es-ES"/>
        </w:rPr>
        <w:t xml:space="preserve">”, por lo que correspondió a esta entidad proyectar el contenido del Decreto 1860 de 2021 que contiene la normativa anteriormente referida. </w:t>
      </w:r>
    </w:p>
    <w:p w14:paraId="67577699" w14:textId="77777777" w:rsidR="000E0B1D" w:rsidRPr="00DD6814" w:rsidRDefault="000E0B1D" w:rsidP="009A4B74">
      <w:pPr>
        <w:spacing w:after="0"/>
        <w:ind w:left="720" w:right="709"/>
        <w:jc w:val="both"/>
        <w:rPr>
          <w:rFonts w:ascii="Verdana" w:eastAsia="Century Gothic" w:hAnsi="Verdana" w:cs="Century Gothic"/>
          <w:color w:val="000000" w:themeColor="text1"/>
          <w:sz w:val="20"/>
          <w:szCs w:val="20"/>
          <w:lang w:val="es-ES"/>
        </w:rPr>
      </w:pPr>
    </w:p>
    <w:p w14:paraId="1372D0BD" w14:textId="77777777" w:rsidR="009A4B74" w:rsidRPr="00DD6814" w:rsidRDefault="009A4B74" w:rsidP="009A4B74">
      <w:pPr>
        <w:spacing w:after="0"/>
        <w:ind w:left="720" w:right="709"/>
        <w:jc w:val="both"/>
        <w:rPr>
          <w:rFonts w:ascii="Verdana" w:eastAsia="Century Gothic" w:hAnsi="Verdana" w:cs="Century Gothic"/>
          <w:color w:val="000000" w:themeColor="text1"/>
          <w:sz w:val="20"/>
          <w:szCs w:val="20"/>
          <w:lang w:val="es-ES"/>
        </w:rPr>
      </w:pPr>
      <w:r w:rsidRPr="00DD6814">
        <w:rPr>
          <w:rFonts w:ascii="Verdana" w:eastAsia="Century Gothic" w:hAnsi="Verdana" w:cs="Century Gothic"/>
          <w:color w:val="000000" w:themeColor="text1"/>
          <w:sz w:val="20"/>
          <w:szCs w:val="20"/>
          <w:lang w:val="es-ES"/>
        </w:rPr>
        <w:t xml:space="preserve">[…] </w:t>
      </w:r>
      <w:proofErr w:type="spellStart"/>
      <w:r w:rsidRPr="00DD6814">
        <w:rPr>
          <w:rFonts w:ascii="Verdana" w:eastAsia="Century Gothic" w:hAnsi="Verdana" w:cs="Century Gothic"/>
          <w:color w:val="000000" w:themeColor="text1"/>
          <w:sz w:val="20"/>
          <w:szCs w:val="20"/>
          <w:lang w:val="es-ES"/>
        </w:rPr>
        <w:t>Por que</w:t>
      </w:r>
      <w:proofErr w:type="spellEnd"/>
      <w:r w:rsidRPr="00DD6814">
        <w:rPr>
          <w:rFonts w:ascii="Verdana" w:eastAsia="Century Gothic" w:hAnsi="Verdana" w:cs="Century Gothic"/>
          <w:color w:val="000000" w:themeColor="text1"/>
          <w:sz w:val="20"/>
          <w:szCs w:val="20"/>
          <w:lang w:val="es-ES"/>
        </w:rPr>
        <w:t xml:space="preserve">́ no se </w:t>
      </w:r>
      <w:proofErr w:type="spellStart"/>
      <w:r w:rsidRPr="00DD6814">
        <w:rPr>
          <w:rFonts w:ascii="Verdana" w:eastAsia="Century Gothic" w:hAnsi="Verdana" w:cs="Century Gothic"/>
          <w:color w:val="000000" w:themeColor="text1"/>
          <w:sz w:val="20"/>
          <w:szCs w:val="20"/>
          <w:lang w:val="es-ES"/>
        </w:rPr>
        <w:t>contemplo</w:t>
      </w:r>
      <w:proofErr w:type="spellEnd"/>
      <w:r w:rsidRPr="00DD6814">
        <w:rPr>
          <w:rFonts w:ascii="Verdana" w:eastAsia="Century Gothic" w:hAnsi="Verdana" w:cs="Century Gothic"/>
          <w:color w:val="000000" w:themeColor="text1"/>
          <w:sz w:val="20"/>
          <w:szCs w:val="20"/>
          <w:lang w:val="es-ES"/>
        </w:rPr>
        <w:t xml:space="preserve">́ por la agencia nacional de contratación la publicación de un proyecto de </w:t>
      </w:r>
      <w:proofErr w:type="spellStart"/>
      <w:r w:rsidRPr="00DD6814">
        <w:rPr>
          <w:rFonts w:ascii="Verdana" w:eastAsia="Century Gothic" w:hAnsi="Verdana" w:cs="Century Gothic"/>
          <w:color w:val="000000" w:themeColor="text1"/>
          <w:sz w:val="20"/>
          <w:szCs w:val="20"/>
          <w:lang w:val="es-ES"/>
        </w:rPr>
        <w:t>invitación</w:t>
      </w:r>
      <w:proofErr w:type="spellEnd"/>
      <w:r w:rsidRPr="00DD6814">
        <w:rPr>
          <w:rFonts w:ascii="Verdana" w:eastAsia="Century Gothic" w:hAnsi="Verdana" w:cs="Century Gothic"/>
          <w:color w:val="000000" w:themeColor="text1"/>
          <w:sz w:val="20"/>
          <w:szCs w:val="20"/>
          <w:lang w:val="es-ES"/>
        </w:rPr>
        <w:t xml:space="preserve"> a presentar ofertas, en </w:t>
      </w:r>
      <w:r w:rsidRPr="00DD6814">
        <w:rPr>
          <w:rFonts w:ascii="Verdana" w:eastAsia="Century Gothic" w:hAnsi="Verdana" w:cs="Century Gothic"/>
          <w:color w:val="000000" w:themeColor="text1"/>
          <w:sz w:val="20"/>
          <w:szCs w:val="20"/>
          <w:lang w:val="es-ES"/>
        </w:rPr>
        <w:lastRenderedPageBreak/>
        <w:t>incumplimiento del artículo 8 de la ley 1150 de 2007?</w:t>
      </w:r>
      <w:r w:rsidRPr="00DD6814">
        <w:rPr>
          <w:rFonts w:ascii="Verdana" w:eastAsia="Century Gothic" w:hAnsi="Verdana" w:cs="Century Gothic"/>
          <w:color w:val="000000" w:themeColor="text1"/>
          <w:sz w:val="20"/>
          <w:szCs w:val="20"/>
          <w:lang w:val="es-ES"/>
        </w:rPr>
        <w:br/>
        <w:t>¿</w:t>
      </w:r>
      <w:proofErr w:type="spellStart"/>
      <w:r w:rsidRPr="00DD6814">
        <w:rPr>
          <w:rFonts w:ascii="Verdana" w:eastAsia="Century Gothic" w:hAnsi="Verdana" w:cs="Century Gothic"/>
          <w:color w:val="000000" w:themeColor="text1"/>
          <w:sz w:val="20"/>
          <w:szCs w:val="20"/>
          <w:lang w:val="es-ES"/>
        </w:rPr>
        <w:t>Por que</w:t>
      </w:r>
      <w:proofErr w:type="spellEnd"/>
      <w:r w:rsidRPr="00DD6814">
        <w:rPr>
          <w:rFonts w:ascii="Verdana" w:eastAsia="Century Gothic" w:hAnsi="Verdana" w:cs="Century Gothic"/>
          <w:color w:val="000000" w:themeColor="text1"/>
          <w:sz w:val="20"/>
          <w:szCs w:val="20"/>
          <w:lang w:val="es-ES"/>
        </w:rPr>
        <w:t xml:space="preserve">́ se </w:t>
      </w:r>
      <w:proofErr w:type="spellStart"/>
      <w:r w:rsidRPr="00DD6814">
        <w:rPr>
          <w:rFonts w:ascii="Verdana" w:eastAsia="Century Gothic" w:hAnsi="Verdana" w:cs="Century Gothic"/>
          <w:color w:val="000000" w:themeColor="text1"/>
          <w:sz w:val="20"/>
          <w:szCs w:val="20"/>
          <w:lang w:val="es-ES"/>
        </w:rPr>
        <w:t>incluyo</w:t>
      </w:r>
      <w:proofErr w:type="spellEnd"/>
      <w:r w:rsidRPr="00DD6814">
        <w:rPr>
          <w:rFonts w:ascii="Verdana" w:eastAsia="Century Gothic" w:hAnsi="Verdana" w:cs="Century Gothic"/>
          <w:color w:val="000000" w:themeColor="text1"/>
          <w:sz w:val="20"/>
          <w:szCs w:val="20"/>
          <w:lang w:val="es-ES"/>
        </w:rPr>
        <w:t xml:space="preserve">́ en el numeral tercero del articulo 2.2.1.2.1.5.2, las observaciones y comentarios a la </w:t>
      </w:r>
      <w:proofErr w:type="spellStart"/>
      <w:r w:rsidRPr="00DD6814">
        <w:rPr>
          <w:rFonts w:ascii="Verdana" w:eastAsia="Century Gothic" w:hAnsi="Verdana" w:cs="Century Gothic"/>
          <w:color w:val="000000" w:themeColor="text1"/>
          <w:sz w:val="20"/>
          <w:szCs w:val="20"/>
          <w:lang w:val="es-ES"/>
        </w:rPr>
        <w:t>invitación</w:t>
      </w:r>
      <w:proofErr w:type="spellEnd"/>
      <w:r w:rsidRPr="00DD6814">
        <w:rPr>
          <w:rFonts w:ascii="Verdana" w:eastAsia="Century Gothic" w:hAnsi="Verdana" w:cs="Century Gothic"/>
          <w:color w:val="000000" w:themeColor="text1"/>
          <w:sz w:val="20"/>
          <w:szCs w:val="20"/>
          <w:lang w:val="es-ES"/>
        </w:rPr>
        <w:t xml:space="preserve"> de presentar oferta, una vez ya iniciado el procedimiento?</w:t>
      </w:r>
      <w:r w:rsidRPr="00DD6814">
        <w:rPr>
          <w:rFonts w:ascii="Verdana" w:hAnsi="Verdana" w:cs="Times New Roman"/>
          <w:sz w:val="20"/>
          <w:szCs w:val="20"/>
          <w:lang w:val="es-ES"/>
        </w:rPr>
        <w:t>”</w:t>
      </w:r>
    </w:p>
    <w:p w14:paraId="36BE9E74" w14:textId="77777777" w:rsidR="009A4B74" w:rsidRPr="00DD6814" w:rsidRDefault="009A4B74" w:rsidP="009A4B74">
      <w:pPr>
        <w:spacing w:after="0"/>
        <w:ind w:right="709"/>
        <w:jc w:val="both"/>
        <w:rPr>
          <w:rFonts w:ascii="Verdana" w:eastAsia="Century Gothic" w:hAnsi="Verdana" w:cs="Century Gothic"/>
          <w:i/>
          <w:iCs/>
          <w:color w:val="000000" w:themeColor="text1"/>
          <w:sz w:val="20"/>
          <w:szCs w:val="20"/>
          <w:lang w:val="es-ES"/>
        </w:rPr>
      </w:pPr>
    </w:p>
    <w:p w14:paraId="49D1A008" w14:textId="77777777" w:rsidR="009A4B74" w:rsidRPr="00DD6814" w:rsidRDefault="009A4B74" w:rsidP="009A4B74">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DD681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D6814">
        <w:rPr>
          <w:rFonts w:ascii="Verdana" w:eastAsia="Calibri" w:hAnsi="Verdana" w:cs="Arial"/>
          <w:color w:val="000000" w:themeColor="text1"/>
          <w:szCs w:val="24"/>
          <w:lang w:val="es-ES" w:eastAsia="es-ES_tradnl"/>
        </w:rPr>
        <w:tab/>
      </w:r>
    </w:p>
    <w:p w14:paraId="09F52F39" w14:textId="77777777" w:rsidR="009A4B74" w:rsidRPr="00DD6814" w:rsidRDefault="009A4B74" w:rsidP="009A4B74">
      <w:pPr>
        <w:spacing w:before="120" w:after="120" w:line="276" w:lineRule="auto"/>
        <w:ind w:firstLine="709"/>
        <w:jc w:val="both"/>
        <w:rPr>
          <w:rFonts w:ascii="Verdana" w:eastAsia="Calibri" w:hAnsi="Verdana" w:cs="Arial"/>
          <w:color w:val="000000" w:themeColor="text1"/>
          <w:lang w:val="es-ES" w:eastAsia="es-ES"/>
        </w:rPr>
      </w:pPr>
      <w:r w:rsidRPr="00DD681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1E2148CB" w14:textId="77777777" w:rsidR="009A4B74" w:rsidRPr="00DD6814" w:rsidRDefault="009A4B74" w:rsidP="009A4B74">
      <w:pPr>
        <w:spacing w:after="0" w:line="276" w:lineRule="auto"/>
        <w:jc w:val="both"/>
        <w:rPr>
          <w:rFonts w:ascii="Verdana" w:eastAsia="Calibri" w:hAnsi="Verdana" w:cs="Arial"/>
          <w:color w:val="000000" w:themeColor="text1"/>
          <w:lang w:val="es-ES" w:eastAsia="es-ES"/>
        </w:rPr>
      </w:pPr>
    </w:p>
    <w:p w14:paraId="7DF2583A" w14:textId="77777777" w:rsidR="009A4B74" w:rsidRPr="00DD6814" w:rsidRDefault="009A4B74" w:rsidP="009A4B74">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DD6814">
        <w:rPr>
          <w:rFonts w:ascii="Verdana" w:eastAsia="Century Gothic" w:hAnsi="Verdana" w:cs="Century Gothic"/>
          <w:b/>
          <w:bCs/>
          <w:color w:val="000000" w:themeColor="text1"/>
        </w:rPr>
        <w:t>Problema planteado:</w:t>
      </w:r>
    </w:p>
    <w:p w14:paraId="552FAA05" w14:textId="77777777" w:rsidR="009A4B74" w:rsidRPr="00DD6814" w:rsidRDefault="009A4B74" w:rsidP="009A4B74">
      <w:pPr>
        <w:tabs>
          <w:tab w:val="left" w:pos="426"/>
        </w:tabs>
        <w:spacing w:after="0" w:line="276" w:lineRule="auto"/>
        <w:jc w:val="both"/>
        <w:rPr>
          <w:rFonts w:ascii="Verdana" w:eastAsia="Century Gothic" w:hAnsi="Verdana" w:cs="Century Gothic"/>
          <w:color w:val="000000" w:themeColor="text1"/>
          <w:lang w:val="es-ES"/>
        </w:rPr>
      </w:pPr>
    </w:p>
    <w:p w14:paraId="209A72E3" w14:textId="77777777" w:rsidR="009A4B74" w:rsidRPr="00DD6814" w:rsidRDefault="009A4B74" w:rsidP="009A4B74">
      <w:pPr>
        <w:spacing w:after="0" w:line="276" w:lineRule="auto"/>
        <w:jc w:val="both"/>
        <w:rPr>
          <w:rFonts w:ascii="Verdana" w:eastAsia="Century Gothic" w:hAnsi="Verdana" w:cs="Century Gothic"/>
          <w:color w:val="000000" w:themeColor="text1"/>
          <w:lang w:val="es-ES"/>
        </w:rPr>
      </w:pPr>
      <w:r w:rsidRPr="00DD6814">
        <w:rPr>
          <w:rFonts w:ascii="Verdana" w:eastAsia="Century Gothic" w:hAnsi="Verdana" w:cs="Century Gothic"/>
          <w:color w:val="000000" w:themeColor="text1"/>
          <w:lang w:val="es-ES"/>
        </w:rPr>
        <w:t>De acuerdo con el contenido de su solicitud, esta Agencia resolverá el siguiente problema jurídico:</w:t>
      </w:r>
      <w:r w:rsidRPr="00DD6814">
        <w:rPr>
          <w:rFonts w:ascii="Verdana" w:eastAsia="Century Gothic" w:hAnsi="Verdana" w:cs="Century Gothic"/>
          <w:lang w:val="es-ES"/>
        </w:rPr>
        <w:t xml:space="preserve"> ¿Cuál es el fundamento jurídico de las reglas que estableció el Decreto 1860 de 2021 para la publicación de la invitación en los procesos de mínima cuantía? </w:t>
      </w:r>
    </w:p>
    <w:p w14:paraId="6036259C" w14:textId="77777777" w:rsidR="009A4B74" w:rsidRPr="00DD6814" w:rsidRDefault="009A4B74" w:rsidP="009A4B74">
      <w:pPr>
        <w:spacing w:after="0" w:line="276" w:lineRule="auto"/>
        <w:jc w:val="both"/>
        <w:rPr>
          <w:rFonts w:ascii="Verdana" w:eastAsia="Calibri" w:hAnsi="Verdana" w:cs="Arial"/>
          <w:color w:val="000000" w:themeColor="text1"/>
          <w:lang w:val="es-ES"/>
        </w:rPr>
      </w:pPr>
    </w:p>
    <w:p w14:paraId="184DC5E3" w14:textId="77777777" w:rsidR="009A4B74" w:rsidRPr="00DD6814" w:rsidRDefault="009A4B74" w:rsidP="009A4B74">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D6814">
        <w:rPr>
          <w:rFonts w:ascii="Verdana" w:eastAsia="Century Gothic" w:hAnsi="Verdana" w:cs="Century Gothic"/>
          <w:b/>
          <w:bCs/>
          <w:color w:val="000000" w:themeColor="text1"/>
        </w:rPr>
        <w:t>Respuesta:</w:t>
      </w:r>
    </w:p>
    <w:p w14:paraId="7AAD64BC" w14:textId="77777777" w:rsidR="009A4B74" w:rsidRPr="00DD6814" w:rsidRDefault="009A4B74" w:rsidP="009A4B7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4B74" w:rsidRPr="00DD6814" w14:paraId="65A6BE9C" w14:textId="77777777" w:rsidTr="0030338F">
        <w:tc>
          <w:tcPr>
            <w:tcW w:w="8828" w:type="dxa"/>
          </w:tcPr>
          <w:p w14:paraId="68FE873E" w14:textId="77777777" w:rsidR="009A4B74" w:rsidRPr="00DD6814" w:rsidRDefault="009A4B74" w:rsidP="0030338F">
            <w:pPr>
              <w:snapToGrid w:val="0"/>
              <w:spacing w:before="120" w:after="120" w:line="276" w:lineRule="auto"/>
              <w:jc w:val="both"/>
              <w:rPr>
                <w:rFonts w:ascii="Verdana" w:eastAsia="Calibri" w:hAnsi="Verdana" w:cs="Arial"/>
                <w:color w:val="000000" w:themeColor="text1"/>
                <w:lang w:val="es-ES"/>
              </w:rPr>
            </w:pPr>
            <w:r w:rsidRPr="00DD6814">
              <w:rPr>
                <w:rFonts w:ascii="Verdana" w:hAnsi="Verdana" w:cs="Arial"/>
                <w:color w:val="000000" w:themeColor="text1"/>
                <w:lang w:val="es-ES"/>
              </w:rPr>
              <w:t xml:space="preserve">El artículo 30 de la </w:t>
            </w:r>
            <w:r w:rsidRPr="00DD6814">
              <w:rPr>
                <w:rFonts w:ascii="Verdana" w:eastAsia="Calibri" w:hAnsi="Verdana" w:cs="Arial"/>
                <w:color w:val="000000" w:themeColor="text1"/>
                <w:lang w:val="es-ES"/>
              </w:rPr>
              <w:t>Ley 2069 de 2020 –conocida como Ley de Emprendimiento– modificó el numeral 5 del artículo 2 de la Ley 1150 de 2007, el cual regula la modalidad de selección de mínima cuantía. La norma estableció que l</w:t>
            </w:r>
            <w:r w:rsidRPr="006D0F99">
              <w:rPr>
                <w:rFonts w:ascii="Verdana" w:eastAsia="Calibri" w:hAnsi="Verdana" w:cs="Arial"/>
                <w:color w:val="000000" w:themeColor="text1"/>
                <w:lang w:val="es-ES"/>
              </w:rPr>
              <w:t xml:space="preserve">a contratación </w:t>
            </w:r>
            <w:r w:rsidRPr="00DD6814">
              <w:rPr>
                <w:rFonts w:ascii="Verdana" w:eastAsia="Calibri" w:hAnsi="Verdana" w:cs="Arial"/>
                <w:color w:val="000000" w:themeColor="text1"/>
                <w:lang w:val="es-ES"/>
              </w:rPr>
              <w:t>mediante esta modalidad s</w:t>
            </w:r>
            <w:r w:rsidRPr="006D0F99">
              <w:rPr>
                <w:rFonts w:ascii="Verdana" w:eastAsia="Calibri" w:hAnsi="Verdana" w:cs="Arial"/>
                <w:color w:val="000000" w:themeColor="text1"/>
                <w:lang w:val="es-ES"/>
              </w:rPr>
              <w:t>e efectuar</w:t>
            </w:r>
            <w:r w:rsidRPr="00DD6814">
              <w:rPr>
                <w:rFonts w:ascii="Verdana" w:eastAsia="Calibri" w:hAnsi="Verdana" w:cs="Arial"/>
                <w:color w:val="000000" w:themeColor="text1"/>
                <w:lang w:val="es-ES"/>
              </w:rPr>
              <w:t>ía</w:t>
            </w:r>
            <w:r w:rsidRPr="006D0F99">
              <w:rPr>
                <w:rFonts w:ascii="Verdana" w:eastAsia="Calibri" w:hAnsi="Verdana" w:cs="Arial"/>
                <w:color w:val="000000" w:themeColor="text1"/>
                <w:lang w:val="es-ES"/>
              </w:rPr>
              <w:t xml:space="preserve"> de conformidad con las </w:t>
            </w:r>
            <w:r w:rsidRPr="006D0F99">
              <w:rPr>
                <w:rFonts w:ascii="Verdana" w:eastAsia="Calibri" w:hAnsi="Verdana" w:cs="Arial"/>
                <w:color w:val="000000" w:themeColor="text1"/>
                <w:lang w:val="es-ES"/>
              </w:rPr>
              <w:lastRenderedPageBreak/>
              <w:t xml:space="preserve">siguientes reglas: </w:t>
            </w:r>
            <w:r w:rsidRPr="00DD6814">
              <w:rPr>
                <w:rFonts w:ascii="Verdana" w:eastAsia="Calibri" w:hAnsi="Verdana" w:cs="Arial"/>
                <w:color w:val="000000" w:themeColor="text1"/>
                <w:lang w:val="es-ES"/>
              </w:rPr>
              <w:t>“</w:t>
            </w:r>
            <w:r w:rsidRPr="006D0F99">
              <w:rPr>
                <w:rFonts w:ascii="Verdana" w:eastAsia="Calibri" w:hAnsi="Verdana" w:cs="Arial"/>
                <w:color w:val="000000" w:themeColor="text1"/>
                <w:lang w:val="es-ES"/>
              </w:rPr>
              <w:t xml:space="preserve">a) </w:t>
            </w:r>
            <w:r w:rsidRPr="006D0F99">
              <w:rPr>
                <w:rFonts w:ascii="Verdana" w:eastAsia="Calibri" w:hAnsi="Verdana" w:cs="Arial"/>
                <w:i/>
                <w:iCs/>
                <w:color w:val="000000" w:themeColor="text1"/>
                <w:lang w:val="es-ES"/>
              </w:rPr>
              <w:t>Se publicará una</w:t>
            </w:r>
            <w:r w:rsidRPr="006D0F99">
              <w:rPr>
                <w:rFonts w:ascii="Verdana" w:eastAsia="Calibri" w:hAnsi="Verdana" w:cs="Arial"/>
                <w:i/>
                <w:iCs/>
                <w:color w:val="000000" w:themeColor="text1"/>
                <w:u w:val="single"/>
                <w:lang w:val="es-ES"/>
              </w:rPr>
              <w:t xml:space="preserve"> invitación</w:t>
            </w:r>
            <w:r w:rsidRPr="006D0F99">
              <w:rPr>
                <w:rFonts w:ascii="Verdana" w:eastAsia="Calibri" w:hAnsi="Verdana" w:cs="Arial"/>
                <w:i/>
                <w:iCs/>
                <w:color w:val="000000" w:themeColor="text1"/>
                <w:lang w:val="es-ES"/>
              </w:rPr>
              <w:t>, por un término no inferior a</w:t>
            </w:r>
            <w:r w:rsidRPr="006D0F99">
              <w:rPr>
                <w:rFonts w:ascii="Verdana" w:eastAsia="Calibri" w:hAnsi="Verdana" w:cs="Arial"/>
                <w:i/>
                <w:iCs/>
                <w:color w:val="000000" w:themeColor="text1"/>
                <w:u w:val="single"/>
                <w:lang w:val="es-ES"/>
              </w:rPr>
              <w:t xml:space="preserve"> un día hábil</w:t>
            </w:r>
            <w:r w:rsidRPr="006D0F99">
              <w:rPr>
                <w:rFonts w:ascii="Verdana" w:eastAsia="Calibri" w:hAnsi="Verdana" w:cs="Arial"/>
                <w:color w:val="000000" w:themeColor="text1"/>
                <w:lang w:val="es-ES"/>
              </w:rPr>
              <w:t>, en la cual se señalará el objeto a contratar, el presupuesto destinado para tal fin, así como las condiciones técnicas exigidas; b) El término previsto en la invitación para presentar la oferta no podrá ser inferior a un día hábil</w:t>
            </w:r>
            <w:r w:rsidRPr="00DD6814">
              <w:rPr>
                <w:rFonts w:ascii="Verdana" w:eastAsia="Calibri" w:hAnsi="Verdana" w:cs="Arial"/>
                <w:color w:val="000000" w:themeColor="text1"/>
                <w:lang w:val="es-ES"/>
              </w:rPr>
              <w:t xml:space="preserve"> […]”. </w:t>
            </w:r>
          </w:p>
          <w:p w14:paraId="0797349C" w14:textId="77777777" w:rsidR="009A4B74" w:rsidRDefault="009A4B74" w:rsidP="0030338F">
            <w:pPr>
              <w:snapToGrid w:val="0"/>
              <w:spacing w:before="120" w:after="120" w:line="276" w:lineRule="auto"/>
              <w:ind w:firstLine="708"/>
              <w:jc w:val="both"/>
              <w:rPr>
                <w:rFonts w:ascii="Verdana" w:eastAsia="Calibri" w:hAnsi="Verdana" w:cs="Arial"/>
                <w:color w:val="000000" w:themeColor="text1"/>
                <w:lang w:val="es-ES"/>
              </w:rPr>
            </w:pPr>
            <w:r w:rsidRPr="00DD6814">
              <w:rPr>
                <w:rFonts w:ascii="Verdana" w:eastAsia="Calibri" w:hAnsi="Verdana" w:cs="Arial"/>
                <w:color w:val="000000" w:themeColor="text1"/>
                <w:lang w:val="es-ES"/>
              </w:rPr>
              <w:t>Adicionalmente, el parágrafo primero del artículo 30 señaló que “</w:t>
            </w:r>
            <w:r w:rsidRPr="006D0F99">
              <w:rPr>
                <w:rFonts w:ascii="Verdana" w:eastAsia="Calibri" w:hAnsi="Verdana" w:cs="Arial"/>
                <w:color w:val="000000" w:themeColor="text1"/>
                <w:lang w:val="es-ES"/>
              </w:rPr>
              <w:t xml:space="preserve">Las particularidades del procedimiento </w:t>
            </w:r>
            <w:r w:rsidRPr="006D0F99">
              <w:rPr>
                <w:rFonts w:ascii="Verdana" w:eastAsia="Calibri" w:hAnsi="Verdana" w:cs="Arial"/>
                <w:i/>
                <w:iCs/>
                <w:color w:val="000000" w:themeColor="text1"/>
                <w:u w:val="single"/>
                <w:lang w:val="es-ES"/>
              </w:rPr>
              <w:t>aquí previsto</w:t>
            </w:r>
            <w:r w:rsidRPr="006D0F99">
              <w:rPr>
                <w:rFonts w:ascii="Verdana" w:eastAsia="Calibri" w:hAnsi="Verdana" w:cs="Arial"/>
                <w:color w:val="000000" w:themeColor="text1"/>
                <w:lang w:val="es-ES"/>
              </w:rPr>
              <w:t>, así como la posibilidad que tengan las entidades de realizar estas adquisiciones a MiPymes o establecimientos que correspondan a la definición de "gran almacén"</w:t>
            </w:r>
            <w:r w:rsidRPr="00DD6814">
              <w:rPr>
                <w:rFonts w:ascii="Verdana" w:eastAsia="Calibri" w:hAnsi="Verdana" w:cs="Arial"/>
                <w:color w:val="000000" w:themeColor="text1"/>
                <w:lang w:val="es-ES"/>
              </w:rPr>
              <w:t xml:space="preserve"> se</w:t>
            </w:r>
            <w:r>
              <w:rPr>
                <w:rFonts w:ascii="Verdana" w:eastAsia="Calibri" w:hAnsi="Verdana" w:cs="Arial"/>
                <w:color w:val="000000" w:themeColor="text1"/>
                <w:lang w:val="es-ES"/>
              </w:rPr>
              <w:t xml:space="preserve">rían determinadas por </w:t>
            </w:r>
            <w:r w:rsidRPr="00DD6814">
              <w:rPr>
                <w:rFonts w:ascii="Verdana" w:eastAsia="Calibri" w:hAnsi="Verdana" w:cs="Arial"/>
                <w:color w:val="000000" w:themeColor="text1"/>
                <w:lang w:val="es-ES"/>
              </w:rPr>
              <w:t xml:space="preserve">el gobierno nacional en el reglamento. En ejercicio de </w:t>
            </w:r>
            <w:r>
              <w:rPr>
                <w:rFonts w:ascii="Verdana" w:eastAsia="Calibri" w:hAnsi="Verdana" w:cs="Arial"/>
                <w:color w:val="000000" w:themeColor="text1"/>
                <w:lang w:val="es-ES"/>
              </w:rPr>
              <w:t>l</w:t>
            </w:r>
            <w:r w:rsidRPr="00DD6814">
              <w:rPr>
                <w:rFonts w:ascii="Verdana" w:eastAsia="Calibri" w:hAnsi="Verdana" w:cs="Arial"/>
                <w:color w:val="000000" w:themeColor="text1"/>
                <w:lang w:val="es-ES"/>
              </w:rPr>
              <w:t>a potestad</w:t>
            </w:r>
            <w:r>
              <w:rPr>
                <w:rFonts w:ascii="Verdana" w:eastAsia="Calibri" w:hAnsi="Verdana" w:cs="Arial"/>
                <w:color w:val="000000" w:themeColor="text1"/>
                <w:lang w:val="es-ES"/>
              </w:rPr>
              <w:t xml:space="preserve"> reglamentaria</w:t>
            </w:r>
            <w:r w:rsidRPr="00DD6814">
              <w:rPr>
                <w:rFonts w:ascii="Verdana" w:eastAsia="Calibri" w:hAnsi="Verdana" w:cs="Arial"/>
                <w:color w:val="000000" w:themeColor="text1"/>
                <w:lang w:val="es-ES"/>
              </w:rPr>
              <w:t xml:space="preserve">, el gobierno nacional expidió el Decreto 1860 de 2021 cuyo artículo segundo modificó la Subsección 5 de la Sección 1 del Capítulo 2 del Título 1 de la Parte 2 del Libro 2 del Decreto 1082 de 2015, que se titula “mínima cuantía”. En este sentido, el </w:t>
            </w:r>
            <w:r>
              <w:rPr>
                <w:rFonts w:ascii="Verdana" w:eastAsia="Calibri" w:hAnsi="Verdana" w:cs="Arial"/>
                <w:color w:val="000000" w:themeColor="text1"/>
                <w:lang w:val="es-ES"/>
              </w:rPr>
              <w:t xml:space="preserve">decreto </w:t>
            </w:r>
            <w:r w:rsidRPr="00DD6814">
              <w:rPr>
                <w:rFonts w:ascii="Verdana" w:eastAsia="Calibri" w:hAnsi="Verdana" w:cs="Arial"/>
                <w:color w:val="000000" w:themeColor="text1"/>
                <w:lang w:val="es-ES"/>
              </w:rPr>
              <w:t>estableció el procedimiento general de la mínima cuantía, señalando el contenido mínimo de la “invitación” y las distintas etapas y reglas que estructuran esta modalidad de selección, en línea con las etapas del procedimiento que describió el legislador en el artículo 30 de la Ley 2069 de 2020.</w:t>
            </w:r>
          </w:p>
          <w:p w14:paraId="4ECA0B67" w14:textId="77777777" w:rsidR="009A4B74" w:rsidRPr="00DD6814" w:rsidRDefault="009A4B74" w:rsidP="0030338F">
            <w:pPr>
              <w:snapToGrid w:val="0"/>
              <w:spacing w:before="120" w:after="120" w:line="276" w:lineRule="auto"/>
              <w:ind w:firstLine="708"/>
              <w:jc w:val="both"/>
              <w:rPr>
                <w:rFonts w:ascii="Verdana" w:eastAsia="Calibri" w:hAnsi="Verdana" w:cs="Arial"/>
                <w:color w:val="000000" w:themeColor="text1"/>
                <w:lang w:val="es-ES"/>
              </w:rPr>
            </w:pPr>
            <w:r w:rsidRPr="00DD6814">
              <w:rPr>
                <w:rFonts w:ascii="Verdana" w:eastAsia="Calibri" w:hAnsi="Verdana" w:cs="Arial"/>
                <w:bCs/>
                <w:color w:val="000000" w:themeColor="text1"/>
                <w:lang w:val="es-ES"/>
              </w:rPr>
              <w:t xml:space="preserve">En consecuencia, el decreto </w:t>
            </w:r>
            <w:r>
              <w:rPr>
                <w:rFonts w:ascii="Verdana" w:eastAsia="Calibri" w:hAnsi="Verdana" w:cs="Arial"/>
                <w:bCs/>
                <w:color w:val="000000" w:themeColor="text1"/>
                <w:lang w:val="es-ES"/>
              </w:rPr>
              <w:t>cumplió con el mandato de desarrollar</w:t>
            </w:r>
            <w:r w:rsidRPr="00DD6814">
              <w:rPr>
                <w:rFonts w:ascii="Verdana" w:eastAsia="Calibri" w:hAnsi="Verdana" w:cs="Arial"/>
                <w:bCs/>
                <w:color w:val="000000" w:themeColor="text1"/>
                <w:lang w:val="es-ES"/>
              </w:rPr>
              <w:t xml:space="preserve"> “las particularidades del procedimiento” que ya había previsto el artículo 30 de la </w:t>
            </w:r>
            <w:r>
              <w:rPr>
                <w:rFonts w:ascii="Verdana" w:eastAsia="Calibri" w:hAnsi="Verdana" w:cs="Arial"/>
                <w:bCs/>
                <w:color w:val="000000" w:themeColor="text1"/>
                <w:lang w:val="es-ES"/>
              </w:rPr>
              <w:t>L</w:t>
            </w:r>
            <w:r w:rsidRPr="00DD6814">
              <w:rPr>
                <w:rFonts w:ascii="Verdana" w:eastAsia="Calibri" w:hAnsi="Verdana" w:cs="Arial"/>
                <w:bCs/>
                <w:color w:val="000000" w:themeColor="text1"/>
                <w:lang w:val="es-ES"/>
              </w:rPr>
              <w:t>ey 2069 frente a la publicación de la invitación.</w:t>
            </w:r>
            <w:r>
              <w:rPr>
                <w:rFonts w:ascii="Verdana" w:eastAsia="Calibri" w:hAnsi="Verdana" w:cs="Arial"/>
                <w:bCs/>
                <w:color w:val="000000" w:themeColor="text1"/>
                <w:lang w:val="es-ES"/>
              </w:rPr>
              <w:t xml:space="preserve"> Por esta razón</w:t>
            </w:r>
            <w:r w:rsidRPr="00DD6814">
              <w:rPr>
                <w:rFonts w:ascii="Verdana" w:eastAsia="Calibri" w:hAnsi="Verdana" w:cs="Arial"/>
                <w:bCs/>
                <w:color w:val="000000" w:themeColor="text1"/>
                <w:lang w:val="es-ES"/>
              </w:rPr>
              <w:t>, el artículo del reglamento señaló que  “</w:t>
            </w:r>
            <w:r w:rsidRPr="003474AE">
              <w:rPr>
                <w:rFonts w:ascii="Verdana" w:eastAsia="Calibri" w:hAnsi="Verdana" w:cs="Arial"/>
                <w:bCs/>
                <w:color w:val="000000" w:themeColor="text1"/>
                <w:lang w:val="es-ES"/>
              </w:rPr>
              <w:t xml:space="preserve">3. La </w:t>
            </w:r>
            <w:r w:rsidRPr="003474AE">
              <w:rPr>
                <w:rFonts w:ascii="Verdana" w:eastAsia="Calibri" w:hAnsi="Verdana" w:cs="Arial"/>
                <w:bCs/>
                <w:i/>
                <w:iCs/>
                <w:color w:val="000000" w:themeColor="text1"/>
                <w:u w:val="single"/>
                <w:lang w:val="es-ES"/>
              </w:rPr>
              <w:t xml:space="preserve">invitación </w:t>
            </w:r>
            <w:r w:rsidRPr="003474AE">
              <w:rPr>
                <w:rFonts w:ascii="Verdana" w:eastAsia="Calibri" w:hAnsi="Verdana" w:cs="Arial"/>
                <w:bCs/>
                <w:color w:val="000000" w:themeColor="text1"/>
                <w:lang w:val="es-ES"/>
              </w:rPr>
              <w:t>se publicará por un</w:t>
            </w:r>
            <w:r w:rsidRPr="003474AE">
              <w:rPr>
                <w:rFonts w:ascii="Verdana" w:eastAsia="Calibri" w:hAnsi="Verdana" w:cs="Arial"/>
                <w:bCs/>
                <w:i/>
                <w:iCs/>
                <w:color w:val="000000" w:themeColor="text1"/>
                <w:lang w:val="es-ES"/>
              </w:rPr>
              <w:t xml:space="preserve"> </w:t>
            </w:r>
            <w:r w:rsidRPr="003474AE">
              <w:rPr>
                <w:rFonts w:ascii="Verdana" w:eastAsia="Calibri" w:hAnsi="Verdana" w:cs="Arial"/>
                <w:bCs/>
                <w:i/>
                <w:iCs/>
                <w:color w:val="000000" w:themeColor="text1"/>
                <w:u w:val="single"/>
                <w:lang w:val="es-ES"/>
              </w:rPr>
              <w:t>término no inferior a un (1) día hábil</w:t>
            </w:r>
            <w:r w:rsidRPr="003474AE">
              <w:rPr>
                <w:rFonts w:ascii="Verdana" w:eastAsia="Calibri" w:hAnsi="Verdana" w:cs="Arial"/>
                <w:bCs/>
                <w:color w:val="000000" w:themeColor="text1"/>
                <w:lang w:val="es-ES"/>
              </w:rPr>
              <w:t xml:space="preserve"> para que los interesados se informen de su contenido y formulen observaciones o comentarios, los cuales serán contestados por la Entidad Estatal antes del inicio del plazo para presentar ofertas</w:t>
            </w:r>
            <w:r w:rsidRPr="00DD6814">
              <w:rPr>
                <w:rFonts w:ascii="Verdana" w:eastAsia="Calibri" w:hAnsi="Verdana" w:cs="Arial"/>
                <w:bCs/>
                <w:color w:val="000000" w:themeColor="text1"/>
                <w:lang w:val="es-ES"/>
              </w:rPr>
              <w:t xml:space="preserve"> […]” y que “</w:t>
            </w:r>
            <w:r w:rsidRPr="003474AE">
              <w:rPr>
                <w:rFonts w:ascii="Verdana" w:eastAsia="Calibri" w:hAnsi="Verdana" w:cs="Arial"/>
                <w:bCs/>
                <w:color w:val="000000" w:themeColor="text1"/>
                <w:lang w:val="es-ES"/>
              </w:rPr>
              <w:t xml:space="preserve">4. La Entidad Estatal incluirá un cronograma en la invitación que deberá tener en cuenta los términos mínimos establecidos en este artículo. Además de lo anterior, en el cronograma se establecerá: </w:t>
            </w:r>
            <w:r w:rsidRPr="00DD6814">
              <w:rPr>
                <w:rFonts w:ascii="Verdana" w:eastAsia="Calibri" w:hAnsi="Verdana" w:cs="Arial"/>
                <w:bCs/>
                <w:color w:val="000000" w:themeColor="text1"/>
                <w:lang w:val="es-ES"/>
              </w:rPr>
              <w:t xml:space="preserve">[…] </w:t>
            </w:r>
            <w:r w:rsidRPr="003474AE">
              <w:rPr>
                <w:rFonts w:ascii="Verdana" w:eastAsia="Calibri" w:hAnsi="Verdana" w:cs="Arial"/>
                <w:bCs/>
                <w:color w:val="000000" w:themeColor="text1"/>
                <w:lang w:val="es-ES"/>
              </w:rPr>
              <w:t xml:space="preserve">un término adicional dentro del cual los proponentes podrán presentar sus ofertas, el cual será de </w:t>
            </w:r>
            <w:r w:rsidRPr="003474AE">
              <w:rPr>
                <w:rFonts w:ascii="Verdana" w:eastAsia="Calibri" w:hAnsi="Verdana" w:cs="Arial"/>
                <w:bCs/>
                <w:i/>
                <w:iCs/>
                <w:color w:val="000000" w:themeColor="text1"/>
                <w:u w:val="single"/>
                <w:lang w:val="es-ES"/>
              </w:rPr>
              <w:t>mínimo un (1) día hábil</w:t>
            </w:r>
            <w:r w:rsidRPr="003474AE">
              <w:rPr>
                <w:rFonts w:ascii="Verdana" w:eastAsia="Calibri" w:hAnsi="Verdana" w:cs="Arial"/>
                <w:bCs/>
                <w:i/>
                <w:iCs/>
                <w:color w:val="000000" w:themeColor="text1"/>
                <w:lang w:val="es-ES"/>
              </w:rPr>
              <w:t xml:space="preserve"> luego de publicado el aviso</w:t>
            </w:r>
            <w:r w:rsidRPr="003474AE">
              <w:rPr>
                <w:rFonts w:ascii="Verdana" w:eastAsia="Calibri" w:hAnsi="Verdana" w:cs="Arial"/>
                <w:bCs/>
                <w:color w:val="000000" w:themeColor="text1"/>
                <w:lang w:val="es-ES"/>
              </w:rPr>
              <w:t xml:space="preserve"> en que se informe si el proceso se limita o no a Mipyme</w:t>
            </w:r>
            <w:r w:rsidRPr="00DD6814">
              <w:rPr>
                <w:rFonts w:ascii="Verdana" w:eastAsia="Calibri" w:hAnsi="Verdana" w:cs="Arial"/>
                <w:bCs/>
                <w:color w:val="000000" w:themeColor="text1"/>
                <w:lang w:val="es-ES"/>
              </w:rPr>
              <w:t xml:space="preserve"> […]”. [Énfasis propio]</w:t>
            </w:r>
          </w:p>
          <w:p w14:paraId="38245A3E" w14:textId="77777777" w:rsidR="009A4B74" w:rsidRPr="00DD6814" w:rsidRDefault="009A4B74" w:rsidP="0030338F">
            <w:pPr>
              <w:tabs>
                <w:tab w:val="left" w:pos="709"/>
              </w:tabs>
              <w:snapToGrid w:val="0"/>
              <w:spacing w:before="120" w:after="120" w:line="276" w:lineRule="auto"/>
              <w:jc w:val="both"/>
              <w:rPr>
                <w:rFonts w:ascii="Verdana" w:eastAsia="Calibri" w:hAnsi="Verdana" w:cs="Arial"/>
                <w:bCs/>
                <w:color w:val="000000" w:themeColor="text1"/>
                <w:lang w:val="es-ES"/>
              </w:rPr>
            </w:pPr>
            <w:r w:rsidRPr="00DD6814">
              <w:rPr>
                <w:rFonts w:ascii="Verdana" w:eastAsia="Calibri" w:hAnsi="Verdana" w:cs="Arial"/>
                <w:bCs/>
                <w:color w:val="000000" w:themeColor="text1"/>
                <w:lang w:val="es-ES"/>
              </w:rPr>
              <w:tab/>
            </w:r>
            <w:r w:rsidRPr="00DD6814">
              <w:rPr>
                <w:rFonts w:ascii="Verdana" w:hAnsi="Verdana" w:cs="Arial"/>
                <w:bCs/>
                <w:lang w:val="es-ES" w:eastAsia="es-ES"/>
              </w:rPr>
              <w:t xml:space="preserve">Como se observa, la reglamentación expedida por el gobierno nacional mediante el Decreto 1860 de 2021 definió las reglas y los términos para la publicación de la invitación y la presentación de las ofertas en concordancia con lo que inicialmente dispuso el artículo 30 de la Ley 2069 de 2020. En este </w:t>
            </w:r>
            <w:r w:rsidRPr="00DD6814">
              <w:rPr>
                <w:rFonts w:ascii="Verdana" w:hAnsi="Verdana" w:cs="Arial"/>
                <w:bCs/>
                <w:lang w:val="es-ES" w:eastAsia="es-ES"/>
              </w:rPr>
              <w:lastRenderedPageBreak/>
              <w:t xml:space="preserve">sentido, lo establecido en el decreto desarrolla el procedimiento aplicable a la modalidad de selección de mínima cuantía en cumplimiento de la competencia que le otorgó el legislador en el artículo 30 para el ejercicio de la potestad reglamentaria. </w:t>
            </w:r>
            <w:r>
              <w:rPr>
                <w:rFonts w:ascii="Verdana" w:hAnsi="Verdana" w:cs="Arial"/>
                <w:bCs/>
                <w:lang w:val="es-ES" w:eastAsia="es-ES"/>
              </w:rPr>
              <w:t>L</w:t>
            </w:r>
            <w:r w:rsidRPr="00DD6814">
              <w:rPr>
                <w:rFonts w:ascii="Verdana" w:hAnsi="Verdana" w:cs="Arial"/>
                <w:bCs/>
                <w:lang w:val="es-ES" w:eastAsia="es-ES"/>
              </w:rPr>
              <w:t xml:space="preserve">as etapas y requisitos </w:t>
            </w:r>
            <w:r>
              <w:rPr>
                <w:rFonts w:ascii="Verdana" w:hAnsi="Verdana" w:cs="Arial"/>
                <w:bCs/>
                <w:lang w:val="es-ES" w:eastAsia="es-ES"/>
              </w:rPr>
              <w:t>establecidos en</w:t>
            </w:r>
            <w:r w:rsidRPr="00DD6814">
              <w:rPr>
                <w:rFonts w:ascii="Verdana" w:hAnsi="Verdana" w:cs="Arial"/>
                <w:bCs/>
                <w:lang w:val="es-ES" w:eastAsia="es-ES"/>
              </w:rPr>
              <w:t xml:space="preserve"> </w:t>
            </w:r>
            <w:r>
              <w:rPr>
                <w:rFonts w:ascii="Verdana" w:hAnsi="Verdana" w:cs="Arial"/>
                <w:bCs/>
                <w:lang w:val="es-ES" w:eastAsia="es-ES"/>
              </w:rPr>
              <w:t xml:space="preserve">estas </w:t>
            </w:r>
            <w:r w:rsidRPr="00DD6814">
              <w:rPr>
                <w:rFonts w:ascii="Verdana" w:hAnsi="Verdana" w:cs="Arial"/>
                <w:bCs/>
                <w:lang w:val="es-ES" w:eastAsia="es-ES"/>
              </w:rPr>
              <w:t>normas</w:t>
            </w:r>
            <w:r>
              <w:rPr>
                <w:rFonts w:ascii="Verdana" w:hAnsi="Verdana" w:cs="Arial"/>
                <w:bCs/>
                <w:lang w:val="es-ES" w:eastAsia="es-ES"/>
              </w:rPr>
              <w:t xml:space="preserve"> para</w:t>
            </w:r>
            <w:r w:rsidRPr="00DD6814">
              <w:rPr>
                <w:rFonts w:ascii="Verdana" w:hAnsi="Verdana" w:cs="Arial"/>
                <w:bCs/>
                <w:lang w:val="es-ES" w:eastAsia="es-ES"/>
              </w:rPr>
              <w:t xml:space="preserve"> la modalidad de selección de mínima</w:t>
            </w:r>
            <w:r>
              <w:rPr>
                <w:rFonts w:ascii="Verdana" w:hAnsi="Verdana" w:cs="Arial"/>
                <w:bCs/>
                <w:lang w:val="es-ES" w:eastAsia="es-ES"/>
              </w:rPr>
              <w:t xml:space="preserve"> cuantía se detallan </w:t>
            </w:r>
            <w:r w:rsidRPr="00DD6814">
              <w:rPr>
                <w:rFonts w:ascii="Verdana" w:hAnsi="Verdana" w:cs="Arial"/>
                <w:bCs/>
                <w:lang w:val="es-ES" w:eastAsia="es-ES"/>
              </w:rPr>
              <w:t xml:space="preserve">en este concepto. </w:t>
            </w:r>
          </w:p>
        </w:tc>
      </w:tr>
    </w:tbl>
    <w:p w14:paraId="48EB4874" w14:textId="77777777" w:rsidR="009A4B74" w:rsidRPr="00DD6814" w:rsidRDefault="009A4B74" w:rsidP="009A4B7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547658F" w14:textId="77777777" w:rsidR="009A4B74" w:rsidRPr="00DD6814" w:rsidRDefault="009A4B74" w:rsidP="009A4B74">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D6814">
        <w:rPr>
          <w:rFonts w:ascii="Verdana" w:eastAsia="Century Gothic" w:hAnsi="Verdana" w:cs="Century Gothic"/>
          <w:b/>
          <w:bCs/>
          <w:color w:val="000000" w:themeColor="text1"/>
        </w:rPr>
        <w:t>Razones de la respuesta:</w:t>
      </w:r>
    </w:p>
    <w:p w14:paraId="1F0FC324" w14:textId="77777777" w:rsidR="009A4B74" w:rsidRPr="00DD6814" w:rsidRDefault="009A4B74" w:rsidP="009A4B74">
      <w:pPr>
        <w:spacing w:after="0" w:line="276" w:lineRule="auto"/>
        <w:jc w:val="both"/>
        <w:rPr>
          <w:rFonts w:ascii="Verdana" w:eastAsia="Calibri" w:hAnsi="Verdana" w:cs="Arial"/>
          <w:color w:val="000000" w:themeColor="text1"/>
          <w:lang w:val="es-ES"/>
        </w:rPr>
      </w:pPr>
    </w:p>
    <w:p w14:paraId="3ABE0BA7" w14:textId="77777777" w:rsidR="009A4B74" w:rsidRDefault="009A4B74" w:rsidP="009A4B74">
      <w:pPr>
        <w:spacing w:after="0" w:line="276" w:lineRule="auto"/>
        <w:jc w:val="both"/>
        <w:rPr>
          <w:rFonts w:ascii="Verdana" w:eastAsia="Calibri" w:hAnsi="Verdana" w:cs="Arial"/>
          <w:color w:val="000000" w:themeColor="text1"/>
          <w:lang w:val="es-ES"/>
        </w:rPr>
      </w:pPr>
      <w:r w:rsidRPr="00DD6814">
        <w:rPr>
          <w:rFonts w:ascii="Verdana" w:eastAsia="Calibri" w:hAnsi="Verdana" w:cs="Arial"/>
          <w:color w:val="000000" w:themeColor="text1"/>
          <w:lang w:val="es-ES"/>
        </w:rPr>
        <w:t xml:space="preserve">Lo anterior se sustenta en las siguientes consideraciones: </w:t>
      </w:r>
    </w:p>
    <w:p w14:paraId="2F92D806" w14:textId="77777777" w:rsidR="000E0B1D" w:rsidRPr="00DD6814" w:rsidRDefault="000E0B1D" w:rsidP="009A4B74">
      <w:pPr>
        <w:spacing w:after="0" w:line="276" w:lineRule="auto"/>
        <w:jc w:val="both"/>
        <w:rPr>
          <w:rFonts w:ascii="Verdana" w:eastAsia="Calibri" w:hAnsi="Verdana" w:cs="Arial"/>
          <w:color w:val="000000" w:themeColor="text1"/>
          <w:lang w:val="es-ES"/>
        </w:rPr>
      </w:pPr>
    </w:p>
    <w:p w14:paraId="27D1DBC3" w14:textId="77777777" w:rsidR="009A4B74" w:rsidRPr="00DD6814" w:rsidRDefault="009A4B74" w:rsidP="009A4B74">
      <w:pPr>
        <w:spacing w:after="120" w:line="276" w:lineRule="auto"/>
        <w:jc w:val="both"/>
        <w:rPr>
          <w:rFonts w:ascii="Verdana" w:eastAsia="Calibri" w:hAnsi="Verdana" w:cs="Arial"/>
          <w:lang w:val="es-ES"/>
        </w:rPr>
      </w:pPr>
      <w:r w:rsidRPr="00DD6814">
        <w:rPr>
          <w:rFonts w:ascii="Verdana" w:eastAsia="Calibri" w:hAnsi="Verdana" w:cs="Arial"/>
          <w:lang w:val="es-ES"/>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la cual estableció que el factor determinante para llevar a cabo tal procedimiento es la cuantía –calculada como presupuesto oficial a partir del estudio del sector–, “independientemente de su objeto”</w:t>
      </w:r>
      <w:r w:rsidRPr="00DD6814">
        <w:rPr>
          <w:rFonts w:ascii="Verdana" w:eastAsia="Calibri" w:hAnsi="Verdana" w:cs="Arial"/>
          <w:vertAlign w:val="superscript"/>
          <w:lang w:val="es-ES"/>
        </w:rPr>
        <w:footnoteReference w:id="2"/>
      </w:r>
      <w:r w:rsidRPr="00DD6814">
        <w:rPr>
          <w:rFonts w:ascii="Verdana" w:eastAsia="Calibri" w:hAnsi="Verdana" w:cs="Arial"/>
          <w:lang w:val="es-ES"/>
        </w:rPr>
        <w:t>.</w:t>
      </w:r>
    </w:p>
    <w:p w14:paraId="38E8965E" w14:textId="77777777" w:rsidR="009A4B74" w:rsidRPr="00DD6814" w:rsidRDefault="009A4B74" w:rsidP="009A4B74">
      <w:pPr>
        <w:tabs>
          <w:tab w:val="left" w:pos="709"/>
        </w:tabs>
        <w:spacing w:after="120" w:line="276" w:lineRule="auto"/>
        <w:ind w:firstLine="709"/>
        <w:jc w:val="both"/>
        <w:rPr>
          <w:rFonts w:ascii="Verdana" w:eastAsia="Calibri" w:hAnsi="Verdana" w:cs="Arial"/>
          <w:lang w:val="es-ES"/>
        </w:rPr>
      </w:pPr>
      <w:r w:rsidRPr="00DD6814">
        <w:rPr>
          <w:rFonts w:ascii="Verdana" w:eastAsia="Calibri" w:hAnsi="Verdana" w:cs="Arial"/>
          <w:lang w:val="es-ES"/>
        </w:rPr>
        <w:t>Dicho de otro modo, la mínima cuantía es un procedimiento de selección “especial”</w:t>
      </w:r>
      <w:r w:rsidRPr="00DD6814">
        <w:rPr>
          <w:rFonts w:ascii="Verdana" w:eastAsia="Calibri" w:hAnsi="Verdana" w:cs="Arial"/>
          <w:vertAlign w:val="superscript"/>
          <w:lang w:val="es-ES"/>
        </w:rPr>
        <w:footnoteReference w:id="3"/>
      </w:r>
      <w:r w:rsidRPr="00DD6814">
        <w:rPr>
          <w:rFonts w:ascii="Verdana" w:eastAsia="Calibri" w:hAnsi="Verdana" w:cs="Arial"/>
          <w:lang w:val="es-ES"/>
        </w:rPr>
        <w:t>, porque es una excepción a la regla general constituida por la licitación pública. Aunque ambas modalidades implican un llamado general a presentar ofertas, efectuado por la entidad estatal interesada en contratar, la mínima cuantía es distinta de la licitación en aspectos como su procedencia y su procedimiento: lo primero, porque solo procede por razón de una cuantía específica</w:t>
      </w:r>
      <w:r w:rsidRPr="00DD6814">
        <w:rPr>
          <w:rFonts w:ascii="Verdana" w:eastAsia="Calibri" w:hAnsi="Verdana" w:cs="Arial"/>
          <w:vertAlign w:val="superscript"/>
          <w:lang w:val="es-ES"/>
        </w:rPr>
        <w:footnoteReference w:id="4"/>
      </w:r>
      <w:r w:rsidRPr="00DD6814">
        <w:rPr>
          <w:rFonts w:ascii="Verdana" w:eastAsia="Calibri" w:hAnsi="Verdana" w:cs="Arial"/>
          <w:lang w:val="es-ES"/>
        </w:rPr>
        <w:t>, y lo segundo, porque sus requisitos, etapas y términos son especiales.</w:t>
      </w:r>
    </w:p>
    <w:p w14:paraId="4DDD5569" w14:textId="77777777" w:rsidR="009A4B74" w:rsidRPr="00DD6814" w:rsidRDefault="009A4B74" w:rsidP="009A4B74">
      <w:pPr>
        <w:tabs>
          <w:tab w:val="left" w:pos="709"/>
        </w:tabs>
        <w:spacing w:after="120" w:line="276" w:lineRule="auto"/>
        <w:ind w:firstLine="709"/>
        <w:jc w:val="both"/>
        <w:rPr>
          <w:rFonts w:ascii="Verdana" w:eastAsia="Calibri" w:hAnsi="Verdana" w:cs="Arial"/>
          <w:color w:val="000000" w:themeColor="text1"/>
          <w:lang w:val="es-ES"/>
        </w:rPr>
      </w:pPr>
      <w:r w:rsidRPr="00DD6814">
        <w:rPr>
          <w:rFonts w:ascii="Verdana" w:eastAsia="Calibri" w:hAnsi="Verdana" w:cs="Arial"/>
          <w:color w:val="000000" w:themeColor="text1"/>
          <w:lang w:val="es-ES"/>
        </w:rPr>
        <w:lastRenderedPageBreak/>
        <w:t>Como se mencionó antes, el 31 de diciembre de 2020 fue expedida la Ley 2069 de 2020 –conocida como Ley de Emprendimiento–, cuyo artículo 30 modificó el numeral 5 del artículo 2 de la Ley 1150 de 2007, el cual regula la mínima cuantía. Esta norma dispuso aspectos del procedimiento como: 1) el término mínimo para publicar la invitación, 2) el plazo mínimo de recepción de las ofertas, 3) el factor de evaluación que define la selección del proponente y 4) el perfeccionamiento del contrato.</w:t>
      </w:r>
    </w:p>
    <w:p w14:paraId="3F227F00" w14:textId="77777777" w:rsidR="009A4B74" w:rsidRPr="00DD6814" w:rsidRDefault="009A4B74" w:rsidP="009A4B74">
      <w:pPr>
        <w:tabs>
          <w:tab w:val="left" w:pos="709"/>
        </w:tabs>
        <w:spacing w:after="120" w:line="276" w:lineRule="auto"/>
        <w:ind w:firstLine="709"/>
        <w:jc w:val="both"/>
        <w:rPr>
          <w:rFonts w:ascii="Verdana" w:eastAsia="Calibri" w:hAnsi="Verdana" w:cs="Arial"/>
          <w:color w:val="000000" w:themeColor="text1"/>
          <w:lang w:val="es-ES"/>
        </w:rPr>
      </w:pPr>
      <w:r w:rsidRPr="00DD6814">
        <w:rPr>
          <w:rFonts w:ascii="Verdana" w:eastAsia="Calibri" w:hAnsi="Verdana" w:cs="Arial"/>
          <w:color w:val="000000" w:themeColor="text1"/>
          <w:lang w:val="es-ES"/>
        </w:rPr>
        <w:t>En concreto, el artículo 30 de la Ley 2069 de 2020 dispuso lo siguiente sobre la modalidad de selección de mínima cuantía:</w:t>
      </w:r>
    </w:p>
    <w:p w14:paraId="296F0562" w14:textId="77777777" w:rsidR="009A4B74" w:rsidRPr="00DD6814" w:rsidRDefault="009A4B74" w:rsidP="009A4B74">
      <w:pPr>
        <w:tabs>
          <w:tab w:val="left" w:pos="709"/>
        </w:tabs>
        <w:spacing w:after="120" w:line="240" w:lineRule="auto"/>
        <w:ind w:left="709" w:right="709"/>
        <w:jc w:val="both"/>
        <w:rPr>
          <w:rFonts w:ascii="Verdana" w:eastAsia="Calibri" w:hAnsi="Verdana" w:cs="Arial"/>
          <w:color w:val="000000" w:themeColor="text1"/>
          <w:sz w:val="20"/>
          <w:szCs w:val="20"/>
          <w:lang w:val="es-ES"/>
        </w:rPr>
      </w:pPr>
      <w:r w:rsidRPr="00DD6814">
        <w:rPr>
          <w:rFonts w:ascii="Verdana" w:eastAsia="Calibri" w:hAnsi="Verdana" w:cs="Arial"/>
          <w:b/>
          <w:bCs/>
          <w:color w:val="000000" w:themeColor="text1"/>
          <w:sz w:val="20"/>
          <w:szCs w:val="20"/>
          <w:lang w:val="es-ES"/>
        </w:rPr>
        <w:t>Artículo 30.</w:t>
      </w:r>
      <w:r w:rsidRPr="00DD6814">
        <w:rPr>
          <w:rFonts w:ascii="Verdana" w:eastAsia="Calibri" w:hAnsi="Verdana" w:cs="Arial"/>
          <w:b/>
          <w:bCs/>
          <w:i/>
          <w:iCs/>
          <w:color w:val="000000" w:themeColor="text1"/>
          <w:sz w:val="20"/>
          <w:szCs w:val="20"/>
          <w:lang w:val="es-ES"/>
        </w:rPr>
        <w:t> Mipymes y mínima cuantía</w:t>
      </w:r>
      <w:r w:rsidRPr="006D0F99">
        <w:rPr>
          <w:rFonts w:ascii="Verdana" w:eastAsia="Calibri" w:hAnsi="Verdana" w:cs="Arial"/>
          <w:color w:val="000000" w:themeColor="text1"/>
          <w:sz w:val="20"/>
          <w:szCs w:val="20"/>
          <w:lang w:val="es-ES"/>
        </w:rPr>
        <w:t>. Modifíquese el numeral 5 del artículo 2 de la Ley 1150 de 2007, el cual quedará así: </w:t>
      </w:r>
    </w:p>
    <w:p w14:paraId="232E4709" w14:textId="77777777" w:rsidR="009A4B74" w:rsidRPr="00DD6814" w:rsidRDefault="009A4B74" w:rsidP="009A4B74">
      <w:pPr>
        <w:tabs>
          <w:tab w:val="left" w:pos="709"/>
        </w:tabs>
        <w:spacing w:after="120" w:line="240" w:lineRule="auto"/>
        <w:ind w:left="709" w:right="709"/>
        <w:jc w:val="both"/>
        <w:rPr>
          <w:rFonts w:ascii="Verdana" w:eastAsia="Calibri" w:hAnsi="Verdana" w:cs="Arial"/>
          <w:color w:val="000000" w:themeColor="text1"/>
          <w:sz w:val="20"/>
          <w:szCs w:val="20"/>
          <w:lang w:val="es-ES"/>
        </w:rPr>
      </w:pPr>
      <w:r w:rsidRPr="006D0F99">
        <w:rPr>
          <w:rFonts w:ascii="Verdana" w:eastAsia="Calibri" w:hAnsi="Verdana" w:cs="Arial"/>
          <w:color w:val="000000" w:themeColor="text1"/>
          <w:sz w:val="20"/>
          <w:szCs w:val="20"/>
          <w:lang w:val="es-ES"/>
        </w:rPr>
        <w:t xml:space="preserve">5) Contratación mínima cuantía. La contratación cuyo valor no excede del 10 por ciento de la menor cuantía de la entidad independientemente de su objeto, se efectuará de conformidad con las siguientes reglas: a) </w:t>
      </w:r>
      <w:r w:rsidRPr="006D0F99">
        <w:rPr>
          <w:rFonts w:ascii="Verdana" w:eastAsia="Calibri" w:hAnsi="Verdana" w:cs="Arial"/>
          <w:i/>
          <w:iCs/>
          <w:color w:val="000000" w:themeColor="text1"/>
          <w:sz w:val="20"/>
          <w:szCs w:val="20"/>
          <w:u w:val="single"/>
          <w:lang w:val="es-ES"/>
        </w:rPr>
        <w:t>Se publicará una invitación, por un término no inferior a un día hábil</w:t>
      </w:r>
      <w:r w:rsidRPr="006D0F99">
        <w:rPr>
          <w:rFonts w:ascii="Verdana" w:eastAsia="Calibri" w:hAnsi="Verdana" w:cs="Arial"/>
          <w:color w:val="000000" w:themeColor="text1"/>
          <w:sz w:val="20"/>
          <w:szCs w:val="20"/>
          <w:lang w:val="es-ES"/>
        </w:rPr>
        <w:t>, en la cual se señalará el objeto a contratar, el presupuesto destinado para tal fin, así como las condiciones técnicas exigidas; b) El término previsto en la invitación para presentar la oferta no podrá ser inferior a un día hábil; c) La entidad seleccionará, mediante comunicación de aceptación de la oferta, la propuesta con el menor precio, siempre y cuando cumpla con las condiciones exigidas; d) La comunicación de aceptación junto con la oferta constituye para todos los efectos el contrato celebrado, con base en lo cual se efectuará el respectivo registro presupuestal. </w:t>
      </w:r>
    </w:p>
    <w:p w14:paraId="4167F438" w14:textId="77777777" w:rsidR="009A4B74" w:rsidRPr="00DD6814" w:rsidRDefault="009A4B74" w:rsidP="009A4B74">
      <w:pPr>
        <w:tabs>
          <w:tab w:val="left" w:pos="709"/>
        </w:tabs>
        <w:spacing w:after="120" w:line="240" w:lineRule="auto"/>
        <w:ind w:left="709" w:right="709"/>
        <w:jc w:val="both"/>
        <w:rPr>
          <w:rFonts w:ascii="Verdana" w:eastAsia="Calibri" w:hAnsi="Verdana" w:cs="Arial"/>
          <w:color w:val="000000" w:themeColor="text1"/>
          <w:sz w:val="20"/>
          <w:szCs w:val="20"/>
          <w:lang w:val="es-ES"/>
        </w:rPr>
      </w:pPr>
      <w:r w:rsidRPr="00DD6814">
        <w:rPr>
          <w:rFonts w:ascii="Verdana" w:eastAsia="Calibri" w:hAnsi="Verdana" w:cs="Arial"/>
          <w:b/>
          <w:bCs/>
          <w:color w:val="000000" w:themeColor="text1"/>
          <w:sz w:val="20"/>
          <w:szCs w:val="20"/>
          <w:lang w:val="es-ES"/>
        </w:rPr>
        <w:t>Parágrafo Primero.</w:t>
      </w:r>
      <w:r w:rsidRPr="00DD6814">
        <w:rPr>
          <w:rFonts w:ascii="Verdana" w:eastAsia="Calibri" w:hAnsi="Verdana" w:cs="Arial"/>
          <w:color w:val="000000" w:themeColor="text1"/>
          <w:sz w:val="20"/>
          <w:szCs w:val="20"/>
          <w:lang w:val="es-ES"/>
        </w:rPr>
        <w:t> </w:t>
      </w:r>
      <w:r w:rsidRPr="006D0F99">
        <w:rPr>
          <w:rFonts w:ascii="Verdana" w:eastAsia="Calibri" w:hAnsi="Verdana" w:cs="Arial"/>
          <w:color w:val="000000" w:themeColor="text1"/>
          <w:sz w:val="20"/>
          <w:szCs w:val="20"/>
          <w:lang w:val="es-ES"/>
        </w:rPr>
        <w:t xml:space="preserve">Las particularidades del procedimiento </w:t>
      </w:r>
      <w:r w:rsidRPr="006D0F99">
        <w:rPr>
          <w:rFonts w:ascii="Verdana" w:eastAsia="Calibri" w:hAnsi="Verdana" w:cs="Arial"/>
          <w:i/>
          <w:iCs/>
          <w:color w:val="000000" w:themeColor="text1"/>
          <w:sz w:val="20"/>
          <w:szCs w:val="20"/>
          <w:u w:val="single"/>
          <w:lang w:val="es-ES"/>
        </w:rPr>
        <w:t>aquí previsto</w:t>
      </w:r>
      <w:r w:rsidRPr="006D0F99">
        <w:rPr>
          <w:rFonts w:ascii="Verdana" w:eastAsia="Calibri" w:hAnsi="Verdana" w:cs="Arial"/>
          <w:color w:val="000000" w:themeColor="text1"/>
          <w:sz w:val="20"/>
          <w:szCs w:val="20"/>
          <w:lang w:val="es-ES"/>
        </w:rPr>
        <w:t>,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 </w:t>
      </w:r>
    </w:p>
    <w:p w14:paraId="4C10DAEA" w14:textId="77777777" w:rsidR="009A4B74" w:rsidRPr="00DD6814" w:rsidRDefault="009A4B74" w:rsidP="009A4B74">
      <w:pPr>
        <w:tabs>
          <w:tab w:val="left" w:pos="709"/>
        </w:tabs>
        <w:spacing w:after="120" w:line="240" w:lineRule="auto"/>
        <w:ind w:left="709" w:right="709"/>
        <w:jc w:val="both"/>
        <w:rPr>
          <w:rFonts w:ascii="Verdana" w:eastAsia="Calibri" w:hAnsi="Verdana" w:cs="Arial"/>
          <w:color w:val="000000" w:themeColor="text1"/>
          <w:sz w:val="20"/>
          <w:szCs w:val="20"/>
          <w:lang w:val="es-ES"/>
        </w:rPr>
      </w:pPr>
      <w:r w:rsidRPr="00DD6814">
        <w:rPr>
          <w:rFonts w:ascii="Verdana" w:eastAsia="Calibri" w:hAnsi="Verdana" w:cs="Arial"/>
          <w:b/>
          <w:bCs/>
          <w:color w:val="000000" w:themeColor="text1"/>
          <w:sz w:val="20"/>
          <w:szCs w:val="20"/>
          <w:lang w:val="es-ES"/>
        </w:rPr>
        <w:t>Parágrafo Segundo</w:t>
      </w:r>
      <w:r w:rsidRPr="006D0F99">
        <w:rPr>
          <w:rFonts w:ascii="Verdana" w:eastAsia="Calibri" w:hAnsi="Verdana" w:cs="Arial"/>
          <w:b/>
          <w:bCs/>
          <w:color w:val="000000" w:themeColor="text1"/>
          <w:sz w:val="20"/>
          <w:szCs w:val="20"/>
          <w:lang w:val="es-ES"/>
        </w:rPr>
        <w:t>.</w:t>
      </w:r>
      <w:r w:rsidRPr="006D0F99">
        <w:rPr>
          <w:rFonts w:ascii="Verdana" w:eastAsia="Calibri" w:hAnsi="Verdana" w:cs="Arial"/>
          <w:color w:val="000000" w:themeColor="text1"/>
          <w:sz w:val="20"/>
          <w:szCs w:val="20"/>
          <w:lang w:val="es-ES"/>
        </w:rPr>
        <w:t xml:space="preserve"> La contratación a que se refiere el presente artículo </w:t>
      </w:r>
      <w:r w:rsidRPr="006D0F99">
        <w:rPr>
          <w:rFonts w:ascii="Verdana" w:eastAsia="Calibri" w:hAnsi="Verdana" w:cs="Arial"/>
          <w:i/>
          <w:iCs/>
          <w:color w:val="000000" w:themeColor="text1"/>
          <w:sz w:val="20"/>
          <w:szCs w:val="20"/>
          <w:u w:val="single"/>
          <w:lang w:val="es-ES"/>
        </w:rPr>
        <w:t xml:space="preserve">se realizará exclusivamente con las reglas en él contempladas y en su </w:t>
      </w:r>
      <w:r w:rsidRPr="006D0F99">
        <w:rPr>
          <w:rFonts w:ascii="Verdana" w:eastAsia="Calibri" w:hAnsi="Verdana" w:cs="Arial"/>
          <w:i/>
          <w:iCs/>
          <w:color w:val="000000" w:themeColor="text1"/>
          <w:sz w:val="20"/>
          <w:szCs w:val="20"/>
          <w:u w:val="single"/>
          <w:lang w:val="es-ES"/>
        </w:rPr>
        <w:lastRenderedPageBreak/>
        <w:t>reglamentación</w:t>
      </w:r>
      <w:r w:rsidRPr="006D0F99">
        <w:rPr>
          <w:rFonts w:ascii="Verdana" w:eastAsia="Calibri" w:hAnsi="Verdana" w:cs="Arial"/>
          <w:color w:val="000000" w:themeColor="text1"/>
          <w:sz w:val="20"/>
          <w:szCs w:val="20"/>
          <w:lang w:val="es-ES"/>
        </w:rPr>
        <w:t>. En particular no se aplicará lo previsto en la Ley 816 de 2003</w:t>
      </w:r>
      <w:r w:rsidRPr="00DD6814">
        <w:rPr>
          <w:rFonts w:ascii="Verdana" w:eastAsia="Calibri" w:hAnsi="Verdana" w:cs="Arial"/>
          <w:color w:val="000000" w:themeColor="text1"/>
          <w:sz w:val="20"/>
          <w:szCs w:val="20"/>
          <w:lang w:val="es-ES"/>
        </w:rPr>
        <w:t>”. [Énfasis propio]</w:t>
      </w:r>
    </w:p>
    <w:p w14:paraId="3DAB234B" w14:textId="77777777" w:rsidR="009A4B74" w:rsidRPr="00DD6814" w:rsidRDefault="009A4B74" w:rsidP="009A4B74">
      <w:pPr>
        <w:tabs>
          <w:tab w:val="left" w:pos="709"/>
        </w:tabs>
        <w:spacing w:after="120" w:line="240" w:lineRule="auto"/>
        <w:ind w:left="709" w:right="709"/>
        <w:jc w:val="both"/>
        <w:rPr>
          <w:rFonts w:ascii="Verdana" w:eastAsia="Calibri" w:hAnsi="Verdana" w:cs="Arial"/>
          <w:color w:val="000000" w:themeColor="text1"/>
          <w:sz w:val="20"/>
          <w:szCs w:val="20"/>
          <w:lang w:val="es-ES"/>
        </w:rPr>
      </w:pPr>
    </w:p>
    <w:p w14:paraId="6975B761" w14:textId="77777777" w:rsidR="009A4B74" w:rsidRPr="00DD6814" w:rsidRDefault="009A4B74" w:rsidP="009A4B74">
      <w:pPr>
        <w:tabs>
          <w:tab w:val="left" w:pos="142"/>
          <w:tab w:val="left" w:pos="284"/>
        </w:tabs>
        <w:spacing w:after="120" w:line="276" w:lineRule="auto"/>
        <w:jc w:val="both"/>
        <w:rPr>
          <w:rFonts w:ascii="Verdana" w:eastAsia="Calibri" w:hAnsi="Verdana" w:cs="Arial"/>
          <w:color w:val="000000" w:themeColor="text1"/>
          <w:lang w:val="es-ES"/>
        </w:rPr>
      </w:pPr>
      <w:r w:rsidRPr="00DD6814">
        <w:rPr>
          <w:rFonts w:ascii="Verdana" w:eastAsia="Calibri" w:hAnsi="Verdana" w:cs="Arial"/>
          <w:color w:val="000000" w:themeColor="text1"/>
          <w:lang w:val="es-ES"/>
        </w:rPr>
        <w:tab/>
      </w:r>
      <w:r w:rsidRPr="00DD6814">
        <w:rPr>
          <w:rFonts w:ascii="Verdana" w:eastAsia="Calibri" w:hAnsi="Verdana" w:cs="Arial"/>
          <w:color w:val="000000" w:themeColor="text1"/>
          <w:lang w:val="es-ES"/>
        </w:rPr>
        <w:tab/>
      </w:r>
      <w:r w:rsidRPr="00DD6814">
        <w:rPr>
          <w:rFonts w:ascii="Verdana" w:eastAsia="Calibri" w:hAnsi="Verdana" w:cs="Arial"/>
          <w:color w:val="000000" w:themeColor="text1"/>
          <w:lang w:val="es-ES"/>
        </w:rPr>
        <w:tab/>
        <w:t xml:space="preserve">En efecto, el parágrafo 1 del artículo 30 de la Ley 2069 de 2020 dispuso que el Gobierno Nacional expediría un reglamento con el objetivo de definir: i) las “particularidades del procedimiento de selección aquí previsto” y </w:t>
      </w:r>
      <w:proofErr w:type="spellStart"/>
      <w:r w:rsidRPr="00DD6814">
        <w:rPr>
          <w:rFonts w:ascii="Verdana" w:eastAsia="Calibri" w:hAnsi="Verdana" w:cs="Arial"/>
          <w:color w:val="000000" w:themeColor="text1"/>
          <w:lang w:val="es-ES"/>
        </w:rPr>
        <w:t>ii</w:t>
      </w:r>
      <w:proofErr w:type="spellEnd"/>
      <w:r w:rsidRPr="00DD6814">
        <w:rPr>
          <w:rFonts w:ascii="Verdana" w:eastAsia="Calibri" w:hAnsi="Verdana" w:cs="Arial"/>
          <w:color w:val="000000" w:themeColor="text1"/>
          <w:lang w:val="es-ES"/>
        </w:rPr>
        <w:t>) la posibilidad de realizar estas adquisiciones a MiPymes o establecimientos que correspondan a la definición de “gran almacén”.</w:t>
      </w:r>
      <w:r w:rsidRPr="00DD6814">
        <w:rPr>
          <w:rFonts w:ascii="Verdana" w:eastAsia="Calibri" w:hAnsi="Verdana" w:cs="Arial"/>
          <w:lang w:val="es-ES"/>
        </w:rPr>
        <w:t xml:space="preserve"> </w:t>
      </w:r>
      <w:r w:rsidRPr="00DD6814">
        <w:rPr>
          <w:rFonts w:ascii="Verdana" w:eastAsia="Calibri" w:hAnsi="Verdana" w:cs="Arial"/>
          <w:color w:val="000000" w:themeColor="text1"/>
          <w:lang w:val="es-ES"/>
        </w:rPr>
        <w:t>Con fundamento en lo anterior, 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ibidem sometió a un plazo la entrada en vigencia de sus disposiciones, al señalar que “aplicarán a los procedimientos de selección cuya invitación, aviso de convocatoria o documento equivalente se publique a los tres (3) meses contados a partir de su expedición”</w:t>
      </w:r>
      <w:r w:rsidRPr="00DD6814">
        <w:rPr>
          <w:rFonts w:ascii="Verdana" w:eastAsia="Calibri" w:hAnsi="Verdana" w:cs="Arial"/>
          <w:color w:val="000000" w:themeColor="text1"/>
          <w:vertAlign w:val="superscript"/>
          <w:lang w:val="es-ES"/>
        </w:rPr>
        <w:footnoteReference w:id="5"/>
      </w:r>
      <w:r w:rsidRPr="00DD6814">
        <w:rPr>
          <w:rFonts w:ascii="Verdana" w:eastAsia="Calibri" w:hAnsi="Verdana" w:cs="Arial"/>
          <w:color w:val="000000" w:themeColor="text1"/>
          <w:vertAlign w:val="superscript"/>
          <w:lang w:val="es-ES"/>
        </w:rPr>
        <w:t>.</w:t>
      </w:r>
    </w:p>
    <w:p w14:paraId="6408FAD9" w14:textId="77777777" w:rsidR="009A4B74" w:rsidRPr="00DD6814" w:rsidRDefault="009A4B74" w:rsidP="009A4B74">
      <w:pPr>
        <w:tabs>
          <w:tab w:val="left" w:pos="142"/>
          <w:tab w:val="left" w:pos="284"/>
        </w:tabs>
        <w:spacing w:after="120" w:line="276" w:lineRule="auto"/>
        <w:ind w:firstLine="709"/>
        <w:jc w:val="both"/>
        <w:rPr>
          <w:rFonts w:ascii="Verdana" w:eastAsia="Calibri" w:hAnsi="Verdana" w:cs="Arial"/>
          <w:lang w:val="es-ES"/>
        </w:rPr>
      </w:pPr>
      <w:r w:rsidRPr="00DD6814">
        <w:rPr>
          <w:rFonts w:ascii="Verdana" w:eastAsia="Calibri" w:hAnsi="Verdana" w:cs="Arial"/>
          <w:color w:val="000000" w:themeColor="text1"/>
          <w:lang w:val="es-ES"/>
        </w:rPr>
        <w:t>En efecto, el Decreto 1860 de 2021 reglamentó aspectos del procedimiento de mínima cuantía en ejercicio de la potestad para ello otorgada al gobierno nacional. De esta manera, el artículo 2 del Decreto modificó la Subsección 5 de la Sección 1 del Capítulo 2 del Título 1 de la Parte 2 del Libro 2 del Decreto 1082 de 2015, que se titula “mínima cuantía”, por lo que reglamenta esta modalidad de selección con fundamento en lo establecido en el artículo 30 de la Ley 2069 de 2020.</w:t>
      </w:r>
      <w:r w:rsidRPr="00DD6814">
        <w:rPr>
          <w:rFonts w:ascii="Verdana" w:eastAsia="Calibri" w:hAnsi="Verdana" w:cs="Arial"/>
          <w:lang w:val="es-ES"/>
        </w:rPr>
        <w:t xml:space="preserve"> </w:t>
      </w:r>
      <w:r w:rsidRPr="00DD6814">
        <w:rPr>
          <w:rFonts w:ascii="Verdana" w:eastAsia="Calibri" w:hAnsi="Verdana" w:cs="Arial"/>
          <w:color w:val="000000" w:themeColor="text1"/>
          <w:lang w:val="es-ES"/>
        </w:rPr>
        <w:t>La nueva Subsección 5 a que se hizo referencia contiene los siguientes artículos:</w:t>
      </w:r>
    </w:p>
    <w:p w14:paraId="478C4547" w14:textId="77777777" w:rsidR="009A4B74" w:rsidRPr="00DD6814" w:rsidRDefault="009A4B74" w:rsidP="009A4B74">
      <w:pPr>
        <w:pStyle w:val="ListParagraph"/>
        <w:numPr>
          <w:ilvl w:val="0"/>
          <w:numId w:val="18"/>
        </w:numPr>
        <w:tabs>
          <w:tab w:val="left" w:pos="709"/>
        </w:tabs>
        <w:snapToGrid w:val="0"/>
        <w:spacing w:before="120" w:after="120" w:line="276" w:lineRule="auto"/>
        <w:ind w:left="799"/>
        <w:contextualSpacing w:val="0"/>
        <w:jc w:val="both"/>
        <w:rPr>
          <w:rFonts w:ascii="Verdana" w:eastAsia="Calibri" w:hAnsi="Verdana" w:cs="Arial"/>
          <w:color w:val="000000" w:themeColor="text1"/>
        </w:rPr>
      </w:pPr>
      <w:r w:rsidRPr="00DD6814">
        <w:rPr>
          <w:rFonts w:ascii="Verdana" w:eastAsia="Calibri" w:hAnsi="Verdana" w:cs="Arial"/>
          <w:color w:val="000000" w:themeColor="text1"/>
        </w:rPr>
        <w:lastRenderedPageBreak/>
        <w:t>El 2.2.1.2.1.5.1. que se ocupa de desarrollar el contenido de los estudios previos para la contratación de mínima cuantía</w:t>
      </w:r>
      <w:r w:rsidRPr="00DD6814">
        <w:rPr>
          <w:rFonts w:ascii="Verdana" w:hAnsi="Verdana"/>
          <w:vertAlign w:val="superscript"/>
        </w:rPr>
        <w:footnoteReference w:id="6"/>
      </w:r>
      <w:r w:rsidRPr="00DD6814">
        <w:rPr>
          <w:rFonts w:ascii="Verdana" w:eastAsia="Calibri" w:hAnsi="Verdana" w:cs="Arial"/>
          <w:color w:val="000000" w:themeColor="text1"/>
        </w:rPr>
        <w:t xml:space="preserve">. </w:t>
      </w:r>
    </w:p>
    <w:p w14:paraId="6B4A8497" w14:textId="77777777" w:rsidR="009A4B74" w:rsidRPr="00DD6814" w:rsidRDefault="009A4B74" w:rsidP="009A4B74">
      <w:pPr>
        <w:pStyle w:val="ListParagraph"/>
        <w:numPr>
          <w:ilvl w:val="0"/>
          <w:numId w:val="18"/>
        </w:numPr>
        <w:tabs>
          <w:tab w:val="left" w:pos="709"/>
        </w:tabs>
        <w:snapToGrid w:val="0"/>
        <w:spacing w:before="120" w:after="120" w:line="276" w:lineRule="auto"/>
        <w:ind w:left="799"/>
        <w:contextualSpacing w:val="0"/>
        <w:jc w:val="both"/>
        <w:rPr>
          <w:rFonts w:ascii="Verdana" w:eastAsia="Calibri" w:hAnsi="Verdana" w:cs="Arial"/>
          <w:color w:val="000000" w:themeColor="text1"/>
        </w:rPr>
      </w:pPr>
      <w:r w:rsidRPr="00DD6814">
        <w:rPr>
          <w:rFonts w:ascii="Verdana" w:eastAsia="Calibri" w:hAnsi="Verdana" w:cs="Arial"/>
          <w:color w:val="000000" w:themeColor="text1"/>
        </w:rPr>
        <w:t xml:space="preserve">El 2.2.1.2.1.5.2. que contiene el procedimiento general de la mínima cuantía, señalando el contenido mínimo de la “invitación” y las distintas etapas y reglas que estructuran esta modalidad de selección, en línea con las etapas del procedimiento que describió el legislador en el artículo 30 de la Ley 2069 de 2020. Lo anterior, incluyendo la forma en que procederán las convocatorias limitadas a </w:t>
      </w:r>
      <w:proofErr w:type="spellStart"/>
      <w:r w:rsidRPr="00DD6814">
        <w:rPr>
          <w:rFonts w:ascii="Verdana" w:eastAsia="Calibri" w:hAnsi="Verdana" w:cs="Arial"/>
          <w:color w:val="000000" w:themeColor="text1"/>
        </w:rPr>
        <w:t>mipymes</w:t>
      </w:r>
      <w:proofErr w:type="spellEnd"/>
      <w:r w:rsidRPr="00DD6814">
        <w:rPr>
          <w:rFonts w:ascii="Verdana" w:eastAsia="Calibri" w:hAnsi="Verdana" w:cs="Arial"/>
          <w:color w:val="000000" w:themeColor="text1"/>
        </w:rPr>
        <w:t>, de acuerdo con el mandato del parágrafo 1 del artículo 30 de la Ley 2069 de 2020</w:t>
      </w:r>
      <w:r w:rsidRPr="00DD6814">
        <w:rPr>
          <w:rFonts w:ascii="Verdana" w:hAnsi="Verdana"/>
          <w:vertAlign w:val="superscript"/>
        </w:rPr>
        <w:footnoteReference w:id="7"/>
      </w:r>
      <w:r w:rsidRPr="00DD6814">
        <w:rPr>
          <w:rFonts w:ascii="Verdana" w:eastAsia="Calibri" w:hAnsi="Verdana" w:cs="Arial"/>
          <w:color w:val="000000" w:themeColor="text1"/>
        </w:rPr>
        <w:t xml:space="preserve">. </w:t>
      </w:r>
    </w:p>
    <w:p w14:paraId="24CD7FDB" w14:textId="77777777" w:rsidR="009A4B74" w:rsidRPr="00DD6814" w:rsidRDefault="009A4B74" w:rsidP="009A4B74">
      <w:pPr>
        <w:pStyle w:val="ListParagraph"/>
        <w:numPr>
          <w:ilvl w:val="0"/>
          <w:numId w:val="18"/>
        </w:numPr>
        <w:tabs>
          <w:tab w:val="left" w:pos="709"/>
        </w:tabs>
        <w:snapToGrid w:val="0"/>
        <w:spacing w:before="120" w:after="120" w:line="276" w:lineRule="auto"/>
        <w:ind w:left="799"/>
        <w:contextualSpacing w:val="0"/>
        <w:jc w:val="both"/>
        <w:rPr>
          <w:rFonts w:ascii="Verdana" w:eastAsia="Calibri" w:hAnsi="Verdana" w:cs="Arial"/>
          <w:color w:val="000000" w:themeColor="text1"/>
        </w:rPr>
      </w:pPr>
      <w:r w:rsidRPr="00DD6814">
        <w:rPr>
          <w:rFonts w:ascii="Verdana" w:eastAsia="Calibri" w:hAnsi="Verdana" w:cs="Arial"/>
          <w:color w:val="000000" w:themeColor="text1"/>
        </w:rPr>
        <w:t>El 2.2.1.2.1.5.3.que regula un procedimiento especial para las adquisiciones en grandes almacenes cuando se trate de mínima cuantía.</w:t>
      </w:r>
    </w:p>
    <w:p w14:paraId="7AAEB6B8" w14:textId="77777777" w:rsidR="009A4B74" w:rsidRPr="00DD6814" w:rsidRDefault="009A4B74" w:rsidP="009A4B74">
      <w:pPr>
        <w:pStyle w:val="ListParagraph"/>
        <w:numPr>
          <w:ilvl w:val="0"/>
          <w:numId w:val="18"/>
        </w:numPr>
        <w:tabs>
          <w:tab w:val="left" w:pos="709"/>
        </w:tabs>
        <w:snapToGrid w:val="0"/>
        <w:spacing w:before="120" w:after="120" w:line="276" w:lineRule="auto"/>
        <w:ind w:left="799"/>
        <w:contextualSpacing w:val="0"/>
        <w:jc w:val="both"/>
        <w:rPr>
          <w:rFonts w:ascii="Verdana" w:eastAsia="Calibri" w:hAnsi="Verdana" w:cs="Arial"/>
          <w:color w:val="000000" w:themeColor="text1"/>
        </w:rPr>
      </w:pPr>
      <w:r w:rsidRPr="00DD6814">
        <w:rPr>
          <w:rFonts w:ascii="Verdana" w:eastAsia="Calibri" w:hAnsi="Verdana" w:cs="Arial"/>
          <w:color w:val="000000" w:themeColor="text1"/>
        </w:rPr>
        <w:t>El 2.2.1.2.1.5.4. que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Mipyme y con grandes almacenes.</w:t>
      </w:r>
    </w:p>
    <w:p w14:paraId="1BA49999" w14:textId="77777777" w:rsidR="009A4B74" w:rsidRPr="00DD6814" w:rsidRDefault="009A4B74" w:rsidP="009A4B74">
      <w:pPr>
        <w:pStyle w:val="ListParagraph"/>
        <w:numPr>
          <w:ilvl w:val="0"/>
          <w:numId w:val="18"/>
        </w:numPr>
        <w:tabs>
          <w:tab w:val="left" w:pos="709"/>
        </w:tabs>
        <w:snapToGrid w:val="0"/>
        <w:spacing w:before="120" w:after="120" w:line="276" w:lineRule="auto"/>
        <w:ind w:left="799"/>
        <w:contextualSpacing w:val="0"/>
        <w:jc w:val="both"/>
        <w:rPr>
          <w:rFonts w:ascii="Verdana" w:eastAsia="Calibri" w:hAnsi="Verdana" w:cs="Arial"/>
          <w:color w:val="000000" w:themeColor="text1"/>
        </w:rPr>
      </w:pPr>
      <w:r w:rsidRPr="00DD6814">
        <w:rPr>
          <w:rFonts w:ascii="Verdana" w:eastAsia="Calibri" w:hAnsi="Verdana" w:cs="Arial"/>
          <w:color w:val="000000" w:themeColor="text1"/>
        </w:rPr>
        <w:t>El 2.2.1.2.1.5.5. el cual establece que la entidad estatal es libre de exigir o no garantías en el proceso de selección de mínima cuantía y en la adquisición de “grandes almacenes”.</w:t>
      </w:r>
    </w:p>
    <w:p w14:paraId="14A533AA" w14:textId="77777777" w:rsidR="009A4B74" w:rsidRPr="00DD6814" w:rsidRDefault="009A4B74" w:rsidP="009A4B74">
      <w:pPr>
        <w:tabs>
          <w:tab w:val="left" w:pos="709"/>
        </w:tabs>
        <w:spacing w:after="120" w:line="276" w:lineRule="auto"/>
        <w:jc w:val="both"/>
        <w:rPr>
          <w:rFonts w:ascii="Verdana" w:eastAsia="Calibri" w:hAnsi="Verdana" w:cs="Arial"/>
          <w:bCs/>
          <w:color w:val="000000" w:themeColor="text1"/>
          <w:lang w:val="es-ES"/>
        </w:rPr>
      </w:pPr>
      <w:r w:rsidRPr="00DD6814">
        <w:rPr>
          <w:rFonts w:ascii="Verdana" w:eastAsia="Calibri" w:hAnsi="Verdana" w:cs="Arial"/>
          <w:bCs/>
          <w:color w:val="000000" w:themeColor="text1"/>
          <w:lang w:val="es-ES"/>
        </w:rPr>
        <w:tab/>
        <w:t xml:space="preserve">De esta manera, el artículo 2 del Decreto 1860 de 2021, que modifica los artículos del Decreto 1082 de 2015 expuestos, constituye la reglamentación del artículo 30 de la Ley 2069 de 2020. En consecuencia, el decreto desarrolla “las particularidades del procedimiento” que previó el artículo 30, según el cual en </w:t>
      </w:r>
      <w:r w:rsidRPr="00DD6814">
        <w:rPr>
          <w:rFonts w:ascii="Verdana" w:eastAsia="Calibri" w:hAnsi="Verdana" w:cs="Arial"/>
          <w:bCs/>
          <w:color w:val="000000" w:themeColor="text1"/>
          <w:lang w:val="es-ES"/>
        </w:rPr>
        <w:lastRenderedPageBreak/>
        <w:t xml:space="preserve">esta modalidad la entidad “publicará </w:t>
      </w:r>
      <w:r w:rsidRPr="00DD6814">
        <w:rPr>
          <w:rFonts w:ascii="Verdana" w:eastAsia="Calibri" w:hAnsi="Verdana" w:cs="Arial"/>
          <w:bCs/>
          <w:i/>
          <w:iCs/>
          <w:color w:val="000000" w:themeColor="text1"/>
          <w:u w:val="single"/>
          <w:lang w:val="es-ES"/>
        </w:rPr>
        <w:t>una invitación</w:t>
      </w:r>
      <w:r w:rsidRPr="00DD6814">
        <w:rPr>
          <w:rFonts w:ascii="Verdana" w:eastAsia="Calibri" w:hAnsi="Verdana" w:cs="Arial"/>
          <w:bCs/>
          <w:color w:val="000000" w:themeColor="text1"/>
          <w:lang w:val="es-ES"/>
        </w:rPr>
        <w:t>, por un término no inferior a un día hábil” en la cual el término para para presentar la oferta “no podrá ser inferior a un día hábil”. Con base en este marco jurídico establecido en el artículo 30, el cual determinó el ámbito del ejercicio de la potestad reglamentaria, el gobernó nacional dispuso lo siguiente mediante el Decreto 1860 de 2021:</w:t>
      </w:r>
    </w:p>
    <w:p w14:paraId="20BBB343" w14:textId="77777777" w:rsidR="009A4B74" w:rsidRPr="003474AE" w:rsidRDefault="009A4B74" w:rsidP="009A4B74">
      <w:pPr>
        <w:tabs>
          <w:tab w:val="left" w:pos="709"/>
        </w:tabs>
        <w:spacing w:after="120" w:line="240" w:lineRule="auto"/>
        <w:ind w:left="709" w:right="709"/>
        <w:jc w:val="both"/>
        <w:rPr>
          <w:rFonts w:ascii="Verdana" w:eastAsia="Calibri" w:hAnsi="Verdana" w:cs="Arial"/>
          <w:bCs/>
          <w:color w:val="000000" w:themeColor="text1"/>
          <w:sz w:val="20"/>
          <w:szCs w:val="20"/>
          <w:lang w:val="es-ES"/>
        </w:rPr>
      </w:pPr>
      <w:r w:rsidRPr="00DD6814">
        <w:rPr>
          <w:rFonts w:ascii="Verdana" w:eastAsia="Calibri" w:hAnsi="Verdana" w:cs="Arial"/>
          <w:b/>
          <w:bCs/>
          <w:color w:val="000000" w:themeColor="text1"/>
          <w:sz w:val="20"/>
          <w:szCs w:val="20"/>
          <w:lang w:val="es-ES"/>
        </w:rPr>
        <w:t>“</w:t>
      </w:r>
      <w:r w:rsidRPr="003474AE">
        <w:rPr>
          <w:rFonts w:ascii="Verdana" w:eastAsia="Calibri" w:hAnsi="Verdana" w:cs="Arial"/>
          <w:bCs/>
          <w:color w:val="000000" w:themeColor="text1"/>
          <w:sz w:val="20"/>
          <w:szCs w:val="20"/>
          <w:lang w:val="es-ES"/>
        </w:rPr>
        <w:t>Las siguientes reglas son aplicables a la contratación cuyo valor no excede del diez por ciento (10%) de la menor cuantía de la Entidad Estatal, independientemente de su objeto: </w:t>
      </w:r>
    </w:p>
    <w:p w14:paraId="5BD8D526" w14:textId="77777777" w:rsidR="009A4B74" w:rsidRPr="00DD6814" w:rsidRDefault="009A4B74" w:rsidP="009A4B74">
      <w:pPr>
        <w:tabs>
          <w:tab w:val="left" w:pos="709"/>
        </w:tabs>
        <w:spacing w:after="120" w:line="240" w:lineRule="auto"/>
        <w:ind w:left="709" w:right="709"/>
        <w:jc w:val="both"/>
        <w:rPr>
          <w:rFonts w:ascii="Verdana" w:eastAsia="Calibri" w:hAnsi="Verdana" w:cs="Arial"/>
          <w:bCs/>
          <w:color w:val="000000" w:themeColor="text1"/>
          <w:sz w:val="20"/>
          <w:szCs w:val="20"/>
          <w:lang w:val="es-ES"/>
        </w:rPr>
      </w:pPr>
      <w:r w:rsidRPr="003474AE">
        <w:rPr>
          <w:rFonts w:ascii="Verdana" w:eastAsia="Calibri" w:hAnsi="Verdana" w:cs="Arial"/>
          <w:bCs/>
          <w:color w:val="000000" w:themeColor="text1"/>
          <w:sz w:val="20"/>
          <w:szCs w:val="20"/>
          <w:lang w:val="es-ES"/>
        </w:rPr>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el cumplimiento de las condiciones técnicas exigidas, incluyendo las obligaciones de las partes del futuro contrato.</w:t>
      </w:r>
      <w:r w:rsidRPr="003474AE">
        <w:rPr>
          <w:rFonts w:ascii="Verdana" w:eastAsia="Calibri" w:hAnsi="Verdana" w:cs="Arial"/>
          <w:bCs/>
          <w:color w:val="000000" w:themeColor="text1"/>
          <w:sz w:val="20"/>
          <w:szCs w:val="20"/>
          <w:lang w:val="es-ES"/>
        </w:rPr>
        <w:br/>
      </w:r>
      <w:r w:rsidRPr="00DD6814">
        <w:rPr>
          <w:rFonts w:ascii="Verdana" w:eastAsia="Calibri" w:hAnsi="Verdana" w:cs="Arial"/>
          <w:bCs/>
          <w:color w:val="000000" w:themeColor="text1"/>
          <w:sz w:val="20"/>
          <w:szCs w:val="20"/>
          <w:lang w:val="es-ES"/>
        </w:rPr>
        <w:t>[…]</w:t>
      </w:r>
      <w:r w:rsidRPr="003474AE">
        <w:rPr>
          <w:rFonts w:ascii="Verdana" w:eastAsia="Calibri" w:hAnsi="Verdana" w:cs="Arial"/>
          <w:bCs/>
          <w:color w:val="000000" w:themeColor="text1"/>
          <w:sz w:val="20"/>
          <w:szCs w:val="20"/>
          <w:lang w:val="es-ES"/>
        </w:rPr>
        <w:br/>
        <w:t xml:space="preserve">3. La </w:t>
      </w:r>
      <w:r w:rsidRPr="003474AE">
        <w:rPr>
          <w:rFonts w:ascii="Verdana" w:eastAsia="Calibri" w:hAnsi="Verdana" w:cs="Arial"/>
          <w:bCs/>
          <w:i/>
          <w:iCs/>
          <w:color w:val="000000" w:themeColor="text1"/>
          <w:sz w:val="20"/>
          <w:szCs w:val="20"/>
          <w:u w:val="single"/>
          <w:lang w:val="es-ES"/>
        </w:rPr>
        <w:t xml:space="preserve">invitación </w:t>
      </w:r>
      <w:r w:rsidRPr="003474AE">
        <w:rPr>
          <w:rFonts w:ascii="Verdana" w:eastAsia="Calibri" w:hAnsi="Verdana" w:cs="Arial"/>
          <w:bCs/>
          <w:color w:val="000000" w:themeColor="text1"/>
          <w:sz w:val="20"/>
          <w:szCs w:val="20"/>
          <w:lang w:val="es-ES"/>
        </w:rPr>
        <w:t>se publicará por un</w:t>
      </w:r>
      <w:r w:rsidRPr="003474AE">
        <w:rPr>
          <w:rFonts w:ascii="Verdana" w:eastAsia="Calibri" w:hAnsi="Verdana" w:cs="Arial"/>
          <w:bCs/>
          <w:i/>
          <w:iCs/>
          <w:color w:val="000000" w:themeColor="text1"/>
          <w:sz w:val="20"/>
          <w:szCs w:val="20"/>
          <w:lang w:val="es-ES"/>
        </w:rPr>
        <w:t xml:space="preserve"> </w:t>
      </w:r>
      <w:r w:rsidRPr="003474AE">
        <w:rPr>
          <w:rFonts w:ascii="Verdana" w:eastAsia="Calibri" w:hAnsi="Verdana" w:cs="Arial"/>
          <w:bCs/>
          <w:i/>
          <w:iCs/>
          <w:color w:val="000000" w:themeColor="text1"/>
          <w:sz w:val="20"/>
          <w:szCs w:val="20"/>
          <w:u w:val="single"/>
          <w:lang w:val="es-ES"/>
        </w:rPr>
        <w:t>término no inferior a un (1) día hábil</w:t>
      </w:r>
      <w:r w:rsidRPr="003474AE">
        <w:rPr>
          <w:rFonts w:ascii="Verdana" w:eastAsia="Calibri" w:hAnsi="Verdana" w:cs="Arial"/>
          <w:bCs/>
          <w:color w:val="000000" w:themeColor="text1"/>
          <w:sz w:val="20"/>
          <w:szCs w:val="20"/>
          <w:lang w:val="es-ES"/>
        </w:rPr>
        <w:t xml:space="preserve"> para que los interesados se informen de su contenido y formulen observaciones o comentarios, los cuales serán contestados por la Entidad Estatal antes del inicio del plazo para presentar ofertas</w:t>
      </w:r>
      <w:r w:rsidRPr="00DD6814">
        <w:rPr>
          <w:rFonts w:ascii="Verdana" w:eastAsia="Calibri" w:hAnsi="Verdana" w:cs="Arial"/>
          <w:bCs/>
          <w:color w:val="000000" w:themeColor="text1"/>
          <w:sz w:val="20"/>
          <w:szCs w:val="20"/>
          <w:lang w:val="es-ES"/>
        </w:rPr>
        <w:t xml:space="preserve"> […]</w:t>
      </w:r>
    </w:p>
    <w:p w14:paraId="2875FB68" w14:textId="77777777" w:rsidR="009A4B74" w:rsidRPr="00DD6814" w:rsidRDefault="009A4B74" w:rsidP="009A4B74">
      <w:pPr>
        <w:tabs>
          <w:tab w:val="left" w:pos="709"/>
        </w:tabs>
        <w:spacing w:after="120" w:line="240" w:lineRule="auto"/>
        <w:ind w:left="709" w:right="709"/>
        <w:jc w:val="both"/>
        <w:rPr>
          <w:rFonts w:ascii="Verdana" w:eastAsia="Calibri" w:hAnsi="Verdana" w:cs="Arial"/>
          <w:bCs/>
          <w:color w:val="000000" w:themeColor="text1"/>
          <w:sz w:val="20"/>
          <w:szCs w:val="20"/>
          <w:lang w:val="es-ES"/>
        </w:rPr>
      </w:pPr>
      <w:r w:rsidRPr="003474AE">
        <w:rPr>
          <w:rFonts w:ascii="Verdana" w:eastAsia="Calibri" w:hAnsi="Verdana" w:cs="Arial"/>
          <w:bCs/>
          <w:color w:val="000000" w:themeColor="text1"/>
          <w:sz w:val="20"/>
          <w:szCs w:val="20"/>
          <w:lang w:val="es-ES"/>
        </w:rPr>
        <w:t xml:space="preserve">4. La Entidad Estatal incluirá un cronograma en la invitación que deberá tener en cuenta los términos mínimos establecidos en este artículo. Además de lo anterior, en el cronograma se establecerá: </w:t>
      </w:r>
      <w:r w:rsidRPr="00DD6814">
        <w:rPr>
          <w:rFonts w:ascii="Verdana" w:eastAsia="Calibri" w:hAnsi="Verdana" w:cs="Arial"/>
          <w:bCs/>
          <w:color w:val="000000" w:themeColor="text1"/>
          <w:sz w:val="20"/>
          <w:szCs w:val="20"/>
          <w:lang w:val="es-ES"/>
        </w:rPr>
        <w:t xml:space="preserve">[…] </w:t>
      </w:r>
      <w:r w:rsidRPr="003474AE">
        <w:rPr>
          <w:rFonts w:ascii="Verdana" w:eastAsia="Calibri" w:hAnsi="Verdana" w:cs="Arial"/>
          <w:bCs/>
          <w:color w:val="000000" w:themeColor="text1"/>
          <w:sz w:val="20"/>
          <w:szCs w:val="20"/>
          <w:lang w:val="es-ES"/>
        </w:rPr>
        <w:t xml:space="preserve">un término adicional dentro del cual los proponentes podrán presentar sus ofertas, el cual será de </w:t>
      </w:r>
      <w:r w:rsidRPr="003474AE">
        <w:rPr>
          <w:rFonts w:ascii="Verdana" w:eastAsia="Calibri" w:hAnsi="Verdana" w:cs="Arial"/>
          <w:bCs/>
          <w:i/>
          <w:iCs/>
          <w:color w:val="000000" w:themeColor="text1"/>
          <w:sz w:val="20"/>
          <w:szCs w:val="20"/>
          <w:u w:val="single"/>
          <w:lang w:val="es-ES"/>
        </w:rPr>
        <w:t>mínimo un (1) día hábil</w:t>
      </w:r>
      <w:r w:rsidRPr="003474AE">
        <w:rPr>
          <w:rFonts w:ascii="Verdana" w:eastAsia="Calibri" w:hAnsi="Verdana" w:cs="Arial"/>
          <w:bCs/>
          <w:i/>
          <w:iCs/>
          <w:color w:val="000000" w:themeColor="text1"/>
          <w:sz w:val="20"/>
          <w:szCs w:val="20"/>
          <w:lang w:val="es-ES"/>
        </w:rPr>
        <w:t xml:space="preserve"> luego de publicado el aviso</w:t>
      </w:r>
      <w:r w:rsidRPr="003474AE">
        <w:rPr>
          <w:rFonts w:ascii="Verdana" w:eastAsia="Calibri" w:hAnsi="Verdana" w:cs="Arial"/>
          <w:bCs/>
          <w:color w:val="000000" w:themeColor="text1"/>
          <w:sz w:val="20"/>
          <w:szCs w:val="20"/>
          <w:lang w:val="es-ES"/>
        </w:rPr>
        <w:t xml:space="preserve"> en que se informe si el proceso se limita o no a Mipyme</w:t>
      </w:r>
      <w:r w:rsidRPr="00DD6814">
        <w:rPr>
          <w:rFonts w:ascii="Verdana" w:eastAsia="Calibri" w:hAnsi="Verdana" w:cs="Arial"/>
          <w:bCs/>
          <w:color w:val="000000" w:themeColor="text1"/>
          <w:sz w:val="20"/>
          <w:szCs w:val="20"/>
          <w:lang w:val="es-ES"/>
        </w:rPr>
        <w:t xml:space="preserve"> […]”. [Énfasis propio]</w:t>
      </w:r>
    </w:p>
    <w:p w14:paraId="513A8E23" w14:textId="77777777" w:rsidR="009A4B74" w:rsidRPr="00DD6814" w:rsidRDefault="009A4B74" w:rsidP="009A4B74">
      <w:pPr>
        <w:tabs>
          <w:tab w:val="left" w:pos="709"/>
        </w:tabs>
        <w:spacing w:after="120" w:line="276" w:lineRule="auto"/>
        <w:jc w:val="both"/>
        <w:rPr>
          <w:rFonts w:ascii="Verdana" w:eastAsia="Calibri" w:hAnsi="Verdana" w:cs="Arial"/>
          <w:bCs/>
          <w:color w:val="000000" w:themeColor="text1"/>
          <w:sz w:val="20"/>
          <w:szCs w:val="20"/>
          <w:lang w:val="es-ES"/>
        </w:rPr>
      </w:pPr>
      <w:r w:rsidRPr="00DD6814">
        <w:rPr>
          <w:rFonts w:ascii="Verdana" w:eastAsia="Calibri" w:hAnsi="Verdana" w:cs="Arial"/>
          <w:bCs/>
          <w:color w:val="000000" w:themeColor="text1"/>
          <w:sz w:val="20"/>
          <w:szCs w:val="20"/>
          <w:lang w:val="es-ES"/>
        </w:rPr>
        <w:tab/>
      </w:r>
      <w:r w:rsidRPr="00DD6814">
        <w:rPr>
          <w:rFonts w:ascii="Verdana" w:hAnsi="Verdana" w:cs="Arial"/>
          <w:bCs/>
          <w:lang w:val="es-ES" w:eastAsia="es-ES"/>
        </w:rPr>
        <w:t>Como se observa, la reglamentación expedida por el gobierno nacional mediante el Decreto 1860 de 2021 definió las reglas y los términos para la publicación de la invitación y la presentación de las ofertas en concordancia con lo que inicialmente dispuso el artículo 30 de la Ley 2069 de 2020. En este sentido, lo establecido en el decreto desarrolla el procedimiento aplicable a la modalidad de selección de mínima cuantía en cumplimiento de la competencia que le otorgó el legislador en el artículo 30 para el ejercicio de la potestad reglamentaria.</w:t>
      </w:r>
    </w:p>
    <w:p w14:paraId="4E6BA7E2" w14:textId="77777777" w:rsidR="009A4B74" w:rsidRPr="00DD6814" w:rsidRDefault="009A4B74" w:rsidP="009A4B74">
      <w:pPr>
        <w:tabs>
          <w:tab w:val="left" w:pos="709"/>
        </w:tabs>
        <w:spacing w:after="120" w:line="276" w:lineRule="auto"/>
        <w:jc w:val="both"/>
        <w:rPr>
          <w:rFonts w:ascii="Verdana" w:eastAsia="Calibri" w:hAnsi="Verdana" w:cs="Arial"/>
          <w:color w:val="000000" w:themeColor="text1"/>
          <w:lang w:val="es-ES"/>
        </w:rPr>
      </w:pPr>
      <w:r w:rsidRPr="00DD6814">
        <w:rPr>
          <w:rFonts w:ascii="Verdana" w:eastAsia="Calibri" w:hAnsi="Verdana" w:cs="Arial"/>
          <w:color w:val="000000" w:themeColor="text1"/>
          <w:lang w:val="es-ES"/>
        </w:rPr>
        <w:tab/>
        <w:t>Establecido el marco jurídico que rodea la modalidad de selección de mínima cuantía, y con fundamento en los artículos 2.2.1.2.1.5.1. al 2.2.1.2.1.5.4 del Decreto 1082 de 2015, modificados por el artículo 2 del Decreto 1860 de 2021, es posible sintetizar los requisitos para esta modalidad de selección:</w:t>
      </w:r>
    </w:p>
    <w:p w14:paraId="13147AC5" w14:textId="77777777" w:rsidR="009A4B74" w:rsidRPr="00DD6814" w:rsidRDefault="009A4B74" w:rsidP="009A4B74">
      <w:pPr>
        <w:pStyle w:val="ListParagraph"/>
        <w:numPr>
          <w:ilvl w:val="0"/>
          <w:numId w:val="19"/>
        </w:numPr>
        <w:tabs>
          <w:tab w:val="left" w:pos="709"/>
        </w:tabs>
        <w:snapToGrid w:val="0"/>
        <w:spacing w:before="120" w:after="120" w:line="276" w:lineRule="auto"/>
        <w:contextualSpacing w:val="0"/>
        <w:jc w:val="both"/>
        <w:rPr>
          <w:rFonts w:ascii="Verdana" w:eastAsia="Calibri" w:hAnsi="Verdana" w:cs="Arial"/>
          <w:color w:val="000000" w:themeColor="text1"/>
        </w:rPr>
      </w:pPr>
      <w:r w:rsidRPr="00DD6814">
        <w:rPr>
          <w:rFonts w:ascii="Verdana" w:eastAsia="Calibri" w:hAnsi="Verdana" w:cs="Arial"/>
          <w:color w:val="000000" w:themeColor="text1"/>
        </w:rPr>
        <w:lastRenderedPageBreak/>
        <w:t>La entidad estatal debe hacer los estudios previos en los que señale cuál es la necesidad que pretende satisfacer, el objeto del contrato, sus condiciones técnicas, el valor estimado, el plazo de ejecución y el certificado de disponibilidad presupuestal.</w:t>
      </w:r>
    </w:p>
    <w:p w14:paraId="13B6A01A"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themeColor="text1"/>
        </w:rPr>
        <w:t>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Entidad Estatal) y los demás</w:t>
      </w:r>
      <w:r w:rsidRPr="00DD6814">
        <w:rPr>
          <w:rFonts w:ascii="Verdana" w:eastAsia="Calibri" w:hAnsi="Verdana" w:cs="Arial"/>
          <w:color w:val="000000"/>
        </w:rPr>
        <w:t xml:space="preserve"> aspectos que considere necesarios para la satisfacción de la necesidad”</w:t>
      </w:r>
      <w:r w:rsidRPr="00DD6814">
        <w:rPr>
          <w:rFonts w:ascii="Verdana" w:hAnsi="Verdana"/>
          <w:vertAlign w:val="superscript"/>
        </w:rPr>
        <w:footnoteReference w:id="8"/>
      </w:r>
      <w:r w:rsidRPr="00DD6814">
        <w:rPr>
          <w:rFonts w:ascii="Verdana" w:eastAsia="Calibri" w:hAnsi="Verdana" w:cs="Arial"/>
          <w:color w:val="000000"/>
        </w:rPr>
        <w:t>.</w:t>
      </w:r>
    </w:p>
    <w:p w14:paraId="6028B253"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themeColor="text1"/>
        </w:rPr>
        <w:t>La invitación se debe hacer por un término no inferior a un (1) día hábil.</w:t>
      </w:r>
    </w:p>
    <w:p w14:paraId="144E12CA"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themeColor="text1"/>
        </w:rPr>
        <w:t xml:space="preserve"> Las observaciones que presenten los interesados a la invitación deben responderse a más tardar antes del vencimiento del término para presentar las ofertas.</w:t>
      </w:r>
    </w:p>
    <w:p w14:paraId="123393CC"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rPr>
        <w:t>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00DD6814">
        <w:rPr>
          <w:vertAlign w:val="superscript"/>
        </w:rPr>
        <w:footnoteReference w:id="9"/>
      </w:r>
      <w:r w:rsidRPr="00DD6814">
        <w:rPr>
          <w:rFonts w:ascii="Verdana" w:eastAsia="Calibri" w:hAnsi="Verdana" w:cs="Arial"/>
          <w:color w:val="000000"/>
        </w:rPr>
        <w:t>.</w:t>
      </w:r>
    </w:p>
    <w:p w14:paraId="5FB9A65D"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rPr>
        <w:t>El informe de evaluación se debe publicar por lo menos un (1) día hábil.</w:t>
      </w:r>
    </w:p>
    <w:p w14:paraId="703032E5"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themeColor="text1"/>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p w14:paraId="041D77BA" w14:textId="77777777" w:rsidR="009A4B74" w:rsidRPr="00DD6814" w:rsidRDefault="009A4B74" w:rsidP="009A4B74">
      <w:pPr>
        <w:pStyle w:val="ListParagraph"/>
        <w:numPr>
          <w:ilvl w:val="0"/>
          <w:numId w:val="19"/>
        </w:numPr>
        <w:tabs>
          <w:tab w:val="left" w:pos="709"/>
        </w:tabs>
        <w:snapToGrid w:val="0"/>
        <w:spacing w:before="120" w:after="120" w:line="276" w:lineRule="auto"/>
        <w:ind w:left="799"/>
        <w:contextualSpacing w:val="0"/>
        <w:jc w:val="both"/>
        <w:rPr>
          <w:rFonts w:ascii="Verdana" w:eastAsia="Calibri" w:hAnsi="Verdana" w:cs="Arial"/>
          <w:color w:val="000000"/>
        </w:rPr>
      </w:pPr>
      <w:r w:rsidRPr="00DD6814">
        <w:rPr>
          <w:rFonts w:ascii="Verdana" w:eastAsia="Calibri" w:hAnsi="Verdana" w:cs="Arial"/>
          <w:color w:val="000000" w:themeColor="text1"/>
        </w:rPr>
        <w:lastRenderedPageBreak/>
        <w:t xml:space="preserve">De existir empate debe tenerse en cuenta lo dispuesto en el artículo 35 de la Ley 2069 de 2020. </w:t>
      </w:r>
    </w:p>
    <w:p w14:paraId="7986C9D9" w14:textId="77777777" w:rsidR="009A4B74" w:rsidRPr="00DD6814" w:rsidRDefault="009A4B74" w:rsidP="009A4B74">
      <w:pPr>
        <w:tabs>
          <w:tab w:val="left" w:pos="709"/>
        </w:tabs>
        <w:spacing w:after="120" w:line="276" w:lineRule="auto"/>
        <w:ind w:firstLine="709"/>
        <w:jc w:val="both"/>
        <w:rPr>
          <w:rFonts w:ascii="Verdana" w:eastAsia="Calibri" w:hAnsi="Verdana" w:cs="Arial"/>
          <w:bCs/>
          <w:color w:val="000000" w:themeColor="text1"/>
          <w:lang w:val="es-ES"/>
        </w:rPr>
      </w:pPr>
      <w:r w:rsidRPr="00DD6814">
        <w:rPr>
          <w:rFonts w:ascii="Verdana" w:eastAsia="Calibri" w:hAnsi="Verdana" w:cs="Arial"/>
          <w:bCs/>
          <w:color w:val="000000" w:themeColor="text1"/>
          <w:lang w:val="es-ES"/>
        </w:rPr>
        <w:t>De conformidad con lo expuesto, y con fundamento en lo previsto en el numeral 9 del artículo 2.2.1.2.1.5.2. del Decreto 1082 del 2015 según el cual “la oferta y su aceptación constituyen el contrato estatal”, la comunicación de la aceptación de la oferta por parte de la entidad al proponente perfecciona los requisitos de existencia del contrato. Esta particularidad en relación con el procedimiento de mínima cuantía se deriva de lo establecido en el literal d) del numeral 5 del artículo 2 de la Ley 1150 de 2007 que de manera expresa dispone que "la comunicación de aceptación junto con la oferta c</w:t>
      </w:r>
      <w:r w:rsidRPr="00DD6814">
        <w:rPr>
          <w:rFonts w:ascii="Verdana" w:eastAsia="Calibri" w:hAnsi="Verdana" w:cs="Arial"/>
          <w:bCs/>
          <w:i/>
          <w:iCs/>
          <w:color w:val="000000" w:themeColor="text1"/>
          <w:lang w:val="es-ES"/>
        </w:rPr>
        <w:t>onstituye para todos los efectos el contrato celebrado</w:t>
      </w:r>
      <w:r w:rsidRPr="00DD6814">
        <w:rPr>
          <w:rFonts w:ascii="Verdana" w:eastAsia="Calibri" w:hAnsi="Verdana" w:cs="Arial"/>
          <w:bCs/>
          <w:color w:val="000000" w:themeColor="text1"/>
          <w:lang w:val="es-ES"/>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42FA7B46" w14:textId="77777777" w:rsidR="009A4B74" w:rsidRPr="00DD6814" w:rsidRDefault="009A4B74" w:rsidP="009A4B74">
      <w:pPr>
        <w:tabs>
          <w:tab w:val="left" w:pos="709"/>
        </w:tabs>
        <w:spacing w:after="120" w:line="276" w:lineRule="auto"/>
        <w:ind w:firstLine="709"/>
        <w:jc w:val="both"/>
        <w:rPr>
          <w:rFonts w:ascii="Verdana" w:eastAsia="Calibri" w:hAnsi="Verdana" w:cs="Arial"/>
          <w:bCs/>
          <w:color w:val="000000" w:themeColor="text1"/>
          <w:lang w:val="es-ES"/>
        </w:rPr>
      </w:pPr>
      <w:r w:rsidRPr="00DD6814">
        <w:rPr>
          <w:rFonts w:ascii="Verdana" w:eastAsia="Calibri" w:hAnsi="Verdana" w:cs="Arial"/>
          <w:bCs/>
          <w:color w:val="000000"/>
          <w:lang w:val="es-ES"/>
        </w:rPr>
        <w:t xml:space="preserve">En este sentido, el legislador estableció que en los procesos de mínima cuantía no habría un </w:t>
      </w:r>
      <w:r w:rsidRPr="00DD6814">
        <w:rPr>
          <w:rFonts w:ascii="Verdana" w:eastAsia="Calibri" w:hAnsi="Verdana" w:cs="Arial"/>
          <w:bCs/>
          <w:i/>
          <w:color w:val="000000"/>
          <w:lang w:val="es-ES"/>
        </w:rPr>
        <w:t>“acto de adjudicación”</w:t>
      </w:r>
      <w:r w:rsidRPr="00DD6814">
        <w:rPr>
          <w:rFonts w:ascii="Verdana" w:eastAsia="Calibri" w:hAnsi="Verdana" w:cs="Arial"/>
          <w:bCs/>
          <w:color w:val="000000"/>
          <w:lang w:val="es-ES"/>
        </w:rPr>
        <w:t xml:space="preserve">, sino que en aras de la celeridad y economía que se busca con esta modalidad, la selección de la mejor oferta se realiza mediante una </w:t>
      </w:r>
      <w:r w:rsidRPr="00DD6814">
        <w:rPr>
          <w:rFonts w:ascii="Verdana" w:eastAsia="Calibri" w:hAnsi="Verdana" w:cs="Arial"/>
          <w:bCs/>
          <w:i/>
          <w:color w:val="000000"/>
          <w:lang w:val="es-ES"/>
        </w:rPr>
        <w:t>“comunicación de aceptación de la oferta”</w:t>
      </w:r>
      <w:r w:rsidRPr="00DD6814">
        <w:rPr>
          <w:rFonts w:ascii="Verdana" w:eastAsia="Calibri" w:hAnsi="Verdana" w:cs="Arial"/>
          <w:bCs/>
          <w:color w:val="00000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1E580692" w14:textId="77777777" w:rsidR="009A4B74" w:rsidRPr="00DD6814" w:rsidRDefault="009A4B74" w:rsidP="009A4B74">
      <w:pPr>
        <w:tabs>
          <w:tab w:val="left" w:pos="709"/>
        </w:tabs>
        <w:spacing w:after="120" w:line="276" w:lineRule="auto"/>
        <w:ind w:firstLine="709"/>
        <w:jc w:val="both"/>
        <w:rPr>
          <w:rFonts w:ascii="Verdana" w:eastAsia="Calibri" w:hAnsi="Verdana" w:cs="Arial"/>
          <w:bCs/>
          <w:color w:val="000000" w:themeColor="text1"/>
          <w:lang w:val="es-ES"/>
        </w:rPr>
      </w:pPr>
      <w:r w:rsidRPr="00DD6814">
        <w:rPr>
          <w:rFonts w:ascii="Verdana" w:eastAsia="Calibri" w:hAnsi="Verdana" w:cs="Arial"/>
          <w:bCs/>
          <w:color w:val="000000" w:themeColor="text1"/>
          <w:lang w:val="es-ES"/>
        </w:rPr>
        <w:t>Finalmente, es importante recordar que</w:t>
      </w:r>
      <w:r w:rsidRPr="00DD6814">
        <w:rPr>
          <w:rFonts w:ascii="Verdana" w:hAnsi="Verdana" w:cs="Arial"/>
          <w:bCs/>
          <w:lang w:val="es-ES" w:eastAsia="es-ES"/>
        </w:rPr>
        <w:t xml:space="preserve"> el artículo 5 del Decreto 1860 de 2021 también modificó los artículos </w:t>
      </w:r>
      <w:bookmarkStart w:id="2" w:name="_Hlk194041112"/>
      <w:r w:rsidRPr="00DD6814">
        <w:rPr>
          <w:rFonts w:ascii="Verdana" w:hAnsi="Verdana" w:cs="Arial"/>
          <w:bCs/>
          <w:lang w:val="es-ES" w:eastAsia="es-ES"/>
        </w:rPr>
        <w:t>2.2.1.2.4.2.2., 2.2.1.2.4.2.3. y 2.2.1.2.4.2.4</w:t>
      </w:r>
      <w:bookmarkEnd w:id="2"/>
      <w:r w:rsidRPr="00DD6814">
        <w:rPr>
          <w:rFonts w:ascii="Verdana" w:hAnsi="Verdana" w:cs="Arial"/>
          <w:bCs/>
          <w:lang w:val="es-ES" w:eastAsia="es-ES"/>
        </w:rPr>
        <w:t xml:space="preserve">. de la Subsección 2 de la Sección 4 del Capítulo 2 del Título 1 de la Parte 2 del Libro 2 del Decreto 1082 de 2015, reglamentando las convocatorias limitadas a Mipyme, con fundamento en lo establecido en el artículo 34 de la Ley 2069 de 2020. Esta nueva Subsección 2 contempla los siguientes aspectos: i) requisitos para limitar la convocatoria de los procesos de contratación con pluralidad de oferentes a las Mipyme colombianas con mínimo un (1) año de existencia -artículo 2.2.1.2.4.2.2- , </w:t>
      </w:r>
      <w:proofErr w:type="spellStart"/>
      <w:r w:rsidRPr="00DD6814">
        <w:rPr>
          <w:rFonts w:ascii="Verdana" w:hAnsi="Verdana" w:cs="Arial"/>
          <w:bCs/>
          <w:lang w:val="es-ES" w:eastAsia="es-ES"/>
        </w:rPr>
        <w:t>ii</w:t>
      </w:r>
      <w:proofErr w:type="spellEnd"/>
      <w:r w:rsidRPr="00DD6814">
        <w:rPr>
          <w:rFonts w:ascii="Verdana" w:hAnsi="Verdana" w:cs="Arial"/>
          <w:bCs/>
          <w:lang w:val="es-ES" w:eastAsia="es-ES"/>
        </w:rPr>
        <w:t xml:space="preserve">) desarrolla las convocatorias limitadas a Mipyme colombianas que tengan domicilio en los departamentos o municipios en donde se va a ejecutar el contrato -artículo 2.2.1.2.4.2.3.-, y </w:t>
      </w:r>
      <w:proofErr w:type="spellStart"/>
      <w:r w:rsidRPr="00DD6814">
        <w:rPr>
          <w:rFonts w:ascii="Verdana" w:hAnsi="Verdana" w:cs="Arial"/>
          <w:bCs/>
          <w:lang w:val="es-ES" w:eastAsia="es-ES"/>
        </w:rPr>
        <w:t>iii</w:t>
      </w:r>
      <w:proofErr w:type="spellEnd"/>
      <w:r w:rsidRPr="00DD6814">
        <w:rPr>
          <w:rFonts w:ascii="Verdana" w:hAnsi="Verdana" w:cs="Arial"/>
          <w:bCs/>
          <w:lang w:val="es-ES" w:eastAsia="es-ES"/>
        </w:rPr>
        <w:t xml:space="preserve">) la </w:t>
      </w:r>
      <w:r w:rsidRPr="00DD6814">
        <w:rPr>
          <w:rFonts w:ascii="Verdana" w:hAnsi="Verdana" w:cs="Arial"/>
          <w:bCs/>
          <w:lang w:val="es-ES" w:eastAsia="es-ES"/>
        </w:rPr>
        <w:lastRenderedPageBreak/>
        <w:t>acreditación de requisitos para participar en convocatorias limitadas -artículo 2.2.1.2.4.2.4-.</w:t>
      </w:r>
    </w:p>
    <w:p w14:paraId="3200D639" w14:textId="77777777" w:rsidR="009A4B74" w:rsidRPr="00DD6814" w:rsidRDefault="009A4B74" w:rsidP="009A4B74">
      <w:pPr>
        <w:spacing w:after="120" w:line="276" w:lineRule="auto"/>
        <w:ind w:firstLine="709"/>
        <w:jc w:val="both"/>
        <w:rPr>
          <w:rFonts w:ascii="Verdana" w:hAnsi="Verdana" w:cs="Arial"/>
          <w:lang w:val="es-ES" w:eastAsia="es-ES"/>
        </w:rPr>
      </w:pPr>
      <w:r w:rsidRPr="00DD6814">
        <w:rPr>
          <w:rFonts w:ascii="Verdana" w:hAnsi="Verdana" w:cs="Arial"/>
          <w:lang w:val="es-ES" w:eastAsia="es-ES"/>
        </w:rPr>
        <w:t>De esta manera, el artículo 5 del Decreto 1860 de 2021, constituye la nueva reglamentación de los artículos 30 y 34 de la Ley 2069 de 2020, al desarrollar las reglas aplicables al procedimiento de la mínima cuantía y a las convocatorias limitadas a Mipyme. Esta última</w:t>
      </w:r>
      <w:r w:rsidRPr="00DD6814">
        <w:rPr>
          <w:rFonts w:ascii="Verdana" w:eastAsia="Calibri" w:hAnsi="Verdana" w:cs="Arial"/>
          <w:lang w:val="es-ES"/>
        </w:rPr>
        <w:t xml:space="preserve"> </w:t>
      </w:r>
      <w:r w:rsidRPr="00DD6814">
        <w:rPr>
          <w:rFonts w:ascii="Verdana" w:hAnsi="Verdana" w:cs="Arial"/>
          <w:lang w:val="es-ES" w:eastAsia="es-ES"/>
        </w:rPr>
        <w:t xml:space="preserve">disposición entró a regir desde el 24 de marzo de 2022, pues, como se indicó, </w:t>
      </w:r>
      <w:r w:rsidRPr="00DD6814">
        <w:rPr>
          <w:rFonts w:ascii="Verdana" w:eastAsia="Calibri" w:hAnsi="Verdana" w:cs="Arial"/>
          <w:lang w:val="es-ES"/>
        </w:rPr>
        <w:t>el artículo 8 de dicho decreto sometió su vigencia al transcurso del periodo de tres (3) meses siguientes a su expedición.</w:t>
      </w:r>
    </w:p>
    <w:p w14:paraId="6527119C" w14:textId="77777777" w:rsidR="009A4B74" w:rsidRPr="00DD6814" w:rsidRDefault="009A4B74" w:rsidP="009A4B74">
      <w:pPr>
        <w:pStyle w:val="ListParagraph"/>
        <w:numPr>
          <w:ilvl w:val="0"/>
          <w:numId w:val="16"/>
        </w:numPr>
        <w:spacing w:line="276" w:lineRule="auto"/>
        <w:jc w:val="both"/>
        <w:rPr>
          <w:rFonts w:ascii="Verdana" w:eastAsia="Century Gothic" w:hAnsi="Verdana" w:cs="Century Gothic"/>
          <w:b/>
          <w:bCs/>
          <w:color w:val="000000" w:themeColor="text1"/>
        </w:rPr>
      </w:pPr>
      <w:r w:rsidRPr="00DD6814">
        <w:rPr>
          <w:rFonts w:ascii="Verdana" w:eastAsia="Century Gothic" w:hAnsi="Verdana" w:cs="Century Gothic"/>
          <w:b/>
          <w:bCs/>
          <w:color w:val="000000" w:themeColor="text1"/>
        </w:rPr>
        <w:t>Referencias normativas, jurisprudenciales y otras fuentes:</w:t>
      </w:r>
    </w:p>
    <w:p w14:paraId="26DB83C3" w14:textId="77777777" w:rsidR="009A4B74" w:rsidRPr="00DD6814" w:rsidRDefault="009A4B74" w:rsidP="009A4B74">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A4B74" w:rsidRPr="00DD6814" w14:paraId="5CD6AFC2" w14:textId="77777777" w:rsidTr="0030338F">
        <w:trPr>
          <w:trHeight w:val="870"/>
        </w:trPr>
        <w:tc>
          <w:tcPr>
            <w:tcW w:w="8647" w:type="dxa"/>
          </w:tcPr>
          <w:p w14:paraId="4E5A8D81" w14:textId="77777777" w:rsidR="009A4B74" w:rsidRPr="00DD6814" w:rsidRDefault="009A4B74" w:rsidP="009A4B74">
            <w:pPr>
              <w:widowControl w:val="0"/>
              <w:numPr>
                <w:ilvl w:val="0"/>
                <w:numId w:val="17"/>
              </w:numPr>
              <w:autoSpaceDE w:val="0"/>
              <w:autoSpaceDN w:val="0"/>
              <w:spacing w:before="120" w:after="120" w:line="276" w:lineRule="auto"/>
              <w:jc w:val="both"/>
              <w:rPr>
                <w:rFonts w:ascii="Verdana" w:hAnsi="Verdana" w:cs="Arial"/>
                <w:lang w:val="es-ES"/>
              </w:rPr>
            </w:pPr>
            <w:r w:rsidRPr="00DD6814">
              <w:rPr>
                <w:rFonts w:ascii="Verdana" w:hAnsi="Verdana" w:cs="Arial"/>
                <w:lang w:val="es-ES"/>
              </w:rPr>
              <w:t>Ley 1150 de 2007, artículos 2, 5 y 6.</w:t>
            </w:r>
          </w:p>
          <w:p w14:paraId="02F37A83" w14:textId="77777777" w:rsidR="009A4B74" w:rsidRPr="00DD6814" w:rsidRDefault="009A4B74" w:rsidP="009A4B74">
            <w:pPr>
              <w:widowControl w:val="0"/>
              <w:numPr>
                <w:ilvl w:val="0"/>
                <w:numId w:val="17"/>
              </w:numPr>
              <w:autoSpaceDE w:val="0"/>
              <w:autoSpaceDN w:val="0"/>
              <w:spacing w:before="120" w:after="120" w:line="276" w:lineRule="auto"/>
              <w:jc w:val="both"/>
              <w:rPr>
                <w:rFonts w:ascii="Verdana" w:hAnsi="Verdana" w:cs="Arial"/>
                <w:lang w:val="es-ES"/>
              </w:rPr>
            </w:pPr>
            <w:r w:rsidRPr="00DD6814">
              <w:rPr>
                <w:rFonts w:ascii="Verdana" w:hAnsi="Verdana" w:cs="Arial"/>
                <w:lang w:val="es-ES"/>
              </w:rPr>
              <w:t xml:space="preserve">Ley 2069 de 2020, artículo 30, 34 y 35. </w:t>
            </w:r>
          </w:p>
          <w:p w14:paraId="51AFB59A" w14:textId="77777777" w:rsidR="009A4B74" w:rsidRPr="00DD6814" w:rsidRDefault="009A4B74" w:rsidP="009A4B74">
            <w:pPr>
              <w:widowControl w:val="0"/>
              <w:numPr>
                <w:ilvl w:val="0"/>
                <w:numId w:val="17"/>
              </w:numPr>
              <w:autoSpaceDE w:val="0"/>
              <w:autoSpaceDN w:val="0"/>
              <w:spacing w:before="120" w:after="120" w:line="276" w:lineRule="auto"/>
              <w:jc w:val="both"/>
              <w:rPr>
                <w:rFonts w:ascii="Verdana" w:hAnsi="Verdana" w:cs="Arial"/>
                <w:lang w:val="es-ES"/>
              </w:rPr>
            </w:pPr>
            <w:r w:rsidRPr="00DD6814">
              <w:rPr>
                <w:rFonts w:ascii="Verdana" w:hAnsi="Verdana" w:cs="Arial"/>
                <w:lang w:val="es-ES"/>
              </w:rPr>
              <w:t xml:space="preserve">Decreto 1082 de 2015, artículos 2.2.1.2.1.5.1., 2.2.1.2.1.5.2., 2.2.1.2.1.5.3., 2.2.1.2.1.5.4., 2.2.1.2.1.5.5., 2.2.1.1.1.6.2. </w:t>
            </w:r>
          </w:p>
        </w:tc>
      </w:tr>
    </w:tbl>
    <w:p w14:paraId="33219C04" w14:textId="77777777" w:rsidR="009A4B74" w:rsidRPr="00DD6814" w:rsidRDefault="009A4B74" w:rsidP="009A4B74">
      <w:pPr>
        <w:widowControl w:val="0"/>
        <w:autoSpaceDE w:val="0"/>
        <w:autoSpaceDN w:val="0"/>
        <w:spacing w:after="0" w:line="276" w:lineRule="auto"/>
        <w:jc w:val="both"/>
        <w:rPr>
          <w:rFonts w:ascii="Verdana" w:hAnsi="Verdana" w:cs="Arial"/>
          <w:color w:val="000000" w:themeColor="text1"/>
          <w:lang w:val="es-ES"/>
        </w:rPr>
      </w:pPr>
    </w:p>
    <w:p w14:paraId="2B6B0691" w14:textId="77777777" w:rsidR="009A4B74" w:rsidRPr="00DD6814" w:rsidRDefault="009A4B74" w:rsidP="009A4B74">
      <w:pPr>
        <w:pStyle w:val="ListParagraph"/>
        <w:numPr>
          <w:ilvl w:val="0"/>
          <w:numId w:val="16"/>
        </w:numPr>
        <w:tabs>
          <w:tab w:val="left" w:pos="142"/>
          <w:tab w:val="left" w:pos="284"/>
        </w:tabs>
        <w:spacing w:after="120" w:line="276" w:lineRule="auto"/>
        <w:ind w:left="0" w:firstLine="0"/>
        <w:contextualSpacing w:val="0"/>
        <w:jc w:val="both"/>
        <w:rPr>
          <w:rFonts w:ascii="Verdana" w:eastAsia="Century Gothic" w:hAnsi="Verdana" w:cs="Century Gothic"/>
          <w:b/>
          <w:bCs/>
          <w:color w:val="000000" w:themeColor="text1"/>
        </w:rPr>
      </w:pPr>
      <w:r w:rsidRPr="00DD6814">
        <w:rPr>
          <w:rFonts w:ascii="Verdana" w:eastAsia="Century Gothic" w:hAnsi="Verdana" w:cs="Century Gothic"/>
          <w:b/>
          <w:bCs/>
          <w:color w:val="000000" w:themeColor="text1"/>
        </w:rPr>
        <w:t>Doctrina de la Agencia Nacional de Contratación Pública:</w:t>
      </w:r>
    </w:p>
    <w:p w14:paraId="43E7BC98" w14:textId="77777777" w:rsidR="009A4B74" w:rsidRPr="00DD6814" w:rsidRDefault="009A4B74" w:rsidP="009A4B74">
      <w:pPr>
        <w:widowControl w:val="0"/>
        <w:autoSpaceDE w:val="0"/>
        <w:autoSpaceDN w:val="0"/>
        <w:spacing w:after="0" w:line="276" w:lineRule="auto"/>
        <w:jc w:val="both"/>
        <w:rPr>
          <w:rStyle w:val="normaltextrun"/>
          <w:rFonts w:ascii="Verdana" w:hAnsi="Verdana" w:cs="Arial"/>
          <w:shd w:val="clear" w:color="auto" w:fill="FFFFFF"/>
          <w:lang w:val="es-ES"/>
        </w:rPr>
      </w:pPr>
      <w:r w:rsidRPr="00DD6814">
        <w:rPr>
          <w:rStyle w:val="normaltextrun"/>
          <w:rFonts w:ascii="Verdana" w:hAnsi="Verdana" w:cs="Arial"/>
          <w:color w:val="000000" w:themeColor="text1"/>
          <w:shd w:val="clear" w:color="auto" w:fill="FFFFFF"/>
          <w:lang w:val="es-ES"/>
        </w:rPr>
        <w:t xml:space="preserve">La Agencia Nacional de Contratación Pública – Colombia Compra Eficiente  </w:t>
      </w:r>
      <w:r w:rsidRPr="00DD6814">
        <w:rPr>
          <w:rFonts w:ascii="Verdana" w:hAnsi="Verdana" w:cs="Arial"/>
          <w:shd w:val="clear" w:color="auto" w:fill="FFFFFF"/>
          <w:lang w:val="es-ES"/>
        </w:rPr>
        <w:t xml:space="preserve">ha analizado </w:t>
      </w:r>
      <w:r w:rsidRPr="00DD6814">
        <w:rPr>
          <w:rFonts w:ascii="Verdana" w:hAnsi="Verdana" w:cs="Arial"/>
          <w:bCs/>
          <w:shd w:val="clear" w:color="auto" w:fill="FFFFFF"/>
          <w:lang w:val="es-ES"/>
        </w:rPr>
        <w:t xml:space="preserve">particularidades de la modalidad de selección de mínima cuantía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C-123 del 12 de mayo de 2023, C-069 del 26 de febrero de 2025, C-069 del 26 de febrero de 2025, C-945 del 23 de agosto de 2025 y </w:t>
      </w:r>
      <w:r w:rsidRPr="00DD6814">
        <w:rPr>
          <w:rFonts w:ascii="Verdana" w:eastAsia="Calibri" w:hAnsi="Verdana" w:cs="Times New Roman"/>
          <w:lang w:val="es-ES"/>
        </w:rPr>
        <w:t>C–1183 del 09 de septiembre de 2025,</w:t>
      </w:r>
      <w:r w:rsidRPr="00DD6814">
        <w:rPr>
          <w:rFonts w:ascii="Verdana" w:hAnsi="Verdana" w:cs="Arial"/>
          <w:bCs/>
          <w:shd w:val="clear" w:color="auto" w:fill="FFFFFF"/>
          <w:lang w:val="es-ES"/>
        </w:rPr>
        <w:t xml:space="preserve"> entre otros</w:t>
      </w:r>
      <w:r w:rsidRPr="00DD6814">
        <w:rPr>
          <w:rStyle w:val="normaltextrun"/>
          <w:rFonts w:ascii="Verdana" w:hAnsi="Verdana" w:cs="Arial"/>
          <w:color w:val="000000" w:themeColor="text1"/>
          <w:shd w:val="clear" w:color="auto" w:fill="FFFFFF"/>
          <w:lang w:val="es-ES"/>
        </w:rPr>
        <w:t xml:space="preserve">. </w:t>
      </w:r>
      <w:r w:rsidRPr="00DD6814">
        <w:rPr>
          <w:rStyle w:val="normaltextrun"/>
          <w:rFonts w:ascii="Verdana" w:hAnsi="Verdana" w:cs="Arial"/>
          <w:shd w:val="clear" w:color="auto" w:fill="FFFFFF"/>
          <w:lang w:val="es-ES"/>
        </w:rPr>
        <w:t>Estos y otros conceptos se encuentran disponibles para consulta en el Sistema de relatoría de la Agencia</w:t>
      </w:r>
      <w:r w:rsidRPr="00DD6814">
        <w:rPr>
          <w:rFonts w:ascii="Verdana" w:hAnsi="Verdana"/>
          <w:lang w:val="es-ES"/>
        </w:rPr>
        <w:t>, al cual puede accederse a través del siguiente enlace:</w:t>
      </w:r>
      <w:r w:rsidRPr="00DD6814">
        <w:rPr>
          <w:rStyle w:val="normaltextrun"/>
          <w:rFonts w:ascii="Verdana" w:hAnsi="Verdana" w:cs="Arial"/>
          <w:shd w:val="clear" w:color="auto" w:fill="FFFFFF"/>
          <w:lang w:val="es-ES"/>
        </w:rPr>
        <w:t xml:space="preserve"> </w:t>
      </w:r>
      <w:hyperlink r:id="rId12" w:history="1">
        <w:r w:rsidRPr="00DD6814">
          <w:rPr>
            <w:rStyle w:val="Hyperlink"/>
            <w:rFonts w:ascii="Verdana" w:hAnsi="Verdana" w:cs="Arial"/>
            <w:shd w:val="clear" w:color="auto" w:fill="FFFFFF"/>
            <w:lang w:val="es-ES"/>
          </w:rPr>
          <w:t>https://relatoria.colombiacompra.gov.co/busqueda/conceptos</w:t>
        </w:r>
      </w:hyperlink>
      <w:r w:rsidRPr="00DD6814">
        <w:rPr>
          <w:rStyle w:val="normaltextrun"/>
          <w:rFonts w:ascii="Verdana" w:hAnsi="Verdana" w:cs="Arial"/>
          <w:shd w:val="clear" w:color="auto" w:fill="FFFFFF"/>
          <w:lang w:val="es-ES"/>
        </w:rPr>
        <w:t>.</w:t>
      </w:r>
      <w:r w:rsidRPr="00DD6814">
        <w:rPr>
          <w:rStyle w:val="normaltextrun"/>
          <w:rFonts w:ascii="Verdana" w:hAnsi="Verdana" w:cs="Arial"/>
          <w:color w:val="FF0000"/>
          <w:shd w:val="clear" w:color="auto" w:fill="FFFFFF"/>
          <w:lang w:val="es-ES"/>
        </w:rPr>
        <w:t xml:space="preserve"> </w:t>
      </w:r>
    </w:p>
    <w:p w14:paraId="2C3AFDD8" w14:textId="77777777" w:rsidR="009A4B74" w:rsidRPr="00DD6814" w:rsidRDefault="009A4B74" w:rsidP="009A4B7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290D26" w14:textId="77777777" w:rsidR="009A4B74" w:rsidRPr="00DD6814" w:rsidRDefault="009A4B74" w:rsidP="009A4B74">
      <w:pPr>
        <w:spacing w:after="0" w:line="276" w:lineRule="auto"/>
        <w:jc w:val="both"/>
        <w:rPr>
          <w:rFonts w:ascii="Verdana" w:hAnsi="Verdana"/>
          <w:lang w:val="es-ES"/>
        </w:rPr>
      </w:pPr>
      <w:r w:rsidRPr="00DD6814">
        <w:rPr>
          <w:rFonts w:ascii="Verdana" w:hAnsi="Verdana"/>
          <w:lang w:val="es-ES"/>
        </w:rPr>
        <w:t xml:space="preserve">Por último, lo invitamos a seguirnos en las redes sociales en las cuales se difunde información institucional: </w:t>
      </w:r>
    </w:p>
    <w:p w14:paraId="37EA6829" w14:textId="77777777" w:rsidR="009A4B74" w:rsidRPr="00DD6814" w:rsidRDefault="009A4B74" w:rsidP="009A4B74">
      <w:pPr>
        <w:spacing w:after="0" w:line="276" w:lineRule="auto"/>
        <w:jc w:val="both"/>
        <w:rPr>
          <w:rFonts w:ascii="Verdana" w:hAnsi="Verdana"/>
          <w:lang w:val="es-ES"/>
        </w:rPr>
      </w:pPr>
    </w:p>
    <w:p w14:paraId="36AAC263" w14:textId="77777777" w:rsidR="009A4B74" w:rsidRPr="00DD6814" w:rsidRDefault="009A4B74" w:rsidP="009A4B74">
      <w:pPr>
        <w:spacing w:after="0" w:line="276" w:lineRule="auto"/>
        <w:jc w:val="both"/>
        <w:rPr>
          <w:rFonts w:ascii="Verdana" w:hAnsi="Verdana"/>
          <w:lang w:val="es-ES"/>
        </w:rPr>
      </w:pPr>
      <w:r w:rsidRPr="00DD6814">
        <w:rPr>
          <w:rFonts w:ascii="Verdana" w:hAnsi="Verdana"/>
          <w:lang w:val="es-ES"/>
        </w:rPr>
        <w:lastRenderedPageBreak/>
        <w:t xml:space="preserve">Twitter: </w:t>
      </w:r>
      <w:r w:rsidRPr="00DD6814">
        <w:rPr>
          <w:rStyle w:val="Hyperlink"/>
          <w:rFonts w:ascii="Verdana" w:hAnsi="Verdana" w:cs="Arial"/>
          <w:shd w:val="clear" w:color="auto" w:fill="FFFFFF"/>
          <w:lang w:val="es-ES"/>
        </w:rPr>
        <w:t>@colombiacompra</w:t>
      </w:r>
      <w:r w:rsidRPr="00DD6814">
        <w:rPr>
          <w:rFonts w:ascii="Verdana" w:hAnsi="Verdana"/>
          <w:color w:val="4472C4" w:themeColor="accent1"/>
          <w:lang w:val="es-ES"/>
        </w:rPr>
        <w:t xml:space="preserve"> </w:t>
      </w:r>
    </w:p>
    <w:p w14:paraId="4FF03378" w14:textId="77777777" w:rsidR="009A4B74" w:rsidRPr="00DD6814" w:rsidRDefault="009A4B74" w:rsidP="009A4B74">
      <w:pPr>
        <w:spacing w:after="0" w:line="276" w:lineRule="auto"/>
        <w:jc w:val="both"/>
        <w:rPr>
          <w:rFonts w:ascii="Verdana" w:hAnsi="Verdana"/>
          <w:lang w:val="es-ES"/>
        </w:rPr>
      </w:pPr>
      <w:r w:rsidRPr="00DD6814">
        <w:rPr>
          <w:rFonts w:ascii="Verdana" w:hAnsi="Verdana"/>
          <w:lang w:val="es-ES"/>
        </w:rPr>
        <w:t xml:space="preserve">Facebook: </w:t>
      </w:r>
      <w:proofErr w:type="spellStart"/>
      <w:r w:rsidRPr="00DD6814">
        <w:rPr>
          <w:rStyle w:val="Hyperlink"/>
          <w:rFonts w:ascii="Verdana" w:hAnsi="Verdana" w:cs="Arial"/>
          <w:shd w:val="clear" w:color="auto" w:fill="FFFFFF"/>
          <w:lang w:val="es-ES"/>
        </w:rPr>
        <w:t>ColombiaCompraEficiente</w:t>
      </w:r>
      <w:proofErr w:type="spellEnd"/>
    </w:p>
    <w:p w14:paraId="4CF364D3" w14:textId="77777777" w:rsidR="009A4B74" w:rsidRPr="00DD6814" w:rsidRDefault="009A4B74" w:rsidP="009A4B74">
      <w:pPr>
        <w:spacing w:after="0" w:line="276" w:lineRule="auto"/>
        <w:jc w:val="both"/>
        <w:rPr>
          <w:rFonts w:ascii="Verdana" w:hAnsi="Verdana"/>
          <w:lang w:val="es-ES"/>
        </w:rPr>
      </w:pPr>
      <w:r w:rsidRPr="00DD6814">
        <w:rPr>
          <w:rFonts w:ascii="Verdana" w:hAnsi="Verdana"/>
          <w:lang w:val="es-ES"/>
        </w:rPr>
        <w:t xml:space="preserve">LinkedIn: </w:t>
      </w:r>
      <w:r w:rsidRPr="00DD6814">
        <w:rPr>
          <w:rStyle w:val="Hyperlink"/>
          <w:rFonts w:ascii="Verdana" w:hAnsi="Verdana" w:cs="Arial"/>
          <w:shd w:val="clear" w:color="auto" w:fill="FFFFFF"/>
          <w:lang w:val="es-ES"/>
        </w:rPr>
        <w:t xml:space="preserve">Agencia Nacional de Contratación Pública - Colombia Compra Eficiente </w:t>
      </w:r>
      <w:r w:rsidRPr="00DD6814">
        <w:rPr>
          <w:rFonts w:ascii="Verdana" w:hAnsi="Verdana"/>
          <w:lang w:val="es-ES"/>
        </w:rPr>
        <w:t xml:space="preserve">Instagram: </w:t>
      </w:r>
      <w:r w:rsidRPr="00DD6814">
        <w:rPr>
          <w:rStyle w:val="Hyperlink"/>
          <w:rFonts w:ascii="Verdana" w:hAnsi="Verdana" w:cs="Arial"/>
          <w:shd w:val="clear" w:color="auto" w:fill="FFFFFF"/>
          <w:lang w:val="es-ES"/>
        </w:rPr>
        <w:t>@colombiacompraeficiente_cce</w:t>
      </w:r>
    </w:p>
    <w:p w14:paraId="306FD183" w14:textId="77777777" w:rsidR="009A4B74" w:rsidRPr="00DD6814" w:rsidRDefault="009A4B74" w:rsidP="009A4B74">
      <w:pPr>
        <w:widowControl w:val="0"/>
        <w:autoSpaceDE w:val="0"/>
        <w:autoSpaceDN w:val="0"/>
        <w:spacing w:after="0" w:line="276" w:lineRule="auto"/>
        <w:jc w:val="both"/>
        <w:rPr>
          <w:rFonts w:ascii="Verdana" w:hAnsi="Verdana" w:cs="Arial"/>
          <w:color w:val="000000" w:themeColor="text1"/>
          <w:lang w:val="es-ES"/>
        </w:rPr>
      </w:pPr>
    </w:p>
    <w:p w14:paraId="4CC566C8" w14:textId="77777777" w:rsidR="009A4B74" w:rsidRPr="00DD6814" w:rsidRDefault="009A4B74" w:rsidP="009A4B74">
      <w:pPr>
        <w:widowControl w:val="0"/>
        <w:autoSpaceDE w:val="0"/>
        <w:autoSpaceDN w:val="0"/>
        <w:spacing w:after="0" w:line="276" w:lineRule="auto"/>
        <w:jc w:val="both"/>
        <w:rPr>
          <w:rFonts w:ascii="Verdana" w:hAnsi="Verdana" w:cs="Arial"/>
          <w:color w:val="000000" w:themeColor="text1"/>
          <w:lang w:val="es-ES"/>
        </w:rPr>
      </w:pPr>
      <w:r w:rsidRPr="00DD6814">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bookmarkEnd w:id="0"/>
    <w:p w14:paraId="70F1A7A5" w14:textId="77777777" w:rsidR="009A4B74" w:rsidRPr="00DD6814" w:rsidRDefault="009A4B74" w:rsidP="009A4B74">
      <w:pPr>
        <w:widowControl w:val="0"/>
        <w:autoSpaceDE w:val="0"/>
        <w:autoSpaceDN w:val="0"/>
        <w:spacing w:after="0" w:line="276" w:lineRule="auto"/>
        <w:jc w:val="both"/>
        <w:rPr>
          <w:rFonts w:ascii="Verdana" w:hAnsi="Verdana" w:cs="Arial"/>
          <w:color w:val="000000" w:themeColor="text1"/>
          <w:lang w:val="es-ES"/>
        </w:rPr>
      </w:pPr>
    </w:p>
    <w:p w14:paraId="01B9514B" w14:textId="77777777" w:rsidR="009A4B74" w:rsidRPr="00DD6814" w:rsidRDefault="009A4B74" w:rsidP="009A4B74">
      <w:pPr>
        <w:spacing w:after="0" w:line="276" w:lineRule="auto"/>
        <w:rPr>
          <w:rFonts w:ascii="Verdana" w:hAnsi="Verdana" w:cs="Arial"/>
          <w:color w:val="000000" w:themeColor="text1"/>
          <w:lang w:val="es-ES" w:eastAsia="es-CO"/>
        </w:rPr>
      </w:pPr>
      <w:r w:rsidRPr="00DD6814">
        <w:rPr>
          <w:rFonts w:ascii="Verdana" w:eastAsia="Times New Roman" w:hAnsi="Verdana" w:cs="Arial"/>
          <w:color w:val="000000" w:themeColor="text1"/>
          <w:lang w:val="es-ES" w:eastAsia="es-CO"/>
        </w:rPr>
        <w:t>Atentamente,</w:t>
      </w:r>
      <w:r w:rsidRPr="00DD6814">
        <w:rPr>
          <w:rFonts w:ascii="Verdana" w:hAnsi="Verdana" w:cs="Arial"/>
          <w:color w:val="000000" w:themeColor="text1"/>
          <w:lang w:val="es-ES" w:eastAsia="es-CO"/>
        </w:rPr>
        <w:t xml:space="preserve"> </w:t>
      </w:r>
    </w:p>
    <w:p w14:paraId="3D705089" w14:textId="2F2D7EB2" w:rsidR="009A4B74" w:rsidRPr="00DD6814" w:rsidRDefault="000E0B1D" w:rsidP="009A4B74">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7F623DED" wp14:editId="46E380BF">
            <wp:simplePos x="0" y="0"/>
            <wp:positionH relativeFrom="column">
              <wp:posOffset>1267327</wp:posOffset>
            </wp:positionH>
            <wp:positionV relativeFrom="paragraph">
              <wp:posOffset>112060</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4B74" w:rsidRPr="00DD6814" w14:paraId="1A432D3A" w14:textId="77777777" w:rsidTr="0030338F">
        <w:trPr>
          <w:trHeight w:val="315"/>
        </w:trPr>
        <w:tc>
          <w:tcPr>
            <w:tcW w:w="893" w:type="dxa"/>
            <w:vAlign w:val="center"/>
            <w:hideMark/>
          </w:tcPr>
          <w:p w14:paraId="18CE6AA5" w14:textId="77777777" w:rsidR="009A4B74" w:rsidRPr="00DD6814" w:rsidRDefault="009A4B74" w:rsidP="0030338F">
            <w:pPr>
              <w:contextualSpacing/>
              <w:rPr>
                <w:rFonts w:ascii="Verdana" w:hAnsi="Verdana" w:cs="Arial"/>
                <w:sz w:val="16"/>
                <w:szCs w:val="16"/>
                <w:lang w:val="es-ES" w:eastAsia="es-ES"/>
              </w:rPr>
            </w:pPr>
            <w:r w:rsidRPr="00DD681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DE0260" w14:textId="77777777" w:rsidR="009A4B74" w:rsidRPr="00DD6814" w:rsidRDefault="009A4B74" w:rsidP="0030338F">
            <w:pPr>
              <w:contextualSpacing/>
              <w:rPr>
                <w:rFonts w:ascii="Verdana" w:eastAsia="Arial" w:hAnsi="Verdana" w:cs="Arial"/>
                <w:color w:val="000000" w:themeColor="text1"/>
                <w:sz w:val="16"/>
                <w:szCs w:val="16"/>
                <w:lang w:val="es-ES"/>
              </w:rPr>
            </w:pPr>
            <w:r w:rsidRPr="00DD6814">
              <w:rPr>
                <w:rFonts w:ascii="Verdana" w:eastAsia="Arial" w:hAnsi="Verdana" w:cs="Arial"/>
                <w:color w:val="000000" w:themeColor="text1"/>
                <w:sz w:val="16"/>
                <w:szCs w:val="16"/>
                <w:lang w:val="es-ES"/>
              </w:rPr>
              <w:t>Anamaría Bonilla Prieto</w:t>
            </w:r>
          </w:p>
          <w:p w14:paraId="7D0DECD2" w14:textId="77777777" w:rsidR="009A4B74" w:rsidRPr="00DD6814" w:rsidRDefault="009A4B74" w:rsidP="0030338F">
            <w:pPr>
              <w:contextualSpacing/>
              <w:rPr>
                <w:rFonts w:ascii="Verdana" w:eastAsia="Arial" w:hAnsi="Verdana" w:cs="Arial"/>
                <w:sz w:val="16"/>
                <w:szCs w:val="16"/>
                <w:lang w:val="es-ES"/>
              </w:rPr>
            </w:pPr>
            <w:r w:rsidRPr="00DD6814">
              <w:rPr>
                <w:rStyle w:val="normaltextrun"/>
                <w:rFonts w:ascii="Verdana" w:eastAsia="Arial" w:hAnsi="Verdana" w:cs="Arial"/>
                <w:color w:val="000000" w:themeColor="text1"/>
                <w:sz w:val="16"/>
                <w:szCs w:val="16"/>
                <w:lang w:val="es-ES"/>
              </w:rPr>
              <w:t xml:space="preserve">Contratista de la Subdirección </w:t>
            </w:r>
            <w:r w:rsidRPr="00DD6814">
              <w:rPr>
                <w:rStyle w:val="normaltextrun"/>
                <w:rFonts w:ascii="Verdana" w:eastAsia="Arial" w:hAnsi="Verdana" w:cs="Arial"/>
                <w:sz w:val="16"/>
                <w:szCs w:val="16"/>
                <w:lang w:val="es-ES"/>
              </w:rPr>
              <w:t>de Gestión Contractual</w:t>
            </w:r>
          </w:p>
        </w:tc>
      </w:tr>
      <w:tr w:rsidR="009A4B74" w:rsidRPr="00DD6814" w14:paraId="3DB7E12E" w14:textId="77777777" w:rsidTr="0030338F">
        <w:trPr>
          <w:trHeight w:val="330"/>
        </w:trPr>
        <w:tc>
          <w:tcPr>
            <w:tcW w:w="893" w:type="dxa"/>
            <w:vAlign w:val="center"/>
            <w:hideMark/>
          </w:tcPr>
          <w:p w14:paraId="1E2AC424" w14:textId="77777777" w:rsidR="009A4B74" w:rsidRPr="00DD6814" w:rsidRDefault="009A4B74" w:rsidP="0030338F">
            <w:pPr>
              <w:contextualSpacing/>
              <w:rPr>
                <w:rFonts w:ascii="Verdana" w:hAnsi="Verdana" w:cs="Arial"/>
                <w:sz w:val="16"/>
                <w:szCs w:val="16"/>
                <w:lang w:val="es-ES" w:eastAsia="es-ES"/>
              </w:rPr>
            </w:pPr>
            <w:r w:rsidRPr="00DD681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B36A26" w14:textId="77777777" w:rsidR="009A4B74" w:rsidRPr="00DD6814" w:rsidRDefault="009A4B74" w:rsidP="0030338F">
            <w:pPr>
              <w:contextualSpacing/>
              <w:rPr>
                <w:rFonts w:ascii="Verdana" w:eastAsia="Arial" w:hAnsi="Verdana" w:cs="Arial"/>
                <w:color w:val="000000" w:themeColor="text1"/>
                <w:sz w:val="16"/>
                <w:szCs w:val="16"/>
                <w:lang w:val="es-ES"/>
              </w:rPr>
            </w:pPr>
            <w:r w:rsidRPr="00DD6814">
              <w:rPr>
                <w:rFonts w:ascii="Verdana" w:eastAsia="Arial" w:hAnsi="Verdana" w:cs="Arial"/>
                <w:color w:val="000000" w:themeColor="text1"/>
                <w:sz w:val="16"/>
                <w:szCs w:val="16"/>
                <w:lang w:val="es-ES"/>
              </w:rPr>
              <w:t>Alejandro Sarmiento Cantillo</w:t>
            </w:r>
          </w:p>
          <w:p w14:paraId="22FC222D" w14:textId="77777777" w:rsidR="009A4B74" w:rsidRPr="00DD6814" w:rsidRDefault="009A4B74" w:rsidP="0030338F">
            <w:pPr>
              <w:contextualSpacing/>
              <w:rPr>
                <w:rFonts w:ascii="Verdana" w:hAnsi="Verdana" w:cs="Segoe UI"/>
                <w:sz w:val="16"/>
                <w:szCs w:val="16"/>
                <w:lang w:val="es-ES"/>
              </w:rPr>
            </w:pPr>
            <w:r w:rsidRPr="00DD6814">
              <w:rPr>
                <w:rFonts w:ascii="Verdana" w:eastAsia="Arial" w:hAnsi="Verdana" w:cs="Arial"/>
                <w:color w:val="000000" w:themeColor="text1"/>
                <w:sz w:val="16"/>
                <w:szCs w:val="16"/>
                <w:lang w:val="es-ES"/>
              </w:rPr>
              <w:t>Gestor T1 – 15 de la Subdirección de Gestión Contractual</w:t>
            </w:r>
            <w:r w:rsidRPr="00DD6814">
              <w:rPr>
                <w:rFonts w:ascii="Verdana" w:hAnsi="Verdana" w:cs="Segoe UI"/>
                <w:sz w:val="16"/>
                <w:szCs w:val="16"/>
                <w:lang w:val="es-ES"/>
              </w:rPr>
              <w:t> </w:t>
            </w:r>
          </w:p>
        </w:tc>
      </w:tr>
      <w:tr w:rsidR="009A4B74" w:rsidRPr="00DD6814" w14:paraId="03535F34" w14:textId="77777777" w:rsidTr="0030338F">
        <w:trPr>
          <w:trHeight w:val="300"/>
        </w:trPr>
        <w:tc>
          <w:tcPr>
            <w:tcW w:w="893" w:type="dxa"/>
            <w:vAlign w:val="center"/>
          </w:tcPr>
          <w:p w14:paraId="52466A77" w14:textId="77777777" w:rsidR="009A4B74" w:rsidRPr="00DD6814" w:rsidRDefault="009A4B74" w:rsidP="0030338F">
            <w:pPr>
              <w:contextualSpacing/>
              <w:rPr>
                <w:rFonts w:ascii="Verdana" w:hAnsi="Verdana" w:cs="Arial"/>
                <w:sz w:val="16"/>
                <w:szCs w:val="16"/>
                <w:lang w:val="es-ES" w:eastAsia="es-ES"/>
              </w:rPr>
            </w:pPr>
            <w:r w:rsidRPr="00DD681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6F3F61" w14:textId="77777777" w:rsidR="009A4B74" w:rsidRPr="00DD6814" w:rsidRDefault="009A4B74" w:rsidP="0030338F">
            <w:pPr>
              <w:contextualSpacing/>
              <w:rPr>
                <w:rFonts w:ascii="Verdana" w:eastAsia="Calibri" w:hAnsi="Verdana" w:cs="Arial"/>
                <w:sz w:val="16"/>
                <w:szCs w:val="16"/>
                <w:lang w:val="es-ES" w:eastAsia="es-ES"/>
              </w:rPr>
            </w:pPr>
            <w:r w:rsidRPr="00DD6814">
              <w:rPr>
                <w:rFonts w:ascii="Verdana" w:eastAsia="Calibri" w:hAnsi="Verdana" w:cs="Arial"/>
                <w:sz w:val="16"/>
                <w:szCs w:val="16"/>
                <w:lang w:val="es-ES" w:eastAsia="es-ES"/>
              </w:rPr>
              <w:t>Carolina Quintero Gacharná</w:t>
            </w:r>
          </w:p>
          <w:p w14:paraId="30DF5883" w14:textId="77777777" w:rsidR="009A4B74" w:rsidRPr="00DD6814" w:rsidRDefault="009A4B74" w:rsidP="0030338F">
            <w:pPr>
              <w:contextualSpacing/>
              <w:rPr>
                <w:rFonts w:ascii="Verdana" w:eastAsia="Calibri" w:hAnsi="Verdana" w:cs="Arial"/>
                <w:sz w:val="16"/>
                <w:szCs w:val="16"/>
                <w:lang w:val="es-ES" w:eastAsia="es-ES"/>
              </w:rPr>
            </w:pPr>
            <w:r w:rsidRPr="00DD6814">
              <w:rPr>
                <w:rFonts w:ascii="Verdana" w:eastAsia="Calibri" w:hAnsi="Verdana" w:cs="Arial"/>
                <w:sz w:val="16"/>
                <w:szCs w:val="16"/>
                <w:lang w:val="es-ES" w:eastAsia="es-ES"/>
              </w:rPr>
              <w:t>Subdirectora de Gestión Contractual ANCP – CCE</w:t>
            </w:r>
          </w:p>
        </w:tc>
      </w:tr>
    </w:tbl>
    <w:p w14:paraId="3077F78D" w14:textId="77777777" w:rsidR="009A4B74" w:rsidRPr="00DD6814" w:rsidRDefault="009A4B74" w:rsidP="009A4B74">
      <w:pPr>
        <w:rPr>
          <w:lang w:val="es-ES"/>
        </w:rPr>
      </w:pPr>
    </w:p>
    <w:p w14:paraId="0560B5C5" w14:textId="77777777" w:rsidR="009A4B74" w:rsidRPr="00DD6814" w:rsidRDefault="009A4B74" w:rsidP="009A4B74">
      <w:pPr>
        <w:rPr>
          <w:lang w:val="es-ES"/>
        </w:rPr>
      </w:pPr>
    </w:p>
    <w:p w14:paraId="0F293BF4" w14:textId="3F6C01C1" w:rsidR="00127233" w:rsidRPr="009A4B74" w:rsidRDefault="00127233" w:rsidP="009A4B74"/>
    <w:sectPr w:rsidR="00127233" w:rsidRPr="009A4B7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1D5B44" w14:textId="77777777" w:rsidR="009E0855" w:rsidRDefault="009E0855" w:rsidP="004A1847">
      <w:pPr>
        <w:spacing w:after="0" w:line="240" w:lineRule="auto"/>
      </w:pPr>
      <w:r>
        <w:separator/>
      </w:r>
    </w:p>
  </w:endnote>
  <w:endnote w:type="continuationSeparator" w:id="0">
    <w:p w14:paraId="0F25F96B" w14:textId="77777777" w:rsidR="009E0855" w:rsidRDefault="009E0855" w:rsidP="004A1847">
      <w:pPr>
        <w:spacing w:after="0" w:line="240" w:lineRule="auto"/>
      </w:pPr>
      <w:r>
        <w:continuationSeparator/>
      </w:r>
    </w:p>
  </w:endnote>
  <w:endnote w:type="continuationNotice" w:id="1">
    <w:p w14:paraId="6CD0183C" w14:textId="77777777" w:rsidR="009E0855" w:rsidRDefault="009E08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93102F" w14:textId="77777777" w:rsidR="009E0855" w:rsidRDefault="009E0855" w:rsidP="004A1847">
      <w:pPr>
        <w:spacing w:after="0" w:line="240" w:lineRule="auto"/>
      </w:pPr>
      <w:r>
        <w:separator/>
      </w:r>
    </w:p>
  </w:footnote>
  <w:footnote w:type="continuationSeparator" w:id="0">
    <w:p w14:paraId="291C0B99" w14:textId="77777777" w:rsidR="009E0855" w:rsidRDefault="009E0855" w:rsidP="004A1847">
      <w:pPr>
        <w:spacing w:after="0" w:line="240" w:lineRule="auto"/>
      </w:pPr>
      <w:r>
        <w:continuationSeparator/>
      </w:r>
    </w:p>
  </w:footnote>
  <w:footnote w:type="continuationNotice" w:id="1">
    <w:p w14:paraId="7171AC76" w14:textId="77777777" w:rsidR="009E0855" w:rsidRDefault="009E0855">
      <w:pPr>
        <w:spacing w:after="0" w:line="240" w:lineRule="auto"/>
      </w:pPr>
    </w:p>
  </w:footnote>
  <w:footnote w:id="2">
    <w:p w14:paraId="7FBD0588" w14:textId="77777777" w:rsidR="009A4B74" w:rsidRPr="007E6C64" w:rsidRDefault="009A4B74" w:rsidP="009A4B74">
      <w:pPr>
        <w:pStyle w:val="FootnoteText"/>
        <w:ind w:firstLine="709"/>
        <w:jc w:val="both"/>
        <w:rPr>
          <w:rFonts w:ascii="Verdana" w:hAnsi="Verdana"/>
          <w:sz w:val="16"/>
          <w:szCs w:val="16"/>
          <w:lang w:val="es-ES_tradnl"/>
        </w:rPr>
      </w:pPr>
      <w:r w:rsidRPr="00085DA5">
        <w:rPr>
          <w:rStyle w:val="FootnoteReferenc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ES_tradnl"/>
        </w:rPr>
        <w:t>Esto lo ratifica el artículo 2.2.1.2.1.5.2. del Decreto 1082 de 2015.</w:t>
      </w:r>
    </w:p>
  </w:footnote>
  <w:footnote w:id="3">
    <w:p w14:paraId="118A3289"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Style w:val="FootnoteReferenc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DÁVILA VINUEZA, Luis Guillermo. Régimen jurídico de la contratación estatal. 3ª ed. Bogotá: Legis, 2016. p. 463.</w:t>
      </w:r>
    </w:p>
  </w:footnote>
  <w:footnote w:id="4">
    <w:p w14:paraId="7DC17C9F"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Style w:val="FootnoteReferenc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02D6CB37"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“Para las entidades que tengan un presupuesto anual superior o igual a 1.200.000 salarios mínimos legales mensuales, la menor cuantía será hasta 1.000 salarios mínimos legales mensuales.</w:t>
      </w:r>
    </w:p>
    <w:p w14:paraId="053E9C61"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850.000 salarios mínimos legales mensuales e inferiores a 1.200.000 salarios mínimos legales mensuales, la menor cuantía será hasta 850 salarios mínimos legales mensuales.</w:t>
      </w:r>
    </w:p>
    <w:p w14:paraId="4E01ECD6"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400.000 salarios mínimos legales mensuales e inferior a 850.000 salarios mínimos legales mensuales, la menor cuantía será hasta 650 salarios mínimos legales mensuales.</w:t>
      </w:r>
    </w:p>
    <w:p w14:paraId="3AE7B609"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120.000 salarios mínimos legales mensuales e inferior a 400.000 salarios mínimos legales mensuales, la menor cuantía será hasta 450 salarios mínimos legales mensuales.</w:t>
      </w:r>
    </w:p>
    <w:p w14:paraId="663F3BD4" w14:textId="77777777" w:rsidR="009A4B74" w:rsidRPr="00085DA5" w:rsidRDefault="009A4B74" w:rsidP="009A4B74">
      <w:pPr>
        <w:pStyle w:val="FootnoteText"/>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inferior a 120.000 salarios mínimos legales mensuales, la menor cuantía será hasta 280 salarios mínimos legales mensuales”.</w:t>
      </w:r>
    </w:p>
  </w:footnote>
  <w:footnote w:id="5">
    <w:p w14:paraId="22E71593" w14:textId="77777777" w:rsidR="009A4B74" w:rsidRPr="009F145D" w:rsidRDefault="009A4B74" w:rsidP="009A4B74">
      <w:pPr>
        <w:pStyle w:val="FootnoteText"/>
        <w:ind w:firstLine="708"/>
        <w:jc w:val="both"/>
        <w:rPr>
          <w:rFonts w:ascii="Century Gothic" w:hAnsi="Century Gothic" w:cs="Arial"/>
          <w:sz w:val="16"/>
          <w:szCs w:val="16"/>
        </w:rPr>
      </w:pPr>
      <w:r w:rsidRPr="009F145D">
        <w:rPr>
          <w:rStyle w:val="FootnoteReference"/>
          <w:rFonts w:ascii="Verdana" w:hAnsi="Verdana" w:cs="Arial"/>
          <w:sz w:val="16"/>
          <w:szCs w:val="16"/>
        </w:rPr>
        <w:footnoteRef/>
      </w:r>
      <w:r w:rsidRPr="009F145D">
        <w:rPr>
          <w:rFonts w:ascii="Verdana" w:hAnsi="Verdana" w:cs="Arial"/>
          <w:sz w:val="16"/>
          <w:szCs w:val="16"/>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p>
  </w:footnote>
  <w:footnote w:id="6">
    <w:p w14:paraId="16336EEA" w14:textId="77777777" w:rsidR="009A4B74" w:rsidRPr="007E6C64" w:rsidRDefault="009A4B74" w:rsidP="009A4B74">
      <w:pPr>
        <w:pStyle w:val="FootnoteText"/>
        <w:ind w:firstLine="709"/>
        <w:jc w:val="both"/>
        <w:rPr>
          <w:rFonts w:ascii="Verdana" w:hAnsi="Verdana"/>
          <w:sz w:val="16"/>
          <w:szCs w:val="16"/>
        </w:rPr>
      </w:pPr>
      <w:r w:rsidRPr="007E6C64">
        <w:rPr>
          <w:rStyle w:val="FootnoteReference"/>
          <w:rFonts w:ascii="Verdana" w:hAnsi="Verdana"/>
          <w:sz w:val="16"/>
          <w:szCs w:val="16"/>
        </w:rPr>
        <w:footnoteRef/>
      </w:r>
      <w:r w:rsidRPr="007E6C64">
        <w:rPr>
          <w:rFonts w:ascii="Verdana" w:hAnsi="Verdana"/>
          <w:sz w:val="16"/>
          <w:szCs w:val="16"/>
        </w:rPr>
        <w:t xml:space="preserve"> </w:t>
      </w:r>
      <w:r w:rsidRPr="007E6C64">
        <w:rPr>
          <w:rFonts w:ascii="Verdana" w:hAnsi="Verdana"/>
          <w:sz w:val="16"/>
          <w:szCs w:val="16"/>
          <w:lang w:val="es-CO"/>
        </w:rPr>
        <w:t xml:space="preserve">Este artículo fue modificado por el artículo 5 del Decreto 142 de 2023 en los siguientes términos: </w:t>
      </w:r>
      <w:r w:rsidRPr="007E6C64">
        <w:rPr>
          <w:rFonts w:ascii="Verdana" w:hAnsi="Verdana"/>
          <w:bCs/>
          <w:iCs/>
          <w:sz w:val="16"/>
          <w:szCs w:val="16"/>
        </w:rPr>
        <w:t>"Artículo 2.2.1.2.1.5.1. Estudios previos para la contratación de mínima cuantía.</w:t>
      </w:r>
      <w:r w:rsidRPr="007E6C64">
        <w:rPr>
          <w:rFonts w:ascii="Verdana" w:hAnsi="Verdana"/>
          <w:iCs/>
          <w:sz w:val="16"/>
          <w:szCs w:val="16"/>
        </w:rPr>
        <w:t> La Entidad Estatal debe elaborar unos estudios previos que deben contener, como mínimo, lo siguiente: </w:t>
      </w:r>
    </w:p>
    <w:p w14:paraId="4E32B790" w14:textId="77777777" w:rsidR="009A4B74" w:rsidRPr="007E6C64" w:rsidRDefault="009A4B74" w:rsidP="009A4B74">
      <w:pPr>
        <w:pStyle w:val="FootnoteText"/>
        <w:tabs>
          <w:tab w:val="left" w:pos="142"/>
        </w:tabs>
        <w:ind w:firstLine="709"/>
        <w:jc w:val="both"/>
        <w:rPr>
          <w:rFonts w:ascii="Verdana" w:hAnsi="Verdana"/>
          <w:iCs/>
          <w:sz w:val="16"/>
          <w:szCs w:val="16"/>
        </w:rPr>
      </w:pPr>
      <w:r w:rsidRPr="007E6C64">
        <w:rPr>
          <w:rFonts w:ascii="Verdana" w:hAnsi="Verdana"/>
          <w:iCs/>
          <w:sz w:val="16"/>
          <w:szCs w:val="16"/>
        </w:rPr>
        <w:t xml:space="preserve">1. La descripción de la necesidad que pretende satisfacer con la contratación.  </w:t>
      </w:r>
    </w:p>
    <w:p w14:paraId="0AB8DDC4" w14:textId="77777777" w:rsidR="009A4B74" w:rsidRPr="007E6C64" w:rsidRDefault="009A4B74" w:rsidP="009A4B74">
      <w:pPr>
        <w:pStyle w:val="FootnoteText"/>
        <w:tabs>
          <w:tab w:val="left" w:pos="142"/>
        </w:tabs>
        <w:ind w:firstLine="709"/>
        <w:jc w:val="both"/>
        <w:rPr>
          <w:rFonts w:ascii="Verdana" w:hAnsi="Verdana"/>
          <w:sz w:val="16"/>
          <w:szCs w:val="16"/>
        </w:rPr>
      </w:pPr>
      <w:r w:rsidRPr="007E6C64">
        <w:rPr>
          <w:rFonts w:ascii="Verdana" w:hAnsi="Verdana"/>
          <w:iCs/>
          <w:sz w:val="16"/>
          <w:szCs w:val="16"/>
        </w:rPr>
        <w:t>2. La descripción del objeto a contratar identificado con el cuarto nivel del Clasificador de Bienes y Servicios, de ser posible, o de lo contrario con el tercer nivel. </w:t>
      </w:r>
    </w:p>
    <w:p w14:paraId="7120627F" w14:textId="77777777" w:rsidR="009A4B74" w:rsidRPr="007E6C64" w:rsidRDefault="009A4B74" w:rsidP="009A4B74">
      <w:pPr>
        <w:pStyle w:val="FootnoteText"/>
        <w:tabs>
          <w:tab w:val="left" w:pos="142"/>
        </w:tabs>
        <w:ind w:firstLine="709"/>
        <w:jc w:val="both"/>
        <w:rPr>
          <w:rFonts w:ascii="Verdana" w:hAnsi="Verdana"/>
          <w:sz w:val="16"/>
          <w:szCs w:val="16"/>
        </w:rPr>
      </w:pPr>
      <w:r w:rsidRPr="007E6C64">
        <w:rPr>
          <w:rFonts w:ascii="Verdana" w:hAnsi="Verdana"/>
          <w:iCs/>
          <w:sz w:val="16"/>
          <w:szCs w:val="16"/>
        </w:rPr>
        <w:t>3. Las condiciones técnicas exigidas.</w:t>
      </w:r>
    </w:p>
    <w:p w14:paraId="026F881E" w14:textId="77777777" w:rsidR="009A4B74" w:rsidRPr="007E6C64" w:rsidRDefault="009A4B74" w:rsidP="009A4B74">
      <w:pPr>
        <w:pStyle w:val="FootnoteText"/>
        <w:tabs>
          <w:tab w:val="left" w:pos="142"/>
        </w:tabs>
        <w:ind w:firstLine="709"/>
        <w:jc w:val="both"/>
        <w:rPr>
          <w:rFonts w:ascii="Verdana" w:hAnsi="Verdana"/>
          <w:sz w:val="16"/>
          <w:szCs w:val="16"/>
        </w:rPr>
      </w:pPr>
      <w:r w:rsidRPr="007E6C64">
        <w:rPr>
          <w:rFonts w:ascii="Verdana" w:hAnsi="Verdana"/>
          <w:iCs/>
          <w:sz w:val="16"/>
          <w:szCs w:val="16"/>
        </w:rPr>
        <w:t>4. El valor estimado del contrato y su justificación.</w:t>
      </w:r>
    </w:p>
    <w:p w14:paraId="0BC5A29F" w14:textId="77777777" w:rsidR="009A4B74" w:rsidRPr="007E6C64" w:rsidRDefault="009A4B74" w:rsidP="009A4B74">
      <w:pPr>
        <w:pStyle w:val="FootnoteText"/>
        <w:tabs>
          <w:tab w:val="left" w:pos="142"/>
        </w:tabs>
        <w:ind w:firstLine="709"/>
        <w:jc w:val="both"/>
        <w:rPr>
          <w:rFonts w:ascii="Verdana" w:hAnsi="Verdana"/>
          <w:sz w:val="16"/>
          <w:szCs w:val="16"/>
        </w:rPr>
      </w:pPr>
      <w:r w:rsidRPr="007E6C64">
        <w:rPr>
          <w:rFonts w:ascii="Verdana" w:hAnsi="Verdana"/>
          <w:iCs/>
          <w:sz w:val="16"/>
          <w:szCs w:val="16"/>
        </w:rPr>
        <w:t>5. El plazo de ejecución del contrato. </w:t>
      </w:r>
    </w:p>
    <w:p w14:paraId="37FC5853" w14:textId="77777777" w:rsidR="009A4B74" w:rsidRPr="007E6C64" w:rsidRDefault="009A4B74" w:rsidP="009A4B74">
      <w:pPr>
        <w:pStyle w:val="FootnoteText"/>
        <w:tabs>
          <w:tab w:val="left" w:pos="142"/>
        </w:tabs>
        <w:ind w:firstLine="709"/>
        <w:jc w:val="both"/>
        <w:rPr>
          <w:rFonts w:ascii="Verdana" w:hAnsi="Verdana"/>
          <w:sz w:val="16"/>
          <w:szCs w:val="16"/>
        </w:rPr>
      </w:pPr>
      <w:r w:rsidRPr="007E6C64">
        <w:rPr>
          <w:rFonts w:ascii="Verdana" w:hAnsi="Verdana"/>
          <w:iCs/>
          <w:sz w:val="16"/>
          <w:szCs w:val="16"/>
        </w:rPr>
        <w:t>6. El certificado de disponibilidad presupuesta! que respalda la contratación.</w:t>
      </w:r>
    </w:p>
    <w:p w14:paraId="66D53937" w14:textId="77777777" w:rsidR="009A4B74" w:rsidRDefault="009A4B74" w:rsidP="009A4B74">
      <w:pPr>
        <w:pStyle w:val="FootnoteText"/>
        <w:ind w:firstLine="709"/>
        <w:jc w:val="both"/>
        <w:rPr>
          <w:rFonts w:ascii="Verdana" w:hAnsi="Verdana"/>
          <w:iCs/>
          <w:sz w:val="16"/>
          <w:szCs w:val="16"/>
        </w:rPr>
      </w:pPr>
      <w:r w:rsidRPr="007E6C64">
        <w:rPr>
          <w:rFonts w:ascii="Verdana" w:hAnsi="Verdana"/>
          <w:iCs/>
          <w:sz w:val="16"/>
          <w:szCs w:val="16"/>
        </w:rPr>
        <w:t>Parágrafo. Dentro de las condiciones técnicas exigidas se podrán incluir aspectos ambientales y sociales en los términos establecidos en el parágrafo del artículo 2.2.1.1.2.2.2. del presente Decreto."</w:t>
      </w:r>
    </w:p>
    <w:p w14:paraId="1D00D211" w14:textId="77777777" w:rsidR="009A4B74" w:rsidRPr="007E6C64" w:rsidRDefault="009A4B74" w:rsidP="009A4B74">
      <w:pPr>
        <w:pStyle w:val="FootnoteText"/>
        <w:ind w:firstLine="709"/>
        <w:jc w:val="both"/>
        <w:rPr>
          <w:rFonts w:ascii="Verdana" w:hAnsi="Verdana"/>
          <w:sz w:val="16"/>
          <w:szCs w:val="16"/>
        </w:rPr>
      </w:pPr>
      <w:r w:rsidRPr="007E6C64">
        <w:rPr>
          <w:rFonts w:ascii="Verdana" w:hAnsi="Verdana"/>
          <w:iCs/>
          <w:sz w:val="16"/>
          <w:szCs w:val="16"/>
        </w:rPr>
        <w:t> </w:t>
      </w:r>
    </w:p>
  </w:footnote>
  <w:footnote w:id="7">
    <w:p w14:paraId="43879CE8" w14:textId="77777777" w:rsidR="009A4B74" w:rsidRPr="007F0BA4" w:rsidRDefault="009A4B74" w:rsidP="009A4B74">
      <w:pPr>
        <w:pStyle w:val="FootnoteText"/>
        <w:ind w:firstLine="708"/>
        <w:jc w:val="both"/>
        <w:rPr>
          <w:rFonts w:ascii="Verdana" w:hAnsi="Verdana" w:cs="Arial"/>
          <w:sz w:val="14"/>
          <w:szCs w:val="14"/>
        </w:rPr>
      </w:pPr>
      <w:r w:rsidRPr="007E6C64">
        <w:rPr>
          <w:rStyle w:val="FootnoteReference"/>
          <w:rFonts w:ascii="Verdana" w:hAnsi="Verdana" w:cs="Arial"/>
          <w:sz w:val="16"/>
          <w:szCs w:val="16"/>
        </w:rPr>
        <w:footnoteRef/>
      </w:r>
      <w:r w:rsidRPr="007E6C64">
        <w:rPr>
          <w:rFonts w:ascii="Verdana" w:hAnsi="Verdana" w:cs="Arial"/>
          <w:sz w:val="16"/>
          <w:szCs w:val="16"/>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8">
    <w:p w14:paraId="449B5C1A" w14:textId="77777777" w:rsidR="009A4B74" w:rsidRPr="007F0BA4" w:rsidRDefault="009A4B74" w:rsidP="009A4B74">
      <w:pPr>
        <w:pStyle w:val="FootnoteText"/>
        <w:ind w:firstLine="709"/>
        <w:jc w:val="both"/>
        <w:rPr>
          <w:rFonts w:ascii="Verdana" w:hAnsi="Verdana" w:cs="Arial"/>
          <w:i/>
          <w:iCs/>
          <w:color w:val="000000"/>
          <w:sz w:val="14"/>
          <w:szCs w:val="14"/>
          <w:lang w:val="es-ES_tradnl"/>
        </w:rPr>
      </w:pPr>
      <w:r w:rsidRPr="007F0BA4">
        <w:rPr>
          <w:rStyle w:val="FootnoteReference"/>
          <w:rFonts w:ascii="Verdana" w:hAnsi="Verdana" w:cs="Arial"/>
          <w:i/>
          <w:iCs/>
          <w:color w:val="000000"/>
          <w:sz w:val="14"/>
          <w:szCs w:val="14"/>
          <w:lang w:val="es-ES_tradnl"/>
        </w:rPr>
        <w:footnoteRef/>
      </w:r>
      <w:r w:rsidRPr="007F0BA4">
        <w:rPr>
          <w:rFonts w:ascii="Verdana" w:hAnsi="Verdana" w:cs="Arial"/>
          <w:i/>
          <w:iCs/>
          <w:color w:val="000000"/>
          <w:sz w:val="14"/>
          <w:szCs w:val="14"/>
          <w:lang w:val="es-ES_tradnl"/>
        </w:rPr>
        <w:t xml:space="preserve"> Agencia Nacional de Contratación Pública – Colombia Compra Eficiente. Manual de la Modalidad de Selección de Mínima Cuantía En:</w:t>
      </w:r>
      <w:r w:rsidRPr="007F0BA4">
        <w:rPr>
          <w:rFonts w:ascii="Verdana" w:hAnsi="Verdana"/>
          <w:i/>
          <w:iCs/>
          <w:sz w:val="14"/>
          <w:szCs w:val="14"/>
        </w:rPr>
        <w:t xml:space="preserve"> </w:t>
      </w:r>
      <w:hyperlink r:id="rId1" w:history="1">
        <w:r w:rsidRPr="007F0BA4">
          <w:rPr>
            <w:rStyle w:val="Hyperlink"/>
            <w:rFonts w:ascii="Verdana" w:hAnsi="Verdana" w:cs="Arial"/>
            <w:i/>
            <w:iCs/>
            <w:sz w:val="14"/>
            <w:szCs w:val="14"/>
            <w:lang w:val="es-ES_tradnl"/>
          </w:rPr>
          <w:t>https://www.colombiacompra.gov.co/manuales-guias-y-pliegos-tipo/manuales-y-guias</w:t>
        </w:r>
      </w:hyperlink>
    </w:p>
  </w:footnote>
  <w:footnote w:id="9">
    <w:p w14:paraId="172939E6" w14:textId="77777777" w:rsidR="009A4B74" w:rsidRPr="007F0BA4" w:rsidRDefault="009A4B74" w:rsidP="009A4B74">
      <w:pPr>
        <w:pStyle w:val="FootnoteText"/>
        <w:ind w:firstLine="709"/>
        <w:jc w:val="both"/>
        <w:rPr>
          <w:rFonts w:ascii="Verdana" w:hAnsi="Verdana" w:cs="Arial"/>
          <w:i/>
          <w:iCs/>
          <w:color w:val="000000"/>
          <w:sz w:val="14"/>
          <w:szCs w:val="14"/>
          <w:lang w:val="es-ES_tradnl"/>
        </w:rPr>
      </w:pPr>
      <w:r w:rsidRPr="007F0BA4">
        <w:rPr>
          <w:rStyle w:val="FootnoteReference"/>
          <w:rFonts w:ascii="Verdana" w:hAnsi="Verdana" w:cs="Arial"/>
          <w:i/>
          <w:iCs/>
          <w:color w:val="000000"/>
          <w:sz w:val="14"/>
          <w:szCs w:val="14"/>
          <w:lang w:val="es-ES_tradnl"/>
        </w:rPr>
        <w:footnoteRef/>
      </w:r>
      <w:r w:rsidRPr="007F0BA4">
        <w:rPr>
          <w:rFonts w:ascii="Verdana" w:hAnsi="Verdana" w:cs="Arial"/>
          <w:i/>
          <w:iCs/>
          <w:color w:val="000000"/>
          <w:sz w:val="14"/>
          <w:szCs w:val="14"/>
          <w:lang w:val="es-ES_tradnl"/>
        </w:rPr>
        <w:t xml:space="preserve"> Como lo indica la doctrina, en la mínima cuantía “El precio es el factor de selección del proponente. Es decir, la entidad estatal debe adjudicar el proceso de contratación al oferente que cumpla con todas las condiciones exigidas por la entidad estatal en los documentos del proceso (estudios previos e invitación a participar), y que ofrezca el menor valor. No hay lugar a puntajes para evaluar las ofertas sobre las características del objeto a contratar, su calidad o condiciones” (DÁVILA, Op.cit., p. 515).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5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19317E"/>
    <w:multiLevelType w:val="hybridMultilevel"/>
    <w:tmpl w:val="516895F2"/>
    <w:lvl w:ilvl="0" w:tplc="FFFFFFFF">
      <w:start w:val="1"/>
      <w:numFmt w:val="lowerRoman"/>
      <w:lvlText w:val="%1)"/>
      <w:lvlJc w:val="left"/>
      <w:pPr>
        <w:ind w:left="800" w:hanging="720"/>
      </w:pPr>
      <w:rPr>
        <w:rFonts w:hint="default"/>
      </w:rPr>
    </w:lvl>
    <w:lvl w:ilvl="1" w:tplc="FFFFFFFF" w:tentative="1">
      <w:start w:val="1"/>
      <w:numFmt w:val="lowerLetter"/>
      <w:lvlText w:val="%2."/>
      <w:lvlJc w:val="left"/>
      <w:pPr>
        <w:ind w:left="1160" w:hanging="360"/>
      </w:pPr>
    </w:lvl>
    <w:lvl w:ilvl="2" w:tplc="FFFFFFFF" w:tentative="1">
      <w:start w:val="1"/>
      <w:numFmt w:val="lowerRoman"/>
      <w:lvlText w:val="%3."/>
      <w:lvlJc w:val="right"/>
      <w:pPr>
        <w:ind w:left="1880" w:hanging="180"/>
      </w:pPr>
    </w:lvl>
    <w:lvl w:ilvl="3" w:tplc="FFFFFFFF" w:tentative="1">
      <w:start w:val="1"/>
      <w:numFmt w:val="decimal"/>
      <w:lvlText w:val="%4."/>
      <w:lvlJc w:val="left"/>
      <w:pPr>
        <w:ind w:left="2600" w:hanging="360"/>
      </w:pPr>
    </w:lvl>
    <w:lvl w:ilvl="4" w:tplc="FFFFFFFF" w:tentative="1">
      <w:start w:val="1"/>
      <w:numFmt w:val="lowerLetter"/>
      <w:lvlText w:val="%5."/>
      <w:lvlJc w:val="left"/>
      <w:pPr>
        <w:ind w:left="3320" w:hanging="360"/>
      </w:pPr>
    </w:lvl>
    <w:lvl w:ilvl="5" w:tplc="FFFFFFFF" w:tentative="1">
      <w:start w:val="1"/>
      <w:numFmt w:val="lowerRoman"/>
      <w:lvlText w:val="%6."/>
      <w:lvlJc w:val="right"/>
      <w:pPr>
        <w:ind w:left="4040" w:hanging="180"/>
      </w:pPr>
    </w:lvl>
    <w:lvl w:ilvl="6" w:tplc="FFFFFFFF" w:tentative="1">
      <w:start w:val="1"/>
      <w:numFmt w:val="decimal"/>
      <w:lvlText w:val="%7."/>
      <w:lvlJc w:val="left"/>
      <w:pPr>
        <w:ind w:left="4760" w:hanging="360"/>
      </w:pPr>
    </w:lvl>
    <w:lvl w:ilvl="7" w:tplc="FFFFFFFF" w:tentative="1">
      <w:start w:val="1"/>
      <w:numFmt w:val="lowerLetter"/>
      <w:lvlText w:val="%8."/>
      <w:lvlJc w:val="left"/>
      <w:pPr>
        <w:ind w:left="5480" w:hanging="360"/>
      </w:pPr>
    </w:lvl>
    <w:lvl w:ilvl="8" w:tplc="FFFFFFFF" w:tentative="1">
      <w:start w:val="1"/>
      <w:numFmt w:val="lowerRoman"/>
      <w:lvlText w:val="%9."/>
      <w:lvlJc w:val="right"/>
      <w:pPr>
        <w:ind w:left="620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8693FD0"/>
    <w:multiLevelType w:val="hybridMultilevel"/>
    <w:tmpl w:val="516895F2"/>
    <w:lvl w:ilvl="0" w:tplc="612AE9C2">
      <w:start w:val="1"/>
      <w:numFmt w:val="lowerRoman"/>
      <w:lvlText w:val="%1)"/>
      <w:lvlJc w:val="left"/>
      <w:pPr>
        <w:ind w:left="800" w:hanging="72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1"/>
  </w:num>
  <w:num w:numId="16" w16cid:durableId="341274352">
    <w:abstractNumId w:val="0"/>
  </w:num>
  <w:num w:numId="17" w16cid:durableId="376856127">
    <w:abstractNumId w:val="10"/>
  </w:num>
  <w:num w:numId="18" w16cid:durableId="86196769">
    <w:abstractNumId w:val="12"/>
  </w:num>
  <w:num w:numId="19" w16cid:durableId="18849756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0B1D"/>
    <w:rsid w:val="000F6486"/>
    <w:rsid w:val="00116940"/>
    <w:rsid w:val="00125105"/>
    <w:rsid w:val="00127233"/>
    <w:rsid w:val="0015699B"/>
    <w:rsid w:val="0017557D"/>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65BA7"/>
    <w:rsid w:val="00574867"/>
    <w:rsid w:val="00591460"/>
    <w:rsid w:val="005A65E0"/>
    <w:rsid w:val="005C3777"/>
    <w:rsid w:val="005C5CDC"/>
    <w:rsid w:val="005D476C"/>
    <w:rsid w:val="005E6262"/>
    <w:rsid w:val="006200BF"/>
    <w:rsid w:val="006219F8"/>
    <w:rsid w:val="00623416"/>
    <w:rsid w:val="006302F7"/>
    <w:rsid w:val="00646B9F"/>
    <w:rsid w:val="00665D70"/>
    <w:rsid w:val="006900D9"/>
    <w:rsid w:val="006F3988"/>
    <w:rsid w:val="00706C16"/>
    <w:rsid w:val="007340C3"/>
    <w:rsid w:val="0073431A"/>
    <w:rsid w:val="0075235A"/>
    <w:rsid w:val="00756841"/>
    <w:rsid w:val="007649AB"/>
    <w:rsid w:val="00771D0C"/>
    <w:rsid w:val="007833AC"/>
    <w:rsid w:val="00785678"/>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D3EE1"/>
    <w:rsid w:val="008F0EA7"/>
    <w:rsid w:val="00923EEF"/>
    <w:rsid w:val="009419F9"/>
    <w:rsid w:val="0095685E"/>
    <w:rsid w:val="00961B09"/>
    <w:rsid w:val="00965334"/>
    <w:rsid w:val="0097093E"/>
    <w:rsid w:val="009A0DFA"/>
    <w:rsid w:val="009A1C6F"/>
    <w:rsid w:val="009A4B74"/>
    <w:rsid w:val="009B2D26"/>
    <w:rsid w:val="009C71FA"/>
    <w:rsid w:val="009C72E7"/>
    <w:rsid w:val="009C7F7E"/>
    <w:rsid w:val="009D3058"/>
    <w:rsid w:val="009E0855"/>
    <w:rsid w:val="009F3A13"/>
    <w:rsid w:val="00A122D3"/>
    <w:rsid w:val="00A14468"/>
    <w:rsid w:val="00A17F13"/>
    <w:rsid w:val="00A20739"/>
    <w:rsid w:val="00A23AF9"/>
    <w:rsid w:val="00A30CF0"/>
    <w:rsid w:val="00A33C78"/>
    <w:rsid w:val="00AB0ADB"/>
    <w:rsid w:val="00B00C0E"/>
    <w:rsid w:val="00B01B1A"/>
    <w:rsid w:val="00B0381D"/>
    <w:rsid w:val="00B21900"/>
    <w:rsid w:val="00B44A47"/>
    <w:rsid w:val="00B72CD3"/>
    <w:rsid w:val="00B72FFF"/>
    <w:rsid w:val="00BC3D36"/>
    <w:rsid w:val="00BD2771"/>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7F2F"/>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1637"/>
    <w:rsid w:val="00F565CC"/>
    <w:rsid w:val="00F5664F"/>
    <w:rsid w:val="00F66565"/>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9A4B74"/>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9A4B7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milosanchez23456@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CB5060-39AD-4338-AE5E-4E92B5595778}"/>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14</Pages>
  <Words>4076</Words>
  <Characters>23239</Characters>
  <Application>Microsoft Office Word</Application>
  <DocSecurity>0</DocSecurity>
  <Lines>193</Lines>
  <Paragraphs>54</Paragraphs>
  <ScaleCrop>false</ScaleCrop>
  <Company/>
  <LinksUpToDate>false</LinksUpToDate>
  <CharactersWithSpaces>27261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5</cp:revision>
  <cp:lastPrinted>2023-01-10T21:18:00Z</cp:lastPrinted>
  <dcterms:created xsi:type="dcterms:W3CDTF">2025-12-20T00:43:00Z</dcterms:created>
  <dcterms:modified xsi:type="dcterms:W3CDTF">2025-12-20T00:50:00Z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