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95A95C" w14:textId="31847545" w:rsidR="0009625C" w:rsidRDefault="0009625C" w:rsidP="0009625C">
      <w:pPr>
        <w:jc w:val="both"/>
        <w:rPr>
          <w:rFonts w:ascii="Verdana" w:eastAsia="Calibri" w:hAnsi="Verdana" w:cs="Arial"/>
          <w:b/>
          <w:bCs/>
          <w:lang w:val="es-ES" w:eastAsia="es-ES"/>
        </w:rPr>
      </w:pPr>
      <w:bookmarkStart w:id="0" w:name="_Hlk143780582"/>
      <w:r w:rsidRPr="0009625C">
        <w:rPr>
          <w:rFonts w:ascii="Verdana" w:eastAsia="Calibri" w:hAnsi="Verdana" w:cs="Arial"/>
          <w:b/>
          <w:bCs/>
          <w:lang w:val="es-ES" w:eastAsia="es-ES"/>
        </w:rPr>
        <w:t xml:space="preserve">DOCUMENTOS DEL PROCESO – Aviso de convocatoria – Pliegos de condiciones – Invitación </w:t>
      </w:r>
    </w:p>
    <w:p w14:paraId="58A17406" w14:textId="77777777" w:rsidR="0009625C" w:rsidRDefault="0009625C" w:rsidP="0009625C">
      <w:pPr>
        <w:widowControl w:val="0"/>
        <w:autoSpaceDE w:val="0"/>
        <w:autoSpaceDN w:val="0"/>
        <w:spacing w:after="120" w:line="276" w:lineRule="auto"/>
        <w:jc w:val="both"/>
        <w:rPr>
          <w:rFonts w:ascii="Verdana" w:eastAsia="Arial" w:hAnsi="Verdana" w:cs="Arial"/>
          <w:lang w:val="es-ES"/>
        </w:rPr>
      </w:pPr>
      <w:r w:rsidRPr="00F16D2E">
        <w:rPr>
          <w:rFonts w:ascii="Verdana" w:hAnsi="Verdana" w:cs="Arial"/>
          <w:lang w:val="es-ES"/>
        </w:rPr>
        <w:t>las entidades estatales, conforme al artículo 2.2.1.1.1.7.1 del Decreto 1082 de 2015, tienen la obligación de publicar en el SECOP “[…] los Documentos del Proceso y los actos administrativos del Proceso de Contratación […]”. La expresión Documentos del Proceso está definida en el artículo 2.2.1.1.1.3.1</w:t>
      </w:r>
      <w:r>
        <w:rPr>
          <w:rFonts w:ascii="Verdana" w:hAnsi="Verdana" w:cs="Arial"/>
          <w:lang w:val="es-ES"/>
        </w:rPr>
        <w:t>.</w:t>
      </w:r>
      <w:r w:rsidRPr="00F16D2E">
        <w:rPr>
          <w:rFonts w:ascii="Verdana" w:hAnsi="Verdana" w:cs="Arial"/>
          <w:lang w:val="es-ES"/>
        </w:rPr>
        <w:t xml:space="preserve">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r w:rsidRPr="00783E6B">
        <w:rPr>
          <w:rFonts w:ascii="Verdana" w:eastAsia="Arial" w:hAnsi="Verdana" w:cs="Arial"/>
          <w:lang w:val="es-ES"/>
        </w:rPr>
        <w:t xml:space="preserve"> </w:t>
      </w:r>
    </w:p>
    <w:p w14:paraId="0EC3C19B" w14:textId="6E585A86" w:rsidR="0009625C" w:rsidRPr="0009625C" w:rsidRDefault="0009625C" w:rsidP="0009625C">
      <w:pPr>
        <w:jc w:val="both"/>
        <w:rPr>
          <w:rFonts w:ascii="Verdana" w:eastAsia="Calibri" w:hAnsi="Verdana" w:cs="Arial"/>
          <w:b/>
          <w:bCs/>
          <w:lang w:val="es-ES" w:eastAsia="es-ES"/>
        </w:rPr>
      </w:pPr>
      <w:r w:rsidRPr="0009625C">
        <w:rPr>
          <w:rFonts w:ascii="Verdana" w:eastAsia="Calibri" w:hAnsi="Verdana" w:cs="Arial"/>
          <w:b/>
          <w:bCs/>
          <w:lang w:val="es-ES" w:eastAsia="es-ES"/>
        </w:rPr>
        <w:t>MODIFICACIÓN DEL CONTRATO – Adición – Prórroga</w:t>
      </w:r>
    </w:p>
    <w:p w14:paraId="3226F8D1" w14:textId="022AD6D7" w:rsidR="0009625C" w:rsidRDefault="0009625C" w:rsidP="0009625C">
      <w:pPr>
        <w:spacing w:after="0"/>
        <w:jc w:val="both"/>
        <w:rPr>
          <w:rFonts w:ascii="Verdana" w:eastAsia="Calibri" w:hAnsi="Verdana" w:cs="Arial"/>
        </w:rPr>
      </w:pPr>
      <w:r w:rsidRPr="003F20DD">
        <w:rPr>
          <w:rFonts w:ascii="Verdana" w:eastAsia="Arial" w:hAnsi="Verdana" w:cs="Arial"/>
        </w:rPr>
        <w:t xml:space="preserve">se resalta que el </w:t>
      </w:r>
      <w:r w:rsidRPr="003F20DD">
        <w:rPr>
          <w:rFonts w:ascii="Verdana" w:eastAsia="Calibri" w:hAnsi="Verdana" w:cs="Arial"/>
        </w:rPr>
        <w:t>contrato estatal, como acto jurídico bilateral, es ley para los contratantes y por regla general no puede ser modificado sino por el consentimiento mutuo, en ese sentido, cualquier modificación contractual implica un nuevo acuerdo de voluntades, o lo que es lo mismo un contrato, por ello este nuevo contrato requiere garantía para ser ejecutado.</w:t>
      </w:r>
    </w:p>
    <w:p w14:paraId="40809906" w14:textId="207B4763" w:rsidR="0009625C" w:rsidRDefault="0009625C" w:rsidP="0009625C">
      <w:pPr>
        <w:spacing w:after="0"/>
        <w:jc w:val="both"/>
        <w:rPr>
          <w:rFonts w:ascii="Verdana" w:eastAsia="Calibri" w:hAnsi="Verdana" w:cs="Arial"/>
        </w:rPr>
      </w:pPr>
    </w:p>
    <w:p w14:paraId="346E6108" w14:textId="098D2F00" w:rsidR="0009625C" w:rsidRDefault="0009625C" w:rsidP="0009625C">
      <w:pPr>
        <w:spacing w:after="0"/>
        <w:jc w:val="both"/>
        <w:rPr>
          <w:rFonts w:ascii="Verdana" w:eastAsia="Calibri" w:hAnsi="Verdana" w:cs="Arial"/>
        </w:rPr>
      </w:pPr>
    </w:p>
    <w:p w14:paraId="0850C43B" w14:textId="1D84CBE0" w:rsidR="0009625C" w:rsidRDefault="0009625C" w:rsidP="0009625C">
      <w:pPr>
        <w:spacing w:after="0"/>
        <w:jc w:val="both"/>
        <w:rPr>
          <w:rFonts w:ascii="Verdana" w:eastAsia="Calibri" w:hAnsi="Verdana" w:cs="Arial"/>
        </w:rPr>
      </w:pPr>
    </w:p>
    <w:p w14:paraId="0A8E0BF2" w14:textId="066D05E7" w:rsidR="0009625C" w:rsidRDefault="0009625C" w:rsidP="0009625C">
      <w:pPr>
        <w:spacing w:after="0"/>
        <w:jc w:val="both"/>
        <w:rPr>
          <w:rFonts w:ascii="Verdana" w:eastAsia="Calibri" w:hAnsi="Verdana" w:cs="Arial"/>
        </w:rPr>
      </w:pPr>
    </w:p>
    <w:p w14:paraId="1F88313B" w14:textId="46D574C2" w:rsidR="0009625C" w:rsidRDefault="0009625C" w:rsidP="0009625C">
      <w:pPr>
        <w:spacing w:after="0"/>
        <w:jc w:val="both"/>
        <w:rPr>
          <w:rFonts w:ascii="Verdana" w:eastAsia="Calibri" w:hAnsi="Verdana" w:cs="Arial"/>
        </w:rPr>
      </w:pPr>
    </w:p>
    <w:p w14:paraId="05ED0588" w14:textId="70F9D7B8" w:rsidR="0009625C" w:rsidRDefault="0009625C" w:rsidP="0009625C">
      <w:pPr>
        <w:spacing w:after="0"/>
        <w:jc w:val="both"/>
        <w:rPr>
          <w:rFonts w:ascii="Verdana" w:eastAsia="Calibri" w:hAnsi="Verdana" w:cs="Arial"/>
        </w:rPr>
      </w:pPr>
    </w:p>
    <w:p w14:paraId="3BD59937" w14:textId="0C63B810" w:rsidR="0009625C" w:rsidRDefault="0009625C" w:rsidP="0009625C">
      <w:pPr>
        <w:spacing w:after="0"/>
        <w:jc w:val="both"/>
        <w:rPr>
          <w:rFonts w:ascii="Verdana" w:eastAsia="Calibri" w:hAnsi="Verdana" w:cs="Arial"/>
        </w:rPr>
      </w:pPr>
    </w:p>
    <w:p w14:paraId="6898F28F" w14:textId="4E9E535B" w:rsidR="0009625C" w:rsidRDefault="0009625C" w:rsidP="0009625C">
      <w:pPr>
        <w:spacing w:after="0"/>
        <w:jc w:val="both"/>
        <w:rPr>
          <w:rFonts w:ascii="Verdana" w:eastAsia="Calibri" w:hAnsi="Verdana" w:cs="Arial"/>
        </w:rPr>
      </w:pPr>
    </w:p>
    <w:p w14:paraId="2AF0AA1E" w14:textId="6DBB157D" w:rsidR="0009625C" w:rsidRDefault="0009625C" w:rsidP="0009625C">
      <w:pPr>
        <w:spacing w:after="0"/>
        <w:jc w:val="both"/>
        <w:rPr>
          <w:rFonts w:ascii="Verdana" w:eastAsia="Calibri" w:hAnsi="Verdana" w:cs="Arial"/>
        </w:rPr>
      </w:pPr>
    </w:p>
    <w:p w14:paraId="3D345F63" w14:textId="1D3C1FED" w:rsidR="0009625C" w:rsidRDefault="0009625C" w:rsidP="0009625C">
      <w:pPr>
        <w:spacing w:after="0"/>
        <w:jc w:val="both"/>
        <w:rPr>
          <w:rFonts w:ascii="Verdana" w:eastAsia="Calibri" w:hAnsi="Verdana" w:cs="Arial"/>
        </w:rPr>
      </w:pPr>
    </w:p>
    <w:p w14:paraId="26A17B1A" w14:textId="1BFC4A2C" w:rsidR="0009625C" w:rsidRDefault="0009625C" w:rsidP="0009625C">
      <w:pPr>
        <w:spacing w:after="0"/>
        <w:jc w:val="both"/>
        <w:rPr>
          <w:rFonts w:ascii="Verdana" w:eastAsia="Calibri" w:hAnsi="Verdana" w:cs="Arial"/>
        </w:rPr>
      </w:pPr>
    </w:p>
    <w:p w14:paraId="38B63687" w14:textId="4156A9E4" w:rsidR="0009625C" w:rsidRDefault="0009625C" w:rsidP="0009625C">
      <w:pPr>
        <w:spacing w:after="0"/>
        <w:jc w:val="both"/>
        <w:rPr>
          <w:rFonts w:ascii="Verdana" w:eastAsia="Calibri" w:hAnsi="Verdana" w:cs="Arial"/>
        </w:rPr>
      </w:pPr>
    </w:p>
    <w:p w14:paraId="34C0694B" w14:textId="54943770" w:rsidR="0009625C" w:rsidRDefault="0009625C" w:rsidP="0009625C">
      <w:pPr>
        <w:spacing w:after="0"/>
        <w:jc w:val="both"/>
        <w:rPr>
          <w:rFonts w:ascii="Verdana" w:eastAsia="Calibri" w:hAnsi="Verdana" w:cs="Arial"/>
        </w:rPr>
      </w:pPr>
    </w:p>
    <w:p w14:paraId="551FB1AE" w14:textId="3BF052ED" w:rsidR="0009625C" w:rsidRDefault="0009625C" w:rsidP="0009625C">
      <w:pPr>
        <w:spacing w:after="0"/>
        <w:jc w:val="both"/>
        <w:rPr>
          <w:rFonts w:ascii="Verdana" w:eastAsia="Calibri" w:hAnsi="Verdana" w:cs="Arial"/>
        </w:rPr>
      </w:pPr>
    </w:p>
    <w:p w14:paraId="0DAA2B76" w14:textId="54520DC8" w:rsidR="0009625C" w:rsidRDefault="0009625C" w:rsidP="0009625C">
      <w:pPr>
        <w:spacing w:after="0"/>
        <w:jc w:val="both"/>
        <w:rPr>
          <w:rFonts w:ascii="Verdana" w:eastAsia="Calibri" w:hAnsi="Verdana" w:cs="Arial"/>
        </w:rPr>
      </w:pPr>
    </w:p>
    <w:p w14:paraId="6AE7892C" w14:textId="77777777" w:rsidR="0009625C" w:rsidRDefault="0009625C" w:rsidP="0009625C">
      <w:pPr>
        <w:spacing w:after="0"/>
        <w:jc w:val="both"/>
        <w:rPr>
          <w:rFonts w:ascii="Verdana" w:hAnsi="Verdana"/>
        </w:rPr>
      </w:pPr>
    </w:p>
    <w:p w14:paraId="32A811A6" w14:textId="77777777" w:rsidR="0009625C" w:rsidRDefault="0009625C" w:rsidP="00C15139">
      <w:pPr>
        <w:spacing w:after="0"/>
        <w:rPr>
          <w:rFonts w:ascii="Verdana" w:hAnsi="Verdana"/>
        </w:rPr>
      </w:pPr>
    </w:p>
    <w:p w14:paraId="19167CF0" w14:textId="77777777" w:rsidR="0009625C" w:rsidRDefault="0009625C" w:rsidP="00C15139">
      <w:pPr>
        <w:spacing w:after="0"/>
        <w:rPr>
          <w:rFonts w:ascii="Verdana" w:hAnsi="Verdana"/>
        </w:rPr>
      </w:pPr>
    </w:p>
    <w:p w14:paraId="1468C46D" w14:textId="74B9DB14" w:rsidR="00C15139" w:rsidRDefault="0009625C" w:rsidP="00C15139">
      <w:pPr>
        <w:spacing w:after="0"/>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2E845E14" wp14:editId="6A15E265">
            <wp:simplePos x="0" y="0"/>
            <wp:positionH relativeFrom="column">
              <wp:posOffset>2933288</wp:posOffset>
            </wp:positionH>
            <wp:positionV relativeFrom="paragraph">
              <wp:posOffset>136525</wp:posOffset>
            </wp:positionV>
            <wp:extent cx="3104982" cy="1003631"/>
            <wp:effectExtent l="0" t="0" r="635" b="635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extLst>
                        <a:ext uri="{28A0092B-C50C-407E-A947-70E740481C1C}">
                          <a14:useLocalDpi xmlns:a14="http://schemas.microsoft.com/office/drawing/2010/main" val="0"/>
                        </a:ext>
                      </a:extLst>
                    </a:blip>
                    <a:stretch>
                      <a:fillRect/>
                    </a:stretch>
                  </pic:blipFill>
                  <pic:spPr>
                    <a:xfrm>
                      <a:off x="0" y="0"/>
                      <a:ext cx="3130625" cy="1011920"/>
                    </a:xfrm>
                    <a:prstGeom prst="rect">
                      <a:avLst/>
                    </a:prstGeom>
                  </pic:spPr>
                </pic:pic>
              </a:graphicData>
            </a:graphic>
            <wp14:sizeRelH relativeFrom="page">
              <wp14:pctWidth>0</wp14:pctWidth>
            </wp14:sizeRelH>
            <wp14:sizeRelV relativeFrom="page">
              <wp14:pctHeight>0</wp14:pctHeight>
            </wp14:sizeRelV>
          </wp:anchor>
        </w:drawing>
      </w:r>
      <w:r w:rsidR="00C15139" w:rsidRPr="0024624F">
        <w:rPr>
          <w:rFonts w:ascii="Verdana" w:hAnsi="Verdana"/>
        </w:rPr>
        <w:t xml:space="preserve">Bogotá D.C., </w:t>
      </w:r>
      <w:r>
        <w:rPr>
          <w:rFonts w:ascii="Verdana" w:hAnsi="Verdana"/>
        </w:rPr>
        <w:t>15 Diciembre 2025</w:t>
      </w:r>
      <w:r w:rsidR="00C15139" w:rsidRPr="000E2B93">
        <w:rPr>
          <w:rFonts w:ascii="Verdana" w:hAnsi="Verdana"/>
        </w:rPr>
        <w:tab/>
      </w:r>
      <w:r w:rsidR="00C15139" w:rsidRPr="000E2B93">
        <w:rPr>
          <w:rFonts w:ascii="Verdana" w:hAnsi="Verdana"/>
        </w:rPr>
        <w:br/>
      </w:r>
    </w:p>
    <w:p w14:paraId="71DD5295" w14:textId="77777777" w:rsidR="009E329E" w:rsidRDefault="009E329E" w:rsidP="00C73FA4">
      <w:pPr>
        <w:spacing w:after="0" w:line="240" w:lineRule="auto"/>
        <w:jc w:val="both"/>
        <w:rPr>
          <w:rFonts w:ascii="Verdana" w:eastAsia="Calibri" w:hAnsi="Verdana" w:cs="Arial"/>
          <w:lang w:val="de-DE" w:eastAsia="es-ES"/>
        </w:rPr>
      </w:pPr>
    </w:p>
    <w:p w14:paraId="5A134D21" w14:textId="0CCB648E" w:rsidR="00C73FA4" w:rsidRPr="0051487B" w:rsidRDefault="00C73FA4" w:rsidP="00C73FA4">
      <w:pPr>
        <w:spacing w:after="0" w:line="240" w:lineRule="auto"/>
        <w:jc w:val="both"/>
        <w:rPr>
          <w:rFonts w:ascii="Verdana" w:eastAsia="Calibri" w:hAnsi="Verdana" w:cs="Arial"/>
          <w:lang w:val="de-DE" w:eastAsia="es-ES"/>
        </w:rPr>
      </w:pPr>
      <w:r w:rsidRPr="0051487B">
        <w:rPr>
          <w:rFonts w:ascii="Verdana" w:eastAsia="Calibri" w:hAnsi="Verdana" w:cs="Arial"/>
          <w:lang w:val="de-DE" w:eastAsia="es-ES"/>
        </w:rPr>
        <w:t>Señor</w:t>
      </w:r>
      <w:r>
        <w:rPr>
          <w:rFonts w:ascii="Verdana" w:eastAsia="Calibri" w:hAnsi="Verdana" w:cs="Arial"/>
          <w:lang w:val="de-DE" w:eastAsia="es-ES"/>
        </w:rPr>
        <w:t>a</w:t>
      </w:r>
    </w:p>
    <w:p w14:paraId="3182D277" w14:textId="77777777" w:rsidR="00C73FA4" w:rsidRPr="0051487B" w:rsidRDefault="00C73FA4" w:rsidP="00C73FA4">
      <w:pPr>
        <w:spacing w:after="0" w:line="240" w:lineRule="auto"/>
        <w:rPr>
          <w:rFonts w:ascii="Verdana" w:eastAsia="Calibri" w:hAnsi="Verdana" w:cs="Arial"/>
          <w:b/>
          <w:lang w:val="de-DE" w:eastAsia="es-ES"/>
        </w:rPr>
      </w:pPr>
      <w:r>
        <w:rPr>
          <w:rFonts w:ascii="Verdana" w:eastAsia="Calibri" w:hAnsi="Verdana" w:cs="Arial"/>
          <w:b/>
          <w:lang w:val="de-DE" w:eastAsia="es-ES"/>
        </w:rPr>
        <w:t>Martha Castellar Castellar</w:t>
      </w:r>
    </w:p>
    <w:p w14:paraId="02D0F327" w14:textId="77777777" w:rsidR="00C73FA4" w:rsidRPr="0051487B" w:rsidRDefault="00220233" w:rsidP="00C73FA4">
      <w:pPr>
        <w:spacing w:after="0" w:line="240" w:lineRule="auto"/>
        <w:rPr>
          <w:rFonts w:ascii="Verdana" w:hAnsi="Verdana" w:cs="ArialMT"/>
          <w:lang w:val="de-DE"/>
        </w:rPr>
      </w:pPr>
      <w:hyperlink r:id="rId11" w:history="1">
        <w:r w:rsidR="00C73FA4" w:rsidRPr="00C614E6">
          <w:rPr>
            <w:rStyle w:val="Hipervnculo"/>
            <w:rFonts w:ascii="Verdana" w:hAnsi="Verdana" w:cs="ArialMT"/>
            <w:lang w:val="de-DE"/>
          </w:rPr>
          <w:t>Marthacastelar@outlook.com</w:t>
        </w:r>
      </w:hyperlink>
      <w:r w:rsidR="00C73FA4">
        <w:rPr>
          <w:rFonts w:ascii="Verdana" w:hAnsi="Verdana" w:cs="ArialMT"/>
          <w:lang w:val="de-DE"/>
        </w:rPr>
        <w:t xml:space="preserve"> </w:t>
      </w:r>
      <w:r w:rsidR="00C73FA4" w:rsidRPr="0051487B">
        <w:rPr>
          <w:rFonts w:ascii="Verdana" w:hAnsi="Verdana" w:cs="ArialMT"/>
          <w:lang w:val="de-DE"/>
        </w:rPr>
        <w:t xml:space="preserve">   </w:t>
      </w:r>
    </w:p>
    <w:p w14:paraId="250CE36E" w14:textId="77777777" w:rsidR="00C73FA4" w:rsidRDefault="00C73FA4" w:rsidP="00C73FA4">
      <w:pPr>
        <w:spacing w:after="0" w:line="240" w:lineRule="auto"/>
        <w:rPr>
          <w:rFonts w:ascii="Verdana" w:eastAsia="Calibri" w:hAnsi="Verdana" w:cs="Arial"/>
          <w:lang w:val="es-ES" w:eastAsia="es-ES"/>
        </w:rPr>
      </w:pPr>
      <w:r>
        <w:rPr>
          <w:rFonts w:ascii="Verdana" w:eastAsia="Calibri" w:hAnsi="Verdana" w:cs="Arial"/>
          <w:lang w:val="es-ES" w:eastAsia="es-ES"/>
        </w:rPr>
        <w:t>Bogotá D.C.</w:t>
      </w:r>
    </w:p>
    <w:p w14:paraId="2BD3E160" w14:textId="77777777" w:rsidR="009E329E" w:rsidRPr="00C53B42" w:rsidRDefault="009E329E" w:rsidP="00C73FA4">
      <w:pPr>
        <w:spacing w:after="0" w:line="240" w:lineRule="auto"/>
        <w:rPr>
          <w:rFonts w:ascii="Verdana" w:hAnsi="Verdana" w:cs="ArialMT"/>
        </w:rPr>
      </w:pPr>
    </w:p>
    <w:p w14:paraId="7A7DB8A5" w14:textId="77777777" w:rsidR="00C73FA4" w:rsidRPr="00C53B42" w:rsidRDefault="00C73FA4" w:rsidP="00C73FA4">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75"/>
        <w:gridCol w:w="6614"/>
      </w:tblGrid>
      <w:tr w:rsidR="00C73FA4" w:rsidRPr="00C53B42" w14:paraId="45FD133D" w14:textId="77777777" w:rsidTr="00507240">
        <w:trPr>
          <w:trHeight w:val="218"/>
        </w:trPr>
        <w:tc>
          <w:tcPr>
            <w:tcW w:w="2175" w:type="dxa"/>
          </w:tcPr>
          <w:p w14:paraId="44217FF0" w14:textId="77777777" w:rsidR="00C73FA4" w:rsidRPr="00C53B42" w:rsidRDefault="00C73FA4" w:rsidP="00507240">
            <w:pPr>
              <w:jc w:val="both"/>
              <w:rPr>
                <w:rFonts w:ascii="Verdana" w:eastAsia="Calibri" w:hAnsi="Verdana" w:cs="Arial"/>
                <w:b/>
                <w:bCs/>
                <w:color w:val="7030A0"/>
                <w:lang w:val="es-ES_tradnl" w:eastAsia="es-ES_tradnl"/>
              </w:rPr>
            </w:pPr>
          </w:p>
        </w:tc>
        <w:tc>
          <w:tcPr>
            <w:tcW w:w="6614" w:type="dxa"/>
            <w:hideMark/>
          </w:tcPr>
          <w:p w14:paraId="5435E68A" w14:textId="77777777" w:rsidR="00C73FA4" w:rsidRDefault="00C73FA4" w:rsidP="00507240">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1616</w:t>
            </w:r>
            <w:r w:rsidRPr="00C53B42">
              <w:rPr>
                <w:rFonts w:ascii="Verdana" w:eastAsia="Calibri" w:hAnsi="Verdana" w:cs="Arial"/>
                <w:b/>
                <w:bCs/>
                <w:lang w:val="es-ES" w:eastAsia="es-ES"/>
              </w:rPr>
              <w:t xml:space="preserve"> de 2025</w:t>
            </w:r>
          </w:p>
          <w:p w14:paraId="309F3EFF" w14:textId="77777777" w:rsidR="009E329E" w:rsidRDefault="009E329E" w:rsidP="00507240">
            <w:pPr>
              <w:jc w:val="both"/>
              <w:rPr>
                <w:rFonts w:ascii="Verdana" w:eastAsia="Calibri" w:hAnsi="Verdana" w:cs="Arial"/>
                <w:b/>
                <w:bCs/>
                <w:lang w:val="es-ES" w:eastAsia="es-ES"/>
              </w:rPr>
            </w:pPr>
          </w:p>
          <w:p w14:paraId="32DA197F" w14:textId="77777777" w:rsidR="00C73FA4" w:rsidRPr="00C53B42" w:rsidRDefault="00C73FA4" w:rsidP="00507240">
            <w:pPr>
              <w:jc w:val="both"/>
              <w:rPr>
                <w:rFonts w:ascii="Verdana" w:eastAsia="Calibri" w:hAnsi="Verdana" w:cs="Arial"/>
                <w:b/>
                <w:bCs/>
                <w:lang w:val="es-ES" w:eastAsia="es-ES"/>
              </w:rPr>
            </w:pPr>
          </w:p>
          <w:p w14:paraId="7410DD0C" w14:textId="77777777" w:rsidR="00C73FA4" w:rsidRPr="00C53B42" w:rsidRDefault="00C73FA4" w:rsidP="00507240">
            <w:pPr>
              <w:jc w:val="both"/>
              <w:rPr>
                <w:rFonts w:ascii="Verdana" w:eastAsia="Calibri" w:hAnsi="Verdana" w:cs="Arial"/>
                <w:b/>
                <w:bCs/>
                <w:lang w:val="es-ES" w:eastAsia="es-ES"/>
              </w:rPr>
            </w:pPr>
          </w:p>
        </w:tc>
      </w:tr>
      <w:tr w:rsidR="00C73FA4" w:rsidRPr="00C53B42" w14:paraId="4425C4D2" w14:textId="77777777" w:rsidTr="00507240">
        <w:trPr>
          <w:trHeight w:val="884"/>
        </w:trPr>
        <w:tc>
          <w:tcPr>
            <w:tcW w:w="2175" w:type="dxa"/>
            <w:hideMark/>
          </w:tcPr>
          <w:p w14:paraId="18D7EAFF" w14:textId="77777777" w:rsidR="00C73FA4" w:rsidRPr="00C53B42" w:rsidRDefault="00C73FA4" w:rsidP="00507240">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614" w:type="dxa"/>
            <w:hideMark/>
          </w:tcPr>
          <w:p w14:paraId="2E5EF854" w14:textId="77777777" w:rsidR="00C73FA4" w:rsidRDefault="00C73FA4" w:rsidP="00507240">
            <w:pPr>
              <w:jc w:val="both"/>
              <w:rPr>
                <w:rFonts w:ascii="Verdana" w:eastAsia="Calibri" w:hAnsi="Verdana" w:cs="Arial"/>
                <w:lang w:val="es-ES" w:eastAsia="es-ES"/>
              </w:rPr>
            </w:pPr>
            <w:r>
              <w:rPr>
                <w:rFonts w:ascii="Verdana" w:eastAsia="Calibri" w:hAnsi="Verdana" w:cs="Arial"/>
                <w:lang w:val="es-ES" w:eastAsia="es-ES"/>
              </w:rPr>
              <w:t xml:space="preserve">DOCUMENTOS DEL PROCESO – Aviso de convocatoria – Pliegos de condiciones – Invitación / </w:t>
            </w:r>
            <w:r w:rsidRPr="00FC4A16">
              <w:rPr>
                <w:rFonts w:ascii="Verdana" w:eastAsia="Calibri" w:hAnsi="Verdana" w:cs="Arial"/>
                <w:lang w:val="es-ES" w:eastAsia="es-ES"/>
              </w:rPr>
              <w:t>MODIFICACIÓN DEL CONTRATO – Adición – Prórroga</w:t>
            </w:r>
          </w:p>
          <w:p w14:paraId="28EE3E58" w14:textId="77777777" w:rsidR="009E329E" w:rsidRPr="002F05F0" w:rsidRDefault="009E329E" w:rsidP="00507240">
            <w:pPr>
              <w:jc w:val="both"/>
              <w:rPr>
                <w:rFonts w:ascii="Verdana" w:hAnsi="Verdana" w:cs="Arial"/>
                <w:bCs/>
                <w:color w:val="000000" w:themeColor="text1"/>
                <w:highlight w:val="yellow"/>
                <w:lang w:val="es-ES_tradnl"/>
              </w:rPr>
            </w:pPr>
          </w:p>
          <w:p w14:paraId="0C697121" w14:textId="77777777" w:rsidR="00C73FA4" w:rsidRPr="002F05F0" w:rsidRDefault="00C73FA4" w:rsidP="00507240">
            <w:pPr>
              <w:jc w:val="both"/>
              <w:rPr>
                <w:rFonts w:ascii="Verdana" w:eastAsia="Calibri" w:hAnsi="Verdana" w:cs="Arial"/>
                <w:highlight w:val="yellow"/>
                <w:lang w:val="es-ES" w:eastAsia="es-ES"/>
              </w:rPr>
            </w:pPr>
          </w:p>
        </w:tc>
      </w:tr>
      <w:tr w:rsidR="00C73FA4" w14:paraId="727471C0" w14:textId="77777777" w:rsidTr="00507240">
        <w:trPr>
          <w:trHeight w:val="360"/>
        </w:trPr>
        <w:tc>
          <w:tcPr>
            <w:tcW w:w="2175" w:type="dxa"/>
            <w:hideMark/>
          </w:tcPr>
          <w:p w14:paraId="77FC9137" w14:textId="77777777" w:rsidR="00C73FA4" w:rsidRPr="00C53B42" w:rsidRDefault="00C73FA4" w:rsidP="00507240">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614" w:type="dxa"/>
          </w:tcPr>
          <w:p w14:paraId="2F5BDE85" w14:textId="77777777" w:rsidR="00C73FA4" w:rsidRPr="002F05F0" w:rsidRDefault="00C73FA4" w:rsidP="00507240">
            <w:pPr>
              <w:jc w:val="both"/>
              <w:rPr>
                <w:rFonts w:ascii="Verdana" w:eastAsia="Calibri" w:hAnsi="Verdana" w:cs="Arial"/>
                <w:highlight w:val="yellow"/>
                <w:lang w:val="es-ES_tradnl" w:eastAsia="es-ES_tradnl"/>
              </w:rPr>
            </w:pPr>
            <w:r w:rsidRPr="003F20DD">
              <w:rPr>
                <w:rFonts w:ascii="Verdana" w:eastAsia="Calibri" w:hAnsi="Verdana" w:cs="Arial"/>
                <w:lang w:val="es-ES_tradnl" w:eastAsia="es-ES_tradnl"/>
              </w:rPr>
              <w:t>Respuesta a consulta con radicado No. 1_2025_10_31_012331</w:t>
            </w:r>
          </w:p>
        </w:tc>
      </w:tr>
    </w:tbl>
    <w:p w14:paraId="783CBFFE" w14:textId="77777777" w:rsidR="00C73FA4" w:rsidRDefault="00C73FA4" w:rsidP="00C73FA4">
      <w:pPr>
        <w:spacing w:after="0" w:line="240" w:lineRule="auto"/>
        <w:jc w:val="both"/>
        <w:rPr>
          <w:rFonts w:ascii="Verdana" w:eastAsia="Calibri" w:hAnsi="Verdana" w:cs="Arial"/>
          <w:color w:val="000000"/>
          <w:lang w:val="es-ES_tradnl" w:eastAsia="es-ES_tradnl"/>
        </w:rPr>
      </w:pPr>
    </w:p>
    <w:p w14:paraId="0D6FBF50" w14:textId="77777777" w:rsidR="009E329E" w:rsidRDefault="009E329E" w:rsidP="00C73FA4">
      <w:pPr>
        <w:spacing w:after="0" w:line="240" w:lineRule="auto"/>
        <w:jc w:val="both"/>
        <w:rPr>
          <w:rFonts w:ascii="Verdana" w:eastAsia="Calibri" w:hAnsi="Verdana" w:cs="Arial"/>
          <w:color w:val="000000"/>
          <w:lang w:val="es-ES_tradnl" w:eastAsia="es-ES_tradnl"/>
        </w:rPr>
      </w:pPr>
    </w:p>
    <w:p w14:paraId="4D9E6D2E" w14:textId="77777777" w:rsidR="00C73FA4" w:rsidRDefault="00C73FA4" w:rsidP="00C73FA4">
      <w:pPr>
        <w:spacing w:after="0" w:line="240" w:lineRule="auto"/>
        <w:jc w:val="both"/>
        <w:rPr>
          <w:rFonts w:ascii="Verdana" w:eastAsia="Calibri" w:hAnsi="Verdana" w:cs="Arial"/>
          <w:color w:val="000000"/>
          <w:lang w:val="es-ES_tradnl" w:eastAsia="es-ES_tradnl"/>
        </w:rPr>
      </w:pPr>
    </w:p>
    <w:p w14:paraId="51CF6BEE" w14:textId="77777777" w:rsidR="00C73FA4" w:rsidRDefault="00C73FA4" w:rsidP="00C73FA4">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Estimada señora Castellar,</w:t>
      </w:r>
    </w:p>
    <w:p w14:paraId="1D6C6AB8" w14:textId="77777777" w:rsidR="00C73FA4" w:rsidRDefault="00C73FA4" w:rsidP="00C73FA4">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346E5D7" w14:textId="77777777" w:rsidR="00C73FA4" w:rsidRDefault="00C73FA4" w:rsidP="00C73FA4">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del 29 de octubre de 2025, en la cual manifiesta lo siguiente: </w:t>
      </w:r>
    </w:p>
    <w:p w14:paraId="31EC5082" w14:textId="77777777" w:rsidR="00C73FA4" w:rsidRDefault="00C73FA4" w:rsidP="00C73FA4">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1D9582D" w14:textId="77777777" w:rsidR="00C73FA4" w:rsidRPr="0009275E" w:rsidRDefault="00C73FA4" w:rsidP="00C73FA4">
      <w:pPr>
        <w:autoSpaceDE w:val="0"/>
        <w:autoSpaceDN w:val="0"/>
        <w:adjustRightInd w:val="0"/>
        <w:spacing w:after="0" w:line="240" w:lineRule="auto"/>
        <w:ind w:left="709" w:right="709"/>
        <w:jc w:val="both"/>
        <w:rPr>
          <w:rFonts w:ascii="Verdana" w:eastAsia="Century Gothic" w:hAnsi="Verdana" w:cs="Century Gothic"/>
          <w:sz w:val="20"/>
          <w:szCs w:val="20"/>
          <w:lang w:val="es-ES"/>
        </w:rPr>
      </w:pPr>
      <w:r w:rsidRPr="0009275E">
        <w:rPr>
          <w:rFonts w:ascii="Verdana" w:eastAsia="Century Gothic" w:hAnsi="Verdana" w:cs="Century Gothic"/>
          <w:sz w:val="20"/>
          <w:szCs w:val="20"/>
          <w:lang w:val="es-ES"/>
        </w:rPr>
        <w:t>“</w:t>
      </w:r>
      <w:r>
        <w:t>Atendiendo a lo dispuesto en la ley 80 de 1993 respecto al contrato estatal y al contenido del artículo 845 del código de comercio, la entidad estatal al momento de realizar un contrato estatal deberá remitir invitación de propuesta a la entidad o posibles entidades con las que considere pueden tener las condiciones para hacer el contrato estatal. Y si al Momento de realizar una modificación contractual ya sea adición o prórroga debe remitir solicitud al contratista para que este conozca la intención de prorrogar o adicionar el contrato y a su vez el contratista indique si acepta o no realizar la modificación del contrato</w:t>
      </w:r>
      <w:r w:rsidRPr="0009275E">
        <w:rPr>
          <w:rFonts w:ascii="Verdana" w:eastAsia="Century Gothic" w:hAnsi="Verdana" w:cs="Century Gothic"/>
          <w:sz w:val="20"/>
          <w:szCs w:val="20"/>
          <w:lang w:val="es-ES"/>
        </w:rPr>
        <w:t>”</w:t>
      </w:r>
    </w:p>
    <w:p w14:paraId="1A18A518" w14:textId="77777777" w:rsidR="00C73FA4" w:rsidRPr="00924340" w:rsidRDefault="00C73FA4" w:rsidP="00C73FA4">
      <w:pPr>
        <w:autoSpaceDE w:val="0"/>
        <w:autoSpaceDN w:val="0"/>
        <w:adjustRightInd w:val="0"/>
        <w:spacing w:after="0" w:line="276" w:lineRule="auto"/>
        <w:ind w:left="851" w:right="616"/>
        <w:jc w:val="both"/>
        <w:rPr>
          <w:rFonts w:ascii="Verdana" w:eastAsia="Century Gothic" w:hAnsi="Verdana" w:cs="Century Gothic"/>
          <w:b/>
        </w:rPr>
      </w:pPr>
    </w:p>
    <w:p w14:paraId="3E824F07" w14:textId="77777777" w:rsidR="00C73FA4" w:rsidRDefault="00C73FA4" w:rsidP="00C73FA4">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w:t>
      </w:r>
      <w:r>
        <w:rPr>
          <w:rFonts w:ascii="Verdana" w:eastAsia="Calibri" w:hAnsi="Verdana" w:cs="Arial"/>
          <w:color w:val="000000"/>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281E9A0F" w14:textId="77777777" w:rsidR="00C73FA4" w:rsidRDefault="00C73FA4" w:rsidP="00C73FA4">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del caso en concreto planteado, pero señalando algunas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3908F51C" w14:textId="77777777" w:rsidR="00C73FA4" w:rsidRDefault="00C73FA4" w:rsidP="00C73FA4">
      <w:pPr>
        <w:spacing w:after="0" w:line="276" w:lineRule="auto"/>
        <w:ind w:firstLine="709"/>
        <w:jc w:val="both"/>
        <w:rPr>
          <w:rFonts w:ascii="Verdana" w:eastAsia="Calibri" w:hAnsi="Verdana" w:cs="Arial"/>
          <w:color w:val="000000"/>
          <w:lang w:val="es-ES" w:eastAsia="es-ES"/>
        </w:rPr>
      </w:pPr>
    </w:p>
    <w:p w14:paraId="27B00DD6" w14:textId="77777777" w:rsidR="00C73FA4" w:rsidRDefault="00C73FA4" w:rsidP="00C73FA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280F9C57" w14:textId="77777777" w:rsidR="00C73FA4" w:rsidRDefault="00C73FA4" w:rsidP="00C73FA4">
      <w:pPr>
        <w:tabs>
          <w:tab w:val="left" w:pos="426"/>
        </w:tabs>
        <w:spacing w:after="0" w:line="276" w:lineRule="auto"/>
        <w:jc w:val="both"/>
        <w:rPr>
          <w:rFonts w:ascii="Verdana" w:eastAsia="Century Gothic" w:hAnsi="Verdana" w:cs="Century Gothic"/>
          <w:lang w:val="es-ES"/>
        </w:rPr>
      </w:pPr>
    </w:p>
    <w:p w14:paraId="79ED8806" w14:textId="77777777" w:rsidR="00C73FA4" w:rsidRDefault="00C73FA4" w:rsidP="00C73FA4">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i) </w:t>
      </w:r>
      <w:r w:rsidRPr="005649AA">
        <w:rPr>
          <w:rFonts w:ascii="Verdana" w:eastAsia="Century Gothic" w:hAnsi="Verdana" w:cs="Century Gothic"/>
        </w:rPr>
        <w:t>¿</w:t>
      </w:r>
      <w:r>
        <w:rPr>
          <w:rFonts w:ascii="Verdana" w:eastAsia="Century Gothic" w:hAnsi="Verdana" w:cs="Century Gothic"/>
        </w:rPr>
        <w:t>en contratación estatal las entidades contratantes deben remitir invitación a las posibles entidades contratistas en virtud de la Ley 80 de 1993 y el artículo 845 del Código de Comercio</w:t>
      </w:r>
      <w:r w:rsidRPr="004E1038">
        <w:rPr>
          <w:rFonts w:ascii="Verdana" w:eastAsia="Century Gothic" w:hAnsi="Verdana" w:cs="Century Gothic"/>
        </w:rPr>
        <w:t>?</w:t>
      </w:r>
      <w:r>
        <w:rPr>
          <w:rFonts w:ascii="Verdana" w:eastAsia="Century Gothic" w:hAnsi="Verdana" w:cs="Century Gothic"/>
        </w:rPr>
        <w:t xml:space="preserve"> y ii) ¿</w:t>
      </w:r>
      <w:r>
        <w:rPr>
          <w:rFonts w:ascii="Verdana" w:eastAsia="Calibri" w:hAnsi="Verdana" w:cs="Arial"/>
          <w:color w:val="000000"/>
          <w:lang w:eastAsia="es-ES"/>
        </w:rPr>
        <w:t>las modificaciones contractuales como adición y prórroga deben ser informadas al contratista previamente para que manifieste si acepta o no realizar la modificación del contrato</w:t>
      </w:r>
      <w:r>
        <w:rPr>
          <w:rFonts w:ascii="Verdana" w:eastAsia="Century Gothic" w:hAnsi="Verdana" w:cs="Century Gothic"/>
        </w:rPr>
        <w:t>?</w:t>
      </w:r>
    </w:p>
    <w:p w14:paraId="288846E4" w14:textId="77777777" w:rsidR="00C73FA4" w:rsidRDefault="00C73FA4" w:rsidP="00C73FA4">
      <w:pPr>
        <w:spacing w:after="0" w:line="276" w:lineRule="auto"/>
        <w:jc w:val="both"/>
        <w:rPr>
          <w:rFonts w:ascii="Verdana" w:eastAsia="Calibri" w:hAnsi="Verdana" w:cs="Arial"/>
          <w:color w:val="7030A0"/>
          <w:lang w:val="es-ES"/>
        </w:rPr>
      </w:pPr>
    </w:p>
    <w:p w14:paraId="0F146449" w14:textId="77777777" w:rsidR="00C73FA4" w:rsidRDefault="00C73FA4" w:rsidP="00C73FA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1C57F4A0" w14:textId="77777777" w:rsidR="00C73FA4" w:rsidRDefault="00C73FA4" w:rsidP="00C73FA4">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73FA4" w:rsidRPr="00DE5508" w14:paraId="3301F0B6" w14:textId="77777777" w:rsidTr="00507240">
        <w:tc>
          <w:tcPr>
            <w:tcW w:w="8828" w:type="dxa"/>
            <w:tcBorders>
              <w:top w:val="dotted" w:sz="4" w:space="0" w:color="auto"/>
              <w:left w:val="dotted" w:sz="4" w:space="0" w:color="auto"/>
              <w:bottom w:val="dotted" w:sz="4" w:space="0" w:color="auto"/>
              <w:right w:val="dotted" w:sz="4" w:space="0" w:color="auto"/>
            </w:tcBorders>
          </w:tcPr>
          <w:p w14:paraId="75506920" w14:textId="386B42C3" w:rsidR="00C73FA4" w:rsidRDefault="00C73FA4" w:rsidP="00C73FA4">
            <w:pPr>
              <w:pStyle w:val="Prrafodelista"/>
              <w:numPr>
                <w:ilvl w:val="0"/>
                <w:numId w:val="19"/>
              </w:numPr>
              <w:spacing w:before="120" w:after="120" w:line="276" w:lineRule="auto"/>
              <w:ind w:left="170" w:firstLine="0"/>
              <w:jc w:val="both"/>
              <w:rPr>
                <w:rFonts w:ascii="Verdana" w:eastAsia="Times New Roman" w:hAnsi="Verdana" w:cs="Arial"/>
                <w:lang w:val="es-ES_tradnl" w:eastAsia="es-ES_tradnl"/>
                <w14:ligatures w14:val="standardContextual"/>
              </w:rPr>
            </w:pPr>
            <w:r w:rsidRPr="0057600C">
              <w:rPr>
                <w:rFonts w:ascii="Verdana" w:eastAsia="Times New Roman" w:hAnsi="Verdana" w:cs="Arial"/>
                <w:lang w:val="es-ES_tradnl" w:eastAsia="es-ES_tradnl"/>
                <w14:ligatures w14:val="standardContextual"/>
              </w:rPr>
              <w:t xml:space="preserve">Para empezar, 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w:t>
            </w:r>
            <w:r w:rsidRPr="0057600C">
              <w:rPr>
                <w:rFonts w:ascii="Verdana" w:eastAsia="Times New Roman" w:hAnsi="Verdana" w:cs="Arial"/>
                <w:lang w:val="es-ES_tradnl" w:eastAsia="es-ES_tradnl"/>
                <w14:ligatures w14:val="standardContextual"/>
              </w:rPr>
              <w:lastRenderedPageBreak/>
              <w:t>patrones a que haya lugar y se encargará de su difusión a través de canales electrónicos”.</w:t>
            </w:r>
          </w:p>
          <w:p w14:paraId="28DDEA03" w14:textId="77777777" w:rsidR="00C73FA4" w:rsidRDefault="00C73FA4" w:rsidP="00507240">
            <w:pPr>
              <w:spacing w:before="120" w:line="276" w:lineRule="auto"/>
              <w:ind w:firstLine="708"/>
              <w:contextualSpacing/>
              <w:jc w:val="both"/>
              <w:rPr>
                <w:rFonts w:ascii="Verdana" w:eastAsia="Times New Roman" w:hAnsi="Verdana" w:cs="Arial"/>
                <w:color w:val="000000"/>
                <w:szCs w:val="24"/>
                <w:lang w:val="es-ES_tradnl" w:eastAsia="es-ES_tradnl"/>
              </w:rPr>
            </w:pPr>
            <w:r>
              <w:rPr>
                <w:rFonts w:ascii="Verdana" w:eastAsia="Times New Roman" w:hAnsi="Verdana" w:cs="Arial"/>
                <w:lang w:val="es-ES_tradnl" w:eastAsia="es-ES_tradnl"/>
                <w14:ligatures w14:val="standardContextual"/>
              </w:rPr>
              <w:t xml:space="preserve">Adicionalmente, </w:t>
            </w:r>
            <w:r w:rsidRPr="00642EA6">
              <w:rPr>
                <w:rFonts w:ascii="Verdana" w:eastAsia="Calibri" w:hAnsi="Verdana" w:cs="Arial"/>
                <w:shd w:val="clear" w:color="auto" w:fill="FFFFFF"/>
              </w:rPr>
              <w:t>la Ley 1712 de 2014</w:t>
            </w:r>
            <w:r>
              <w:rPr>
                <w:rFonts w:ascii="Verdana" w:eastAsia="Calibri" w:hAnsi="Verdana" w:cs="Arial"/>
                <w:shd w:val="clear" w:color="auto" w:fill="FFFFFF"/>
              </w:rPr>
              <w:t xml:space="preserve"> establece en </w:t>
            </w:r>
            <w:r w:rsidRPr="00642EA6">
              <w:rPr>
                <w:rFonts w:ascii="Verdana" w:eastAsia="Times New Roman" w:hAnsi="Verdana" w:cs="Arial"/>
                <w:color w:val="000000"/>
                <w:szCs w:val="24"/>
                <w:lang w:val="es-ES_tradnl" w:eastAsia="es-ES_tradnl"/>
              </w:rPr>
              <w:t>el literal g) del artículo</w:t>
            </w:r>
            <w:r>
              <w:rPr>
                <w:rFonts w:ascii="Verdana" w:eastAsia="Times New Roman" w:hAnsi="Verdana" w:cs="Arial"/>
                <w:color w:val="000000"/>
                <w:szCs w:val="24"/>
                <w:lang w:val="es-ES_tradnl" w:eastAsia="es-ES_tradnl"/>
              </w:rPr>
              <w:t xml:space="preserve"> 11 que</w:t>
            </w:r>
            <w:r w:rsidRPr="00642EA6">
              <w:rPr>
                <w:rFonts w:ascii="Verdana" w:eastAsia="Times New Roman" w:hAnsi="Verdana" w:cs="Arial"/>
                <w:color w:val="000000"/>
                <w:szCs w:val="24"/>
                <w:lang w:val="es-ES_tradnl" w:eastAsia="es-ES_tradnl"/>
              </w:rPr>
              <w:t xml:space="preserve">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64673274" w14:textId="77777777" w:rsidR="00C73FA4" w:rsidRDefault="00C73FA4" w:rsidP="00507240">
            <w:pPr>
              <w:widowControl w:val="0"/>
              <w:autoSpaceDE w:val="0"/>
              <w:autoSpaceDN w:val="0"/>
              <w:spacing w:after="120" w:line="276" w:lineRule="auto"/>
              <w:ind w:firstLine="726"/>
              <w:jc w:val="both"/>
              <w:rPr>
                <w:rFonts w:ascii="Verdana" w:eastAsia="Arial" w:hAnsi="Verdana" w:cs="Arial"/>
                <w:lang w:val="es-ES"/>
              </w:rPr>
            </w:pPr>
            <w:r>
              <w:rPr>
                <w:rFonts w:ascii="Verdana" w:eastAsia="Arial" w:hAnsi="Verdana" w:cs="Arial"/>
                <w:lang w:val="es-ES"/>
              </w:rPr>
              <w:t>En relación con el primer problema jurídico, teniendo en cuenta los principios antes mencionados de publicidad y transparencia, así como la normativa de la ley 80 de 1993 y del Decreto 1082 de 2015 en cuanto al principio de planeación, las entidades estatales deben publicar un aviso de convocatoria, así como los pliegos de condiciones o la invitación para dar a conocer el proceso de contratación y que los interesados puedan presentarse a través de la plataforma Secop.</w:t>
            </w:r>
          </w:p>
          <w:p w14:paraId="66078346" w14:textId="77777777" w:rsidR="00C73FA4" w:rsidRDefault="00C73FA4" w:rsidP="00507240">
            <w:pPr>
              <w:spacing w:before="120" w:line="276" w:lineRule="auto"/>
              <w:ind w:firstLine="708"/>
              <w:contextualSpacing/>
              <w:jc w:val="both"/>
              <w:rPr>
                <w:rFonts w:ascii="Verdana" w:eastAsia="Calibri" w:hAnsi="Verdana" w:cs="Arial"/>
                <w:color w:val="000000"/>
                <w:szCs w:val="24"/>
                <w:lang w:val="es-ES_tradnl" w:eastAsia="es-ES_tradnl"/>
              </w:rPr>
            </w:pPr>
            <w:r>
              <w:rPr>
                <w:rFonts w:ascii="Verdana" w:eastAsia="Arial" w:hAnsi="Verdana" w:cs="Arial"/>
                <w:lang w:val="es-ES"/>
              </w:rPr>
              <w:t xml:space="preserve">Así, el aviso de convocatoria para participar en un proceso de contratación debe contener además de los requisitos establecidos para cada modalidad de selección, la información listada en el artículo 2.2.1.1.2.1.2 del Decreto 1082 de </w:t>
            </w:r>
            <w:r w:rsidRPr="008934DA">
              <w:rPr>
                <w:rFonts w:ascii="Verdana" w:eastAsia="Arial" w:hAnsi="Verdana" w:cs="Arial"/>
                <w:lang w:val="es-ES"/>
              </w:rPr>
              <w:t xml:space="preserve">2015. </w:t>
            </w:r>
            <w:r w:rsidRPr="008934DA">
              <w:rPr>
                <w:rFonts w:ascii="Verdana" w:eastAsia="Times New Roman" w:hAnsi="Verdana" w:cs="Times New Roman"/>
                <w:lang w:eastAsia="es-CO"/>
              </w:rPr>
              <w:t>Por su parte, el artículo 2.2.1.1.2.1.3 del mencionado Decreto establece los requisitos mínimos del pliego de condiciones y el artículo 2.2.1.2.1.5.2 establece los requisitos de la invitación pública a contratar que se debe usar en la modalidad de mínima cuantía en vez del pliego de condiciones.</w:t>
            </w:r>
            <w:r>
              <w:rPr>
                <w:rFonts w:ascii="Verdana" w:eastAsia="Times New Roman" w:hAnsi="Verdana" w:cs="Times New Roman"/>
                <w:sz w:val="21"/>
                <w:szCs w:val="21"/>
                <w:lang w:eastAsia="es-CO"/>
              </w:rPr>
              <w:t xml:space="preserve"> </w:t>
            </w:r>
          </w:p>
          <w:p w14:paraId="49440D4A" w14:textId="77777777" w:rsidR="00C73FA4" w:rsidRPr="008A5182" w:rsidRDefault="00C73FA4" w:rsidP="00C73FA4">
            <w:pPr>
              <w:pStyle w:val="Prrafodelista"/>
              <w:numPr>
                <w:ilvl w:val="0"/>
                <w:numId w:val="19"/>
              </w:numPr>
              <w:spacing w:line="276" w:lineRule="auto"/>
              <w:ind w:left="28" w:firstLine="709"/>
              <w:jc w:val="both"/>
              <w:rPr>
                <w:rFonts w:ascii="Verdana" w:eastAsia="Calibri" w:hAnsi="Verdana" w:cs="Arial"/>
              </w:rPr>
            </w:pPr>
            <w:r w:rsidRPr="008A5182">
              <w:rPr>
                <w:rFonts w:ascii="Verdana" w:eastAsia="Arial" w:hAnsi="Verdana" w:cs="Arial"/>
              </w:rPr>
              <w:t xml:space="preserve">En relación con el segundo problema jurídico, se resalta que el </w:t>
            </w:r>
            <w:r w:rsidRPr="008A5182">
              <w:rPr>
                <w:rFonts w:ascii="Verdana" w:eastAsia="Calibri" w:hAnsi="Verdana" w:cs="Arial"/>
              </w:rPr>
              <w:t>contrato estatal, como acto jurídico bilateral, es ley para los contratantes y por regla general no puede ser modificado sino por el consentimiento mutuo</w:t>
            </w:r>
            <w:r w:rsidRPr="00FC4A16">
              <w:rPr>
                <w:rStyle w:val="Refdenotaalpie"/>
                <w:rFonts w:ascii="Verdana" w:eastAsia="Calibri" w:hAnsi="Verdana" w:cs="Arial"/>
              </w:rPr>
              <w:footnoteReference w:id="1"/>
            </w:r>
            <w:r w:rsidRPr="008A5182">
              <w:rPr>
                <w:rFonts w:ascii="Verdana" w:eastAsia="Calibri" w:hAnsi="Verdana" w:cs="Arial"/>
              </w:rPr>
              <w:t>, en ese sentido, cualquier modificación contractual implica un nuevo acuerdo de voluntades, o lo que es lo mismo un contrato, por ello este nuevo contrato requiere garantía para ser ejecutado. Respecto a las formalidades requeridas para las modificaciones de los contratos, y refiriéndose al alcance del artículo 39 y 41 de la Ley 80 de 1993, el Consejo de Estado, Sección Tercera, en la sentencia del 18 de febrero de 2010, radicado 85001-23-31-000-1997-00403-01(15.596), con ponencia del consejero Mauricio Fajardo Gómez, señaló:</w:t>
            </w:r>
          </w:p>
          <w:p w14:paraId="52BEA932" w14:textId="77777777" w:rsidR="00C73FA4" w:rsidRPr="00FC4A16" w:rsidRDefault="00C73FA4" w:rsidP="00507240">
            <w:pPr>
              <w:pStyle w:val="Prrafodelista"/>
              <w:spacing w:line="276" w:lineRule="auto"/>
              <w:jc w:val="both"/>
              <w:rPr>
                <w:rFonts w:ascii="Verdana" w:eastAsia="Calibri" w:hAnsi="Verdana" w:cs="Arial"/>
              </w:rPr>
            </w:pPr>
          </w:p>
          <w:p w14:paraId="776DD0C8" w14:textId="77777777" w:rsidR="00C73FA4" w:rsidRPr="00FC4A16" w:rsidRDefault="00C73FA4" w:rsidP="00507240">
            <w:pPr>
              <w:pStyle w:val="Prrafodelista"/>
              <w:ind w:right="709"/>
              <w:jc w:val="both"/>
              <w:rPr>
                <w:rFonts w:ascii="Verdana" w:eastAsia="Calibri" w:hAnsi="Verdana" w:cs="Arial"/>
                <w:sz w:val="20"/>
                <w:szCs w:val="20"/>
              </w:rPr>
            </w:pPr>
            <w:r w:rsidRPr="00FC4A16">
              <w:rPr>
                <w:rFonts w:ascii="Verdana" w:eastAsia="Calibri" w:hAnsi="Verdana" w:cs="Arial"/>
                <w:sz w:val="20"/>
                <w:szCs w:val="20"/>
              </w:rPr>
              <w:t>“De conformidad con las normas transcritas, respecto de los contratos estatales no es posible afirmar que con el simple consentimiento de las partes puedan ser perfeccionados, de lo cual se colige, de manera directa, que la modificación de los mismos, consistente en adición de obras, valor y período para la ejecución, también debe constar por escrito para que puedan alcanzar eficacia, existencia y validez. Esto último, en cuanto que la modificación respecto de un acuerdo que consta por escrito debe surtir el mismo proceso que se dio para su constitución, dado que el acuerdo modificatorio está tomando el lugar del acuerdo originario y la solemnidad que se predica legalmente del segundo ha de ser exigida para el reconocimiento de eficacia, existencia y validez del primero”.</w:t>
            </w:r>
          </w:p>
          <w:p w14:paraId="4AEF7EE5" w14:textId="77777777" w:rsidR="00C73FA4" w:rsidRPr="008A5182" w:rsidRDefault="00C73FA4" w:rsidP="00507240">
            <w:pPr>
              <w:pStyle w:val="Prrafodelista"/>
              <w:spacing w:before="120" w:after="120" w:line="276" w:lineRule="auto"/>
              <w:ind w:left="1080"/>
              <w:jc w:val="both"/>
              <w:rPr>
                <w:rFonts w:ascii="Verdana" w:eastAsia="Times New Roman" w:hAnsi="Verdana" w:cs="Arial"/>
                <w:lang w:val="es-ES_tradnl" w:eastAsia="es-ES_tradnl"/>
                <w14:ligatures w14:val="standardContextual"/>
              </w:rPr>
            </w:pPr>
          </w:p>
          <w:p w14:paraId="60E3E2F1" w14:textId="77777777" w:rsidR="00C73FA4" w:rsidRPr="0057600C" w:rsidRDefault="00C73FA4" w:rsidP="00507240">
            <w:pPr>
              <w:spacing w:after="120" w:line="276" w:lineRule="auto"/>
              <w:ind w:firstLine="709"/>
              <w:jc w:val="both"/>
              <w:rPr>
                <w:rFonts w:ascii="Verdana" w:hAnsi="Verdana"/>
              </w:rPr>
            </w:pPr>
            <w:r w:rsidRPr="00100432">
              <w:rPr>
                <w:rFonts w:ascii="Verdana" w:hAnsi="Verdana"/>
              </w:rPr>
              <w:t>En definitiva, es necesario que el contratista</w:t>
            </w:r>
            <w:r>
              <w:rPr>
                <w:rFonts w:ascii="Verdana" w:hAnsi="Verdana"/>
              </w:rPr>
              <w:t xml:space="preserve"> manifieste su voluntad de modificar el contrato y además,</w:t>
            </w:r>
            <w:r w:rsidRPr="00100432">
              <w:rPr>
                <w:rFonts w:ascii="Verdana" w:hAnsi="Verdana"/>
              </w:rPr>
              <w:t xml:space="preserve"> amplíe la garantía cuando el contrato se </w:t>
            </w:r>
            <w:r>
              <w:rPr>
                <w:rFonts w:ascii="Verdana" w:hAnsi="Verdana"/>
              </w:rPr>
              <w:t>prorroga o se adiciona</w:t>
            </w:r>
            <w:r w:rsidRPr="00100432">
              <w:rPr>
                <w:rFonts w:ascii="Verdana" w:hAnsi="Verdana"/>
              </w:rPr>
              <w:t xml:space="preserve">, </w:t>
            </w:r>
            <w:r>
              <w:rPr>
                <w:rFonts w:ascii="Verdana" w:hAnsi="Verdana"/>
              </w:rPr>
              <w:t>a</w:t>
            </w:r>
            <w:r w:rsidRPr="00100432">
              <w:rPr>
                <w:rFonts w:ascii="Verdana" w:hAnsi="Verdana"/>
              </w:rPr>
              <w:t xml:space="preserve">mpliación </w:t>
            </w:r>
            <w:r>
              <w:rPr>
                <w:rFonts w:ascii="Verdana" w:hAnsi="Verdana"/>
              </w:rPr>
              <w:t xml:space="preserve">que </w:t>
            </w:r>
            <w:r w:rsidRPr="00100432">
              <w:rPr>
                <w:rFonts w:ascii="Verdana" w:hAnsi="Verdana"/>
              </w:rPr>
              <w:t>requiere aprobación</w:t>
            </w:r>
            <w:r>
              <w:rPr>
                <w:rFonts w:ascii="Verdana" w:hAnsi="Verdana"/>
              </w:rPr>
              <w:t xml:space="preserve"> por parte de la Entidad Estatal contratante</w:t>
            </w:r>
            <w:r w:rsidRPr="00100432">
              <w:rPr>
                <w:rFonts w:ascii="Verdana" w:hAnsi="Verdana"/>
              </w:rPr>
              <w:t>, tal como fue aprobada la garantía del contrato inicial. En cumplimiento del artículo 2.2.1.2.3.1.18. del Decreto 1082 de 2015, solo se le exige al contratista que: i) amplié el valor de la garantía cuando hay una adición, y ii)</w:t>
            </w:r>
            <w:r w:rsidRPr="00100432">
              <w:rPr>
                <w:rFonts w:ascii="Verdana" w:hAnsi="Verdana"/>
                <w:b/>
                <w:bCs/>
              </w:rPr>
              <w:t xml:space="preserve"> </w:t>
            </w:r>
            <w:r w:rsidRPr="00100432">
              <w:rPr>
                <w:rFonts w:ascii="Verdana" w:hAnsi="Verdana"/>
              </w:rPr>
              <w:t>que amplié su vigencia cuando se modifica el plazo del contrato</w:t>
            </w:r>
            <w:r>
              <w:rPr>
                <w:rFonts w:ascii="Verdana" w:hAnsi="Verdana"/>
              </w:rPr>
              <w:t>.</w:t>
            </w:r>
          </w:p>
          <w:p w14:paraId="218629E5" w14:textId="77777777" w:rsidR="00C73FA4" w:rsidRPr="00DE5508" w:rsidRDefault="00C73FA4" w:rsidP="00507240">
            <w:pPr>
              <w:spacing w:after="120" w:line="276" w:lineRule="auto"/>
              <w:jc w:val="both"/>
              <w:rPr>
                <w:rFonts w:ascii="Verdana" w:hAnsi="Verdana"/>
              </w:rPr>
            </w:pPr>
            <w:r w:rsidRPr="00DE5508">
              <w:rPr>
                <w:rFonts w:ascii="Verdana" w:hAnsi="Verdana"/>
              </w:rPr>
              <w:t>Dentro de este marco, corresponde a cada entidad pública, en ejercicio de su competencia y previa valoración de los elementos fácticos y jurídicos, así como de las disposiciones legales mencionadas, determinar su gestión contractual.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6C7C4AA2" w14:textId="77777777" w:rsidR="00C73FA4" w:rsidRPr="00DE5508" w:rsidRDefault="00C73FA4" w:rsidP="00C73FA4">
      <w:pPr>
        <w:tabs>
          <w:tab w:val="left" w:pos="142"/>
          <w:tab w:val="left" w:pos="284"/>
        </w:tabs>
        <w:spacing w:after="0" w:line="276" w:lineRule="auto"/>
        <w:jc w:val="both"/>
        <w:rPr>
          <w:rFonts w:ascii="Verdana" w:eastAsia="Century Gothic" w:hAnsi="Verdana" w:cs="Century Gothic"/>
          <w:b/>
          <w:bCs/>
          <w:lang w:val="es-ES"/>
        </w:rPr>
      </w:pPr>
    </w:p>
    <w:p w14:paraId="774824DB" w14:textId="77777777" w:rsidR="00C73FA4" w:rsidRDefault="00C73FA4" w:rsidP="00C73FA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25BAD714" w14:textId="77777777" w:rsidR="00C73FA4" w:rsidRDefault="00C73FA4" w:rsidP="00C73FA4">
      <w:pPr>
        <w:spacing w:after="0" w:line="276" w:lineRule="auto"/>
        <w:jc w:val="both"/>
        <w:rPr>
          <w:rFonts w:ascii="Verdana" w:eastAsia="Calibri" w:hAnsi="Verdana" w:cs="Arial"/>
          <w:color w:val="7030A0"/>
          <w:lang w:val="es-ES"/>
        </w:rPr>
      </w:pPr>
    </w:p>
    <w:p w14:paraId="0BD9D4F0" w14:textId="77777777" w:rsidR="00C73FA4" w:rsidRDefault="00C73FA4" w:rsidP="00C73FA4">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3ECAB748" w14:textId="77777777" w:rsidR="00C73FA4" w:rsidRDefault="00C73FA4" w:rsidP="00C73FA4">
      <w:pPr>
        <w:widowControl w:val="0"/>
        <w:autoSpaceDE w:val="0"/>
        <w:autoSpaceDN w:val="0"/>
        <w:spacing w:after="0" w:line="276" w:lineRule="auto"/>
        <w:ind w:right="176"/>
        <w:jc w:val="both"/>
        <w:rPr>
          <w:rFonts w:ascii="Verdana" w:eastAsia="Calibri" w:hAnsi="Verdana" w:cs="Arial"/>
          <w:lang w:val="es-ES"/>
        </w:rPr>
      </w:pPr>
    </w:p>
    <w:p w14:paraId="01E61290" w14:textId="77777777" w:rsidR="00C73FA4" w:rsidRPr="003F20DD" w:rsidRDefault="00C73FA4" w:rsidP="00C73FA4">
      <w:pPr>
        <w:spacing w:before="120" w:after="120" w:line="276" w:lineRule="auto"/>
        <w:jc w:val="both"/>
        <w:rPr>
          <w:rFonts w:ascii="Verdana" w:eastAsia="Times New Roman" w:hAnsi="Verdana" w:cs="Arial"/>
          <w:lang w:val="es-ES_tradnl" w:eastAsia="es-ES_tradnl"/>
          <w14:ligatures w14:val="standardContextual"/>
        </w:rPr>
      </w:pPr>
      <w:r>
        <w:rPr>
          <w:rFonts w:ascii="Verdana" w:eastAsia="Times New Roman" w:hAnsi="Verdana" w:cs="Arial"/>
          <w:lang w:val="es-ES_tradnl" w:eastAsia="es-ES_tradnl"/>
          <w14:ligatures w14:val="standardContextual"/>
        </w:rPr>
        <w:lastRenderedPageBreak/>
        <w:t>i.</w:t>
      </w:r>
      <w:r w:rsidRPr="003F20DD">
        <w:rPr>
          <w:rFonts w:ascii="Verdana" w:eastAsia="Times New Roman" w:hAnsi="Verdana" w:cs="Arial"/>
          <w:lang w:val="es-ES_tradnl" w:eastAsia="es-ES_tradnl"/>
          <w14:ligatures w14:val="standardContextual"/>
        </w:rPr>
        <w:t>Para empezar, 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r w:rsidRPr="00330EF6">
        <w:rPr>
          <w:vertAlign w:val="superscript"/>
          <w:lang w:eastAsia="es-ES_tradnl"/>
        </w:rPr>
        <w:footnoteReference w:id="2"/>
      </w:r>
      <w:r w:rsidRPr="003F20DD">
        <w:rPr>
          <w:rFonts w:ascii="Verdana" w:eastAsia="Times New Roman" w:hAnsi="Verdana" w:cs="Arial"/>
          <w:lang w:val="es-ES_tradnl" w:eastAsia="es-ES_tradnl"/>
          <w14:ligatures w14:val="standardContextual"/>
        </w:rPr>
        <w:t>.</w:t>
      </w:r>
    </w:p>
    <w:p w14:paraId="7262C3C6" w14:textId="77777777" w:rsidR="00C73FA4" w:rsidRDefault="00C73FA4" w:rsidP="00C73FA4">
      <w:pPr>
        <w:spacing w:before="120" w:after="120" w:line="276" w:lineRule="auto"/>
        <w:ind w:firstLine="709"/>
        <w:jc w:val="both"/>
        <w:rPr>
          <w:rFonts w:ascii="Verdana" w:eastAsia="Calibri" w:hAnsi="Verdana" w:cs="Arial"/>
          <w:color w:val="000000"/>
          <w:lang w:val="es-ES_tradnl"/>
        </w:rPr>
      </w:pPr>
      <w:r w:rsidRPr="00642EA6">
        <w:rPr>
          <w:rFonts w:ascii="Verdana" w:eastAsia="Calibri" w:hAnsi="Verdana" w:cs="Arial"/>
          <w:shd w:val="clear" w:color="auto" w:fill="FFFFFF"/>
        </w:rPr>
        <w:t>En ese sentido, la Ley 1712 de 2014 –ley estatutaria que regula la transparencia y el derecho de acceso a la información y a los documentos públicos–; identifica como principios que orientan el derecho de acceso a la información pública, el</w:t>
      </w:r>
      <w:r w:rsidRPr="00642EA6">
        <w:rPr>
          <w:rFonts w:ascii="Verdana" w:eastAsia="Calibri" w:hAnsi="Verdana" w:cs="Arial"/>
          <w:color w:val="000000"/>
          <w:lang w:val="es-ES_tradnl"/>
        </w:rPr>
        <w:t xml:space="preserve">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00642EA6">
        <w:rPr>
          <w:rFonts w:ascii="Aptos" w:eastAsia="Aptos" w:hAnsi="Aptos" w:cs="Times New Roman"/>
          <w:color w:val="000000"/>
          <w:vertAlign w:val="superscript"/>
          <w:lang w:val="es-ES_tradnl"/>
        </w:rPr>
        <w:footnoteReference w:id="3"/>
      </w:r>
      <w:r w:rsidRPr="00642EA6">
        <w:rPr>
          <w:rFonts w:ascii="Verdana" w:eastAsia="Calibri" w:hAnsi="Verdana" w:cs="Arial"/>
          <w:color w:val="000000"/>
          <w:lang w:val="es-ES_tradnl"/>
        </w:rPr>
        <w:t xml:space="preserve">. El principio de transparencia en la información alude al deber de los sujetos de proporcionar y facilitar el acceso a la misma en los términos más amplios posibles, y a través de los medios y procedimientos legales. </w:t>
      </w:r>
    </w:p>
    <w:p w14:paraId="51FD7C3D" w14:textId="77777777" w:rsidR="00C73FA4" w:rsidRPr="00642EA6" w:rsidRDefault="00C73FA4" w:rsidP="00C73FA4">
      <w:pPr>
        <w:spacing w:before="120" w:after="120" w:line="276" w:lineRule="auto"/>
        <w:ind w:firstLine="709"/>
        <w:jc w:val="both"/>
        <w:rPr>
          <w:rFonts w:ascii="Verdana" w:eastAsia="Calibri" w:hAnsi="Verdana" w:cs="Arial"/>
          <w:color w:val="000000"/>
          <w:lang w:val="es-ES_tradnl"/>
        </w:rPr>
      </w:pPr>
      <w:r w:rsidRPr="00642EA6">
        <w:rPr>
          <w:rFonts w:ascii="Verdana" w:eastAsia="Calibri" w:hAnsi="Verdana" w:cs="Arial"/>
          <w:color w:val="000000"/>
          <w:lang w:val="es-ES_tradnl"/>
        </w:rPr>
        <w:t xml:space="preserve">La Ley estatutaria citada establece, en el literal </w:t>
      </w:r>
      <w:r>
        <w:rPr>
          <w:rFonts w:ascii="Verdana" w:eastAsia="Calibri" w:hAnsi="Verdana" w:cs="Arial"/>
          <w:color w:val="000000"/>
          <w:lang w:val="es-ES_tradnl"/>
        </w:rPr>
        <w:t>a</w:t>
      </w:r>
      <w:r w:rsidRPr="00642EA6">
        <w:rPr>
          <w:rFonts w:ascii="Verdana" w:eastAsia="Calibri" w:hAnsi="Verdana" w:cs="Arial"/>
          <w:color w:val="000000"/>
          <w:lang w:val="es-ES_tradnl"/>
        </w:rPr>
        <w:t xml:space="preserve">) del artículo </w:t>
      </w:r>
      <w:r>
        <w:rPr>
          <w:rFonts w:ascii="Verdana" w:eastAsia="Calibri" w:hAnsi="Verdana" w:cs="Arial"/>
          <w:color w:val="000000"/>
          <w:lang w:val="es-ES_tradnl"/>
        </w:rPr>
        <w:t>5</w:t>
      </w:r>
      <w:r w:rsidRPr="00642EA6">
        <w:rPr>
          <w:rFonts w:ascii="Verdana" w:eastAsia="Calibri" w:hAnsi="Verdana" w:cs="Arial"/>
          <w:color w:val="000000"/>
          <w:lang w:val="es-ES_tradnl"/>
        </w:rPr>
        <w:t>, que los sujetos obligados, que son todas las entidades públicas</w:t>
      </w:r>
      <w:r w:rsidRPr="00642EA6">
        <w:rPr>
          <w:rFonts w:ascii="Aptos" w:eastAsia="Aptos" w:hAnsi="Aptos" w:cs="Times New Roman"/>
          <w:color w:val="000000"/>
          <w:vertAlign w:val="superscript"/>
          <w:lang w:val="es-ES_tradnl"/>
        </w:rPr>
        <w:footnoteReference w:id="4"/>
      </w:r>
      <w:r w:rsidRPr="00642EA6">
        <w:rPr>
          <w:rFonts w:ascii="Verdana" w:eastAsia="Calibri" w:hAnsi="Verdana" w:cs="Arial"/>
          <w:color w:val="000000"/>
          <w:lang w:val="es-ES_tradnl"/>
        </w:rPr>
        <w:t xml:space="preserve">, deben publicar la información relativa a su contratación. Esta obligación fue desarrollada </w:t>
      </w:r>
      <w:r w:rsidRPr="00056E4C">
        <w:rPr>
          <w:rFonts w:ascii="Verdana" w:eastAsia="Arial" w:hAnsi="Verdana" w:cs="Arial"/>
          <w:lang w:val="es-ES"/>
        </w:rPr>
        <w:t xml:space="preserve">por el </w:t>
      </w:r>
      <w:r w:rsidRPr="00056E4C">
        <w:rPr>
          <w:rFonts w:ascii="Verdana" w:eastAsia="Arial" w:hAnsi="Verdana" w:cs="Arial"/>
          <w:lang w:val="es-ES"/>
        </w:rPr>
        <w:lastRenderedPageBreak/>
        <w:t>Decreto 103 de 2015, compilado en el Decreto 1081 de 2015</w:t>
      </w:r>
      <w:r w:rsidRPr="00642EA6">
        <w:rPr>
          <w:rFonts w:ascii="Aptos" w:eastAsia="Aptos" w:hAnsi="Aptos" w:cs="Times New Roman"/>
          <w:color w:val="000000"/>
          <w:vertAlign w:val="superscript"/>
          <w:lang w:val="es-ES_tradnl"/>
        </w:rPr>
        <w:footnoteReference w:id="5"/>
      </w:r>
      <w:r w:rsidRPr="00642EA6">
        <w:rPr>
          <w:rFonts w:ascii="Verdana" w:eastAsia="Calibri" w:hAnsi="Verdana" w:cs="Arial"/>
          <w:color w:val="000000"/>
          <w:lang w:val="es-ES_tradnl"/>
        </w:rPr>
        <w:t xml:space="preserve">, el cual dispuso que la publicación de la información contractual de los sujetos obligados, que contratan con cargo a recursos públicos, debe hacerse en el </w:t>
      </w:r>
      <w:r w:rsidRPr="00056E4C">
        <w:rPr>
          <w:rFonts w:ascii="Verdana" w:eastAsia="Arial" w:hAnsi="Verdana" w:cs="Arial"/>
          <w:lang w:val="es-ES"/>
        </w:rPr>
        <w:t>Sistema Electrónico de Contratación Pública –SECOP–</w:t>
      </w:r>
      <w:r w:rsidRPr="00642EA6">
        <w:rPr>
          <w:rFonts w:ascii="Verdana" w:eastAsia="Calibri" w:hAnsi="Verdana" w:cs="Arial"/>
          <w:color w:val="000000"/>
          <w:lang w:val="es-ES_tradnl"/>
        </w:rPr>
        <w:t>.</w:t>
      </w:r>
    </w:p>
    <w:p w14:paraId="049423EE" w14:textId="77777777" w:rsidR="00C73FA4" w:rsidRDefault="00C73FA4" w:rsidP="00C73FA4">
      <w:pPr>
        <w:spacing w:before="120" w:after="0" w:line="276" w:lineRule="auto"/>
        <w:ind w:firstLine="708"/>
        <w:contextualSpacing/>
        <w:jc w:val="both"/>
        <w:rPr>
          <w:rFonts w:ascii="Verdana" w:eastAsia="Calibri" w:hAnsi="Verdana" w:cs="Arial"/>
          <w:color w:val="000000"/>
          <w:szCs w:val="24"/>
          <w:lang w:val="es-ES_tradnl" w:eastAsia="es-ES_tradnl"/>
        </w:rPr>
      </w:pPr>
      <w:r w:rsidRPr="00642EA6">
        <w:rPr>
          <w:rFonts w:ascii="Verdana" w:eastAsia="Times New Roman" w:hAnsi="Verdana" w:cs="Arial"/>
          <w:color w:val="000000"/>
          <w:szCs w:val="24"/>
          <w:lang w:val="es-ES_tradnl" w:eastAsia="es-ES_tradnl"/>
        </w:rPr>
        <w:t xml:space="preserve">Asimismo, de acuerdo con el literal g) del artículo 11 de la misma ley,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423306ED" w14:textId="77777777" w:rsidR="00C73FA4" w:rsidRDefault="00C73FA4" w:rsidP="00C73FA4">
      <w:pPr>
        <w:widowControl w:val="0"/>
        <w:tabs>
          <w:tab w:val="left" w:pos="728"/>
        </w:tabs>
        <w:autoSpaceDE w:val="0"/>
        <w:autoSpaceDN w:val="0"/>
        <w:spacing w:after="120" w:line="276" w:lineRule="auto"/>
        <w:ind w:firstLine="726"/>
        <w:jc w:val="both"/>
        <w:rPr>
          <w:rFonts w:ascii="Verdana" w:hAnsi="Verdana" w:cs="Arial"/>
          <w:lang w:val="es-ES"/>
        </w:rPr>
      </w:pPr>
      <w:r w:rsidRPr="00F16D2E">
        <w:rPr>
          <w:rFonts w:ascii="Verdana" w:eastAsia="Arial" w:hAnsi="Verdana" w:cs="Arial"/>
          <w:lang w:val="es-ES"/>
        </w:rPr>
        <w:tab/>
      </w:r>
      <w:r w:rsidRPr="00F16D2E">
        <w:rPr>
          <w:rFonts w:ascii="Verdana" w:hAnsi="Verdana" w:cs="Arial"/>
          <w:lang w:val="es-ES"/>
        </w:rPr>
        <w:t xml:space="preserve">El deber de publicidad que se desprende del artículo 3 de la Ley 1150 de 2007 está reglamentado por el </w:t>
      </w:r>
      <w:bookmarkStart w:id="1" w:name="_Hlk216386700"/>
      <w:r w:rsidRPr="00F16D2E">
        <w:rPr>
          <w:rFonts w:ascii="Verdana" w:hAnsi="Verdana" w:cs="Arial"/>
          <w:lang w:val="es-ES"/>
        </w:rPr>
        <w:t xml:space="preserve">artículo 2.2.1.1.1.7.1 </w:t>
      </w:r>
      <w:bookmarkEnd w:id="1"/>
      <w:r w:rsidRPr="00F16D2E">
        <w:rPr>
          <w:rFonts w:ascii="Verdana" w:hAnsi="Verdana" w:cs="Arial"/>
          <w:lang w:val="es-ES"/>
        </w:rPr>
        <w:t>del Decreto 1082 de 2015, el cual dispone los documentos que deben publicarse y al SECOP como medio de publicación</w:t>
      </w:r>
      <w:r>
        <w:rPr>
          <w:rFonts w:ascii="Verdana" w:hAnsi="Verdana" w:cs="Arial"/>
          <w:lang w:val="es-ES"/>
        </w:rPr>
        <w:t>:</w:t>
      </w:r>
    </w:p>
    <w:p w14:paraId="3A9D850B" w14:textId="77777777" w:rsidR="00C73FA4" w:rsidRPr="00152558" w:rsidRDefault="00C73FA4" w:rsidP="00C73FA4">
      <w:pPr>
        <w:shd w:val="clear" w:color="auto" w:fill="FFFFFF"/>
        <w:spacing w:before="100" w:beforeAutospacing="1" w:after="100" w:afterAutospacing="1" w:line="240" w:lineRule="auto"/>
        <w:ind w:left="708" w:firstLine="18"/>
        <w:jc w:val="both"/>
        <w:rPr>
          <w:rFonts w:ascii="Verdana" w:eastAsia="Times New Roman" w:hAnsi="Verdana" w:cs="Times New Roman"/>
          <w:sz w:val="20"/>
          <w:szCs w:val="20"/>
          <w:lang w:eastAsia="es-CO"/>
        </w:rPr>
      </w:pPr>
      <w:r w:rsidRPr="00152558">
        <w:rPr>
          <w:rFonts w:ascii="Verdana" w:eastAsia="Times New Roman" w:hAnsi="Verdana" w:cs="Times New Roman"/>
          <w:b/>
          <w:bCs/>
          <w:sz w:val="20"/>
          <w:szCs w:val="20"/>
          <w:lang w:eastAsia="es-CO"/>
        </w:rPr>
        <w:t>ARTÍCULO </w:t>
      </w:r>
      <w:bookmarkStart w:id="2" w:name="2.2.1.1.1.7.1"/>
      <w:bookmarkEnd w:id="2"/>
      <w:r w:rsidRPr="00152558">
        <w:rPr>
          <w:rFonts w:ascii="Verdana" w:eastAsia="Times New Roman" w:hAnsi="Verdana" w:cs="Times New Roman"/>
          <w:b/>
          <w:bCs/>
          <w:sz w:val="20"/>
          <w:szCs w:val="20"/>
          <w:lang w:eastAsia="es-CO"/>
        </w:rPr>
        <w:t>2.2.1.1.1.7.1.</w:t>
      </w:r>
      <w:r w:rsidRPr="00152558">
        <w:rPr>
          <w:rFonts w:ascii="Verdana" w:eastAsia="Times New Roman" w:hAnsi="Verdana" w:cs="Times New Roman"/>
          <w:sz w:val="20"/>
          <w:szCs w:val="20"/>
          <w:lang w:eastAsia="es-CO"/>
        </w:rPr>
        <w:t> </w:t>
      </w:r>
      <w:r w:rsidRPr="00152558">
        <w:rPr>
          <w:rFonts w:ascii="Verdana" w:eastAsia="Times New Roman" w:hAnsi="Verdana" w:cs="Times New Roman"/>
          <w:b/>
          <w:bCs/>
          <w:i/>
          <w:iCs/>
          <w:sz w:val="20"/>
          <w:szCs w:val="20"/>
          <w:lang w:eastAsia="es-CO"/>
        </w:rPr>
        <w:t>Publicidad en el SECOP.</w:t>
      </w:r>
      <w:r w:rsidRPr="00152558">
        <w:rPr>
          <w:rFonts w:ascii="Verdana" w:eastAsia="Times New Roman" w:hAnsi="Verdana" w:cs="Times New Roman"/>
          <w:sz w:val="20"/>
          <w:szCs w:val="20"/>
          <w:lang w:eastAsia="es-CO"/>
        </w:rPr>
        <w:t> La Entidad Estatal está obligada a publicar en el SECOP los Documentos del Proceso y los actos administrativos del Proceso de Contratación, dentro de los tres (3) días siguientes a su expedición. La oferta que debe ser publicada es la del adjudicatario del Proceso de Contratación. Los documentos de las operaciones que se realicen en bolsa de productos no tienen que ser publicados en el SECOP.</w:t>
      </w:r>
    </w:p>
    <w:p w14:paraId="4805D3C2" w14:textId="77777777" w:rsidR="00C73FA4" w:rsidRPr="00152558" w:rsidRDefault="00C73FA4" w:rsidP="00C73FA4">
      <w:pPr>
        <w:shd w:val="clear" w:color="auto" w:fill="FFFFFF"/>
        <w:spacing w:before="100" w:beforeAutospacing="1" w:after="100" w:afterAutospacing="1" w:line="240" w:lineRule="auto"/>
        <w:ind w:left="708" w:firstLine="18"/>
        <w:jc w:val="both"/>
        <w:rPr>
          <w:rFonts w:ascii="Verdana" w:eastAsia="Times New Roman" w:hAnsi="Verdana" w:cs="Times New Roman"/>
          <w:sz w:val="20"/>
          <w:szCs w:val="20"/>
          <w:lang w:eastAsia="es-CO"/>
        </w:rPr>
      </w:pPr>
      <w:r w:rsidRPr="00152558">
        <w:rPr>
          <w:rFonts w:ascii="Verdana" w:eastAsia="Times New Roman" w:hAnsi="Verdana" w:cs="Times New Roman"/>
          <w:sz w:val="20"/>
          <w:szCs w:val="20"/>
          <w:lang w:eastAsia="es-CO"/>
        </w:rPr>
        <w:t>La Entidad Estatal está obligada a publicar oportunamente el aviso de convocatoria o la invitación en los Procesos de Contratación de mínima cuantía y el proyecto de pliegos de condiciones en el SECOP para que los interesados en el Proceso de Contratación puedan presentar observaciones o solicitar aclaraciones en el término previsto para el efecto en el artículo 2.2.1.1.2.1.4 del presente decreto.</w:t>
      </w:r>
    </w:p>
    <w:p w14:paraId="22998E5F" w14:textId="77777777" w:rsidR="00C73FA4" w:rsidRPr="00F16D2E" w:rsidRDefault="00C73FA4" w:rsidP="00C73FA4">
      <w:pPr>
        <w:widowControl w:val="0"/>
        <w:tabs>
          <w:tab w:val="left" w:pos="728"/>
        </w:tabs>
        <w:autoSpaceDE w:val="0"/>
        <w:autoSpaceDN w:val="0"/>
        <w:spacing w:after="120" w:line="276" w:lineRule="auto"/>
        <w:ind w:firstLine="726"/>
        <w:jc w:val="both"/>
        <w:rPr>
          <w:rFonts w:ascii="Verdana" w:hAnsi="Verdana" w:cs="Arial"/>
          <w:lang w:val="es-ES"/>
        </w:rPr>
      </w:pPr>
      <w:r w:rsidRPr="00F16D2E">
        <w:rPr>
          <w:rFonts w:ascii="Verdana" w:hAnsi="Verdana" w:cs="Arial"/>
          <w:lang w:val="es-ES"/>
        </w:rPr>
        <w:t xml:space="preserve">De acuerdo con esto, las entidades deben cumplir con el principio de publicidad respecto de su actividad contractual como garantía para los administrados, para conocer las actuaciones y participar en el control de estas, </w:t>
      </w:r>
      <w:r w:rsidRPr="00F16D2E">
        <w:rPr>
          <w:rFonts w:ascii="Verdana" w:hAnsi="Verdana" w:cs="Arial"/>
          <w:lang w:val="es-ES"/>
        </w:rPr>
        <w:lastRenderedPageBreak/>
        <w:t>siendo el SECOP la herramienta que dispuso el Estado para que las entidades cumplan el principio de publicidad.</w:t>
      </w:r>
    </w:p>
    <w:p w14:paraId="77F7A4A1" w14:textId="77777777" w:rsidR="00C73FA4" w:rsidRDefault="00C73FA4" w:rsidP="00C73FA4">
      <w:pPr>
        <w:widowControl w:val="0"/>
        <w:autoSpaceDE w:val="0"/>
        <w:autoSpaceDN w:val="0"/>
        <w:spacing w:after="120" w:line="276" w:lineRule="auto"/>
        <w:ind w:firstLine="726"/>
        <w:jc w:val="both"/>
        <w:rPr>
          <w:rFonts w:ascii="Verdana" w:eastAsia="Arial" w:hAnsi="Verdana" w:cs="Arial"/>
          <w:lang w:val="es-ES"/>
        </w:rPr>
      </w:pPr>
      <w:r w:rsidRPr="00F16D2E">
        <w:rPr>
          <w:rFonts w:ascii="Verdana" w:hAnsi="Verdana" w:cs="Arial"/>
          <w:lang w:val="es-ES"/>
        </w:rPr>
        <w:t xml:space="preserve">Ahora bien, las entidades estatales, conforme al artículo 2.2.1.1.1.7.1 del Decreto 1082 de 2015, tienen la obligación de publicar en el SECOP “[…] los Documentos del Proceso y los actos administrativos del Proceso de Contratación […]”. La expresión Documentos del Proceso está definida en el artículo </w:t>
      </w:r>
      <w:bookmarkStart w:id="3" w:name="_Hlk216386722"/>
      <w:r w:rsidRPr="00F16D2E">
        <w:rPr>
          <w:rFonts w:ascii="Verdana" w:hAnsi="Verdana" w:cs="Arial"/>
          <w:lang w:val="es-ES"/>
        </w:rPr>
        <w:t>2.2.1.1.1.3.1</w:t>
      </w:r>
      <w:r>
        <w:rPr>
          <w:rFonts w:ascii="Verdana" w:hAnsi="Verdana" w:cs="Arial"/>
          <w:lang w:val="es-ES"/>
        </w:rPr>
        <w:t>.</w:t>
      </w:r>
      <w:r w:rsidRPr="00F16D2E">
        <w:rPr>
          <w:rFonts w:ascii="Verdana" w:hAnsi="Verdana" w:cs="Arial"/>
          <w:lang w:val="es-ES"/>
        </w:rPr>
        <w:t xml:space="preserve"> </w:t>
      </w:r>
      <w:bookmarkEnd w:id="3"/>
      <w:r w:rsidRPr="00F16D2E">
        <w:rPr>
          <w:rFonts w:ascii="Verdana" w:hAnsi="Verdana" w:cs="Arial"/>
          <w:lang w:val="es-ES"/>
        </w:rPr>
        <w:t>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r w:rsidRPr="00783E6B">
        <w:rPr>
          <w:rFonts w:ascii="Verdana" w:eastAsia="Arial" w:hAnsi="Verdana" w:cs="Arial"/>
          <w:lang w:val="es-ES"/>
        </w:rPr>
        <w:t xml:space="preserve"> </w:t>
      </w:r>
    </w:p>
    <w:p w14:paraId="7273B7AF" w14:textId="77777777" w:rsidR="00C73FA4" w:rsidRDefault="00C73FA4" w:rsidP="00C73FA4">
      <w:pPr>
        <w:widowControl w:val="0"/>
        <w:autoSpaceDE w:val="0"/>
        <w:autoSpaceDN w:val="0"/>
        <w:spacing w:after="120" w:line="276" w:lineRule="auto"/>
        <w:ind w:firstLine="726"/>
        <w:jc w:val="both"/>
        <w:rPr>
          <w:rFonts w:ascii="Verdana" w:eastAsia="Arial" w:hAnsi="Verdana" w:cs="Arial"/>
          <w:lang w:val="es-ES"/>
        </w:rPr>
      </w:pPr>
      <w:r>
        <w:rPr>
          <w:rFonts w:ascii="Verdana" w:eastAsia="Arial" w:hAnsi="Verdana" w:cs="Arial"/>
          <w:lang w:val="es-ES"/>
        </w:rPr>
        <w:t>En relación con el primer problema jurídico, teniendo en cuenta los principios antes mencionados de publicidad y transparencia, así como la normativa de la ley 80 de 1993 y del Decreto 1082 de 2015 en cuanto al principio de planeación, las entidades estatales deben publicar un aviso de convocatoria, así como los pliegos de condiciones o la invitación para dar a conocer el proceso de contratación y que los interesados puedan presentarse a través de la plataforma Secop.</w:t>
      </w:r>
    </w:p>
    <w:p w14:paraId="5C5AB6E0" w14:textId="77777777" w:rsidR="00C73FA4" w:rsidRDefault="00C73FA4" w:rsidP="00C73FA4">
      <w:pPr>
        <w:widowControl w:val="0"/>
        <w:autoSpaceDE w:val="0"/>
        <w:autoSpaceDN w:val="0"/>
        <w:spacing w:after="120" w:line="276" w:lineRule="auto"/>
        <w:ind w:firstLine="726"/>
        <w:jc w:val="both"/>
        <w:rPr>
          <w:rFonts w:ascii="Verdana" w:eastAsia="Arial" w:hAnsi="Verdana" w:cs="Arial"/>
          <w:lang w:val="es-ES"/>
        </w:rPr>
      </w:pPr>
      <w:r>
        <w:rPr>
          <w:rFonts w:ascii="Verdana" w:eastAsia="Arial" w:hAnsi="Verdana" w:cs="Arial"/>
          <w:lang w:val="es-ES"/>
        </w:rPr>
        <w:t xml:space="preserve">Así, el aviso de convocatoria para participar en un proceso de contratación debe contener además de los requisitos establecidos para cada modalidad de selección, la siguiente información según el artículo </w:t>
      </w:r>
      <w:bookmarkStart w:id="4" w:name="_Hlk216386731"/>
      <w:r>
        <w:rPr>
          <w:rFonts w:ascii="Verdana" w:eastAsia="Arial" w:hAnsi="Verdana" w:cs="Arial"/>
          <w:lang w:val="es-ES"/>
        </w:rPr>
        <w:t xml:space="preserve">2.2.1.1.2.1.2 </w:t>
      </w:r>
      <w:bookmarkEnd w:id="4"/>
      <w:r>
        <w:rPr>
          <w:rFonts w:ascii="Verdana" w:eastAsia="Arial" w:hAnsi="Verdana" w:cs="Arial"/>
          <w:lang w:val="es-ES"/>
        </w:rPr>
        <w:t>del Decreto 1082 de 2015:</w:t>
      </w:r>
    </w:p>
    <w:p w14:paraId="1F26846C" w14:textId="77777777" w:rsidR="00C73FA4" w:rsidRPr="008934DA" w:rsidRDefault="00C73FA4" w:rsidP="00C73FA4">
      <w:pPr>
        <w:shd w:val="clear" w:color="auto" w:fill="FFFFFF"/>
        <w:spacing w:before="100" w:beforeAutospacing="1" w:after="100" w:afterAutospacing="1" w:line="240" w:lineRule="auto"/>
        <w:ind w:left="709" w:right="191"/>
        <w:jc w:val="both"/>
        <w:rPr>
          <w:rFonts w:ascii="Verdana" w:eastAsia="Times New Roman" w:hAnsi="Verdana" w:cs="Times New Roman"/>
          <w:sz w:val="20"/>
          <w:szCs w:val="20"/>
          <w:lang w:eastAsia="es-CO"/>
        </w:rPr>
      </w:pPr>
      <w:r w:rsidRPr="008934DA">
        <w:rPr>
          <w:rFonts w:ascii="Verdana" w:eastAsia="Times New Roman" w:hAnsi="Verdana" w:cs="Times New Roman"/>
          <w:sz w:val="20"/>
          <w:szCs w:val="20"/>
          <w:lang w:eastAsia="es-CO"/>
        </w:rPr>
        <w:t>1. El nombre y dirección de la Entidad Estatal.</w:t>
      </w:r>
    </w:p>
    <w:p w14:paraId="23B2DCEE" w14:textId="77777777" w:rsidR="00C73FA4" w:rsidRPr="008934DA" w:rsidRDefault="00C73FA4" w:rsidP="00C73FA4">
      <w:pPr>
        <w:shd w:val="clear" w:color="auto" w:fill="FFFFFF"/>
        <w:spacing w:before="100" w:beforeAutospacing="1" w:after="100" w:afterAutospacing="1" w:line="240" w:lineRule="auto"/>
        <w:ind w:left="709" w:right="191"/>
        <w:jc w:val="both"/>
        <w:rPr>
          <w:rFonts w:ascii="Verdana" w:eastAsia="Times New Roman" w:hAnsi="Verdana" w:cs="Times New Roman"/>
          <w:sz w:val="20"/>
          <w:szCs w:val="20"/>
          <w:lang w:eastAsia="es-CO"/>
        </w:rPr>
      </w:pPr>
      <w:bookmarkStart w:id="5" w:name="2.2.1.1.2.1.2.2"/>
      <w:bookmarkEnd w:id="5"/>
      <w:r w:rsidRPr="008934DA">
        <w:rPr>
          <w:rFonts w:ascii="Verdana" w:eastAsia="Times New Roman" w:hAnsi="Verdana" w:cs="Times New Roman"/>
          <w:sz w:val="20"/>
          <w:szCs w:val="20"/>
          <w:lang w:eastAsia="es-CO"/>
        </w:rPr>
        <w:t>2. La dirección, el correo electrónico y el teléfono en donde la Entidad Estatal atenderá a los interesados en el Proceso de Contratación, y la dirección y el correo electrónico en donde los proponentes deben presentar los documentos en desarrollo del Proceso de Contratación.</w:t>
      </w:r>
    </w:p>
    <w:p w14:paraId="1FD26B0F" w14:textId="77777777" w:rsidR="00C73FA4" w:rsidRPr="008934DA" w:rsidRDefault="00C73FA4" w:rsidP="00C73FA4">
      <w:pPr>
        <w:shd w:val="clear" w:color="auto" w:fill="FFFFFF"/>
        <w:spacing w:before="100" w:beforeAutospacing="1" w:after="100" w:afterAutospacing="1" w:line="240" w:lineRule="auto"/>
        <w:ind w:left="709" w:right="191"/>
        <w:jc w:val="both"/>
        <w:rPr>
          <w:rFonts w:ascii="Verdana" w:eastAsia="Times New Roman" w:hAnsi="Verdana" w:cs="Times New Roman"/>
          <w:sz w:val="20"/>
          <w:szCs w:val="20"/>
          <w:lang w:eastAsia="es-CO"/>
        </w:rPr>
      </w:pPr>
      <w:bookmarkStart w:id="6" w:name="2.2.1.1.2.1.2.3"/>
      <w:bookmarkEnd w:id="6"/>
      <w:r w:rsidRPr="008934DA">
        <w:rPr>
          <w:rFonts w:ascii="Verdana" w:eastAsia="Times New Roman" w:hAnsi="Verdana" w:cs="Times New Roman"/>
          <w:sz w:val="20"/>
          <w:szCs w:val="20"/>
          <w:lang w:eastAsia="es-CO"/>
        </w:rPr>
        <w:t>3. El objeto del contrato a celebrar, identificando las cantidades a adquirir.</w:t>
      </w:r>
    </w:p>
    <w:p w14:paraId="6661D4B2" w14:textId="77777777" w:rsidR="00C73FA4" w:rsidRPr="008934DA" w:rsidRDefault="00C73FA4" w:rsidP="00C73FA4">
      <w:pPr>
        <w:shd w:val="clear" w:color="auto" w:fill="FFFFFF"/>
        <w:spacing w:before="100" w:beforeAutospacing="1" w:after="100" w:afterAutospacing="1" w:line="240" w:lineRule="auto"/>
        <w:ind w:left="709" w:right="191"/>
        <w:jc w:val="both"/>
        <w:rPr>
          <w:rFonts w:ascii="Verdana" w:eastAsia="Times New Roman" w:hAnsi="Verdana" w:cs="Times New Roman"/>
          <w:sz w:val="20"/>
          <w:szCs w:val="20"/>
          <w:lang w:eastAsia="es-CO"/>
        </w:rPr>
      </w:pPr>
      <w:bookmarkStart w:id="7" w:name="2.2.1.1.2.1.2.4"/>
      <w:bookmarkEnd w:id="7"/>
      <w:r w:rsidRPr="008934DA">
        <w:rPr>
          <w:rFonts w:ascii="Verdana" w:eastAsia="Times New Roman" w:hAnsi="Verdana" w:cs="Times New Roman"/>
          <w:sz w:val="20"/>
          <w:szCs w:val="20"/>
          <w:lang w:eastAsia="es-CO"/>
        </w:rPr>
        <w:t>4. La modalidad de selección del contratista.</w:t>
      </w:r>
    </w:p>
    <w:p w14:paraId="52299DFC" w14:textId="77777777" w:rsidR="00C73FA4" w:rsidRPr="008934DA" w:rsidRDefault="00C73FA4" w:rsidP="00C73FA4">
      <w:pPr>
        <w:shd w:val="clear" w:color="auto" w:fill="FFFFFF"/>
        <w:spacing w:before="100" w:beforeAutospacing="1" w:after="100" w:afterAutospacing="1" w:line="240" w:lineRule="auto"/>
        <w:ind w:left="709" w:right="191"/>
        <w:jc w:val="both"/>
        <w:rPr>
          <w:rFonts w:ascii="Verdana" w:eastAsia="Times New Roman" w:hAnsi="Verdana" w:cs="Times New Roman"/>
          <w:sz w:val="20"/>
          <w:szCs w:val="20"/>
          <w:lang w:eastAsia="es-CO"/>
        </w:rPr>
      </w:pPr>
      <w:bookmarkStart w:id="8" w:name="2.2.1.1.2.1.2.5"/>
      <w:bookmarkEnd w:id="8"/>
      <w:r w:rsidRPr="008934DA">
        <w:rPr>
          <w:rFonts w:ascii="Verdana" w:eastAsia="Times New Roman" w:hAnsi="Verdana" w:cs="Times New Roman"/>
          <w:sz w:val="20"/>
          <w:szCs w:val="20"/>
          <w:lang w:eastAsia="es-CO"/>
        </w:rPr>
        <w:t>5. El plazo estimado del contrato.</w:t>
      </w:r>
    </w:p>
    <w:p w14:paraId="219EA6EA" w14:textId="77777777" w:rsidR="00C73FA4" w:rsidRPr="008934DA" w:rsidRDefault="00C73FA4" w:rsidP="00C73FA4">
      <w:pPr>
        <w:shd w:val="clear" w:color="auto" w:fill="FFFFFF"/>
        <w:spacing w:before="100" w:beforeAutospacing="1" w:after="100" w:afterAutospacing="1" w:line="240" w:lineRule="auto"/>
        <w:ind w:left="709" w:right="191"/>
        <w:jc w:val="both"/>
        <w:rPr>
          <w:rFonts w:ascii="Verdana" w:eastAsia="Times New Roman" w:hAnsi="Verdana" w:cs="Times New Roman"/>
          <w:sz w:val="20"/>
          <w:szCs w:val="20"/>
          <w:lang w:eastAsia="es-CO"/>
        </w:rPr>
      </w:pPr>
      <w:bookmarkStart w:id="9" w:name="2.2.1.1.2.1.2.6"/>
      <w:bookmarkEnd w:id="9"/>
      <w:r w:rsidRPr="008934DA">
        <w:rPr>
          <w:rFonts w:ascii="Verdana" w:eastAsia="Times New Roman" w:hAnsi="Verdana" w:cs="Times New Roman"/>
          <w:sz w:val="20"/>
          <w:szCs w:val="20"/>
          <w:lang w:eastAsia="es-CO"/>
        </w:rPr>
        <w:t>6. La fecha límite en la cual los interesados deben presentar su oferta y el lugar y forma de presentación de la misma.</w:t>
      </w:r>
    </w:p>
    <w:p w14:paraId="5E7614BB" w14:textId="77777777" w:rsidR="00C73FA4" w:rsidRPr="008934DA" w:rsidRDefault="00C73FA4" w:rsidP="00C73FA4">
      <w:pPr>
        <w:shd w:val="clear" w:color="auto" w:fill="FFFFFF"/>
        <w:spacing w:before="100" w:beforeAutospacing="1" w:after="100" w:afterAutospacing="1" w:line="240" w:lineRule="auto"/>
        <w:ind w:left="709" w:right="191"/>
        <w:jc w:val="both"/>
        <w:rPr>
          <w:rFonts w:ascii="Verdana" w:eastAsia="Times New Roman" w:hAnsi="Verdana" w:cs="Times New Roman"/>
          <w:sz w:val="20"/>
          <w:szCs w:val="20"/>
          <w:lang w:eastAsia="es-CO"/>
        </w:rPr>
      </w:pPr>
      <w:bookmarkStart w:id="10" w:name="2.2.1.1.2.1.2.7"/>
      <w:bookmarkEnd w:id="10"/>
      <w:r w:rsidRPr="008934DA">
        <w:rPr>
          <w:rFonts w:ascii="Verdana" w:eastAsia="Times New Roman" w:hAnsi="Verdana" w:cs="Times New Roman"/>
          <w:sz w:val="20"/>
          <w:szCs w:val="20"/>
          <w:lang w:eastAsia="es-CO"/>
        </w:rPr>
        <w:lastRenderedPageBreak/>
        <w:t>7. El valor estimado del contrato y la manifestación expresa de que la Entidad Estatal cuenta con la disponibilidad presupuestal.</w:t>
      </w:r>
    </w:p>
    <w:p w14:paraId="73062CD6" w14:textId="77777777" w:rsidR="00C73FA4" w:rsidRPr="008934DA" w:rsidRDefault="00C73FA4" w:rsidP="00C73FA4">
      <w:pPr>
        <w:shd w:val="clear" w:color="auto" w:fill="FFFFFF"/>
        <w:spacing w:before="100" w:beforeAutospacing="1" w:after="100" w:afterAutospacing="1" w:line="240" w:lineRule="auto"/>
        <w:ind w:left="709" w:right="191"/>
        <w:jc w:val="both"/>
        <w:rPr>
          <w:rFonts w:ascii="Verdana" w:eastAsia="Times New Roman" w:hAnsi="Verdana" w:cs="Times New Roman"/>
          <w:sz w:val="20"/>
          <w:szCs w:val="20"/>
          <w:lang w:eastAsia="es-CO"/>
        </w:rPr>
      </w:pPr>
      <w:bookmarkStart w:id="11" w:name="2.2.1.1.2.1.2.8"/>
      <w:bookmarkEnd w:id="11"/>
      <w:r w:rsidRPr="008934DA">
        <w:rPr>
          <w:rFonts w:ascii="Verdana" w:eastAsia="Times New Roman" w:hAnsi="Verdana" w:cs="Times New Roman"/>
          <w:sz w:val="20"/>
          <w:szCs w:val="20"/>
          <w:lang w:eastAsia="es-CO"/>
        </w:rPr>
        <w:t>8. Mención de si la contratación está cobijada por un Acuerdo Comercial.</w:t>
      </w:r>
    </w:p>
    <w:p w14:paraId="4EF304F4" w14:textId="77777777" w:rsidR="00C73FA4" w:rsidRPr="008934DA" w:rsidRDefault="00C73FA4" w:rsidP="00C73FA4">
      <w:pPr>
        <w:shd w:val="clear" w:color="auto" w:fill="FFFFFF"/>
        <w:spacing w:before="100" w:beforeAutospacing="1" w:after="100" w:afterAutospacing="1" w:line="240" w:lineRule="auto"/>
        <w:ind w:left="709" w:right="191"/>
        <w:jc w:val="both"/>
        <w:rPr>
          <w:rFonts w:ascii="Verdana" w:eastAsia="Times New Roman" w:hAnsi="Verdana" w:cs="Times New Roman"/>
          <w:sz w:val="20"/>
          <w:szCs w:val="20"/>
          <w:lang w:eastAsia="es-CO"/>
        </w:rPr>
      </w:pPr>
      <w:bookmarkStart w:id="12" w:name="2.2.1.1.2.1.2.9"/>
      <w:bookmarkEnd w:id="12"/>
      <w:r w:rsidRPr="008934DA">
        <w:rPr>
          <w:rFonts w:ascii="Verdana" w:eastAsia="Times New Roman" w:hAnsi="Verdana" w:cs="Times New Roman"/>
          <w:sz w:val="20"/>
          <w:szCs w:val="20"/>
          <w:lang w:eastAsia="es-CO"/>
        </w:rPr>
        <w:t>9. Mención de si la convocatoria es susceptible de ser limitada a Mipyme.</w:t>
      </w:r>
    </w:p>
    <w:p w14:paraId="5C11DE2E" w14:textId="77777777" w:rsidR="00C73FA4" w:rsidRPr="008934DA" w:rsidRDefault="00C73FA4" w:rsidP="00C73FA4">
      <w:pPr>
        <w:shd w:val="clear" w:color="auto" w:fill="FFFFFF"/>
        <w:spacing w:before="100" w:beforeAutospacing="1" w:after="100" w:afterAutospacing="1" w:line="240" w:lineRule="auto"/>
        <w:ind w:left="709" w:right="191"/>
        <w:jc w:val="both"/>
        <w:rPr>
          <w:rFonts w:ascii="Verdana" w:eastAsia="Times New Roman" w:hAnsi="Verdana" w:cs="Times New Roman"/>
          <w:sz w:val="20"/>
          <w:szCs w:val="20"/>
          <w:lang w:eastAsia="es-CO"/>
        </w:rPr>
      </w:pPr>
      <w:bookmarkStart w:id="13" w:name="2.2.1.1.2.1.2.10"/>
      <w:bookmarkEnd w:id="13"/>
      <w:r w:rsidRPr="008934DA">
        <w:rPr>
          <w:rFonts w:ascii="Verdana" w:eastAsia="Times New Roman" w:hAnsi="Verdana" w:cs="Times New Roman"/>
          <w:sz w:val="20"/>
          <w:szCs w:val="20"/>
          <w:lang w:eastAsia="es-CO"/>
        </w:rPr>
        <w:t>10. Enumeración y breve descripción de las condiciones para participar en el Proceso de Contratación.</w:t>
      </w:r>
    </w:p>
    <w:p w14:paraId="348566E0" w14:textId="77777777" w:rsidR="00C73FA4" w:rsidRPr="008934DA" w:rsidRDefault="00C73FA4" w:rsidP="00C73FA4">
      <w:pPr>
        <w:shd w:val="clear" w:color="auto" w:fill="FFFFFF"/>
        <w:spacing w:before="100" w:beforeAutospacing="1" w:after="100" w:afterAutospacing="1" w:line="240" w:lineRule="auto"/>
        <w:ind w:left="709" w:right="191"/>
        <w:jc w:val="both"/>
        <w:rPr>
          <w:rFonts w:ascii="Verdana" w:eastAsia="Times New Roman" w:hAnsi="Verdana" w:cs="Times New Roman"/>
          <w:sz w:val="20"/>
          <w:szCs w:val="20"/>
          <w:lang w:eastAsia="es-CO"/>
        </w:rPr>
      </w:pPr>
      <w:bookmarkStart w:id="14" w:name="2.2.1.1.2.1.2.11"/>
      <w:bookmarkEnd w:id="14"/>
      <w:r w:rsidRPr="008934DA">
        <w:rPr>
          <w:rFonts w:ascii="Verdana" w:eastAsia="Times New Roman" w:hAnsi="Verdana" w:cs="Times New Roman"/>
          <w:sz w:val="20"/>
          <w:szCs w:val="20"/>
          <w:lang w:eastAsia="es-CO"/>
        </w:rPr>
        <w:t>11. Indicar si en el Proceso de Contratación hay lugar a precalificación.</w:t>
      </w:r>
    </w:p>
    <w:p w14:paraId="7CC862E2" w14:textId="77777777" w:rsidR="00C73FA4" w:rsidRPr="008934DA" w:rsidRDefault="00C73FA4" w:rsidP="00C73FA4">
      <w:pPr>
        <w:shd w:val="clear" w:color="auto" w:fill="FFFFFF"/>
        <w:spacing w:before="100" w:beforeAutospacing="1" w:after="100" w:afterAutospacing="1" w:line="240" w:lineRule="auto"/>
        <w:ind w:left="709" w:right="191"/>
        <w:jc w:val="both"/>
        <w:rPr>
          <w:rFonts w:ascii="Verdana" w:eastAsia="Times New Roman" w:hAnsi="Verdana" w:cs="Times New Roman"/>
          <w:sz w:val="20"/>
          <w:szCs w:val="20"/>
          <w:lang w:eastAsia="es-CO"/>
        </w:rPr>
      </w:pPr>
      <w:bookmarkStart w:id="15" w:name="2.2.1.1.2.1.2.12"/>
      <w:bookmarkEnd w:id="15"/>
      <w:r w:rsidRPr="008934DA">
        <w:rPr>
          <w:rFonts w:ascii="Verdana" w:eastAsia="Times New Roman" w:hAnsi="Verdana" w:cs="Times New Roman"/>
          <w:sz w:val="20"/>
          <w:szCs w:val="20"/>
          <w:lang w:eastAsia="es-CO"/>
        </w:rPr>
        <w:t>12. El Cronograma.</w:t>
      </w:r>
    </w:p>
    <w:p w14:paraId="2E866B31" w14:textId="77777777" w:rsidR="00C73FA4" w:rsidRPr="008934DA" w:rsidRDefault="00C73FA4" w:rsidP="00C73FA4">
      <w:pPr>
        <w:shd w:val="clear" w:color="auto" w:fill="FFFFFF"/>
        <w:spacing w:before="100" w:beforeAutospacing="1" w:after="100" w:afterAutospacing="1" w:line="240" w:lineRule="auto"/>
        <w:ind w:left="709" w:right="191"/>
        <w:jc w:val="both"/>
        <w:rPr>
          <w:rFonts w:ascii="Verdana" w:eastAsia="Times New Roman" w:hAnsi="Verdana" w:cs="Times New Roman"/>
          <w:sz w:val="20"/>
          <w:szCs w:val="20"/>
          <w:lang w:eastAsia="es-CO"/>
        </w:rPr>
      </w:pPr>
      <w:bookmarkStart w:id="16" w:name="2.2.1.1.2.1.2.13"/>
      <w:bookmarkEnd w:id="16"/>
      <w:r w:rsidRPr="008934DA">
        <w:rPr>
          <w:rFonts w:ascii="Verdana" w:eastAsia="Times New Roman" w:hAnsi="Verdana" w:cs="Times New Roman"/>
          <w:sz w:val="20"/>
          <w:szCs w:val="20"/>
          <w:lang w:eastAsia="es-CO"/>
        </w:rPr>
        <w:t>13. La forma como los interesados pueden consultar los Documentos del Proceso.</w:t>
      </w:r>
    </w:p>
    <w:p w14:paraId="75CB10A3" w14:textId="77777777" w:rsidR="00C73FA4" w:rsidRPr="008934DA" w:rsidRDefault="00C73FA4" w:rsidP="00C73FA4">
      <w:pPr>
        <w:shd w:val="clear" w:color="auto" w:fill="FFFFFF"/>
        <w:spacing w:before="100" w:beforeAutospacing="1" w:after="100" w:afterAutospacing="1" w:line="240" w:lineRule="auto"/>
        <w:ind w:left="709" w:right="191"/>
        <w:jc w:val="both"/>
        <w:rPr>
          <w:rFonts w:ascii="Verdana" w:eastAsia="Times New Roman" w:hAnsi="Verdana" w:cs="Times New Roman"/>
          <w:sz w:val="20"/>
          <w:szCs w:val="20"/>
          <w:lang w:eastAsia="es-CO"/>
        </w:rPr>
      </w:pPr>
      <w:r w:rsidRPr="008934DA">
        <w:rPr>
          <w:rFonts w:ascii="Verdana" w:eastAsia="Times New Roman" w:hAnsi="Verdana" w:cs="Times New Roman"/>
          <w:sz w:val="20"/>
          <w:szCs w:val="20"/>
          <w:lang w:eastAsia="es-CO"/>
        </w:rPr>
        <w:t>En los Procesos de Contratación adelantados bajo las modalidades de selección de mínima cuantía y contratación directa, no es necesaria la expedición y publicación del aviso de convocatoria en el SECOP.</w:t>
      </w:r>
    </w:p>
    <w:p w14:paraId="0A4A3541" w14:textId="77777777" w:rsidR="00C73FA4" w:rsidRPr="008934DA" w:rsidRDefault="00C73FA4" w:rsidP="00C73FA4">
      <w:pPr>
        <w:shd w:val="clear" w:color="auto" w:fill="FFFFFF"/>
        <w:spacing w:before="100" w:beforeAutospacing="1" w:after="100" w:afterAutospacing="1" w:line="240" w:lineRule="auto"/>
        <w:ind w:right="191"/>
        <w:jc w:val="both"/>
        <w:rPr>
          <w:rFonts w:ascii="Verdana" w:eastAsia="Times New Roman" w:hAnsi="Verdana" w:cs="Times New Roman"/>
          <w:lang w:eastAsia="es-CO"/>
        </w:rPr>
      </w:pPr>
      <w:r w:rsidRPr="008934DA">
        <w:rPr>
          <w:rFonts w:ascii="Verdana" w:eastAsia="Times New Roman" w:hAnsi="Verdana" w:cs="Times New Roman"/>
          <w:lang w:eastAsia="es-CO"/>
        </w:rPr>
        <w:t xml:space="preserve">Por su parte, el artículo </w:t>
      </w:r>
      <w:bookmarkStart w:id="17" w:name="_Hlk216386744"/>
      <w:r w:rsidRPr="008934DA">
        <w:rPr>
          <w:rFonts w:ascii="Verdana" w:eastAsia="Times New Roman" w:hAnsi="Verdana" w:cs="Times New Roman"/>
          <w:lang w:eastAsia="es-CO"/>
        </w:rPr>
        <w:t xml:space="preserve">2.2.1.1.2.1.3 </w:t>
      </w:r>
      <w:bookmarkEnd w:id="17"/>
      <w:r w:rsidRPr="008934DA">
        <w:rPr>
          <w:rFonts w:ascii="Verdana" w:eastAsia="Times New Roman" w:hAnsi="Verdana" w:cs="Times New Roman"/>
          <w:lang w:eastAsia="es-CO"/>
        </w:rPr>
        <w:t>del Decreto 1082 de 2015 establece los requisitos mínimos del pliego de condiciones como sigue:</w:t>
      </w:r>
    </w:p>
    <w:p w14:paraId="5BE9B1CA" w14:textId="77777777" w:rsidR="00C73FA4" w:rsidRPr="008934DA" w:rsidRDefault="00C73FA4" w:rsidP="00C73FA4">
      <w:pPr>
        <w:shd w:val="clear" w:color="auto" w:fill="FFFFFF"/>
        <w:spacing w:before="100" w:beforeAutospacing="1" w:after="100" w:afterAutospacing="1" w:line="240" w:lineRule="auto"/>
        <w:ind w:left="709" w:right="49"/>
        <w:rPr>
          <w:rFonts w:ascii="Verdana" w:eastAsia="Times New Roman" w:hAnsi="Verdana" w:cs="Times New Roman"/>
          <w:sz w:val="20"/>
          <w:szCs w:val="20"/>
          <w:lang w:eastAsia="es-CO"/>
        </w:rPr>
      </w:pPr>
      <w:r w:rsidRPr="008934DA">
        <w:rPr>
          <w:rFonts w:ascii="Verdana" w:eastAsia="Times New Roman" w:hAnsi="Verdana" w:cs="Times New Roman"/>
          <w:sz w:val="20"/>
          <w:szCs w:val="20"/>
          <w:lang w:eastAsia="es-CO"/>
        </w:rPr>
        <w:t>1. La descripción técnica, detallada y completa del bien o servicio objeto del contrato, identificado con el cuarto nivel del Clasificador de Bienes y Servicios, de ser posible o de lo contrario con el tercer nivel del mismo.</w:t>
      </w:r>
    </w:p>
    <w:p w14:paraId="2F566E8C" w14:textId="77777777" w:rsidR="00C73FA4" w:rsidRPr="008934DA" w:rsidRDefault="00C73FA4" w:rsidP="00C73FA4">
      <w:pPr>
        <w:shd w:val="clear" w:color="auto" w:fill="FFFFFF"/>
        <w:spacing w:before="100" w:beforeAutospacing="1" w:after="100" w:afterAutospacing="1" w:line="240" w:lineRule="auto"/>
        <w:ind w:left="709" w:right="49"/>
        <w:rPr>
          <w:rFonts w:ascii="Verdana" w:eastAsia="Times New Roman" w:hAnsi="Verdana" w:cs="Times New Roman"/>
          <w:sz w:val="20"/>
          <w:szCs w:val="20"/>
          <w:lang w:eastAsia="es-CO"/>
        </w:rPr>
      </w:pPr>
      <w:bookmarkStart w:id="18" w:name="2.2.1.1.2.1.3.2"/>
      <w:bookmarkEnd w:id="18"/>
      <w:r w:rsidRPr="008934DA">
        <w:rPr>
          <w:rFonts w:ascii="Verdana" w:eastAsia="Times New Roman" w:hAnsi="Verdana" w:cs="Times New Roman"/>
          <w:sz w:val="20"/>
          <w:szCs w:val="20"/>
          <w:lang w:eastAsia="es-CO"/>
        </w:rPr>
        <w:t>2. La modalidad del proceso de selección y su justificación.</w:t>
      </w:r>
    </w:p>
    <w:p w14:paraId="21DBB45F" w14:textId="77777777" w:rsidR="00C73FA4" w:rsidRPr="008934DA" w:rsidRDefault="00C73FA4" w:rsidP="00C73FA4">
      <w:pPr>
        <w:shd w:val="clear" w:color="auto" w:fill="FFFFFF"/>
        <w:spacing w:before="100" w:beforeAutospacing="1" w:after="100" w:afterAutospacing="1" w:line="240" w:lineRule="auto"/>
        <w:ind w:left="709" w:right="49"/>
        <w:rPr>
          <w:rFonts w:ascii="Verdana" w:eastAsia="Times New Roman" w:hAnsi="Verdana" w:cs="Times New Roman"/>
          <w:sz w:val="20"/>
          <w:szCs w:val="20"/>
          <w:lang w:eastAsia="es-CO"/>
        </w:rPr>
      </w:pPr>
      <w:bookmarkStart w:id="19" w:name="2.2.1.1.2.1.3.3"/>
      <w:bookmarkEnd w:id="19"/>
      <w:r w:rsidRPr="008934DA">
        <w:rPr>
          <w:rFonts w:ascii="Verdana" w:eastAsia="Times New Roman" w:hAnsi="Verdana" w:cs="Times New Roman"/>
          <w:sz w:val="20"/>
          <w:szCs w:val="20"/>
          <w:lang w:eastAsia="es-CO"/>
        </w:rPr>
        <w:t>3. Los criterios de selección, incluyendo los factores de desempate y los incentivos cuando a ello haya lugar.</w:t>
      </w:r>
    </w:p>
    <w:p w14:paraId="04A36D3E" w14:textId="77777777" w:rsidR="00C73FA4" w:rsidRPr="008934DA" w:rsidRDefault="00C73FA4" w:rsidP="00C73FA4">
      <w:pPr>
        <w:shd w:val="clear" w:color="auto" w:fill="FFFFFF"/>
        <w:spacing w:before="100" w:beforeAutospacing="1" w:after="100" w:afterAutospacing="1" w:line="240" w:lineRule="auto"/>
        <w:ind w:left="709" w:right="49"/>
        <w:rPr>
          <w:rFonts w:ascii="Verdana" w:eastAsia="Times New Roman" w:hAnsi="Verdana" w:cs="Times New Roman"/>
          <w:sz w:val="20"/>
          <w:szCs w:val="20"/>
          <w:lang w:eastAsia="es-CO"/>
        </w:rPr>
      </w:pPr>
      <w:bookmarkStart w:id="20" w:name="2.2.1.1.2.1.3.4"/>
      <w:bookmarkEnd w:id="20"/>
      <w:r w:rsidRPr="008934DA">
        <w:rPr>
          <w:rFonts w:ascii="Verdana" w:eastAsia="Times New Roman" w:hAnsi="Verdana" w:cs="Times New Roman"/>
          <w:sz w:val="20"/>
          <w:szCs w:val="20"/>
          <w:lang w:eastAsia="es-CO"/>
        </w:rPr>
        <w:t>4. Las condiciones de costo y/o calidad que la Entidad Estatal debe tener en cuenta para la selección objetiva, de acuerdo con la modalidad de selección del contratista.</w:t>
      </w:r>
    </w:p>
    <w:p w14:paraId="0CA29701" w14:textId="77777777" w:rsidR="00C73FA4" w:rsidRPr="008934DA" w:rsidRDefault="00C73FA4" w:rsidP="00C73FA4">
      <w:pPr>
        <w:shd w:val="clear" w:color="auto" w:fill="FFFFFF"/>
        <w:spacing w:before="100" w:beforeAutospacing="1" w:after="100" w:afterAutospacing="1" w:line="240" w:lineRule="auto"/>
        <w:ind w:left="709" w:right="49"/>
        <w:rPr>
          <w:rFonts w:ascii="Verdana" w:eastAsia="Times New Roman" w:hAnsi="Verdana" w:cs="Times New Roman"/>
          <w:sz w:val="20"/>
          <w:szCs w:val="20"/>
          <w:lang w:eastAsia="es-CO"/>
        </w:rPr>
      </w:pPr>
      <w:bookmarkStart w:id="21" w:name="2.2.1.1.2.1.3.5"/>
      <w:bookmarkEnd w:id="21"/>
      <w:r w:rsidRPr="008934DA">
        <w:rPr>
          <w:rFonts w:ascii="Verdana" w:eastAsia="Times New Roman" w:hAnsi="Verdana" w:cs="Times New Roman"/>
          <w:sz w:val="20"/>
          <w:szCs w:val="20"/>
          <w:lang w:eastAsia="es-CO"/>
        </w:rPr>
        <w:t>5. Las reglas aplicables a la presentación de las ofertas, su evaluación y a la adjudicación del contrato.</w:t>
      </w:r>
    </w:p>
    <w:p w14:paraId="5487ACAC" w14:textId="77777777" w:rsidR="00C73FA4" w:rsidRPr="008934DA" w:rsidRDefault="00C73FA4" w:rsidP="00C73FA4">
      <w:pPr>
        <w:shd w:val="clear" w:color="auto" w:fill="FFFFFF"/>
        <w:spacing w:before="100" w:beforeAutospacing="1" w:after="100" w:afterAutospacing="1" w:line="240" w:lineRule="auto"/>
        <w:ind w:left="709" w:right="49"/>
        <w:rPr>
          <w:rFonts w:ascii="Verdana" w:eastAsia="Times New Roman" w:hAnsi="Verdana" w:cs="Times New Roman"/>
          <w:sz w:val="20"/>
          <w:szCs w:val="20"/>
          <w:lang w:eastAsia="es-CO"/>
        </w:rPr>
      </w:pPr>
      <w:bookmarkStart w:id="22" w:name="2.2.1.1.2.1.3.6"/>
      <w:bookmarkEnd w:id="22"/>
      <w:r w:rsidRPr="008934DA">
        <w:rPr>
          <w:rFonts w:ascii="Verdana" w:eastAsia="Times New Roman" w:hAnsi="Verdana" w:cs="Times New Roman"/>
          <w:sz w:val="20"/>
          <w:szCs w:val="20"/>
          <w:lang w:eastAsia="es-CO"/>
        </w:rPr>
        <w:t>6. Las causas que dan lugar a rechazar una oferta.</w:t>
      </w:r>
    </w:p>
    <w:p w14:paraId="73F81BDF" w14:textId="77777777" w:rsidR="00C73FA4" w:rsidRPr="008934DA" w:rsidRDefault="00C73FA4" w:rsidP="00C73FA4">
      <w:pPr>
        <w:shd w:val="clear" w:color="auto" w:fill="FFFFFF"/>
        <w:spacing w:before="100" w:beforeAutospacing="1" w:after="100" w:afterAutospacing="1" w:line="240" w:lineRule="auto"/>
        <w:ind w:left="709" w:right="49"/>
        <w:rPr>
          <w:rFonts w:ascii="Verdana" w:eastAsia="Times New Roman" w:hAnsi="Verdana" w:cs="Times New Roman"/>
          <w:sz w:val="20"/>
          <w:szCs w:val="20"/>
          <w:lang w:eastAsia="es-CO"/>
        </w:rPr>
      </w:pPr>
      <w:bookmarkStart w:id="23" w:name="2.2.1.1.2.1.3.7"/>
      <w:bookmarkEnd w:id="23"/>
      <w:r w:rsidRPr="008934DA">
        <w:rPr>
          <w:rFonts w:ascii="Verdana" w:eastAsia="Times New Roman" w:hAnsi="Verdana" w:cs="Times New Roman"/>
          <w:sz w:val="20"/>
          <w:szCs w:val="20"/>
          <w:lang w:eastAsia="es-CO"/>
        </w:rPr>
        <w:lastRenderedPageBreak/>
        <w:t>7. El valor del contrato, el plazo, el cronograma de pagos y la determinación de si debe haber lugar a la entrega de anticipo, y si hubiere, indicar su valor, el cual debe tener en cuenta los rendimientos que este pueda generar.</w:t>
      </w:r>
    </w:p>
    <w:p w14:paraId="10522E9A" w14:textId="77777777" w:rsidR="00C73FA4" w:rsidRPr="008934DA" w:rsidRDefault="00C73FA4" w:rsidP="00C73FA4">
      <w:pPr>
        <w:shd w:val="clear" w:color="auto" w:fill="FFFFFF"/>
        <w:spacing w:before="100" w:beforeAutospacing="1" w:after="100" w:afterAutospacing="1" w:line="240" w:lineRule="auto"/>
        <w:ind w:left="709" w:right="49"/>
        <w:rPr>
          <w:rFonts w:ascii="Verdana" w:eastAsia="Times New Roman" w:hAnsi="Verdana" w:cs="Times New Roman"/>
          <w:sz w:val="20"/>
          <w:szCs w:val="20"/>
          <w:lang w:eastAsia="es-CO"/>
        </w:rPr>
      </w:pPr>
      <w:bookmarkStart w:id="24" w:name="2.2.1.1.2.1.3.8"/>
      <w:bookmarkEnd w:id="24"/>
      <w:r w:rsidRPr="008934DA">
        <w:rPr>
          <w:rFonts w:ascii="Verdana" w:eastAsia="Times New Roman" w:hAnsi="Verdana" w:cs="Times New Roman"/>
          <w:sz w:val="20"/>
          <w:szCs w:val="20"/>
          <w:lang w:eastAsia="es-CO"/>
        </w:rPr>
        <w:t>8. Los Riesgos asociados al contrato, la forma de mitigarlos y la asignación del Riesgo entre las partes contratantes.</w:t>
      </w:r>
    </w:p>
    <w:p w14:paraId="3BD295B3" w14:textId="77777777" w:rsidR="00C73FA4" w:rsidRPr="008934DA" w:rsidRDefault="00C73FA4" w:rsidP="00C73FA4">
      <w:pPr>
        <w:shd w:val="clear" w:color="auto" w:fill="FFFFFF"/>
        <w:spacing w:before="100" w:beforeAutospacing="1" w:after="100" w:afterAutospacing="1" w:line="240" w:lineRule="auto"/>
        <w:ind w:left="709" w:right="49"/>
        <w:rPr>
          <w:rFonts w:ascii="Verdana" w:eastAsia="Times New Roman" w:hAnsi="Verdana" w:cs="Times New Roman"/>
          <w:sz w:val="20"/>
          <w:szCs w:val="20"/>
          <w:lang w:eastAsia="es-CO"/>
        </w:rPr>
      </w:pPr>
      <w:bookmarkStart w:id="25" w:name="2.2.1.1.2.1.3.9"/>
      <w:bookmarkEnd w:id="25"/>
      <w:r w:rsidRPr="008934DA">
        <w:rPr>
          <w:rFonts w:ascii="Verdana" w:eastAsia="Times New Roman" w:hAnsi="Verdana" w:cs="Times New Roman"/>
          <w:sz w:val="20"/>
          <w:szCs w:val="20"/>
          <w:lang w:eastAsia="es-CO"/>
        </w:rPr>
        <w:t>9. Las garantías exigidas en el Proceso de Contratación y sus condiciones.</w:t>
      </w:r>
    </w:p>
    <w:p w14:paraId="18C5C002" w14:textId="77777777" w:rsidR="00C73FA4" w:rsidRPr="008934DA" w:rsidRDefault="00C73FA4" w:rsidP="00C73FA4">
      <w:pPr>
        <w:shd w:val="clear" w:color="auto" w:fill="FFFFFF"/>
        <w:spacing w:before="100" w:beforeAutospacing="1" w:after="100" w:afterAutospacing="1" w:line="240" w:lineRule="auto"/>
        <w:ind w:left="709" w:right="49"/>
        <w:rPr>
          <w:rFonts w:ascii="Verdana" w:eastAsia="Times New Roman" w:hAnsi="Verdana" w:cs="Times New Roman"/>
          <w:sz w:val="20"/>
          <w:szCs w:val="20"/>
          <w:lang w:eastAsia="es-CO"/>
        </w:rPr>
      </w:pPr>
      <w:bookmarkStart w:id="26" w:name="2.2.1.1.2.1.3.10"/>
      <w:bookmarkEnd w:id="26"/>
      <w:r w:rsidRPr="008934DA">
        <w:rPr>
          <w:rFonts w:ascii="Verdana" w:eastAsia="Times New Roman" w:hAnsi="Verdana" w:cs="Times New Roman"/>
          <w:sz w:val="20"/>
          <w:szCs w:val="20"/>
          <w:lang w:eastAsia="es-CO"/>
        </w:rPr>
        <w:t>10. La mención de si la Entidad Estatal y el contrato objeto de los pliegos de condiciones están cubiertos por un Acuerdo Comercial.</w:t>
      </w:r>
    </w:p>
    <w:p w14:paraId="7563C73E" w14:textId="77777777" w:rsidR="00C73FA4" w:rsidRPr="008934DA" w:rsidRDefault="00C73FA4" w:rsidP="00C73FA4">
      <w:pPr>
        <w:shd w:val="clear" w:color="auto" w:fill="FFFFFF"/>
        <w:spacing w:before="100" w:beforeAutospacing="1" w:after="100" w:afterAutospacing="1" w:line="240" w:lineRule="auto"/>
        <w:ind w:left="709" w:right="49"/>
        <w:rPr>
          <w:rFonts w:ascii="Verdana" w:eastAsia="Times New Roman" w:hAnsi="Verdana" w:cs="Times New Roman"/>
          <w:sz w:val="20"/>
          <w:szCs w:val="20"/>
          <w:lang w:eastAsia="es-CO"/>
        </w:rPr>
      </w:pPr>
      <w:bookmarkStart w:id="27" w:name="2.2.1.1.2.1.3.11"/>
      <w:bookmarkEnd w:id="27"/>
      <w:r w:rsidRPr="008934DA">
        <w:rPr>
          <w:rFonts w:ascii="Verdana" w:eastAsia="Times New Roman" w:hAnsi="Verdana" w:cs="Times New Roman"/>
          <w:sz w:val="20"/>
          <w:szCs w:val="20"/>
          <w:lang w:eastAsia="es-CO"/>
        </w:rPr>
        <w:t>11. Los términos, condiciones y minuta del contrato.</w:t>
      </w:r>
    </w:p>
    <w:p w14:paraId="0FDF9069" w14:textId="77777777" w:rsidR="00C73FA4" w:rsidRPr="008934DA" w:rsidRDefault="00C73FA4" w:rsidP="00C73FA4">
      <w:pPr>
        <w:shd w:val="clear" w:color="auto" w:fill="FFFFFF"/>
        <w:spacing w:before="100" w:beforeAutospacing="1" w:after="100" w:afterAutospacing="1" w:line="240" w:lineRule="auto"/>
        <w:ind w:left="709" w:right="49"/>
        <w:rPr>
          <w:rFonts w:ascii="Verdana" w:eastAsia="Times New Roman" w:hAnsi="Verdana" w:cs="Times New Roman"/>
          <w:sz w:val="20"/>
          <w:szCs w:val="20"/>
          <w:lang w:eastAsia="es-CO"/>
        </w:rPr>
      </w:pPr>
      <w:bookmarkStart w:id="28" w:name="2.2.1.1.2.1.3.12"/>
      <w:bookmarkEnd w:id="28"/>
      <w:r w:rsidRPr="008934DA">
        <w:rPr>
          <w:rFonts w:ascii="Verdana" w:eastAsia="Times New Roman" w:hAnsi="Verdana" w:cs="Times New Roman"/>
          <w:sz w:val="20"/>
          <w:szCs w:val="20"/>
          <w:lang w:eastAsia="es-CO"/>
        </w:rPr>
        <w:t>12. Los términos de la supervisión y/o de la interventoría del contrato.</w:t>
      </w:r>
    </w:p>
    <w:p w14:paraId="0EB3BB6D" w14:textId="77777777" w:rsidR="00C73FA4" w:rsidRPr="008934DA" w:rsidRDefault="00C73FA4" w:rsidP="00C73FA4">
      <w:pPr>
        <w:shd w:val="clear" w:color="auto" w:fill="FFFFFF"/>
        <w:spacing w:before="100" w:beforeAutospacing="1" w:after="100" w:afterAutospacing="1" w:line="240" w:lineRule="auto"/>
        <w:ind w:left="709" w:right="49"/>
        <w:rPr>
          <w:rFonts w:ascii="Verdana" w:eastAsia="Times New Roman" w:hAnsi="Verdana" w:cs="Times New Roman"/>
          <w:sz w:val="20"/>
          <w:szCs w:val="20"/>
          <w:lang w:eastAsia="es-CO"/>
        </w:rPr>
      </w:pPr>
      <w:bookmarkStart w:id="29" w:name="2.2.1.1.2.1.3.13"/>
      <w:bookmarkEnd w:id="29"/>
      <w:r w:rsidRPr="008934DA">
        <w:rPr>
          <w:rFonts w:ascii="Verdana" w:eastAsia="Times New Roman" w:hAnsi="Verdana" w:cs="Times New Roman"/>
          <w:sz w:val="20"/>
          <w:szCs w:val="20"/>
          <w:lang w:eastAsia="es-CO"/>
        </w:rPr>
        <w:t>13. El plazo dentro del cual la Entidad Estatal puede expedir Adendas.</w:t>
      </w:r>
    </w:p>
    <w:p w14:paraId="202A0FAE" w14:textId="77777777" w:rsidR="00C73FA4" w:rsidRPr="008934DA" w:rsidRDefault="00C73FA4" w:rsidP="00C73FA4">
      <w:pPr>
        <w:shd w:val="clear" w:color="auto" w:fill="FFFFFF"/>
        <w:spacing w:before="100" w:beforeAutospacing="1" w:after="100" w:afterAutospacing="1" w:line="240" w:lineRule="auto"/>
        <w:ind w:left="709" w:right="49"/>
        <w:rPr>
          <w:rFonts w:ascii="Verdana" w:eastAsia="Times New Roman" w:hAnsi="Verdana" w:cs="Times New Roman"/>
          <w:sz w:val="20"/>
          <w:szCs w:val="20"/>
          <w:lang w:eastAsia="es-CO"/>
        </w:rPr>
      </w:pPr>
      <w:bookmarkStart w:id="30" w:name="2.2.1.1.2.1.3.14"/>
      <w:bookmarkEnd w:id="30"/>
      <w:r w:rsidRPr="008934DA">
        <w:rPr>
          <w:rFonts w:ascii="Verdana" w:eastAsia="Times New Roman" w:hAnsi="Verdana" w:cs="Times New Roman"/>
          <w:sz w:val="20"/>
          <w:szCs w:val="20"/>
          <w:lang w:eastAsia="es-CO"/>
        </w:rPr>
        <w:t>14. El Cronograma.</w:t>
      </w:r>
    </w:p>
    <w:p w14:paraId="08A839D7" w14:textId="77777777" w:rsidR="00C73FA4" w:rsidRPr="003F20DD" w:rsidRDefault="00C73FA4" w:rsidP="00C73FA4">
      <w:pPr>
        <w:shd w:val="clear" w:color="auto" w:fill="FFFFFF"/>
        <w:spacing w:before="100" w:beforeAutospacing="1" w:after="100" w:afterAutospacing="1" w:line="240" w:lineRule="auto"/>
        <w:ind w:right="191"/>
        <w:jc w:val="both"/>
        <w:rPr>
          <w:rFonts w:ascii="Verdana" w:eastAsia="Times New Roman" w:hAnsi="Verdana" w:cs="Times New Roman"/>
          <w:lang w:eastAsia="es-CO"/>
        </w:rPr>
      </w:pPr>
      <w:r w:rsidRPr="003F20DD">
        <w:rPr>
          <w:rFonts w:ascii="Verdana" w:eastAsia="Times New Roman" w:hAnsi="Verdana" w:cs="Times New Roman"/>
          <w:lang w:eastAsia="es-CO"/>
        </w:rPr>
        <w:t xml:space="preserve">Ahora bien, en algunas modalidades como la de mínima cuantía no se usan pliegos de condiciones sino una invitación pública a participar del proceso de contratación que según el artículo </w:t>
      </w:r>
      <w:bookmarkStart w:id="31" w:name="_Hlk216386761"/>
      <w:r w:rsidRPr="003F20DD">
        <w:rPr>
          <w:rFonts w:ascii="Verdana" w:eastAsia="Times New Roman" w:hAnsi="Verdana" w:cs="Times New Roman"/>
          <w:lang w:eastAsia="es-CO"/>
        </w:rPr>
        <w:t xml:space="preserve">2.2.1.2.1.5.2 </w:t>
      </w:r>
      <w:bookmarkEnd w:id="31"/>
      <w:r w:rsidRPr="003F20DD">
        <w:rPr>
          <w:rFonts w:ascii="Verdana" w:eastAsia="Times New Roman" w:hAnsi="Verdana" w:cs="Times New Roman"/>
          <w:lang w:eastAsia="es-CO"/>
        </w:rPr>
        <w:t>del Decreto 1082 de 2015 y el Manual de la Modalidad de Selección de Mínima Cuantía de la Agencia debe contener:</w:t>
      </w:r>
    </w:p>
    <w:p w14:paraId="38BFA65A" w14:textId="77777777" w:rsidR="00C73FA4" w:rsidRPr="003F20DD" w:rsidRDefault="00C73FA4" w:rsidP="00C73FA4">
      <w:pPr>
        <w:pStyle w:val="Prrafodelista"/>
        <w:numPr>
          <w:ilvl w:val="0"/>
          <w:numId w:val="18"/>
        </w:numPr>
        <w:shd w:val="clear" w:color="auto" w:fill="FFFFFF"/>
        <w:spacing w:before="100" w:beforeAutospacing="1" w:after="100" w:afterAutospacing="1" w:line="240" w:lineRule="auto"/>
        <w:ind w:right="191"/>
        <w:jc w:val="both"/>
        <w:rPr>
          <w:rFonts w:ascii="Verdana" w:eastAsia="Times New Roman" w:hAnsi="Verdana" w:cs="Times New Roman"/>
          <w:sz w:val="20"/>
          <w:szCs w:val="20"/>
          <w:lang w:val="es-CO" w:eastAsia="es-CO"/>
        </w:rPr>
      </w:pPr>
      <w:r w:rsidRPr="003F20DD">
        <w:rPr>
          <w:rFonts w:ascii="Verdana" w:hAnsi="Verdana"/>
          <w:sz w:val="20"/>
          <w:szCs w:val="20"/>
        </w:rPr>
        <w:t xml:space="preserve">La descripción del objeto a contratar identificado con el cuarto nivel del Clasificador de Bienes y Servicios, de ser posible, o de lo contrario con el tercer nivel. </w:t>
      </w:r>
    </w:p>
    <w:p w14:paraId="2B5D9BD8" w14:textId="77777777" w:rsidR="00C73FA4" w:rsidRPr="003F20DD" w:rsidRDefault="00C73FA4" w:rsidP="00C73FA4">
      <w:pPr>
        <w:pStyle w:val="Prrafodelista"/>
        <w:numPr>
          <w:ilvl w:val="0"/>
          <w:numId w:val="18"/>
        </w:numPr>
        <w:shd w:val="clear" w:color="auto" w:fill="FFFFFF"/>
        <w:spacing w:before="100" w:beforeAutospacing="1" w:after="100" w:afterAutospacing="1" w:line="240" w:lineRule="auto"/>
        <w:ind w:right="191"/>
        <w:jc w:val="both"/>
        <w:rPr>
          <w:rFonts w:ascii="Verdana" w:eastAsia="Times New Roman" w:hAnsi="Verdana" w:cs="Times New Roman"/>
          <w:sz w:val="20"/>
          <w:szCs w:val="20"/>
          <w:lang w:val="es-CO" w:eastAsia="es-CO"/>
        </w:rPr>
      </w:pPr>
      <w:r w:rsidRPr="003F20DD">
        <w:rPr>
          <w:rFonts w:ascii="Verdana" w:hAnsi="Verdana"/>
          <w:sz w:val="20"/>
          <w:szCs w:val="20"/>
        </w:rPr>
        <w:t xml:space="preserve">Las condiciones técnicas exigidas y su forma de acreditarla. </w:t>
      </w:r>
    </w:p>
    <w:p w14:paraId="41307C72" w14:textId="77777777" w:rsidR="00C73FA4" w:rsidRPr="003F20DD" w:rsidRDefault="00C73FA4" w:rsidP="00C73FA4">
      <w:pPr>
        <w:pStyle w:val="Prrafodelista"/>
        <w:numPr>
          <w:ilvl w:val="0"/>
          <w:numId w:val="18"/>
        </w:numPr>
        <w:shd w:val="clear" w:color="auto" w:fill="FFFFFF"/>
        <w:spacing w:before="100" w:beforeAutospacing="1" w:after="100" w:afterAutospacing="1" w:line="240" w:lineRule="auto"/>
        <w:ind w:right="191"/>
        <w:jc w:val="both"/>
        <w:rPr>
          <w:rFonts w:ascii="Verdana" w:eastAsia="Times New Roman" w:hAnsi="Verdana" w:cs="Times New Roman"/>
          <w:sz w:val="20"/>
          <w:szCs w:val="20"/>
          <w:lang w:val="es-CO" w:eastAsia="es-CO"/>
        </w:rPr>
      </w:pPr>
      <w:r w:rsidRPr="003F20DD">
        <w:rPr>
          <w:rFonts w:ascii="Verdana" w:hAnsi="Verdana"/>
          <w:sz w:val="20"/>
          <w:szCs w:val="20"/>
        </w:rPr>
        <w:t>El valor estimado del contrato y su justificación.</w:t>
      </w:r>
    </w:p>
    <w:p w14:paraId="7C22E61F" w14:textId="77777777" w:rsidR="00C73FA4" w:rsidRPr="003F20DD" w:rsidRDefault="00C73FA4" w:rsidP="00C73FA4">
      <w:pPr>
        <w:pStyle w:val="Prrafodelista"/>
        <w:numPr>
          <w:ilvl w:val="0"/>
          <w:numId w:val="18"/>
        </w:numPr>
        <w:shd w:val="clear" w:color="auto" w:fill="FFFFFF"/>
        <w:spacing w:before="100" w:beforeAutospacing="1" w:after="100" w:afterAutospacing="1" w:line="240" w:lineRule="auto"/>
        <w:ind w:right="191"/>
        <w:jc w:val="both"/>
        <w:rPr>
          <w:rFonts w:ascii="Verdana" w:eastAsia="Times New Roman" w:hAnsi="Verdana" w:cs="Times New Roman"/>
          <w:sz w:val="20"/>
          <w:szCs w:val="20"/>
          <w:lang w:val="es-CO" w:eastAsia="es-CO"/>
        </w:rPr>
      </w:pPr>
      <w:r w:rsidRPr="003F20DD">
        <w:rPr>
          <w:rFonts w:ascii="Verdana" w:hAnsi="Verdana"/>
          <w:sz w:val="20"/>
          <w:szCs w:val="20"/>
        </w:rPr>
        <w:t xml:space="preserve">La forma de acreditar la capacidad jurídica. </w:t>
      </w:r>
    </w:p>
    <w:p w14:paraId="61E322C1" w14:textId="77777777" w:rsidR="00C73FA4" w:rsidRPr="003F20DD" w:rsidRDefault="00C73FA4" w:rsidP="00C73FA4">
      <w:pPr>
        <w:pStyle w:val="Prrafodelista"/>
        <w:numPr>
          <w:ilvl w:val="0"/>
          <w:numId w:val="18"/>
        </w:numPr>
        <w:shd w:val="clear" w:color="auto" w:fill="FFFFFF"/>
        <w:spacing w:before="100" w:beforeAutospacing="1" w:after="100" w:afterAutospacing="1" w:line="240" w:lineRule="auto"/>
        <w:ind w:right="191"/>
        <w:jc w:val="both"/>
        <w:rPr>
          <w:rFonts w:ascii="Verdana" w:eastAsia="Times New Roman" w:hAnsi="Verdana" w:cs="Times New Roman"/>
          <w:sz w:val="20"/>
          <w:szCs w:val="20"/>
          <w:lang w:val="es-CO" w:eastAsia="es-CO"/>
        </w:rPr>
      </w:pPr>
      <w:r w:rsidRPr="003F20DD">
        <w:rPr>
          <w:rFonts w:ascii="Verdana" w:hAnsi="Verdana"/>
          <w:sz w:val="20"/>
          <w:szCs w:val="20"/>
        </w:rPr>
        <w:t xml:space="preserve">La forma de acreditar la experiencia mínima y forma de verificar su cumplimiento, cuya exigencia es discrecional de la Entidad Estatal. </w:t>
      </w:r>
    </w:p>
    <w:p w14:paraId="61B92ABE" w14:textId="77777777" w:rsidR="00C73FA4" w:rsidRPr="003F20DD" w:rsidRDefault="00C73FA4" w:rsidP="00C73FA4">
      <w:pPr>
        <w:pStyle w:val="Prrafodelista"/>
        <w:numPr>
          <w:ilvl w:val="0"/>
          <w:numId w:val="18"/>
        </w:numPr>
        <w:shd w:val="clear" w:color="auto" w:fill="FFFFFF"/>
        <w:spacing w:before="100" w:beforeAutospacing="1" w:after="100" w:afterAutospacing="1" w:line="240" w:lineRule="auto"/>
        <w:ind w:right="191"/>
        <w:jc w:val="both"/>
        <w:rPr>
          <w:rFonts w:ascii="Verdana" w:eastAsia="Times New Roman" w:hAnsi="Verdana" w:cs="Times New Roman"/>
          <w:sz w:val="20"/>
          <w:szCs w:val="20"/>
          <w:lang w:val="es-CO" w:eastAsia="es-CO"/>
        </w:rPr>
      </w:pPr>
      <w:r w:rsidRPr="003F20DD">
        <w:rPr>
          <w:rFonts w:ascii="Verdana" w:hAnsi="Verdana"/>
          <w:sz w:val="20"/>
          <w:szCs w:val="20"/>
        </w:rPr>
        <w:t xml:space="preserve">La forma de acreditar la capacidad financiera mínima, cuando no se haga pago contra entrega de la obra, bien o servicio, cuya exigencia es discrecional de la Entidad Estatal. </w:t>
      </w:r>
    </w:p>
    <w:p w14:paraId="17A992B1" w14:textId="77777777" w:rsidR="00C73FA4" w:rsidRPr="003F20DD" w:rsidRDefault="00C73FA4" w:rsidP="00C73FA4">
      <w:pPr>
        <w:pStyle w:val="Prrafodelista"/>
        <w:numPr>
          <w:ilvl w:val="0"/>
          <w:numId w:val="18"/>
        </w:numPr>
        <w:shd w:val="clear" w:color="auto" w:fill="FFFFFF"/>
        <w:spacing w:before="100" w:beforeAutospacing="1" w:after="100" w:afterAutospacing="1" w:line="240" w:lineRule="auto"/>
        <w:ind w:right="191"/>
        <w:jc w:val="both"/>
        <w:rPr>
          <w:rFonts w:ascii="Verdana" w:eastAsia="Times New Roman" w:hAnsi="Verdana" w:cs="Times New Roman"/>
          <w:sz w:val="20"/>
          <w:szCs w:val="20"/>
          <w:lang w:val="es-CO" w:eastAsia="es-CO"/>
        </w:rPr>
      </w:pPr>
      <w:r w:rsidRPr="003F20DD">
        <w:rPr>
          <w:rFonts w:ascii="Verdana" w:hAnsi="Verdana"/>
          <w:sz w:val="20"/>
          <w:szCs w:val="20"/>
        </w:rPr>
        <w:t xml:space="preserve">Un cronograma que deberá tener en cuenta los términos establecidos en el artículo 2.2.1.2.1.5.2 de Decreto 1082 de 2015. </w:t>
      </w:r>
    </w:p>
    <w:p w14:paraId="5F6D57B5" w14:textId="77777777" w:rsidR="00C73FA4" w:rsidRPr="003F20DD" w:rsidRDefault="00C73FA4" w:rsidP="00C73FA4">
      <w:pPr>
        <w:pStyle w:val="Prrafodelista"/>
        <w:numPr>
          <w:ilvl w:val="0"/>
          <w:numId w:val="18"/>
        </w:numPr>
        <w:shd w:val="clear" w:color="auto" w:fill="FFFFFF"/>
        <w:spacing w:before="100" w:beforeAutospacing="1" w:after="100" w:afterAutospacing="1" w:line="240" w:lineRule="auto"/>
        <w:ind w:right="191"/>
        <w:jc w:val="both"/>
        <w:rPr>
          <w:rFonts w:ascii="Verdana" w:eastAsia="Times New Roman" w:hAnsi="Verdana" w:cs="Times New Roman"/>
          <w:sz w:val="20"/>
          <w:szCs w:val="20"/>
          <w:lang w:val="es-CO" w:eastAsia="es-CO"/>
        </w:rPr>
      </w:pPr>
      <w:r w:rsidRPr="003F20DD">
        <w:rPr>
          <w:rFonts w:ascii="Verdana" w:hAnsi="Verdana"/>
          <w:sz w:val="20"/>
          <w:szCs w:val="20"/>
        </w:rPr>
        <w:t xml:space="preserve">Las obligaciones de las partes del futuro contrato. </w:t>
      </w:r>
    </w:p>
    <w:p w14:paraId="00CA9891" w14:textId="77777777" w:rsidR="00C73FA4" w:rsidRDefault="00C73FA4" w:rsidP="00C73FA4">
      <w:pPr>
        <w:pStyle w:val="Prrafodelista"/>
        <w:shd w:val="clear" w:color="auto" w:fill="FFFFFF"/>
        <w:spacing w:before="100" w:beforeAutospacing="1" w:after="100" w:afterAutospacing="1" w:line="240" w:lineRule="auto"/>
        <w:ind w:right="191"/>
        <w:jc w:val="both"/>
        <w:rPr>
          <w:rFonts w:ascii="Verdana" w:hAnsi="Verdana"/>
          <w:sz w:val="20"/>
          <w:szCs w:val="20"/>
        </w:rPr>
      </w:pPr>
      <w:r w:rsidRPr="003F20DD">
        <w:rPr>
          <w:rFonts w:ascii="Verdana" w:hAnsi="Verdana"/>
          <w:sz w:val="20"/>
          <w:szCs w:val="20"/>
        </w:rPr>
        <w:t xml:space="preserve">La Agencia Nacional de Contratación Pública – Colombia Compra Eficiente recomienda incluir en la invitación el plazo o las condiciones de pago a cargo de la Entidad Estatal, la indicación del requerimiento de garantías (cuya exigencia es discrecional) y los demás aspectos que considere indispensables </w:t>
      </w:r>
      <w:r w:rsidRPr="003F20DD">
        <w:rPr>
          <w:rFonts w:ascii="Verdana" w:hAnsi="Verdana"/>
          <w:sz w:val="20"/>
          <w:szCs w:val="20"/>
        </w:rPr>
        <w:lastRenderedPageBreak/>
        <w:t>para la satisfacción de la necesidad. Asimismo, se recomienda mencionar si la convocatoria es susceptible de limitación a MiPymes territoriales de que trata el artículo 2.2.1.2.4.2.3 del Decreto 1082 de 2015, modificado por el artículo 5 del Decreto 1860 de 2021, o si podrá participar cualquier MiPyme nacional</w:t>
      </w:r>
      <w:r w:rsidRPr="003F20DD">
        <w:rPr>
          <w:rStyle w:val="Refdenotaalpie"/>
          <w:rFonts w:ascii="Verdana" w:hAnsi="Verdana"/>
          <w:sz w:val="20"/>
          <w:szCs w:val="20"/>
        </w:rPr>
        <w:footnoteReference w:id="6"/>
      </w:r>
    </w:p>
    <w:p w14:paraId="7D22BE51" w14:textId="77777777" w:rsidR="008934DA" w:rsidRPr="003F20DD" w:rsidRDefault="008934DA" w:rsidP="00C73FA4">
      <w:pPr>
        <w:pStyle w:val="Prrafodelista"/>
        <w:shd w:val="clear" w:color="auto" w:fill="FFFFFF"/>
        <w:spacing w:before="100" w:beforeAutospacing="1" w:after="100" w:afterAutospacing="1" w:line="240" w:lineRule="auto"/>
        <w:ind w:right="191"/>
        <w:jc w:val="both"/>
        <w:rPr>
          <w:rFonts w:ascii="Verdana" w:eastAsia="Times New Roman" w:hAnsi="Verdana" w:cs="Times New Roman"/>
          <w:sz w:val="20"/>
          <w:szCs w:val="20"/>
          <w:lang w:val="es-CO" w:eastAsia="es-CO"/>
        </w:rPr>
      </w:pPr>
    </w:p>
    <w:p w14:paraId="774BB609" w14:textId="77777777" w:rsidR="00C73FA4" w:rsidRPr="003F20DD" w:rsidRDefault="00C73FA4" w:rsidP="00C73FA4">
      <w:pPr>
        <w:pStyle w:val="Prrafodelista"/>
        <w:numPr>
          <w:ilvl w:val="0"/>
          <w:numId w:val="20"/>
        </w:numPr>
        <w:spacing w:after="0" w:line="276" w:lineRule="auto"/>
        <w:ind w:left="0" w:firstLine="709"/>
        <w:jc w:val="both"/>
        <w:rPr>
          <w:rFonts w:ascii="Verdana" w:eastAsia="Calibri" w:hAnsi="Verdana" w:cs="Arial"/>
        </w:rPr>
      </w:pPr>
      <w:r w:rsidRPr="003F20DD">
        <w:rPr>
          <w:rFonts w:ascii="Verdana" w:eastAsia="Arial" w:hAnsi="Verdana" w:cs="Arial"/>
        </w:rPr>
        <w:t xml:space="preserve">En relación con el segundo problema jurídico, se resalta que el </w:t>
      </w:r>
      <w:r w:rsidRPr="003F20DD">
        <w:rPr>
          <w:rFonts w:ascii="Verdana" w:eastAsia="Calibri" w:hAnsi="Verdana" w:cs="Arial"/>
        </w:rPr>
        <w:t>contrato estatal, como acto jurídico bilateral, es ley para los contratantes y por regla general no puede ser modificado sino por el consentimiento mutuo</w:t>
      </w:r>
      <w:r w:rsidRPr="00FC4A16">
        <w:rPr>
          <w:rStyle w:val="Refdenotaalpie"/>
          <w:rFonts w:ascii="Verdana" w:eastAsia="Calibri" w:hAnsi="Verdana" w:cs="Arial"/>
        </w:rPr>
        <w:footnoteReference w:id="7"/>
      </w:r>
      <w:r w:rsidRPr="003F20DD">
        <w:rPr>
          <w:rFonts w:ascii="Verdana" w:eastAsia="Calibri" w:hAnsi="Verdana" w:cs="Arial"/>
        </w:rPr>
        <w:t>, en ese sentido, cualquier modificación contractual implica un nuevo acuerdo de voluntades, o lo que es lo mismo un contrato, por ello este nuevo contrato requiere garantía para ser ejecutado. Respecto a las formalidades requeridas para las modificaciones de los contratos, y refiriéndose al alcance del artículo 39 y 41 de la Ley 80 de 1993, el Consejo de Estado, Sección Tercera, en la sentencia del 18 de febrero de 2010, radicado 85001-23-31-000-1997-00403-01(15.596), con ponencia del consejero Mauricio Fajardo Gómez, señaló:</w:t>
      </w:r>
    </w:p>
    <w:p w14:paraId="2E935C6D" w14:textId="77777777" w:rsidR="00C73FA4" w:rsidRPr="00FC4A16" w:rsidRDefault="00C73FA4" w:rsidP="00C73FA4">
      <w:pPr>
        <w:pStyle w:val="Prrafodelista"/>
        <w:spacing w:after="0" w:line="276" w:lineRule="auto"/>
        <w:jc w:val="both"/>
        <w:rPr>
          <w:rFonts w:ascii="Verdana" w:eastAsia="Calibri" w:hAnsi="Verdana" w:cs="Arial"/>
        </w:rPr>
      </w:pPr>
    </w:p>
    <w:p w14:paraId="664D88DA" w14:textId="77777777" w:rsidR="00C73FA4" w:rsidRPr="00FC4A16" w:rsidRDefault="00C73FA4" w:rsidP="00C73FA4">
      <w:pPr>
        <w:pStyle w:val="Prrafodelista"/>
        <w:spacing w:after="0" w:line="240" w:lineRule="auto"/>
        <w:ind w:right="709"/>
        <w:jc w:val="both"/>
        <w:rPr>
          <w:rFonts w:ascii="Verdana" w:eastAsia="Calibri" w:hAnsi="Verdana" w:cs="Arial"/>
          <w:sz w:val="20"/>
          <w:szCs w:val="20"/>
        </w:rPr>
      </w:pPr>
      <w:r w:rsidRPr="00FC4A16">
        <w:rPr>
          <w:rFonts w:ascii="Verdana" w:eastAsia="Calibri" w:hAnsi="Verdana" w:cs="Arial"/>
          <w:sz w:val="20"/>
          <w:szCs w:val="20"/>
        </w:rPr>
        <w:t>“De conformidad con las normas transcritas, respecto de los contratos estatales no es posible afirmar que con el simple consentimiento de las partes puedan ser perfeccionados, de lo cual se colige, de manera directa, que la modificación de los mismos, consistente en adición de obras, valor y período para la ejecución, también debe constar por escrito para que puedan alcanzar eficacia, existencia y validez. Esto último, en cuanto que la modificación respecto de un acuerdo que consta por escrito debe surtir el mismo proceso que se dio para su constitución, dado que el acuerdo modificatorio está tomando el lugar del acuerdo originario y la solemnidad que se predica legalmente del segundo ha de ser exigida para el reconocimiento de eficacia, existencia y validez del primero”.</w:t>
      </w:r>
    </w:p>
    <w:p w14:paraId="4788096F" w14:textId="77777777" w:rsidR="00C73FA4" w:rsidRPr="00FC4A16" w:rsidRDefault="00C73FA4" w:rsidP="00C73FA4">
      <w:pPr>
        <w:pStyle w:val="Prrafodelista"/>
        <w:spacing w:after="0" w:line="276" w:lineRule="auto"/>
        <w:jc w:val="both"/>
        <w:rPr>
          <w:rFonts w:ascii="Verdana" w:hAnsi="Verdana"/>
          <w:lang w:val="es-CO"/>
        </w:rPr>
      </w:pPr>
    </w:p>
    <w:p w14:paraId="48DEB2ED" w14:textId="77777777" w:rsidR="00C73FA4" w:rsidRPr="00100432" w:rsidRDefault="00C73FA4" w:rsidP="00C73FA4">
      <w:pPr>
        <w:spacing w:after="120" w:line="276" w:lineRule="auto"/>
        <w:ind w:firstLine="709"/>
        <w:jc w:val="both"/>
        <w:rPr>
          <w:rFonts w:ascii="Verdana" w:hAnsi="Verdana"/>
        </w:rPr>
      </w:pPr>
      <w:r w:rsidRPr="00100432">
        <w:rPr>
          <w:rFonts w:ascii="Verdana" w:hAnsi="Verdana"/>
        </w:rPr>
        <w:t xml:space="preserve">En el mismo sentido, la Sala de Consulta y Servicio del Consejo de Estado, en el concepto con radicado No. 11001-03-06-000-2015-00128-00 (2.263), del 17 de marzo de 2016 con ponencia del consejero Edgar González López, señaló respecto de las modificaciones de los contratos: </w:t>
      </w:r>
      <w:r w:rsidRPr="00100432">
        <w:rPr>
          <w:rFonts w:ascii="Verdana" w:hAnsi="Verdana"/>
          <w:i/>
          <w:iCs/>
        </w:rPr>
        <w:t xml:space="preserve">“[…] puede afirmarse que la regla general es la no modificación del contrato, y la vía excepcional su modificación, sometida a límites legales. Por lo tanto, una modificación necesaria del contrato, surgida por iniciativa del contratista, del interventor o del </w:t>
      </w:r>
      <w:r w:rsidRPr="00100432">
        <w:rPr>
          <w:rFonts w:ascii="Verdana" w:hAnsi="Verdana"/>
          <w:i/>
          <w:iCs/>
        </w:rPr>
        <w:lastRenderedPageBreak/>
        <w:t xml:space="preserve">supervisor, debe ser aprobada por la entidad que ejerce su dirección general, y cumplir, en forma previa, las mismas formalidades de solemnidad del contrato principal”. </w:t>
      </w:r>
      <w:r w:rsidRPr="00100432">
        <w:rPr>
          <w:rFonts w:ascii="Verdana" w:hAnsi="Verdana"/>
        </w:rPr>
        <w:t>(Énfasis fuera de texto)</w:t>
      </w:r>
    </w:p>
    <w:p w14:paraId="22831281" w14:textId="77777777" w:rsidR="00C73FA4" w:rsidRDefault="00C73FA4" w:rsidP="00C73FA4">
      <w:pPr>
        <w:spacing w:after="120" w:line="276" w:lineRule="auto"/>
        <w:ind w:firstLine="709"/>
        <w:jc w:val="both"/>
        <w:rPr>
          <w:rFonts w:ascii="Verdana" w:hAnsi="Verdana"/>
        </w:rPr>
      </w:pPr>
      <w:r w:rsidRPr="00100432">
        <w:rPr>
          <w:rFonts w:ascii="Verdana" w:hAnsi="Verdana"/>
        </w:rPr>
        <w:t>En definitiva, es necesario que el contratista</w:t>
      </w:r>
      <w:r>
        <w:rPr>
          <w:rFonts w:ascii="Verdana" w:hAnsi="Verdana"/>
        </w:rPr>
        <w:t xml:space="preserve"> manifieste su voluntad de modificar el contrato y además,</w:t>
      </w:r>
      <w:r w:rsidRPr="00100432">
        <w:rPr>
          <w:rFonts w:ascii="Verdana" w:hAnsi="Verdana"/>
        </w:rPr>
        <w:t xml:space="preserve"> amplíe la garantía cuando el contrato se </w:t>
      </w:r>
      <w:r>
        <w:rPr>
          <w:rFonts w:ascii="Verdana" w:hAnsi="Verdana"/>
        </w:rPr>
        <w:t>prorroga o se adiciona</w:t>
      </w:r>
      <w:r w:rsidRPr="00100432">
        <w:rPr>
          <w:rFonts w:ascii="Verdana" w:hAnsi="Verdana"/>
        </w:rPr>
        <w:t xml:space="preserve">, </w:t>
      </w:r>
      <w:r>
        <w:rPr>
          <w:rFonts w:ascii="Verdana" w:hAnsi="Verdana"/>
        </w:rPr>
        <w:t>a</w:t>
      </w:r>
      <w:r w:rsidRPr="00100432">
        <w:rPr>
          <w:rFonts w:ascii="Verdana" w:hAnsi="Verdana"/>
        </w:rPr>
        <w:t xml:space="preserve">mpliación </w:t>
      </w:r>
      <w:r>
        <w:rPr>
          <w:rFonts w:ascii="Verdana" w:hAnsi="Verdana"/>
        </w:rPr>
        <w:t xml:space="preserve">que </w:t>
      </w:r>
      <w:r w:rsidRPr="00100432">
        <w:rPr>
          <w:rFonts w:ascii="Verdana" w:hAnsi="Verdana"/>
        </w:rPr>
        <w:t>requiere aprobación</w:t>
      </w:r>
      <w:r>
        <w:rPr>
          <w:rFonts w:ascii="Verdana" w:hAnsi="Verdana"/>
        </w:rPr>
        <w:t xml:space="preserve"> por parte de la Entidad Estatal contratante</w:t>
      </w:r>
      <w:r w:rsidRPr="00100432">
        <w:rPr>
          <w:rFonts w:ascii="Verdana" w:hAnsi="Verdana"/>
        </w:rPr>
        <w:t>, tal como fue aprobada la garantía del contrato inicial. En cumplimiento del artículo</w:t>
      </w:r>
      <w:bookmarkStart w:id="32" w:name="_Hlk216386799"/>
      <w:r w:rsidRPr="00100432">
        <w:rPr>
          <w:rFonts w:ascii="Verdana" w:hAnsi="Verdana"/>
        </w:rPr>
        <w:t xml:space="preserve"> 2.2.1.2.3.1.18. </w:t>
      </w:r>
      <w:bookmarkEnd w:id="32"/>
      <w:r w:rsidRPr="00100432">
        <w:rPr>
          <w:rFonts w:ascii="Verdana" w:hAnsi="Verdana"/>
        </w:rPr>
        <w:t>del Decreto 1082 de 2015, solo se le exige al contratista que: i) amplié el valor de la garantía cuando hay una adición, y ii)</w:t>
      </w:r>
      <w:r w:rsidRPr="00100432">
        <w:rPr>
          <w:rFonts w:ascii="Verdana" w:hAnsi="Verdana"/>
          <w:b/>
          <w:bCs/>
        </w:rPr>
        <w:t xml:space="preserve"> </w:t>
      </w:r>
      <w:r w:rsidRPr="00100432">
        <w:rPr>
          <w:rFonts w:ascii="Verdana" w:hAnsi="Verdana"/>
        </w:rPr>
        <w:t>que amplié su vigencia cuando se modifica el plazo del contrato</w:t>
      </w:r>
      <w:r>
        <w:rPr>
          <w:rFonts w:ascii="Verdana" w:hAnsi="Verdana"/>
        </w:rPr>
        <w:t>.</w:t>
      </w:r>
    </w:p>
    <w:p w14:paraId="1969A1A1" w14:textId="77777777" w:rsidR="00C73FA4" w:rsidRPr="008A5182" w:rsidRDefault="00C73FA4" w:rsidP="00C73FA4">
      <w:pPr>
        <w:widowControl w:val="0"/>
        <w:autoSpaceDE w:val="0"/>
        <w:autoSpaceDN w:val="0"/>
        <w:spacing w:after="120" w:line="276" w:lineRule="auto"/>
        <w:jc w:val="both"/>
        <w:rPr>
          <w:rFonts w:ascii="Verdana" w:eastAsia="Arial" w:hAnsi="Verdana" w:cs="Arial"/>
        </w:rPr>
      </w:pPr>
      <w:r w:rsidRPr="00DE5508">
        <w:rPr>
          <w:rFonts w:ascii="Verdana" w:hAnsi="Verdana"/>
        </w:rPr>
        <w:t>Dentro de este marco, corresponde a cada entidad pública, en ejercicio de su competencia y previa valoración de los elementos fácticos y jurídicos, así como de las disposiciones legales mencionadas, determinar su gestión contractual.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46A4AE6" w14:textId="77777777" w:rsidR="00C73FA4" w:rsidRDefault="00C73FA4" w:rsidP="00C73FA4">
      <w:pPr>
        <w:widowControl w:val="0"/>
        <w:autoSpaceDE w:val="0"/>
        <w:autoSpaceDN w:val="0"/>
        <w:spacing w:after="0" w:line="276" w:lineRule="auto"/>
        <w:jc w:val="both"/>
        <w:rPr>
          <w:rFonts w:ascii="Verdana" w:hAnsi="Verdana" w:cs="Arial"/>
        </w:rPr>
      </w:pPr>
    </w:p>
    <w:p w14:paraId="7CC80FE0" w14:textId="77777777" w:rsidR="00C73FA4" w:rsidRDefault="00C73FA4" w:rsidP="00C73FA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2215F8AA" w14:textId="77777777" w:rsidR="00C73FA4" w:rsidRDefault="00C73FA4" w:rsidP="00C73FA4">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C73FA4" w14:paraId="42B26237" w14:textId="77777777" w:rsidTr="00507240">
        <w:trPr>
          <w:trHeight w:val="870"/>
        </w:trPr>
        <w:tc>
          <w:tcPr>
            <w:tcW w:w="8647" w:type="dxa"/>
            <w:tcBorders>
              <w:top w:val="dotted" w:sz="4" w:space="0" w:color="auto"/>
              <w:left w:val="dotted" w:sz="4" w:space="0" w:color="auto"/>
              <w:bottom w:val="dotted" w:sz="4" w:space="0" w:color="auto"/>
              <w:right w:val="dotted" w:sz="4" w:space="0" w:color="auto"/>
            </w:tcBorders>
            <w:hideMark/>
          </w:tcPr>
          <w:p w14:paraId="3FF16800" w14:textId="77777777" w:rsidR="00C73FA4" w:rsidRPr="003F20DD" w:rsidRDefault="00C73FA4" w:rsidP="00507240">
            <w:pPr>
              <w:widowControl w:val="0"/>
              <w:numPr>
                <w:ilvl w:val="0"/>
                <w:numId w:val="17"/>
              </w:numPr>
              <w:autoSpaceDE w:val="0"/>
              <w:autoSpaceDN w:val="0"/>
              <w:spacing w:after="120" w:line="276" w:lineRule="auto"/>
              <w:jc w:val="both"/>
              <w:rPr>
                <w:rFonts w:ascii="Verdana" w:eastAsia="Arial MT" w:hAnsi="Verdana" w:cs="Arial"/>
                <w:bCs/>
                <w:lang w:val="es-ES" w:eastAsia="es-ES" w:bidi="es-ES"/>
              </w:rPr>
            </w:pPr>
            <w:r w:rsidRPr="003F20DD">
              <w:rPr>
                <w:rFonts w:ascii="Verdana" w:eastAsia="Arial MT" w:hAnsi="Verdana" w:cs="Arial"/>
                <w:bCs/>
                <w:lang w:val="es-ES" w:eastAsia="es-ES" w:bidi="es-ES"/>
              </w:rPr>
              <w:t>Ley 80 de 1993, artículos 39, 40, 41</w:t>
            </w:r>
          </w:p>
          <w:p w14:paraId="2B2FA477" w14:textId="77777777" w:rsidR="00C73FA4" w:rsidRPr="003F20DD" w:rsidRDefault="00C73FA4" w:rsidP="00507240">
            <w:pPr>
              <w:widowControl w:val="0"/>
              <w:numPr>
                <w:ilvl w:val="0"/>
                <w:numId w:val="17"/>
              </w:numPr>
              <w:autoSpaceDE w:val="0"/>
              <w:autoSpaceDN w:val="0"/>
              <w:spacing w:after="120" w:line="276" w:lineRule="auto"/>
              <w:jc w:val="both"/>
              <w:rPr>
                <w:rFonts w:ascii="Verdana" w:eastAsia="Arial MT" w:hAnsi="Verdana" w:cs="Arial"/>
                <w:bCs/>
                <w:lang w:val="es-ES" w:eastAsia="es-ES" w:bidi="es-ES"/>
              </w:rPr>
            </w:pPr>
            <w:r w:rsidRPr="003F20DD">
              <w:rPr>
                <w:rFonts w:ascii="Verdana" w:eastAsia="Arial MT" w:hAnsi="Verdana" w:cs="Arial"/>
                <w:bCs/>
                <w:lang w:val="es-ES" w:eastAsia="es-ES" w:bidi="es-ES"/>
              </w:rPr>
              <w:t>Ley 1150 de 2007, artículo 3</w:t>
            </w:r>
          </w:p>
          <w:p w14:paraId="5DC52240" w14:textId="77777777" w:rsidR="00C73FA4" w:rsidRPr="003F20DD" w:rsidRDefault="00C73FA4" w:rsidP="00507240">
            <w:pPr>
              <w:widowControl w:val="0"/>
              <w:numPr>
                <w:ilvl w:val="0"/>
                <w:numId w:val="17"/>
              </w:numPr>
              <w:autoSpaceDE w:val="0"/>
              <w:autoSpaceDN w:val="0"/>
              <w:spacing w:after="120" w:line="276" w:lineRule="auto"/>
              <w:jc w:val="both"/>
              <w:rPr>
                <w:rFonts w:ascii="Verdana" w:eastAsia="Arial MT" w:hAnsi="Verdana" w:cs="Arial"/>
                <w:bCs/>
                <w:lang w:val="es-ES" w:eastAsia="es-ES" w:bidi="es-ES"/>
              </w:rPr>
            </w:pPr>
            <w:r w:rsidRPr="003F20DD">
              <w:rPr>
                <w:rFonts w:ascii="Verdana" w:eastAsia="Arial MT" w:hAnsi="Verdana" w:cs="Arial"/>
                <w:bCs/>
                <w:lang w:val="es-ES" w:eastAsia="es-ES" w:bidi="es-ES"/>
              </w:rPr>
              <w:t>Ley 1712 de 2014, artículo 11</w:t>
            </w:r>
          </w:p>
          <w:p w14:paraId="6EBFD3DA" w14:textId="77777777" w:rsidR="00C73FA4" w:rsidRPr="003F20DD" w:rsidRDefault="00C73FA4" w:rsidP="00507240">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3F20DD">
              <w:rPr>
                <w:rFonts w:ascii="Verdana" w:eastAsia="Arial MT" w:hAnsi="Verdana" w:cs="Arial"/>
                <w:bCs/>
                <w:lang w:val="es-ES" w:eastAsia="es-ES" w:bidi="es-ES"/>
              </w:rPr>
              <w:t>Decreto 1082 de 2015, artículos 2.2.1.1.1.7.1, 2.2.1.1.1.3.1., 2.2.1.1.2.1.2, 2.2.1.1.2.1.3, 2.2.1.2.1.5.2, 2.2.1.2.3.1.18.</w:t>
            </w:r>
          </w:p>
          <w:p w14:paraId="502F53E5" w14:textId="77777777" w:rsidR="00C73FA4" w:rsidRPr="006A640E" w:rsidRDefault="00C73FA4" w:rsidP="00507240">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3F20DD">
              <w:rPr>
                <w:rFonts w:ascii="Verdana" w:eastAsia="Calibri" w:hAnsi="Verdana" w:cs="Arial"/>
              </w:rPr>
              <w:t>Consejo de Estado, Sección Tercera, sentencia del 18 de febrero de 2010, radicado 85001-23-31-000-1997-00403-01(15.596),</w:t>
            </w:r>
            <w:r>
              <w:rPr>
                <w:rFonts w:ascii="Verdana" w:eastAsia="Calibri" w:hAnsi="Verdana" w:cs="Arial"/>
              </w:rPr>
              <w:t xml:space="preserve"> C.P.:</w:t>
            </w:r>
            <w:r w:rsidRPr="003F20DD">
              <w:rPr>
                <w:rFonts w:ascii="Verdana" w:eastAsia="Calibri" w:hAnsi="Verdana" w:cs="Arial"/>
              </w:rPr>
              <w:t>Mauricio Fajardo Gómez</w:t>
            </w:r>
          </w:p>
        </w:tc>
      </w:tr>
    </w:tbl>
    <w:p w14:paraId="506EB2A5" w14:textId="77777777" w:rsidR="00C73FA4" w:rsidRDefault="00C73FA4" w:rsidP="00C73FA4">
      <w:pPr>
        <w:widowControl w:val="0"/>
        <w:autoSpaceDE w:val="0"/>
        <w:autoSpaceDN w:val="0"/>
        <w:spacing w:after="0" w:line="276" w:lineRule="auto"/>
        <w:jc w:val="both"/>
        <w:rPr>
          <w:rFonts w:ascii="Verdana" w:hAnsi="Verdana" w:cs="Arial"/>
        </w:rPr>
      </w:pPr>
    </w:p>
    <w:p w14:paraId="41C8358A" w14:textId="77777777" w:rsidR="00C73FA4" w:rsidRDefault="00C73FA4" w:rsidP="00C73FA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38BAC18E" w14:textId="77777777" w:rsidR="00C73FA4" w:rsidRDefault="00C73FA4" w:rsidP="00C73FA4">
      <w:pPr>
        <w:widowControl w:val="0"/>
        <w:autoSpaceDE w:val="0"/>
        <w:autoSpaceDN w:val="0"/>
        <w:spacing w:after="0" w:line="276" w:lineRule="auto"/>
        <w:jc w:val="both"/>
        <w:rPr>
          <w:rFonts w:ascii="Verdana" w:hAnsi="Verdana" w:cs="Arial"/>
        </w:rPr>
      </w:pPr>
    </w:p>
    <w:p w14:paraId="6FA036EE" w14:textId="77777777" w:rsidR="00C73FA4" w:rsidRPr="00FE3C84" w:rsidRDefault="00C73FA4" w:rsidP="00C73FA4">
      <w:pPr>
        <w:widowControl w:val="0"/>
        <w:autoSpaceDE w:val="0"/>
        <w:autoSpaceDN w:val="0"/>
        <w:spacing w:after="0" w:line="276" w:lineRule="auto"/>
        <w:jc w:val="both"/>
        <w:rPr>
          <w:rStyle w:val="normaltextrun"/>
          <w:rFonts w:ascii="Verdana" w:hAnsi="Verdana"/>
          <w:color w:val="FF0000"/>
          <w:shd w:val="clear" w:color="auto" w:fill="FFFFFF"/>
          <w:lang w:val="es-ES"/>
        </w:rPr>
      </w:pPr>
      <w:r>
        <w:rPr>
          <w:rStyle w:val="normaltextrun"/>
          <w:rFonts w:ascii="Verdana" w:hAnsi="Verdana" w:cs="Arial"/>
          <w:shd w:val="clear" w:color="auto" w:fill="FFFFFF"/>
          <w:lang w:val="es-ES"/>
        </w:rPr>
        <w:t xml:space="preserve">Sobre </w:t>
      </w:r>
      <w:r>
        <w:rPr>
          <w:rFonts w:ascii="Verdana" w:eastAsia="Aptos" w:hAnsi="Verdana" w:cs="Arial"/>
          <w:shd w:val="clear" w:color="auto" w:fill="FFFFFF"/>
          <w:lang w:val="es-ES"/>
        </w:rPr>
        <w:t>el principio de publicación</w:t>
      </w:r>
      <w:r w:rsidRPr="00286FF3">
        <w:rPr>
          <w:rFonts w:ascii="Verdana" w:eastAsia="Aptos" w:hAnsi="Verdana" w:cs="Arial"/>
          <w:shd w:val="clear" w:color="auto" w:fill="FFFFFF"/>
          <w:lang w:val="es-ES"/>
        </w:rPr>
        <w:t>,</w:t>
      </w:r>
      <w:r>
        <w:rPr>
          <w:rFonts w:ascii="Verdana" w:eastAsia="Aptos" w:hAnsi="Verdana" w:cs="Arial"/>
          <w:shd w:val="clear" w:color="auto" w:fill="FFFFFF"/>
          <w:lang w:val="es-ES"/>
        </w:rPr>
        <w:t xml:space="preserve"> la obligatoriedad de publicación en la plataforma SECOP II</w:t>
      </w:r>
      <w:r w:rsidRPr="00286FF3">
        <w:rPr>
          <w:rFonts w:ascii="Verdana" w:eastAsia="Aptos" w:hAnsi="Verdana" w:cs="Arial"/>
          <w:shd w:val="clear" w:color="auto" w:fill="FFFFFF"/>
          <w:lang w:val="es-ES"/>
        </w:rPr>
        <w:t xml:space="preserve"> esta Subdirección se ha pronunciado en los conceptos</w:t>
      </w:r>
      <w:r>
        <w:rPr>
          <w:rFonts w:ascii="Verdana" w:eastAsia="Aptos" w:hAnsi="Verdana" w:cs="Arial"/>
          <w:shd w:val="clear" w:color="auto" w:fill="FFFFFF"/>
          <w:lang w:val="es-ES"/>
        </w:rPr>
        <w:t xml:space="preserve"> </w:t>
      </w:r>
      <w:r w:rsidRPr="00615FF2">
        <w:rPr>
          <w:rFonts w:ascii="Verdana" w:hAnsi="Verdana"/>
        </w:rPr>
        <w:t xml:space="preserve">CU-367 del 23 de julio de 2020, C-049 del 7 de marzo de 2022, C-120 del 22 </w:t>
      </w:r>
      <w:r w:rsidRPr="00B23D9E">
        <w:rPr>
          <w:rFonts w:ascii="Verdana" w:hAnsi="Verdana"/>
        </w:rPr>
        <w:t>de marzo de 2022, C-124 del 22 de marzo de 2022, C-132 del 28 de marzo de 2022,</w:t>
      </w:r>
      <w:r w:rsidRPr="00B23D9E">
        <w:rPr>
          <w:rStyle w:val="normaltextrun"/>
          <w:rFonts w:ascii="Verdana" w:hAnsi="Verdana" w:cs="Arial"/>
          <w:shd w:val="clear" w:color="auto" w:fill="FFFFFF"/>
          <w:lang w:val="es-ES"/>
        </w:rPr>
        <w:t xml:space="preserve"> C-872 de 2024, C-941-2024, C-009 de 2025, C-073 de 2025, C-139 de 2025, C-402 de 2025,</w:t>
      </w:r>
      <w:r>
        <w:rPr>
          <w:rStyle w:val="normaltextrun"/>
          <w:rFonts w:ascii="Verdana" w:hAnsi="Verdana" w:cs="Arial"/>
          <w:shd w:val="clear" w:color="auto" w:fill="FFFFFF"/>
          <w:lang w:val="es-ES"/>
        </w:rPr>
        <w:t xml:space="preserve"> C-479 de 2025,</w:t>
      </w:r>
      <w:r>
        <w:rPr>
          <w:rFonts w:ascii="Verdana" w:eastAsia="Aptos" w:hAnsi="Verdana" w:cs="Arial"/>
          <w:shd w:val="clear" w:color="auto" w:fill="FFFFFF"/>
          <w:lang w:val="es-ES"/>
        </w:rPr>
        <w:t xml:space="preserve"> C-774 del 30 de julio de 2025, </w:t>
      </w:r>
      <w:r w:rsidRPr="00286FF3">
        <w:rPr>
          <w:rFonts w:ascii="Verdana" w:eastAsia="Aptos" w:hAnsi="Verdana" w:cs="Arial"/>
          <w:shd w:val="clear" w:color="auto" w:fill="FFFFFF"/>
          <w:lang w:val="es-ES"/>
        </w:rPr>
        <w:t xml:space="preserve"> </w:t>
      </w:r>
      <w:r>
        <w:rPr>
          <w:rFonts w:ascii="Verdana" w:eastAsia="Aptos" w:hAnsi="Verdana" w:cs="Arial"/>
          <w:shd w:val="clear" w:color="auto" w:fill="FFFFFF"/>
          <w:lang w:val="es-ES"/>
        </w:rPr>
        <w:t xml:space="preserve">C-1041 del 4 de septiembre de 2025, C-1381 del 16 de octubre de 2025, </w:t>
      </w:r>
      <w:r>
        <w:rPr>
          <w:rStyle w:val="normaltextrun"/>
          <w:rFonts w:ascii="Verdana" w:hAnsi="Verdana" w:cs="Arial"/>
          <w:shd w:val="clear" w:color="auto" w:fill="FFFFFF"/>
          <w:lang w:val="es-ES"/>
        </w:rPr>
        <w:t>C-598 de 2024, entre otros. 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2"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70683A33" w14:textId="77777777" w:rsidR="00C73FA4" w:rsidRDefault="00C73FA4" w:rsidP="00C73FA4">
      <w:pPr>
        <w:spacing w:after="0" w:line="276" w:lineRule="auto"/>
        <w:jc w:val="both"/>
        <w:rPr>
          <w:rFonts w:ascii="Verdana" w:hAnsi="Verdana"/>
        </w:rPr>
      </w:pPr>
    </w:p>
    <w:p w14:paraId="698DAC8A" w14:textId="77777777" w:rsidR="00C73FA4" w:rsidRDefault="00C73FA4" w:rsidP="00C73FA4">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7B210744" w14:textId="77777777" w:rsidR="00C73FA4" w:rsidRDefault="00C73FA4" w:rsidP="00C73FA4">
      <w:pPr>
        <w:spacing w:after="0" w:line="276" w:lineRule="auto"/>
        <w:jc w:val="both"/>
        <w:rPr>
          <w:rFonts w:ascii="Verdana" w:hAnsi="Verdana"/>
        </w:rPr>
      </w:pPr>
    </w:p>
    <w:p w14:paraId="3D20B370" w14:textId="77777777" w:rsidR="00C73FA4" w:rsidRDefault="00C73FA4" w:rsidP="00C73FA4">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2A90B3B8" w14:textId="77777777" w:rsidR="00C73FA4" w:rsidRDefault="00C73FA4" w:rsidP="00C73FA4">
      <w:pPr>
        <w:spacing w:after="0" w:line="276" w:lineRule="auto"/>
        <w:jc w:val="both"/>
        <w:rPr>
          <w:rFonts w:ascii="Verdana" w:hAnsi="Verdana"/>
        </w:rPr>
      </w:pPr>
      <w:r>
        <w:rPr>
          <w:rFonts w:ascii="Verdana" w:hAnsi="Verdana"/>
        </w:rPr>
        <w:t xml:space="preserve">Facebook: </w:t>
      </w:r>
      <w:r>
        <w:rPr>
          <w:rStyle w:val="Hipervnculo"/>
          <w:rFonts w:ascii="Verdana" w:hAnsi="Verdana"/>
          <w:color w:val="4472C4" w:themeColor="accent1"/>
        </w:rPr>
        <w:t>ColombiaCompraEficiente</w:t>
      </w:r>
    </w:p>
    <w:p w14:paraId="0C4B6021" w14:textId="77777777" w:rsidR="00C73FA4" w:rsidRDefault="00C73FA4" w:rsidP="00C73FA4">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42B39400" w14:textId="77777777" w:rsidR="00C73FA4" w:rsidRDefault="00C73FA4" w:rsidP="00C73FA4">
      <w:pPr>
        <w:widowControl w:val="0"/>
        <w:autoSpaceDE w:val="0"/>
        <w:autoSpaceDN w:val="0"/>
        <w:spacing w:after="0" w:line="276" w:lineRule="auto"/>
        <w:jc w:val="both"/>
        <w:rPr>
          <w:rFonts w:ascii="Verdana" w:hAnsi="Verdana" w:cs="Arial"/>
        </w:rPr>
      </w:pPr>
    </w:p>
    <w:p w14:paraId="7E419ECF" w14:textId="77777777" w:rsidR="00C73FA4" w:rsidRDefault="00C73FA4" w:rsidP="00C73FA4">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36767119" w14:textId="77777777" w:rsidR="00C73FA4" w:rsidRDefault="00C73FA4" w:rsidP="00C73FA4">
      <w:pPr>
        <w:widowControl w:val="0"/>
        <w:autoSpaceDE w:val="0"/>
        <w:autoSpaceDN w:val="0"/>
        <w:spacing w:after="0" w:line="276" w:lineRule="auto"/>
        <w:jc w:val="both"/>
        <w:rPr>
          <w:rFonts w:ascii="Verdana" w:hAnsi="Verdana" w:cs="Arial"/>
        </w:rPr>
      </w:pPr>
    </w:p>
    <w:p w14:paraId="78DD9655" w14:textId="77777777" w:rsidR="00C73FA4" w:rsidRDefault="00C73FA4" w:rsidP="00C73FA4">
      <w:pPr>
        <w:spacing w:after="0" w:line="276"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67DD3B4E" w14:textId="119D0A4B" w:rsidR="00C73FA4" w:rsidRDefault="006B4FCC" w:rsidP="00C73FA4">
      <w:pPr>
        <w:spacing w:after="0" w:line="276" w:lineRule="auto"/>
        <w:jc w:val="center"/>
      </w:pPr>
      <w:r>
        <w:rPr>
          <w:noProof/>
        </w:rPr>
        <w:drawing>
          <wp:inline distT="0" distB="0" distL="0" distR="0" wp14:anchorId="50A0915F" wp14:editId="3AF5D735">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73FA4" w14:paraId="6E52246D" w14:textId="77777777" w:rsidTr="00507240">
        <w:trPr>
          <w:trHeight w:val="315"/>
        </w:trPr>
        <w:tc>
          <w:tcPr>
            <w:tcW w:w="893" w:type="dxa"/>
            <w:vAlign w:val="center"/>
            <w:hideMark/>
          </w:tcPr>
          <w:p w14:paraId="2D390610" w14:textId="77777777" w:rsidR="00C73FA4" w:rsidRDefault="00C73FA4" w:rsidP="00507240">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FAA6EC6" w14:textId="77777777" w:rsidR="00C73FA4" w:rsidRDefault="00C73FA4" w:rsidP="00507240">
            <w:pPr>
              <w:spacing w:after="255"/>
              <w:contextualSpacing/>
              <w:rPr>
                <w:rFonts w:ascii="Verdana" w:eastAsia="Arial" w:hAnsi="Verdana" w:cs="Arial"/>
                <w:sz w:val="16"/>
                <w:szCs w:val="16"/>
              </w:rPr>
            </w:pPr>
            <w:r>
              <w:rPr>
                <w:rStyle w:val="normaltextrun"/>
                <w:rFonts w:ascii="Verdana" w:hAnsi="Verdana"/>
                <w:sz w:val="16"/>
                <w:szCs w:val="16"/>
              </w:rPr>
              <w:t>Catalina Cubides Estupiñan</w:t>
            </w:r>
          </w:p>
          <w:p w14:paraId="48688F66" w14:textId="77777777" w:rsidR="00C73FA4" w:rsidRDefault="00C73FA4" w:rsidP="00507240">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C73FA4" w14:paraId="652A8763" w14:textId="77777777" w:rsidTr="00507240">
        <w:trPr>
          <w:trHeight w:val="330"/>
        </w:trPr>
        <w:tc>
          <w:tcPr>
            <w:tcW w:w="893" w:type="dxa"/>
            <w:vAlign w:val="center"/>
            <w:hideMark/>
          </w:tcPr>
          <w:p w14:paraId="604C6AC6" w14:textId="77777777" w:rsidR="00C73FA4" w:rsidRDefault="00C73FA4" w:rsidP="00507240">
            <w:pPr>
              <w:spacing w:after="255"/>
              <w:contextualSpacing/>
              <w:rPr>
                <w:rFonts w:ascii="Verdana" w:hAnsi="Verdana" w:cs="Arial"/>
                <w:sz w:val="16"/>
                <w:szCs w:val="16"/>
                <w:lang w:val="es-ES" w:eastAsia="es-ES"/>
              </w:rPr>
            </w:pPr>
            <w:r>
              <w:rPr>
                <w:rFonts w:ascii="Verdana" w:hAnsi="Verdana" w:cs="Arial"/>
                <w:sz w:val="16"/>
                <w:szCs w:val="16"/>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EA90D76" w14:textId="77777777" w:rsidR="00C73FA4" w:rsidRDefault="00C73FA4" w:rsidP="00507240">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Juan Carlos González Vásquez</w:t>
            </w:r>
          </w:p>
          <w:p w14:paraId="66765868" w14:textId="77777777" w:rsidR="00C73FA4" w:rsidRDefault="00C73FA4" w:rsidP="00507240">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C73FA4" w14:paraId="6D6894F5" w14:textId="77777777" w:rsidTr="00507240">
        <w:trPr>
          <w:trHeight w:val="300"/>
        </w:trPr>
        <w:tc>
          <w:tcPr>
            <w:tcW w:w="893" w:type="dxa"/>
            <w:vAlign w:val="center"/>
            <w:hideMark/>
          </w:tcPr>
          <w:p w14:paraId="2B98D99A" w14:textId="77777777" w:rsidR="00C73FA4" w:rsidRDefault="00C73FA4" w:rsidP="00507240">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1E0AD5B" w14:textId="77777777" w:rsidR="00C73FA4" w:rsidRDefault="00C73FA4" w:rsidP="00507240">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Carolina Quintero Gacharná</w:t>
            </w:r>
          </w:p>
          <w:p w14:paraId="43674FAE" w14:textId="77777777" w:rsidR="00C73FA4" w:rsidRDefault="00C73FA4" w:rsidP="00507240">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Contractual ANCP – CCE </w:t>
            </w:r>
          </w:p>
        </w:tc>
      </w:tr>
    </w:tbl>
    <w:p w14:paraId="60277788" w14:textId="77777777" w:rsidR="00C73FA4" w:rsidRPr="001249F1" w:rsidRDefault="00C73FA4" w:rsidP="00C73FA4"/>
    <w:p w14:paraId="65219869" w14:textId="77777777" w:rsidR="00C73FA4" w:rsidRPr="0044528D" w:rsidRDefault="00C73FA4" w:rsidP="00C73FA4">
      <w:pPr>
        <w:spacing w:after="0"/>
        <w:rPr>
          <w:rFonts w:ascii="Verdana" w:eastAsia="Times New Roman" w:hAnsi="Verdana" w:cs="Segoe UI"/>
          <w:b/>
          <w:bCs/>
          <w:color w:val="46589C"/>
          <w:lang w:val="es-ES" w:eastAsia="es-CO"/>
        </w:rPr>
      </w:pPr>
    </w:p>
    <w:p w14:paraId="54E0E596" w14:textId="77777777" w:rsidR="00C73FA4" w:rsidRPr="00046945" w:rsidRDefault="00C73FA4" w:rsidP="00C73FA4">
      <w:pPr>
        <w:spacing w:after="0"/>
        <w:rPr>
          <w:rFonts w:ascii="Verdana" w:eastAsia="Times New Roman" w:hAnsi="Verdana" w:cs="Segoe UI"/>
          <w:sz w:val="18"/>
          <w:szCs w:val="18"/>
          <w:lang w:eastAsia="es-CO"/>
        </w:rPr>
      </w:pPr>
    </w:p>
    <w:p w14:paraId="52D4857B" w14:textId="77777777" w:rsidR="00C73FA4" w:rsidRPr="0044528D" w:rsidRDefault="00C73FA4" w:rsidP="00C73FA4">
      <w:pPr>
        <w:spacing w:after="0"/>
        <w:rPr>
          <w:rFonts w:ascii="Verdana" w:hAnsi="Verdana"/>
        </w:rPr>
      </w:pPr>
    </w:p>
    <w:p w14:paraId="3E119F4B" w14:textId="77777777" w:rsidR="00C73FA4" w:rsidRPr="0015699B" w:rsidRDefault="00C73FA4" w:rsidP="00C73FA4">
      <w:pPr>
        <w:spacing w:after="0"/>
        <w:rPr>
          <w:rFonts w:ascii="Verdana" w:eastAsia="Times New Roman" w:hAnsi="Verdana" w:cs="Segoe UI"/>
          <w:lang w:eastAsia="es-CO"/>
        </w:rPr>
      </w:pPr>
    </w:p>
    <w:bookmarkEnd w:id="0"/>
    <w:p w14:paraId="7FF04D23" w14:textId="666C3E02" w:rsidR="00C73FA4" w:rsidRPr="0024624F" w:rsidRDefault="00C73FA4" w:rsidP="00C15139">
      <w:pPr>
        <w:spacing w:after="0"/>
        <w:rPr>
          <w:rFonts w:ascii="Verdana" w:hAnsi="Verdana"/>
        </w:rPr>
      </w:pPr>
    </w:p>
    <w:sectPr w:rsidR="00C73FA4" w:rsidRPr="0024624F"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AAAF66" w14:textId="77777777" w:rsidR="00220233" w:rsidRDefault="00220233" w:rsidP="004A1847">
      <w:pPr>
        <w:spacing w:after="0" w:line="240" w:lineRule="auto"/>
      </w:pPr>
      <w:r>
        <w:separator/>
      </w:r>
    </w:p>
  </w:endnote>
  <w:endnote w:type="continuationSeparator" w:id="0">
    <w:p w14:paraId="0E11B63B" w14:textId="77777777" w:rsidR="00220233" w:rsidRDefault="0022023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altName w:val="Calibri"/>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83FDFF" w14:textId="77777777" w:rsidR="00220233" w:rsidRDefault="00220233" w:rsidP="004A1847">
      <w:pPr>
        <w:spacing w:after="0" w:line="240" w:lineRule="auto"/>
      </w:pPr>
      <w:r>
        <w:separator/>
      </w:r>
    </w:p>
  </w:footnote>
  <w:footnote w:type="continuationSeparator" w:id="0">
    <w:p w14:paraId="23B40857" w14:textId="77777777" w:rsidR="00220233" w:rsidRDefault="00220233" w:rsidP="004A1847">
      <w:pPr>
        <w:spacing w:after="0" w:line="240" w:lineRule="auto"/>
      </w:pPr>
      <w:r>
        <w:continuationSeparator/>
      </w:r>
    </w:p>
  </w:footnote>
  <w:footnote w:id="1">
    <w:p w14:paraId="4C3C5BB6" w14:textId="77777777" w:rsidR="00C73FA4" w:rsidRPr="00100432" w:rsidRDefault="00C73FA4" w:rsidP="00C73FA4">
      <w:pPr>
        <w:pStyle w:val="Textonotapie"/>
        <w:ind w:firstLine="708"/>
        <w:jc w:val="both"/>
        <w:rPr>
          <w:rFonts w:ascii="Verdana" w:hAnsi="Verdana"/>
          <w:sz w:val="16"/>
          <w:szCs w:val="16"/>
          <w:lang w:val="es-CO"/>
        </w:rPr>
      </w:pPr>
      <w:r w:rsidRPr="005037FA">
        <w:rPr>
          <w:rStyle w:val="Refdenotaalpie"/>
          <w:rFonts w:ascii="Verdana" w:hAnsi="Verdana"/>
          <w:sz w:val="16"/>
          <w:szCs w:val="16"/>
        </w:rPr>
        <w:footnoteRef/>
      </w:r>
      <w:r w:rsidRPr="005037FA">
        <w:rPr>
          <w:rFonts w:ascii="Verdana" w:hAnsi="Verdana"/>
          <w:sz w:val="16"/>
          <w:szCs w:val="16"/>
        </w:rPr>
        <w:t xml:space="preserve"> Código Civil: “Articulo 1602. Todo contrato legalmente celebrado es una ley para los contratantes, y no puede ser invalidado sino por su consentimiento mutuo o por causas legales”.</w:t>
      </w:r>
    </w:p>
  </w:footnote>
  <w:footnote w:id="2">
    <w:p w14:paraId="42973A45" w14:textId="77777777" w:rsidR="00C73FA4" w:rsidRPr="00C92145" w:rsidRDefault="00C73FA4" w:rsidP="00C73FA4">
      <w:pPr>
        <w:pStyle w:val="Textonotapie"/>
        <w:ind w:firstLine="709"/>
        <w:jc w:val="both"/>
        <w:rPr>
          <w:rFonts w:ascii="Verdana" w:hAnsi="Verdana" w:cs="Arial"/>
          <w:color w:val="000000" w:themeColor="text1"/>
          <w:sz w:val="14"/>
          <w:szCs w:val="14"/>
        </w:rPr>
      </w:pPr>
      <w:r w:rsidRPr="00C92145">
        <w:rPr>
          <w:rStyle w:val="Refdenotaalpie"/>
          <w:rFonts w:ascii="Verdana" w:hAnsi="Verdana" w:cs="Arial"/>
          <w:color w:val="000000" w:themeColor="text1"/>
          <w:sz w:val="14"/>
          <w:szCs w:val="14"/>
        </w:rPr>
        <w:footnoteRef/>
      </w:r>
      <w:r w:rsidRPr="00C92145">
        <w:rPr>
          <w:rFonts w:ascii="Verdana" w:hAnsi="Verdana" w:cs="Arial"/>
          <w:color w:val="000000" w:themeColor="text1"/>
          <w:sz w:val="14"/>
          <w:szCs w:val="14"/>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3EA34B26" w14:textId="77777777" w:rsidR="00C73FA4" w:rsidRPr="00C92145" w:rsidRDefault="00C73FA4" w:rsidP="00C73FA4">
      <w:pPr>
        <w:pStyle w:val="Textonotapie"/>
        <w:ind w:firstLine="709"/>
        <w:jc w:val="both"/>
        <w:rPr>
          <w:rFonts w:ascii="Verdana" w:hAnsi="Verdana" w:cs="Arial"/>
          <w:color w:val="000000" w:themeColor="text1"/>
          <w:sz w:val="14"/>
          <w:szCs w:val="14"/>
        </w:rPr>
      </w:pPr>
      <w:r w:rsidRPr="00C92145">
        <w:rPr>
          <w:rFonts w:ascii="Verdana" w:hAnsi="Verdana" w:cs="Arial"/>
          <w:color w:val="000000" w:themeColor="text1"/>
          <w:sz w:val="14"/>
          <w:szCs w:val="14"/>
        </w:rPr>
        <w:t>Lo anterior, sin perjuicio de las publicaciones previstas en el numeral 3 del artículo 30 de la Ley 80 de 1993.</w:t>
      </w:r>
    </w:p>
    <w:p w14:paraId="1986C1BB" w14:textId="77777777" w:rsidR="00C73FA4" w:rsidRPr="00C92145" w:rsidRDefault="00C73FA4" w:rsidP="00C73FA4">
      <w:pPr>
        <w:pStyle w:val="Textonotapie"/>
        <w:ind w:firstLine="709"/>
        <w:jc w:val="both"/>
        <w:rPr>
          <w:rFonts w:ascii="Verdana" w:hAnsi="Verdana" w:cs="Arial"/>
          <w:color w:val="000000" w:themeColor="text1"/>
          <w:sz w:val="14"/>
          <w:szCs w:val="14"/>
        </w:rPr>
      </w:pPr>
      <w:r w:rsidRPr="00C92145">
        <w:rPr>
          <w:rFonts w:ascii="Verdana" w:hAnsi="Verdana" w:cs="Arial"/>
          <w:color w:val="000000" w:themeColor="text1"/>
          <w:sz w:val="14"/>
          <w:szCs w:val="14"/>
        </w:rPr>
        <w:t xml:space="preserve">Con el fin de materializar los objetivos a que se refiere el inciso anterior, el Gobierno Nacional desarrollará el Sistema Electrónico para la Contratación Pública, Secop, el cual: </w:t>
      </w:r>
    </w:p>
    <w:p w14:paraId="61C2DD00" w14:textId="77777777" w:rsidR="00C73FA4" w:rsidRPr="00C92145" w:rsidRDefault="00C73FA4" w:rsidP="00C73FA4">
      <w:pPr>
        <w:pStyle w:val="Textonotapie"/>
        <w:ind w:firstLine="709"/>
        <w:jc w:val="both"/>
        <w:rPr>
          <w:rFonts w:ascii="Verdana" w:hAnsi="Verdana" w:cs="Arial"/>
          <w:color w:val="000000" w:themeColor="text1"/>
          <w:sz w:val="14"/>
          <w:szCs w:val="14"/>
        </w:rPr>
      </w:pPr>
      <w:r w:rsidRPr="00C92145">
        <w:rPr>
          <w:rFonts w:ascii="Verdana" w:hAnsi="Verdana" w:cs="Arial"/>
          <w:color w:val="000000" w:themeColor="text1"/>
          <w:sz w:val="14"/>
          <w:szCs w:val="14"/>
        </w:rPr>
        <w:t>[…]</w:t>
      </w:r>
    </w:p>
    <w:p w14:paraId="0BA54070" w14:textId="77777777" w:rsidR="00C73FA4" w:rsidRPr="00C92145" w:rsidRDefault="00C73FA4" w:rsidP="00C73FA4">
      <w:pPr>
        <w:pStyle w:val="Textonotapie"/>
        <w:ind w:firstLine="709"/>
        <w:jc w:val="both"/>
        <w:rPr>
          <w:rFonts w:ascii="Verdana" w:hAnsi="Verdana" w:cs="Arial"/>
          <w:color w:val="000000" w:themeColor="text1"/>
          <w:sz w:val="14"/>
          <w:szCs w:val="14"/>
        </w:rPr>
      </w:pPr>
      <w:r w:rsidRPr="00C92145">
        <w:rPr>
          <w:rFonts w:ascii="Verdana" w:hAnsi="Verdana" w:cs="Arial"/>
          <w:color w:val="000000" w:themeColor="text1"/>
          <w:sz w:val="14"/>
          <w:szCs w:val="14"/>
        </w:rPr>
        <w:t xml:space="preserve">c) Contará con la información oficial de la contratación realizada con dineros públicos, para lo cual establecerá los patrones a que haya lugar y se encargará de su difusión a través de canales electrónico”. </w:t>
      </w:r>
    </w:p>
    <w:p w14:paraId="5DA5D0B1" w14:textId="77777777" w:rsidR="00C73FA4" w:rsidRPr="00C92145" w:rsidRDefault="00C73FA4" w:rsidP="00C73FA4">
      <w:pPr>
        <w:pStyle w:val="Textonotapie"/>
        <w:ind w:firstLine="709"/>
        <w:jc w:val="both"/>
        <w:rPr>
          <w:rFonts w:ascii="Verdana" w:hAnsi="Verdana" w:cs="Arial"/>
          <w:color w:val="000000" w:themeColor="text1"/>
          <w:sz w:val="14"/>
          <w:szCs w:val="14"/>
          <w:lang w:val="es-CO"/>
        </w:rPr>
      </w:pPr>
    </w:p>
  </w:footnote>
  <w:footnote w:id="3">
    <w:p w14:paraId="3D44057F" w14:textId="77777777" w:rsidR="00C73FA4" w:rsidRPr="005C10BE" w:rsidRDefault="00C73FA4" w:rsidP="00C73FA4">
      <w:pPr>
        <w:pStyle w:val="Textonotapie"/>
        <w:ind w:firstLine="709"/>
        <w:jc w:val="both"/>
        <w:rPr>
          <w:rFonts w:ascii="Verdana" w:hAnsi="Verdana" w:cs="Arial"/>
          <w:color w:val="000000"/>
          <w:sz w:val="16"/>
          <w:szCs w:val="16"/>
        </w:rPr>
      </w:pPr>
      <w:r w:rsidRPr="005C10BE">
        <w:rPr>
          <w:rStyle w:val="Refdenotaalpie"/>
          <w:rFonts w:ascii="Verdana" w:hAnsi="Verdana" w:cs="Arial"/>
          <w:color w:val="000000"/>
          <w:sz w:val="16"/>
          <w:szCs w:val="16"/>
        </w:rPr>
        <w:footnoteRef/>
      </w:r>
      <w:r w:rsidRPr="005C10BE">
        <w:rPr>
          <w:rFonts w:ascii="Verdana" w:hAnsi="Verdana" w:cs="Arial"/>
          <w:color w:val="000000"/>
          <w:sz w:val="16"/>
          <w:szCs w:val="16"/>
        </w:rPr>
        <w:t xml:space="preserve"> Ley 1712 de 2014: “Artículo 2. Toda información en posesión, bajo control o custodia de un sujeto obligado es pública y no podrá ser reservada o limitada sino por disposición constitucional o legal, de conformidad con la presente ley”.</w:t>
      </w:r>
    </w:p>
    <w:p w14:paraId="7593A1E4" w14:textId="77777777" w:rsidR="00C73FA4" w:rsidRPr="005C10BE" w:rsidRDefault="00C73FA4" w:rsidP="00C73FA4">
      <w:pPr>
        <w:pStyle w:val="Textonotapie"/>
        <w:ind w:firstLine="709"/>
        <w:jc w:val="both"/>
        <w:rPr>
          <w:rFonts w:ascii="Verdana" w:hAnsi="Verdana" w:cs="Arial"/>
          <w:color w:val="000000"/>
          <w:sz w:val="16"/>
          <w:szCs w:val="16"/>
          <w:lang w:val="es-CO"/>
        </w:rPr>
      </w:pPr>
    </w:p>
  </w:footnote>
  <w:footnote w:id="4">
    <w:p w14:paraId="3BB68FFB" w14:textId="77777777" w:rsidR="00C73FA4" w:rsidRPr="005C10BE" w:rsidRDefault="00C73FA4" w:rsidP="00C73FA4">
      <w:pPr>
        <w:pStyle w:val="Textonotapie"/>
        <w:ind w:firstLine="709"/>
        <w:jc w:val="both"/>
        <w:rPr>
          <w:rFonts w:ascii="Verdana" w:hAnsi="Verdana" w:cs="Arial"/>
          <w:color w:val="000000"/>
          <w:sz w:val="16"/>
          <w:szCs w:val="16"/>
        </w:rPr>
      </w:pPr>
      <w:r w:rsidRPr="005C10BE">
        <w:rPr>
          <w:rStyle w:val="Refdenotaalpie"/>
          <w:rFonts w:ascii="Verdana" w:hAnsi="Verdana" w:cs="Arial"/>
          <w:color w:val="000000"/>
          <w:sz w:val="16"/>
          <w:szCs w:val="16"/>
        </w:rPr>
        <w:footnoteRef/>
      </w:r>
      <w:r w:rsidRPr="005C10BE">
        <w:rPr>
          <w:rFonts w:ascii="Verdana" w:hAnsi="Verdana" w:cs="Arial"/>
          <w:color w:val="000000"/>
          <w:sz w:val="16"/>
          <w:szCs w:val="16"/>
        </w:rPr>
        <w:t xml:space="preserve"> Ley 1712 de 2014: “Artículo 5. Ámbito de aplicación. Las disposiciones de esta ley serán aplicables a las siguientes personas en calidad de sujetos obligados: </w:t>
      </w:r>
    </w:p>
    <w:p w14:paraId="65BE563D" w14:textId="77777777" w:rsidR="00C73FA4" w:rsidRPr="005C10BE" w:rsidRDefault="00C73FA4" w:rsidP="00C73FA4">
      <w:pPr>
        <w:pStyle w:val="Textonotapie"/>
        <w:ind w:firstLine="709"/>
        <w:jc w:val="both"/>
        <w:rPr>
          <w:rFonts w:ascii="Verdana" w:hAnsi="Verdana" w:cs="Arial"/>
          <w:color w:val="000000"/>
          <w:sz w:val="16"/>
          <w:szCs w:val="16"/>
        </w:rPr>
      </w:pPr>
      <w:r w:rsidRPr="005C10BE">
        <w:rPr>
          <w:rFonts w:ascii="Verdana" w:hAnsi="Verdana" w:cs="Arial"/>
          <w:color w:val="000000"/>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51FF5BFE" w14:textId="77777777" w:rsidR="00C73FA4" w:rsidRPr="005C10BE" w:rsidRDefault="00C73FA4" w:rsidP="00C73FA4">
      <w:pPr>
        <w:pStyle w:val="Textonotapie"/>
        <w:ind w:firstLine="709"/>
        <w:jc w:val="both"/>
        <w:rPr>
          <w:rFonts w:ascii="Verdana" w:hAnsi="Verdana" w:cs="Arial"/>
          <w:color w:val="000000"/>
          <w:sz w:val="16"/>
          <w:szCs w:val="16"/>
          <w:lang w:val="es-CO"/>
        </w:rPr>
      </w:pPr>
    </w:p>
  </w:footnote>
  <w:footnote w:id="5">
    <w:p w14:paraId="4C790673" w14:textId="77777777" w:rsidR="00C73FA4" w:rsidRPr="005C10BE" w:rsidRDefault="00C73FA4" w:rsidP="00C73FA4">
      <w:pPr>
        <w:pStyle w:val="Textonotapie"/>
        <w:ind w:firstLine="709"/>
        <w:jc w:val="both"/>
        <w:rPr>
          <w:rFonts w:ascii="Verdana" w:hAnsi="Verdana" w:cs="Arial"/>
          <w:color w:val="000000"/>
          <w:sz w:val="16"/>
          <w:szCs w:val="16"/>
        </w:rPr>
      </w:pPr>
      <w:r w:rsidRPr="005C10BE">
        <w:rPr>
          <w:rFonts w:ascii="Verdana" w:eastAsia="Times New Roman" w:hAnsi="Verdana" w:cs="Arial"/>
          <w:color w:val="000000"/>
          <w:sz w:val="16"/>
          <w:szCs w:val="16"/>
          <w:vertAlign w:val="superscript"/>
          <w:lang w:val="es-ES" w:eastAsia="es-ES"/>
        </w:rPr>
        <w:footnoteRef/>
      </w:r>
      <w:r w:rsidRPr="005C10BE">
        <w:rPr>
          <w:rFonts w:ascii="Verdana" w:eastAsia="Times New Roman" w:hAnsi="Verdana" w:cs="Arial"/>
          <w:color w:val="000000"/>
          <w:sz w:val="16"/>
          <w:szCs w:val="16"/>
          <w:vertAlign w:val="superscript"/>
          <w:lang w:val="es-ES" w:eastAsia="es-ES"/>
        </w:rPr>
        <w:t xml:space="preserve"> </w:t>
      </w:r>
      <w:r w:rsidRPr="005C10BE">
        <w:rPr>
          <w:rFonts w:ascii="Verdana" w:eastAsia="Times New Roman" w:hAnsi="Verdana" w:cs="Arial"/>
          <w:color w:val="000000"/>
          <w:sz w:val="16"/>
          <w:szCs w:val="16"/>
          <w:lang w:val="es-ES" w:eastAsia="es-ES"/>
        </w:rPr>
        <w:t>“</w:t>
      </w:r>
      <w:r w:rsidRPr="005C10BE">
        <w:rPr>
          <w:rFonts w:ascii="Verdana" w:hAnsi="Verdana" w:cs="Arial"/>
          <w:color w:val="000000"/>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59F94830" w14:textId="77777777" w:rsidR="00C73FA4" w:rsidRPr="005C10BE" w:rsidRDefault="00C73FA4" w:rsidP="00C73FA4">
      <w:pPr>
        <w:pStyle w:val="Textonotapie"/>
        <w:ind w:firstLine="709"/>
        <w:jc w:val="both"/>
        <w:rPr>
          <w:rFonts w:ascii="Verdana" w:eastAsia="Times New Roman" w:hAnsi="Verdana" w:cs="Arial"/>
          <w:color w:val="000000"/>
          <w:sz w:val="16"/>
          <w:szCs w:val="16"/>
          <w:lang w:val="es-ES" w:eastAsia="es-ES"/>
        </w:rPr>
      </w:pPr>
      <w:r w:rsidRPr="005C10BE">
        <w:rPr>
          <w:rFonts w:ascii="Verdana" w:hAnsi="Verdana" w:cs="Arial"/>
          <w:color w:val="000000"/>
          <w:sz w:val="16"/>
          <w:szCs w:val="16"/>
        </w:rPr>
        <w:t>[…].</w:t>
      </w:r>
    </w:p>
    <w:p w14:paraId="4B532E2E" w14:textId="77777777" w:rsidR="00C73FA4" w:rsidRPr="005C10BE" w:rsidRDefault="00C73FA4" w:rsidP="00C73FA4">
      <w:pPr>
        <w:pStyle w:val="Textonotapie"/>
        <w:ind w:firstLine="709"/>
        <w:jc w:val="both"/>
        <w:rPr>
          <w:rFonts w:ascii="Verdana" w:eastAsia="Times New Roman" w:hAnsi="Verdana" w:cs="Arial"/>
          <w:color w:val="000000"/>
          <w:sz w:val="16"/>
          <w:szCs w:val="16"/>
          <w:lang w:val="es-ES" w:eastAsia="es-ES"/>
        </w:rPr>
      </w:pPr>
      <w:r w:rsidRPr="005C10BE">
        <w:rPr>
          <w:rFonts w:ascii="Verdana" w:eastAsia="Times New Roman" w:hAnsi="Verdana" w:cs="Arial"/>
          <w:color w:val="000000"/>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p w14:paraId="511F8542" w14:textId="77777777" w:rsidR="00C73FA4" w:rsidRPr="005C10BE" w:rsidRDefault="00C73FA4" w:rsidP="00C73FA4">
      <w:pPr>
        <w:pStyle w:val="Textonotapie"/>
        <w:ind w:firstLine="709"/>
        <w:jc w:val="both"/>
        <w:rPr>
          <w:rFonts w:ascii="Verdana" w:eastAsia="Times New Roman" w:hAnsi="Verdana" w:cs="Arial"/>
          <w:color w:val="000000"/>
          <w:sz w:val="16"/>
          <w:szCs w:val="16"/>
          <w:lang w:val="es-ES" w:eastAsia="es-ES"/>
        </w:rPr>
      </w:pPr>
    </w:p>
  </w:footnote>
  <w:footnote w:id="6">
    <w:p w14:paraId="41481A0E" w14:textId="77777777" w:rsidR="00C73FA4" w:rsidRPr="0057600C" w:rsidRDefault="00C73FA4" w:rsidP="00C73FA4">
      <w:pPr>
        <w:pStyle w:val="Textonotapie"/>
        <w:jc w:val="both"/>
        <w:rPr>
          <w:lang w:val="es-ES"/>
        </w:rPr>
      </w:pPr>
      <w:r>
        <w:rPr>
          <w:rStyle w:val="Refdenotaalpie"/>
        </w:rPr>
        <w:footnoteRef/>
      </w:r>
      <w:r>
        <w:t xml:space="preserve"> </w:t>
      </w:r>
      <w:r w:rsidRPr="003F20DD">
        <w:rPr>
          <w:rFonts w:ascii="Verdana" w:eastAsia="Times New Roman" w:hAnsi="Verdana" w:cs="Times New Roman"/>
          <w:sz w:val="16"/>
          <w:szCs w:val="16"/>
          <w:lang w:eastAsia="es-CO"/>
        </w:rPr>
        <w:t xml:space="preserve">Manual de la Modalidad de Selección de Mínima Cuantía de la Agencia. </w:t>
      </w:r>
      <w:hyperlink r:id="rId1" w:history="1">
        <w:r w:rsidRPr="003F20DD">
          <w:rPr>
            <w:rStyle w:val="Hipervnculo"/>
            <w:rFonts w:ascii="Verdana" w:eastAsia="Times New Roman" w:hAnsi="Verdana" w:cs="Times New Roman"/>
            <w:sz w:val="16"/>
            <w:szCs w:val="16"/>
            <w:lang w:eastAsia="es-CO"/>
          </w:rPr>
          <w:t>https://www.colombiacompra.gov.co/wp-content/uploads/2024/08/manual_de_la_modalidad_de_seleccion_de_minima_cuantia.pdf</w:t>
        </w:r>
      </w:hyperlink>
      <w:r>
        <w:rPr>
          <w:rFonts w:ascii="Verdana" w:eastAsia="Times New Roman" w:hAnsi="Verdana" w:cs="Times New Roman"/>
          <w:sz w:val="21"/>
          <w:szCs w:val="21"/>
          <w:lang w:eastAsia="es-CO"/>
        </w:rPr>
        <w:t xml:space="preserve"> </w:t>
      </w:r>
    </w:p>
  </w:footnote>
  <w:footnote w:id="7">
    <w:p w14:paraId="061C6634" w14:textId="77777777" w:rsidR="00C73FA4" w:rsidRPr="00100432" w:rsidRDefault="00C73FA4" w:rsidP="00C73FA4">
      <w:pPr>
        <w:pStyle w:val="Textonotapie"/>
        <w:ind w:firstLine="708"/>
        <w:jc w:val="both"/>
        <w:rPr>
          <w:rFonts w:ascii="Verdana" w:hAnsi="Verdana"/>
          <w:sz w:val="16"/>
          <w:szCs w:val="16"/>
          <w:lang w:val="es-CO"/>
        </w:rPr>
      </w:pPr>
      <w:r w:rsidRPr="00100432">
        <w:rPr>
          <w:rStyle w:val="Refdenotaalpie"/>
          <w:rFonts w:ascii="Verdana" w:hAnsi="Verdana"/>
          <w:sz w:val="16"/>
          <w:szCs w:val="16"/>
        </w:rPr>
        <w:footnoteRef/>
      </w:r>
      <w:r w:rsidRPr="00100432">
        <w:rPr>
          <w:rFonts w:ascii="Verdana" w:hAnsi="Verdana"/>
          <w:sz w:val="16"/>
          <w:szCs w:val="16"/>
        </w:rPr>
        <w:t xml:space="preserve"> Código Civil: “Articulo 1602. Todo contrato legalmente celebrado es una ley para los contratantes, y no puede ser invalidado sino por su consentimiento mutuo o por causas legales”.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20"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1914ED"/>
    <w:multiLevelType w:val="hybridMultilevel"/>
    <w:tmpl w:val="E0D28E7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7A3460C"/>
    <w:multiLevelType w:val="hybridMultilevel"/>
    <w:tmpl w:val="14AAFAEA"/>
    <w:lvl w:ilvl="0" w:tplc="6960FADA">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A00411A"/>
    <w:multiLevelType w:val="hybridMultilevel"/>
    <w:tmpl w:val="EC9CE04A"/>
    <w:lvl w:ilvl="0" w:tplc="0FC8A92E">
      <w:start w:val="2"/>
      <w:numFmt w:val="lowerRoman"/>
      <w:lvlText w:val="%1."/>
      <w:lvlJc w:val="left"/>
      <w:pPr>
        <w:ind w:left="1080" w:hanging="720"/>
      </w:pPr>
      <w:rPr>
        <w:rFonts w:eastAsia="Aria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2"/>
  </w:num>
  <w:num w:numId="3">
    <w:abstractNumId w:val="5"/>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6"/>
  </w:num>
  <w:num w:numId="7">
    <w:abstractNumId w:val="6"/>
  </w:num>
  <w:num w:numId="8">
    <w:abstractNumId w:val="15"/>
  </w:num>
  <w:num w:numId="9">
    <w:abstractNumId w:val="9"/>
  </w:num>
  <w:num w:numId="10">
    <w:abstractNumId w:val="14"/>
  </w:num>
  <w:num w:numId="11">
    <w:abstractNumId w:val="10"/>
  </w:num>
  <w:num w:numId="12">
    <w:abstractNumId w:val="1"/>
  </w:num>
  <w:num w:numId="13">
    <w:abstractNumId w:val="4"/>
  </w:num>
  <w:num w:numId="14">
    <w:abstractNumId w:val="17"/>
  </w:num>
  <w:num w:numId="15">
    <w:abstractNumId w:val="12"/>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7"/>
  </w:num>
  <w:num w:numId="19">
    <w:abstractNumId w:val="11"/>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625C"/>
    <w:rsid w:val="000A683E"/>
    <w:rsid w:val="000B19B9"/>
    <w:rsid w:val="000D0334"/>
    <w:rsid w:val="000D5DA7"/>
    <w:rsid w:val="000F6486"/>
    <w:rsid w:val="00116940"/>
    <w:rsid w:val="00125105"/>
    <w:rsid w:val="00127233"/>
    <w:rsid w:val="0015699B"/>
    <w:rsid w:val="001A33BF"/>
    <w:rsid w:val="001E4177"/>
    <w:rsid w:val="001F0B24"/>
    <w:rsid w:val="001F7DC6"/>
    <w:rsid w:val="00220233"/>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037FA"/>
    <w:rsid w:val="005566E8"/>
    <w:rsid w:val="00574867"/>
    <w:rsid w:val="00591460"/>
    <w:rsid w:val="005A65E0"/>
    <w:rsid w:val="005C3777"/>
    <w:rsid w:val="005C5CDC"/>
    <w:rsid w:val="005D476C"/>
    <w:rsid w:val="006200BF"/>
    <w:rsid w:val="006219F8"/>
    <w:rsid w:val="006302F7"/>
    <w:rsid w:val="00646B9F"/>
    <w:rsid w:val="00665D70"/>
    <w:rsid w:val="006900D9"/>
    <w:rsid w:val="006B4FCC"/>
    <w:rsid w:val="006F3691"/>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934DA"/>
    <w:rsid w:val="008A446D"/>
    <w:rsid w:val="008A4A55"/>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E329E"/>
    <w:rsid w:val="009F3A13"/>
    <w:rsid w:val="00A122D3"/>
    <w:rsid w:val="00A14468"/>
    <w:rsid w:val="00A17F13"/>
    <w:rsid w:val="00A20739"/>
    <w:rsid w:val="00A23AF9"/>
    <w:rsid w:val="00A33C78"/>
    <w:rsid w:val="00A965EF"/>
    <w:rsid w:val="00AB0ADB"/>
    <w:rsid w:val="00AF4CED"/>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3FA4"/>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73FA4"/>
    <w:rPr>
      <w:rFonts w:ascii="Geomanist Light" w:hAnsi="Geomanist Light"/>
      <w:lang w:val="es-ES"/>
    </w:rPr>
  </w:style>
  <w:style w:type="paragraph" w:customStyle="1" w:styleId="Appelnotedebasde">
    <w:name w:val="Appel note de bas de..."/>
    <w:basedOn w:val="Normal"/>
    <w:link w:val="Refdenotaalpie"/>
    <w:uiPriority w:val="99"/>
    <w:rsid w:val="00C73FA4"/>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rthacastelar@outlook.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manual_de_la_modalidad_de_seleccion_de_minima_cuantia.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0A064D2-EC9E-424D-849E-A6CF70FC7B43}"/>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14</Pages>
  <Words>3835</Words>
  <Characters>21097</Characters>
  <Application>Microsoft Office Word</Application>
  <DocSecurity>0</DocSecurity>
  <Lines>175</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3</cp:revision>
  <cp:lastPrinted>2023-01-10T21:18:00Z</cp:lastPrinted>
  <dcterms:created xsi:type="dcterms:W3CDTF">2025-12-15T20:54:00Z</dcterms:created>
  <dcterms:modified xsi:type="dcterms:W3CDTF">2025-12-23T12:19:00Z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