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F64547" w14:textId="389DECF5" w:rsidR="002133AC" w:rsidRPr="00C55BDE" w:rsidRDefault="002133AC" w:rsidP="002133AC">
      <w:pPr>
        <w:jc w:val="both"/>
        <w:rPr>
          <w:rFonts w:ascii="Verdana" w:eastAsia="Calibri" w:hAnsi="Verdana" w:cs="Arial"/>
          <w:b/>
        </w:rPr>
      </w:pPr>
      <w:bookmarkStart w:id="0" w:name="_Hlk143780582"/>
      <w:r w:rsidRPr="00C55BDE">
        <w:rPr>
          <w:rFonts w:ascii="Verdana" w:eastAsia="Calibri" w:hAnsi="Verdana" w:cs="Arial"/>
          <w:b/>
        </w:rPr>
        <w:t xml:space="preserve">RESGUARDOS INDÍGENAS – Administración de recursos del SGP – Entidades </w:t>
      </w:r>
      <w:r w:rsidR="00F775C8" w:rsidRPr="00C55BDE">
        <w:rPr>
          <w:rFonts w:ascii="Verdana" w:eastAsia="Calibri" w:hAnsi="Verdana" w:cs="Arial"/>
          <w:b/>
        </w:rPr>
        <w:t>E</w:t>
      </w:r>
      <w:r w:rsidRPr="00C55BDE">
        <w:rPr>
          <w:rFonts w:ascii="Verdana" w:eastAsia="Calibri" w:hAnsi="Verdana" w:cs="Arial"/>
          <w:b/>
        </w:rPr>
        <w:t>statales</w:t>
      </w:r>
    </w:p>
    <w:p w14:paraId="2FBE9944" w14:textId="48394D4F" w:rsidR="002133AC" w:rsidRPr="00C55BDE" w:rsidRDefault="002133AC" w:rsidP="002133AC">
      <w:pPr>
        <w:spacing w:after="0" w:line="240" w:lineRule="auto"/>
        <w:jc w:val="both"/>
        <w:rPr>
          <w:rFonts w:ascii="Verdana" w:eastAsia="Calibri" w:hAnsi="Verdana" w:cs="Arial"/>
          <w:sz w:val="20"/>
        </w:rPr>
      </w:pPr>
      <w:r w:rsidRPr="00C55BDE">
        <w:rPr>
          <w:rFonts w:ascii="Verdana" w:eastAsia="Calibri" w:hAnsi="Verdana" w:cs="Arial"/>
          <w:sz w:val="20"/>
        </w:rPr>
        <w:t xml:space="preserve">Al respecto, [el Decreto 1953 de 2014] dispone que los resguardos indígenas que se ubiquen en ciertos supuestos, al igual que las asociaciones que estos conformen para administrar recursos del SGP, podrán ser considerados como territorios indígenas, de manera transitoria, “[…] mientras el Congreso expide la Ley Orgánica de Ordenamiento Territorial que crea las entidades territoriales indígenas”.   </w:t>
      </w:r>
    </w:p>
    <w:p w14:paraId="0A3AC3A9" w14:textId="77777777" w:rsidR="002133AC" w:rsidRPr="00C55BDE" w:rsidRDefault="002133AC" w:rsidP="002133AC">
      <w:pPr>
        <w:spacing w:after="0" w:line="240" w:lineRule="auto"/>
        <w:jc w:val="both"/>
        <w:rPr>
          <w:rFonts w:ascii="Verdana" w:eastAsia="Calibri" w:hAnsi="Verdana" w:cs="Arial"/>
          <w:b/>
        </w:rPr>
      </w:pPr>
    </w:p>
    <w:p w14:paraId="7D282EF0" w14:textId="7F24B3C2" w:rsidR="002133AC" w:rsidRPr="00C55BDE" w:rsidRDefault="002133AC" w:rsidP="002133AC">
      <w:pPr>
        <w:spacing w:after="0" w:line="240" w:lineRule="auto"/>
        <w:jc w:val="both"/>
        <w:rPr>
          <w:rFonts w:ascii="Verdana" w:eastAsia="Calibri" w:hAnsi="Verdana" w:cs="Arial"/>
          <w:sz w:val="20"/>
        </w:rPr>
      </w:pPr>
      <w:r w:rsidRPr="00C55BDE">
        <w:rPr>
          <w:rFonts w:ascii="Verdana" w:eastAsia="Calibri" w:hAnsi="Verdana" w:cs="Arial"/>
          <w:sz w:val="20"/>
        </w:rPr>
        <w:t xml:space="preserve">Adicionalmente, establece que para los fines y la ejecución de los recursos de que trata dicho decreto, los territorios y resguardos indígenas que hayan sido autorizados para administrar recursos del SGP serán considerados entidades estatales de acuerdo con lo indicado en el artículo 2 de la Ley 80 de 1993. La norma además establece una última posibilidad para los resguardos indígenas que no hayan sido autorizados para administrar de manera directa los recursos del SGP, consistente en la celebración de contratos de administración con las entidades territoriales respectivas y los representantes legales del resguardo designado por las autoridades propias. </w:t>
      </w:r>
    </w:p>
    <w:p w14:paraId="22A4ADAE" w14:textId="77777777" w:rsidR="003820DF" w:rsidRPr="00C55BDE" w:rsidRDefault="003820DF" w:rsidP="002133AC">
      <w:pPr>
        <w:spacing w:after="0" w:line="240" w:lineRule="auto"/>
        <w:jc w:val="both"/>
        <w:rPr>
          <w:rFonts w:ascii="Verdana" w:eastAsia="Calibri" w:hAnsi="Verdana" w:cs="Arial"/>
          <w:sz w:val="20"/>
        </w:rPr>
      </w:pPr>
    </w:p>
    <w:p w14:paraId="3B3C4F1B" w14:textId="77777777" w:rsidR="00C851C7" w:rsidRPr="00C55BDE" w:rsidRDefault="00C851C7" w:rsidP="00C851C7">
      <w:pPr>
        <w:snapToGrid w:val="0"/>
        <w:contextualSpacing/>
        <w:jc w:val="both"/>
        <w:rPr>
          <w:rFonts w:ascii="Verdana" w:hAnsi="Verdana" w:cs="Arial"/>
          <w:b/>
          <w:bCs/>
          <w:lang w:val="es-ES" w:eastAsia="es-ES"/>
        </w:rPr>
      </w:pPr>
      <w:r w:rsidRPr="00C55BDE">
        <w:rPr>
          <w:rFonts w:ascii="Verdana" w:hAnsi="Verdana" w:cs="Arial"/>
          <w:b/>
          <w:bCs/>
          <w:lang w:val="es-ES" w:eastAsia="es-ES"/>
        </w:rPr>
        <w:t>LEY DE GARANTÍAS ELECTORALES – Finalidad</w:t>
      </w:r>
    </w:p>
    <w:p w14:paraId="13B3A3BD" w14:textId="77777777" w:rsidR="00C851C7" w:rsidRPr="00C55BDE" w:rsidRDefault="00C851C7" w:rsidP="00C851C7">
      <w:pPr>
        <w:snapToGrid w:val="0"/>
        <w:contextualSpacing/>
        <w:jc w:val="both"/>
        <w:rPr>
          <w:rFonts w:ascii="Verdana" w:hAnsi="Verdana" w:cs="Arial"/>
          <w:b/>
          <w:bCs/>
          <w:lang w:val="es-ES" w:eastAsia="es-ES"/>
        </w:rPr>
      </w:pPr>
    </w:p>
    <w:p w14:paraId="6D9D56D5" w14:textId="77777777" w:rsidR="00C851C7" w:rsidRPr="00C55BDE" w:rsidRDefault="00C851C7" w:rsidP="00C851C7">
      <w:pPr>
        <w:tabs>
          <w:tab w:val="left" w:pos="426"/>
        </w:tabs>
        <w:snapToGrid w:val="0"/>
        <w:spacing w:after="0" w:line="240" w:lineRule="auto"/>
        <w:contextualSpacing/>
        <w:jc w:val="both"/>
        <w:rPr>
          <w:rFonts w:ascii="Verdana" w:hAnsi="Verdana" w:cs="Arial"/>
          <w:sz w:val="20"/>
          <w:szCs w:val="20"/>
          <w:lang w:val="es-ES"/>
        </w:rPr>
      </w:pPr>
      <w:r w:rsidRPr="00C55BDE">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C55BDE">
        <w:rPr>
          <w:rFonts w:ascii="Verdana" w:hAnsi="Verdana" w:cs="Arial"/>
          <w:sz w:val="20"/>
          <w:szCs w:val="20"/>
          <w:lang w:val="es-ES"/>
        </w:rPr>
        <w:t xml:space="preserve"> </w:t>
      </w:r>
    </w:p>
    <w:p w14:paraId="48192D07" w14:textId="77777777" w:rsidR="00C851C7" w:rsidRPr="00C55BDE" w:rsidRDefault="00C851C7" w:rsidP="00C851C7">
      <w:pPr>
        <w:snapToGrid w:val="0"/>
        <w:contextualSpacing/>
        <w:jc w:val="both"/>
        <w:rPr>
          <w:rFonts w:ascii="Verdana" w:hAnsi="Verdana" w:cs="Arial"/>
          <w:b/>
          <w:bCs/>
          <w:lang w:val="es-ES" w:eastAsia="es-ES"/>
        </w:rPr>
      </w:pPr>
    </w:p>
    <w:p w14:paraId="08E144EE" w14:textId="77777777" w:rsidR="00C851C7" w:rsidRPr="00C55BDE" w:rsidRDefault="00C851C7" w:rsidP="00C851C7">
      <w:pPr>
        <w:snapToGrid w:val="0"/>
        <w:contextualSpacing/>
        <w:jc w:val="both"/>
        <w:rPr>
          <w:rFonts w:ascii="Verdana" w:hAnsi="Verdana" w:cs="Arial"/>
          <w:b/>
          <w:bCs/>
          <w:sz w:val="20"/>
          <w:szCs w:val="20"/>
          <w:lang w:val="es-ES" w:eastAsia="es-ES"/>
        </w:rPr>
      </w:pPr>
      <w:r w:rsidRPr="00C55BDE">
        <w:rPr>
          <w:rFonts w:ascii="Verdana" w:hAnsi="Verdana" w:cs="Arial"/>
          <w:b/>
          <w:bCs/>
          <w:lang w:val="es-ES" w:eastAsia="es-ES"/>
        </w:rPr>
        <w:t>LEY DE GARANTÍAS ELECTORALES ‒ Restricciones ‒ Contratación ‒ Tipos de elección</w:t>
      </w:r>
    </w:p>
    <w:p w14:paraId="451E1AB4" w14:textId="77777777" w:rsidR="00C851C7" w:rsidRPr="00C55BDE" w:rsidRDefault="00C851C7" w:rsidP="00C851C7">
      <w:pPr>
        <w:snapToGrid w:val="0"/>
        <w:spacing w:after="0" w:line="240" w:lineRule="auto"/>
        <w:contextualSpacing/>
        <w:jc w:val="both"/>
        <w:rPr>
          <w:rFonts w:ascii="Verdana" w:hAnsi="Verdana" w:cs="Arial"/>
          <w:sz w:val="20"/>
          <w:szCs w:val="20"/>
          <w:lang w:val="es-ES" w:eastAsia="es-ES"/>
        </w:rPr>
      </w:pPr>
    </w:p>
    <w:p w14:paraId="2EF346BB" w14:textId="77777777" w:rsidR="00C851C7" w:rsidRPr="00C55BDE" w:rsidRDefault="00C851C7" w:rsidP="00C851C7">
      <w:pPr>
        <w:snapToGrid w:val="0"/>
        <w:spacing w:after="0" w:line="240" w:lineRule="auto"/>
        <w:contextualSpacing/>
        <w:jc w:val="both"/>
        <w:rPr>
          <w:rFonts w:ascii="Verdana" w:hAnsi="Verdana" w:cs="Arial"/>
          <w:sz w:val="20"/>
          <w:szCs w:val="20"/>
          <w:lang w:val="es-ES"/>
        </w:rPr>
      </w:pPr>
      <w:r w:rsidRPr="00C55BDE">
        <w:rPr>
          <w:rFonts w:ascii="Verdana" w:hAnsi="Verdana" w:cs="Arial"/>
          <w:sz w:val="20"/>
          <w:szCs w:val="20"/>
          <w:lang w:val="es-ES"/>
        </w:rPr>
        <w:t xml:space="preserve">Por un lado, el </w:t>
      </w:r>
      <w:r w:rsidRPr="00C55BDE">
        <w:rPr>
          <w:rFonts w:ascii="Verdana" w:hAnsi="Verdana" w:cs="Arial"/>
          <w:i/>
          <w:iCs/>
          <w:sz w:val="20"/>
          <w:szCs w:val="20"/>
          <w:lang w:val="es-ES"/>
        </w:rPr>
        <w:t xml:space="preserve">artículo 33 </w:t>
      </w:r>
      <w:r w:rsidRPr="00C55BDE">
        <w:rPr>
          <w:rFonts w:ascii="Verdana" w:hAnsi="Verdana" w:cs="Arial"/>
          <w:sz w:val="20"/>
          <w:szCs w:val="20"/>
          <w:lang w:val="es-ES"/>
        </w:rPr>
        <w:t xml:space="preserve">de la Ley 996 de 2005 prohíbe “[…] la contratación directa por parte de </w:t>
      </w:r>
      <w:r w:rsidRPr="00C55BDE">
        <w:rPr>
          <w:rFonts w:ascii="Verdana" w:hAnsi="Verdana" w:cs="Arial"/>
          <w:i/>
          <w:iCs/>
          <w:sz w:val="20"/>
          <w:szCs w:val="20"/>
          <w:lang w:val="es-ES"/>
        </w:rPr>
        <w:t>todos los entes del Estado</w:t>
      </w:r>
      <w:r w:rsidRPr="00C55BDE">
        <w:rPr>
          <w:rFonts w:ascii="Verdana" w:hAnsi="Verdana" w:cs="Arial"/>
          <w:sz w:val="20"/>
          <w:szCs w:val="20"/>
          <w:lang w:val="es-ES"/>
        </w:rPr>
        <w:t xml:space="preserve">” durante los cuatro (4) meses anteriores a las </w:t>
      </w:r>
      <w:r w:rsidRPr="00C55BDE">
        <w:rPr>
          <w:rFonts w:ascii="Verdana" w:hAnsi="Verdana" w:cs="Arial"/>
          <w:i/>
          <w:iCs/>
          <w:sz w:val="20"/>
          <w:szCs w:val="20"/>
          <w:lang w:val="es-ES"/>
        </w:rPr>
        <w:t>elecciones presidenciales</w:t>
      </w:r>
      <w:r w:rsidRPr="00C55BDE">
        <w:rPr>
          <w:rFonts w:ascii="Verdana"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5ED3785" w14:textId="77777777" w:rsidR="00C851C7" w:rsidRPr="00C55BDE" w:rsidRDefault="00C851C7" w:rsidP="00C851C7">
      <w:pPr>
        <w:snapToGrid w:val="0"/>
        <w:spacing w:after="0" w:line="240" w:lineRule="auto"/>
        <w:contextualSpacing/>
        <w:jc w:val="both"/>
        <w:rPr>
          <w:rFonts w:ascii="Verdana" w:hAnsi="Verdana" w:cs="Arial"/>
          <w:sz w:val="20"/>
          <w:szCs w:val="20"/>
          <w:lang w:val="es-ES"/>
        </w:rPr>
      </w:pPr>
    </w:p>
    <w:p w14:paraId="3877BD03" w14:textId="77777777" w:rsidR="00C851C7" w:rsidRPr="00C55BDE" w:rsidRDefault="00C851C7" w:rsidP="00C851C7">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C55BDE">
        <w:rPr>
          <w:rFonts w:ascii="Verdana" w:hAnsi="Verdana" w:cs="Arial"/>
          <w:sz w:val="20"/>
          <w:szCs w:val="20"/>
          <w:lang w:val="es-ES"/>
        </w:rPr>
        <w:t xml:space="preserve">Por otro lado, </w:t>
      </w:r>
      <w:r w:rsidRPr="00C55BDE">
        <w:rPr>
          <w:rFonts w:ascii="Verdana" w:hAnsi="Verdana" w:cs="Arial"/>
          <w:i/>
          <w:iCs/>
          <w:sz w:val="20"/>
          <w:szCs w:val="20"/>
          <w:lang w:val="es-ES"/>
        </w:rPr>
        <w:t xml:space="preserve">el parágrafo del artículo 38 </w:t>
      </w:r>
      <w:r w:rsidRPr="00C55BDE">
        <w:rPr>
          <w:rFonts w:ascii="Verdana" w:hAnsi="Verdana" w:cs="Arial"/>
          <w:sz w:val="20"/>
          <w:szCs w:val="20"/>
          <w:lang w:val="es-ES"/>
        </w:rPr>
        <w:t xml:space="preserve">de la Ley 996 de 2005 prevé una restricción, aplicable respecto de </w:t>
      </w:r>
      <w:r w:rsidRPr="00C55BDE">
        <w:rPr>
          <w:rFonts w:ascii="Verdana" w:hAnsi="Verdana" w:cs="Arial"/>
          <w:i/>
          <w:iCs/>
          <w:sz w:val="20"/>
          <w:szCs w:val="20"/>
          <w:lang w:val="es-ES"/>
        </w:rPr>
        <w:t>cualquier tipo de contienda electoral</w:t>
      </w:r>
      <w:r w:rsidRPr="00C55BDE">
        <w:rPr>
          <w:rFonts w:ascii="Verdana" w:hAnsi="Verdana" w:cs="Arial"/>
          <w:sz w:val="20"/>
          <w:szCs w:val="20"/>
          <w:lang w:val="es-ES"/>
        </w:rPr>
        <w:t xml:space="preserve">, que prohíbe a los gobernadores, alcaldes municipales o distritales, secretarios, gerentes y directores de entidades descentralizadas del orden municipal, departamental o distrital “[…] celebrar </w:t>
      </w:r>
      <w:r w:rsidRPr="00C55BDE">
        <w:rPr>
          <w:rFonts w:ascii="Verdana" w:hAnsi="Verdana" w:cs="Arial"/>
          <w:sz w:val="20"/>
          <w:szCs w:val="20"/>
          <w:lang w:val="es-ES"/>
        </w:rPr>
        <w:lastRenderedPageBreak/>
        <w:t>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55BDE">
        <w:rPr>
          <w:rFonts w:ascii="Verdana" w:eastAsia="Arial" w:hAnsi="Verdana" w:cs="Arial"/>
          <w:sz w:val="20"/>
          <w:szCs w:val="20"/>
          <w:lang w:val="es-ES" w:eastAsia="es-ES" w:bidi="es-ES"/>
        </w:rPr>
        <w:t xml:space="preserve"> </w:t>
      </w:r>
    </w:p>
    <w:p w14:paraId="6D29E5E6" w14:textId="77777777" w:rsidR="002133AC" w:rsidRPr="00C55BDE" w:rsidRDefault="002133AC" w:rsidP="00C15139">
      <w:pPr>
        <w:spacing w:after="0"/>
        <w:rPr>
          <w:rFonts w:ascii="Verdana" w:hAnsi="Verdana"/>
          <w:lang w:val="es-ES_tradnl"/>
        </w:rPr>
      </w:pPr>
    </w:p>
    <w:p w14:paraId="1A9B049E" w14:textId="77777777" w:rsidR="00943446" w:rsidRDefault="00943446" w:rsidP="00943446">
      <w:pPr>
        <w:spacing w:after="0" w:line="240" w:lineRule="auto"/>
        <w:jc w:val="both"/>
        <w:rPr>
          <w:rFonts w:ascii="Verdana" w:hAnsi="Verdana" w:cs="Arial"/>
          <w:b/>
          <w:bCs/>
          <w:lang w:val="es-MX" w:eastAsia="es-ES_tradnl"/>
        </w:rPr>
      </w:pPr>
      <w:r w:rsidRPr="00F07606">
        <w:rPr>
          <w:rFonts w:ascii="Verdana" w:hAnsi="Verdana" w:cs="Arial"/>
          <w:b/>
          <w:bCs/>
          <w:lang w:val="es-MX" w:eastAsia="es-ES_tradnl"/>
        </w:rPr>
        <w:t>CONVENIOS INTERADMINISTRATIVOS – Criterio orgánico</w:t>
      </w:r>
    </w:p>
    <w:p w14:paraId="480CE6C8" w14:textId="77777777" w:rsidR="00943446" w:rsidRDefault="00943446" w:rsidP="00943446">
      <w:pPr>
        <w:spacing w:after="0" w:line="240" w:lineRule="auto"/>
        <w:jc w:val="both"/>
        <w:rPr>
          <w:rFonts w:ascii="Verdana" w:hAnsi="Verdana" w:cs="Arial"/>
          <w:b/>
          <w:bCs/>
          <w:lang w:val="es-MX" w:eastAsia="es-ES_tradnl"/>
        </w:rPr>
      </w:pPr>
    </w:p>
    <w:p w14:paraId="31FE6824" w14:textId="77777777" w:rsidR="00943446" w:rsidRPr="00F07606" w:rsidRDefault="00943446" w:rsidP="00943446">
      <w:pPr>
        <w:spacing w:after="0" w:line="240" w:lineRule="auto"/>
        <w:jc w:val="both"/>
        <w:rPr>
          <w:rFonts w:ascii="Verdana" w:hAnsi="Verdana" w:cs="Arial"/>
          <w:sz w:val="20"/>
          <w:szCs w:val="20"/>
          <w:lang w:val="es-MX" w:eastAsia="es-ES_tradnl"/>
        </w:rPr>
      </w:pPr>
      <w:r>
        <w:rPr>
          <w:rFonts w:ascii="Verdana" w:hAnsi="Verdana" w:cs="Arial"/>
          <w:sz w:val="20"/>
          <w:szCs w:val="20"/>
          <w:lang w:val="es-ES" w:eastAsia="es-ES_tradnl"/>
        </w:rPr>
        <w:t>D</w:t>
      </w:r>
      <w:r w:rsidRPr="00F07606">
        <w:rPr>
          <w:rFonts w:ascii="Verdana" w:hAnsi="Verdana" w:cs="Arial"/>
          <w:sz w:val="20"/>
          <w:szCs w:val="20"/>
          <w:lang w:val="es-ES" w:eastAsia="es-ES_tradnl"/>
        </w:rPr>
        <w:t xml:space="preserve">ebe precisarse que los contratos o convenios interadministrativos están determinados por un criterio orgánico, pues es necesario que los extremos de la relación contractual sean entidades públicas, </w:t>
      </w:r>
      <w:r w:rsidRPr="00F07606">
        <w:rPr>
          <w:rFonts w:ascii="Verdana" w:hAnsi="Verdana" w:cs="Arial"/>
          <w:sz w:val="20"/>
          <w:szCs w:val="20"/>
          <w:lang w:eastAsia="es-ES_tradnl"/>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07EDEC9F" w14:textId="77777777" w:rsidR="00943446" w:rsidRPr="00C55BDE" w:rsidRDefault="00943446" w:rsidP="00943446">
      <w:pPr>
        <w:spacing w:after="0" w:line="240" w:lineRule="auto"/>
        <w:jc w:val="both"/>
        <w:rPr>
          <w:rFonts w:ascii="Verdana" w:eastAsia="Calibri" w:hAnsi="Verdana" w:cs="Arial"/>
          <w:b/>
          <w:lang w:val="es-ES"/>
        </w:rPr>
      </w:pPr>
    </w:p>
    <w:p w14:paraId="4D9B4470" w14:textId="77777777" w:rsidR="00943446" w:rsidRPr="00C55BDE" w:rsidRDefault="00943446" w:rsidP="00943446">
      <w:pPr>
        <w:spacing w:after="0"/>
        <w:jc w:val="both"/>
        <w:rPr>
          <w:rFonts w:ascii="Verdana" w:hAnsi="Verdana"/>
          <w:b/>
        </w:rPr>
      </w:pPr>
      <w:r w:rsidRPr="00C55BDE">
        <w:rPr>
          <w:rFonts w:ascii="Verdana" w:hAnsi="Verdana" w:cs="Arial"/>
          <w:b/>
          <w:lang w:val="es-MX" w:eastAsia="es-ES_tradnl"/>
        </w:rPr>
        <w:t>CONTRATOS Y CONVENIOS INTERADMINISTRATIVOS – Circular Externa Única – Auto de suspensión –numeral 16.2.</w:t>
      </w:r>
    </w:p>
    <w:p w14:paraId="589D4AC3" w14:textId="77777777" w:rsidR="00943446" w:rsidRPr="00C55BDE" w:rsidRDefault="00943446" w:rsidP="00943446">
      <w:pPr>
        <w:spacing w:after="0"/>
        <w:jc w:val="both"/>
        <w:rPr>
          <w:rFonts w:ascii="Verdana" w:hAnsi="Verdana"/>
          <w:b/>
        </w:rPr>
      </w:pPr>
    </w:p>
    <w:p w14:paraId="2549FF05" w14:textId="77777777" w:rsidR="00943446" w:rsidRPr="00482175" w:rsidRDefault="00943446" w:rsidP="00943446">
      <w:pPr>
        <w:spacing w:after="0" w:line="240" w:lineRule="auto"/>
        <w:jc w:val="both"/>
        <w:rPr>
          <w:rFonts w:ascii="Verdana" w:hAnsi="Verdana"/>
          <w:sz w:val="18"/>
          <w:szCs w:val="20"/>
        </w:rPr>
      </w:pPr>
      <w:r w:rsidRPr="00C55BDE">
        <w:rPr>
          <w:rFonts w:ascii="Verdana" w:eastAsia="Arial" w:hAnsi="Verdana" w:cs="Arial"/>
          <w:sz w:val="20"/>
          <w:lang w:val="es-MX" w:eastAsia="es-ES" w:bidi="es-ES"/>
        </w:rPr>
        <w:t xml:space="preserve">[…] conviene señalar que, mediante auto de 4 de octubre del 2024, el Consejo de Estado, Sección Tercera, decretó medida de suspensión provisional parcial del </w:t>
      </w:r>
      <w:r w:rsidRPr="00C55BDE">
        <w:rPr>
          <w:rFonts w:ascii="Verdana" w:hAnsi="Verdana"/>
          <w:sz w:val="20"/>
        </w:rPr>
        <w:t>numeral 16.2 de la Circular Externa Única de 2022 expedida por la Agencia Nacional de Contratación Pública -Colombia Compra Eficiente-, concretamente, respecto de los siguientes apartes normativos</w:t>
      </w:r>
      <w:r w:rsidRPr="00C55BDE">
        <w:rPr>
          <w:rFonts w:ascii="Verdana" w:hAnsi="Verdana"/>
          <w:sz w:val="18"/>
          <w:szCs w:val="20"/>
        </w:rPr>
        <w:t xml:space="preserve"> </w:t>
      </w:r>
    </w:p>
    <w:p w14:paraId="22C9370A" w14:textId="77777777" w:rsidR="00943446" w:rsidRDefault="00943446" w:rsidP="00943446">
      <w:pPr>
        <w:spacing w:after="0" w:line="240" w:lineRule="auto"/>
        <w:jc w:val="both"/>
        <w:rPr>
          <w:rFonts w:ascii="Verdana" w:eastAsia="Geomanist Light" w:hAnsi="Verdana" w:cs="Arial"/>
          <w:color w:val="000000" w:themeColor="text1"/>
          <w:sz w:val="20"/>
          <w:szCs w:val="20"/>
          <w:lang w:val="es-ES_tradnl"/>
        </w:rPr>
      </w:pPr>
    </w:p>
    <w:p w14:paraId="1C513468" w14:textId="77777777" w:rsidR="00943446" w:rsidRDefault="00943446" w:rsidP="00943446">
      <w:pPr>
        <w:spacing w:after="0" w:line="240" w:lineRule="auto"/>
        <w:jc w:val="both"/>
        <w:rPr>
          <w:rFonts w:ascii="Verdana" w:eastAsia="Arial" w:hAnsi="Verdana" w:cs="Arial"/>
          <w:sz w:val="20"/>
          <w:lang w:val="es-MX" w:eastAsia="es-ES" w:bidi="es-ES"/>
        </w:rPr>
      </w:pPr>
      <w:r w:rsidRPr="00C55BDE">
        <w:rPr>
          <w:rFonts w:ascii="Verdana" w:eastAsia="Arial" w:hAnsi="Verdana" w:cs="Arial"/>
          <w:sz w:val="20"/>
          <w:lang w:val="es-MX" w:eastAsia="es-ES" w:bidi="es-ES"/>
        </w:rPr>
        <w:t>[…]</w:t>
      </w:r>
    </w:p>
    <w:p w14:paraId="72542EFA" w14:textId="77777777" w:rsidR="00943446" w:rsidRPr="00482175" w:rsidRDefault="00943446" w:rsidP="00943446">
      <w:pPr>
        <w:spacing w:after="0" w:line="240" w:lineRule="auto"/>
        <w:jc w:val="both"/>
        <w:rPr>
          <w:rFonts w:ascii="Verdana" w:eastAsia="Geomanist Light" w:hAnsi="Verdana" w:cs="Arial"/>
          <w:color w:val="000000" w:themeColor="text1"/>
          <w:sz w:val="20"/>
          <w:szCs w:val="20"/>
          <w:lang w:val="es-ES_tradnl"/>
        </w:rPr>
      </w:pPr>
    </w:p>
    <w:p w14:paraId="229B2BAD" w14:textId="77777777" w:rsidR="00943446" w:rsidRDefault="00943446" w:rsidP="00943446">
      <w:pPr>
        <w:spacing w:after="0" w:line="240" w:lineRule="auto"/>
        <w:jc w:val="both"/>
        <w:rPr>
          <w:rFonts w:ascii="Verdana" w:hAnsi="Verdana"/>
          <w:sz w:val="20"/>
          <w:szCs w:val="20"/>
        </w:rPr>
      </w:pPr>
      <w:r w:rsidRPr="00482175">
        <w:rPr>
          <w:rFonts w:ascii="Verdana" w:hAnsi="Verdana"/>
          <w:sz w:val="20"/>
          <w:szCs w:val="20"/>
        </w:rPr>
        <w:t>De igual manera, mediante auto del 6 de noviembre de 2025, el Consejo de Estado, Subsección A de la Sección Tercera, decretó</w:t>
      </w:r>
      <w:r w:rsidRPr="00482175">
        <w:rPr>
          <w:rFonts w:ascii="Verdana" w:hAnsi="Verdana"/>
          <w:b/>
          <w:bCs/>
          <w:sz w:val="20"/>
          <w:szCs w:val="20"/>
        </w:rPr>
        <w:t xml:space="preserve"> </w:t>
      </w:r>
      <w:r w:rsidRPr="00482175">
        <w:rPr>
          <w:rFonts w:ascii="Verdana" w:hAnsi="Verdana"/>
          <w:sz w:val="20"/>
          <w:szCs w:val="20"/>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 Para tales efectos, el alto tribunal resaltó la interpretación restrictiva de las normas que contienen prohibiciones, como la del parágrafo del artículo 38 de la Ley 996 de 2005, por manera que se excluye la analogía </w:t>
      </w:r>
      <w:proofErr w:type="spellStart"/>
      <w:r w:rsidRPr="00482175">
        <w:rPr>
          <w:rFonts w:ascii="Verdana" w:hAnsi="Verdana"/>
          <w:sz w:val="20"/>
          <w:szCs w:val="20"/>
        </w:rPr>
        <w:t>legis</w:t>
      </w:r>
      <w:proofErr w:type="spellEnd"/>
      <w:r w:rsidRPr="00482175">
        <w:rPr>
          <w:rFonts w:ascii="Verdana" w:hAnsi="Verdana"/>
          <w:sz w:val="20"/>
          <w:szCs w:val="20"/>
        </w:rPr>
        <w:t xml:space="preserve"> o iuris y la interpretación extensiva y reiteró los argumentos sobre la diferencia entre contratos y convenios interadministrativos. </w:t>
      </w:r>
    </w:p>
    <w:p w14:paraId="35E75341" w14:textId="77777777" w:rsidR="00943446" w:rsidRDefault="00943446" w:rsidP="00943446">
      <w:pPr>
        <w:spacing w:after="0" w:line="240" w:lineRule="auto"/>
        <w:jc w:val="both"/>
        <w:rPr>
          <w:rFonts w:ascii="Verdana" w:eastAsia="Arial" w:hAnsi="Verdana" w:cs="Arial"/>
          <w:sz w:val="20"/>
          <w:lang w:val="es-MX" w:eastAsia="es-ES" w:bidi="es-ES"/>
        </w:rPr>
      </w:pPr>
      <w:r w:rsidRPr="00C55BDE">
        <w:rPr>
          <w:rFonts w:ascii="Verdana" w:eastAsia="Arial" w:hAnsi="Verdana" w:cs="Arial"/>
          <w:sz w:val="20"/>
          <w:lang w:val="es-MX" w:eastAsia="es-ES" w:bidi="es-ES"/>
        </w:rPr>
        <w:t>[…]</w:t>
      </w:r>
    </w:p>
    <w:p w14:paraId="0671C26D" w14:textId="77777777" w:rsidR="00943446" w:rsidRPr="00482175" w:rsidRDefault="00943446" w:rsidP="00943446">
      <w:pPr>
        <w:spacing w:after="0" w:line="240" w:lineRule="auto"/>
        <w:jc w:val="both"/>
        <w:rPr>
          <w:rFonts w:ascii="Verdana" w:hAnsi="Verdana"/>
          <w:sz w:val="20"/>
          <w:szCs w:val="20"/>
        </w:rPr>
      </w:pPr>
    </w:p>
    <w:p w14:paraId="553C92F5" w14:textId="77777777" w:rsidR="00943446" w:rsidRPr="00482175" w:rsidRDefault="00943446" w:rsidP="00943446">
      <w:pPr>
        <w:spacing w:after="0" w:line="240" w:lineRule="auto"/>
        <w:jc w:val="both"/>
        <w:rPr>
          <w:rFonts w:ascii="Verdana" w:hAnsi="Verdana"/>
          <w:sz w:val="20"/>
          <w:szCs w:val="20"/>
        </w:rPr>
      </w:pPr>
      <w:r w:rsidRPr="00482175">
        <w:rPr>
          <w:rFonts w:ascii="Verdana" w:hAnsi="Verdana"/>
          <w:sz w:val="20"/>
          <w:szCs w:val="20"/>
        </w:rPr>
        <w:t xml:space="preserve">Finalmente, mediante sentencia del 17 de octubre de 2025, emitida por la Sala de lo Contencioso Administrativo del Consejo de Estado, dentro del expediente 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0FDEA629" w14:textId="77777777" w:rsidR="00943446" w:rsidRPr="00482175" w:rsidRDefault="00943446" w:rsidP="00943446">
      <w:pPr>
        <w:spacing w:after="0" w:line="240" w:lineRule="auto"/>
        <w:jc w:val="both"/>
        <w:rPr>
          <w:rFonts w:ascii="Verdana" w:hAnsi="Verdana"/>
          <w:sz w:val="20"/>
          <w:szCs w:val="20"/>
          <w:lang w:val="es-ES_tradnl"/>
        </w:rPr>
      </w:pPr>
    </w:p>
    <w:p w14:paraId="58F131A9" w14:textId="77777777" w:rsidR="00943446" w:rsidRDefault="00943446" w:rsidP="00B8779A">
      <w:pPr>
        <w:spacing w:after="0" w:line="240" w:lineRule="auto"/>
        <w:rPr>
          <w:rFonts w:ascii="Verdana" w:hAnsi="Verdana"/>
        </w:rPr>
      </w:pPr>
    </w:p>
    <w:p w14:paraId="72C1438E" w14:textId="7EA69D65" w:rsidR="00B8779A" w:rsidRDefault="00B8779A" w:rsidP="00B8779A">
      <w:pPr>
        <w:spacing w:after="0" w:line="240" w:lineRule="auto"/>
        <w:rPr>
          <w:rFonts w:ascii="Verdana" w:eastAsia="Geomanist Light" w:hAnsi="Verdana" w:cs="Arial"/>
          <w:color w:val="201F1E"/>
        </w:rPr>
      </w:pPr>
      <w:r w:rsidRPr="00C55BDE">
        <w:rPr>
          <w:rFonts w:ascii="Verdana" w:hAnsi="Verdana"/>
        </w:rPr>
        <w:lastRenderedPageBreak/>
        <w:t xml:space="preserve">Bogotá D.C., </w:t>
      </w:r>
      <w:r w:rsidR="003A3599">
        <w:rPr>
          <w:rFonts w:ascii="Verdana" w:eastAsia="Geomanist Light" w:hAnsi="Verdana" w:cs="Arial"/>
          <w:color w:val="201F1E"/>
        </w:rPr>
        <w:t>9 de diciembre de 2025</w:t>
      </w:r>
    </w:p>
    <w:p w14:paraId="7B49A54E" w14:textId="77777777" w:rsidR="00B8779A" w:rsidRDefault="00B8779A" w:rsidP="00B8779A">
      <w:pPr>
        <w:spacing w:after="0"/>
        <w:rPr>
          <w:rFonts w:ascii="Verdana" w:hAnsi="Verdana"/>
        </w:rPr>
      </w:pPr>
    </w:p>
    <w:p w14:paraId="3525E711" w14:textId="2A97C5A2" w:rsidR="00ED5176" w:rsidRDefault="00ED5176" w:rsidP="00ED5176">
      <w:pPr>
        <w:spacing w:after="0"/>
        <w:jc w:val="right"/>
        <w:rPr>
          <w:rFonts w:ascii="Verdana" w:hAnsi="Verdana"/>
        </w:rPr>
      </w:pPr>
    </w:p>
    <w:p w14:paraId="535791F4" w14:textId="1B859E70" w:rsidR="00B8779A" w:rsidRPr="00441CBA" w:rsidRDefault="0035505F" w:rsidP="00B8779A">
      <w:pPr>
        <w:spacing w:after="0"/>
        <w:rPr>
          <w:rFonts w:ascii="Verdana" w:hAnsi="Verdana"/>
        </w:rPr>
      </w:pPr>
      <w:r w:rsidRPr="00ED5176">
        <w:rPr>
          <w:rFonts w:ascii="Verdana" w:hAnsi="Verdana"/>
          <w:noProof/>
        </w:rPr>
        <w:drawing>
          <wp:anchor distT="0" distB="0" distL="114300" distR="114300" simplePos="0" relativeHeight="251658240" behindDoc="0" locked="0" layoutInCell="1" allowOverlap="1" wp14:anchorId="70FD2094" wp14:editId="1F00EC01">
            <wp:simplePos x="0" y="0"/>
            <wp:positionH relativeFrom="column">
              <wp:posOffset>3291205</wp:posOffset>
            </wp:positionH>
            <wp:positionV relativeFrom="paragraph">
              <wp:posOffset>93345</wp:posOffset>
            </wp:positionV>
            <wp:extent cx="2314575" cy="803275"/>
            <wp:effectExtent l="0" t="0" r="9525" b="0"/>
            <wp:wrapSquare wrapText="bothSides"/>
            <wp:docPr id="128067903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4575" cy="8032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8779A" w:rsidRPr="00C55BDE">
        <w:rPr>
          <w:rFonts w:ascii="Verdana" w:eastAsia="Calibri" w:hAnsi="Verdana" w:cs="Arial"/>
          <w:color w:val="000000" w:themeColor="text1"/>
          <w:lang w:val="es-ES" w:eastAsia="es-ES"/>
        </w:rPr>
        <w:t>Señor</w:t>
      </w:r>
      <w:r w:rsidR="00B8779A">
        <w:rPr>
          <w:rFonts w:ascii="Verdana" w:eastAsia="Calibri" w:hAnsi="Verdana" w:cs="Arial"/>
          <w:color w:val="000000" w:themeColor="text1"/>
          <w:lang w:val="es-ES" w:eastAsia="es-ES"/>
        </w:rPr>
        <w:t>a</w:t>
      </w:r>
    </w:p>
    <w:p w14:paraId="618717C7" w14:textId="77777777" w:rsidR="00B8779A" w:rsidRDefault="00B8779A" w:rsidP="00B8779A">
      <w:pPr>
        <w:spacing w:after="0" w:line="240" w:lineRule="auto"/>
        <w:jc w:val="both"/>
        <w:rPr>
          <w:rFonts w:ascii="Verdana" w:eastAsia="Calibri" w:hAnsi="Verdana" w:cs="Arial"/>
          <w:b/>
          <w:bCs/>
          <w:color w:val="000000" w:themeColor="text1"/>
          <w:lang w:val="es-ES" w:eastAsia="es-ES"/>
        </w:rPr>
      </w:pPr>
      <w:r>
        <w:rPr>
          <w:rFonts w:ascii="Verdana" w:eastAsia="Calibri" w:hAnsi="Verdana" w:cs="Arial"/>
          <w:b/>
          <w:bCs/>
          <w:color w:val="000000" w:themeColor="text1"/>
          <w:lang w:val="es-ES" w:eastAsia="es-ES"/>
        </w:rPr>
        <w:t>Natalia Caicedo Giraldo</w:t>
      </w:r>
    </w:p>
    <w:p w14:paraId="16A81AD7" w14:textId="7C236E50" w:rsidR="00B8779A" w:rsidRDefault="00B8779A" w:rsidP="00B8779A">
      <w:pPr>
        <w:spacing w:after="0" w:line="240" w:lineRule="auto"/>
        <w:jc w:val="both"/>
        <w:rPr>
          <w:rFonts w:ascii="Verdana" w:eastAsia="Calibri" w:hAnsi="Verdana" w:cs="Arial"/>
          <w:b/>
          <w:bCs/>
          <w:color w:val="000000" w:themeColor="text1"/>
          <w:lang w:val="es-ES" w:eastAsia="es-ES"/>
        </w:rPr>
      </w:pPr>
      <w:r>
        <w:rPr>
          <w:rFonts w:ascii="Verdana" w:eastAsia="Calibri" w:hAnsi="Verdana" w:cs="Arial"/>
          <w:b/>
          <w:bCs/>
          <w:color w:val="000000" w:themeColor="text1"/>
          <w:lang w:val="es-ES" w:eastAsia="es-ES"/>
        </w:rPr>
        <w:t>Secretari</w:t>
      </w:r>
      <w:r w:rsidR="00654670">
        <w:rPr>
          <w:rFonts w:ascii="Verdana" w:eastAsia="Calibri" w:hAnsi="Verdana" w:cs="Arial"/>
          <w:b/>
          <w:bCs/>
          <w:color w:val="000000" w:themeColor="text1"/>
          <w:lang w:val="es-ES" w:eastAsia="es-ES"/>
        </w:rPr>
        <w:t>a</w:t>
      </w:r>
      <w:r>
        <w:rPr>
          <w:rFonts w:ascii="Verdana" w:eastAsia="Calibri" w:hAnsi="Verdana" w:cs="Arial"/>
          <w:b/>
          <w:bCs/>
          <w:color w:val="000000" w:themeColor="text1"/>
          <w:lang w:val="es-ES" w:eastAsia="es-ES"/>
        </w:rPr>
        <w:t xml:space="preserve"> de Servicio Sociales y Salud</w:t>
      </w:r>
    </w:p>
    <w:p w14:paraId="4A1A7303" w14:textId="77777777" w:rsidR="00B8779A" w:rsidRDefault="00B8779A" w:rsidP="00B8779A">
      <w:pPr>
        <w:spacing w:after="0" w:line="240" w:lineRule="auto"/>
        <w:jc w:val="both"/>
        <w:rPr>
          <w:rFonts w:ascii="Verdana" w:eastAsia="Calibri" w:hAnsi="Verdana" w:cs="Arial"/>
          <w:b/>
          <w:bCs/>
          <w:color w:val="000000" w:themeColor="text1"/>
          <w:lang w:val="es-ES" w:eastAsia="es-ES"/>
        </w:rPr>
      </w:pPr>
      <w:r>
        <w:rPr>
          <w:rFonts w:ascii="Verdana" w:eastAsia="Calibri" w:hAnsi="Verdana" w:cs="Arial"/>
          <w:b/>
          <w:bCs/>
          <w:color w:val="000000" w:themeColor="text1"/>
          <w:lang w:val="es-ES" w:eastAsia="es-ES"/>
        </w:rPr>
        <w:t>Alcaldía de Calarcá</w:t>
      </w:r>
    </w:p>
    <w:p w14:paraId="73BB09D0" w14:textId="77777777" w:rsidR="00B8779A" w:rsidRPr="00C55BDE" w:rsidRDefault="00B8779A" w:rsidP="00B8779A">
      <w:pPr>
        <w:spacing w:after="0" w:line="240" w:lineRule="auto"/>
        <w:jc w:val="both"/>
        <w:rPr>
          <w:rFonts w:ascii="Verdana" w:hAnsi="Verdana"/>
        </w:rPr>
      </w:pPr>
      <w:hyperlink r:id="rId12" w:history="1">
        <w:r w:rsidRPr="00B55C5D">
          <w:rPr>
            <w:rStyle w:val="Hipervnculo"/>
            <w:rFonts w:ascii="Verdana" w:hAnsi="Verdana"/>
          </w:rPr>
          <w:t>contactenos@calarca-quindio.gov.co</w:t>
        </w:r>
      </w:hyperlink>
      <w:r>
        <w:rPr>
          <w:rFonts w:ascii="Verdana" w:hAnsi="Verdana"/>
        </w:rPr>
        <w:t xml:space="preserve"> </w:t>
      </w:r>
    </w:p>
    <w:p w14:paraId="69745497" w14:textId="77777777" w:rsidR="00B8779A" w:rsidRDefault="00B8779A" w:rsidP="00B8779A">
      <w:pPr>
        <w:spacing w:after="0" w:line="240" w:lineRule="auto"/>
        <w:rPr>
          <w:rFonts w:ascii="Verdana" w:eastAsia="Calibri" w:hAnsi="Verdana" w:cs="Arial"/>
          <w:color w:val="000000" w:themeColor="text1"/>
          <w:lang w:val="es-ES" w:eastAsia="es-ES"/>
        </w:rPr>
      </w:pPr>
      <w:r w:rsidRPr="76B9ABC4">
        <w:rPr>
          <w:rFonts w:ascii="Verdana" w:eastAsia="Calibri" w:hAnsi="Verdana" w:cs="Arial"/>
          <w:color w:val="000000" w:themeColor="text1"/>
          <w:lang w:val="es-ES" w:eastAsia="es-ES"/>
        </w:rPr>
        <w:t>Calarc</w:t>
      </w:r>
      <w:r>
        <w:rPr>
          <w:rFonts w:ascii="Verdana" w:eastAsia="Calibri" w:hAnsi="Verdana" w:cs="Arial"/>
          <w:color w:val="000000" w:themeColor="text1"/>
          <w:lang w:val="es-ES" w:eastAsia="es-ES"/>
        </w:rPr>
        <w:t>á</w:t>
      </w:r>
      <w:r w:rsidRPr="76B9ABC4">
        <w:rPr>
          <w:rFonts w:ascii="Verdana" w:eastAsia="Calibri" w:hAnsi="Verdana" w:cs="Arial"/>
          <w:color w:val="000000" w:themeColor="text1"/>
          <w:lang w:val="es-ES" w:eastAsia="es-ES"/>
        </w:rPr>
        <w:t xml:space="preserve">, Quindío </w:t>
      </w:r>
    </w:p>
    <w:p w14:paraId="2EDE1194" w14:textId="77777777" w:rsidR="00B8779A" w:rsidRPr="00C55BDE" w:rsidRDefault="00B8779A" w:rsidP="00B8779A">
      <w:pPr>
        <w:spacing w:after="0" w:line="240" w:lineRule="auto"/>
        <w:rPr>
          <w:rFonts w:ascii="Verdana" w:eastAsia="Calibri" w:hAnsi="Verdana" w:cs="Arial"/>
          <w:b/>
          <w:bCs/>
          <w:color w:val="000000" w:themeColor="text1"/>
          <w:lang w:val="es-ES_tradnl" w:eastAsia="es-ES"/>
        </w:rPr>
      </w:pPr>
      <w:r w:rsidRPr="00C55BDE">
        <w:rPr>
          <w:rFonts w:ascii="Verdana" w:eastAsia="Calibri" w:hAnsi="Verdana" w:cs="Arial"/>
          <w:color w:val="000000" w:themeColor="text1"/>
          <w:lang w:val="es-ES_tradnl" w:eastAsia="es-ES"/>
        </w:rPr>
        <w:t xml:space="preserve"> </w:t>
      </w:r>
    </w:p>
    <w:p w14:paraId="185523C0" w14:textId="77777777" w:rsidR="00B8779A" w:rsidRPr="00C55BDE" w:rsidRDefault="00B8779A" w:rsidP="00B8779A">
      <w:pPr>
        <w:spacing w:after="0" w:line="240" w:lineRule="auto"/>
        <w:rPr>
          <w:rFonts w:ascii="Verdana" w:eastAsia="Calibri" w:hAnsi="Verdana" w:cs="Arial"/>
          <w:b/>
          <w:bCs/>
          <w:color w:val="000000" w:themeColor="text1"/>
          <w:lang w:val="es-ES_tradnl" w:eastAsia="es-ES_tradnl"/>
        </w:rPr>
      </w:pPr>
    </w:p>
    <w:p w14:paraId="15492D15" w14:textId="77777777" w:rsidR="00B8779A" w:rsidRPr="00C55BDE" w:rsidRDefault="00B8779A" w:rsidP="00B8779A">
      <w:pPr>
        <w:spacing w:after="0" w:line="240" w:lineRule="auto"/>
        <w:rPr>
          <w:rFonts w:ascii="Verdana" w:eastAsia="Calibri" w:hAnsi="Verdana" w:cs="Arial"/>
          <w:b/>
          <w:bCs/>
          <w:color w:val="000000" w:themeColor="text1"/>
          <w:lang w:val="es-ES_tradnl" w:eastAsia="es-ES_tradnl"/>
        </w:rPr>
      </w:pPr>
      <w:r w:rsidRPr="00C55BDE">
        <w:rPr>
          <w:rFonts w:ascii="Verdana" w:eastAsia="Calibri" w:hAnsi="Verdana" w:cs="Arial"/>
          <w:b/>
          <w:bCs/>
          <w:color w:val="000000" w:themeColor="text1"/>
          <w:lang w:val="es-ES_tradnl" w:eastAsia="es-ES_tradnl"/>
        </w:rPr>
        <w:t xml:space="preserve">                                   Concepto C-</w:t>
      </w:r>
      <w:r>
        <w:rPr>
          <w:rFonts w:ascii="Verdana" w:eastAsia="Calibri" w:hAnsi="Verdana" w:cs="Arial"/>
          <w:b/>
          <w:bCs/>
          <w:color w:val="000000" w:themeColor="text1"/>
          <w:lang w:val="es-ES_tradnl" w:eastAsia="es-ES_tradnl"/>
        </w:rPr>
        <w:t>1620</w:t>
      </w:r>
      <w:r w:rsidRPr="00C55BDE">
        <w:rPr>
          <w:rFonts w:ascii="Verdana" w:eastAsia="Calibri" w:hAnsi="Verdana" w:cs="Arial"/>
          <w:b/>
          <w:bCs/>
          <w:color w:val="000000" w:themeColor="text1"/>
          <w:lang w:val="es-ES_tradnl" w:eastAsia="es-ES_tradnl"/>
        </w:rPr>
        <w:t xml:space="preserve"> del 2025</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8779A" w:rsidRPr="00C55BDE" w14:paraId="1A9EDD02" w14:textId="77777777" w:rsidTr="00FE6ED8">
        <w:trPr>
          <w:gridAfter w:val="1"/>
          <w:wAfter w:w="6100" w:type="dxa"/>
          <w:trHeight w:val="133"/>
        </w:trPr>
        <w:tc>
          <w:tcPr>
            <w:tcW w:w="2689" w:type="dxa"/>
          </w:tcPr>
          <w:p w14:paraId="3353382D" w14:textId="77777777" w:rsidR="00B8779A" w:rsidRPr="00C55BDE" w:rsidRDefault="00B8779A" w:rsidP="00FE6ED8">
            <w:pPr>
              <w:jc w:val="both"/>
              <w:rPr>
                <w:rFonts w:ascii="Verdana" w:eastAsia="Calibri" w:hAnsi="Verdana" w:cs="Arial"/>
                <w:b/>
                <w:bCs/>
                <w:color w:val="000000" w:themeColor="text1"/>
                <w:highlight w:val="cyan"/>
                <w:lang w:val="es-ES_tradnl" w:eastAsia="es-ES_tradnl"/>
              </w:rPr>
            </w:pPr>
          </w:p>
        </w:tc>
      </w:tr>
      <w:tr w:rsidR="00B8779A" w:rsidRPr="00C55BDE" w14:paraId="4BE2576C" w14:textId="77777777" w:rsidTr="00FE6ED8">
        <w:trPr>
          <w:trHeight w:val="884"/>
        </w:trPr>
        <w:tc>
          <w:tcPr>
            <w:tcW w:w="2689" w:type="dxa"/>
          </w:tcPr>
          <w:p w14:paraId="5B915437" w14:textId="77777777" w:rsidR="00B8779A" w:rsidRPr="00C55BDE" w:rsidRDefault="00B8779A" w:rsidP="00FE6ED8">
            <w:pPr>
              <w:jc w:val="both"/>
              <w:rPr>
                <w:rFonts w:ascii="Verdana" w:eastAsia="Calibri" w:hAnsi="Verdana" w:cs="Arial"/>
                <w:color w:val="000000" w:themeColor="text1"/>
                <w:highlight w:val="cyan"/>
                <w:lang w:val="es-ES_tradnl" w:eastAsia="es-ES_tradnl"/>
              </w:rPr>
            </w:pPr>
            <w:r w:rsidRPr="00C55BDE">
              <w:rPr>
                <w:rFonts w:ascii="Verdana" w:eastAsia="Calibri" w:hAnsi="Verdana" w:cs="Arial"/>
                <w:b/>
                <w:color w:val="000000" w:themeColor="text1"/>
                <w:lang w:val="es-ES_tradnl" w:eastAsia="es-ES_tradnl"/>
              </w:rPr>
              <w:t>Temas:</w:t>
            </w:r>
            <w:r w:rsidRPr="00C55BDE">
              <w:rPr>
                <w:rFonts w:ascii="Verdana" w:eastAsia="Calibri" w:hAnsi="Verdana" w:cs="Arial"/>
                <w:color w:val="000000" w:themeColor="text1"/>
                <w:lang w:val="es-ES_tradnl" w:eastAsia="es-ES_tradnl"/>
              </w:rPr>
              <w:t xml:space="preserve">                   </w:t>
            </w:r>
          </w:p>
        </w:tc>
        <w:tc>
          <w:tcPr>
            <w:tcW w:w="6100" w:type="dxa"/>
          </w:tcPr>
          <w:p w14:paraId="7158AE8D" w14:textId="77777777" w:rsidR="00B8779A" w:rsidRDefault="00B8779A" w:rsidP="00FE6ED8">
            <w:pPr>
              <w:spacing w:line="276" w:lineRule="auto"/>
              <w:jc w:val="both"/>
              <w:rPr>
                <w:rFonts w:ascii="Verdana" w:hAnsi="Verdana" w:cs="Arial"/>
                <w:lang w:val="es-MX" w:eastAsia="es-ES_tradnl"/>
              </w:rPr>
            </w:pPr>
            <w:r w:rsidRPr="00C55BDE">
              <w:rPr>
                <w:rFonts w:ascii="Verdana" w:eastAsia="Calibri" w:hAnsi="Verdana" w:cs="Arial"/>
                <w:lang w:val="es-ES" w:eastAsia="es-ES"/>
              </w:rPr>
              <w:t xml:space="preserve">RESGUARDOS INDÍGENAS – Administración de recursos del SGP – Entidades Estatales / </w:t>
            </w:r>
            <w:r w:rsidRPr="00C55BDE">
              <w:rPr>
                <w:rFonts w:ascii="Verdana" w:hAnsi="Verdana" w:cs="Arial"/>
                <w:lang w:val="es-ES" w:eastAsia="es-ES"/>
              </w:rPr>
              <w:t xml:space="preserve">LEY DE GARANTÍAS ELECTORALES – Finalidad / LEY DE GARANTÍAS ELECTORALES ‒ Restricciones ‒ Contratación ‒ Tipos de elección / </w:t>
            </w:r>
            <w:r w:rsidRPr="00C55BDE">
              <w:rPr>
                <w:rFonts w:ascii="Verdana" w:hAnsi="Verdana" w:cs="Arial"/>
                <w:lang w:val="es-MX" w:eastAsia="es-ES_tradnl"/>
              </w:rPr>
              <w:t>CONVENIOS INTERADMINISTRATIVOS – Criterio orgánico /</w:t>
            </w:r>
            <w:r w:rsidRPr="00C55BDE">
              <w:rPr>
                <w:rFonts w:ascii="Verdana" w:hAnsi="Verdana"/>
              </w:rPr>
              <w:t xml:space="preserve"> </w:t>
            </w:r>
            <w:r w:rsidRPr="00C55BDE">
              <w:rPr>
                <w:rFonts w:ascii="Verdana" w:hAnsi="Verdana" w:cs="Arial"/>
                <w:lang w:val="es-MX" w:eastAsia="es-ES_tradnl"/>
              </w:rPr>
              <w:t>CONTRATOS Y CONVENIOS INTERADMINISTRATIVOS – Circular Externa Única – Auto de suspensión –</w:t>
            </w:r>
            <w:r>
              <w:rPr>
                <w:rFonts w:ascii="Verdana" w:hAnsi="Verdana" w:cs="Arial"/>
                <w:lang w:val="es-MX" w:eastAsia="es-ES_tradnl"/>
              </w:rPr>
              <w:t xml:space="preserve"> N</w:t>
            </w:r>
            <w:r w:rsidRPr="00C55BDE">
              <w:rPr>
                <w:rFonts w:ascii="Verdana" w:hAnsi="Verdana" w:cs="Arial"/>
                <w:lang w:val="es-MX" w:eastAsia="es-ES_tradnl"/>
              </w:rPr>
              <w:t>umeral 16.2.</w:t>
            </w:r>
          </w:p>
          <w:p w14:paraId="722D38A0" w14:textId="77777777" w:rsidR="00B8779A" w:rsidRPr="00C55BDE" w:rsidRDefault="00B8779A" w:rsidP="00FE6ED8">
            <w:pPr>
              <w:spacing w:line="276" w:lineRule="auto"/>
              <w:jc w:val="both"/>
              <w:rPr>
                <w:rFonts w:ascii="Verdana" w:hAnsi="Verdana" w:cs="Arial"/>
                <w:bCs/>
                <w:color w:val="000000" w:themeColor="text1"/>
                <w:highlight w:val="cyan"/>
              </w:rPr>
            </w:pPr>
          </w:p>
        </w:tc>
      </w:tr>
      <w:tr w:rsidR="00B8779A" w:rsidRPr="00C55BDE" w14:paraId="3DBED692" w14:textId="77777777" w:rsidTr="00FE6ED8">
        <w:tc>
          <w:tcPr>
            <w:tcW w:w="2689" w:type="dxa"/>
          </w:tcPr>
          <w:p w14:paraId="4540A978" w14:textId="77777777" w:rsidR="00B8779A" w:rsidRPr="00C55BDE" w:rsidRDefault="00B8779A" w:rsidP="00FE6ED8">
            <w:pPr>
              <w:jc w:val="both"/>
              <w:rPr>
                <w:rFonts w:ascii="Verdana" w:eastAsia="Calibri" w:hAnsi="Verdana" w:cs="Arial"/>
                <w:b/>
                <w:color w:val="000000" w:themeColor="text1"/>
                <w:lang w:val="es-ES_tradnl" w:eastAsia="es-ES_tradnl"/>
              </w:rPr>
            </w:pPr>
            <w:r w:rsidRPr="00C55BDE">
              <w:rPr>
                <w:rFonts w:ascii="Verdana" w:eastAsia="Calibri" w:hAnsi="Verdana" w:cs="Arial"/>
                <w:b/>
                <w:color w:val="000000" w:themeColor="text1"/>
                <w:lang w:val="es-ES_tradnl" w:eastAsia="es-ES_tradnl"/>
              </w:rPr>
              <w:t>Radicación:</w:t>
            </w:r>
            <w:r w:rsidRPr="00C55BDE">
              <w:rPr>
                <w:rFonts w:ascii="Verdana" w:eastAsia="Calibri" w:hAnsi="Verdana" w:cs="Arial"/>
                <w:color w:val="000000" w:themeColor="text1"/>
                <w:lang w:val="es-ES_tradnl" w:eastAsia="es-ES_tradnl"/>
              </w:rPr>
              <w:t xml:space="preserve">               </w:t>
            </w:r>
          </w:p>
        </w:tc>
        <w:tc>
          <w:tcPr>
            <w:tcW w:w="6100" w:type="dxa"/>
          </w:tcPr>
          <w:p w14:paraId="5CB23543" w14:textId="77777777" w:rsidR="00B8779A" w:rsidRPr="00C55BDE" w:rsidRDefault="00B8779A" w:rsidP="00FE6ED8">
            <w:pPr>
              <w:jc w:val="both"/>
              <w:rPr>
                <w:rFonts w:ascii="Verdana" w:hAnsi="Verdana" w:cs="Arial"/>
              </w:rPr>
            </w:pPr>
            <w:r w:rsidRPr="00C55BDE">
              <w:rPr>
                <w:rFonts w:ascii="Verdana" w:eastAsia="Calibri" w:hAnsi="Verdana" w:cs="Arial"/>
                <w:color w:val="000000" w:themeColor="text1"/>
                <w:lang w:val="es-ES_tradnl" w:eastAsia="es-ES_tradnl"/>
              </w:rPr>
              <w:t>Respuesta a consulta con radicado No.</w:t>
            </w:r>
            <w:r w:rsidRPr="00C55BDE">
              <w:rPr>
                <w:rFonts w:ascii="Verdana" w:hAnsi="Verdana"/>
              </w:rPr>
              <w:t xml:space="preserve"> </w:t>
            </w:r>
            <w:r w:rsidRPr="00C32BE1">
              <w:rPr>
                <w:rFonts w:ascii="Verdana" w:hAnsi="Verdana"/>
              </w:rPr>
              <w:t>1_2025_11_04_012372</w:t>
            </w:r>
          </w:p>
          <w:p w14:paraId="3BB22EEC" w14:textId="77777777" w:rsidR="00B8779A" w:rsidRPr="00C55BDE" w:rsidRDefault="00B8779A" w:rsidP="00FE6ED8">
            <w:pPr>
              <w:jc w:val="both"/>
              <w:rPr>
                <w:rFonts w:ascii="Verdana" w:hAnsi="Verdana"/>
                <w:color w:val="000000"/>
              </w:rPr>
            </w:pPr>
          </w:p>
        </w:tc>
      </w:tr>
    </w:tbl>
    <w:p w14:paraId="5D3A79C7" w14:textId="77777777" w:rsidR="00B8779A" w:rsidRPr="00C55BDE" w:rsidRDefault="00B8779A" w:rsidP="00B8779A">
      <w:pPr>
        <w:spacing w:after="0" w:line="276" w:lineRule="auto"/>
        <w:jc w:val="both"/>
        <w:rPr>
          <w:rFonts w:ascii="Verdana" w:eastAsia="Calibri" w:hAnsi="Verdana" w:cs="Arial"/>
          <w:color w:val="000000" w:themeColor="text1"/>
          <w:lang w:val="es-ES" w:eastAsia="es-ES"/>
        </w:rPr>
      </w:pPr>
      <w:r w:rsidRPr="00C55BDE">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 xml:space="preserve">a </w:t>
      </w:r>
      <w:r w:rsidRPr="00C55BDE">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a Caicedo</w:t>
      </w:r>
      <w:r w:rsidRPr="00C55BDE">
        <w:rPr>
          <w:rFonts w:ascii="Verdana" w:eastAsia="Calibri" w:hAnsi="Verdana" w:cs="Arial"/>
          <w:color w:val="000000" w:themeColor="text1"/>
          <w:lang w:val="es-ES" w:eastAsia="es-ES"/>
        </w:rPr>
        <w:t xml:space="preserve">: </w:t>
      </w:r>
    </w:p>
    <w:p w14:paraId="275E9FDC" w14:textId="77777777" w:rsidR="00B8779A" w:rsidRPr="00C55BDE" w:rsidRDefault="00B8779A" w:rsidP="00B8779A">
      <w:pPr>
        <w:spacing w:after="0"/>
        <w:rPr>
          <w:rFonts w:ascii="Verdana" w:eastAsia="Times New Roman" w:hAnsi="Verdana" w:cs="Segoe UI"/>
          <w:lang w:eastAsia="es-CO"/>
        </w:rPr>
      </w:pPr>
    </w:p>
    <w:p w14:paraId="74278938" w14:textId="77777777" w:rsidR="00B8779A" w:rsidRPr="00BA1D42" w:rsidRDefault="00B8779A" w:rsidP="00B8779A">
      <w:pPr>
        <w:spacing w:after="0" w:line="276" w:lineRule="auto"/>
        <w:jc w:val="both"/>
        <w:rPr>
          <w:rFonts w:ascii="Verdana" w:hAnsi="Verdana" w:cs="Arial"/>
          <w:color w:val="000000" w:themeColor="text1"/>
        </w:rPr>
      </w:pPr>
      <w:r w:rsidRPr="00C55BDE">
        <w:rPr>
          <w:rFonts w:ascii="Verdana" w:eastAsia="Calibri" w:hAnsi="Verdana" w:cs="Arial"/>
          <w:color w:val="000000" w:themeColor="text1"/>
          <w:lang w:val="es-ES" w:eastAsia="es-ES"/>
        </w:rPr>
        <w:t>En ejercicio de la competencia otorgada por los artículos 3, numeral 5º, y 11, numeral 8º, del Decreto Ley 4170 de 2011,</w:t>
      </w:r>
      <w:r w:rsidRPr="00C55BDE">
        <w:rPr>
          <w:rFonts w:ascii="Verdana" w:eastAsia="Arial MT" w:hAnsi="Verdana" w:cs="Arial MT"/>
          <w:color w:val="000000" w:themeColor="text1"/>
          <w:lang w:val="es-ES" w:eastAsia="es-ES"/>
        </w:rPr>
        <w:t xml:space="preserve"> </w:t>
      </w:r>
      <w:r>
        <w:rPr>
          <w:rFonts w:ascii="Verdana" w:hAnsi="Verdana" w:cs="Arial"/>
          <w:lang w:val="es-ES_tradnl"/>
        </w:rPr>
        <w:t>así como lo establecido en</w:t>
      </w:r>
      <w:r>
        <w:rPr>
          <w:rFonts w:ascii="Verdana" w:hAnsi="Verdana" w:cs="Arial"/>
        </w:rPr>
        <w:t xml:space="preserve"> la Resolución 469 de 2025 expedida por esta Entidad</w:t>
      </w:r>
      <w:r w:rsidRPr="00C55BDE">
        <w:rPr>
          <w:rFonts w:ascii="Verdana" w:hAnsi="Verdana" w:cs="Arial"/>
          <w:color w:val="000000" w:themeColor="text1"/>
        </w:rPr>
        <w:t xml:space="preserve">, </w:t>
      </w:r>
      <w:r w:rsidRPr="00C55BDE">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4</w:t>
      </w:r>
      <w:r w:rsidRPr="00C55BDE">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noviembre</w:t>
      </w:r>
      <w:r w:rsidRPr="00C55BDE">
        <w:rPr>
          <w:rFonts w:ascii="Verdana" w:eastAsia="Calibri" w:hAnsi="Verdana" w:cs="Arial"/>
          <w:color w:val="000000" w:themeColor="text1"/>
          <w:lang w:val="es-ES" w:eastAsia="es-ES"/>
        </w:rPr>
        <w:t xml:space="preserve"> del 2025, en la cual manifiesta lo siguiente: </w:t>
      </w:r>
    </w:p>
    <w:p w14:paraId="2BC8226E" w14:textId="77777777" w:rsidR="00B8779A" w:rsidRPr="00C55BDE" w:rsidRDefault="00B8779A" w:rsidP="00B8779A">
      <w:pPr>
        <w:spacing w:after="0" w:line="276" w:lineRule="auto"/>
        <w:jc w:val="both"/>
        <w:rPr>
          <w:rFonts w:ascii="Verdana" w:eastAsia="Calibri" w:hAnsi="Verdana" w:cs="Arial"/>
          <w:color w:val="000000" w:themeColor="text1"/>
          <w:lang w:val="es-ES" w:eastAsia="es-ES"/>
        </w:rPr>
      </w:pPr>
    </w:p>
    <w:p w14:paraId="37DD9DD1" w14:textId="77777777" w:rsidR="00B8779A" w:rsidRDefault="00B8779A" w:rsidP="00B8779A">
      <w:pPr>
        <w:spacing w:after="0" w:line="240" w:lineRule="auto"/>
        <w:ind w:left="709" w:right="709"/>
        <w:jc w:val="both"/>
        <w:rPr>
          <w:rFonts w:ascii="Verdana" w:eastAsia="Century Gothic" w:hAnsi="Verdana" w:cs="Century Gothic"/>
          <w:i/>
          <w:iCs/>
          <w:color w:val="000000" w:themeColor="text1"/>
          <w:sz w:val="20"/>
          <w:szCs w:val="20"/>
        </w:rPr>
      </w:pPr>
      <w:bookmarkStart w:id="1" w:name="_Hlk95313578"/>
      <w:r w:rsidRPr="00C55BDE">
        <w:rPr>
          <w:rFonts w:ascii="Verdana" w:eastAsia="Century Gothic" w:hAnsi="Verdana" w:cs="Century Gothic"/>
          <w:i/>
          <w:iCs/>
          <w:color w:val="000000" w:themeColor="text1"/>
          <w:sz w:val="20"/>
          <w:szCs w:val="20"/>
          <w:lang w:val="es-ES"/>
        </w:rPr>
        <w:t>“</w:t>
      </w:r>
      <w:bookmarkEnd w:id="1"/>
      <w:r w:rsidRPr="002F7B54">
        <w:rPr>
          <w:rFonts w:ascii="Verdana" w:eastAsia="Century Gothic" w:hAnsi="Verdana" w:cs="Century Gothic"/>
          <w:i/>
          <w:iCs/>
          <w:color w:val="000000" w:themeColor="text1"/>
          <w:sz w:val="20"/>
          <w:szCs w:val="20"/>
        </w:rPr>
        <w:t xml:space="preserve">Respetuosamente nos permitimos solicitar se emita concepto en relación a la restricción contemplada en el artículo 38 de la Ley 996 de 2025 y su aplicabilidad para los contratos de administración de recursos suscritos entre los resguardos indígenas y los entes territoriales del orden Municipal cuyo objeto corresponda a la administración de los recursos provenientes </w:t>
      </w:r>
      <w:r w:rsidRPr="002F7B54">
        <w:rPr>
          <w:rFonts w:ascii="Verdana" w:eastAsia="Century Gothic" w:hAnsi="Verdana" w:cs="Century Gothic"/>
          <w:i/>
          <w:iCs/>
          <w:color w:val="000000" w:themeColor="text1"/>
          <w:sz w:val="20"/>
          <w:szCs w:val="20"/>
        </w:rPr>
        <w:lastRenderedPageBreak/>
        <w:t xml:space="preserve">del Sistema General de Participación – SGP, para la posterior ejecución de los mismos en la vigencia inmediatamente siguiente, la cual tiene como fundamento lo siguiente: </w:t>
      </w:r>
    </w:p>
    <w:p w14:paraId="4BFC3C2F" w14:textId="77777777" w:rsidR="00B8779A" w:rsidRDefault="00B8779A" w:rsidP="00B8779A">
      <w:pPr>
        <w:spacing w:after="0" w:line="240" w:lineRule="auto"/>
        <w:ind w:left="709" w:right="709"/>
        <w:jc w:val="both"/>
        <w:rPr>
          <w:rFonts w:ascii="Verdana" w:eastAsia="Century Gothic" w:hAnsi="Verdana" w:cs="Century Gothic"/>
          <w:i/>
          <w:iCs/>
          <w:color w:val="000000" w:themeColor="text1"/>
          <w:sz w:val="20"/>
          <w:szCs w:val="20"/>
        </w:rPr>
      </w:pPr>
    </w:p>
    <w:p w14:paraId="269DA813" w14:textId="77777777" w:rsidR="00B8779A" w:rsidRDefault="00B8779A" w:rsidP="00B8779A">
      <w:pPr>
        <w:spacing w:after="0" w:line="240" w:lineRule="auto"/>
        <w:ind w:left="709" w:right="709"/>
        <w:jc w:val="both"/>
        <w:rPr>
          <w:rFonts w:ascii="Verdana" w:eastAsia="Century Gothic" w:hAnsi="Verdana" w:cs="Century Gothic"/>
          <w:i/>
          <w:iCs/>
          <w:color w:val="000000" w:themeColor="text1"/>
          <w:sz w:val="20"/>
          <w:szCs w:val="20"/>
        </w:rPr>
      </w:pPr>
      <w:r w:rsidRPr="002F7B54">
        <w:rPr>
          <w:rFonts w:ascii="Verdana" w:eastAsia="Century Gothic" w:hAnsi="Verdana" w:cs="Century Gothic"/>
          <w:i/>
          <w:iCs/>
          <w:color w:val="000000" w:themeColor="text1"/>
          <w:sz w:val="20"/>
          <w:szCs w:val="20"/>
        </w:rPr>
        <w:t xml:space="preserve">La Secretaría de servicios Sociales y Salud, actuando dentro de sus competencias y funciones otorgadas por medio del Decreto Municipal 259 de 2020, modificado por el Decreto Municipal 027 de 2021 “Manual específico de funciones, requisitos y competencias laborales para los empleos de la planta de personal de la alcaldía municipal de Calarcá Quindío” se encuentra adelantando las actuaciones administrativas y jurídicas para la administración y ejecución de los recursos otorgados por el Sistema General de Participaciones – SGP a los resguardos indígenas. </w:t>
      </w:r>
    </w:p>
    <w:p w14:paraId="0945A1F2" w14:textId="77777777" w:rsidR="00B8779A" w:rsidRDefault="00B8779A" w:rsidP="00B8779A">
      <w:pPr>
        <w:spacing w:after="0" w:line="240" w:lineRule="auto"/>
        <w:ind w:left="709" w:right="709"/>
        <w:jc w:val="both"/>
        <w:rPr>
          <w:rFonts w:ascii="Verdana" w:eastAsia="Century Gothic" w:hAnsi="Verdana" w:cs="Century Gothic"/>
          <w:i/>
          <w:iCs/>
          <w:color w:val="000000" w:themeColor="text1"/>
          <w:sz w:val="20"/>
          <w:szCs w:val="20"/>
        </w:rPr>
      </w:pPr>
    </w:p>
    <w:p w14:paraId="4F626780" w14:textId="77777777" w:rsidR="00B8779A" w:rsidRDefault="00B8779A" w:rsidP="00B8779A">
      <w:pPr>
        <w:spacing w:after="0" w:line="240" w:lineRule="auto"/>
        <w:ind w:left="709" w:right="709"/>
        <w:jc w:val="both"/>
        <w:rPr>
          <w:rFonts w:ascii="Verdana" w:eastAsia="Century Gothic" w:hAnsi="Verdana" w:cs="Century Gothic"/>
          <w:i/>
          <w:iCs/>
          <w:color w:val="000000" w:themeColor="text1"/>
          <w:sz w:val="20"/>
          <w:szCs w:val="20"/>
        </w:rPr>
      </w:pPr>
      <w:r w:rsidRPr="002F7B54">
        <w:rPr>
          <w:rFonts w:ascii="Verdana" w:eastAsia="Century Gothic" w:hAnsi="Verdana" w:cs="Century Gothic"/>
          <w:i/>
          <w:iCs/>
          <w:color w:val="000000" w:themeColor="text1"/>
          <w:sz w:val="20"/>
          <w:szCs w:val="20"/>
        </w:rPr>
        <w:t xml:space="preserve">Frente a lo anterior, se establece en el artículo 83 de la Ley 715 de 2001 lo siguiente: Los recursos asignados a los resguardos indígenas, serán administrados por el municipio en el que se encuentra el resguardo indígena. Cuando este quede en jurisdicción de varios municipios, los recursos serán girados a cada uno de los municipios en proporción a la población indígena que comprenda. Sin embargo, deberán manejarse en cuentas separadas a las propias de las entidades territoriales y para su ejecución debe celebrarse un contrato entre la entidad territorial y las autoridades del resguardo, antes del 31 de diciembre de cada año, en la que se determine el uso de los recursos en el año siguiente. Copia de dicho contrato se enviará antes de 20 de enero al Ministerio del Interior. </w:t>
      </w:r>
    </w:p>
    <w:p w14:paraId="0D29883F" w14:textId="77777777" w:rsidR="00B8779A" w:rsidRDefault="00B8779A" w:rsidP="00B8779A">
      <w:pPr>
        <w:spacing w:after="0" w:line="240" w:lineRule="auto"/>
        <w:ind w:left="709" w:right="709"/>
        <w:jc w:val="both"/>
        <w:rPr>
          <w:rFonts w:ascii="Verdana" w:eastAsia="Century Gothic" w:hAnsi="Verdana" w:cs="Century Gothic"/>
          <w:i/>
          <w:iCs/>
          <w:color w:val="000000" w:themeColor="text1"/>
          <w:sz w:val="20"/>
          <w:szCs w:val="20"/>
        </w:rPr>
      </w:pPr>
    </w:p>
    <w:p w14:paraId="0D5C9E33" w14:textId="77777777" w:rsidR="00B8779A" w:rsidRDefault="00B8779A" w:rsidP="00B8779A">
      <w:pPr>
        <w:spacing w:after="0" w:line="240" w:lineRule="auto"/>
        <w:ind w:left="709" w:right="709"/>
        <w:jc w:val="both"/>
        <w:rPr>
          <w:rFonts w:ascii="Verdana" w:eastAsia="Century Gothic" w:hAnsi="Verdana" w:cs="Century Gothic"/>
          <w:i/>
          <w:iCs/>
          <w:color w:val="000000" w:themeColor="text1"/>
          <w:sz w:val="20"/>
          <w:szCs w:val="20"/>
        </w:rPr>
      </w:pPr>
      <w:r w:rsidRPr="002F7B54">
        <w:rPr>
          <w:rFonts w:ascii="Verdana" w:eastAsia="Century Gothic" w:hAnsi="Verdana" w:cs="Century Gothic"/>
          <w:i/>
          <w:iCs/>
          <w:color w:val="000000" w:themeColor="text1"/>
          <w:sz w:val="20"/>
          <w:szCs w:val="20"/>
        </w:rPr>
        <w:t xml:space="preserve">Ahora bien, en el parágrafo del artículo 38 de la Ley 996 de 2005, indica: </w:t>
      </w:r>
    </w:p>
    <w:p w14:paraId="352DBEAE" w14:textId="77777777" w:rsidR="00B8779A" w:rsidRDefault="00B8779A" w:rsidP="00B8779A">
      <w:pPr>
        <w:spacing w:after="0" w:line="240" w:lineRule="auto"/>
        <w:ind w:left="709" w:right="709"/>
        <w:jc w:val="both"/>
        <w:rPr>
          <w:rFonts w:ascii="Verdana" w:eastAsia="Century Gothic" w:hAnsi="Verdana" w:cs="Century Gothic"/>
          <w:i/>
          <w:iCs/>
          <w:color w:val="000000" w:themeColor="text1"/>
          <w:sz w:val="20"/>
          <w:szCs w:val="20"/>
        </w:rPr>
      </w:pPr>
      <w:r w:rsidRPr="002F7B54">
        <w:rPr>
          <w:rFonts w:ascii="Verdana" w:eastAsia="Century Gothic" w:hAnsi="Verdana" w:cs="Century Gothic"/>
          <w:i/>
          <w:iCs/>
          <w:color w:val="000000" w:themeColor="text1"/>
          <w:sz w:val="20"/>
          <w:szCs w:val="20"/>
        </w:rPr>
        <w:t>(…)</w:t>
      </w:r>
    </w:p>
    <w:p w14:paraId="36F8DCDF" w14:textId="77777777" w:rsidR="00B8779A" w:rsidRDefault="00B8779A" w:rsidP="00B8779A">
      <w:pPr>
        <w:spacing w:after="0" w:line="240" w:lineRule="auto"/>
        <w:ind w:left="709" w:right="709"/>
        <w:jc w:val="both"/>
        <w:rPr>
          <w:rFonts w:ascii="Verdana" w:eastAsia="Century Gothic" w:hAnsi="Verdana" w:cs="Century Gothic"/>
          <w:i/>
          <w:iCs/>
          <w:color w:val="000000" w:themeColor="text1"/>
          <w:sz w:val="20"/>
          <w:szCs w:val="20"/>
        </w:rPr>
      </w:pPr>
    </w:p>
    <w:p w14:paraId="043E31AE" w14:textId="77777777" w:rsidR="00B8779A" w:rsidRDefault="00B8779A" w:rsidP="00B8779A">
      <w:pPr>
        <w:spacing w:after="0" w:line="240" w:lineRule="auto"/>
        <w:ind w:left="709" w:right="709"/>
        <w:jc w:val="both"/>
        <w:rPr>
          <w:rFonts w:ascii="Verdana" w:eastAsia="Century Gothic" w:hAnsi="Verdana" w:cs="Century Gothic"/>
          <w:i/>
          <w:iCs/>
          <w:color w:val="000000" w:themeColor="text1"/>
          <w:sz w:val="20"/>
          <w:szCs w:val="20"/>
        </w:rPr>
      </w:pPr>
      <w:r w:rsidRPr="00D6787C">
        <w:rPr>
          <w:rFonts w:ascii="Verdana" w:eastAsia="Century Gothic" w:hAnsi="Verdana" w:cs="Century Gothic"/>
          <w:i/>
          <w:iCs/>
          <w:color w:val="000000" w:themeColor="text1"/>
          <w:sz w:val="20"/>
          <w:szCs w:val="20"/>
        </w:rPr>
        <w:t xml:space="preserve">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 </w:t>
      </w:r>
    </w:p>
    <w:p w14:paraId="61048B71" w14:textId="77777777" w:rsidR="00B8779A" w:rsidRDefault="00B8779A" w:rsidP="00B8779A">
      <w:pPr>
        <w:spacing w:after="0" w:line="240" w:lineRule="auto"/>
        <w:ind w:left="709" w:right="709"/>
        <w:jc w:val="both"/>
        <w:rPr>
          <w:rFonts w:ascii="Verdana" w:eastAsia="Century Gothic" w:hAnsi="Verdana" w:cs="Century Gothic"/>
          <w:i/>
          <w:iCs/>
          <w:color w:val="000000" w:themeColor="text1"/>
          <w:sz w:val="20"/>
          <w:szCs w:val="20"/>
        </w:rPr>
      </w:pPr>
    </w:p>
    <w:p w14:paraId="066666D7" w14:textId="77777777" w:rsidR="00B8779A" w:rsidRDefault="00B8779A" w:rsidP="00B8779A">
      <w:pPr>
        <w:spacing w:after="0" w:line="240" w:lineRule="auto"/>
        <w:ind w:left="709" w:right="709"/>
        <w:jc w:val="both"/>
        <w:rPr>
          <w:rFonts w:ascii="Verdana" w:eastAsia="Century Gothic" w:hAnsi="Verdana" w:cs="Century Gothic"/>
          <w:i/>
          <w:iCs/>
          <w:color w:val="000000" w:themeColor="text1"/>
          <w:sz w:val="20"/>
          <w:szCs w:val="20"/>
        </w:rPr>
      </w:pPr>
      <w:r w:rsidRPr="00D6787C">
        <w:rPr>
          <w:rFonts w:ascii="Verdana" w:eastAsia="Century Gothic" w:hAnsi="Verdana" w:cs="Century Gothic"/>
          <w:i/>
          <w:iCs/>
          <w:color w:val="000000" w:themeColor="text1"/>
          <w:sz w:val="20"/>
          <w:szCs w:val="20"/>
        </w:rPr>
        <w:t xml:space="preserve">Debido a lo anterior, la Municipio de Calarcá, Quindío en el deber de adelantar la contratación con los resguardos indígenas que se encuentran asentados dentro del correspondiente territorio y se han constituidos legalmente como entidad territorial indígena, y tomando en cuenta que ambas entidades se constituyen como entes territoriales de carácter público la tipología contractual que debe adelantarse corresponde a la de Contratos o Convenios de carácter interadministrativos. </w:t>
      </w:r>
    </w:p>
    <w:p w14:paraId="2183F217" w14:textId="77777777" w:rsidR="00B8779A" w:rsidRDefault="00B8779A" w:rsidP="00B8779A">
      <w:pPr>
        <w:spacing w:after="0" w:line="240" w:lineRule="auto"/>
        <w:ind w:left="709" w:right="709"/>
        <w:jc w:val="both"/>
        <w:rPr>
          <w:rFonts w:ascii="Verdana" w:eastAsia="Century Gothic" w:hAnsi="Verdana" w:cs="Century Gothic"/>
          <w:i/>
          <w:iCs/>
          <w:color w:val="000000" w:themeColor="text1"/>
          <w:sz w:val="20"/>
          <w:szCs w:val="20"/>
        </w:rPr>
      </w:pPr>
      <w:r w:rsidRPr="00D6787C">
        <w:rPr>
          <w:rFonts w:ascii="Verdana" w:eastAsia="Century Gothic" w:hAnsi="Verdana" w:cs="Century Gothic"/>
          <w:i/>
          <w:iCs/>
          <w:color w:val="000000" w:themeColor="text1"/>
          <w:sz w:val="20"/>
          <w:szCs w:val="20"/>
        </w:rPr>
        <w:t xml:space="preserve">Ahora bien, tomando en consideración la circular externa No. 006 de 2025, en la cual en el numeral 2 en su aparte IV) Convenios Interadministrativos </w:t>
      </w:r>
      <w:r w:rsidRPr="00D6787C">
        <w:rPr>
          <w:rFonts w:ascii="Verdana" w:eastAsia="Century Gothic" w:hAnsi="Verdana" w:cs="Century Gothic"/>
          <w:i/>
          <w:iCs/>
          <w:color w:val="000000" w:themeColor="text1"/>
          <w:sz w:val="20"/>
          <w:szCs w:val="20"/>
        </w:rPr>
        <w:lastRenderedPageBreak/>
        <w:t xml:space="preserve">a título gratuito, hace alusión a la excepción para la suscripción de dicha tipología contractual, en el evento en el cual no se encuentre suscribiendo la ejecución de recursos públicos. </w:t>
      </w:r>
    </w:p>
    <w:p w14:paraId="5DEB27BB" w14:textId="77777777" w:rsidR="00B8779A" w:rsidRDefault="00B8779A" w:rsidP="00B8779A">
      <w:pPr>
        <w:spacing w:after="0" w:line="240" w:lineRule="auto"/>
        <w:ind w:left="709" w:right="709"/>
        <w:jc w:val="both"/>
        <w:rPr>
          <w:rFonts w:ascii="Verdana" w:eastAsia="Century Gothic" w:hAnsi="Verdana" w:cs="Century Gothic"/>
          <w:i/>
          <w:iCs/>
          <w:color w:val="000000" w:themeColor="text1"/>
          <w:sz w:val="20"/>
          <w:szCs w:val="20"/>
        </w:rPr>
      </w:pPr>
    </w:p>
    <w:p w14:paraId="216026CC" w14:textId="77777777" w:rsidR="00B8779A" w:rsidRPr="00D6787C" w:rsidRDefault="00B8779A" w:rsidP="00B8779A">
      <w:pPr>
        <w:spacing w:after="0" w:line="240" w:lineRule="auto"/>
        <w:ind w:left="709" w:right="709"/>
        <w:jc w:val="both"/>
        <w:rPr>
          <w:rFonts w:ascii="Verdana" w:eastAsia="Century Gothic" w:hAnsi="Verdana" w:cs="Century Gothic"/>
          <w:i/>
          <w:iCs/>
          <w:color w:val="000000" w:themeColor="text1"/>
          <w:sz w:val="20"/>
          <w:szCs w:val="20"/>
        </w:rPr>
      </w:pPr>
      <w:r w:rsidRPr="00D6787C">
        <w:rPr>
          <w:rFonts w:ascii="Verdana" w:eastAsia="Century Gothic" w:hAnsi="Verdana" w:cs="Century Gothic"/>
          <w:i/>
          <w:iCs/>
          <w:color w:val="000000" w:themeColor="text1"/>
          <w:sz w:val="20"/>
          <w:szCs w:val="20"/>
        </w:rPr>
        <w:t>Por lo anterior, surge la necesidad de determinar la viabilidad de la suscripción del contrato para la administración de recursos en el evento que se encuentre vigente las restricciones contempladas en el parágrafo del artículo 38 de la Ley 996 de 2005, y si este tipo de contratos interadministrativos se encuentran inmersos entre los considerados “a título gratuito” y siendo la Agencia Nacional de Contratación Pública Colombia Compra eficiente la entidad que tiene competencia para desarrollar e impulsar políticas públicas, programas, herramientas y normas orientadas a la organización y articulación de los partícipes en los procesos de compras y contratación pública, se eleva la presente solicitud de concepto</w:t>
      </w:r>
      <w:r w:rsidRPr="00F07CE6">
        <w:rPr>
          <w:rFonts w:ascii="Verdana" w:eastAsia="Century Gothic" w:hAnsi="Verdana" w:cs="Century Gothic"/>
          <w:i/>
          <w:iCs/>
          <w:color w:val="000000" w:themeColor="text1"/>
          <w:sz w:val="20"/>
          <w:szCs w:val="20"/>
        </w:rPr>
        <w:t>.</w:t>
      </w:r>
      <w:r>
        <w:rPr>
          <w:rFonts w:ascii="Verdana" w:eastAsia="Century Gothic" w:hAnsi="Verdana" w:cs="Century Gothic"/>
          <w:i/>
          <w:iCs/>
          <w:color w:val="000000" w:themeColor="text1"/>
          <w:sz w:val="20"/>
          <w:szCs w:val="20"/>
        </w:rPr>
        <w:t>”</w:t>
      </w:r>
    </w:p>
    <w:p w14:paraId="00BD2F3D" w14:textId="77777777" w:rsidR="00B8779A" w:rsidRPr="00C55BDE" w:rsidRDefault="00B8779A" w:rsidP="00B8779A">
      <w:pPr>
        <w:spacing w:after="0" w:line="240" w:lineRule="auto"/>
        <w:ind w:left="709" w:right="709"/>
        <w:jc w:val="both"/>
        <w:rPr>
          <w:rFonts w:ascii="Verdana" w:eastAsia="Times New Roman" w:hAnsi="Verdana" w:cs="Arial"/>
          <w:i/>
          <w:iCs/>
          <w:sz w:val="20"/>
          <w:szCs w:val="20"/>
          <w:lang w:eastAsia="es-ES_tradnl"/>
        </w:rPr>
      </w:pPr>
    </w:p>
    <w:p w14:paraId="74C9E371" w14:textId="77777777" w:rsidR="00B8779A" w:rsidRPr="00C55BDE" w:rsidRDefault="00B8779A" w:rsidP="00B8779A">
      <w:pPr>
        <w:spacing w:after="120" w:line="276" w:lineRule="auto"/>
        <w:ind w:firstLine="709"/>
        <w:jc w:val="both"/>
        <w:rPr>
          <w:rFonts w:ascii="Verdana" w:eastAsia="Calibri" w:hAnsi="Verdana" w:cs="Arial"/>
          <w:color w:val="000000" w:themeColor="text1"/>
          <w:szCs w:val="24"/>
          <w:lang w:val="es-ES_tradnl" w:eastAsia="es-ES_tradnl"/>
        </w:rPr>
      </w:pPr>
      <w:r w:rsidRPr="00C55BDE">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55BDE">
        <w:rPr>
          <w:rFonts w:ascii="Verdana" w:eastAsia="Calibri" w:hAnsi="Verdana" w:cs="Arial"/>
          <w:color w:val="000000" w:themeColor="text1"/>
          <w:szCs w:val="24"/>
          <w:lang w:val="es-ES_tradnl" w:eastAsia="es-ES_tradnl"/>
        </w:rPr>
        <w:tab/>
      </w:r>
    </w:p>
    <w:p w14:paraId="00274D4F" w14:textId="77777777" w:rsidR="00B8779A" w:rsidRPr="00C55BDE" w:rsidRDefault="00B8779A" w:rsidP="00B8779A">
      <w:pPr>
        <w:spacing w:after="0" w:line="276" w:lineRule="auto"/>
        <w:ind w:firstLine="709"/>
        <w:jc w:val="both"/>
        <w:rPr>
          <w:rFonts w:ascii="Verdana" w:eastAsia="Calibri" w:hAnsi="Verdana" w:cs="Arial"/>
          <w:color w:val="000000" w:themeColor="text1"/>
          <w:lang w:val="es-ES" w:eastAsia="es-ES"/>
        </w:rPr>
      </w:pPr>
      <w:r w:rsidRPr="00C55BDE">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7ECD73E3" w14:textId="77777777" w:rsidR="00B8779A" w:rsidRPr="00C55BDE" w:rsidRDefault="00B8779A" w:rsidP="00B8779A">
      <w:pPr>
        <w:spacing w:after="0" w:line="276" w:lineRule="auto"/>
        <w:jc w:val="both"/>
        <w:rPr>
          <w:rFonts w:ascii="Verdana" w:eastAsia="Calibri" w:hAnsi="Verdana" w:cs="Arial"/>
          <w:color w:val="000000" w:themeColor="text1"/>
          <w:lang w:val="es-ES" w:eastAsia="es-ES"/>
        </w:rPr>
      </w:pPr>
    </w:p>
    <w:p w14:paraId="2AE3C168" w14:textId="77777777" w:rsidR="00B8779A" w:rsidRPr="00C55BDE" w:rsidRDefault="00B8779A" w:rsidP="00B8779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Problema planteado:</w:t>
      </w:r>
    </w:p>
    <w:p w14:paraId="7E7F70E5" w14:textId="77777777" w:rsidR="00B8779A" w:rsidRPr="00C55BDE" w:rsidRDefault="00B8779A" w:rsidP="00B8779A">
      <w:pPr>
        <w:tabs>
          <w:tab w:val="left" w:pos="426"/>
        </w:tabs>
        <w:spacing w:after="0" w:line="276" w:lineRule="auto"/>
        <w:jc w:val="both"/>
        <w:rPr>
          <w:rFonts w:ascii="Verdana" w:eastAsia="Century Gothic" w:hAnsi="Verdana" w:cs="Century Gothic"/>
          <w:color w:val="000000" w:themeColor="text1"/>
          <w:lang w:val="es-ES"/>
        </w:rPr>
      </w:pPr>
    </w:p>
    <w:p w14:paraId="7A1AF148" w14:textId="77777777" w:rsidR="00B8779A" w:rsidRPr="00C55BDE" w:rsidRDefault="00B8779A" w:rsidP="00B8779A">
      <w:pPr>
        <w:spacing w:after="0" w:line="276" w:lineRule="auto"/>
        <w:jc w:val="both"/>
        <w:rPr>
          <w:rFonts w:ascii="Verdana" w:eastAsia="Century Gothic" w:hAnsi="Verdana" w:cs="Century Gothic"/>
          <w:color w:val="000000" w:themeColor="text1"/>
        </w:rPr>
      </w:pPr>
      <w:r w:rsidRPr="00C55BDE">
        <w:rPr>
          <w:rFonts w:ascii="Verdana" w:eastAsia="Century Gothic" w:hAnsi="Verdana" w:cs="Century Gothic"/>
          <w:color w:val="000000" w:themeColor="text1"/>
        </w:rPr>
        <w:t>De acuerdo con el contenido de su solicitud, esta Agencia resolverá los siguientes problemas jurídicos:</w:t>
      </w:r>
      <w:r>
        <w:rPr>
          <w:rFonts w:ascii="Verdana" w:eastAsia="Century Gothic" w:hAnsi="Verdana" w:cs="Century Gothic"/>
          <w:color w:val="000000" w:themeColor="text1"/>
        </w:rPr>
        <w:t xml:space="preserve"> </w:t>
      </w:r>
      <w:r w:rsidRPr="00C55BDE">
        <w:rPr>
          <w:rFonts w:ascii="Verdana" w:eastAsia="Century Gothic" w:hAnsi="Verdana" w:cs="Century Gothic"/>
          <w:color w:val="000000" w:themeColor="text1"/>
        </w:rPr>
        <w:t>¿</w:t>
      </w:r>
      <w:r>
        <w:rPr>
          <w:rFonts w:ascii="Verdana" w:eastAsia="Century Gothic" w:hAnsi="Verdana" w:cs="Century Gothic"/>
          <w:color w:val="000000" w:themeColor="text1"/>
        </w:rPr>
        <w:t xml:space="preserve">aplican las restricciones </w:t>
      </w:r>
      <w:r w:rsidRPr="00C55BDE">
        <w:rPr>
          <w:rFonts w:ascii="Verdana" w:eastAsia="Times New Roman" w:hAnsi="Verdana" w:cs="Arial"/>
          <w:lang w:eastAsia="es-CO"/>
        </w:rPr>
        <w:t xml:space="preserve">de la Ley de Garantías Electorales </w:t>
      </w:r>
      <w:r w:rsidRPr="00C55BDE">
        <w:rPr>
          <w:rFonts w:ascii="Verdana" w:eastAsia="Times New Roman" w:hAnsi="Verdana" w:cs="Arial"/>
          <w:lang w:eastAsia="es-CO"/>
        </w:rPr>
        <w:lastRenderedPageBreak/>
        <w:t>-</w:t>
      </w:r>
      <w:r w:rsidRPr="00C55BDE">
        <w:rPr>
          <w:rFonts w:ascii="Verdana" w:hAnsi="Verdana"/>
          <w:iCs/>
        </w:rPr>
        <w:t xml:space="preserve"> Ley 996 de 2005</w:t>
      </w:r>
      <w:r>
        <w:rPr>
          <w:rFonts w:ascii="Verdana" w:hAnsi="Verdana"/>
          <w:iCs/>
        </w:rPr>
        <w:t xml:space="preserve"> a los convenios o contratos interadministrativos que se celebren entre entidades estatales y los resguardos indígenas</w:t>
      </w:r>
      <w:r w:rsidRPr="00C55BDE">
        <w:rPr>
          <w:rFonts w:ascii="Verdana" w:hAnsi="Verdana"/>
          <w:iCs/>
        </w:rPr>
        <w:t>?</w:t>
      </w:r>
    </w:p>
    <w:p w14:paraId="76A74D2A" w14:textId="77777777" w:rsidR="00B8779A" w:rsidRPr="00C55BDE" w:rsidRDefault="00B8779A" w:rsidP="00B8779A">
      <w:pPr>
        <w:spacing w:after="0" w:line="276" w:lineRule="auto"/>
        <w:jc w:val="both"/>
        <w:rPr>
          <w:rFonts w:ascii="Verdana" w:eastAsia="Century Gothic" w:hAnsi="Verdana" w:cs="Century Gothic"/>
          <w:color w:val="000000" w:themeColor="text1"/>
        </w:rPr>
      </w:pPr>
    </w:p>
    <w:p w14:paraId="0B4847C3" w14:textId="77777777" w:rsidR="00B8779A" w:rsidRPr="00C55BDE" w:rsidRDefault="00B8779A" w:rsidP="00B8779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 xml:space="preserve">Respuesta: </w:t>
      </w:r>
    </w:p>
    <w:p w14:paraId="6EF5AEEC" w14:textId="77777777" w:rsidR="00B8779A" w:rsidRPr="00C55BDE" w:rsidRDefault="00B8779A" w:rsidP="00B8779A">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8779A" w:rsidRPr="00C55BDE" w14:paraId="1DEE6525" w14:textId="77777777" w:rsidTr="00FE6ED8">
        <w:tc>
          <w:tcPr>
            <w:tcW w:w="8828" w:type="dxa"/>
          </w:tcPr>
          <w:p w14:paraId="62447E95" w14:textId="77777777" w:rsidR="00B8779A" w:rsidRPr="00C55BDE" w:rsidRDefault="00B8779A" w:rsidP="00FE6ED8">
            <w:pPr>
              <w:spacing w:after="120" w:line="276" w:lineRule="auto"/>
              <w:jc w:val="both"/>
              <w:rPr>
                <w:rFonts w:ascii="Verdana" w:eastAsia="Calibri" w:hAnsi="Verdana" w:cs="Arial"/>
                <w:lang w:val="es-ES"/>
              </w:rPr>
            </w:pPr>
            <w:r w:rsidRPr="00C55BDE">
              <w:rPr>
                <w:rFonts w:ascii="Verdana" w:eastAsia="Calibri" w:hAnsi="Verdana" w:cs="Arial"/>
                <w:lang w:val="es-ES"/>
              </w:rPr>
              <w:t xml:space="preserve">Las normas </w:t>
            </w:r>
            <w:r>
              <w:rPr>
                <w:rFonts w:ascii="Verdana" w:eastAsia="Calibri" w:hAnsi="Verdana" w:cs="Arial"/>
                <w:lang w:val="es-ES"/>
              </w:rPr>
              <w:t>analizadas en este concepto</w:t>
            </w:r>
            <w:r w:rsidRPr="00C55BDE">
              <w:rPr>
                <w:rFonts w:ascii="Verdana" w:eastAsia="Calibri" w:hAnsi="Verdana" w:cs="Arial"/>
                <w:lang w:val="es-ES"/>
              </w:rPr>
              <w:t>, por un lado, conciben a los resguardos indígenas como una instituciones legales y sociopolíticas de carácter especial, que pueden estar conformadas por una o más comunidades indígenas, que ejercen la propiedad colectiva sobre un territorio común, y que, si bien gozan de las garantías de la propiedad privada, tienen naturaleza inalienable, imprescriptible e inembargable. En ese sentido, a pesar de que la noción de resguardos indígenas no se agota en el territorio físico que es objeto de propiedad colectiva, tampoco es susceptible de ser equiparado al concepto de territorios indígenas al que se refiere el artículo 2 de la Ley 80 de 1993, ya que este aplica a las entidades territoriales indígenas, que, conforme a lo aquí explicado, aún no han sido objeto de implementación. Así pues, en principio, los resguardos indígenas no tienen el carácter de Entidades Estatales en el marco del Estatuto General de Contratación de la Administración Pública, ni tampoco tienen capacidad para contratar a luz del artículo 6 de la Ley 80 de 1993.</w:t>
            </w:r>
          </w:p>
          <w:p w14:paraId="78B8F4DD" w14:textId="77777777" w:rsidR="00B8779A" w:rsidRPr="00C55BDE" w:rsidRDefault="00B8779A" w:rsidP="00FE6ED8">
            <w:pPr>
              <w:spacing w:after="120" w:line="276" w:lineRule="auto"/>
              <w:jc w:val="both"/>
              <w:rPr>
                <w:rFonts w:ascii="Verdana" w:eastAsia="Calibri" w:hAnsi="Verdana" w:cs="Arial"/>
                <w:lang w:val="es-ES"/>
              </w:rPr>
            </w:pPr>
            <w:r w:rsidRPr="00C55BDE">
              <w:rPr>
                <w:rFonts w:ascii="Verdana" w:eastAsia="Calibri" w:hAnsi="Verdana" w:cs="Arial"/>
                <w:lang w:val="es-ES"/>
              </w:rPr>
              <w:tab/>
              <w:t>No obstante, el régimen para la transitoria puesta en marcha de los territorios indígenas establecido por el Decreto autónomo 1953 de 2014, a efectos de garantizar la distribución de los recursos de asignación especial del Sistema General de Participaciones</w:t>
            </w:r>
            <w:r>
              <w:rPr>
                <w:rFonts w:ascii="Verdana" w:eastAsia="Calibri" w:hAnsi="Verdana" w:cs="Arial"/>
                <w:lang w:val="es-ES"/>
              </w:rPr>
              <w:t xml:space="preserve"> </w:t>
            </w:r>
            <w:r w:rsidRPr="00C55BDE">
              <w:rPr>
                <w:rFonts w:ascii="Verdana" w:hAnsi="Verdana"/>
              </w:rPr>
              <w:t>-AESGPRI-</w:t>
            </w:r>
            <w:r>
              <w:rPr>
                <w:rFonts w:ascii="Verdana" w:hAnsi="Verdana"/>
              </w:rPr>
              <w:t>,</w:t>
            </w:r>
            <w:r w:rsidRPr="00C55BDE">
              <w:rPr>
                <w:rFonts w:ascii="Verdana" w:hAnsi="Verdana"/>
              </w:rPr>
              <w:t xml:space="preserve"> </w:t>
            </w:r>
            <w:r w:rsidRPr="00C55BDE">
              <w:rPr>
                <w:rFonts w:ascii="Verdana" w:eastAsia="Calibri" w:hAnsi="Verdana" w:cs="Arial"/>
                <w:lang w:val="es-ES"/>
              </w:rPr>
              <w:t xml:space="preserve">que corresponden a los pueblos indígenas, estableció diferentes mecanismos para que se ejecutaran los mismos. Dentro de estos mecanismos se estableció la posibilidad de que los resguardos indígenas que cumplieran ciertos requisitos o se agruparan con otros resguardos fueran reconocidos de manera transitoria como territorios indígenas, evento en el que, de conformidad con el artículo 9 del Decreto 1953 de 2014, son consideradas como Entidades Estatales de acuerdo con el artículo 2 de la Ley 80 de 1993. No obstante, la capacidad jurídica que deriva de este artículo está limitada a lo relacionado con el ejercicio de las funciones públicas y la ejecución de recursos de los que trata el decreto.   </w:t>
            </w:r>
          </w:p>
          <w:p w14:paraId="6A96C136" w14:textId="77777777" w:rsidR="00B8779A" w:rsidRDefault="00B8779A" w:rsidP="00FE6ED8">
            <w:pPr>
              <w:spacing w:after="120" w:line="276" w:lineRule="auto"/>
              <w:ind w:firstLine="743"/>
              <w:jc w:val="both"/>
              <w:rPr>
                <w:rFonts w:ascii="Verdana" w:eastAsia="Calibri" w:hAnsi="Verdana" w:cs="Arial"/>
                <w:lang w:val="es-ES"/>
              </w:rPr>
            </w:pPr>
            <w:r w:rsidRPr="00C55BDE">
              <w:rPr>
                <w:rFonts w:ascii="Verdana" w:eastAsia="Calibri" w:hAnsi="Verdana" w:cs="Arial"/>
                <w:lang w:val="es-ES"/>
              </w:rPr>
              <w:t xml:space="preserve">En síntesis, a pesar de que el Decreto 1953 de 2014 establece el carácter de Entidades Estatales de los territorios indígenas regulados de </w:t>
            </w:r>
            <w:r w:rsidRPr="00C55BDE">
              <w:rPr>
                <w:rFonts w:ascii="Verdana" w:eastAsia="Calibri" w:hAnsi="Verdana" w:cs="Arial"/>
                <w:lang w:val="es-ES"/>
              </w:rPr>
              <w:lastRenderedPageBreak/>
              <w:t xml:space="preserve">manera transitoria, los resguardos indígenas y sus asociaciones, esto solo resulta aplicable a los asuntos contractuales regulados por dicha norma autónoma. Esto significa que, los territorios, resguardos indígenas y asociaciones de estos, solo son consideradas Entidades Estatales para efectos de celebrar los negocios jurídicos requeridos para el cumplimiento de las funciones que les asigna el decreto, prevalentemente relacionadas con la ejecución y administración de recursos del Sistema General de Participaciones, por lo que no estarían facultados para ejecutar negocios jurídicos no relacionados con tales atribuciones. </w:t>
            </w:r>
          </w:p>
          <w:p w14:paraId="347F296E" w14:textId="77777777" w:rsidR="00B8779A" w:rsidRPr="0053094D" w:rsidRDefault="00B8779A" w:rsidP="00FE6ED8">
            <w:pPr>
              <w:spacing w:after="120" w:line="276" w:lineRule="auto"/>
              <w:ind w:firstLine="743"/>
              <w:jc w:val="both"/>
              <w:rPr>
                <w:rFonts w:ascii="Verdana" w:eastAsia="Calibri" w:hAnsi="Verdana" w:cs="Arial"/>
                <w:lang w:val="es-ES"/>
              </w:rPr>
            </w:pPr>
            <w:r>
              <w:rPr>
                <w:rFonts w:ascii="Verdana" w:hAnsi="Verdana"/>
              </w:rPr>
              <w:t>T</w:t>
            </w:r>
            <w:r w:rsidRPr="00C55BDE">
              <w:rPr>
                <w:rFonts w:ascii="Verdana" w:hAnsi="Verdana"/>
              </w:rPr>
              <w:t>ratándose de recursos -AESGPRI-</w:t>
            </w:r>
            <w:r>
              <w:rPr>
                <w:rFonts w:ascii="Verdana" w:hAnsi="Verdana"/>
              </w:rPr>
              <w:t>,</w:t>
            </w:r>
            <w:r w:rsidRPr="00C55BDE">
              <w:rPr>
                <w:rFonts w:ascii="Verdana" w:hAnsi="Verdana"/>
              </w:rPr>
              <w:t xml:space="preserve"> debe tenerse </w:t>
            </w:r>
            <w:r>
              <w:rPr>
                <w:rFonts w:ascii="Verdana" w:hAnsi="Verdana"/>
              </w:rPr>
              <w:t>en</w:t>
            </w:r>
            <w:r w:rsidRPr="00C55BDE">
              <w:rPr>
                <w:rFonts w:ascii="Verdana" w:hAnsi="Verdana"/>
              </w:rPr>
              <w:t xml:space="preserve"> </w:t>
            </w:r>
            <w:r>
              <w:rPr>
                <w:rFonts w:ascii="Verdana" w:hAnsi="Verdana"/>
              </w:rPr>
              <w:t xml:space="preserve">cuenta </w:t>
            </w:r>
            <w:r w:rsidRPr="00C55BDE">
              <w:rPr>
                <w:rFonts w:ascii="Verdana" w:hAnsi="Verdana"/>
              </w:rPr>
              <w:t>que</w:t>
            </w:r>
            <w:r>
              <w:rPr>
                <w:rFonts w:ascii="Verdana" w:hAnsi="Verdana"/>
              </w:rPr>
              <w:t>,</w:t>
            </w:r>
            <w:r w:rsidRPr="00C55BDE">
              <w:rPr>
                <w:rFonts w:ascii="Verdana" w:hAnsi="Verdana"/>
              </w:rPr>
              <w:t xml:space="preserve"> </w:t>
            </w:r>
            <w:r>
              <w:rPr>
                <w:rFonts w:ascii="Verdana" w:hAnsi="Verdana"/>
              </w:rPr>
              <w:t>según dispone el</w:t>
            </w:r>
            <w:r w:rsidRPr="00C55BDE">
              <w:rPr>
                <w:rFonts w:ascii="Verdana" w:hAnsi="Verdana"/>
              </w:rPr>
              <w:t xml:space="preserve"> artículo 83 de la Ley 715 de 2001</w:t>
            </w:r>
            <w:r>
              <w:rPr>
                <w:rFonts w:ascii="Verdana" w:hAnsi="Verdana"/>
              </w:rPr>
              <w:t>,</w:t>
            </w:r>
            <w:r w:rsidRPr="00C55BDE">
              <w:rPr>
                <w:rFonts w:ascii="Verdana" w:hAnsi="Verdana"/>
              </w:rPr>
              <w:t xml:space="preserve"> estos</w:t>
            </w:r>
            <w:r>
              <w:rPr>
                <w:rFonts w:ascii="Verdana" w:hAnsi="Verdana"/>
              </w:rPr>
              <w:t xml:space="preserve"> deben ser</w:t>
            </w:r>
            <w:r w:rsidRPr="00C55BDE">
              <w:rPr>
                <w:rFonts w:ascii="Verdana" w:hAnsi="Verdana"/>
              </w:rPr>
              <w:t xml:space="preserve"> girados a cada uno de los municipios en proporción a la población indígena que comprenda y que para su ejecución deberá celebrarse un contrato entre la entidad territorial y las autoridades del resguardo, </w:t>
            </w:r>
            <w:r w:rsidRPr="00C55BDE">
              <w:rPr>
                <w:rFonts w:ascii="Verdana" w:hAnsi="Verdana"/>
                <w:i/>
                <w:iCs/>
              </w:rPr>
              <w:t>antes del 31 de diciembre de cada año</w:t>
            </w:r>
            <w:r w:rsidRPr="00C55BDE">
              <w:rPr>
                <w:rFonts w:ascii="Verdana" w:hAnsi="Verdana"/>
              </w:rPr>
              <w:t>, en la que se determine el uso de los recursos en el año siguiente. Copia de dicho contrato se enviará antes del 20 de enero al Ministerio del Interior.</w:t>
            </w:r>
          </w:p>
          <w:p w14:paraId="0D65419F" w14:textId="77777777" w:rsidR="00B8779A" w:rsidRDefault="00B8779A" w:rsidP="00FE6ED8">
            <w:pPr>
              <w:spacing w:after="120" w:line="276" w:lineRule="auto"/>
              <w:ind w:firstLine="709"/>
              <w:jc w:val="both"/>
              <w:rPr>
                <w:rFonts w:ascii="Verdana" w:eastAsia="Times New Roman" w:hAnsi="Verdana" w:cs="Arial"/>
                <w:lang w:eastAsia="es-CO"/>
              </w:rPr>
            </w:pPr>
            <w:r>
              <w:rPr>
                <w:rFonts w:ascii="Verdana" w:hAnsi="Verdana" w:cs="Arial"/>
                <w:lang w:val="es-ES"/>
              </w:rPr>
              <w:t>Ahora bien</w:t>
            </w:r>
            <w:r w:rsidRPr="00C55BDE">
              <w:rPr>
                <w:rFonts w:ascii="Verdana" w:hAnsi="Verdana" w:cs="Arial"/>
                <w:lang w:val="es-ES"/>
              </w:rPr>
              <w:t xml:space="preserve">, en lo que respecta a lo dispuesto en el parágrafo </w:t>
            </w:r>
            <w:r w:rsidRPr="00C55BDE">
              <w:rPr>
                <w:rFonts w:ascii="Verdana" w:eastAsia="Times New Roman" w:hAnsi="Verdana" w:cs="Arial"/>
                <w:lang w:eastAsia="es-CO"/>
              </w:rPr>
              <w:t xml:space="preserve">del artículo 38 de la Ley 996 de 2005, se precisa que, este prohíbe a los </w:t>
            </w:r>
            <w:proofErr w:type="gramStart"/>
            <w:r w:rsidRPr="00C55BDE">
              <w:rPr>
                <w:rFonts w:ascii="Verdana" w:eastAsia="Times New Roman" w:hAnsi="Verdana" w:cs="Arial"/>
                <w:lang w:eastAsia="es-CO"/>
              </w:rPr>
              <w:t>Alcaldes</w:t>
            </w:r>
            <w:proofErr w:type="gramEnd"/>
            <w:r w:rsidRPr="00C55BDE">
              <w:rPr>
                <w:rFonts w:ascii="Verdana" w:eastAsia="Times New Roman" w:hAnsi="Verdana" w:cs="Arial"/>
                <w:lang w:eastAsia="es-CO"/>
              </w:rPr>
              <w:t xml:space="preserve">, Gobernadores, </w:t>
            </w:r>
            <w:proofErr w:type="gramStart"/>
            <w:r w:rsidRPr="00C55BDE">
              <w:rPr>
                <w:rFonts w:ascii="Verdana" w:eastAsia="Times New Roman" w:hAnsi="Verdana" w:cs="Arial"/>
                <w:lang w:eastAsia="es-CO"/>
              </w:rPr>
              <w:t>Secretarios</w:t>
            </w:r>
            <w:proofErr w:type="gramEnd"/>
            <w:r w:rsidRPr="00C55BDE">
              <w:rPr>
                <w:rFonts w:ascii="Verdana" w:eastAsia="Times New Roman" w:hAnsi="Verdana" w:cs="Arial"/>
                <w:lang w:eastAsia="es-CO"/>
              </w:rPr>
              <w:t xml:space="preserve">, Gerentes y </w:t>
            </w:r>
            <w:proofErr w:type="gramStart"/>
            <w:r w:rsidRPr="00C55BDE">
              <w:rPr>
                <w:rFonts w:ascii="Verdana" w:eastAsia="Times New Roman" w:hAnsi="Verdana" w:cs="Arial"/>
                <w:lang w:eastAsia="es-CO"/>
              </w:rPr>
              <w:t>Directores</w:t>
            </w:r>
            <w:proofErr w:type="gramEnd"/>
            <w:r w:rsidRPr="00C55BDE">
              <w:rPr>
                <w:rFonts w:ascii="Verdana" w:eastAsia="Times New Roman" w:hAnsi="Verdana" w:cs="Arial"/>
                <w:lang w:eastAsia="es-CO"/>
              </w:rPr>
              <w:t xml:space="preserve"> de las entidades del orden municipal, departamental o distrital celebrar </w:t>
            </w:r>
            <w:r w:rsidRPr="00C55BDE">
              <w:rPr>
                <w:rFonts w:ascii="Verdana" w:eastAsia="Times New Roman" w:hAnsi="Verdana" w:cs="Arial"/>
                <w:i/>
                <w:iCs/>
                <w:lang w:eastAsia="es-CO"/>
              </w:rPr>
              <w:t>convenios interadministrativos</w:t>
            </w:r>
            <w:r w:rsidRPr="00C55BDE">
              <w:rPr>
                <w:rFonts w:ascii="Verdana" w:eastAsia="Times New Roman" w:hAnsi="Verdana" w:cs="Arial"/>
                <w:lang w:eastAsia="es-CO"/>
              </w:rPr>
              <w:t xml:space="preserve"> </w:t>
            </w:r>
            <w:r w:rsidRPr="00C55BDE">
              <w:rPr>
                <w:rFonts w:ascii="Verdana" w:eastAsia="Times New Roman" w:hAnsi="Verdana" w:cs="Arial"/>
                <w:i/>
                <w:iCs/>
                <w:lang w:eastAsia="es-CO"/>
              </w:rPr>
              <w:t>para la ejecución de recursos públicos</w:t>
            </w:r>
            <w:r w:rsidRPr="00C55BDE">
              <w:rPr>
                <w:rFonts w:ascii="Verdana" w:eastAsia="Times New Roman" w:hAnsi="Verdana" w:cs="Arial"/>
                <w:lang w:eastAsia="es-CO"/>
              </w:rPr>
              <w:t xml:space="preserve">. En este sentido, si una o ambas partes de la relación contractual es una entidad de aquellas descritas en el parágrafo </w:t>
            </w:r>
            <w:r w:rsidRPr="00C55BDE">
              <w:rPr>
                <w:rFonts w:ascii="Verdana" w:eastAsia="Times New Roman" w:hAnsi="Verdana" w:cs="Arial"/>
                <w:i/>
                <w:lang w:eastAsia="es-CO"/>
              </w:rPr>
              <w:t>ibidem</w:t>
            </w:r>
            <w:r w:rsidRPr="00C55BDE">
              <w:rPr>
                <w:rFonts w:ascii="Verdana" w:eastAsia="Times New Roman" w:hAnsi="Verdana" w:cs="Arial"/>
                <w:lang w:eastAsia="es-CO"/>
              </w:rPr>
              <w:t xml:space="preserve">, no podrá celebrar tales </w:t>
            </w:r>
            <w:r w:rsidRPr="00C55BDE">
              <w:rPr>
                <w:rFonts w:ascii="Verdana" w:eastAsia="Times New Roman" w:hAnsi="Verdana" w:cs="Arial"/>
                <w:i/>
                <w:iCs/>
                <w:lang w:eastAsia="es-CO"/>
              </w:rPr>
              <w:t>convenios</w:t>
            </w:r>
            <w:r w:rsidRPr="00C55BDE">
              <w:rPr>
                <w:rFonts w:ascii="Verdana" w:eastAsia="Times New Roman" w:hAnsi="Verdana" w:cs="Arial"/>
                <w:lang w:eastAsia="es-CO"/>
              </w:rPr>
              <w:t xml:space="preserve"> durante la aplicación de la Ley de Garantías Electorales, toda vez que la citada disposición hace referencia a dicha tipología contractual sin que el legislador hubiere contemplado un efecto extensivo a otra tipología.</w:t>
            </w:r>
          </w:p>
          <w:p w14:paraId="00933061" w14:textId="77777777" w:rsidR="00B8779A" w:rsidRDefault="00B8779A" w:rsidP="00FE6ED8">
            <w:pPr>
              <w:spacing w:after="120" w:line="276" w:lineRule="auto"/>
              <w:ind w:firstLine="708"/>
              <w:jc w:val="both"/>
              <w:rPr>
                <w:rFonts w:ascii="Verdana" w:eastAsia="Times New Roman" w:hAnsi="Verdana" w:cs="Arial"/>
                <w:lang w:eastAsia="es-CO"/>
              </w:rPr>
            </w:pPr>
            <w:r w:rsidRPr="00C55BDE">
              <w:rPr>
                <w:rFonts w:ascii="Verdana" w:eastAsia="Times New Roman" w:hAnsi="Verdana" w:cs="Arial"/>
                <w:lang w:eastAsia="es-CO"/>
              </w:rPr>
              <w:t xml:space="preserve">Así, a la luz de lo analizado por el Consejo de Estado en la sentencia expedida por la Sección Tercera de la Sala de lo Contencioso Administrativo del 17 de octubre de 2025, los autos del 4 de octubre de 2024 y 6 de noviembre de 2025, en los cuales se declaró la nulidad parcial, se decretó la medida </w:t>
            </w:r>
            <w:r w:rsidRPr="00C55BDE">
              <w:rPr>
                <w:rFonts w:ascii="Verdana" w:eastAsia="Arial" w:hAnsi="Verdana" w:cs="Arial"/>
                <w:lang w:eastAsia="es-ES" w:bidi="es-ES"/>
              </w:rPr>
              <w:t xml:space="preserve">de suspensión provisional parcial del </w:t>
            </w:r>
            <w:r w:rsidRPr="00C55BDE">
              <w:rPr>
                <w:rFonts w:ascii="Verdana" w:hAnsi="Verdana" w:cs="Arial"/>
              </w:rPr>
              <w:t xml:space="preserve">numeral 16.2 de la Circular Externa Única de 2022 expedida por la Agencia Nacional de Contratación Pública -Colombia Compra Eficiente-, y </w:t>
            </w:r>
            <w:r w:rsidRPr="00C55BDE">
              <w:rPr>
                <w:rFonts w:ascii="Verdana" w:eastAsia="Arial" w:hAnsi="Verdana" w:cs="Arial"/>
                <w:lang w:eastAsia="es-ES" w:bidi="es-ES"/>
              </w:rPr>
              <w:t>de los apartes cuestionados del inciso segundo y del inciso cuarto del numeral 16.2 de la Circular Externa Única, versión 3 del 27 de diciembre de 2023,</w:t>
            </w:r>
            <w:r w:rsidRPr="00C55BDE">
              <w:rPr>
                <w:rFonts w:ascii="Verdana" w:eastAsia="Times New Roman" w:hAnsi="Verdana" w:cs="Arial"/>
                <w:lang w:eastAsia="es-CO"/>
              </w:rPr>
              <w:t xml:space="preserve"> no resultaría aplicable la prohibición </w:t>
            </w:r>
            <w:r w:rsidRPr="00C55BDE">
              <w:rPr>
                <w:rFonts w:ascii="Verdana" w:eastAsia="Times New Roman" w:hAnsi="Verdana" w:cs="Arial"/>
                <w:lang w:eastAsia="es-CO"/>
              </w:rPr>
              <w:lastRenderedPageBreak/>
              <w:t xml:space="preserve">del parágrafo del artículo 38 de la Ley de Garantías Electorales a los </w:t>
            </w:r>
            <w:r w:rsidRPr="00C55BDE">
              <w:rPr>
                <w:rFonts w:ascii="Verdana" w:eastAsia="Times New Roman" w:hAnsi="Verdana" w:cs="Arial"/>
                <w:i/>
                <w:lang w:eastAsia="es-CO"/>
              </w:rPr>
              <w:t>contratos interadministrativos</w:t>
            </w:r>
            <w:r w:rsidRPr="00C55BDE">
              <w:rPr>
                <w:rFonts w:ascii="Verdana" w:eastAsia="Times New Roman" w:hAnsi="Verdana" w:cs="Arial"/>
                <w:lang w:eastAsia="es-CO"/>
              </w:rPr>
              <w:t>.</w:t>
            </w:r>
          </w:p>
          <w:p w14:paraId="29B3B4E2" w14:textId="77777777" w:rsidR="00B8779A" w:rsidRPr="00C55BDE" w:rsidRDefault="00B8779A" w:rsidP="00FE6ED8">
            <w:pPr>
              <w:spacing w:after="120" w:line="276" w:lineRule="auto"/>
              <w:ind w:firstLine="708"/>
              <w:jc w:val="both"/>
              <w:rPr>
                <w:rFonts w:ascii="Verdana" w:eastAsia="Times New Roman" w:hAnsi="Verdana" w:cs="Arial"/>
                <w:lang w:eastAsia="es-CO"/>
              </w:rPr>
            </w:pPr>
            <w:r w:rsidRPr="00C55BDE">
              <w:rPr>
                <w:rFonts w:ascii="Verdana" w:eastAsia="Times New Roman" w:hAnsi="Verdana" w:cs="Arial"/>
                <w:lang w:eastAsia="es-CO"/>
              </w:rPr>
              <w:t xml:space="preserve">De lo expuesto, conforme a lo señalado por el Consejo de Estado, cuando dos entidades públicas celebren un </w:t>
            </w:r>
            <w:r w:rsidRPr="00C55BDE">
              <w:rPr>
                <w:rFonts w:ascii="Verdana" w:eastAsia="Times New Roman" w:hAnsi="Verdana" w:cs="Arial"/>
                <w:i/>
                <w:iCs/>
                <w:lang w:eastAsia="es-CO"/>
              </w:rPr>
              <w:t>contrato interadministrativo,</w:t>
            </w:r>
            <w:r w:rsidRPr="00C55BDE">
              <w:rPr>
                <w:rFonts w:ascii="Verdana" w:eastAsia="Times New Roman" w:hAnsi="Verdana" w:cs="Arial"/>
                <w:lang w:eastAsia="es-CO"/>
              </w:rPr>
              <w:t xml:space="preserve"> independientemente del objeto, dicho contrato puede suscribirse durante el periodo preelectoral. No obstante, es importante mencionar que aún se encuentra por definir la demanda </w:t>
            </w:r>
            <w:r w:rsidRPr="00C55BDE">
              <w:rPr>
                <w:rFonts w:ascii="Verdana" w:eastAsia="Calibri" w:hAnsi="Verdana" w:cs="Arial"/>
                <w:lang w:val="es-ES" w:eastAsia="es-ES"/>
              </w:rPr>
              <w:t xml:space="preserve">de nulidad simple, identificada con el Radicado número 11001-03-26-000-2025-00016-00, en la cual se cuestiona </w:t>
            </w:r>
            <w:r w:rsidRPr="00C55BDE">
              <w:rPr>
                <w:rFonts w:ascii="Verdana" w:eastAsia="Calibri" w:hAnsi="Verdana" w:cs="Arial"/>
                <w:lang w:eastAsia="es-ES"/>
              </w:rPr>
              <w:t>parcialmente el numeral 16.2 de la Circular Externa Única CCE-EICP-MA-06, Versión 03 del 27 de diciembre de 2023.</w:t>
            </w:r>
            <w:r w:rsidRPr="00C55BDE">
              <w:rPr>
                <w:rFonts w:ascii="Verdana" w:eastAsia="Calibri" w:hAnsi="Verdana" w:cs="Arial"/>
                <w:lang w:val="es-ES" w:eastAsia="es-ES"/>
              </w:rPr>
              <w:t xml:space="preserve"> </w:t>
            </w:r>
          </w:p>
          <w:p w14:paraId="6E2F0C0E" w14:textId="77777777" w:rsidR="00B8779A" w:rsidRPr="00C55BDE" w:rsidRDefault="00B8779A" w:rsidP="00FE6ED8">
            <w:pPr>
              <w:spacing w:after="120" w:line="276" w:lineRule="auto"/>
              <w:ind w:firstLine="709"/>
              <w:jc w:val="both"/>
              <w:rPr>
                <w:rFonts w:ascii="Verdana" w:eastAsia="Times New Roman" w:hAnsi="Verdana" w:cs="Arial"/>
                <w:lang w:eastAsia="es-CO"/>
              </w:rPr>
            </w:pPr>
            <w:r w:rsidRPr="00C55BDE">
              <w:rPr>
                <w:rFonts w:ascii="Verdana" w:eastAsia="Arial" w:hAnsi="Verdana" w:cs="Arial"/>
                <w:bCs/>
                <w:color w:val="000000" w:themeColor="text1"/>
              </w:rPr>
              <w:t xml:space="preserve">En todo caso, vale anotar que es responsabilidad del respectivo ente del Estado examinar </w:t>
            </w:r>
            <w:r w:rsidRPr="00C55BDE">
              <w:rPr>
                <w:rFonts w:ascii="Verdana" w:eastAsia="Arial" w:hAnsi="Verdana" w:cs="Arial"/>
                <w:color w:val="000000" w:themeColor="text1"/>
              </w:rPr>
              <w:t>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tc>
      </w:tr>
    </w:tbl>
    <w:p w14:paraId="5DAAF576" w14:textId="77777777" w:rsidR="00B8779A" w:rsidRPr="00C55BDE" w:rsidRDefault="00B8779A" w:rsidP="00B8779A">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297927A" w14:textId="77777777" w:rsidR="00B8779A" w:rsidRPr="00C55BDE" w:rsidRDefault="00B8779A" w:rsidP="00B8779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Razones de la respuesta:</w:t>
      </w:r>
    </w:p>
    <w:p w14:paraId="0BDB074C" w14:textId="77777777" w:rsidR="00B8779A" w:rsidRPr="00C55BDE" w:rsidRDefault="00B8779A" w:rsidP="00B8779A">
      <w:pPr>
        <w:spacing w:after="0" w:line="276" w:lineRule="auto"/>
        <w:jc w:val="both"/>
        <w:rPr>
          <w:rFonts w:ascii="Verdana" w:eastAsia="Calibri" w:hAnsi="Verdana" w:cs="Arial"/>
          <w:color w:val="000000" w:themeColor="text1"/>
          <w:lang w:val="es-ES"/>
        </w:rPr>
      </w:pPr>
    </w:p>
    <w:p w14:paraId="6CB3B232" w14:textId="77777777" w:rsidR="00B8779A" w:rsidRPr="00C55BDE" w:rsidRDefault="00B8779A" w:rsidP="00B8779A">
      <w:pPr>
        <w:spacing w:after="120" w:line="276" w:lineRule="auto"/>
        <w:jc w:val="both"/>
        <w:rPr>
          <w:rFonts w:ascii="Verdana" w:eastAsia="Calibri" w:hAnsi="Verdana" w:cs="Arial"/>
          <w:color w:val="000000" w:themeColor="text1"/>
          <w:lang w:val="es-ES"/>
        </w:rPr>
      </w:pPr>
      <w:r w:rsidRPr="00C55BDE">
        <w:rPr>
          <w:rFonts w:ascii="Verdana" w:eastAsia="Calibri" w:hAnsi="Verdana" w:cs="Arial"/>
          <w:color w:val="000000" w:themeColor="text1"/>
          <w:lang w:val="es-ES"/>
        </w:rPr>
        <w:t xml:space="preserve">Lo anterior se sustenta en las siguientes consideraciones: </w:t>
      </w:r>
    </w:p>
    <w:p w14:paraId="44C812DA" w14:textId="77777777" w:rsidR="00B8779A" w:rsidRPr="00C55BDE" w:rsidRDefault="00B8779A" w:rsidP="00B8779A">
      <w:pPr>
        <w:spacing w:after="120" w:line="276" w:lineRule="auto"/>
        <w:jc w:val="both"/>
        <w:rPr>
          <w:rFonts w:ascii="Verdana" w:eastAsia="Calibri" w:hAnsi="Verdana" w:cs="Arial"/>
          <w:color w:val="000000" w:themeColor="text1"/>
          <w:lang w:val="es-ES"/>
        </w:rPr>
      </w:pPr>
      <w:r>
        <w:rPr>
          <w:rFonts w:ascii="Verdana" w:eastAsia="Calibri" w:hAnsi="Verdana" w:cs="Arial"/>
          <w:lang w:val="es-ES"/>
        </w:rPr>
        <w:t xml:space="preserve">i. </w:t>
      </w:r>
      <w:r w:rsidRPr="00C55BDE">
        <w:rPr>
          <w:rFonts w:ascii="Verdana" w:eastAsia="Calibri" w:hAnsi="Verdana" w:cs="Arial"/>
          <w:lang w:val="es-ES"/>
        </w:rPr>
        <w:t>El artículo 329 de la Constitución Política de 1991 dispuso que la conformación de las entidades territoriales indígenas se realizaría conforme a lo dispuesto en la Ley de Ordenamiento Territorial – LOT. En ese sentido, la norma previamente mencionada dispuso que la conformación de las entidades territoriales indígenas se realizaría de acuerdo con lo indicado en la Ley de Ordenamiento Territorial. No obstante, mientras esa ley era expedida por el Congreso de la República, la Constitución contempló un mecanismo para poner en funcionamiento los territorios indígenas de manera transitoria. En efecto, el artículo 56 transitorio de la Constitución Política prescribe que “Mientras se expide la ley a que se refiere el artículo 329, el Gobierno podrá dictar las normas fiscales necesarias y las demás relativas al funcionamiento de los territorios indígenas y su coordinación con las demás entidades territoriales”.</w:t>
      </w:r>
    </w:p>
    <w:p w14:paraId="4A881913" w14:textId="77777777" w:rsidR="00B8779A" w:rsidRPr="00C55BDE" w:rsidRDefault="00B8779A" w:rsidP="00B8779A">
      <w:pPr>
        <w:spacing w:after="120" w:line="276" w:lineRule="auto"/>
        <w:ind w:firstLine="680"/>
        <w:jc w:val="both"/>
        <w:rPr>
          <w:rFonts w:ascii="Verdana" w:eastAsia="Calibri" w:hAnsi="Verdana" w:cs="Arial"/>
          <w:lang w:val="es-ES"/>
        </w:rPr>
      </w:pPr>
      <w:r w:rsidRPr="00C55BDE">
        <w:rPr>
          <w:rFonts w:ascii="Verdana" w:eastAsia="Calibri" w:hAnsi="Verdana" w:cs="Arial"/>
          <w:lang w:val="es-ES"/>
        </w:rPr>
        <w:t xml:space="preserve">De este modo, basados en el artículo 56 de la Constitución Política, en junio de 1993 se expidió el Decreto 1088, “Por el cual se regula la creación de </w:t>
      </w:r>
      <w:r w:rsidRPr="00C55BDE">
        <w:rPr>
          <w:rFonts w:ascii="Verdana" w:eastAsia="Calibri" w:hAnsi="Verdana" w:cs="Arial"/>
          <w:lang w:val="es-ES"/>
        </w:rPr>
        <w:lastRenderedPageBreak/>
        <w:t>las asociaciones de Cabildos y/o Autoridades Tradicionales Indígenas”, que otorgó a los cabildos y/o autoridades indígenas la posibilidad de conformar asociaciones</w:t>
      </w:r>
      <w:r w:rsidRPr="00C55BDE">
        <w:rPr>
          <w:rStyle w:val="Refdenotaalpie"/>
          <w:rFonts w:ascii="Verdana" w:eastAsia="Calibri" w:hAnsi="Verdana" w:cs="Arial"/>
          <w:lang w:val="es-ES"/>
        </w:rPr>
        <w:footnoteReference w:id="1"/>
      </w:r>
      <w:r w:rsidRPr="00C55BDE">
        <w:rPr>
          <w:rFonts w:ascii="Verdana" w:eastAsia="Calibri" w:hAnsi="Verdana" w:cs="Arial"/>
          <w:lang w:val="es-ES"/>
        </w:rPr>
        <w:t>. Con base en esto, los cabildos y las asociaciones de autoridades tradicionales indígenas pueden asociarse en representación de sus territorios, y esas asociaciones tienen la naturaleza de ser entidades de derecho público de carácter especial, que gozan de personería jurídica y tienen capacidad para adquirir obligaciones.</w:t>
      </w:r>
    </w:p>
    <w:p w14:paraId="6236CC9C" w14:textId="77777777" w:rsidR="00B8779A" w:rsidRPr="00C55BDE" w:rsidRDefault="00B8779A" w:rsidP="00B8779A">
      <w:pPr>
        <w:spacing w:after="120" w:line="276" w:lineRule="auto"/>
        <w:ind w:firstLine="680"/>
        <w:jc w:val="both"/>
        <w:rPr>
          <w:rFonts w:ascii="Verdana" w:eastAsia="Calibri" w:hAnsi="Verdana" w:cs="Arial"/>
          <w:lang w:val="es-ES"/>
        </w:rPr>
      </w:pPr>
      <w:r w:rsidRPr="00C55BDE">
        <w:rPr>
          <w:rFonts w:ascii="Verdana" w:eastAsia="Calibri" w:hAnsi="Verdana" w:cs="Arial"/>
          <w:lang w:val="es-ES"/>
        </w:rPr>
        <w:t>De otra parte,</w:t>
      </w:r>
      <w:r>
        <w:rPr>
          <w:rFonts w:ascii="Verdana" w:eastAsia="Calibri" w:hAnsi="Verdana" w:cs="Arial"/>
          <w:lang w:val="es-ES"/>
        </w:rPr>
        <w:t xml:space="preserve"> el</w:t>
      </w:r>
      <w:r w:rsidRPr="00C55BDE">
        <w:rPr>
          <w:rFonts w:ascii="Verdana" w:eastAsia="Calibri" w:hAnsi="Verdana" w:cs="Arial"/>
          <w:lang w:val="es-ES"/>
        </w:rPr>
        <w:t xml:space="preserve"> artículo 329 de la Constitución además involucra dentro del tema relativo a las entidades territoriales indígenas a los resguardos, de quienes predica su carácter de propiedad colectiva no enajenable. Esto es concordante con el artículo 63 de la Carta Política cuyo texto establece expresamente que: “Los bienes de uso público, los parques naturales, las tierras comunales de grupos étnicos, las tierras de resguardo, el patrimonio arqueológico de la Nación y los demás bienes que determine la ley, son inalienables, imprescriptibles e inembargables”</w:t>
      </w:r>
      <w:r w:rsidRPr="00C55BDE">
        <w:rPr>
          <w:rStyle w:val="Refdenotaalpie"/>
          <w:rFonts w:ascii="Verdana" w:eastAsia="Calibri" w:hAnsi="Verdana" w:cs="Arial"/>
          <w:lang w:val="es-ES"/>
        </w:rPr>
        <w:footnoteReference w:id="2"/>
      </w:r>
      <w:r w:rsidRPr="00C55BDE">
        <w:rPr>
          <w:rFonts w:ascii="Verdana" w:eastAsia="Calibri" w:hAnsi="Verdana" w:cs="Arial"/>
          <w:lang w:val="es-ES"/>
        </w:rPr>
        <w:t xml:space="preserve">. De estos artículos se colige como los resguardos indígenas son una forma de propiedad colectiva a la que la Constitución le endilga unos atributos que la sustraen de actos traslaticios o de comercio, al igual que con los bienes de uso público.  </w:t>
      </w:r>
    </w:p>
    <w:p w14:paraId="6B546D49" w14:textId="77777777" w:rsidR="00B8779A" w:rsidRPr="00C55BDE" w:rsidRDefault="00B8779A" w:rsidP="00B8779A">
      <w:pPr>
        <w:spacing w:before="120" w:line="276" w:lineRule="auto"/>
        <w:ind w:firstLine="680"/>
        <w:jc w:val="both"/>
        <w:rPr>
          <w:rFonts w:ascii="Verdana" w:eastAsia="Calibri" w:hAnsi="Verdana" w:cs="Arial"/>
          <w:lang w:val="es-ES"/>
        </w:rPr>
      </w:pPr>
      <w:r w:rsidRPr="00C55BDE">
        <w:rPr>
          <w:rFonts w:ascii="Verdana" w:eastAsia="Calibri" w:hAnsi="Verdana" w:cs="Arial"/>
          <w:lang w:val="es-ES"/>
        </w:rPr>
        <w:t xml:space="preserve">De acuerdo con esto, la Ley 160 de 1994 </w:t>
      </w:r>
      <w:r w:rsidRPr="00C55BDE">
        <w:rPr>
          <w:rFonts w:ascii="Verdana" w:hAnsi="Verdana"/>
        </w:rPr>
        <w:t>“</w:t>
      </w:r>
      <w:r w:rsidRPr="00C55BDE">
        <w:rPr>
          <w:rFonts w:ascii="Verdana" w:eastAsia="Calibri" w:hAnsi="Verdana" w:cs="Arial"/>
          <w:lang w:val="es-ES"/>
        </w:rPr>
        <w:t xml:space="preserve">por la cual se crea el Sistema Nacional de Reforma Agraria y Desarrollo Rural Campesino, se establece un subsidio para la adquisición de tierras, se reforma el Instituto Colombiano de la Reforma Agraria y se dictan otras disposiciones”, concibe la constitución, ampliación, saneamiento y reestructuración de resguardos como formas para satisfacer las necesidades de tierras de las comunidades indígenas, tal como se </w:t>
      </w:r>
      <w:r w:rsidRPr="00C55BDE">
        <w:rPr>
          <w:rFonts w:ascii="Verdana" w:eastAsia="Calibri" w:hAnsi="Verdana" w:cs="Arial"/>
          <w:lang w:val="es-ES"/>
        </w:rPr>
        <w:lastRenderedPageBreak/>
        <w:t>colige de los artículos 12-18</w:t>
      </w:r>
      <w:r w:rsidRPr="00C55BDE">
        <w:rPr>
          <w:rStyle w:val="Refdenotaalpie"/>
          <w:rFonts w:ascii="Verdana" w:eastAsia="Calibri" w:hAnsi="Verdana" w:cs="Arial"/>
          <w:lang w:val="es-ES"/>
        </w:rPr>
        <w:footnoteReference w:id="3"/>
      </w:r>
      <w:r w:rsidRPr="00C55BDE">
        <w:rPr>
          <w:rFonts w:ascii="Verdana" w:eastAsia="Calibri" w:hAnsi="Verdana" w:cs="Arial"/>
          <w:lang w:val="es-ES"/>
        </w:rPr>
        <w:t xml:space="preserve"> y 85 de dicha Ley</w:t>
      </w:r>
      <w:r w:rsidRPr="00C55BDE">
        <w:rPr>
          <w:rStyle w:val="Refdenotaalpie"/>
          <w:rFonts w:ascii="Verdana" w:eastAsia="Calibri" w:hAnsi="Verdana" w:cs="Arial"/>
          <w:lang w:val="es-ES"/>
        </w:rPr>
        <w:footnoteReference w:id="4"/>
      </w:r>
      <w:r w:rsidRPr="00C55BDE">
        <w:rPr>
          <w:rFonts w:ascii="Verdana" w:eastAsia="Calibri" w:hAnsi="Verdana" w:cs="Arial"/>
          <w:lang w:val="es-ES"/>
        </w:rPr>
        <w:t>. De hecho, esta última norma hace parte del Capítulo XIV de la Ley 160 de 1994, específicamente referido a resguardos indígenas, el cual sería reglamentado por el Decreto 2164 de 1995, norma compilada por el Decreto 1071 de 2015, “Por medio del cual se expide el Decreto Único Reglamentario del Sector Administrativo Agropecuario, Pesquero y de Desarrollo Rural”, y contiene las definiciones de resguardo, cabildo y autoridad indígena:</w:t>
      </w:r>
    </w:p>
    <w:p w14:paraId="20F189F3" w14:textId="77777777" w:rsidR="00B8779A" w:rsidRPr="00C55BDE" w:rsidRDefault="00B8779A" w:rsidP="00B8779A">
      <w:pPr>
        <w:spacing w:after="0" w:line="240" w:lineRule="auto"/>
        <w:ind w:left="709" w:right="709"/>
        <w:jc w:val="both"/>
        <w:rPr>
          <w:rFonts w:ascii="Verdana" w:eastAsia="Calibri" w:hAnsi="Verdana" w:cs="Arial"/>
          <w:sz w:val="20"/>
          <w:szCs w:val="20"/>
          <w:lang w:val="es-ES"/>
        </w:rPr>
      </w:pPr>
      <w:r w:rsidRPr="00C55BDE">
        <w:rPr>
          <w:rFonts w:ascii="Verdana" w:hAnsi="Verdana"/>
          <w:color w:val="242424"/>
          <w:sz w:val="20"/>
          <w:szCs w:val="20"/>
          <w:shd w:val="clear" w:color="auto" w:fill="FFFFFF"/>
        </w:rPr>
        <w:t xml:space="preserve">“[…] </w:t>
      </w:r>
      <w:r w:rsidRPr="00C55BDE">
        <w:rPr>
          <w:rFonts w:ascii="Verdana" w:eastAsia="Calibri" w:hAnsi="Verdana" w:cs="Arial"/>
          <w:sz w:val="20"/>
          <w:szCs w:val="20"/>
          <w:lang w:val="es-ES"/>
        </w:rPr>
        <w:t xml:space="preserve">Artículo 2.14.7.5.1. Naturaleza Jurídica. Los resguardos indígenas son propiedad colectiva de las comunidades indígenas en favor de las cuales se constituyen y conforme a los artículos 63 y 329 de la Constitución Política, tienen el carácter de inalienables, imprescriptibles e inembargables. </w:t>
      </w:r>
    </w:p>
    <w:p w14:paraId="6D45EFA3" w14:textId="77777777" w:rsidR="00B8779A" w:rsidRPr="00C55BDE" w:rsidRDefault="00B8779A" w:rsidP="00B8779A">
      <w:pPr>
        <w:spacing w:after="0" w:line="240" w:lineRule="auto"/>
        <w:ind w:left="709" w:right="709"/>
        <w:jc w:val="both"/>
        <w:rPr>
          <w:rFonts w:ascii="Verdana" w:eastAsia="Calibri" w:hAnsi="Verdana" w:cs="Arial"/>
          <w:sz w:val="20"/>
          <w:szCs w:val="20"/>
          <w:lang w:val="es-ES"/>
        </w:rPr>
      </w:pPr>
    </w:p>
    <w:p w14:paraId="2F07418B" w14:textId="77777777" w:rsidR="00B8779A" w:rsidRPr="00C55BDE" w:rsidRDefault="00B8779A" w:rsidP="00B8779A">
      <w:pPr>
        <w:spacing w:after="0" w:line="240" w:lineRule="auto"/>
        <w:ind w:left="709" w:right="709"/>
        <w:jc w:val="both"/>
        <w:rPr>
          <w:rFonts w:ascii="Verdana" w:eastAsia="Calibri" w:hAnsi="Verdana" w:cs="Arial"/>
          <w:sz w:val="20"/>
          <w:szCs w:val="20"/>
          <w:lang w:val="es-ES"/>
        </w:rPr>
      </w:pPr>
      <w:r w:rsidRPr="00C55BDE">
        <w:rPr>
          <w:rFonts w:ascii="Verdana" w:eastAsia="Calibri" w:hAnsi="Verdana" w:cs="Arial"/>
          <w:sz w:val="20"/>
          <w:szCs w:val="20"/>
          <w:lang w:val="es-ES"/>
        </w:rPr>
        <w:t xml:space="preserve">Los resguardos son una institución legal y sociopolítica de carácter especial, conformada por una o más comunidades indígenas, que con un título de propiedad colectiva que goza de las garantías de la propiedad privada, poseen su territorio y se rigen para el manejo de este y su vida interna por una organización autónoma amparada por el fuero indígena y su sistema normativo propio. </w:t>
      </w:r>
    </w:p>
    <w:p w14:paraId="446A38C1" w14:textId="77777777" w:rsidR="00B8779A" w:rsidRPr="00C55BDE" w:rsidRDefault="00B8779A" w:rsidP="00B8779A">
      <w:pPr>
        <w:spacing w:after="0" w:line="240" w:lineRule="auto"/>
        <w:ind w:left="709" w:right="709"/>
        <w:jc w:val="both"/>
        <w:rPr>
          <w:rFonts w:ascii="Verdana" w:eastAsia="Calibri" w:hAnsi="Verdana" w:cs="Arial"/>
          <w:sz w:val="20"/>
          <w:szCs w:val="20"/>
          <w:lang w:val="es-ES"/>
        </w:rPr>
      </w:pPr>
    </w:p>
    <w:p w14:paraId="3A1013FD" w14:textId="77777777" w:rsidR="00B8779A" w:rsidRPr="00C55BDE" w:rsidRDefault="00B8779A" w:rsidP="00B8779A">
      <w:pPr>
        <w:spacing w:after="0" w:line="240" w:lineRule="auto"/>
        <w:ind w:left="709" w:right="709"/>
        <w:jc w:val="both"/>
        <w:rPr>
          <w:rFonts w:ascii="Verdana" w:eastAsia="Calibri" w:hAnsi="Verdana" w:cs="Arial"/>
          <w:sz w:val="20"/>
          <w:szCs w:val="20"/>
          <w:lang w:val="es-ES"/>
        </w:rPr>
      </w:pPr>
      <w:r w:rsidRPr="00C55BDE">
        <w:rPr>
          <w:rFonts w:ascii="Verdana" w:eastAsia="Calibri" w:hAnsi="Verdana" w:cs="Arial"/>
          <w:sz w:val="20"/>
          <w:szCs w:val="20"/>
          <w:lang w:val="es-ES"/>
        </w:rPr>
        <w:t>Parágrafo. Los integrantes de la comunidad indígena del resguardo no podrán enajenar a cualquier título, arrendar por cuenta propia o hipotecar los terrenos que constituyen el resguardo. (Decreto número 2164 de 1995, artículo 21) (Cursiva fuera de texto).</w:t>
      </w:r>
    </w:p>
    <w:p w14:paraId="15DB9C84" w14:textId="77777777" w:rsidR="00B8779A" w:rsidRPr="00C55BDE" w:rsidRDefault="00B8779A" w:rsidP="00B8779A">
      <w:pPr>
        <w:spacing w:after="0" w:line="240" w:lineRule="auto"/>
        <w:ind w:left="709" w:right="709"/>
        <w:jc w:val="both"/>
        <w:rPr>
          <w:rFonts w:ascii="Verdana" w:eastAsia="Calibri" w:hAnsi="Verdana" w:cs="Arial"/>
          <w:sz w:val="20"/>
          <w:szCs w:val="20"/>
          <w:lang w:val="es-ES"/>
        </w:rPr>
      </w:pPr>
    </w:p>
    <w:p w14:paraId="251031FF" w14:textId="77777777" w:rsidR="00B8779A" w:rsidRDefault="00B8779A" w:rsidP="00B8779A">
      <w:pPr>
        <w:spacing w:after="0" w:line="240" w:lineRule="auto"/>
        <w:ind w:left="708" w:right="709"/>
        <w:jc w:val="both"/>
        <w:rPr>
          <w:rFonts w:ascii="Verdana" w:eastAsia="Calibri" w:hAnsi="Verdana" w:cs="Arial"/>
          <w:sz w:val="20"/>
          <w:szCs w:val="20"/>
          <w:lang w:val="es-ES"/>
        </w:rPr>
      </w:pPr>
      <w:r w:rsidRPr="00C55BDE">
        <w:rPr>
          <w:rFonts w:ascii="Verdana" w:eastAsia="Calibri" w:hAnsi="Verdana" w:cs="Arial"/>
          <w:sz w:val="20"/>
          <w:szCs w:val="20"/>
          <w:lang w:val="es-ES"/>
        </w:rPr>
        <w:t>Artículo 2.14.7.5.2. Manejo y Administración. Las áreas que se constituyan con el carácter de resguardo indígena serán manejadas y administradas por lo respectivos cabildos o autoridades tradicionales de las comunidades, de acuerdo con sus usos y costumbres, la legislación especial referida a la materia y a las normas que sobre este particular se adopten por aquellas.</w:t>
      </w:r>
      <w:r w:rsidRPr="00C55BDE">
        <w:rPr>
          <w:rFonts w:ascii="Verdana" w:hAnsi="Verdana"/>
          <w:color w:val="242424"/>
          <w:sz w:val="20"/>
          <w:szCs w:val="20"/>
          <w:shd w:val="clear" w:color="auto" w:fill="FFFFFF"/>
        </w:rPr>
        <w:t xml:space="preserve"> […]”</w:t>
      </w:r>
    </w:p>
    <w:p w14:paraId="795AC665" w14:textId="77777777" w:rsidR="00B8779A" w:rsidRPr="00A575FE" w:rsidRDefault="00B8779A" w:rsidP="00B8779A">
      <w:pPr>
        <w:spacing w:after="0" w:line="240" w:lineRule="auto"/>
        <w:ind w:left="708" w:right="709"/>
        <w:jc w:val="both"/>
        <w:rPr>
          <w:rFonts w:ascii="Verdana" w:eastAsia="Calibri" w:hAnsi="Verdana" w:cs="Arial"/>
          <w:sz w:val="20"/>
          <w:szCs w:val="20"/>
          <w:lang w:val="es-ES"/>
        </w:rPr>
      </w:pPr>
    </w:p>
    <w:p w14:paraId="2A7A0AD4" w14:textId="77777777" w:rsidR="00B8779A" w:rsidRPr="00C55BDE" w:rsidRDefault="00B8779A" w:rsidP="00B8779A">
      <w:pPr>
        <w:spacing w:line="276" w:lineRule="auto"/>
        <w:jc w:val="both"/>
        <w:rPr>
          <w:rFonts w:ascii="Verdana" w:eastAsia="Calibri" w:hAnsi="Verdana" w:cs="Arial"/>
          <w:lang w:val="es-ES"/>
        </w:rPr>
      </w:pPr>
      <w:proofErr w:type="spellStart"/>
      <w:r>
        <w:rPr>
          <w:rFonts w:ascii="Verdana" w:eastAsia="Calibri" w:hAnsi="Verdana" w:cs="Arial"/>
          <w:lang w:val="es-ES"/>
        </w:rPr>
        <w:lastRenderedPageBreak/>
        <w:t>ii</w:t>
      </w:r>
      <w:proofErr w:type="spellEnd"/>
      <w:r>
        <w:rPr>
          <w:rFonts w:ascii="Verdana" w:eastAsia="Calibri" w:hAnsi="Verdana" w:cs="Arial"/>
          <w:lang w:val="es-ES"/>
        </w:rPr>
        <w:t xml:space="preserve">. </w:t>
      </w:r>
      <w:r w:rsidRPr="00C55BDE">
        <w:rPr>
          <w:rFonts w:ascii="Verdana" w:eastAsia="Calibri" w:hAnsi="Verdana" w:cs="Arial"/>
          <w:lang w:val="es-ES"/>
        </w:rPr>
        <w:t xml:space="preserve">Ahora bien, en octubre de 1993 se expidió la Ley 80, “Por la cual se expide el Estatuto General de Contratación de la Administración Pública”. El artículo 2 define las entidades estatales a las cuales le aplican sus disposiciones, e incluye a los territorios indígenas: </w:t>
      </w:r>
    </w:p>
    <w:p w14:paraId="26FE1D7E" w14:textId="77777777" w:rsidR="00B8779A" w:rsidRPr="00C55BDE" w:rsidRDefault="00B8779A" w:rsidP="00B8779A">
      <w:pPr>
        <w:spacing w:after="0" w:line="240" w:lineRule="auto"/>
        <w:ind w:left="708" w:right="709"/>
        <w:jc w:val="both"/>
        <w:rPr>
          <w:rFonts w:ascii="Verdana" w:eastAsia="Calibri" w:hAnsi="Verdana" w:cs="Arial"/>
          <w:sz w:val="20"/>
          <w:szCs w:val="20"/>
          <w:lang w:val="es-ES"/>
        </w:rPr>
      </w:pPr>
      <w:r w:rsidRPr="00C55BDE">
        <w:rPr>
          <w:rFonts w:ascii="Verdana" w:hAnsi="Verdana"/>
          <w:color w:val="242424"/>
          <w:sz w:val="20"/>
          <w:szCs w:val="20"/>
          <w:shd w:val="clear" w:color="auto" w:fill="FFFFFF"/>
        </w:rPr>
        <w:t xml:space="preserve">[…] </w:t>
      </w:r>
      <w:r w:rsidRPr="00C55BDE">
        <w:rPr>
          <w:rFonts w:ascii="Verdana" w:eastAsia="Calibri" w:hAnsi="Verdana" w:cs="Arial"/>
          <w:sz w:val="20"/>
          <w:szCs w:val="20"/>
          <w:lang w:val="es-ES"/>
        </w:rPr>
        <w:t xml:space="preserve">Artículo 2o. De la definición de entidades, servidores y servicios públicos. Para los solos efectos de esta ley: </w:t>
      </w:r>
    </w:p>
    <w:p w14:paraId="7DBE2045" w14:textId="77777777" w:rsidR="00B8779A" w:rsidRPr="00C55BDE" w:rsidRDefault="00B8779A" w:rsidP="00B8779A">
      <w:pPr>
        <w:spacing w:after="0" w:line="240" w:lineRule="auto"/>
        <w:ind w:left="708" w:right="709"/>
        <w:jc w:val="both"/>
        <w:rPr>
          <w:rFonts w:ascii="Verdana" w:eastAsia="Calibri" w:hAnsi="Verdana" w:cs="Arial"/>
          <w:sz w:val="20"/>
          <w:szCs w:val="20"/>
          <w:lang w:val="es-ES"/>
        </w:rPr>
      </w:pPr>
    </w:p>
    <w:p w14:paraId="01E8EB6F" w14:textId="77777777" w:rsidR="00B8779A" w:rsidRPr="00C55BDE" w:rsidRDefault="00B8779A" w:rsidP="00B8779A">
      <w:pPr>
        <w:spacing w:after="0" w:line="240" w:lineRule="auto"/>
        <w:ind w:left="708" w:right="709"/>
        <w:jc w:val="both"/>
        <w:rPr>
          <w:rFonts w:ascii="Verdana" w:eastAsia="Calibri" w:hAnsi="Verdana" w:cs="Arial"/>
          <w:sz w:val="20"/>
          <w:szCs w:val="20"/>
          <w:lang w:val="es-ES"/>
        </w:rPr>
      </w:pPr>
      <w:r w:rsidRPr="00C55BDE">
        <w:rPr>
          <w:rFonts w:ascii="Verdana" w:eastAsia="Calibri" w:hAnsi="Verdana" w:cs="Arial"/>
          <w:sz w:val="20"/>
          <w:szCs w:val="20"/>
          <w:lang w:val="es-ES"/>
        </w:rPr>
        <w:t xml:space="preserve">1o. Se denominan entidades estatales: </w:t>
      </w:r>
    </w:p>
    <w:p w14:paraId="5F9CB83F" w14:textId="77777777" w:rsidR="00B8779A" w:rsidRPr="00C55BDE" w:rsidRDefault="00B8779A" w:rsidP="00B8779A">
      <w:pPr>
        <w:spacing w:after="0" w:line="240" w:lineRule="auto"/>
        <w:ind w:left="708" w:right="709"/>
        <w:jc w:val="both"/>
        <w:rPr>
          <w:rFonts w:ascii="Verdana" w:eastAsia="Calibri" w:hAnsi="Verdana" w:cs="Arial"/>
          <w:sz w:val="20"/>
          <w:szCs w:val="20"/>
          <w:lang w:val="es-ES"/>
        </w:rPr>
      </w:pPr>
    </w:p>
    <w:p w14:paraId="1A552833" w14:textId="77777777" w:rsidR="00B8779A" w:rsidRPr="00C55BDE" w:rsidRDefault="00B8779A" w:rsidP="00B8779A">
      <w:pPr>
        <w:spacing w:after="0" w:line="240" w:lineRule="auto"/>
        <w:ind w:left="708" w:right="709"/>
        <w:jc w:val="both"/>
        <w:rPr>
          <w:rFonts w:ascii="Verdana" w:eastAsia="Calibri" w:hAnsi="Verdana" w:cs="Arial"/>
          <w:sz w:val="20"/>
          <w:szCs w:val="20"/>
          <w:lang w:val="es-ES"/>
        </w:rPr>
      </w:pPr>
      <w:r w:rsidRPr="00C55BDE">
        <w:rPr>
          <w:rFonts w:ascii="Verdana" w:eastAsia="Calibri" w:hAnsi="Verdana" w:cs="Arial"/>
          <w:sz w:val="20"/>
          <w:szCs w:val="20"/>
          <w:lang w:val="es-ES"/>
        </w:rPr>
        <w:t xml:space="preserve">a) La Nación, las regiones, los departamentos, las provincias, el distrito capital y los distritos especiales, las áreas metropolitanas, las asociaciones de municipios, </w:t>
      </w:r>
      <w:r w:rsidRPr="00C55BDE">
        <w:rPr>
          <w:rFonts w:ascii="Verdana" w:eastAsia="Calibri" w:hAnsi="Verdana" w:cs="Arial"/>
          <w:i/>
          <w:sz w:val="20"/>
          <w:szCs w:val="20"/>
          <w:lang w:val="es-ES"/>
        </w:rPr>
        <w:t>los territorios indígenas</w:t>
      </w:r>
      <w:r w:rsidRPr="00C55BDE">
        <w:rPr>
          <w:rFonts w:ascii="Verdana" w:eastAsia="Calibri" w:hAnsi="Verdana" w:cs="Arial"/>
          <w:sz w:val="20"/>
          <w:szCs w:val="20"/>
          <w:lang w:val="es-ES"/>
        </w:rPr>
        <w:t xml:space="preserve">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 (énfasis fuera de texto).</w:t>
      </w:r>
    </w:p>
    <w:p w14:paraId="4FF3F8CE" w14:textId="77777777" w:rsidR="00B8779A" w:rsidRPr="00C55BDE" w:rsidRDefault="00B8779A" w:rsidP="00B8779A">
      <w:pPr>
        <w:spacing w:after="0" w:line="240" w:lineRule="auto"/>
        <w:textAlignment w:val="baseline"/>
        <w:rPr>
          <w:rFonts w:ascii="Verdana" w:eastAsia="Times New Roman" w:hAnsi="Verdana" w:cs="Segoe UI"/>
          <w:b/>
          <w:bCs/>
          <w:color w:val="46589C"/>
          <w:lang w:val="es-ES" w:eastAsia="es-CO"/>
        </w:rPr>
      </w:pPr>
    </w:p>
    <w:p w14:paraId="5D9CCD3A" w14:textId="77777777" w:rsidR="00B8779A" w:rsidRPr="00C55BDE" w:rsidRDefault="00B8779A" w:rsidP="00B8779A">
      <w:pPr>
        <w:spacing w:after="120" w:line="276" w:lineRule="auto"/>
        <w:ind w:firstLine="708"/>
        <w:jc w:val="both"/>
        <w:rPr>
          <w:rFonts w:ascii="Verdana" w:eastAsia="Calibri" w:hAnsi="Verdana" w:cs="Arial"/>
          <w:lang w:val="es-ES"/>
        </w:rPr>
      </w:pPr>
      <w:r w:rsidRPr="00C55BDE">
        <w:rPr>
          <w:rFonts w:ascii="Verdana" w:eastAsia="Calibri" w:hAnsi="Verdana" w:cs="Arial"/>
          <w:lang w:val="es-ES"/>
        </w:rPr>
        <w:t xml:space="preserve">De acuerdo con la Ley 80 de 1993, los territorios indígenas eran considerados Entidades Estatales. Sin embargo, la existencia de aquellos se encuentra condicionada a la expedición de la Ley de Ordenamiento Territorial, por lo que la aplicación del Estatuto General de Contratación de la Administración Pública para este tipo de entidades, a luz de las disposiciones hasta aquí referidas, presenta dificultades. Esto en la medida que no existe una norma que defina los territorios indígenas a los que hace referencia el artículo 2 de esta Ley, lo que necesariamente remite a otras normas a efectos de determinar qué se entiende por estos y cuáles tienen capacidad para adquirir obligaciones. </w:t>
      </w:r>
    </w:p>
    <w:p w14:paraId="637A1477" w14:textId="77777777" w:rsidR="00B8779A" w:rsidRPr="00C55BDE" w:rsidRDefault="00B8779A" w:rsidP="00B8779A">
      <w:pPr>
        <w:spacing w:before="120" w:line="276" w:lineRule="auto"/>
        <w:ind w:firstLine="680"/>
        <w:jc w:val="both"/>
        <w:rPr>
          <w:rFonts w:ascii="Verdana" w:eastAsia="Calibri" w:hAnsi="Verdana" w:cs="Arial"/>
          <w:lang w:val="es-ES"/>
        </w:rPr>
      </w:pPr>
      <w:r w:rsidRPr="00C55BDE">
        <w:rPr>
          <w:rFonts w:ascii="Verdana" w:eastAsia="Calibri" w:hAnsi="Verdana" w:cs="Arial"/>
          <w:lang w:val="es-ES"/>
        </w:rPr>
        <w:t xml:space="preserve">En este contexto, posteriormente, se expediría la Ley 1454 de 2011, “Por la cual se dictan normas orgánicas sobre ordenamiento territorial y se modifican otras disposiciones”, que reguló asuntos relacionados con el ordenamiento territorial. Sin embargo, esta ley no constituyó a los territorios indígenas, como lo demuestra el parágrafo 2° del artículo 37, al disponer que el Gobierno debía presentar al Congreso un proyecto de ley que regulara la materia. </w:t>
      </w:r>
    </w:p>
    <w:p w14:paraId="5D7016BC" w14:textId="77777777" w:rsidR="00B8779A" w:rsidRPr="00C55BDE" w:rsidRDefault="00B8779A" w:rsidP="00B8779A">
      <w:pPr>
        <w:spacing w:after="120" w:line="276" w:lineRule="auto"/>
        <w:jc w:val="both"/>
        <w:rPr>
          <w:rFonts w:ascii="Verdana" w:eastAsia="Calibri" w:hAnsi="Verdana" w:cs="Arial"/>
          <w:lang w:val="es-ES"/>
        </w:rPr>
      </w:pPr>
      <w:r w:rsidRPr="00C55BDE">
        <w:rPr>
          <w:rFonts w:ascii="Verdana" w:eastAsia="Calibri" w:hAnsi="Verdana" w:cs="Arial"/>
          <w:lang w:val="es-ES"/>
        </w:rPr>
        <w:tab/>
        <w:t xml:space="preserve">Otra disposición de relevancia es el artículo 356 superior, el cual </w:t>
      </w:r>
      <w:r>
        <w:rPr>
          <w:rFonts w:ascii="Verdana" w:eastAsia="Calibri" w:hAnsi="Verdana" w:cs="Arial"/>
          <w:lang w:val="es-ES"/>
        </w:rPr>
        <w:t>se refiere a</w:t>
      </w:r>
      <w:r w:rsidRPr="00C55BDE">
        <w:rPr>
          <w:rFonts w:ascii="Verdana" w:eastAsia="Calibri" w:hAnsi="Verdana" w:cs="Arial"/>
          <w:lang w:val="es-ES"/>
        </w:rPr>
        <w:t xml:space="preserve"> la distribución de los recursos del Sistema General de Participaciones–SGP, </w:t>
      </w:r>
      <w:r>
        <w:rPr>
          <w:rFonts w:ascii="Verdana" w:eastAsia="Calibri" w:hAnsi="Verdana" w:cs="Arial"/>
          <w:lang w:val="es-ES"/>
        </w:rPr>
        <w:t xml:space="preserve">que establece </w:t>
      </w:r>
      <w:r w:rsidRPr="00C55BDE">
        <w:rPr>
          <w:rFonts w:ascii="Verdana" w:eastAsia="Calibri" w:hAnsi="Verdana" w:cs="Arial"/>
          <w:lang w:val="es-ES"/>
        </w:rPr>
        <w:t xml:space="preserve">que “[…] serán beneficiarias las entidades territoriales indígenas, </w:t>
      </w:r>
      <w:r w:rsidRPr="00C55BDE">
        <w:rPr>
          <w:rFonts w:ascii="Verdana" w:eastAsia="Calibri" w:hAnsi="Verdana" w:cs="Arial"/>
          <w:lang w:val="es-ES"/>
        </w:rPr>
        <w:lastRenderedPageBreak/>
        <w:t xml:space="preserve">una vez constituidas. Así mismo, la ley establecerá como beneficiarios a los resguardos indígenas, siempre y cuando estos no se hayan constituido en entidad territorial indígena”. A efectos de materializar esta distribución, –y ante la </w:t>
      </w:r>
      <w:proofErr w:type="spellStart"/>
      <w:r w:rsidRPr="00C55BDE">
        <w:rPr>
          <w:rFonts w:ascii="Verdana" w:eastAsia="Calibri" w:hAnsi="Verdana" w:cs="Arial"/>
          <w:lang w:val="es-ES"/>
        </w:rPr>
        <w:t>omisión</w:t>
      </w:r>
      <w:proofErr w:type="spellEnd"/>
      <w:r w:rsidRPr="00C55BDE">
        <w:rPr>
          <w:rFonts w:ascii="Verdana" w:eastAsia="Calibri" w:hAnsi="Verdana" w:cs="Arial"/>
          <w:lang w:val="es-ES"/>
        </w:rPr>
        <w:t xml:space="preserve"> legislativa identificada por la Corte Constitucional en la sentencia C-489 del 2012–, con sustento en el mencionado artículo 56 transitorio  se expidió el Decreto 1953 de 2014, “Por el cual se crea un régimen especial con el fin de poner en funcionamiento los territorios indígenas respecto de la administración de los sistemas propios de los pueblos indígenas hasta que el Congreso expida la ley de qué trata el artículo 329 de la Constitución Política”. </w:t>
      </w:r>
    </w:p>
    <w:p w14:paraId="30250DA7" w14:textId="77777777" w:rsidR="00B8779A" w:rsidRPr="00C55BDE" w:rsidRDefault="00B8779A" w:rsidP="00B8779A">
      <w:pPr>
        <w:spacing w:line="276" w:lineRule="auto"/>
        <w:ind w:firstLine="708"/>
        <w:jc w:val="both"/>
        <w:rPr>
          <w:rFonts w:ascii="Verdana" w:eastAsia="Calibri" w:hAnsi="Verdana" w:cs="Arial"/>
          <w:lang w:val="es-ES"/>
        </w:rPr>
      </w:pPr>
      <w:r w:rsidRPr="00C55BDE">
        <w:rPr>
          <w:rFonts w:ascii="Verdana" w:eastAsia="Calibri" w:hAnsi="Verdana" w:cs="Arial"/>
          <w:lang w:val="es-ES"/>
        </w:rPr>
        <w:t>Los aspectos más relevantes de esta norma son los relacionados con el funcionamiento de los territorios indígenas. Al respecto, dispone que los resguardos indígenas que se ubiquen en ciertos supuestos</w:t>
      </w:r>
      <w:r w:rsidRPr="00C55BDE">
        <w:rPr>
          <w:rStyle w:val="Refdenotaalpie"/>
          <w:rFonts w:ascii="Verdana" w:eastAsia="Calibri" w:hAnsi="Verdana" w:cs="Arial"/>
          <w:lang w:val="es-ES"/>
        </w:rPr>
        <w:footnoteReference w:id="5"/>
      </w:r>
      <w:r w:rsidRPr="00C55BDE">
        <w:rPr>
          <w:rFonts w:ascii="Verdana" w:eastAsia="Calibri" w:hAnsi="Verdana" w:cs="Arial"/>
          <w:lang w:val="es-ES"/>
        </w:rPr>
        <w:t>, al igual que las asociaciones que estos conformen para administrar recursos del SGP, podrán ser considerados como territorios indígenas, de manera transitoria, “[…] mientras el Congreso expide la Ley Orgánica de Ordenamiento Territorial que crea las entidades territoriales indígenas”.</w:t>
      </w:r>
      <w:r w:rsidRPr="00C55BDE">
        <w:rPr>
          <w:rStyle w:val="Refdenotaalpie"/>
          <w:rFonts w:ascii="Verdana" w:eastAsia="Calibri" w:hAnsi="Verdana" w:cs="Arial"/>
          <w:lang w:val="es-ES"/>
        </w:rPr>
        <w:footnoteReference w:id="6"/>
      </w:r>
      <w:r w:rsidRPr="00C55BDE">
        <w:rPr>
          <w:rFonts w:ascii="Verdana" w:eastAsia="Calibri" w:hAnsi="Verdana" w:cs="Arial"/>
          <w:lang w:val="es-ES"/>
        </w:rPr>
        <w:t xml:space="preserve">  Adicionalmente, establece que para los fines y la ejecución de los recursos de que trata dicho decreto, los territorios y resguardos indígenas que hayan sido autorizados para administrar recursos del SGP serán considerados Entidades Estatales de acuerdo con lo indicado en el artículo 2 de la Ley 80 de 1993. La norma además establece una última posibilidad para los resguardos indígenas que no hayan sido autorizados para administrar de manera directa los recursos del SGP, consistente en la celebración de contratos de administración con las entidades territoriales respectivas y los representantes legales del resguardo designado por las autoridades propias. </w:t>
      </w:r>
    </w:p>
    <w:p w14:paraId="188993F7" w14:textId="77777777" w:rsidR="00B8779A" w:rsidRPr="00C55BDE" w:rsidRDefault="00B8779A" w:rsidP="00B8779A">
      <w:pPr>
        <w:spacing w:after="120" w:line="276" w:lineRule="auto"/>
        <w:ind w:firstLine="708"/>
        <w:jc w:val="both"/>
        <w:rPr>
          <w:rFonts w:ascii="Verdana" w:eastAsia="Calibri" w:hAnsi="Verdana" w:cs="Arial"/>
          <w:lang w:val="es-ES"/>
        </w:rPr>
      </w:pPr>
      <w:r w:rsidRPr="00C55BDE">
        <w:rPr>
          <w:rFonts w:ascii="Verdana" w:eastAsia="Calibri" w:hAnsi="Verdana" w:cs="Arial"/>
          <w:lang w:val="es-ES"/>
        </w:rPr>
        <w:t xml:space="preserve">Por otro lado, el artículo 20 del Decreto 1953 de 2014 dispone que los actos o contratos que celebren o expidan los territorios indígenas en virtud de dicho decreto se regirán por el Estatuto Orgánico del Presupuesto y el Estatuto de Contratación Estatal, entre otras normas. También dispuso que los territorios indígenas pueden celebrar contratos con las asociaciones de cabildos y/o autoridades tradicionales de que trata el Decreto 1088 de 1993, pero estos solo </w:t>
      </w:r>
      <w:r w:rsidRPr="00C55BDE">
        <w:rPr>
          <w:rFonts w:ascii="Verdana" w:eastAsia="Calibri" w:hAnsi="Verdana" w:cs="Arial"/>
          <w:lang w:val="es-ES"/>
        </w:rPr>
        <w:lastRenderedPageBreak/>
        <w:t>podrán celebrarse entre territorios indígenas, cabildos y/o autoridades tradicionales constituidos bajo lo dispuesto en el Decreto 1088 de 1993, no con otras entidades del Estado</w:t>
      </w:r>
      <w:r w:rsidRPr="00C55BDE">
        <w:rPr>
          <w:rStyle w:val="Refdenotaalpie"/>
          <w:rFonts w:ascii="Verdana" w:eastAsia="Calibri" w:hAnsi="Verdana" w:cs="Arial"/>
          <w:lang w:val="es-ES"/>
        </w:rPr>
        <w:footnoteReference w:id="7"/>
      </w:r>
      <w:r w:rsidRPr="00C55BDE">
        <w:rPr>
          <w:rFonts w:ascii="Verdana" w:eastAsia="Calibri" w:hAnsi="Verdana" w:cs="Arial"/>
          <w:lang w:val="es-ES"/>
        </w:rPr>
        <w:t xml:space="preserve">. </w:t>
      </w:r>
    </w:p>
    <w:p w14:paraId="70FE2B77" w14:textId="77777777" w:rsidR="00B8779A" w:rsidRPr="00C55BDE" w:rsidRDefault="00B8779A" w:rsidP="00B8779A">
      <w:pPr>
        <w:spacing w:after="120" w:line="276" w:lineRule="auto"/>
        <w:ind w:firstLine="709"/>
        <w:jc w:val="both"/>
        <w:rPr>
          <w:rFonts w:ascii="Verdana" w:eastAsia="Calibri" w:hAnsi="Verdana" w:cs="Arial"/>
          <w:lang w:val="es-ES"/>
        </w:rPr>
      </w:pPr>
      <w:r w:rsidRPr="00C55BDE">
        <w:rPr>
          <w:rFonts w:ascii="Verdana" w:eastAsia="Calibri" w:hAnsi="Verdana" w:cs="Arial"/>
          <w:lang w:val="es-ES"/>
        </w:rPr>
        <w:t xml:space="preserve">Conforme a lo anterior, el Decreto 1953 de 2014 permite que resguardos podrán asociarse para administrar y ejecutar los recursos de la asignación especial del SGP, siempre que acrediten los requisitos establecidos en el decreto, y son personas jurídicas de derecho público especial. Los territorios y resguardos Indígenas que hayan sido autorizados para administrar recursos del SGP, conforme a lo dispuesto por ese decreto, se consideran Entidades Estatales, de acuerdo con lo dispuesto en el artículo 2° de la Ley 80 de 1993. Dicha capacidad será ejercida a través de su representante legal, de acuerdo con lo dispuesto en el decreto. En caso de que un resguardo indígena no administre la asignación especial del Sistema General de Participaciones, o no se haya asociado con otros para administrarlos, su ejecución se realizará mediante la celebración de un contrato de administración suscrito entre la entidad territorial respectiva y el representante legal del resguardo designado por las autoridades propias. </w:t>
      </w:r>
    </w:p>
    <w:p w14:paraId="61D67209" w14:textId="77777777" w:rsidR="00B8779A" w:rsidRPr="00C55BDE" w:rsidRDefault="00B8779A" w:rsidP="00B8779A">
      <w:pPr>
        <w:spacing w:after="120" w:line="276" w:lineRule="auto"/>
        <w:jc w:val="both"/>
        <w:rPr>
          <w:rFonts w:ascii="Verdana" w:eastAsia="Calibri" w:hAnsi="Verdana" w:cs="Arial"/>
          <w:lang w:val="es-ES"/>
        </w:rPr>
      </w:pPr>
      <w:r w:rsidRPr="00C55BDE">
        <w:rPr>
          <w:rFonts w:ascii="Verdana" w:eastAsia="Calibri" w:hAnsi="Verdana" w:cs="Arial"/>
          <w:lang w:val="es-ES"/>
        </w:rPr>
        <w:t>  </w:t>
      </w:r>
      <w:r w:rsidRPr="00C55BDE">
        <w:rPr>
          <w:rFonts w:ascii="Verdana" w:eastAsia="Calibri" w:hAnsi="Verdana" w:cs="Arial"/>
          <w:lang w:val="es-ES"/>
        </w:rPr>
        <w:tab/>
        <w:t xml:space="preserve"> Las normas hasta aquí analizadas, por un lado, conciben a los resguardos indígenas como una instituciones legales y sociopolíticas de carácter especial, que pueden estar conformadas por una o más comunidades indígenas, que ejercen la propiedad colectiva sobre un territorio común, y que, si bien gozan de las garantías de la propiedad privada, tienen naturaleza inalienable, imprescriptible e inembargable. En ese sentido, a pesar de que la noción de resguardos indígenas no se agota en el territorio físico que es objeto de propiedad colectiva, tampoco es susceptible de ser equiparado al concepto de territorios indígenas al que se refiere el artículo 2 de la Ley 80 de 1993, ya que este aplica a las entidades territoriales indígenas, que, conforme a lo aquí explicado, aún no han sido objeto de implementación. Así pues, en principio, los resguardos indígenas no tienen el carácter de Entidades Estatales en el marco </w:t>
      </w:r>
      <w:r w:rsidRPr="00C55BDE">
        <w:rPr>
          <w:rFonts w:ascii="Verdana" w:eastAsia="Calibri" w:hAnsi="Verdana" w:cs="Arial"/>
          <w:lang w:val="es-ES"/>
        </w:rPr>
        <w:lastRenderedPageBreak/>
        <w:t>del Estatuto General de Contratación de la Administración Pública, ni tampoco tienen capacidad para contratar a luz del artículo 6 de la Ley 80 de 1993.</w:t>
      </w:r>
    </w:p>
    <w:p w14:paraId="7AE19C35" w14:textId="77777777" w:rsidR="00B8779A" w:rsidRPr="00C55BDE" w:rsidRDefault="00B8779A" w:rsidP="00B8779A">
      <w:pPr>
        <w:spacing w:after="120" w:line="276" w:lineRule="auto"/>
        <w:jc w:val="both"/>
        <w:rPr>
          <w:rFonts w:ascii="Verdana" w:eastAsia="Calibri" w:hAnsi="Verdana" w:cs="Arial"/>
          <w:lang w:val="es-ES"/>
        </w:rPr>
      </w:pPr>
      <w:r w:rsidRPr="00C55BDE">
        <w:rPr>
          <w:rFonts w:ascii="Verdana" w:eastAsia="Calibri" w:hAnsi="Verdana" w:cs="Arial"/>
          <w:lang w:val="es-ES"/>
        </w:rPr>
        <w:tab/>
        <w:t xml:space="preserve">No obstante, el régimen para la transitoria puesta en marcha de los territorios indígenas establecido por el Decreto autónomo 1953 de 2014, a efectos de garantizar la distribución de los recursos de asignación especial del Sistema General de Participaciones que corresponden a los pueblos indígenas, estableció diferentes mecanismos para que se ejecutaran los mismos. Dentro de estos mecanismos se estableció la posibilidad de que los resguardos indígenas que cumplieran ciertos requisitos o se agruparan con otros resguardos fueran reconocidos de manera transitoria como territorios indígenas, evento en el que, de conformidad con el artículo 9 del Decreto 1953 de 2014, son consideradas como Entidades Estatales de acuerdo con el artículo 2 de la Ley 80 de 1993. No obstante, la capacidad jurídica que deriva de este artículo está limitada a lo relacionado con el ejercicio de las funciones públicas y la ejecución de recursos de los que trata el decreto.   </w:t>
      </w:r>
    </w:p>
    <w:p w14:paraId="3C328E65" w14:textId="77777777" w:rsidR="00B8779A" w:rsidRPr="00C55BDE" w:rsidRDefault="00B8779A" w:rsidP="00B8779A">
      <w:pPr>
        <w:spacing w:after="120" w:line="276" w:lineRule="auto"/>
        <w:jc w:val="both"/>
        <w:rPr>
          <w:rFonts w:ascii="Verdana" w:eastAsia="Calibri" w:hAnsi="Verdana" w:cs="Arial"/>
          <w:lang w:val="es-ES"/>
        </w:rPr>
      </w:pPr>
      <w:r w:rsidRPr="00C55BDE">
        <w:rPr>
          <w:rFonts w:ascii="Verdana" w:eastAsia="Calibri" w:hAnsi="Verdana" w:cs="Arial"/>
          <w:lang w:val="es-ES"/>
        </w:rPr>
        <w:tab/>
        <w:t>En síntesis, a pesar de que el Decreto 1953 de 2014 establece el carácter de Entidades Estatales de los territorios indígenas regulados de manera transitoria, los resguardos indígenas y sus asociaciones, esto solo resulta aplicable a los asuntos contractuales regulados por dicha norma autónoma. Esto significa que, los territorios, resguardos indígenas y asociaciones de estos, solo son consideradas Entidades Estatales para efectos de celebrar los negocios jurídicos requeridos para el cumplimiento de las funciones que les asigna el decreto</w:t>
      </w:r>
      <w:r w:rsidRPr="00C55BDE">
        <w:rPr>
          <w:rStyle w:val="Refdenotaalpie"/>
          <w:rFonts w:ascii="Verdana" w:eastAsia="Calibri" w:hAnsi="Verdana" w:cs="Arial"/>
          <w:lang w:val="es-ES"/>
        </w:rPr>
        <w:footnoteReference w:id="8"/>
      </w:r>
      <w:r w:rsidRPr="00C55BDE">
        <w:rPr>
          <w:rFonts w:ascii="Verdana" w:eastAsia="Calibri" w:hAnsi="Verdana" w:cs="Arial"/>
          <w:lang w:val="es-ES"/>
        </w:rPr>
        <w:t xml:space="preserve">, prevalentemente relacionadas con la ejecución y administración de recursos del Sistema General de Participaciones, por lo que no estarían </w:t>
      </w:r>
      <w:r w:rsidRPr="00C55BDE">
        <w:rPr>
          <w:rFonts w:ascii="Verdana" w:eastAsia="Calibri" w:hAnsi="Verdana" w:cs="Arial"/>
          <w:lang w:val="es-ES"/>
        </w:rPr>
        <w:lastRenderedPageBreak/>
        <w:t xml:space="preserve">facultados para ejecutar negocios jurídicos no relacionados con tales atribuciones. </w:t>
      </w:r>
    </w:p>
    <w:p w14:paraId="7A8D9D51" w14:textId="77777777" w:rsidR="00B8779A" w:rsidRPr="00C55BDE" w:rsidRDefault="00B8779A" w:rsidP="00B8779A">
      <w:pPr>
        <w:spacing w:before="120" w:after="120" w:line="276" w:lineRule="auto"/>
        <w:ind w:firstLine="709"/>
        <w:jc w:val="both"/>
        <w:rPr>
          <w:rFonts w:ascii="Verdana" w:hAnsi="Verdana" w:cs="Arial"/>
        </w:rPr>
      </w:pPr>
      <w:r w:rsidRPr="00C55BDE">
        <w:rPr>
          <w:rFonts w:ascii="Verdana" w:hAnsi="Verdana" w:cs="Arial"/>
          <w:lang w:val="es-ES"/>
        </w:rPr>
        <w:t>Sumado a los anterior, debe indicarse que los recursos de la Asignación Especial del Sistema General de Participaciones para los Resguardos Indígenas -AESGPRI- corresponden a los recursos del Sistema General de Participaciones que les son transferidos a los resguardos indígenas de conformidad con lo dispuesto por el artículo 356 de la Constitución Política y por los artículos 2º y 83 de la Ley 715 de 2001, para la financiación de proyectos de inversión debidamente formulados, e incluidos en los planes de vida o de acuerdo con los usos y costumbres de los pueblos indígenas.</w:t>
      </w:r>
    </w:p>
    <w:p w14:paraId="25D92A75" w14:textId="77777777" w:rsidR="00B8779A" w:rsidRPr="00C55BDE" w:rsidRDefault="00B8779A" w:rsidP="00B8779A">
      <w:pPr>
        <w:spacing w:before="120" w:after="120" w:line="276" w:lineRule="auto"/>
        <w:ind w:firstLine="709"/>
        <w:jc w:val="both"/>
        <w:rPr>
          <w:rFonts w:ascii="Verdana" w:hAnsi="Verdana" w:cs="Arial"/>
          <w:lang w:val="es-ES"/>
        </w:rPr>
      </w:pPr>
      <w:r w:rsidRPr="00C55BDE">
        <w:rPr>
          <w:rFonts w:ascii="Verdana" w:hAnsi="Verdana" w:cs="Arial"/>
          <w:lang w:val="es-ES"/>
        </w:rPr>
        <w:t xml:space="preserve">Bajo este contexto, en el parágrafo 2º del artículo 2º de la Ley 715 de 2001 se establece la Asignación Especial del Sistema General de Participaciones para los Resguardos Indígenas -AESGPRI- y en el artículo 83 se determinan los criterios para la distribución y la administración de los recursos. Con base en lo anterior, se entiende que </w:t>
      </w:r>
      <w:r w:rsidRPr="00C55BDE">
        <w:rPr>
          <w:rFonts w:ascii="Verdana" w:hAnsi="Verdana" w:cs="Arial"/>
          <w:i/>
          <w:iCs/>
          <w:lang w:val="es-ES"/>
        </w:rPr>
        <w:t xml:space="preserve">los recursos de la AESGPRI son públicos </w:t>
      </w:r>
      <w:r w:rsidRPr="00C55BDE">
        <w:rPr>
          <w:rFonts w:ascii="Verdana" w:hAnsi="Verdana" w:cs="Arial"/>
          <w:lang w:val="es-ES"/>
        </w:rPr>
        <w:t>y tienen como propósito beneficiar a la población indígena que habita en los resguardos.</w:t>
      </w:r>
    </w:p>
    <w:p w14:paraId="173E9210" w14:textId="77777777" w:rsidR="00B8779A" w:rsidRPr="00C55BDE" w:rsidRDefault="00B8779A" w:rsidP="00B8779A">
      <w:pPr>
        <w:spacing w:before="120" w:after="120" w:line="276" w:lineRule="auto"/>
        <w:ind w:firstLine="709"/>
        <w:jc w:val="both"/>
        <w:rPr>
          <w:rFonts w:ascii="Verdana" w:hAnsi="Verdana"/>
        </w:rPr>
      </w:pPr>
      <w:r w:rsidRPr="00C55BDE">
        <w:rPr>
          <w:rFonts w:ascii="Verdana" w:hAnsi="Verdana"/>
        </w:rPr>
        <w:t xml:space="preserve">Ahora bien, tratándose de recursos -AESGPRI- debe tenerse de presente que el artículo 83 de la Ley 715 de 2001 dispone que estos serán girados a cada uno de los municipios en proporción a la población indígena que comprenda y que para su ejecución deberá celebrarse un contrato entre la entidad territorial y las autoridades del resguardo, </w:t>
      </w:r>
      <w:r w:rsidRPr="00C55BDE">
        <w:rPr>
          <w:rFonts w:ascii="Verdana" w:hAnsi="Verdana"/>
          <w:i/>
          <w:iCs/>
        </w:rPr>
        <w:t>antes del 31 de diciembre de cada año</w:t>
      </w:r>
      <w:r w:rsidRPr="00C55BDE">
        <w:rPr>
          <w:rFonts w:ascii="Verdana" w:hAnsi="Verdana"/>
        </w:rPr>
        <w:t>, en la que se determine el uso de los recursos en el año siguiente. Copia de dicho contrato se enviará antes del 20 de enero al Ministerio del Interior.</w:t>
      </w:r>
    </w:p>
    <w:p w14:paraId="56763532" w14:textId="77777777" w:rsidR="00B8779A" w:rsidRPr="00C55BDE" w:rsidRDefault="00B8779A" w:rsidP="00B8779A">
      <w:pPr>
        <w:spacing w:before="120" w:after="120" w:line="276" w:lineRule="auto"/>
        <w:jc w:val="both"/>
        <w:rPr>
          <w:rFonts w:ascii="Verdana" w:hAnsi="Verdana"/>
        </w:rPr>
      </w:pPr>
      <w:proofErr w:type="spellStart"/>
      <w:r>
        <w:rPr>
          <w:rFonts w:ascii="Verdana" w:hAnsi="Verdana" w:cs="Arial"/>
          <w:lang w:val="es-ES"/>
        </w:rPr>
        <w:t>iii</w:t>
      </w:r>
      <w:proofErr w:type="spellEnd"/>
      <w:r>
        <w:rPr>
          <w:rFonts w:ascii="Verdana" w:hAnsi="Verdana" w:cs="Arial"/>
          <w:lang w:val="es-ES"/>
        </w:rPr>
        <w:t xml:space="preserve">. </w:t>
      </w:r>
      <w:r w:rsidRPr="00C55BDE">
        <w:rPr>
          <w:rFonts w:ascii="Verdana" w:hAnsi="Verdana" w:cs="Arial"/>
          <w:lang w:val="es-ES"/>
        </w:rPr>
        <w:t>Frente a las restricciones de Ley de Garantías debe tener en cuenta que el ordenamiento jurídico colombiano contempla medidas para evitar la obtención de beneficios personales en asuntos propios de la administración pública</w:t>
      </w:r>
      <w:r w:rsidRPr="00C55BDE">
        <w:rPr>
          <w:rFonts w:ascii="Verdana" w:hAnsi="Verdana" w:cs="Arial"/>
          <w:i/>
          <w:lang w:val="es-ES"/>
        </w:rPr>
        <w:t xml:space="preserve">. </w:t>
      </w:r>
      <w:r w:rsidRPr="00C55BDE">
        <w:rPr>
          <w:rFonts w:ascii="Verdana"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C55BDE">
        <w:rPr>
          <w:rFonts w:ascii="Verdana" w:hAnsi="Verdana"/>
          <w:vertAlign w:val="superscript"/>
          <w:lang w:val="es-ES"/>
        </w:rPr>
        <w:footnoteReference w:id="9"/>
      </w:r>
      <w:r w:rsidRPr="00C55BDE">
        <w:rPr>
          <w:rFonts w:ascii="Verdana" w:hAnsi="Verdana" w:cs="Arial"/>
          <w:lang w:val="es-ES"/>
        </w:rPr>
        <w:t>.</w:t>
      </w:r>
    </w:p>
    <w:p w14:paraId="0FE3A0A6" w14:textId="77777777" w:rsidR="00B8779A" w:rsidRPr="00C55BDE" w:rsidRDefault="00B8779A" w:rsidP="00B8779A">
      <w:pPr>
        <w:tabs>
          <w:tab w:val="left" w:pos="426"/>
        </w:tabs>
        <w:spacing w:after="120" w:line="276" w:lineRule="auto"/>
        <w:ind w:firstLine="709"/>
        <w:jc w:val="both"/>
        <w:rPr>
          <w:rFonts w:ascii="Verdana" w:hAnsi="Verdana" w:cs="Arial"/>
          <w:lang w:val="es-ES"/>
        </w:rPr>
      </w:pPr>
      <w:r w:rsidRPr="00C55BDE">
        <w:rPr>
          <w:rFonts w:ascii="Verdana" w:eastAsia="Times New Roman" w:hAnsi="Verdana" w:cs="Arial"/>
          <w:lang w:val="es-ES" w:eastAsia="es-CO"/>
        </w:rPr>
        <w:lastRenderedPageBreak/>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C55BDE">
        <w:rPr>
          <w:rFonts w:ascii="Verdana" w:eastAsia="Times New Roman" w:hAnsi="Verdana" w:cs="Arial"/>
          <w:vertAlign w:val="superscript"/>
          <w:lang w:val="es-ES" w:eastAsia="es-CO"/>
        </w:rPr>
        <w:footnoteReference w:id="10"/>
      </w:r>
      <w:r w:rsidRPr="00C55BDE">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C55BDE">
        <w:rPr>
          <w:rFonts w:ascii="Verdana" w:hAnsi="Verdana" w:cs="Arial"/>
          <w:lang w:val="es-ES"/>
        </w:rPr>
        <w:t xml:space="preserve"> </w:t>
      </w:r>
    </w:p>
    <w:p w14:paraId="2A96BFD8" w14:textId="77777777" w:rsidR="00B8779A" w:rsidRPr="00C55BDE" w:rsidRDefault="00B8779A" w:rsidP="00B8779A">
      <w:pPr>
        <w:tabs>
          <w:tab w:val="left" w:pos="426"/>
        </w:tabs>
        <w:spacing w:after="0" w:line="276" w:lineRule="auto"/>
        <w:ind w:firstLine="709"/>
        <w:jc w:val="both"/>
        <w:rPr>
          <w:rFonts w:ascii="Verdana" w:hAnsi="Verdana" w:cs="Arial"/>
          <w:lang w:val="es-ES"/>
        </w:rPr>
      </w:pPr>
      <w:r w:rsidRPr="00C55BDE">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744A9C81" w14:textId="77777777" w:rsidR="00B8779A" w:rsidRPr="00C55BDE" w:rsidRDefault="00B8779A" w:rsidP="00B8779A">
      <w:pPr>
        <w:spacing w:after="0" w:line="276" w:lineRule="auto"/>
        <w:ind w:right="709"/>
        <w:jc w:val="both"/>
        <w:rPr>
          <w:rFonts w:ascii="Verdana" w:eastAsia="Times New Roman" w:hAnsi="Verdana" w:cs="Arial"/>
          <w:lang w:val="es-ES" w:eastAsia="es-CO"/>
        </w:rPr>
      </w:pPr>
    </w:p>
    <w:p w14:paraId="6D62F54D" w14:textId="77777777" w:rsidR="00B8779A" w:rsidRPr="00C55BDE" w:rsidRDefault="00B8779A" w:rsidP="00B8779A">
      <w:pPr>
        <w:spacing w:after="0" w:line="240" w:lineRule="auto"/>
        <w:ind w:left="709" w:right="709"/>
        <w:contextualSpacing/>
        <w:jc w:val="both"/>
        <w:rPr>
          <w:rFonts w:ascii="Verdana" w:eastAsia="Times New Roman" w:hAnsi="Verdana" w:cs="Arial"/>
          <w:sz w:val="20"/>
          <w:szCs w:val="20"/>
          <w:lang w:val="es-ES" w:eastAsia="es-CO"/>
        </w:rPr>
      </w:pPr>
      <w:r w:rsidRPr="00C55BDE">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08696F4E" w14:textId="77777777" w:rsidR="00B8779A" w:rsidRPr="00C55BDE" w:rsidRDefault="00B8779A" w:rsidP="00B8779A">
      <w:pPr>
        <w:spacing w:after="0" w:line="240" w:lineRule="auto"/>
        <w:ind w:left="709" w:right="709"/>
        <w:contextualSpacing/>
        <w:jc w:val="both"/>
        <w:rPr>
          <w:rFonts w:ascii="Verdana" w:eastAsia="Times New Roman" w:hAnsi="Verdana" w:cs="Arial"/>
          <w:sz w:val="20"/>
          <w:szCs w:val="20"/>
          <w:lang w:val="es-ES" w:eastAsia="es-CO"/>
        </w:rPr>
      </w:pPr>
    </w:p>
    <w:p w14:paraId="4FDFBF34" w14:textId="77777777" w:rsidR="00B8779A" w:rsidRPr="00C55BDE" w:rsidRDefault="00B8779A" w:rsidP="00B8779A">
      <w:pPr>
        <w:spacing w:after="0" w:line="240" w:lineRule="auto"/>
        <w:ind w:left="709" w:right="709"/>
        <w:contextualSpacing/>
        <w:jc w:val="both"/>
        <w:rPr>
          <w:rFonts w:ascii="Verdana" w:eastAsia="Times New Roman" w:hAnsi="Verdana" w:cs="Arial"/>
          <w:sz w:val="20"/>
          <w:szCs w:val="20"/>
          <w:lang w:val="es-ES" w:eastAsia="es-CO"/>
        </w:rPr>
      </w:pPr>
      <w:r w:rsidRPr="00C55BDE">
        <w:rPr>
          <w:rFonts w:ascii="Verdana" w:eastAsia="Times New Roman" w:hAnsi="Verdana" w:cs="Arial"/>
          <w:sz w:val="20"/>
          <w:szCs w:val="20"/>
          <w:lang w:val="es-ES" w:eastAsia="es-CO"/>
        </w:rPr>
        <w:t xml:space="preserve">[…] </w:t>
      </w:r>
    </w:p>
    <w:p w14:paraId="55B70CC0" w14:textId="77777777" w:rsidR="00B8779A" w:rsidRPr="00C55BDE" w:rsidRDefault="00B8779A" w:rsidP="00B8779A">
      <w:pPr>
        <w:spacing w:after="0" w:line="240" w:lineRule="auto"/>
        <w:ind w:left="709" w:right="709"/>
        <w:contextualSpacing/>
        <w:jc w:val="both"/>
        <w:rPr>
          <w:rFonts w:ascii="Verdana" w:eastAsia="Times New Roman" w:hAnsi="Verdana" w:cs="Arial"/>
          <w:sz w:val="20"/>
          <w:szCs w:val="20"/>
          <w:lang w:val="es-ES" w:eastAsia="es-CO"/>
        </w:rPr>
      </w:pPr>
    </w:p>
    <w:p w14:paraId="6A70F9F0" w14:textId="77777777" w:rsidR="00B8779A" w:rsidRPr="00C55BDE" w:rsidRDefault="00B8779A" w:rsidP="00B8779A">
      <w:pPr>
        <w:spacing w:after="0" w:line="240" w:lineRule="auto"/>
        <w:ind w:left="709" w:right="709"/>
        <w:contextualSpacing/>
        <w:jc w:val="both"/>
        <w:rPr>
          <w:rFonts w:ascii="Verdana" w:eastAsia="Times New Roman" w:hAnsi="Verdana" w:cs="Arial"/>
          <w:sz w:val="20"/>
          <w:szCs w:val="20"/>
          <w:lang w:val="es-ES" w:eastAsia="es-CO"/>
        </w:rPr>
      </w:pPr>
      <w:r w:rsidRPr="00C55BDE">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C55BDE">
        <w:rPr>
          <w:rFonts w:ascii="Verdana" w:hAnsi="Verdana" w:cs="Arial"/>
          <w:sz w:val="20"/>
          <w:szCs w:val="20"/>
          <w:vertAlign w:val="superscript"/>
          <w:lang w:val="es-ES"/>
        </w:rPr>
        <w:footnoteReference w:id="11"/>
      </w:r>
    </w:p>
    <w:p w14:paraId="0B316460" w14:textId="77777777" w:rsidR="00B8779A" w:rsidRPr="00C55BDE" w:rsidRDefault="00B8779A" w:rsidP="00B8779A">
      <w:pPr>
        <w:spacing w:after="0" w:line="276" w:lineRule="auto"/>
        <w:ind w:left="709" w:right="709"/>
        <w:jc w:val="both"/>
        <w:rPr>
          <w:rFonts w:ascii="Verdana" w:eastAsia="Times New Roman" w:hAnsi="Verdana" w:cs="Arial"/>
          <w:sz w:val="20"/>
          <w:szCs w:val="20"/>
          <w:lang w:val="es-ES" w:eastAsia="es-CO"/>
        </w:rPr>
      </w:pPr>
    </w:p>
    <w:p w14:paraId="00E477D8" w14:textId="77777777" w:rsidR="00B8779A" w:rsidRPr="00C55BDE" w:rsidRDefault="00B8779A" w:rsidP="00B8779A">
      <w:pPr>
        <w:spacing w:after="0" w:line="276" w:lineRule="auto"/>
        <w:ind w:firstLine="709"/>
        <w:jc w:val="both"/>
        <w:rPr>
          <w:rFonts w:ascii="Verdana" w:eastAsia="Times New Roman" w:hAnsi="Verdana" w:cs="Arial"/>
          <w:lang w:val="es-ES" w:eastAsia="es-CO"/>
        </w:rPr>
      </w:pPr>
      <w:r w:rsidRPr="00C55BDE">
        <w:rPr>
          <w:rFonts w:ascii="Verdana" w:eastAsia="Times New Roman" w:hAnsi="Verdana" w:cs="Arial"/>
          <w:lang w:val="es-ES" w:eastAsia="es-CO"/>
        </w:rPr>
        <w:t xml:space="preserve">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w:t>
      </w:r>
      <w:r w:rsidRPr="00C55BDE">
        <w:rPr>
          <w:rFonts w:ascii="Verdana" w:eastAsia="Times New Roman" w:hAnsi="Verdana" w:cs="Arial"/>
          <w:lang w:val="es-ES" w:eastAsia="es-CO"/>
        </w:rPr>
        <w:lastRenderedPageBreak/>
        <w:t>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57D63916" w14:textId="77777777" w:rsidR="00B8779A" w:rsidRPr="00C55BDE" w:rsidRDefault="00B8779A" w:rsidP="00B8779A">
      <w:pPr>
        <w:spacing w:after="0" w:line="276" w:lineRule="auto"/>
        <w:ind w:firstLine="709"/>
        <w:jc w:val="both"/>
        <w:rPr>
          <w:rFonts w:ascii="Verdana" w:eastAsia="Times New Roman" w:hAnsi="Verdana" w:cs="Arial"/>
          <w:lang w:val="es-ES" w:eastAsia="es-CO"/>
        </w:rPr>
      </w:pPr>
    </w:p>
    <w:p w14:paraId="5058F3DC" w14:textId="77777777" w:rsidR="00B8779A" w:rsidRPr="00C55BDE" w:rsidRDefault="00B8779A" w:rsidP="00B8779A">
      <w:pPr>
        <w:spacing w:after="0" w:line="240" w:lineRule="auto"/>
        <w:ind w:left="709" w:right="709"/>
        <w:jc w:val="both"/>
        <w:rPr>
          <w:rFonts w:ascii="Verdana" w:eastAsia="Times New Roman" w:hAnsi="Verdana" w:cs="Arial"/>
          <w:sz w:val="20"/>
          <w:szCs w:val="20"/>
          <w:lang w:val="es-ES" w:eastAsia="es-CO"/>
        </w:rPr>
      </w:pPr>
      <w:r w:rsidRPr="00C55BDE">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C55BDE">
        <w:rPr>
          <w:rFonts w:ascii="Verdana" w:eastAsia="Times New Roman" w:hAnsi="Verdana" w:cs="Arial"/>
          <w:sz w:val="20"/>
          <w:szCs w:val="20"/>
          <w:lang w:val="es-ES" w:eastAsia="es-CO"/>
        </w:rPr>
        <w:t>legis</w:t>
      </w:r>
      <w:proofErr w:type="spellEnd"/>
      <w:r w:rsidRPr="00C55BDE">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F900F51" w14:textId="77777777" w:rsidR="00B8779A" w:rsidRPr="00C55BDE" w:rsidRDefault="00B8779A" w:rsidP="00B8779A">
      <w:pPr>
        <w:spacing w:after="0" w:line="240" w:lineRule="auto"/>
        <w:ind w:right="709"/>
        <w:jc w:val="both"/>
        <w:rPr>
          <w:rFonts w:ascii="Verdana" w:eastAsia="Times New Roman" w:hAnsi="Verdana" w:cs="Arial"/>
          <w:lang w:val="es-ES" w:eastAsia="es-CO"/>
        </w:rPr>
      </w:pPr>
    </w:p>
    <w:p w14:paraId="54A892CE" w14:textId="77777777" w:rsidR="00B8779A" w:rsidRPr="00C55BDE" w:rsidRDefault="00B8779A" w:rsidP="00B8779A">
      <w:pPr>
        <w:spacing w:after="0" w:line="240" w:lineRule="auto"/>
        <w:ind w:left="709" w:right="709"/>
        <w:jc w:val="both"/>
        <w:rPr>
          <w:rFonts w:ascii="Verdana" w:eastAsia="Times New Roman" w:hAnsi="Verdana" w:cs="Arial"/>
          <w:sz w:val="20"/>
          <w:szCs w:val="20"/>
          <w:lang w:val="es-ES" w:eastAsia="es-CO"/>
        </w:rPr>
      </w:pPr>
      <w:r w:rsidRPr="00C55BDE">
        <w:rPr>
          <w:rFonts w:ascii="Verdana" w:eastAsia="Times New Roman" w:hAnsi="Verdana" w:cs="Arial"/>
          <w:sz w:val="20"/>
          <w:szCs w:val="20"/>
          <w:lang w:val="es-ES" w:eastAsia="es-CO"/>
        </w:rPr>
        <w:t>La jurisprudencia de la Corte Constitucional</w:t>
      </w:r>
      <w:r w:rsidRPr="00C55BDE">
        <w:rPr>
          <w:rFonts w:ascii="Verdana" w:eastAsia="Times New Roman" w:hAnsi="Verdana" w:cs="Arial"/>
          <w:sz w:val="20"/>
          <w:szCs w:val="20"/>
          <w:vertAlign w:val="superscript"/>
          <w:lang w:val="es-ES" w:eastAsia="es-CO"/>
        </w:rPr>
        <w:footnoteReference w:id="12"/>
      </w:r>
      <w:r w:rsidRPr="00C55BDE">
        <w:rPr>
          <w:rFonts w:ascii="Verdana" w:eastAsia="Times New Roman" w:hAnsi="Verdana" w:cs="Arial"/>
          <w:sz w:val="20"/>
          <w:szCs w:val="20"/>
          <w:lang w:val="es-ES" w:eastAsia="es-CO"/>
        </w:rPr>
        <w:t> y del Consejo de Estado</w:t>
      </w:r>
      <w:r w:rsidRPr="00C55BDE">
        <w:rPr>
          <w:rFonts w:ascii="Verdana" w:eastAsia="Times New Roman" w:hAnsi="Verdana" w:cs="Arial"/>
          <w:sz w:val="20"/>
          <w:szCs w:val="20"/>
          <w:vertAlign w:val="superscript"/>
          <w:lang w:val="es-ES" w:eastAsia="es-CO"/>
        </w:rPr>
        <w:footnoteReference w:id="13"/>
      </w:r>
      <w:r w:rsidRPr="00C55BDE">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C55BDE">
        <w:rPr>
          <w:rFonts w:ascii="Verdana" w:eastAsia="Times New Roman" w:hAnsi="Verdana" w:cs="Arial"/>
          <w:sz w:val="20"/>
          <w:szCs w:val="20"/>
          <w:vertAlign w:val="superscript"/>
          <w:lang w:val="es-ES" w:eastAsia="es-CO"/>
        </w:rPr>
        <w:footnoteReference w:id="14"/>
      </w:r>
      <w:r w:rsidRPr="00C55BDE">
        <w:rPr>
          <w:rFonts w:ascii="Verdana" w:eastAsia="Times New Roman" w:hAnsi="Verdana" w:cs="Arial"/>
          <w:sz w:val="20"/>
          <w:szCs w:val="20"/>
          <w:lang w:val="es-ES" w:eastAsia="es-CO"/>
        </w:rPr>
        <w:t>.</w:t>
      </w:r>
    </w:p>
    <w:p w14:paraId="6214D6C1" w14:textId="77777777" w:rsidR="00B8779A" w:rsidRPr="00C55BDE" w:rsidRDefault="00B8779A" w:rsidP="00B8779A">
      <w:pPr>
        <w:spacing w:after="0" w:line="276" w:lineRule="auto"/>
        <w:jc w:val="both"/>
        <w:rPr>
          <w:rFonts w:ascii="Verdana" w:hAnsi="Verdana" w:cs="Arial"/>
          <w:bCs/>
          <w:lang w:val="es-ES"/>
        </w:rPr>
      </w:pPr>
    </w:p>
    <w:p w14:paraId="547F95DC" w14:textId="77777777" w:rsidR="00B8779A" w:rsidRPr="00C55BDE" w:rsidRDefault="00B8779A" w:rsidP="00B8779A">
      <w:pPr>
        <w:spacing w:after="120" w:line="276" w:lineRule="auto"/>
        <w:ind w:firstLine="709"/>
        <w:jc w:val="both"/>
        <w:rPr>
          <w:rFonts w:ascii="Verdana" w:eastAsia="Arial" w:hAnsi="Verdana" w:cs="Arial"/>
          <w:lang w:val="es-ES" w:eastAsia="es-ES" w:bidi="es-ES"/>
        </w:rPr>
      </w:pPr>
      <w:r w:rsidRPr="00C55BDE">
        <w:rPr>
          <w:rFonts w:ascii="Verdana" w:eastAsia="Times New Roman" w:hAnsi="Verdana" w:cs="Arial"/>
          <w:lang w:val="es-ES" w:eastAsia="es-CO"/>
        </w:rPr>
        <w:t>De</w:t>
      </w:r>
      <w:r w:rsidRPr="00C55BDE">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w:t>
      </w:r>
      <w:r w:rsidRPr="00C55BDE">
        <w:rPr>
          <w:rFonts w:ascii="Verdana" w:eastAsia="Arial" w:hAnsi="Verdana" w:cs="Arial"/>
          <w:lang w:val="es-ES" w:eastAsia="es-ES" w:bidi="es-ES"/>
        </w:rPr>
        <w:lastRenderedPageBreak/>
        <w:t>siquiera sospecha de que, por ese medio, en los periodos previos a la contienda electoral, se alteren las condiciones de igualdad entre los candidatos.</w:t>
      </w:r>
    </w:p>
    <w:p w14:paraId="3DA4FA67" w14:textId="77777777" w:rsidR="00B8779A" w:rsidRPr="00C55BDE" w:rsidRDefault="00B8779A" w:rsidP="00B8779A">
      <w:pPr>
        <w:spacing w:after="120" w:line="276" w:lineRule="auto"/>
        <w:ind w:firstLine="709"/>
        <w:jc w:val="both"/>
        <w:rPr>
          <w:rFonts w:ascii="Verdana" w:eastAsia="Arial" w:hAnsi="Verdana" w:cs="Arial"/>
          <w:lang w:val="es-ES" w:eastAsia="es-ES" w:bidi="es-ES"/>
        </w:rPr>
      </w:pPr>
      <w:r w:rsidRPr="00C55BDE">
        <w:rPr>
          <w:rFonts w:ascii="Verdana" w:eastAsia="Arial" w:hAnsi="Verdana" w:cs="Arial"/>
          <w:lang w:val="es-ES" w:eastAsia="es-ES" w:bidi="es-ES"/>
        </w:rPr>
        <w:t>En ese orden, las restricciones consagradas en la Ley de Garantías Electorales se dirigen a dos (2) tipos de campañas electorales diferenciadas: las presidenciales y las que se adelanten para la elección de los demás cargos de elección popular, tanto a nivel nacional como territorial.</w:t>
      </w:r>
    </w:p>
    <w:p w14:paraId="7D272751" w14:textId="77777777" w:rsidR="00B8779A" w:rsidRPr="00C55BDE" w:rsidRDefault="00B8779A" w:rsidP="00B8779A">
      <w:pPr>
        <w:spacing w:after="120" w:line="276" w:lineRule="auto"/>
        <w:ind w:firstLine="708"/>
        <w:jc w:val="both"/>
        <w:rPr>
          <w:rFonts w:ascii="Verdana" w:hAnsi="Verdana" w:cs="Arial"/>
          <w:lang w:val="es-ES"/>
        </w:rPr>
      </w:pPr>
      <w:r w:rsidRPr="00C55BDE">
        <w:rPr>
          <w:rFonts w:ascii="Verdana" w:hAnsi="Verdana" w:cs="Arial"/>
          <w:lang w:val="es-ES"/>
        </w:rPr>
        <w:t xml:space="preserve">Por un lado, el </w:t>
      </w:r>
      <w:r w:rsidRPr="00C55BDE">
        <w:rPr>
          <w:rFonts w:ascii="Verdana" w:hAnsi="Verdana" w:cs="Arial"/>
          <w:i/>
          <w:iCs/>
          <w:lang w:val="es-ES"/>
        </w:rPr>
        <w:t xml:space="preserve">artículo 33 </w:t>
      </w:r>
      <w:r w:rsidRPr="00C55BDE">
        <w:rPr>
          <w:rFonts w:ascii="Verdana" w:hAnsi="Verdana" w:cs="Arial"/>
          <w:lang w:val="es-ES"/>
        </w:rPr>
        <w:t xml:space="preserve">de la Ley 996 de 2005 prohíbe “[…] la contratación directa por parte de </w:t>
      </w:r>
      <w:r w:rsidRPr="00C55BDE">
        <w:rPr>
          <w:rFonts w:ascii="Verdana" w:hAnsi="Verdana" w:cs="Arial"/>
          <w:i/>
          <w:iCs/>
          <w:lang w:val="es-ES"/>
        </w:rPr>
        <w:t>todos los entes del Estado</w:t>
      </w:r>
      <w:r w:rsidRPr="00C55BDE">
        <w:rPr>
          <w:rFonts w:ascii="Verdana" w:hAnsi="Verdana" w:cs="Arial"/>
          <w:lang w:val="es-ES"/>
        </w:rPr>
        <w:t xml:space="preserve">” durante los cuatro (4) meses anteriores a las </w:t>
      </w:r>
      <w:r w:rsidRPr="00C55BDE">
        <w:rPr>
          <w:rFonts w:ascii="Verdana" w:hAnsi="Verdana" w:cs="Arial"/>
          <w:i/>
          <w:iCs/>
          <w:lang w:val="es-ES"/>
        </w:rPr>
        <w:t>elecciones presidenciales</w:t>
      </w:r>
      <w:r w:rsidRPr="00C55BDE">
        <w:rPr>
          <w:rFonts w:ascii="Verdana"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55BDE">
        <w:rPr>
          <w:rFonts w:ascii="Verdana" w:hAnsi="Verdana" w:cs="Arial"/>
          <w:vertAlign w:val="superscript"/>
          <w:lang w:val="es-ES"/>
        </w:rPr>
        <w:footnoteReference w:id="15"/>
      </w:r>
      <w:r w:rsidRPr="00C55BDE">
        <w:rPr>
          <w:rFonts w:ascii="Verdana" w:hAnsi="Verdana" w:cs="Arial"/>
          <w:lang w:val="es-ES"/>
        </w:rPr>
        <w:t>.</w:t>
      </w:r>
    </w:p>
    <w:p w14:paraId="621C4FD3" w14:textId="77777777" w:rsidR="00B8779A" w:rsidRPr="00C55BDE" w:rsidRDefault="00B8779A" w:rsidP="00B8779A">
      <w:pPr>
        <w:widowControl w:val="0"/>
        <w:autoSpaceDE w:val="0"/>
        <w:autoSpaceDN w:val="0"/>
        <w:spacing w:after="120" w:line="276" w:lineRule="auto"/>
        <w:ind w:right="113" w:firstLine="709"/>
        <w:jc w:val="both"/>
        <w:rPr>
          <w:rFonts w:ascii="Verdana" w:eastAsia="Arial" w:hAnsi="Verdana" w:cs="Arial"/>
          <w:lang w:val="es-ES" w:eastAsia="es-ES" w:bidi="es-ES"/>
        </w:rPr>
      </w:pPr>
      <w:r w:rsidRPr="00C55BDE">
        <w:rPr>
          <w:rFonts w:ascii="Verdana" w:hAnsi="Verdana" w:cs="Arial"/>
          <w:lang w:val="es-ES"/>
        </w:rPr>
        <w:t xml:space="preserve">Por otro lado, </w:t>
      </w:r>
      <w:r w:rsidRPr="00C55BDE">
        <w:rPr>
          <w:rFonts w:ascii="Verdana" w:hAnsi="Verdana" w:cs="Arial"/>
          <w:i/>
          <w:iCs/>
          <w:lang w:val="es-ES"/>
        </w:rPr>
        <w:t xml:space="preserve">el parágrafo del artículo 38 </w:t>
      </w:r>
      <w:r w:rsidRPr="00C55BDE">
        <w:rPr>
          <w:rFonts w:ascii="Verdana" w:hAnsi="Verdana" w:cs="Arial"/>
          <w:lang w:val="es-ES"/>
        </w:rPr>
        <w:t xml:space="preserve">de la Ley 996 de 2005 prevé una restricción, aplicable respecto de </w:t>
      </w:r>
      <w:r w:rsidRPr="00C55BDE">
        <w:rPr>
          <w:rFonts w:ascii="Verdana" w:hAnsi="Verdana" w:cs="Arial"/>
          <w:i/>
          <w:iCs/>
          <w:lang w:val="es-ES"/>
        </w:rPr>
        <w:t>cualquier tipo de contienda electoral</w:t>
      </w:r>
      <w:r w:rsidRPr="00C55BDE">
        <w:rPr>
          <w:rFonts w:ascii="Verdana"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55BDE">
        <w:rPr>
          <w:rFonts w:ascii="Verdana" w:hAnsi="Verdana" w:cs="Arial"/>
          <w:vertAlign w:val="superscript"/>
          <w:lang w:val="es-ES"/>
        </w:rPr>
        <w:footnoteReference w:id="16"/>
      </w:r>
      <w:r w:rsidRPr="00C55BDE">
        <w:rPr>
          <w:rFonts w:ascii="Verdana" w:hAnsi="Verdana" w:cs="Arial"/>
          <w:lang w:val="es-ES"/>
        </w:rPr>
        <w:t>.</w:t>
      </w:r>
      <w:r w:rsidRPr="00C55BDE">
        <w:rPr>
          <w:rFonts w:ascii="Verdana" w:eastAsia="Arial" w:hAnsi="Verdana" w:cs="Arial"/>
          <w:lang w:val="es-ES" w:eastAsia="es-ES" w:bidi="es-ES"/>
        </w:rPr>
        <w:t xml:space="preserve"> </w:t>
      </w:r>
    </w:p>
    <w:p w14:paraId="732F462A" w14:textId="77777777" w:rsidR="00B8779A" w:rsidRPr="00C55BDE" w:rsidRDefault="00B8779A" w:rsidP="00B8779A">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C55BDE">
        <w:rPr>
          <w:rFonts w:ascii="Verdana" w:eastAsia="Arial" w:hAnsi="Verdana" w:cs="Arial"/>
          <w:lang w:val="es-ES" w:eastAsia="es-ES" w:bidi="es-ES"/>
        </w:rPr>
        <w:lastRenderedPageBreak/>
        <w:t>La Sala de Consulta y Servicio Civil del Consejo de Estado ha aclarado la distinción en la aplicación de las prohibiciones de la Ley 996 de 2005, dependiendo del tipo de elección que se trate. Al respecto, señala:</w:t>
      </w:r>
    </w:p>
    <w:p w14:paraId="77A3A467" w14:textId="77777777" w:rsidR="00B8779A" w:rsidRPr="00C55BDE" w:rsidRDefault="00B8779A" w:rsidP="00B8779A">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5BE6FA07" w14:textId="77777777" w:rsidR="00B8779A" w:rsidRPr="00C55BDE" w:rsidRDefault="00B8779A" w:rsidP="00B8779A">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C55BDE">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C55BDE">
        <w:rPr>
          <w:rFonts w:ascii="Verdana" w:eastAsia="Arial" w:hAnsi="Verdana" w:cs="Arial"/>
          <w:sz w:val="20"/>
          <w:szCs w:val="20"/>
          <w:lang w:val="es-ES" w:eastAsia="es-ES" w:bidi="es-ES"/>
        </w:rPr>
        <w:t>Presidente</w:t>
      </w:r>
      <w:proofErr w:type="gramEnd"/>
      <w:r w:rsidRPr="00C55BDE">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C55BDE">
        <w:rPr>
          <w:rFonts w:ascii="Verdana" w:eastAsia="Arial" w:hAnsi="Verdana" w:cs="Arial"/>
          <w:sz w:val="20"/>
          <w:szCs w:val="20"/>
          <w:vertAlign w:val="superscript"/>
          <w:lang w:val="es-ES" w:eastAsia="es-ES" w:bidi="es-ES"/>
        </w:rPr>
        <w:footnoteReference w:id="17"/>
      </w:r>
    </w:p>
    <w:p w14:paraId="4712CD10" w14:textId="77777777" w:rsidR="00B8779A" w:rsidRPr="00C55BDE" w:rsidRDefault="00B8779A" w:rsidP="00B8779A">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3751B595" w14:textId="77777777" w:rsidR="00B8779A" w:rsidRPr="00C55BDE" w:rsidRDefault="00B8779A" w:rsidP="00B8779A">
      <w:pPr>
        <w:spacing w:after="120" w:line="276" w:lineRule="auto"/>
        <w:ind w:firstLine="709"/>
        <w:jc w:val="both"/>
        <w:rPr>
          <w:rFonts w:ascii="Verdana" w:eastAsia="Arial" w:hAnsi="Verdana" w:cs="Arial"/>
          <w:lang w:val="es-ES" w:eastAsia="es-ES" w:bidi="es-ES"/>
        </w:rPr>
      </w:pPr>
      <w:r w:rsidRPr="00C55BDE">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C55BDE">
        <w:rPr>
          <w:rFonts w:ascii="Verdana" w:eastAsia="Arial" w:hAnsi="Verdana" w:cs="Arial"/>
          <w:i/>
          <w:lang w:val="es-ES" w:eastAsia="es-ES" w:bidi="es-ES"/>
        </w:rPr>
        <w:t>En primer lugar</w:t>
      </w:r>
      <w:r w:rsidRPr="00C55BDE">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C55BDE">
        <w:rPr>
          <w:rFonts w:ascii="Verdana" w:eastAsia="Arial" w:hAnsi="Verdana" w:cs="Arial"/>
          <w:i/>
          <w:lang w:val="es-ES" w:eastAsia="es-ES" w:bidi="es-ES"/>
        </w:rPr>
        <w:t>En segundo lugar</w:t>
      </w:r>
      <w:r w:rsidRPr="00C55BDE">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54AFD5A4" w14:textId="77777777" w:rsidR="00B8779A" w:rsidRPr="00C55BDE" w:rsidRDefault="00B8779A" w:rsidP="00B8779A">
      <w:pPr>
        <w:spacing w:after="120" w:line="276" w:lineRule="auto"/>
        <w:ind w:firstLine="709"/>
        <w:jc w:val="both"/>
        <w:rPr>
          <w:rFonts w:ascii="Verdana" w:eastAsia="Arial" w:hAnsi="Verdana" w:cs="Arial"/>
          <w:lang w:val="es-ES" w:eastAsia="es-ES" w:bidi="es-ES"/>
        </w:rPr>
      </w:pPr>
      <w:r w:rsidRPr="00C55BDE">
        <w:rPr>
          <w:rFonts w:ascii="Verdana" w:eastAsia="Arial" w:hAnsi="Verdana" w:cs="Arial"/>
          <w:lang w:val="es-ES" w:eastAsia="es-ES" w:bidi="es-ES"/>
        </w:rPr>
        <w:lastRenderedPageBreak/>
        <w:t xml:space="preserve">Ambas restricciones no son excluyentes, lo que permite concluir que, en el período preelectoral para elección de </w:t>
      </w:r>
      <w:proofErr w:type="gramStart"/>
      <w:r w:rsidRPr="00C55BDE">
        <w:rPr>
          <w:rFonts w:ascii="Verdana" w:eastAsia="Arial" w:hAnsi="Verdana" w:cs="Arial"/>
          <w:lang w:val="es-ES" w:eastAsia="es-ES" w:bidi="es-ES"/>
        </w:rPr>
        <w:t>Presidente</w:t>
      </w:r>
      <w:proofErr w:type="gramEnd"/>
      <w:r w:rsidRPr="00C55BDE">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C55BDE">
        <w:rPr>
          <w:rFonts w:ascii="Verdana" w:eastAsia="Arial" w:hAnsi="Verdana" w:cs="Arial"/>
          <w:lang w:val="es-ES" w:eastAsia="es-ES" w:bidi="es-ES"/>
        </w:rPr>
        <w:t>Presidente</w:t>
      </w:r>
      <w:proofErr w:type="gramEnd"/>
      <w:r w:rsidRPr="00C55BDE">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78A3DD79" w14:textId="77777777" w:rsidR="00B8779A" w:rsidRPr="00C55BDE" w:rsidRDefault="00B8779A" w:rsidP="00B8779A">
      <w:pPr>
        <w:spacing w:after="120" w:line="276" w:lineRule="auto"/>
        <w:ind w:firstLine="709"/>
        <w:jc w:val="both"/>
        <w:rPr>
          <w:rFonts w:ascii="Verdana" w:eastAsia="Arial" w:hAnsi="Verdana" w:cs="Arial"/>
          <w:lang w:val="es-ES" w:eastAsia="es-ES" w:bidi="es-ES"/>
        </w:rPr>
      </w:pPr>
      <w:r w:rsidRPr="00C55BDE">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C55BDE">
        <w:rPr>
          <w:rFonts w:ascii="Verdana" w:eastAsia="Arial" w:hAnsi="Verdana" w:cs="Arial"/>
          <w:lang w:val="es-ES" w:eastAsia="es-ES" w:bidi="es-ES"/>
        </w:rPr>
        <w:t>Presidente</w:t>
      </w:r>
      <w:proofErr w:type="gramEnd"/>
      <w:r w:rsidRPr="00C55BDE">
        <w:rPr>
          <w:rFonts w:ascii="Verdana" w:eastAsia="Arial" w:hAnsi="Verdana" w:cs="Arial"/>
          <w:lang w:val="es-ES" w:eastAsia="es-ES" w:bidi="es-ES"/>
        </w:rPr>
        <w:t xml:space="preserve"> o el </w:t>
      </w:r>
      <w:proofErr w:type="gramStart"/>
      <w:r w:rsidRPr="00C55BDE">
        <w:rPr>
          <w:rFonts w:ascii="Verdana" w:eastAsia="Arial" w:hAnsi="Verdana" w:cs="Arial"/>
          <w:lang w:val="es-ES" w:eastAsia="es-ES" w:bidi="es-ES"/>
        </w:rPr>
        <w:t>Vicepresidente</w:t>
      </w:r>
      <w:proofErr w:type="gramEnd"/>
      <w:r w:rsidRPr="00C55BDE">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C55BDE">
        <w:rPr>
          <w:rFonts w:ascii="Verdana" w:eastAsia="Arial" w:hAnsi="Verdana" w:cs="Arial"/>
          <w:lang w:val="es-ES" w:eastAsia="es-ES" w:bidi="es-ES"/>
        </w:rPr>
        <w:t>Presidente</w:t>
      </w:r>
      <w:proofErr w:type="gramEnd"/>
      <w:r w:rsidRPr="00C55BDE">
        <w:rPr>
          <w:rFonts w:ascii="Verdana" w:eastAsia="Arial" w:hAnsi="Verdana" w:cs="Arial"/>
          <w:lang w:val="es-ES" w:eastAsia="es-ES" w:bidi="es-ES"/>
        </w:rPr>
        <w:t xml:space="preserve"> y el </w:t>
      </w:r>
      <w:proofErr w:type="gramStart"/>
      <w:r w:rsidRPr="00C55BDE">
        <w:rPr>
          <w:rFonts w:ascii="Verdana" w:eastAsia="Arial" w:hAnsi="Verdana" w:cs="Arial"/>
          <w:lang w:val="es-ES" w:eastAsia="es-ES" w:bidi="es-ES"/>
        </w:rPr>
        <w:t>Vicepresidente</w:t>
      </w:r>
      <w:proofErr w:type="gramEnd"/>
      <w:r w:rsidRPr="00C55BDE">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C55BDE">
        <w:rPr>
          <w:rFonts w:ascii="Verdana" w:eastAsia="Arial" w:hAnsi="Verdana" w:cs="Arial"/>
          <w:lang w:val="es-ES" w:eastAsia="es-ES" w:bidi="es-ES"/>
        </w:rPr>
        <w:t>Vicepresidente</w:t>
      </w:r>
      <w:proofErr w:type="gramEnd"/>
      <w:r w:rsidRPr="00C55BDE">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4174768C" w14:textId="77777777" w:rsidR="00B8779A" w:rsidRPr="00C55BDE" w:rsidRDefault="00B8779A" w:rsidP="00B8779A">
      <w:pPr>
        <w:spacing w:after="120" w:line="276" w:lineRule="auto"/>
        <w:jc w:val="both"/>
        <w:rPr>
          <w:rFonts w:ascii="Verdana" w:hAnsi="Verdana" w:cs="Arial"/>
          <w:lang w:val="es-ES"/>
        </w:rPr>
      </w:pPr>
      <w:proofErr w:type="spellStart"/>
      <w:r>
        <w:rPr>
          <w:rFonts w:ascii="Verdana" w:hAnsi="Verdana" w:cs="Arial"/>
          <w:lang w:val="es-ES"/>
        </w:rPr>
        <w:t>iv</w:t>
      </w:r>
      <w:proofErr w:type="spellEnd"/>
      <w:r>
        <w:rPr>
          <w:rFonts w:ascii="Verdana" w:hAnsi="Verdana" w:cs="Arial"/>
          <w:lang w:val="es-ES"/>
        </w:rPr>
        <w:t xml:space="preserve">. </w:t>
      </w:r>
      <w:r w:rsidRPr="00C55BDE">
        <w:rPr>
          <w:rFonts w:ascii="Verdana" w:hAnsi="Verdana" w:cs="Arial"/>
          <w:lang w:val="es-ES"/>
        </w:rPr>
        <w:t xml:space="preserve">Ahora bien, para proceder a dar respuesta a la consulta elevada, debe indicarse que respecto del alcance del parágrafo </w:t>
      </w:r>
      <w:r w:rsidRPr="00C55BDE">
        <w:rPr>
          <w:rFonts w:ascii="Verdana" w:hAnsi="Verdana" w:cs="Arial"/>
        </w:rPr>
        <w:t xml:space="preserve">del artículo 38 de la Ley 996 de 2005, esta prohibición dispone en primera medida que: “[l]os Gobernadores, Alcaldes Municipales y/o Distritales, Secretarios, Gerentes y directores de Entidades Descentralizadas del orden Municipal, Departamental o Distrital, dentro de los cuatro (4) meses anteriores a las elecciones, no podrán celebrar </w:t>
      </w:r>
      <w:r w:rsidRPr="00C55BDE">
        <w:rPr>
          <w:rFonts w:ascii="Verdana" w:hAnsi="Verdana" w:cs="Arial"/>
          <w:i/>
          <w:iCs/>
        </w:rPr>
        <w:t>convenios interadministrativos</w:t>
      </w:r>
      <w:r w:rsidRPr="00C55BDE">
        <w:rPr>
          <w:rFonts w:ascii="Verdana" w:hAnsi="Verdana" w:cs="Arial"/>
        </w:rPr>
        <w:t xml:space="preserve"> </w:t>
      </w:r>
      <w:r w:rsidRPr="00C55BDE">
        <w:rPr>
          <w:rFonts w:ascii="Verdana" w:hAnsi="Verdana" w:cs="Arial"/>
          <w:i/>
          <w:iCs/>
        </w:rPr>
        <w:t>para la ejecución de recursos públicos</w:t>
      </w:r>
      <w:r w:rsidRPr="00C55BDE">
        <w:rPr>
          <w:rFonts w:ascii="Verdana" w:hAnsi="Verdana" w:cs="Arial"/>
        </w:rPr>
        <w:t>”.</w:t>
      </w:r>
      <w:r w:rsidRPr="00C55BDE">
        <w:rPr>
          <w:rFonts w:ascii="Verdana" w:eastAsia="Times New Roman" w:hAnsi="Verdana" w:cs="Arial"/>
          <w:lang w:val="es-MX" w:eastAsia="x-none"/>
        </w:rPr>
        <w:t xml:space="preserve"> [Énfasis fuera del texto original]</w:t>
      </w:r>
    </w:p>
    <w:p w14:paraId="2BF4C1FC" w14:textId="77777777" w:rsidR="00B8779A" w:rsidRPr="00C55BDE" w:rsidRDefault="00B8779A" w:rsidP="00B8779A">
      <w:pPr>
        <w:spacing w:after="120" w:line="276" w:lineRule="auto"/>
        <w:ind w:firstLine="709"/>
        <w:jc w:val="both"/>
        <w:rPr>
          <w:rFonts w:ascii="Verdana" w:hAnsi="Verdana" w:cs="Arial"/>
          <w:lang w:eastAsia="es-ES"/>
        </w:rPr>
      </w:pPr>
      <w:r w:rsidRPr="00C55BDE">
        <w:rPr>
          <w:rFonts w:ascii="Verdana" w:eastAsia="Times New Roman" w:hAnsi="Verdana" w:cs="Arial"/>
          <w:lang w:val="es-ES" w:eastAsia="es-ES"/>
        </w:rPr>
        <w:t xml:space="preserve">Para tales efectos, debe precisarse que </w:t>
      </w:r>
      <w:r w:rsidRPr="00C55BDE">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C55BDE">
        <w:rPr>
          <w:rFonts w:ascii="Verdana" w:hAnsi="Verdana" w:cs="Arial"/>
          <w:lang w:eastAsia="es-ES"/>
        </w:rPr>
        <w:t xml:space="preserve">independientemente de las normas que regulan la relación contractual. En este sentido, los convenios interadministrativos solo pueden ser celebrados entre </w:t>
      </w:r>
      <w:r w:rsidRPr="00C55BDE">
        <w:rPr>
          <w:rFonts w:ascii="Verdana" w:hAnsi="Verdana" w:cs="Arial"/>
          <w:lang w:eastAsia="es-ES"/>
        </w:rPr>
        <w:lastRenderedPageBreak/>
        <w:t>entidades públicas, pues a éstas corresponde la realización de los fines y tareas que el legislador les ha asignado</w:t>
      </w:r>
      <w:r w:rsidRPr="00C55BDE">
        <w:rPr>
          <w:rFonts w:ascii="Verdana" w:hAnsi="Verdana" w:cs="Arial"/>
          <w:vertAlign w:val="superscript"/>
          <w:lang w:eastAsia="es-ES"/>
        </w:rPr>
        <w:footnoteReference w:id="18"/>
      </w:r>
      <w:r w:rsidRPr="00C55BDE">
        <w:rPr>
          <w:rFonts w:ascii="Verdana" w:hAnsi="Verdana" w:cs="Arial"/>
          <w:lang w:eastAsia="es-ES"/>
        </w:rPr>
        <w:t>.</w:t>
      </w:r>
    </w:p>
    <w:p w14:paraId="67C2B451" w14:textId="77777777" w:rsidR="00B8779A" w:rsidRPr="00C55BDE" w:rsidRDefault="00B8779A" w:rsidP="00B8779A">
      <w:pPr>
        <w:spacing w:after="120" w:line="276" w:lineRule="auto"/>
        <w:ind w:firstLine="709"/>
        <w:jc w:val="both"/>
        <w:rPr>
          <w:rFonts w:ascii="Verdana" w:hAnsi="Verdana" w:cs="Arial"/>
          <w:color w:val="000000" w:themeColor="text1"/>
          <w:lang w:val="es-ES_tradnl"/>
        </w:rPr>
      </w:pPr>
      <w:r w:rsidRPr="00C55BDE">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338C641D" w14:textId="77777777" w:rsidR="00B8779A" w:rsidRPr="00C55BDE" w:rsidRDefault="00B8779A" w:rsidP="00B8779A">
      <w:pPr>
        <w:spacing w:before="120" w:after="0" w:line="276" w:lineRule="auto"/>
        <w:ind w:firstLine="708"/>
        <w:jc w:val="both"/>
        <w:rPr>
          <w:rFonts w:ascii="Verdana" w:hAnsi="Verdana" w:cs="Arial"/>
          <w:lang w:val="es-ES_tradnl"/>
        </w:rPr>
      </w:pPr>
      <w:r w:rsidRPr="00C55BDE">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C55BDE">
        <w:rPr>
          <w:rFonts w:ascii="Verdana" w:hAnsi="Verdana" w:cs="Arial"/>
          <w:vertAlign w:val="superscript"/>
          <w:lang w:val="es-ES"/>
        </w:rPr>
        <w:footnoteReference w:id="19"/>
      </w:r>
      <w:r w:rsidRPr="00C55BDE">
        <w:rPr>
          <w:rFonts w:ascii="Verdana" w:hAnsi="Verdana" w:cs="Arial"/>
          <w:lang w:val="es-ES"/>
        </w:rPr>
        <w:t>. Nótese que, en este caso, lo que cambia es la modalidad de selección y no la naturaleza de contrato interadministrativo.</w:t>
      </w:r>
    </w:p>
    <w:p w14:paraId="2BE97A76" w14:textId="77777777" w:rsidR="00B8779A" w:rsidRPr="00C55BDE" w:rsidRDefault="00B8779A" w:rsidP="00B8779A">
      <w:pPr>
        <w:spacing w:before="120" w:after="0" w:line="276" w:lineRule="auto"/>
        <w:ind w:firstLine="708"/>
        <w:jc w:val="both"/>
        <w:rPr>
          <w:rFonts w:ascii="Verdana" w:hAnsi="Verdana" w:cs="Arial"/>
          <w:lang w:val="es-ES_tradnl"/>
        </w:rPr>
      </w:pPr>
      <w:r w:rsidRPr="00C55BDE">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00C55BDE">
        <w:rPr>
          <w:rFonts w:ascii="Verdana" w:hAnsi="Verdana" w:cs="Arial"/>
          <w:vertAlign w:val="superscript"/>
          <w:lang w:val="es-ES"/>
        </w:rPr>
        <w:footnoteReference w:id="20"/>
      </w:r>
      <w:r w:rsidRPr="00C55BDE">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370BD71C" w14:textId="77777777" w:rsidR="00B8779A" w:rsidRPr="00C55BDE" w:rsidRDefault="00B8779A" w:rsidP="00B8779A">
      <w:pPr>
        <w:spacing w:before="120" w:after="0" w:line="276" w:lineRule="auto"/>
        <w:ind w:firstLine="708"/>
        <w:jc w:val="both"/>
        <w:rPr>
          <w:rFonts w:ascii="Verdana" w:hAnsi="Verdana"/>
          <w:sz w:val="24"/>
          <w:szCs w:val="24"/>
          <w:lang w:eastAsia="es-CO"/>
        </w:rPr>
      </w:pPr>
      <w:r w:rsidRPr="00C55BDE">
        <w:rPr>
          <w:rFonts w:ascii="Verdana" w:hAnsi="Verdana" w:cs="Arial"/>
          <w:lang w:val="es-ES"/>
        </w:rPr>
        <w:lastRenderedPageBreak/>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C55BDE">
        <w:rPr>
          <w:rFonts w:ascii="Verdana" w:hAnsi="Verdana" w:cs="Arial"/>
          <w:vertAlign w:val="superscript"/>
          <w:lang w:val="es-ES"/>
        </w:rPr>
        <w:footnoteReference w:id="21"/>
      </w:r>
      <w:r w:rsidRPr="00C55BDE">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C55BDE">
        <w:rPr>
          <w:rFonts w:ascii="Verdana" w:hAnsi="Verdana"/>
          <w:sz w:val="24"/>
          <w:szCs w:val="24"/>
          <w:lang w:eastAsia="es-CO"/>
        </w:rPr>
        <w:t>.</w:t>
      </w:r>
    </w:p>
    <w:p w14:paraId="5C4829A2" w14:textId="77777777" w:rsidR="00B8779A" w:rsidRPr="00C55BDE" w:rsidRDefault="00B8779A" w:rsidP="00B8779A">
      <w:pPr>
        <w:spacing w:before="120" w:after="0" w:line="276" w:lineRule="auto"/>
        <w:ind w:firstLine="708"/>
        <w:jc w:val="both"/>
        <w:rPr>
          <w:rFonts w:ascii="Verdana" w:eastAsia="Times New Roman" w:hAnsi="Verdana" w:cs="Arial"/>
          <w:lang w:val="es-MX" w:eastAsia="es-CO"/>
        </w:rPr>
      </w:pPr>
      <w:r w:rsidRPr="00C55BDE">
        <w:rPr>
          <w:rFonts w:ascii="Verdana" w:eastAsia="Arial" w:hAnsi="Verdana" w:cs="Arial"/>
          <w:lang w:val="es-MX" w:eastAsia="es-ES" w:bidi="es-ES"/>
        </w:rPr>
        <w:t>De esta manera, se</w:t>
      </w:r>
      <w:r w:rsidRPr="00C55BDE">
        <w:rPr>
          <w:rFonts w:ascii="Verdana" w:eastAsia="Times New Roman" w:hAnsi="Verdana" w:cs="Arial"/>
          <w:lang w:eastAsia="es-CO"/>
        </w:rPr>
        <w:t xml:space="preserve"> observa entonces que </w:t>
      </w:r>
      <w:r w:rsidRPr="00C55BDE">
        <w:rPr>
          <w:rFonts w:ascii="Verdana" w:eastAsia="Times New Roman" w:hAnsi="Verdana" w:cs="Arial"/>
          <w:lang w:val="es-MX" w:eastAsia="es-CO"/>
        </w:rPr>
        <w:t xml:space="preserve">el parágrafo del artículo 38 de la Ley 996 de 2005 prohíbe a los </w:t>
      </w:r>
      <w:proofErr w:type="gramStart"/>
      <w:r w:rsidRPr="00C55BDE">
        <w:rPr>
          <w:rFonts w:ascii="Verdana" w:eastAsia="Times New Roman" w:hAnsi="Verdana" w:cs="Arial"/>
          <w:lang w:val="es-MX" w:eastAsia="es-CO"/>
        </w:rPr>
        <w:t>Alcaldes</w:t>
      </w:r>
      <w:proofErr w:type="gramEnd"/>
      <w:r w:rsidRPr="00C55BDE">
        <w:rPr>
          <w:rFonts w:ascii="Verdana" w:eastAsia="Times New Roman" w:hAnsi="Verdana" w:cs="Arial"/>
          <w:lang w:val="es-MX" w:eastAsia="es-CO"/>
        </w:rPr>
        <w:t xml:space="preserve">, Gobernadores, </w:t>
      </w:r>
      <w:proofErr w:type="gramStart"/>
      <w:r w:rsidRPr="00C55BDE">
        <w:rPr>
          <w:rFonts w:ascii="Verdana" w:eastAsia="Times New Roman" w:hAnsi="Verdana" w:cs="Arial"/>
          <w:lang w:val="es-MX" w:eastAsia="es-CO"/>
        </w:rPr>
        <w:t>Secretarios</w:t>
      </w:r>
      <w:proofErr w:type="gramEnd"/>
      <w:r w:rsidRPr="00C55BDE">
        <w:rPr>
          <w:rFonts w:ascii="Verdana" w:eastAsia="Times New Roman" w:hAnsi="Verdana" w:cs="Arial"/>
          <w:lang w:val="es-MX" w:eastAsia="es-CO"/>
        </w:rPr>
        <w:t xml:space="preserve">, Gerentes y </w:t>
      </w:r>
      <w:proofErr w:type="gramStart"/>
      <w:r w:rsidRPr="00C55BDE">
        <w:rPr>
          <w:rFonts w:ascii="Verdana" w:eastAsia="Times New Roman" w:hAnsi="Verdana" w:cs="Arial"/>
          <w:lang w:val="es-MX" w:eastAsia="es-CO"/>
        </w:rPr>
        <w:t>Directores</w:t>
      </w:r>
      <w:proofErr w:type="gramEnd"/>
      <w:r w:rsidRPr="00C55BDE">
        <w:rPr>
          <w:rFonts w:ascii="Verdana" w:eastAsia="Times New Roman" w:hAnsi="Verdana" w:cs="Arial"/>
          <w:lang w:val="es-MX" w:eastAsia="es-CO"/>
        </w:rPr>
        <w:t xml:space="preserve"> de las entidades del orden municipal, departamental o distrital celebrar </w:t>
      </w:r>
      <w:r w:rsidRPr="00C55BDE">
        <w:rPr>
          <w:rFonts w:ascii="Verdana" w:eastAsia="Times New Roman" w:hAnsi="Verdana" w:cs="Arial"/>
          <w:i/>
          <w:iCs/>
          <w:lang w:val="es-MX" w:eastAsia="es-CO"/>
        </w:rPr>
        <w:t>convenios interadministrativos</w:t>
      </w:r>
      <w:r w:rsidRPr="00C55BDE">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C55BDE">
        <w:rPr>
          <w:rFonts w:ascii="Verdana" w:eastAsia="Times New Roman" w:hAnsi="Verdana" w:cs="Arial"/>
          <w:i/>
          <w:lang w:val="es-MX" w:eastAsia="es-CO"/>
        </w:rPr>
        <w:t>ibidem</w:t>
      </w:r>
      <w:r w:rsidRPr="00C55BDE">
        <w:rPr>
          <w:rFonts w:ascii="Verdana" w:eastAsia="Times New Roman" w:hAnsi="Verdana" w:cs="Arial"/>
          <w:lang w:val="es-MX" w:eastAsia="es-CO"/>
        </w:rPr>
        <w:t xml:space="preserve">, no podrá celebrar tales </w:t>
      </w:r>
      <w:r w:rsidRPr="00C55BDE">
        <w:rPr>
          <w:rFonts w:ascii="Verdana" w:eastAsia="Times New Roman" w:hAnsi="Verdana" w:cs="Arial"/>
          <w:i/>
          <w:iCs/>
          <w:lang w:val="es-MX" w:eastAsia="es-CO"/>
        </w:rPr>
        <w:t>convenios</w:t>
      </w:r>
      <w:r w:rsidRPr="00C55BDE">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57720B3C" w14:textId="77777777" w:rsidR="00B8779A" w:rsidRDefault="00B8779A" w:rsidP="00B8779A">
      <w:pPr>
        <w:spacing w:before="120" w:after="0" w:line="276" w:lineRule="auto"/>
        <w:ind w:firstLine="708"/>
        <w:jc w:val="both"/>
        <w:rPr>
          <w:rFonts w:ascii="Verdana" w:eastAsia="Times New Roman" w:hAnsi="Verdana" w:cs="Arial"/>
          <w:lang w:eastAsia="es-CO"/>
        </w:rPr>
      </w:pPr>
      <w:r w:rsidRPr="00C55BDE">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C55BDE">
        <w:rPr>
          <w:rFonts w:ascii="Verdana" w:eastAsia="Times New Roman" w:hAnsi="Verdana" w:cs="Arial"/>
          <w:lang w:val="es-MX" w:eastAsia="es-CO"/>
        </w:rPr>
        <w:t>ii</w:t>
      </w:r>
      <w:proofErr w:type="spellEnd"/>
      <w:r w:rsidRPr="00C55BDE">
        <w:rPr>
          <w:rFonts w:ascii="Verdana" w:eastAsia="Times New Roman" w:hAnsi="Verdana" w:cs="Arial"/>
          <w:lang w:val="es-MX" w:eastAsia="es-CO"/>
        </w:rPr>
        <w:t xml:space="preserve">) y </w:t>
      </w:r>
      <w:proofErr w:type="spellStart"/>
      <w:r w:rsidRPr="00C55BDE">
        <w:rPr>
          <w:rFonts w:ascii="Verdana" w:eastAsia="Times New Roman" w:hAnsi="Verdana" w:cs="Arial"/>
          <w:lang w:val="es-MX" w:eastAsia="es-CO"/>
        </w:rPr>
        <w:t>iv</w:t>
      </w:r>
      <w:proofErr w:type="spellEnd"/>
      <w:r w:rsidRPr="00C55BDE">
        <w:rPr>
          <w:rFonts w:ascii="Verdana" w:eastAsia="Times New Roman" w:hAnsi="Verdana" w:cs="Arial"/>
          <w:lang w:val="es-MX" w:eastAsia="es-CO"/>
        </w:rPr>
        <w:t>) del numeral 2</w:t>
      </w:r>
      <w:r w:rsidRPr="00C55BDE">
        <w:rPr>
          <w:rFonts w:ascii="Verdana" w:eastAsia="Times New Roman" w:hAnsi="Verdana" w:cs="Arial"/>
          <w:lang w:eastAsia="es-CO"/>
        </w:rPr>
        <w:t>,</w:t>
      </w:r>
      <w:r w:rsidRPr="00C55BDE">
        <w:rPr>
          <w:rFonts w:ascii="Verdana" w:eastAsia="Times New Roman" w:hAnsi="Verdana" w:cs="Arial"/>
          <w:lang w:val="es-MX" w:eastAsia="es-CO"/>
        </w:rPr>
        <w:t xml:space="preserve"> indica que el </w:t>
      </w:r>
      <w:r w:rsidRPr="00C55BDE">
        <w:rPr>
          <w:rFonts w:ascii="Verdana" w:eastAsia="Times New Roman" w:hAnsi="Verdana" w:cs="Arial"/>
          <w:lang w:eastAsia="es-CO"/>
        </w:rPr>
        <w:t xml:space="preserve">parágrafo del artículo 38 de la Ley 996 de 2005 cobija expresamente a los </w:t>
      </w:r>
      <w:r w:rsidRPr="00C55BDE">
        <w:rPr>
          <w:rFonts w:ascii="Verdana" w:eastAsia="Times New Roman" w:hAnsi="Verdana" w:cs="Arial"/>
          <w:i/>
          <w:iCs/>
          <w:lang w:eastAsia="es-CO"/>
        </w:rPr>
        <w:t>convenios interadministrativos</w:t>
      </w:r>
      <w:r w:rsidRPr="00C55BDE">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C55BDE">
        <w:rPr>
          <w:rFonts w:ascii="Verdana" w:eastAsia="Times New Roman" w:hAnsi="Verdana" w:cs="Arial"/>
          <w:i/>
          <w:iCs/>
          <w:lang w:eastAsia="es-CO"/>
        </w:rPr>
        <w:t>“aunque se configure alguno de los supuestos de excepción que señaló el inciso final del artículo 33”.</w:t>
      </w:r>
      <w:r w:rsidRPr="00C55BDE">
        <w:rPr>
          <w:rFonts w:ascii="Verdana" w:eastAsia="Times New Roman" w:hAnsi="Verdana" w:cs="Arial"/>
          <w:lang w:eastAsia="es-CO"/>
        </w:rPr>
        <w:t xml:space="preserve"> </w:t>
      </w:r>
    </w:p>
    <w:p w14:paraId="4D25DF67" w14:textId="77777777" w:rsidR="00B8779A" w:rsidRPr="00C55BDE" w:rsidRDefault="00B8779A" w:rsidP="00B8779A">
      <w:pPr>
        <w:spacing w:before="120" w:after="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Asimismo, respecto de los sujetos </w:t>
      </w:r>
      <w:r w:rsidRPr="005173C4">
        <w:rPr>
          <w:rFonts w:ascii="Verdana" w:eastAsia="Times New Roman" w:hAnsi="Verdana" w:cs="Arial"/>
          <w:lang w:eastAsia="es-CO"/>
        </w:rPr>
        <w:t>que tienen prohibido celebrar convenios interadministrativos</w:t>
      </w:r>
      <w:r>
        <w:rPr>
          <w:rFonts w:ascii="Verdana" w:eastAsia="Times New Roman" w:hAnsi="Verdana" w:cs="Arial"/>
          <w:lang w:eastAsia="es-CO"/>
        </w:rPr>
        <w:t xml:space="preserve"> se precisa que</w:t>
      </w:r>
      <w:r w:rsidRPr="005173C4">
        <w:rPr>
          <w:rFonts w:ascii="Verdana" w:eastAsia="Times New Roman" w:hAnsi="Verdana" w:cs="Arial"/>
          <w:lang w:eastAsia="es-CO"/>
        </w:rPr>
        <w:t xml:space="preserve"> </w:t>
      </w:r>
      <w:r>
        <w:rPr>
          <w:rFonts w:ascii="Verdana" w:eastAsia="Times New Roman" w:hAnsi="Verdana" w:cs="Arial"/>
          <w:lang w:eastAsia="es-CO"/>
        </w:rPr>
        <w:t>“l</w:t>
      </w:r>
      <w:r w:rsidRPr="005173C4">
        <w:rPr>
          <w:rFonts w:ascii="Verdana" w:eastAsia="Times New Roman" w:hAnsi="Verdana" w:cs="Arial"/>
          <w:lang w:eastAsia="es-CO"/>
        </w:rPr>
        <w:t xml:space="preserve">a norma señala expresamente los sujetos a quienes aplica la prohibición, es decir: a los </w:t>
      </w:r>
      <w:proofErr w:type="gramStart"/>
      <w:r w:rsidRPr="00C54178">
        <w:rPr>
          <w:rFonts w:ascii="Verdana" w:eastAsia="Times New Roman" w:hAnsi="Verdana" w:cs="Arial"/>
          <w:i/>
          <w:iCs/>
          <w:lang w:eastAsia="es-CO"/>
        </w:rPr>
        <w:t>Alcaldes</w:t>
      </w:r>
      <w:proofErr w:type="gramEnd"/>
      <w:r w:rsidRPr="00C54178">
        <w:rPr>
          <w:rFonts w:ascii="Verdana" w:eastAsia="Times New Roman" w:hAnsi="Verdana" w:cs="Arial"/>
          <w:i/>
          <w:iCs/>
          <w:lang w:eastAsia="es-CO"/>
        </w:rPr>
        <w:t xml:space="preserve">, Gobernadores, </w:t>
      </w:r>
      <w:proofErr w:type="gramStart"/>
      <w:r w:rsidRPr="00C54178">
        <w:rPr>
          <w:rFonts w:ascii="Verdana" w:eastAsia="Times New Roman" w:hAnsi="Verdana" w:cs="Arial"/>
          <w:i/>
          <w:iCs/>
          <w:lang w:eastAsia="es-CO"/>
        </w:rPr>
        <w:t>Secretarios</w:t>
      </w:r>
      <w:proofErr w:type="gramEnd"/>
      <w:r w:rsidRPr="00C54178">
        <w:rPr>
          <w:rFonts w:ascii="Verdana" w:eastAsia="Times New Roman" w:hAnsi="Verdana" w:cs="Arial"/>
          <w:i/>
          <w:iCs/>
          <w:lang w:eastAsia="es-CO"/>
        </w:rPr>
        <w:t xml:space="preserve">, Gerentes y </w:t>
      </w:r>
      <w:proofErr w:type="gramStart"/>
      <w:r w:rsidRPr="00C54178">
        <w:rPr>
          <w:rFonts w:ascii="Verdana" w:eastAsia="Times New Roman" w:hAnsi="Verdana" w:cs="Arial"/>
          <w:i/>
          <w:iCs/>
          <w:lang w:eastAsia="es-CO"/>
        </w:rPr>
        <w:t>Directores</w:t>
      </w:r>
      <w:proofErr w:type="gramEnd"/>
      <w:r w:rsidRPr="00C54178">
        <w:rPr>
          <w:rFonts w:ascii="Verdana" w:eastAsia="Times New Roman" w:hAnsi="Verdana" w:cs="Arial"/>
          <w:i/>
          <w:iCs/>
          <w:lang w:eastAsia="es-CO"/>
        </w:rPr>
        <w:t xml:space="preserve"> de las entidades descentralizadas del orden municipal, departamental o distrital</w:t>
      </w:r>
      <w:r w:rsidRPr="005173C4">
        <w:rPr>
          <w:rFonts w:ascii="Verdana" w:eastAsia="Times New Roman" w:hAnsi="Verdana" w:cs="Arial"/>
          <w:lang w:eastAsia="es-CO"/>
        </w:rPr>
        <w:t xml:space="preserve">. En consecuencia, no se extiende a sujetos </w:t>
      </w:r>
      <w:r w:rsidRPr="005173C4">
        <w:rPr>
          <w:rFonts w:ascii="Verdana" w:eastAsia="Times New Roman" w:hAnsi="Verdana" w:cs="Arial"/>
          <w:lang w:eastAsia="es-CO"/>
        </w:rPr>
        <w:lastRenderedPageBreak/>
        <w:t xml:space="preserve">adicionales o distintos a los referidos, </w:t>
      </w:r>
      <w:r w:rsidRPr="000673BA">
        <w:rPr>
          <w:rFonts w:ascii="Verdana" w:eastAsia="Times New Roman" w:hAnsi="Verdana" w:cs="Arial"/>
          <w:i/>
          <w:iCs/>
          <w:lang w:eastAsia="es-CO"/>
        </w:rPr>
        <w:t>de modo que no cobija a todos los entes públicos que tienen la facultad de contratar</w:t>
      </w:r>
      <w:r w:rsidRPr="005173C4">
        <w:rPr>
          <w:rFonts w:ascii="Verdana" w:eastAsia="Times New Roman" w:hAnsi="Verdana" w:cs="Arial"/>
          <w:lang w:eastAsia="es-CO"/>
        </w:rPr>
        <w:t>, como ocurre con la prohibición del artículo 33</w:t>
      </w:r>
      <w:r>
        <w:rPr>
          <w:rFonts w:ascii="Verdana" w:eastAsia="Times New Roman" w:hAnsi="Verdana" w:cs="Arial"/>
          <w:lang w:eastAsia="es-CO"/>
        </w:rPr>
        <w:t>”</w:t>
      </w:r>
      <w:r w:rsidRPr="005173C4">
        <w:rPr>
          <w:rFonts w:ascii="Verdana" w:eastAsia="Times New Roman" w:hAnsi="Verdana" w:cs="Arial"/>
          <w:lang w:eastAsia="es-CO"/>
        </w:rPr>
        <w:t>.</w:t>
      </w:r>
    </w:p>
    <w:p w14:paraId="40F84DC1" w14:textId="77777777" w:rsidR="00B8779A" w:rsidRPr="00C55BDE" w:rsidRDefault="00B8779A" w:rsidP="00B8779A">
      <w:pPr>
        <w:spacing w:before="120" w:after="0" w:line="276" w:lineRule="auto"/>
        <w:ind w:firstLine="708"/>
        <w:jc w:val="both"/>
        <w:rPr>
          <w:rFonts w:ascii="Verdana" w:eastAsia="Times New Roman" w:hAnsi="Verdana" w:cs="Arial"/>
          <w:lang w:val="es-MX" w:eastAsia="es-CO"/>
        </w:rPr>
      </w:pPr>
      <w:r>
        <w:rPr>
          <w:rFonts w:ascii="Verdana" w:eastAsia="Times New Roman" w:hAnsi="Verdana" w:cs="Arial"/>
          <w:lang w:eastAsia="es-CO"/>
        </w:rPr>
        <w:t>En este contexto, e</w:t>
      </w:r>
      <w:r w:rsidRPr="00C55BDE">
        <w:rPr>
          <w:rFonts w:ascii="Verdana" w:eastAsia="Times New Roman" w:hAnsi="Verdana" w:cs="Arial"/>
          <w:lang w:eastAsia="es-CO"/>
        </w:rPr>
        <w:t xml:space="preserve">s importante tener en cuenta que el ámbito de aplicación de la restricción prevista en el parágrafo del artículo 38 de la Ley 996 de 2005 solo se extiende a los </w:t>
      </w:r>
      <w:r w:rsidRPr="00C55BDE">
        <w:rPr>
          <w:rFonts w:ascii="Verdana" w:eastAsia="Times New Roman" w:hAnsi="Verdana" w:cs="Arial"/>
          <w:i/>
          <w:iCs/>
          <w:lang w:eastAsia="es-CO"/>
        </w:rPr>
        <w:t>convenios interadministrativos</w:t>
      </w:r>
      <w:r w:rsidRPr="00C55BDE">
        <w:rPr>
          <w:rFonts w:ascii="Verdana" w:eastAsia="Times New Roman" w:hAnsi="Verdana" w:cs="Arial"/>
          <w:lang w:eastAsia="es-CO"/>
        </w:rPr>
        <w:t xml:space="preserve"> en los que se contemple la </w:t>
      </w:r>
      <w:r w:rsidRPr="00C55BDE">
        <w:rPr>
          <w:rFonts w:ascii="Verdana" w:eastAsia="Times New Roman" w:hAnsi="Verdana" w:cs="Arial"/>
          <w:i/>
          <w:iCs/>
          <w:lang w:eastAsia="es-CO"/>
        </w:rPr>
        <w:t>ejecución de recursos públicos</w:t>
      </w:r>
      <w:r w:rsidRPr="00C55BDE">
        <w:rPr>
          <w:rFonts w:ascii="Verdana" w:eastAsia="Times New Roman" w:hAnsi="Verdana" w:cs="Arial"/>
          <w:lang w:eastAsia="es-CO"/>
        </w:rPr>
        <w:t xml:space="preserve">. Esto significa que la prohibición no resulta aplicable a </w:t>
      </w:r>
      <w:r w:rsidRPr="00C55BDE">
        <w:rPr>
          <w:rFonts w:ascii="Verdana" w:eastAsia="Times New Roman" w:hAnsi="Verdana" w:cs="Arial"/>
          <w:i/>
          <w:iCs/>
          <w:lang w:eastAsia="es-CO"/>
        </w:rPr>
        <w:t>convenios interadministrativos a título gratuito,</w:t>
      </w:r>
      <w:r w:rsidRPr="00C55BDE">
        <w:rPr>
          <w:rFonts w:ascii="Verdana" w:eastAsia="Times New Roman" w:hAnsi="Verdana" w:cs="Arial"/>
          <w:lang w:eastAsia="es-CO"/>
        </w:rPr>
        <w:t xml:space="preserve"> los cuales pueden celebrarse válidamente durante la vigencia de la mencionada restricción. </w:t>
      </w:r>
    </w:p>
    <w:p w14:paraId="10CBCF11" w14:textId="77777777" w:rsidR="00B8779A" w:rsidRPr="00C55BDE" w:rsidRDefault="00B8779A" w:rsidP="00B8779A">
      <w:pPr>
        <w:spacing w:before="120" w:after="0" w:line="276" w:lineRule="auto"/>
        <w:ind w:firstLine="708"/>
        <w:jc w:val="both"/>
        <w:rPr>
          <w:rFonts w:ascii="Verdana" w:eastAsia="Times New Roman" w:hAnsi="Verdana" w:cs="Arial"/>
          <w:lang w:eastAsia="es-CO"/>
        </w:rPr>
      </w:pPr>
      <w:r w:rsidRPr="00C55BDE">
        <w:rPr>
          <w:rFonts w:ascii="Verdana" w:eastAsia="Times New Roman" w:hAnsi="Verdana" w:cs="Arial"/>
          <w:lang w:eastAsia="es-CO"/>
        </w:rPr>
        <w:t xml:space="preserve">De esta manera, conforme a lo dispuesto en la Circular referida, si se suscriben </w:t>
      </w:r>
      <w:r w:rsidRPr="00C55BDE">
        <w:rPr>
          <w:rFonts w:ascii="Verdana" w:eastAsia="Times New Roman" w:hAnsi="Verdana" w:cs="Arial"/>
          <w:i/>
          <w:iCs/>
          <w:lang w:eastAsia="es-CO"/>
        </w:rPr>
        <w:t>convenios interadministrativos para la ejecución de recursos públicos</w:t>
      </w:r>
      <w:r w:rsidRPr="00C55BDE">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C55BDE">
        <w:rPr>
          <w:rFonts w:ascii="Verdana" w:eastAsia="Times New Roman" w:hAnsi="Verdana" w:cs="Arial"/>
          <w:i/>
          <w:iCs/>
          <w:lang w:eastAsia="es-CO"/>
        </w:rPr>
        <w:t>ibidem</w:t>
      </w:r>
      <w:r w:rsidRPr="00C55BDE">
        <w:rPr>
          <w:rFonts w:ascii="Verdana" w:eastAsia="Times New Roman" w:hAnsi="Verdana" w:cs="Arial"/>
          <w:lang w:eastAsia="es-CO"/>
        </w:rPr>
        <w:t>, independientemente de que se configure alguno de los supuestos de excepción que señaló el inciso final del artículo 33, es decir, que se trate de:</w:t>
      </w:r>
      <w:r w:rsidRPr="00C55BDE">
        <w:rPr>
          <w:rFonts w:ascii="Verdana" w:hAnsi="Verdana" w:cs="Arial"/>
          <w:bCs/>
          <w:lang w:val="es-MX" w:eastAsia="x-none"/>
        </w:rPr>
        <w:t xml:space="preserve"> i) la defensa y seguridad del Estado; </w:t>
      </w:r>
      <w:proofErr w:type="spellStart"/>
      <w:r w:rsidRPr="00C55BDE">
        <w:rPr>
          <w:rFonts w:ascii="Verdana" w:hAnsi="Verdana" w:cs="Arial"/>
          <w:bCs/>
          <w:lang w:val="es-MX" w:eastAsia="x-none"/>
        </w:rPr>
        <w:t>ii</w:t>
      </w:r>
      <w:proofErr w:type="spellEnd"/>
      <w:r w:rsidRPr="00C55BDE">
        <w:rPr>
          <w:rFonts w:ascii="Verdana" w:hAnsi="Verdana" w:cs="Arial"/>
          <w:bCs/>
          <w:lang w:val="es-MX" w:eastAsia="x-none"/>
        </w:rPr>
        <w:t xml:space="preserve">) los contratos de crédito público; </w:t>
      </w:r>
      <w:proofErr w:type="spellStart"/>
      <w:r w:rsidRPr="00C55BDE">
        <w:rPr>
          <w:rFonts w:ascii="Verdana" w:hAnsi="Verdana" w:cs="Arial"/>
          <w:bCs/>
          <w:lang w:val="es-MX" w:eastAsia="x-none"/>
        </w:rPr>
        <w:t>iii</w:t>
      </w:r>
      <w:proofErr w:type="spellEnd"/>
      <w:r w:rsidRPr="00C55BDE">
        <w:rPr>
          <w:rFonts w:ascii="Verdana" w:hAnsi="Verdana" w:cs="Arial"/>
          <w:bCs/>
          <w:lang w:val="es-MX" w:eastAsia="x-none"/>
        </w:rPr>
        <w:t xml:space="preserve">) los requeridos para cubrir las emergencias educativas, sanitarias y desastres; </w:t>
      </w:r>
      <w:proofErr w:type="spellStart"/>
      <w:r w:rsidRPr="00C55BDE">
        <w:rPr>
          <w:rFonts w:ascii="Verdana" w:hAnsi="Verdana" w:cs="Arial"/>
          <w:bCs/>
          <w:lang w:val="es-MX" w:eastAsia="x-none"/>
        </w:rPr>
        <w:t>iv</w:t>
      </w:r>
      <w:proofErr w:type="spellEnd"/>
      <w:r w:rsidRPr="00C55BDE">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C55BDE">
        <w:rPr>
          <w:rFonts w:ascii="Verdana" w:hAnsi="Verdana" w:cs="Arial"/>
          <w:bCs/>
          <w:lang w:val="es-MX" w:eastAsia="es-CO"/>
        </w:rPr>
        <w:t xml:space="preserve"> </w:t>
      </w:r>
      <w:r w:rsidRPr="00C55BDE">
        <w:rPr>
          <w:rFonts w:ascii="Verdana" w:eastAsia="Times New Roman" w:hAnsi="Verdana" w:cs="Arial"/>
          <w:lang w:eastAsia="es-CO"/>
        </w:rPr>
        <w:t xml:space="preserve">  </w:t>
      </w:r>
    </w:p>
    <w:p w14:paraId="75D36C81" w14:textId="77777777" w:rsidR="00B8779A" w:rsidRPr="00C55BDE" w:rsidRDefault="00B8779A" w:rsidP="00B8779A">
      <w:pPr>
        <w:spacing w:before="120" w:after="0" w:line="276" w:lineRule="auto"/>
        <w:ind w:firstLine="708"/>
        <w:jc w:val="both"/>
        <w:rPr>
          <w:rFonts w:ascii="Verdana" w:eastAsia="Times New Roman" w:hAnsi="Verdana" w:cs="Arial"/>
          <w:lang w:eastAsia="es-CO"/>
        </w:rPr>
      </w:pPr>
      <w:r w:rsidRPr="00C55BDE">
        <w:rPr>
          <w:rFonts w:ascii="Verdana" w:eastAsia="Times New Roman" w:hAnsi="Verdana" w:cs="Arial"/>
          <w:lang w:eastAsia="es-CO"/>
        </w:rPr>
        <w:t xml:space="preserve">En este punto, teniendo en cuenta lo señalado en el contenido de su petición, vale la pena destacar </w:t>
      </w:r>
      <w:proofErr w:type="gramStart"/>
      <w:r w:rsidRPr="00C55BDE">
        <w:rPr>
          <w:rFonts w:ascii="Verdana" w:eastAsia="Times New Roman" w:hAnsi="Verdana" w:cs="Arial"/>
          <w:lang w:eastAsia="es-CO"/>
        </w:rPr>
        <w:t>que</w:t>
      </w:r>
      <w:proofErr w:type="gramEnd"/>
      <w:r w:rsidRPr="00C55BDE">
        <w:rPr>
          <w:rFonts w:ascii="Verdana" w:eastAsia="Times New Roman" w:hAnsi="Verdana" w:cs="Arial"/>
          <w:lang w:eastAsia="es-CO"/>
        </w:rPr>
        <w:t xml:space="preserve"> </w:t>
      </w:r>
      <w:r w:rsidRPr="00C55BDE">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C55BDE">
        <w:rPr>
          <w:rFonts w:ascii="Verdana" w:hAnsi="Verdana" w:cs="Arial"/>
        </w:rPr>
        <w:t>numeral 16.2 de la Circular Externa Única de 2022 expedida por la Agencia Nacional de Contratación Pública -Colombia Compra Eficiente-, concretamente, respecto de los siguientes apartes normativos</w:t>
      </w:r>
      <w:r w:rsidRPr="00C55BDE">
        <w:rPr>
          <w:rFonts w:ascii="Verdana" w:hAnsi="Verdana" w:cs="Arial"/>
          <w:vertAlign w:val="superscript"/>
        </w:rPr>
        <w:footnoteReference w:id="22"/>
      </w:r>
      <w:r w:rsidRPr="00C55BDE">
        <w:rPr>
          <w:rFonts w:ascii="Verdana" w:hAnsi="Verdana" w:cs="Arial"/>
        </w:rPr>
        <w:t xml:space="preserve">: </w:t>
      </w:r>
    </w:p>
    <w:p w14:paraId="4AF68CF2" w14:textId="77777777" w:rsidR="00B8779A" w:rsidRPr="00C55BDE" w:rsidRDefault="00B8779A" w:rsidP="00B8779A">
      <w:pPr>
        <w:spacing w:after="0" w:line="276" w:lineRule="auto"/>
        <w:ind w:firstLine="709"/>
        <w:jc w:val="both"/>
        <w:rPr>
          <w:rFonts w:ascii="Verdana" w:hAnsi="Verdana" w:cs="Arial"/>
        </w:rPr>
      </w:pPr>
    </w:p>
    <w:p w14:paraId="6F89F1F5" w14:textId="77777777" w:rsidR="00B8779A" w:rsidRPr="00C55BDE" w:rsidRDefault="00B8779A" w:rsidP="00B8779A">
      <w:pPr>
        <w:spacing w:after="0" w:line="240" w:lineRule="auto"/>
        <w:ind w:left="709" w:right="709"/>
        <w:jc w:val="both"/>
        <w:rPr>
          <w:rFonts w:ascii="Verdana" w:hAnsi="Verdana" w:cs="Arial"/>
          <w:sz w:val="20"/>
          <w:szCs w:val="20"/>
        </w:rPr>
      </w:pPr>
      <w:r>
        <w:rPr>
          <w:rFonts w:ascii="Verdana" w:hAnsi="Verdana" w:cs="Arial"/>
          <w:sz w:val="20"/>
          <w:szCs w:val="20"/>
          <w:lang w:val="es-MX"/>
        </w:rPr>
        <w:t>“</w:t>
      </w:r>
      <w:r w:rsidRPr="00C55BDE">
        <w:rPr>
          <w:rFonts w:ascii="Verdana" w:hAnsi="Verdana" w:cs="Arial"/>
          <w:sz w:val="20"/>
          <w:szCs w:val="20"/>
          <w:lang w:val="es-MX"/>
        </w:rPr>
        <w:t>i)</w:t>
      </w:r>
      <w:r w:rsidRPr="00C55BDE">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w:t>
      </w:r>
      <w:r w:rsidRPr="00C55BDE">
        <w:rPr>
          <w:rFonts w:ascii="Verdana" w:hAnsi="Verdana" w:cs="Arial"/>
          <w:sz w:val="20"/>
          <w:szCs w:val="20"/>
        </w:rPr>
        <w:lastRenderedPageBreak/>
        <w:t xml:space="preserve">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1A14403D" w14:textId="77777777" w:rsidR="00B8779A" w:rsidRPr="00C55BDE" w:rsidRDefault="00B8779A" w:rsidP="00B8779A">
      <w:pPr>
        <w:spacing w:after="0" w:line="240" w:lineRule="auto"/>
        <w:ind w:left="709" w:right="709"/>
        <w:jc w:val="both"/>
        <w:rPr>
          <w:rFonts w:ascii="Verdana" w:hAnsi="Verdana" w:cs="Arial"/>
          <w:sz w:val="20"/>
          <w:szCs w:val="20"/>
        </w:rPr>
      </w:pPr>
    </w:p>
    <w:p w14:paraId="15F11DEF" w14:textId="77777777" w:rsidR="00B8779A" w:rsidRPr="00C55BDE" w:rsidRDefault="00B8779A" w:rsidP="00B8779A">
      <w:pPr>
        <w:spacing w:after="0" w:line="240" w:lineRule="auto"/>
        <w:ind w:left="709" w:right="709"/>
        <w:jc w:val="both"/>
        <w:rPr>
          <w:rFonts w:ascii="Verdana" w:hAnsi="Verdana" w:cs="Arial"/>
          <w:sz w:val="20"/>
          <w:szCs w:val="20"/>
        </w:rPr>
      </w:pPr>
      <w:proofErr w:type="spellStart"/>
      <w:r w:rsidRPr="00C55BDE">
        <w:rPr>
          <w:rFonts w:ascii="Verdana" w:hAnsi="Verdana" w:cs="Arial"/>
          <w:sz w:val="20"/>
          <w:szCs w:val="20"/>
        </w:rPr>
        <w:t>ii</w:t>
      </w:r>
      <w:proofErr w:type="spellEnd"/>
      <w:r w:rsidRPr="00C55BDE">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5E160F06" w14:textId="77777777" w:rsidR="00B8779A" w:rsidRPr="00C55BDE" w:rsidRDefault="00B8779A" w:rsidP="00B8779A">
      <w:pPr>
        <w:spacing w:after="0" w:line="276" w:lineRule="auto"/>
        <w:ind w:left="709" w:right="709"/>
        <w:jc w:val="both"/>
        <w:rPr>
          <w:rFonts w:ascii="Verdana" w:hAnsi="Verdana" w:cs="Arial"/>
        </w:rPr>
      </w:pPr>
    </w:p>
    <w:p w14:paraId="0F4B31AC" w14:textId="77777777" w:rsidR="00B8779A" w:rsidRPr="00C55BDE" w:rsidRDefault="00B8779A" w:rsidP="00B8779A">
      <w:pPr>
        <w:spacing w:after="120" w:line="276" w:lineRule="auto"/>
        <w:ind w:firstLine="709"/>
        <w:jc w:val="both"/>
        <w:rPr>
          <w:rFonts w:ascii="Verdana" w:eastAsia="Arial" w:hAnsi="Verdana" w:cs="Arial"/>
          <w:i/>
          <w:iCs/>
          <w:lang w:eastAsia="es-ES" w:bidi="es-ES"/>
        </w:rPr>
      </w:pPr>
      <w:r w:rsidRPr="00C55BDE">
        <w:rPr>
          <w:rFonts w:ascii="Verdana" w:eastAsia="Arial" w:hAnsi="Verdana" w:cs="Arial"/>
          <w:lang w:val="es-MX" w:eastAsia="es-ES" w:bidi="es-ES"/>
        </w:rPr>
        <w:t xml:space="preserve">De conformidad con los argumentos de dicha providencia, se parte de la distinción entre los conceptos </w:t>
      </w:r>
      <w:r w:rsidRPr="00C55BDE">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C55BDE">
        <w:rPr>
          <w:rFonts w:ascii="Verdana" w:hAnsi="Verdana"/>
          <w:sz w:val="24"/>
          <w:szCs w:val="24"/>
          <w:lang w:eastAsia="es-CO"/>
        </w:rPr>
        <w:t xml:space="preserve"> </w:t>
      </w:r>
      <w:r w:rsidRPr="00C55BDE">
        <w:rPr>
          <w:rFonts w:ascii="Verdana" w:eastAsia="Arial" w:hAnsi="Verdana" w:cs="Arial"/>
          <w:lang w:eastAsia="es-ES" w:bidi="es-ES"/>
        </w:rPr>
        <w:t xml:space="preserve">En este sentido, en relación con el parágrafo del artículo 38 de la Ley 996 de 2005 concluyó que </w:t>
      </w:r>
      <w:r w:rsidRPr="00C55BDE">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C55BDE">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C55BDE">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52BD5AD1" w14:textId="77777777" w:rsidR="00B8779A" w:rsidRPr="00C55BDE" w:rsidRDefault="00B8779A" w:rsidP="00B8779A">
      <w:pPr>
        <w:spacing w:after="120" w:line="276" w:lineRule="auto"/>
        <w:ind w:firstLine="709"/>
        <w:jc w:val="both"/>
        <w:rPr>
          <w:rFonts w:ascii="Verdana" w:eastAsia="Arial" w:hAnsi="Verdana" w:cs="Arial"/>
          <w:lang w:eastAsia="es-ES" w:bidi="es-ES"/>
        </w:rPr>
      </w:pPr>
      <w:r w:rsidRPr="00C55BDE">
        <w:rPr>
          <w:rFonts w:ascii="Verdana" w:eastAsia="Arial" w:hAnsi="Verdana" w:cs="Arial"/>
          <w:lang w:eastAsia="es-ES" w:bidi="es-ES"/>
        </w:rPr>
        <w:t>De igual manera, mediante auto del 6 de noviembre de 2025, el Consejo de Estado, Subsección A de la Sección Tercera, decretó</w:t>
      </w:r>
      <w:r w:rsidRPr="00C55BDE">
        <w:rPr>
          <w:rFonts w:ascii="Verdana" w:eastAsia="Arial" w:hAnsi="Verdana" w:cs="Arial"/>
          <w:b/>
          <w:bCs/>
          <w:lang w:eastAsia="es-ES" w:bidi="es-ES"/>
        </w:rPr>
        <w:t xml:space="preserve"> </w:t>
      </w:r>
      <w:r w:rsidRPr="00C55BDE">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C55BDE">
        <w:rPr>
          <w:rFonts w:ascii="Verdana" w:eastAsia="Arial" w:hAnsi="Verdana" w:cs="Arial"/>
          <w:vertAlign w:val="superscript"/>
          <w:lang w:eastAsia="es-ES" w:bidi="es-ES"/>
        </w:rPr>
        <w:footnoteReference w:id="23"/>
      </w:r>
      <w:r w:rsidRPr="00C55BDE">
        <w:rPr>
          <w:rFonts w:ascii="Verdana" w:eastAsia="Arial" w:hAnsi="Verdana" w:cs="Arial"/>
          <w:lang w:eastAsia="es-ES" w:bidi="es-ES"/>
        </w:rPr>
        <w:t xml:space="preserve">. Para tales </w:t>
      </w:r>
      <w:r w:rsidRPr="00C55BDE">
        <w:rPr>
          <w:rFonts w:ascii="Verdana" w:eastAsia="Arial" w:hAnsi="Verdana" w:cs="Arial"/>
          <w:lang w:eastAsia="es-ES" w:bidi="es-ES"/>
        </w:rPr>
        <w:lastRenderedPageBreak/>
        <w:t xml:space="preserve">efectos, el alto tribunal resaltó la interpretación restrictiva de las normas que contienen prohibiciones, como la del parágrafo del artículo 38 de la Ley 996 de 2005, por manera que se excluye la analogía </w:t>
      </w:r>
      <w:proofErr w:type="spellStart"/>
      <w:r w:rsidRPr="00C55BDE">
        <w:rPr>
          <w:rFonts w:ascii="Verdana" w:eastAsia="Arial" w:hAnsi="Verdana" w:cs="Arial"/>
          <w:lang w:eastAsia="es-ES" w:bidi="es-ES"/>
        </w:rPr>
        <w:t>legis</w:t>
      </w:r>
      <w:proofErr w:type="spellEnd"/>
      <w:r w:rsidRPr="00C55BDE">
        <w:rPr>
          <w:rFonts w:ascii="Verdana" w:eastAsia="Arial" w:hAnsi="Verdana" w:cs="Arial"/>
          <w:lang w:eastAsia="es-ES" w:bidi="es-ES"/>
        </w:rPr>
        <w:t xml:space="preserve"> o iuris y la interpretación extensiva y reiteró los argumentos sobre la diferencia entre contratos y convenios interadministrativos. </w:t>
      </w:r>
    </w:p>
    <w:p w14:paraId="4551DAC5" w14:textId="77777777" w:rsidR="00B8779A" w:rsidRPr="00C55BDE" w:rsidRDefault="00B8779A" w:rsidP="00B8779A">
      <w:pPr>
        <w:spacing w:after="120" w:line="276" w:lineRule="auto"/>
        <w:ind w:firstLine="709"/>
        <w:jc w:val="both"/>
        <w:rPr>
          <w:rFonts w:ascii="Verdana" w:eastAsia="Times New Roman" w:hAnsi="Verdana" w:cs="Times New Roman"/>
          <w:lang w:eastAsia="es-ES"/>
        </w:rPr>
      </w:pPr>
      <w:r w:rsidRPr="00C55BDE">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C55BDE">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70427F0C" w14:textId="77777777" w:rsidR="00B8779A" w:rsidRPr="00C55BDE" w:rsidRDefault="00B8779A" w:rsidP="00B8779A">
      <w:pPr>
        <w:spacing w:after="120" w:line="276" w:lineRule="auto"/>
        <w:ind w:firstLine="709"/>
        <w:jc w:val="both"/>
        <w:rPr>
          <w:rFonts w:ascii="Verdana" w:eastAsia="Times New Roman" w:hAnsi="Verdana" w:cs="Times New Roman"/>
          <w:lang w:eastAsia="es-ES"/>
        </w:rPr>
      </w:pPr>
      <w:r w:rsidRPr="00C55BDE">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C55BDE">
        <w:rPr>
          <w:rStyle w:val="Refdenotaalpie"/>
          <w:rFonts w:ascii="Verdana" w:eastAsia="Times New Roman" w:hAnsi="Verdana" w:cs="Times New Roman"/>
          <w:lang w:eastAsia="es-ES"/>
        </w:rPr>
        <w:footnoteReference w:id="24"/>
      </w:r>
      <w:r w:rsidRPr="00C55BDE">
        <w:rPr>
          <w:rFonts w:ascii="Verdana" w:eastAsia="Times New Roman" w:hAnsi="Verdana" w:cs="Times New Roman"/>
          <w:lang w:eastAsia="es-ES"/>
        </w:rPr>
        <w:t xml:space="preserve">. Sobre el particular, la Sala concluyó que contratos y convenios interadministrativos son </w:t>
      </w:r>
      <w:r w:rsidRPr="00C55BDE">
        <w:rPr>
          <w:rFonts w:ascii="Verdana" w:eastAsia="Times New Roman" w:hAnsi="Verdana" w:cs="Times New Roman"/>
          <w:lang w:eastAsia="es-ES"/>
        </w:rPr>
        <w:lastRenderedPageBreak/>
        <w:t xml:space="preserve">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4210D423" w14:textId="77777777" w:rsidR="00B8779A" w:rsidRPr="00C55BDE" w:rsidRDefault="00B8779A" w:rsidP="00B8779A">
      <w:pPr>
        <w:spacing w:after="120" w:line="276" w:lineRule="auto"/>
        <w:ind w:firstLine="709"/>
        <w:jc w:val="both"/>
        <w:rPr>
          <w:rFonts w:ascii="Verdana" w:eastAsia="Times New Roman" w:hAnsi="Verdana" w:cs="Times New Roman"/>
          <w:lang w:eastAsia="es-ES"/>
        </w:rPr>
      </w:pPr>
      <w:r w:rsidRPr="00C55BDE">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1AA72865" w14:textId="77777777" w:rsidR="00B8779A" w:rsidRPr="00C55BDE" w:rsidRDefault="00B8779A" w:rsidP="00B8779A">
      <w:pPr>
        <w:spacing w:after="120" w:line="276" w:lineRule="auto"/>
        <w:ind w:firstLine="709"/>
        <w:jc w:val="both"/>
        <w:rPr>
          <w:rFonts w:ascii="Verdana" w:eastAsia="Times New Roman" w:hAnsi="Verdana" w:cs="Arial"/>
          <w:lang w:eastAsia="es-CO"/>
        </w:rPr>
      </w:pPr>
      <w:r w:rsidRPr="00C55BDE">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C55BDE">
        <w:rPr>
          <w:rFonts w:ascii="Verdana" w:eastAsia="Times New Roman" w:hAnsi="Verdana" w:cs="Arial"/>
          <w:i/>
          <w:iCs/>
          <w:lang w:eastAsia="es-CO"/>
        </w:rPr>
        <w:t>contratos interadministrativos</w:t>
      </w:r>
      <w:r w:rsidRPr="00C55BDE">
        <w:rPr>
          <w:rFonts w:ascii="Verdana" w:eastAsia="Times New Roman" w:hAnsi="Verdana" w:cs="Arial"/>
          <w:lang w:eastAsia="es-CO"/>
        </w:rPr>
        <w:t>, esta prohibición solo aplicaría a los convenios interadministrativos que impliquen la ejecución de recursos públicos</w:t>
      </w:r>
      <w:r w:rsidRPr="00C55BDE">
        <w:rPr>
          <w:rStyle w:val="Refdenotaalpie"/>
          <w:rFonts w:ascii="Verdana" w:eastAsia="Times New Roman" w:hAnsi="Verdana" w:cs="Arial"/>
          <w:lang w:eastAsia="es-CO"/>
        </w:rPr>
        <w:footnoteReference w:id="25"/>
      </w:r>
      <w:r w:rsidRPr="00C55BDE">
        <w:rPr>
          <w:rFonts w:ascii="Verdana" w:eastAsia="Times New Roman" w:hAnsi="Verdana" w:cs="Arial"/>
          <w:lang w:eastAsia="es-CO"/>
        </w:rPr>
        <w:t>.</w:t>
      </w:r>
    </w:p>
    <w:p w14:paraId="19C570D4" w14:textId="77777777" w:rsidR="00B8779A" w:rsidRPr="00C55BDE" w:rsidRDefault="00B8779A" w:rsidP="00B8779A">
      <w:pPr>
        <w:spacing w:after="120" w:line="276" w:lineRule="auto"/>
        <w:ind w:firstLine="708"/>
        <w:jc w:val="both"/>
        <w:rPr>
          <w:rFonts w:ascii="Verdana" w:eastAsia="Times New Roman" w:hAnsi="Verdana" w:cs="Arial"/>
          <w:lang w:eastAsia="es-CO"/>
        </w:rPr>
      </w:pPr>
      <w:r w:rsidRPr="00C55BDE">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6862917" w14:textId="77777777" w:rsidR="00B8779A" w:rsidRPr="00C55BDE" w:rsidRDefault="00B8779A" w:rsidP="00B8779A">
      <w:pPr>
        <w:spacing w:after="0" w:line="276" w:lineRule="auto"/>
        <w:ind w:firstLine="708"/>
        <w:jc w:val="both"/>
        <w:rPr>
          <w:rFonts w:ascii="Verdana" w:hAnsi="Verdana" w:cs="Arial"/>
          <w:bCs/>
          <w:color w:val="000000" w:themeColor="text1"/>
        </w:rPr>
      </w:pPr>
      <w:r w:rsidRPr="00C55BDE">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w:t>
      </w:r>
      <w:r w:rsidRPr="00C55BDE">
        <w:rPr>
          <w:rFonts w:ascii="Verdana" w:hAnsi="Verdana" w:cs="Arial"/>
          <w:bCs/>
          <w:color w:val="000000" w:themeColor="text1"/>
        </w:rPr>
        <w:lastRenderedPageBreak/>
        <w:t xml:space="preserve">el principio de juridicidad. Así, cada entidad definirá la forma de adelantar su gestión contractual, sin que sea atribución de Colombia Compra Eficiente validar sus actuaciones. </w:t>
      </w:r>
    </w:p>
    <w:p w14:paraId="23E33A6A" w14:textId="77777777" w:rsidR="00B8779A" w:rsidRPr="00C55BDE" w:rsidRDefault="00B8779A" w:rsidP="00B8779A">
      <w:pPr>
        <w:spacing w:after="0" w:line="276" w:lineRule="auto"/>
        <w:ind w:firstLine="708"/>
        <w:jc w:val="both"/>
        <w:rPr>
          <w:rFonts w:ascii="Verdana" w:hAnsi="Verdana" w:cs="Arial"/>
          <w:bCs/>
          <w:color w:val="000000" w:themeColor="text1"/>
        </w:rPr>
      </w:pPr>
    </w:p>
    <w:p w14:paraId="5F44ACED" w14:textId="77777777" w:rsidR="00B8779A" w:rsidRPr="00C55BDE" w:rsidRDefault="00B8779A" w:rsidP="00B8779A">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C55BDE">
        <w:rPr>
          <w:rFonts w:ascii="Verdana" w:eastAsia="Century Gothic" w:hAnsi="Verdana" w:cs="Century Gothic"/>
          <w:b/>
          <w:bCs/>
          <w:lang w:val="es-ES_tradnl"/>
        </w:rPr>
        <w:t>Referencias normativas:</w:t>
      </w:r>
    </w:p>
    <w:p w14:paraId="68AAF7AE" w14:textId="77777777" w:rsidR="00B8779A" w:rsidRPr="00C55BDE" w:rsidRDefault="00B8779A" w:rsidP="00B8779A">
      <w:pPr>
        <w:widowControl w:val="0"/>
        <w:autoSpaceDE w:val="0"/>
        <w:autoSpaceDN w:val="0"/>
        <w:spacing w:after="0" w:line="276" w:lineRule="auto"/>
        <w:jc w:val="both"/>
        <w:rPr>
          <w:rFonts w:ascii="Verdana" w:hAnsi="Verdana" w:cs="Arial"/>
          <w:lang w:val="es-ES_tradn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8779A" w:rsidRPr="00C55BDE" w14:paraId="018714BB" w14:textId="77777777" w:rsidTr="00FE6ED8">
        <w:trPr>
          <w:trHeight w:val="491"/>
          <w:jc w:val="center"/>
        </w:trPr>
        <w:tc>
          <w:tcPr>
            <w:tcW w:w="8647" w:type="dxa"/>
          </w:tcPr>
          <w:p w14:paraId="01ECCA85" w14:textId="77777777" w:rsidR="00B8779A" w:rsidRPr="00C55BDE" w:rsidRDefault="00B8779A" w:rsidP="00FE6ED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55BDE">
              <w:rPr>
                <w:rFonts w:ascii="Verdana" w:eastAsia="Arial MT" w:hAnsi="Verdana" w:cs="Arial"/>
                <w:lang w:val="es-ES" w:eastAsia="es-ES" w:bidi="es-ES"/>
              </w:rPr>
              <w:t>Constitución Política, artículos 127, 329, 356.</w:t>
            </w:r>
          </w:p>
          <w:p w14:paraId="742210E7" w14:textId="77777777" w:rsidR="00B8779A" w:rsidRPr="00C55BDE" w:rsidRDefault="00B8779A" w:rsidP="00FE6ED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55BDE">
              <w:rPr>
                <w:rFonts w:ascii="Verdana" w:eastAsia="Arial MT" w:hAnsi="Verdana" w:cs="Arial"/>
                <w:lang w:val="es-ES" w:eastAsia="es-ES" w:bidi="es-ES"/>
              </w:rPr>
              <w:t>Decreto 1088 de 1993.</w:t>
            </w:r>
          </w:p>
          <w:p w14:paraId="59EF5DC9" w14:textId="77777777" w:rsidR="00B8779A" w:rsidRPr="00C55BDE" w:rsidRDefault="00B8779A" w:rsidP="00FE6ED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55BDE">
              <w:rPr>
                <w:rFonts w:ascii="Verdana" w:eastAsia="Arial MT" w:hAnsi="Verdana" w:cs="Arial"/>
                <w:lang w:val="es-ES" w:eastAsia="es-ES" w:bidi="es-ES"/>
              </w:rPr>
              <w:t>Decreto 1953 de 2014.</w:t>
            </w:r>
          </w:p>
          <w:p w14:paraId="4EEDE021" w14:textId="77777777" w:rsidR="00B8779A" w:rsidRPr="00C55BDE" w:rsidRDefault="00B8779A" w:rsidP="00FE6ED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55BDE">
              <w:rPr>
                <w:rFonts w:ascii="Verdana" w:eastAsia="Arial MT" w:hAnsi="Verdana" w:cs="Arial"/>
                <w:lang w:val="es-ES" w:eastAsia="es-ES" w:bidi="es-ES"/>
              </w:rPr>
              <w:t>Ley 80 de 1993, artículo 2.</w:t>
            </w:r>
          </w:p>
          <w:p w14:paraId="16BC3259" w14:textId="77777777" w:rsidR="00B8779A" w:rsidRPr="00C55BDE" w:rsidRDefault="00B8779A" w:rsidP="00FE6ED8">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55BDE">
              <w:rPr>
                <w:rFonts w:ascii="Verdana" w:eastAsia="Arial MT" w:hAnsi="Verdana" w:cs="Arial"/>
                <w:lang w:val="es-ES" w:eastAsia="es-ES" w:bidi="es-ES"/>
              </w:rPr>
              <w:t>Ley 715 de 2001.</w:t>
            </w:r>
          </w:p>
          <w:p w14:paraId="4CE44A70" w14:textId="77777777" w:rsidR="00B8779A" w:rsidRPr="00C55BDE" w:rsidRDefault="00B8779A" w:rsidP="00FE6ED8">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C55BDE">
              <w:rPr>
                <w:rFonts w:ascii="Verdana" w:eastAsia="Arial MT" w:hAnsi="Verdana" w:cs="Arial"/>
                <w:bCs/>
                <w:lang w:val="es-ES" w:eastAsia="es-ES" w:bidi="es-ES"/>
              </w:rPr>
              <w:t>Ley 996 de 2005, artículos 33 y 38.</w:t>
            </w:r>
          </w:p>
          <w:p w14:paraId="6D0876D0" w14:textId="77777777" w:rsidR="00B8779A" w:rsidRPr="00C55BDE" w:rsidRDefault="00B8779A" w:rsidP="00FE6ED8">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C55BDE">
              <w:rPr>
                <w:rFonts w:ascii="Verdana" w:hAnsi="Verdana" w:cs="Arial"/>
                <w:bCs/>
                <w:color w:val="000000" w:themeColor="text1"/>
                <w:lang w:val="es-ES"/>
              </w:rPr>
              <w:t>Decreto 1068 de 2015, artículo 2.2.1.1.1.</w:t>
            </w:r>
          </w:p>
          <w:p w14:paraId="78C2F861" w14:textId="77777777" w:rsidR="00B8779A" w:rsidRPr="00C55BDE" w:rsidRDefault="00B8779A" w:rsidP="00FE6ED8">
            <w:pPr>
              <w:widowControl w:val="0"/>
              <w:numPr>
                <w:ilvl w:val="0"/>
                <w:numId w:val="17"/>
              </w:numPr>
              <w:autoSpaceDE w:val="0"/>
              <w:autoSpaceDN w:val="0"/>
              <w:spacing w:after="120" w:line="276" w:lineRule="auto"/>
              <w:jc w:val="both"/>
              <w:rPr>
                <w:rFonts w:ascii="Verdana" w:hAnsi="Verdana" w:cs="Arial"/>
                <w:lang w:val="es-ES"/>
              </w:rPr>
            </w:pPr>
            <w:r w:rsidRPr="00C55BDE">
              <w:rPr>
                <w:rFonts w:ascii="Verdana" w:hAnsi="Verdana" w:cs="Arial"/>
                <w:lang w:val="pt-BR"/>
              </w:rPr>
              <w:t>Corte Constitucional. Sentencia C-671 de 2015. M.P. Alberto Rojas Ríos.</w:t>
            </w:r>
          </w:p>
          <w:p w14:paraId="6ABF93F4" w14:textId="77777777" w:rsidR="00B8779A" w:rsidRPr="00C55BDE" w:rsidRDefault="00B8779A" w:rsidP="00FE6ED8">
            <w:pPr>
              <w:widowControl w:val="0"/>
              <w:numPr>
                <w:ilvl w:val="0"/>
                <w:numId w:val="17"/>
              </w:numPr>
              <w:autoSpaceDE w:val="0"/>
              <w:autoSpaceDN w:val="0"/>
              <w:spacing w:after="120" w:line="276" w:lineRule="auto"/>
              <w:jc w:val="both"/>
              <w:rPr>
                <w:rFonts w:ascii="Verdana" w:hAnsi="Verdana" w:cs="Arial"/>
                <w:lang w:val="es-ES"/>
              </w:rPr>
            </w:pPr>
            <w:r w:rsidRPr="00C55BDE">
              <w:rPr>
                <w:rFonts w:ascii="Verdana" w:hAnsi="Verdana" w:cs="Arial"/>
                <w:lang w:val="es-ES"/>
              </w:rPr>
              <w:t xml:space="preserve">Consejo de Estado, Sección Primera. Sentencia de 3 de marzo de 2005, </w:t>
            </w:r>
            <w:proofErr w:type="spellStart"/>
            <w:r w:rsidRPr="00C55BDE">
              <w:rPr>
                <w:rFonts w:ascii="Verdana" w:hAnsi="Verdana" w:cs="Arial"/>
                <w:lang w:val="es-ES"/>
              </w:rPr>
              <w:t>Exp</w:t>
            </w:r>
            <w:proofErr w:type="spellEnd"/>
            <w:r w:rsidRPr="00C55BDE">
              <w:rPr>
                <w:rFonts w:ascii="Verdana" w:hAnsi="Verdana" w:cs="Arial"/>
                <w:lang w:val="es-ES"/>
              </w:rPr>
              <w:t xml:space="preserve">. 2004-00823-01(PI). </w:t>
            </w:r>
          </w:p>
          <w:p w14:paraId="529BD513" w14:textId="77777777" w:rsidR="00B8779A" w:rsidRPr="00C55BDE" w:rsidRDefault="00B8779A" w:rsidP="00FE6ED8">
            <w:pPr>
              <w:numPr>
                <w:ilvl w:val="0"/>
                <w:numId w:val="17"/>
              </w:numPr>
              <w:spacing w:before="120" w:after="120" w:line="276" w:lineRule="auto"/>
              <w:jc w:val="both"/>
              <w:rPr>
                <w:rFonts w:ascii="Verdana" w:hAnsi="Verdana" w:cs="Arial"/>
                <w:lang w:val="es-ES"/>
              </w:rPr>
            </w:pPr>
            <w:r w:rsidRPr="00C55BDE">
              <w:rPr>
                <w:rFonts w:ascii="Verdana" w:hAnsi="Verdana" w:cs="Arial"/>
              </w:rPr>
              <w:t>Consejo de Estado. Sala de Consulta y Servicio Civil. Concepto del 15 de noviembre de 2007. Expediente número 1863. Consejero Ponente: Luis Fernando Álvarez Jaramillo</w:t>
            </w:r>
          </w:p>
          <w:p w14:paraId="3F4A2726" w14:textId="77777777" w:rsidR="00B8779A" w:rsidRPr="00C55BDE" w:rsidRDefault="00B8779A" w:rsidP="00FE6ED8">
            <w:pPr>
              <w:widowControl w:val="0"/>
              <w:numPr>
                <w:ilvl w:val="0"/>
                <w:numId w:val="17"/>
              </w:numPr>
              <w:autoSpaceDE w:val="0"/>
              <w:autoSpaceDN w:val="0"/>
              <w:spacing w:after="120" w:line="276" w:lineRule="auto"/>
              <w:jc w:val="both"/>
              <w:rPr>
                <w:rFonts w:ascii="Verdana" w:hAnsi="Verdana" w:cs="Arial"/>
                <w:lang w:val="es-ES"/>
              </w:rPr>
            </w:pPr>
            <w:r w:rsidRPr="00C55BDE">
              <w:rPr>
                <w:rFonts w:ascii="Verdana" w:hAnsi="Verdana" w:cs="Arial"/>
                <w:lang w:val="es-ES"/>
              </w:rPr>
              <w:t xml:space="preserve">Consejo de Estado, Sala de Consulta y Servicio Civil, Concepto de fecha 24 de julio de 2013, Rad. 2166, C. P. Álvaro </w:t>
            </w:r>
            <w:proofErr w:type="spellStart"/>
            <w:r w:rsidRPr="00C55BDE">
              <w:rPr>
                <w:rFonts w:ascii="Verdana" w:hAnsi="Verdana" w:cs="Arial"/>
                <w:lang w:val="es-ES"/>
              </w:rPr>
              <w:t>Namén</w:t>
            </w:r>
            <w:proofErr w:type="spellEnd"/>
            <w:r w:rsidRPr="00C55BDE">
              <w:rPr>
                <w:rFonts w:ascii="Verdana" w:hAnsi="Verdana" w:cs="Arial"/>
                <w:lang w:val="es-ES"/>
              </w:rPr>
              <w:t xml:space="preserve"> Vargas. </w:t>
            </w:r>
          </w:p>
          <w:p w14:paraId="1ACCB034" w14:textId="77777777" w:rsidR="00B8779A" w:rsidRPr="00C55BDE" w:rsidRDefault="00B8779A" w:rsidP="00FE6ED8">
            <w:pPr>
              <w:numPr>
                <w:ilvl w:val="0"/>
                <w:numId w:val="17"/>
              </w:numPr>
              <w:spacing w:before="120" w:after="120" w:line="276" w:lineRule="auto"/>
              <w:jc w:val="both"/>
              <w:rPr>
                <w:rFonts w:ascii="Verdana" w:hAnsi="Verdana" w:cs="Arial"/>
                <w:lang w:val="es-ES"/>
              </w:rPr>
            </w:pPr>
            <w:r w:rsidRPr="00C55BDE">
              <w:rPr>
                <w:rFonts w:ascii="Verdana" w:hAnsi="Verdana" w:cs="Arial"/>
              </w:rPr>
              <w:t xml:space="preserve">Consejo de Estado. Sala de Consulta y Servicio Civil. Concepto del 2 de septiembre de 2013 Radicado No: 2168. CP: </w:t>
            </w:r>
            <w:proofErr w:type="spellStart"/>
            <w:r w:rsidRPr="00C55BDE">
              <w:rPr>
                <w:rFonts w:ascii="Verdana" w:hAnsi="Verdana" w:cs="Arial"/>
              </w:rPr>
              <w:t>Alvaro</w:t>
            </w:r>
            <w:proofErr w:type="spellEnd"/>
            <w:r w:rsidRPr="00C55BDE">
              <w:rPr>
                <w:rFonts w:ascii="Verdana" w:hAnsi="Verdana" w:cs="Arial"/>
              </w:rPr>
              <w:t xml:space="preserve"> </w:t>
            </w:r>
            <w:proofErr w:type="spellStart"/>
            <w:r w:rsidRPr="00C55BDE">
              <w:rPr>
                <w:rFonts w:ascii="Verdana" w:hAnsi="Verdana" w:cs="Arial"/>
              </w:rPr>
              <w:t>Namén</w:t>
            </w:r>
            <w:proofErr w:type="spellEnd"/>
            <w:r w:rsidRPr="00C55BDE">
              <w:rPr>
                <w:rFonts w:ascii="Verdana" w:hAnsi="Verdana" w:cs="Arial"/>
              </w:rPr>
              <w:t xml:space="preserve"> Vargas.</w:t>
            </w:r>
          </w:p>
          <w:p w14:paraId="399074BC" w14:textId="77777777" w:rsidR="00B8779A" w:rsidRPr="00C55BDE" w:rsidRDefault="00B8779A" w:rsidP="00FE6ED8">
            <w:pPr>
              <w:numPr>
                <w:ilvl w:val="0"/>
                <w:numId w:val="17"/>
              </w:numPr>
              <w:spacing w:before="120" w:after="120" w:line="276" w:lineRule="auto"/>
              <w:jc w:val="both"/>
              <w:rPr>
                <w:rFonts w:ascii="Verdana" w:hAnsi="Verdana" w:cs="Arial"/>
                <w:lang w:val="es-ES"/>
              </w:rPr>
            </w:pPr>
            <w:r w:rsidRPr="00C55BDE">
              <w:rPr>
                <w:rFonts w:ascii="Verdana" w:hAnsi="Verdana" w:cs="Arial"/>
                <w:lang w:val="es-ES"/>
              </w:rPr>
              <w:t>Consejo de Estado. Sala de Consulta y Servicio Civil. Concepto del 17 de febrero de 2015. C.P. William Zambrano Cetina. Radicación No. 11001-03-06-000-2015-00164-00(2269).</w:t>
            </w:r>
          </w:p>
          <w:p w14:paraId="75DB32D3" w14:textId="77777777" w:rsidR="00B8779A" w:rsidRPr="00C55BDE" w:rsidRDefault="00B8779A" w:rsidP="00FE6ED8">
            <w:pPr>
              <w:numPr>
                <w:ilvl w:val="0"/>
                <w:numId w:val="17"/>
              </w:numPr>
              <w:spacing w:before="120" w:after="120" w:line="276" w:lineRule="auto"/>
              <w:jc w:val="both"/>
              <w:rPr>
                <w:rFonts w:ascii="Verdana" w:hAnsi="Verdana" w:cs="Arial"/>
                <w:lang w:val="es-ES"/>
              </w:rPr>
            </w:pPr>
            <w:r w:rsidRPr="00C55BDE">
              <w:rPr>
                <w:rFonts w:ascii="Verdana" w:hAnsi="Verdana" w:cs="Arial"/>
                <w:lang w:val="es-ES"/>
              </w:rPr>
              <w:t xml:space="preserve">Consejo de Estado, Sala de Consulta y Servicio Civil, Concepto de fecha 8 de mayo de 2018, No. 2382. C. P. Álvaro </w:t>
            </w:r>
            <w:proofErr w:type="spellStart"/>
            <w:r w:rsidRPr="00C55BDE">
              <w:rPr>
                <w:rFonts w:ascii="Verdana" w:hAnsi="Verdana" w:cs="Arial"/>
                <w:lang w:val="es-ES"/>
              </w:rPr>
              <w:t>Namén</w:t>
            </w:r>
            <w:proofErr w:type="spellEnd"/>
            <w:r w:rsidRPr="00C55BDE">
              <w:rPr>
                <w:rFonts w:ascii="Verdana" w:hAnsi="Verdana" w:cs="Arial"/>
                <w:lang w:val="es-ES"/>
              </w:rPr>
              <w:t xml:space="preserve"> Vargas.</w:t>
            </w:r>
          </w:p>
          <w:p w14:paraId="7539C362" w14:textId="77777777" w:rsidR="00B8779A" w:rsidRPr="00C55BDE" w:rsidRDefault="00B8779A" w:rsidP="00FE6ED8">
            <w:pPr>
              <w:widowControl w:val="0"/>
              <w:numPr>
                <w:ilvl w:val="0"/>
                <w:numId w:val="17"/>
              </w:numPr>
              <w:autoSpaceDE w:val="0"/>
              <w:autoSpaceDN w:val="0"/>
              <w:spacing w:after="120" w:line="276" w:lineRule="auto"/>
              <w:jc w:val="both"/>
              <w:rPr>
                <w:rFonts w:ascii="Verdana" w:hAnsi="Verdana" w:cs="Arial"/>
                <w:lang w:val="es-ES"/>
              </w:rPr>
            </w:pPr>
            <w:proofErr w:type="spellStart"/>
            <w:r w:rsidRPr="00C55BDE">
              <w:rPr>
                <w:rFonts w:ascii="Verdana" w:hAnsi="Verdana" w:cs="Arial"/>
                <w:lang w:val="pt-BR"/>
              </w:rPr>
              <w:t>Consejo</w:t>
            </w:r>
            <w:proofErr w:type="spellEnd"/>
            <w:r w:rsidRPr="00C55BDE">
              <w:rPr>
                <w:rFonts w:ascii="Verdana" w:hAnsi="Verdana" w:cs="Arial"/>
                <w:lang w:val="pt-BR"/>
              </w:rPr>
              <w:t xml:space="preserve"> de Estado, </w:t>
            </w:r>
            <w:proofErr w:type="spellStart"/>
            <w:r w:rsidRPr="00C55BDE">
              <w:rPr>
                <w:rFonts w:ascii="Verdana" w:hAnsi="Verdana" w:cs="Arial"/>
                <w:lang w:val="pt-BR"/>
              </w:rPr>
              <w:t>Sección</w:t>
            </w:r>
            <w:proofErr w:type="spellEnd"/>
            <w:r w:rsidRPr="00C55BDE">
              <w:rPr>
                <w:rFonts w:ascii="Verdana" w:hAnsi="Verdana" w:cs="Arial"/>
                <w:lang w:val="pt-BR"/>
              </w:rPr>
              <w:t xml:space="preserve"> Tercera. Auto </w:t>
            </w:r>
            <w:proofErr w:type="spellStart"/>
            <w:r w:rsidRPr="00C55BDE">
              <w:rPr>
                <w:rFonts w:ascii="Verdana" w:hAnsi="Verdana" w:cs="Arial"/>
                <w:lang w:val="pt-BR"/>
              </w:rPr>
              <w:t>del</w:t>
            </w:r>
            <w:proofErr w:type="spellEnd"/>
            <w:r w:rsidRPr="00C55BDE">
              <w:rPr>
                <w:rFonts w:ascii="Verdana" w:hAnsi="Verdana" w:cs="Arial"/>
                <w:lang w:val="pt-BR"/>
              </w:rPr>
              <w:t xml:space="preserve"> 4 de </w:t>
            </w:r>
            <w:proofErr w:type="spellStart"/>
            <w:r w:rsidRPr="00C55BDE">
              <w:rPr>
                <w:rFonts w:ascii="Verdana" w:hAnsi="Verdana" w:cs="Arial"/>
                <w:lang w:val="pt-BR"/>
              </w:rPr>
              <w:t>octubre</w:t>
            </w:r>
            <w:proofErr w:type="spellEnd"/>
            <w:r w:rsidRPr="00C55BDE">
              <w:rPr>
                <w:rFonts w:ascii="Verdana" w:hAnsi="Verdana" w:cs="Arial"/>
                <w:lang w:val="pt-BR"/>
              </w:rPr>
              <w:t xml:space="preserve"> de 2024. </w:t>
            </w:r>
            <w:r w:rsidRPr="00C55BDE">
              <w:rPr>
                <w:rFonts w:ascii="Verdana" w:hAnsi="Verdana" w:cs="Arial"/>
                <w:lang w:val="pt-BR"/>
              </w:rPr>
              <w:lastRenderedPageBreak/>
              <w:t>Exp. 70.313. C.P: Fredy Ibarra Martínez.</w:t>
            </w:r>
          </w:p>
          <w:p w14:paraId="440974D2" w14:textId="77777777" w:rsidR="00B8779A" w:rsidRPr="00C55BDE" w:rsidRDefault="00B8779A" w:rsidP="00FE6ED8">
            <w:pPr>
              <w:widowControl w:val="0"/>
              <w:numPr>
                <w:ilvl w:val="0"/>
                <w:numId w:val="17"/>
              </w:numPr>
              <w:autoSpaceDE w:val="0"/>
              <w:autoSpaceDN w:val="0"/>
              <w:spacing w:after="120" w:line="276" w:lineRule="auto"/>
              <w:jc w:val="both"/>
              <w:rPr>
                <w:rFonts w:ascii="Verdana" w:hAnsi="Verdana" w:cs="Arial"/>
                <w:lang w:val="es-ES"/>
              </w:rPr>
            </w:pPr>
            <w:r w:rsidRPr="00C55BDE">
              <w:rPr>
                <w:rFonts w:ascii="Verdana" w:eastAsia="Times New Roman" w:hAnsi="Verdana" w:cs="Times New Roman"/>
                <w:lang w:eastAsia="es-ES_tradnl"/>
              </w:rPr>
              <w:t xml:space="preserve">Consejo de Estado. Sala de lo Contencioso Administrativo. Sección Tercera. Subsección B. 17 de octubre de 2025. Magistrado Ponente: Fredy Ibarra Martínez.  </w:t>
            </w:r>
          </w:p>
          <w:p w14:paraId="39D37D9F" w14:textId="77777777" w:rsidR="00B8779A" w:rsidRPr="00C55BDE" w:rsidRDefault="00B8779A" w:rsidP="00FE6ED8">
            <w:pPr>
              <w:widowControl w:val="0"/>
              <w:numPr>
                <w:ilvl w:val="0"/>
                <w:numId w:val="17"/>
              </w:numPr>
              <w:autoSpaceDE w:val="0"/>
              <w:autoSpaceDN w:val="0"/>
              <w:spacing w:after="120" w:line="276" w:lineRule="auto"/>
              <w:jc w:val="both"/>
              <w:rPr>
                <w:rFonts w:ascii="Verdana" w:hAnsi="Verdana" w:cs="Arial"/>
                <w:lang w:val="es-ES"/>
              </w:rPr>
            </w:pPr>
            <w:r w:rsidRPr="00C55BDE">
              <w:rPr>
                <w:rFonts w:ascii="Verdana" w:hAnsi="Verdana" w:cs="Arial"/>
              </w:rPr>
              <w:t xml:space="preserve">Circular Externa No. 006 de 2025 </w:t>
            </w:r>
            <w:hyperlink r:id="rId13" w:history="1">
              <w:r w:rsidRPr="00C55BDE">
                <w:rPr>
                  <w:rFonts w:ascii="Verdana" w:hAnsi="Verdana" w:cs="Arial"/>
                  <w:color w:val="0000FF"/>
                  <w:u w:val="single"/>
                </w:rPr>
                <w:t>https://www.colombiacompra.gov.co/archivos/circular/circular-externa-006-de-2025</w:t>
              </w:r>
            </w:hyperlink>
            <w:r w:rsidRPr="00C55BDE">
              <w:rPr>
                <w:rFonts w:ascii="Verdana" w:hAnsi="Verdana" w:cs="Arial"/>
              </w:rPr>
              <w:t xml:space="preserve"> </w:t>
            </w:r>
          </w:p>
        </w:tc>
      </w:tr>
    </w:tbl>
    <w:p w14:paraId="363306DA" w14:textId="77777777" w:rsidR="00B8779A" w:rsidRPr="00C55BDE" w:rsidRDefault="00B8779A" w:rsidP="00B8779A">
      <w:pPr>
        <w:widowControl w:val="0"/>
        <w:autoSpaceDE w:val="0"/>
        <w:autoSpaceDN w:val="0"/>
        <w:spacing w:after="0" w:line="276" w:lineRule="auto"/>
        <w:jc w:val="both"/>
        <w:rPr>
          <w:rFonts w:ascii="Verdana" w:hAnsi="Verdana" w:cs="Arial"/>
          <w:lang w:val="es-ES_tradnl"/>
        </w:rPr>
      </w:pPr>
    </w:p>
    <w:p w14:paraId="5E9AA685" w14:textId="77777777" w:rsidR="00B8779A" w:rsidRPr="00C55BDE" w:rsidRDefault="00B8779A" w:rsidP="00B8779A">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C55BDE">
        <w:rPr>
          <w:rFonts w:ascii="Verdana" w:eastAsia="Century Gothic" w:hAnsi="Verdana" w:cs="Century Gothic"/>
          <w:b/>
          <w:bCs/>
          <w:lang w:val="es-ES_tradnl"/>
        </w:rPr>
        <w:t>Doctrina de la Agencia Nacional de Contratación Pública:</w:t>
      </w:r>
    </w:p>
    <w:p w14:paraId="6DF33300" w14:textId="77777777" w:rsidR="00B8779A" w:rsidRPr="00C55BDE" w:rsidRDefault="00B8779A" w:rsidP="00B8779A">
      <w:pPr>
        <w:widowControl w:val="0"/>
        <w:autoSpaceDE w:val="0"/>
        <w:autoSpaceDN w:val="0"/>
        <w:spacing w:after="0" w:line="276" w:lineRule="auto"/>
        <w:jc w:val="both"/>
        <w:rPr>
          <w:rFonts w:ascii="Verdana" w:hAnsi="Verdana" w:cs="Arial"/>
          <w:lang w:val="es-ES_tradnl"/>
        </w:rPr>
      </w:pPr>
    </w:p>
    <w:p w14:paraId="25F87C6A" w14:textId="77777777" w:rsidR="00B8779A" w:rsidRPr="00C55BDE" w:rsidRDefault="00B8779A" w:rsidP="00B8779A">
      <w:pPr>
        <w:widowControl w:val="0"/>
        <w:autoSpaceDE w:val="0"/>
        <w:autoSpaceDN w:val="0"/>
        <w:spacing w:after="120" w:line="276" w:lineRule="auto"/>
        <w:jc w:val="both"/>
        <w:rPr>
          <w:rFonts w:ascii="Verdana" w:hAnsi="Verdana" w:cs="Arial"/>
          <w:shd w:val="clear" w:color="auto" w:fill="FFFFFF"/>
        </w:rPr>
      </w:pPr>
      <w:r w:rsidRPr="00C55BDE">
        <w:rPr>
          <w:rFonts w:ascii="Verdana" w:hAnsi="Verdana" w:cs="Arial"/>
          <w:shd w:val="clear" w:color="auto" w:fill="FFFFFF"/>
        </w:rPr>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C-1430 del 12 de noviembre del 2025</w:t>
      </w:r>
      <w:r>
        <w:rPr>
          <w:rFonts w:ascii="Verdana" w:hAnsi="Verdana" w:cs="Arial"/>
          <w:shd w:val="clear" w:color="auto" w:fill="FFFFFF"/>
        </w:rPr>
        <w:t>,</w:t>
      </w:r>
      <w:r w:rsidRPr="00C55BDE">
        <w:rPr>
          <w:rFonts w:ascii="Verdana" w:hAnsi="Verdana" w:cs="Arial"/>
          <w:shd w:val="clear" w:color="auto" w:fill="FFFFFF"/>
        </w:rPr>
        <w:t xml:space="preserve"> C-1492 del 21 de noviembre del 2025</w:t>
      </w:r>
      <w:r>
        <w:rPr>
          <w:rFonts w:ascii="Verdana" w:hAnsi="Verdana" w:cs="Arial"/>
          <w:shd w:val="clear" w:color="auto" w:fill="FFFFFF"/>
        </w:rPr>
        <w:t>, C-1608 del 4 de diciembre de 2025 y C-1592 de 2025</w:t>
      </w:r>
      <w:r w:rsidRPr="00C55BDE">
        <w:rPr>
          <w:rFonts w:ascii="Verdana" w:hAnsi="Verdana" w:cs="Arial"/>
          <w:shd w:val="clear" w:color="auto" w:fill="FFFFFF"/>
        </w:rPr>
        <w:t>.</w:t>
      </w:r>
    </w:p>
    <w:p w14:paraId="48C9BA43" w14:textId="77777777" w:rsidR="00B8779A" w:rsidRPr="00C55BDE" w:rsidRDefault="00B8779A" w:rsidP="00B8779A">
      <w:pPr>
        <w:widowControl w:val="0"/>
        <w:autoSpaceDE w:val="0"/>
        <w:autoSpaceDN w:val="0"/>
        <w:spacing w:after="120" w:line="276" w:lineRule="auto"/>
        <w:jc w:val="both"/>
        <w:rPr>
          <w:rFonts w:ascii="Verdana" w:hAnsi="Verdana" w:cs="Arial"/>
          <w:shd w:val="clear" w:color="auto" w:fill="FFFFFF"/>
        </w:rPr>
      </w:pPr>
      <w:r w:rsidRPr="00C55BDE">
        <w:rPr>
          <w:rFonts w:ascii="Verdana" w:hAnsi="Verdana" w:cs="Arial"/>
          <w:shd w:val="clear" w:color="auto" w:fill="FFFFFF"/>
        </w:rPr>
        <w:t>Igualmente ha analizado el marco normativo de contratación con Pueblos Indígenas en los conceptos Nro. C-459 del 22 de diciembre del 2023, C-011 del 01 de marzo del 2024, C-012 del 21 de marzo del 2024, C-062 del 07 de junio del 2024, C-371 del 09 de agosto del 2024, C-256 del 30 de agosto del 2024, C-596 del 16 de octubre del 2024</w:t>
      </w:r>
      <w:r w:rsidRPr="00C55BDE">
        <w:rPr>
          <w:rFonts w:ascii="Verdana" w:hAnsi="Verdana" w:cs="Arial"/>
          <w:shd w:val="clear" w:color="auto" w:fill="FFFFFF"/>
          <w:lang w:val="es-ES"/>
        </w:rPr>
        <w:t>, C-484 del 2025, C-891 del 20 de diciembre del 2024, C-714 del 04 de julio del 2025, C-844 del 06 de agosto del 2025, C-1130 del 17 de septiembre del 2025 y C-1585 del 03 de diciembre del 2025.</w:t>
      </w:r>
      <w:r w:rsidRPr="00C55BDE">
        <w:rPr>
          <w:rFonts w:ascii="Verdana" w:hAnsi="Verdana" w:cs="Arial"/>
          <w:shd w:val="clear" w:color="auto" w:fill="FFFFFF"/>
        </w:rPr>
        <w:t xml:space="preserve"> </w:t>
      </w:r>
      <w:r w:rsidRPr="00C55BDE">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4" w:history="1">
        <w:r w:rsidRPr="00C55BDE">
          <w:rPr>
            <w:rFonts w:ascii="Verdana" w:hAnsi="Verdana" w:cs="Arial"/>
            <w:color w:val="0000FF"/>
            <w:u w:val="single"/>
            <w:shd w:val="clear" w:color="auto" w:fill="FFFFFF"/>
            <w:lang w:val="es-ES_tradnl"/>
          </w:rPr>
          <w:t>https://relatoria.colombiacompra.gov.co/busqueda/conceptos</w:t>
        </w:r>
      </w:hyperlink>
      <w:r w:rsidRPr="00C55BDE">
        <w:rPr>
          <w:rFonts w:ascii="Verdana" w:hAnsi="Verdana" w:cs="Arial"/>
          <w:shd w:val="clear" w:color="auto" w:fill="FFFFFF"/>
          <w:lang w:val="es-ES_tradnl"/>
        </w:rPr>
        <w:t xml:space="preserve">. </w:t>
      </w:r>
      <w:r w:rsidRPr="00C55BDE">
        <w:rPr>
          <w:rFonts w:ascii="Verdana" w:hAnsi="Verdana" w:cs="Arial"/>
          <w:color w:val="FF0000"/>
          <w:shd w:val="clear" w:color="auto" w:fill="FFFFFF"/>
          <w:lang w:val="es-ES_tradnl"/>
        </w:rPr>
        <w:t xml:space="preserve"> </w:t>
      </w:r>
    </w:p>
    <w:p w14:paraId="7DFB6850" w14:textId="77777777" w:rsidR="00B8779A" w:rsidRPr="00C55BDE" w:rsidRDefault="00B8779A" w:rsidP="00B8779A">
      <w:pPr>
        <w:shd w:val="clear" w:color="auto" w:fill="FFFFFF"/>
        <w:spacing w:after="120" w:line="276" w:lineRule="auto"/>
        <w:jc w:val="both"/>
        <w:rPr>
          <w:rFonts w:ascii="Verdana" w:hAnsi="Verdana"/>
          <w:color w:val="467886"/>
          <w:u w:val="single"/>
        </w:rPr>
      </w:pPr>
      <w:r w:rsidRPr="00C55BDE">
        <w:rPr>
          <w:rFonts w:ascii="Verdana" w:hAnsi="Verdana"/>
          <w:color w:val="000000"/>
          <w:lang w:val="es-ES_tradnl"/>
        </w:rPr>
        <w:lastRenderedPageBreak/>
        <w:t>Informamos</w:t>
      </w:r>
      <w:r w:rsidRPr="00C55BDE">
        <w:rPr>
          <w:rFonts w:ascii="Verdana" w:hAnsi="Verdana"/>
          <w:color w:val="000000"/>
        </w:rPr>
        <w:t xml:space="preserve"> que ya se encuentra disponible la </w:t>
      </w:r>
      <w:r w:rsidRPr="00C55BDE">
        <w:rPr>
          <w:rFonts w:ascii="Verdana" w:hAnsi="Verdana"/>
          <w:b/>
          <w:bCs/>
          <w:color w:val="000000"/>
        </w:rPr>
        <w:t>Guía de lineamientos de transparencia y selección objetiva para el departamento de La Guajira – Objetivo sexto constitucional de la Sentencia T-302 del 2017. </w:t>
      </w:r>
      <w:r w:rsidRPr="00C55BDE">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C55BDE">
        <w:rPr>
          <w:rFonts w:ascii="Verdana" w:hAnsi="Verdana"/>
          <w:color w:val="000000"/>
        </w:rPr>
        <w:t>Wayúu</w:t>
      </w:r>
      <w:proofErr w:type="spellEnd"/>
      <w:r w:rsidRPr="00C55BDE">
        <w:rPr>
          <w:rFonts w:ascii="Verdana" w:hAnsi="Verdana"/>
          <w:color w:val="000000"/>
        </w:rPr>
        <w:t>.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C55BDE">
          <w:rPr>
            <w:rFonts w:ascii="Verdana" w:hAnsi="Verdana"/>
            <w:color w:val="0000FF"/>
            <w:u w:val="single"/>
          </w:rPr>
          <w:t>Guía de lineamientos de transparencia y selección objetiva para el departamento de La Guajira – Objetivo sexto constitucional de la Sentencia T-302 del 2017</w:t>
        </w:r>
      </w:hyperlink>
      <w:r w:rsidRPr="00C55BDE">
        <w:rPr>
          <w:rFonts w:ascii="Verdana" w:hAnsi="Verdana"/>
          <w:color w:val="000000"/>
          <w:u w:val="single"/>
        </w:rPr>
        <w:t>.</w:t>
      </w:r>
    </w:p>
    <w:p w14:paraId="30DDCC4F" w14:textId="77777777" w:rsidR="00B8779A" w:rsidRPr="00C55BDE" w:rsidRDefault="00B8779A" w:rsidP="00B8779A">
      <w:pPr>
        <w:shd w:val="clear" w:color="auto" w:fill="FFFFFF"/>
        <w:spacing w:after="0" w:line="276" w:lineRule="auto"/>
        <w:jc w:val="both"/>
        <w:rPr>
          <w:rFonts w:ascii="Verdana" w:hAnsi="Verdana"/>
          <w:color w:val="467886"/>
          <w:u w:val="single"/>
        </w:rPr>
      </w:pPr>
      <w:r w:rsidRPr="00C55BD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7F3C74B" w14:textId="77777777" w:rsidR="00B8779A" w:rsidRPr="00C55BDE" w:rsidRDefault="00B8779A" w:rsidP="00B8779A">
      <w:pPr>
        <w:spacing w:after="0"/>
        <w:jc w:val="both"/>
        <w:rPr>
          <w:rFonts w:ascii="Verdana" w:hAnsi="Verdana"/>
        </w:rPr>
      </w:pPr>
    </w:p>
    <w:p w14:paraId="6E3164DB" w14:textId="77777777" w:rsidR="00B8779A" w:rsidRPr="00C55BDE" w:rsidRDefault="00B8779A" w:rsidP="00B8779A">
      <w:pPr>
        <w:numPr>
          <w:ilvl w:val="0"/>
          <w:numId w:val="15"/>
        </w:numPr>
        <w:spacing w:after="0" w:line="240" w:lineRule="auto"/>
        <w:contextualSpacing/>
        <w:jc w:val="both"/>
        <w:rPr>
          <w:rFonts w:ascii="Verdana" w:eastAsia="Verdana" w:hAnsi="Verdana" w:cs="Verdana"/>
          <w:color w:val="4472C4" w:themeColor="accent1"/>
          <w:u w:val="single"/>
          <w:lang w:val="es-MX"/>
        </w:rPr>
      </w:pPr>
      <w:r w:rsidRPr="00C55BDE">
        <w:rPr>
          <w:rFonts w:ascii="Verdana" w:eastAsia="Verdana" w:hAnsi="Verdana" w:cs="Verdana"/>
          <w:lang w:val="es-MX"/>
        </w:rPr>
        <w:t xml:space="preserve">Línea nacional gratuita o servicio a la ciudadanía (Mesa de servicio): </w:t>
      </w:r>
      <w:r w:rsidRPr="00C55BDE">
        <w:rPr>
          <w:rFonts w:ascii="Verdana" w:hAnsi="Verdana"/>
          <w:color w:val="0000FF"/>
          <w:u w:val="single"/>
          <w:lang w:val="es-ES"/>
        </w:rPr>
        <w:t>01800 0520808</w:t>
      </w:r>
    </w:p>
    <w:p w14:paraId="77F712E0" w14:textId="77777777" w:rsidR="00B8779A" w:rsidRPr="00C55BDE" w:rsidRDefault="00B8779A" w:rsidP="00B8779A">
      <w:pPr>
        <w:numPr>
          <w:ilvl w:val="0"/>
          <w:numId w:val="15"/>
        </w:numPr>
        <w:spacing w:after="0"/>
        <w:contextualSpacing/>
        <w:rPr>
          <w:rFonts w:ascii="Verdana" w:eastAsia="Verdana" w:hAnsi="Verdana" w:cs="Verdana"/>
          <w:color w:val="4472C4" w:themeColor="accent1"/>
          <w:u w:val="single"/>
          <w:lang w:val="es-MX"/>
        </w:rPr>
      </w:pPr>
      <w:r w:rsidRPr="00C55BDE">
        <w:rPr>
          <w:rFonts w:ascii="Verdana" w:eastAsia="Verdana" w:hAnsi="Verdana" w:cs="Verdana"/>
          <w:lang w:val="es-MX"/>
        </w:rPr>
        <w:t>Línea en Bogotá (Mesa de servicio</w:t>
      </w:r>
      <w:proofErr w:type="gramStart"/>
      <w:r w:rsidRPr="00C55BDE">
        <w:rPr>
          <w:rFonts w:ascii="Verdana" w:eastAsia="Verdana" w:hAnsi="Verdana" w:cs="Verdana"/>
          <w:lang w:val="es-MX"/>
        </w:rPr>
        <w:t>):</w:t>
      </w:r>
      <w:r w:rsidRPr="00C55BDE">
        <w:rPr>
          <w:rFonts w:ascii="Verdana" w:hAnsi="Verdana"/>
          <w:color w:val="0000FF"/>
          <w:u w:val="single"/>
          <w:lang w:val="es-ES"/>
        </w:rPr>
        <w:t>+</w:t>
      </w:r>
      <w:proofErr w:type="gramEnd"/>
      <w:r w:rsidRPr="00C55BDE">
        <w:rPr>
          <w:rFonts w:ascii="Verdana" w:hAnsi="Verdana"/>
          <w:color w:val="0000FF"/>
          <w:u w:val="single"/>
          <w:lang w:val="es-ES"/>
        </w:rPr>
        <w:t>57 601 7456788</w:t>
      </w:r>
    </w:p>
    <w:p w14:paraId="5C9C1C2D" w14:textId="77777777" w:rsidR="00B8779A" w:rsidRPr="00C55BDE" w:rsidRDefault="00B8779A" w:rsidP="00B8779A">
      <w:pPr>
        <w:numPr>
          <w:ilvl w:val="0"/>
          <w:numId w:val="15"/>
        </w:numPr>
        <w:spacing w:after="0"/>
        <w:contextualSpacing/>
        <w:rPr>
          <w:rFonts w:ascii="Verdana" w:eastAsia="Verdana" w:hAnsi="Verdana" w:cs="Verdana"/>
          <w:color w:val="0000FF"/>
          <w:u w:val="single"/>
          <w:lang w:val="es-MX"/>
        </w:rPr>
      </w:pPr>
      <w:r w:rsidRPr="00C55BDE">
        <w:rPr>
          <w:rFonts w:ascii="Verdana" w:eastAsia="Verdana" w:hAnsi="Verdana" w:cs="Verdana"/>
          <w:lang w:val="es-MX"/>
        </w:rPr>
        <w:t xml:space="preserve">Correo de radicación de correspondencia: </w:t>
      </w:r>
      <w:hyperlink r:id="rId16" w:history="1">
        <w:r w:rsidRPr="00C55BDE">
          <w:rPr>
            <w:rFonts w:ascii="Verdana" w:eastAsia="Verdana" w:hAnsi="Verdana" w:cs="Verdana"/>
            <w:color w:val="0000FF"/>
            <w:u w:val="single"/>
            <w:lang w:val="es-MX"/>
          </w:rPr>
          <w:t>ventanilladeradicacion@colombiacompra.gov.co</w:t>
        </w:r>
      </w:hyperlink>
    </w:p>
    <w:p w14:paraId="6BF1CD7A" w14:textId="77777777" w:rsidR="00B8779A" w:rsidRPr="00C55BDE" w:rsidRDefault="00B8779A" w:rsidP="00B8779A">
      <w:pPr>
        <w:numPr>
          <w:ilvl w:val="0"/>
          <w:numId w:val="15"/>
        </w:numPr>
        <w:spacing w:after="0"/>
        <w:contextualSpacing/>
        <w:rPr>
          <w:rFonts w:ascii="Verdana" w:eastAsia="Verdana" w:hAnsi="Verdana" w:cs="Verdana"/>
          <w:color w:val="0000FF"/>
          <w:u w:val="single"/>
          <w:lang w:val="es-MX"/>
        </w:rPr>
      </w:pPr>
      <w:r w:rsidRPr="00C55BDE">
        <w:rPr>
          <w:rFonts w:ascii="Verdana" w:eastAsia="Verdana" w:hAnsi="Verdana" w:cs="Verdana"/>
          <w:lang w:val="es-ES"/>
        </w:rPr>
        <w:t xml:space="preserve">Formulario web para PQRSD: </w:t>
      </w:r>
      <w:hyperlink r:id="rId17" w:history="1">
        <w:r w:rsidRPr="00C55BDE">
          <w:rPr>
            <w:rFonts w:ascii="Verdana" w:eastAsia="Verdana" w:hAnsi="Verdana" w:cs="Verdana"/>
            <w:color w:val="0000FF"/>
            <w:u w:val="single"/>
            <w:lang w:val="es-MX"/>
          </w:rPr>
          <w:t>https://www.colombiacompra.gov.co/pqrsd/informacion-importante-antes-de-formular-una-pqrsd</w:t>
        </w:r>
      </w:hyperlink>
    </w:p>
    <w:p w14:paraId="3664A713" w14:textId="77777777" w:rsidR="00B8779A" w:rsidRPr="00C55BDE" w:rsidRDefault="00B8779A" w:rsidP="00B8779A">
      <w:pPr>
        <w:spacing w:after="0" w:line="240" w:lineRule="auto"/>
        <w:ind w:left="720"/>
        <w:jc w:val="both"/>
        <w:rPr>
          <w:rFonts w:ascii="Verdana" w:hAnsi="Verdana"/>
        </w:rPr>
      </w:pPr>
    </w:p>
    <w:p w14:paraId="4E6A5127" w14:textId="77777777" w:rsidR="00B8779A" w:rsidRPr="00C55BDE" w:rsidRDefault="00B8779A" w:rsidP="00B8779A">
      <w:pPr>
        <w:spacing w:after="0" w:line="276" w:lineRule="auto"/>
        <w:jc w:val="both"/>
        <w:rPr>
          <w:rFonts w:ascii="Verdana" w:hAnsi="Verdana"/>
        </w:rPr>
      </w:pPr>
      <w:r w:rsidRPr="00C55BDE">
        <w:rPr>
          <w:rFonts w:ascii="Verdana" w:hAnsi="Verdana"/>
        </w:rPr>
        <w:t xml:space="preserve">Evalúa el servicio que ofrece la Agencia por el canal de atención de PQRSD en el siguiente enlace: </w:t>
      </w:r>
      <w:hyperlink r:id="rId18" w:history="1">
        <w:r w:rsidRPr="00C55BDE">
          <w:rPr>
            <w:rStyle w:val="Hipervnculo"/>
            <w:rFonts w:ascii="Verdana" w:hAnsi="Verdana"/>
          </w:rPr>
          <w:t>https://forms.office.com/r/pPHyWVs2SZ</w:t>
        </w:r>
      </w:hyperlink>
      <w:r w:rsidRPr="00C55BDE">
        <w:rPr>
          <w:rFonts w:ascii="Verdana" w:hAnsi="Verdana"/>
        </w:rPr>
        <w:t xml:space="preserve"> .¡Ayúdanos a mejorar porque el compromiso es de todos!</w:t>
      </w:r>
    </w:p>
    <w:p w14:paraId="5FB8296C" w14:textId="77777777" w:rsidR="00B8779A" w:rsidRPr="00C55BDE" w:rsidRDefault="00B8779A" w:rsidP="00B8779A">
      <w:pPr>
        <w:spacing w:after="0" w:line="240" w:lineRule="auto"/>
        <w:rPr>
          <w:rFonts w:ascii="Verdana" w:hAnsi="Verdana"/>
        </w:rPr>
      </w:pPr>
    </w:p>
    <w:p w14:paraId="3719EF6C" w14:textId="77777777" w:rsidR="00B8779A" w:rsidRPr="00C55BDE" w:rsidRDefault="00B8779A" w:rsidP="00B8779A">
      <w:pPr>
        <w:spacing w:after="0" w:line="240" w:lineRule="auto"/>
        <w:jc w:val="both"/>
        <w:rPr>
          <w:rFonts w:ascii="Verdana" w:hAnsi="Verdana"/>
        </w:rPr>
      </w:pPr>
      <w:r w:rsidRPr="00C55BDE">
        <w:rPr>
          <w:rFonts w:ascii="Verdana" w:hAnsi="Verdana"/>
        </w:rPr>
        <w:t xml:space="preserve">Por último, lo invitamos a seguirnos en las redes sociales en las cuales se difunde información institucional: </w:t>
      </w:r>
    </w:p>
    <w:p w14:paraId="7902DE3E" w14:textId="77777777" w:rsidR="00B8779A" w:rsidRPr="00C55BDE" w:rsidRDefault="00B8779A" w:rsidP="00B8779A">
      <w:pPr>
        <w:spacing w:after="0" w:line="240" w:lineRule="auto"/>
        <w:jc w:val="both"/>
        <w:rPr>
          <w:rFonts w:ascii="Verdana" w:hAnsi="Verdana"/>
        </w:rPr>
      </w:pPr>
    </w:p>
    <w:p w14:paraId="7E14F2D2" w14:textId="77777777" w:rsidR="00B8779A" w:rsidRPr="00C55BDE" w:rsidRDefault="00B8779A" w:rsidP="00B8779A">
      <w:pPr>
        <w:spacing w:after="0" w:line="240" w:lineRule="auto"/>
        <w:jc w:val="both"/>
        <w:rPr>
          <w:rFonts w:ascii="Verdana" w:hAnsi="Verdana"/>
        </w:rPr>
      </w:pPr>
      <w:r w:rsidRPr="00C55BDE">
        <w:rPr>
          <w:rFonts w:ascii="Verdana" w:hAnsi="Verdana"/>
        </w:rPr>
        <w:t xml:space="preserve">Twitter: </w:t>
      </w:r>
      <w:r w:rsidRPr="00C55BDE">
        <w:rPr>
          <w:rFonts w:ascii="Verdana" w:hAnsi="Verdana"/>
          <w:color w:val="0000FF"/>
          <w:u w:val="single"/>
        </w:rPr>
        <w:t>@colombiacompra</w:t>
      </w:r>
      <w:r w:rsidRPr="00C55BDE">
        <w:rPr>
          <w:rFonts w:ascii="Verdana" w:hAnsi="Verdana"/>
        </w:rPr>
        <w:t xml:space="preserve"> </w:t>
      </w:r>
    </w:p>
    <w:p w14:paraId="04B45DB3" w14:textId="77777777" w:rsidR="00B8779A" w:rsidRPr="00C55BDE" w:rsidRDefault="00B8779A" w:rsidP="00B8779A">
      <w:pPr>
        <w:spacing w:after="0" w:line="240" w:lineRule="auto"/>
        <w:jc w:val="both"/>
        <w:rPr>
          <w:rFonts w:ascii="Verdana" w:hAnsi="Verdana"/>
        </w:rPr>
      </w:pPr>
      <w:r w:rsidRPr="00C55BDE">
        <w:rPr>
          <w:rFonts w:ascii="Verdana" w:hAnsi="Verdana"/>
        </w:rPr>
        <w:t xml:space="preserve">Facebook: </w:t>
      </w:r>
      <w:proofErr w:type="spellStart"/>
      <w:r w:rsidRPr="00C55BDE">
        <w:rPr>
          <w:rFonts w:ascii="Verdana" w:hAnsi="Verdana"/>
          <w:color w:val="0000FF"/>
          <w:u w:val="single"/>
        </w:rPr>
        <w:t>ColombiaCompraEficiente</w:t>
      </w:r>
      <w:proofErr w:type="spellEnd"/>
    </w:p>
    <w:p w14:paraId="167B55CD" w14:textId="77777777" w:rsidR="00B8779A" w:rsidRPr="00C55BDE" w:rsidRDefault="00B8779A" w:rsidP="00B8779A">
      <w:pPr>
        <w:spacing w:after="0" w:line="240" w:lineRule="auto"/>
        <w:jc w:val="both"/>
        <w:rPr>
          <w:rFonts w:ascii="Verdana" w:hAnsi="Verdana"/>
        </w:rPr>
      </w:pPr>
      <w:r w:rsidRPr="00C55BDE">
        <w:rPr>
          <w:rFonts w:ascii="Verdana" w:hAnsi="Verdana"/>
        </w:rPr>
        <w:t xml:space="preserve">LinkedIn: </w:t>
      </w:r>
      <w:r w:rsidRPr="00C55BDE">
        <w:rPr>
          <w:rFonts w:ascii="Verdana" w:hAnsi="Verdana"/>
          <w:color w:val="0000FF"/>
          <w:u w:val="single"/>
        </w:rPr>
        <w:t>Agencia Nacional de Contratación Pública - Colombia Compra Eficiente</w:t>
      </w:r>
      <w:r w:rsidRPr="00C55BDE">
        <w:rPr>
          <w:rFonts w:ascii="Verdana" w:hAnsi="Verdana"/>
        </w:rPr>
        <w:t xml:space="preserve"> Instagram: </w:t>
      </w:r>
      <w:r w:rsidRPr="00C55BDE">
        <w:rPr>
          <w:rFonts w:ascii="Verdana" w:hAnsi="Verdana"/>
          <w:color w:val="0000FF"/>
          <w:u w:val="single"/>
        </w:rPr>
        <w:t>@colombiacompraeficiente_cce</w:t>
      </w:r>
    </w:p>
    <w:p w14:paraId="14974EAD" w14:textId="77777777" w:rsidR="00B8779A" w:rsidRPr="00C55BDE" w:rsidRDefault="00B8779A" w:rsidP="00B8779A">
      <w:pPr>
        <w:widowControl w:val="0"/>
        <w:autoSpaceDE w:val="0"/>
        <w:autoSpaceDN w:val="0"/>
        <w:spacing w:after="120" w:line="276" w:lineRule="auto"/>
        <w:jc w:val="both"/>
        <w:rPr>
          <w:rFonts w:ascii="Verdana" w:hAnsi="Verdana" w:cs="Arial"/>
          <w:color w:val="FF0000"/>
          <w:shd w:val="clear" w:color="auto" w:fill="FFFFFF"/>
          <w:lang w:val="es-ES_tradnl"/>
        </w:rPr>
      </w:pPr>
      <w:r w:rsidRPr="00C55BDE">
        <w:rPr>
          <w:rFonts w:ascii="Verdana" w:hAnsi="Verdana" w:cs="Arial"/>
          <w:color w:val="FF0000"/>
          <w:shd w:val="clear" w:color="auto" w:fill="FFFFFF"/>
          <w:lang w:val="es-ES_tradnl"/>
        </w:rPr>
        <w:t xml:space="preserve">        </w:t>
      </w:r>
    </w:p>
    <w:p w14:paraId="0BB1F4FA" w14:textId="77777777" w:rsidR="00B8779A" w:rsidRPr="00C55BDE" w:rsidRDefault="00B8779A" w:rsidP="00B8779A">
      <w:pPr>
        <w:widowControl w:val="0"/>
        <w:autoSpaceDE w:val="0"/>
        <w:autoSpaceDN w:val="0"/>
        <w:spacing w:after="0" w:line="276" w:lineRule="auto"/>
        <w:jc w:val="both"/>
        <w:rPr>
          <w:rFonts w:ascii="Verdana" w:hAnsi="Verdana" w:cs="Arial"/>
          <w:lang w:val="es-ES_tradnl"/>
        </w:rPr>
      </w:pPr>
      <w:r w:rsidRPr="00C55BDE">
        <w:rPr>
          <w:rFonts w:ascii="Verdana" w:hAnsi="Verdana" w:cs="Arial"/>
          <w:lang w:val="es-ES_tradnl"/>
        </w:rPr>
        <w:lastRenderedPageBreak/>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450FE227" w14:textId="77777777" w:rsidR="00B8779A" w:rsidRPr="00C55BDE" w:rsidRDefault="00B8779A" w:rsidP="00B8779A">
      <w:pPr>
        <w:widowControl w:val="0"/>
        <w:autoSpaceDE w:val="0"/>
        <w:autoSpaceDN w:val="0"/>
        <w:spacing w:after="0" w:line="276" w:lineRule="auto"/>
        <w:jc w:val="both"/>
        <w:rPr>
          <w:rFonts w:ascii="Verdana" w:hAnsi="Verdana" w:cs="Arial"/>
          <w:lang w:val="es-ES_tradnl"/>
        </w:rPr>
      </w:pPr>
    </w:p>
    <w:p w14:paraId="0D63C903" w14:textId="77777777" w:rsidR="00B8779A" w:rsidRPr="00C55BDE" w:rsidRDefault="00B8779A" w:rsidP="00B8779A">
      <w:pPr>
        <w:spacing w:after="0" w:line="240" w:lineRule="auto"/>
        <w:rPr>
          <w:rFonts w:ascii="Verdana" w:hAnsi="Verdana" w:cs="Arial"/>
          <w:lang w:val="es-ES_tradnl" w:eastAsia="es-CO"/>
        </w:rPr>
      </w:pPr>
      <w:r w:rsidRPr="00C55BDE">
        <w:rPr>
          <w:rFonts w:ascii="Verdana" w:eastAsia="Times New Roman" w:hAnsi="Verdana" w:cs="Arial"/>
          <w:lang w:val="es-ES" w:eastAsia="es-CO"/>
        </w:rPr>
        <w:t>Atentamente,</w:t>
      </w:r>
      <w:r w:rsidRPr="00C55BDE">
        <w:rPr>
          <w:rFonts w:ascii="Verdana" w:hAnsi="Verdana" w:cs="Arial"/>
          <w:lang w:val="es-ES" w:eastAsia="es-CO"/>
        </w:rPr>
        <w:t xml:space="preserve"> </w:t>
      </w:r>
    </w:p>
    <w:p w14:paraId="4D018EDC" w14:textId="77777777" w:rsidR="00B8779A" w:rsidRDefault="00B8779A" w:rsidP="00B8779A">
      <w:pPr>
        <w:spacing w:after="0" w:line="240" w:lineRule="auto"/>
        <w:rPr>
          <w:rFonts w:ascii="Verdana" w:eastAsia="Calibri" w:hAnsi="Verdana" w:cs="Arial"/>
          <w:b/>
          <w:bCs/>
          <w:lang w:val="es-ES" w:eastAsia="es-ES"/>
        </w:rPr>
      </w:pPr>
    </w:p>
    <w:p w14:paraId="725FEB53" w14:textId="77777777" w:rsidR="003A3599" w:rsidRDefault="003A3599" w:rsidP="003A3599">
      <w:pPr>
        <w:spacing w:line="276" w:lineRule="auto"/>
        <w:jc w:val="center"/>
        <w:rPr>
          <w:rFonts w:ascii="Verdana" w:eastAsia="Calibri" w:hAnsi="Verdana" w:cs="Arial"/>
          <w:color w:val="000000"/>
          <w:lang w:val="es-ES_tradnl" w:eastAsia="es-CO"/>
        </w:rPr>
      </w:pPr>
      <w:r w:rsidRPr="002C3AD6">
        <w:rPr>
          <w:rFonts w:ascii="Century Gothic" w:hAnsi="Century Gothic"/>
          <w:noProof/>
        </w:rPr>
        <w:drawing>
          <wp:inline distT="0" distB="0" distL="0" distR="0" wp14:anchorId="71AE6490" wp14:editId="4A54E9F0">
            <wp:extent cx="3771900" cy="1318260"/>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772426" cy="1318444"/>
                    </a:xfrm>
                    <a:prstGeom prst="rect">
                      <a:avLst/>
                    </a:prstGeom>
                  </pic:spPr>
                </pic:pic>
              </a:graphicData>
            </a:graphic>
          </wp:inline>
        </w:drawing>
      </w:r>
    </w:p>
    <w:tbl>
      <w:tblPr>
        <w:tblStyle w:val="Tablaconcuadrcula11"/>
        <w:tblW w:w="6521" w:type="dxa"/>
        <w:tblLook w:val="04A0" w:firstRow="1" w:lastRow="0" w:firstColumn="1" w:lastColumn="0" w:noHBand="0" w:noVBand="1"/>
      </w:tblPr>
      <w:tblGrid>
        <w:gridCol w:w="893"/>
        <w:gridCol w:w="5628"/>
      </w:tblGrid>
      <w:tr w:rsidR="003A3599" w14:paraId="139A7E11" w14:textId="77777777" w:rsidTr="00FE6ED8">
        <w:trPr>
          <w:trHeight w:val="315"/>
        </w:trPr>
        <w:tc>
          <w:tcPr>
            <w:tcW w:w="893" w:type="dxa"/>
            <w:vAlign w:val="center"/>
            <w:hideMark/>
          </w:tcPr>
          <w:p w14:paraId="64D3BF05" w14:textId="77777777" w:rsidR="003A3599" w:rsidRDefault="003A3599" w:rsidP="00FE6ED8">
            <w:pPr>
              <w:spacing w:after="255" w:line="254" w:lineRule="auto"/>
              <w:contextualSpacing/>
              <w:rPr>
                <w:rFonts w:ascii="Verdana" w:eastAsia="Calibri" w:hAnsi="Verdana"/>
                <w:sz w:val="16"/>
                <w:szCs w:val="16"/>
                <w:lang w:eastAsia="es-ES"/>
              </w:rPr>
            </w:pPr>
            <w:r>
              <w:rPr>
                <w:rFonts w:ascii="Verdana" w:eastAsia="Calibri" w:hAnsi="Verdana"/>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2A540400" w14:textId="77777777" w:rsidR="003A3599" w:rsidRDefault="003A3599" w:rsidP="00FE6ED8">
            <w:pPr>
              <w:spacing w:after="255" w:line="254" w:lineRule="auto"/>
              <w:contextualSpacing/>
              <w:rPr>
                <w:rFonts w:ascii="Verdana" w:eastAsia="Calibri" w:hAnsi="Verdana" w:cs="Times New Roman"/>
                <w:sz w:val="16"/>
                <w:szCs w:val="16"/>
              </w:rPr>
            </w:pPr>
            <w:r>
              <w:rPr>
                <w:rFonts w:ascii="Verdana" w:eastAsia="Calibri" w:hAnsi="Verdana" w:cs="Times New Roman"/>
                <w:sz w:val="16"/>
                <w:szCs w:val="16"/>
              </w:rPr>
              <w:t>Tatiana Baquero Iguarán</w:t>
            </w:r>
          </w:p>
          <w:p w14:paraId="742A3E07" w14:textId="77777777" w:rsidR="003A3599" w:rsidRDefault="003A3599" w:rsidP="00FE6ED8">
            <w:pPr>
              <w:spacing w:after="255" w:line="254" w:lineRule="auto"/>
              <w:contextualSpacing/>
              <w:rPr>
                <w:rFonts w:ascii="Verdana" w:hAnsi="Verdana"/>
                <w:sz w:val="16"/>
                <w:szCs w:val="16"/>
              </w:rPr>
            </w:pPr>
            <w:r>
              <w:rPr>
                <w:rFonts w:ascii="Verdana" w:eastAsia="Calibri" w:hAnsi="Verdana" w:cs="Times New Roman"/>
                <w:sz w:val="16"/>
                <w:szCs w:val="16"/>
              </w:rPr>
              <w:t>Contratista de la Subdirección de Gestión Contractual</w:t>
            </w:r>
          </w:p>
        </w:tc>
      </w:tr>
      <w:tr w:rsidR="003A3599" w14:paraId="4FD513FE" w14:textId="77777777" w:rsidTr="00FE6ED8">
        <w:trPr>
          <w:trHeight w:val="330"/>
        </w:trPr>
        <w:tc>
          <w:tcPr>
            <w:tcW w:w="893" w:type="dxa"/>
            <w:vAlign w:val="center"/>
            <w:hideMark/>
          </w:tcPr>
          <w:p w14:paraId="28E31ED4" w14:textId="77777777" w:rsidR="003A3599" w:rsidRDefault="003A3599" w:rsidP="00FE6ED8">
            <w:pPr>
              <w:spacing w:after="255" w:line="254" w:lineRule="auto"/>
              <w:contextualSpacing/>
              <w:rPr>
                <w:rFonts w:ascii="Verdana" w:eastAsia="Calibri" w:hAnsi="Verdana"/>
                <w:sz w:val="16"/>
                <w:szCs w:val="16"/>
                <w:lang w:eastAsia="es-ES"/>
              </w:rPr>
            </w:pPr>
            <w:r>
              <w:rPr>
                <w:rFonts w:ascii="Verdana" w:eastAsia="Calibri" w:hAnsi="Verdana"/>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C227DE3" w14:textId="77777777" w:rsidR="003A3599" w:rsidRDefault="003A3599" w:rsidP="00FE6ED8">
            <w:pPr>
              <w:spacing w:before="100" w:beforeAutospacing="1" w:after="100" w:afterAutospacing="1" w:line="254" w:lineRule="auto"/>
              <w:contextualSpacing/>
              <w:textAlignment w:val="baseline"/>
              <w:rPr>
                <w:rFonts w:ascii="Verdana" w:eastAsia="Times New Roman" w:hAnsi="Verdana"/>
                <w:sz w:val="16"/>
                <w:szCs w:val="16"/>
                <w:lang w:eastAsia="es-ES_tradnl"/>
              </w:rPr>
            </w:pPr>
            <w:r>
              <w:rPr>
                <w:rFonts w:ascii="Verdana" w:eastAsia="Times New Roman" w:hAnsi="Verdana"/>
                <w:sz w:val="16"/>
                <w:szCs w:val="16"/>
                <w:lang w:eastAsia="es-ES_tradnl"/>
              </w:rPr>
              <w:t>Alejandro Sarmiento Cantillo</w:t>
            </w:r>
          </w:p>
          <w:p w14:paraId="42444342" w14:textId="77777777" w:rsidR="003A3599" w:rsidRDefault="003A3599" w:rsidP="00FE6ED8">
            <w:pPr>
              <w:spacing w:after="255" w:line="254" w:lineRule="auto"/>
              <w:contextualSpacing/>
              <w:textAlignment w:val="baseline"/>
              <w:rPr>
                <w:rFonts w:ascii="Verdana" w:eastAsia="Times New Roman" w:hAnsi="Verdana" w:cs="Segoe UI"/>
                <w:sz w:val="16"/>
                <w:szCs w:val="16"/>
                <w:lang w:eastAsia="es-ES_tradnl"/>
              </w:rPr>
            </w:pPr>
            <w:r>
              <w:rPr>
                <w:rFonts w:ascii="Verdana" w:eastAsia="Times New Roman" w:hAnsi="Verdana"/>
                <w:sz w:val="16"/>
                <w:szCs w:val="16"/>
                <w:lang w:eastAsia="es-ES_tradnl"/>
              </w:rPr>
              <w:t>Gestor T1 ‒ 15 de la Subdirección de Gestión Contractual </w:t>
            </w:r>
          </w:p>
        </w:tc>
      </w:tr>
      <w:tr w:rsidR="003A3599" w14:paraId="5A612344" w14:textId="77777777" w:rsidTr="00FE6ED8">
        <w:trPr>
          <w:trHeight w:val="300"/>
        </w:trPr>
        <w:tc>
          <w:tcPr>
            <w:tcW w:w="893" w:type="dxa"/>
            <w:vAlign w:val="center"/>
            <w:hideMark/>
          </w:tcPr>
          <w:p w14:paraId="3C6CC905" w14:textId="77777777" w:rsidR="003A3599" w:rsidRDefault="003A3599" w:rsidP="00FE6ED8">
            <w:pPr>
              <w:spacing w:after="255" w:line="254" w:lineRule="auto"/>
              <w:contextualSpacing/>
              <w:rPr>
                <w:rFonts w:ascii="Verdana" w:eastAsia="Calibri" w:hAnsi="Verdana"/>
                <w:sz w:val="16"/>
                <w:szCs w:val="16"/>
                <w:lang w:eastAsia="es-ES"/>
              </w:rPr>
            </w:pPr>
            <w:r>
              <w:rPr>
                <w:rFonts w:ascii="Verdana" w:eastAsia="Calibri" w:hAnsi="Verdana"/>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468A52D" w14:textId="77777777" w:rsidR="003A3599" w:rsidRDefault="003A3599" w:rsidP="00FE6ED8">
            <w:pPr>
              <w:spacing w:after="255" w:line="254" w:lineRule="auto"/>
              <w:contextualSpacing/>
              <w:rPr>
                <w:rFonts w:ascii="Verdana" w:eastAsia="Calibri" w:hAnsi="Verdana"/>
                <w:sz w:val="16"/>
                <w:szCs w:val="16"/>
                <w:lang w:val="pt-BR" w:eastAsia="es-ES"/>
              </w:rPr>
            </w:pPr>
            <w:r>
              <w:rPr>
                <w:rFonts w:ascii="Verdana" w:eastAsia="Calibri" w:hAnsi="Verdana"/>
                <w:sz w:val="16"/>
                <w:szCs w:val="16"/>
                <w:lang w:val="pt-BR" w:eastAsia="es-ES"/>
              </w:rPr>
              <w:t xml:space="preserve">Carolina Quintero </w:t>
            </w:r>
            <w:proofErr w:type="spellStart"/>
            <w:r>
              <w:rPr>
                <w:rFonts w:ascii="Verdana" w:eastAsia="Calibri" w:hAnsi="Verdana"/>
                <w:sz w:val="16"/>
                <w:szCs w:val="16"/>
                <w:lang w:val="pt-BR" w:eastAsia="es-ES"/>
              </w:rPr>
              <w:t>Gacharná</w:t>
            </w:r>
            <w:proofErr w:type="spellEnd"/>
          </w:p>
          <w:p w14:paraId="2D957974" w14:textId="77777777" w:rsidR="003A3599" w:rsidRDefault="003A3599" w:rsidP="00FE6ED8">
            <w:pPr>
              <w:spacing w:after="255" w:line="254" w:lineRule="auto"/>
              <w:contextualSpacing/>
              <w:rPr>
                <w:rFonts w:ascii="Verdana" w:eastAsia="Calibri" w:hAnsi="Verdana"/>
                <w:sz w:val="16"/>
                <w:szCs w:val="16"/>
                <w:lang w:val="pt-BR" w:eastAsia="es-ES"/>
              </w:rPr>
            </w:pPr>
            <w:r>
              <w:rPr>
                <w:rFonts w:ascii="Verdana" w:eastAsia="Calibri" w:hAnsi="Verdana"/>
                <w:sz w:val="16"/>
                <w:szCs w:val="16"/>
                <w:lang w:eastAsia="es-ES"/>
              </w:rPr>
              <w:t>Subdirectora</w:t>
            </w:r>
            <w:r>
              <w:rPr>
                <w:rFonts w:ascii="Verdana" w:eastAsia="Calibri" w:hAnsi="Verdana"/>
                <w:sz w:val="16"/>
                <w:szCs w:val="16"/>
                <w:lang w:val="pt-BR" w:eastAsia="es-ES"/>
              </w:rPr>
              <w:t xml:space="preserve"> de Gestión Contratual ANCP – CCE</w:t>
            </w:r>
          </w:p>
        </w:tc>
      </w:tr>
    </w:tbl>
    <w:p w14:paraId="5B92D685" w14:textId="77777777" w:rsidR="003A3599" w:rsidRDefault="003A3599" w:rsidP="003A3599">
      <w:pPr>
        <w:spacing w:after="0" w:line="240" w:lineRule="auto"/>
        <w:rPr>
          <w:rFonts w:ascii="Verdana" w:eastAsia="Times New Roman" w:hAnsi="Verdana" w:cs="Arial"/>
          <w:sz w:val="24"/>
          <w:szCs w:val="24"/>
          <w:lang w:eastAsia="es-ES"/>
        </w:rPr>
      </w:pPr>
    </w:p>
    <w:p w14:paraId="2B3C9EF5" w14:textId="77777777" w:rsidR="003A3599" w:rsidRDefault="003A3599" w:rsidP="003A3599"/>
    <w:p w14:paraId="4FAAF365" w14:textId="77777777" w:rsidR="003A3599" w:rsidRDefault="003A3599" w:rsidP="003A3599"/>
    <w:p w14:paraId="6C485416" w14:textId="77777777" w:rsidR="003A3599" w:rsidRPr="00C55BDE" w:rsidRDefault="003A3599" w:rsidP="003A3599">
      <w:pPr>
        <w:spacing w:after="0"/>
        <w:rPr>
          <w:rFonts w:ascii="Verdana" w:eastAsia="Times New Roman" w:hAnsi="Verdana" w:cs="Segoe UI"/>
          <w:lang w:val="es-ES" w:eastAsia="es-CO"/>
        </w:rPr>
      </w:pPr>
    </w:p>
    <w:p w14:paraId="2DCECD80" w14:textId="77777777" w:rsidR="003A3599" w:rsidRPr="00B32004" w:rsidRDefault="003A3599" w:rsidP="003A3599"/>
    <w:p w14:paraId="4FD25B66" w14:textId="77777777" w:rsidR="00B8779A" w:rsidRDefault="00B8779A" w:rsidP="00B8779A"/>
    <w:p w14:paraId="54092AD9" w14:textId="77777777" w:rsidR="00B8779A" w:rsidRPr="00C55BDE" w:rsidRDefault="00B8779A" w:rsidP="00B8779A">
      <w:pPr>
        <w:spacing w:after="0"/>
        <w:rPr>
          <w:rFonts w:ascii="Verdana" w:eastAsia="Times New Roman" w:hAnsi="Verdana" w:cs="Segoe UI"/>
          <w:lang w:val="es-ES" w:eastAsia="es-CO"/>
        </w:rPr>
      </w:pPr>
    </w:p>
    <w:p w14:paraId="7EBDBC04" w14:textId="77777777" w:rsidR="00B8779A" w:rsidRPr="00B8352B" w:rsidRDefault="00B8779A" w:rsidP="00B8779A"/>
    <w:bookmarkEnd w:id="0"/>
    <w:p w14:paraId="25F2AF7F" w14:textId="77777777" w:rsidR="007D4B2E" w:rsidRPr="00C55BDE" w:rsidRDefault="007D4B2E" w:rsidP="00C15139">
      <w:pPr>
        <w:spacing w:after="0"/>
        <w:rPr>
          <w:rFonts w:ascii="Verdana" w:hAnsi="Verdana"/>
        </w:rPr>
      </w:pPr>
    </w:p>
    <w:sectPr w:rsidR="007D4B2E" w:rsidRPr="00C55BDE"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0C3567" w14:textId="77777777" w:rsidR="00891996" w:rsidRDefault="00891996" w:rsidP="004A1847">
      <w:pPr>
        <w:spacing w:after="0" w:line="240" w:lineRule="auto"/>
      </w:pPr>
      <w:r>
        <w:separator/>
      </w:r>
    </w:p>
  </w:endnote>
  <w:endnote w:type="continuationSeparator" w:id="0">
    <w:p w14:paraId="15B97C61" w14:textId="77777777" w:rsidR="00891996" w:rsidRDefault="0089199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386ACB" w14:textId="77777777" w:rsidR="00891996" w:rsidRDefault="00891996" w:rsidP="004A1847">
      <w:pPr>
        <w:spacing w:after="0" w:line="240" w:lineRule="auto"/>
      </w:pPr>
      <w:r>
        <w:separator/>
      </w:r>
    </w:p>
  </w:footnote>
  <w:footnote w:type="continuationSeparator" w:id="0">
    <w:p w14:paraId="4236D33A" w14:textId="77777777" w:rsidR="00891996" w:rsidRDefault="00891996" w:rsidP="004A1847">
      <w:pPr>
        <w:spacing w:after="0" w:line="240" w:lineRule="auto"/>
      </w:pPr>
      <w:r>
        <w:continuationSeparator/>
      </w:r>
    </w:p>
  </w:footnote>
  <w:footnote w:id="1">
    <w:p w14:paraId="26FCF8D7" w14:textId="77777777" w:rsidR="00B8779A" w:rsidRPr="00454929" w:rsidRDefault="00B8779A" w:rsidP="00B8779A">
      <w:pPr>
        <w:pStyle w:val="Textonotapie"/>
        <w:ind w:firstLine="708"/>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Decreto 1088 de 1993: “Artículo 1° Aplicabilidad. Los Cabildos y/o Autoridades Tradicionales Indígenas, en representación de sus respectivos territorios indígenas, podrán conformar asociaciones de conformidad con el presente Decreto. </w:t>
      </w:r>
    </w:p>
    <w:p w14:paraId="51E32AB1" w14:textId="77777777" w:rsidR="00B8779A" w:rsidRPr="00454929" w:rsidRDefault="00B8779A" w:rsidP="00B8779A">
      <w:pPr>
        <w:pStyle w:val="Textonotapie"/>
        <w:ind w:firstLine="708"/>
        <w:jc w:val="both"/>
        <w:rPr>
          <w:rFonts w:ascii="Verdana" w:hAnsi="Verdana" w:cs="Arial"/>
          <w:sz w:val="16"/>
          <w:szCs w:val="16"/>
        </w:rPr>
      </w:pPr>
      <w:r w:rsidRPr="00454929">
        <w:rPr>
          <w:rFonts w:ascii="Verdana" w:hAnsi="Verdana" w:cs="Arial"/>
          <w:sz w:val="16"/>
          <w:szCs w:val="16"/>
        </w:rPr>
        <w:t>“Artículo 2° Naturaleza Jurídica. Las asociaciones de que trata el presente Decreto son entidades de Derecho Público de carácter especial, con personería jurídica, patrimonio propio y autonomía administrativa”.</w:t>
      </w:r>
    </w:p>
  </w:footnote>
  <w:footnote w:id="2">
    <w:p w14:paraId="12E9B94C" w14:textId="77777777" w:rsidR="00B8779A" w:rsidRPr="00454929" w:rsidRDefault="00B8779A" w:rsidP="00B8779A">
      <w:pPr>
        <w:shd w:val="clear" w:color="auto" w:fill="FFFFFF"/>
        <w:spacing w:after="0" w:line="240" w:lineRule="auto"/>
        <w:ind w:firstLine="708"/>
        <w:jc w:val="both"/>
        <w:rPr>
          <w:rFonts w:ascii="Verdana" w:hAnsi="Verdana" w:cs="Arial"/>
          <w:color w:val="2D2D2D"/>
          <w:sz w:val="16"/>
          <w:szCs w:val="16"/>
          <w:lang w:eastAsia="es-CO"/>
        </w:rPr>
      </w:pPr>
      <w:r w:rsidRPr="00454929">
        <w:rPr>
          <w:rStyle w:val="Refdenotaalpie"/>
          <w:rFonts w:ascii="Verdana" w:hAnsi="Verdana" w:cs="Arial"/>
          <w:sz w:val="16"/>
          <w:szCs w:val="16"/>
        </w:rPr>
        <w:footnoteRef/>
      </w:r>
      <w:r w:rsidRPr="00454929">
        <w:rPr>
          <w:rFonts w:ascii="Verdana" w:hAnsi="Verdana" w:cs="Arial"/>
          <w:sz w:val="16"/>
          <w:szCs w:val="16"/>
        </w:rPr>
        <w:t xml:space="preserve"> Sobre la noción de Resguardos indígenas la Corte Constitucional: “</w:t>
      </w:r>
      <w:r w:rsidRPr="00454929">
        <w:rPr>
          <w:rFonts w:ascii="Verdana" w:hAnsi="Verdana" w:cs="Arial"/>
          <w:color w:val="2D2D2D"/>
          <w:sz w:val="16"/>
          <w:szCs w:val="16"/>
          <w:lang w:eastAsia="es-CO"/>
        </w:rPr>
        <w:t>Cabe recordar, que los resguardos indígenas se remontan a la época de la colonización española, fueron creados por Cédula Real y deben su nombre al propósito de “</w:t>
      </w:r>
      <w:r w:rsidRPr="00454929">
        <w:rPr>
          <w:rFonts w:ascii="Verdana" w:hAnsi="Verdana" w:cs="Arial"/>
          <w:i/>
          <w:color w:val="2D2D2D"/>
          <w:sz w:val="16"/>
          <w:szCs w:val="16"/>
          <w:lang w:eastAsia="es-CO"/>
        </w:rPr>
        <w:t>resguardar</w:t>
      </w:r>
      <w:r w:rsidRPr="00454929">
        <w:rPr>
          <w:rFonts w:ascii="Verdana" w:hAnsi="Verdana" w:cs="Arial"/>
          <w:color w:val="2D2D2D"/>
          <w:sz w:val="16"/>
          <w:szCs w:val="16"/>
          <w:lang w:eastAsia="es-CO"/>
        </w:rPr>
        <w:t xml:space="preserve">” a las comunidades indígenas del desalojo, el despojo y el exterminio al que estaban siendo sometidas por parte de los denominados conquistadores. </w:t>
      </w:r>
    </w:p>
    <w:p w14:paraId="2B7648CA" w14:textId="77777777" w:rsidR="00B8779A" w:rsidRPr="00454929" w:rsidRDefault="00B8779A" w:rsidP="00B8779A">
      <w:pPr>
        <w:shd w:val="clear" w:color="auto" w:fill="FFFFFF"/>
        <w:spacing w:after="0" w:line="240" w:lineRule="auto"/>
        <w:ind w:firstLine="708"/>
        <w:jc w:val="both"/>
        <w:rPr>
          <w:rFonts w:ascii="Verdana" w:hAnsi="Verdana" w:cs="Arial"/>
          <w:color w:val="2D2D2D"/>
          <w:sz w:val="16"/>
          <w:szCs w:val="16"/>
          <w:lang w:eastAsia="es-CO"/>
        </w:rPr>
      </w:pPr>
    </w:p>
  </w:footnote>
  <w:footnote w:id="3">
    <w:p w14:paraId="73D33F5A" w14:textId="77777777" w:rsidR="00B8779A" w:rsidRPr="00454929" w:rsidRDefault="00B8779A" w:rsidP="00B8779A">
      <w:pPr>
        <w:pStyle w:val="NormalWeb"/>
        <w:spacing w:before="0" w:beforeAutospacing="0" w:after="0" w:afterAutospacing="0"/>
        <w:ind w:firstLine="708"/>
        <w:jc w:val="both"/>
        <w:rPr>
          <w:rFonts w:ascii="Verdana" w:hAnsi="Verdana" w:cs="Arial"/>
          <w:color w:val="000000"/>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Ley 160 de 1994: “</w:t>
      </w:r>
      <w:r w:rsidRPr="00454929">
        <w:rPr>
          <w:rFonts w:ascii="Verdana" w:hAnsi="Verdana" w:cs="Arial"/>
          <w:color w:val="000000"/>
          <w:sz w:val="16"/>
          <w:szCs w:val="16"/>
        </w:rPr>
        <w:t>Artículo 12. Son funciones del Instituto Colombiano de la Reforma Agraria:  </w:t>
      </w:r>
    </w:p>
    <w:p w14:paraId="0A3254F6" w14:textId="77777777" w:rsidR="00B8779A" w:rsidRPr="00454929" w:rsidRDefault="00B8779A" w:rsidP="00B8779A">
      <w:pPr>
        <w:spacing w:after="0" w:line="240" w:lineRule="auto"/>
        <w:ind w:firstLine="708"/>
        <w:jc w:val="both"/>
        <w:rPr>
          <w:rFonts w:ascii="Verdana" w:hAnsi="Verdana" w:cs="Arial"/>
          <w:color w:val="000000"/>
          <w:sz w:val="16"/>
          <w:szCs w:val="16"/>
          <w:lang w:eastAsia="es-CO"/>
        </w:rPr>
      </w:pPr>
      <w:r w:rsidRPr="00454929">
        <w:rPr>
          <w:rFonts w:ascii="Verdana" w:hAnsi="Verdana" w:cs="Arial"/>
          <w:color w:val="000000"/>
          <w:sz w:val="16"/>
          <w:szCs w:val="16"/>
          <w:lang w:eastAsia="es-CO"/>
        </w:rPr>
        <w:t>[…]</w:t>
      </w:r>
    </w:p>
    <w:p w14:paraId="47F21F2F" w14:textId="77777777" w:rsidR="00B8779A" w:rsidRPr="00454929" w:rsidRDefault="00B8779A" w:rsidP="00B8779A">
      <w:pPr>
        <w:spacing w:after="0" w:line="240" w:lineRule="auto"/>
        <w:ind w:firstLine="708"/>
        <w:jc w:val="both"/>
        <w:rPr>
          <w:rFonts w:ascii="Verdana" w:hAnsi="Verdana" w:cs="Arial"/>
          <w:color w:val="000000"/>
          <w:sz w:val="16"/>
          <w:szCs w:val="16"/>
          <w:lang w:eastAsia="es-CO"/>
        </w:rPr>
      </w:pPr>
      <w:r w:rsidRPr="00454929">
        <w:rPr>
          <w:rFonts w:ascii="Verdana" w:hAnsi="Verdana" w:cs="Arial"/>
          <w:color w:val="000000"/>
          <w:sz w:val="16"/>
          <w:szCs w:val="16"/>
          <w:lang w:eastAsia="es-CO"/>
        </w:rPr>
        <w:t>“18. Estudiar las necesidades de tierras de las comunidades indígenas y constituir, ampliar, sanear y reestructurar los resguardos en beneficio de las respectivas parcialidades […]”.</w:t>
      </w:r>
    </w:p>
    <w:p w14:paraId="2EA3224C" w14:textId="77777777" w:rsidR="00B8779A" w:rsidRPr="00454929" w:rsidRDefault="00B8779A" w:rsidP="00B8779A">
      <w:pPr>
        <w:spacing w:after="0" w:line="240" w:lineRule="auto"/>
        <w:ind w:firstLine="708"/>
        <w:jc w:val="both"/>
        <w:rPr>
          <w:rFonts w:ascii="Verdana" w:hAnsi="Verdana" w:cs="Arial"/>
          <w:color w:val="000000"/>
          <w:sz w:val="16"/>
          <w:szCs w:val="16"/>
          <w:lang w:eastAsia="es-CO"/>
        </w:rPr>
      </w:pPr>
    </w:p>
  </w:footnote>
  <w:footnote w:id="4">
    <w:p w14:paraId="43677761" w14:textId="77777777" w:rsidR="00B8779A" w:rsidRPr="00454929" w:rsidRDefault="00B8779A" w:rsidP="00B8779A">
      <w:pPr>
        <w:pStyle w:val="Textonotapie"/>
        <w:ind w:firstLine="708"/>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Ley 160 de 1994 “Articulo 85. El Instituto estudiará las necesidades de tierras, de las comunidades indígenas, para el efecto de dotarlas de las superficies indispensables que faciliten su adecuado asentamiento y desarrollo, y además llevará a cabo el estudio de los títulos que aquellas presenten con el fin de establecer la existencia legal de los resguardos. </w:t>
      </w:r>
    </w:p>
    <w:p w14:paraId="735B9FCC" w14:textId="77777777" w:rsidR="00B8779A" w:rsidRPr="00454929" w:rsidRDefault="00B8779A" w:rsidP="00B8779A">
      <w:pPr>
        <w:pStyle w:val="Textonotapie"/>
        <w:ind w:firstLine="708"/>
        <w:jc w:val="both"/>
        <w:rPr>
          <w:rFonts w:ascii="Verdana" w:hAnsi="Verdana" w:cs="Arial"/>
          <w:sz w:val="16"/>
          <w:szCs w:val="16"/>
        </w:rPr>
      </w:pPr>
      <w:r w:rsidRPr="00454929">
        <w:rPr>
          <w:rFonts w:ascii="Verdana" w:hAnsi="Verdana" w:cs="Arial"/>
          <w:sz w:val="16"/>
          <w:szCs w:val="16"/>
        </w:rPr>
        <w:t xml:space="preserve">“Con tal objeto constituirá o ampliará resguardos de tierras y procederá al saneamiento de aquellos que estuvieren ocupados por personas que no pertenezcan a la respectiva parcialidad. </w:t>
      </w:r>
    </w:p>
  </w:footnote>
  <w:footnote w:id="5">
    <w:p w14:paraId="1D0E53F7" w14:textId="77777777" w:rsidR="00B8779A" w:rsidRPr="00454929" w:rsidRDefault="00B8779A" w:rsidP="00B8779A">
      <w:pPr>
        <w:pStyle w:val="NormalWeb"/>
        <w:spacing w:before="0" w:beforeAutospacing="0" w:after="0" w:afterAutospacing="0"/>
        <w:ind w:firstLine="708"/>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Decreto 1953 de 2014: “</w:t>
      </w:r>
      <w:r w:rsidRPr="00454929">
        <w:rPr>
          <w:rFonts w:ascii="Verdana" w:hAnsi="Verdana" w:cs="Arial"/>
          <w:color w:val="000000"/>
          <w:sz w:val="16"/>
          <w:szCs w:val="16"/>
        </w:rPr>
        <w:t>Artículo 3°. Funcionamiento de los Territorios Indígenas</w:t>
      </w:r>
      <w:r w:rsidRPr="00454929">
        <w:rPr>
          <w:rFonts w:ascii="Verdana" w:hAnsi="Verdana" w:cs="Arial"/>
          <w:i/>
          <w:color w:val="000000"/>
          <w:sz w:val="16"/>
          <w:szCs w:val="16"/>
        </w:rPr>
        <w:t>. </w:t>
      </w:r>
      <w:r w:rsidRPr="00454929">
        <w:rPr>
          <w:rFonts w:ascii="Verdana" w:hAnsi="Verdana" w:cs="Arial"/>
          <w:color w:val="000000"/>
          <w:sz w:val="16"/>
          <w:szCs w:val="16"/>
        </w:rPr>
        <w:t xml:space="preserve">Los Territorios Indígenas podrán ponerse en funcionamiento, de manera transitoria, de conformidad con las disposiciones del presente decreto, mientras el Congreso expide la Ley Orgánica de Ordenamiento Territorial que crea las entidades territoriales indígenas. </w:t>
      </w:r>
    </w:p>
  </w:footnote>
  <w:footnote w:id="6">
    <w:p w14:paraId="49B7F223" w14:textId="77777777" w:rsidR="00B8779A" w:rsidRPr="00454929" w:rsidRDefault="00B8779A" w:rsidP="00B8779A">
      <w:pPr>
        <w:pStyle w:val="Textonotapie"/>
        <w:jc w:val="both"/>
        <w:rPr>
          <w:rFonts w:ascii="Verdana" w:hAnsi="Verdana" w:cs="Arial"/>
          <w:sz w:val="16"/>
          <w:szCs w:val="16"/>
        </w:rPr>
      </w:pPr>
    </w:p>
    <w:p w14:paraId="30D10687" w14:textId="77777777" w:rsidR="00B8779A" w:rsidRPr="00454929" w:rsidRDefault="00B8779A" w:rsidP="00B8779A">
      <w:pPr>
        <w:pStyle w:val="Textonotapie"/>
        <w:ind w:firstLine="708"/>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Ibidem. </w:t>
      </w:r>
    </w:p>
    <w:p w14:paraId="5DF42C67" w14:textId="77777777" w:rsidR="00B8779A" w:rsidRPr="00454929" w:rsidRDefault="00B8779A" w:rsidP="00B8779A">
      <w:pPr>
        <w:pStyle w:val="Textonotapie"/>
        <w:ind w:firstLine="708"/>
        <w:jc w:val="both"/>
        <w:rPr>
          <w:rFonts w:ascii="Verdana" w:hAnsi="Verdana" w:cs="Arial"/>
          <w:sz w:val="16"/>
          <w:szCs w:val="16"/>
        </w:rPr>
      </w:pPr>
    </w:p>
  </w:footnote>
  <w:footnote w:id="7">
    <w:p w14:paraId="7B585091" w14:textId="77777777" w:rsidR="00B8779A" w:rsidRPr="00454929" w:rsidRDefault="00B8779A" w:rsidP="00B8779A">
      <w:pPr>
        <w:spacing w:after="0" w:line="240" w:lineRule="auto"/>
        <w:ind w:firstLine="708"/>
        <w:jc w:val="both"/>
        <w:rPr>
          <w:rFonts w:ascii="Verdana" w:eastAsia="Calibri" w:hAnsi="Verdana" w:cs="Arial"/>
          <w:sz w:val="16"/>
          <w:szCs w:val="16"/>
          <w:lang w:val="es-ES"/>
        </w:rPr>
      </w:pPr>
      <w:r w:rsidRPr="00454929">
        <w:rPr>
          <w:rStyle w:val="Refdenotaalpie"/>
          <w:rFonts w:ascii="Verdana" w:hAnsi="Verdana" w:cs="Arial"/>
          <w:sz w:val="16"/>
          <w:szCs w:val="16"/>
        </w:rPr>
        <w:footnoteRef/>
      </w:r>
      <w:r w:rsidRPr="00454929">
        <w:rPr>
          <w:rFonts w:ascii="Verdana" w:hAnsi="Verdana" w:cs="Arial"/>
          <w:sz w:val="16"/>
          <w:szCs w:val="16"/>
        </w:rPr>
        <w:t xml:space="preserve"> </w:t>
      </w:r>
      <w:r w:rsidRPr="00454929">
        <w:rPr>
          <w:rFonts w:ascii="Verdana" w:eastAsia="Calibri" w:hAnsi="Verdana" w:cs="Arial"/>
          <w:sz w:val="16"/>
          <w:szCs w:val="16"/>
          <w:lang w:val="es-ES"/>
        </w:rPr>
        <w:t xml:space="preserve">Artículo 20. Ejecución de recursos. Los actos o contratos que expidan o celebren los Territorios Indígenas, según sea el caso, para la ejecución de los recursos a que hace referencia el presente decreto, se regirán por las normas del Estatuto Orgánico de Presupuesto, el Estatuto de Contratación Estatal, las normas contables que para este efecto defina la Contaduría General de la Nación y las demás disposiciones complementarias, y por las disposiciones vigentes para aquellos sectores en los cuales haya sido certificado. </w:t>
      </w:r>
    </w:p>
    <w:p w14:paraId="0617D320" w14:textId="77777777" w:rsidR="00B8779A" w:rsidRPr="00454929" w:rsidRDefault="00B8779A" w:rsidP="00B8779A">
      <w:pPr>
        <w:spacing w:after="0" w:line="240" w:lineRule="auto"/>
        <w:ind w:firstLine="708"/>
        <w:jc w:val="both"/>
        <w:rPr>
          <w:rFonts w:ascii="Verdana" w:eastAsia="Calibri" w:hAnsi="Verdana" w:cs="Arial"/>
          <w:sz w:val="16"/>
          <w:szCs w:val="16"/>
          <w:lang w:val="es-ES"/>
        </w:rPr>
      </w:pPr>
      <w:r w:rsidRPr="00454929">
        <w:rPr>
          <w:rFonts w:ascii="Verdana" w:eastAsia="Calibri" w:hAnsi="Verdana" w:cs="Arial"/>
          <w:sz w:val="16"/>
          <w:szCs w:val="16"/>
          <w:lang w:val="es-ES"/>
        </w:rPr>
        <w:t>Parágrafo. Cuando los Territorios Indígenas requieran celebrar contratos con las asociaciones de cabildos y/o autoridades tradicionales indígenas constituidos bajo lo dispuesto en el Decreto 1088 de 1993, la modalidad de selección se surtirá de acuerdo con lo establecido en el literal c) del numeral 4 del artículo 2° de la Ley 1150 de 2007.</w:t>
      </w:r>
    </w:p>
  </w:footnote>
  <w:footnote w:id="8">
    <w:p w14:paraId="5B0B1D42" w14:textId="77777777" w:rsidR="00B8779A" w:rsidRPr="00454929" w:rsidRDefault="00B8779A" w:rsidP="00B8779A">
      <w:pPr>
        <w:pStyle w:val="Textonotapie"/>
        <w:ind w:firstLine="709"/>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Decreto 1953 de 2014: “Artículo 13. Competencias Generales de los Territorios Indígenas. Los Territorios Indígenas ejercerán las siguientes competencias dentro del ámbito de su autonomía para la gestión de sus intereses en el marco de sus planes de vida:</w:t>
      </w:r>
    </w:p>
    <w:p w14:paraId="546E5460" w14:textId="77777777" w:rsidR="00B8779A" w:rsidRPr="00454929" w:rsidRDefault="00B8779A" w:rsidP="00B8779A">
      <w:pPr>
        <w:pStyle w:val="Textonotapie"/>
        <w:ind w:firstLine="709"/>
        <w:jc w:val="both"/>
        <w:rPr>
          <w:rFonts w:ascii="Verdana" w:hAnsi="Verdana" w:cs="Arial"/>
          <w:sz w:val="16"/>
          <w:szCs w:val="16"/>
        </w:rPr>
      </w:pPr>
      <w:r w:rsidRPr="00454929">
        <w:rPr>
          <w:rFonts w:ascii="Verdana" w:hAnsi="Verdana" w:cs="Arial"/>
          <w:sz w:val="16"/>
          <w:szCs w:val="16"/>
        </w:rPr>
        <w:t>“1. Gobernarse por Autoridades Propias de acuerdo con la ley de origen, derecho mayor o derecho propio.</w:t>
      </w:r>
    </w:p>
    <w:p w14:paraId="27A7DA31" w14:textId="77777777" w:rsidR="00B8779A" w:rsidRPr="00454929" w:rsidRDefault="00B8779A" w:rsidP="00B8779A">
      <w:pPr>
        <w:pStyle w:val="Textonotapie"/>
        <w:ind w:firstLine="709"/>
        <w:jc w:val="both"/>
        <w:rPr>
          <w:rFonts w:ascii="Verdana" w:hAnsi="Verdana" w:cs="Arial"/>
          <w:sz w:val="16"/>
          <w:szCs w:val="16"/>
        </w:rPr>
      </w:pPr>
      <w:r w:rsidRPr="00454929">
        <w:rPr>
          <w:rFonts w:ascii="Verdana" w:hAnsi="Verdana" w:cs="Arial"/>
          <w:sz w:val="16"/>
          <w:szCs w:val="16"/>
        </w:rPr>
        <w:t>“2. Ejercer las competencias y derechos establecidos en este decreto, conforme con la Constitución Política, la legislación nacional e internacional que hace parte del bloque de constitucionalidad, la ley de origen, el derecho mayor o derecho propio.</w:t>
      </w:r>
    </w:p>
    <w:p w14:paraId="6D6A522E" w14:textId="77777777" w:rsidR="00B8779A" w:rsidRPr="00454929" w:rsidRDefault="00B8779A" w:rsidP="00B8779A">
      <w:pPr>
        <w:pStyle w:val="Textonotapie"/>
        <w:ind w:firstLine="709"/>
        <w:jc w:val="both"/>
        <w:rPr>
          <w:rFonts w:ascii="Verdana" w:hAnsi="Verdana" w:cs="Arial"/>
          <w:sz w:val="16"/>
          <w:szCs w:val="16"/>
        </w:rPr>
      </w:pPr>
      <w:r w:rsidRPr="00454929">
        <w:rPr>
          <w:rFonts w:ascii="Verdana" w:hAnsi="Verdana" w:cs="Arial"/>
          <w:sz w:val="16"/>
          <w:szCs w:val="16"/>
        </w:rPr>
        <w:t>“3. Definir, ejecutar y evaluar las políticas económicas, sociales, ambientales y culturales propias en el marco de los planes de vida, en los respectivos territorios dentro del marco de la legislación nacional, y conforme a los principios de coordinación, concurrencia y subsidiariedad.</w:t>
      </w:r>
    </w:p>
    <w:p w14:paraId="22DF9A63" w14:textId="77777777" w:rsidR="00B8779A" w:rsidRPr="00454929" w:rsidRDefault="00B8779A" w:rsidP="00B8779A">
      <w:pPr>
        <w:pStyle w:val="Textonotapie"/>
        <w:ind w:firstLine="709"/>
        <w:jc w:val="both"/>
        <w:rPr>
          <w:rFonts w:ascii="Verdana" w:hAnsi="Verdana" w:cs="Arial"/>
          <w:sz w:val="16"/>
          <w:szCs w:val="16"/>
        </w:rPr>
      </w:pPr>
      <w:r w:rsidRPr="00454929">
        <w:rPr>
          <w:rFonts w:ascii="Verdana" w:hAnsi="Verdana" w:cs="Arial"/>
          <w:sz w:val="16"/>
          <w:szCs w:val="16"/>
        </w:rPr>
        <w:t>“4. Darse sus estructuras de gobierno propio y de coordinación para efectos del desarrollo de sus respectivas competencias.</w:t>
      </w:r>
    </w:p>
    <w:p w14:paraId="77327C30" w14:textId="77777777" w:rsidR="00B8779A" w:rsidRPr="00454929" w:rsidRDefault="00B8779A" w:rsidP="00B8779A">
      <w:pPr>
        <w:pStyle w:val="Textonotapie"/>
        <w:ind w:firstLine="708"/>
        <w:jc w:val="both"/>
        <w:rPr>
          <w:rFonts w:ascii="Verdana" w:hAnsi="Verdana" w:cs="Arial"/>
          <w:sz w:val="16"/>
          <w:szCs w:val="16"/>
        </w:rPr>
      </w:pPr>
      <w:r w:rsidRPr="00454929">
        <w:rPr>
          <w:rFonts w:ascii="Verdana" w:hAnsi="Verdana" w:cs="Arial"/>
          <w:sz w:val="16"/>
          <w:szCs w:val="16"/>
        </w:rPr>
        <w:t>“5. Percibir y administrar los recursos provenientes de fuentes de financiación públicas y/o privadas para el desarrollo de sus funciones y competencias de acuerdo con lo establecido en este decreto”.</w:t>
      </w:r>
    </w:p>
  </w:footnote>
  <w:footnote w:id="9">
    <w:p w14:paraId="66D32E6D" w14:textId="77777777" w:rsidR="00B8779A" w:rsidRPr="00454929" w:rsidRDefault="00B8779A" w:rsidP="00B8779A">
      <w:pPr>
        <w:pStyle w:val="Textonotapie"/>
        <w:ind w:firstLine="709"/>
        <w:contextualSpacing/>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4EA90881" w14:textId="77777777" w:rsidR="00B8779A" w:rsidRPr="00454929" w:rsidRDefault="00B8779A" w:rsidP="00B8779A">
      <w:pPr>
        <w:pStyle w:val="Textonotapie"/>
        <w:ind w:firstLine="709"/>
        <w:contextualSpacing/>
        <w:jc w:val="both"/>
        <w:rPr>
          <w:rFonts w:ascii="Verdana" w:hAnsi="Verdana" w:cs="Arial"/>
          <w:sz w:val="16"/>
          <w:szCs w:val="16"/>
        </w:rPr>
      </w:pPr>
      <w:r w:rsidRPr="00454929">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45B80ED6" w14:textId="77777777" w:rsidR="00B8779A" w:rsidRPr="00454929" w:rsidRDefault="00B8779A" w:rsidP="00B8779A">
      <w:pPr>
        <w:pStyle w:val="Textonotapie"/>
        <w:ind w:firstLine="709"/>
        <w:contextualSpacing/>
        <w:jc w:val="both"/>
        <w:rPr>
          <w:rFonts w:ascii="Verdana" w:hAnsi="Verdana" w:cs="Arial"/>
          <w:sz w:val="16"/>
          <w:szCs w:val="16"/>
        </w:rPr>
      </w:pPr>
    </w:p>
  </w:footnote>
  <w:footnote w:id="10">
    <w:p w14:paraId="411DF6A4" w14:textId="77777777" w:rsidR="00B8779A" w:rsidRPr="00454929" w:rsidRDefault="00B8779A" w:rsidP="00B8779A">
      <w:pPr>
        <w:pStyle w:val="Textonotapie"/>
        <w:ind w:firstLine="709"/>
        <w:contextualSpacing/>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Gaceta del Congreso de la República No. 71 del 2005.</w:t>
      </w:r>
    </w:p>
    <w:p w14:paraId="358BD5AF" w14:textId="77777777" w:rsidR="00B8779A" w:rsidRPr="00454929" w:rsidRDefault="00B8779A" w:rsidP="00B8779A">
      <w:pPr>
        <w:pStyle w:val="Textonotapie"/>
        <w:ind w:firstLine="709"/>
        <w:contextualSpacing/>
        <w:jc w:val="both"/>
        <w:rPr>
          <w:rFonts w:ascii="Verdana" w:hAnsi="Verdana" w:cs="Arial"/>
          <w:sz w:val="16"/>
          <w:szCs w:val="16"/>
        </w:rPr>
      </w:pPr>
    </w:p>
  </w:footnote>
  <w:footnote w:id="11">
    <w:p w14:paraId="509167D3" w14:textId="77777777" w:rsidR="00B8779A" w:rsidRDefault="00B8779A" w:rsidP="00B8779A">
      <w:pPr>
        <w:pStyle w:val="Textonotapie"/>
        <w:ind w:firstLine="709"/>
        <w:contextualSpacing/>
        <w:jc w:val="both"/>
        <w:rPr>
          <w:rFonts w:ascii="Verdana" w:hAnsi="Verdana" w:cs="Arial"/>
          <w:sz w:val="16"/>
          <w:szCs w:val="16"/>
          <w:lang w:val="pt-BR"/>
        </w:rPr>
      </w:pPr>
      <w:r w:rsidRPr="00454929">
        <w:rPr>
          <w:rStyle w:val="Refdenotaalpie"/>
          <w:rFonts w:ascii="Verdana" w:hAnsi="Verdana" w:cs="Arial"/>
          <w:sz w:val="16"/>
          <w:szCs w:val="16"/>
        </w:rPr>
        <w:footnoteRef/>
      </w:r>
      <w:r w:rsidRPr="00454929">
        <w:rPr>
          <w:rFonts w:ascii="Verdana" w:hAnsi="Verdana" w:cs="Arial"/>
          <w:sz w:val="16"/>
          <w:szCs w:val="16"/>
          <w:lang w:val="pt-BR"/>
        </w:rPr>
        <w:t xml:space="preserve"> Corte Constitucional, Sentencia C- 1153 de 2005, M.P. Marco Gerardo Monroy Cabra.</w:t>
      </w:r>
    </w:p>
    <w:p w14:paraId="7548EDE7" w14:textId="77777777" w:rsidR="00B8779A" w:rsidRPr="00454929" w:rsidRDefault="00B8779A" w:rsidP="00B8779A">
      <w:pPr>
        <w:pStyle w:val="Textonotapie"/>
        <w:ind w:firstLine="709"/>
        <w:contextualSpacing/>
        <w:jc w:val="both"/>
        <w:rPr>
          <w:rFonts w:ascii="Verdana" w:hAnsi="Verdana" w:cs="Arial"/>
          <w:sz w:val="16"/>
          <w:szCs w:val="16"/>
          <w:lang w:val="pt-BR"/>
        </w:rPr>
      </w:pPr>
    </w:p>
  </w:footnote>
  <w:footnote w:id="12">
    <w:p w14:paraId="09DBB879" w14:textId="77777777" w:rsidR="00B8779A" w:rsidRPr="00454929" w:rsidRDefault="00B8779A" w:rsidP="00B8779A">
      <w:pPr>
        <w:pStyle w:val="Textonotapie"/>
        <w:ind w:firstLine="709"/>
        <w:contextualSpacing/>
        <w:jc w:val="both"/>
        <w:rPr>
          <w:rFonts w:ascii="Verdana" w:hAnsi="Verdana" w:cs="Arial"/>
          <w:sz w:val="16"/>
          <w:szCs w:val="16"/>
          <w:lang w:val="pt-BR"/>
        </w:rPr>
      </w:pPr>
      <w:r w:rsidRPr="00454929">
        <w:rPr>
          <w:rStyle w:val="Refdenotaalpie"/>
          <w:rFonts w:ascii="Verdana" w:hAnsi="Verdana" w:cs="Arial"/>
          <w:sz w:val="16"/>
          <w:szCs w:val="16"/>
        </w:rPr>
        <w:footnoteRef/>
      </w:r>
      <w:r w:rsidRPr="00454929">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4D40AFAE" w14:textId="77777777" w:rsidR="00B8779A" w:rsidRPr="00454929" w:rsidRDefault="00B8779A" w:rsidP="00B8779A">
      <w:pPr>
        <w:pStyle w:val="Textonotapie"/>
        <w:ind w:firstLine="709"/>
        <w:contextualSpacing/>
        <w:jc w:val="both"/>
        <w:rPr>
          <w:rFonts w:ascii="Verdana" w:hAnsi="Verdana" w:cs="Arial"/>
          <w:sz w:val="16"/>
          <w:szCs w:val="16"/>
          <w:lang w:val="pt-BR"/>
        </w:rPr>
      </w:pPr>
    </w:p>
  </w:footnote>
  <w:footnote w:id="13">
    <w:p w14:paraId="45A0891E" w14:textId="77777777" w:rsidR="00B8779A" w:rsidRPr="00454929" w:rsidRDefault="00B8779A" w:rsidP="00B8779A">
      <w:pPr>
        <w:pStyle w:val="Textonotapie"/>
        <w:ind w:firstLine="709"/>
        <w:contextualSpacing/>
        <w:jc w:val="both"/>
        <w:rPr>
          <w:rFonts w:ascii="Verdana" w:hAnsi="Verdana" w:cs="Arial"/>
          <w:sz w:val="16"/>
          <w:szCs w:val="16"/>
          <w:lang w:val="es-CO"/>
        </w:rPr>
      </w:pPr>
      <w:r w:rsidRPr="00454929">
        <w:rPr>
          <w:rStyle w:val="Refdenotaalpie"/>
          <w:rFonts w:ascii="Verdana" w:hAnsi="Verdana" w:cs="Arial"/>
          <w:sz w:val="16"/>
          <w:szCs w:val="16"/>
        </w:rPr>
        <w:footnoteRef/>
      </w:r>
      <w:r w:rsidRPr="00454929">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3AB914BF" w14:textId="77777777" w:rsidR="00B8779A" w:rsidRPr="00454929" w:rsidRDefault="00B8779A" w:rsidP="00B8779A">
      <w:pPr>
        <w:pStyle w:val="Textonotapie"/>
        <w:ind w:firstLine="709"/>
        <w:contextualSpacing/>
        <w:jc w:val="both"/>
        <w:rPr>
          <w:rFonts w:ascii="Verdana" w:hAnsi="Verdana" w:cs="Arial"/>
          <w:sz w:val="16"/>
          <w:szCs w:val="16"/>
          <w:lang w:val="es-CO"/>
        </w:rPr>
      </w:pPr>
    </w:p>
  </w:footnote>
  <w:footnote w:id="14">
    <w:p w14:paraId="695DBCD9" w14:textId="77777777" w:rsidR="00B8779A" w:rsidRDefault="00B8779A" w:rsidP="00B8779A">
      <w:pPr>
        <w:pStyle w:val="Textonotapie"/>
        <w:ind w:firstLine="709"/>
        <w:contextualSpacing/>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Consejo de Estado, Sala de Consulta y Servicio Civil de fecha 24 de julio de 2013, Rad. 2166, C. P. Álvaro Namén Vargas.  </w:t>
      </w:r>
    </w:p>
    <w:p w14:paraId="4C22CC63" w14:textId="77777777" w:rsidR="00B8779A" w:rsidRPr="00454929" w:rsidRDefault="00B8779A" w:rsidP="00B8779A">
      <w:pPr>
        <w:pStyle w:val="Textonotapie"/>
        <w:ind w:firstLine="709"/>
        <w:contextualSpacing/>
        <w:jc w:val="both"/>
        <w:rPr>
          <w:rFonts w:ascii="Verdana" w:hAnsi="Verdana" w:cs="Arial"/>
          <w:sz w:val="16"/>
          <w:szCs w:val="16"/>
        </w:rPr>
      </w:pPr>
    </w:p>
  </w:footnote>
  <w:footnote w:id="15">
    <w:p w14:paraId="6E07DFF5" w14:textId="77777777" w:rsidR="00B8779A" w:rsidRPr="00454929" w:rsidRDefault="00B8779A" w:rsidP="00B8779A">
      <w:pPr>
        <w:spacing w:after="0" w:line="240" w:lineRule="auto"/>
        <w:ind w:firstLine="709"/>
        <w:contextualSpacing/>
        <w:jc w:val="both"/>
        <w:rPr>
          <w:rFonts w:ascii="Verdana" w:eastAsia="Times New Roman"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w:t>
      </w:r>
      <w:r w:rsidRPr="00454929">
        <w:rPr>
          <w:rFonts w:ascii="Verdana" w:hAnsi="Verdana" w:cs="Arial"/>
          <w:color w:val="000000"/>
          <w:sz w:val="16"/>
          <w:szCs w:val="16"/>
        </w:rPr>
        <w:t>“</w:t>
      </w:r>
      <w:r w:rsidRPr="00454929">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3F27ACB8" w14:textId="77777777" w:rsidR="00B8779A" w:rsidRPr="00454929" w:rsidRDefault="00B8779A" w:rsidP="00B8779A">
      <w:pPr>
        <w:spacing w:after="0" w:line="240" w:lineRule="auto"/>
        <w:ind w:firstLine="709"/>
        <w:contextualSpacing/>
        <w:jc w:val="both"/>
        <w:rPr>
          <w:rFonts w:ascii="Verdana" w:eastAsia="Times New Roman" w:hAnsi="Verdana" w:cs="Arial"/>
          <w:sz w:val="16"/>
          <w:szCs w:val="16"/>
        </w:rPr>
      </w:pPr>
      <w:r w:rsidRPr="00454929">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54929">
        <w:rPr>
          <w:rFonts w:ascii="Verdana" w:hAnsi="Verdana" w:cs="Arial"/>
          <w:color w:val="000000" w:themeColor="text1"/>
          <w:sz w:val="16"/>
          <w:szCs w:val="16"/>
        </w:rPr>
        <w:t>”</w:t>
      </w:r>
      <w:r w:rsidRPr="00454929">
        <w:rPr>
          <w:rFonts w:ascii="Verdana" w:eastAsia="Times New Roman" w:hAnsi="Verdana" w:cs="Arial"/>
          <w:sz w:val="16"/>
          <w:szCs w:val="16"/>
        </w:rPr>
        <w:t>.</w:t>
      </w:r>
    </w:p>
    <w:p w14:paraId="7019EC47" w14:textId="77777777" w:rsidR="00B8779A" w:rsidRPr="00454929" w:rsidRDefault="00B8779A" w:rsidP="00B8779A">
      <w:pPr>
        <w:spacing w:after="0" w:line="240" w:lineRule="auto"/>
        <w:ind w:firstLine="709"/>
        <w:contextualSpacing/>
        <w:jc w:val="both"/>
        <w:rPr>
          <w:rFonts w:ascii="Verdana" w:eastAsia="Times New Roman" w:hAnsi="Verdana" w:cs="Arial"/>
          <w:sz w:val="16"/>
          <w:szCs w:val="16"/>
        </w:rPr>
      </w:pPr>
    </w:p>
  </w:footnote>
  <w:footnote w:id="16">
    <w:p w14:paraId="2D8A4D0A" w14:textId="77777777" w:rsidR="00B8779A" w:rsidRPr="00454929" w:rsidRDefault="00B8779A" w:rsidP="00B8779A">
      <w:pPr>
        <w:pStyle w:val="NormalWeb"/>
        <w:spacing w:before="0" w:beforeAutospacing="0" w:after="0" w:afterAutospacing="0"/>
        <w:ind w:firstLine="709"/>
        <w:contextualSpacing/>
        <w:jc w:val="both"/>
        <w:rPr>
          <w:rFonts w:ascii="Verdana" w:hAnsi="Verdana" w:cs="Arial"/>
          <w:sz w:val="16"/>
          <w:szCs w:val="16"/>
          <w:lang w:val="es-MX"/>
        </w:rPr>
      </w:pPr>
      <w:r w:rsidRPr="00454929">
        <w:rPr>
          <w:rStyle w:val="Refdenotaalpie"/>
          <w:rFonts w:ascii="Verdana" w:hAnsi="Verdana" w:cs="Arial"/>
          <w:sz w:val="16"/>
          <w:szCs w:val="16"/>
        </w:rPr>
        <w:footnoteRef/>
      </w:r>
      <w:r w:rsidRPr="00454929">
        <w:rPr>
          <w:rFonts w:ascii="Verdana" w:hAnsi="Verdana" w:cs="Arial"/>
          <w:sz w:val="16"/>
          <w:szCs w:val="16"/>
        </w:rPr>
        <w:t xml:space="preserve"> </w:t>
      </w:r>
      <w:r w:rsidRPr="00454929">
        <w:rPr>
          <w:rFonts w:ascii="Verdana" w:eastAsia="Calibri" w:hAnsi="Verdana" w:cs="Arial"/>
          <w:color w:val="000000"/>
          <w:sz w:val="16"/>
          <w:szCs w:val="16"/>
        </w:rPr>
        <w:t>“</w:t>
      </w:r>
      <w:r w:rsidRPr="00454929">
        <w:rPr>
          <w:rFonts w:ascii="Verdana" w:hAnsi="Verdana" w:cs="Arial"/>
          <w:sz w:val="16"/>
          <w:szCs w:val="16"/>
          <w:lang w:val="es-MX"/>
        </w:rPr>
        <w:t>Artículo 38. Prohibiciones para los servidores públicos. A los empleados del Estado les está prohibido: […]</w:t>
      </w:r>
    </w:p>
    <w:p w14:paraId="2DBA4C2E" w14:textId="77777777" w:rsidR="00B8779A" w:rsidRDefault="00B8779A" w:rsidP="00B8779A">
      <w:pPr>
        <w:pStyle w:val="NormalWeb"/>
        <w:spacing w:before="0" w:beforeAutospacing="0" w:after="0" w:afterAutospacing="0"/>
        <w:ind w:firstLine="709"/>
        <w:contextualSpacing/>
        <w:jc w:val="both"/>
        <w:rPr>
          <w:rFonts w:ascii="Verdana" w:hAnsi="Verdana" w:cs="Arial"/>
          <w:sz w:val="16"/>
          <w:szCs w:val="16"/>
          <w:lang w:val="es-MX"/>
        </w:rPr>
      </w:pPr>
      <w:r w:rsidRPr="00454929">
        <w:rPr>
          <w:rStyle w:val="baj"/>
          <w:rFonts w:ascii="Verdana" w:hAnsi="Verdana" w:cs="Arial"/>
          <w:sz w:val="16"/>
          <w:szCs w:val="16"/>
          <w:lang w:val="es-MX"/>
        </w:rPr>
        <w:t>Parágrafo.</w:t>
      </w:r>
      <w:r w:rsidRPr="00454929">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54929">
        <w:rPr>
          <w:rFonts w:ascii="Verdana" w:eastAsia="Calibri" w:hAnsi="Verdana" w:cs="Arial"/>
          <w:color w:val="000000"/>
          <w:sz w:val="16"/>
          <w:szCs w:val="16"/>
        </w:rPr>
        <w:t>”</w:t>
      </w:r>
      <w:r w:rsidRPr="00454929">
        <w:rPr>
          <w:rFonts w:ascii="Verdana" w:hAnsi="Verdana" w:cs="Arial"/>
          <w:sz w:val="16"/>
          <w:szCs w:val="16"/>
          <w:lang w:val="es-MX"/>
        </w:rPr>
        <w:t>.</w:t>
      </w:r>
    </w:p>
    <w:p w14:paraId="5F09487E" w14:textId="77777777" w:rsidR="00B8779A" w:rsidRPr="00454929" w:rsidRDefault="00B8779A" w:rsidP="00B8779A">
      <w:pPr>
        <w:pStyle w:val="NormalWeb"/>
        <w:spacing w:before="0" w:beforeAutospacing="0" w:after="0" w:afterAutospacing="0"/>
        <w:ind w:firstLine="709"/>
        <w:contextualSpacing/>
        <w:jc w:val="both"/>
        <w:rPr>
          <w:rFonts w:ascii="Verdana" w:hAnsi="Verdana" w:cs="Arial"/>
          <w:sz w:val="16"/>
          <w:szCs w:val="16"/>
          <w:lang w:val="es-MX"/>
        </w:rPr>
      </w:pPr>
    </w:p>
  </w:footnote>
  <w:footnote w:id="17">
    <w:p w14:paraId="022EE411" w14:textId="77777777" w:rsidR="00B8779A" w:rsidRPr="00454929" w:rsidRDefault="00B8779A" w:rsidP="00B8779A">
      <w:pPr>
        <w:spacing w:after="0" w:line="240" w:lineRule="auto"/>
        <w:ind w:left="100" w:right="244" w:firstLine="709"/>
        <w:contextualSpacing/>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8">
    <w:p w14:paraId="5BF00EEE" w14:textId="77777777" w:rsidR="00B8779A" w:rsidRPr="00454929" w:rsidRDefault="00B8779A" w:rsidP="00B8779A">
      <w:pPr>
        <w:pStyle w:val="Textonotapie"/>
        <w:ind w:firstLine="709"/>
        <w:contextualSpacing/>
        <w:jc w:val="both"/>
        <w:rPr>
          <w:rFonts w:ascii="Verdana" w:hAnsi="Verdana" w:cs="Arial"/>
          <w:sz w:val="16"/>
          <w:szCs w:val="16"/>
        </w:rPr>
      </w:pPr>
      <w:r w:rsidRPr="00454929">
        <w:rPr>
          <w:rStyle w:val="Refdenotaalpie"/>
          <w:rFonts w:ascii="Verdana" w:hAnsi="Verdana"/>
          <w:sz w:val="16"/>
          <w:szCs w:val="16"/>
        </w:rPr>
        <w:footnoteRef/>
      </w:r>
      <w:r w:rsidRPr="00454929">
        <w:rPr>
          <w:rFonts w:ascii="Verdana" w:hAnsi="Verdana"/>
          <w:sz w:val="16"/>
          <w:szCs w:val="16"/>
        </w:rPr>
        <w:t xml:space="preserve"> </w:t>
      </w:r>
      <w:r w:rsidRPr="00454929">
        <w:rPr>
          <w:rFonts w:ascii="Verdana" w:hAnsi="Verdana" w:cs="Arial"/>
          <w:sz w:val="16"/>
          <w:szCs w:val="16"/>
        </w:rPr>
        <w:t>Consejo de Estado -Sección Tercera-. Sentencia del 21 de febrero de 2025. Radicación Número: 68.280. CP: José Roberto Sáchica Méndez.</w:t>
      </w:r>
    </w:p>
    <w:p w14:paraId="2379A77E" w14:textId="77777777" w:rsidR="00B8779A" w:rsidRPr="00454929" w:rsidRDefault="00B8779A" w:rsidP="00B8779A">
      <w:pPr>
        <w:pStyle w:val="Textonotapie"/>
        <w:ind w:firstLine="709"/>
        <w:contextualSpacing/>
        <w:jc w:val="both"/>
        <w:rPr>
          <w:rFonts w:ascii="Verdana" w:hAnsi="Verdana" w:cs="Arial"/>
          <w:sz w:val="16"/>
          <w:szCs w:val="16"/>
        </w:rPr>
      </w:pPr>
    </w:p>
  </w:footnote>
  <w:footnote w:id="19">
    <w:p w14:paraId="0D1B4DE4" w14:textId="77777777" w:rsidR="00B8779A" w:rsidRDefault="00B8779A" w:rsidP="00B8779A">
      <w:pPr>
        <w:pStyle w:val="Textonotapie"/>
        <w:ind w:firstLine="709"/>
        <w:contextualSpacing/>
        <w:jc w:val="both"/>
        <w:rPr>
          <w:rFonts w:ascii="Verdana" w:hAnsi="Verdana" w:cs="Arial"/>
          <w:sz w:val="16"/>
          <w:szCs w:val="16"/>
        </w:rPr>
      </w:pPr>
      <w:r w:rsidRPr="00454929">
        <w:rPr>
          <w:rFonts w:ascii="Verdana" w:hAnsi="Verdana"/>
          <w:sz w:val="16"/>
          <w:szCs w:val="16"/>
          <w:vertAlign w:val="superscript"/>
        </w:rPr>
        <w:footnoteRef/>
      </w:r>
      <w:r w:rsidRPr="00454929">
        <w:rPr>
          <w:rFonts w:ascii="Verdana" w:hAnsi="Verdana"/>
          <w:sz w:val="16"/>
          <w:szCs w:val="16"/>
          <w:vertAlign w:val="superscript"/>
        </w:rPr>
        <w:t xml:space="preserve"> </w:t>
      </w:r>
      <w:r w:rsidRPr="00454929">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6B87D162" w14:textId="77777777" w:rsidR="00B8779A" w:rsidRPr="00454929" w:rsidRDefault="00B8779A" w:rsidP="00B8779A">
      <w:pPr>
        <w:pStyle w:val="Textonotapie"/>
        <w:ind w:firstLine="709"/>
        <w:contextualSpacing/>
        <w:jc w:val="both"/>
        <w:rPr>
          <w:rFonts w:ascii="Verdana" w:hAnsi="Verdana" w:cs="Arial"/>
          <w:sz w:val="16"/>
          <w:szCs w:val="16"/>
        </w:rPr>
      </w:pPr>
    </w:p>
  </w:footnote>
  <w:footnote w:id="20">
    <w:p w14:paraId="54788739" w14:textId="77777777" w:rsidR="00B8779A" w:rsidRPr="00454929" w:rsidRDefault="00B8779A" w:rsidP="00B8779A">
      <w:pPr>
        <w:pStyle w:val="Textonotapie"/>
        <w:ind w:firstLine="709"/>
        <w:contextualSpacing/>
        <w:jc w:val="both"/>
        <w:rPr>
          <w:rFonts w:ascii="Verdana" w:hAnsi="Verdana" w:cs="Arial"/>
          <w:sz w:val="16"/>
          <w:szCs w:val="16"/>
        </w:rPr>
      </w:pPr>
      <w:r w:rsidRPr="00454929">
        <w:rPr>
          <w:rFonts w:ascii="Verdana" w:hAnsi="Verdana"/>
          <w:sz w:val="16"/>
          <w:szCs w:val="16"/>
          <w:vertAlign w:val="superscript"/>
        </w:rPr>
        <w:footnoteRef/>
      </w:r>
      <w:r w:rsidRPr="00454929">
        <w:rPr>
          <w:rFonts w:ascii="Verdana" w:hAnsi="Verdana" w:cs="Arial"/>
          <w:sz w:val="16"/>
          <w:szCs w:val="16"/>
          <w:vertAlign w:val="superscript"/>
        </w:rPr>
        <w:t xml:space="preserve"> </w:t>
      </w:r>
      <w:r w:rsidRPr="00454929">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2EE881D4" w14:textId="77777777" w:rsidR="00B8779A" w:rsidRDefault="00B8779A" w:rsidP="00B8779A">
      <w:pPr>
        <w:pStyle w:val="Textonotapie"/>
        <w:ind w:firstLine="709"/>
        <w:contextualSpacing/>
        <w:jc w:val="both"/>
        <w:rPr>
          <w:rFonts w:ascii="Verdana" w:hAnsi="Verdana" w:cs="Arial"/>
          <w:sz w:val="16"/>
          <w:szCs w:val="16"/>
        </w:rPr>
      </w:pPr>
      <w:r w:rsidRPr="00454929">
        <w:rPr>
          <w:rFonts w:ascii="Verdana" w:hAnsi="Verdana" w:cs="Arial"/>
          <w:sz w:val="16"/>
          <w:szCs w:val="16"/>
        </w:rPr>
        <w:t>[…]”.</w:t>
      </w:r>
    </w:p>
    <w:p w14:paraId="28C97FFA" w14:textId="77777777" w:rsidR="00B8779A" w:rsidRPr="00454929" w:rsidRDefault="00B8779A" w:rsidP="00B8779A">
      <w:pPr>
        <w:pStyle w:val="Textonotapie"/>
        <w:ind w:firstLine="709"/>
        <w:contextualSpacing/>
        <w:jc w:val="both"/>
        <w:rPr>
          <w:rFonts w:ascii="Verdana" w:hAnsi="Verdana" w:cs="Arial"/>
          <w:sz w:val="16"/>
          <w:szCs w:val="16"/>
        </w:rPr>
      </w:pPr>
    </w:p>
  </w:footnote>
  <w:footnote w:id="21">
    <w:p w14:paraId="553F6B1E" w14:textId="77777777" w:rsidR="00B8779A" w:rsidRPr="00454929" w:rsidRDefault="00B8779A" w:rsidP="00B8779A">
      <w:pPr>
        <w:pStyle w:val="Textonotapie"/>
        <w:ind w:firstLine="709"/>
        <w:contextualSpacing/>
        <w:jc w:val="both"/>
        <w:rPr>
          <w:rFonts w:ascii="Verdana" w:hAnsi="Verdana" w:cs="Arial"/>
          <w:sz w:val="16"/>
          <w:szCs w:val="16"/>
        </w:rPr>
      </w:pPr>
      <w:r w:rsidRPr="00454929">
        <w:rPr>
          <w:rFonts w:ascii="Verdana" w:hAnsi="Verdana"/>
          <w:sz w:val="16"/>
          <w:szCs w:val="16"/>
          <w:vertAlign w:val="superscript"/>
        </w:rPr>
        <w:footnoteRef/>
      </w:r>
      <w:r w:rsidRPr="00454929">
        <w:rPr>
          <w:rFonts w:ascii="Verdana" w:hAnsi="Verdana" w:cs="Arial"/>
          <w:sz w:val="16"/>
          <w:szCs w:val="16"/>
          <w:vertAlign w:val="superscript"/>
        </w:rPr>
        <w:t xml:space="preserve"> </w:t>
      </w:r>
      <w:r w:rsidRPr="00454929">
        <w:rPr>
          <w:rFonts w:ascii="Verdana" w:hAnsi="Verdana" w:cs="Arial"/>
          <w:sz w:val="16"/>
          <w:szCs w:val="16"/>
        </w:rPr>
        <w:t>Código Civil: “Artículo 27. Cuando el sentido de la ley sea claro, no se desatenderá su tenor a pretexto de consultar su espíritu”.</w:t>
      </w:r>
    </w:p>
  </w:footnote>
  <w:footnote w:id="22">
    <w:p w14:paraId="7CFD3ACE" w14:textId="77777777" w:rsidR="00B8779A" w:rsidRPr="00454929" w:rsidRDefault="00B8779A" w:rsidP="00B8779A">
      <w:pPr>
        <w:pStyle w:val="Textonotapie"/>
        <w:ind w:firstLine="709"/>
        <w:contextualSpacing/>
        <w:jc w:val="both"/>
        <w:rPr>
          <w:rFonts w:ascii="Verdana" w:hAnsi="Verdana"/>
          <w:sz w:val="16"/>
          <w:szCs w:val="16"/>
          <w:lang w:val="es-CO"/>
        </w:rPr>
      </w:pPr>
      <w:r w:rsidRPr="00454929">
        <w:rPr>
          <w:rStyle w:val="Refdenotaalpie"/>
          <w:rFonts w:ascii="Verdana" w:hAnsi="Verdana"/>
          <w:sz w:val="16"/>
          <w:szCs w:val="16"/>
        </w:rPr>
        <w:footnoteRef/>
      </w:r>
      <w:r w:rsidRPr="00454929">
        <w:rPr>
          <w:rFonts w:ascii="Verdana" w:hAnsi="Verdana"/>
          <w:sz w:val="16"/>
          <w:szCs w:val="16"/>
          <w:lang w:val="es-CO"/>
        </w:rPr>
        <w:t xml:space="preserve"> Consejo de Estado, Sección Tercera. Auto del 4 de octubre de 2024. Exp. 70.313. C.P: Fredy Ibarra Martínez.</w:t>
      </w:r>
    </w:p>
  </w:footnote>
  <w:footnote w:id="23">
    <w:p w14:paraId="19C5FA08" w14:textId="77777777" w:rsidR="00B8779A" w:rsidRPr="00454929" w:rsidRDefault="00B8779A" w:rsidP="00B8779A">
      <w:pPr>
        <w:pStyle w:val="Textonotapie"/>
        <w:ind w:firstLine="709"/>
        <w:contextualSpacing/>
        <w:jc w:val="both"/>
        <w:rPr>
          <w:rFonts w:ascii="Verdana" w:hAnsi="Verdana"/>
          <w:sz w:val="16"/>
          <w:szCs w:val="16"/>
          <w:lang w:val="es-CO"/>
        </w:rPr>
      </w:pPr>
      <w:r w:rsidRPr="00454929">
        <w:rPr>
          <w:rStyle w:val="Refdenotaalpie"/>
          <w:rFonts w:ascii="Verdana" w:hAnsi="Verdana"/>
          <w:sz w:val="16"/>
          <w:szCs w:val="16"/>
        </w:rPr>
        <w:footnoteRef/>
      </w:r>
      <w:r w:rsidRPr="00454929">
        <w:rPr>
          <w:rFonts w:ascii="Verdana" w:hAnsi="Verdana"/>
          <w:sz w:val="16"/>
          <w:szCs w:val="16"/>
        </w:rPr>
        <w:t xml:space="preserve"> La parte resolutiva del auto dispone lo siguiente; “</w:t>
      </w:r>
      <w:r w:rsidRPr="00301509">
        <w:rPr>
          <w:rFonts w:ascii="Verdana" w:hAnsi="Verdana"/>
          <w:bCs/>
          <w:sz w:val="16"/>
          <w:szCs w:val="16"/>
          <w:lang w:val="es-CO"/>
        </w:rPr>
        <w:t>PRIMERO: DECRETAR la</w:t>
      </w:r>
      <w:r w:rsidRPr="00454929">
        <w:rPr>
          <w:rFonts w:ascii="Verdana" w:hAnsi="Verdana"/>
          <w:sz w:val="16"/>
          <w:szCs w:val="16"/>
          <w:lang w:val="es-CO"/>
        </w:rPr>
        <w:t xml:space="preserve"> suspensión provisional de los apartes cuestionados del inciso segundo del numeral 16.2 de la Circular Externa única, versión 3 del 27 de diciembre de 2023, expedida por la Agencia Nacional de Contratación Pública – Colombia Compra Eficiente, según el cual </w:t>
      </w:r>
      <w:r w:rsidRPr="00454929">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454929">
        <w:rPr>
          <w:rFonts w:ascii="Verdana" w:hAnsi="Verdana"/>
          <w:sz w:val="16"/>
          <w:szCs w:val="16"/>
          <w:lang w:val="es-CO"/>
        </w:rPr>
        <w:t xml:space="preserve">, por las razones expuestas en precedencia. </w:t>
      </w:r>
    </w:p>
    <w:p w14:paraId="5B15CEDC" w14:textId="77777777" w:rsidR="00B8779A" w:rsidRPr="00454929" w:rsidRDefault="00B8779A" w:rsidP="00B8779A">
      <w:pPr>
        <w:pStyle w:val="Textonotapie"/>
        <w:ind w:firstLine="709"/>
        <w:contextualSpacing/>
        <w:jc w:val="both"/>
        <w:rPr>
          <w:rFonts w:ascii="Verdana" w:hAnsi="Verdana"/>
          <w:sz w:val="16"/>
          <w:szCs w:val="16"/>
          <w:lang w:val="es-CO"/>
        </w:rPr>
      </w:pPr>
      <w:r w:rsidRPr="00301509">
        <w:rPr>
          <w:rFonts w:ascii="Verdana" w:hAnsi="Verdana"/>
          <w:bCs/>
          <w:sz w:val="16"/>
          <w:szCs w:val="16"/>
          <w:lang w:val="es-CO"/>
        </w:rPr>
        <w:t>SEGUNDO: DECRETAR</w:t>
      </w:r>
      <w:r w:rsidRPr="00454929">
        <w:rPr>
          <w:rFonts w:ascii="Verdana" w:hAnsi="Verdana"/>
          <w:b/>
          <w:sz w:val="16"/>
          <w:szCs w:val="16"/>
          <w:lang w:val="es-CO"/>
        </w:rPr>
        <w:t xml:space="preserve"> </w:t>
      </w:r>
      <w:r w:rsidRPr="00454929">
        <w:rPr>
          <w:rFonts w:ascii="Verdana" w:hAnsi="Verdana"/>
          <w:sz w:val="16"/>
          <w:szCs w:val="16"/>
          <w:lang w:val="es-CO"/>
        </w:rPr>
        <w:t>la suspensión provisional de la expresión “</w:t>
      </w:r>
      <w:r w:rsidRPr="00454929">
        <w:rPr>
          <w:rFonts w:ascii="Verdana" w:hAnsi="Verdana"/>
          <w:i/>
          <w:sz w:val="16"/>
          <w:szCs w:val="16"/>
          <w:lang w:val="es-CO"/>
        </w:rPr>
        <w:t>contratos</w:t>
      </w:r>
      <w:r w:rsidRPr="00454929">
        <w:rPr>
          <w:rFonts w:ascii="Verdana" w:hAnsi="Verdana"/>
          <w:sz w:val="16"/>
          <w:szCs w:val="16"/>
          <w:lang w:val="es-CO"/>
        </w:rPr>
        <w:t xml:space="preserve">” y del párrafo </w:t>
      </w:r>
      <w:r w:rsidRPr="00454929">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454929">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Florez. </w:t>
      </w:r>
    </w:p>
  </w:footnote>
  <w:footnote w:id="24">
    <w:p w14:paraId="6EADB279" w14:textId="77777777" w:rsidR="00B8779A" w:rsidRDefault="00B8779A" w:rsidP="00B8779A">
      <w:pPr>
        <w:spacing w:after="0" w:line="240" w:lineRule="auto"/>
        <w:ind w:firstLine="709"/>
        <w:contextualSpacing/>
        <w:jc w:val="both"/>
        <w:rPr>
          <w:rFonts w:ascii="Verdana" w:eastAsia="Times New Roman" w:hAnsi="Verdana" w:cs="Times New Roman"/>
          <w:sz w:val="16"/>
          <w:szCs w:val="16"/>
          <w:lang w:eastAsia="es-ES"/>
        </w:rPr>
      </w:pPr>
      <w:r w:rsidRPr="00454929">
        <w:rPr>
          <w:rStyle w:val="Refdenotaalpie"/>
          <w:rFonts w:ascii="Verdana" w:hAnsi="Verdana"/>
          <w:sz w:val="16"/>
          <w:szCs w:val="16"/>
        </w:rPr>
        <w:footnoteRef/>
      </w:r>
      <w:r w:rsidRPr="00454929">
        <w:rPr>
          <w:rFonts w:ascii="Verdana" w:hAnsi="Verdana"/>
          <w:sz w:val="16"/>
          <w:szCs w:val="16"/>
        </w:rPr>
        <w:t xml:space="preserve"> </w:t>
      </w:r>
      <w:r w:rsidRPr="00454929">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454929">
        <w:rPr>
          <w:rFonts w:ascii="Verdana" w:hAnsi="Verdana"/>
          <w:sz w:val="16"/>
          <w:szCs w:val="16"/>
        </w:rPr>
        <w:t xml:space="preserve">La parte de la providencia señala: </w:t>
      </w:r>
      <w:r w:rsidRPr="00454929">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18A4C305" w14:textId="77777777" w:rsidR="00B8779A" w:rsidRPr="00454929" w:rsidRDefault="00B8779A" w:rsidP="00B8779A">
      <w:pPr>
        <w:spacing w:after="0" w:line="240" w:lineRule="auto"/>
        <w:ind w:firstLine="709"/>
        <w:contextualSpacing/>
        <w:jc w:val="both"/>
        <w:rPr>
          <w:rFonts w:ascii="Verdana" w:eastAsia="Times New Roman" w:hAnsi="Verdana" w:cs="Times New Roman"/>
          <w:sz w:val="16"/>
          <w:szCs w:val="16"/>
          <w:lang w:eastAsia="es-ES"/>
        </w:rPr>
      </w:pPr>
    </w:p>
  </w:footnote>
  <w:footnote w:id="25">
    <w:p w14:paraId="03DA626C" w14:textId="77777777" w:rsidR="00B8779A" w:rsidRPr="00454929" w:rsidRDefault="00B8779A" w:rsidP="00B8779A">
      <w:pPr>
        <w:pStyle w:val="Textonotapie"/>
        <w:ind w:firstLine="709"/>
        <w:rPr>
          <w:rFonts w:ascii="Verdana" w:hAnsi="Verdana"/>
          <w:sz w:val="16"/>
          <w:szCs w:val="16"/>
          <w:lang w:val="es-CO"/>
        </w:rPr>
      </w:pPr>
      <w:r w:rsidRPr="00454929">
        <w:rPr>
          <w:rStyle w:val="Refdenotaalpie"/>
          <w:rFonts w:ascii="Verdana" w:hAnsi="Verdana"/>
          <w:sz w:val="16"/>
          <w:szCs w:val="16"/>
        </w:rPr>
        <w:footnoteRef/>
      </w:r>
      <w:r w:rsidRPr="00454929">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029B"/>
    <w:rsid w:val="00031855"/>
    <w:rsid w:val="00035438"/>
    <w:rsid w:val="00036631"/>
    <w:rsid w:val="00040801"/>
    <w:rsid w:val="000466BD"/>
    <w:rsid w:val="00046945"/>
    <w:rsid w:val="0005195F"/>
    <w:rsid w:val="00052B57"/>
    <w:rsid w:val="000547F7"/>
    <w:rsid w:val="00061547"/>
    <w:rsid w:val="00061B2A"/>
    <w:rsid w:val="000673BA"/>
    <w:rsid w:val="00071189"/>
    <w:rsid w:val="00071D46"/>
    <w:rsid w:val="00074CDA"/>
    <w:rsid w:val="00082362"/>
    <w:rsid w:val="000838BA"/>
    <w:rsid w:val="00092DCC"/>
    <w:rsid w:val="000A683E"/>
    <w:rsid w:val="000A6D90"/>
    <w:rsid w:val="000B19B9"/>
    <w:rsid w:val="000D0334"/>
    <w:rsid w:val="000D15E3"/>
    <w:rsid w:val="000D591D"/>
    <w:rsid w:val="000D5DA7"/>
    <w:rsid w:val="000E3C0C"/>
    <w:rsid w:val="000F6486"/>
    <w:rsid w:val="001131F7"/>
    <w:rsid w:val="00116940"/>
    <w:rsid w:val="00125105"/>
    <w:rsid w:val="00127233"/>
    <w:rsid w:val="0013793B"/>
    <w:rsid w:val="0015683D"/>
    <w:rsid w:val="0015699B"/>
    <w:rsid w:val="00160992"/>
    <w:rsid w:val="00161946"/>
    <w:rsid w:val="0016386A"/>
    <w:rsid w:val="00186559"/>
    <w:rsid w:val="00192440"/>
    <w:rsid w:val="001A0022"/>
    <w:rsid w:val="001A33BF"/>
    <w:rsid w:val="001B04E1"/>
    <w:rsid w:val="001B40D7"/>
    <w:rsid w:val="001C02BF"/>
    <w:rsid w:val="001C7A3B"/>
    <w:rsid w:val="001E4177"/>
    <w:rsid w:val="001F0B24"/>
    <w:rsid w:val="001F7DC6"/>
    <w:rsid w:val="0021326C"/>
    <w:rsid w:val="002133AC"/>
    <w:rsid w:val="00220E51"/>
    <w:rsid w:val="0022400B"/>
    <w:rsid w:val="00225635"/>
    <w:rsid w:val="0022674B"/>
    <w:rsid w:val="002421BB"/>
    <w:rsid w:val="002439E8"/>
    <w:rsid w:val="0025796E"/>
    <w:rsid w:val="0026347A"/>
    <w:rsid w:val="00266506"/>
    <w:rsid w:val="002707A2"/>
    <w:rsid w:val="0027500F"/>
    <w:rsid w:val="00275223"/>
    <w:rsid w:val="00285515"/>
    <w:rsid w:val="002951A0"/>
    <w:rsid w:val="002962BC"/>
    <w:rsid w:val="002A093D"/>
    <w:rsid w:val="002A0DD0"/>
    <w:rsid w:val="002A49AC"/>
    <w:rsid w:val="002A64FD"/>
    <w:rsid w:val="002C1DC7"/>
    <w:rsid w:val="002C7024"/>
    <w:rsid w:val="002C7A84"/>
    <w:rsid w:val="002E2BF8"/>
    <w:rsid w:val="002E4FD9"/>
    <w:rsid w:val="002E61CB"/>
    <w:rsid w:val="002F0013"/>
    <w:rsid w:val="002F7B54"/>
    <w:rsid w:val="00301509"/>
    <w:rsid w:val="0030657A"/>
    <w:rsid w:val="00322A85"/>
    <w:rsid w:val="00322EC5"/>
    <w:rsid w:val="00324168"/>
    <w:rsid w:val="00330834"/>
    <w:rsid w:val="003448F4"/>
    <w:rsid w:val="0035505F"/>
    <w:rsid w:val="00364792"/>
    <w:rsid w:val="00371077"/>
    <w:rsid w:val="00372C6B"/>
    <w:rsid w:val="00374F5E"/>
    <w:rsid w:val="0037544F"/>
    <w:rsid w:val="00377E3E"/>
    <w:rsid w:val="003820DF"/>
    <w:rsid w:val="003A3599"/>
    <w:rsid w:val="003A779E"/>
    <w:rsid w:val="003C6845"/>
    <w:rsid w:val="003D0F4D"/>
    <w:rsid w:val="003D1B64"/>
    <w:rsid w:val="003D5B0D"/>
    <w:rsid w:val="003E0499"/>
    <w:rsid w:val="003E4F80"/>
    <w:rsid w:val="003E6439"/>
    <w:rsid w:val="003E735B"/>
    <w:rsid w:val="003F3941"/>
    <w:rsid w:val="003F614D"/>
    <w:rsid w:val="00406575"/>
    <w:rsid w:val="00407776"/>
    <w:rsid w:val="00410798"/>
    <w:rsid w:val="00411BDC"/>
    <w:rsid w:val="00414C74"/>
    <w:rsid w:val="0042722E"/>
    <w:rsid w:val="004417F1"/>
    <w:rsid w:val="00441CBA"/>
    <w:rsid w:val="0044391D"/>
    <w:rsid w:val="0044528D"/>
    <w:rsid w:val="00447D68"/>
    <w:rsid w:val="00454929"/>
    <w:rsid w:val="00466E39"/>
    <w:rsid w:val="004826B6"/>
    <w:rsid w:val="0049672E"/>
    <w:rsid w:val="004A1847"/>
    <w:rsid w:val="004A305D"/>
    <w:rsid w:val="004A6106"/>
    <w:rsid w:val="004E615E"/>
    <w:rsid w:val="004F21C4"/>
    <w:rsid w:val="004F685F"/>
    <w:rsid w:val="00500CF5"/>
    <w:rsid w:val="00511259"/>
    <w:rsid w:val="0051328D"/>
    <w:rsid w:val="005173C4"/>
    <w:rsid w:val="00521F6D"/>
    <w:rsid w:val="005254E6"/>
    <w:rsid w:val="0053094D"/>
    <w:rsid w:val="00555728"/>
    <w:rsid w:val="005566E8"/>
    <w:rsid w:val="005675BF"/>
    <w:rsid w:val="00574867"/>
    <w:rsid w:val="00576A8A"/>
    <w:rsid w:val="00576B1A"/>
    <w:rsid w:val="00591460"/>
    <w:rsid w:val="005A2F05"/>
    <w:rsid w:val="005A65E0"/>
    <w:rsid w:val="005B28DF"/>
    <w:rsid w:val="005B6132"/>
    <w:rsid w:val="005C3777"/>
    <w:rsid w:val="005C5CDC"/>
    <w:rsid w:val="005D476C"/>
    <w:rsid w:val="00612C39"/>
    <w:rsid w:val="00613744"/>
    <w:rsid w:val="006200BF"/>
    <w:rsid w:val="006204DF"/>
    <w:rsid w:val="006219F8"/>
    <w:rsid w:val="006302F7"/>
    <w:rsid w:val="00646B9F"/>
    <w:rsid w:val="00654670"/>
    <w:rsid w:val="006638D4"/>
    <w:rsid w:val="00665D70"/>
    <w:rsid w:val="00684307"/>
    <w:rsid w:val="006900D9"/>
    <w:rsid w:val="006918E2"/>
    <w:rsid w:val="00694F2A"/>
    <w:rsid w:val="006E7646"/>
    <w:rsid w:val="006F73F6"/>
    <w:rsid w:val="00700FC1"/>
    <w:rsid w:val="00706C16"/>
    <w:rsid w:val="00720881"/>
    <w:rsid w:val="007340C3"/>
    <w:rsid w:val="00746BE7"/>
    <w:rsid w:val="0075235A"/>
    <w:rsid w:val="00756841"/>
    <w:rsid w:val="007649AB"/>
    <w:rsid w:val="00771CCA"/>
    <w:rsid w:val="00771D0C"/>
    <w:rsid w:val="00782142"/>
    <w:rsid w:val="007833AC"/>
    <w:rsid w:val="0079605D"/>
    <w:rsid w:val="007B268C"/>
    <w:rsid w:val="007B7171"/>
    <w:rsid w:val="007B7C67"/>
    <w:rsid w:val="007C0C0F"/>
    <w:rsid w:val="007C3DC2"/>
    <w:rsid w:val="007D4B2E"/>
    <w:rsid w:val="007D57F7"/>
    <w:rsid w:val="007E5497"/>
    <w:rsid w:val="007F431E"/>
    <w:rsid w:val="007F494F"/>
    <w:rsid w:val="008036B4"/>
    <w:rsid w:val="00806F5F"/>
    <w:rsid w:val="0081175D"/>
    <w:rsid w:val="00816000"/>
    <w:rsid w:val="00820278"/>
    <w:rsid w:val="008258C9"/>
    <w:rsid w:val="00832214"/>
    <w:rsid w:val="00834510"/>
    <w:rsid w:val="00834C77"/>
    <w:rsid w:val="00844AE9"/>
    <w:rsid w:val="00846D07"/>
    <w:rsid w:val="00861E32"/>
    <w:rsid w:val="00865796"/>
    <w:rsid w:val="00867F95"/>
    <w:rsid w:val="008717DA"/>
    <w:rsid w:val="0087320F"/>
    <w:rsid w:val="008843B6"/>
    <w:rsid w:val="00887563"/>
    <w:rsid w:val="00891928"/>
    <w:rsid w:val="00891996"/>
    <w:rsid w:val="008A446D"/>
    <w:rsid w:val="008B0077"/>
    <w:rsid w:val="008B25F1"/>
    <w:rsid w:val="008C17CB"/>
    <w:rsid w:val="008D180B"/>
    <w:rsid w:val="008E12F2"/>
    <w:rsid w:val="008E21A9"/>
    <w:rsid w:val="008E492D"/>
    <w:rsid w:val="008E55E5"/>
    <w:rsid w:val="008F0EA7"/>
    <w:rsid w:val="00923EEF"/>
    <w:rsid w:val="00926E3D"/>
    <w:rsid w:val="0093137C"/>
    <w:rsid w:val="00934F4F"/>
    <w:rsid w:val="009419F9"/>
    <w:rsid w:val="009433C7"/>
    <w:rsid w:val="00943446"/>
    <w:rsid w:val="0095685E"/>
    <w:rsid w:val="00957615"/>
    <w:rsid w:val="00961B09"/>
    <w:rsid w:val="00965334"/>
    <w:rsid w:val="0097093E"/>
    <w:rsid w:val="00970FE4"/>
    <w:rsid w:val="009948A2"/>
    <w:rsid w:val="0099559C"/>
    <w:rsid w:val="009A0DFA"/>
    <w:rsid w:val="009A1C6F"/>
    <w:rsid w:val="009B0E84"/>
    <w:rsid w:val="009B2D26"/>
    <w:rsid w:val="009B604C"/>
    <w:rsid w:val="009C1F94"/>
    <w:rsid w:val="009C71FA"/>
    <w:rsid w:val="009C72E7"/>
    <w:rsid w:val="009C7F7E"/>
    <w:rsid w:val="009D3058"/>
    <w:rsid w:val="009E2EC0"/>
    <w:rsid w:val="009F3A13"/>
    <w:rsid w:val="00A122D3"/>
    <w:rsid w:val="00A14468"/>
    <w:rsid w:val="00A17F13"/>
    <w:rsid w:val="00A20739"/>
    <w:rsid w:val="00A23AF9"/>
    <w:rsid w:val="00A32BE2"/>
    <w:rsid w:val="00A332C8"/>
    <w:rsid w:val="00A33C78"/>
    <w:rsid w:val="00A3402F"/>
    <w:rsid w:val="00A43116"/>
    <w:rsid w:val="00A43159"/>
    <w:rsid w:val="00A47767"/>
    <w:rsid w:val="00A53532"/>
    <w:rsid w:val="00A575FE"/>
    <w:rsid w:val="00A92EC3"/>
    <w:rsid w:val="00A960E5"/>
    <w:rsid w:val="00AA63B5"/>
    <w:rsid w:val="00AB0ADB"/>
    <w:rsid w:val="00AB619D"/>
    <w:rsid w:val="00AD6C81"/>
    <w:rsid w:val="00AF0821"/>
    <w:rsid w:val="00AF1BE5"/>
    <w:rsid w:val="00B00C0E"/>
    <w:rsid w:val="00B01B1A"/>
    <w:rsid w:val="00B0381D"/>
    <w:rsid w:val="00B060A3"/>
    <w:rsid w:val="00B13E84"/>
    <w:rsid w:val="00B37969"/>
    <w:rsid w:val="00B44A47"/>
    <w:rsid w:val="00B45858"/>
    <w:rsid w:val="00B714B0"/>
    <w:rsid w:val="00B72CD3"/>
    <w:rsid w:val="00B72FFF"/>
    <w:rsid w:val="00B85A64"/>
    <w:rsid w:val="00B8779A"/>
    <w:rsid w:val="00BA1D42"/>
    <w:rsid w:val="00BC3D36"/>
    <w:rsid w:val="00BD4350"/>
    <w:rsid w:val="00BD54A6"/>
    <w:rsid w:val="00BD7F72"/>
    <w:rsid w:val="00BF2144"/>
    <w:rsid w:val="00BF2FC8"/>
    <w:rsid w:val="00BF7425"/>
    <w:rsid w:val="00C04FB3"/>
    <w:rsid w:val="00C0783E"/>
    <w:rsid w:val="00C11D8B"/>
    <w:rsid w:val="00C15139"/>
    <w:rsid w:val="00C16A37"/>
    <w:rsid w:val="00C32BE1"/>
    <w:rsid w:val="00C330EB"/>
    <w:rsid w:val="00C413E9"/>
    <w:rsid w:val="00C41DE8"/>
    <w:rsid w:val="00C50D69"/>
    <w:rsid w:val="00C5151D"/>
    <w:rsid w:val="00C5365C"/>
    <w:rsid w:val="00C54178"/>
    <w:rsid w:val="00C541CA"/>
    <w:rsid w:val="00C546CC"/>
    <w:rsid w:val="00C55BDE"/>
    <w:rsid w:val="00C708C9"/>
    <w:rsid w:val="00C754BE"/>
    <w:rsid w:val="00C76B1C"/>
    <w:rsid w:val="00C851C7"/>
    <w:rsid w:val="00C925AC"/>
    <w:rsid w:val="00CA7C8E"/>
    <w:rsid w:val="00CB1D05"/>
    <w:rsid w:val="00CB6357"/>
    <w:rsid w:val="00CC1B26"/>
    <w:rsid w:val="00CC2FD7"/>
    <w:rsid w:val="00CF29BA"/>
    <w:rsid w:val="00CF4966"/>
    <w:rsid w:val="00CF7038"/>
    <w:rsid w:val="00D177E6"/>
    <w:rsid w:val="00D201E9"/>
    <w:rsid w:val="00D25E73"/>
    <w:rsid w:val="00D302D9"/>
    <w:rsid w:val="00D361FD"/>
    <w:rsid w:val="00D414FE"/>
    <w:rsid w:val="00D423A2"/>
    <w:rsid w:val="00D44E26"/>
    <w:rsid w:val="00D460D0"/>
    <w:rsid w:val="00D520D8"/>
    <w:rsid w:val="00D63AC2"/>
    <w:rsid w:val="00D64656"/>
    <w:rsid w:val="00D6787C"/>
    <w:rsid w:val="00D7383B"/>
    <w:rsid w:val="00D7788A"/>
    <w:rsid w:val="00D82C96"/>
    <w:rsid w:val="00D8415F"/>
    <w:rsid w:val="00D86621"/>
    <w:rsid w:val="00DA02A1"/>
    <w:rsid w:val="00DA1FBF"/>
    <w:rsid w:val="00DA231B"/>
    <w:rsid w:val="00DB2058"/>
    <w:rsid w:val="00DB2E63"/>
    <w:rsid w:val="00DC2676"/>
    <w:rsid w:val="00DC38B2"/>
    <w:rsid w:val="00DC39FC"/>
    <w:rsid w:val="00DE440E"/>
    <w:rsid w:val="00DE4943"/>
    <w:rsid w:val="00DE79ED"/>
    <w:rsid w:val="00DF5254"/>
    <w:rsid w:val="00E02524"/>
    <w:rsid w:val="00E07A6B"/>
    <w:rsid w:val="00E1209B"/>
    <w:rsid w:val="00E13BCD"/>
    <w:rsid w:val="00E15C40"/>
    <w:rsid w:val="00E16408"/>
    <w:rsid w:val="00E20894"/>
    <w:rsid w:val="00E245AB"/>
    <w:rsid w:val="00E27291"/>
    <w:rsid w:val="00E2764C"/>
    <w:rsid w:val="00E27F2E"/>
    <w:rsid w:val="00E36176"/>
    <w:rsid w:val="00E50AFE"/>
    <w:rsid w:val="00E51371"/>
    <w:rsid w:val="00E75C92"/>
    <w:rsid w:val="00E771DC"/>
    <w:rsid w:val="00E826C6"/>
    <w:rsid w:val="00E84EEF"/>
    <w:rsid w:val="00E86265"/>
    <w:rsid w:val="00E8772A"/>
    <w:rsid w:val="00E90F6B"/>
    <w:rsid w:val="00E92C27"/>
    <w:rsid w:val="00E93496"/>
    <w:rsid w:val="00EA0E3D"/>
    <w:rsid w:val="00EA4365"/>
    <w:rsid w:val="00EB5A8E"/>
    <w:rsid w:val="00EC214E"/>
    <w:rsid w:val="00EC38A7"/>
    <w:rsid w:val="00ED5176"/>
    <w:rsid w:val="00ED5F50"/>
    <w:rsid w:val="00EE04B9"/>
    <w:rsid w:val="00EE1AA8"/>
    <w:rsid w:val="00EF2E3F"/>
    <w:rsid w:val="00EF5BD7"/>
    <w:rsid w:val="00F01EE6"/>
    <w:rsid w:val="00F07CE6"/>
    <w:rsid w:val="00F07F01"/>
    <w:rsid w:val="00F10689"/>
    <w:rsid w:val="00F23FEA"/>
    <w:rsid w:val="00F302DC"/>
    <w:rsid w:val="00F31EDC"/>
    <w:rsid w:val="00F32232"/>
    <w:rsid w:val="00F34198"/>
    <w:rsid w:val="00F462B3"/>
    <w:rsid w:val="00F5664F"/>
    <w:rsid w:val="00F60C80"/>
    <w:rsid w:val="00F63C15"/>
    <w:rsid w:val="00F666C4"/>
    <w:rsid w:val="00F76AFC"/>
    <w:rsid w:val="00F775C8"/>
    <w:rsid w:val="00F80590"/>
    <w:rsid w:val="00FA47C0"/>
    <w:rsid w:val="00FB5DD1"/>
    <w:rsid w:val="00FC2B5D"/>
    <w:rsid w:val="00FC6BC9"/>
    <w:rsid w:val="00FD113E"/>
    <w:rsid w:val="00FD6717"/>
    <w:rsid w:val="00FE31C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57615"/>
    <w:rPr>
      <w:rFonts w:ascii="Geomanist Light" w:hAnsi="Geomanist Light"/>
      <w:lang w:val="es-ES"/>
    </w:rPr>
  </w:style>
  <w:style w:type="paragraph" w:customStyle="1" w:styleId="Appelnotedebasde">
    <w:name w:val="Appel note de bas de..."/>
    <w:basedOn w:val="Normal"/>
    <w:link w:val="Refdenotaalpie"/>
    <w:uiPriority w:val="99"/>
    <w:rsid w:val="00EF2E3F"/>
    <w:pPr>
      <w:spacing w:line="240" w:lineRule="exact"/>
    </w:pPr>
    <w:rPr>
      <w:vertAlign w:val="superscript"/>
    </w:rPr>
  </w:style>
  <w:style w:type="character" w:customStyle="1" w:styleId="NormalWebCar">
    <w:name w:val="Normal (Web) Car"/>
    <w:link w:val="NormalWeb"/>
    <w:uiPriority w:val="99"/>
    <w:rsid w:val="00EF2E3F"/>
    <w:rPr>
      <w:rFonts w:ascii="Times New Roman" w:eastAsia="Times New Roman" w:hAnsi="Times New Roman" w:cs="Times New Roman"/>
      <w:sz w:val="24"/>
      <w:szCs w:val="24"/>
      <w:lang w:eastAsia="es-CO"/>
    </w:rPr>
  </w:style>
  <w:style w:type="character" w:customStyle="1" w:styleId="baj">
    <w:name w:val="b_aj"/>
    <w:basedOn w:val="Fuentedeprrafopredeter"/>
    <w:rsid w:val="00092DCC"/>
  </w:style>
  <w:style w:type="table" w:customStyle="1" w:styleId="Tablaconcuadrcula1">
    <w:name w:val="Tabla con cuadrícula1"/>
    <w:basedOn w:val="Tablanormal"/>
    <w:next w:val="Tablaconcuadrcula"/>
    <w:uiPriority w:val="39"/>
    <w:qFormat/>
    <w:rsid w:val="006638D4"/>
    <w:pPr>
      <w:spacing w:after="0" w:line="240" w:lineRule="auto"/>
    </w:pPr>
    <w:tblPr/>
  </w:style>
  <w:style w:type="table" w:customStyle="1" w:styleId="Tablaconcuadrcula11">
    <w:name w:val="Tabla con cuadrícula11"/>
    <w:basedOn w:val="Tablanormal"/>
    <w:next w:val="Tablaconcuadrcula"/>
    <w:uiPriority w:val="39"/>
    <w:qFormat/>
    <w:rsid w:val="00782142"/>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circular/circular-externa-006-de-2025"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contactenos@calarca-quindio.gov.co"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747D40FE-B337-4A0E-ABEE-B8C5442DA9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96D03173-9E34-4A08-BC2F-30708C43E48C}">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39</TotalTime>
  <Pages>30</Pages>
  <Words>9896</Words>
  <Characters>54331</Characters>
  <Application>Microsoft Office Word</Application>
  <DocSecurity>0</DocSecurity>
  <Lines>1025</Lines>
  <Paragraphs>194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2025-12-10T15:14:00Z</dcterms:created>
  <dcterms:modified xsi:type="dcterms:W3CDTF">2025-12-10T15:47:00Z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