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757B5" w14:textId="77777777" w:rsidR="007524A1" w:rsidRPr="00E031A9" w:rsidRDefault="007524A1" w:rsidP="007524A1">
      <w:pPr>
        <w:spacing w:after="0" w:line="276" w:lineRule="auto"/>
        <w:jc w:val="both"/>
        <w:rPr>
          <w:rFonts w:ascii="Verdana" w:eastAsia="Calibri" w:hAnsi="Verdana" w:cs="Arial"/>
          <w:b/>
          <w:kern w:val="2"/>
          <w:lang w:val="es-ES_tradnl"/>
          <w14:ligatures w14:val="standardContextual"/>
        </w:rPr>
      </w:pPr>
      <w:bookmarkStart w:id="0" w:name="_Hlk143780582"/>
      <w:r w:rsidRPr="00E031A9">
        <w:rPr>
          <w:rFonts w:ascii="Verdana" w:eastAsia="Calibri" w:hAnsi="Verdana" w:cs="Arial"/>
          <w:b/>
          <w:kern w:val="2"/>
          <w:lang w:val="es-ES_tradnl"/>
          <w14:ligatures w14:val="standardContextual"/>
        </w:rPr>
        <w:t>SOCIEDADES NUEVAS ‒ Experiencia ‒ Inferior a tres a</w:t>
      </w:r>
      <w:r w:rsidRPr="00E031A9">
        <w:rPr>
          <w:rFonts w:ascii="Verdana" w:eastAsia="Calibri" w:hAnsi="Verdana" w:cs="Century Gothic"/>
          <w:b/>
          <w:kern w:val="2"/>
          <w:lang w:val="es-ES_tradnl"/>
          <w14:ligatures w14:val="standardContextual"/>
        </w:rPr>
        <w:t>ñ</w:t>
      </w:r>
      <w:r w:rsidRPr="00E031A9">
        <w:rPr>
          <w:rFonts w:ascii="Verdana" w:eastAsia="Calibri" w:hAnsi="Verdana" w:cs="Arial"/>
          <w:b/>
          <w:kern w:val="2"/>
          <w:lang w:val="es-ES_tradnl"/>
          <w14:ligatures w14:val="standardContextual"/>
        </w:rPr>
        <w:t>os ‒ Requisitos habilitantes ‒ Desarrollo de la empresa</w:t>
      </w:r>
    </w:p>
    <w:p w14:paraId="049C9D83" w14:textId="77777777" w:rsidR="007524A1" w:rsidRPr="00E031A9" w:rsidRDefault="007524A1" w:rsidP="007524A1">
      <w:pPr>
        <w:spacing w:after="0" w:line="276" w:lineRule="auto"/>
        <w:jc w:val="both"/>
        <w:rPr>
          <w:rFonts w:ascii="Verdana" w:eastAsia="Calibri" w:hAnsi="Verdana" w:cs="Arial"/>
          <w:kern w:val="2"/>
          <w:lang w:val="es-ES_tradnl"/>
          <w14:ligatures w14:val="standardContextual"/>
        </w:rPr>
      </w:pPr>
    </w:p>
    <w:p w14:paraId="0200DD36" w14:textId="77777777" w:rsidR="007524A1" w:rsidRPr="007524A1" w:rsidRDefault="007524A1" w:rsidP="007524A1">
      <w:pPr>
        <w:snapToGrid w:val="0"/>
        <w:spacing w:after="120" w:line="276" w:lineRule="auto"/>
        <w:jc w:val="both"/>
        <w:rPr>
          <w:rFonts w:ascii="Verdana" w:eastAsia="Calibri" w:hAnsi="Verdana" w:cs="Arial"/>
          <w:color w:val="000000"/>
          <w:sz w:val="20"/>
          <w:szCs w:val="20"/>
          <w:shd w:val="clear" w:color="auto" w:fill="FFFFFF"/>
          <w:lang w:val="es-ES"/>
        </w:rPr>
      </w:pPr>
      <w:r w:rsidRPr="007524A1">
        <w:rPr>
          <w:rFonts w:ascii="Verdana" w:eastAsia="Calibri" w:hAnsi="Verdana" w:cs="Arial"/>
          <w:color w:val="000000"/>
          <w:sz w:val="20"/>
          <w:szCs w:val="20"/>
          <w:shd w:val="clear" w:color="auto" w:fill="FFFFFF"/>
          <w:lang w:val="es-ES"/>
        </w:rPr>
        <w:t>[…] La parte final de ese numeral 2.5. indica que “Si la constitución del interesado es menor a tres (3) años, puede acreditar la experiencia de sus accionistas, socios o constituyentes”. 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entendiendo por supuesto que deben ostentar tal calidad al momento en que pretendan hacer uso de dicha facultad de acreditación de experiencia.</w:t>
      </w:r>
    </w:p>
    <w:p w14:paraId="269CA935" w14:textId="77777777" w:rsidR="007524A1" w:rsidRPr="00EF714C" w:rsidRDefault="007524A1" w:rsidP="007524A1">
      <w:pPr>
        <w:tabs>
          <w:tab w:val="left" w:pos="483"/>
        </w:tabs>
        <w:spacing w:after="0" w:line="240" w:lineRule="auto"/>
        <w:jc w:val="both"/>
        <w:rPr>
          <w:rFonts w:ascii="Verdana" w:eastAsia="Calibri" w:hAnsi="Verdana" w:cs="Arial"/>
          <w:color w:val="000000"/>
          <w:sz w:val="20"/>
          <w:szCs w:val="20"/>
          <w:shd w:val="clear" w:color="auto" w:fill="FFFFFF"/>
          <w:lang w:val="es-ES"/>
        </w:rPr>
      </w:pPr>
    </w:p>
    <w:p w14:paraId="63142AB2" w14:textId="77777777" w:rsidR="007524A1" w:rsidRPr="00E031A9" w:rsidRDefault="007524A1" w:rsidP="007524A1">
      <w:pPr>
        <w:tabs>
          <w:tab w:val="left" w:pos="483"/>
        </w:tabs>
        <w:spacing w:after="0" w:line="240" w:lineRule="auto"/>
        <w:jc w:val="both"/>
        <w:rPr>
          <w:rFonts w:ascii="Verdana" w:eastAsia="Calibri" w:hAnsi="Verdana" w:cs="Arial"/>
          <w:color w:val="000000"/>
          <w:sz w:val="20"/>
          <w:szCs w:val="20"/>
          <w:shd w:val="clear" w:color="auto" w:fill="FFFFFF"/>
          <w:lang w:val="es-ES"/>
        </w:rPr>
      </w:pPr>
      <w:r w:rsidRPr="00EF714C">
        <w:rPr>
          <w:rFonts w:ascii="Verdana" w:eastAsia="Calibri" w:hAnsi="Verdana" w:cs="Arial"/>
          <w:color w:val="000000"/>
          <w:sz w:val="20"/>
          <w:szCs w:val="2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17B6E3B4" w14:textId="77777777" w:rsidR="007524A1" w:rsidRPr="00E031A9" w:rsidRDefault="007524A1" w:rsidP="007524A1">
      <w:pPr>
        <w:spacing w:after="0" w:line="276" w:lineRule="auto"/>
        <w:jc w:val="both"/>
        <w:rPr>
          <w:rFonts w:ascii="Verdana" w:eastAsia="Calibri" w:hAnsi="Verdana" w:cs="Arial"/>
          <w:b/>
          <w:kern w:val="2"/>
          <w:lang w:val="es-ES_tradnl"/>
          <w14:ligatures w14:val="standardContextual"/>
        </w:rPr>
      </w:pPr>
    </w:p>
    <w:p w14:paraId="5E4A3F97" w14:textId="77777777" w:rsidR="007524A1" w:rsidRPr="00E031A9" w:rsidRDefault="007524A1" w:rsidP="007524A1">
      <w:pPr>
        <w:spacing w:after="0" w:line="276" w:lineRule="auto"/>
        <w:jc w:val="both"/>
        <w:rPr>
          <w:rFonts w:ascii="Verdana" w:eastAsia="Calibri" w:hAnsi="Verdana" w:cs="Arial"/>
          <w:b/>
          <w:bCs/>
          <w:kern w:val="2"/>
          <w:lang w:val="es-ES_tradnl"/>
          <w14:ligatures w14:val="standardContextual"/>
        </w:rPr>
      </w:pPr>
      <w:r w:rsidRPr="00E031A9">
        <w:rPr>
          <w:rFonts w:ascii="Verdana" w:eastAsia="Calibri" w:hAnsi="Verdana" w:cs="Arial"/>
          <w:b/>
          <w:bCs/>
          <w:kern w:val="2"/>
          <w:lang w:val="es-ES_tradnl"/>
          <w14:ligatures w14:val="standardContextual"/>
        </w:rPr>
        <w:t>EXPERIENCIA ‒ Conservaci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 Renovaci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RUP ‒ Cesaci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efectos RUP</w:t>
      </w:r>
    </w:p>
    <w:p w14:paraId="61765D78" w14:textId="77777777" w:rsidR="007524A1" w:rsidRPr="00EF714C" w:rsidRDefault="007524A1" w:rsidP="007524A1">
      <w:pPr>
        <w:spacing w:after="0" w:line="276" w:lineRule="auto"/>
        <w:contextualSpacing/>
        <w:jc w:val="both"/>
        <w:rPr>
          <w:rFonts w:ascii="Verdana" w:eastAsia="Calibri" w:hAnsi="Verdana" w:cs="Arial"/>
          <w:kern w:val="2"/>
          <w:lang w:val="es-ES_tradnl"/>
          <w14:ligatures w14:val="standardContextual"/>
        </w:rPr>
      </w:pPr>
    </w:p>
    <w:p w14:paraId="14ECA7BA" w14:textId="4866F449" w:rsidR="007524A1" w:rsidRDefault="007524A1" w:rsidP="007524A1">
      <w:pPr>
        <w:snapToGrid w:val="0"/>
        <w:spacing w:after="120" w:line="276" w:lineRule="auto"/>
        <w:jc w:val="both"/>
        <w:rPr>
          <w:rFonts w:ascii="Verdana" w:eastAsia="Times New Roman" w:hAnsi="Verdana" w:cs="Arial"/>
          <w:sz w:val="20"/>
          <w:szCs w:val="20"/>
          <w:lang w:val="es-ES" w:eastAsia="es-ES"/>
        </w:rPr>
      </w:pPr>
      <w:r w:rsidRPr="007524A1">
        <w:rPr>
          <w:rFonts w:ascii="Verdana" w:eastAsia="Calibri" w:hAnsi="Verdana" w:cs="Arial"/>
          <w:color w:val="000000"/>
          <w:sz w:val="20"/>
          <w:szCs w:val="20"/>
          <w:shd w:val="clear" w:color="auto" w:fill="FFFFFF"/>
          <w:lang w:val="es-ES"/>
        </w:rPr>
        <w:t>esta Agencia considera que, si la persona jurídica con menos de tres (3) años de constituida registra la experiencia de sus socios en el RUP, y este es renovado constantemente de forma oportuna, una vez transcurridos estos tres (3) años, el proponente podrá seguir acreditando la experiencia inscrita de los socios mientras no cesen los efectos del RUP. Por el contrario, si no se renueva oportunamente y la persona jurídica supera los tres (3) 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w:t>
      </w:r>
      <w:r w:rsidRPr="00EF714C">
        <w:rPr>
          <w:rFonts w:ascii="Verdana" w:eastAsia="Times New Roman" w:hAnsi="Verdana" w:cs="Arial"/>
          <w:sz w:val="20"/>
          <w:szCs w:val="20"/>
          <w:lang w:val="es-ES" w:eastAsia="es-ES"/>
        </w:rPr>
        <w:t xml:space="preserve">. […] </w:t>
      </w:r>
    </w:p>
    <w:p w14:paraId="5EC50E21" w14:textId="77777777" w:rsidR="00FA6066" w:rsidRDefault="00FA6066" w:rsidP="007524A1">
      <w:pPr>
        <w:snapToGrid w:val="0"/>
        <w:spacing w:after="120" w:line="276" w:lineRule="auto"/>
        <w:jc w:val="both"/>
        <w:rPr>
          <w:rFonts w:ascii="Verdana" w:eastAsia="Times New Roman" w:hAnsi="Verdana" w:cs="Arial"/>
          <w:sz w:val="20"/>
          <w:szCs w:val="20"/>
          <w:lang w:val="es-ES" w:eastAsia="es-ES"/>
        </w:rPr>
      </w:pPr>
    </w:p>
    <w:p w14:paraId="6E234D89" w14:textId="77777777" w:rsidR="00FA6066" w:rsidRDefault="00FA6066" w:rsidP="007524A1">
      <w:pPr>
        <w:snapToGrid w:val="0"/>
        <w:spacing w:after="120" w:line="276" w:lineRule="auto"/>
        <w:jc w:val="both"/>
        <w:rPr>
          <w:rFonts w:ascii="Verdana" w:eastAsia="Times New Roman" w:hAnsi="Verdana" w:cs="Arial"/>
          <w:sz w:val="20"/>
          <w:szCs w:val="20"/>
          <w:lang w:val="es-ES" w:eastAsia="es-ES"/>
        </w:rPr>
      </w:pPr>
    </w:p>
    <w:p w14:paraId="68F2B08E" w14:textId="77777777" w:rsidR="00FA6066" w:rsidRPr="007524A1" w:rsidRDefault="00FA6066" w:rsidP="007524A1">
      <w:pPr>
        <w:snapToGrid w:val="0"/>
        <w:spacing w:after="120" w:line="276" w:lineRule="auto"/>
        <w:jc w:val="both"/>
        <w:rPr>
          <w:rFonts w:ascii="Verdana" w:eastAsia="Calibri" w:hAnsi="Verdana" w:cs="Arial"/>
          <w:color w:val="000000"/>
          <w:sz w:val="20"/>
          <w:szCs w:val="20"/>
          <w:shd w:val="clear" w:color="auto" w:fill="FFFFFF"/>
          <w:lang w:val="es-ES"/>
        </w:rPr>
      </w:pPr>
    </w:p>
    <w:p w14:paraId="55EB49F5" w14:textId="77777777" w:rsidR="007524A1" w:rsidRPr="00E031A9" w:rsidRDefault="007524A1" w:rsidP="007524A1">
      <w:pPr>
        <w:spacing w:after="0" w:line="276" w:lineRule="auto"/>
        <w:jc w:val="both"/>
        <w:rPr>
          <w:rFonts w:ascii="Verdana" w:eastAsia="Calibri" w:hAnsi="Verdana" w:cs="Arial"/>
          <w:b/>
          <w:bCs/>
          <w:kern w:val="2"/>
          <w:lang w:val="es-ES_tradnl"/>
          <w14:ligatures w14:val="standardContextual"/>
        </w:rPr>
      </w:pPr>
    </w:p>
    <w:p w14:paraId="3E812F78" w14:textId="77777777" w:rsidR="007524A1" w:rsidRPr="00E031A9" w:rsidRDefault="007524A1" w:rsidP="007524A1">
      <w:pPr>
        <w:spacing w:after="0" w:line="276" w:lineRule="auto"/>
        <w:jc w:val="both"/>
        <w:rPr>
          <w:rFonts w:ascii="Verdana" w:eastAsia="Calibri" w:hAnsi="Verdana" w:cs="Arial"/>
          <w:bCs/>
          <w:lang w:val="es-ES_tradnl"/>
        </w:rPr>
      </w:pPr>
    </w:p>
    <w:p w14:paraId="7736276D" w14:textId="77777777" w:rsidR="007524A1" w:rsidRDefault="007524A1" w:rsidP="00C15139">
      <w:pPr>
        <w:spacing w:after="0"/>
        <w:rPr>
          <w:rFonts w:ascii="Verdana" w:hAnsi="Verdana"/>
        </w:rPr>
      </w:pPr>
    </w:p>
    <w:p w14:paraId="1468C46D" w14:textId="70F8AAC1" w:rsidR="00C15139" w:rsidRPr="0024624F" w:rsidRDefault="00C15139" w:rsidP="00C15139">
      <w:pPr>
        <w:spacing w:after="0"/>
        <w:rPr>
          <w:rFonts w:ascii="Verdana" w:hAnsi="Verdana"/>
        </w:rPr>
      </w:pPr>
      <w:r w:rsidRPr="0024624F">
        <w:rPr>
          <w:rFonts w:ascii="Verdana" w:hAnsi="Verdana"/>
        </w:rPr>
        <w:t xml:space="preserve">Bogotá D.C., </w:t>
      </w:r>
      <w:r w:rsidR="002619FF">
        <w:rPr>
          <w:rFonts w:ascii="Verdana" w:hAnsi="Verdana"/>
        </w:rPr>
        <w:t xml:space="preserve">17 </w:t>
      </w:r>
      <w:proofErr w:type="gramStart"/>
      <w:r w:rsidR="002619FF">
        <w:rPr>
          <w:rFonts w:ascii="Verdana" w:hAnsi="Verdana"/>
        </w:rPr>
        <w:t>Diciembre</w:t>
      </w:r>
      <w:proofErr w:type="gramEnd"/>
      <w:r w:rsidR="002619FF">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p>
    <w:p w14:paraId="12443EE0" w14:textId="77777777" w:rsidR="00C15139" w:rsidRPr="0024624F" w:rsidRDefault="00C15139" w:rsidP="00C15139">
      <w:pPr>
        <w:spacing w:after="0"/>
        <w:rPr>
          <w:rFonts w:ascii="Verdana" w:hAnsi="Verdana"/>
        </w:rPr>
      </w:pPr>
    </w:p>
    <w:bookmarkEnd w:id="0"/>
    <w:p w14:paraId="7D131880" w14:textId="3E4404FB" w:rsidR="004E38C9" w:rsidRPr="004E38C9" w:rsidRDefault="001D19D0" w:rsidP="004E38C9">
      <w:pPr>
        <w:spacing w:after="0" w:line="240" w:lineRule="auto"/>
        <w:jc w:val="both"/>
        <w:rPr>
          <w:rFonts w:ascii="Verdana" w:eastAsia="Calibri" w:hAnsi="Verdana" w:cs="Arial"/>
          <w:lang w:eastAsia="es-ES"/>
        </w:rPr>
      </w:pPr>
      <w:r w:rsidRPr="002619FF">
        <w:rPr>
          <w:rFonts w:ascii="Verdana" w:eastAsia="Calibri" w:hAnsi="Verdana" w:cs="Arial"/>
          <w:b/>
          <w:noProof/>
          <w:lang w:val="it-IT" w:eastAsia="es-ES_tradnl"/>
        </w:rPr>
        <w:drawing>
          <wp:anchor distT="0" distB="0" distL="114300" distR="114300" simplePos="0" relativeHeight="251658240" behindDoc="1" locked="0" layoutInCell="1" allowOverlap="1" wp14:anchorId="3769F855" wp14:editId="7CB46174">
            <wp:simplePos x="0" y="0"/>
            <wp:positionH relativeFrom="column">
              <wp:posOffset>3282315</wp:posOffset>
            </wp:positionH>
            <wp:positionV relativeFrom="paragraph">
              <wp:posOffset>10795</wp:posOffset>
            </wp:positionV>
            <wp:extent cx="2438400" cy="807720"/>
            <wp:effectExtent l="0" t="0" r="0" b="0"/>
            <wp:wrapNone/>
            <wp:docPr id="425702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70273" name=""/>
                    <pic:cNvPicPr/>
                  </pic:nvPicPr>
                  <pic:blipFill>
                    <a:blip r:embed="rId10">
                      <a:extLst>
                        <a:ext uri="{28A0092B-C50C-407E-A947-70E740481C1C}">
                          <a14:useLocalDpi xmlns:a14="http://schemas.microsoft.com/office/drawing/2010/main" val="0"/>
                        </a:ext>
                      </a:extLst>
                    </a:blip>
                    <a:stretch>
                      <a:fillRect/>
                    </a:stretch>
                  </pic:blipFill>
                  <pic:spPr>
                    <a:xfrm>
                      <a:off x="0" y="0"/>
                      <a:ext cx="2438400" cy="807720"/>
                    </a:xfrm>
                    <a:prstGeom prst="rect">
                      <a:avLst/>
                    </a:prstGeom>
                  </pic:spPr>
                </pic:pic>
              </a:graphicData>
            </a:graphic>
            <wp14:sizeRelH relativeFrom="page">
              <wp14:pctWidth>0</wp14:pctWidth>
            </wp14:sizeRelH>
            <wp14:sizeRelV relativeFrom="page">
              <wp14:pctHeight>0</wp14:pctHeight>
            </wp14:sizeRelV>
          </wp:anchor>
        </w:drawing>
      </w:r>
      <w:r w:rsidR="00E80920">
        <w:rPr>
          <w:rFonts w:ascii="Verdana" w:eastAsia="Calibri" w:hAnsi="Verdana" w:cs="Arial"/>
          <w:lang w:eastAsia="es-ES"/>
        </w:rPr>
        <w:t>S</w:t>
      </w:r>
      <w:r w:rsidR="004E38C9" w:rsidRPr="004E38C9">
        <w:rPr>
          <w:rFonts w:ascii="Verdana" w:eastAsia="Calibri" w:hAnsi="Verdana" w:cs="Arial"/>
          <w:lang w:eastAsia="es-ES"/>
        </w:rPr>
        <w:t>eñor</w:t>
      </w:r>
    </w:p>
    <w:p w14:paraId="609FF17E" w14:textId="5989959D" w:rsidR="004E38C9" w:rsidRPr="004E38C9" w:rsidRDefault="004E38C9" w:rsidP="004E38C9">
      <w:pPr>
        <w:spacing w:after="0" w:line="240" w:lineRule="auto"/>
        <w:jc w:val="both"/>
        <w:rPr>
          <w:rFonts w:ascii="Verdana" w:eastAsia="Calibri" w:hAnsi="Verdana" w:cs="Arial"/>
          <w:b/>
          <w:bCs/>
          <w:lang w:eastAsia="es-ES"/>
        </w:rPr>
      </w:pPr>
      <w:r w:rsidRPr="004E38C9">
        <w:rPr>
          <w:rFonts w:ascii="Verdana" w:eastAsia="Calibri" w:hAnsi="Verdana" w:cs="Arial"/>
          <w:b/>
          <w:bCs/>
          <w:lang w:eastAsia="es-ES"/>
        </w:rPr>
        <w:t xml:space="preserve">Brayan Enrique Cubillos Moreno </w:t>
      </w:r>
    </w:p>
    <w:p w14:paraId="73004683" w14:textId="77777777" w:rsidR="004E38C9" w:rsidRPr="00BD66DB" w:rsidRDefault="004E38C9" w:rsidP="004E38C9">
      <w:pPr>
        <w:spacing w:after="0" w:line="240" w:lineRule="auto"/>
        <w:jc w:val="both"/>
        <w:rPr>
          <w:rFonts w:ascii="Verdana" w:eastAsia="Calibri" w:hAnsi="Verdana" w:cs="Arial"/>
          <w:lang w:eastAsia="es-ES_tradnl"/>
        </w:rPr>
      </w:pPr>
      <w:hyperlink r:id="rId11" w:history="1">
        <w:r w:rsidRPr="00BD66DB">
          <w:rPr>
            <w:rFonts w:ascii="Verdana" w:eastAsia="Calibri" w:hAnsi="Verdana" w:cs="Arial"/>
            <w:color w:val="0000FF"/>
            <w:u w:val="single"/>
            <w:lang w:eastAsia="es-ES_tradnl"/>
          </w:rPr>
          <w:t>brencu2572@gmail.com</w:t>
        </w:r>
      </w:hyperlink>
    </w:p>
    <w:p w14:paraId="6C9E0453" w14:textId="499B6B3E" w:rsidR="004E38C9" w:rsidRPr="004E38C9" w:rsidRDefault="004E38C9" w:rsidP="004E38C9">
      <w:pPr>
        <w:spacing w:after="0" w:line="240" w:lineRule="auto"/>
        <w:jc w:val="both"/>
        <w:rPr>
          <w:rFonts w:ascii="Verdana" w:eastAsia="Calibri" w:hAnsi="Verdana" w:cs="Arial"/>
          <w:bCs/>
          <w:lang w:val="it-IT" w:eastAsia="es-ES_tradnl"/>
        </w:rPr>
      </w:pPr>
      <w:r w:rsidRPr="004E38C9">
        <w:rPr>
          <w:rFonts w:ascii="Verdana" w:eastAsia="Calibri" w:hAnsi="Verdana" w:cs="Arial"/>
          <w:bCs/>
          <w:lang w:val="it-IT" w:eastAsia="es-ES_tradnl"/>
        </w:rPr>
        <w:t>Vergara, Cundinamarca</w:t>
      </w:r>
    </w:p>
    <w:p w14:paraId="0518E45C" w14:textId="77777777" w:rsidR="004E38C9" w:rsidRDefault="004E38C9" w:rsidP="004E38C9">
      <w:pPr>
        <w:spacing w:after="0" w:line="240" w:lineRule="auto"/>
        <w:jc w:val="both"/>
        <w:rPr>
          <w:rFonts w:ascii="Verdana" w:eastAsia="Calibri" w:hAnsi="Verdana" w:cs="Arial"/>
          <w:b/>
          <w:lang w:val="it-IT" w:eastAsia="es-ES_tradnl"/>
        </w:rPr>
      </w:pPr>
    </w:p>
    <w:p w14:paraId="634921EE" w14:textId="77777777" w:rsidR="002619FF" w:rsidRDefault="002619FF" w:rsidP="004E38C9">
      <w:pPr>
        <w:spacing w:after="0" w:line="240" w:lineRule="auto"/>
        <w:jc w:val="both"/>
        <w:rPr>
          <w:rFonts w:ascii="Verdana" w:eastAsia="Calibri" w:hAnsi="Verdana" w:cs="Arial"/>
          <w:b/>
          <w:lang w:val="it-IT" w:eastAsia="es-ES_tradnl"/>
        </w:rPr>
      </w:pPr>
    </w:p>
    <w:p w14:paraId="44DB01CF" w14:textId="0DA9984A" w:rsidR="002619FF" w:rsidRPr="004E38C9" w:rsidRDefault="002619FF" w:rsidP="002619FF">
      <w:pPr>
        <w:spacing w:after="0" w:line="240" w:lineRule="auto"/>
        <w:jc w:val="right"/>
        <w:rPr>
          <w:rFonts w:ascii="Verdana" w:eastAsia="Calibri" w:hAnsi="Verdana" w:cs="Arial"/>
          <w:b/>
          <w:lang w:val="it-IT" w:eastAsia="es-ES_tradnl"/>
        </w:rPr>
      </w:pPr>
    </w:p>
    <w:tbl>
      <w:tblPr>
        <w:tblStyle w:val="Tablaconcuadrcula1"/>
        <w:tblW w:w="8789" w:type="dxa"/>
        <w:tblCellMar>
          <w:left w:w="0" w:type="dxa"/>
          <w:right w:w="0" w:type="dxa"/>
        </w:tblCellMar>
        <w:tblLook w:val="04A0" w:firstRow="1" w:lastRow="0" w:firstColumn="1" w:lastColumn="0" w:noHBand="0" w:noVBand="1"/>
      </w:tblPr>
      <w:tblGrid>
        <w:gridCol w:w="2127"/>
        <w:gridCol w:w="6662"/>
      </w:tblGrid>
      <w:tr w:rsidR="004E38C9" w:rsidRPr="004E38C9" w14:paraId="11B3AA32" w14:textId="77777777">
        <w:trPr>
          <w:trHeight w:val="190"/>
        </w:trPr>
        <w:tc>
          <w:tcPr>
            <w:tcW w:w="2127" w:type="dxa"/>
          </w:tcPr>
          <w:p w14:paraId="26FD48CF" w14:textId="77777777" w:rsidR="004E38C9" w:rsidRPr="004E38C9" w:rsidRDefault="004E38C9" w:rsidP="004E38C9">
            <w:pPr>
              <w:jc w:val="both"/>
              <w:rPr>
                <w:rFonts w:ascii="Verdana" w:eastAsia="Calibri" w:hAnsi="Verdana" w:cs="Arial"/>
                <w:b/>
                <w:lang w:val="it-IT" w:eastAsia="es-ES_tradnl"/>
              </w:rPr>
            </w:pPr>
          </w:p>
        </w:tc>
        <w:tc>
          <w:tcPr>
            <w:tcW w:w="6662" w:type="dxa"/>
          </w:tcPr>
          <w:p w14:paraId="5DDEE731" w14:textId="77777777" w:rsidR="004E38C9" w:rsidRPr="004E38C9" w:rsidRDefault="004E38C9" w:rsidP="004E38C9">
            <w:pPr>
              <w:jc w:val="both"/>
              <w:rPr>
                <w:rFonts w:ascii="Verdana" w:eastAsia="Calibri" w:hAnsi="Verdana" w:cs="Arial"/>
                <w:b/>
                <w:bCs/>
                <w:lang w:eastAsia="es-ES"/>
              </w:rPr>
            </w:pPr>
            <w:r w:rsidRPr="004E38C9">
              <w:rPr>
                <w:rFonts w:ascii="Verdana" w:eastAsia="Calibri" w:hAnsi="Verdana" w:cs="Arial"/>
                <w:b/>
                <w:bCs/>
                <w:lang w:eastAsia="es-ES"/>
              </w:rPr>
              <w:t>Concepto C- 1621 de 2025</w:t>
            </w:r>
          </w:p>
          <w:p w14:paraId="4B583345" w14:textId="77777777" w:rsidR="004E38C9" w:rsidRPr="004E38C9" w:rsidRDefault="004E38C9" w:rsidP="004E38C9">
            <w:pPr>
              <w:jc w:val="both"/>
              <w:rPr>
                <w:rFonts w:ascii="Verdana" w:eastAsia="Calibri" w:hAnsi="Verdana" w:cs="Arial"/>
                <w:b/>
                <w:bCs/>
                <w:lang w:eastAsia="es-ES"/>
              </w:rPr>
            </w:pPr>
          </w:p>
        </w:tc>
      </w:tr>
      <w:tr w:rsidR="004E38C9" w:rsidRPr="004E38C9" w14:paraId="5711D694" w14:textId="77777777">
        <w:trPr>
          <w:trHeight w:val="884"/>
        </w:trPr>
        <w:tc>
          <w:tcPr>
            <w:tcW w:w="2127" w:type="dxa"/>
          </w:tcPr>
          <w:p w14:paraId="3495089F" w14:textId="77777777" w:rsidR="004E38C9" w:rsidRPr="004E38C9" w:rsidRDefault="004E38C9" w:rsidP="004E38C9">
            <w:pPr>
              <w:jc w:val="both"/>
              <w:rPr>
                <w:rFonts w:ascii="Verdana" w:eastAsia="Calibri" w:hAnsi="Verdana" w:cs="Arial"/>
                <w:lang w:eastAsia="es-ES_tradnl"/>
              </w:rPr>
            </w:pPr>
            <w:r w:rsidRPr="004E38C9">
              <w:rPr>
                <w:rFonts w:ascii="Verdana" w:eastAsia="Calibri" w:hAnsi="Verdana" w:cs="Arial"/>
                <w:b/>
                <w:lang w:eastAsia="es-ES_tradnl"/>
              </w:rPr>
              <w:t>Tema:</w:t>
            </w:r>
            <w:r w:rsidRPr="004E38C9">
              <w:rPr>
                <w:rFonts w:ascii="Verdana" w:eastAsia="Calibri" w:hAnsi="Verdana" w:cs="Arial"/>
                <w:lang w:eastAsia="es-ES_tradnl"/>
              </w:rPr>
              <w:t xml:space="preserve">                   </w:t>
            </w:r>
          </w:p>
        </w:tc>
        <w:tc>
          <w:tcPr>
            <w:tcW w:w="6662" w:type="dxa"/>
          </w:tcPr>
          <w:p w14:paraId="5478880A" w14:textId="113C8C4B" w:rsidR="004E38C9" w:rsidRPr="004E38C9" w:rsidRDefault="004E38C9" w:rsidP="004E38C9">
            <w:pPr>
              <w:jc w:val="both"/>
              <w:rPr>
                <w:rFonts w:ascii="Verdana" w:eastAsia="Aptos" w:hAnsi="Verdana" w:cs="Times New Roman"/>
                <w:b/>
                <w:bCs/>
                <w:lang w:val="es-ES_tradnl"/>
              </w:rPr>
            </w:pPr>
            <w:r w:rsidRPr="004E38C9">
              <w:rPr>
                <w:rFonts w:ascii="Verdana" w:eastAsia="Calibri" w:hAnsi="Verdana" w:cs="Arial"/>
                <w:bCs/>
                <w:lang w:val="es-ES_tradnl"/>
              </w:rPr>
              <w:t>SOCIEDADES NUEVAS ‒ Experiencia ‒ Inferior a tres a</w:t>
            </w:r>
            <w:r w:rsidRPr="004E38C9">
              <w:rPr>
                <w:rFonts w:ascii="Verdana" w:eastAsia="Calibri" w:hAnsi="Verdana" w:cs="Century Gothic"/>
                <w:bCs/>
                <w:lang w:val="es-ES_tradnl"/>
              </w:rPr>
              <w:t>ñ</w:t>
            </w:r>
            <w:r w:rsidRPr="004E38C9">
              <w:rPr>
                <w:rFonts w:ascii="Verdana" w:eastAsia="Calibri" w:hAnsi="Verdana" w:cs="Arial"/>
                <w:bCs/>
                <w:lang w:val="es-ES_tradnl"/>
              </w:rPr>
              <w:t>os ‒ Requisitos habilitantes ‒ Desarrollo de la empresa / EXPERIENCIA ‒ Conservaci</w:t>
            </w:r>
            <w:r w:rsidRPr="004E38C9">
              <w:rPr>
                <w:rFonts w:ascii="Verdana" w:eastAsia="Calibri" w:hAnsi="Verdana" w:cs="Century Gothic"/>
                <w:bCs/>
                <w:lang w:val="es-ES_tradnl"/>
              </w:rPr>
              <w:t>ó</w:t>
            </w:r>
            <w:r w:rsidRPr="004E38C9">
              <w:rPr>
                <w:rFonts w:ascii="Verdana" w:eastAsia="Calibri" w:hAnsi="Verdana" w:cs="Arial"/>
                <w:bCs/>
                <w:lang w:val="es-ES_tradnl"/>
              </w:rPr>
              <w:t>n ‒ Renovaci</w:t>
            </w:r>
            <w:r w:rsidRPr="004E38C9">
              <w:rPr>
                <w:rFonts w:ascii="Verdana" w:eastAsia="Calibri" w:hAnsi="Verdana" w:cs="Century Gothic"/>
                <w:bCs/>
                <w:lang w:val="es-ES_tradnl"/>
              </w:rPr>
              <w:t>ó</w:t>
            </w:r>
            <w:r w:rsidRPr="004E38C9">
              <w:rPr>
                <w:rFonts w:ascii="Verdana" w:eastAsia="Calibri" w:hAnsi="Verdana" w:cs="Arial"/>
                <w:bCs/>
                <w:lang w:val="es-ES_tradnl"/>
              </w:rPr>
              <w:t>n RUP ‒ Cesaci</w:t>
            </w:r>
            <w:r w:rsidRPr="004E38C9">
              <w:rPr>
                <w:rFonts w:ascii="Verdana" w:eastAsia="Calibri" w:hAnsi="Verdana" w:cs="Century Gothic"/>
                <w:bCs/>
                <w:lang w:val="es-ES_tradnl"/>
              </w:rPr>
              <w:t>ó</w:t>
            </w:r>
            <w:r w:rsidRPr="004E38C9">
              <w:rPr>
                <w:rFonts w:ascii="Verdana" w:eastAsia="Calibri" w:hAnsi="Verdana" w:cs="Arial"/>
                <w:bCs/>
                <w:lang w:val="es-ES_tradnl"/>
              </w:rPr>
              <w:t xml:space="preserve">n efectos RUP / EXPERIENCIA </w:t>
            </w:r>
          </w:p>
          <w:p w14:paraId="2F07BE07" w14:textId="77777777" w:rsidR="004E38C9" w:rsidRPr="004E38C9" w:rsidRDefault="004E38C9" w:rsidP="004E38C9">
            <w:pPr>
              <w:jc w:val="both"/>
              <w:rPr>
                <w:rFonts w:ascii="Verdana" w:eastAsia="Calibri" w:hAnsi="Verdana" w:cs="Arial"/>
                <w:lang w:eastAsia="es-ES"/>
              </w:rPr>
            </w:pPr>
          </w:p>
        </w:tc>
      </w:tr>
      <w:tr w:rsidR="004E38C9" w:rsidRPr="004E38C9" w14:paraId="373A3E83" w14:textId="77777777">
        <w:tc>
          <w:tcPr>
            <w:tcW w:w="2127" w:type="dxa"/>
          </w:tcPr>
          <w:p w14:paraId="6261C2E8" w14:textId="77777777" w:rsidR="004E38C9" w:rsidRPr="004E38C9" w:rsidRDefault="004E38C9" w:rsidP="004E38C9">
            <w:pPr>
              <w:jc w:val="both"/>
              <w:rPr>
                <w:rFonts w:ascii="Verdana" w:eastAsia="Calibri" w:hAnsi="Verdana" w:cs="Arial"/>
                <w:b/>
                <w:lang w:eastAsia="es-ES_tradnl"/>
              </w:rPr>
            </w:pPr>
            <w:r w:rsidRPr="004E38C9">
              <w:rPr>
                <w:rFonts w:ascii="Verdana" w:eastAsia="Calibri" w:hAnsi="Verdana" w:cs="Arial"/>
                <w:b/>
                <w:lang w:eastAsia="es-ES_tradnl"/>
              </w:rPr>
              <w:t>Radicación:</w:t>
            </w:r>
            <w:r w:rsidRPr="004E38C9">
              <w:rPr>
                <w:rFonts w:ascii="Verdana" w:eastAsia="Calibri" w:hAnsi="Verdana" w:cs="Arial"/>
                <w:lang w:eastAsia="es-ES_tradnl"/>
              </w:rPr>
              <w:t xml:space="preserve">               </w:t>
            </w:r>
          </w:p>
        </w:tc>
        <w:tc>
          <w:tcPr>
            <w:tcW w:w="6662" w:type="dxa"/>
          </w:tcPr>
          <w:p w14:paraId="5B7F21A3" w14:textId="77777777" w:rsidR="004E38C9" w:rsidRPr="004E38C9" w:rsidRDefault="004E38C9" w:rsidP="004E38C9">
            <w:pPr>
              <w:jc w:val="both"/>
              <w:rPr>
                <w:rFonts w:ascii="Verdana" w:eastAsia="Calibri" w:hAnsi="Verdana" w:cs="Arial"/>
                <w:lang w:eastAsia="es-ES_tradnl"/>
              </w:rPr>
            </w:pPr>
            <w:r w:rsidRPr="004E38C9">
              <w:rPr>
                <w:rFonts w:ascii="Verdana" w:eastAsia="Calibri" w:hAnsi="Verdana" w:cs="Arial"/>
                <w:lang w:eastAsia="es-ES_tradnl"/>
              </w:rPr>
              <w:t>Respuesta a consulta con radicado No. 1_2025_11_04_012387</w:t>
            </w:r>
          </w:p>
        </w:tc>
      </w:tr>
    </w:tbl>
    <w:p w14:paraId="507CE854" w14:textId="77777777" w:rsidR="004E38C9" w:rsidRPr="004E38C9" w:rsidRDefault="004E38C9" w:rsidP="004E38C9">
      <w:pPr>
        <w:spacing w:after="0" w:line="276" w:lineRule="auto"/>
        <w:jc w:val="both"/>
        <w:rPr>
          <w:rFonts w:ascii="Verdana" w:eastAsia="Calibri" w:hAnsi="Verdana" w:cs="Arial"/>
          <w:lang w:eastAsia="es-ES_tradnl"/>
        </w:rPr>
      </w:pPr>
    </w:p>
    <w:p w14:paraId="62E9B5F5" w14:textId="77777777" w:rsidR="004E38C9" w:rsidRPr="004E38C9" w:rsidRDefault="004E38C9" w:rsidP="004E38C9">
      <w:pPr>
        <w:spacing w:after="0" w:line="276" w:lineRule="auto"/>
        <w:jc w:val="both"/>
        <w:rPr>
          <w:rFonts w:ascii="Verdana" w:eastAsia="Calibri" w:hAnsi="Verdana" w:cs="Arial"/>
          <w:lang w:eastAsia="es-ES_tradnl"/>
        </w:rPr>
      </w:pPr>
    </w:p>
    <w:p w14:paraId="3AF650DF" w14:textId="77777777" w:rsidR="004E38C9" w:rsidRPr="004E38C9" w:rsidRDefault="004E38C9" w:rsidP="004E38C9">
      <w:pPr>
        <w:spacing w:after="0" w:line="276" w:lineRule="auto"/>
        <w:jc w:val="both"/>
        <w:rPr>
          <w:rFonts w:ascii="Verdana" w:eastAsia="Calibri" w:hAnsi="Verdana" w:cs="Arial"/>
          <w:lang w:eastAsia="es-ES"/>
        </w:rPr>
      </w:pPr>
      <w:r w:rsidRPr="004E38C9">
        <w:rPr>
          <w:rFonts w:ascii="Verdana" w:eastAsia="Calibri" w:hAnsi="Verdana" w:cs="Arial"/>
          <w:lang w:eastAsia="es-ES"/>
        </w:rPr>
        <w:t xml:space="preserve">Estimado señor Cubillos: </w:t>
      </w:r>
    </w:p>
    <w:p w14:paraId="16893ED3" w14:textId="77777777" w:rsidR="004E38C9" w:rsidRPr="004E38C9" w:rsidRDefault="004E38C9" w:rsidP="004E38C9">
      <w:pPr>
        <w:tabs>
          <w:tab w:val="left" w:pos="3768"/>
        </w:tabs>
        <w:spacing w:after="0" w:line="276" w:lineRule="auto"/>
        <w:jc w:val="both"/>
        <w:rPr>
          <w:rFonts w:ascii="Verdana" w:eastAsia="Calibri" w:hAnsi="Verdana" w:cs="Arial"/>
          <w:lang w:eastAsia="es-ES"/>
        </w:rPr>
      </w:pPr>
    </w:p>
    <w:p w14:paraId="2A3BE6E4" w14:textId="77777777" w:rsidR="004E38C9" w:rsidRPr="004E38C9" w:rsidRDefault="004E38C9" w:rsidP="004E38C9">
      <w:pPr>
        <w:spacing w:after="0" w:line="276" w:lineRule="auto"/>
        <w:jc w:val="both"/>
        <w:rPr>
          <w:rFonts w:ascii="Verdana" w:eastAsia="Calibri" w:hAnsi="Verdana" w:cs="Arial"/>
          <w:sz w:val="20"/>
          <w:szCs w:val="20"/>
          <w:lang w:eastAsia="es-ES"/>
        </w:rPr>
      </w:pPr>
      <w:r w:rsidRPr="004E38C9">
        <w:rPr>
          <w:rFonts w:ascii="Verdana" w:eastAsia="Calibri" w:hAnsi="Verdana" w:cs="Arial"/>
          <w:lang w:eastAsia="es-ES"/>
        </w:rPr>
        <w:t>En ejercicio de la competencia otorgada por los artículos 3, numeral 5º, y 11, numeral 8º, del Decreto Ley 4170 de 2011,</w:t>
      </w:r>
      <w:r w:rsidRPr="004E38C9">
        <w:rPr>
          <w:rFonts w:ascii="Verdana" w:eastAsia="Arial MT" w:hAnsi="Verdana" w:cs="Arial MT"/>
          <w:lang w:eastAsia="es-ES"/>
        </w:rPr>
        <w:t xml:space="preserve"> </w:t>
      </w:r>
      <w:r w:rsidRPr="004E38C9">
        <w:rPr>
          <w:rFonts w:ascii="Verdana" w:hAnsi="Verdana" w:cs="Arial"/>
        </w:rPr>
        <w:t xml:space="preserve">así como lo establecido en el artículo 4 de la Resolución 1707 de 2018 expedida por esta Entidad, </w:t>
      </w:r>
      <w:r w:rsidRPr="004E38C9">
        <w:rPr>
          <w:rFonts w:ascii="Verdana" w:eastAsia="Calibri" w:hAnsi="Verdana" w:cs="Arial"/>
          <w:lang w:eastAsia="es-ES"/>
        </w:rPr>
        <w:t xml:space="preserve">la Agencia Nacional de Contratación Pública – Colombia Compra Eficiente– responde su solicitud de consulta de fecha del 4 de noviembre de 2025, en la cual manifiesta lo siguiente: </w:t>
      </w:r>
    </w:p>
    <w:p w14:paraId="5715822F" w14:textId="77777777" w:rsidR="004E38C9" w:rsidRPr="004E38C9" w:rsidRDefault="004E38C9" w:rsidP="004E38C9">
      <w:pPr>
        <w:spacing w:after="0" w:line="276" w:lineRule="auto"/>
        <w:jc w:val="both"/>
        <w:rPr>
          <w:rFonts w:ascii="Verdana" w:eastAsia="Calibri" w:hAnsi="Verdana" w:cs="Arial"/>
          <w:sz w:val="20"/>
          <w:szCs w:val="20"/>
          <w:lang w:eastAsia="es-ES"/>
        </w:rPr>
      </w:pPr>
    </w:p>
    <w:p w14:paraId="10A2B0F6" w14:textId="77777777" w:rsidR="006E494E" w:rsidRDefault="004E38C9" w:rsidP="006E494E">
      <w:pPr>
        <w:spacing w:after="0"/>
        <w:ind w:left="709" w:right="709"/>
        <w:jc w:val="both"/>
        <w:rPr>
          <w:rFonts w:ascii="Verdana" w:eastAsia="Calibri" w:hAnsi="Verdana" w:cs="Arial"/>
          <w:sz w:val="20"/>
          <w:szCs w:val="20"/>
          <w:lang w:eastAsia="es-ES"/>
        </w:rPr>
      </w:pPr>
      <w:r w:rsidRPr="004E38C9">
        <w:rPr>
          <w:rFonts w:ascii="Verdana" w:eastAsia="Calibri" w:hAnsi="Verdana" w:cs="Arial"/>
          <w:sz w:val="20"/>
          <w:szCs w:val="20"/>
          <w:lang w:eastAsia="es-ES"/>
        </w:rPr>
        <w:t>“</w:t>
      </w:r>
      <w:r w:rsidR="006E494E" w:rsidRPr="006E494E">
        <w:rPr>
          <w:rFonts w:ascii="Verdana" w:eastAsia="Calibri" w:hAnsi="Verdana" w:cs="Arial"/>
          <w:sz w:val="20"/>
          <w:szCs w:val="20"/>
          <w:lang w:eastAsia="es-ES"/>
        </w:rPr>
        <w:t>En atención a lo dispuesto en el artículo 2.2.1.1.1.5.1 del Decreto 1082 de 2015, según el cual </w:t>
      </w:r>
      <w:r w:rsidR="006E494E" w:rsidRPr="006E494E">
        <w:rPr>
          <w:rFonts w:ascii="Verdana" w:eastAsia="Calibri" w:hAnsi="Verdana" w:cs="Arial"/>
          <w:i/>
          <w:iCs/>
          <w:sz w:val="20"/>
          <w:szCs w:val="20"/>
          <w:lang w:eastAsia="es-ES"/>
        </w:rPr>
        <w:t>“cuando la constitución del interesado sea menor a tres (3) años, podrá acreditar la experiencia de sus accionistas, socios o constituyentes”</w:t>
      </w:r>
      <w:r w:rsidR="006E494E" w:rsidRPr="006E494E">
        <w:rPr>
          <w:rFonts w:ascii="Verdana" w:eastAsia="Calibri" w:hAnsi="Verdana" w:cs="Arial"/>
          <w:sz w:val="20"/>
          <w:szCs w:val="20"/>
          <w:lang w:eastAsia="es-ES"/>
        </w:rPr>
        <w:t>, me permito elevar la siguiente consulta con el fin de obtener una orientación oficial sobre la correcta interpretación y aplicación de dicha norma, en los siguientes términos:</w:t>
      </w:r>
    </w:p>
    <w:p w14:paraId="1A01DBD4" w14:textId="77777777" w:rsidR="006E494E" w:rsidRPr="006E494E" w:rsidRDefault="006E494E" w:rsidP="006E494E">
      <w:pPr>
        <w:spacing w:after="0"/>
        <w:ind w:left="709" w:right="709"/>
        <w:jc w:val="both"/>
        <w:rPr>
          <w:rFonts w:ascii="Verdana" w:eastAsia="Calibri" w:hAnsi="Verdana" w:cs="Arial"/>
          <w:sz w:val="20"/>
          <w:szCs w:val="20"/>
          <w:lang w:eastAsia="es-ES"/>
        </w:rPr>
      </w:pPr>
    </w:p>
    <w:p w14:paraId="4C6B8364" w14:textId="77777777" w:rsidR="006E494E" w:rsidRDefault="006E494E" w:rsidP="006E494E">
      <w:pPr>
        <w:numPr>
          <w:ilvl w:val="0"/>
          <w:numId w:val="18"/>
        </w:numPr>
        <w:tabs>
          <w:tab w:val="num" w:pos="720"/>
        </w:tabs>
        <w:spacing w:after="0" w:line="240" w:lineRule="auto"/>
        <w:ind w:right="709"/>
        <w:jc w:val="both"/>
        <w:rPr>
          <w:rFonts w:ascii="Verdana" w:eastAsia="Calibri" w:hAnsi="Verdana" w:cs="Arial"/>
          <w:sz w:val="20"/>
          <w:szCs w:val="20"/>
          <w:lang w:eastAsia="es-ES"/>
        </w:rPr>
      </w:pPr>
      <w:r w:rsidRPr="006E494E">
        <w:rPr>
          <w:rFonts w:ascii="Verdana" w:eastAsia="Calibri" w:hAnsi="Verdana" w:cs="Arial"/>
          <w:b/>
          <w:bCs/>
          <w:sz w:val="20"/>
          <w:szCs w:val="20"/>
          <w:lang w:eastAsia="es-ES"/>
        </w:rPr>
        <w:t>Retiro de socio o accionista constituyente:</w:t>
      </w:r>
      <w:r w:rsidRPr="006E494E">
        <w:rPr>
          <w:rFonts w:ascii="Verdana" w:eastAsia="Calibri" w:hAnsi="Verdana" w:cs="Arial"/>
          <w:sz w:val="20"/>
          <w:szCs w:val="20"/>
          <w:lang w:eastAsia="es-ES"/>
        </w:rPr>
        <w:br/>
        <w:t>En el evento en que una sociedad de naturaleza </w:t>
      </w:r>
      <w:r w:rsidRPr="006E494E">
        <w:rPr>
          <w:rFonts w:ascii="Verdana" w:eastAsia="Calibri" w:hAnsi="Verdana" w:cs="Arial"/>
          <w:b/>
          <w:bCs/>
          <w:sz w:val="20"/>
          <w:szCs w:val="20"/>
          <w:lang w:eastAsia="es-ES"/>
        </w:rPr>
        <w:t>S.A.S.</w:t>
      </w:r>
      <w:r w:rsidRPr="006E494E">
        <w:rPr>
          <w:rFonts w:ascii="Verdana" w:eastAsia="Calibri" w:hAnsi="Verdana" w:cs="Arial"/>
          <w:sz w:val="20"/>
          <w:szCs w:val="20"/>
          <w:lang w:eastAsia="es-ES"/>
        </w:rPr>
        <w:t xml:space="preserve">, constituida hace menos de tres (3) años, haya acreditado la experiencia de uno de sus socios o accionistas fundadores para efectos de participación en </w:t>
      </w:r>
      <w:r w:rsidRPr="006E494E">
        <w:rPr>
          <w:rFonts w:ascii="Verdana" w:eastAsia="Calibri" w:hAnsi="Verdana" w:cs="Arial"/>
          <w:sz w:val="20"/>
          <w:szCs w:val="20"/>
          <w:lang w:eastAsia="es-ES"/>
        </w:rPr>
        <w:lastRenderedPageBreak/>
        <w:t>procesos de contratación estatal, ¿la experiencia aportada por dicho socio o accionista sigue siendo válida para la sociedad en los términos del Decreto 1082 de 2015 y sus normas complementarias o sustitutas, aun cuando este se retire de la sociedad antes de cumplirse el primer año de su constitución?</w:t>
      </w:r>
      <w:r w:rsidRPr="006E494E">
        <w:rPr>
          <w:rFonts w:ascii="Verdana" w:eastAsia="Calibri" w:hAnsi="Verdana" w:cs="Arial"/>
          <w:sz w:val="20"/>
          <w:szCs w:val="20"/>
          <w:lang w:eastAsia="es-ES"/>
        </w:rPr>
        <w:br/>
        <w:t>O, por el contrario, ¿la experiencia deja de ser válida desde el momento en que el socio o accionista se desvincula de la empresa?</w:t>
      </w:r>
    </w:p>
    <w:p w14:paraId="6A634DB4" w14:textId="77777777" w:rsidR="006E494E" w:rsidRPr="006E494E" w:rsidRDefault="006E494E" w:rsidP="00613427">
      <w:pPr>
        <w:spacing w:after="0" w:line="240" w:lineRule="auto"/>
        <w:ind w:left="1068" w:right="709"/>
        <w:jc w:val="both"/>
        <w:rPr>
          <w:rFonts w:ascii="Verdana" w:eastAsia="Calibri" w:hAnsi="Verdana" w:cs="Arial"/>
          <w:sz w:val="20"/>
          <w:szCs w:val="20"/>
          <w:lang w:eastAsia="es-ES"/>
        </w:rPr>
      </w:pPr>
    </w:p>
    <w:p w14:paraId="6F30183E" w14:textId="2432E44B" w:rsidR="004E38C9" w:rsidRPr="004E38C9" w:rsidRDefault="006E494E" w:rsidP="00613427">
      <w:pPr>
        <w:numPr>
          <w:ilvl w:val="0"/>
          <w:numId w:val="18"/>
        </w:numPr>
        <w:spacing w:after="0" w:line="240" w:lineRule="auto"/>
        <w:ind w:right="709"/>
        <w:jc w:val="both"/>
        <w:rPr>
          <w:rFonts w:ascii="Verdana" w:eastAsia="Calibri" w:hAnsi="Verdana" w:cs="Arial"/>
          <w:sz w:val="20"/>
          <w:szCs w:val="20"/>
          <w:lang w:eastAsia="es-ES"/>
        </w:rPr>
      </w:pPr>
      <w:r w:rsidRPr="006E494E">
        <w:rPr>
          <w:rFonts w:ascii="Verdana" w:eastAsia="Calibri" w:hAnsi="Verdana" w:cs="Arial"/>
          <w:b/>
          <w:bCs/>
          <w:sz w:val="20"/>
          <w:szCs w:val="20"/>
          <w:lang w:eastAsia="es-ES"/>
        </w:rPr>
        <w:t>Ingreso de nuevo socio o accionista:</w:t>
      </w:r>
      <w:r w:rsidRPr="006E494E">
        <w:rPr>
          <w:rFonts w:ascii="Verdana" w:eastAsia="Calibri" w:hAnsi="Verdana" w:cs="Arial"/>
          <w:sz w:val="20"/>
          <w:szCs w:val="20"/>
          <w:lang w:eastAsia="es-ES"/>
        </w:rPr>
        <w:br/>
        <w:t>En el caso contrario, si luego de constituida la sociedad (por ejemplo, transcurrido un año desde su constitución) ingresa un nuevo socio o accionista con experiencia relevante en el objeto contractual, ¿puede la sociedad acreditar dicha experiencia conforme a lo dispuesto en el Decreto 1082 de 2015, aun cuando el socio no haya sido constituyente?</w:t>
      </w:r>
      <w:r w:rsidR="004E38C9" w:rsidRPr="006E494E">
        <w:rPr>
          <w:rFonts w:ascii="Verdana" w:eastAsia="Calibri" w:hAnsi="Verdana" w:cs="Arial"/>
          <w:sz w:val="20"/>
          <w:szCs w:val="20"/>
          <w:lang w:eastAsia="es-ES"/>
        </w:rPr>
        <w:t>”.</w:t>
      </w:r>
    </w:p>
    <w:p w14:paraId="231EF431" w14:textId="77777777" w:rsidR="004E38C9" w:rsidRPr="004E38C9" w:rsidRDefault="004E38C9" w:rsidP="004E38C9">
      <w:pPr>
        <w:spacing w:after="0" w:line="240" w:lineRule="auto"/>
        <w:ind w:left="709" w:right="709"/>
        <w:jc w:val="both"/>
        <w:rPr>
          <w:rFonts w:ascii="Verdana" w:eastAsia="Calibri" w:hAnsi="Verdana" w:cs="Arial"/>
          <w:sz w:val="20"/>
          <w:szCs w:val="20"/>
          <w:lang w:eastAsia="es-ES"/>
        </w:rPr>
      </w:pPr>
    </w:p>
    <w:p w14:paraId="758AC467" w14:textId="77777777" w:rsidR="004E38C9" w:rsidRPr="004E38C9" w:rsidRDefault="004E38C9" w:rsidP="004E38C9">
      <w:pPr>
        <w:spacing w:after="120" w:line="276" w:lineRule="auto"/>
        <w:ind w:firstLine="709"/>
        <w:jc w:val="both"/>
        <w:rPr>
          <w:rFonts w:ascii="Verdana" w:eastAsia="Calibri" w:hAnsi="Verdana" w:cs="Arial"/>
          <w:lang w:eastAsia="es-ES_tradnl"/>
        </w:rPr>
      </w:pPr>
      <w:r w:rsidRPr="004E38C9">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E38C9">
        <w:rPr>
          <w:rFonts w:ascii="Verdana" w:eastAsia="Calibri" w:hAnsi="Verdana" w:cs="Arial"/>
          <w:lang w:eastAsia="es-ES_tradnl"/>
        </w:rPr>
        <w:tab/>
      </w:r>
    </w:p>
    <w:p w14:paraId="679DA3FE" w14:textId="77777777" w:rsidR="004E38C9" w:rsidRPr="004E38C9" w:rsidRDefault="004E38C9" w:rsidP="004E38C9">
      <w:pPr>
        <w:spacing w:after="0" w:line="276" w:lineRule="auto"/>
        <w:ind w:firstLine="709"/>
        <w:jc w:val="both"/>
        <w:rPr>
          <w:rFonts w:ascii="Verdana" w:eastAsia="Calibri" w:hAnsi="Verdana" w:cs="Arial"/>
          <w:lang w:eastAsia="es-ES"/>
        </w:rPr>
      </w:pPr>
      <w:r w:rsidRPr="004E38C9">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5A93BCA" w14:textId="77777777" w:rsidR="004E38C9" w:rsidRPr="004E38C9" w:rsidRDefault="004E38C9" w:rsidP="004E38C9">
      <w:pPr>
        <w:spacing w:after="0" w:line="276" w:lineRule="auto"/>
        <w:ind w:firstLine="709"/>
        <w:jc w:val="both"/>
        <w:rPr>
          <w:rFonts w:ascii="Verdana" w:eastAsia="Calibri" w:hAnsi="Verdana" w:cs="Arial"/>
          <w:lang w:eastAsia="es-ES"/>
        </w:rPr>
      </w:pPr>
    </w:p>
    <w:p w14:paraId="6867792A" w14:textId="6C0CE138" w:rsidR="004E38C9" w:rsidRPr="004E38C9" w:rsidRDefault="00A943D0" w:rsidP="00A943D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004E38C9" w:rsidRPr="004E38C9">
        <w:rPr>
          <w:rFonts w:ascii="Verdana" w:eastAsia="Century Gothic" w:hAnsi="Verdana" w:cs="Century Gothic"/>
          <w:b/>
          <w:bCs/>
        </w:rPr>
        <w:t>Problema planteado:</w:t>
      </w:r>
    </w:p>
    <w:p w14:paraId="64A036B8" w14:textId="77777777" w:rsidR="004E38C9" w:rsidRPr="004E38C9" w:rsidRDefault="004E38C9" w:rsidP="004E38C9">
      <w:pPr>
        <w:tabs>
          <w:tab w:val="left" w:pos="426"/>
        </w:tabs>
        <w:spacing w:after="0" w:line="276" w:lineRule="auto"/>
        <w:jc w:val="both"/>
        <w:rPr>
          <w:rFonts w:ascii="Verdana" w:eastAsia="Century Gothic" w:hAnsi="Verdana" w:cs="Century Gothic"/>
        </w:rPr>
      </w:pPr>
    </w:p>
    <w:p w14:paraId="787405A3" w14:textId="4BA637F2" w:rsidR="00561A93" w:rsidRPr="00613427" w:rsidRDefault="006E494E" w:rsidP="00613427">
      <w:pPr>
        <w:spacing w:after="0" w:line="240" w:lineRule="auto"/>
        <w:jc w:val="both"/>
        <w:rPr>
          <w:rFonts w:ascii="Verdana" w:eastAsia="Calibri" w:hAnsi="Verdana" w:cs="Arial"/>
          <w:lang w:eastAsia="es-ES"/>
        </w:rPr>
      </w:pPr>
      <w:r w:rsidRPr="00561A93">
        <w:rPr>
          <w:rFonts w:ascii="Verdana" w:eastAsia="Century Gothic" w:hAnsi="Verdana" w:cs="Century Gothic"/>
        </w:rPr>
        <w:t xml:space="preserve">De acuerdo con </w:t>
      </w:r>
      <w:r w:rsidR="004E38C9" w:rsidRPr="004E38C9">
        <w:rPr>
          <w:rFonts w:ascii="Verdana" w:eastAsia="Century Gothic" w:hAnsi="Verdana" w:cs="Century Gothic"/>
        </w:rPr>
        <w:t xml:space="preserve">el </w:t>
      </w:r>
      <w:r w:rsidRPr="00561A93">
        <w:rPr>
          <w:rFonts w:ascii="Verdana" w:eastAsia="Century Gothic" w:hAnsi="Verdana" w:cs="Century Gothic"/>
        </w:rPr>
        <w:t xml:space="preserve">numeral 2.5 del </w:t>
      </w:r>
      <w:r w:rsidR="004E38C9" w:rsidRPr="004E38C9">
        <w:rPr>
          <w:rFonts w:ascii="Verdana" w:eastAsia="Century Gothic" w:hAnsi="Verdana" w:cs="Century Gothic"/>
        </w:rPr>
        <w:t>artículo 2.2.1.1.1.5.2</w:t>
      </w:r>
      <w:r w:rsidRPr="00561A93">
        <w:rPr>
          <w:rFonts w:ascii="Verdana" w:eastAsia="Century Gothic" w:hAnsi="Verdana" w:cs="Century Gothic"/>
        </w:rPr>
        <w:t>.</w:t>
      </w:r>
      <w:r w:rsidR="004E38C9" w:rsidRPr="004E38C9">
        <w:rPr>
          <w:rFonts w:ascii="Verdana" w:eastAsia="Century Gothic" w:hAnsi="Verdana" w:cs="Century Gothic"/>
        </w:rPr>
        <w:t xml:space="preserve"> del Decreto 1082 de 2015, </w:t>
      </w:r>
      <w:r w:rsidRPr="00561A93">
        <w:rPr>
          <w:rFonts w:ascii="Verdana" w:eastAsia="Century Gothic" w:hAnsi="Verdana" w:cs="Century Gothic"/>
        </w:rPr>
        <w:t xml:space="preserve">que consagra una medida afirmativa a favor de las </w:t>
      </w:r>
      <w:r w:rsidR="004E38C9" w:rsidRPr="00561A93">
        <w:rPr>
          <w:rFonts w:ascii="Verdana" w:eastAsia="Century Gothic" w:hAnsi="Verdana" w:cs="Century Gothic"/>
        </w:rPr>
        <w:t>sociedad</w:t>
      </w:r>
      <w:r w:rsidRPr="00561A93">
        <w:rPr>
          <w:rFonts w:ascii="Verdana" w:eastAsia="Century Gothic" w:hAnsi="Verdana" w:cs="Century Gothic"/>
        </w:rPr>
        <w:t>es</w:t>
      </w:r>
      <w:r w:rsidR="004E38C9" w:rsidRPr="00561A93">
        <w:rPr>
          <w:rFonts w:ascii="Verdana" w:eastAsia="Century Gothic" w:hAnsi="Verdana" w:cs="Century Gothic"/>
        </w:rPr>
        <w:t xml:space="preserve"> </w:t>
      </w:r>
      <w:r w:rsidR="004E38C9" w:rsidRPr="004E38C9">
        <w:rPr>
          <w:rFonts w:ascii="Verdana" w:eastAsia="Century Gothic" w:hAnsi="Verdana" w:cs="Century Gothic"/>
        </w:rPr>
        <w:t>con menos de tres (3) años de constitución</w:t>
      </w:r>
      <w:r w:rsidR="00561A93" w:rsidRPr="00561A93">
        <w:rPr>
          <w:rFonts w:ascii="Verdana" w:eastAsia="Century Gothic" w:hAnsi="Verdana" w:cs="Century Gothic"/>
        </w:rPr>
        <w:t xml:space="preserve">, esta Agencia resolverá los siguientes problemas jurídicos: i) </w:t>
      </w:r>
      <w:r w:rsidR="00561A93" w:rsidRPr="00613427">
        <w:rPr>
          <w:rFonts w:ascii="Verdana" w:eastAsia="Calibri" w:hAnsi="Verdana" w:cs="Arial"/>
          <w:lang w:eastAsia="es-ES"/>
        </w:rPr>
        <w:t xml:space="preserve">¿la experiencia aportada por un socio, accionista o constituyente </w:t>
      </w:r>
      <w:r w:rsidR="00561A93" w:rsidRPr="00613427">
        <w:rPr>
          <w:rFonts w:ascii="Verdana" w:eastAsia="Calibri" w:hAnsi="Verdana" w:cs="Arial"/>
          <w:lang w:eastAsia="es-ES"/>
        </w:rPr>
        <w:lastRenderedPageBreak/>
        <w:t>sigue siendo válida para la sociedad aun cuando este se retire de la sociedad antes de cumplirse el primer año de su constitución o, por el contrario, ¿la experiencia deja de ser válida desde el momento en que el socio o accionista se desvincula de la empresa?</w:t>
      </w:r>
      <w:r w:rsidR="00561A93" w:rsidRPr="00561A93">
        <w:rPr>
          <w:rFonts w:ascii="Verdana" w:eastAsia="Calibri" w:hAnsi="Verdana" w:cs="Arial"/>
          <w:lang w:eastAsia="es-ES"/>
        </w:rPr>
        <w:t xml:space="preserve"> Y </w:t>
      </w:r>
      <w:proofErr w:type="spellStart"/>
      <w:r w:rsidR="00561A93" w:rsidRPr="00561A93">
        <w:rPr>
          <w:rFonts w:ascii="Verdana" w:eastAsia="Calibri" w:hAnsi="Verdana" w:cs="Arial"/>
          <w:lang w:eastAsia="es-ES"/>
        </w:rPr>
        <w:t>ii</w:t>
      </w:r>
      <w:proofErr w:type="spellEnd"/>
      <w:r w:rsidR="00561A93" w:rsidRPr="00561A93">
        <w:rPr>
          <w:rFonts w:ascii="Verdana" w:eastAsia="Calibri" w:hAnsi="Verdana" w:cs="Arial"/>
          <w:lang w:eastAsia="es-ES"/>
        </w:rPr>
        <w:t>) S</w:t>
      </w:r>
      <w:r w:rsidR="00561A93" w:rsidRPr="00613427">
        <w:rPr>
          <w:rFonts w:ascii="Verdana" w:eastAsia="Calibri" w:hAnsi="Verdana" w:cs="Arial"/>
          <w:lang w:eastAsia="es-ES"/>
        </w:rPr>
        <w:t>i luego de constituida la sociedad ingresa un nuevo socio o accionista ¿puede la sociedad acreditar dicha experiencia conforme a lo dispuesto en la disposición citada, aun cuando el socio no haya sido constituyente?</w:t>
      </w:r>
    </w:p>
    <w:p w14:paraId="0D8681BD" w14:textId="77777777" w:rsidR="004E38C9" w:rsidRPr="004E38C9" w:rsidRDefault="004E38C9" w:rsidP="004E38C9">
      <w:pPr>
        <w:spacing w:after="0" w:line="276" w:lineRule="auto"/>
        <w:jc w:val="both"/>
        <w:rPr>
          <w:rFonts w:ascii="Verdana" w:eastAsia="Century Gothic" w:hAnsi="Verdana" w:cs="Century Gothic"/>
        </w:rPr>
      </w:pPr>
    </w:p>
    <w:p w14:paraId="0F9A1A46" w14:textId="77777777" w:rsidR="002C1933" w:rsidRPr="002C1933" w:rsidRDefault="002C1933" w:rsidP="002C1933">
      <w:pPr>
        <w:tabs>
          <w:tab w:val="left" w:pos="142"/>
          <w:tab w:val="left" w:pos="284"/>
        </w:tabs>
        <w:spacing w:after="0" w:line="276" w:lineRule="auto"/>
        <w:jc w:val="both"/>
        <w:rPr>
          <w:rFonts w:ascii="Verdana" w:eastAsia="Century Gothic" w:hAnsi="Verdana" w:cs="Century Gothic"/>
          <w:b/>
          <w:bCs/>
        </w:rPr>
      </w:pPr>
      <w:r w:rsidRPr="002C1933">
        <w:rPr>
          <w:rFonts w:ascii="Verdana" w:eastAsia="Century Gothic" w:hAnsi="Verdana" w:cs="Century Gothic"/>
          <w:b/>
          <w:bCs/>
        </w:rPr>
        <w:t>2. Respuesta:</w:t>
      </w:r>
    </w:p>
    <w:p w14:paraId="25EEAEE5" w14:textId="77777777" w:rsidR="002C1933" w:rsidRPr="002C1933" w:rsidRDefault="002C1933" w:rsidP="002C1933">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1933" w:rsidRPr="002C1933" w14:paraId="00981969" w14:textId="77777777" w:rsidTr="00CC729B">
        <w:tc>
          <w:tcPr>
            <w:tcW w:w="8828" w:type="dxa"/>
          </w:tcPr>
          <w:p w14:paraId="50B85B43" w14:textId="77777777" w:rsidR="002C1933" w:rsidRPr="002C1933" w:rsidRDefault="002C1933" w:rsidP="002C1933">
            <w:pPr>
              <w:numPr>
                <w:ilvl w:val="0"/>
                <w:numId w:val="22"/>
              </w:numPr>
              <w:snapToGrid w:val="0"/>
              <w:ind w:left="32" w:hanging="32"/>
              <w:contextualSpacing/>
              <w:jc w:val="both"/>
              <w:rPr>
                <w:rFonts w:ascii="Verdana" w:eastAsia="Calibri" w:hAnsi="Verdana" w:cs="Arial"/>
                <w:lang w:val="es-ES"/>
              </w:rPr>
            </w:pPr>
            <w:r w:rsidRPr="002C1933">
              <w:rPr>
                <w:rFonts w:ascii="Verdana" w:eastAsia="Calibri" w:hAnsi="Verdana" w:cs="Arial"/>
              </w:rPr>
              <w:t>De conformidad con el numeral 2.5 del artículo 2.2.1.1.1.5.2 del Decreto 1082 de 2015, es menester indicar que una sociedad con menos de tres (3) años de constituida puede aportar la experiencia de sus accionistas, socios o constituyentes. Ahora bien, si se pierde esta calidad, como sucedería cuando un socio se retira por venta o cesión de su participación, la experiencia aportada por quien se retira no debería ser utilizada por el proponente – persona jurídica – en Procesos de Contratación y no deberá ser tenida en cuenta por las Entidades Estatales, ya que la experiencia es inherente a la persona que la ha obtenido. Esto, además, con el fin de evitar prácticas corruptivas o que atenten contra la transparencia en la contratación estatal.</w:t>
            </w:r>
          </w:p>
          <w:p w14:paraId="4B91EB89" w14:textId="77777777" w:rsidR="002C1933" w:rsidRPr="002C1933" w:rsidRDefault="002C1933" w:rsidP="002C1933">
            <w:pPr>
              <w:snapToGrid w:val="0"/>
              <w:ind w:left="1080"/>
              <w:contextualSpacing/>
              <w:jc w:val="both"/>
              <w:rPr>
                <w:rFonts w:ascii="Verdana" w:eastAsia="Calibri" w:hAnsi="Verdana" w:cs="Arial"/>
                <w:lang w:val="es-ES"/>
              </w:rPr>
            </w:pPr>
          </w:p>
          <w:p w14:paraId="3805CA93" w14:textId="77777777" w:rsidR="002C1933" w:rsidRPr="002C1933" w:rsidRDefault="002C1933" w:rsidP="002C1933">
            <w:pPr>
              <w:snapToGrid w:val="0"/>
              <w:spacing w:after="120" w:line="276" w:lineRule="auto"/>
              <w:jc w:val="both"/>
              <w:rPr>
                <w:rFonts w:ascii="Verdana" w:eastAsia="Calibri" w:hAnsi="Verdana" w:cs="Arial"/>
                <w:lang w:val="es-ES_tradnl"/>
              </w:rPr>
            </w:pPr>
            <w:r w:rsidRPr="002C1933">
              <w:rPr>
                <w:rFonts w:ascii="Verdana" w:eastAsia="Calibri" w:hAnsi="Verdana" w:cs="Arial"/>
              </w:rPr>
              <w:t xml:space="preserve">           En consecuencia, el proponente que se encuentre en dicha situación debería actualizar la experiencia en el RUP, así como el certificado de existencia y representación legal informando de tal retiro, actuando de buena fe en el Proceso de Contratación.</w:t>
            </w:r>
            <w:r w:rsidRPr="002C1933">
              <w:rPr>
                <w:rFonts w:ascii="Verdana" w:eastAsia="Calibri" w:hAnsi="Verdana" w:cs="Arial"/>
                <w:lang w:val="es-ES_tradnl"/>
              </w:rPr>
              <w:t xml:space="preserve">El numeral 2.5 del artículo 2.2.1.1.1.5.2 del Decreto 1082 de 2015 indica de forma clara que una sociedad con menos de tres (3) años de constituida puede aportar la experiencia de sus accionistas, socios o constituyentes.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w:t>
            </w:r>
          </w:p>
          <w:p w14:paraId="51394125" w14:textId="77777777" w:rsidR="002C1933" w:rsidRPr="002C1933" w:rsidRDefault="002C1933" w:rsidP="002C1933">
            <w:pPr>
              <w:snapToGrid w:val="0"/>
              <w:spacing w:after="120" w:line="276" w:lineRule="auto"/>
              <w:ind w:firstLine="709"/>
              <w:jc w:val="both"/>
              <w:rPr>
                <w:rFonts w:ascii="Verdana" w:eastAsia="Calibri" w:hAnsi="Verdana" w:cs="Arial"/>
                <w:lang w:val="es-ES"/>
              </w:rPr>
            </w:pPr>
            <w:r w:rsidRPr="002C1933">
              <w:rPr>
                <w:rFonts w:ascii="Verdana" w:eastAsia="Calibri" w:hAnsi="Verdana" w:cs="Arial"/>
                <w:lang w:val="es-ES"/>
              </w:rPr>
              <w:t xml:space="preserve">De conformidad con lo expuesto, esta Agencia considera que, si la persona jurídica con menos de tres (3) años de constituida registra la experiencia de sus socios en el RUP, y este es renovado constantemente de forma oportuna, una vez transcurridos estos tres (3) años, el proponente podrá seguir acreditando la experiencia inscrita de los socios mientras no cesen los efectos del RUP. Por el contrario, si no se renueva oportunamente y la persona jurídica supera los tres (3) años de constituida, la experiencia que </w:t>
            </w:r>
            <w:r w:rsidRPr="002C1933">
              <w:rPr>
                <w:rFonts w:ascii="Verdana" w:eastAsia="Calibri" w:hAnsi="Verdana" w:cs="Arial"/>
                <w:lang w:val="es-ES"/>
              </w:rPr>
              <w:lastRenderedPageBreak/>
              <w:t>registró de sus socios no puede ser inscrita nuevamente, puesto que el RUP habría cesado en sus efectos y la cámara de comercio tendría que hacer nuevamente la verificación documental de la información presentada al momento de inscribirse en el registro.</w:t>
            </w:r>
          </w:p>
          <w:p w14:paraId="1C84F6D2" w14:textId="77777777" w:rsidR="002C1933" w:rsidRPr="002C1933" w:rsidRDefault="002C1933" w:rsidP="002C1933">
            <w:pPr>
              <w:spacing w:line="276" w:lineRule="auto"/>
              <w:ind w:left="32"/>
              <w:contextualSpacing/>
              <w:jc w:val="both"/>
              <w:rPr>
                <w:rFonts w:ascii="Verdana" w:hAnsi="Verdana"/>
                <w:lang w:val="es-ES"/>
              </w:rPr>
            </w:pPr>
            <w:proofErr w:type="spellStart"/>
            <w:r w:rsidRPr="002C1933">
              <w:rPr>
                <w:rFonts w:ascii="Verdana" w:hAnsi="Verdana"/>
                <w:lang w:val="es-ES"/>
              </w:rPr>
              <w:t>ii</w:t>
            </w:r>
            <w:proofErr w:type="spellEnd"/>
            <w:r w:rsidRPr="002C1933">
              <w:rPr>
                <w:rFonts w:ascii="Verdana" w:hAnsi="Verdana"/>
                <w:lang w:val="es-ES"/>
              </w:rPr>
              <w:t>) El numeral 2.5 del artículo 2.2.1.1.1.5.2 del Decreto 1082 de 2015 indica, de forma clara, que una sociedad con menos de tres años de constituida puede aportar la experiencia de sus accionistas, socios o constituyentes, sin estipular alguna exigencia respecto del tipo de persona (natural o jurídica) que deba tener dicho accionista, socio o constituyente. En consecuencia, para que aplique dicha figura, es necesario que la persona (natural o jurídica) ostente la calidad de accionista, socio o constituyente de la sociedad con menos de tras años de constituida que pretenda beneficiarse de aquella.</w:t>
            </w:r>
          </w:p>
          <w:p w14:paraId="33FD899E" w14:textId="77777777" w:rsidR="002C1933" w:rsidRPr="002C1933" w:rsidRDefault="002C1933" w:rsidP="002C1933">
            <w:pPr>
              <w:spacing w:line="276" w:lineRule="auto"/>
              <w:jc w:val="both"/>
              <w:rPr>
                <w:rFonts w:ascii="Verdana" w:hAnsi="Verdana"/>
              </w:rPr>
            </w:pPr>
          </w:p>
          <w:p w14:paraId="20953623" w14:textId="77777777" w:rsidR="002C1933" w:rsidRPr="002C1933" w:rsidRDefault="002C1933" w:rsidP="002C1933">
            <w:pPr>
              <w:spacing w:line="276" w:lineRule="auto"/>
              <w:jc w:val="both"/>
              <w:rPr>
                <w:rFonts w:ascii="Verdana" w:hAnsi="Verdana"/>
              </w:rPr>
            </w:pPr>
            <w:r w:rsidRPr="002C1933">
              <w:rPr>
                <w:rFonts w:ascii="Verdana" w:hAnsi="Verdana"/>
              </w:rPr>
              <w:t xml:space="preserve">          En tal medida, es válido señalar que, como la reglamentación no contempla restricción alguna que impida que opere la transferencia de la experiencia obtenida por los socios, accionistas o constituyentes, en favor de la sociedad (A) con menos de tres años de constitución, para luego ser transferida a una sociedad (B), también con menos de tres años de constitución, donde la sociedad (A) inicialmente beneficiada funja como accionista, socia o constituyente de la sociedad (B), esta Subdirección considera que resulta viable dicha transferencia, siempre que se cumpla con i) que la persona que hubiera obtenido la experiencia de manera primigenia permanezca como accionista, socio o constituyente de la sociedad (A) inicialmente beneficiada y que actúa como accionista, socia o constituyente de la sociedad (B) que pretende verse beneficiada y; </w:t>
            </w:r>
            <w:proofErr w:type="spellStart"/>
            <w:r w:rsidRPr="002C1933">
              <w:rPr>
                <w:rFonts w:ascii="Verdana" w:hAnsi="Verdana"/>
              </w:rPr>
              <w:t>ii</w:t>
            </w:r>
            <w:proofErr w:type="spellEnd"/>
            <w:r w:rsidRPr="002C1933">
              <w:rPr>
                <w:rFonts w:ascii="Verdana" w:hAnsi="Verdana"/>
              </w:rPr>
              <w:t xml:space="preserve">) que, en los procesos de selección donde sea obligatoria la inscripción en el RUP, la experiencia transferida quede incorporada en este para su efectiva acreditación, lo que implica que la sociedad haya adelantado el respectivo trámite de actualización o renovación del RUP, de manera que pueda seguir utilizándola mientras no cesen sus efectos. De otro lado, si no se renueva el RUP y la persona jurídica supera los tres años de constituida, la experiencia que registró de sus socios no puede ser inscrita nuevamente, puesto que cesan los efectos del RUP y la cámara de comercio tiene que hacer nuevamente la verificación documental de la información presentada al momento de inscribirse en el registro. </w:t>
            </w:r>
          </w:p>
          <w:p w14:paraId="174A97FC" w14:textId="77777777" w:rsidR="002C1933" w:rsidRPr="002C1933" w:rsidRDefault="002C1933" w:rsidP="002C1933">
            <w:pPr>
              <w:spacing w:line="276" w:lineRule="auto"/>
              <w:jc w:val="both"/>
              <w:rPr>
                <w:rFonts w:ascii="Verdana" w:hAnsi="Verdana"/>
              </w:rPr>
            </w:pPr>
          </w:p>
          <w:p w14:paraId="23B56C06" w14:textId="77777777" w:rsidR="002C1933" w:rsidRPr="002C1933" w:rsidRDefault="002C1933" w:rsidP="002C1933">
            <w:pPr>
              <w:spacing w:before="158" w:line="276" w:lineRule="auto"/>
              <w:ind w:right="49" w:firstLine="708"/>
              <w:jc w:val="both"/>
              <w:rPr>
                <w:rFonts w:ascii="Verdana" w:hAnsi="Verdana"/>
              </w:rPr>
            </w:pPr>
            <w:r w:rsidRPr="002C1933">
              <w:rPr>
                <w:rFonts w:ascii="Verdana" w:hAnsi="Verdana"/>
              </w:rPr>
              <w:lastRenderedPageBreak/>
              <w:t>Ahora</w:t>
            </w:r>
            <w:r w:rsidRPr="002C1933">
              <w:rPr>
                <w:rFonts w:ascii="Verdana" w:hAnsi="Verdana"/>
                <w:spacing w:val="-20"/>
              </w:rPr>
              <w:t xml:space="preserve"> </w:t>
            </w:r>
            <w:r w:rsidRPr="002C1933">
              <w:rPr>
                <w:rFonts w:ascii="Verdana" w:hAnsi="Verdana"/>
              </w:rPr>
              <w:t>bien,</w:t>
            </w:r>
            <w:r w:rsidRPr="002C1933">
              <w:rPr>
                <w:rFonts w:ascii="Verdana" w:hAnsi="Verdana"/>
                <w:spacing w:val="-19"/>
              </w:rPr>
              <w:t xml:space="preserve"> </w:t>
            </w:r>
            <w:r w:rsidRPr="002C1933">
              <w:rPr>
                <w:rFonts w:ascii="Verdana" w:hAnsi="Verdana"/>
              </w:rPr>
              <w:t>en</w:t>
            </w:r>
            <w:r w:rsidRPr="002C1933">
              <w:rPr>
                <w:rFonts w:ascii="Verdana" w:hAnsi="Verdana"/>
                <w:spacing w:val="-19"/>
              </w:rPr>
              <w:t xml:space="preserve"> </w:t>
            </w:r>
            <w:r w:rsidRPr="002C1933">
              <w:rPr>
                <w:rFonts w:ascii="Verdana" w:hAnsi="Verdana"/>
              </w:rPr>
              <w:t>principio</w:t>
            </w:r>
            <w:r w:rsidRPr="002C1933">
              <w:rPr>
                <w:rFonts w:ascii="Verdana" w:hAnsi="Verdana"/>
                <w:spacing w:val="-20"/>
              </w:rPr>
              <w:t xml:space="preserve"> </w:t>
            </w:r>
            <w:r w:rsidRPr="002C1933">
              <w:rPr>
                <w:rFonts w:ascii="Verdana" w:hAnsi="Verdana"/>
              </w:rPr>
              <w:t>las</w:t>
            </w:r>
            <w:r w:rsidRPr="002C1933">
              <w:rPr>
                <w:rFonts w:ascii="Verdana" w:hAnsi="Verdana"/>
                <w:spacing w:val="-19"/>
              </w:rPr>
              <w:t xml:space="preserve"> </w:t>
            </w:r>
            <w:r w:rsidRPr="002C1933">
              <w:rPr>
                <w:rFonts w:ascii="Verdana" w:hAnsi="Verdana"/>
              </w:rPr>
              <w:t>sociedades</w:t>
            </w:r>
            <w:r w:rsidRPr="002C1933">
              <w:rPr>
                <w:rFonts w:ascii="Verdana" w:hAnsi="Verdana"/>
                <w:spacing w:val="-20"/>
              </w:rPr>
              <w:t xml:space="preserve"> </w:t>
            </w:r>
            <w:r w:rsidRPr="002C1933">
              <w:rPr>
                <w:rFonts w:ascii="Verdana" w:hAnsi="Verdana"/>
              </w:rPr>
              <w:t>comerciales</w:t>
            </w:r>
            <w:r w:rsidRPr="002C1933">
              <w:rPr>
                <w:rFonts w:ascii="Verdana" w:hAnsi="Verdana"/>
                <w:spacing w:val="-19"/>
              </w:rPr>
              <w:t xml:space="preserve"> </w:t>
            </w:r>
            <w:r w:rsidRPr="002C1933">
              <w:rPr>
                <w:rFonts w:ascii="Verdana" w:hAnsi="Verdana"/>
              </w:rPr>
              <w:t>surgen</w:t>
            </w:r>
            <w:r w:rsidRPr="002C1933">
              <w:rPr>
                <w:rFonts w:ascii="Verdana" w:hAnsi="Verdana"/>
                <w:spacing w:val="-19"/>
              </w:rPr>
              <w:t xml:space="preserve"> </w:t>
            </w:r>
            <w:r w:rsidRPr="002C1933">
              <w:rPr>
                <w:rFonts w:ascii="Verdana" w:hAnsi="Verdana"/>
              </w:rPr>
              <w:t>de</w:t>
            </w:r>
            <w:r w:rsidRPr="002C1933">
              <w:rPr>
                <w:rFonts w:ascii="Verdana" w:hAnsi="Verdana"/>
                <w:spacing w:val="-20"/>
              </w:rPr>
              <w:t xml:space="preserve"> </w:t>
            </w:r>
            <w:r w:rsidRPr="002C1933">
              <w:rPr>
                <w:rFonts w:ascii="Verdana" w:hAnsi="Verdana"/>
              </w:rPr>
              <w:t>un</w:t>
            </w:r>
            <w:r w:rsidRPr="002C1933">
              <w:rPr>
                <w:rFonts w:ascii="Verdana" w:hAnsi="Verdana"/>
                <w:spacing w:val="-19"/>
              </w:rPr>
              <w:t xml:space="preserve"> </w:t>
            </w:r>
            <w:r w:rsidRPr="002C1933">
              <w:rPr>
                <w:rFonts w:ascii="Verdana" w:hAnsi="Verdana"/>
              </w:rPr>
              <w:t>contrato de sociedad en el que dos o más personas expresan su voluntad de obligarse haciendo un aporte en bienes, dinero o trabajo</w:t>
            </w:r>
            <w:r w:rsidRPr="002C1933">
              <w:rPr>
                <w:rFonts w:ascii="Verdana" w:hAnsi="Verdana"/>
                <w:vertAlign w:val="superscript"/>
              </w:rPr>
              <w:t>8</w:t>
            </w:r>
            <w:r w:rsidRPr="002C1933">
              <w:rPr>
                <w:rFonts w:ascii="Verdana" w:hAnsi="Verdana"/>
              </w:rPr>
              <w:t>. Estas pueden ser constituidas tanto por personas naturales como personas jurídicas</w:t>
            </w:r>
            <w:r w:rsidRPr="002C1933">
              <w:rPr>
                <w:rFonts w:ascii="Verdana" w:hAnsi="Verdana"/>
                <w:vertAlign w:val="superscript"/>
              </w:rPr>
              <w:t>9</w:t>
            </w:r>
            <w:r w:rsidRPr="002C1933">
              <w:rPr>
                <w:rFonts w:ascii="Verdana" w:hAnsi="Verdana"/>
              </w:rPr>
              <w:t>, cuyos datos como nombre y domicilio deben consignarse en la escritura pública, aunando la nacionalidad y el documento de identificación para las personas naturales y el documento</w:t>
            </w:r>
            <w:r w:rsidRPr="002C1933">
              <w:rPr>
                <w:rFonts w:ascii="Verdana" w:hAnsi="Verdana"/>
                <w:spacing w:val="-20"/>
              </w:rPr>
              <w:t xml:space="preserve"> </w:t>
            </w:r>
            <w:r w:rsidRPr="002C1933">
              <w:rPr>
                <w:rFonts w:ascii="Verdana" w:hAnsi="Verdana"/>
              </w:rPr>
              <w:t>del</w:t>
            </w:r>
            <w:r w:rsidRPr="002C1933">
              <w:rPr>
                <w:rFonts w:ascii="Verdana" w:hAnsi="Verdana"/>
                <w:spacing w:val="-19"/>
              </w:rPr>
              <w:t xml:space="preserve"> </w:t>
            </w:r>
            <w:r w:rsidRPr="002C1933">
              <w:rPr>
                <w:rFonts w:ascii="Verdana" w:hAnsi="Verdana"/>
              </w:rPr>
              <w:t>que</w:t>
            </w:r>
            <w:r w:rsidRPr="002C1933">
              <w:rPr>
                <w:rFonts w:ascii="Verdana" w:hAnsi="Verdana"/>
                <w:spacing w:val="-19"/>
              </w:rPr>
              <w:t xml:space="preserve"> </w:t>
            </w:r>
            <w:r w:rsidRPr="002C1933">
              <w:rPr>
                <w:rFonts w:ascii="Verdana" w:hAnsi="Verdana"/>
              </w:rPr>
              <w:t>deriva</w:t>
            </w:r>
            <w:r w:rsidRPr="002C1933">
              <w:rPr>
                <w:rFonts w:ascii="Verdana" w:hAnsi="Verdana"/>
                <w:spacing w:val="-20"/>
              </w:rPr>
              <w:t xml:space="preserve"> </w:t>
            </w:r>
            <w:r w:rsidRPr="002C1933">
              <w:rPr>
                <w:rFonts w:ascii="Verdana" w:hAnsi="Verdana"/>
              </w:rPr>
              <w:t>la</w:t>
            </w:r>
            <w:r w:rsidRPr="002C1933">
              <w:rPr>
                <w:rFonts w:ascii="Verdana" w:hAnsi="Verdana"/>
                <w:spacing w:val="-19"/>
              </w:rPr>
              <w:t xml:space="preserve"> </w:t>
            </w:r>
            <w:r w:rsidRPr="002C1933">
              <w:rPr>
                <w:rFonts w:ascii="Verdana" w:hAnsi="Verdana"/>
              </w:rPr>
              <w:t>existencia</w:t>
            </w:r>
            <w:r w:rsidRPr="002C1933">
              <w:rPr>
                <w:rFonts w:ascii="Verdana" w:hAnsi="Verdana"/>
                <w:spacing w:val="-20"/>
              </w:rPr>
              <w:t xml:space="preserve"> </w:t>
            </w:r>
            <w:r w:rsidRPr="002C1933">
              <w:rPr>
                <w:rFonts w:ascii="Verdana" w:hAnsi="Verdana"/>
              </w:rPr>
              <w:t>para</w:t>
            </w:r>
            <w:r w:rsidRPr="002C1933">
              <w:rPr>
                <w:rFonts w:ascii="Verdana" w:hAnsi="Verdana"/>
                <w:spacing w:val="-19"/>
              </w:rPr>
              <w:t xml:space="preserve"> </w:t>
            </w:r>
            <w:r w:rsidRPr="002C1933">
              <w:rPr>
                <w:rFonts w:ascii="Verdana" w:hAnsi="Verdana"/>
              </w:rPr>
              <w:t>la</w:t>
            </w:r>
            <w:r w:rsidRPr="002C1933">
              <w:rPr>
                <w:rFonts w:ascii="Verdana" w:hAnsi="Verdana"/>
                <w:spacing w:val="-19"/>
              </w:rPr>
              <w:t xml:space="preserve"> </w:t>
            </w:r>
            <w:r w:rsidRPr="002C1933">
              <w:rPr>
                <w:rFonts w:ascii="Verdana" w:hAnsi="Verdana"/>
              </w:rPr>
              <w:t>persona</w:t>
            </w:r>
            <w:r w:rsidRPr="002C1933">
              <w:rPr>
                <w:rFonts w:ascii="Verdana" w:hAnsi="Verdana"/>
                <w:spacing w:val="-20"/>
              </w:rPr>
              <w:t xml:space="preserve"> </w:t>
            </w:r>
            <w:r w:rsidRPr="002C1933">
              <w:rPr>
                <w:rFonts w:ascii="Verdana" w:hAnsi="Verdana"/>
              </w:rPr>
              <w:t>jurídica.</w:t>
            </w:r>
            <w:r w:rsidRPr="002C1933">
              <w:rPr>
                <w:rFonts w:ascii="Verdana" w:hAnsi="Verdana"/>
                <w:spacing w:val="27"/>
              </w:rPr>
              <w:t xml:space="preserve"> </w:t>
            </w:r>
            <w:r w:rsidRPr="002C1933">
              <w:rPr>
                <w:rFonts w:ascii="Verdana" w:hAnsi="Verdana"/>
              </w:rPr>
              <w:t>Adicionalmente, para la sociedad por acciones simplificadas, la norma especial expresamente dispone</w:t>
            </w:r>
            <w:r w:rsidRPr="002C1933">
              <w:rPr>
                <w:rFonts w:ascii="Verdana" w:hAnsi="Verdana"/>
                <w:spacing w:val="-5"/>
              </w:rPr>
              <w:t xml:space="preserve"> </w:t>
            </w:r>
            <w:r w:rsidRPr="002C1933">
              <w:rPr>
                <w:rFonts w:ascii="Verdana" w:hAnsi="Verdana"/>
              </w:rPr>
              <w:t>que</w:t>
            </w:r>
            <w:r w:rsidRPr="002C1933">
              <w:rPr>
                <w:rFonts w:ascii="Verdana" w:hAnsi="Verdana"/>
                <w:spacing w:val="-7"/>
              </w:rPr>
              <w:t xml:space="preserve"> </w:t>
            </w:r>
            <w:r w:rsidRPr="002C1933">
              <w:rPr>
                <w:rFonts w:ascii="Verdana" w:hAnsi="Verdana"/>
              </w:rPr>
              <w:t>“</w:t>
            </w:r>
            <w:r w:rsidRPr="002C1933">
              <w:rPr>
                <w:rFonts w:ascii="Verdana" w:hAnsi="Verdana"/>
                <w:i/>
              </w:rPr>
              <w:t>podrá</w:t>
            </w:r>
            <w:r w:rsidRPr="002C1933">
              <w:rPr>
                <w:rFonts w:ascii="Verdana" w:hAnsi="Verdana"/>
                <w:i/>
                <w:spacing w:val="-6"/>
              </w:rPr>
              <w:t xml:space="preserve"> </w:t>
            </w:r>
            <w:r w:rsidRPr="002C1933">
              <w:rPr>
                <w:rFonts w:ascii="Verdana" w:hAnsi="Verdana"/>
                <w:i/>
              </w:rPr>
              <w:t>constituirse</w:t>
            </w:r>
            <w:r w:rsidRPr="002C1933">
              <w:rPr>
                <w:rFonts w:ascii="Verdana" w:hAnsi="Verdana"/>
                <w:i/>
                <w:spacing w:val="-3"/>
              </w:rPr>
              <w:t xml:space="preserve"> </w:t>
            </w:r>
            <w:r w:rsidRPr="002C1933">
              <w:rPr>
                <w:rFonts w:ascii="Verdana" w:hAnsi="Verdana"/>
                <w:i/>
              </w:rPr>
              <w:t>por</w:t>
            </w:r>
            <w:r w:rsidRPr="002C1933">
              <w:rPr>
                <w:rFonts w:ascii="Verdana" w:hAnsi="Verdana"/>
                <w:i/>
                <w:spacing w:val="-7"/>
              </w:rPr>
              <w:t xml:space="preserve"> </w:t>
            </w:r>
            <w:r w:rsidRPr="002C1933">
              <w:rPr>
                <w:rFonts w:ascii="Verdana" w:hAnsi="Verdana"/>
                <w:i/>
              </w:rPr>
              <w:t>una</w:t>
            </w:r>
            <w:r w:rsidRPr="002C1933">
              <w:rPr>
                <w:rFonts w:ascii="Verdana" w:hAnsi="Verdana"/>
                <w:i/>
                <w:spacing w:val="-7"/>
              </w:rPr>
              <w:t xml:space="preserve"> </w:t>
            </w:r>
            <w:r w:rsidRPr="002C1933">
              <w:rPr>
                <w:rFonts w:ascii="Verdana" w:hAnsi="Verdana"/>
                <w:i/>
              </w:rPr>
              <w:t>o</w:t>
            </w:r>
            <w:r w:rsidRPr="002C1933">
              <w:rPr>
                <w:rFonts w:ascii="Verdana" w:hAnsi="Verdana"/>
                <w:i/>
                <w:spacing w:val="-7"/>
              </w:rPr>
              <w:t xml:space="preserve"> </w:t>
            </w:r>
            <w:r w:rsidRPr="002C1933">
              <w:rPr>
                <w:rFonts w:ascii="Verdana" w:hAnsi="Verdana"/>
                <w:i/>
              </w:rPr>
              <w:t>varias</w:t>
            </w:r>
            <w:r w:rsidRPr="002C1933">
              <w:rPr>
                <w:rFonts w:ascii="Verdana" w:hAnsi="Verdana"/>
                <w:i/>
                <w:spacing w:val="-6"/>
              </w:rPr>
              <w:t xml:space="preserve"> </w:t>
            </w:r>
            <w:r w:rsidRPr="002C1933">
              <w:rPr>
                <w:rFonts w:ascii="Verdana" w:hAnsi="Verdana"/>
                <w:i/>
              </w:rPr>
              <w:t>personas</w:t>
            </w:r>
            <w:r w:rsidRPr="002C1933">
              <w:rPr>
                <w:rFonts w:ascii="Verdana" w:hAnsi="Verdana"/>
                <w:i/>
                <w:spacing w:val="-5"/>
              </w:rPr>
              <w:t xml:space="preserve"> </w:t>
            </w:r>
            <w:r w:rsidRPr="002C1933">
              <w:rPr>
                <w:rFonts w:ascii="Verdana" w:hAnsi="Verdana"/>
                <w:i/>
              </w:rPr>
              <w:t>naturales</w:t>
            </w:r>
            <w:r w:rsidRPr="002C1933">
              <w:rPr>
                <w:rFonts w:ascii="Verdana" w:hAnsi="Verdana"/>
                <w:i/>
                <w:spacing w:val="-5"/>
              </w:rPr>
              <w:t xml:space="preserve"> </w:t>
            </w:r>
            <w:r w:rsidRPr="002C1933">
              <w:rPr>
                <w:rFonts w:ascii="Verdana" w:hAnsi="Verdana"/>
                <w:i/>
              </w:rPr>
              <w:t>o</w:t>
            </w:r>
            <w:r w:rsidRPr="002C1933">
              <w:rPr>
                <w:rFonts w:ascii="Verdana" w:hAnsi="Verdana"/>
                <w:i/>
                <w:spacing w:val="-7"/>
              </w:rPr>
              <w:t xml:space="preserve"> </w:t>
            </w:r>
            <w:r w:rsidRPr="002C1933">
              <w:rPr>
                <w:rFonts w:ascii="Verdana" w:hAnsi="Verdana"/>
                <w:i/>
              </w:rPr>
              <w:t xml:space="preserve">jurídicas, quienes sólo serán responsables hasta el monto de sus respectivos </w:t>
            </w:r>
            <w:proofErr w:type="gramStart"/>
            <w:r w:rsidRPr="002C1933">
              <w:rPr>
                <w:rFonts w:ascii="Verdana" w:hAnsi="Verdana"/>
                <w:i/>
              </w:rPr>
              <w:t>aportes</w:t>
            </w:r>
            <w:r w:rsidRPr="002C1933">
              <w:rPr>
                <w:rFonts w:ascii="Verdana" w:hAnsi="Verdana"/>
                <w:i/>
                <w:spacing w:val="-50"/>
              </w:rPr>
              <w:t xml:space="preserve"> </w:t>
            </w:r>
            <w:r w:rsidRPr="002C1933">
              <w:rPr>
                <w:rFonts w:ascii="Verdana" w:hAnsi="Verdana"/>
              </w:rPr>
              <w:t>.</w:t>
            </w:r>
            <w:proofErr w:type="gramEnd"/>
            <w:r w:rsidRPr="002C1933">
              <w:rPr>
                <w:rFonts w:ascii="Verdana" w:hAnsi="Verdana"/>
              </w:rPr>
              <w:t>”</w:t>
            </w:r>
            <w:r w:rsidRPr="002C1933">
              <w:rPr>
                <w:rFonts w:ascii="Verdana" w:hAnsi="Verdana"/>
                <w:vertAlign w:val="superscript"/>
              </w:rPr>
              <w:t>10</w:t>
            </w:r>
          </w:p>
          <w:p w14:paraId="01FDF4FB" w14:textId="77777777" w:rsidR="002C1933" w:rsidRPr="002C1933" w:rsidRDefault="002C1933" w:rsidP="002C1933">
            <w:pPr>
              <w:widowControl w:val="0"/>
              <w:autoSpaceDE w:val="0"/>
              <w:autoSpaceDN w:val="0"/>
              <w:spacing w:before="120" w:line="276" w:lineRule="auto"/>
              <w:ind w:right="49" w:firstLine="708"/>
              <w:jc w:val="both"/>
              <w:rPr>
                <w:rFonts w:ascii="Verdana" w:eastAsia="Verdana" w:hAnsi="Verdana" w:cs="Verdana"/>
                <w:lang w:val="es-ES"/>
              </w:rPr>
            </w:pPr>
            <w:r w:rsidRPr="002C1933">
              <w:rPr>
                <w:rFonts w:ascii="Verdana" w:eastAsia="Verdana" w:hAnsi="Verdana" w:cs="Verdana"/>
                <w:lang w:val="es-ES"/>
              </w:rPr>
              <w:t>Así, los socios, accionistas o constituyentes a los que hace referencia la disposición antes citada, en la interpretación a la luz de la normativa comercial pueden</w:t>
            </w:r>
            <w:r w:rsidRPr="002C1933">
              <w:rPr>
                <w:rFonts w:ascii="Verdana" w:eastAsia="Verdana" w:hAnsi="Verdana" w:cs="Verdana"/>
                <w:spacing w:val="-13"/>
                <w:lang w:val="es-ES"/>
              </w:rPr>
              <w:t xml:space="preserve"> </w:t>
            </w:r>
            <w:r w:rsidRPr="002C1933">
              <w:rPr>
                <w:rFonts w:ascii="Verdana" w:eastAsia="Verdana" w:hAnsi="Verdana" w:cs="Verdana"/>
                <w:lang w:val="es-ES"/>
              </w:rPr>
              <w:t>ser</w:t>
            </w:r>
            <w:r w:rsidRPr="002C1933">
              <w:rPr>
                <w:rFonts w:ascii="Verdana" w:eastAsia="Verdana" w:hAnsi="Verdana" w:cs="Verdana"/>
                <w:spacing w:val="-14"/>
                <w:lang w:val="es-ES"/>
              </w:rPr>
              <w:t xml:space="preserve"> </w:t>
            </w:r>
            <w:r w:rsidRPr="002C1933">
              <w:rPr>
                <w:rFonts w:ascii="Verdana" w:eastAsia="Verdana" w:hAnsi="Verdana" w:cs="Verdana"/>
                <w:lang w:val="es-ES"/>
              </w:rPr>
              <w:t>tanto</w:t>
            </w:r>
            <w:r w:rsidRPr="002C1933">
              <w:rPr>
                <w:rFonts w:ascii="Verdana" w:eastAsia="Verdana" w:hAnsi="Verdana" w:cs="Verdana"/>
                <w:spacing w:val="-13"/>
                <w:lang w:val="es-ES"/>
              </w:rPr>
              <w:t xml:space="preserve"> </w:t>
            </w:r>
            <w:r w:rsidRPr="002C1933">
              <w:rPr>
                <w:rFonts w:ascii="Verdana" w:eastAsia="Verdana" w:hAnsi="Verdana" w:cs="Verdana"/>
                <w:lang w:val="es-ES"/>
              </w:rPr>
              <w:t>personas</w:t>
            </w:r>
            <w:r w:rsidRPr="002C1933">
              <w:rPr>
                <w:rFonts w:ascii="Verdana" w:eastAsia="Verdana" w:hAnsi="Verdana" w:cs="Verdana"/>
                <w:spacing w:val="-12"/>
                <w:lang w:val="es-ES"/>
              </w:rPr>
              <w:t xml:space="preserve"> </w:t>
            </w:r>
            <w:r w:rsidRPr="002C1933">
              <w:rPr>
                <w:rFonts w:ascii="Verdana" w:eastAsia="Verdana" w:hAnsi="Verdana" w:cs="Verdana"/>
                <w:lang w:val="es-ES"/>
              </w:rPr>
              <w:t>naturales</w:t>
            </w:r>
            <w:r w:rsidRPr="002C1933">
              <w:rPr>
                <w:rFonts w:ascii="Verdana" w:eastAsia="Verdana" w:hAnsi="Verdana" w:cs="Verdana"/>
                <w:spacing w:val="-12"/>
                <w:lang w:val="es-ES"/>
              </w:rPr>
              <w:t xml:space="preserve"> </w:t>
            </w:r>
            <w:r w:rsidRPr="002C1933">
              <w:rPr>
                <w:rFonts w:ascii="Verdana" w:eastAsia="Verdana" w:hAnsi="Verdana" w:cs="Verdana"/>
                <w:lang w:val="es-ES"/>
              </w:rPr>
              <w:t>como</w:t>
            </w:r>
            <w:r w:rsidRPr="002C1933">
              <w:rPr>
                <w:rFonts w:ascii="Verdana" w:eastAsia="Verdana" w:hAnsi="Verdana" w:cs="Verdana"/>
                <w:spacing w:val="-14"/>
                <w:lang w:val="es-ES"/>
              </w:rPr>
              <w:t xml:space="preserve"> </w:t>
            </w:r>
            <w:r w:rsidRPr="002C1933">
              <w:rPr>
                <w:rFonts w:ascii="Verdana" w:eastAsia="Verdana" w:hAnsi="Verdana" w:cs="Verdana"/>
                <w:lang w:val="es-ES"/>
              </w:rPr>
              <w:t>jurídicas</w:t>
            </w:r>
            <w:r w:rsidRPr="002C1933">
              <w:rPr>
                <w:rFonts w:ascii="Verdana" w:eastAsia="Verdana" w:hAnsi="Verdana" w:cs="Verdana"/>
                <w:spacing w:val="-12"/>
                <w:lang w:val="es-ES"/>
              </w:rPr>
              <w:t xml:space="preserve"> </w:t>
            </w:r>
            <w:r w:rsidRPr="002C1933">
              <w:rPr>
                <w:rFonts w:ascii="Verdana" w:eastAsia="Verdana" w:hAnsi="Verdana" w:cs="Verdana"/>
                <w:lang w:val="es-ES"/>
              </w:rPr>
              <w:t>cuyos</w:t>
            </w:r>
            <w:r w:rsidRPr="002C1933">
              <w:rPr>
                <w:rFonts w:ascii="Verdana" w:eastAsia="Verdana" w:hAnsi="Verdana" w:cs="Verdana"/>
                <w:spacing w:val="-13"/>
                <w:lang w:val="es-ES"/>
              </w:rPr>
              <w:t xml:space="preserve"> </w:t>
            </w:r>
            <w:r w:rsidRPr="002C1933">
              <w:rPr>
                <w:rFonts w:ascii="Verdana" w:eastAsia="Verdana" w:hAnsi="Verdana" w:cs="Verdana"/>
                <w:lang w:val="es-ES"/>
              </w:rPr>
              <w:t>aportes</w:t>
            </w:r>
            <w:r w:rsidRPr="002C1933">
              <w:rPr>
                <w:rFonts w:ascii="Verdana" w:eastAsia="Verdana" w:hAnsi="Verdana" w:cs="Verdana"/>
                <w:spacing w:val="-13"/>
                <w:lang w:val="es-ES"/>
              </w:rPr>
              <w:t xml:space="preserve"> </w:t>
            </w:r>
            <w:r w:rsidRPr="002C1933">
              <w:rPr>
                <w:rFonts w:ascii="Verdana" w:eastAsia="Verdana" w:hAnsi="Verdana" w:cs="Verdana"/>
                <w:lang w:val="es-ES"/>
              </w:rPr>
              <w:t>pueden</w:t>
            </w:r>
            <w:r w:rsidRPr="002C1933">
              <w:rPr>
                <w:rFonts w:ascii="Verdana" w:eastAsia="Verdana" w:hAnsi="Verdana" w:cs="Verdana"/>
                <w:spacing w:val="-13"/>
                <w:lang w:val="es-ES"/>
              </w:rPr>
              <w:t xml:space="preserve"> </w:t>
            </w:r>
            <w:r w:rsidRPr="002C1933">
              <w:rPr>
                <w:rFonts w:ascii="Verdana" w:eastAsia="Verdana" w:hAnsi="Verdana" w:cs="Verdana"/>
                <w:lang w:val="es-ES"/>
              </w:rPr>
              <w:t>ser</w:t>
            </w:r>
            <w:r w:rsidRPr="002C1933">
              <w:rPr>
                <w:rFonts w:ascii="Verdana" w:eastAsia="Verdana" w:hAnsi="Verdana" w:cs="Verdana"/>
                <w:spacing w:val="-14"/>
                <w:lang w:val="es-ES"/>
              </w:rPr>
              <w:t xml:space="preserve"> </w:t>
            </w:r>
            <w:r w:rsidRPr="002C1933">
              <w:rPr>
                <w:rFonts w:ascii="Verdana" w:eastAsia="Verdana" w:hAnsi="Verdana" w:cs="Verdana"/>
                <w:lang w:val="es-ES"/>
              </w:rPr>
              <w:t>la experiencia respectiva que tengan en el desarrollo de algún contrato en particular.</w:t>
            </w:r>
            <w:r w:rsidRPr="002C1933">
              <w:rPr>
                <w:rFonts w:ascii="Verdana" w:eastAsia="Verdana" w:hAnsi="Verdana" w:cs="Verdana"/>
                <w:spacing w:val="-15"/>
                <w:lang w:val="es-ES"/>
              </w:rPr>
              <w:t xml:space="preserve"> </w:t>
            </w:r>
            <w:r w:rsidRPr="002C1933">
              <w:rPr>
                <w:rFonts w:ascii="Verdana" w:eastAsia="Verdana" w:hAnsi="Verdana" w:cs="Verdana"/>
                <w:lang w:val="es-ES"/>
              </w:rPr>
              <w:t>Se</w:t>
            </w:r>
            <w:r w:rsidRPr="002C1933">
              <w:rPr>
                <w:rFonts w:ascii="Verdana" w:eastAsia="Verdana" w:hAnsi="Verdana" w:cs="Verdana"/>
                <w:spacing w:val="-18"/>
                <w:lang w:val="es-ES"/>
              </w:rPr>
              <w:t xml:space="preserve"> </w:t>
            </w:r>
            <w:r w:rsidRPr="002C1933">
              <w:rPr>
                <w:rFonts w:ascii="Verdana" w:eastAsia="Verdana" w:hAnsi="Verdana" w:cs="Verdana"/>
                <w:lang w:val="es-ES"/>
              </w:rPr>
              <w:t>advierte</w:t>
            </w:r>
            <w:r w:rsidRPr="002C1933">
              <w:rPr>
                <w:rFonts w:ascii="Verdana" w:eastAsia="Verdana" w:hAnsi="Verdana" w:cs="Verdana"/>
                <w:spacing w:val="-16"/>
                <w:lang w:val="es-ES"/>
              </w:rPr>
              <w:t xml:space="preserve"> </w:t>
            </w:r>
            <w:r w:rsidRPr="002C1933">
              <w:rPr>
                <w:rFonts w:ascii="Verdana" w:eastAsia="Verdana" w:hAnsi="Verdana" w:cs="Verdana"/>
                <w:lang w:val="es-ES"/>
              </w:rPr>
              <w:t>que</w:t>
            </w:r>
            <w:r w:rsidRPr="002C1933">
              <w:rPr>
                <w:rFonts w:ascii="Verdana" w:eastAsia="Verdana" w:hAnsi="Verdana" w:cs="Verdana"/>
                <w:spacing w:val="-17"/>
                <w:lang w:val="es-ES"/>
              </w:rPr>
              <w:t xml:space="preserve"> </w:t>
            </w:r>
            <w:r w:rsidRPr="002C1933">
              <w:rPr>
                <w:rFonts w:ascii="Verdana" w:eastAsia="Verdana" w:hAnsi="Verdana" w:cs="Verdana"/>
                <w:lang w:val="es-ES"/>
              </w:rPr>
              <w:t>la</w:t>
            </w:r>
            <w:r w:rsidRPr="002C1933">
              <w:rPr>
                <w:rFonts w:ascii="Verdana" w:eastAsia="Verdana" w:hAnsi="Verdana" w:cs="Verdana"/>
                <w:spacing w:val="-18"/>
                <w:lang w:val="es-ES"/>
              </w:rPr>
              <w:t xml:space="preserve"> </w:t>
            </w:r>
            <w:r w:rsidRPr="002C1933">
              <w:rPr>
                <w:rFonts w:ascii="Verdana" w:eastAsia="Verdana" w:hAnsi="Verdana" w:cs="Verdana"/>
                <w:lang w:val="es-ES"/>
              </w:rPr>
              <w:t>norma</w:t>
            </w:r>
            <w:r w:rsidRPr="002C1933">
              <w:rPr>
                <w:rFonts w:ascii="Verdana" w:eastAsia="Verdana" w:hAnsi="Verdana" w:cs="Verdana"/>
                <w:spacing w:val="-17"/>
                <w:lang w:val="es-ES"/>
              </w:rPr>
              <w:t xml:space="preserve"> </w:t>
            </w:r>
            <w:r w:rsidRPr="002C1933">
              <w:rPr>
                <w:rFonts w:ascii="Verdana" w:eastAsia="Verdana" w:hAnsi="Verdana" w:cs="Verdana"/>
                <w:lang w:val="es-ES"/>
              </w:rPr>
              <w:t>no</w:t>
            </w:r>
            <w:r w:rsidRPr="002C1933">
              <w:rPr>
                <w:rFonts w:ascii="Verdana" w:eastAsia="Verdana" w:hAnsi="Verdana" w:cs="Verdana"/>
                <w:spacing w:val="-18"/>
                <w:lang w:val="es-ES"/>
              </w:rPr>
              <w:t xml:space="preserve"> </w:t>
            </w:r>
            <w:r w:rsidRPr="002C1933">
              <w:rPr>
                <w:rFonts w:ascii="Verdana" w:eastAsia="Verdana" w:hAnsi="Verdana" w:cs="Verdana"/>
                <w:lang w:val="es-ES"/>
              </w:rPr>
              <w:t>precisa</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un</w:t>
            </w:r>
            <w:r w:rsidRPr="002C1933">
              <w:rPr>
                <w:rFonts w:ascii="Verdana" w:eastAsia="Verdana" w:hAnsi="Verdana" w:cs="Verdana"/>
                <w:spacing w:val="-18"/>
                <w:lang w:val="es-ES"/>
              </w:rPr>
              <w:t xml:space="preserve"> </w:t>
            </w:r>
            <w:r w:rsidRPr="002C1933">
              <w:rPr>
                <w:rFonts w:ascii="Verdana" w:eastAsia="Verdana" w:hAnsi="Verdana" w:cs="Verdana"/>
                <w:lang w:val="es-ES"/>
              </w:rPr>
              <w:t>porcentaje</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participación de los socios para validar el aporte de la experiencia, por lo que donde no distingue la norma tampoco lo hará el intérprete.</w:t>
            </w:r>
          </w:p>
          <w:p w14:paraId="06ABE9A6" w14:textId="77777777" w:rsidR="002C1933" w:rsidRPr="002C1933" w:rsidRDefault="002C1933" w:rsidP="002C1933">
            <w:pPr>
              <w:widowControl w:val="0"/>
              <w:autoSpaceDE w:val="0"/>
              <w:autoSpaceDN w:val="0"/>
              <w:spacing w:before="158" w:line="276" w:lineRule="auto"/>
              <w:ind w:right="49" w:firstLine="708"/>
              <w:jc w:val="both"/>
              <w:rPr>
                <w:rFonts w:ascii="Verdana" w:eastAsia="Verdana" w:hAnsi="Verdana" w:cs="Verdana"/>
                <w:lang w:val="es-ES"/>
              </w:rPr>
            </w:pPr>
            <w:r w:rsidRPr="002C1933">
              <w:rPr>
                <w:rFonts w:ascii="Verdana" w:eastAsia="Verdana" w:hAnsi="Verdana" w:cs="Verdana"/>
                <w:lang w:val="es-ES"/>
              </w:rPr>
              <w:t>Sin embargo, debe aclararse que el Decreto 1082 de 2015 sólo permite que una sociedad acredite la experiencia de quienes tienen la calidad de accionistas, socios o constituyentes durante los primeros tres (3) años de su constitución.</w:t>
            </w:r>
            <w:r w:rsidRPr="002C1933">
              <w:rPr>
                <w:rFonts w:ascii="Verdana" w:eastAsia="Verdana" w:hAnsi="Verdana" w:cs="Verdana"/>
                <w:spacing w:val="-9"/>
                <w:lang w:val="es-ES"/>
              </w:rPr>
              <w:t xml:space="preserve"> </w:t>
            </w:r>
            <w:r w:rsidRPr="002C1933">
              <w:rPr>
                <w:rFonts w:ascii="Verdana" w:eastAsia="Verdana" w:hAnsi="Verdana" w:cs="Verdana"/>
                <w:lang w:val="es-ES"/>
              </w:rPr>
              <w:t>Por</w:t>
            </w:r>
            <w:r w:rsidRPr="002C1933">
              <w:rPr>
                <w:rFonts w:ascii="Verdana" w:eastAsia="Verdana" w:hAnsi="Verdana" w:cs="Verdana"/>
                <w:spacing w:val="-13"/>
                <w:lang w:val="es-ES"/>
              </w:rPr>
              <w:t xml:space="preserve"> </w:t>
            </w:r>
            <w:r w:rsidRPr="002C1933">
              <w:rPr>
                <w:rFonts w:ascii="Verdana" w:eastAsia="Verdana" w:hAnsi="Verdana" w:cs="Verdana"/>
                <w:lang w:val="es-ES"/>
              </w:rPr>
              <w:t>tanto,</w:t>
            </w:r>
            <w:r w:rsidRPr="002C1933">
              <w:rPr>
                <w:rFonts w:ascii="Verdana" w:eastAsia="Verdana" w:hAnsi="Verdana" w:cs="Verdana"/>
                <w:spacing w:val="-12"/>
                <w:lang w:val="es-ES"/>
              </w:rPr>
              <w:t xml:space="preserve"> </w:t>
            </w:r>
            <w:r w:rsidRPr="002C1933">
              <w:rPr>
                <w:rFonts w:ascii="Verdana" w:eastAsia="Verdana" w:hAnsi="Verdana" w:cs="Verdana"/>
                <w:lang w:val="es-ES"/>
              </w:rPr>
              <w:t>si</w:t>
            </w:r>
            <w:r w:rsidRPr="002C1933">
              <w:rPr>
                <w:rFonts w:ascii="Verdana" w:eastAsia="Verdana" w:hAnsi="Verdana" w:cs="Verdana"/>
                <w:spacing w:val="-13"/>
                <w:lang w:val="es-ES"/>
              </w:rPr>
              <w:t xml:space="preserve"> </w:t>
            </w:r>
            <w:r w:rsidRPr="002C1933">
              <w:rPr>
                <w:rFonts w:ascii="Verdana" w:eastAsia="Verdana" w:hAnsi="Verdana" w:cs="Verdana"/>
                <w:lang w:val="es-ES"/>
              </w:rPr>
              <w:t>se</w:t>
            </w:r>
            <w:r w:rsidRPr="002C1933">
              <w:rPr>
                <w:rFonts w:ascii="Verdana" w:eastAsia="Verdana" w:hAnsi="Verdana" w:cs="Verdana"/>
                <w:spacing w:val="-13"/>
                <w:lang w:val="es-ES"/>
              </w:rPr>
              <w:t xml:space="preserve"> </w:t>
            </w:r>
            <w:r w:rsidRPr="002C1933">
              <w:rPr>
                <w:rFonts w:ascii="Verdana" w:eastAsia="Verdana" w:hAnsi="Verdana" w:cs="Verdana"/>
                <w:lang w:val="es-ES"/>
              </w:rPr>
              <w:t>pierden</w:t>
            </w:r>
            <w:r w:rsidRPr="002C1933">
              <w:rPr>
                <w:rFonts w:ascii="Verdana" w:eastAsia="Verdana" w:hAnsi="Verdana" w:cs="Verdana"/>
                <w:spacing w:val="-11"/>
                <w:lang w:val="es-ES"/>
              </w:rPr>
              <w:t xml:space="preserve"> </w:t>
            </w:r>
            <w:r w:rsidRPr="002C1933">
              <w:rPr>
                <w:rFonts w:ascii="Verdana" w:eastAsia="Verdana" w:hAnsi="Verdana" w:cs="Verdana"/>
                <w:lang w:val="es-ES"/>
              </w:rPr>
              <w:t>estas</w:t>
            </w:r>
            <w:r w:rsidRPr="002C1933">
              <w:rPr>
                <w:rFonts w:ascii="Verdana" w:eastAsia="Verdana" w:hAnsi="Verdana" w:cs="Verdana"/>
                <w:spacing w:val="-12"/>
                <w:lang w:val="es-ES"/>
              </w:rPr>
              <w:t xml:space="preserve"> </w:t>
            </w:r>
            <w:r w:rsidRPr="002C1933">
              <w:rPr>
                <w:rFonts w:ascii="Verdana" w:eastAsia="Verdana" w:hAnsi="Verdana" w:cs="Verdana"/>
                <w:lang w:val="es-ES"/>
              </w:rPr>
              <w:t>calidades,</w:t>
            </w:r>
            <w:r w:rsidRPr="002C1933">
              <w:rPr>
                <w:rFonts w:ascii="Verdana" w:eastAsia="Verdana" w:hAnsi="Verdana" w:cs="Verdana"/>
                <w:spacing w:val="-10"/>
                <w:lang w:val="es-ES"/>
              </w:rPr>
              <w:t xml:space="preserve"> </w:t>
            </w:r>
            <w:r w:rsidRPr="002C1933">
              <w:rPr>
                <w:rFonts w:ascii="Verdana" w:eastAsia="Verdana" w:hAnsi="Verdana" w:cs="Verdana"/>
                <w:lang w:val="es-ES"/>
              </w:rPr>
              <w:t>como</w:t>
            </w:r>
            <w:r w:rsidRPr="002C1933">
              <w:rPr>
                <w:rFonts w:ascii="Verdana" w:eastAsia="Verdana" w:hAnsi="Verdana" w:cs="Verdana"/>
                <w:spacing w:val="-12"/>
                <w:lang w:val="es-ES"/>
              </w:rPr>
              <w:t xml:space="preserve"> </w:t>
            </w:r>
            <w:r w:rsidRPr="002C1933">
              <w:rPr>
                <w:rFonts w:ascii="Verdana" w:eastAsia="Verdana" w:hAnsi="Verdana" w:cs="Verdana"/>
                <w:lang w:val="es-ES"/>
              </w:rPr>
              <w:t>sucedería</w:t>
            </w:r>
            <w:r w:rsidRPr="002C1933">
              <w:rPr>
                <w:rFonts w:ascii="Verdana" w:eastAsia="Verdana" w:hAnsi="Verdana" w:cs="Verdana"/>
                <w:spacing w:val="-10"/>
                <w:lang w:val="es-ES"/>
              </w:rPr>
              <w:t xml:space="preserve"> </w:t>
            </w:r>
            <w:r w:rsidRPr="002C1933">
              <w:rPr>
                <w:rFonts w:ascii="Verdana" w:eastAsia="Verdana" w:hAnsi="Verdana" w:cs="Verdana"/>
                <w:lang w:val="es-ES"/>
              </w:rPr>
              <w:t>cuando</w:t>
            </w:r>
            <w:r w:rsidRPr="002C1933">
              <w:rPr>
                <w:rFonts w:ascii="Verdana" w:eastAsia="Verdana" w:hAnsi="Verdana" w:cs="Verdana"/>
                <w:spacing w:val="-11"/>
                <w:lang w:val="es-ES"/>
              </w:rPr>
              <w:t xml:space="preserve"> </w:t>
            </w:r>
            <w:r w:rsidRPr="002C1933">
              <w:rPr>
                <w:rFonts w:ascii="Verdana" w:eastAsia="Verdana" w:hAnsi="Verdana" w:cs="Verdana"/>
                <w:lang w:val="es-ES"/>
              </w:rPr>
              <w:t>un socio</w:t>
            </w:r>
            <w:r w:rsidRPr="002C1933">
              <w:rPr>
                <w:rFonts w:ascii="Verdana" w:eastAsia="Verdana" w:hAnsi="Verdana" w:cs="Verdana"/>
                <w:spacing w:val="-17"/>
                <w:lang w:val="es-ES"/>
              </w:rPr>
              <w:t xml:space="preserve"> </w:t>
            </w:r>
            <w:r w:rsidRPr="002C1933">
              <w:rPr>
                <w:rFonts w:ascii="Verdana" w:eastAsia="Verdana" w:hAnsi="Verdana" w:cs="Verdana"/>
                <w:lang w:val="es-ES"/>
              </w:rPr>
              <w:t>se</w:t>
            </w:r>
            <w:r w:rsidRPr="002C1933">
              <w:rPr>
                <w:rFonts w:ascii="Verdana" w:eastAsia="Verdana" w:hAnsi="Verdana" w:cs="Verdana"/>
                <w:spacing w:val="-18"/>
                <w:lang w:val="es-ES"/>
              </w:rPr>
              <w:t xml:space="preserve"> </w:t>
            </w:r>
            <w:r w:rsidRPr="002C1933">
              <w:rPr>
                <w:rFonts w:ascii="Verdana" w:eastAsia="Verdana" w:hAnsi="Verdana" w:cs="Verdana"/>
                <w:lang w:val="es-ES"/>
              </w:rPr>
              <w:t>retira</w:t>
            </w:r>
            <w:r w:rsidRPr="002C1933">
              <w:rPr>
                <w:rFonts w:ascii="Verdana" w:eastAsia="Verdana" w:hAnsi="Verdana" w:cs="Verdana"/>
                <w:spacing w:val="-17"/>
                <w:lang w:val="es-ES"/>
              </w:rPr>
              <w:t xml:space="preserve"> </w:t>
            </w:r>
            <w:r w:rsidRPr="002C1933">
              <w:rPr>
                <w:rFonts w:ascii="Verdana" w:eastAsia="Verdana" w:hAnsi="Verdana" w:cs="Verdana"/>
                <w:lang w:val="es-ES"/>
              </w:rPr>
              <w:t>por</w:t>
            </w:r>
            <w:r w:rsidRPr="002C1933">
              <w:rPr>
                <w:rFonts w:ascii="Verdana" w:eastAsia="Verdana" w:hAnsi="Verdana" w:cs="Verdana"/>
                <w:spacing w:val="-18"/>
                <w:lang w:val="es-ES"/>
              </w:rPr>
              <w:t xml:space="preserve"> </w:t>
            </w:r>
            <w:r w:rsidRPr="002C1933">
              <w:rPr>
                <w:rFonts w:ascii="Verdana" w:eastAsia="Verdana" w:hAnsi="Verdana" w:cs="Verdana"/>
                <w:lang w:val="es-ES"/>
              </w:rPr>
              <w:t>venta</w:t>
            </w:r>
            <w:r w:rsidRPr="002C1933">
              <w:rPr>
                <w:rFonts w:ascii="Verdana" w:eastAsia="Verdana" w:hAnsi="Verdana" w:cs="Verdana"/>
                <w:spacing w:val="-17"/>
                <w:lang w:val="es-ES"/>
              </w:rPr>
              <w:t xml:space="preserve"> </w:t>
            </w:r>
            <w:r w:rsidRPr="002C1933">
              <w:rPr>
                <w:rFonts w:ascii="Verdana" w:eastAsia="Verdana" w:hAnsi="Verdana" w:cs="Verdana"/>
                <w:lang w:val="es-ES"/>
              </w:rPr>
              <w:t>o</w:t>
            </w:r>
            <w:r w:rsidRPr="002C1933">
              <w:rPr>
                <w:rFonts w:ascii="Verdana" w:eastAsia="Verdana" w:hAnsi="Verdana" w:cs="Verdana"/>
                <w:spacing w:val="-19"/>
                <w:lang w:val="es-ES"/>
              </w:rPr>
              <w:t xml:space="preserve"> </w:t>
            </w:r>
            <w:r w:rsidRPr="002C1933">
              <w:rPr>
                <w:rFonts w:ascii="Verdana" w:eastAsia="Verdana" w:hAnsi="Verdana" w:cs="Verdana"/>
                <w:lang w:val="es-ES"/>
              </w:rPr>
              <w:t>cesión</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su</w:t>
            </w:r>
            <w:r w:rsidRPr="002C1933">
              <w:rPr>
                <w:rFonts w:ascii="Verdana" w:eastAsia="Verdana" w:hAnsi="Verdana" w:cs="Verdana"/>
                <w:spacing w:val="-18"/>
                <w:lang w:val="es-ES"/>
              </w:rPr>
              <w:t xml:space="preserve"> </w:t>
            </w:r>
            <w:r w:rsidRPr="002C1933">
              <w:rPr>
                <w:rFonts w:ascii="Verdana" w:eastAsia="Verdana" w:hAnsi="Verdana" w:cs="Verdana"/>
                <w:lang w:val="es-ES"/>
              </w:rPr>
              <w:t>participación</w:t>
            </w:r>
            <w:r w:rsidRPr="002C1933">
              <w:rPr>
                <w:rFonts w:ascii="Verdana" w:eastAsia="Verdana" w:hAnsi="Verdana" w:cs="Verdana"/>
                <w:spacing w:val="-14"/>
                <w:lang w:val="es-ES"/>
              </w:rPr>
              <w:t xml:space="preserve"> </w:t>
            </w:r>
            <w:r w:rsidRPr="002C1933">
              <w:rPr>
                <w:rFonts w:ascii="Verdana" w:eastAsia="Verdana" w:hAnsi="Verdana" w:cs="Verdana"/>
                <w:lang w:val="es-ES"/>
              </w:rPr>
              <w:t>y</w:t>
            </w:r>
            <w:r w:rsidRPr="002C1933">
              <w:rPr>
                <w:rFonts w:ascii="Verdana" w:eastAsia="Verdana" w:hAnsi="Verdana" w:cs="Verdana"/>
                <w:spacing w:val="-18"/>
                <w:lang w:val="es-ES"/>
              </w:rPr>
              <w:t xml:space="preserve"> </w:t>
            </w:r>
            <w:r w:rsidRPr="002C1933">
              <w:rPr>
                <w:rFonts w:ascii="Verdana" w:eastAsia="Verdana" w:hAnsi="Verdana" w:cs="Verdana"/>
                <w:lang w:val="es-ES"/>
              </w:rPr>
              <w:t>pierde</w:t>
            </w:r>
            <w:r w:rsidRPr="002C1933">
              <w:rPr>
                <w:rFonts w:ascii="Verdana" w:eastAsia="Verdana" w:hAnsi="Verdana" w:cs="Verdana"/>
                <w:spacing w:val="-17"/>
                <w:lang w:val="es-ES"/>
              </w:rPr>
              <w:t xml:space="preserve"> </w:t>
            </w:r>
            <w:r w:rsidRPr="002C1933">
              <w:rPr>
                <w:rFonts w:ascii="Verdana" w:eastAsia="Verdana" w:hAnsi="Verdana" w:cs="Verdana"/>
                <w:lang w:val="es-ES"/>
              </w:rPr>
              <w:t>su</w:t>
            </w:r>
            <w:r w:rsidRPr="002C1933">
              <w:rPr>
                <w:rFonts w:ascii="Verdana" w:eastAsia="Verdana" w:hAnsi="Verdana" w:cs="Verdana"/>
                <w:spacing w:val="-18"/>
                <w:lang w:val="es-ES"/>
              </w:rPr>
              <w:t xml:space="preserve"> </w:t>
            </w:r>
            <w:r w:rsidRPr="002C1933">
              <w:rPr>
                <w:rFonts w:ascii="Verdana" w:eastAsia="Verdana" w:hAnsi="Verdana" w:cs="Verdana"/>
                <w:lang w:val="es-ES"/>
              </w:rPr>
              <w:t>calidad</w:t>
            </w:r>
            <w:r w:rsidRPr="002C1933">
              <w:rPr>
                <w:rFonts w:ascii="Verdana" w:eastAsia="Verdana" w:hAnsi="Verdana" w:cs="Verdana"/>
                <w:spacing w:val="-17"/>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socio, ya</w:t>
            </w:r>
            <w:r w:rsidRPr="002C1933">
              <w:rPr>
                <w:rFonts w:ascii="Verdana" w:eastAsia="Verdana" w:hAnsi="Verdana" w:cs="Verdana"/>
                <w:spacing w:val="-9"/>
                <w:lang w:val="es-ES"/>
              </w:rPr>
              <w:t xml:space="preserve"> </w:t>
            </w:r>
            <w:r w:rsidRPr="002C1933">
              <w:rPr>
                <w:rFonts w:ascii="Verdana" w:eastAsia="Verdana" w:hAnsi="Verdana" w:cs="Verdana"/>
                <w:lang w:val="es-ES"/>
              </w:rPr>
              <w:t>no</w:t>
            </w:r>
            <w:r w:rsidRPr="002C1933">
              <w:rPr>
                <w:rFonts w:ascii="Verdana" w:eastAsia="Verdana" w:hAnsi="Verdana" w:cs="Verdana"/>
                <w:spacing w:val="-9"/>
                <w:lang w:val="es-ES"/>
              </w:rPr>
              <w:t xml:space="preserve"> </w:t>
            </w:r>
            <w:r w:rsidRPr="002C1933">
              <w:rPr>
                <w:rFonts w:ascii="Verdana" w:eastAsia="Verdana" w:hAnsi="Verdana" w:cs="Verdana"/>
                <w:lang w:val="es-ES"/>
              </w:rPr>
              <w:t>sería</w:t>
            </w:r>
            <w:r w:rsidRPr="002C1933">
              <w:rPr>
                <w:rFonts w:ascii="Verdana" w:eastAsia="Verdana" w:hAnsi="Verdana" w:cs="Verdana"/>
                <w:spacing w:val="-8"/>
                <w:lang w:val="es-ES"/>
              </w:rPr>
              <w:t xml:space="preserve"> </w:t>
            </w:r>
            <w:r w:rsidRPr="002C1933">
              <w:rPr>
                <w:rFonts w:ascii="Verdana" w:eastAsia="Verdana" w:hAnsi="Verdana" w:cs="Verdana"/>
                <w:lang w:val="es-ES"/>
              </w:rPr>
              <w:t>aceptable</w:t>
            </w:r>
            <w:r w:rsidRPr="002C1933">
              <w:rPr>
                <w:rFonts w:ascii="Verdana" w:eastAsia="Verdana" w:hAnsi="Verdana" w:cs="Verdana"/>
                <w:spacing w:val="-7"/>
                <w:lang w:val="es-ES"/>
              </w:rPr>
              <w:t xml:space="preserve"> </w:t>
            </w:r>
            <w:r w:rsidRPr="002C1933">
              <w:rPr>
                <w:rFonts w:ascii="Verdana" w:eastAsia="Verdana" w:hAnsi="Verdana" w:cs="Verdana"/>
                <w:lang w:val="es-ES"/>
              </w:rPr>
              <w:t>que</w:t>
            </w:r>
            <w:r w:rsidRPr="002C1933">
              <w:rPr>
                <w:rFonts w:ascii="Verdana" w:eastAsia="Verdana" w:hAnsi="Verdana" w:cs="Verdana"/>
                <w:spacing w:val="-9"/>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sociedad</w:t>
            </w:r>
            <w:r w:rsidRPr="002C1933">
              <w:rPr>
                <w:rFonts w:ascii="Verdana" w:eastAsia="Verdana" w:hAnsi="Verdana" w:cs="Verdana"/>
                <w:spacing w:val="-8"/>
                <w:lang w:val="es-ES"/>
              </w:rPr>
              <w:t xml:space="preserve"> </w:t>
            </w:r>
            <w:r w:rsidRPr="002C1933">
              <w:rPr>
                <w:rFonts w:ascii="Verdana" w:eastAsia="Verdana" w:hAnsi="Verdana" w:cs="Verdana"/>
                <w:lang w:val="es-ES"/>
              </w:rPr>
              <w:t>acredite</w:t>
            </w:r>
            <w:r w:rsidRPr="002C1933">
              <w:rPr>
                <w:rFonts w:ascii="Verdana" w:eastAsia="Verdana" w:hAnsi="Verdana" w:cs="Verdana"/>
                <w:spacing w:val="-7"/>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experiencia</w:t>
            </w:r>
            <w:r w:rsidRPr="002C1933">
              <w:rPr>
                <w:rFonts w:ascii="Verdana" w:eastAsia="Verdana" w:hAnsi="Verdana" w:cs="Verdana"/>
                <w:spacing w:val="-6"/>
                <w:lang w:val="es-ES"/>
              </w:rPr>
              <w:t xml:space="preserve"> </w:t>
            </w:r>
            <w:r w:rsidRPr="002C1933">
              <w:rPr>
                <w:rFonts w:ascii="Verdana" w:eastAsia="Verdana" w:hAnsi="Verdana" w:cs="Verdana"/>
                <w:lang w:val="es-ES"/>
              </w:rPr>
              <w:t>aportada</w:t>
            </w:r>
            <w:r w:rsidRPr="002C1933">
              <w:rPr>
                <w:rFonts w:ascii="Verdana" w:eastAsia="Verdana" w:hAnsi="Verdana" w:cs="Verdana"/>
                <w:spacing w:val="-8"/>
                <w:lang w:val="es-ES"/>
              </w:rPr>
              <w:t xml:space="preserve"> </w:t>
            </w:r>
            <w:r w:rsidRPr="002C1933">
              <w:rPr>
                <w:rFonts w:ascii="Verdana" w:eastAsia="Verdana" w:hAnsi="Verdana" w:cs="Verdana"/>
                <w:lang w:val="es-ES"/>
              </w:rPr>
              <w:t>por</w:t>
            </w:r>
            <w:r w:rsidRPr="002C1933">
              <w:rPr>
                <w:rFonts w:ascii="Verdana" w:eastAsia="Verdana" w:hAnsi="Verdana" w:cs="Verdana"/>
                <w:spacing w:val="-9"/>
                <w:lang w:val="es-ES"/>
              </w:rPr>
              <w:t xml:space="preserve"> </w:t>
            </w:r>
            <w:r w:rsidRPr="002C1933">
              <w:rPr>
                <w:rFonts w:ascii="Verdana" w:eastAsia="Verdana" w:hAnsi="Verdana" w:cs="Verdana"/>
                <w:lang w:val="es-ES"/>
              </w:rPr>
              <w:t>dicha persona. Esta interpretación, además, se impone en atención al fin de evitar prácticas que atenten contra la transparencia en la contratación estatal, por lo que</w:t>
            </w:r>
            <w:r w:rsidRPr="002C1933">
              <w:rPr>
                <w:rFonts w:ascii="Verdana" w:eastAsia="Verdana" w:hAnsi="Verdana" w:cs="Verdana"/>
                <w:spacing w:val="-9"/>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experiencia</w:t>
            </w:r>
            <w:r w:rsidRPr="002C1933">
              <w:rPr>
                <w:rFonts w:ascii="Verdana" w:eastAsia="Verdana" w:hAnsi="Verdana" w:cs="Verdana"/>
                <w:spacing w:val="-6"/>
                <w:lang w:val="es-ES"/>
              </w:rPr>
              <w:t xml:space="preserve"> </w:t>
            </w:r>
            <w:r w:rsidRPr="002C1933">
              <w:rPr>
                <w:rFonts w:ascii="Verdana" w:eastAsia="Verdana" w:hAnsi="Verdana" w:cs="Verdana"/>
                <w:lang w:val="es-ES"/>
              </w:rPr>
              <w:t>aportada</w:t>
            </w:r>
            <w:r w:rsidRPr="002C1933">
              <w:rPr>
                <w:rFonts w:ascii="Verdana" w:eastAsia="Verdana" w:hAnsi="Verdana" w:cs="Verdana"/>
                <w:spacing w:val="-8"/>
                <w:lang w:val="es-ES"/>
              </w:rPr>
              <w:t xml:space="preserve"> </w:t>
            </w:r>
            <w:r w:rsidRPr="002C1933">
              <w:rPr>
                <w:rFonts w:ascii="Verdana" w:eastAsia="Verdana" w:hAnsi="Verdana" w:cs="Verdana"/>
                <w:lang w:val="es-ES"/>
              </w:rPr>
              <w:t>por</w:t>
            </w:r>
            <w:r w:rsidRPr="002C1933">
              <w:rPr>
                <w:rFonts w:ascii="Verdana" w:eastAsia="Verdana" w:hAnsi="Verdana" w:cs="Verdana"/>
                <w:spacing w:val="-9"/>
                <w:lang w:val="es-ES"/>
              </w:rPr>
              <w:t xml:space="preserve"> </w:t>
            </w:r>
            <w:r w:rsidRPr="002C1933">
              <w:rPr>
                <w:rFonts w:ascii="Verdana" w:eastAsia="Verdana" w:hAnsi="Verdana" w:cs="Verdana"/>
                <w:lang w:val="es-ES"/>
              </w:rPr>
              <w:t>quien</w:t>
            </w:r>
            <w:r w:rsidRPr="002C1933">
              <w:rPr>
                <w:rFonts w:ascii="Verdana" w:eastAsia="Verdana" w:hAnsi="Verdana" w:cs="Verdana"/>
                <w:spacing w:val="-8"/>
                <w:lang w:val="es-ES"/>
              </w:rPr>
              <w:t xml:space="preserve"> </w:t>
            </w:r>
            <w:r w:rsidRPr="002C1933">
              <w:rPr>
                <w:rFonts w:ascii="Verdana" w:eastAsia="Verdana" w:hAnsi="Verdana" w:cs="Verdana"/>
                <w:lang w:val="es-ES"/>
              </w:rPr>
              <w:t>se</w:t>
            </w:r>
            <w:r w:rsidRPr="002C1933">
              <w:rPr>
                <w:rFonts w:ascii="Verdana" w:eastAsia="Verdana" w:hAnsi="Verdana" w:cs="Verdana"/>
                <w:spacing w:val="-9"/>
                <w:lang w:val="es-ES"/>
              </w:rPr>
              <w:t xml:space="preserve"> </w:t>
            </w:r>
            <w:r w:rsidRPr="002C1933">
              <w:rPr>
                <w:rFonts w:ascii="Verdana" w:eastAsia="Verdana" w:hAnsi="Verdana" w:cs="Verdana"/>
                <w:lang w:val="es-ES"/>
              </w:rPr>
              <w:t>retira</w:t>
            </w:r>
            <w:r w:rsidRPr="002C1933">
              <w:rPr>
                <w:rFonts w:ascii="Verdana" w:eastAsia="Verdana" w:hAnsi="Verdana" w:cs="Verdana"/>
                <w:spacing w:val="-8"/>
                <w:lang w:val="es-ES"/>
              </w:rPr>
              <w:t xml:space="preserve"> </w:t>
            </w:r>
            <w:r w:rsidRPr="002C1933">
              <w:rPr>
                <w:rFonts w:ascii="Verdana" w:eastAsia="Verdana" w:hAnsi="Verdana" w:cs="Verdana"/>
                <w:lang w:val="es-ES"/>
              </w:rPr>
              <w:t>no</w:t>
            </w:r>
            <w:r w:rsidRPr="002C1933">
              <w:rPr>
                <w:rFonts w:ascii="Verdana" w:eastAsia="Verdana" w:hAnsi="Verdana" w:cs="Verdana"/>
                <w:spacing w:val="-9"/>
                <w:lang w:val="es-ES"/>
              </w:rPr>
              <w:t xml:space="preserve"> </w:t>
            </w:r>
            <w:r w:rsidRPr="002C1933">
              <w:rPr>
                <w:rFonts w:ascii="Verdana" w:eastAsia="Verdana" w:hAnsi="Verdana" w:cs="Verdana"/>
                <w:lang w:val="es-ES"/>
              </w:rPr>
              <w:t>deberá</w:t>
            </w:r>
            <w:r w:rsidRPr="002C1933">
              <w:rPr>
                <w:rFonts w:ascii="Verdana" w:eastAsia="Verdana" w:hAnsi="Verdana" w:cs="Verdana"/>
                <w:spacing w:val="-8"/>
                <w:lang w:val="es-ES"/>
              </w:rPr>
              <w:t xml:space="preserve"> </w:t>
            </w:r>
            <w:r w:rsidRPr="002C1933">
              <w:rPr>
                <w:rFonts w:ascii="Verdana" w:eastAsia="Verdana" w:hAnsi="Verdana" w:cs="Verdana"/>
                <w:lang w:val="es-ES"/>
              </w:rPr>
              <w:t>tenerse</w:t>
            </w:r>
            <w:r w:rsidRPr="002C1933">
              <w:rPr>
                <w:rFonts w:ascii="Verdana" w:eastAsia="Verdana" w:hAnsi="Verdana" w:cs="Verdana"/>
                <w:spacing w:val="-7"/>
                <w:lang w:val="es-ES"/>
              </w:rPr>
              <w:t xml:space="preserve"> </w:t>
            </w:r>
            <w:r w:rsidRPr="002C1933">
              <w:rPr>
                <w:rFonts w:ascii="Verdana" w:eastAsia="Verdana" w:hAnsi="Verdana" w:cs="Verdana"/>
                <w:lang w:val="es-ES"/>
              </w:rPr>
              <w:t>en</w:t>
            </w:r>
            <w:r w:rsidRPr="002C1933">
              <w:rPr>
                <w:rFonts w:ascii="Verdana" w:eastAsia="Verdana" w:hAnsi="Verdana" w:cs="Verdana"/>
                <w:spacing w:val="-9"/>
                <w:lang w:val="es-ES"/>
              </w:rPr>
              <w:t xml:space="preserve"> </w:t>
            </w:r>
            <w:r w:rsidRPr="002C1933">
              <w:rPr>
                <w:rFonts w:ascii="Verdana" w:eastAsia="Verdana" w:hAnsi="Verdana" w:cs="Verdana"/>
                <w:lang w:val="es-ES"/>
              </w:rPr>
              <w:t>cuenta</w:t>
            </w:r>
            <w:r w:rsidRPr="002C1933">
              <w:rPr>
                <w:rFonts w:ascii="Verdana" w:eastAsia="Verdana" w:hAnsi="Verdana" w:cs="Verdana"/>
                <w:spacing w:val="-8"/>
                <w:lang w:val="es-ES"/>
              </w:rPr>
              <w:t xml:space="preserve"> </w:t>
            </w:r>
            <w:r w:rsidRPr="002C1933">
              <w:rPr>
                <w:rFonts w:ascii="Verdana" w:eastAsia="Verdana" w:hAnsi="Verdana" w:cs="Verdana"/>
                <w:lang w:val="es-ES"/>
              </w:rPr>
              <w:t>por las</w:t>
            </w:r>
            <w:r w:rsidRPr="002C1933">
              <w:rPr>
                <w:rFonts w:ascii="Verdana" w:eastAsia="Verdana" w:hAnsi="Verdana" w:cs="Verdana"/>
                <w:spacing w:val="-13"/>
                <w:lang w:val="es-ES"/>
              </w:rPr>
              <w:t xml:space="preserve"> </w:t>
            </w:r>
            <w:r w:rsidRPr="002C1933">
              <w:rPr>
                <w:rFonts w:ascii="Verdana" w:eastAsia="Verdana" w:hAnsi="Verdana" w:cs="Verdana"/>
                <w:lang w:val="es-ES"/>
              </w:rPr>
              <w:t>Entidades</w:t>
            </w:r>
            <w:r w:rsidRPr="002C1933">
              <w:rPr>
                <w:rFonts w:ascii="Verdana" w:eastAsia="Verdana" w:hAnsi="Verdana" w:cs="Verdana"/>
                <w:spacing w:val="-12"/>
                <w:lang w:val="es-ES"/>
              </w:rPr>
              <w:t xml:space="preserve"> </w:t>
            </w:r>
            <w:r w:rsidRPr="002C1933">
              <w:rPr>
                <w:rFonts w:ascii="Verdana" w:eastAsia="Verdana" w:hAnsi="Verdana" w:cs="Verdana"/>
                <w:lang w:val="es-ES"/>
              </w:rPr>
              <w:t>Estatales,</w:t>
            </w:r>
            <w:r w:rsidRPr="002C1933">
              <w:rPr>
                <w:rFonts w:ascii="Verdana" w:eastAsia="Verdana" w:hAnsi="Verdana" w:cs="Verdana"/>
                <w:spacing w:val="-11"/>
                <w:lang w:val="es-ES"/>
              </w:rPr>
              <w:t xml:space="preserve"> </w:t>
            </w:r>
            <w:r w:rsidRPr="002C1933">
              <w:rPr>
                <w:rFonts w:ascii="Verdana" w:eastAsia="Verdana" w:hAnsi="Verdana" w:cs="Verdana"/>
                <w:lang w:val="es-ES"/>
              </w:rPr>
              <w:t>y</w:t>
            </w:r>
            <w:r w:rsidRPr="002C1933">
              <w:rPr>
                <w:rFonts w:ascii="Verdana" w:eastAsia="Verdana" w:hAnsi="Verdana" w:cs="Verdana"/>
                <w:spacing w:val="-14"/>
                <w:lang w:val="es-ES"/>
              </w:rPr>
              <w:t xml:space="preserve"> </w:t>
            </w:r>
            <w:r w:rsidRPr="002C1933">
              <w:rPr>
                <w:rFonts w:ascii="Verdana" w:eastAsia="Verdana" w:hAnsi="Verdana" w:cs="Verdana"/>
                <w:lang w:val="es-ES"/>
              </w:rPr>
              <w:t>no</w:t>
            </w:r>
            <w:r w:rsidRPr="002C1933">
              <w:rPr>
                <w:rFonts w:ascii="Verdana" w:eastAsia="Verdana" w:hAnsi="Verdana" w:cs="Verdana"/>
                <w:spacing w:val="-14"/>
                <w:lang w:val="es-ES"/>
              </w:rPr>
              <w:t xml:space="preserve"> </w:t>
            </w:r>
            <w:r w:rsidRPr="002C1933">
              <w:rPr>
                <w:rFonts w:ascii="Verdana" w:eastAsia="Verdana" w:hAnsi="Verdana" w:cs="Verdana"/>
                <w:lang w:val="es-ES"/>
              </w:rPr>
              <w:t>debería</w:t>
            </w:r>
            <w:r w:rsidRPr="002C1933">
              <w:rPr>
                <w:rFonts w:ascii="Verdana" w:eastAsia="Verdana" w:hAnsi="Verdana" w:cs="Verdana"/>
                <w:spacing w:val="-12"/>
                <w:lang w:val="es-ES"/>
              </w:rPr>
              <w:t xml:space="preserve"> </w:t>
            </w:r>
            <w:r w:rsidRPr="002C1933">
              <w:rPr>
                <w:rFonts w:ascii="Verdana" w:eastAsia="Verdana" w:hAnsi="Verdana" w:cs="Verdana"/>
                <w:lang w:val="es-ES"/>
              </w:rPr>
              <w:t>ser</w:t>
            </w:r>
            <w:r w:rsidRPr="002C1933">
              <w:rPr>
                <w:rFonts w:ascii="Verdana" w:eastAsia="Verdana" w:hAnsi="Verdana" w:cs="Verdana"/>
                <w:spacing w:val="-13"/>
                <w:lang w:val="es-ES"/>
              </w:rPr>
              <w:t xml:space="preserve"> </w:t>
            </w:r>
            <w:r w:rsidRPr="002C1933">
              <w:rPr>
                <w:rFonts w:ascii="Verdana" w:eastAsia="Verdana" w:hAnsi="Verdana" w:cs="Verdana"/>
                <w:lang w:val="es-ES"/>
              </w:rPr>
              <w:t>utilizada</w:t>
            </w:r>
            <w:r w:rsidRPr="002C1933">
              <w:rPr>
                <w:rFonts w:ascii="Verdana" w:eastAsia="Verdana" w:hAnsi="Verdana" w:cs="Verdana"/>
                <w:spacing w:val="-12"/>
                <w:lang w:val="es-ES"/>
              </w:rPr>
              <w:t xml:space="preserve"> </w:t>
            </w:r>
            <w:r w:rsidRPr="002C1933">
              <w:rPr>
                <w:rFonts w:ascii="Verdana" w:eastAsia="Verdana" w:hAnsi="Verdana" w:cs="Verdana"/>
                <w:lang w:val="es-ES"/>
              </w:rPr>
              <w:t>por</w:t>
            </w:r>
            <w:r w:rsidRPr="002C1933">
              <w:rPr>
                <w:rFonts w:ascii="Verdana" w:eastAsia="Verdana" w:hAnsi="Verdana" w:cs="Verdana"/>
                <w:spacing w:val="-13"/>
                <w:lang w:val="es-ES"/>
              </w:rPr>
              <w:t xml:space="preserve"> </w:t>
            </w:r>
            <w:r w:rsidRPr="002C1933">
              <w:rPr>
                <w:rFonts w:ascii="Verdana" w:eastAsia="Verdana" w:hAnsi="Verdana" w:cs="Verdana"/>
                <w:lang w:val="es-ES"/>
              </w:rPr>
              <w:t>el</w:t>
            </w:r>
            <w:r w:rsidRPr="002C1933">
              <w:rPr>
                <w:rFonts w:ascii="Verdana" w:eastAsia="Verdana" w:hAnsi="Verdana" w:cs="Verdana"/>
                <w:spacing w:val="-14"/>
                <w:lang w:val="es-ES"/>
              </w:rPr>
              <w:t xml:space="preserve"> </w:t>
            </w:r>
            <w:r w:rsidRPr="002C1933">
              <w:rPr>
                <w:rFonts w:ascii="Verdana" w:eastAsia="Verdana" w:hAnsi="Verdana" w:cs="Verdana"/>
                <w:lang w:val="es-ES"/>
              </w:rPr>
              <w:t>proponente</w:t>
            </w:r>
            <w:r w:rsidRPr="002C1933">
              <w:rPr>
                <w:rFonts w:ascii="Verdana" w:eastAsia="Verdana" w:hAnsi="Verdana" w:cs="Verdana"/>
                <w:spacing w:val="-11"/>
                <w:lang w:val="es-ES"/>
              </w:rPr>
              <w:t xml:space="preserve"> </w:t>
            </w:r>
            <w:r w:rsidRPr="002C1933">
              <w:rPr>
                <w:rFonts w:ascii="Verdana" w:eastAsia="Verdana" w:hAnsi="Verdana" w:cs="Verdana"/>
                <w:lang w:val="es-ES"/>
              </w:rPr>
              <w:t>en</w:t>
            </w:r>
            <w:r w:rsidRPr="002C1933">
              <w:rPr>
                <w:rFonts w:ascii="Verdana" w:eastAsia="Verdana" w:hAnsi="Verdana" w:cs="Verdana"/>
                <w:spacing w:val="-13"/>
                <w:lang w:val="es-ES"/>
              </w:rPr>
              <w:t xml:space="preserve"> </w:t>
            </w:r>
            <w:r w:rsidRPr="002C1933">
              <w:rPr>
                <w:rFonts w:ascii="Verdana" w:eastAsia="Verdana" w:hAnsi="Verdana" w:cs="Verdana"/>
                <w:lang w:val="es-ES"/>
              </w:rPr>
              <w:t>procesos de contratación, ya que es inherente a la persona que la ha obtenido.</w:t>
            </w:r>
          </w:p>
          <w:p w14:paraId="0C2F3C15" w14:textId="77777777" w:rsidR="002C1933" w:rsidRPr="002C1933" w:rsidRDefault="002C1933" w:rsidP="002C1933">
            <w:pPr>
              <w:spacing w:line="276" w:lineRule="auto"/>
              <w:jc w:val="both"/>
              <w:rPr>
                <w:rFonts w:ascii="Verdana" w:hAnsi="Verdana"/>
                <w:lang w:val="es-ES"/>
              </w:rPr>
            </w:pPr>
          </w:p>
          <w:p w14:paraId="0B20B3A3" w14:textId="77777777" w:rsidR="002C1933" w:rsidRPr="002C1933" w:rsidRDefault="002C1933" w:rsidP="002C1933">
            <w:pPr>
              <w:snapToGrid w:val="0"/>
              <w:spacing w:line="276" w:lineRule="auto"/>
              <w:contextualSpacing/>
              <w:jc w:val="both"/>
              <w:rPr>
                <w:rFonts w:ascii="Verdana" w:eastAsia="Calibri" w:hAnsi="Verdana" w:cs="Arial"/>
                <w:lang w:val="es-ES"/>
              </w:rPr>
            </w:pPr>
          </w:p>
        </w:tc>
      </w:tr>
    </w:tbl>
    <w:p w14:paraId="66138FA0" w14:textId="77777777" w:rsidR="002C1933" w:rsidRPr="002C1933" w:rsidRDefault="002C1933" w:rsidP="002C1933">
      <w:pPr>
        <w:tabs>
          <w:tab w:val="left" w:pos="142"/>
          <w:tab w:val="left" w:pos="284"/>
        </w:tabs>
        <w:spacing w:after="0" w:line="276" w:lineRule="auto"/>
        <w:jc w:val="both"/>
        <w:rPr>
          <w:rFonts w:ascii="Verdana" w:eastAsia="Century Gothic" w:hAnsi="Verdana" w:cs="Century Gothic"/>
          <w:b/>
          <w:bCs/>
        </w:rPr>
      </w:pPr>
    </w:p>
    <w:p w14:paraId="1779CA71" w14:textId="77777777" w:rsidR="002C1933" w:rsidRPr="002C1933" w:rsidRDefault="002C1933" w:rsidP="002C1933">
      <w:pPr>
        <w:tabs>
          <w:tab w:val="left" w:pos="142"/>
          <w:tab w:val="left" w:pos="284"/>
        </w:tabs>
        <w:spacing w:after="0" w:line="276" w:lineRule="auto"/>
        <w:jc w:val="both"/>
        <w:rPr>
          <w:rFonts w:ascii="Verdana" w:eastAsia="Century Gothic" w:hAnsi="Verdana" w:cs="Century Gothic"/>
          <w:b/>
          <w:bCs/>
        </w:rPr>
      </w:pPr>
      <w:r w:rsidRPr="002C1933">
        <w:rPr>
          <w:rFonts w:ascii="Verdana" w:eastAsia="Century Gothic" w:hAnsi="Verdana" w:cs="Century Gothic"/>
          <w:b/>
          <w:bCs/>
        </w:rPr>
        <w:t>3. Razones de la respuesta:</w:t>
      </w:r>
    </w:p>
    <w:p w14:paraId="36581CE1" w14:textId="77777777" w:rsidR="002C1933" w:rsidRPr="002C1933" w:rsidRDefault="002C1933" w:rsidP="002C1933">
      <w:pPr>
        <w:spacing w:after="0" w:line="276" w:lineRule="auto"/>
        <w:jc w:val="both"/>
        <w:rPr>
          <w:rFonts w:ascii="Verdana" w:eastAsia="Calibri" w:hAnsi="Verdana" w:cs="Arial"/>
        </w:rPr>
      </w:pPr>
    </w:p>
    <w:p w14:paraId="6D58B6AE" w14:textId="77777777" w:rsidR="002C1933" w:rsidRPr="002C1933" w:rsidRDefault="002C1933" w:rsidP="002C1933">
      <w:pPr>
        <w:spacing w:after="0" w:line="276" w:lineRule="auto"/>
        <w:jc w:val="both"/>
        <w:rPr>
          <w:rFonts w:ascii="Verdana" w:eastAsia="Calibri" w:hAnsi="Verdana" w:cs="Arial"/>
        </w:rPr>
      </w:pPr>
      <w:r w:rsidRPr="002C1933">
        <w:rPr>
          <w:rFonts w:ascii="Verdana" w:eastAsia="Calibri" w:hAnsi="Verdana" w:cs="Arial"/>
        </w:rPr>
        <w:t xml:space="preserve">Lo anterior se sustenta en las siguientes consideraciones: </w:t>
      </w:r>
    </w:p>
    <w:p w14:paraId="7F653455" w14:textId="77777777" w:rsidR="002C1933" w:rsidRPr="002C1933" w:rsidRDefault="002C1933" w:rsidP="002C1933">
      <w:pPr>
        <w:spacing w:after="0" w:line="276" w:lineRule="auto"/>
        <w:jc w:val="both"/>
        <w:rPr>
          <w:rFonts w:ascii="Verdana" w:eastAsia="Calibri" w:hAnsi="Verdana" w:cs="Arial"/>
        </w:rPr>
      </w:pPr>
    </w:p>
    <w:p w14:paraId="68959C49" w14:textId="77777777" w:rsidR="002C1933" w:rsidRDefault="002C1933" w:rsidP="002C1933">
      <w:pPr>
        <w:snapToGrid w:val="0"/>
        <w:spacing w:after="120" w:line="276" w:lineRule="auto"/>
        <w:contextualSpacing/>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El artículo 5 de la Ley 1150 de 2007 dispone que la capacidad jurídica y las condiciones de experiencia, capacidad financiera y organización de los proponentes serán objeto de verificación por parte de las Entidades Estatales como requisitos habilitantes para participar en los procesos de selección y no otorgarán puntaje. Lo anterior con excepción de la selección de consultores mediante un concurso de méritos, donde es posible otorgar puntaje al criterio de experiencia.</w:t>
      </w:r>
    </w:p>
    <w:p w14:paraId="5146EB85" w14:textId="77777777" w:rsidR="002C1933" w:rsidRPr="002C1933" w:rsidRDefault="002C1933" w:rsidP="002C1933">
      <w:pPr>
        <w:snapToGrid w:val="0"/>
        <w:spacing w:after="120" w:line="276" w:lineRule="auto"/>
        <w:contextualSpacing/>
        <w:jc w:val="both"/>
        <w:rPr>
          <w:rFonts w:ascii="Verdana" w:eastAsia="Calibri" w:hAnsi="Verdana" w:cs="Arial"/>
          <w:kern w:val="2"/>
          <w:lang w:val="es-ES"/>
          <w14:ligatures w14:val="standardContextual"/>
        </w:rPr>
      </w:pPr>
    </w:p>
    <w:p w14:paraId="4E997CA7"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 xml:space="preserve">Dentro de los principales requisitos habilitantes que se utilizan en los Procesos de Contratación se destaca la </w:t>
      </w:r>
      <w:r w:rsidRPr="002C1933">
        <w:rPr>
          <w:rFonts w:ascii="Verdana" w:eastAsia="Calibri" w:hAnsi="Verdana" w:cs="Arial"/>
          <w:i/>
          <w:kern w:val="2"/>
          <w:lang w:val="es-ES"/>
          <w14:ligatures w14:val="standardContextual"/>
        </w:rPr>
        <w:t>experiencia</w:t>
      </w:r>
      <w:r w:rsidRPr="002C1933">
        <w:rPr>
          <w:rFonts w:ascii="Verdana" w:eastAsia="Calibri" w:hAnsi="Verdana" w:cs="Arial"/>
          <w:kern w:val="2"/>
          <w:lang w:val="es-ES"/>
          <w14:ligatures w14:val="standardContextual"/>
        </w:rPr>
        <w:t xml:space="preserve">. Esta debe ser entendida como el conocimiento del proponente derivado de su participación previa en actividades iguales o similares a las previstas en el objeto del contrato con contratantes públicos, privados, nacionales o extranjeros. </w:t>
      </w:r>
    </w:p>
    <w:p w14:paraId="714FEE3A"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 xml:space="preserve">En el marco de la contratación pública, la experiencia del proponente se reviste de particular importancia, en la medida en que con ello se garantiza el conocimiento en el desarrollo, ejecución del objeto, obligaciones contractuales, sus riesgos, entre otras particularidades del futuro vinculo negocial. En cierto grado con esto se busca garantizar que no habrá improvisación ni mayores costos por errores o dificultades originadas en realizar una actividad por primera vez. </w:t>
      </w:r>
    </w:p>
    <w:p w14:paraId="227325ED"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Las Entidades Estatales contratantes, como responsables de la estructuración de los Procesos de Contratación, son autónomas para establecer los requisitos habilitantes de experiencia, de acuerdo con el estudio realizado en marco del análisis del sector</w:t>
      </w:r>
      <w:r w:rsidRPr="002C1933">
        <w:rPr>
          <w:rFonts w:ascii="Verdana" w:eastAsia="Calibri" w:hAnsi="Verdana" w:cs="Arial"/>
          <w:kern w:val="2"/>
          <w:vertAlign w:val="superscript"/>
          <w:lang w:val="es-ES"/>
          <w14:ligatures w14:val="standardContextual"/>
        </w:rPr>
        <w:footnoteReference w:id="1"/>
      </w:r>
      <w:r w:rsidRPr="002C1933">
        <w:rPr>
          <w:rFonts w:ascii="Verdana" w:eastAsia="Calibri" w:hAnsi="Verdana" w:cs="Arial"/>
          <w:kern w:val="2"/>
          <w:lang w:val="es-ES"/>
          <w14:ligatures w14:val="standardContextual"/>
        </w:rPr>
        <w:t xml:space="preserve">. </w:t>
      </w:r>
    </w:p>
    <w:p w14:paraId="3682BC81"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 xml:space="preserve">Por otra parte, el artículo 6 de la Ley 1150 de 2007 señala que todas las personas naturales o jurídicas, nacionales o extranjeras, domiciliadas o con sucursal en Colombia, que aspiren celebrar contratos con las Entidades deberán estar inscritas en el Registro Único de Proponentes – en el adelante RUP –. En dicho registro constará la información relacionada con la experiencia, capacidad jurídica, financiera y de organización del proponente y su clasificación. Frente al requisito habilitante de experiencia, en el “Manual para determinar y verificar requisitos habilitantes en los procesos de contratación” se define la experiencia </w:t>
      </w:r>
      <w:r w:rsidRPr="002C1933">
        <w:rPr>
          <w:rFonts w:ascii="Verdana" w:eastAsia="Calibri" w:hAnsi="Verdana" w:cs="Arial"/>
          <w:kern w:val="2"/>
          <w14:ligatures w14:val="standardContextual"/>
        </w:rPr>
        <w:lastRenderedPageBreak/>
        <w:t>como “el conocimiento del proponente derivado de su participación previa en actividades iguales o similares a las previstas en el objeto del contrato”.</w:t>
      </w:r>
    </w:p>
    <w:p w14:paraId="50867EAC"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Conforme lo expuesto, la experiencia que se deriva de los contratos que el proponente ha celebrado y ejecutado con diferentes contratantes, sin importar la naturaleza de estos, se verifica con el RUP</w:t>
      </w:r>
      <w:r w:rsidRPr="002C1933">
        <w:rPr>
          <w:rFonts w:ascii="Verdana" w:eastAsia="Calibri" w:hAnsi="Verdana" w:cs="Arial"/>
          <w:kern w:val="2"/>
          <w:vertAlign w:val="superscript"/>
          <w14:ligatures w14:val="standardContextual"/>
        </w:rPr>
        <w:footnoteReference w:id="2"/>
      </w:r>
      <w:r w:rsidRPr="002C1933">
        <w:rPr>
          <w:rFonts w:ascii="Verdana" w:eastAsia="Calibri" w:hAnsi="Verdana" w:cs="Arial"/>
          <w:kern w:val="2"/>
          <w14:ligatures w14:val="standardContextual"/>
        </w:rPr>
        <w:t>, cuando este certificado sea exigible de acuerdo con la ley. En este registro constan los requisitos habilitantes que se evalúan exclusivamente con este documento, que es plena prueba, sin que la Entidad o el proponente puedan solicitar o aportar otra documentación</w:t>
      </w:r>
      <w:r w:rsidRPr="002C1933">
        <w:rPr>
          <w:rFonts w:ascii="Verdana" w:eastAsia="Calibri" w:hAnsi="Verdana" w:cs="Arial"/>
          <w:kern w:val="2"/>
          <w:vertAlign w:val="superscript"/>
          <w14:ligatures w14:val="standardContextual"/>
        </w:rPr>
        <w:footnoteReference w:id="3"/>
      </w:r>
      <w:r w:rsidRPr="002C1933">
        <w:rPr>
          <w:rFonts w:ascii="Verdana" w:eastAsia="Calibri" w:hAnsi="Verdana" w:cs="Arial"/>
          <w:kern w:val="2"/>
          <w14:ligatures w14:val="standardContextual"/>
        </w:rPr>
        <w:t>.</w:t>
      </w:r>
    </w:p>
    <w:p w14:paraId="52B67635"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w:t>
      </w:r>
    </w:p>
    <w:p w14:paraId="3CE1B468"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El numeral 2.1 del artículo 2.2.1.1.1.5.2 del Decreto 1082 de 2015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2C1933">
        <w:rPr>
          <w:rFonts w:ascii="Verdana" w:eastAsia="Calibri" w:hAnsi="Verdana" w:cs="Arial"/>
          <w:kern w:val="2"/>
          <w:vertAlign w:val="superscript"/>
          <w14:ligatures w14:val="standardContextual"/>
        </w:rPr>
        <w:footnoteReference w:id="4"/>
      </w:r>
      <w:r w:rsidRPr="002C1933">
        <w:rPr>
          <w:rFonts w:ascii="Verdana" w:eastAsia="Calibri" w:hAnsi="Verdana" w:cs="Arial"/>
          <w:kern w:val="2"/>
          <w14:ligatures w14:val="standardContextual"/>
        </w:rPr>
        <w:t xml:space="preserve">. </w:t>
      </w:r>
    </w:p>
    <w:p w14:paraId="39D2DBDD"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lastRenderedPageBreak/>
        <w:t xml:space="preserve">De la misma forma, el numeral 2.5. </w:t>
      </w:r>
      <w:r w:rsidRPr="002C1933">
        <w:rPr>
          <w:rFonts w:ascii="Verdana" w:eastAsia="Calibri" w:hAnsi="Verdana" w:cs="Arial"/>
          <w:i/>
          <w:iCs/>
          <w:kern w:val="2"/>
          <w14:ligatures w14:val="standardContextual"/>
        </w:rPr>
        <w:t>ibidem</w:t>
      </w:r>
      <w:r w:rsidRPr="002C1933">
        <w:rPr>
          <w:rFonts w:ascii="Verdana" w:eastAsia="Calibri" w:hAnsi="Verdana" w:cs="Arial"/>
          <w:kern w:val="2"/>
          <w14:ligatures w14:val="standardContextual"/>
        </w:rPr>
        <w:t xml:space="preserve">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002C1933">
        <w:rPr>
          <w:rFonts w:ascii="Verdana" w:eastAsia="Calibri" w:hAnsi="Verdana" w:cs="Arial"/>
          <w:kern w:val="2"/>
          <w:vertAlign w:val="superscript"/>
          <w14:ligatures w14:val="standardContextual"/>
        </w:rPr>
        <w:footnoteReference w:id="5"/>
      </w:r>
      <w:r w:rsidRPr="002C1933">
        <w:rPr>
          <w:rFonts w:ascii="Verdana" w:eastAsia="Calibri" w:hAnsi="Verdana" w:cs="Arial"/>
          <w:kern w:val="2"/>
          <w14:ligatures w14:val="standardContextual"/>
        </w:rPr>
        <w:t xml:space="preserve">. El interesado debe indicar en cada certificado, o en cada copia de los contratos, los bienes, obras y servicios a los cuales corresponde la experiencia que pretende acreditar, identificándolos con el Clasificador de Bienes y Servicios, en el tercer nivel. </w:t>
      </w:r>
    </w:p>
    <w:p w14:paraId="69497E35"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La parte final de ese numeral 2.5. indica que “Si la constitución del interesado es menor a tres (3) años, puede acreditar la experiencia de sus accionistas, socios o constituyentes”. 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entendiendo por supuesto que deben ostentar tal calidad al momento en que pretendan hacer uso de dicha facultad de acreditación de experiencia.</w:t>
      </w:r>
    </w:p>
    <w:p w14:paraId="437B97B0"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 xml:space="preserve">A pesar de que la experiencia es inherente a la persona que la ha obtenido, razón por la cual es, en principio, intransferible en virtud de su carácter personalísimo, por disposición legal o reglamentaria, casos excepcionales, como el descrito en el artículo mencionado, se aplica de otra manera. La finalidad de </w:t>
      </w:r>
      <w:r w:rsidRPr="002C1933">
        <w:rPr>
          <w:rFonts w:ascii="Verdana" w:eastAsia="Calibri" w:hAnsi="Verdana" w:cs="Arial"/>
          <w:kern w:val="2"/>
          <w14:ligatures w14:val="standardContextual"/>
        </w:rPr>
        <w:lastRenderedPageBreak/>
        <w:t xml:space="preserve">esta norma es permitir que las sociedades que no cuentan con la experiencia suficiente para contratar con el Estado puedan apoyarse en la experiencia de sus accionistas, socios o constituyentes con el fin de incentivar la competencia en la contratación estatal. </w:t>
      </w:r>
    </w:p>
    <w:p w14:paraId="77770C02"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Así las cosas, el socio transfiere la experiencia adquirida directamente a la sociedad de la que es parte, para que esta, como persona jurídica independiente, pueda cumplir con los requisitos habilitantes o puntuales que establezcan las Entidades Estatales en sus procesos de contratación, de esta forma promover el desarrollo de la empresa, la pluralidad de oferentes en la contratación pública y, por supuesto, que dicha experiencia transferida a la persona jurídica proponente va a garantizar en un momento dado, el cumplimiento del objeto y obligaciones contractuales.</w:t>
      </w:r>
    </w:p>
    <w:p w14:paraId="2D149719" w14:textId="77777777" w:rsidR="002C1933" w:rsidRPr="002C1933" w:rsidRDefault="002C1933" w:rsidP="002C1933">
      <w:pPr>
        <w:snapToGrid w:val="0"/>
        <w:spacing w:after="120" w:line="276" w:lineRule="auto"/>
        <w:ind w:firstLine="708"/>
        <w:jc w:val="both"/>
        <w:rPr>
          <w:rFonts w:ascii="Verdana" w:eastAsia="Calibri" w:hAnsi="Verdana" w:cs="Arial"/>
          <w:kern w:val="2"/>
          <w:lang w:val="es-MX"/>
          <w14:ligatures w14:val="standardContextual"/>
        </w:rPr>
      </w:pPr>
      <w:r w:rsidRPr="002C1933">
        <w:rPr>
          <w:rFonts w:ascii="Verdana" w:eastAsia="Calibri" w:hAnsi="Verdana" w:cs="Arial"/>
          <w:kern w:val="2"/>
          <w:lang w:val="es-MX"/>
          <w14:ligatures w14:val="standardContextual"/>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w:t>
      </w:r>
    </w:p>
    <w:p w14:paraId="09F562FE" w14:textId="77777777" w:rsidR="002C1933" w:rsidRPr="002C1933" w:rsidRDefault="002C1933" w:rsidP="002C1933">
      <w:pPr>
        <w:snapToGrid w:val="0"/>
        <w:spacing w:after="120" w:line="276" w:lineRule="auto"/>
        <w:ind w:firstLine="708"/>
        <w:jc w:val="both"/>
        <w:rPr>
          <w:rFonts w:ascii="Verdana" w:eastAsia="Calibri" w:hAnsi="Verdana" w:cs="Arial"/>
          <w:kern w:val="2"/>
          <w:lang w:val="es-MX"/>
          <w14:ligatures w14:val="standardContextual"/>
        </w:rPr>
      </w:pPr>
      <w:r w:rsidRPr="002C1933">
        <w:rPr>
          <w:rFonts w:ascii="Verdana" w:eastAsia="Calibri" w:hAnsi="Verdana" w:cs="Arial"/>
          <w:kern w:val="2"/>
          <w:lang w:val="es-MX"/>
          <w14:ligatures w14:val="standardContextual"/>
        </w:rPr>
        <w:t>Esta interpretación, además, se impone en atención al fin de evitar prácticas corruptas o que atenten contra la transparencia en la contratación estatal, por lo que la experiencia aportada por quien se retira no deberá tenerse en cuenta por las Entidades Estatales, y no debería ser utilizada por el proponente en procesos de contratación, ya que es inherente a la persona que la ha obtenido.</w:t>
      </w:r>
    </w:p>
    <w:p w14:paraId="25E353A3" w14:textId="77777777" w:rsidR="002C1933" w:rsidRPr="002C1933" w:rsidRDefault="002C1933" w:rsidP="002C1933">
      <w:pPr>
        <w:snapToGrid w:val="0"/>
        <w:spacing w:after="120" w:line="276" w:lineRule="auto"/>
        <w:ind w:firstLine="708"/>
        <w:jc w:val="both"/>
        <w:rPr>
          <w:rFonts w:ascii="Verdana" w:eastAsia="Calibri" w:hAnsi="Verdana" w:cs="Arial"/>
          <w:kern w:val="2"/>
          <w:lang w:val="es-MX"/>
          <w14:ligatures w14:val="standardContextual"/>
        </w:rPr>
      </w:pPr>
      <w:r w:rsidRPr="002C1933">
        <w:rPr>
          <w:rFonts w:ascii="Verdana" w:eastAsia="Calibri" w:hAnsi="Verdana" w:cs="Arial"/>
          <w:kern w:val="2"/>
          <w:lang w:val="es-MX"/>
          <w14:ligatures w14:val="standardContextual"/>
        </w:rPr>
        <w:t>En ese contexto, si el socio se retira de la sociedad por venta o cesión de su participación accionaria, no puede vender o ceder su experiencia para que el adquirente o cesionario de la participación accionaria la aporte a la sociedad. En consecuencia, el proponente debería actualizar la experiencia en el RUP, actuando de buena fe en el Proceso de Contratación.</w:t>
      </w:r>
    </w:p>
    <w:p w14:paraId="1D0C51E2"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Finalmente, es imperativo que la sociedad mantenga actualizada la información registrada en el RUP, incluyendo los cambios en su composición societaria, ya que el requisito normativo en cuestión se fundamenta en que los socios aporten su experiencia mientras conserven tal calidad.</w:t>
      </w:r>
    </w:p>
    <w:p w14:paraId="7CAE1162"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bookmarkStart w:id="1" w:name="_Hlk67496603"/>
      <w:r w:rsidRPr="002C1933">
        <w:rPr>
          <w:rFonts w:ascii="Verdana" w:eastAsia="Calibri" w:hAnsi="Verdana" w:cs="Arial"/>
          <w:kern w:val="2"/>
          <w14:ligatures w14:val="standardContextual"/>
        </w:rPr>
        <w:lastRenderedPageBreak/>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bookmarkEnd w:id="1"/>
    </w:p>
    <w:p w14:paraId="3CDDC4FA"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 xml:space="preserve">Ahora bien, no debe perderse de vista que el Decreto 1082 de 2015 solo permite que una sociedad acredite la experiencia de quienes tienen la calidad de accionistas, socios o constituyentes durante los primeros tres años de su constitución, sin establecer alguna exigencia o precisar condiciones diferentes respecto del tipo de persona (natural o jurídica) que ostente la calidad de accionistas, socios o constituyentes. </w:t>
      </w:r>
    </w:p>
    <w:p w14:paraId="22DA85B6" w14:textId="77777777" w:rsidR="002C1933" w:rsidRPr="002C1933" w:rsidRDefault="002C1933" w:rsidP="002C1933">
      <w:pPr>
        <w:snapToGrid w:val="0"/>
        <w:spacing w:after="120" w:line="276" w:lineRule="auto"/>
        <w:ind w:firstLine="708"/>
        <w:jc w:val="both"/>
        <w:rPr>
          <w:rFonts w:ascii="Verdana" w:eastAsia="Calibri" w:hAnsi="Verdana" w:cs="Arial"/>
          <w:kern w:val="2"/>
          <w14:ligatures w14:val="standardContextual"/>
        </w:rPr>
      </w:pPr>
      <w:r w:rsidRPr="002C1933">
        <w:rPr>
          <w:rFonts w:ascii="Verdana" w:eastAsia="Calibri" w:hAnsi="Verdana" w:cs="Arial"/>
          <w:kern w:val="2"/>
          <w14:ligatures w14:val="standardContextual"/>
        </w:rPr>
        <w:t>Por tanto, por un lado, si se carece o se pierden estas calidades, como sucedería cuando un socio se retira por venta o cesión de su participación y pierde su calidad de socio, ya no sería posible que la sociedad acredite la experiencia aportada por dicha persona. Y, por otro lado, quienes ostenten la calidad de accionistas, socios o constituyentes, pueden a su vez ser personas naturales o jurídicas.</w:t>
      </w:r>
    </w:p>
    <w:p w14:paraId="34485742"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14:ligatures w14:val="standardContextual"/>
        </w:rPr>
        <w:t>En línea con lo anterior, bajo el amparo del principio del derecho que cita: “donde la ley no distingue no le es dado al interprete hacerlo”, el cual se encuentra avalado por vía jurisprudencial en la Sentencia C-317 de 2012 de la Corte Constitucional; es válido señalar que, como la reglamentación no contempla restricción alguna respecto de si el socio del cual se obtiene la experiencia es persona natural o jurídica, la Subdirección considera válida la acreditación de dicha experiencia si el socio es persona jurídica, siempre que se cumplan con las condiciones señaladas, de manera que se garantice la pluralidad de los oferentes en los procesos de contratación.</w:t>
      </w:r>
    </w:p>
    <w:p w14:paraId="56484509"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 xml:space="preserve">De la misma forma, lo anterior no obsta para que se adopte una aplicación extensiva o analógica para los procesos de selección en los que no sea obligatorio la inscripción en el RUP, en virtud del principio de igualdad de trato en la contratación pública, pues no se observa ningún criterio de distinción que justifique que en un caso se les tenga en cuenta la experiencia de los socios y en otros casos no, habida cuenta que las personas jurídicas con menos de 3 años </w:t>
      </w:r>
      <w:r w:rsidRPr="002C1933">
        <w:rPr>
          <w:rFonts w:ascii="Verdana" w:eastAsia="Calibri" w:hAnsi="Verdana" w:cs="Arial"/>
          <w:kern w:val="2"/>
          <w:lang w:val="es-ES"/>
          <w14:ligatures w14:val="standardContextual"/>
        </w:rPr>
        <w:lastRenderedPageBreak/>
        <w:t>de constitución inscritas en el RUP son esencialmente iguales a las que no tienen dicho registro.</w:t>
      </w:r>
    </w:p>
    <w:p w14:paraId="2D8D3DBE" w14:textId="77777777" w:rsidR="002C1933" w:rsidRPr="002C1933" w:rsidRDefault="002C1933" w:rsidP="002C1933">
      <w:pPr>
        <w:tabs>
          <w:tab w:val="left" w:pos="0"/>
        </w:tabs>
        <w:snapToGrid w:val="0"/>
        <w:spacing w:after="120" w:line="276" w:lineRule="auto"/>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ab/>
        <w:t xml:space="preserve">Así las cosas, frente a la acreditación de la experiencia de los socios, accionistas o constituyentes de una persona jurídica con menos de 3 años de constitución, para participar en los eventos exceptuados al deber de inscripción en el RUP, como los procesos de selección de mínima cuantía o la contratación directa, la entidad contratante, en virtud de su autonomía, cuenta con la discreción de adoptar dos alternativas: i) aplicar el numeral 2.5 del artículo 2.2.1.1.1.5.2 del Decreto 1082 de 2015 de manera restrictiva, es decir, solo para los eventos de personas jurídicas con menos de 3 años de constitución que se inscriban en el RUP o, en su defecto; </w:t>
      </w:r>
      <w:proofErr w:type="spellStart"/>
      <w:r w:rsidRPr="002C1933">
        <w:rPr>
          <w:rFonts w:ascii="Verdana" w:eastAsia="Calibri" w:hAnsi="Verdana" w:cs="Arial"/>
          <w:kern w:val="2"/>
          <w:lang w:val="es-ES"/>
          <w14:ligatures w14:val="standardContextual"/>
        </w:rPr>
        <w:t>ii</w:t>
      </w:r>
      <w:proofErr w:type="spellEnd"/>
      <w:r w:rsidRPr="002C1933">
        <w:rPr>
          <w:rFonts w:ascii="Verdana" w:eastAsia="Calibri" w:hAnsi="Verdana" w:cs="Arial"/>
          <w:kern w:val="2"/>
          <w:lang w:val="es-ES"/>
          <w14:ligatures w14:val="standardContextual"/>
        </w:rPr>
        <w:t>) hacer una aplicación extensiva o analógica de esta norma, y determinar en los pliegos de condiciones que estas personas jurídicas, por virtud de los eventos exceptuados por el segundo inciso del artículo 6 de la Ley 1150 de 2007, no están obligadas a inscribirse en el RUP y no lo han hecho, puedan acreditar la experiencia de sus socios, accionistas y constituyentes si tiene menos de 3 años de constitución.</w:t>
      </w:r>
    </w:p>
    <w:p w14:paraId="1E8662D7"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La Subdirección de Gestión Contractual considera que la segunda alternativa es la más adecuada, toda vez que protege el principio de igualdad de trato que rige la contratación de las entidades estatales y materializa el fin de protección de la norma, que es promover el desarrollo de la pequeña empresa y la pluralidad de oferentes.</w:t>
      </w:r>
    </w:p>
    <w:p w14:paraId="248A8A27" w14:textId="77777777" w:rsidR="002C1933" w:rsidRPr="002C1933" w:rsidRDefault="002C1933" w:rsidP="002C1933">
      <w:pPr>
        <w:spacing w:before="158" w:line="276" w:lineRule="auto"/>
        <w:ind w:right="49" w:firstLine="708"/>
        <w:jc w:val="both"/>
        <w:rPr>
          <w:rFonts w:ascii="Verdana" w:hAnsi="Verdana"/>
        </w:rPr>
      </w:pPr>
      <w:r w:rsidRPr="002C1933">
        <w:rPr>
          <w:rFonts w:ascii="Verdana" w:hAnsi="Verdana"/>
        </w:rPr>
        <w:t>Ahora</w:t>
      </w:r>
      <w:r w:rsidRPr="002C1933">
        <w:rPr>
          <w:rFonts w:ascii="Verdana" w:hAnsi="Verdana"/>
          <w:spacing w:val="-20"/>
        </w:rPr>
        <w:t xml:space="preserve"> </w:t>
      </w:r>
      <w:r w:rsidRPr="002C1933">
        <w:rPr>
          <w:rFonts w:ascii="Verdana" w:hAnsi="Verdana"/>
        </w:rPr>
        <w:t>bien,</w:t>
      </w:r>
      <w:r w:rsidRPr="002C1933">
        <w:rPr>
          <w:rFonts w:ascii="Verdana" w:hAnsi="Verdana"/>
          <w:spacing w:val="-19"/>
        </w:rPr>
        <w:t xml:space="preserve"> </w:t>
      </w:r>
      <w:r w:rsidRPr="002C1933">
        <w:rPr>
          <w:rFonts w:ascii="Verdana" w:hAnsi="Verdana"/>
        </w:rPr>
        <w:t>en</w:t>
      </w:r>
      <w:r w:rsidRPr="002C1933">
        <w:rPr>
          <w:rFonts w:ascii="Verdana" w:hAnsi="Verdana"/>
          <w:spacing w:val="-19"/>
        </w:rPr>
        <w:t xml:space="preserve"> </w:t>
      </w:r>
      <w:r w:rsidRPr="002C1933">
        <w:rPr>
          <w:rFonts w:ascii="Verdana" w:hAnsi="Verdana"/>
        </w:rPr>
        <w:t>principio</w:t>
      </w:r>
      <w:r w:rsidRPr="002C1933">
        <w:rPr>
          <w:rFonts w:ascii="Verdana" w:hAnsi="Verdana"/>
          <w:spacing w:val="-20"/>
        </w:rPr>
        <w:t xml:space="preserve"> </w:t>
      </w:r>
      <w:r w:rsidRPr="002C1933">
        <w:rPr>
          <w:rFonts w:ascii="Verdana" w:hAnsi="Verdana"/>
        </w:rPr>
        <w:t>las</w:t>
      </w:r>
      <w:r w:rsidRPr="002C1933">
        <w:rPr>
          <w:rFonts w:ascii="Verdana" w:hAnsi="Verdana"/>
          <w:spacing w:val="-19"/>
        </w:rPr>
        <w:t xml:space="preserve"> </w:t>
      </w:r>
      <w:r w:rsidRPr="002C1933">
        <w:rPr>
          <w:rFonts w:ascii="Verdana" w:hAnsi="Verdana"/>
        </w:rPr>
        <w:t>sociedades</w:t>
      </w:r>
      <w:r w:rsidRPr="002C1933">
        <w:rPr>
          <w:rFonts w:ascii="Verdana" w:hAnsi="Verdana"/>
          <w:spacing w:val="-20"/>
        </w:rPr>
        <w:t xml:space="preserve"> </w:t>
      </w:r>
      <w:r w:rsidRPr="002C1933">
        <w:rPr>
          <w:rFonts w:ascii="Verdana" w:hAnsi="Verdana"/>
        </w:rPr>
        <w:t>comerciales</w:t>
      </w:r>
      <w:r w:rsidRPr="002C1933">
        <w:rPr>
          <w:rFonts w:ascii="Verdana" w:hAnsi="Verdana"/>
          <w:spacing w:val="-19"/>
        </w:rPr>
        <w:t xml:space="preserve"> </w:t>
      </w:r>
      <w:r w:rsidRPr="002C1933">
        <w:rPr>
          <w:rFonts w:ascii="Verdana" w:hAnsi="Verdana"/>
        </w:rPr>
        <w:t>surgen</w:t>
      </w:r>
      <w:r w:rsidRPr="002C1933">
        <w:rPr>
          <w:rFonts w:ascii="Verdana" w:hAnsi="Verdana"/>
          <w:spacing w:val="-19"/>
        </w:rPr>
        <w:t xml:space="preserve"> </w:t>
      </w:r>
      <w:r w:rsidRPr="002C1933">
        <w:rPr>
          <w:rFonts w:ascii="Verdana" w:hAnsi="Verdana"/>
        </w:rPr>
        <w:t>de</w:t>
      </w:r>
      <w:r w:rsidRPr="002C1933">
        <w:rPr>
          <w:rFonts w:ascii="Verdana" w:hAnsi="Verdana"/>
          <w:spacing w:val="-20"/>
        </w:rPr>
        <w:t xml:space="preserve"> </w:t>
      </w:r>
      <w:r w:rsidRPr="002C1933">
        <w:rPr>
          <w:rFonts w:ascii="Verdana" w:hAnsi="Verdana"/>
        </w:rPr>
        <w:t>un</w:t>
      </w:r>
      <w:r w:rsidRPr="002C1933">
        <w:rPr>
          <w:rFonts w:ascii="Verdana" w:hAnsi="Verdana"/>
          <w:spacing w:val="-19"/>
        </w:rPr>
        <w:t xml:space="preserve"> </w:t>
      </w:r>
      <w:r w:rsidRPr="002C1933">
        <w:rPr>
          <w:rFonts w:ascii="Verdana" w:hAnsi="Verdana"/>
        </w:rPr>
        <w:t>contrato de sociedad en el que dos o más personas expresan su voluntad de obligarse haciendo un aporte en bienes, dinero o trabajo</w:t>
      </w:r>
      <w:r w:rsidRPr="002C1933">
        <w:rPr>
          <w:rFonts w:ascii="Verdana" w:hAnsi="Verdana"/>
          <w:vertAlign w:val="superscript"/>
        </w:rPr>
        <w:t>8</w:t>
      </w:r>
      <w:r w:rsidRPr="002C1933">
        <w:rPr>
          <w:rFonts w:ascii="Verdana" w:hAnsi="Verdana"/>
        </w:rPr>
        <w:t>. Estas pueden ser constituidas tanto por personas naturales como personas jurídicas</w:t>
      </w:r>
      <w:r w:rsidRPr="002C1933">
        <w:rPr>
          <w:rFonts w:ascii="Verdana" w:hAnsi="Verdana"/>
          <w:vertAlign w:val="superscript"/>
        </w:rPr>
        <w:t>9</w:t>
      </w:r>
      <w:r w:rsidRPr="002C1933">
        <w:rPr>
          <w:rFonts w:ascii="Verdana" w:hAnsi="Verdana"/>
        </w:rPr>
        <w:t>, cuyos datos como nombre y domicilio deben consignarse en la escritura pública, aunando la nacionalidad y el documento de identificación para las personas naturales y el documento</w:t>
      </w:r>
      <w:r w:rsidRPr="002C1933">
        <w:rPr>
          <w:rFonts w:ascii="Verdana" w:hAnsi="Verdana"/>
          <w:spacing w:val="-20"/>
        </w:rPr>
        <w:t xml:space="preserve"> </w:t>
      </w:r>
      <w:r w:rsidRPr="002C1933">
        <w:rPr>
          <w:rFonts w:ascii="Verdana" w:hAnsi="Verdana"/>
        </w:rPr>
        <w:t>del</w:t>
      </w:r>
      <w:r w:rsidRPr="002C1933">
        <w:rPr>
          <w:rFonts w:ascii="Verdana" w:hAnsi="Verdana"/>
          <w:spacing w:val="-19"/>
        </w:rPr>
        <w:t xml:space="preserve"> </w:t>
      </w:r>
      <w:r w:rsidRPr="002C1933">
        <w:rPr>
          <w:rFonts w:ascii="Verdana" w:hAnsi="Verdana"/>
        </w:rPr>
        <w:t>que</w:t>
      </w:r>
      <w:r w:rsidRPr="002C1933">
        <w:rPr>
          <w:rFonts w:ascii="Verdana" w:hAnsi="Verdana"/>
          <w:spacing w:val="-19"/>
        </w:rPr>
        <w:t xml:space="preserve"> </w:t>
      </w:r>
      <w:r w:rsidRPr="002C1933">
        <w:rPr>
          <w:rFonts w:ascii="Verdana" w:hAnsi="Verdana"/>
        </w:rPr>
        <w:t>deriva</w:t>
      </w:r>
      <w:r w:rsidRPr="002C1933">
        <w:rPr>
          <w:rFonts w:ascii="Verdana" w:hAnsi="Verdana"/>
          <w:spacing w:val="-20"/>
        </w:rPr>
        <w:t xml:space="preserve"> </w:t>
      </w:r>
      <w:r w:rsidRPr="002C1933">
        <w:rPr>
          <w:rFonts w:ascii="Verdana" w:hAnsi="Verdana"/>
        </w:rPr>
        <w:t>la</w:t>
      </w:r>
      <w:r w:rsidRPr="002C1933">
        <w:rPr>
          <w:rFonts w:ascii="Verdana" w:hAnsi="Verdana"/>
          <w:spacing w:val="-19"/>
        </w:rPr>
        <w:t xml:space="preserve"> </w:t>
      </w:r>
      <w:r w:rsidRPr="002C1933">
        <w:rPr>
          <w:rFonts w:ascii="Verdana" w:hAnsi="Verdana"/>
        </w:rPr>
        <w:t>existencia</w:t>
      </w:r>
      <w:r w:rsidRPr="002C1933">
        <w:rPr>
          <w:rFonts w:ascii="Verdana" w:hAnsi="Verdana"/>
          <w:spacing w:val="-20"/>
        </w:rPr>
        <w:t xml:space="preserve"> </w:t>
      </w:r>
      <w:r w:rsidRPr="002C1933">
        <w:rPr>
          <w:rFonts w:ascii="Verdana" w:hAnsi="Verdana"/>
        </w:rPr>
        <w:t>para</w:t>
      </w:r>
      <w:r w:rsidRPr="002C1933">
        <w:rPr>
          <w:rFonts w:ascii="Verdana" w:hAnsi="Verdana"/>
          <w:spacing w:val="-19"/>
        </w:rPr>
        <w:t xml:space="preserve"> </w:t>
      </w:r>
      <w:r w:rsidRPr="002C1933">
        <w:rPr>
          <w:rFonts w:ascii="Verdana" w:hAnsi="Verdana"/>
        </w:rPr>
        <w:t>la</w:t>
      </w:r>
      <w:r w:rsidRPr="002C1933">
        <w:rPr>
          <w:rFonts w:ascii="Verdana" w:hAnsi="Verdana"/>
          <w:spacing w:val="-19"/>
        </w:rPr>
        <w:t xml:space="preserve"> </w:t>
      </w:r>
      <w:r w:rsidRPr="002C1933">
        <w:rPr>
          <w:rFonts w:ascii="Verdana" w:hAnsi="Verdana"/>
        </w:rPr>
        <w:t>persona</w:t>
      </w:r>
      <w:r w:rsidRPr="002C1933">
        <w:rPr>
          <w:rFonts w:ascii="Verdana" w:hAnsi="Verdana"/>
          <w:spacing w:val="-20"/>
        </w:rPr>
        <w:t xml:space="preserve"> </w:t>
      </w:r>
      <w:r w:rsidRPr="002C1933">
        <w:rPr>
          <w:rFonts w:ascii="Verdana" w:hAnsi="Verdana"/>
        </w:rPr>
        <w:t>jurídica.</w:t>
      </w:r>
      <w:r w:rsidRPr="002C1933">
        <w:rPr>
          <w:rFonts w:ascii="Verdana" w:hAnsi="Verdana"/>
          <w:spacing w:val="27"/>
        </w:rPr>
        <w:t xml:space="preserve"> </w:t>
      </w:r>
      <w:r w:rsidRPr="002C1933">
        <w:rPr>
          <w:rFonts w:ascii="Verdana" w:hAnsi="Verdana"/>
        </w:rPr>
        <w:t>Adicionalmente, para la sociedad por acciones simplificadas, la norma especial expresamente dispone</w:t>
      </w:r>
      <w:r w:rsidRPr="002C1933">
        <w:rPr>
          <w:rFonts w:ascii="Verdana" w:hAnsi="Verdana"/>
          <w:spacing w:val="-5"/>
        </w:rPr>
        <w:t xml:space="preserve"> </w:t>
      </w:r>
      <w:r w:rsidRPr="002C1933">
        <w:rPr>
          <w:rFonts w:ascii="Verdana" w:hAnsi="Verdana"/>
        </w:rPr>
        <w:t>que</w:t>
      </w:r>
      <w:r w:rsidRPr="002C1933">
        <w:rPr>
          <w:rFonts w:ascii="Verdana" w:hAnsi="Verdana"/>
          <w:spacing w:val="-7"/>
        </w:rPr>
        <w:t xml:space="preserve"> </w:t>
      </w:r>
      <w:r w:rsidRPr="002C1933">
        <w:rPr>
          <w:rFonts w:ascii="Verdana" w:hAnsi="Verdana"/>
        </w:rPr>
        <w:t>“</w:t>
      </w:r>
      <w:r w:rsidRPr="002C1933">
        <w:rPr>
          <w:rFonts w:ascii="Verdana" w:hAnsi="Verdana"/>
          <w:i/>
        </w:rPr>
        <w:t>podrá</w:t>
      </w:r>
      <w:r w:rsidRPr="002C1933">
        <w:rPr>
          <w:rFonts w:ascii="Verdana" w:hAnsi="Verdana"/>
          <w:i/>
          <w:spacing w:val="-6"/>
        </w:rPr>
        <w:t xml:space="preserve"> </w:t>
      </w:r>
      <w:r w:rsidRPr="002C1933">
        <w:rPr>
          <w:rFonts w:ascii="Verdana" w:hAnsi="Verdana"/>
          <w:i/>
        </w:rPr>
        <w:t>constituirse</w:t>
      </w:r>
      <w:r w:rsidRPr="002C1933">
        <w:rPr>
          <w:rFonts w:ascii="Verdana" w:hAnsi="Verdana"/>
          <w:i/>
          <w:spacing w:val="-3"/>
        </w:rPr>
        <w:t xml:space="preserve"> </w:t>
      </w:r>
      <w:r w:rsidRPr="002C1933">
        <w:rPr>
          <w:rFonts w:ascii="Verdana" w:hAnsi="Verdana"/>
          <w:i/>
        </w:rPr>
        <w:t>por</w:t>
      </w:r>
      <w:r w:rsidRPr="002C1933">
        <w:rPr>
          <w:rFonts w:ascii="Verdana" w:hAnsi="Verdana"/>
          <w:i/>
          <w:spacing w:val="-7"/>
        </w:rPr>
        <w:t xml:space="preserve"> </w:t>
      </w:r>
      <w:r w:rsidRPr="002C1933">
        <w:rPr>
          <w:rFonts w:ascii="Verdana" w:hAnsi="Verdana"/>
          <w:i/>
        </w:rPr>
        <w:t>una</w:t>
      </w:r>
      <w:r w:rsidRPr="002C1933">
        <w:rPr>
          <w:rFonts w:ascii="Verdana" w:hAnsi="Verdana"/>
          <w:i/>
          <w:spacing w:val="-7"/>
        </w:rPr>
        <w:t xml:space="preserve"> </w:t>
      </w:r>
      <w:r w:rsidRPr="002C1933">
        <w:rPr>
          <w:rFonts w:ascii="Verdana" w:hAnsi="Verdana"/>
          <w:i/>
        </w:rPr>
        <w:t>o</w:t>
      </w:r>
      <w:r w:rsidRPr="002C1933">
        <w:rPr>
          <w:rFonts w:ascii="Verdana" w:hAnsi="Verdana"/>
          <w:i/>
          <w:spacing w:val="-7"/>
        </w:rPr>
        <w:t xml:space="preserve"> </w:t>
      </w:r>
      <w:r w:rsidRPr="002C1933">
        <w:rPr>
          <w:rFonts w:ascii="Verdana" w:hAnsi="Verdana"/>
          <w:i/>
        </w:rPr>
        <w:t>varias</w:t>
      </w:r>
      <w:r w:rsidRPr="002C1933">
        <w:rPr>
          <w:rFonts w:ascii="Verdana" w:hAnsi="Verdana"/>
          <w:i/>
          <w:spacing w:val="-6"/>
        </w:rPr>
        <w:t xml:space="preserve"> </w:t>
      </w:r>
      <w:r w:rsidRPr="002C1933">
        <w:rPr>
          <w:rFonts w:ascii="Verdana" w:hAnsi="Verdana"/>
          <w:i/>
        </w:rPr>
        <w:t>personas</w:t>
      </w:r>
      <w:r w:rsidRPr="002C1933">
        <w:rPr>
          <w:rFonts w:ascii="Verdana" w:hAnsi="Verdana"/>
          <w:i/>
          <w:spacing w:val="-5"/>
        </w:rPr>
        <w:t xml:space="preserve"> </w:t>
      </w:r>
      <w:r w:rsidRPr="002C1933">
        <w:rPr>
          <w:rFonts w:ascii="Verdana" w:hAnsi="Verdana"/>
          <w:i/>
        </w:rPr>
        <w:t>naturales</w:t>
      </w:r>
      <w:r w:rsidRPr="002C1933">
        <w:rPr>
          <w:rFonts w:ascii="Verdana" w:hAnsi="Verdana"/>
          <w:i/>
          <w:spacing w:val="-5"/>
        </w:rPr>
        <w:t xml:space="preserve"> </w:t>
      </w:r>
      <w:r w:rsidRPr="002C1933">
        <w:rPr>
          <w:rFonts w:ascii="Verdana" w:hAnsi="Verdana"/>
          <w:i/>
        </w:rPr>
        <w:t>o</w:t>
      </w:r>
      <w:r w:rsidRPr="002C1933">
        <w:rPr>
          <w:rFonts w:ascii="Verdana" w:hAnsi="Verdana"/>
          <w:i/>
          <w:spacing w:val="-7"/>
        </w:rPr>
        <w:t xml:space="preserve"> </w:t>
      </w:r>
      <w:r w:rsidRPr="002C1933">
        <w:rPr>
          <w:rFonts w:ascii="Verdana" w:hAnsi="Verdana"/>
          <w:i/>
        </w:rPr>
        <w:t xml:space="preserve">jurídicas, quienes sólo serán responsables hasta el monto de sus respectivos </w:t>
      </w:r>
      <w:proofErr w:type="gramStart"/>
      <w:r w:rsidRPr="002C1933">
        <w:rPr>
          <w:rFonts w:ascii="Verdana" w:hAnsi="Verdana"/>
          <w:i/>
        </w:rPr>
        <w:t>aportes</w:t>
      </w:r>
      <w:r w:rsidRPr="002C1933">
        <w:rPr>
          <w:rFonts w:ascii="Verdana" w:hAnsi="Verdana"/>
          <w:i/>
          <w:spacing w:val="-50"/>
        </w:rPr>
        <w:t xml:space="preserve"> </w:t>
      </w:r>
      <w:r w:rsidRPr="002C1933">
        <w:rPr>
          <w:rFonts w:ascii="Verdana" w:hAnsi="Verdana"/>
        </w:rPr>
        <w:t>.</w:t>
      </w:r>
      <w:proofErr w:type="gramEnd"/>
      <w:r w:rsidRPr="002C1933">
        <w:rPr>
          <w:rFonts w:ascii="Verdana" w:hAnsi="Verdana"/>
        </w:rPr>
        <w:t>”</w:t>
      </w:r>
      <w:r w:rsidRPr="002C1933">
        <w:rPr>
          <w:rFonts w:ascii="Verdana" w:hAnsi="Verdana"/>
          <w:vertAlign w:val="superscript"/>
        </w:rPr>
        <w:t>10</w:t>
      </w:r>
    </w:p>
    <w:p w14:paraId="71E2CEE9" w14:textId="77777777" w:rsidR="002C1933" w:rsidRPr="002C1933" w:rsidRDefault="002C1933" w:rsidP="002C1933">
      <w:pPr>
        <w:widowControl w:val="0"/>
        <w:autoSpaceDE w:val="0"/>
        <w:autoSpaceDN w:val="0"/>
        <w:spacing w:before="120" w:after="0" w:line="276" w:lineRule="auto"/>
        <w:ind w:right="49" w:firstLine="708"/>
        <w:jc w:val="both"/>
        <w:rPr>
          <w:rFonts w:ascii="Verdana" w:eastAsia="Verdana" w:hAnsi="Verdana" w:cs="Verdana"/>
          <w:lang w:val="es-ES"/>
        </w:rPr>
      </w:pPr>
      <w:r w:rsidRPr="002C1933">
        <w:rPr>
          <w:rFonts w:ascii="Verdana" w:eastAsia="Verdana" w:hAnsi="Verdana" w:cs="Verdana"/>
          <w:lang w:val="es-ES"/>
        </w:rPr>
        <w:t>Así, los socios, accionistas o constituyentes a los que hace referencia la disposición antes citada, en la interpretación a la luz de la normativa comercial pueden</w:t>
      </w:r>
      <w:r w:rsidRPr="002C1933">
        <w:rPr>
          <w:rFonts w:ascii="Verdana" w:eastAsia="Verdana" w:hAnsi="Verdana" w:cs="Verdana"/>
          <w:spacing w:val="-13"/>
          <w:lang w:val="es-ES"/>
        </w:rPr>
        <w:t xml:space="preserve"> </w:t>
      </w:r>
      <w:r w:rsidRPr="002C1933">
        <w:rPr>
          <w:rFonts w:ascii="Verdana" w:eastAsia="Verdana" w:hAnsi="Verdana" w:cs="Verdana"/>
          <w:lang w:val="es-ES"/>
        </w:rPr>
        <w:t>ser</w:t>
      </w:r>
      <w:r w:rsidRPr="002C1933">
        <w:rPr>
          <w:rFonts w:ascii="Verdana" w:eastAsia="Verdana" w:hAnsi="Verdana" w:cs="Verdana"/>
          <w:spacing w:val="-14"/>
          <w:lang w:val="es-ES"/>
        </w:rPr>
        <w:t xml:space="preserve"> </w:t>
      </w:r>
      <w:r w:rsidRPr="002C1933">
        <w:rPr>
          <w:rFonts w:ascii="Verdana" w:eastAsia="Verdana" w:hAnsi="Verdana" w:cs="Verdana"/>
          <w:lang w:val="es-ES"/>
        </w:rPr>
        <w:t>tanto</w:t>
      </w:r>
      <w:r w:rsidRPr="002C1933">
        <w:rPr>
          <w:rFonts w:ascii="Verdana" w:eastAsia="Verdana" w:hAnsi="Verdana" w:cs="Verdana"/>
          <w:spacing w:val="-13"/>
          <w:lang w:val="es-ES"/>
        </w:rPr>
        <w:t xml:space="preserve"> </w:t>
      </w:r>
      <w:r w:rsidRPr="002C1933">
        <w:rPr>
          <w:rFonts w:ascii="Verdana" w:eastAsia="Verdana" w:hAnsi="Verdana" w:cs="Verdana"/>
          <w:lang w:val="es-ES"/>
        </w:rPr>
        <w:t>personas</w:t>
      </w:r>
      <w:r w:rsidRPr="002C1933">
        <w:rPr>
          <w:rFonts w:ascii="Verdana" w:eastAsia="Verdana" w:hAnsi="Verdana" w:cs="Verdana"/>
          <w:spacing w:val="-12"/>
          <w:lang w:val="es-ES"/>
        </w:rPr>
        <w:t xml:space="preserve"> </w:t>
      </w:r>
      <w:r w:rsidRPr="002C1933">
        <w:rPr>
          <w:rFonts w:ascii="Verdana" w:eastAsia="Verdana" w:hAnsi="Verdana" w:cs="Verdana"/>
          <w:lang w:val="es-ES"/>
        </w:rPr>
        <w:t>naturales</w:t>
      </w:r>
      <w:r w:rsidRPr="002C1933">
        <w:rPr>
          <w:rFonts w:ascii="Verdana" w:eastAsia="Verdana" w:hAnsi="Verdana" w:cs="Verdana"/>
          <w:spacing w:val="-12"/>
          <w:lang w:val="es-ES"/>
        </w:rPr>
        <w:t xml:space="preserve"> </w:t>
      </w:r>
      <w:r w:rsidRPr="002C1933">
        <w:rPr>
          <w:rFonts w:ascii="Verdana" w:eastAsia="Verdana" w:hAnsi="Verdana" w:cs="Verdana"/>
          <w:lang w:val="es-ES"/>
        </w:rPr>
        <w:t>como</w:t>
      </w:r>
      <w:r w:rsidRPr="002C1933">
        <w:rPr>
          <w:rFonts w:ascii="Verdana" w:eastAsia="Verdana" w:hAnsi="Verdana" w:cs="Verdana"/>
          <w:spacing w:val="-14"/>
          <w:lang w:val="es-ES"/>
        </w:rPr>
        <w:t xml:space="preserve"> </w:t>
      </w:r>
      <w:r w:rsidRPr="002C1933">
        <w:rPr>
          <w:rFonts w:ascii="Verdana" w:eastAsia="Verdana" w:hAnsi="Verdana" w:cs="Verdana"/>
          <w:lang w:val="es-ES"/>
        </w:rPr>
        <w:t>jurídicas</w:t>
      </w:r>
      <w:r w:rsidRPr="002C1933">
        <w:rPr>
          <w:rFonts w:ascii="Verdana" w:eastAsia="Verdana" w:hAnsi="Verdana" w:cs="Verdana"/>
          <w:spacing w:val="-12"/>
          <w:lang w:val="es-ES"/>
        </w:rPr>
        <w:t xml:space="preserve"> </w:t>
      </w:r>
      <w:r w:rsidRPr="002C1933">
        <w:rPr>
          <w:rFonts w:ascii="Verdana" w:eastAsia="Verdana" w:hAnsi="Verdana" w:cs="Verdana"/>
          <w:lang w:val="es-ES"/>
        </w:rPr>
        <w:t>cuyos</w:t>
      </w:r>
      <w:r w:rsidRPr="002C1933">
        <w:rPr>
          <w:rFonts w:ascii="Verdana" w:eastAsia="Verdana" w:hAnsi="Verdana" w:cs="Verdana"/>
          <w:spacing w:val="-13"/>
          <w:lang w:val="es-ES"/>
        </w:rPr>
        <w:t xml:space="preserve"> </w:t>
      </w:r>
      <w:r w:rsidRPr="002C1933">
        <w:rPr>
          <w:rFonts w:ascii="Verdana" w:eastAsia="Verdana" w:hAnsi="Verdana" w:cs="Verdana"/>
          <w:lang w:val="es-ES"/>
        </w:rPr>
        <w:t>aportes</w:t>
      </w:r>
      <w:r w:rsidRPr="002C1933">
        <w:rPr>
          <w:rFonts w:ascii="Verdana" w:eastAsia="Verdana" w:hAnsi="Verdana" w:cs="Verdana"/>
          <w:spacing w:val="-13"/>
          <w:lang w:val="es-ES"/>
        </w:rPr>
        <w:t xml:space="preserve"> </w:t>
      </w:r>
      <w:r w:rsidRPr="002C1933">
        <w:rPr>
          <w:rFonts w:ascii="Verdana" w:eastAsia="Verdana" w:hAnsi="Verdana" w:cs="Verdana"/>
          <w:lang w:val="es-ES"/>
        </w:rPr>
        <w:t>pueden</w:t>
      </w:r>
      <w:r w:rsidRPr="002C1933">
        <w:rPr>
          <w:rFonts w:ascii="Verdana" w:eastAsia="Verdana" w:hAnsi="Verdana" w:cs="Verdana"/>
          <w:spacing w:val="-13"/>
          <w:lang w:val="es-ES"/>
        </w:rPr>
        <w:t xml:space="preserve"> </w:t>
      </w:r>
      <w:r w:rsidRPr="002C1933">
        <w:rPr>
          <w:rFonts w:ascii="Verdana" w:eastAsia="Verdana" w:hAnsi="Verdana" w:cs="Verdana"/>
          <w:lang w:val="es-ES"/>
        </w:rPr>
        <w:t>ser</w:t>
      </w:r>
      <w:r w:rsidRPr="002C1933">
        <w:rPr>
          <w:rFonts w:ascii="Verdana" w:eastAsia="Verdana" w:hAnsi="Verdana" w:cs="Verdana"/>
          <w:spacing w:val="-14"/>
          <w:lang w:val="es-ES"/>
        </w:rPr>
        <w:t xml:space="preserve"> </w:t>
      </w:r>
      <w:r w:rsidRPr="002C1933">
        <w:rPr>
          <w:rFonts w:ascii="Verdana" w:eastAsia="Verdana" w:hAnsi="Verdana" w:cs="Verdana"/>
          <w:lang w:val="es-ES"/>
        </w:rPr>
        <w:t>la experiencia respectiva que tengan en el desarrollo de algún contrato en particular.</w:t>
      </w:r>
      <w:r w:rsidRPr="002C1933">
        <w:rPr>
          <w:rFonts w:ascii="Verdana" w:eastAsia="Verdana" w:hAnsi="Verdana" w:cs="Verdana"/>
          <w:spacing w:val="-15"/>
          <w:lang w:val="es-ES"/>
        </w:rPr>
        <w:t xml:space="preserve"> </w:t>
      </w:r>
      <w:r w:rsidRPr="002C1933">
        <w:rPr>
          <w:rFonts w:ascii="Verdana" w:eastAsia="Verdana" w:hAnsi="Verdana" w:cs="Verdana"/>
          <w:lang w:val="es-ES"/>
        </w:rPr>
        <w:t>Se</w:t>
      </w:r>
      <w:r w:rsidRPr="002C1933">
        <w:rPr>
          <w:rFonts w:ascii="Verdana" w:eastAsia="Verdana" w:hAnsi="Verdana" w:cs="Verdana"/>
          <w:spacing w:val="-18"/>
          <w:lang w:val="es-ES"/>
        </w:rPr>
        <w:t xml:space="preserve"> </w:t>
      </w:r>
      <w:r w:rsidRPr="002C1933">
        <w:rPr>
          <w:rFonts w:ascii="Verdana" w:eastAsia="Verdana" w:hAnsi="Verdana" w:cs="Verdana"/>
          <w:lang w:val="es-ES"/>
        </w:rPr>
        <w:t>advierte</w:t>
      </w:r>
      <w:r w:rsidRPr="002C1933">
        <w:rPr>
          <w:rFonts w:ascii="Verdana" w:eastAsia="Verdana" w:hAnsi="Verdana" w:cs="Verdana"/>
          <w:spacing w:val="-16"/>
          <w:lang w:val="es-ES"/>
        </w:rPr>
        <w:t xml:space="preserve"> </w:t>
      </w:r>
      <w:r w:rsidRPr="002C1933">
        <w:rPr>
          <w:rFonts w:ascii="Verdana" w:eastAsia="Verdana" w:hAnsi="Verdana" w:cs="Verdana"/>
          <w:lang w:val="es-ES"/>
        </w:rPr>
        <w:t>que</w:t>
      </w:r>
      <w:r w:rsidRPr="002C1933">
        <w:rPr>
          <w:rFonts w:ascii="Verdana" w:eastAsia="Verdana" w:hAnsi="Verdana" w:cs="Verdana"/>
          <w:spacing w:val="-17"/>
          <w:lang w:val="es-ES"/>
        </w:rPr>
        <w:t xml:space="preserve"> </w:t>
      </w:r>
      <w:r w:rsidRPr="002C1933">
        <w:rPr>
          <w:rFonts w:ascii="Verdana" w:eastAsia="Verdana" w:hAnsi="Verdana" w:cs="Verdana"/>
          <w:lang w:val="es-ES"/>
        </w:rPr>
        <w:t>la</w:t>
      </w:r>
      <w:r w:rsidRPr="002C1933">
        <w:rPr>
          <w:rFonts w:ascii="Verdana" w:eastAsia="Verdana" w:hAnsi="Verdana" w:cs="Verdana"/>
          <w:spacing w:val="-18"/>
          <w:lang w:val="es-ES"/>
        </w:rPr>
        <w:t xml:space="preserve"> </w:t>
      </w:r>
      <w:r w:rsidRPr="002C1933">
        <w:rPr>
          <w:rFonts w:ascii="Verdana" w:eastAsia="Verdana" w:hAnsi="Verdana" w:cs="Verdana"/>
          <w:lang w:val="es-ES"/>
        </w:rPr>
        <w:t>norma</w:t>
      </w:r>
      <w:r w:rsidRPr="002C1933">
        <w:rPr>
          <w:rFonts w:ascii="Verdana" w:eastAsia="Verdana" w:hAnsi="Verdana" w:cs="Verdana"/>
          <w:spacing w:val="-17"/>
          <w:lang w:val="es-ES"/>
        </w:rPr>
        <w:t xml:space="preserve"> </w:t>
      </w:r>
      <w:r w:rsidRPr="002C1933">
        <w:rPr>
          <w:rFonts w:ascii="Verdana" w:eastAsia="Verdana" w:hAnsi="Verdana" w:cs="Verdana"/>
          <w:lang w:val="es-ES"/>
        </w:rPr>
        <w:t>no</w:t>
      </w:r>
      <w:r w:rsidRPr="002C1933">
        <w:rPr>
          <w:rFonts w:ascii="Verdana" w:eastAsia="Verdana" w:hAnsi="Verdana" w:cs="Verdana"/>
          <w:spacing w:val="-18"/>
          <w:lang w:val="es-ES"/>
        </w:rPr>
        <w:t xml:space="preserve"> </w:t>
      </w:r>
      <w:r w:rsidRPr="002C1933">
        <w:rPr>
          <w:rFonts w:ascii="Verdana" w:eastAsia="Verdana" w:hAnsi="Verdana" w:cs="Verdana"/>
          <w:lang w:val="es-ES"/>
        </w:rPr>
        <w:t>precisa</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un</w:t>
      </w:r>
      <w:r w:rsidRPr="002C1933">
        <w:rPr>
          <w:rFonts w:ascii="Verdana" w:eastAsia="Verdana" w:hAnsi="Verdana" w:cs="Verdana"/>
          <w:spacing w:val="-18"/>
          <w:lang w:val="es-ES"/>
        </w:rPr>
        <w:t xml:space="preserve"> </w:t>
      </w:r>
      <w:r w:rsidRPr="002C1933">
        <w:rPr>
          <w:rFonts w:ascii="Verdana" w:eastAsia="Verdana" w:hAnsi="Verdana" w:cs="Verdana"/>
          <w:lang w:val="es-ES"/>
        </w:rPr>
        <w:t>porcentaje</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 xml:space="preserve">participación </w:t>
      </w:r>
      <w:r w:rsidRPr="002C1933">
        <w:rPr>
          <w:rFonts w:ascii="Verdana" w:eastAsia="Verdana" w:hAnsi="Verdana" w:cs="Verdana"/>
          <w:lang w:val="es-ES"/>
        </w:rPr>
        <w:lastRenderedPageBreak/>
        <w:t>de los socios para validar el aporte de la experiencia, por lo que donde no distingue la norma tampoco lo hará el intérprete.</w:t>
      </w:r>
    </w:p>
    <w:p w14:paraId="2528AB32" w14:textId="77777777" w:rsidR="002C1933" w:rsidRPr="002C1933" w:rsidRDefault="002C1933" w:rsidP="002C1933">
      <w:pPr>
        <w:widowControl w:val="0"/>
        <w:autoSpaceDE w:val="0"/>
        <w:autoSpaceDN w:val="0"/>
        <w:spacing w:before="158" w:after="0" w:line="276" w:lineRule="auto"/>
        <w:ind w:right="49" w:firstLine="708"/>
        <w:jc w:val="both"/>
        <w:rPr>
          <w:rFonts w:ascii="Verdana" w:eastAsia="Verdana" w:hAnsi="Verdana" w:cs="Verdana"/>
          <w:lang w:val="es-ES"/>
        </w:rPr>
      </w:pPr>
      <w:r w:rsidRPr="002C1933">
        <w:rPr>
          <w:rFonts w:ascii="Verdana" w:eastAsia="Verdana" w:hAnsi="Verdana" w:cs="Verdana"/>
          <w:lang w:val="es-ES"/>
        </w:rPr>
        <w:t>Sin embargo, debe aclararse que el Decreto 1082 de 2015 sólo permite que una sociedad acredite la experiencia de quienes tienen la calidad de accionistas, socios o constituyentes durante los primeros tres (3) años de su constitución.</w:t>
      </w:r>
      <w:r w:rsidRPr="002C1933">
        <w:rPr>
          <w:rFonts w:ascii="Verdana" w:eastAsia="Verdana" w:hAnsi="Verdana" w:cs="Verdana"/>
          <w:spacing w:val="-9"/>
          <w:lang w:val="es-ES"/>
        </w:rPr>
        <w:t xml:space="preserve"> </w:t>
      </w:r>
      <w:r w:rsidRPr="002C1933">
        <w:rPr>
          <w:rFonts w:ascii="Verdana" w:eastAsia="Verdana" w:hAnsi="Verdana" w:cs="Verdana"/>
          <w:lang w:val="es-ES"/>
        </w:rPr>
        <w:t>Por</w:t>
      </w:r>
      <w:r w:rsidRPr="002C1933">
        <w:rPr>
          <w:rFonts w:ascii="Verdana" w:eastAsia="Verdana" w:hAnsi="Verdana" w:cs="Verdana"/>
          <w:spacing w:val="-13"/>
          <w:lang w:val="es-ES"/>
        </w:rPr>
        <w:t xml:space="preserve"> </w:t>
      </w:r>
      <w:r w:rsidRPr="002C1933">
        <w:rPr>
          <w:rFonts w:ascii="Verdana" w:eastAsia="Verdana" w:hAnsi="Verdana" w:cs="Verdana"/>
          <w:lang w:val="es-ES"/>
        </w:rPr>
        <w:t>tanto,</w:t>
      </w:r>
      <w:r w:rsidRPr="002C1933">
        <w:rPr>
          <w:rFonts w:ascii="Verdana" w:eastAsia="Verdana" w:hAnsi="Verdana" w:cs="Verdana"/>
          <w:spacing w:val="-12"/>
          <w:lang w:val="es-ES"/>
        </w:rPr>
        <w:t xml:space="preserve"> </w:t>
      </w:r>
      <w:r w:rsidRPr="002C1933">
        <w:rPr>
          <w:rFonts w:ascii="Verdana" w:eastAsia="Verdana" w:hAnsi="Verdana" w:cs="Verdana"/>
          <w:lang w:val="es-ES"/>
        </w:rPr>
        <w:t>si</w:t>
      </w:r>
      <w:r w:rsidRPr="002C1933">
        <w:rPr>
          <w:rFonts w:ascii="Verdana" w:eastAsia="Verdana" w:hAnsi="Verdana" w:cs="Verdana"/>
          <w:spacing w:val="-13"/>
          <w:lang w:val="es-ES"/>
        </w:rPr>
        <w:t xml:space="preserve"> </w:t>
      </w:r>
      <w:r w:rsidRPr="002C1933">
        <w:rPr>
          <w:rFonts w:ascii="Verdana" w:eastAsia="Verdana" w:hAnsi="Verdana" w:cs="Verdana"/>
          <w:lang w:val="es-ES"/>
        </w:rPr>
        <w:t>se</w:t>
      </w:r>
      <w:r w:rsidRPr="002C1933">
        <w:rPr>
          <w:rFonts w:ascii="Verdana" w:eastAsia="Verdana" w:hAnsi="Verdana" w:cs="Verdana"/>
          <w:spacing w:val="-13"/>
          <w:lang w:val="es-ES"/>
        </w:rPr>
        <w:t xml:space="preserve"> </w:t>
      </w:r>
      <w:r w:rsidRPr="002C1933">
        <w:rPr>
          <w:rFonts w:ascii="Verdana" w:eastAsia="Verdana" w:hAnsi="Verdana" w:cs="Verdana"/>
          <w:lang w:val="es-ES"/>
        </w:rPr>
        <w:t>pierden</w:t>
      </w:r>
      <w:r w:rsidRPr="002C1933">
        <w:rPr>
          <w:rFonts w:ascii="Verdana" w:eastAsia="Verdana" w:hAnsi="Verdana" w:cs="Verdana"/>
          <w:spacing w:val="-11"/>
          <w:lang w:val="es-ES"/>
        </w:rPr>
        <w:t xml:space="preserve"> </w:t>
      </w:r>
      <w:r w:rsidRPr="002C1933">
        <w:rPr>
          <w:rFonts w:ascii="Verdana" w:eastAsia="Verdana" w:hAnsi="Verdana" w:cs="Verdana"/>
          <w:lang w:val="es-ES"/>
        </w:rPr>
        <w:t>estas</w:t>
      </w:r>
      <w:r w:rsidRPr="002C1933">
        <w:rPr>
          <w:rFonts w:ascii="Verdana" w:eastAsia="Verdana" w:hAnsi="Verdana" w:cs="Verdana"/>
          <w:spacing w:val="-12"/>
          <w:lang w:val="es-ES"/>
        </w:rPr>
        <w:t xml:space="preserve"> </w:t>
      </w:r>
      <w:r w:rsidRPr="002C1933">
        <w:rPr>
          <w:rFonts w:ascii="Verdana" w:eastAsia="Verdana" w:hAnsi="Verdana" w:cs="Verdana"/>
          <w:lang w:val="es-ES"/>
        </w:rPr>
        <w:t>calidades,</w:t>
      </w:r>
      <w:r w:rsidRPr="002C1933">
        <w:rPr>
          <w:rFonts w:ascii="Verdana" w:eastAsia="Verdana" w:hAnsi="Verdana" w:cs="Verdana"/>
          <w:spacing w:val="-10"/>
          <w:lang w:val="es-ES"/>
        </w:rPr>
        <w:t xml:space="preserve"> </w:t>
      </w:r>
      <w:r w:rsidRPr="002C1933">
        <w:rPr>
          <w:rFonts w:ascii="Verdana" w:eastAsia="Verdana" w:hAnsi="Verdana" w:cs="Verdana"/>
          <w:lang w:val="es-ES"/>
        </w:rPr>
        <w:t>como</w:t>
      </w:r>
      <w:r w:rsidRPr="002C1933">
        <w:rPr>
          <w:rFonts w:ascii="Verdana" w:eastAsia="Verdana" w:hAnsi="Verdana" w:cs="Verdana"/>
          <w:spacing w:val="-12"/>
          <w:lang w:val="es-ES"/>
        </w:rPr>
        <w:t xml:space="preserve"> </w:t>
      </w:r>
      <w:r w:rsidRPr="002C1933">
        <w:rPr>
          <w:rFonts w:ascii="Verdana" w:eastAsia="Verdana" w:hAnsi="Verdana" w:cs="Verdana"/>
          <w:lang w:val="es-ES"/>
        </w:rPr>
        <w:t>sucedería</w:t>
      </w:r>
      <w:r w:rsidRPr="002C1933">
        <w:rPr>
          <w:rFonts w:ascii="Verdana" w:eastAsia="Verdana" w:hAnsi="Verdana" w:cs="Verdana"/>
          <w:spacing w:val="-10"/>
          <w:lang w:val="es-ES"/>
        </w:rPr>
        <w:t xml:space="preserve"> </w:t>
      </w:r>
      <w:r w:rsidRPr="002C1933">
        <w:rPr>
          <w:rFonts w:ascii="Verdana" w:eastAsia="Verdana" w:hAnsi="Verdana" w:cs="Verdana"/>
          <w:lang w:val="es-ES"/>
        </w:rPr>
        <w:t>cuando</w:t>
      </w:r>
      <w:r w:rsidRPr="002C1933">
        <w:rPr>
          <w:rFonts w:ascii="Verdana" w:eastAsia="Verdana" w:hAnsi="Verdana" w:cs="Verdana"/>
          <w:spacing w:val="-11"/>
          <w:lang w:val="es-ES"/>
        </w:rPr>
        <w:t xml:space="preserve"> </w:t>
      </w:r>
      <w:r w:rsidRPr="002C1933">
        <w:rPr>
          <w:rFonts w:ascii="Verdana" w:eastAsia="Verdana" w:hAnsi="Verdana" w:cs="Verdana"/>
          <w:lang w:val="es-ES"/>
        </w:rPr>
        <w:t>un socio</w:t>
      </w:r>
      <w:r w:rsidRPr="002C1933">
        <w:rPr>
          <w:rFonts w:ascii="Verdana" w:eastAsia="Verdana" w:hAnsi="Verdana" w:cs="Verdana"/>
          <w:spacing w:val="-17"/>
          <w:lang w:val="es-ES"/>
        </w:rPr>
        <w:t xml:space="preserve"> </w:t>
      </w:r>
      <w:r w:rsidRPr="002C1933">
        <w:rPr>
          <w:rFonts w:ascii="Verdana" w:eastAsia="Verdana" w:hAnsi="Verdana" w:cs="Verdana"/>
          <w:lang w:val="es-ES"/>
        </w:rPr>
        <w:t>se</w:t>
      </w:r>
      <w:r w:rsidRPr="002C1933">
        <w:rPr>
          <w:rFonts w:ascii="Verdana" w:eastAsia="Verdana" w:hAnsi="Verdana" w:cs="Verdana"/>
          <w:spacing w:val="-18"/>
          <w:lang w:val="es-ES"/>
        </w:rPr>
        <w:t xml:space="preserve"> </w:t>
      </w:r>
      <w:r w:rsidRPr="002C1933">
        <w:rPr>
          <w:rFonts w:ascii="Verdana" w:eastAsia="Verdana" w:hAnsi="Verdana" w:cs="Verdana"/>
          <w:lang w:val="es-ES"/>
        </w:rPr>
        <w:t>retira</w:t>
      </w:r>
      <w:r w:rsidRPr="002C1933">
        <w:rPr>
          <w:rFonts w:ascii="Verdana" w:eastAsia="Verdana" w:hAnsi="Verdana" w:cs="Verdana"/>
          <w:spacing w:val="-17"/>
          <w:lang w:val="es-ES"/>
        </w:rPr>
        <w:t xml:space="preserve"> </w:t>
      </w:r>
      <w:r w:rsidRPr="002C1933">
        <w:rPr>
          <w:rFonts w:ascii="Verdana" w:eastAsia="Verdana" w:hAnsi="Verdana" w:cs="Verdana"/>
          <w:lang w:val="es-ES"/>
        </w:rPr>
        <w:t>por</w:t>
      </w:r>
      <w:r w:rsidRPr="002C1933">
        <w:rPr>
          <w:rFonts w:ascii="Verdana" w:eastAsia="Verdana" w:hAnsi="Verdana" w:cs="Verdana"/>
          <w:spacing w:val="-18"/>
          <w:lang w:val="es-ES"/>
        </w:rPr>
        <w:t xml:space="preserve"> </w:t>
      </w:r>
      <w:r w:rsidRPr="002C1933">
        <w:rPr>
          <w:rFonts w:ascii="Verdana" w:eastAsia="Verdana" w:hAnsi="Verdana" w:cs="Verdana"/>
          <w:lang w:val="es-ES"/>
        </w:rPr>
        <w:t>venta</w:t>
      </w:r>
      <w:r w:rsidRPr="002C1933">
        <w:rPr>
          <w:rFonts w:ascii="Verdana" w:eastAsia="Verdana" w:hAnsi="Verdana" w:cs="Verdana"/>
          <w:spacing w:val="-17"/>
          <w:lang w:val="es-ES"/>
        </w:rPr>
        <w:t xml:space="preserve"> </w:t>
      </w:r>
      <w:r w:rsidRPr="002C1933">
        <w:rPr>
          <w:rFonts w:ascii="Verdana" w:eastAsia="Verdana" w:hAnsi="Verdana" w:cs="Verdana"/>
          <w:lang w:val="es-ES"/>
        </w:rPr>
        <w:t>o</w:t>
      </w:r>
      <w:r w:rsidRPr="002C1933">
        <w:rPr>
          <w:rFonts w:ascii="Verdana" w:eastAsia="Verdana" w:hAnsi="Verdana" w:cs="Verdana"/>
          <w:spacing w:val="-19"/>
          <w:lang w:val="es-ES"/>
        </w:rPr>
        <w:t xml:space="preserve"> </w:t>
      </w:r>
      <w:r w:rsidRPr="002C1933">
        <w:rPr>
          <w:rFonts w:ascii="Verdana" w:eastAsia="Verdana" w:hAnsi="Verdana" w:cs="Verdana"/>
          <w:lang w:val="es-ES"/>
        </w:rPr>
        <w:t>cesión</w:t>
      </w:r>
      <w:r w:rsidRPr="002C1933">
        <w:rPr>
          <w:rFonts w:ascii="Verdana" w:eastAsia="Verdana" w:hAnsi="Verdana" w:cs="Verdana"/>
          <w:spacing w:val="-16"/>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su</w:t>
      </w:r>
      <w:r w:rsidRPr="002C1933">
        <w:rPr>
          <w:rFonts w:ascii="Verdana" w:eastAsia="Verdana" w:hAnsi="Verdana" w:cs="Verdana"/>
          <w:spacing w:val="-18"/>
          <w:lang w:val="es-ES"/>
        </w:rPr>
        <w:t xml:space="preserve"> </w:t>
      </w:r>
      <w:r w:rsidRPr="002C1933">
        <w:rPr>
          <w:rFonts w:ascii="Verdana" w:eastAsia="Verdana" w:hAnsi="Verdana" w:cs="Verdana"/>
          <w:lang w:val="es-ES"/>
        </w:rPr>
        <w:t>participación</w:t>
      </w:r>
      <w:r w:rsidRPr="002C1933">
        <w:rPr>
          <w:rFonts w:ascii="Verdana" w:eastAsia="Verdana" w:hAnsi="Verdana" w:cs="Verdana"/>
          <w:spacing w:val="-14"/>
          <w:lang w:val="es-ES"/>
        </w:rPr>
        <w:t xml:space="preserve"> </w:t>
      </w:r>
      <w:r w:rsidRPr="002C1933">
        <w:rPr>
          <w:rFonts w:ascii="Verdana" w:eastAsia="Verdana" w:hAnsi="Verdana" w:cs="Verdana"/>
          <w:lang w:val="es-ES"/>
        </w:rPr>
        <w:t>y</w:t>
      </w:r>
      <w:r w:rsidRPr="002C1933">
        <w:rPr>
          <w:rFonts w:ascii="Verdana" w:eastAsia="Verdana" w:hAnsi="Verdana" w:cs="Verdana"/>
          <w:spacing w:val="-18"/>
          <w:lang w:val="es-ES"/>
        </w:rPr>
        <w:t xml:space="preserve"> </w:t>
      </w:r>
      <w:r w:rsidRPr="002C1933">
        <w:rPr>
          <w:rFonts w:ascii="Verdana" w:eastAsia="Verdana" w:hAnsi="Verdana" w:cs="Verdana"/>
          <w:lang w:val="es-ES"/>
        </w:rPr>
        <w:t>pierde</w:t>
      </w:r>
      <w:r w:rsidRPr="002C1933">
        <w:rPr>
          <w:rFonts w:ascii="Verdana" w:eastAsia="Verdana" w:hAnsi="Verdana" w:cs="Verdana"/>
          <w:spacing w:val="-17"/>
          <w:lang w:val="es-ES"/>
        </w:rPr>
        <w:t xml:space="preserve"> </w:t>
      </w:r>
      <w:r w:rsidRPr="002C1933">
        <w:rPr>
          <w:rFonts w:ascii="Verdana" w:eastAsia="Verdana" w:hAnsi="Verdana" w:cs="Verdana"/>
          <w:lang w:val="es-ES"/>
        </w:rPr>
        <w:t>su</w:t>
      </w:r>
      <w:r w:rsidRPr="002C1933">
        <w:rPr>
          <w:rFonts w:ascii="Verdana" w:eastAsia="Verdana" w:hAnsi="Verdana" w:cs="Verdana"/>
          <w:spacing w:val="-18"/>
          <w:lang w:val="es-ES"/>
        </w:rPr>
        <w:t xml:space="preserve"> </w:t>
      </w:r>
      <w:r w:rsidRPr="002C1933">
        <w:rPr>
          <w:rFonts w:ascii="Verdana" w:eastAsia="Verdana" w:hAnsi="Verdana" w:cs="Verdana"/>
          <w:lang w:val="es-ES"/>
        </w:rPr>
        <w:t>calidad</w:t>
      </w:r>
      <w:r w:rsidRPr="002C1933">
        <w:rPr>
          <w:rFonts w:ascii="Verdana" w:eastAsia="Verdana" w:hAnsi="Verdana" w:cs="Verdana"/>
          <w:spacing w:val="-17"/>
          <w:lang w:val="es-ES"/>
        </w:rPr>
        <w:t xml:space="preserve"> </w:t>
      </w:r>
      <w:r w:rsidRPr="002C1933">
        <w:rPr>
          <w:rFonts w:ascii="Verdana" w:eastAsia="Verdana" w:hAnsi="Verdana" w:cs="Verdana"/>
          <w:lang w:val="es-ES"/>
        </w:rPr>
        <w:t>de</w:t>
      </w:r>
      <w:r w:rsidRPr="002C1933">
        <w:rPr>
          <w:rFonts w:ascii="Verdana" w:eastAsia="Verdana" w:hAnsi="Verdana" w:cs="Verdana"/>
          <w:spacing w:val="-18"/>
          <w:lang w:val="es-ES"/>
        </w:rPr>
        <w:t xml:space="preserve"> </w:t>
      </w:r>
      <w:r w:rsidRPr="002C1933">
        <w:rPr>
          <w:rFonts w:ascii="Verdana" w:eastAsia="Verdana" w:hAnsi="Verdana" w:cs="Verdana"/>
          <w:lang w:val="es-ES"/>
        </w:rPr>
        <w:t>socio, ya</w:t>
      </w:r>
      <w:r w:rsidRPr="002C1933">
        <w:rPr>
          <w:rFonts w:ascii="Verdana" w:eastAsia="Verdana" w:hAnsi="Verdana" w:cs="Verdana"/>
          <w:spacing w:val="-9"/>
          <w:lang w:val="es-ES"/>
        </w:rPr>
        <w:t xml:space="preserve"> </w:t>
      </w:r>
      <w:r w:rsidRPr="002C1933">
        <w:rPr>
          <w:rFonts w:ascii="Verdana" w:eastAsia="Verdana" w:hAnsi="Verdana" w:cs="Verdana"/>
          <w:lang w:val="es-ES"/>
        </w:rPr>
        <w:t>no</w:t>
      </w:r>
      <w:r w:rsidRPr="002C1933">
        <w:rPr>
          <w:rFonts w:ascii="Verdana" w:eastAsia="Verdana" w:hAnsi="Verdana" w:cs="Verdana"/>
          <w:spacing w:val="-9"/>
          <w:lang w:val="es-ES"/>
        </w:rPr>
        <w:t xml:space="preserve"> </w:t>
      </w:r>
      <w:r w:rsidRPr="002C1933">
        <w:rPr>
          <w:rFonts w:ascii="Verdana" w:eastAsia="Verdana" w:hAnsi="Verdana" w:cs="Verdana"/>
          <w:lang w:val="es-ES"/>
        </w:rPr>
        <w:t>sería</w:t>
      </w:r>
      <w:r w:rsidRPr="002C1933">
        <w:rPr>
          <w:rFonts w:ascii="Verdana" w:eastAsia="Verdana" w:hAnsi="Verdana" w:cs="Verdana"/>
          <w:spacing w:val="-8"/>
          <w:lang w:val="es-ES"/>
        </w:rPr>
        <w:t xml:space="preserve"> </w:t>
      </w:r>
      <w:r w:rsidRPr="002C1933">
        <w:rPr>
          <w:rFonts w:ascii="Verdana" w:eastAsia="Verdana" w:hAnsi="Verdana" w:cs="Verdana"/>
          <w:lang w:val="es-ES"/>
        </w:rPr>
        <w:t>aceptable</w:t>
      </w:r>
      <w:r w:rsidRPr="002C1933">
        <w:rPr>
          <w:rFonts w:ascii="Verdana" w:eastAsia="Verdana" w:hAnsi="Verdana" w:cs="Verdana"/>
          <w:spacing w:val="-7"/>
          <w:lang w:val="es-ES"/>
        </w:rPr>
        <w:t xml:space="preserve"> </w:t>
      </w:r>
      <w:r w:rsidRPr="002C1933">
        <w:rPr>
          <w:rFonts w:ascii="Verdana" w:eastAsia="Verdana" w:hAnsi="Verdana" w:cs="Verdana"/>
          <w:lang w:val="es-ES"/>
        </w:rPr>
        <w:t>que</w:t>
      </w:r>
      <w:r w:rsidRPr="002C1933">
        <w:rPr>
          <w:rFonts w:ascii="Verdana" w:eastAsia="Verdana" w:hAnsi="Verdana" w:cs="Verdana"/>
          <w:spacing w:val="-9"/>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sociedad</w:t>
      </w:r>
      <w:r w:rsidRPr="002C1933">
        <w:rPr>
          <w:rFonts w:ascii="Verdana" w:eastAsia="Verdana" w:hAnsi="Verdana" w:cs="Verdana"/>
          <w:spacing w:val="-8"/>
          <w:lang w:val="es-ES"/>
        </w:rPr>
        <w:t xml:space="preserve"> </w:t>
      </w:r>
      <w:r w:rsidRPr="002C1933">
        <w:rPr>
          <w:rFonts w:ascii="Verdana" w:eastAsia="Verdana" w:hAnsi="Verdana" w:cs="Verdana"/>
          <w:lang w:val="es-ES"/>
        </w:rPr>
        <w:t>acredite</w:t>
      </w:r>
      <w:r w:rsidRPr="002C1933">
        <w:rPr>
          <w:rFonts w:ascii="Verdana" w:eastAsia="Verdana" w:hAnsi="Verdana" w:cs="Verdana"/>
          <w:spacing w:val="-7"/>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experiencia</w:t>
      </w:r>
      <w:r w:rsidRPr="002C1933">
        <w:rPr>
          <w:rFonts w:ascii="Verdana" w:eastAsia="Verdana" w:hAnsi="Verdana" w:cs="Verdana"/>
          <w:spacing w:val="-6"/>
          <w:lang w:val="es-ES"/>
        </w:rPr>
        <w:t xml:space="preserve"> </w:t>
      </w:r>
      <w:r w:rsidRPr="002C1933">
        <w:rPr>
          <w:rFonts w:ascii="Verdana" w:eastAsia="Verdana" w:hAnsi="Verdana" w:cs="Verdana"/>
          <w:lang w:val="es-ES"/>
        </w:rPr>
        <w:t>aportada</w:t>
      </w:r>
      <w:r w:rsidRPr="002C1933">
        <w:rPr>
          <w:rFonts w:ascii="Verdana" w:eastAsia="Verdana" w:hAnsi="Verdana" w:cs="Verdana"/>
          <w:spacing w:val="-8"/>
          <w:lang w:val="es-ES"/>
        </w:rPr>
        <w:t xml:space="preserve"> </w:t>
      </w:r>
      <w:r w:rsidRPr="002C1933">
        <w:rPr>
          <w:rFonts w:ascii="Verdana" w:eastAsia="Verdana" w:hAnsi="Verdana" w:cs="Verdana"/>
          <w:lang w:val="es-ES"/>
        </w:rPr>
        <w:t>por</w:t>
      </w:r>
      <w:r w:rsidRPr="002C1933">
        <w:rPr>
          <w:rFonts w:ascii="Verdana" w:eastAsia="Verdana" w:hAnsi="Verdana" w:cs="Verdana"/>
          <w:spacing w:val="-9"/>
          <w:lang w:val="es-ES"/>
        </w:rPr>
        <w:t xml:space="preserve"> </w:t>
      </w:r>
      <w:r w:rsidRPr="002C1933">
        <w:rPr>
          <w:rFonts w:ascii="Verdana" w:eastAsia="Verdana" w:hAnsi="Verdana" w:cs="Verdana"/>
          <w:lang w:val="es-ES"/>
        </w:rPr>
        <w:t>dicha persona. Esta interpretación, además, se impone en atención al fin de evitar prácticas que atenten contra la transparencia en la contratación estatal, por lo que</w:t>
      </w:r>
      <w:r w:rsidRPr="002C1933">
        <w:rPr>
          <w:rFonts w:ascii="Verdana" w:eastAsia="Verdana" w:hAnsi="Verdana" w:cs="Verdana"/>
          <w:spacing w:val="-9"/>
          <w:lang w:val="es-ES"/>
        </w:rPr>
        <w:t xml:space="preserve"> </w:t>
      </w:r>
      <w:r w:rsidRPr="002C1933">
        <w:rPr>
          <w:rFonts w:ascii="Verdana" w:eastAsia="Verdana" w:hAnsi="Verdana" w:cs="Verdana"/>
          <w:lang w:val="es-ES"/>
        </w:rPr>
        <w:t>la</w:t>
      </w:r>
      <w:r w:rsidRPr="002C1933">
        <w:rPr>
          <w:rFonts w:ascii="Verdana" w:eastAsia="Verdana" w:hAnsi="Verdana" w:cs="Verdana"/>
          <w:spacing w:val="-9"/>
          <w:lang w:val="es-ES"/>
        </w:rPr>
        <w:t xml:space="preserve"> </w:t>
      </w:r>
      <w:r w:rsidRPr="002C1933">
        <w:rPr>
          <w:rFonts w:ascii="Verdana" w:eastAsia="Verdana" w:hAnsi="Verdana" w:cs="Verdana"/>
          <w:lang w:val="es-ES"/>
        </w:rPr>
        <w:t>experiencia</w:t>
      </w:r>
      <w:r w:rsidRPr="002C1933">
        <w:rPr>
          <w:rFonts w:ascii="Verdana" w:eastAsia="Verdana" w:hAnsi="Verdana" w:cs="Verdana"/>
          <w:spacing w:val="-6"/>
          <w:lang w:val="es-ES"/>
        </w:rPr>
        <w:t xml:space="preserve"> </w:t>
      </w:r>
      <w:r w:rsidRPr="002C1933">
        <w:rPr>
          <w:rFonts w:ascii="Verdana" w:eastAsia="Verdana" w:hAnsi="Verdana" w:cs="Verdana"/>
          <w:lang w:val="es-ES"/>
        </w:rPr>
        <w:t>aportada</w:t>
      </w:r>
      <w:r w:rsidRPr="002C1933">
        <w:rPr>
          <w:rFonts w:ascii="Verdana" w:eastAsia="Verdana" w:hAnsi="Verdana" w:cs="Verdana"/>
          <w:spacing w:val="-8"/>
          <w:lang w:val="es-ES"/>
        </w:rPr>
        <w:t xml:space="preserve"> </w:t>
      </w:r>
      <w:r w:rsidRPr="002C1933">
        <w:rPr>
          <w:rFonts w:ascii="Verdana" w:eastAsia="Verdana" w:hAnsi="Verdana" w:cs="Verdana"/>
          <w:lang w:val="es-ES"/>
        </w:rPr>
        <w:t>por</w:t>
      </w:r>
      <w:r w:rsidRPr="002C1933">
        <w:rPr>
          <w:rFonts w:ascii="Verdana" w:eastAsia="Verdana" w:hAnsi="Verdana" w:cs="Verdana"/>
          <w:spacing w:val="-9"/>
          <w:lang w:val="es-ES"/>
        </w:rPr>
        <w:t xml:space="preserve"> </w:t>
      </w:r>
      <w:r w:rsidRPr="002C1933">
        <w:rPr>
          <w:rFonts w:ascii="Verdana" w:eastAsia="Verdana" w:hAnsi="Verdana" w:cs="Verdana"/>
          <w:lang w:val="es-ES"/>
        </w:rPr>
        <w:t>quien</w:t>
      </w:r>
      <w:r w:rsidRPr="002C1933">
        <w:rPr>
          <w:rFonts w:ascii="Verdana" w:eastAsia="Verdana" w:hAnsi="Verdana" w:cs="Verdana"/>
          <w:spacing w:val="-8"/>
          <w:lang w:val="es-ES"/>
        </w:rPr>
        <w:t xml:space="preserve"> </w:t>
      </w:r>
      <w:r w:rsidRPr="002C1933">
        <w:rPr>
          <w:rFonts w:ascii="Verdana" w:eastAsia="Verdana" w:hAnsi="Verdana" w:cs="Verdana"/>
          <w:lang w:val="es-ES"/>
        </w:rPr>
        <w:t>se</w:t>
      </w:r>
      <w:r w:rsidRPr="002C1933">
        <w:rPr>
          <w:rFonts w:ascii="Verdana" w:eastAsia="Verdana" w:hAnsi="Verdana" w:cs="Verdana"/>
          <w:spacing w:val="-9"/>
          <w:lang w:val="es-ES"/>
        </w:rPr>
        <w:t xml:space="preserve"> </w:t>
      </w:r>
      <w:r w:rsidRPr="002C1933">
        <w:rPr>
          <w:rFonts w:ascii="Verdana" w:eastAsia="Verdana" w:hAnsi="Verdana" w:cs="Verdana"/>
          <w:lang w:val="es-ES"/>
        </w:rPr>
        <w:t>retira</w:t>
      </w:r>
      <w:r w:rsidRPr="002C1933">
        <w:rPr>
          <w:rFonts w:ascii="Verdana" w:eastAsia="Verdana" w:hAnsi="Verdana" w:cs="Verdana"/>
          <w:spacing w:val="-8"/>
          <w:lang w:val="es-ES"/>
        </w:rPr>
        <w:t xml:space="preserve"> </w:t>
      </w:r>
      <w:r w:rsidRPr="002C1933">
        <w:rPr>
          <w:rFonts w:ascii="Verdana" w:eastAsia="Verdana" w:hAnsi="Verdana" w:cs="Verdana"/>
          <w:lang w:val="es-ES"/>
        </w:rPr>
        <w:t>no</w:t>
      </w:r>
      <w:r w:rsidRPr="002C1933">
        <w:rPr>
          <w:rFonts w:ascii="Verdana" w:eastAsia="Verdana" w:hAnsi="Verdana" w:cs="Verdana"/>
          <w:spacing w:val="-9"/>
          <w:lang w:val="es-ES"/>
        </w:rPr>
        <w:t xml:space="preserve"> </w:t>
      </w:r>
      <w:r w:rsidRPr="002C1933">
        <w:rPr>
          <w:rFonts w:ascii="Verdana" w:eastAsia="Verdana" w:hAnsi="Verdana" w:cs="Verdana"/>
          <w:lang w:val="es-ES"/>
        </w:rPr>
        <w:t>deberá</w:t>
      </w:r>
      <w:r w:rsidRPr="002C1933">
        <w:rPr>
          <w:rFonts w:ascii="Verdana" w:eastAsia="Verdana" w:hAnsi="Verdana" w:cs="Verdana"/>
          <w:spacing w:val="-8"/>
          <w:lang w:val="es-ES"/>
        </w:rPr>
        <w:t xml:space="preserve"> </w:t>
      </w:r>
      <w:r w:rsidRPr="002C1933">
        <w:rPr>
          <w:rFonts w:ascii="Verdana" w:eastAsia="Verdana" w:hAnsi="Verdana" w:cs="Verdana"/>
          <w:lang w:val="es-ES"/>
        </w:rPr>
        <w:t>tenerse</w:t>
      </w:r>
      <w:r w:rsidRPr="002C1933">
        <w:rPr>
          <w:rFonts w:ascii="Verdana" w:eastAsia="Verdana" w:hAnsi="Verdana" w:cs="Verdana"/>
          <w:spacing w:val="-7"/>
          <w:lang w:val="es-ES"/>
        </w:rPr>
        <w:t xml:space="preserve"> </w:t>
      </w:r>
      <w:r w:rsidRPr="002C1933">
        <w:rPr>
          <w:rFonts w:ascii="Verdana" w:eastAsia="Verdana" w:hAnsi="Verdana" w:cs="Verdana"/>
          <w:lang w:val="es-ES"/>
        </w:rPr>
        <w:t>en</w:t>
      </w:r>
      <w:r w:rsidRPr="002C1933">
        <w:rPr>
          <w:rFonts w:ascii="Verdana" w:eastAsia="Verdana" w:hAnsi="Verdana" w:cs="Verdana"/>
          <w:spacing w:val="-9"/>
          <w:lang w:val="es-ES"/>
        </w:rPr>
        <w:t xml:space="preserve"> </w:t>
      </w:r>
      <w:r w:rsidRPr="002C1933">
        <w:rPr>
          <w:rFonts w:ascii="Verdana" w:eastAsia="Verdana" w:hAnsi="Verdana" w:cs="Verdana"/>
          <w:lang w:val="es-ES"/>
        </w:rPr>
        <w:t>cuenta</w:t>
      </w:r>
      <w:r w:rsidRPr="002C1933">
        <w:rPr>
          <w:rFonts w:ascii="Verdana" w:eastAsia="Verdana" w:hAnsi="Verdana" w:cs="Verdana"/>
          <w:spacing w:val="-8"/>
          <w:lang w:val="es-ES"/>
        </w:rPr>
        <w:t xml:space="preserve"> </w:t>
      </w:r>
      <w:r w:rsidRPr="002C1933">
        <w:rPr>
          <w:rFonts w:ascii="Verdana" w:eastAsia="Verdana" w:hAnsi="Verdana" w:cs="Verdana"/>
          <w:lang w:val="es-ES"/>
        </w:rPr>
        <w:t>por las</w:t>
      </w:r>
      <w:r w:rsidRPr="002C1933">
        <w:rPr>
          <w:rFonts w:ascii="Verdana" w:eastAsia="Verdana" w:hAnsi="Verdana" w:cs="Verdana"/>
          <w:spacing w:val="-13"/>
          <w:lang w:val="es-ES"/>
        </w:rPr>
        <w:t xml:space="preserve"> </w:t>
      </w:r>
      <w:r w:rsidRPr="002C1933">
        <w:rPr>
          <w:rFonts w:ascii="Verdana" w:eastAsia="Verdana" w:hAnsi="Verdana" w:cs="Verdana"/>
          <w:lang w:val="es-ES"/>
        </w:rPr>
        <w:t>Entidades</w:t>
      </w:r>
      <w:r w:rsidRPr="002C1933">
        <w:rPr>
          <w:rFonts w:ascii="Verdana" w:eastAsia="Verdana" w:hAnsi="Verdana" w:cs="Verdana"/>
          <w:spacing w:val="-12"/>
          <w:lang w:val="es-ES"/>
        </w:rPr>
        <w:t xml:space="preserve"> </w:t>
      </w:r>
      <w:r w:rsidRPr="002C1933">
        <w:rPr>
          <w:rFonts w:ascii="Verdana" w:eastAsia="Verdana" w:hAnsi="Verdana" w:cs="Verdana"/>
          <w:lang w:val="es-ES"/>
        </w:rPr>
        <w:t>Estatales,</w:t>
      </w:r>
      <w:r w:rsidRPr="002C1933">
        <w:rPr>
          <w:rFonts w:ascii="Verdana" w:eastAsia="Verdana" w:hAnsi="Verdana" w:cs="Verdana"/>
          <w:spacing w:val="-11"/>
          <w:lang w:val="es-ES"/>
        </w:rPr>
        <w:t xml:space="preserve"> </w:t>
      </w:r>
      <w:r w:rsidRPr="002C1933">
        <w:rPr>
          <w:rFonts w:ascii="Verdana" w:eastAsia="Verdana" w:hAnsi="Verdana" w:cs="Verdana"/>
          <w:lang w:val="es-ES"/>
        </w:rPr>
        <w:t>y</w:t>
      </w:r>
      <w:r w:rsidRPr="002C1933">
        <w:rPr>
          <w:rFonts w:ascii="Verdana" w:eastAsia="Verdana" w:hAnsi="Verdana" w:cs="Verdana"/>
          <w:spacing w:val="-14"/>
          <w:lang w:val="es-ES"/>
        </w:rPr>
        <w:t xml:space="preserve"> </w:t>
      </w:r>
      <w:r w:rsidRPr="002C1933">
        <w:rPr>
          <w:rFonts w:ascii="Verdana" w:eastAsia="Verdana" w:hAnsi="Verdana" w:cs="Verdana"/>
          <w:lang w:val="es-ES"/>
        </w:rPr>
        <w:t>no</w:t>
      </w:r>
      <w:r w:rsidRPr="002C1933">
        <w:rPr>
          <w:rFonts w:ascii="Verdana" w:eastAsia="Verdana" w:hAnsi="Verdana" w:cs="Verdana"/>
          <w:spacing w:val="-14"/>
          <w:lang w:val="es-ES"/>
        </w:rPr>
        <w:t xml:space="preserve"> </w:t>
      </w:r>
      <w:r w:rsidRPr="002C1933">
        <w:rPr>
          <w:rFonts w:ascii="Verdana" w:eastAsia="Verdana" w:hAnsi="Verdana" w:cs="Verdana"/>
          <w:lang w:val="es-ES"/>
        </w:rPr>
        <w:t>debería</w:t>
      </w:r>
      <w:r w:rsidRPr="002C1933">
        <w:rPr>
          <w:rFonts w:ascii="Verdana" w:eastAsia="Verdana" w:hAnsi="Verdana" w:cs="Verdana"/>
          <w:spacing w:val="-12"/>
          <w:lang w:val="es-ES"/>
        </w:rPr>
        <w:t xml:space="preserve"> </w:t>
      </w:r>
      <w:r w:rsidRPr="002C1933">
        <w:rPr>
          <w:rFonts w:ascii="Verdana" w:eastAsia="Verdana" w:hAnsi="Verdana" w:cs="Verdana"/>
          <w:lang w:val="es-ES"/>
        </w:rPr>
        <w:t>ser</w:t>
      </w:r>
      <w:r w:rsidRPr="002C1933">
        <w:rPr>
          <w:rFonts w:ascii="Verdana" w:eastAsia="Verdana" w:hAnsi="Verdana" w:cs="Verdana"/>
          <w:spacing w:val="-13"/>
          <w:lang w:val="es-ES"/>
        </w:rPr>
        <w:t xml:space="preserve"> </w:t>
      </w:r>
      <w:r w:rsidRPr="002C1933">
        <w:rPr>
          <w:rFonts w:ascii="Verdana" w:eastAsia="Verdana" w:hAnsi="Verdana" w:cs="Verdana"/>
          <w:lang w:val="es-ES"/>
        </w:rPr>
        <w:t>utilizada</w:t>
      </w:r>
      <w:r w:rsidRPr="002C1933">
        <w:rPr>
          <w:rFonts w:ascii="Verdana" w:eastAsia="Verdana" w:hAnsi="Verdana" w:cs="Verdana"/>
          <w:spacing w:val="-12"/>
          <w:lang w:val="es-ES"/>
        </w:rPr>
        <w:t xml:space="preserve"> </w:t>
      </w:r>
      <w:r w:rsidRPr="002C1933">
        <w:rPr>
          <w:rFonts w:ascii="Verdana" w:eastAsia="Verdana" w:hAnsi="Verdana" w:cs="Verdana"/>
          <w:lang w:val="es-ES"/>
        </w:rPr>
        <w:t>por</w:t>
      </w:r>
      <w:r w:rsidRPr="002C1933">
        <w:rPr>
          <w:rFonts w:ascii="Verdana" w:eastAsia="Verdana" w:hAnsi="Verdana" w:cs="Verdana"/>
          <w:spacing w:val="-13"/>
          <w:lang w:val="es-ES"/>
        </w:rPr>
        <w:t xml:space="preserve"> </w:t>
      </w:r>
      <w:r w:rsidRPr="002C1933">
        <w:rPr>
          <w:rFonts w:ascii="Verdana" w:eastAsia="Verdana" w:hAnsi="Verdana" w:cs="Verdana"/>
          <w:lang w:val="es-ES"/>
        </w:rPr>
        <w:t>el</w:t>
      </w:r>
      <w:r w:rsidRPr="002C1933">
        <w:rPr>
          <w:rFonts w:ascii="Verdana" w:eastAsia="Verdana" w:hAnsi="Verdana" w:cs="Verdana"/>
          <w:spacing w:val="-14"/>
          <w:lang w:val="es-ES"/>
        </w:rPr>
        <w:t xml:space="preserve"> </w:t>
      </w:r>
      <w:r w:rsidRPr="002C1933">
        <w:rPr>
          <w:rFonts w:ascii="Verdana" w:eastAsia="Verdana" w:hAnsi="Verdana" w:cs="Verdana"/>
          <w:lang w:val="es-ES"/>
        </w:rPr>
        <w:t>proponente</w:t>
      </w:r>
      <w:r w:rsidRPr="002C1933">
        <w:rPr>
          <w:rFonts w:ascii="Verdana" w:eastAsia="Verdana" w:hAnsi="Verdana" w:cs="Verdana"/>
          <w:spacing w:val="-11"/>
          <w:lang w:val="es-ES"/>
        </w:rPr>
        <w:t xml:space="preserve"> </w:t>
      </w:r>
      <w:r w:rsidRPr="002C1933">
        <w:rPr>
          <w:rFonts w:ascii="Verdana" w:eastAsia="Verdana" w:hAnsi="Verdana" w:cs="Verdana"/>
          <w:lang w:val="es-ES"/>
        </w:rPr>
        <w:t>en</w:t>
      </w:r>
      <w:r w:rsidRPr="002C1933">
        <w:rPr>
          <w:rFonts w:ascii="Verdana" w:eastAsia="Verdana" w:hAnsi="Verdana" w:cs="Verdana"/>
          <w:spacing w:val="-13"/>
          <w:lang w:val="es-ES"/>
        </w:rPr>
        <w:t xml:space="preserve"> </w:t>
      </w:r>
      <w:r w:rsidRPr="002C1933">
        <w:rPr>
          <w:rFonts w:ascii="Verdana" w:eastAsia="Verdana" w:hAnsi="Verdana" w:cs="Verdana"/>
          <w:lang w:val="es-ES"/>
        </w:rPr>
        <w:t>procesos de contratación, ya que es inherente a la persona que la ha obtenido.</w:t>
      </w:r>
    </w:p>
    <w:p w14:paraId="243C5C08" w14:textId="77777777" w:rsidR="002C1933" w:rsidRPr="002C1933" w:rsidRDefault="002C1933" w:rsidP="002C1933">
      <w:pPr>
        <w:widowControl w:val="0"/>
        <w:autoSpaceDE w:val="0"/>
        <w:autoSpaceDN w:val="0"/>
        <w:spacing w:before="120" w:after="0" w:line="276" w:lineRule="auto"/>
        <w:ind w:right="49" w:firstLine="708"/>
        <w:jc w:val="both"/>
        <w:rPr>
          <w:rFonts w:ascii="Verdana" w:eastAsia="Verdana" w:hAnsi="Verdana" w:cs="Verdana"/>
          <w:lang w:val="es-ES"/>
        </w:rPr>
      </w:pPr>
      <w:r w:rsidRPr="002C1933">
        <w:rPr>
          <w:rFonts w:ascii="Verdana" w:eastAsia="Verdana" w:hAnsi="Verdana" w:cs="Verdana"/>
          <w:lang w:val="es-ES"/>
        </w:rPr>
        <w:t>Palmario, cuando la persona jurídica con menos de tres (3) años de constituida registra la experiencia de sus socios en el RUP, y este es renovado, puede continuar utilizando la experiencia inscrita mientras no cesen los efectos del RUP. Por el contrario, si no se renueva y la persona jurídica supera los tres</w:t>
      </w:r>
    </w:p>
    <w:p w14:paraId="3AA36198" w14:textId="77777777" w:rsidR="002C1933" w:rsidRPr="002C1933" w:rsidRDefault="002C1933" w:rsidP="002C1933">
      <w:pPr>
        <w:widowControl w:val="0"/>
        <w:autoSpaceDE w:val="0"/>
        <w:autoSpaceDN w:val="0"/>
        <w:spacing w:after="0" w:line="276" w:lineRule="auto"/>
        <w:ind w:right="49"/>
        <w:jc w:val="both"/>
        <w:rPr>
          <w:rFonts w:ascii="Verdana" w:eastAsia="Verdana" w:hAnsi="Verdana" w:cs="Verdana"/>
          <w:lang w:val="es-ES"/>
        </w:rPr>
      </w:pPr>
      <w:r w:rsidRPr="002C1933">
        <w:rPr>
          <w:rFonts w:ascii="Verdana" w:eastAsia="Verdana" w:hAnsi="Verdana" w:cs="Verdana"/>
          <w:lang w:val="es-ES"/>
        </w:rPr>
        <w:t>(3)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w:t>
      </w:r>
    </w:p>
    <w:p w14:paraId="28E3D106" w14:textId="77777777" w:rsidR="002C1933" w:rsidRPr="002C1933" w:rsidRDefault="002C1933" w:rsidP="002C1933">
      <w:pPr>
        <w:spacing w:before="120" w:line="276" w:lineRule="auto"/>
        <w:ind w:right="49" w:firstLine="708"/>
        <w:jc w:val="both"/>
        <w:rPr>
          <w:rFonts w:ascii="Verdana" w:hAnsi="Verdana"/>
        </w:rPr>
      </w:pPr>
      <w:r w:rsidRPr="002C1933">
        <w:rPr>
          <w:rFonts w:ascii="Verdana" w:hAnsi="Verdana"/>
        </w:rPr>
        <w:t>Lo</w:t>
      </w:r>
      <w:r w:rsidRPr="002C1933">
        <w:rPr>
          <w:rFonts w:ascii="Verdana" w:hAnsi="Verdana"/>
          <w:spacing w:val="-8"/>
        </w:rPr>
        <w:t xml:space="preserve"> </w:t>
      </w:r>
      <w:r w:rsidRPr="002C1933">
        <w:rPr>
          <w:rFonts w:ascii="Verdana" w:hAnsi="Verdana"/>
        </w:rPr>
        <w:t>anterior,</w:t>
      </w:r>
      <w:r w:rsidRPr="002C1933">
        <w:rPr>
          <w:rFonts w:ascii="Verdana" w:hAnsi="Verdana"/>
          <w:spacing w:val="-6"/>
        </w:rPr>
        <w:t xml:space="preserve"> </w:t>
      </w:r>
      <w:r w:rsidRPr="002C1933">
        <w:rPr>
          <w:rFonts w:ascii="Verdana" w:hAnsi="Verdana"/>
        </w:rPr>
        <w:t>tiene</w:t>
      </w:r>
      <w:r w:rsidRPr="002C1933">
        <w:rPr>
          <w:rFonts w:ascii="Verdana" w:hAnsi="Verdana"/>
          <w:spacing w:val="-7"/>
        </w:rPr>
        <w:t xml:space="preserve"> </w:t>
      </w:r>
      <w:r w:rsidRPr="002C1933">
        <w:rPr>
          <w:rFonts w:ascii="Verdana" w:hAnsi="Verdana"/>
        </w:rPr>
        <w:t>fundamento</w:t>
      </w:r>
      <w:r w:rsidRPr="002C1933">
        <w:rPr>
          <w:rFonts w:ascii="Verdana" w:hAnsi="Verdana"/>
          <w:spacing w:val="-5"/>
        </w:rPr>
        <w:t xml:space="preserve"> </w:t>
      </w:r>
      <w:r w:rsidRPr="002C1933">
        <w:rPr>
          <w:rFonts w:ascii="Verdana" w:hAnsi="Verdana"/>
        </w:rPr>
        <w:t>en</w:t>
      </w:r>
      <w:r w:rsidRPr="002C1933">
        <w:rPr>
          <w:rFonts w:ascii="Verdana" w:hAnsi="Verdana"/>
          <w:spacing w:val="-8"/>
        </w:rPr>
        <w:t xml:space="preserve"> </w:t>
      </w:r>
      <w:r w:rsidRPr="002C1933">
        <w:rPr>
          <w:rFonts w:ascii="Verdana" w:hAnsi="Verdana"/>
        </w:rPr>
        <w:t>la</w:t>
      </w:r>
      <w:r w:rsidRPr="002C1933">
        <w:rPr>
          <w:rFonts w:ascii="Verdana" w:hAnsi="Verdana"/>
          <w:spacing w:val="-8"/>
        </w:rPr>
        <w:t xml:space="preserve"> </w:t>
      </w:r>
      <w:r w:rsidRPr="002C1933">
        <w:rPr>
          <w:rFonts w:ascii="Verdana" w:hAnsi="Verdana"/>
        </w:rPr>
        <w:t>Circular</w:t>
      </w:r>
      <w:r w:rsidRPr="002C1933">
        <w:rPr>
          <w:rFonts w:ascii="Verdana" w:hAnsi="Verdana"/>
          <w:spacing w:val="-6"/>
        </w:rPr>
        <w:t xml:space="preserve"> </w:t>
      </w:r>
      <w:r w:rsidRPr="002C1933">
        <w:rPr>
          <w:rFonts w:ascii="Verdana" w:hAnsi="Verdana"/>
        </w:rPr>
        <w:t>Única</w:t>
      </w:r>
      <w:r w:rsidRPr="002C1933">
        <w:rPr>
          <w:rFonts w:ascii="Verdana" w:hAnsi="Verdana"/>
          <w:spacing w:val="-7"/>
        </w:rPr>
        <w:t xml:space="preserve"> </w:t>
      </w:r>
      <w:r w:rsidRPr="002C1933">
        <w:rPr>
          <w:rFonts w:ascii="Verdana" w:hAnsi="Verdana"/>
        </w:rPr>
        <w:t>de</w:t>
      </w:r>
      <w:r w:rsidRPr="002C1933">
        <w:rPr>
          <w:rFonts w:ascii="Verdana" w:hAnsi="Verdana"/>
          <w:spacing w:val="-8"/>
        </w:rPr>
        <w:t xml:space="preserve"> </w:t>
      </w:r>
      <w:r w:rsidRPr="002C1933">
        <w:rPr>
          <w:rFonts w:ascii="Verdana" w:hAnsi="Verdana"/>
        </w:rPr>
        <w:t>la</w:t>
      </w:r>
      <w:r w:rsidRPr="002C1933">
        <w:rPr>
          <w:rFonts w:ascii="Verdana" w:hAnsi="Verdana"/>
          <w:spacing w:val="-8"/>
        </w:rPr>
        <w:t xml:space="preserve"> </w:t>
      </w:r>
      <w:r w:rsidRPr="002C1933">
        <w:rPr>
          <w:rFonts w:ascii="Verdana" w:hAnsi="Verdana"/>
        </w:rPr>
        <w:t>Superintendencia de Industria y Comercio, en el numeral 4.2, sobre el procedimiento para llevar el registro único de proponentes, que establece: “</w:t>
      </w:r>
      <w:r w:rsidRPr="002C1933">
        <w:rPr>
          <w:rFonts w:ascii="Verdana" w:hAnsi="Verdana"/>
          <w:i/>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w:t>
      </w:r>
      <w:proofErr w:type="gramStart"/>
      <w:r w:rsidRPr="002C1933">
        <w:rPr>
          <w:rFonts w:ascii="Verdana" w:hAnsi="Verdana"/>
          <w:i/>
        </w:rPr>
        <w:t>soporte</w:t>
      </w:r>
      <w:r w:rsidRPr="002C1933">
        <w:rPr>
          <w:rFonts w:ascii="Verdana" w:hAnsi="Verdana"/>
          <w:i/>
          <w:spacing w:val="-50"/>
        </w:rPr>
        <w:t xml:space="preserve"> </w:t>
      </w:r>
      <w:r w:rsidRPr="002C1933">
        <w:rPr>
          <w:rFonts w:ascii="Verdana" w:hAnsi="Verdana"/>
        </w:rPr>
        <w:t>”</w:t>
      </w:r>
      <w:proofErr w:type="gramEnd"/>
      <w:r w:rsidRPr="002C1933">
        <w:rPr>
          <w:rFonts w:ascii="Verdana" w:hAnsi="Verdana"/>
        </w:rPr>
        <w:t>.</w:t>
      </w:r>
    </w:p>
    <w:p w14:paraId="46D68DA0" w14:textId="77777777" w:rsidR="002C1933" w:rsidRPr="002C1933" w:rsidRDefault="002C1933" w:rsidP="002C1933">
      <w:pPr>
        <w:snapToGrid w:val="0"/>
        <w:spacing w:after="120" w:line="276" w:lineRule="auto"/>
        <w:ind w:firstLine="708"/>
        <w:jc w:val="both"/>
        <w:rPr>
          <w:rFonts w:ascii="Verdana" w:eastAsia="Calibri" w:hAnsi="Verdana" w:cs="Arial"/>
          <w:kern w:val="2"/>
          <w:lang w:val="es-ES"/>
          <w14:ligatures w14:val="standardContextual"/>
        </w:rPr>
      </w:pPr>
      <w:r w:rsidRPr="002C1933">
        <w:rPr>
          <w:rFonts w:ascii="Verdana" w:eastAsia="Calibri" w:hAnsi="Verdana" w:cs="Arial"/>
          <w:kern w:val="2"/>
          <w:lang w:val="es-ES"/>
          <w14:ligatures w14:val="standardContextua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w:t>
      </w:r>
    </w:p>
    <w:p w14:paraId="300400AD" w14:textId="77777777" w:rsidR="002C1933" w:rsidRPr="002C1933" w:rsidRDefault="002C1933" w:rsidP="002C1933">
      <w:pPr>
        <w:snapToGrid w:val="0"/>
        <w:spacing w:after="0" w:line="276" w:lineRule="auto"/>
        <w:jc w:val="both"/>
        <w:rPr>
          <w:rFonts w:ascii="Verdana" w:eastAsia="Times New Roman" w:hAnsi="Verdana" w:cs="Times New Roman"/>
          <w:color w:val="000000"/>
          <w:lang w:val="es-ES" w:eastAsia="es-CO"/>
        </w:rPr>
      </w:pPr>
    </w:p>
    <w:p w14:paraId="249AC69D" w14:textId="77777777" w:rsidR="002C1933" w:rsidRPr="002C1933" w:rsidRDefault="002C1933" w:rsidP="002C1933">
      <w:pPr>
        <w:widowControl w:val="0"/>
        <w:autoSpaceDE w:val="0"/>
        <w:autoSpaceDN w:val="0"/>
        <w:spacing w:after="0" w:line="276" w:lineRule="auto"/>
        <w:outlineLvl w:val="0"/>
        <w:rPr>
          <w:rFonts w:ascii="Verdana" w:eastAsia="Arial" w:hAnsi="Verdana" w:cs="Arial"/>
          <w:b/>
          <w:bCs/>
          <w:lang w:val="es-ES_tradnl"/>
        </w:rPr>
      </w:pPr>
      <w:r w:rsidRPr="002C1933">
        <w:rPr>
          <w:rFonts w:ascii="Verdana" w:eastAsia="Arial" w:hAnsi="Verdana" w:cs="Arial"/>
          <w:b/>
          <w:bCs/>
          <w:lang w:val="es-ES_tradnl"/>
        </w:rPr>
        <w:t>4.Referencias normativas, jurisprudenciales y otras fuentes:</w:t>
      </w:r>
    </w:p>
    <w:p w14:paraId="60C23FBD" w14:textId="77777777" w:rsidR="002C1933" w:rsidRPr="002C1933" w:rsidRDefault="002C1933" w:rsidP="002C1933">
      <w:pPr>
        <w:widowControl w:val="0"/>
        <w:autoSpaceDE w:val="0"/>
        <w:autoSpaceDN w:val="0"/>
        <w:spacing w:after="0" w:line="276" w:lineRule="auto"/>
        <w:jc w:val="both"/>
        <w:rPr>
          <w:rFonts w:ascii="Verdana" w:eastAsia="Aptos"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1933" w:rsidRPr="002C1933" w14:paraId="4AB85DC2" w14:textId="77777777" w:rsidTr="00CC729B">
        <w:trPr>
          <w:trHeight w:val="870"/>
        </w:trPr>
        <w:tc>
          <w:tcPr>
            <w:tcW w:w="8647" w:type="dxa"/>
          </w:tcPr>
          <w:p w14:paraId="1714132C"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Código de Comercio, artículos 10, 20, 21, 26, 33 y 37.</w:t>
            </w:r>
          </w:p>
          <w:p w14:paraId="78304CD5"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Ley 80 de 1993, artículos 6 y 8.</w:t>
            </w:r>
          </w:p>
          <w:p w14:paraId="70007D04"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Ley 1150 de 2007, artículos 5 y 6.</w:t>
            </w:r>
          </w:p>
          <w:p w14:paraId="5DC8E32F"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 xml:space="preserve">Decreto 1082 de 2015, artículos </w:t>
            </w:r>
            <w:r w:rsidRPr="002C1933">
              <w:rPr>
                <w:rFonts w:ascii="Verdana" w:eastAsia="Times New Roman" w:hAnsi="Verdana" w:cs="Arial"/>
                <w:lang w:val="es-ES_tradnl" w:eastAsia="es-ES_tradnl"/>
              </w:rPr>
              <w:t xml:space="preserve">2.2.1.1.1.5.2, </w:t>
            </w:r>
            <w:r w:rsidRPr="002C1933">
              <w:rPr>
                <w:rFonts w:ascii="Verdana" w:eastAsia="Aptos" w:hAnsi="Verdana" w:cs="Arial"/>
                <w:lang w:val="es-ES_tradnl"/>
              </w:rPr>
              <w:t>2.2.1.1.1.6.2 y 2.2.1.1.1.5.3.</w:t>
            </w:r>
          </w:p>
          <w:p w14:paraId="7EC06F17"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 xml:space="preserve">Manual para determinar y verificar los requisitos habilitantes en los Procesos de Contratación. Disponible en: </w:t>
            </w:r>
            <w:hyperlink r:id="rId12" w:history="1">
              <w:r w:rsidRPr="002C1933">
                <w:rPr>
                  <w:rFonts w:ascii="Verdana" w:eastAsia="Aptos" w:hAnsi="Verdana" w:cs="Arial"/>
                  <w:color w:val="0000FF"/>
                  <w:u w:val="single"/>
                  <w:lang w:val="es-ES_tradnl"/>
                </w:rPr>
                <w:t>https://www.colombiacompra.gov.co/archivos/manual/manual-para-determinar-y-verificar-los-requisitos-habilitantes-en-los-procesos-de-contratacion</w:t>
              </w:r>
            </w:hyperlink>
            <w:r w:rsidRPr="002C1933">
              <w:rPr>
                <w:rFonts w:ascii="Verdana" w:eastAsia="Aptos" w:hAnsi="Verdana" w:cs="Arial"/>
                <w:lang w:val="es-ES_tradnl"/>
              </w:rPr>
              <w:t xml:space="preserve">. </w:t>
            </w:r>
          </w:p>
          <w:p w14:paraId="3772D093" w14:textId="77777777" w:rsidR="002C1933" w:rsidRPr="002C1933" w:rsidRDefault="002C1933" w:rsidP="002C1933">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C1933">
              <w:rPr>
                <w:rFonts w:ascii="Verdana" w:eastAsia="Aptos" w:hAnsi="Verdana" w:cs="Arial"/>
                <w:lang w:val="es-ES_tradnl"/>
              </w:rPr>
              <w:t>Circular Única de la Superintendencia de Industria y Comercio.</w:t>
            </w:r>
          </w:p>
        </w:tc>
      </w:tr>
    </w:tbl>
    <w:p w14:paraId="1DF1CAD3" w14:textId="77777777" w:rsidR="002C1933" w:rsidRPr="002C1933" w:rsidRDefault="002C1933" w:rsidP="002C1933">
      <w:pPr>
        <w:widowControl w:val="0"/>
        <w:autoSpaceDE w:val="0"/>
        <w:autoSpaceDN w:val="0"/>
        <w:spacing w:after="0" w:line="276" w:lineRule="auto"/>
        <w:jc w:val="both"/>
        <w:rPr>
          <w:rFonts w:ascii="Verdana" w:eastAsia="Aptos" w:hAnsi="Verdana" w:cs="Arial"/>
          <w:lang w:val="es-ES_tradnl"/>
        </w:rPr>
      </w:pPr>
    </w:p>
    <w:p w14:paraId="5FFEB0FB" w14:textId="77777777" w:rsidR="002C1933" w:rsidRPr="002C1933" w:rsidRDefault="002C1933" w:rsidP="002C1933">
      <w:pPr>
        <w:widowControl w:val="0"/>
        <w:autoSpaceDE w:val="0"/>
        <w:autoSpaceDN w:val="0"/>
        <w:spacing w:after="0" w:line="276" w:lineRule="auto"/>
        <w:outlineLvl w:val="0"/>
        <w:rPr>
          <w:rFonts w:ascii="Verdana" w:eastAsia="Arial" w:hAnsi="Verdana" w:cs="Arial"/>
          <w:b/>
          <w:bCs/>
          <w:lang w:val="es-ES_tradnl"/>
        </w:rPr>
      </w:pPr>
      <w:r w:rsidRPr="002C1933">
        <w:rPr>
          <w:rFonts w:ascii="Verdana" w:eastAsia="Arial" w:hAnsi="Verdana" w:cs="Arial"/>
          <w:b/>
          <w:bCs/>
          <w:lang w:val="es-ES_tradnl"/>
        </w:rPr>
        <w:t>5. Doctrina de la Agencia Nacional de Contratación Pública:</w:t>
      </w:r>
    </w:p>
    <w:p w14:paraId="48D86D17" w14:textId="77777777" w:rsidR="002C1933" w:rsidRPr="002C1933" w:rsidRDefault="002C1933" w:rsidP="002C1933">
      <w:pPr>
        <w:widowControl w:val="0"/>
        <w:autoSpaceDE w:val="0"/>
        <w:autoSpaceDN w:val="0"/>
        <w:spacing w:after="0" w:line="276" w:lineRule="auto"/>
        <w:jc w:val="both"/>
        <w:rPr>
          <w:rFonts w:ascii="Verdana" w:eastAsia="Aptos" w:hAnsi="Verdana" w:cs="Arial"/>
          <w:lang w:val="es-ES_tradnl"/>
        </w:rPr>
      </w:pPr>
    </w:p>
    <w:p w14:paraId="31DDF861" w14:textId="10991DBE" w:rsidR="002C1933" w:rsidRPr="002C1933" w:rsidRDefault="002C1933" w:rsidP="002C1933">
      <w:pPr>
        <w:widowControl w:val="0"/>
        <w:autoSpaceDE w:val="0"/>
        <w:autoSpaceDN w:val="0"/>
        <w:spacing w:after="0" w:line="276" w:lineRule="auto"/>
        <w:jc w:val="both"/>
        <w:rPr>
          <w:rFonts w:ascii="Verdana" w:eastAsia="Calibri" w:hAnsi="Verdana" w:cs="Arial"/>
          <w:b/>
          <w:bCs/>
          <w:color w:val="000000"/>
          <w:kern w:val="2"/>
          <w:lang w:val="es-ES"/>
          <w14:ligatures w14:val="standardContextual"/>
        </w:rPr>
      </w:pPr>
      <w:r w:rsidRPr="002C1933">
        <w:rPr>
          <w:rFonts w:ascii="Verdana" w:eastAsia="Calibri" w:hAnsi="Verdana" w:cs="Arial"/>
          <w:color w:val="000000"/>
          <w:kern w:val="2"/>
          <w:lang w:val="es-ES"/>
          <w14:ligatures w14:val="standardContextual"/>
        </w:rPr>
        <w:t>La Agencia Nacional de Contratación Pública ‒ Colombia Compra Eficiente, se ha pronunciado la acreditación de la experiencia de los socios por una sociedad nueva con menos de 3 años de constitución 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de marzo de 2025, 670 de 2024, C-830 de 2025, Concepto C- 804 de 2025 y C-1391 de 2025.</w:t>
      </w:r>
      <w:r>
        <w:rPr>
          <w:rFonts w:ascii="Verdana" w:eastAsia="Calibri" w:hAnsi="Verdana" w:cs="Arial"/>
          <w:color w:val="000000"/>
          <w:kern w:val="2"/>
          <w:lang w:val="es-ES"/>
          <w14:ligatures w14:val="standardContextual"/>
        </w:rPr>
        <w:t xml:space="preserve"> </w:t>
      </w:r>
      <w:r w:rsidRPr="002C1933">
        <w:rPr>
          <w:rFonts w:ascii="Verdana" w:eastAsia="Times New Roman" w:hAnsi="Verdana" w:cs="Arial"/>
          <w:shd w:val="clear" w:color="auto" w:fill="FFFFFF"/>
          <w:lang w:val="es-ES"/>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2C1933">
          <w:rPr>
            <w:rFonts w:ascii="Verdana" w:eastAsia="Times New Roman" w:hAnsi="Verdana" w:cs="Arial"/>
            <w:shd w:val="clear" w:color="auto" w:fill="FFFFFF"/>
            <w:lang w:val="es-ES"/>
          </w:rPr>
          <w:t>https://relatoria.colombiacompra.gov.co/</w:t>
        </w:r>
      </w:hyperlink>
      <w:r w:rsidRPr="002C1933">
        <w:rPr>
          <w:rFonts w:ascii="Verdana" w:eastAsia="Times New Roman" w:hAnsi="Verdana" w:cs="Arial"/>
          <w:shd w:val="clear" w:color="auto" w:fill="FFFFFF"/>
          <w:lang w:val="es-ES"/>
        </w:rPr>
        <w:t xml:space="preserve"> </w:t>
      </w:r>
    </w:p>
    <w:p w14:paraId="2B8E5FBB" w14:textId="77777777" w:rsidR="002C1933" w:rsidRPr="002C1933" w:rsidRDefault="002C1933" w:rsidP="002C1933">
      <w:pPr>
        <w:widowControl w:val="0"/>
        <w:autoSpaceDE w:val="0"/>
        <w:autoSpaceDN w:val="0"/>
        <w:spacing w:after="0" w:line="276" w:lineRule="auto"/>
        <w:jc w:val="both"/>
        <w:rPr>
          <w:rFonts w:ascii="Verdana" w:hAnsi="Verdana"/>
        </w:rPr>
      </w:pPr>
    </w:p>
    <w:p w14:paraId="68DE562C" w14:textId="3B679F5E" w:rsidR="004E38C9" w:rsidRPr="00FA6066" w:rsidRDefault="002C1933" w:rsidP="00FA6066">
      <w:pPr>
        <w:widowControl w:val="0"/>
        <w:autoSpaceDE w:val="0"/>
        <w:autoSpaceDN w:val="0"/>
        <w:spacing w:after="0" w:line="276" w:lineRule="auto"/>
        <w:jc w:val="both"/>
        <w:rPr>
          <w:rFonts w:ascii="Verdana" w:hAnsi="Verdana" w:cs="Arial"/>
          <w:lang w:val="es-ES_tradnl"/>
        </w:rPr>
      </w:pPr>
      <w:r w:rsidRPr="002C1933">
        <w:rPr>
          <w:rFonts w:ascii="Verdana" w:hAnsi="Verdana" w:cs="Arial"/>
        </w:rPr>
        <w:t xml:space="preserve">Este concepto tiene el alcance previsto en el artículo 28 del Código de Procedimiento Administrativo y de lo Contencioso Administrativo </w:t>
      </w:r>
      <w:r w:rsidRPr="002C1933">
        <w:rPr>
          <w:rFonts w:ascii="Verdana" w:hAnsi="Verdana" w:cs="Arial"/>
          <w:lang w:val="es-ES_tradnl"/>
        </w:rPr>
        <w:t>y las expresiones aquí utilizadas con mayúscula inicial deben ser entendidas con el significado que les otorga el artículo 2.2.1.1.1.3.1. del Decreto 1082 de 2015.</w:t>
      </w:r>
    </w:p>
    <w:p w14:paraId="349CC1CF" w14:textId="05D9513C" w:rsidR="004E38C9" w:rsidRPr="004E38C9" w:rsidRDefault="002619FF" w:rsidP="004E38C9">
      <w:pPr>
        <w:spacing w:after="0" w:line="276" w:lineRule="auto"/>
        <w:jc w:val="center"/>
        <w:rPr>
          <w:rFonts w:ascii="Century Gothic" w:hAnsi="Century Gothic"/>
          <w:noProof/>
          <w:lang w:val="es-ES"/>
        </w:rPr>
      </w:pPr>
      <w:r w:rsidRPr="002C3AD6">
        <w:rPr>
          <w:rFonts w:ascii="Century Gothic" w:hAnsi="Century Gothic"/>
          <w:noProof/>
        </w:rPr>
        <w:drawing>
          <wp:inline distT="0" distB="0" distL="0" distR="0" wp14:anchorId="7D0E2E3B" wp14:editId="2410798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7CC3E448" w14:textId="77777777" w:rsidR="004E38C9" w:rsidRPr="004E38C9" w:rsidRDefault="004E38C9" w:rsidP="004E38C9">
      <w:pPr>
        <w:spacing w:after="0" w:line="276" w:lineRule="auto"/>
        <w:rPr>
          <w:rFonts w:ascii="Verdana" w:hAnsi="Verdana" w:cs="Arial"/>
          <w:color w:val="000000" w:themeColor="text1"/>
          <w:lang w:val="es-ES" w:eastAsia="es-CO"/>
        </w:rPr>
      </w:pPr>
    </w:p>
    <w:tbl>
      <w:tblPr>
        <w:tblStyle w:val="Tablaconcuadrcula1"/>
        <w:tblW w:w="6521" w:type="dxa"/>
        <w:tblLook w:val="04A0" w:firstRow="1" w:lastRow="0" w:firstColumn="1" w:lastColumn="0" w:noHBand="0" w:noVBand="1"/>
      </w:tblPr>
      <w:tblGrid>
        <w:gridCol w:w="893"/>
        <w:gridCol w:w="5628"/>
      </w:tblGrid>
      <w:tr w:rsidR="004E38C9" w:rsidRPr="004E38C9" w14:paraId="0618E9CA" w14:textId="77777777">
        <w:trPr>
          <w:trHeight w:val="315"/>
        </w:trPr>
        <w:tc>
          <w:tcPr>
            <w:tcW w:w="893" w:type="dxa"/>
            <w:vAlign w:val="center"/>
            <w:hideMark/>
          </w:tcPr>
          <w:p w14:paraId="0219A64E" w14:textId="77777777" w:rsidR="004E38C9" w:rsidRPr="004E38C9" w:rsidRDefault="004E38C9" w:rsidP="004E38C9">
            <w:pPr>
              <w:spacing w:after="160" w:line="259" w:lineRule="auto"/>
              <w:contextualSpacing/>
              <w:rPr>
                <w:rFonts w:ascii="Verdana" w:hAnsi="Verdana" w:cs="Arial"/>
                <w:sz w:val="16"/>
                <w:szCs w:val="16"/>
                <w:lang w:val="es-ES" w:eastAsia="es-ES"/>
              </w:rPr>
            </w:pPr>
            <w:r w:rsidRPr="004E38C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D0DB376" w14:textId="77777777" w:rsidR="004E38C9" w:rsidRPr="004E38C9" w:rsidRDefault="004E38C9" w:rsidP="004E38C9">
            <w:pPr>
              <w:spacing w:after="160" w:line="259" w:lineRule="auto"/>
              <w:contextualSpacing/>
              <w:rPr>
                <w:rFonts w:ascii="Verdana" w:eastAsia="Arial" w:hAnsi="Verdana" w:cs="Arial"/>
                <w:color w:val="000000" w:themeColor="text1"/>
                <w:sz w:val="16"/>
                <w:szCs w:val="16"/>
                <w:lang w:val="es-ES"/>
              </w:rPr>
            </w:pPr>
            <w:r w:rsidRPr="004E38C9">
              <w:rPr>
                <w:rFonts w:ascii="Verdana" w:eastAsia="Arial" w:hAnsi="Verdana" w:cs="Arial"/>
                <w:color w:val="000000" w:themeColor="text1"/>
                <w:sz w:val="16"/>
                <w:szCs w:val="16"/>
                <w:lang w:val="es-ES"/>
              </w:rPr>
              <w:t xml:space="preserve">Diana Carolina Blanco </w:t>
            </w:r>
            <w:proofErr w:type="spellStart"/>
            <w:r w:rsidRPr="004E38C9">
              <w:rPr>
                <w:rFonts w:ascii="Verdana" w:eastAsia="Arial" w:hAnsi="Verdana" w:cs="Arial"/>
                <w:color w:val="000000" w:themeColor="text1"/>
                <w:sz w:val="16"/>
                <w:szCs w:val="16"/>
                <w:lang w:val="es-ES"/>
              </w:rPr>
              <w:t>Rodriguez</w:t>
            </w:r>
            <w:proofErr w:type="spellEnd"/>
          </w:p>
          <w:p w14:paraId="01AA8765" w14:textId="77777777" w:rsidR="004E38C9" w:rsidRPr="004E38C9" w:rsidRDefault="004E38C9" w:rsidP="004E38C9">
            <w:pPr>
              <w:spacing w:after="160" w:line="259" w:lineRule="auto"/>
              <w:contextualSpacing/>
              <w:rPr>
                <w:rFonts w:ascii="Verdana" w:eastAsia="Arial" w:hAnsi="Verdana" w:cs="Arial"/>
                <w:sz w:val="16"/>
                <w:szCs w:val="16"/>
                <w:lang w:val="es-ES"/>
              </w:rPr>
            </w:pPr>
            <w:r w:rsidRPr="004E38C9">
              <w:rPr>
                <w:rFonts w:ascii="Verdana" w:hAnsi="Verdana" w:cs="Arial"/>
                <w:sz w:val="16"/>
                <w:szCs w:val="16"/>
                <w:lang w:val="es-ES"/>
              </w:rPr>
              <w:t xml:space="preserve">Contratista </w:t>
            </w:r>
            <w:r w:rsidRPr="004E38C9">
              <w:rPr>
                <w:rFonts w:ascii="Verdana" w:eastAsia="Arial" w:hAnsi="Verdana" w:cs="Arial"/>
                <w:color w:val="000000" w:themeColor="text1"/>
                <w:sz w:val="16"/>
                <w:szCs w:val="16"/>
                <w:lang w:val="es-ES"/>
              </w:rPr>
              <w:t xml:space="preserve">de la Subdirección </w:t>
            </w:r>
            <w:r w:rsidRPr="004E38C9">
              <w:rPr>
                <w:rFonts w:ascii="Verdana" w:eastAsia="Arial" w:hAnsi="Verdana" w:cs="Arial"/>
                <w:sz w:val="16"/>
                <w:szCs w:val="16"/>
                <w:lang w:val="es-ES"/>
              </w:rPr>
              <w:t>de Gestión Contractual</w:t>
            </w:r>
          </w:p>
        </w:tc>
      </w:tr>
      <w:tr w:rsidR="004E38C9" w:rsidRPr="004E38C9" w14:paraId="0B055E73" w14:textId="77777777">
        <w:trPr>
          <w:trHeight w:val="330"/>
        </w:trPr>
        <w:tc>
          <w:tcPr>
            <w:tcW w:w="893" w:type="dxa"/>
            <w:vAlign w:val="center"/>
            <w:hideMark/>
          </w:tcPr>
          <w:p w14:paraId="04CD916D" w14:textId="77777777" w:rsidR="004E38C9" w:rsidRPr="004E38C9" w:rsidRDefault="004E38C9" w:rsidP="004E38C9">
            <w:pPr>
              <w:spacing w:after="160" w:line="259" w:lineRule="auto"/>
              <w:contextualSpacing/>
              <w:rPr>
                <w:rFonts w:ascii="Verdana" w:hAnsi="Verdana" w:cs="Arial"/>
                <w:sz w:val="16"/>
                <w:szCs w:val="16"/>
                <w:lang w:val="es-ES" w:eastAsia="es-ES"/>
              </w:rPr>
            </w:pPr>
            <w:r w:rsidRPr="004E38C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50BF0E" w14:textId="77777777" w:rsidR="004E38C9" w:rsidRPr="004E38C9" w:rsidRDefault="004E38C9" w:rsidP="004E38C9">
            <w:pPr>
              <w:spacing w:after="160" w:line="276" w:lineRule="auto"/>
              <w:contextualSpacing/>
              <w:textAlignment w:val="baseline"/>
              <w:rPr>
                <w:rFonts w:ascii="Verdana" w:eastAsia="Times New Roman" w:hAnsi="Verdana" w:cs="Arial"/>
                <w:sz w:val="16"/>
                <w:szCs w:val="16"/>
                <w:lang w:val="es-ES" w:eastAsia="es-ES_tradnl"/>
              </w:rPr>
            </w:pPr>
            <w:r w:rsidRPr="004E38C9">
              <w:rPr>
                <w:rFonts w:ascii="Verdana" w:eastAsia="Times New Roman" w:hAnsi="Verdana" w:cs="Arial"/>
                <w:sz w:val="16"/>
                <w:szCs w:val="16"/>
                <w:lang w:val="es-ES" w:eastAsia="es-ES_tradnl"/>
              </w:rPr>
              <w:t>Diana Lucia Saavedra Castañeda</w:t>
            </w:r>
          </w:p>
          <w:p w14:paraId="7DBE5D11" w14:textId="77777777" w:rsidR="004E38C9" w:rsidRPr="004E38C9" w:rsidRDefault="004E38C9" w:rsidP="004E38C9">
            <w:pPr>
              <w:contextualSpacing/>
              <w:textAlignment w:val="baseline"/>
              <w:rPr>
                <w:rFonts w:ascii="Verdana" w:eastAsia="Times New Roman" w:hAnsi="Verdana" w:cs="Segoe UI"/>
                <w:sz w:val="16"/>
                <w:szCs w:val="16"/>
                <w:lang w:val="es-ES" w:eastAsia="es-CO"/>
              </w:rPr>
            </w:pPr>
            <w:r w:rsidRPr="004E38C9">
              <w:rPr>
                <w:rFonts w:ascii="Verdana" w:eastAsia="Times New Roman" w:hAnsi="Verdana" w:cs="Arial"/>
                <w:sz w:val="16"/>
                <w:szCs w:val="16"/>
                <w:lang w:val="es-ES" w:eastAsia="es-CO"/>
              </w:rPr>
              <w:t>Contratista de la Subdirección de Gestión Contractual </w:t>
            </w:r>
          </w:p>
        </w:tc>
      </w:tr>
      <w:tr w:rsidR="004E38C9" w:rsidRPr="004E38C9" w14:paraId="5D42DB7C" w14:textId="77777777">
        <w:trPr>
          <w:trHeight w:val="300"/>
        </w:trPr>
        <w:tc>
          <w:tcPr>
            <w:tcW w:w="893" w:type="dxa"/>
            <w:vAlign w:val="center"/>
          </w:tcPr>
          <w:p w14:paraId="68050C42" w14:textId="77777777" w:rsidR="004E38C9" w:rsidRPr="004E38C9" w:rsidRDefault="004E38C9" w:rsidP="004E38C9">
            <w:pPr>
              <w:spacing w:after="160" w:line="259" w:lineRule="auto"/>
              <w:contextualSpacing/>
              <w:rPr>
                <w:rFonts w:ascii="Verdana" w:hAnsi="Verdana" w:cs="Arial"/>
                <w:sz w:val="16"/>
                <w:szCs w:val="16"/>
                <w:lang w:val="es-ES" w:eastAsia="es-ES"/>
              </w:rPr>
            </w:pPr>
            <w:r w:rsidRPr="004E38C9">
              <w:rPr>
                <w:rFonts w:ascii="Verdana" w:hAnsi="Verdana" w:cs="Arial"/>
                <w:sz w:val="16"/>
                <w:szCs w:val="16"/>
                <w:lang w:val="es-ES" w:eastAsia="es-ES"/>
              </w:rPr>
              <w:t>Aprobó:</w:t>
            </w:r>
          </w:p>
          <w:p w14:paraId="24B43FCE" w14:textId="77777777" w:rsidR="004E38C9" w:rsidRPr="004E38C9" w:rsidRDefault="004E38C9" w:rsidP="004E38C9">
            <w:pPr>
              <w:spacing w:after="160" w:line="259" w:lineRule="auto"/>
              <w:contextualSpacing/>
              <w:rPr>
                <w:rFonts w:ascii="Verdana" w:hAnsi="Verdana" w:cs="Arial"/>
                <w:sz w:val="16"/>
                <w:szCs w:val="16"/>
                <w:lang w:val="es-ES" w:eastAsia="es-ES"/>
              </w:rPr>
            </w:pPr>
          </w:p>
        </w:tc>
        <w:tc>
          <w:tcPr>
            <w:tcW w:w="5628" w:type="dxa"/>
            <w:tcBorders>
              <w:top w:val="dotted" w:sz="4" w:space="0" w:color="7F7F7F" w:themeColor="text1" w:themeTint="80"/>
              <w:left w:val="nil"/>
              <w:bottom w:val="dotted" w:sz="4" w:space="0" w:color="7F7F7F" w:themeColor="text1" w:themeTint="80"/>
              <w:right w:val="nil"/>
            </w:tcBorders>
            <w:vAlign w:val="center"/>
          </w:tcPr>
          <w:p w14:paraId="32009708" w14:textId="77777777" w:rsidR="004E38C9" w:rsidRPr="004E38C9" w:rsidRDefault="004E38C9" w:rsidP="004E38C9">
            <w:pPr>
              <w:spacing w:after="160" w:line="259" w:lineRule="auto"/>
              <w:contextualSpacing/>
              <w:rPr>
                <w:rFonts w:ascii="Verdana" w:eastAsia="Calibri" w:hAnsi="Verdana" w:cs="Arial"/>
                <w:sz w:val="16"/>
                <w:szCs w:val="16"/>
                <w:lang w:val="es-ES" w:eastAsia="es-ES"/>
              </w:rPr>
            </w:pPr>
            <w:r w:rsidRPr="004E38C9">
              <w:rPr>
                <w:rFonts w:ascii="Verdana" w:eastAsia="Calibri" w:hAnsi="Verdana" w:cs="Arial"/>
                <w:sz w:val="16"/>
                <w:szCs w:val="16"/>
                <w:lang w:val="es-ES" w:eastAsia="es-ES"/>
              </w:rPr>
              <w:t>Carolina Quintero Gacharná</w:t>
            </w:r>
          </w:p>
          <w:p w14:paraId="5BAED589" w14:textId="77777777" w:rsidR="004E38C9" w:rsidRPr="004E38C9" w:rsidRDefault="004E38C9" w:rsidP="004E38C9">
            <w:pPr>
              <w:spacing w:after="160" w:line="259" w:lineRule="auto"/>
              <w:contextualSpacing/>
              <w:rPr>
                <w:rFonts w:ascii="Verdana" w:eastAsia="Calibri" w:hAnsi="Verdana" w:cs="Arial"/>
                <w:sz w:val="16"/>
                <w:szCs w:val="16"/>
                <w:lang w:val="es-ES" w:eastAsia="es-ES"/>
              </w:rPr>
            </w:pPr>
            <w:r w:rsidRPr="004E38C9">
              <w:rPr>
                <w:rFonts w:ascii="Verdana" w:eastAsia="Calibri" w:hAnsi="Verdana" w:cs="Arial"/>
                <w:sz w:val="16"/>
                <w:szCs w:val="16"/>
                <w:lang w:val="es-ES" w:eastAsia="es-ES"/>
              </w:rPr>
              <w:t>Subdirectora de Gestión Contractual ANCP – CCE</w:t>
            </w:r>
          </w:p>
        </w:tc>
      </w:tr>
    </w:tbl>
    <w:p w14:paraId="68EB0168" w14:textId="77777777" w:rsidR="004E38C9" w:rsidRPr="004E38C9" w:rsidRDefault="004E38C9" w:rsidP="004E38C9">
      <w:pPr>
        <w:spacing w:after="0" w:line="240" w:lineRule="auto"/>
        <w:textAlignment w:val="baseline"/>
        <w:rPr>
          <w:rFonts w:ascii="Verdana" w:eastAsia="Times New Roman" w:hAnsi="Verdana" w:cs="Segoe UI"/>
          <w:b/>
          <w:bCs/>
          <w:color w:val="46589C"/>
          <w:lang w:val="es-ES" w:eastAsia="es-CO"/>
        </w:rPr>
      </w:pPr>
    </w:p>
    <w:p w14:paraId="1AA1D910" w14:textId="77777777" w:rsidR="004E38C9" w:rsidRPr="004E38C9" w:rsidRDefault="004E38C9" w:rsidP="004E38C9">
      <w:pPr>
        <w:rPr>
          <w:lang w:val="es-ES"/>
        </w:rPr>
      </w:pPr>
    </w:p>
    <w:p w14:paraId="4E10EBF7" w14:textId="77777777" w:rsidR="004E38C9" w:rsidRPr="004E38C9" w:rsidRDefault="004E38C9" w:rsidP="004E38C9">
      <w:pPr>
        <w:jc w:val="both"/>
        <w:rPr>
          <w:rFonts w:ascii="Verdana" w:hAnsi="Verdana"/>
          <w:lang w:val="es-ES"/>
        </w:rPr>
      </w:pPr>
    </w:p>
    <w:p w14:paraId="0F293BF4" w14:textId="5A99F576" w:rsidR="00127233" w:rsidRDefault="00127233" w:rsidP="00BA0E3D">
      <w:pPr>
        <w:spacing w:after="0" w:line="240" w:lineRule="auto"/>
        <w:jc w:val="both"/>
        <w:textAlignment w:val="baseline"/>
        <w:rPr>
          <w:rFonts w:ascii="Verdana" w:eastAsia="Times New Roman" w:hAnsi="Verdana" w:cs="Segoe UI"/>
          <w:color w:val="4E4D4D"/>
          <w:lang w:eastAsia="es-CO"/>
        </w:rPr>
      </w:pPr>
    </w:p>
    <w:p w14:paraId="16094CBB" w14:textId="77777777" w:rsidR="00BA0E3D" w:rsidRPr="0015699B" w:rsidRDefault="00BA0E3D" w:rsidP="00BA0E3D">
      <w:pPr>
        <w:spacing w:after="0" w:line="240" w:lineRule="auto"/>
        <w:jc w:val="both"/>
        <w:textAlignment w:val="baseline"/>
        <w:rPr>
          <w:rFonts w:ascii="Verdana" w:eastAsia="Times New Roman" w:hAnsi="Verdana" w:cs="Segoe UI"/>
          <w:lang w:eastAsia="es-CO"/>
        </w:rPr>
      </w:pPr>
    </w:p>
    <w:sectPr w:rsidR="00BA0E3D" w:rsidRPr="0015699B" w:rsidSect="00FA6066">
      <w:headerReference w:type="default" r:id="rId15"/>
      <w:footerReference w:type="default" r:id="rId16"/>
      <w:pgSz w:w="12240" w:h="15840" w:code="1"/>
      <w:pgMar w:top="1417" w:right="1701" w:bottom="1417"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E2711" w14:textId="77777777" w:rsidR="001B48FF" w:rsidRDefault="001B48FF" w:rsidP="004A1847">
      <w:pPr>
        <w:spacing w:after="0" w:line="240" w:lineRule="auto"/>
      </w:pPr>
      <w:r>
        <w:separator/>
      </w:r>
    </w:p>
  </w:endnote>
  <w:endnote w:type="continuationSeparator" w:id="0">
    <w:p w14:paraId="655074A3" w14:textId="77777777" w:rsidR="001B48FF" w:rsidRDefault="001B48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8BE44" w14:textId="77777777" w:rsidR="001B48FF" w:rsidRDefault="001B48FF" w:rsidP="004A1847">
      <w:pPr>
        <w:spacing w:after="0" w:line="240" w:lineRule="auto"/>
      </w:pPr>
      <w:r>
        <w:separator/>
      </w:r>
    </w:p>
  </w:footnote>
  <w:footnote w:type="continuationSeparator" w:id="0">
    <w:p w14:paraId="2AC1B44D" w14:textId="77777777" w:rsidR="001B48FF" w:rsidRDefault="001B48FF" w:rsidP="004A1847">
      <w:pPr>
        <w:spacing w:after="0" w:line="240" w:lineRule="auto"/>
      </w:pPr>
      <w:r>
        <w:continuationSeparator/>
      </w:r>
    </w:p>
  </w:footnote>
  <w:footnote w:id="1">
    <w:p w14:paraId="3717F97C" w14:textId="77777777" w:rsidR="002C1933" w:rsidRDefault="002C1933" w:rsidP="002C1933">
      <w:pPr>
        <w:pStyle w:val="Textonotapie"/>
        <w:ind w:firstLine="709"/>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Decreto 1082 de 2015, artículo 2.2.1.1.1.6.2.</w:t>
      </w:r>
    </w:p>
    <w:p w14:paraId="2DCAE8FC" w14:textId="77777777" w:rsidR="002C1933" w:rsidRDefault="002C1933" w:rsidP="002C1933">
      <w:pPr>
        <w:pStyle w:val="Textonotapie"/>
        <w:ind w:firstLine="709"/>
        <w:rPr>
          <w:rFonts w:ascii="Verdana" w:hAnsi="Verdana"/>
          <w:sz w:val="16"/>
          <w:szCs w:val="16"/>
          <w:lang w:val="es-ES"/>
        </w:rPr>
      </w:pPr>
    </w:p>
  </w:footnote>
  <w:footnote w:id="2">
    <w:p w14:paraId="5C58C457" w14:textId="77777777" w:rsidR="002C1933" w:rsidRDefault="002C1933" w:rsidP="002C1933">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 a las Entidades Estatales, identificados con el Clasificador de Bienes y Servicios en el tercer nivel y su valor expresado en SMMLV. [...]”.</w:t>
      </w:r>
    </w:p>
    <w:p w14:paraId="547131AB" w14:textId="77777777" w:rsidR="002C1933" w:rsidRDefault="002C1933" w:rsidP="002C1933">
      <w:pPr>
        <w:pStyle w:val="Textonotapie"/>
        <w:ind w:firstLine="709"/>
        <w:jc w:val="both"/>
        <w:rPr>
          <w:rFonts w:ascii="Verdana" w:hAnsi="Verdana" w:cs="Arial"/>
          <w:sz w:val="16"/>
          <w:szCs w:val="16"/>
        </w:rPr>
      </w:pPr>
    </w:p>
  </w:footnote>
  <w:footnote w:id="3">
    <w:p w14:paraId="158B54D3" w14:textId="77777777" w:rsidR="002C1933" w:rsidRDefault="002C1933" w:rsidP="002C1933">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D41E51E" w14:textId="77777777" w:rsidR="002C1933" w:rsidRDefault="002C1933" w:rsidP="002C1933">
      <w:pPr>
        <w:pStyle w:val="Textonotapie"/>
        <w:ind w:firstLine="709"/>
        <w:jc w:val="both"/>
        <w:rPr>
          <w:rFonts w:ascii="Arial" w:hAnsi="Arial" w:cs="Arial"/>
          <w:sz w:val="10"/>
          <w:szCs w:val="10"/>
          <w:lang w:val="es-CO"/>
        </w:rPr>
      </w:pPr>
    </w:p>
  </w:footnote>
  <w:footnote w:id="4">
    <w:p w14:paraId="03FF67CD" w14:textId="77777777" w:rsidR="002C1933" w:rsidRDefault="002C1933" w:rsidP="002C1933">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783DC3EA" w14:textId="77777777" w:rsidR="002C1933" w:rsidRDefault="002C1933" w:rsidP="002C1933">
      <w:pPr>
        <w:pStyle w:val="Textonotapie"/>
        <w:ind w:firstLine="709"/>
        <w:jc w:val="both"/>
        <w:rPr>
          <w:rFonts w:ascii="Verdana" w:hAnsi="Verdana" w:cs="Arial"/>
          <w:sz w:val="16"/>
          <w:szCs w:val="16"/>
        </w:rPr>
      </w:pPr>
      <w:r>
        <w:rPr>
          <w:rFonts w:ascii="Verdana" w:hAnsi="Verdana" w:cs="Arial"/>
          <w:sz w:val="16"/>
          <w:szCs w:val="16"/>
        </w:rPr>
        <w:t xml:space="preserve">[…] </w:t>
      </w:r>
    </w:p>
    <w:p w14:paraId="7491DACC" w14:textId="77777777" w:rsidR="002C1933" w:rsidRDefault="002C1933" w:rsidP="002C1933">
      <w:pPr>
        <w:pStyle w:val="Textonotapie"/>
        <w:ind w:firstLine="709"/>
        <w:jc w:val="both"/>
        <w:rPr>
          <w:rFonts w:ascii="Verdana" w:hAnsi="Verdana" w:cs="Arial"/>
          <w:sz w:val="16"/>
          <w:szCs w:val="16"/>
        </w:rPr>
      </w:pPr>
      <w:r>
        <w:rPr>
          <w:rFonts w:ascii="Verdana" w:hAnsi="Verdana" w:cs="Arial"/>
          <w:sz w:val="16"/>
          <w:szCs w:val="16"/>
        </w:rPr>
        <w:t>2.1. Bienes, obras y servicios que ofrecerá a las Entidades Estatales, identificados con el Clasificador de Bienes y Servicios en el tercer nivel”.</w:t>
      </w:r>
    </w:p>
  </w:footnote>
  <w:footnote w:id="5">
    <w:p w14:paraId="1A83A871" w14:textId="77777777" w:rsidR="002C1933" w:rsidRDefault="002C1933" w:rsidP="002C1933">
      <w:pPr>
        <w:pStyle w:val="Textonotapie"/>
        <w:ind w:firstLine="709"/>
        <w:jc w:val="both"/>
        <w:rPr>
          <w:rFonts w:ascii="Verdana" w:hAnsi="Verdana" w:cs="Arial"/>
          <w:sz w:val="16"/>
          <w:szCs w:val="16"/>
        </w:rPr>
      </w:pPr>
    </w:p>
    <w:p w14:paraId="47E1B2EB" w14:textId="77777777" w:rsidR="002C1933" w:rsidRDefault="002C1933" w:rsidP="002C1933">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899C03B" w14:textId="77777777" w:rsidR="002C1933" w:rsidRDefault="002C1933" w:rsidP="002C1933">
      <w:pPr>
        <w:pStyle w:val="Textonotapie"/>
        <w:ind w:firstLine="709"/>
        <w:jc w:val="both"/>
        <w:rPr>
          <w:rFonts w:ascii="Verdana" w:hAnsi="Verdana" w:cs="Arial"/>
          <w:sz w:val="16"/>
          <w:szCs w:val="16"/>
        </w:rPr>
      </w:pPr>
      <w:r>
        <w:rPr>
          <w:rFonts w:ascii="Verdana" w:hAnsi="Verdana" w:cs="Arial"/>
          <w:sz w:val="16"/>
          <w:szCs w:val="16"/>
        </w:rPr>
        <w:t xml:space="preserve">[…] </w:t>
      </w:r>
    </w:p>
    <w:p w14:paraId="7D706F9F" w14:textId="77777777" w:rsidR="002C1933" w:rsidRDefault="002C1933" w:rsidP="002C1933">
      <w:pPr>
        <w:pStyle w:val="Textonotapie"/>
        <w:ind w:firstLine="709"/>
        <w:jc w:val="both"/>
        <w:rPr>
          <w:rFonts w:ascii="Verdana" w:hAnsi="Verdana" w:cs="Arial"/>
          <w:sz w:val="16"/>
          <w:szCs w:val="16"/>
        </w:rPr>
      </w:pPr>
      <w:r>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p w14:paraId="5D771EF2" w14:textId="77777777" w:rsidR="002C1933" w:rsidRDefault="002C1933" w:rsidP="002C1933">
      <w:pPr>
        <w:pStyle w:val="Textonotapie"/>
        <w:ind w:firstLine="709"/>
        <w:jc w:val="both"/>
        <w:rPr>
          <w:rFonts w:ascii="Century Gothic" w:hAnsi="Century Gothic"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04E5677"/>
    <w:multiLevelType w:val="hybridMultilevel"/>
    <w:tmpl w:val="30D0FAC8"/>
    <w:lvl w:ilvl="0" w:tplc="1632CAF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23E210A"/>
    <w:multiLevelType w:val="multilevel"/>
    <w:tmpl w:val="7E109918"/>
    <w:lvl w:ilvl="0">
      <w:start w:val="1"/>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F0C6D42"/>
    <w:multiLevelType w:val="multilevel"/>
    <w:tmpl w:val="7E109918"/>
    <w:lvl w:ilvl="0">
      <w:start w:val="1"/>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E47936"/>
    <w:multiLevelType w:val="hybridMultilevel"/>
    <w:tmpl w:val="BFE64EE6"/>
    <w:lvl w:ilvl="0" w:tplc="F404FF9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B501CC"/>
    <w:multiLevelType w:val="hybridMultilevel"/>
    <w:tmpl w:val="52B69E34"/>
    <w:lvl w:ilvl="0" w:tplc="9D425A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10"/>
  </w:num>
  <w:num w:numId="2" w16cid:durableId="19822139">
    <w:abstractNumId w:val="4"/>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4"/>
  </w:num>
  <w:num w:numId="6" w16cid:durableId="316692925">
    <w:abstractNumId w:val="17"/>
  </w:num>
  <w:num w:numId="7" w16cid:durableId="1946422806">
    <w:abstractNumId w:val="9"/>
  </w:num>
  <w:num w:numId="8" w16cid:durableId="152644682">
    <w:abstractNumId w:val="16"/>
  </w:num>
  <w:num w:numId="9" w16cid:durableId="1317221377">
    <w:abstractNumId w:val="11"/>
  </w:num>
  <w:num w:numId="10" w16cid:durableId="1471245386">
    <w:abstractNumId w:val="15"/>
  </w:num>
  <w:num w:numId="11" w16cid:durableId="289172385">
    <w:abstractNumId w:val="12"/>
  </w:num>
  <w:num w:numId="12" w16cid:durableId="1470781324">
    <w:abstractNumId w:val="3"/>
  </w:num>
  <w:num w:numId="13" w16cid:durableId="1512908409">
    <w:abstractNumId w:val="6"/>
  </w:num>
  <w:num w:numId="14" w16cid:durableId="895897244">
    <w:abstractNumId w:val="18"/>
  </w:num>
  <w:num w:numId="15" w16cid:durableId="390349800">
    <w:abstractNumId w:val="14"/>
  </w:num>
  <w:num w:numId="16" w16cid:durableId="341274352">
    <w:abstractNumId w:val="1"/>
  </w:num>
  <w:num w:numId="17" w16cid:durableId="228268696">
    <w:abstractNumId w:val="13"/>
  </w:num>
  <w:num w:numId="18" w16cid:durableId="1326783922">
    <w:abstractNumId w:val="2"/>
  </w:num>
  <w:num w:numId="19" w16cid:durableId="1358123939">
    <w:abstractNumId w:val="5"/>
  </w:num>
  <w:num w:numId="20" w16cid:durableId="1139885589">
    <w:abstractNumId w:val="19"/>
  </w:num>
  <w:num w:numId="21" w16cid:durableId="534276733">
    <w:abstractNumId w:val="0"/>
  </w:num>
  <w:num w:numId="22" w16cid:durableId="3888480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6F7"/>
    <w:rsid w:val="00016F78"/>
    <w:rsid w:val="0003365D"/>
    <w:rsid w:val="00046945"/>
    <w:rsid w:val="00061B2A"/>
    <w:rsid w:val="000740E4"/>
    <w:rsid w:val="00082362"/>
    <w:rsid w:val="000A683E"/>
    <w:rsid w:val="000B19B9"/>
    <w:rsid w:val="000D0334"/>
    <w:rsid w:val="000D5DA7"/>
    <w:rsid w:val="000E0505"/>
    <w:rsid w:val="000E3A99"/>
    <w:rsid w:val="000F6486"/>
    <w:rsid w:val="00116940"/>
    <w:rsid w:val="00125105"/>
    <w:rsid w:val="00127233"/>
    <w:rsid w:val="0015699B"/>
    <w:rsid w:val="001A33BF"/>
    <w:rsid w:val="001B48FF"/>
    <w:rsid w:val="001B5E3B"/>
    <w:rsid w:val="001D19D0"/>
    <w:rsid w:val="001E047F"/>
    <w:rsid w:val="001E4177"/>
    <w:rsid w:val="001F0B24"/>
    <w:rsid w:val="001F7DC6"/>
    <w:rsid w:val="0022400B"/>
    <w:rsid w:val="00232DF2"/>
    <w:rsid w:val="002421BB"/>
    <w:rsid w:val="0025796E"/>
    <w:rsid w:val="002619FF"/>
    <w:rsid w:val="002707A2"/>
    <w:rsid w:val="002951A0"/>
    <w:rsid w:val="002962BC"/>
    <w:rsid w:val="002A093D"/>
    <w:rsid w:val="002A0DD0"/>
    <w:rsid w:val="002A49AC"/>
    <w:rsid w:val="002A64FD"/>
    <w:rsid w:val="002C1933"/>
    <w:rsid w:val="002C7A84"/>
    <w:rsid w:val="002E2BF8"/>
    <w:rsid w:val="002E4FD9"/>
    <w:rsid w:val="002F0AF5"/>
    <w:rsid w:val="00305314"/>
    <w:rsid w:val="0030657A"/>
    <w:rsid w:val="00322A85"/>
    <w:rsid w:val="00324168"/>
    <w:rsid w:val="00326812"/>
    <w:rsid w:val="00330834"/>
    <w:rsid w:val="003448F4"/>
    <w:rsid w:val="003706C5"/>
    <w:rsid w:val="00374F5E"/>
    <w:rsid w:val="00377E3E"/>
    <w:rsid w:val="003A779E"/>
    <w:rsid w:val="003D0F4D"/>
    <w:rsid w:val="003D5B0D"/>
    <w:rsid w:val="003E0499"/>
    <w:rsid w:val="003E4F80"/>
    <w:rsid w:val="003E6439"/>
    <w:rsid w:val="003F3941"/>
    <w:rsid w:val="00406575"/>
    <w:rsid w:val="00414C74"/>
    <w:rsid w:val="00425D04"/>
    <w:rsid w:val="0042722E"/>
    <w:rsid w:val="00434502"/>
    <w:rsid w:val="004427AE"/>
    <w:rsid w:val="0044528D"/>
    <w:rsid w:val="004600AA"/>
    <w:rsid w:val="00466E39"/>
    <w:rsid w:val="004A1847"/>
    <w:rsid w:val="004A305D"/>
    <w:rsid w:val="004E38C9"/>
    <w:rsid w:val="004E4D6F"/>
    <w:rsid w:val="004F21C4"/>
    <w:rsid w:val="004F685F"/>
    <w:rsid w:val="00510DF7"/>
    <w:rsid w:val="00533235"/>
    <w:rsid w:val="005566E8"/>
    <w:rsid w:val="00561A93"/>
    <w:rsid w:val="00574867"/>
    <w:rsid w:val="00591460"/>
    <w:rsid w:val="00592F7A"/>
    <w:rsid w:val="005A65E0"/>
    <w:rsid w:val="005B38FE"/>
    <w:rsid w:val="005C3777"/>
    <w:rsid w:val="005C5CDC"/>
    <w:rsid w:val="005D476C"/>
    <w:rsid w:val="00613427"/>
    <w:rsid w:val="00616A97"/>
    <w:rsid w:val="006200BF"/>
    <w:rsid w:val="006219F8"/>
    <w:rsid w:val="006302F7"/>
    <w:rsid w:val="00646B9F"/>
    <w:rsid w:val="00665D70"/>
    <w:rsid w:val="00671E0B"/>
    <w:rsid w:val="00680A11"/>
    <w:rsid w:val="006900D9"/>
    <w:rsid w:val="006A6FD2"/>
    <w:rsid w:val="006B1FA2"/>
    <w:rsid w:val="006E494E"/>
    <w:rsid w:val="00706C16"/>
    <w:rsid w:val="007340C3"/>
    <w:rsid w:val="0075235A"/>
    <w:rsid w:val="007524A1"/>
    <w:rsid w:val="007533E3"/>
    <w:rsid w:val="00756841"/>
    <w:rsid w:val="007649AB"/>
    <w:rsid w:val="00771D0C"/>
    <w:rsid w:val="0077724F"/>
    <w:rsid w:val="007833AC"/>
    <w:rsid w:val="00794B9C"/>
    <w:rsid w:val="007A23EB"/>
    <w:rsid w:val="007A65B3"/>
    <w:rsid w:val="007B268C"/>
    <w:rsid w:val="007B7171"/>
    <w:rsid w:val="007C0C0F"/>
    <w:rsid w:val="007C3DC2"/>
    <w:rsid w:val="007E5497"/>
    <w:rsid w:val="00806F5F"/>
    <w:rsid w:val="00820278"/>
    <w:rsid w:val="008258C9"/>
    <w:rsid w:val="00844AE9"/>
    <w:rsid w:val="008651D9"/>
    <w:rsid w:val="00867F95"/>
    <w:rsid w:val="008843B6"/>
    <w:rsid w:val="00891928"/>
    <w:rsid w:val="008A446D"/>
    <w:rsid w:val="008A68E3"/>
    <w:rsid w:val="008B25F1"/>
    <w:rsid w:val="008D180B"/>
    <w:rsid w:val="008F0EA7"/>
    <w:rsid w:val="00923EEF"/>
    <w:rsid w:val="009419F9"/>
    <w:rsid w:val="009555D6"/>
    <w:rsid w:val="0095685E"/>
    <w:rsid w:val="00961B09"/>
    <w:rsid w:val="00965334"/>
    <w:rsid w:val="0097093E"/>
    <w:rsid w:val="009A0DFA"/>
    <w:rsid w:val="009A1C6F"/>
    <w:rsid w:val="009B2D26"/>
    <w:rsid w:val="009C71FA"/>
    <w:rsid w:val="009C72E7"/>
    <w:rsid w:val="009C7F7E"/>
    <w:rsid w:val="009D3058"/>
    <w:rsid w:val="009F09AA"/>
    <w:rsid w:val="009F3A13"/>
    <w:rsid w:val="00A122D3"/>
    <w:rsid w:val="00A14468"/>
    <w:rsid w:val="00A17F13"/>
    <w:rsid w:val="00A20739"/>
    <w:rsid w:val="00A23AF9"/>
    <w:rsid w:val="00A33C78"/>
    <w:rsid w:val="00A33F38"/>
    <w:rsid w:val="00A943D0"/>
    <w:rsid w:val="00AB0ADB"/>
    <w:rsid w:val="00AC3D5D"/>
    <w:rsid w:val="00AE4C49"/>
    <w:rsid w:val="00AF31EA"/>
    <w:rsid w:val="00B00C0E"/>
    <w:rsid w:val="00B01B1A"/>
    <w:rsid w:val="00B0381D"/>
    <w:rsid w:val="00B409B9"/>
    <w:rsid w:val="00B44A47"/>
    <w:rsid w:val="00B5043B"/>
    <w:rsid w:val="00B6486A"/>
    <w:rsid w:val="00B72CD3"/>
    <w:rsid w:val="00B72FFF"/>
    <w:rsid w:val="00B94F15"/>
    <w:rsid w:val="00BA0E3D"/>
    <w:rsid w:val="00BC3D36"/>
    <w:rsid w:val="00BD456D"/>
    <w:rsid w:val="00BD54A6"/>
    <w:rsid w:val="00BD66DB"/>
    <w:rsid w:val="00BD7F72"/>
    <w:rsid w:val="00BF7425"/>
    <w:rsid w:val="00C04FB3"/>
    <w:rsid w:val="00C06954"/>
    <w:rsid w:val="00C11D8B"/>
    <w:rsid w:val="00C15139"/>
    <w:rsid w:val="00C330EB"/>
    <w:rsid w:val="00C50D69"/>
    <w:rsid w:val="00C5365C"/>
    <w:rsid w:val="00C744F3"/>
    <w:rsid w:val="00C754BE"/>
    <w:rsid w:val="00C76B1C"/>
    <w:rsid w:val="00C925AC"/>
    <w:rsid w:val="00C964E3"/>
    <w:rsid w:val="00CA0790"/>
    <w:rsid w:val="00CB6357"/>
    <w:rsid w:val="00CC1B26"/>
    <w:rsid w:val="00CC729B"/>
    <w:rsid w:val="00CD7543"/>
    <w:rsid w:val="00CF1769"/>
    <w:rsid w:val="00D361FD"/>
    <w:rsid w:val="00D423A2"/>
    <w:rsid w:val="00D44E26"/>
    <w:rsid w:val="00D520D8"/>
    <w:rsid w:val="00D55928"/>
    <w:rsid w:val="00D56BF0"/>
    <w:rsid w:val="00D6097D"/>
    <w:rsid w:val="00D63AC2"/>
    <w:rsid w:val="00D7383B"/>
    <w:rsid w:val="00D7788A"/>
    <w:rsid w:val="00D85398"/>
    <w:rsid w:val="00DA231B"/>
    <w:rsid w:val="00DA5EA1"/>
    <w:rsid w:val="00DC39FC"/>
    <w:rsid w:val="00DF5254"/>
    <w:rsid w:val="00E02524"/>
    <w:rsid w:val="00E16408"/>
    <w:rsid w:val="00E170B7"/>
    <w:rsid w:val="00E20894"/>
    <w:rsid w:val="00E245AB"/>
    <w:rsid w:val="00E2764C"/>
    <w:rsid w:val="00E27F2E"/>
    <w:rsid w:val="00E435FB"/>
    <w:rsid w:val="00E50AFE"/>
    <w:rsid w:val="00E75C92"/>
    <w:rsid w:val="00E771DC"/>
    <w:rsid w:val="00E80920"/>
    <w:rsid w:val="00E8772A"/>
    <w:rsid w:val="00E90F6B"/>
    <w:rsid w:val="00E92C27"/>
    <w:rsid w:val="00EA0E3D"/>
    <w:rsid w:val="00EC38A7"/>
    <w:rsid w:val="00ED5600"/>
    <w:rsid w:val="00EE1AA8"/>
    <w:rsid w:val="00F23FEA"/>
    <w:rsid w:val="00F31EDC"/>
    <w:rsid w:val="00F4487E"/>
    <w:rsid w:val="00F462B3"/>
    <w:rsid w:val="00F5664F"/>
    <w:rsid w:val="00F666C4"/>
    <w:rsid w:val="00F76AFC"/>
    <w:rsid w:val="00FA47C0"/>
    <w:rsid w:val="00FA6066"/>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E5925F-07CC-4762-81E8-F22C9C58E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E38C9"/>
    <w:pPr>
      <w:spacing w:after="0" w:line="240" w:lineRule="auto"/>
    </w:pPr>
    <w:tblPr/>
  </w:style>
  <w:style w:type="paragraph" w:customStyle="1" w:styleId="Appelnotedebasde">
    <w:name w:val="Appel note de bas de..."/>
    <w:basedOn w:val="Normal"/>
    <w:link w:val="Refdenotaalpie"/>
    <w:uiPriority w:val="99"/>
    <w:rsid w:val="004E38C9"/>
    <w:pPr>
      <w:spacing w:line="240" w:lineRule="exact"/>
    </w:pPr>
    <w:rPr>
      <w:vertAlign w:val="superscript"/>
    </w:rPr>
  </w:style>
  <w:style w:type="paragraph" w:customStyle="1" w:styleId="Car1">
    <w:name w:val="Car1"/>
    <w:basedOn w:val="Normal"/>
    <w:next w:val="Textonotapie"/>
    <w:uiPriority w:val="99"/>
    <w:unhideWhenUsed/>
    <w:qFormat/>
    <w:rsid w:val="004E38C9"/>
    <w:pPr>
      <w:spacing w:after="0" w:line="240" w:lineRule="auto"/>
    </w:pPr>
    <w:rPr>
      <w:sz w:val="20"/>
      <w:szCs w:val="20"/>
      <w:lang w:val="es-MX"/>
    </w:rPr>
  </w:style>
  <w:style w:type="character" w:styleId="Refdecomentario">
    <w:name w:val="annotation reference"/>
    <w:basedOn w:val="Fuentedeprrafopredeter"/>
    <w:uiPriority w:val="99"/>
    <w:semiHidden/>
    <w:unhideWhenUsed/>
    <w:rsid w:val="008651D9"/>
    <w:rPr>
      <w:sz w:val="16"/>
      <w:szCs w:val="16"/>
    </w:rPr>
  </w:style>
  <w:style w:type="paragraph" w:styleId="Textocomentario">
    <w:name w:val="annotation text"/>
    <w:basedOn w:val="Normal"/>
    <w:link w:val="TextocomentarioCar"/>
    <w:uiPriority w:val="99"/>
    <w:unhideWhenUsed/>
    <w:rsid w:val="008651D9"/>
    <w:pPr>
      <w:spacing w:line="240" w:lineRule="auto"/>
    </w:pPr>
    <w:rPr>
      <w:sz w:val="20"/>
      <w:szCs w:val="20"/>
    </w:rPr>
  </w:style>
  <w:style w:type="character" w:customStyle="1" w:styleId="TextocomentarioCar">
    <w:name w:val="Texto comentario Car"/>
    <w:basedOn w:val="Fuentedeprrafopredeter"/>
    <w:link w:val="Textocomentario"/>
    <w:uiPriority w:val="99"/>
    <w:rsid w:val="008651D9"/>
    <w:rPr>
      <w:sz w:val="20"/>
      <w:szCs w:val="20"/>
    </w:rPr>
  </w:style>
  <w:style w:type="paragraph" w:styleId="Asuntodelcomentario">
    <w:name w:val="annotation subject"/>
    <w:basedOn w:val="Textocomentario"/>
    <w:next w:val="Textocomentario"/>
    <w:link w:val="AsuntodelcomentarioCar"/>
    <w:uiPriority w:val="99"/>
    <w:semiHidden/>
    <w:unhideWhenUsed/>
    <w:rsid w:val="008651D9"/>
    <w:rPr>
      <w:b/>
      <w:bCs/>
    </w:rPr>
  </w:style>
  <w:style w:type="character" w:customStyle="1" w:styleId="AsuntodelcomentarioCar">
    <w:name w:val="Asunto del comentario Car"/>
    <w:basedOn w:val="TextocomentarioCar"/>
    <w:link w:val="Asuntodelcomentario"/>
    <w:uiPriority w:val="99"/>
    <w:semiHidden/>
    <w:rsid w:val="008651D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rencu2572@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69F55D-A230-4B2A-8DB0-F2AFE2E23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15</Pages>
  <Words>5251</Words>
  <Characters>27833</Characters>
  <Application>Microsoft Office Word</Application>
  <DocSecurity>0</DocSecurity>
  <Lines>535</Lines>
  <Paragraphs>102</Paragraphs>
  <ScaleCrop>false</ScaleCrop>
  <Company/>
  <LinksUpToDate>false</LinksUpToDate>
  <CharactersWithSpaces>32982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9</cp:revision>
  <cp:lastPrinted>2023-01-10T18:18:00Z</cp:lastPrinted>
  <dcterms:created xsi:type="dcterms:W3CDTF">2025-12-18T03:33:00Z</dcterms:created>
  <dcterms:modified xsi:type="dcterms:W3CDTF">2025-12-22T21:20:00Z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