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B2C50C" w14:textId="77777777" w:rsidR="000C7295" w:rsidRPr="000C7295" w:rsidRDefault="000C7295" w:rsidP="000C7295">
      <w:pPr>
        <w:spacing w:before="100" w:beforeAutospacing="1" w:after="100" w:afterAutospacing="1" w:line="240" w:lineRule="auto"/>
        <w:jc w:val="both"/>
        <w:rPr>
          <w:rFonts w:ascii="Verdana" w:eastAsia="Times New Roman" w:hAnsi="Verdana" w:cs="Times New Roman"/>
          <w:b/>
          <w:bCs/>
          <w:lang w:eastAsia="es-MX"/>
        </w:rPr>
      </w:pPr>
      <w:r w:rsidRPr="000C7295">
        <w:rPr>
          <w:rFonts w:ascii="Verdana" w:eastAsia="Times New Roman" w:hAnsi="Verdana" w:cs="Times New Roman"/>
          <w:b/>
          <w:bCs/>
          <w:lang w:eastAsia="es-MX"/>
        </w:rPr>
        <w:t xml:space="preserve">LEY DE GARANTÍAS ELECTORALES – Suscripción de contratos y convenios antes de la restricción </w:t>
      </w:r>
    </w:p>
    <w:p w14:paraId="6B43F5C1" w14:textId="187F49EE" w:rsidR="000C7295" w:rsidRPr="003349BA" w:rsidRDefault="000C7295" w:rsidP="000C7295">
      <w:pPr>
        <w:spacing w:before="100" w:beforeAutospacing="1" w:after="100" w:afterAutospacing="1" w:line="240" w:lineRule="auto"/>
        <w:jc w:val="both"/>
        <w:rPr>
          <w:rFonts w:ascii="Verdana" w:eastAsia="Times New Roman" w:hAnsi="Verdana" w:cs="Times New Roman"/>
          <w:sz w:val="20"/>
          <w:szCs w:val="20"/>
          <w:lang w:eastAsia="es-MX"/>
        </w:rPr>
      </w:pPr>
      <w:r w:rsidRPr="003349BA">
        <w:rPr>
          <w:rFonts w:ascii="Verdana" w:eastAsia="Times New Roman" w:hAnsi="Verdana" w:cs="Times New Roman"/>
          <w:sz w:val="20"/>
          <w:szCs w:val="20"/>
          <w:lang w:eastAsia="es-MX"/>
        </w:rPr>
        <w:t>La suscripción de convenios interadministrativos o contratos estatales bajo la modalidad de contratación directa antes de que cobren vigencia las respectivas restricciones de la Ley de Garantías, es posible aun cuando su ejecución inicie con posterioridad. Lo anterior, por cuanto la prohibición legal recae sobre la conducta de celebrar el negocio jurídico dentro del periodo restringido, de manera que si el acuerdo de voluntades se perfecciona en un momento en que la Entidad Estatal goza de plena competencia temporal —esto es, antes del 8 de noviembre de 2025 para convenios de entes territoriales o del 31 de enero de 2026 para contratación directa en general—, el contrato nace a la vida jurídica con plena validez y eficacia".</w:t>
      </w:r>
    </w:p>
    <w:p w14:paraId="04B855BE" w14:textId="77777777" w:rsidR="000C7295" w:rsidRPr="000C7295" w:rsidRDefault="000C7295" w:rsidP="000C7295">
      <w:pPr>
        <w:spacing w:before="100" w:beforeAutospacing="1" w:after="100" w:afterAutospacing="1" w:line="240" w:lineRule="auto"/>
        <w:jc w:val="both"/>
        <w:rPr>
          <w:rFonts w:ascii="Verdana" w:eastAsia="Times New Roman" w:hAnsi="Verdana" w:cs="Times New Roman"/>
          <w:lang w:eastAsia="es-MX"/>
        </w:rPr>
      </w:pPr>
      <w:r w:rsidRPr="000C7295">
        <w:rPr>
          <w:rFonts w:ascii="Verdana" w:eastAsia="Times New Roman" w:hAnsi="Verdana" w:cs="Times New Roman"/>
          <w:b/>
          <w:bCs/>
          <w:lang w:eastAsia="es-MX"/>
        </w:rPr>
        <w:t>LEY DE GARANTÍAS ELECTORALES – Planeación contractual – Diferimiento del acta de inicio – Límite a la elusión de controles</w:t>
      </w:r>
      <w:r w:rsidRPr="000C7295">
        <w:rPr>
          <w:rFonts w:ascii="Verdana" w:eastAsia="Times New Roman" w:hAnsi="Verdana" w:cs="Times New Roman"/>
          <w:lang w:eastAsia="es-MX"/>
        </w:rPr>
        <w:t xml:space="preserve"> </w:t>
      </w:r>
    </w:p>
    <w:p w14:paraId="2937D471" w14:textId="498B6BEE" w:rsidR="000C7295" w:rsidRPr="003349BA" w:rsidRDefault="000C7295" w:rsidP="000C7295">
      <w:pPr>
        <w:spacing w:before="100" w:beforeAutospacing="1" w:after="100" w:afterAutospacing="1" w:line="240" w:lineRule="auto"/>
        <w:jc w:val="both"/>
        <w:rPr>
          <w:rFonts w:ascii="Verdana" w:eastAsia="Times New Roman" w:hAnsi="Verdana" w:cs="Times New Roman"/>
          <w:sz w:val="20"/>
          <w:szCs w:val="20"/>
          <w:lang w:eastAsia="es-MX"/>
        </w:rPr>
      </w:pPr>
      <w:r w:rsidRPr="003349BA">
        <w:rPr>
          <w:rFonts w:ascii="Verdana" w:eastAsia="Times New Roman" w:hAnsi="Verdana" w:cs="Times New Roman"/>
          <w:sz w:val="20"/>
          <w:szCs w:val="20"/>
          <w:lang w:eastAsia="es-MX"/>
        </w:rPr>
        <w:t>Por consiguiente, diferir el acta de inicio o la ejecución material para una fecha posterior no vicia la legalidad del contrato, siempre que dicha programación obedezca a una juiciosa planeación contractual que garantice el cumplimiento de los fines estatales y no a una forma para eludir el control de las restricciones electorales".</w:t>
      </w:r>
    </w:p>
    <w:p w14:paraId="26E67C1E" w14:textId="77777777" w:rsidR="000C7295" w:rsidRPr="000C7295" w:rsidRDefault="000C7295" w:rsidP="000C7295">
      <w:pPr>
        <w:spacing w:before="100" w:beforeAutospacing="1" w:after="100" w:afterAutospacing="1" w:line="240" w:lineRule="auto"/>
        <w:jc w:val="both"/>
        <w:rPr>
          <w:rFonts w:ascii="Verdana" w:eastAsia="Times New Roman" w:hAnsi="Verdana" w:cs="Times New Roman"/>
          <w:lang w:eastAsia="es-MX"/>
        </w:rPr>
      </w:pPr>
      <w:r w:rsidRPr="000C7295">
        <w:rPr>
          <w:rFonts w:ascii="Verdana" w:eastAsia="Times New Roman" w:hAnsi="Verdana" w:cs="Times New Roman"/>
          <w:b/>
          <w:bCs/>
          <w:lang w:eastAsia="es-MX"/>
        </w:rPr>
        <w:t>LEY DE GARANTÍAS ELECTORALES – Prohibición de contratación directa – Definición amplia – Sistemas sin convocatoria pública</w:t>
      </w:r>
      <w:r w:rsidRPr="000C7295">
        <w:rPr>
          <w:rFonts w:ascii="Verdana" w:eastAsia="Times New Roman" w:hAnsi="Verdana" w:cs="Times New Roman"/>
          <w:lang w:eastAsia="es-MX"/>
        </w:rPr>
        <w:t xml:space="preserve"> </w:t>
      </w:r>
    </w:p>
    <w:p w14:paraId="5DDDB91B" w14:textId="78887B13" w:rsidR="000C7295" w:rsidRPr="003349BA" w:rsidRDefault="000C7295" w:rsidP="000C7295">
      <w:pPr>
        <w:spacing w:before="100" w:beforeAutospacing="1" w:after="100" w:afterAutospacing="1" w:line="240" w:lineRule="auto"/>
        <w:jc w:val="both"/>
        <w:rPr>
          <w:rFonts w:ascii="Verdana" w:eastAsia="Times New Roman" w:hAnsi="Verdana" w:cs="Times New Roman"/>
          <w:sz w:val="20"/>
          <w:szCs w:val="20"/>
          <w:lang w:eastAsia="es-MX"/>
        </w:rPr>
      </w:pPr>
      <w:r w:rsidRPr="003349BA">
        <w:rPr>
          <w:rFonts w:ascii="Verdana" w:eastAsia="Times New Roman" w:hAnsi="Verdana" w:cs="Times New Roman"/>
          <w:sz w:val="20"/>
          <w:szCs w:val="20"/>
          <w:lang w:eastAsia="es-MX"/>
        </w:rPr>
        <w:t>Para los efectos de la Ley de Garantías Electorales y, en particular, para la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p>
    <w:p w14:paraId="24E80B70" w14:textId="77777777" w:rsidR="000C7295" w:rsidRDefault="000C7295" w:rsidP="00966CEE">
      <w:pPr>
        <w:pStyle w:val="Textoindependiente"/>
        <w:spacing w:before="50" w:line="578" w:lineRule="exact"/>
        <w:ind w:right="5644"/>
        <w:rPr>
          <w:rFonts w:ascii="Verdana" w:hAnsi="Verdana"/>
          <w:sz w:val="20"/>
          <w:szCs w:val="20"/>
        </w:rPr>
      </w:pPr>
    </w:p>
    <w:p w14:paraId="58076352" w14:textId="77777777" w:rsidR="000C7295" w:rsidRDefault="000C7295" w:rsidP="00966CEE">
      <w:pPr>
        <w:pStyle w:val="Textoindependiente"/>
        <w:spacing w:before="50" w:line="578" w:lineRule="exact"/>
        <w:ind w:right="5644"/>
        <w:rPr>
          <w:rFonts w:ascii="Verdana" w:hAnsi="Verdana"/>
          <w:sz w:val="20"/>
          <w:szCs w:val="20"/>
        </w:rPr>
      </w:pPr>
    </w:p>
    <w:p w14:paraId="1ED7D317" w14:textId="77777777" w:rsidR="000C7295" w:rsidRDefault="000C7295" w:rsidP="00966CEE">
      <w:pPr>
        <w:pStyle w:val="Textoindependiente"/>
        <w:spacing w:before="50" w:line="578" w:lineRule="exact"/>
        <w:ind w:right="5644"/>
        <w:rPr>
          <w:rFonts w:ascii="Verdana" w:hAnsi="Verdana"/>
          <w:sz w:val="20"/>
          <w:szCs w:val="20"/>
        </w:rPr>
      </w:pPr>
    </w:p>
    <w:p w14:paraId="438CB6EA" w14:textId="77777777" w:rsidR="003349BA" w:rsidRDefault="003349BA" w:rsidP="00966CEE">
      <w:pPr>
        <w:pStyle w:val="Textoindependiente"/>
        <w:spacing w:before="50" w:line="578" w:lineRule="exact"/>
        <w:ind w:right="5644"/>
        <w:rPr>
          <w:rFonts w:ascii="Verdana" w:hAnsi="Verdana"/>
          <w:sz w:val="20"/>
          <w:szCs w:val="20"/>
        </w:rPr>
      </w:pPr>
    </w:p>
    <w:p w14:paraId="3FAD0D3D" w14:textId="54277D05" w:rsidR="00966CEE" w:rsidRPr="00966CEE" w:rsidRDefault="00966CEE" w:rsidP="00966CEE">
      <w:pPr>
        <w:pStyle w:val="Textoindependiente"/>
        <w:spacing w:before="50" w:line="578" w:lineRule="exact"/>
        <w:ind w:right="5644"/>
        <w:rPr>
          <w:rFonts w:ascii="Verdana" w:hAnsi="Verdana"/>
          <w:sz w:val="20"/>
          <w:szCs w:val="20"/>
        </w:rPr>
      </w:pPr>
      <w:r w:rsidRPr="00966CEE">
        <w:rPr>
          <w:rFonts w:ascii="Verdana" w:hAnsi="Verdana"/>
          <w:sz w:val="20"/>
          <w:szCs w:val="20"/>
        </w:rPr>
        <w:lastRenderedPageBreak/>
        <w:t>Bogotá</w:t>
      </w:r>
      <w:r w:rsidRPr="00966CEE">
        <w:rPr>
          <w:rFonts w:ascii="Verdana" w:hAnsi="Verdana"/>
          <w:spacing w:val="-12"/>
          <w:sz w:val="20"/>
          <w:szCs w:val="20"/>
        </w:rPr>
        <w:t xml:space="preserve"> </w:t>
      </w:r>
      <w:r w:rsidRPr="00966CEE">
        <w:rPr>
          <w:rFonts w:ascii="Verdana" w:hAnsi="Verdana"/>
          <w:sz w:val="20"/>
          <w:szCs w:val="20"/>
        </w:rPr>
        <w:t>D.C.,</w:t>
      </w:r>
      <w:r w:rsidRPr="00966CEE">
        <w:rPr>
          <w:rFonts w:ascii="Verdana" w:hAnsi="Verdana"/>
          <w:spacing w:val="-8"/>
          <w:sz w:val="20"/>
          <w:szCs w:val="20"/>
        </w:rPr>
        <w:t xml:space="preserve"> </w:t>
      </w:r>
      <w:r w:rsidRPr="00966CEE">
        <w:rPr>
          <w:rFonts w:ascii="Verdana" w:hAnsi="Verdana"/>
          <w:sz w:val="20"/>
          <w:szCs w:val="20"/>
        </w:rPr>
        <w:t>04</w:t>
      </w:r>
      <w:r w:rsidRPr="00966CEE">
        <w:rPr>
          <w:rFonts w:ascii="Verdana" w:hAnsi="Verdana"/>
          <w:spacing w:val="-12"/>
          <w:sz w:val="20"/>
          <w:szCs w:val="20"/>
        </w:rPr>
        <w:t xml:space="preserve"> </w:t>
      </w:r>
      <w:r w:rsidRPr="00966CEE">
        <w:rPr>
          <w:rFonts w:ascii="Verdana" w:hAnsi="Verdana"/>
          <w:sz w:val="20"/>
          <w:szCs w:val="20"/>
        </w:rPr>
        <w:t xml:space="preserve">Diciembre2025 </w:t>
      </w:r>
    </w:p>
    <w:p w14:paraId="576E5B2F" w14:textId="09F3FFE3" w:rsidR="00966CEE" w:rsidRDefault="003349BA" w:rsidP="00871B59">
      <w:pPr>
        <w:spacing w:after="0" w:line="240" w:lineRule="auto"/>
        <w:jc w:val="both"/>
        <w:rPr>
          <w:rFonts w:ascii="Verdana" w:eastAsia="Calibri" w:hAnsi="Verdana" w:cs="Arial"/>
          <w:lang w:val="es-ES" w:eastAsia="es-ES"/>
        </w:rPr>
      </w:pPr>
      <w:r w:rsidRPr="00966CEE">
        <w:rPr>
          <w:rFonts w:ascii="Verdana" w:hAnsi="Verdana"/>
          <w:noProof/>
          <w:sz w:val="20"/>
          <w:szCs w:val="20"/>
        </w:rPr>
        <w:drawing>
          <wp:anchor distT="0" distB="0" distL="0" distR="0" simplePos="0" relativeHeight="251659264" behindDoc="0" locked="0" layoutInCell="1" allowOverlap="1" wp14:anchorId="6CE1BDF7" wp14:editId="40FA9BBD">
            <wp:simplePos x="0" y="0"/>
            <wp:positionH relativeFrom="page">
              <wp:posOffset>3927944</wp:posOffset>
            </wp:positionH>
            <wp:positionV relativeFrom="paragraph">
              <wp:posOffset>7786</wp:posOffset>
            </wp:positionV>
            <wp:extent cx="2722431" cy="899795"/>
            <wp:effectExtent l="0" t="0" r="1905" b="0"/>
            <wp:wrapNone/>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1" cstate="print"/>
                    <a:stretch>
                      <a:fillRect/>
                    </a:stretch>
                  </pic:blipFill>
                  <pic:spPr>
                    <a:xfrm>
                      <a:off x="0" y="0"/>
                      <a:ext cx="2722431" cy="899795"/>
                    </a:xfrm>
                    <a:prstGeom prst="rect">
                      <a:avLst/>
                    </a:prstGeom>
                  </pic:spPr>
                </pic:pic>
              </a:graphicData>
            </a:graphic>
            <wp14:sizeRelH relativeFrom="margin">
              <wp14:pctWidth>0</wp14:pctWidth>
            </wp14:sizeRelH>
            <wp14:sizeRelV relativeFrom="margin">
              <wp14:pctHeight>0</wp14:pctHeight>
            </wp14:sizeRelV>
          </wp:anchor>
        </w:drawing>
      </w:r>
    </w:p>
    <w:p w14:paraId="0170D820" w14:textId="128D7280" w:rsidR="00871B59" w:rsidRPr="00B96799" w:rsidRDefault="00871B59" w:rsidP="00871B59">
      <w:pPr>
        <w:spacing w:after="0" w:line="240" w:lineRule="auto"/>
        <w:jc w:val="both"/>
        <w:rPr>
          <w:rFonts w:ascii="Verdana" w:eastAsia="Calibri" w:hAnsi="Verdana" w:cs="Arial"/>
          <w:lang w:val="es-ES" w:eastAsia="es-ES"/>
        </w:rPr>
      </w:pPr>
      <w:r w:rsidRPr="00B96799">
        <w:rPr>
          <w:rFonts w:ascii="Verdana" w:eastAsia="Calibri" w:hAnsi="Verdana" w:cs="Arial"/>
          <w:lang w:val="es-ES" w:eastAsia="es-ES"/>
        </w:rPr>
        <w:t>Señor</w:t>
      </w:r>
    </w:p>
    <w:p w14:paraId="61200410" w14:textId="4A105D05" w:rsidR="00871B59" w:rsidRDefault="00871B59" w:rsidP="00871B59">
      <w:pPr>
        <w:spacing w:after="0" w:line="240" w:lineRule="auto"/>
        <w:rPr>
          <w:rFonts w:ascii="Verdana" w:eastAsia="Calibri" w:hAnsi="Verdana" w:cs="Arial"/>
          <w:b/>
          <w:lang w:val="es-ES_tradnl" w:eastAsia="es-ES_tradnl"/>
        </w:rPr>
      </w:pPr>
      <w:r w:rsidRPr="00B96799">
        <w:rPr>
          <w:rFonts w:ascii="Verdana" w:eastAsia="Calibri" w:hAnsi="Verdana" w:cs="Arial"/>
          <w:b/>
          <w:lang w:val="es-ES_tradnl" w:eastAsia="es-ES_tradnl"/>
        </w:rPr>
        <w:t xml:space="preserve">Juan </w:t>
      </w:r>
      <w:r w:rsidR="00F34219">
        <w:rPr>
          <w:rFonts w:ascii="Verdana" w:eastAsia="Calibri" w:hAnsi="Verdana" w:cs="Arial"/>
          <w:b/>
          <w:lang w:val="es-ES_tradnl" w:eastAsia="es-ES_tradnl"/>
        </w:rPr>
        <w:t>Diego Jaramillo Giraldo</w:t>
      </w:r>
    </w:p>
    <w:p w14:paraId="10578F57" w14:textId="434A6643" w:rsidR="00F34219" w:rsidRPr="00F34219" w:rsidRDefault="00F34219" w:rsidP="00871B59">
      <w:pPr>
        <w:spacing w:after="0" w:line="240" w:lineRule="auto"/>
        <w:rPr>
          <w:rFonts w:ascii="Verdana" w:eastAsia="Calibri" w:hAnsi="Verdana" w:cs="Arial"/>
          <w:bCs/>
          <w:lang w:val="es-ES_tradnl" w:eastAsia="es-ES_tradnl"/>
        </w:rPr>
      </w:pPr>
      <w:hyperlink r:id="rId12" w:history="1">
        <w:r w:rsidRPr="00F34219">
          <w:rPr>
            <w:rStyle w:val="Hipervnculo"/>
            <w:rFonts w:ascii="Verdana" w:eastAsia="Calibri" w:hAnsi="Verdana" w:cs="Arial"/>
            <w:bCs/>
            <w:lang w:val="es-ES_tradnl" w:eastAsia="es-ES_tradnl"/>
          </w:rPr>
          <w:t>jaramillojuandiego05@gmail.com</w:t>
        </w:r>
      </w:hyperlink>
      <w:r w:rsidRPr="00F34219">
        <w:rPr>
          <w:rFonts w:ascii="Verdana" w:eastAsia="Calibri" w:hAnsi="Verdana" w:cs="Arial"/>
          <w:bCs/>
          <w:lang w:val="es-ES_tradnl" w:eastAsia="es-ES_tradnl"/>
        </w:rPr>
        <w:t xml:space="preserve"> </w:t>
      </w:r>
    </w:p>
    <w:p w14:paraId="15575CD7" w14:textId="0AA8CA97" w:rsidR="00871B59" w:rsidRPr="00B96799" w:rsidRDefault="00F34219" w:rsidP="00871B59">
      <w:pPr>
        <w:spacing w:after="0" w:line="240" w:lineRule="auto"/>
        <w:rPr>
          <w:rFonts w:ascii="Verdana" w:eastAsia="Calibri" w:hAnsi="Verdana" w:cs="Arial"/>
          <w:b/>
          <w:bCs/>
          <w:lang w:val="es-ES" w:eastAsia="es-ES"/>
        </w:rPr>
      </w:pPr>
      <w:r>
        <w:rPr>
          <w:rFonts w:ascii="Verdana" w:eastAsia="Calibri" w:hAnsi="Verdana" w:cs="Arial"/>
          <w:lang w:val="es-ES" w:eastAsia="es-ES"/>
        </w:rPr>
        <w:t>Peque</w:t>
      </w:r>
      <w:r w:rsidR="00871B59" w:rsidRPr="00B96799">
        <w:rPr>
          <w:rFonts w:ascii="Verdana" w:eastAsia="Calibri" w:hAnsi="Verdana" w:cs="Arial"/>
          <w:lang w:val="es-ES" w:eastAsia="es-ES"/>
        </w:rPr>
        <w:t>,</w:t>
      </w:r>
      <w:r>
        <w:rPr>
          <w:rFonts w:ascii="Verdana" w:eastAsia="Calibri" w:hAnsi="Verdana" w:cs="Arial"/>
          <w:lang w:val="es-ES" w:eastAsia="es-ES"/>
        </w:rPr>
        <w:t xml:space="preserve"> Antioquia </w:t>
      </w:r>
    </w:p>
    <w:p w14:paraId="53915E66" w14:textId="77777777" w:rsidR="00871B59" w:rsidRPr="00593A5F" w:rsidRDefault="00871B59" w:rsidP="00871B59">
      <w:pPr>
        <w:spacing w:after="0" w:line="240" w:lineRule="auto"/>
        <w:rPr>
          <w:rFonts w:ascii="Verdana" w:eastAsia="Calibri" w:hAnsi="Verdana" w:cs="Arial"/>
          <w:b/>
          <w:bCs/>
          <w:color w:val="000000"/>
          <w:lang w:val="es-ES_tradnl" w:eastAsia="es-ES_tradnl"/>
        </w:rPr>
      </w:pPr>
    </w:p>
    <w:p w14:paraId="0ADF5509" w14:textId="77777777" w:rsidR="00871B59" w:rsidRPr="00593A5F" w:rsidRDefault="00871B59" w:rsidP="00871B59">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871B59" w:rsidRPr="00593A5F" w14:paraId="648650EB" w14:textId="77777777" w:rsidTr="002607A7">
        <w:trPr>
          <w:trHeight w:val="884"/>
        </w:trPr>
        <w:tc>
          <w:tcPr>
            <w:tcW w:w="2689" w:type="dxa"/>
          </w:tcPr>
          <w:p w14:paraId="34CDF5EA" w14:textId="77777777" w:rsidR="00871B59" w:rsidRPr="00C00976" w:rsidRDefault="00871B59" w:rsidP="002607A7">
            <w:pPr>
              <w:jc w:val="both"/>
              <w:rPr>
                <w:rFonts w:ascii="Verdana" w:eastAsia="Calibri" w:hAnsi="Verdana" w:cs="Arial"/>
                <w:b/>
                <w:bCs/>
                <w:color w:val="7030A0"/>
                <w:lang w:val="es-ES_tradnl" w:eastAsia="es-ES_tradnl"/>
              </w:rPr>
            </w:pPr>
          </w:p>
        </w:tc>
        <w:tc>
          <w:tcPr>
            <w:tcW w:w="6100" w:type="dxa"/>
          </w:tcPr>
          <w:p w14:paraId="5C5FDBF6" w14:textId="72B03D85" w:rsidR="00871B59" w:rsidRPr="00C00976" w:rsidRDefault="00871B59" w:rsidP="002607A7">
            <w:pPr>
              <w:jc w:val="both"/>
              <w:rPr>
                <w:rFonts w:ascii="Verdana" w:eastAsia="Calibri" w:hAnsi="Verdana" w:cs="Arial"/>
                <w:b/>
                <w:bCs/>
                <w:color w:val="7030A0"/>
                <w:lang w:val="es-ES" w:eastAsia="es-ES"/>
              </w:rPr>
            </w:pPr>
            <w:r w:rsidRPr="00247BDE">
              <w:rPr>
                <w:rFonts w:ascii="Verdana" w:eastAsia="Calibri" w:hAnsi="Verdana" w:cs="Arial"/>
                <w:b/>
                <w:bCs/>
                <w:lang w:val="es-ES" w:eastAsia="es-ES"/>
              </w:rPr>
              <w:t>Concepto C-</w:t>
            </w:r>
            <w:r w:rsidR="00F34219">
              <w:rPr>
                <w:rFonts w:ascii="Verdana" w:eastAsia="Calibri" w:hAnsi="Verdana" w:cs="Arial"/>
                <w:b/>
                <w:bCs/>
                <w:lang w:val="es-ES" w:eastAsia="es-ES"/>
              </w:rPr>
              <w:t xml:space="preserve"> 1622 </w:t>
            </w:r>
            <w:r w:rsidRPr="00247BDE">
              <w:rPr>
                <w:rFonts w:ascii="Verdana" w:eastAsia="Calibri" w:hAnsi="Verdana" w:cs="Arial"/>
                <w:b/>
                <w:bCs/>
                <w:lang w:val="es-ES" w:eastAsia="es-ES"/>
              </w:rPr>
              <w:t>de</w:t>
            </w:r>
            <w:r w:rsidR="00F34219">
              <w:rPr>
                <w:rFonts w:ascii="Verdana" w:eastAsia="Calibri" w:hAnsi="Verdana" w:cs="Arial"/>
                <w:b/>
                <w:bCs/>
                <w:lang w:val="es-ES" w:eastAsia="es-ES"/>
              </w:rPr>
              <w:t xml:space="preserve"> 2025</w:t>
            </w:r>
          </w:p>
        </w:tc>
      </w:tr>
      <w:tr w:rsidR="00871B59" w:rsidRPr="00593A5F" w14:paraId="452B40BC" w14:textId="77777777" w:rsidTr="002607A7">
        <w:trPr>
          <w:trHeight w:val="884"/>
        </w:trPr>
        <w:tc>
          <w:tcPr>
            <w:tcW w:w="2689" w:type="dxa"/>
          </w:tcPr>
          <w:p w14:paraId="0FDB3E6F" w14:textId="77777777" w:rsidR="00871B59" w:rsidRPr="00593A5F" w:rsidRDefault="00871B59" w:rsidP="002607A7">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3F38DEA8" w14:textId="77777777" w:rsidR="00871B59" w:rsidRDefault="00482605" w:rsidP="00482605">
            <w:pPr>
              <w:spacing w:line="276" w:lineRule="auto"/>
              <w:jc w:val="both"/>
              <w:rPr>
                <w:rFonts w:ascii="Verdana" w:hAnsi="Verdana"/>
              </w:rPr>
            </w:pPr>
            <w:r w:rsidRPr="00482605">
              <w:rPr>
                <w:rFonts w:ascii="Verdana" w:hAnsi="Verdana"/>
              </w:rPr>
              <w:t>LEY DE GARANTÍAS ELECTORALES ─ Prohibición ‒ Contratación directa ‒ Alcance / LEY DE GARANTÍAS ELECTORALES ─ Restricciones ‒ Ámbito temporal / LEY DE GARANTÍAS ELECTORALES ─ Convenios interadministrativos ‒ Celebración y ejecución</w:t>
            </w:r>
            <w:r>
              <w:rPr>
                <w:rFonts w:ascii="Verdana" w:hAnsi="Verdana"/>
              </w:rPr>
              <w:t>.</w:t>
            </w:r>
          </w:p>
          <w:p w14:paraId="64F5CFA1" w14:textId="569048D1" w:rsidR="00482605" w:rsidRPr="00482605" w:rsidRDefault="00482605" w:rsidP="00482605">
            <w:pPr>
              <w:spacing w:line="276" w:lineRule="auto"/>
              <w:jc w:val="both"/>
              <w:rPr>
                <w:rFonts w:ascii="Verdana" w:eastAsia="Calibri" w:hAnsi="Verdana" w:cs="Arial"/>
                <w:lang w:eastAsia="es-ES"/>
              </w:rPr>
            </w:pPr>
          </w:p>
        </w:tc>
      </w:tr>
      <w:tr w:rsidR="00871B59" w:rsidRPr="00593A5F" w14:paraId="0DDFE2C3" w14:textId="77777777" w:rsidTr="00966CEE">
        <w:trPr>
          <w:trHeight w:val="436"/>
        </w:trPr>
        <w:tc>
          <w:tcPr>
            <w:tcW w:w="2689" w:type="dxa"/>
          </w:tcPr>
          <w:p w14:paraId="275F3FB2" w14:textId="77777777" w:rsidR="00871B59" w:rsidRPr="00F34219" w:rsidRDefault="00871B59" w:rsidP="002607A7">
            <w:pPr>
              <w:jc w:val="both"/>
              <w:rPr>
                <w:rFonts w:ascii="Verdana" w:eastAsia="Calibri" w:hAnsi="Verdana" w:cs="Arial"/>
                <w:b/>
                <w:color w:val="000000" w:themeColor="text1"/>
                <w:lang w:val="es-ES_tradnl" w:eastAsia="es-ES_tradnl"/>
              </w:rPr>
            </w:pPr>
            <w:r w:rsidRPr="00F34219">
              <w:rPr>
                <w:rFonts w:ascii="Verdana" w:eastAsia="Calibri" w:hAnsi="Verdana" w:cs="Arial"/>
                <w:b/>
                <w:color w:val="000000" w:themeColor="text1"/>
                <w:lang w:val="es-ES_tradnl" w:eastAsia="es-ES_tradnl"/>
              </w:rPr>
              <w:t>Radicación:</w:t>
            </w:r>
            <w:r w:rsidRPr="00F34219">
              <w:rPr>
                <w:rFonts w:ascii="Verdana" w:eastAsia="Calibri" w:hAnsi="Verdana" w:cs="Arial"/>
                <w:color w:val="000000" w:themeColor="text1"/>
                <w:lang w:val="es-ES_tradnl" w:eastAsia="es-ES_tradnl"/>
              </w:rPr>
              <w:t xml:space="preserve">               </w:t>
            </w:r>
          </w:p>
        </w:tc>
        <w:tc>
          <w:tcPr>
            <w:tcW w:w="6100" w:type="dxa"/>
          </w:tcPr>
          <w:p w14:paraId="0C1B4983" w14:textId="71D8ACE3" w:rsidR="00871B59" w:rsidRPr="00F34219" w:rsidRDefault="00871B59" w:rsidP="002607A7">
            <w:pPr>
              <w:jc w:val="both"/>
              <w:rPr>
                <w:rFonts w:ascii="Verdana" w:eastAsia="Calibri" w:hAnsi="Verdana" w:cs="Arial"/>
                <w:color w:val="000000" w:themeColor="text1"/>
                <w:lang w:val="es-ES_tradnl" w:eastAsia="es-ES_tradnl"/>
              </w:rPr>
            </w:pPr>
            <w:r w:rsidRPr="00F34219">
              <w:rPr>
                <w:rFonts w:ascii="Verdana" w:eastAsia="Calibri" w:hAnsi="Verdana" w:cs="Arial"/>
                <w:color w:val="000000" w:themeColor="text1"/>
                <w:lang w:val="es-ES_tradnl" w:eastAsia="es-ES_tradnl"/>
              </w:rPr>
              <w:t xml:space="preserve">Respuesta a consulta con radicado No. </w:t>
            </w:r>
            <w:r w:rsidR="00F34219" w:rsidRPr="00F34219">
              <w:rPr>
                <w:rFonts w:ascii="Verdana" w:hAnsi="Verdana" w:cs="Segoe UI"/>
                <w:color w:val="000000" w:themeColor="text1"/>
                <w:shd w:val="clear" w:color="auto" w:fill="FFFFFF"/>
              </w:rPr>
              <w:t>1_2025_11_04_012393</w:t>
            </w:r>
          </w:p>
        </w:tc>
      </w:tr>
    </w:tbl>
    <w:p w14:paraId="610B00D8" w14:textId="77777777" w:rsidR="00871B59" w:rsidRPr="00593A5F" w:rsidRDefault="00871B59" w:rsidP="00871B59">
      <w:pPr>
        <w:spacing w:after="0" w:line="240" w:lineRule="auto"/>
        <w:jc w:val="both"/>
        <w:rPr>
          <w:rFonts w:ascii="Verdana" w:eastAsia="Calibri" w:hAnsi="Verdana" w:cs="Arial"/>
          <w:color w:val="000000"/>
          <w:lang w:val="es-ES_tradnl" w:eastAsia="es-ES_tradnl"/>
        </w:rPr>
      </w:pPr>
    </w:p>
    <w:p w14:paraId="7E2C4C89" w14:textId="77777777" w:rsidR="00871B59" w:rsidRPr="00593A5F" w:rsidRDefault="00871B59" w:rsidP="00871B59">
      <w:pPr>
        <w:spacing w:after="0" w:line="240" w:lineRule="auto"/>
        <w:jc w:val="both"/>
        <w:rPr>
          <w:rFonts w:ascii="Verdana" w:eastAsia="Calibri" w:hAnsi="Verdana" w:cs="Arial"/>
          <w:color w:val="000000"/>
          <w:lang w:val="es-ES_tradnl" w:eastAsia="es-ES_tradnl"/>
        </w:rPr>
      </w:pPr>
    </w:p>
    <w:p w14:paraId="04811D75" w14:textId="755A877C" w:rsidR="00871B59" w:rsidRPr="00F34219" w:rsidRDefault="00871B59" w:rsidP="00871B59">
      <w:pPr>
        <w:spacing w:after="0" w:line="276" w:lineRule="auto"/>
        <w:jc w:val="both"/>
        <w:rPr>
          <w:rFonts w:ascii="Verdana" w:eastAsia="Calibri" w:hAnsi="Verdana" w:cs="Arial"/>
          <w:color w:val="000000" w:themeColor="text1"/>
          <w:lang w:val="es-ES" w:eastAsia="es-ES"/>
        </w:rPr>
      </w:pPr>
      <w:r w:rsidRPr="00F34219">
        <w:rPr>
          <w:rFonts w:ascii="Verdana" w:eastAsia="Calibri" w:hAnsi="Verdana" w:cs="Arial"/>
          <w:color w:val="000000" w:themeColor="text1"/>
          <w:lang w:val="es-ES" w:eastAsia="es-ES"/>
        </w:rPr>
        <w:t>Estimado señor</w:t>
      </w:r>
      <w:r w:rsidR="00F34219" w:rsidRPr="00F34219">
        <w:rPr>
          <w:rFonts w:ascii="Verdana" w:eastAsia="Calibri" w:hAnsi="Verdana" w:cs="Arial"/>
          <w:color w:val="000000" w:themeColor="text1"/>
          <w:lang w:val="es-ES" w:eastAsia="es-ES"/>
        </w:rPr>
        <w:t xml:space="preserve"> Jaramillo:</w:t>
      </w:r>
    </w:p>
    <w:p w14:paraId="6853C461" w14:textId="77777777" w:rsidR="00871B59" w:rsidRDefault="00871B59" w:rsidP="00871B59">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70A1A3E3" w14:textId="5E0F0AB3" w:rsidR="00871B59" w:rsidRPr="00593A5F" w:rsidRDefault="00871B59" w:rsidP="00871B59">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F34219">
        <w:rPr>
          <w:rFonts w:ascii="Verdana" w:eastAsia="Calibri" w:hAnsi="Verdana" w:cs="Arial"/>
          <w:color w:val="000000" w:themeColor="text1"/>
          <w:lang w:val="es-ES" w:eastAsia="es-ES"/>
        </w:rPr>
        <w:t xml:space="preserve">fecha </w:t>
      </w:r>
      <w:r w:rsidR="00F34219" w:rsidRPr="00F34219">
        <w:rPr>
          <w:rFonts w:ascii="Verdana" w:eastAsia="Calibri" w:hAnsi="Verdana" w:cs="Arial"/>
          <w:color w:val="000000" w:themeColor="text1"/>
          <w:lang w:val="es-ES" w:eastAsia="es-ES"/>
        </w:rPr>
        <w:t>4</w:t>
      </w:r>
      <w:r w:rsidRPr="00F34219">
        <w:rPr>
          <w:rFonts w:ascii="Verdana" w:eastAsia="Calibri" w:hAnsi="Verdana" w:cs="Arial"/>
          <w:color w:val="000000" w:themeColor="text1"/>
          <w:lang w:val="es-ES" w:eastAsia="es-ES"/>
        </w:rPr>
        <w:t xml:space="preserve"> de </w:t>
      </w:r>
      <w:r w:rsidR="00F34219" w:rsidRPr="00F34219">
        <w:rPr>
          <w:rFonts w:ascii="Verdana" w:eastAsia="Calibri" w:hAnsi="Verdana" w:cs="Arial"/>
          <w:color w:val="000000" w:themeColor="text1"/>
          <w:lang w:val="es-ES" w:eastAsia="es-ES"/>
        </w:rPr>
        <w:t>noviembre</w:t>
      </w:r>
      <w:r w:rsidRPr="00F34219">
        <w:rPr>
          <w:rFonts w:ascii="Verdana" w:eastAsia="Calibri" w:hAnsi="Verdana" w:cs="Arial"/>
          <w:color w:val="000000" w:themeColor="text1"/>
          <w:lang w:val="es-ES" w:eastAsia="es-ES"/>
        </w:rPr>
        <w:t xml:space="preserve"> de 20</w:t>
      </w:r>
      <w:r w:rsidR="00F34219" w:rsidRPr="00F34219">
        <w:rPr>
          <w:rFonts w:ascii="Verdana" w:eastAsia="Calibri" w:hAnsi="Verdana" w:cs="Arial"/>
          <w:color w:val="000000" w:themeColor="text1"/>
          <w:lang w:val="es-ES" w:eastAsia="es-ES"/>
        </w:rPr>
        <w:t>25</w:t>
      </w:r>
      <w:r w:rsidRPr="00F34219">
        <w:rPr>
          <w:rFonts w:ascii="Verdana" w:eastAsia="Calibri" w:hAnsi="Verdana" w:cs="Arial"/>
          <w:color w:val="000000" w:themeColor="text1"/>
          <w:lang w:val="es-ES" w:eastAsia="es-ES"/>
        </w:rPr>
        <w:t>, en la cual manifiesta lo siguiente:</w:t>
      </w:r>
      <w:r w:rsidR="00F34219" w:rsidRPr="00F34219">
        <w:rPr>
          <w:rFonts w:ascii="Verdana" w:eastAsia="Calibri" w:hAnsi="Verdana" w:cs="Arial"/>
          <w:color w:val="000000" w:themeColor="text1"/>
          <w:lang w:val="es-ES" w:eastAsia="es-ES"/>
        </w:rPr>
        <w:t xml:space="preserve"> </w:t>
      </w:r>
    </w:p>
    <w:p w14:paraId="041935D4" w14:textId="77777777" w:rsidR="00871B59" w:rsidRPr="00F34219" w:rsidRDefault="00871B59" w:rsidP="00871B59">
      <w:pPr>
        <w:pStyle w:val="Prrafodelista"/>
        <w:tabs>
          <w:tab w:val="left" w:pos="142"/>
          <w:tab w:val="left" w:pos="284"/>
        </w:tabs>
        <w:spacing w:line="276" w:lineRule="auto"/>
        <w:ind w:left="0"/>
        <w:jc w:val="both"/>
        <w:rPr>
          <w:rFonts w:ascii="Verdana" w:eastAsia="Century Gothic" w:hAnsi="Verdana" w:cs="Century Gothic"/>
          <w:b/>
          <w:bCs/>
          <w:sz w:val="20"/>
          <w:szCs w:val="20"/>
          <w:lang w:val="es-ES"/>
        </w:rPr>
      </w:pPr>
    </w:p>
    <w:p w14:paraId="5632AAF4" w14:textId="609291EA" w:rsidR="00871B59" w:rsidRPr="00F34219" w:rsidRDefault="00871B59" w:rsidP="00871B59">
      <w:pPr>
        <w:spacing w:after="0" w:line="240" w:lineRule="auto"/>
        <w:ind w:left="709" w:right="709"/>
        <w:jc w:val="both"/>
        <w:rPr>
          <w:rFonts w:ascii="Verdana" w:eastAsia="Century Gothic" w:hAnsi="Verdana" w:cs="Century Gothic"/>
          <w:color w:val="7030A0"/>
          <w:sz w:val="20"/>
          <w:szCs w:val="20"/>
          <w:lang w:val="es-ES"/>
        </w:rPr>
      </w:pPr>
      <w:bookmarkStart w:id="0" w:name="_Hlk95313578"/>
      <w:r w:rsidRPr="00F34219">
        <w:rPr>
          <w:rFonts w:ascii="Verdana" w:eastAsia="Century Gothic" w:hAnsi="Verdana" w:cs="Century Gothic"/>
          <w:color w:val="7030A0"/>
          <w:sz w:val="20"/>
          <w:szCs w:val="20"/>
          <w:lang w:val="es-ES"/>
        </w:rPr>
        <w:t>“</w:t>
      </w:r>
      <w:bookmarkEnd w:id="0"/>
      <w:r w:rsidR="00F34219" w:rsidRPr="00F34219">
        <w:rPr>
          <w:rFonts w:ascii="Verdana" w:hAnsi="Verdana"/>
          <w:sz w:val="20"/>
          <w:szCs w:val="20"/>
        </w:rPr>
        <w:t xml:space="preserve">¿Es jurídicamente procedente que durante el año 2025, antes de la entrada en vigencia de la Ley de Garantías, se suscriben convenios interadministrativos cuya ejecución iniciará una vez dicha norma ya se encuentre vigente? Asimismo, ¿en el mes de enero de 2026 resulta viable suscribir contratos mediante la modalidad de contratación directa antes </w:t>
      </w:r>
      <w:r w:rsidR="00F34219" w:rsidRPr="00F34219">
        <w:rPr>
          <w:rFonts w:ascii="Verdana" w:hAnsi="Verdana"/>
          <w:sz w:val="20"/>
          <w:szCs w:val="20"/>
        </w:rPr>
        <w:lastRenderedPageBreak/>
        <w:t>de la entrada en vigencia de la Ley de Garantías e iniciar su ejecución con posterioridad, es decir, cuando la misma ya está vigente?”</w:t>
      </w:r>
    </w:p>
    <w:p w14:paraId="70D54188" w14:textId="77777777" w:rsidR="00871B59" w:rsidRPr="00593A5F" w:rsidRDefault="00871B59" w:rsidP="00871B59">
      <w:pPr>
        <w:pStyle w:val="Prrafodelista"/>
        <w:tabs>
          <w:tab w:val="left" w:pos="142"/>
          <w:tab w:val="left" w:pos="284"/>
        </w:tabs>
        <w:spacing w:line="276" w:lineRule="auto"/>
        <w:ind w:left="0"/>
        <w:jc w:val="both"/>
        <w:rPr>
          <w:rFonts w:ascii="Verdana" w:eastAsia="Century Gothic" w:hAnsi="Verdana" w:cs="Century Gothic"/>
          <w:b/>
          <w:bCs/>
          <w:lang w:val="es-ES"/>
        </w:rPr>
      </w:pPr>
    </w:p>
    <w:p w14:paraId="403FF804" w14:textId="77777777" w:rsidR="00871B59" w:rsidRDefault="00871B59" w:rsidP="00871B59">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213F1ADA" w14:textId="43B8D995" w:rsidR="00871B59" w:rsidRDefault="00871B59" w:rsidP="00871B59">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 </w:t>
      </w:r>
    </w:p>
    <w:p w14:paraId="649C3080" w14:textId="77777777" w:rsidR="00D96018" w:rsidRPr="00593A5F" w:rsidRDefault="00D96018" w:rsidP="00871B59">
      <w:pPr>
        <w:spacing w:after="0" w:line="276" w:lineRule="auto"/>
        <w:ind w:firstLine="709"/>
        <w:jc w:val="both"/>
        <w:rPr>
          <w:rFonts w:ascii="Verdana" w:eastAsia="Calibri" w:hAnsi="Verdana" w:cs="Arial"/>
          <w:color w:val="000000"/>
          <w:lang w:val="es-ES" w:eastAsia="es-ES"/>
        </w:rPr>
      </w:pPr>
    </w:p>
    <w:p w14:paraId="0CF5ECB3" w14:textId="77777777" w:rsidR="00871B59" w:rsidRPr="00593A5F" w:rsidRDefault="00871B59" w:rsidP="00871B59">
      <w:pPr>
        <w:pStyle w:val="Prrafodelista"/>
        <w:numPr>
          <w:ilvl w:val="0"/>
          <w:numId w:val="4"/>
        </w:numPr>
        <w:tabs>
          <w:tab w:val="left" w:pos="142"/>
          <w:tab w:val="left" w:pos="284"/>
        </w:tabs>
        <w:spacing w:after="0" w:line="276" w:lineRule="auto"/>
        <w:ind w:left="0" w:firstLine="0"/>
        <w:jc w:val="both"/>
        <w:rPr>
          <w:rFonts w:ascii="Verdana" w:eastAsia="Century Gothic" w:hAnsi="Verdana" w:cs="Century Gothic"/>
          <w:b/>
          <w:bCs/>
          <w:lang w:val="es-ES"/>
        </w:rPr>
      </w:pPr>
      <w:r w:rsidRPr="00593A5F">
        <w:rPr>
          <w:rFonts w:ascii="Verdana" w:eastAsia="Century Gothic" w:hAnsi="Verdana" w:cs="Century Gothic"/>
          <w:b/>
          <w:bCs/>
          <w:lang w:val="es-ES"/>
        </w:rPr>
        <w:t>Problema planteado:</w:t>
      </w:r>
    </w:p>
    <w:p w14:paraId="518637CA" w14:textId="77777777" w:rsidR="00871B59" w:rsidRPr="00593A5F" w:rsidRDefault="00871B59" w:rsidP="00871B59">
      <w:pPr>
        <w:tabs>
          <w:tab w:val="left" w:pos="426"/>
        </w:tabs>
        <w:spacing w:after="0" w:line="276" w:lineRule="auto"/>
        <w:jc w:val="both"/>
        <w:rPr>
          <w:rFonts w:ascii="Verdana" w:eastAsia="Century Gothic" w:hAnsi="Verdana" w:cs="Century Gothic"/>
          <w:lang w:val="es-ES"/>
        </w:rPr>
      </w:pPr>
    </w:p>
    <w:p w14:paraId="25171308" w14:textId="27BD4518" w:rsidR="00871B59" w:rsidRPr="00593A5F" w:rsidRDefault="00871B59" w:rsidP="1F9252E4">
      <w:pPr>
        <w:spacing w:after="0" w:line="276" w:lineRule="auto"/>
        <w:jc w:val="both"/>
        <w:rPr>
          <w:rFonts w:ascii="Verdana" w:eastAsia="Century Gothic" w:hAnsi="Verdana" w:cs="Century Gothic"/>
        </w:rPr>
      </w:pPr>
      <w:r w:rsidRPr="1F9252E4">
        <w:rPr>
          <w:rFonts w:ascii="Verdana" w:eastAsia="Century Gothic" w:hAnsi="Verdana" w:cs="Century Gothic"/>
        </w:rPr>
        <w:t xml:space="preserve">De acuerdo con el contenido de su solicitud, esta Agencia resolverá el siguiente problema jurídico: </w:t>
      </w:r>
      <w:r w:rsidR="00D96018" w:rsidRPr="00D96018">
        <w:rPr>
          <w:rFonts w:ascii="Verdana" w:eastAsia="Century Gothic" w:hAnsi="Verdana" w:cs="Century Gothic"/>
        </w:rPr>
        <w:t>¿</w:t>
      </w:r>
      <w:r w:rsidR="00D96018" w:rsidRPr="00D96018">
        <w:rPr>
          <w:rFonts w:ascii="Verdana" w:hAnsi="Verdana"/>
        </w:rPr>
        <w:t>Es jurídicamente procedente suscribir convenios o contratos de prestación de servicios antes de la Ley de Garantías para ejecutarlos durante su vigencia?</w:t>
      </w:r>
    </w:p>
    <w:p w14:paraId="0141DACC" w14:textId="77777777" w:rsidR="00871B59" w:rsidRPr="00593A5F" w:rsidRDefault="00871B59" w:rsidP="00871B59">
      <w:pPr>
        <w:spacing w:after="0" w:line="276" w:lineRule="auto"/>
        <w:jc w:val="both"/>
        <w:rPr>
          <w:rFonts w:ascii="Verdana" w:eastAsia="Calibri" w:hAnsi="Verdana" w:cs="Arial"/>
          <w:color w:val="7030A0"/>
          <w:lang w:val="es-ES"/>
        </w:rPr>
      </w:pPr>
    </w:p>
    <w:p w14:paraId="5673831F"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Respuesta:</w:t>
      </w:r>
    </w:p>
    <w:p w14:paraId="287A3340" w14:textId="77777777" w:rsidR="00871B59" w:rsidRPr="00593A5F" w:rsidRDefault="00871B59" w:rsidP="00871B59">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71B59" w:rsidRPr="00593A5F" w14:paraId="521DCCF8" w14:textId="77777777" w:rsidTr="002607A7">
        <w:tc>
          <w:tcPr>
            <w:tcW w:w="8828" w:type="dxa"/>
          </w:tcPr>
          <w:p w14:paraId="79C2E530" w14:textId="37561EA6" w:rsidR="00553192" w:rsidRDefault="00C838B3" w:rsidP="00553192">
            <w:pPr>
              <w:spacing w:after="120" w:line="276" w:lineRule="auto"/>
              <w:jc w:val="both"/>
              <w:rPr>
                <w:rFonts w:ascii="Verdana" w:eastAsia="Times New Roman" w:hAnsi="Verdana" w:cs="Arial"/>
                <w:lang w:val="es-MX" w:eastAsia="es-CO"/>
              </w:rPr>
            </w:pPr>
            <w:r>
              <w:rPr>
                <w:rFonts w:ascii="Verdana" w:eastAsia="Times New Roman" w:hAnsi="Verdana" w:cs="Arial"/>
                <w:lang w:val="es-MX" w:eastAsia="es-CO"/>
              </w:rPr>
              <w:t>C</w:t>
            </w:r>
            <w:r w:rsidR="00553192">
              <w:rPr>
                <w:rFonts w:ascii="Verdana" w:eastAsia="Times New Roman" w:hAnsi="Verdana" w:cs="Arial"/>
                <w:lang w:val="es-MX" w:eastAsia="es-CO"/>
              </w:rPr>
              <w:t xml:space="preserve">on el </w:t>
            </w:r>
            <w:r w:rsidR="007C2668">
              <w:rPr>
                <w:rFonts w:ascii="Verdana" w:eastAsia="Times New Roman" w:hAnsi="Verdana" w:cs="Arial"/>
                <w:lang w:val="es-MX" w:eastAsia="es-CO"/>
              </w:rPr>
              <w:t>propósito</w:t>
            </w:r>
            <w:r w:rsidR="00553192">
              <w:rPr>
                <w:rFonts w:ascii="Verdana" w:eastAsia="Times New Roman" w:hAnsi="Verdana" w:cs="Arial"/>
                <w:lang w:val="es-MX" w:eastAsia="es-CO"/>
              </w:rPr>
              <w:t xml:space="preserve"> de responder al objeto de la consulta </w:t>
            </w:r>
            <w:r w:rsidR="00553192" w:rsidRPr="00F02C5A">
              <w:rPr>
                <w:rFonts w:ascii="Verdana" w:eastAsia="Times New Roman" w:hAnsi="Verdana" w:cs="Arial"/>
                <w:lang w:val="es-MX" w:eastAsia="es-CO"/>
              </w:rPr>
              <w:t xml:space="preserve">esta Agencia, </w:t>
            </w:r>
            <w:r w:rsidR="00553192">
              <w:rPr>
                <w:rFonts w:ascii="Verdana" w:eastAsia="Times New Roman" w:hAnsi="Verdana" w:cs="Arial"/>
                <w:lang w:val="es-MX" w:eastAsia="es-CO"/>
              </w:rPr>
              <w:t xml:space="preserve">ha sostenido que </w:t>
            </w:r>
            <w:r w:rsidR="00553192" w:rsidRPr="00F02C5A">
              <w:rPr>
                <w:rFonts w:ascii="Verdana" w:eastAsia="Times New Roman" w:hAnsi="Verdana" w:cs="Arial"/>
                <w:lang w:val="es-MX" w:eastAsia="es-CO"/>
              </w:rPr>
              <w:t xml:space="preserve">las prórrogas, modificaciones o adiciones de los contratos suscritos antes de la entrada en vigencia de las prohibiciones anotadas, así </w:t>
            </w:r>
            <w:r w:rsidR="00553192" w:rsidRPr="00F02C5A">
              <w:rPr>
                <w:rFonts w:ascii="Verdana" w:eastAsia="Times New Roman" w:hAnsi="Verdana" w:cs="Arial"/>
                <w:lang w:val="es-MX" w:eastAsia="es-CO"/>
              </w:rPr>
              <w:lastRenderedPageBreak/>
              <w:t>como la cesión de los mismos, pueden tener lugar en el período de aplicación de la Ley de Garantías, sin que ello haga nugatoria la restricción de la contratación directa y siempre que cumplan los principios de planeación, transparencia y responsabilidad.</w:t>
            </w:r>
          </w:p>
          <w:p w14:paraId="44DF5108" w14:textId="77777777" w:rsidR="00553192" w:rsidRDefault="00553192" w:rsidP="00553192">
            <w:pPr>
              <w:spacing w:after="120" w:line="276" w:lineRule="auto"/>
              <w:ind w:firstLine="709"/>
              <w:jc w:val="both"/>
              <w:rPr>
                <w:rFonts w:ascii="Verdana" w:eastAsia="Times New Roman" w:hAnsi="Verdana" w:cs="Arial"/>
                <w:lang w:val="es-MX" w:eastAsia="es-CO"/>
              </w:rPr>
            </w:pPr>
            <w:r w:rsidRPr="00553192">
              <w:rPr>
                <w:rFonts w:ascii="Verdana" w:hAnsi="Verdana"/>
              </w:rPr>
              <w:t>En este sentido,</w:t>
            </w:r>
            <w:r>
              <w:rPr>
                <w:rFonts w:ascii="Verdana" w:hAnsi="Verdana"/>
              </w:rPr>
              <w:t xml:space="preserve"> si</w:t>
            </w:r>
            <w:r w:rsidRPr="00553192">
              <w:rPr>
                <w:rFonts w:ascii="Verdana" w:hAnsi="Verdana"/>
              </w:rPr>
              <w:t xml:space="preserve"> la modificación y ejecución de contratos perfeccionados con anterioridad, resulta jurídicamente procedente</w:t>
            </w:r>
            <w:r>
              <w:rPr>
                <w:rFonts w:ascii="Verdana" w:hAnsi="Verdana"/>
              </w:rPr>
              <w:t xml:space="preserve">, </w:t>
            </w:r>
            <w:r w:rsidRPr="00553192">
              <w:rPr>
                <w:rFonts w:ascii="Verdana" w:hAnsi="Verdana"/>
              </w:rPr>
              <w:t xml:space="preserve">la suscripción de convenios interadministrativos o contratos estatales bajo la modalidad de contratación directa antes de que cobren vigencia las respectivas restricciones de la Ley de Garantías, </w:t>
            </w:r>
            <w:r>
              <w:rPr>
                <w:rFonts w:ascii="Verdana" w:hAnsi="Verdana"/>
              </w:rPr>
              <w:t xml:space="preserve">es posible </w:t>
            </w:r>
            <w:r w:rsidRPr="00553192">
              <w:rPr>
                <w:rFonts w:ascii="Verdana" w:hAnsi="Verdana"/>
              </w:rPr>
              <w:t xml:space="preserve">aun cuando su ejecución inicie con posterioridad. </w:t>
            </w:r>
            <w:r w:rsidRPr="00553192">
              <w:rPr>
                <w:rStyle w:val="citation-188"/>
                <w:rFonts w:ascii="Verdana" w:hAnsi="Verdana"/>
              </w:rPr>
              <w:t>Lo anterior, por cuanto la prohibición legal recae sobre la conducta de celebrar el negocio jurídico dentro del periodo</w:t>
            </w:r>
            <w:r>
              <w:rPr>
                <w:rStyle w:val="citation-188"/>
                <w:rFonts w:ascii="Verdana" w:hAnsi="Verdana"/>
              </w:rPr>
              <w:t xml:space="preserve"> restringido</w:t>
            </w:r>
            <w:r w:rsidRPr="00553192">
              <w:rPr>
                <w:rStyle w:val="citation-188"/>
                <w:rFonts w:ascii="Verdana" w:hAnsi="Verdana"/>
              </w:rPr>
              <w:t>, de manera que si el acuerdo de voluntades se perfecciona en un momento en que la Entidad Estatal goza de plena competencia temporal —esto es, antes del 8 de noviembre de 2025 para convenios de entes territoriales o del 31 de enero de 2026 para contratación directa en general—, el contrato nace a la vida jurídica con plena validez y eficacia</w:t>
            </w:r>
            <w:r w:rsidRPr="00553192">
              <w:rPr>
                <w:rFonts w:ascii="Verdana" w:hAnsi="Verdana"/>
              </w:rPr>
              <w:t>. Por consiguiente, diferir el acta de inicio o la ejecución material para una fecha posterior no vicia la legalidad del contrato, siempre que dicha programación obedezca a una juiciosa planeación contractual que garantice el cumplimiento de los fines estatales y no a una</w:t>
            </w:r>
            <w:r>
              <w:rPr>
                <w:rFonts w:ascii="Verdana" w:hAnsi="Verdana"/>
              </w:rPr>
              <w:t xml:space="preserve"> forma </w:t>
            </w:r>
            <w:r w:rsidRPr="00553192">
              <w:rPr>
                <w:rFonts w:ascii="Verdana" w:hAnsi="Verdana"/>
              </w:rPr>
              <w:t>para eludir el control de las restricciones electorales.</w:t>
            </w:r>
          </w:p>
          <w:p w14:paraId="730CEE45" w14:textId="147CBC97" w:rsidR="00871B59" w:rsidRPr="00D96018" w:rsidRDefault="00553192" w:rsidP="003611B7">
            <w:pPr>
              <w:spacing w:after="120" w:line="276" w:lineRule="auto"/>
              <w:jc w:val="both"/>
              <w:rPr>
                <w:rFonts w:ascii="Verdana" w:hAnsi="Verdana"/>
              </w:rPr>
            </w:pPr>
            <w:r w:rsidRPr="00DD78F1">
              <w:rPr>
                <w:rFonts w:ascii="Verdana" w:hAnsi="Verdana"/>
              </w:rPr>
              <w:t xml:space="preserve">Finalmente, la Agencia Nacional de Contratación Pública – Colombia Compra Eficiente, en conjunto con el Ministerio de Hacienda y Crédito Público, el Departamento Nacional de Planeación y el Departamento Administrativo de la Función Pública, llevó a cabo una maratón de capacitaciones sobre la Ley de Garantías Electorales los días 7 y 8 de octubre de 2025, en la cual se presentaron lineamientos dirigidos a las entidades estatales de cara a la aplicación de las restricciones durante este periodo. </w:t>
            </w:r>
          </w:p>
        </w:tc>
      </w:tr>
    </w:tbl>
    <w:p w14:paraId="5C4D2254" w14:textId="77777777" w:rsidR="00871B59" w:rsidRPr="00593A5F" w:rsidRDefault="00871B59" w:rsidP="00871B59">
      <w:pPr>
        <w:tabs>
          <w:tab w:val="left" w:pos="142"/>
          <w:tab w:val="left" w:pos="284"/>
        </w:tabs>
        <w:spacing w:after="0" w:line="276" w:lineRule="auto"/>
        <w:jc w:val="both"/>
        <w:rPr>
          <w:rFonts w:ascii="Verdana" w:eastAsia="Century Gothic" w:hAnsi="Verdana" w:cs="Century Gothic"/>
          <w:b/>
          <w:bCs/>
          <w:lang w:val="es-ES"/>
        </w:rPr>
      </w:pPr>
    </w:p>
    <w:p w14:paraId="162AE15C"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Razones de la respuesta:</w:t>
      </w:r>
    </w:p>
    <w:p w14:paraId="06144F08" w14:textId="77777777" w:rsidR="00871B59" w:rsidRPr="00593A5F" w:rsidRDefault="00871B59" w:rsidP="00871B59">
      <w:pPr>
        <w:spacing w:after="0" w:line="276" w:lineRule="auto"/>
        <w:jc w:val="both"/>
        <w:rPr>
          <w:rFonts w:ascii="Verdana" w:eastAsia="Calibri" w:hAnsi="Verdana" w:cs="Arial"/>
          <w:color w:val="7030A0"/>
          <w:lang w:val="es-ES"/>
        </w:rPr>
      </w:pPr>
    </w:p>
    <w:p w14:paraId="542899C1" w14:textId="77777777" w:rsidR="00871B59" w:rsidRDefault="00871B59" w:rsidP="00871B59">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54654A4F" w14:textId="77777777" w:rsidR="00622650" w:rsidRDefault="00622650" w:rsidP="00871B59">
      <w:pPr>
        <w:spacing w:after="0" w:line="276" w:lineRule="auto"/>
        <w:jc w:val="both"/>
        <w:rPr>
          <w:rFonts w:ascii="Verdana" w:eastAsia="Calibri" w:hAnsi="Verdana" w:cs="Arial"/>
          <w:lang w:val="es-ES"/>
        </w:rPr>
      </w:pPr>
    </w:p>
    <w:p w14:paraId="35362024" w14:textId="77777777" w:rsidR="00F34219" w:rsidRPr="00F02C5A" w:rsidRDefault="00F34219" w:rsidP="00F34219">
      <w:pPr>
        <w:spacing w:after="0" w:line="276" w:lineRule="auto"/>
        <w:contextualSpacing/>
        <w:jc w:val="both"/>
        <w:rPr>
          <w:rFonts w:ascii="Verdana" w:eastAsia="Times New Roman" w:hAnsi="Verdana" w:cs="Arial"/>
          <w:lang w:val="es-MX" w:eastAsia="es-CO"/>
        </w:rPr>
      </w:pPr>
      <w:r w:rsidRPr="00F02C5A">
        <w:rPr>
          <w:rFonts w:ascii="Verdana" w:eastAsia="Times New Roman" w:hAnsi="Verdana" w:cs="Arial"/>
          <w:lang w:val="es-MX" w:eastAsia="x-none"/>
        </w:rPr>
        <w:lastRenderedPageBreak/>
        <w:t xml:space="preserve">El ámbito material de la prohibición contenida </w:t>
      </w:r>
      <w:bookmarkStart w:id="1" w:name="_Hlk75628761"/>
      <w:r w:rsidRPr="00F02C5A">
        <w:rPr>
          <w:rFonts w:ascii="Verdana" w:eastAsia="Times New Roman" w:hAnsi="Verdana" w:cs="Arial"/>
          <w:lang w:val="es-MX" w:eastAsia="x-none"/>
        </w:rPr>
        <w:t xml:space="preserve">en el artículo 33 de la Ley 996 de 2005 </w:t>
      </w:r>
      <w:bookmarkEnd w:id="1"/>
      <w:r w:rsidRPr="00F02C5A">
        <w:rPr>
          <w:rFonts w:ascii="Verdana" w:eastAsia="Times New Roman" w:hAnsi="Verdana" w:cs="Arial"/>
          <w:lang w:val="es-MX" w:eastAsia="x-none"/>
        </w:rPr>
        <w:t xml:space="preserve">está delimitado por la expresión </w:t>
      </w:r>
      <w:r w:rsidRPr="00F02C5A">
        <w:rPr>
          <w:rFonts w:ascii="Verdana" w:eastAsia="Calibri" w:hAnsi="Verdana" w:cs="Arial"/>
          <w:sz w:val="20"/>
          <w:szCs w:val="20"/>
          <w:lang w:val="es-MX"/>
        </w:rPr>
        <w:t>“</w:t>
      </w:r>
      <w:r w:rsidRPr="00F02C5A">
        <w:rPr>
          <w:rFonts w:ascii="Verdana" w:eastAsia="Times New Roman" w:hAnsi="Verdana" w:cs="Arial"/>
          <w:lang w:val="es-MX" w:eastAsia="x-none"/>
        </w:rPr>
        <w:t>queda prohibida la contratación directa</w:t>
      </w:r>
      <w:r w:rsidRPr="00F02C5A">
        <w:rPr>
          <w:rFonts w:ascii="Verdana" w:eastAsia="Calibri" w:hAnsi="Verdana" w:cs="Arial"/>
          <w:sz w:val="20"/>
          <w:szCs w:val="20"/>
          <w:lang w:val="es-MX"/>
        </w:rPr>
        <w:t>”</w:t>
      </w:r>
      <w:r w:rsidRPr="00F02C5A">
        <w:rPr>
          <w:rFonts w:ascii="Verdana" w:eastAsia="Times New Roman" w:hAnsi="Verdana" w:cs="Arial"/>
          <w:lang w:val="es-MX" w:eastAsia="x-none"/>
        </w:rPr>
        <w:t>.</w:t>
      </w:r>
      <w:r w:rsidRPr="00F02C5A">
        <w:rPr>
          <w:rFonts w:ascii="Verdana" w:eastAsia="Times New Roman" w:hAnsi="Verdana" w:cs="Arial"/>
          <w:lang w:val="es-MX" w:eastAsia="es-CO"/>
        </w:rPr>
        <w:t xml:space="preserve"> A propósito de </w:t>
      </w:r>
      <w:r w:rsidRPr="00F02C5A">
        <w:rPr>
          <w:rFonts w:ascii="Verdana" w:eastAsia="Times New Roman" w:hAnsi="Verdana" w:cs="Arial"/>
          <w:lang w:eastAsia="es-CO"/>
        </w:rPr>
        <w:t>esta restricción de la Ley de Garantías Electorales, la Sala de Consulta y Servicio Civil del Consejo de Estado ha considerado que:</w:t>
      </w:r>
    </w:p>
    <w:p w14:paraId="787BCD4E" w14:textId="77777777" w:rsidR="00F34219" w:rsidRPr="00F02C5A" w:rsidRDefault="00F34219" w:rsidP="00F34219">
      <w:pPr>
        <w:spacing w:after="0" w:line="276" w:lineRule="auto"/>
        <w:ind w:left="708" w:right="709"/>
        <w:contextualSpacing/>
        <w:jc w:val="both"/>
        <w:rPr>
          <w:rFonts w:ascii="Verdana" w:eastAsia="Calibri" w:hAnsi="Verdana" w:cs="Arial"/>
          <w:sz w:val="21"/>
          <w:szCs w:val="21"/>
          <w:lang w:val="es-MX"/>
        </w:rPr>
      </w:pPr>
    </w:p>
    <w:p w14:paraId="40802D6F" w14:textId="77777777" w:rsidR="00F34219" w:rsidRPr="00F02C5A" w:rsidRDefault="00F34219" w:rsidP="00F34219">
      <w:pPr>
        <w:spacing w:after="0" w:line="240" w:lineRule="auto"/>
        <w:ind w:left="709" w:right="709"/>
        <w:contextualSpacing/>
        <w:jc w:val="both"/>
        <w:rPr>
          <w:rFonts w:ascii="Verdana" w:eastAsia="Calibri" w:hAnsi="Verdana" w:cs="Arial"/>
          <w:sz w:val="21"/>
          <w:szCs w:val="21"/>
          <w:lang w:val="es-MX"/>
        </w:rPr>
      </w:pPr>
      <w:r w:rsidRPr="00F02C5A">
        <w:rPr>
          <w:rFonts w:ascii="Verdana" w:eastAsia="Calibri" w:hAnsi="Verdana" w:cs="Arial"/>
          <w:sz w:val="21"/>
          <w:szCs w:val="21"/>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F02C5A">
        <w:rPr>
          <w:rFonts w:ascii="Verdana" w:eastAsia="Times New Roman" w:hAnsi="Verdana" w:cs="Arial"/>
          <w:vertAlign w:val="superscript"/>
          <w:lang w:eastAsia="es-CO"/>
        </w:rPr>
        <w:footnoteReference w:id="2"/>
      </w:r>
      <w:r w:rsidRPr="00F02C5A">
        <w:rPr>
          <w:rFonts w:ascii="Verdana" w:eastAsia="Calibri" w:hAnsi="Verdana" w:cs="Arial"/>
          <w:sz w:val="21"/>
          <w:szCs w:val="21"/>
          <w:lang w:val="es-MX"/>
        </w:rPr>
        <w:t>.</w:t>
      </w:r>
    </w:p>
    <w:p w14:paraId="105BDE28" w14:textId="77777777" w:rsidR="00F34219" w:rsidRPr="00F02C5A" w:rsidRDefault="00F34219" w:rsidP="00F34219">
      <w:pPr>
        <w:spacing w:after="0" w:line="240" w:lineRule="auto"/>
        <w:ind w:left="709" w:right="709"/>
        <w:contextualSpacing/>
        <w:jc w:val="both"/>
        <w:rPr>
          <w:rFonts w:ascii="Verdana" w:eastAsia="Calibri" w:hAnsi="Verdana" w:cs="Arial"/>
          <w:sz w:val="12"/>
          <w:szCs w:val="12"/>
          <w:lang w:val="es-MX"/>
        </w:rPr>
      </w:pPr>
    </w:p>
    <w:p w14:paraId="2F666E69" w14:textId="77777777" w:rsidR="00F34219" w:rsidRPr="00F02C5A" w:rsidRDefault="00F34219" w:rsidP="00F34219">
      <w:pPr>
        <w:spacing w:after="0" w:line="240" w:lineRule="auto"/>
        <w:ind w:left="708" w:right="709"/>
        <w:contextualSpacing/>
        <w:jc w:val="both"/>
        <w:rPr>
          <w:rFonts w:ascii="Verdana" w:eastAsia="Calibri" w:hAnsi="Verdana" w:cs="Arial"/>
          <w:sz w:val="21"/>
          <w:szCs w:val="21"/>
          <w:lang w:val="es-MX"/>
        </w:rPr>
      </w:pPr>
      <w:r w:rsidRPr="00F02C5A">
        <w:rPr>
          <w:rFonts w:ascii="Verdana" w:eastAsia="Calibri" w:hAnsi="Verdana" w:cs="Arial"/>
          <w:sz w:val="21"/>
          <w:szCs w:val="21"/>
          <w:lang w:val="es-MX"/>
        </w:rPr>
        <w:t xml:space="preserve">Esta Sala ha entendido que para los efectos de la ley de garantías, y dada su finalidad, el enunciado ´contratación directa´ es sinónimo </w:t>
      </w:r>
      <w:bookmarkStart w:id="2" w:name="_Hlk75741738"/>
      <w:r w:rsidRPr="00F02C5A">
        <w:rPr>
          <w:rFonts w:ascii="Verdana" w:eastAsia="Calibri" w:hAnsi="Verdana" w:cs="Arial"/>
          <w:sz w:val="21"/>
          <w:szCs w:val="21"/>
          <w:lang w:val="es-MX"/>
        </w:rPr>
        <w:t xml:space="preserve">de cualquier sistema que no implique convocatoria pública y posibilidad de pluralidad de oferentes, </w:t>
      </w:r>
      <w:bookmarkEnd w:id="2"/>
      <w:r w:rsidRPr="00F02C5A">
        <w:rPr>
          <w:rFonts w:ascii="Verdana" w:eastAsia="Calibri" w:hAnsi="Verdana" w:cs="Arial"/>
          <w:sz w:val="21"/>
          <w:szCs w:val="21"/>
          <w:lang w:val="es-MX"/>
        </w:rPr>
        <w:t>y que, además, no necesariamente hace referencia al procedimiento especial regulado por la ley de contratación estatal, sino a cualquier otro que prescinda de un proceso de licitación pública o concurso</w:t>
      </w:r>
      <w:r w:rsidRPr="00F02C5A">
        <w:rPr>
          <w:rFonts w:ascii="Verdana" w:eastAsia="Times New Roman" w:hAnsi="Verdana" w:cs="Arial"/>
          <w:sz w:val="21"/>
          <w:szCs w:val="21"/>
          <w:vertAlign w:val="superscript"/>
          <w:lang w:val="es-MX"/>
        </w:rPr>
        <w:footnoteReference w:id="3"/>
      </w:r>
      <w:r w:rsidRPr="00F02C5A">
        <w:rPr>
          <w:rFonts w:ascii="Verdana" w:eastAsia="Times New Roman" w:hAnsi="Verdana" w:cs="Arial"/>
          <w:sz w:val="21"/>
          <w:szCs w:val="21"/>
          <w:vertAlign w:val="superscript"/>
          <w:lang w:val="es-MX"/>
        </w:rPr>
        <w:t>.</w:t>
      </w:r>
      <w:r w:rsidRPr="00F02C5A">
        <w:rPr>
          <w:rFonts w:ascii="Verdana" w:eastAsia="Calibri" w:hAnsi="Verdana" w:cs="Arial"/>
          <w:sz w:val="21"/>
          <w:szCs w:val="21"/>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F02C5A">
        <w:rPr>
          <w:rFonts w:ascii="Verdana" w:eastAsia="Times New Roman" w:hAnsi="Verdana" w:cs="Arial"/>
          <w:vertAlign w:val="superscript"/>
          <w:lang w:eastAsia="es-CO"/>
        </w:rPr>
        <w:footnoteReference w:id="4"/>
      </w:r>
      <w:r w:rsidRPr="00F02C5A">
        <w:rPr>
          <w:rFonts w:ascii="Verdana" w:eastAsia="Calibri" w:hAnsi="Verdana" w:cs="Arial"/>
          <w:sz w:val="21"/>
          <w:szCs w:val="21"/>
          <w:lang w:val="es-MX"/>
        </w:rPr>
        <w:t xml:space="preserve"> .</w:t>
      </w:r>
    </w:p>
    <w:p w14:paraId="07A68FBC" w14:textId="77777777" w:rsidR="00F34219" w:rsidRPr="00F02C5A" w:rsidRDefault="00F34219" w:rsidP="00F34219">
      <w:pPr>
        <w:shd w:val="clear" w:color="auto" w:fill="FFFFFF"/>
        <w:spacing w:after="0" w:line="276" w:lineRule="auto"/>
        <w:ind w:firstLine="709"/>
        <w:contextualSpacing/>
        <w:jc w:val="both"/>
        <w:rPr>
          <w:rFonts w:ascii="Verdana" w:eastAsia="Times New Roman" w:hAnsi="Verdana" w:cs="Arial"/>
          <w:lang w:eastAsia="x-none"/>
        </w:rPr>
      </w:pPr>
    </w:p>
    <w:p w14:paraId="1BE4CDC1" w14:textId="77777777" w:rsidR="00F34219" w:rsidRPr="00F02C5A" w:rsidRDefault="00F34219" w:rsidP="00F34219">
      <w:pPr>
        <w:spacing w:after="120" w:line="276" w:lineRule="auto"/>
        <w:ind w:firstLine="709"/>
        <w:jc w:val="both"/>
        <w:rPr>
          <w:rFonts w:ascii="Verdana" w:eastAsia="Times New Roman" w:hAnsi="Verdana" w:cs="Arial"/>
          <w:lang w:eastAsia="x-none"/>
        </w:rPr>
      </w:pPr>
      <w:bookmarkStart w:id="4" w:name="_Hlk94521748"/>
      <w:r w:rsidRPr="00F02C5A">
        <w:rPr>
          <w:rFonts w:ascii="Verdana" w:eastAsia="Times New Roman" w:hAnsi="Verdana" w:cs="Arial"/>
          <w:lang w:eastAsia="x-none"/>
        </w:rPr>
        <w:t xml:space="preserve">De conformidad con el citado concepto, la prohibición del artículo 33 de la Ley de Garantías Electorales se refiere a </w:t>
      </w:r>
      <w:r w:rsidRPr="00F02C5A">
        <w:rPr>
          <w:rFonts w:ascii="Verdana" w:eastAsia="Times New Roman" w:hAnsi="Verdana" w:cs="Arial"/>
          <w:sz w:val="19"/>
          <w:szCs w:val="19"/>
          <w:lang w:eastAsia="en-GB"/>
        </w:rPr>
        <w:t>“</w:t>
      </w:r>
      <w:r w:rsidRPr="00F02C5A">
        <w:rPr>
          <w:rFonts w:ascii="Verdana" w:eastAsia="Times New Roman" w:hAnsi="Verdana" w:cs="Arial"/>
          <w:lang w:eastAsia="x-none"/>
        </w:rPr>
        <w:t>cualquier sistema que no implique convocatoria pública y posibilidad de pluralidad de oferentes</w:t>
      </w:r>
      <w:r w:rsidRPr="00F02C5A">
        <w:rPr>
          <w:rFonts w:ascii="Verdana" w:eastAsia="Times New Roman" w:hAnsi="Verdana" w:cs="Arial"/>
          <w:lang w:eastAsia="en-GB"/>
        </w:rPr>
        <w:t>”</w:t>
      </w:r>
      <w:r w:rsidRPr="00F02C5A">
        <w:rPr>
          <w:rFonts w:ascii="Verdana" w:eastAsia="Times New Roman" w:hAnsi="Verdana" w:cs="Arial"/>
          <w:lang w:eastAsia="x-none"/>
        </w:rPr>
        <w:t xml:space="preserve">, por lo que excluye las demás modalidades de contratación previstas en la Ley 1150 de 2007, es decir, la licitación pública, la selección abreviada y el concurso de méritos u otros </w:t>
      </w:r>
      <w:r w:rsidRPr="00F02C5A">
        <w:rPr>
          <w:rFonts w:ascii="Verdana" w:eastAsia="Times New Roman" w:hAnsi="Verdana" w:cs="Arial"/>
          <w:lang w:eastAsia="x-none"/>
        </w:rPr>
        <w:lastRenderedPageBreak/>
        <w:t xml:space="preserve">previstos en normas especiales. </w:t>
      </w:r>
      <w:bookmarkEnd w:id="4"/>
      <w:r w:rsidRPr="00F02C5A">
        <w:rPr>
          <w:rFonts w:ascii="Verdana" w:eastAsia="Times New Roman" w:hAnsi="Verdana" w:cs="Arial"/>
          <w:lang w:eastAsia="x-none"/>
        </w:rPr>
        <w:t>Esta posición es congruente con la expedición de la Ley 1150 de 2007 que, entre otras reformas, introdujo la selección abreviada, rediseñó el concurso de méritos</w:t>
      </w:r>
      <w:r w:rsidRPr="00F02C5A">
        <w:rPr>
          <w:rFonts w:ascii="Verdana" w:eastAsia="Times New Roman" w:hAnsi="Verdana" w:cs="Arial"/>
          <w:vertAlign w:val="superscript"/>
          <w:lang w:val="en-GB" w:eastAsia="x-none"/>
        </w:rPr>
        <w:footnoteReference w:id="5"/>
      </w:r>
      <w:r w:rsidRPr="00F02C5A">
        <w:rPr>
          <w:rFonts w:ascii="Verdana" w:eastAsia="Times New Roman" w:hAnsi="Verdana" w:cs="Arial"/>
          <w:lang w:eastAsia="x-none"/>
        </w:rPr>
        <w:t xml:space="preserve"> y sistematizó las causales de contratación directa</w:t>
      </w:r>
      <w:r w:rsidRPr="00F02C5A">
        <w:rPr>
          <w:rFonts w:ascii="Verdana" w:eastAsia="Times New Roman" w:hAnsi="Verdana" w:cs="Arial"/>
          <w:vertAlign w:val="superscript"/>
          <w:lang w:val="en-GB" w:eastAsia="x-none"/>
        </w:rPr>
        <w:footnoteReference w:id="6"/>
      </w:r>
      <w:r w:rsidRPr="00F02C5A">
        <w:rPr>
          <w:rFonts w:ascii="Verdana" w:eastAsia="Times New Roman" w:hAnsi="Verdana" w:cs="Arial"/>
          <w:lang w:eastAsia="x-none"/>
        </w:rPr>
        <w:t xml:space="preserve">. </w:t>
      </w:r>
    </w:p>
    <w:p w14:paraId="33B63044" w14:textId="77777777" w:rsidR="00F34219" w:rsidRPr="00F02C5A" w:rsidRDefault="00F34219" w:rsidP="00F34219">
      <w:pPr>
        <w:spacing w:after="120" w:line="276" w:lineRule="auto"/>
        <w:ind w:firstLine="709"/>
        <w:jc w:val="both"/>
        <w:rPr>
          <w:rFonts w:ascii="Verdana" w:eastAsia="Times New Roman" w:hAnsi="Verdana" w:cs="Arial"/>
          <w:lang w:val="es-MX" w:eastAsia="x-none"/>
        </w:rPr>
      </w:pPr>
      <w:r w:rsidRPr="00F02C5A">
        <w:rPr>
          <w:rFonts w:ascii="Verdana" w:eastAsia="Times New Roman" w:hAnsi="Verdana" w:cs="Arial"/>
          <w:lang w:eastAsia="x-none"/>
        </w:rPr>
        <w:t xml:space="preserve">De esta forma, se ha depurado la noción de </w:t>
      </w:r>
      <w:r w:rsidRPr="00F02C5A">
        <w:rPr>
          <w:rFonts w:ascii="Verdana" w:eastAsia="Times New Roman" w:hAnsi="Verdana" w:cs="Arial"/>
          <w:sz w:val="19"/>
          <w:szCs w:val="19"/>
          <w:lang w:eastAsia="en-GB"/>
        </w:rPr>
        <w:t>“</w:t>
      </w:r>
      <w:r w:rsidRPr="00F02C5A">
        <w:rPr>
          <w:rFonts w:ascii="Verdana" w:eastAsia="Times New Roman" w:hAnsi="Verdana" w:cs="Arial"/>
          <w:lang w:eastAsia="x-none"/>
        </w:rPr>
        <w:t>contratación directa</w:t>
      </w:r>
      <w:r w:rsidRPr="00F02C5A">
        <w:rPr>
          <w:rFonts w:ascii="Verdana" w:eastAsia="Times New Roman" w:hAnsi="Verdana" w:cs="Arial"/>
          <w:lang w:eastAsia="en-GB"/>
        </w:rPr>
        <w:t>”</w:t>
      </w:r>
      <w:r w:rsidRPr="00F02C5A">
        <w:rPr>
          <w:rFonts w:ascii="Verdana" w:eastAsia="Times New Roman" w:hAnsi="Verdana" w:cs="Arial"/>
          <w:lang w:eastAsia="x-none"/>
        </w:rPr>
        <w:t>,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F02C5A">
        <w:rPr>
          <w:rFonts w:ascii="Verdana" w:eastAsia="Times New Roman" w:hAnsi="Verdana" w:cs="Arial"/>
          <w:vertAlign w:val="superscript"/>
          <w:lang w:val="en-GB" w:eastAsia="x-none"/>
        </w:rPr>
        <w:footnoteReference w:id="7"/>
      </w:r>
      <w:r w:rsidRPr="00F02C5A">
        <w:rPr>
          <w:rFonts w:ascii="Verdana" w:eastAsia="Times New Roman" w:hAnsi="Verdana" w:cs="Arial"/>
          <w:lang w:eastAsia="x-none"/>
        </w:rPr>
        <w:t>, han establecido sistemas de contratación que implican convocatoria pública y participación de varios oferentes</w:t>
      </w:r>
      <w:r w:rsidRPr="00F02C5A">
        <w:rPr>
          <w:rFonts w:ascii="Verdana" w:eastAsia="Times New Roman" w:hAnsi="Verdana" w:cs="Arial"/>
          <w:lang w:eastAsia="en-GB"/>
        </w:rPr>
        <w:t>”</w:t>
      </w:r>
      <w:r w:rsidRPr="00F02C5A">
        <w:rPr>
          <w:rFonts w:ascii="Verdana" w:eastAsia="Times New Roman" w:hAnsi="Verdana" w:cs="Arial"/>
          <w:lang w:eastAsia="x-none"/>
        </w:rPr>
        <w:t xml:space="preserve">. </w:t>
      </w:r>
    </w:p>
    <w:p w14:paraId="6F6681A8" w14:textId="77777777" w:rsidR="00F34219" w:rsidRPr="00F02C5A" w:rsidRDefault="00F34219" w:rsidP="00F34219">
      <w:pPr>
        <w:spacing w:after="120" w:line="276" w:lineRule="auto"/>
        <w:ind w:firstLine="709"/>
        <w:jc w:val="both"/>
        <w:rPr>
          <w:rFonts w:ascii="Verdana" w:eastAsia="Times New Roman" w:hAnsi="Verdana" w:cs="Arial"/>
          <w:lang w:val="es-MX" w:eastAsia="es-CO"/>
        </w:rPr>
      </w:pPr>
      <w:r w:rsidRPr="00F02C5A">
        <w:rPr>
          <w:rFonts w:ascii="Verdana" w:eastAsia="Times New Roman" w:hAnsi="Verdana" w:cs="Arial"/>
          <w:lang w:val="es-MX" w:eastAsia="x-none"/>
        </w:rPr>
        <w:t>E</w:t>
      </w:r>
      <w:r w:rsidRPr="00F02C5A">
        <w:rPr>
          <w:rFonts w:ascii="Verdana" w:eastAsia="Times New Roman" w:hAnsi="Verdana" w:cs="Arial"/>
          <w:lang w:eastAsia="x-none"/>
        </w:rPr>
        <w:t xml:space="preserve">n efecto, vale la pena mencionar que, </w:t>
      </w:r>
      <w:bookmarkStart w:id="5" w:name="_Hlk75636073"/>
      <w:r w:rsidRPr="00F02C5A">
        <w:rPr>
          <w:rFonts w:ascii="Verdana" w:eastAsia="Times New Roman" w:hAnsi="Verdana" w:cs="Arial"/>
          <w:lang w:eastAsia="x-none"/>
        </w:rPr>
        <w:t>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bookmarkEnd w:id="5"/>
      <w:r w:rsidRPr="00F02C5A">
        <w:rPr>
          <w:rFonts w:ascii="Verdana" w:eastAsia="Times New Roman" w:hAnsi="Verdana" w:cs="Arial"/>
          <w:vertAlign w:val="superscript"/>
          <w:lang w:eastAsia="x-none"/>
        </w:rPr>
        <w:footnoteReference w:id="8"/>
      </w:r>
      <w:r w:rsidRPr="00F02C5A">
        <w:rPr>
          <w:rFonts w:ascii="Verdana" w:eastAsia="Times New Roman" w:hAnsi="Verdana" w:cs="Arial"/>
          <w:lang w:eastAsia="x-none"/>
        </w:rPr>
        <w:t xml:space="preserve">. </w:t>
      </w:r>
    </w:p>
    <w:p w14:paraId="4A890BE2" w14:textId="77777777" w:rsidR="00F34219" w:rsidRPr="00F02C5A" w:rsidRDefault="00F34219" w:rsidP="00F34219">
      <w:pPr>
        <w:spacing w:after="120" w:line="276" w:lineRule="auto"/>
        <w:ind w:firstLine="709"/>
        <w:jc w:val="both"/>
        <w:rPr>
          <w:rFonts w:ascii="Verdana" w:eastAsia="Times New Roman" w:hAnsi="Verdana" w:cs="Arial"/>
          <w:lang w:val="es-MX" w:eastAsia="es-CO"/>
        </w:rPr>
      </w:pPr>
      <w:r w:rsidRPr="00F02C5A">
        <w:rPr>
          <w:rFonts w:ascii="Verdana" w:eastAsia="Times New Roman" w:hAnsi="Verdana" w:cs="Arial"/>
          <w:lang w:val="es-MX" w:eastAsia="es-CO"/>
        </w:rPr>
        <w:t xml:space="preserve">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w:t>
      </w:r>
      <w:r w:rsidRPr="00F02C5A">
        <w:rPr>
          <w:rFonts w:ascii="Verdana" w:eastAsia="Times New Roman" w:hAnsi="Verdana" w:cs="Arial"/>
          <w:lang w:val="es-MX" w:eastAsia="es-CO"/>
        </w:rPr>
        <w:lastRenderedPageBreak/>
        <w:t>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0699AEB4" w14:textId="77777777" w:rsidR="00F34219" w:rsidRPr="00F02C5A" w:rsidRDefault="00F34219" w:rsidP="00F34219">
      <w:pPr>
        <w:spacing w:after="120" w:line="276" w:lineRule="auto"/>
        <w:ind w:firstLine="709"/>
        <w:jc w:val="both"/>
        <w:rPr>
          <w:rFonts w:ascii="Verdana" w:eastAsia="Times New Roman" w:hAnsi="Verdana" w:cs="Arial"/>
          <w:lang w:val="es-MX" w:eastAsia="x-none"/>
        </w:rPr>
      </w:pPr>
      <w:bookmarkStart w:id="6" w:name="_Hlk78818796"/>
      <w:r w:rsidRPr="00F02C5A">
        <w:rPr>
          <w:rFonts w:ascii="Verdana" w:eastAsia="Times New Roman" w:hAnsi="Verdana" w:cs="Arial"/>
          <w:lang w:val="es-MX" w:eastAsia="x-none"/>
        </w:rPr>
        <w:t xml:space="preserve"> Así las cosas, </w:t>
      </w:r>
      <w:bookmarkStart w:id="7" w:name="_Hlk99577798"/>
      <w:r w:rsidRPr="00F02C5A">
        <w:rPr>
          <w:rFonts w:ascii="Verdana" w:eastAsia="Times New Roman" w:hAnsi="Verdana" w:cs="Arial"/>
          <w:lang w:val="es-MX" w:eastAsia="x-none"/>
        </w:rPr>
        <w:t>ha de entenderse que, para los efectos de la Ley de Garantías Electorales y, en particular, para la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F02C5A">
        <w:rPr>
          <w:rFonts w:ascii="Verdana" w:eastAsia="Times New Roman" w:hAnsi="Verdana" w:cs="Arial"/>
          <w:vertAlign w:val="superscript"/>
          <w:lang w:eastAsia="x-none"/>
        </w:rPr>
        <w:footnoteReference w:id="9"/>
      </w:r>
      <w:r w:rsidRPr="00F02C5A">
        <w:rPr>
          <w:rFonts w:ascii="Verdana" w:eastAsia="Times New Roman" w:hAnsi="Verdana" w:cs="Arial"/>
          <w:lang w:val="es-MX" w:eastAsia="x-none"/>
        </w:rPr>
        <w:t>.</w:t>
      </w:r>
      <w:r w:rsidRPr="00F02C5A">
        <w:rPr>
          <w:rFonts w:ascii="Verdana" w:eastAsia="Times New Roman" w:hAnsi="Verdana" w:cs="Arial"/>
          <w:vertAlign w:val="superscript"/>
          <w:lang w:eastAsia="x-none"/>
        </w:rPr>
        <w:t xml:space="preserve"> </w:t>
      </w:r>
    </w:p>
    <w:bookmarkEnd w:id="6"/>
    <w:p w14:paraId="50CFDB73" w14:textId="77777777" w:rsidR="00F34219" w:rsidRPr="00F02C5A" w:rsidRDefault="00F34219" w:rsidP="00F34219">
      <w:pPr>
        <w:spacing w:after="120" w:line="276" w:lineRule="auto"/>
        <w:ind w:firstLine="709"/>
        <w:jc w:val="both"/>
        <w:rPr>
          <w:rFonts w:ascii="Verdana" w:eastAsia="Times New Roman" w:hAnsi="Verdana" w:cs="Arial"/>
          <w:lang w:eastAsia="x-none"/>
        </w:rPr>
      </w:pPr>
      <w:r w:rsidRPr="00F02C5A">
        <w:rPr>
          <w:rFonts w:ascii="Verdana" w:eastAsia="Times New Roman" w:hAnsi="Verdana" w:cs="Arial"/>
          <w:lang w:val="es-MX" w:eastAsia="x-none"/>
        </w:rPr>
        <w:t>De lo anterior se desprende que la restricción aplica, sin perjuicio de las excepciones establecidas en la misma ley, para celebrar cualquier contrato de forma directa, esto es, sin que exista un proceso abierto y competitivo.</w:t>
      </w:r>
      <w:r w:rsidRPr="00F02C5A">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51229D1F" w14:textId="1932221E" w:rsidR="00F34219" w:rsidRDefault="00553192" w:rsidP="00F34219">
      <w:pPr>
        <w:spacing w:after="120" w:line="276" w:lineRule="auto"/>
        <w:ind w:firstLine="709"/>
        <w:jc w:val="both"/>
        <w:rPr>
          <w:rFonts w:ascii="Verdana" w:eastAsia="Times New Roman" w:hAnsi="Verdana" w:cs="Arial"/>
          <w:lang w:val="es-MX" w:eastAsia="es-CO"/>
        </w:rPr>
      </w:pPr>
      <w:bookmarkStart w:id="8" w:name="_Hlk77237094"/>
      <w:bookmarkStart w:id="9" w:name="OLE_LINK2"/>
      <w:bookmarkEnd w:id="7"/>
      <w:r>
        <w:rPr>
          <w:rFonts w:ascii="Verdana" w:eastAsia="Times New Roman" w:hAnsi="Verdana" w:cs="Arial"/>
          <w:lang w:val="es-MX" w:eastAsia="es-CO"/>
        </w:rPr>
        <w:t xml:space="preserve">Ahora bien, con el proposito de responder al objeto de la consulta </w:t>
      </w:r>
      <w:r w:rsidR="00F34219" w:rsidRPr="00F02C5A">
        <w:rPr>
          <w:rFonts w:ascii="Verdana" w:eastAsia="Times New Roman" w:hAnsi="Verdana" w:cs="Arial"/>
          <w:lang w:val="es-MX" w:eastAsia="es-CO"/>
        </w:rPr>
        <w:t xml:space="preserve">esta Agencia, </w:t>
      </w:r>
      <w:r>
        <w:rPr>
          <w:rFonts w:ascii="Verdana" w:eastAsia="Times New Roman" w:hAnsi="Verdana" w:cs="Arial"/>
          <w:lang w:val="es-MX" w:eastAsia="es-CO"/>
        </w:rPr>
        <w:t xml:space="preserve">ha sostenido que </w:t>
      </w:r>
      <w:r w:rsidR="00F34219" w:rsidRPr="00F02C5A">
        <w:rPr>
          <w:rFonts w:ascii="Verdana" w:eastAsia="Times New Roman" w:hAnsi="Verdana" w:cs="Arial"/>
          <w:lang w:val="es-MX" w:eastAsia="es-CO"/>
        </w:rPr>
        <w:t>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bookmarkEnd w:id="8"/>
    </w:p>
    <w:p w14:paraId="363CF8A0" w14:textId="456ED043" w:rsidR="00811900" w:rsidRDefault="00553192" w:rsidP="00553192">
      <w:pPr>
        <w:spacing w:after="120" w:line="276" w:lineRule="auto"/>
        <w:ind w:firstLine="709"/>
        <w:jc w:val="both"/>
        <w:rPr>
          <w:rFonts w:ascii="Verdana" w:eastAsia="Times New Roman" w:hAnsi="Verdana" w:cs="Arial"/>
          <w:lang w:val="es-MX" w:eastAsia="es-CO"/>
        </w:rPr>
      </w:pPr>
      <w:r w:rsidRPr="00553192">
        <w:rPr>
          <w:rFonts w:ascii="Verdana" w:hAnsi="Verdana"/>
        </w:rPr>
        <w:t>En este sentido,</w:t>
      </w:r>
      <w:r>
        <w:rPr>
          <w:rFonts w:ascii="Verdana" w:hAnsi="Verdana"/>
        </w:rPr>
        <w:t xml:space="preserve"> si</w:t>
      </w:r>
      <w:r w:rsidRPr="00553192">
        <w:rPr>
          <w:rFonts w:ascii="Verdana" w:hAnsi="Verdana"/>
        </w:rPr>
        <w:t xml:space="preserve"> la modificación y ejecución de contratos perfeccionados con anterioridad, resulta jurídicamente procedente</w:t>
      </w:r>
      <w:r>
        <w:rPr>
          <w:rFonts w:ascii="Verdana" w:hAnsi="Verdana"/>
        </w:rPr>
        <w:t xml:space="preserve">, </w:t>
      </w:r>
      <w:r w:rsidRPr="00553192">
        <w:rPr>
          <w:rFonts w:ascii="Verdana" w:hAnsi="Verdana"/>
        </w:rPr>
        <w:t xml:space="preserve">la suscripción de convenios interadministrativos o contratos estatales bajo la modalidad de contratación directa antes de que cobren vigencia las respectivas restricciones de la Ley de </w:t>
      </w:r>
      <w:r w:rsidRPr="00553192">
        <w:rPr>
          <w:rFonts w:ascii="Verdana" w:hAnsi="Verdana"/>
        </w:rPr>
        <w:lastRenderedPageBreak/>
        <w:t xml:space="preserve">Garantías, </w:t>
      </w:r>
      <w:r>
        <w:rPr>
          <w:rFonts w:ascii="Verdana" w:hAnsi="Verdana"/>
        </w:rPr>
        <w:t xml:space="preserve">es posible </w:t>
      </w:r>
      <w:r w:rsidRPr="00553192">
        <w:rPr>
          <w:rFonts w:ascii="Verdana" w:hAnsi="Verdana"/>
        </w:rPr>
        <w:t xml:space="preserve">aun cuando su ejecución inicie con posterioridad. </w:t>
      </w:r>
      <w:r w:rsidRPr="00553192">
        <w:rPr>
          <w:rStyle w:val="citation-188"/>
          <w:rFonts w:ascii="Verdana" w:hAnsi="Verdana"/>
        </w:rPr>
        <w:t>Lo anterior, por cuanto la prohibición legal recae sobre la conducta de celebrar el negocio jurídico dentro del periodo</w:t>
      </w:r>
      <w:r>
        <w:rPr>
          <w:rStyle w:val="citation-188"/>
          <w:rFonts w:ascii="Verdana" w:hAnsi="Verdana"/>
        </w:rPr>
        <w:t xml:space="preserve"> restringido</w:t>
      </w:r>
      <w:r w:rsidRPr="00553192">
        <w:rPr>
          <w:rStyle w:val="citation-188"/>
          <w:rFonts w:ascii="Verdana" w:hAnsi="Verdana"/>
        </w:rPr>
        <w:t>, de manera que si el acuerdo de voluntades se perfecciona en un momento en que la Entidad Estatal goza de plena competencia temporal —esto es, antes del 8 de noviembre de 2025 para convenios de entes territoriales o del 31 de enero de 2026 para contratación directa en general—, el contrato nace a la vida jurídica con plena validez y eficacia</w:t>
      </w:r>
      <w:r w:rsidRPr="00553192">
        <w:rPr>
          <w:rFonts w:ascii="Verdana" w:hAnsi="Verdana"/>
        </w:rPr>
        <w:t>. Por consiguiente, diferir el acta de inicio o la ejecución material para una fecha posterior no vicia la legalidad del contrato, siempre que dicha programación obedezca a una juiciosa planeación contractual que garantice el cumplimiento de los fines estatales y no a una</w:t>
      </w:r>
      <w:r>
        <w:rPr>
          <w:rFonts w:ascii="Verdana" w:hAnsi="Verdana"/>
        </w:rPr>
        <w:t xml:space="preserve"> forma </w:t>
      </w:r>
      <w:r w:rsidRPr="00553192">
        <w:rPr>
          <w:rFonts w:ascii="Verdana" w:hAnsi="Verdana"/>
        </w:rPr>
        <w:t>para eludir el control de las restricciones electorales.</w:t>
      </w:r>
      <w:bookmarkEnd w:id="9"/>
    </w:p>
    <w:p w14:paraId="349F75A1" w14:textId="5E743BDC" w:rsidR="00983695" w:rsidRPr="00553192" w:rsidRDefault="00811900" w:rsidP="00553192">
      <w:pPr>
        <w:spacing w:after="120" w:line="276" w:lineRule="auto"/>
        <w:ind w:firstLine="709"/>
        <w:jc w:val="both"/>
        <w:rPr>
          <w:rFonts w:ascii="Verdana" w:hAnsi="Verdana"/>
        </w:rPr>
      </w:pPr>
      <w:r w:rsidRPr="00DD78F1">
        <w:rPr>
          <w:rFonts w:ascii="Verdana" w:hAnsi="Verdana"/>
        </w:rPr>
        <w:t xml:space="preserve">Finalmente, la Agencia Nacional de Contratación Pública – Colombia Compra Eficiente, en conjunto con el Ministerio de Hacienda y Crédito Público, el Departamento Nacional de Planeación y el Departamento Administrativo de la Función Pública, llevó a cabo una maratón de capacitaciones sobre la Ley de Garantías Electorales los días 7 y 8 de octubre de 2025, en la cual se presentaron lineamientos dirigidos a las entidades estatales de cara a la aplicación de las restricciones durante este periodo. </w:t>
      </w:r>
    </w:p>
    <w:p w14:paraId="4F12F710"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Referencias normativas, jurisprudenciales y otras fuentes:</w:t>
      </w:r>
    </w:p>
    <w:p w14:paraId="259CFB1A" w14:textId="77777777" w:rsidR="00871B59" w:rsidRPr="00593A5F" w:rsidRDefault="00871B59" w:rsidP="00871B59">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71B59" w:rsidRPr="00593A5F" w14:paraId="7880921B" w14:textId="77777777" w:rsidTr="002607A7">
        <w:trPr>
          <w:trHeight w:val="870"/>
        </w:trPr>
        <w:tc>
          <w:tcPr>
            <w:tcW w:w="8647" w:type="dxa"/>
          </w:tcPr>
          <w:p w14:paraId="27DD6FFC" w14:textId="77777777" w:rsidR="00F34219" w:rsidRDefault="00F34219" w:rsidP="00F34219">
            <w:pPr>
              <w:pStyle w:val="Prrafodelista"/>
              <w:widowControl w:val="0"/>
              <w:numPr>
                <w:ilvl w:val="0"/>
                <w:numId w:val="8"/>
              </w:numPr>
              <w:autoSpaceDE w:val="0"/>
              <w:autoSpaceDN w:val="0"/>
              <w:spacing w:after="120" w:line="276" w:lineRule="auto"/>
              <w:jc w:val="both"/>
              <w:rPr>
                <w:rFonts w:ascii="Verdana" w:hAnsi="Verdana" w:cs="Arial"/>
              </w:rPr>
            </w:pPr>
            <w:r w:rsidRPr="00745CAA">
              <w:rPr>
                <w:rFonts w:ascii="Verdana" w:hAnsi="Verdana" w:cs="Arial"/>
              </w:rPr>
              <w:t xml:space="preserve">Ley </w:t>
            </w:r>
            <w:r>
              <w:rPr>
                <w:rFonts w:ascii="Verdana" w:hAnsi="Verdana" w:cs="Arial"/>
              </w:rPr>
              <w:t>996</w:t>
            </w:r>
            <w:r w:rsidRPr="00745CAA">
              <w:rPr>
                <w:rFonts w:ascii="Verdana" w:hAnsi="Verdana" w:cs="Arial"/>
              </w:rPr>
              <w:t xml:space="preserve"> de 200</w:t>
            </w:r>
            <w:r>
              <w:rPr>
                <w:rFonts w:ascii="Verdana" w:hAnsi="Verdana" w:cs="Arial"/>
              </w:rPr>
              <w:t>5</w:t>
            </w:r>
            <w:r w:rsidRPr="00745CAA">
              <w:rPr>
                <w:rFonts w:ascii="Verdana" w:hAnsi="Verdana" w:cs="Arial"/>
              </w:rPr>
              <w:t>, artículo</w:t>
            </w:r>
            <w:r>
              <w:rPr>
                <w:rFonts w:ascii="Verdana" w:hAnsi="Verdana" w:cs="Arial"/>
              </w:rPr>
              <w:t>s 33 y 38</w:t>
            </w:r>
            <w:r w:rsidRPr="00745CAA">
              <w:rPr>
                <w:rFonts w:ascii="Verdana" w:hAnsi="Verdana" w:cs="Arial"/>
              </w:rPr>
              <w:t>.</w:t>
            </w:r>
          </w:p>
          <w:p w14:paraId="751DDA5B" w14:textId="77777777" w:rsidR="00F34219" w:rsidRPr="003E412A" w:rsidRDefault="00F34219" w:rsidP="00F34219">
            <w:pPr>
              <w:pStyle w:val="Prrafodelista"/>
              <w:widowControl w:val="0"/>
              <w:numPr>
                <w:ilvl w:val="0"/>
                <w:numId w:val="8"/>
              </w:numPr>
              <w:autoSpaceDE w:val="0"/>
              <w:autoSpaceDN w:val="0"/>
              <w:spacing w:after="120" w:line="276" w:lineRule="auto"/>
              <w:jc w:val="both"/>
              <w:rPr>
                <w:rFonts w:ascii="Verdana" w:hAnsi="Verdana" w:cs="Arial"/>
              </w:rPr>
            </w:pPr>
            <w:r w:rsidRPr="00F02C5A">
              <w:rPr>
                <w:rFonts w:ascii="Verdana" w:eastAsia="Times New Roman" w:hAnsi="Verdana" w:cs="Arial"/>
                <w:lang w:val="es-MX" w:eastAsia="x-none"/>
              </w:rPr>
              <w:t>Corte Constitucional, Sentencia C-1153 de noviembre 11 de 2005</w:t>
            </w:r>
            <w:r>
              <w:rPr>
                <w:rFonts w:ascii="Verdana" w:eastAsia="Times New Roman" w:hAnsi="Verdana" w:cs="Arial"/>
                <w:lang w:val="es-MX" w:eastAsia="x-none"/>
              </w:rPr>
              <w:t>.</w:t>
            </w:r>
          </w:p>
          <w:p w14:paraId="154EBDA9" w14:textId="77777777" w:rsidR="00F34219" w:rsidRPr="003E412A" w:rsidRDefault="00F34219" w:rsidP="00F34219">
            <w:pPr>
              <w:pStyle w:val="Prrafodelista"/>
              <w:widowControl w:val="0"/>
              <w:numPr>
                <w:ilvl w:val="0"/>
                <w:numId w:val="8"/>
              </w:numPr>
              <w:autoSpaceDE w:val="0"/>
              <w:autoSpaceDN w:val="0"/>
              <w:spacing w:after="120" w:line="276" w:lineRule="auto"/>
              <w:jc w:val="both"/>
              <w:rPr>
                <w:rFonts w:ascii="Verdana" w:hAnsi="Verdana" w:cs="Arial"/>
              </w:rPr>
            </w:pPr>
            <w:r w:rsidRPr="003E412A">
              <w:rPr>
                <w:rFonts w:ascii="Verdana" w:hAnsi="Verdana" w:cs="Arial"/>
              </w:rPr>
              <w:t>Consejo de Estado. Sala de Consulta y Servicio Civil, Concepto de 8 de mayo de 2018. Radicación Número: 11001-03-06-000-2018-00095-00(2382). Consejero Ponente: Álvaro Namén Vargas.</w:t>
            </w:r>
          </w:p>
          <w:p w14:paraId="08CEC5C1" w14:textId="77777777" w:rsidR="00F34219" w:rsidRDefault="00F34219" w:rsidP="00F34219">
            <w:pPr>
              <w:pStyle w:val="Prrafodelista"/>
              <w:widowControl w:val="0"/>
              <w:numPr>
                <w:ilvl w:val="0"/>
                <w:numId w:val="8"/>
              </w:numPr>
              <w:autoSpaceDE w:val="0"/>
              <w:autoSpaceDN w:val="0"/>
              <w:spacing w:after="120" w:line="276" w:lineRule="auto"/>
              <w:jc w:val="both"/>
              <w:rPr>
                <w:rFonts w:ascii="Verdana" w:hAnsi="Verdana" w:cs="Arial"/>
              </w:rPr>
            </w:pPr>
            <w:r w:rsidRPr="003E412A">
              <w:rPr>
                <w:rFonts w:ascii="Verdana" w:hAnsi="Verdana" w:cs="Arial"/>
              </w:rPr>
              <w:t xml:space="preserve">Consejo de Estado. Sala de Consulta y Servicio Civil. Concepto del 08 de mayo de 2018. </w:t>
            </w:r>
            <w:proofErr w:type="spellStart"/>
            <w:r w:rsidRPr="003E412A">
              <w:rPr>
                <w:rFonts w:ascii="Verdana" w:hAnsi="Verdana" w:cs="Arial"/>
              </w:rPr>
              <w:t>Exp</w:t>
            </w:r>
            <w:proofErr w:type="spellEnd"/>
            <w:r w:rsidRPr="003E412A">
              <w:rPr>
                <w:rFonts w:ascii="Verdana" w:hAnsi="Verdana" w:cs="Arial"/>
              </w:rPr>
              <w:t>. 2.382. C.P. Álvaro Namén Vargas.</w:t>
            </w:r>
          </w:p>
          <w:p w14:paraId="7F8529EB" w14:textId="77777777" w:rsidR="00F34219" w:rsidRPr="007E43EB" w:rsidRDefault="00F34219" w:rsidP="00F34219">
            <w:pPr>
              <w:pStyle w:val="Prrafodelista"/>
              <w:widowControl w:val="0"/>
              <w:numPr>
                <w:ilvl w:val="0"/>
                <w:numId w:val="8"/>
              </w:numPr>
              <w:autoSpaceDE w:val="0"/>
              <w:autoSpaceDN w:val="0"/>
              <w:spacing w:after="120" w:line="276" w:lineRule="auto"/>
              <w:jc w:val="both"/>
              <w:rPr>
                <w:rFonts w:ascii="Verdana" w:hAnsi="Verdana" w:cs="Arial"/>
              </w:rPr>
            </w:pPr>
            <w:r>
              <w:rPr>
                <w:rFonts w:ascii="Verdana" w:hAnsi="Verdana" w:cs="Arial"/>
              </w:rPr>
              <w:t>C</w:t>
            </w:r>
            <w:r w:rsidRPr="007E43EB">
              <w:rPr>
                <w:rFonts w:ascii="Verdana" w:hAnsi="Verdana" w:cs="Arial"/>
              </w:rPr>
              <w:t>onsejo de Estado. Sección Tercera. Sentencia de 3 de diciembre de 2007. Radicados: 24.715, 25.206, 25.409, 24.524, 27.834, 25.410, 26.105, 28.244, 31.447 -acumulados-”.</w:t>
            </w:r>
          </w:p>
          <w:p w14:paraId="32A60E0A" w14:textId="77777777" w:rsidR="00F34219" w:rsidRPr="007E43EB" w:rsidRDefault="00F34219" w:rsidP="00F34219">
            <w:pPr>
              <w:pStyle w:val="Prrafodelista"/>
              <w:widowControl w:val="0"/>
              <w:numPr>
                <w:ilvl w:val="0"/>
                <w:numId w:val="8"/>
              </w:numPr>
              <w:autoSpaceDE w:val="0"/>
              <w:autoSpaceDN w:val="0"/>
              <w:spacing w:after="120" w:line="276" w:lineRule="auto"/>
              <w:jc w:val="both"/>
              <w:rPr>
                <w:rFonts w:ascii="Verdana" w:hAnsi="Verdana" w:cs="Arial"/>
              </w:rPr>
            </w:pPr>
            <w:r>
              <w:rPr>
                <w:rFonts w:ascii="Verdana" w:hAnsi="Verdana" w:cs="Arial"/>
              </w:rPr>
              <w:t xml:space="preserve">Consejo de Estado, </w:t>
            </w:r>
            <w:r w:rsidRPr="007E43EB">
              <w:rPr>
                <w:rFonts w:ascii="Verdana" w:hAnsi="Verdana" w:cs="Arial"/>
              </w:rPr>
              <w:t>Sala de Consulta y Servicio Civil</w:t>
            </w:r>
            <w:r>
              <w:rPr>
                <w:rFonts w:ascii="Verdana" w:hAnsi="Verdana" w:cs="Arial"/>
              </w:rPr>
              <w:t>, C</w:t>
            </w:r>
            <w:r w:rsidRPr="007E43EB">
              <w:rPr>
                <w:rFonts w:ascii="Verdana" w:hAnsi="Verdana" w:cs="Arial"/>
              </w:rPr>
              <w:t xml:space="preserve">oncepto 1712 de 2 de febrero de 2006. </w:t>
            </w:r>
          </w:p>
          <w:p w14:paraId="27755E3D" w14:textId="77777777" w:rsidR="00F34219" w:rsidRDefault="00F34219" w:rsidP="00F34219">
            <w:pPr>
              <w:pStyle w:val="Prrafodelista"/>
              <w:widowControl w:val="0"/>
              <w:numPr>
                <w:ilvl w:val="0"/>
                <w:numId w:val="8"/>
              </w:numPr>
              <w:autoSpaceDE w:val="0"/>
              <w:autoSpaceDN w:val="0"/>
              <w:spacing w:after="120" w:line="276" w:lineRule="auto"/>
              <w:jc w:val="both"/>
              <w:rPr>
                <w:rFonts w:ascii="Verdana" w:hAnsi="Verdana" w:cs="Arial"/>
              </w:rPr>
            </w:pPr>
            <w:r w:rsidRPr="007E43EB">
              <w:rPr>
                <w:rFonts w:ascii="Verdana" w:hAnsi="Verdana" w:cs="Arial"/>
              </w:rPr>
              <w:lastRenderedPageBreak/>
              <w:t>Consejo de Estado. Sala de Consulta y Servicio Civil. Concepto del 2 de septiembre de 2013. Radicación número: 11001-03-06-000-2013-00412-00 (2168). Consejero Ponente: Álvaro Namén Vargas.</w:t>
            </w:r>
          </w:p>
          <w:p w14:paraId="72C2FE6C" w14:textId="77777777" w:rsidR="00871B59" w:rsidRPr="00F34219" w:rsidRDefault="00F34219" w:rsidP="00F34219">
            <w:pPr>
              <w:pStyle w:val="Prrafodelista"/>
              <w:widowControl w:val="0"/>
              <w:numPr>
                <w:ilvl w:val="0"/>
                <w:numId w:val="8"/>
              </w:numPr>
              <w:autoSpaceDE w:val="0"/>
              <w:autoSpaceDN w:val="0"/>
              <w:spacing w:after="120" w:line="276" w:lineRule="auto"/>
              <w:contextualSpacing w:val="0"/>
              <w:jc w:val="both"/>
              <w:rPr>
                <w:rFonts w:ascii="Verdana" w:hAnsi="Verdana" w:cs="Arial"/>
              </w:rPr>
            </w:pPr>
            <w:r>
              <w:rPr>
                <w:rFonts w:ascii="Verdana" w:hAnsi="Verdana" w:cs="Arial"/>
              </w:rPr>
              <w:t xml:space="preserve">Colombia Compra Eficiente, </w:t>
            </w:r>
            <w:r w:rsidRPr="00D4444C">
              <w:rPr>
                <w:rFonts w:ascii="Verdana" w:hAnsi="Verdana" w:cs="Arial"/>
              </w:rPr>
              <w:t>Circular Externa Única</w:t>
            </w:r>
            <w:r>
              <w:rPr>
                <w:rFonts w:ascii="Verdana" w:hAnsi="Verdana" w:cs="Arial"/>
              </w:rPr>
              <w:t>. Disponible en</w:t>
            </w:r>
            <w:r w:rsidRPr="00D4444C">
              <w:rPr>
                <w:rFonts w:ascii="Verdana" w:hAnsi="Verdana" w:cs="Arial"/>
              </w:rPr>
              <w:t xml:space="preserve">: </w:t>
            </w:r>
            <w:hyperlink r:id="rId13" w:history="1">
              <w:r w:rsidRPr="008D4636">
                <w:rPr>
                  <w:rStyle w:val="Hipervnculo"/>
                  <w:rFonts w:ascii="Verdana" w:hAnsi="Verdana" w:cs="Arial"/>
                </w:rPr>
                <w:t>https://colombiacompra.gov.co/sites/cce_public/files/cce_circulares/cce-eicp-ma-06_circular_externa_con_comentarios_de_ciudadanos-_v2f_002.pdf</w:t>
              </w:r>
            </w:hyperlink>
          </w:p>
          <w:p w14:paraId="360853B8" w14:textId="355CC077" w:rsidR="00F34219" w:rsidRPr="00AC742F" w:rsidRDefault="00811900" w:rsidP="00F34219">
            <w:pPr>
              <w:pStyle w:val="Prrafodelista"/>
              <w:widowControl w:val="0"/>
              <w:numPr>
                <w:ilvl w:val="0"/>
                <w:numId w:val="8"/>
              </w:numPr>
              <w:autoSpaceDE w:val="0"/>
              <w:autoSpaceDN w:val="0"/>
              <w:spacing w:after="120" w:line="276" w:lineRule="auto"/>
              <w:contextualSpacing w:val="0"/>
              <w:jc w:val="both"/>
              <w:rPr>
                <w:rFonts w:ascii="Verdana" w:hAnsi="Verdana" w:cs="Arial"/>
              </w:rPr>
            </w:pPr>
            <w:r w:rsidRPr="00811900">
              <w:rPr>
                <w:rFonts w:ascii="Verdana" w:hAnsi="Verdana"/>
              </w:rPr>
              <w:t xml:space="preserve">Gran Maratón de Capacitaciones Ley de Garantías | Día 1 – YouTubehttps://www.youtube.com/watch?v=qjJQGDgFQis. </w:t>
            </w:r>
            <w:r w:rsidRPr="00811900">
              <w:rPr>
                <w:rStyle w:val="s1"/>
                <w:rFonts w:ascii="Verdana" w:hAnsi="Verdana"/>
              </w:rPr>
              <w:t xml:space="preserve"> Gran Maratón de </w:t>
            </w:r>
            <w:r w:rsidRPr="00811900">
              <w:rPr>
                <w:rFonts w:ascii="Verdana" w:hAnsi="Verdana"/>
              </w:rPr>
              <w:t xml:space="preserve">Capacitaciones | Ley de Garantías | (Día 2) - 8 de octubre 9:00 am. </w:t>
            </w:r>
            <w:hyperlink r:id="rId14" w:history="1">
              <w:r w:rsidRPr="00811900">
                <w:rPr>
                  <w:rStyle w:val="Hipervnculo"/>
                  <w:rFonts w:ascii="Verdana" w:hAnsi="Verdana"/>
                </w:rPr>
                <w:t>https://www.youtube.com/watch?v=X4oPgRxH9bU</w:t>
              </w:r>
            </w:hyperlink>
            <w:r w:rsidRPr="00811900">
              <w:rPr>
                <w:rFonts w:ascii="Verdana" w:hAnsi="Verdana"/>
              </w:rPr>
              <w:t xml:space="preserve"> </w:t>
            </w:r>
            <w:r w:rsidRPr="00811900">
              <w:rPr>
                <w:rStyle w:val="s1"/>
                <w:rFonts w:ascii="Verdana" w:hAnsi="Verdana"/>
              </w:rPr>
              <w:t>.</w:t>
            </w:r>
          </w:p>
        </w:tc>
      </w:tr>
    </w:tbl>
    <w:p w14:paraId="777214F5" w14:textId="77777777" w:rsidR="00871B59" w:rsidRPr="00593A5F" w:rsidRDefault="00871B59" w:rsidP="00871B59">
      <w:pPr>
        <w:widowControl w:val="0"/>
        <w:autoSpaceDE w:val="0"/>
        <w:autoSpaceDN w:val="0"/>
        <w:spacing w:after="0" w:line="276" w:lineRule="auto"/>
        <w:jc w:val="both"/>
        <w:rPr>
          <w:rFonts w:ascii="Verdana" w:hAnsi="Verdana" w:cs="Arial"/>
        </w:rPr>
      </w:pPr>
    </w:p>
    <w:p w14:paraId="6E9B04A5" w14:textId="77777777" w:rsidR="00871B59"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Pr>
          <w:rFonts w:ascii="Verdana" w:eastAsia="Century Gothic" w:hAnsi="Verdana" w:cs="Century Gothic"/>
          <w:b/>
          <w:bCs/>
          <w:lang w:val="es-ES"/>
        </w:rPr>
        <w:t>Doctrina de la Agencia Nacional de Contratación Pública</w:t>
      </w:r>
      <w:r w:rsidRPr="00593A5F">
        <w:rPr>
          <w:rFonts w:ascii="Verdana" w:eastAsia="Century Gothic" w:hAnsi="Verdana" w:cs="Century Gothic"/>
          <w:b/>
          <w:bCs/>
          <w:lang w:val="es-ES"/>
        </w:rPr>
        <w:t>:</w:t>
      </w:r>
    </w:p>
    <w:p w14:paraId="691F8539" w14:textId="77777777" w:rsidR="00811900" w:rsidRDefault="00811900" w:rsidP="00811900">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ES"/>
        </w:rPr>
      </w:pPr>
    </w:p>
    <w:p w14:paraId="423E408D" w14:textId="77777777" w:rsidR="00811900" w:rsidRPr="00CC5C68" w:rsidRDefault="00811900" w:rsidP="00811900">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CC5C68">
        <w:rPr>
          <w:rFonts w:ascii="Verdana" w:eastAsia="Calibri" w:hAnsi="Verdana" w:cs="Arial"/>
          <w:lang w:val="es-ES_tradnl" w:eastAsia="es-ES_tradnl"/>
        </w:rPr>
        <w:t xml:space="preserve">Sobre </w:t>
      </w:r>
      <w:r>
        <w:rPr>
          <w:rFonts w:ascii="Verdana" w:eastAsia="Calibri" w:hAnsi="Verdana" w:cs="Arial"/>
          <w:lang w:val="es-ES_tradnl" w:eastAsia="es-ES_tradnl"/>
        </w:rPr>
        <w:t>las restricciones de la Ley de Garantías Electorales</w:t>
      </w:r>
      <w:r w:rsidRPr="00CC5C68">
        <w:rPr>
          <w:rFonts w:ascii="Verdana" w:eastAsia="Calibri" w:hAnsi="Verdana" w:cs="Arial"/>
          <w:lang w:val="es-ES_tradnl" w:eastAsia="es-ES_tradnl"/>
        </w:rPr>
        <w:t>, se pronunció esta Subdirección en los</w:t>
      </w:r>
      <w:r>
        <w:rPr>
          <w:rFonts w:ascii="Verdana" w:eastAsia="Calibri" w:hAnsi="Verdana" w:cs="Arial"/>
          <w:lang w:val="es-ES_tradnl" w:eastAsia="es-ES_tradnl"/>
        </w:rPr>
        <w:t xml:space="preserve"> conceptos</w:t>
      </w:r>
      <w:r w:rsidRPr="00CC5C68">
        <w:rPr>
          <w:rFonts w:ascii="Verdana" w:eastAsia="Calibri" w:hAnsi="Verdana" w:cs="Arial"/>
          <w:lang w:val="es-ES_tradnl" w:eastAsia="es-ES_tradnl"/>
        </w:rPr>
        <w:t xml:space="preserve"> </w:t>
      </w:r>
      <w:r w:rsidRPr="00F02C5A">
        <w:rPr>
          <w:rStyle w:val="normaltextrun"/>
          <w:rFonts w:ascii="Verdana" w:hAnsi="Verdana" w:cs="Arial"/>
          <w:color w:val="000000"/>
          <w:shd w:val="clear" w:color="auto" w:fill="FFFFFF"/>
          <w:lang w:val="es-ES"/>
        </w:rPr>
        <w:t xml:space="preserve">C-074 del 17 de marzo de 2021, C-075 del 16 de marzo de 2021, C-227 de 2021 del 5 de mayo de 2021, C-259 del 2 de junio de 2021, C-296 del 22 de junio de 2021, C-337 del 13 de julio de 2021, C-350 del 16 de julio de 2021, C-352 del 27 de julio de 2021, C-374 del 16 de septiembre de 2021, C-381 del 2 de agosto de 2021, C-391 del 11 de agosto de 2021, C-396 del 13 de agosto de 2021, C-401 del 10 de agosto de 2021, C-413 del 17 de agosto de 2021, C-439  del 27 de agosto de 2021, C-456 del 3 de septiembre de 2021, C-481 del 98 de septiembre de 2021, C-495 del 15 de septiembre de 2021, C-497 del 15 de septiembre de 2021, C-499 del 15 de septiembre de 2021, C-523 del 10 de octubre de 2021, C-528 del 27 de septiembre de 2021, C-543 del 9 de noviembre de 2021, C-550 del 5 de octubre de 2021, C-557 del 7 de octubre de 2021, C-563 del 8 de octubre de 2021, C-606 del 3 de noviembre de 2021, C-614 del 2 de noviembre de 2021, C-633 del 11 de noviembre de 2021, C-634 del 11 de noviembre de 2021, C-636 del 16 de noviembre de 2021, C-674 del 6 de diciembre de 2021, C-675 del 6 de enero de 2022, C-677 del 4 de diciembre de 2021, C-695 del 22 de diciembre de 2021, C-699 del 6 de enero de 2022, C-700 del 6 de enero de 2021, C-723 del 28 de diciembre de 2021, </w:t>
      </w:r>
      <w:r w:rsidRPr="00F02C5A">
        <w:rPr>
          <w:rStyle w:val="normaltextrun"/>
          <w:rFonts w:ascii="Verdana" w:hAnsi="Verdana" w:cs="Arial"/>
          <w:color w:val="000000"/>
          <w:shd w:val="clear" w:color="auto" w:fill="FFFFFF"/>
        </w:rPr>
        <w:t xml:space="preserve">C-715 del 21 de enero de 2022, C-718 del 24 de enero de 2022 y C-726 del 24 de </w:t>
      </w:r>
      <w:r w:rsidRPr="00F02C5A">
        <w:rPr>
          <w:rStyle w:val="normaltextrun"/>
          <w:rFonts w:ascii="Verdana" w:hAnsi="Verdana" w:cs="Arial"/>
          <w:color w:val="000000"/>
          <w:shd w:val="clear" w:color="auto" w:fill="FFFFFF"/>
        </w:rPr>
        <w:lastRenderedPageBreak/>
        <w:t>enero de 2022, C-002 del 15 de febrero de 2022, C–005 del 16 de febrero de 2022, C-009 del 15 de febrero de 2022, C-014 del 18 de febrero de 2022, C-022 del 21 de febrero de 2022, C-023 del 22 de febrero de 2022, C-008 del 24 de febrero de 2022, C-045 del 3 de marzo de 2022, C-054 del 7 de marzo de 2022, C-064 del 8 de marzo de 2022, C-072 del 11 de marzo de 2022, C-109 del 14 de marzo de 2022, C-073 del 14 de marzo de 2022, C-075 del 10 de marzo de 2022, C-077 del 17 de marzo de 2022, C-092 del 16 de marzo de 2022, C-094 del 16 de marzo de 2022, C-096 del 22 de marzo de 2022, C-097 del 18 de marzo de 2022, C-098 del 9 de marzo de 2022, C-099 del 22 de marzo de 2022, C-102 del 22 de marzo de 2022, C-107 del 18 de marzo de 2022, C-111 del 22 de marzo de 2022. C-115 del 22 de marzo de 2022, C-116 del 18 de marzo de 2022, C-127 del 22 de marzo de 2022, C-134 del 1° de abril de 2022, C-164 del 22 de marzo de 2022, C-170 del 5 de abril de 2022, C-175 del 17 de mayo de 2022, C-329 del 24 de mayo de 2022, C-027 del 22 de marzo de 2023, C-049 del 13 de abril de 2023, C-075 del 25 de abril de 2023, C-076 del 25 de abril de 2023, C-098 del 4 de mayo de 2023, C-105 del 14 de junio de 2023, C-107 del 8 de mayo de 2023, C-115 del 8 de junio de 2023, C-116 del 8 de junio de 2023, C-118 del 9 de junio de 2023, C-134 del 26 de mayo de 2023, C-145 del 18 de mayo de 2023</w:t>
      </w:r>
      <w:r>
        <w:rPr>
          <w:rStyle w:val="normaltextrun"/>
          <w:rFonts w:ascii="Verdana" w:hAnsi="Verdana" w:cs="Arial"/>
          <w:color w:val="000000"/>
          <w:shd w:val="clear" w:color="auto" w:fill="FFFFFF"/>
        </w:rPr>
        <w:t xml:space="preserve">, </w:t>
      </w:r>
      <w:r w:rsidRPr="00F02C5A">
        <w:rPr>
          <w:rStyle w:val="normaltextrun"/>
          <w:rFonts w:ascii="Verdana" w:hAnsi="Verdana" w:cs="Arial"/>
          <w:color w:val="000000"/>
          <w:shd w:val="clear" w:color="auto" w:fill="FFFFFF"/>
        </w:rPr>
        <w:t>C-149 del 1° de junio de 2023</w:t>
      </w:r>
      <w:r>
        <w:rPr>
          <w:rStyle w:val="normaltextrun"/>
          <w:rFonts w:ascii="Verdana" w:hAnsi="Verdana" w:cs="Arial"/>
          <w:color w:val="000000"/>
          <w:shd w:val="clear" w:color="auto" w:fill="FFFFFF"/>
        </w:rPr>
        <w:t>, C-345 del 14 de julio de 2023, C-317 del 25 de abril de 2025 y C-584 del 24 de junio de 2025</w:t>
      </w:r>
      <w:r w:rsidRPr="00CC5C68">
        <w:rPr>
          <w:rFonts w:ascii="Verdana" w:eastAsia="Calibri" w:hAnsi="Verdana" w:cs="Arial"/>
          <w:lang w:val="es-ES_tradnl" w:eastAsia="es-ES_tradnl"/>
        </w:rPr>
        <w:t xml:space="preserve">. </w:t>
      </w:r>
      <w:r w:rsidRPr="00CC5C68">
        <w:rPr>
          <w:rFonts w:ascii="Verdana" w:eastAsia="Calibri" w:hAnsi="Verdana" w:cs="Arial"/>
          <w:lang w:val="es-ES" w:eastAsia="es-ES_tradnl"/>
        </w:rPr>
        <w:t>Estos</w:t>
      </w:r>
      <w:r w:rsidRPr="00CC5C68">
        <w:rPr>
          <w:rFonts w:ascii="Verdana" w:hAnsi="Verdana"/>
        </w:rPr>
        <w:t xml:space="preserve"> y otros conceptos se encuentran disponibles para consulta en el Sistema de relatoría de la Agencia, al cual se puede acceder a través del siguiente enlace:</w:t>
      </w:r>
      <w:r w:rsidRPr="00CC5C68">
        <w:rPr>
          <w:rStyle w:val="normaltextrun"/>
          <w:rFonts w:ascii="Verdana" w:hAnsi="Verdana" w:cs="Arial"/>
          <w:shd w:val="clear" w:color="auto" w:fill="FFFFFF"/>
          <w:lang w:val="es-ES"/>
        </w:rPr>
        <w:t xml:space="preserve"> </w:t>
      </w:r>
      <w:hyperlink r:id="rId15" w:history="1">
        <w:r w:rsidRPr="00CC5C68">
          <w:rPr>
            <w:rStyle w:val="Hipervnculo"/>
            <w:rFonts w:ascii="Verdana" w:hAnsi="Verdana" w:cs="Arial"/>
            <w:shd w:val="clear" w:color="auto" w:fill="FFFFFF"/>
            <w:lang w:val="es-ES"/>
          </w:rPr>
          <w:t>https://relatoria.colombiacompra.gov.co/busqueda/conceptos</w:t>
        </w:r>
      </w:hyperlink>
    </w:p>
    <w:p w14:paraId="2A90ADC9" w14:textId="77777777" w:rsidR="00811900" w:rsidRPr="00CC5C68" w:rsidRDefault="00811900" w:rsidP="00811900">
      <w:pPr>
        <w:spacing w:after="0" w:line="240" w:lineRule="auto"/>
        <w:jc w:val="both"/>
        <w:rPr>
          <w:rFonts w:ascii="Verdana" w:hAnsi="Verdana"/>
        </w:rPr>
      </w:pPr>
    </w:p>
    <w:p w14:paraId="0B67B637" w14:textId="77777777" w:rsidR="00811900" w:rsidRPr="00CC5C68" w:rsidRDefault="00811900" w:rsidP="00811900">
      <w:pPr>
        <w:spacing w:after="0" w:line="240" w:lineRule="auto"/>
        <w:jc w:val="both"/>
        <w:rPr>
          <w:rFonts w:ascii="Verdana" w:hAnsi="Verdana"/>
        </w:rPr>
      </w:pPr>
      <w:r w:rsidRPr="00CC5C68">
        <w:rPr>
          <w:rFonts w:ascii="Verdana" w:hAnsi="Verdana"/>
        </w:rPr>
        <w:t xml:space="preserve">Por último, lo invitamos a seguirnos en las redes sociales en las cuales se difunde información institucional: </w:t>
      </w:r>
    </w:p>
    <w:p w14:paraId="24C60651" w14:textId="77777777" w:rsidR="00811900" w:rsidRPr="00CC5C68" w:rsidRDefault="00811900" w:rsidP="00811900">
      <w:pPr>
        <w:spacing w:after="0" w:line="240" w:lineRule="auto"/>
        <w:jc w:val="both"/>
        <w:rPr>
          <w:rFonts w:ascii="Verdana" w:hAnsi="Verdana"/>
        </w:rPr>
      </w:pPr>
    </w:p>
    <w:p w14:paraId="5BED1CF4" w14:textId="77777777" w:rsidR="00811900" w:rsidRPr="00CC5C68" w:rsidRDefault="00811900" w:rsidP="00811900">
      <w:pPr>
        <w:spacing w:after="0" w:line="240" w:lineRule="auto"/>
        <w:jc w:val="both"/>
        <w:rPr>
          <w:rFonts w:ascii="Verdana" w:hAnsi="Verdana"/>
        </w:rPr>
      </w:pPr>
      <w:r w:rsidRPr="00CC5C68">
        <w:rPr>
          <w:rFonts w:ascii="Verdana" w:hAnsi="Verdana"/>
        </w:rPr>
        <w:t xml:space="preserve">Twitter: </w:t>
      </w:r>
      <w:r w:rsidRPr="00CC5C68">
        <w:rPr>
          <w:rStyle w:val="Hipervnculo"/>
          <w:rFonts w:ascii="Verdana" w:hAnsi="Verdana"/>
          <w:color w:val="4472C4" w:themeColor="accent1"/>
        </w:rPr>
        <w:t>@colombiacompra</w:t>
      </w:r>
      <w:r w:rsidRPr="00CC5C68">
        <w:rPr>
          <w:rFonts w:ascii="Verdana" w:hAnsi="Verdana"/>
          <w:color w:val="4472C4" w:themeColor="accent1"/>
        </w:rPr>
        <w:t xml:space="preserve"> </w:t>
      </w:r>
    </w:p>
    <w:p w14:paraId="327C9A14" w14:textId="77777777" w:rsidR="00811900" w:rsidRPr="00CC5C68" w:rsidRDefault="00811900" w:rsidP="00811900">
      <w:pPr>
        <w:spacing w:after="0" w:line="240" w:lineRule="auto"/>
        <w:jc w:val="both"/>
        <w:rPr>
          <w:rFonts w:ascii="Verdana" w:hAnsi="Verdana"/>
        </w:rPr>
      </w:pPr>
      <w:r w:rsidRPr="00CC5C68">
        <w:rPr>
          <w:rFonts w:ascii="Verdana" w:hAnsi="Verdana"/>
        </w:rPr>
        <w:t xml:space="preserve">Facebook: </w:t>
      </w:r>
      <w:proofErr w:type="spellStart"/>
      <w:r w:rsidRPr="00CC5C68">
        <w:rPr>
          <w:rStyle w:val="Hipervnculo"/>
          <w:rFonts w:ascii="Verdana" w:hAnsi="Verdana"/>
          <w:color w:val="4472C4" w:themeColor="accent1"/>
        </w:rPr>
        <w:t>ColombiaCompraEficiente</w:t>
      </w:r>
      <w:proofErr w:type="spellEnd"/>
    </w:p>
    <w:p w14:paraId="712FB825" w14:textId="77777777" w:rsidR="00811900" w:rsidRPr="00CC5C68" w:rsidRDefault="00811900" w:rsidP="00811900">
      <w:pPr>
        <w:spacing w:after="0" w:line="240" w:lineRule="auto"/>
        <w:jc w:val="both"/>
        <w:rPr>
          <w:rFonts w:ascii="Verdana" w:hAnsi="Verdana"/>
        </w:rPr>
      </w:pPr>
      <w:r w:rsidRPr="00CC5C68">
        <w:rPr>
          <w:rFonts w:ascii="Verdana" w:hAnsi="Verdana"/>
        </w:rPr>
        <w:t xml:space="preserve">LinkedIn: </w:t>
      </w:r>
      <w:r w:rsidRPr="00CC5C68">
        <w:rPr>
          <w:rStyle w:val="Hipervnculo"/>
          <w:rFonts w:ascii="Verdana" w:hAnsi="Verdana"/>
          <w:color w:val="4472C4" w:themeColor="accent1"/>
        </w:rPr>
        <w:t>Agencia Nacional de Contratación Pública - Colombia Compra Eficiente</w:t>
      </w:r>
      <w:r w:rsidRPr="00CC5C68">
        <w:rPr>
          <w:rFonts w:ascii="Verdana" w:hAnsi="Verdana"/>
          <w:color w:val="4472C4" w:themeColor="accent1"/>
        </w:rPr>
        <w:t xml:space="preserve"> </w:t>
      </w:r>
      <w:r w:rsidRPr="00CC5C68">
        <w:rPr>
          <w:rFonts w:ascii="Verdana" w:hAnsi="Verdana"/>
        </w:rPr>
        <w:t xml:space="preserve">Instagram: </w:t>
      </w:r>
      <w:r w:rsidRPr="00CC5C68">
        <w:rPr>
          <w:rStyle w:val="Hipervnculo"/>
          <w:rFonts w:ascii="Verdana" w:hAnsi="Verdana"/>
          <w:color w:val="4472C4" w:themeColor="accent1"/>
        </w:rPr>
        <w:t>@colombiacompraeficiente_cce</w:t>
      </w:r>
    </w:p>
    <w:p w14:paraId="4EB85D33" w14:textId="77777777" w:rsidR="00811900" w:rsidRPr="0044528D" w:rsidRDefault="00811900" w:rsidP="00811900">
      <w:pPr>
        <w:widowControl w:val="0"/>
        <w:autoSpaceDE w:val="0"/>
        <w:autoSpaceDN w:val="0"/>
        <w:spacing w:after="0" w:line="276" w:lineRule="auto"/>
        <w:jc w:val="both"/>
        <w:rPr>
          <w:rFonts w:ascii="Verdana" w:hAnsi="Verdana"/>
        </w:rPr>
      </w:pPr>
    </w:p>
    <w:p w14:paraId="11DC4DD0" w14:textId="77777777" w:rsidR="00811900" w:rsidRPr="00CC5C68" w:rsidRDefault="00811900" w:rsidP="00811900">
      <w:pPr>
        <w:widowControl w:val="0"/>
        <w:autoSpaceDE w:val="0"/>
        <w:autoSpaceDN w:val="0"/>
        <w:spacing w:after="0" w:line="276" w:lineRule="auto"/>
        <w:jc w:val="both"/>
        <w:rPr>
          <w:rFonts w:ascii="Verdana" w:hAnsi="Verdana" w:cs="Arial"/>
          <w:lang w:val="es-ES_tradnl"/>
        </w:rPr>
      </w:pPr>
      <w:r w:rsidRPr="00CC5C68">
        <w:rPr>
          <w:rFonts w:ascii="Verdana" w:hAnsi="Verdana" w:cs="Arial"/>
        </w:rPr>
        <w:t xml:space="preserve">Este concepto tiene el alcance previsto en el artículo 28 del Código de Procedimiento Administrativo y de lo Contencioso Administrativo </w:t>
      </w:r>
      <w:r w:rsidRPr="00CC5C68">
        <w:rPr>
          <w:rFonts w:ascii="Verdana" w:hAnsi="Verdana" w:cs="Arial"/>
          <w:lang w:val="es-ES_tradnl"/>
        </w:rPr>
        <w:t xml:space="preserve">y las expresiones aquí utilizadas con mayúscula inicial deben ser entendidas con el </w:t>
      </w:r>
      <w:r w:rsidRPr="00CC5C68">
        <w:rPr>
          <w:rFonts w:ascii="Verdana" w:hAnsi="Verdana" w:cs="Arial"/>
          <w:lang w:val="es-ES_tradnl"/>
        </w:rPr>
        <w:lastRenderedPageBreak/>
        <w:t>significado que les otorga el artículo 2.2.1.1.1.3.1. del Decreto 1082 de 2015.</w:t>
      </w:r>
    </w:p>
    <w:p w14:paraId="4BA1E7B3" w14:textId="77777777" w:rsidR="00811900" w:rsidRPr="00CC5C68" w:rsidRDefault="00811900" w:rsidP="00811900">
      <w:pPr>
        <w:spacing w:after="0" w:line="276" w:lineRule="auto"/>
        <w:ind w:firstLine="709"/>
        <w:jc w:val="both"/>
        <w:rPr>
          <w:rFonts w:ascii="Verdana" w:eastAsia="Times New Roman" w:hAnsi="Verdana" w:cs="Arial"/>
          <w:szCs w:val="24"/>
          <w:lang w:val="es-ES_tradnl" w:eastAsia="es-ES_tradnl"/>
        </w:rPr>
      </w:pPr>
    </w:p>
    <w:p w14:paraId="2AA976C6" w14:textId="42B96CE5" w:rsidR="00811900" w:rsidRPr="00966CEE" w:rsidRDefault="00811900" w:rsidP="00966CEE">
      <w:pPr>
        <w:spacing w:after="0" w:line="276" w:lineRule="auto"/>
        <w:jc w:val="both"/>
        <w:rPr>
          <w:rFonts w:ascii="Verdana" w:eastAsia="Times New Roman" w:hAnsi="Verdana" w:cs="Arial"/>
          <w:lang w:val="es-ES_tradnl" w:eastAsia="es-CO"/>
        </w:rPr>
      </w:pPr>
      <w:bookmarkStart w:id="10" w:name="_Hlk117695077"/>
      <w:r w:rsidRPr="00CC5C68">
        <w:rPr>
          <w:rFonts w:ascii="Verdana" w:eastAsia="Times New Roman" w:hAnsi="Verdana" w:cs="Arial"/>
          <w:lang w:val="es-ES_tradnl" w:eastAsia="es-CO"/>
        </w:rPr>
        <w:t>Atentamente,</w:t>
      </w:r>
      <w:bookmarkEnd w:id="10"/>
    </w:p>
    <w:p w14:paraId="4C0E21B5" w14:textId="77777777" w:rsidR="00871B59" w:rsidRPr="00593A5F" w:rsidRDefault="00871B59" w:rsidP="00871B59">
      <w:pPr>
        <w:widowControl w:val="0"/>
        <w:autoSpaceDE w:val="0"/>
        <w:autoSpaceDN w:val="0"/>
        <w:spacing w:after="0" w:line="276" w:lineRule="auto"/>
        <w:jc w:val="both"/>
        <w:rPr>
          <w:rFonts w:ascii="Verdana" w:hAnsi="Verdana" w:cs="Arial"/>
        </w:rPr>
      </w:pPr>
    </w:p>
    <w:p w14:paraId="6810997E" w14:textId="46FEF081" w:rsidR="00871B59" w:rsidRPr="00811900" w:rsidRDefault="00966CEE" w:rsidP="00811900">
      <w:pPr>
        <w:spacing w:line="276" w:lineRule="auto"/>
        <w:jc w:val="center"/>
        <w:rPr>
          <w:rFonts w:ascii="Verdana" w:hAnsi="Verdana" w:cs="Arial"/>
          <w:color w:val="000000"/>
          <w:lang w:val="es-ES_tradnl" w:eastAsia="es-CO"/>
        </w:rPr>
      </w:pPr>
      <w:r w:rsidRPr="004D5C25">
        <w:rPr>
          <w:rFonts w:ascii="Century Gothic" w:hAnsi="Century Gothic"/>
          <w:noProof/>
        </w:rPr>
        <w:drawing>
          <wp:inline distT="0" distB="0" distL="0" distR="0" wp14:anchorId="3D5D6F69" wp14:editId="4487F439">
            <wp:extent cx="3385733" cy="1453515"/>
            <wp:effectExtent l="0" t="0" r="5715"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6"/>
                    <a:stretch>
                      <a:fillRect/>
                    </a:stretch>
                  </pic:blipFill>
                  <pic:spPr>
                    <a:xfrm>
                      <a:off x="0" y="0"/>
                      <a:ext cx="3394701" cy="1457365"/>
                    </a:xfrm>
                    <a:prstGeom prst="rect">
                      <a:avLst/>
                    </a:prstGeom>
                  </pic:spPr>
                </pic:pic>
              </a:graphicData>
            </a:graphic>
          </wp:inline>
        </w:drawing>
      </w:r>
    </w:p>
    <w:p w14:paraId="35DCB5E7" w14:textId="77777777" w:rsidR="00811900" w:rsidRPr="00593A5F" w:rsidRDefault="00811900" w:rsidP="00811900">
      <w:pPr>
        <w:spacing w:after="0" w:line="240" w:lineRule="auto"/>
        <w:rPr>
          <w:rFonts w:ascii="Verdana" w:eastAsia="Times New Roman" w:hAnsi="Verdana" w:cs="Arial"/>
          <w:sz w:val="24"/>
          <w:szCs w:val="24"/>
          <w:lang w:eastAsia="es-ES"/>
        </w:rPr>
      </w:pPr>
    </w:p>
    <w:tbl>
      <w:tblPr>
        <w:tblStyle w:val="Tablaconcuadrcula"/>
        <w:tblpPr w:leftFromText="141" w:rightFromText="141" w:vertAnchor="text" w:horzAnchor="margin" w:tblpY="-190"/>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11900" w:rsidRPr="00EA1223" w14:paraId="31434892" w14:textId="77777777" w:rsidTr="00634EFB">
        <w:trPr>
          <w:trHeight w:val="315"/>
        </w:trPr>
        <w:tc>
          <w:tcPr>
            <w:tcW w:w="893" w:type="dxa"/>
            <w:vAlign w:val="center"/>
            <w:hideMark/>
          </w:tcPr>
          <w:p w14:paraId="6F3B2D5E" w14:textId="77777777" w:rsidR="00811900" w:rsidRPr="00EA1223" w:rsidRDefault="00811900" w:rsidP="00634EFB">
            <w:pPr>
              <w:contextualSpacing/>
              <w:rPr>
                <w:rFonts w:ascii="Verdana" w:hAnsi="Verdana" w:cs="Arial"/>
                <w:sz w:val="16"/>
                <w:szCs w:val="16"/>
                <w:lang w:val="es-ES" w:eastAsia="es-ES"/>
              </w:rPr>
            </w:pPr>
            <w:r w:rsidRPr="00EA1223">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C484FCE" w14:textId="77777777" w:rsidR="00811900" w:rsidRPr="00EA1223" w:rsidRDefault="00811900" w:rsidP="00634EFB">
            <w:pPr>
              <w:contextualSpacing/>
              <w:rPr>
                <w:rStyle w:val="normaltextrun"/>
                <w:rFonts w:ascii="Verdana" w:eastAsia="Arial" w:hAnsi="Verdana" w:cs="Arial"/>
                <w:sz w:val="16"/>
                <w:szCs w:val="16"/>
              </w:rPr>
            </w:pPr>
            <w:r w:rsidRPr="00EA1223">
              <w:rPr>
                <w:rStyle w:val="normaltextrun"/>
                <w:rFonts w:ascii="Verdana" w:eastAsia="Arial" w:hAnsi="Verdana" w:cs="Arial"/>
                <w:sz w:val="16"/>
                <w:szCs w:val="16"/>
              </w:rPr>
              <w:t>Andrea del Pilar Garzón Sánchez</w:t>
            </w:r>
          </w:p>
          <w:p w14:paraId="0D2A77D1" w14:textId="77777777" w:rsidR="00811900" w:rsidRPr="00EA1223" w:rsidRDefault="00811900" w:rsidP="00634EFB">
            <w:pPr>
              <w:contextualSpacing/>
              <w:rPr>
                <w:rFonts w:ascii="Verdana" w:eastAsia="Arial" w:hAnsi="Verdana" w:cs="Arial"/>
                <w:color w:val="7030A0"/>
                <w:sz w:val="16"/>
                <w:szCs w:val="16"/>
              </w:rPr>
            </w:pPr>
            <w:r w:rsidRPr="00EA1223">
              <w:rPr>
                <w:rStyle w:val="normaltextrun"/>
                <w:rFonts w:ascii="Verdana" w:eastAsia="Arial" w:hAnsi="Verdana" w:cs="Arial"/>
                <w:sz w:val="16"/>
                <w:szCs w:val="16"/>
              </w:rPr>
              <w:t>Contratista de la Subdirección de Gestión Contractual</w:t>
            </w:r>
          </w:p>
        </w:tc>
      </w:tr>
      <w:tr w:rsidR="00811900" w:rsidRPr="00EA1223" w14:paraId="22010703" w14:textId="77777777" w:rsidTr="00634EFB">
        <w:trPr>
          <w:trHeight w:val="330"/>
        </w:trPr>
        <w:tc>
          <w:tcPr>
            <w:tcW w:w="893" w:type="dxa"/>
            <w:vAlign w:val="center"/>
            <w:hideMark/>
          </w:tcPr>
          <w:p w14:paraId="7D43D2FD" w14:textId="77777777" w:rsidR="00811900" w:rsidRPr="00EA1223" w:rsidRDefault="00811900" w:rsidP="00634EFB">
            <w:pPr>
              <w:contextualSpacing/>
              <w:rPr>
                <w:rFonts w:ascii="Verdana" w:hAnsi="Verdana" w:cs="Arial"/>
                <w:sz w:val="16"/>
                <w:szCs w:val="16"/>
                <w:lang w:val="es-ES" w:eastAsia="es-ES"/>
              </w:rPr>
            </w:pPr>
            <w:r w:rsidRPr="00EA1223">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E023ED4" w14:textId="77777777" w:rsidR="00811900" w:rsidRPr="00EA1223" w:rsidRDefault="00811900" w:rsidP="00634EFB">
            <w:pPr>
              <w:pStyle w:val="paragraph"/>
              <w:spacing w:before="0" w:beforeAutospacing="0" w:after="0" w:afterAutospacing="0"/>
              <w:contextualSpacing/>
              <w:textAlignment w:val="baseline"/>
              <w:rPr>
                <w:rStyle w:val="normaltextrun"/>
                <w:rFonts w:ascii="Verdana" w:hAnsi="Verdana" w:cs="Arial"/>
                <w:sz w:val="16"/>
                <w:szCs w:val="16"/>
                <w:lang w:val="es-ES"/>
              </w:rPr>
            </w:pPr>
            <w:r>
              <w:rPr>
                <w:rStyle w:val="normaltextrun"/>
                <w:rFonts w:ascii="Verdana" w:hAnsi="Verdana" w:cs="Arial"/>
                <w:sz w:val="16"/>
                <w:szCs w:val="16"/>
                <w:lang w:val="es-ES"/>
              </w:rPr>
              <w:t>Juan Carlos Gonzáles Vásquez</w:t>
            </w:r>
          </w:p>
          <w:p w14:paraId="27311BB7" w14:textId="77777777" w:rsidR="00811900" w:rsidRPr="00EA1223" w:rsidRDefault="00811900" w:rsidP="00634EFB">
            <w:pPr>
              <w:pStyle w:val="paragraph"/>
              <w:spacing w:before="0" w:beforeAutospacing="0" w:after="0" w:afterAutospacing="0"/>
              <w:contextualSpacing/>
              <w:textAlignment w:val="baseline"/>
              <w:rPr>
                <w:rFonts w:ascii="Verdana" w:hAnsi="Verdana" w:cs="Segoe UI"/>
                <w:sz w:val="16"/>
                <w:szCs w:val="16"/>
              </w:rPr>
            </w:pPr>
            <w:r w:rsidRPr="00EA1223">
              <w:rPr>
                <w:rStyle w:val="normaltextrun"/>
                <w:rFonts w:ascii="Verdana" w:hAnsi="Verdana" w:cs="Arial"/>
                <w:sz w:val="16"/>
                <w:szCs w:val="16"/>
                <w:lang w:val="es-ES"/>
              </w:rPr>
              <w:t>Contratista de la Subdirección de Gestión Contractual</w:t>
            </w:r>
            <w:r w:rsidRPr="00EA1223">
              <w:rPr>
                <w:rStyle w:val="eop"/>
                <w:rFonts w:ascii="Verdana" w:hAnsi="Verdana" w:cs="Arial"/>
                <w:sz w:val="16"/>
                <w:szCs w:val="16"/>
              </w:rPr>
              <w:t> </w:t>
            </w:r>
          </w:p>
        </w:tc>
      </w:tr>
      <w:tr w:rsidR="00811900" w:rsidRPr="00EA1223" w14:paraId="640A052A" w14:textId="77777777" w:rsidTr="00634EFB">
        <w:trPr>
          <w:trHeight w:val="300"/>
        </w:trPr>
        <w:tc>
          <w:tcPr>
            <w:tcW w:w="893" w:type="dxa"/>
            <w:vAlign w:val="center"/>
          </w:tcPr>
          <w:p w14:paraId="1C76B52A" w14:textId="77777777" w:rsidR="00811900" w:rsidRPr="00EA1223" w:rsidRDefault="00811900" w:rsidP="00634EFB">
            <w:pPr>
              <w:contextualSpacing/>
              <w:rPr>
                <w:rFonts w:ascii="Verdana" w:hAnsi="Verdana" w:cs="Arial"/>
                <w:sz w:val="16"/>
                <w:szCs w:val="16"/>
                <w:lang w:val="es-ES" w:eastAsia="es-ES"/>
              </w:rPr>
            </w:pPr>
            <w:r w:rsidRPr="00EA1223">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110D325" w14:textId="77777777" w:rsidR="00811900" w:rsidRPr="00EA1223" w:rsidRDefault="00811900" w:rsidP="00634EFB">
            <w:pPr>
              <w:contextualSpacing/>
              <w:rPr>
                <w:rFonts w:ascii="Verdana" w:eastAsia="Calibri" w:hAnsi="Verdana" w:cs="Arial"/>
                <w:sz w:val="16"/>
                <w:szCs w:val="16"/>
                <w:lang w:val="pt-BR" w:eastAsia="es-ES"/>
              </w:rPr>
            </w:pPr>
            <w:r>
              <w:rPr>
                <w:rFonts w:ascii="Verdana" w:eastAsia="Calibri" w:hAnsi="Verdana" w:cs="Arial"/>
                <w:sz w:val="16"/>
                <w:szCs w:val="16"/>
                <w:lang w:val="pt-BR" w:eastAsia="es-ES"/>
              </w:rPr>
              <w:t xml:space="preserve">Carolina Quintero </w:t>
            </w:r>
            <w:proofErr w:type="spellStart"/>
            <w:r>
              <w:rPr>
                <w:rFonts w:ascii="Verdana" w:eastAsia="Calibri" w:hAnsi="Verdana" w:cs="Arial"/>
                <w:sz w:val="16"/>
                <w:szCs w:val="16"/>
                <w:lang w:val="pt-BR" w:eastAsia="es-ES"/>
              </w:rPr>
              <w:t>Gacherná</w:t>
            </w:r>
            <w:proofErr w:type="spellEnd"/>
          </w:p>
          <w:p w14:paraId="4D80DF79" w14:textId="5746FD76" w:rsidR="00811900" w:rsidRPr="00EA1223" w:rsidRDefault="00811900" w:rsidP="00634EFB">
            <w:pPr>
              <w:contextualSpacing/>
              <w:rPr>
                <w:rFonts w:ascii="Verdana" w:eastAsia="Calibri" w:hAnsi="Verdana" w:cs="Arial"/>
                <w:sz w:val="16"/>
                <w:szCs w:val="16"/>
                <w:lang w:val="pt-BR" w:eastAsia="es-ES"/>
              </w:rPr>
            </w:pPr>
            <w:r w:rsidRPr="00EA1223">
              <w:rPr>
                <w:rFonts w:ascii="Verdana" w:eastAsia="Calibri" w:hAnsi="Verdana" w:cs="Arial"/>
                <w:sz w:val="16"/>
                <w:szCs w:val="16"/>
                <w:lang w:eastAsia="es-ES"/>
              </w:rPr>
              <w:t>Subdirectora</w:t>
            </w:r>
            <w:r w:rsidRPr="00EA1223">
              <w:rPr>
                <w:rFonts w:ascii="Verdana" w:eastAsia="Calibri" w:hAnsi="Verdana" w:cs="Arial"/>
                <w:sz w:val="16"/>
                <w:szCs w:val="16"/>
                <w:lang w:val="pt-BR" w:eastAsia="es-ES"/>
              </w:rPr>
              <w:t xml:space="preserve"> de Gestión </w:t>
            </w:r>
            <w:proofErr w:type="spellStart"/>
            <w:r w:rsidRPr="00EA1223">
              <w:rPr>
                <w:rFonts w:ascii="Verdana" w:eastAsia="Calibri" w:hAnsi="Verdana" w:cs="Arial"/>
                <w:sz w:val="16"/>
                <w:szCs w:val="16"/>
                <w:lang w:val="pt-BR" w:eastAsia="es-ES"/>
              </w:rPr>
              <w:t>Contractual</w:t>
            </w:r>
            <w:proofErr w:type="spellEnd"/>
            <w:r w:rsidRPr="00EA1223">
              <w:rPr>
                <w:rFonts w:ascii="Verdana" w:eastAsia="Calibri" w:hAnsi="Verdana" w:cs="Arial"/>
                <w:sz w:val="16"/>
                <w:szCs w:val="16"/>
                <w:lang w:val="pt-BR" w:eastAsia="es-ES"/>
              </w:rPr>
              <w:t xml:space="preserve"> ANCP – CCE</w:t>
            </w:r>
            <w:r>
              <w:rPr>
                <w:rFonts w:ascii="Verdana" w:eastAsia="Calibri" w:hAnsi="Verdana" w:cs="Arial"/>
                <w:sz w:val="16"/>
                <w:szCs w:val="16"/>
                <w:lang w:val="pt-BR" w:eastAsia="es-ES"/>
              </w:rPr>
              <w:t xml:space="preserve"> </w:t>
            </w:r>
          </w:p>
        </w:tc>
      </w:tr>
    </w:tbl>
    <w:p w14:paraId="5FDD5E40" w14:textId="77777777" w:rsidR="5D8505AD" w:rsidRPr="00871B59" w:rsidRDefault="5D8505AD" w:rsidP="00871B59"/>
    <w:sectPr w:rsidR="5D8505AD" w:rsidRPr="00871B59" w:rsidSect="00E45F4B">
      <w:headerReference w:type="default" r:id="rId17"/>
      <w:footerReference w:type="default" r:id="rId18"/>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3F7CC6" w14:textId="77777777" w:rsidR="007E395E" w:rsidRDefault="007E395E" w:rsidP="00B30448">
      <w:pPr>
        <w:spacing w:after="0" w:line="240" w:lineRule="auto"/>
      </w:pPr>
      <w:r>
        <w:separator/>
      </w:r>
    </w:p>
  </w:endnote>
  <w:endnote w:type="continuationSeparator" w:id="0">
    <w:p w14:paraId="0D0A17E6" w14:textId="77777777" w:rsidR="007E395E" w:rsidRDefault="007E395E" w:rsidP="00B30448">
      <w:pPr>
        <w:spacing w:after="0" w:line="240" w:lineRule="auto"/>
      </w:pPr>
      <w:r>
        <w:continuationSeparator/>
      </w:r>
    </w:p>
  </w:endnote>
  <w:endnote w:type="continuationNotice" w:id="1">
    <w:p w14:paraId="564B5DA0" w14:textId="77777777" w:rsidR="007E395E" w:rsidRDefault="007E395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4E35B6" w14:textId="77777777" w:rsidR="000849D5" w:rsidRDefault="000849D5" w:rsidP="000849D5">
    <w:pPr>
      <w:spacing w:after="0"/>
      <w:rPr>
        <w:rFonts w:ascii="Verdana" w:hAnsi="Verdana"/>
        <w:b/>
        <w:bCs/>
        <w:sz w:val="20"/>
        <w:szCs w:val="20"/>
      </w:rPr>
    </w:pPr>
  </w:p>
  <w:p w14:paraId="1F6F574B" w14:textId="77777777" w:rsidR="000849D5" w:rsidRPr="00174B77" w:rsidRDefault="000849D5" w:rsidP="000849D5">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D74995D" w14:textId="77777777" w:rsidR="000849D5" w:rsidRDefault="000849D5" w:rsidP="000849D5">
    <w:pPr>
      <w:spacing w:after="0"/>
      <w:jc w:val="both"/>
      <w:rPr>
        <w:rFonts w:ascii="Verdana" w:hAnsi="Verdana"/>
        <w:sz w:val="18"/>
        <w:szCs w:val="18"/>
      </w:rPr>
    </w:pPr>
    <w:r w:rsidRPr="00E41027">
      <w:rPr>
        <w:rFonts w:ascii="Verdana" w:hAnsi="Verdana"/>
        <w:sz w:val="18"/>
        <w:szCs w:val="18"/>
      </w:rPr>
      <w:t>Dirección: Carrera 7 # 26 – 20 - Bogotá, Colombia</w:t>
    </w:r>
  </w:p>
  <w:p w14:paraId="4D2C3257" w14:textId="77777777" w:rsidR="000849D5" w:rsidRPr="00E41027" w:rsidRDefault="000849D5" w:rsidP="000849D5">
    <w:pPr>
      <w:spacing w:after="0"/>
      <w:jc w:val="both"/>
      <w:rPr>
        <w:rFonts w:ascii="Verdana" w:hAnsi="Verdana"/>
        <w:sz w:val="18"/>
        <w:szCs w:val="18"/>
      </w:rPr>
    </w:pPr>
    <w:r w:rsidRPr="00E41027">
      <w:rPr>
        <w:rFonts w:ascii="Verdana" w:hAnsi="Verdana"/>
        <w:sz w:val="18"/>
        <w:szCs w:val="18"/>
      </w:rPr>
      <w:t>Mesa de servicio: (+57) 601 7456788</w:t>
    </w:r>
  </w:p>
  <w:p w14:paraId="33941E3B" w14:textId="77777777" w:rsidR="000849D5" w:rsidRDefault="000849D5" w:rsidP="000849D5">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5458831E" w14:textId="77777777" w:rsidR="000849D5" w:rsidRPr="007D04B2" w:rsidRDefault="000849D5" w:rsidP="000849D5">
    <w:pPr>
      <w:pStyle w:val="Piedepgina"/>
    </w:pPr>
  </w:p>
  <w:p w14:paraId="62AAECE3" w14:textId="77777777" w:rsidR="00B30448" w:rsidRPr="000849D5" w:rsidRDefault="00B30448"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B9814D" w14:textId="77777777" w:rsidR="007E395E" w:rsidRDefault="007E395E" w:rsidP="00B30448">
      <w:pPr>
        <w:spacing w:after="0" w:line="240" w:lineRule="auto"/>
      </w:pPr>
      <w:r>
        <w:separator/>
      </w:r>
    </w:p>
  </w:footnote>
  <w:footnote w:type="continuationSeparator" w:id="0">
    <w:p w14:paraId="4BE109B6" w14:textId="77777777" w:rsidR="007E395E" w:rsidRDefault="007E395E" w:rsidP="00B30448">
      <w:pPr>
        <w:spacing w:after="0" w:line="240" w:lineRule="auto"/>
      </w:pPr>
      <w:r>
        <w:continuationSeparator/>
      </w:r>
    </w:p>
  </w:footnote>
  <w:footnote w:type="continuationNotice" w:id="1">
    <w:p w14:paraId="5AD686A2" w14:textId="77777777" w:rsidR="007E395E" w:rsidRDefault="007E395E">
      <w:pPr>
        <w:spacing w:after="0" w:line="240" w:lineRule="auto"/>
      </w:pPr>
    </w:p>
  </w:footnote>
  <w:footnote w:id="2">
    <w:p w14:paraId="37F2A001" w14:textId="77777777" w:rsidR="00F34219" w:rsidRPr="00B93D47" w:rsidRDefault="00F34219" w:rsidP="00F34219">
      <w:pPr>
        <w:pStyle w:val="Textonotapie"/>
        <w:ind w:right="51" w:firstLine="709"/>
        <w:contextualSpacing/>
        <w:jc w:val="both"/>
        <w:rPr>
          <w:rFonts w:ascii="Verdana" w:hAnsi="Verdana" w:cs="Arial"/>
          <w:sz w:val="16"/>
          <w:szCs w:val="16"/>
        </w:rPr>
      </w:pPr>
      <w:r w:rsidRPr="00B93D47">
        <w:rPr>
          <w:rStyle w:val="Refdenotaalpie"/>
          <w:rFonts w:ascii="Verdana" w:hAnsi="Verdana" w:cs="Arial"/>
          <w:sz w:val="16"/>
          <w:szCs w:val="16"/>
        </w:rPr>
        <w:footnoteRef/>
      </w:r>
      <w:r w:rsidRPr="00B93D47">
        <w:rPr>
          <w:rFonts w:ascii="Verdana" w:hAnsi="Verdana" w:cs="Arial"/>
          <w:sz w:val="16"/>
          <w:szCs w:val="16"/>
        </w:rPr>
        <w:t xml:space="preserve"> “</w:t>
      </w:r>
      <w:r w:rsidRPr="00B93D47">
        <w:rPr>
          <w:rFonts w:ascii="Verdana" w:hAnsi="Verdana" w:cs="Arial"/>
          <w:sz w:val="16"/>
          <w:szCs w:val="16"/>
          <w:lang w:val="es-ES"/>
        </w:rPr>
        <w:t xml:space="preserve">[25] </w:t>
      </w:r>
      <w:r w:rsidRPr="00B93D47">
        <w:rPr>
          <w:rFonts w:ascii="Verdana" w:hAnsi="Verdana" w:cs="Arial"/>
          <w:sz w:val="16"/>
          <w:szCs w:val="16"/>
        </w:rPr>
        <w:t>Cfr. Consejo de Estado. Sección Tercera. Sentencia de 3 de diciembre de 2007. Radicados: 24.715, 25.206, 25.409, 24.524, 27.834, 25.410, 26.105, 28.244, 31.447 -acumulados-”.</w:t>
      </w:r>
    </w:p>
    <w:p w14:paraId="71F115DC" w14:textId="77777777" w:rsidR="00F34219" w:rsidRPr="00B93D47" w:rsidRDefault="00F34219" w:rsidP="00F34219">
      <w:pPr>
        <w:pStyle w:val="Textonotapie"/>
        <w:ind w:right="51" w:firstLine="709"/>
        <w:contextualSpacing/>
        <w:jc w:val="both"/>
        <w:rPr>
          <w:rFonts w:ascii="Verdana" w:hAnsi="Verdana" w:cs="Arial"/>
          <w:sz w:val="16"/>
          <w:szCs w:val="16"/>
        </w:rPr>
      </w:pPr>
    </w:p>
  </w:footnote>
  <w:footnote w:id="3">
    <w:p w14:paraId="48E08E69" w14:textId="77777777" w:rsidR="00F34219" w:rsidRPr="00B93D47" w:rsidRDefault="00F34219" w:rsidP="00F34219">
      <w:pPr>
        <w:pStyle w:val="Textonotapie"/>
        <w:ind w:right="51" w:firstLine="709"/>
        <w:contextualSpacing/>
        <w:jc w:val="both"/>
        <w:rPr>
          <w:rFonts w:ascii="Verdana" w:hAnsi="Verdana" w:cs="Arial"/>
          <w:sz w:val="16"/>
          <w:szCs w:val="16"/>
        </w:rPr>
      </w:pPr>
      <w:r w:rsidRPr="00B93D47">
        <w:rPr>
          <w:rStyle w:val="Refdenotaalpie"/>
          <w:rFonts w:ascii="Verdana" w:hAnsi="Verdana" w:cs="Arial"/>
          <w:sz w:val="16"/>
          <w:szCs w:val="16"/>
        </w:rPr>
        <w:footnoteRef/>
      </w:r>
      <w:r w:rsidRPr="00B93D47">
        <w:rPr>
          <w:rFonts w:ascii="Verdana" w:hAnsi="Verdana" w:cs="Arial"/>
          <w:sz w:val="16"/>
          <w:szCs w:val="16"/>
        </w:rPr>
        <w:t xml:space="preserve"> </w:t>
      </w:r>
      <w:bookmarkStart w:id="3" w:name="_Hlk74294506"/>
      <w:r w:rsidRPr="00B93D47">
        <w:rPr>
          <w:rFonts w:ascii="Verdana" w:hAnsi="Verdana" w:cs="Arial"/>
          <w:sz w:val="16"/>
          <w:szCs w:val="16"/>
        </w:rPr>
        <w:t>“</w:t>
      </w:r>
      <w:r w:rsidRPr="00B93D47">
        <w:rPr>
          <w:rFonts w:ascii="Verdana" w:hAnsi="Verdana" w:cs="Arial"/>
          <w:sz w:val="16"/>
          <w:szCs w:val="16"/>
          <w:lang w:val="es-ES"/>
        </w:rPr>
        <w:t xml:space="preserve">[26] </w:t>
      </w:r>
      <w:bookmarkEnd w:id="3"/>
      <w:r w:rsidRPr="00B93D47">
        <w:rPr>
          <w:rFonts w:ascii="Verdana" w:hAnsi="Verdana" w:cs="Arial"/>
          <w:sz w:val="16"/>
          <w:szCs w:val="16"/>
        </w:rPr>
        <w:t>Al respecto ver el concepto 1712 de 2 de febrero de 2006. Consejo de Estado Sala de Consulta y Servicio Civil”.</w:t>
      </w:r>
    </w:p>
    <w:p w14:paraId="69C424CA" w14:textId="77777777" w:rsidR="00F34219" w:rsidRPr="00B93D47" w:rsidRDefault="00F34219" w:rsidP="00F34219">
      <w:pPr>
        <w:pStyle w:val="Textonotapie"/>
        <w:ind w:right="51" w:firstLine="709"/>
        <w:contextualSpacing/>
        <w:jc w:val="both"/>
        <w:rPr>
          <w:rFonts w:ascii="Verdana" w:hAnsi="Verdana" w:cs="Arial"/>
          <w:sz w:val="16"/>
          <w:szCs w:val="16"/>
        </w:rPr>
      </w:pPr>
    </w:p>
  </w:footnote>
  <w:footnote w:id="4">
    <w:p w14:paraId="24C440A3" w14:textId="77777777" w:rsidR="00F34219" w:rsidRPr="00B93D47" w:rsidRDefault="00F34219" w:rsidP="00F34219">
      <w:pPr>
        <w:pStyle w:val="Textonotapie"/>
        <w:ind w:firstLine="709"/>
        <w:contextualSpacing/>
        <w:jc w:val="both"/>
        <w:rPr>
          <w:rFonts w:ascii="Verdana" w:hAnsi="Verdana" w:cs="Arial"/>
          <w:sz w:val="16"/>
          <w:szCs w:val="16"/>
        </w:rPr>
      </w:pPr>
      <w:r w:rsidRPr="00B93D47">
        <w:rPr>
          <w:rStyle w:val="Refdenotaalpie"/>
          <w:rFonts w:ascii="Verdana" w:hAnsi="Verdana" w:cs="Arial"/>
          <w:sz w:val="16"/>
          <w:szCs w:val="16"/>
        </w:rPr>
        <w:footnoteRef/>
      </w:r>
      <w:r w:rsidRPr="00B93D47">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p w14:paraId="17F06C3B" w14:textId="77777777" w:rsidR="00F34219" w:rsidRPr="00B93D47" w:rsidRDefault="00F34219" w:rsidP="00F34219">
      <w:pPr>
        <w:pStyle w:val="Textonotapie"/>
        <w:ind w:firstLine="709"/>
        <w:contextualSpacing/>
        <w:jc w:val="both"/>
        <w:rPr>
          <w:rFonts w:ascii="Verdana" w:hAnsi="Verdana" w:cs="Arial"/>
          <w:sz w:val="16"/>
          <w:szCs w:val="16"/>
        </w:rPr>
      </w:pPr>
    </w:p>
  </w:footnote>
  <w:footnote w:id="5">
    <w:p w14:paraId="7D74E40E" w14:textId="77777777" w:rsidR="00F34219" w:rsidRPr="00B93D47" w:rsidRDefault="00F34219" w:rsidP="00F34219">
      <w:pPr>
        <w:pStyle w:val="Textonotapie"/>
        <w:ind w:firstLine="709"/>
        <w:contextualSpacing/>
        <w:jc w:val="both"/>
        <w:rPr>
          <w:rFonts w:ascii="Verdana" w:hAnsi="Verdana" w:cs="Arial"/>
          <w:sz w:val="16"/>
          <w:szCs w:val="16"/>
          <w:lang w:val="es-ES"/>
        </w:rPr>
      </w:pPr>
      <w:r w:rsidRPr="00B93D47">
        <w:rPr>
          <w:rStyle w:val="Refdenotaalpie"/>
          <w:rFonts w:ascii="Verdana" w:hAnsi="Verdana" w:cs="Arial"/>
          <w:sz w:val="16"/>
          <w:szCs w:val="16"/>
        </w:rPr>
        <w:footnoteRef/>
      </w:r>
      <w:r w:rsidRPr="00B93D47">
        <w:rPr>
          <w:rFonts w:ascii="Verdana" w:hAnsi="Verdana" w:cs="Arial"/>
          <w:sz w:val="16"/>
          <w:szCs w:val="16"/>
        </w:rPr>
        <w:t xml:space="preserve"> </w:t>
      </w:r>
      <w:r w:rsidRPr="00B93D47">
        <w:rPr>
          <w:rFonts w:ascii="Verdana" w:hAnsi="Verdana" w:cs="Arial"/>
          <w:sz w:val="16"/>
          <w:szCs w:val="16"/>
          <w:lang w:val="es-ES"/>
        </w:rPr>
        <w:t xml:space="preserve">Artículo 2. </w:t>
      </w:r>
    </w:p>
  </w:footnote>
  <w:footnote w:id="6">
    <w:p w14:paraId="085DD803" w14:textId="77777777" w:rsidR="00F34219" w:rsidRPr="00B93D47" w:rsidRDefault="00F34219" w:rsidP="00F34219">
      <w:pPr>
        <w:pStyle w:val="Textonotapie"/>
        <w:ind w:firstLine="709"/>
        <w:contextualSpacing/>
        <w:jc w:val="both"/>
        <w:rPr>
          <w:rFonts w:ascii="Verdana" w:hAnsi="Verdana" w:cs="Arial"/>
          <w:sz w:val="16"/>
          <w:szCs w:val="16"/>
        </w:rPr>
      </w:pPr>
    </w:p>
    <w:p w14:paraId="1334A65C" w14:textId="77777777" w:rsidR="00F34219" w:rsidRPr="00B93D47" w:rsidRDefault="00F34219" w:rsidP="00F34219">
      <w:pPr>
        <w:pStyle w:val="Textonotapie"/>
        <w:ind w:firstLine="709"/>
        <w:contextualSpacing/>
        <w:jc w:val="both"/>
        <w:rPr>
          <w:rFonts w:ascii="Verdana" w:hAnsi="Verdana" w:cs="Arial"/>
          <w:sz w:val="16"/>
          <w:szCs w:val="16"/>
          <w:lang w:val="es-ES"/>
        </w:rPr>
      </w:pPr>
      <w:r w:rsidRPr="00B93D47">
        <w:rPr>
          <w:rStyle w:val="Refdenotaalpie"/>
          <w:rFonts w:ascii="Verdana" w:hAnsi="Verdana" w:cs="Arial"/>
          <w:sz w:val="16"/>
          <w:szCs w:val="16"/>
        </w:rPr>
        <w:footnoteRef/>
      </w:r>
      <w:r w:rsidRPr="00B93D47">
        <w:rPr>
          <w:rFonts w:ascii="Verdana" w:hAnsi="Verdana" w:cs="Arial"/>
          <w:sz w:val="16"/>
          <w:szCs w:val="16"/>
        </w:rPr>
        <w:t xml:space="preserve"> </w:t>
      </w:r>
      <w:r w:rsidRPr="00B93D47">
        <w:rPr>
          <w:rFonts w:ascii="Verdana" w:hAnsi="Verdana" w:cs="Arial"/>
          <w:i/>
          <w:sz w:val="16"/>
          <w:szCs w:val="16"/>
          <w:lang w:val="es-ES"/>
        </w:rPr>
        <w:t>Ídem</w:t>
      </w:r>
      <w:r w:rsidRPr="00B93D47">
        <w:rPr>
          <w:rFonts w:ascii="Verdana" w:hAnsi="Verdana" w:cs="Arial"/>
          <w:sz w:val="16"/>
          <w:szCs w:val="16"/>
          <w:lang w:val="es-ES"/>
        </w:rPr>
        <w:t>.</w:t>
      </w:r>
    </w:p>
  </w:footnote>
  <w:footnote w:id="7">
    <w:p w14:paraId="65DEE4E5" w14:textId="77777777" w:rsidR="00F34219" w:rsidRDefault="00F34219" w:rsidP="00F34219">
      <w:pPr>
        <w:pStyle w:val="Textonotapie"/>
        <w:ind w:firstLine="709"/>
        <w:contextualSpacing/>
        <w:jc w:val="both"/>
        <w:rPr>
          <w:rFonts w:ascii="Verdana" w:hAnsi="Verdana" w:cs="Arial"/>
          <w:sz w:val="16"/>
          <w:szCs w:val="16"/>
          <w:lang w:val="es-ES"/>
        </w:rPr>
      </w:pPr>
      <w:r w:rsidRPr="00B93D47">
        <w:rPr>
          <w:rStyle w:val="Refdenotaalpie"/>
          <w:rFonts w:ascii="Verdana" w:hAnsi="Verdana" w:cs="Arial"/>
          <w:sz w:val="16"/>
          <w:szCs w:val="16"/>
        </w:rPr>
        <w:footnoteRef/>
      </w:r>
      <w:r w:rsidRPr="00B93D47">
        <w:rPr>
          <w:rStyle w:val="Refdenotaalpie"/>
          <w:rFonts w:ascii="Verdana" w:hAnsi="Verdana" w:cs="Arial"/>
          <w:sz w:val="16"/>
          <w:szCs w:val="16"/>
        </w:rPr>
        <w:t xml:space="preserve"> </w:t>
      </w:r>
      <w:r w:rsidRPr="00B93D47">
        <w:rPr>
          <w:rFonts w:ascii="Verdana" w:hAnsi="Verdana" w:cs="Arial"/>
          <w:sz w:val="16"/>
          <w:szCs w:val="16"/>
          <w:lang w:val="es-ES"/>
        </w:rPr>
        <w:t xml:space="preserve">“[…] A este respecto, cabe recordar que el artículo 860 del Código de Comercio regula la licitación en el derecho privado”. </w:t>
      </w:r>
    </w:p>
    <w:p w14:paraId="33001E5A" w14:textId="77777777" w:rsidR="00F34219" w:rsidRPr="00B93D47" w:rsidRDefault="00F34219" w:rsidP="00F34219">
      <w:pPr>
        <w:pStyle w:val="Textonotapie"/>
        <w:ind w:firstLine="709"/>
        <w:contextualSpacing/>
        <w:jc w:val="both"/>
        <w:rPr>
          <w:rFonts w:ascii="Verdana" w:hAnsi="Verdana" w:cs="Arial"/>
          <w:sz w:val="16"/>
          <w:szCs w:val="16"/>
          <w:lang w:val="es-ES"/>
        </w:rPr>
      </w:pPr>
    </w:p>
  </w:footnote>
  <w:footnote w:id="8">
    <w:p w14:paraId="26993186" w14:textId="77777777" w:rsidR="00F34219" w:rsidRPr="00B93D47" w:rsidRDefault="00F34219" w:rsidP="00F34219">
      <w:pPr>
        <w:shd w:val="clear" w:color="auto" w:fill="FFFFFF"/>
        <w:spacing w:after="0" w:line="240" w:lineRule="auto"/>
        <w:ind w:firstLine="709"/>
        <w:contextualSpacing/>
        <w:jc w:val="both"/>
        <w:rPr>
          <w:rFonts w:ascii="Verdana" w:hAnsi="Verdana" w:cs="Arial"/>
          <w:sz w:val="16"/>
          <w:szCs w:val="16"/>
          <w:lang w:val="es-ES"/>
        </w:rPr>
      </w:pPr>
      <w:r w:rsidRPr="00B93D47">
        <w:rPr>
          <w:rStyle w:val="Refdenotaalpie"/>
          <w:rFonts w:ascii="Verdana" w:hAnsi="Verdana" w:cs="Arial"/>
          <w:sz w:val="16"/>
          <w:szCs w:val="16"/>
        </w:rPr>
        <w:footnoteRef/>
      </w:r>
      <w:r w:rsidRPr="00B93D47">
        <w:rPr>
          <w:rStyle w:val="Refdenotaalpie"/>
          <w:rFonts w:ascii="Verdana" w:hAnsi="Verdana" w:cs="Arial"/>
          <w:sz w:val="16"/>
          <w:szCs w:val="16"/>
        </w:rPr>
        <w:t xml:space="preserve"> </w:t>
      </w:r>
      <w:r w:rsidRPr="00B93D47">
        <w:rPr>
          <w:rFonts w:ascii="Verdana" w:hAnsi="Verdana" w:cs="Arial"/>
          <w:sz w:val="16"/>
          <w:szCs w:val="16"/>
          <w:lang w:val="es-ES"/>
        </w:rPr>
        <w:t>Consejo de Estado. Sala de Consulta y Servicio Civil, Concepto de 8 de mayo de 2018. Radicación Número: 11001-03-06-000-2018-00095-00(2382). Consejero Ponente: Álvaro Namén Vargas.</w:t>
      </w:r>
    </w:p>
  </w:footnote>
  <w:footnote w:id="9">
    <w:p w14:paraId="5E0D9873" w14:textId="77777777" w:rsidR="00F34219" w:rsidRDefault="00F34219" w:rsidP="00F34219">
      <w:pPr>
        <w:pStyle w:val="Textonotapie"/>
        <w:ind w:firstLine="709"/>
        <w:contextualSpacing/>
        <w:jc w:val="both"/>
        <w:rPr>
          <w:rFonts w:ascii="Verdana" w:hAnsi="Verdana" w:cs="Arial"/>
          <w:sz w:val="16"/>
          <w:szCs w:val="16"/>
        </w:rPr>
      </w:pPr>
    </w:p>
    <w:p w14:paraId="4A9E6B83" w14:textId="77777777" w:rsidR="00F34219" w:rsidRDefault="00F34219" w:rsidP="00F34219">
      <w:pPr>
        <w:pStyle w:val="Textonotapie"/>
        <w:ind w:firstLine="709"/>
        <w:contextualSpacing/>
        <w:jc w:val="both"/>
        <w:rPr>
          <w:rFonts w:ascii="Verdana" w:hAnsi="Verdana" w:cs="Arial"/>
          <w:sz w:val="16"/>
          <w:szCs w:val="16"/>
        </w:rPr>
      </w:pPr>
      <w:r w:rsidRPr="00B93D47">
        <w:rPr>
          <w:rStyle w:val="Refdenotaalpie"/>
          <w:rFonts w:ascii="Verdana" w:hAnsi="Verdana" w:cs="Arial"/>
          <w:sz w:val="16"/>
          <w:szCs w:val="16"/>
        </w:rPr>
        <w:footnoteRef/>
      </w:r>
      <w:r w:rsidRPr="00B93D47">
        <w:rPr>
          <w:rFonts w:ascii="Verdana" w:hAnsi="Verdana" w:cs="Arial"/>
          <w:sz w:val="16"/>
          <w:szCs w:val="16"/>
        </w:rPr>
        <w:t xml:space="preserve"> Consejo de Estado. Sala de Consulta y Servicio Civil. Concepto del 08 de mayo de 2018. Exp. 2.382. C.P. Álvaro Namén Vargas.</w:t>
      </w:r>
    </w:p>
    <w:p w14:paraId="3A8F6478" w14:textId="77777777" w:rsidR="00F34219" w:rsidRPr="00B93D47" w:rsidRDefault="00F34219" w:rsidP="00F34219">
      <w:pPr>
        <w:pStyle w:val="Textonotapie"/>
        <w:ind w:firstLine="709"/>
        <w:contextualSpacing/>
        <w:jc w:val="both"/>
        <w:rPr>
          <w:rFonts w:ascii="Verdana" w:hAnsi="Verdana" w:cs="Arial"/>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4BC960" w14:textId="77777777" w:rsidR="00515FB5" w:rsidRDefault="00515FB5" w:rsidP="00515FB5">
    <w:pPr>
      <w:pStyle w:val="Encabezado"/>
    </w:pPr>
    <w:r>
      <w:rPr>
        <w:rFonts w:ascii="Geomanist Bold" w:hAnsi="Geomanist Bold"/>
        <w:b/>
        <w:bCs/>
        <w:noProof/>
        <w:color w:val="002060"/>
        <w:sz w:val="24"/>
        <w:szCs w:val="24"/>
      </w:rPr>
      <w:drawing>
        <wp:anchor distT="0" distB="0" distL="114300" distR="114300" simplePos="0" relativeHeight="251667456" behindDoc="1" locked="0" layoutInCell="1" allowOverlap="1" wp14:anchorId="4642AA96" wp14:editId="06971AFB">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66432" behindDoc="0" locked="0" layoutInCell="1" allowOverlap="1" wp14:anchorId="6DF2C488" wp14:editId="156A7BD6">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30790998" w14:textId="77777777" w:rsidR="00515FB5" w:rsidRDefault="00515FB5" w:rsidP="00515FB5">
    <w:pPr>
      <w:pStyle w:val="Encabezado"/>
    </w:pPr>
  </w:p>
  <w:p w14:paraId="2E71DC05" w14:textId="77777777" w:rsidR="00515FB5" w:rsidRDefault="00515FB5" w:rsidP="00515FB5">
    <w:pPr>
      <w:pStyle w:val="Encabezado"/>
    </w:pPr>
  </w:p>
  <w:p w14:paraId="61128774" w14:textId="77777777" w:rsidR="00515FB5" w:rsidRDefault="00515FB5" w:rsidP="00515FB5">
    <w:pPr>
      <w:pStyle w:val="Encabezado"/>
    </w:pPr>
  </w:p>
  <w:p w14:paraId="1EE34C9A" w14:textId="77777777" w:rsidR="00515FB5" w:rsidRPr="00AB7B56" w:rsidRDefault="00515FB5" w:rsidP="00515FB5">
    <w:pPr>
      <w:pStyle w:val="Encabezado"/>
    </w:pPr>
  </w:p>
  <w:p w14:paraId="10FE7329" w14:textId="77777777" w:rsidR="00B30448" w:rsidRPr="00515FB5" w:rsidRDefault="00B30448"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51E06B3"/>
    <w:multiLevelType w:val="multilevel"/>
    <w:tmpl w:val="654EE8CE"/>
    <w:lvl w:ilvl="0">
      <w:start w:val="1"/>
      <w:numFmt w:val="decimal"/>
      <w:lvlText w:val="%1."/>
      <w:lvlJc w:val="left"/>
      <w:pPr>
        <w:ind w:left="347" w:hanging="248"/>
        <w:jc w:val="left"/>
      </w:pPr>
      <w:rPr>
        <w:rFonts w:ascii="Arial" w:eastAsia="Arial" w:hAnsi="Arial" w:cs="Arial" w:hint="default"/>
        <w:b/>
        <w:bCs/>
        <w:w w:val="100"/>
        <w:sz w:val="22"/>
        <w:szCs w:val="22"/>
        <w:lang w:val="es-ES" w:eastAsia="en-US" w:bidi="ar-SA"/>
      </w:rPr>
    </w:lvl>
    <w:lvl w:ilvl="1">
      <w:start w:val="1"/>
      <w:numFmt w:val="decimal"/>
      <w:lvlText w:val="%1.%2."/>
      <w:lvlJc w:val="left"/>
      <w:pPr>
        <w:ind w:left="529" w:hanging="430"/>
        <w:jc w:val="left"/>
      </w:pPr>
      <w:rPr>
        <w:rFonts w:ascii="Arial" w:eastAsia="Arial" w:hAnsi="Arial" w:cs="Arial" w:hint="default"/>
        <w:b/>
        <w:bCs/>
        <w:w w:val="100"/>
        <w:sz w:val="22"/>
        <w:szCs w:val="22"/>
        <w:lang w:val="es-ES" w:eastAsia="en-US" w:bidi="ar-SA"/>
      </w:rPr>
    </w:lvl>
    <w:lvl w:ilvl="2">
      <w:numFmt w:val="bullet"/>
      <w:lvlText w:val="•"/>
      <w:lvlJc w:val="left"/>
      <w:pPr>
        <w:ind w:left="1526" w:hanging="430"/>
      </w:pPr>
      <w:rPr>
        <w:rFonts w:hint="default"/>
        <w:lang w:val="es-ES" w:eastAsia="en-US" w:bidi="ar-SA"/>
      </w:rPr>
    </w:lvl>
    <w:lvl w:ilvl="3">
      <w:numFmt w:val="bullet"/>
      <w:lvlText w:val="•"/>
      <w:lvlJc w:val="left"/>
      <w:pPr>
        <w:ind w:left="2533" w:hanging="430"/>
      </w:pPr>
      <w:rPr>
        <w:rFonts w:hint="default"/>
        <w:lang w:val="es-ES" w:eastAsia="en-US" w:bidi="ar-SA"/>
      </w:rPr>
    </w:lvl>
    <w:lvl w:ilvl="4">
      <w:numFmt w:val="bullet"/>
      <w:lvlText w:val="•"/>
      <w:lvlJc w:val="left"/>
      <w:pPr>
        <w:ind w:left="3540" w:hanging="430"/>
      </w:pPr>
      <w:rPr>
        <w:rFonts w:hint="default"/>
        <w:lang w:val="es-ES" w:eastAsia="en-US" w:bidi="ar-SA"/>
      </w:rPr>
    </w:lvl>
    <w:lvl w:ilvl="5">
      <w:numFmt w:val="bullet"/>
      <w:lvlText w:val="•"/>
      <w:lvlJc w:val="left"/>
      <w:pPr>
        <w:ind w:left="4546" w:hanging="430"/>
      </w:pPr>
      <w:rPr>
        <w:rFonts w:hint="default"/>
        <w:lang w:val="es-ES" w:eastAsia="en-US" w:bidi="ar-SA"/>
      </w:rPr>
    </w:lvl>
    <w:lvl w:ilvl="6">
      <w:numFmt w:val="bullet"/>
      <w:lvlText w:val="•"/>
      <w:lvlJc w:val="left"/>
      <w:pPr>
        <w:ind w:left="5553" w:hanging="430"/>
      </w:pPr>
      <w:rPr>
        <w:rFonts w:hint="default"/>
        <w:lang w:val="es-ES" w:eastAsia="en-US" w:bidi="ar-SA"/>
      </w:rPr>
    </w:lvl>
    <w:lvl w:ilvl="7">
      <w:numFmt w:val="bullet"/>
      <w:lvlText w:val="•"/>
      <w:lvlJc w:val="left"/>
      <w:pPr>
        <w:ind w:left="6560" w:hanging="430"/>
      </w:pPr>
      <w:rPr>
        <w:rFonts w:hint="default"/>
        <w:lang w:val="es-ES" w:eastAsia="en-US" w:bidi="ar-SA"/>
      </w:rPr>
    </w:lvl>
    <w:lvl w:ilvl="8">
      <w:numFmt w:val="bullet"/>
      <w:lvlText w:val="•"/>
      <w:lvlJc w:val="left"/>
      <w:pPr>
        <w:ind w:left="7566" w:hanging="430"/>
      </w:pPr>
      <w:rPr>
        <w:rFonts w:hint="default"/>
        <w:lang w:val="es-ES" w:eastAsia="en-US" w:bidi="ar-SA"/>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691187"/>
    <w:multiLevelType w:val="hybridMultilevel"/>
    <w:tmpl w:val="C5B680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num w:numId="1" w16cid:durableId="1290670214">
    <w:abstractNumId w:val="5"/>
  </w:num>
  <w:num w:numId="2" w16cid:durableId="4285022">
    <w:abstractNumId w:val="2"/>
  </w:num>
  <w:num w:numId="3" w16cid:durableId="881983949">
    <w:abstractNumId w:val="3"/>
  </w:num>
  <w:num w:numId="4" w16cid:durableId="341274352">
    <w:abstractNumId w:val="0"/>
  </w:num>
  <w:num w:numId="5" w16cid:durableId="1887524674">
    <w:abstractNumId w:val="7"/>
  </w:num>
  <w:num w:numId="6" w16cid:durableId="1082990391">
    <w:abstractNumId w:val="1"/>
  </w:num>
  <w:num w:numId="7" w16cid:durableId="1492209491">
    <w:abstractNumId w:val="4"/>
  </w:num>
  <w:num w:numId="8" w16cid:durableId="67908957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4219"/>
    <w:rsid w:val="000016F3"/>
    <w:rsid w:val="000037AE"/>
    <w:rsid w:val="00005BB0"/>
    <w:rsid w:val="0001025F"/>
    <w:rsid w:val="0001222D"/>
    <w:rsid w:val="000135EB"/>
    <w:rsid w:val="00015D2B"/>
    <w:rsid w:val="00031584"/>
    <w:rsid w:val="00032A0E"/>
    <w:rsid w:val="00037347"/>
    <w:rsid w:val="000442CC"/>
    <w:rsid w:val="000556D4"/>
    <w:rsid w:val="000716AB"/>
    <w:rsid w:val="00082E4C"/>
    <w:rsid w:val="000849D5"/>
    <w:rsid w:val="0008528F"/>
    <w:rsid w:val="00091A75"/>
    <w:rsid w:val="000A6E0C"/>
    <w:rsid w:val="000A7A56"/>
    <w:rsid w:val="000B1FF7"/>
    <w:rsid w:val="000B2513"/>
    <w:rsid w:val="000B4024"/>
    <w:rsid w:val="000C3C51"/>
    <w:rsid w:val="000C7262"/>
    <w:rsid w:val="000C7295"/>
    <w:rsid w:val="000D2A7F"/>
    <w:rsid w:val="000D4FCE"/>
    <w:rsid w:val="0011037E"/>
    <w:rsid w:val="00116E34"/>
    <w:rsid w:val="001363C7"/>
    <w:rsid w:val="00141AC5"/>
    <w:rsid w:val="00146B11"/>
    <w:rsid w:val="00147A04"/>
    <w:rsid w:val="0015476D"/>
    <w:rsid w:val="00161E13"/>
    <w:rsid w:val="00164AE0"/>
    <w:rsid w:val="00165E83"/>
    <w:rsid w:val="00166CD7"/>
    <w:rsid w:val="0017120C"/>
    <w:rsid w:val="00172F3A"/>
    <w:rsid w:val="0019532A"/>
    <w:rsid w:val="0019670E"/>
    <w:rsid w:val="00197205"/>
    <w:rsid w:val="001A5DD4"/>
    <w:rsid w:val="001A67E9"/>
    <w:rsid w:val="001B143B"/>
    <w:rsid w:val="001B21CA"/>
    <w:rsid w:val="001C04FC"/>
    <w:rsid w:val="001C25A3"/>
    <w:rsid w:val="001C5D03"/>
    <w:rsid w:val="001C7771"/>
    <w:rsid w:val="001D62FF"/>
    <w:rsid w:val="001F3F48"/>
    <w:rsid w:val="002000AA"/>
    <w:rsid w:val="00204109"/>
    <w:rsid w:val="00211E6E"/>
    <w:rsid w:val="00212A46"/>
    <w:rsid w:val="0021401D"/>
    <w:rsid w:val="002146B8"/>
    <w:rsid w:val="00215516"/>
    <w:rsid w:val="002527C2"/>
    <w:rsid w:val="00270443"/>
    <w:rsid w:val="00270EE2"/>
    <w:rsid w:val="00272972"/>
    <w:rsid w:val="00286491"/>
    <w:rsid w:val="002A0F8D"/>
    <w:rsid w:val="002B6E44"/>
    <w:rsid w:val="002B74B1"/>
    <w:rsid w:val="002E1DB5"/>
    <w:rsid w:val="002F6CCB"/>
    <w:rsid w:val="0030461E"/>
    <w:rsid w:val="003107A1"/>
    <w:rsid w:val="0032756A"/>
    <w:rsid w:val="003349BA"/>
    <w:rsid w:val="00334EF8"/>
    <w:rsid w:val="00336408"/>
    <w:rsid w:val="00340DFB"/>
    <w:rsid w:val="0034404F"/>
    <w:rsid w:val="00356980"/>
    <w:rsid w:val="003611B7"/>
    <w:rsid w:val="00367462"/>
    <w:rsid w:val="00371ECA"/>
    <w:rsid w:val="00372748"/>
    <w:rsid w:val="0037332A"/>
    <w:rsid w:val="0038151A"/>
    <w:rsid w:val="0039082A"/>
    <w:rsid w:val="00390C21"/>
    <w:rsid w:val="003A37BD"/>
    <w:rsid w:val="003B6D94"/>
    <w:rsid w:val="003C4C96"/>
    <w:rsid w:val="003C55E0"/>
    <w:rsid w:val="003F519B"/>
    <w:rsid w:val="0040544F"/>
    <w:rsid w:val="00406A19"/>
    <w:rsid w:val="0041222D"/>
    <w:rsid w:val="0041483E"/>
    <w:rsid w:val="00415369"/>
    <w:rsid w:val="00430492"/>
    <w:rsid w:val="00450BE7"/>
    <w:rsid w:val="0046741E"/>
    <w:rsid w:val="00472CC6"/>
    <w:rsid w:val="0048026E"/>
    <w:rsid w:val="004807A9"/>
    <w:rsid w:val="004813EE"/>
    <w:rsid w:val="00482605"/>
    <w:rsid w:val="00493278"/>
    <w:rsid w:val="004943D9"/>
    <w:rsid w:val="004A0E7B"/>
    <w:rsid w:val="004A3498"/>
    <w:rsid w:val="004B0C45"/>
    <w:rsid w:val="004C0AB2"/>
    <w:rsid w:val="004C1619"/>
    <w:rsid w:val="004C1A26"/>
    <w:rsid w:val="004C1CC9"/>
    <w:rsid w:val="004C3755"/>
    <w:rsid w:val="004C4485"/>
    <w:rsid w:val="004D11AF"/>
    <w:rsid w:val="00500DFA"/>
    <w:rsid w:val="005019AA"/>
    <w:rsid w:val="005021BB"/>
    <w:rsid w:val="005139E7"/>
    <w:rsid w:val="005147DA"/>
    <w:rsid w:val="00515FB5"/>
    <w:rsid w:val="0052365C"/>
    <w:rsid w:val="005271EB"/>
    <w:rsid w:val="005426DB"/>
    <w:rsid w:val="0055082B"/>
    <w:rsid w:val="00552503"/>
    <w:rsid w:val="00552B57"/>
    <w:rsid w:val="00553192"/>
    <w:rsid w:val="00557DA1"/>
    <w:rsid w:val="0056322C"/>
    <w:rsid w:val="0058743A"/>
    <w:rsid w:val="005A4DB0"/>
    <w:rsid w:val="005A7B8E"/>
    <w:rsid w:val="005B012B"/>
    <w:rsid w:val="005B0C87"/>
    <w:rsid w:val="005D23F6"/>
    <w:rsid w:val="005D2FA8"/>
    <w:rsid w:val="005E2281"/>
    <w:rsid w:val="005E667C"/>
    <w:rsid w:val="005F077C"/>
    <w:rsid w:val="005F63D0"/>
    <w:rsid w:val="005F7973"/>
    <w:rsid w:val="0061690E"/>
    <w:rsid w:val="00622650"/>
    <w:rsid w:val="00627361"/>
    <w:rsid w:val="0063017E"/>
    <w:rsid w:val="00631B28"/>
    <w:rsid w:val="00645B90"/>
    <w:rsid w:val="00650991"/>
    <w:rsid w:val="006511D7"/>
    <w:rsid w:val="00663D75"/>
    <w:rsid w:val="00670AEF"/>
    <w:rsid w:val="00675678"/>
    <w:rsid w:val="00677012"/>
    <w:rsid w:val="006825B4"/>
    <w:rsid w:val="00682AF2"/>
    <w:rsid w:val="006864DF"/>
    <w:rsid w:val="006A3C8A"/>
    <w:rsid w:val="006A7552"/>
    <w:rsid w:val="006B5953"/>
    <w:rsid w:val="006B7A81"/>
    <w:rsid w:val="006C4BAC"/>
    <w:rsid w:val="006C52F3"/>
    <w:rsid w:val="006E7F37"/>
    <w:rsid w:val="006F0AEF"/>
    <w:rsid w:val="006F3B81"/>
    <w:rsid w:val="006F4F79"/>
    <w:rsid w:val="00705B37"/>
    <w:rsid w:val="00711FD9"/>
    <w:rsid w:val="00735062"/>
    <w:rsid w:val="00746BA5"/>
    <w:rsid w:val="00751D23"/>
    <w:rsid w:val="00770577"/>
    <w:rsid w:val="00777666"/>
    <w:rsid w:val="0078159B"/>
    <w:rsid w:val="00782E10"/>
    <w:rsid w:val="0078706B"/>
    <w:rsid w:val="00790836"/>
    <w:rsid w:val="00797131"/>
    <w:rsid w:val="007A3C1D"/>
    <w:rsid w:val="007A7265"/>
    <w:rsid w:val="007B285D"/>
    <w:rsid w:val="007C2668"/>
    <w:rsid w:val="007C6BC6"/>
    <w:rsid w:val="007E395E"/>
    <w:rsid w:val="00801DCA"/>
    <w:rsid w:val="00807D79"/>
    <w:rsid w:val="00811900"/>
    <w:rsid w:val="00813634"/>
    <w:rsid w:val="00822821"/>
    <w:rsid w:val="00831C29"/>
    <w:rsid w:val="008431EF"/>
    <w:rsid w:val="008468E0"/>
    <w:rsid w:val="008526E9"/>
    <w:rsid w:val="00863B82"/>
    <w:rsid w:val="00871B59"/>
    <w:rsid w:val="00877D03"/>
    <w:rsid w:val="00877E96"/>
    <w:rsid w:val="008806CA"/>
    <w:rsid w:val="008815E5"/>
    <w:rsid w:val="00887B37"/>
    <w:rsid w:val="008909B9"/>
    <w:rsid w:val="00891DFC"/>
    <w:rsid w:val="008B12B4"/>
    <w:rsid w:val="008B7914"/>
    <w:rsid w:val="008C5D2A"/>
    <w:rsid w:val="008C7AF4"/>
    <w:rsid w:val="008D529F"/>
    <w:rsid w:val="008F5CC8"/>
    <w:rsid w:val="009061B8"/>
    <w:rsid w:val="0091008B"/>
    <w:rsid w:val="00911EA2"/>
    <w:rsid w:val="00916C7D"/>
    <w:rsid w:val="0092575D"/>
    <w:rsid w:val="009341DA"/>
    <w:rsid w:val="009430F9"/>
    <w:rsid w:val="009442E8"/>
    <w:rsid w:val="00946BD0"/>
    <w:rsid w:val="0095426C"/>
    <w:rsid w:val="00966CEE"/>
    <w:rsid w:val="00970087"/>
    <w:rsid w:val="00971074"/>
    <w:rsid w:val="00983695"/>
    <w:rsid w:val="00995D86"/>
    <w:rsid w:val="009A5453"/>
    <w:rsid w:val="009B4D94"/>
    <w:rsid w:val="009C2871"/>
    <w:rsid w:val="009D3C33"/>
    <w:rsid w:val="009D7F3A"/>
    <w:rsid w:val="009E295D"/>
    <w:rsid w:val="009E4885"/>
    <w:rsid w:val="00A07260"/>
    <w:rsid w:val="00A07DB6"/>
    <w:rsid w:val="00A10A73"/>
    <w:rsid w:val="00A170B3"/>
    <w:rsid w:val="00A223D5"/>
    <w:rsid w:val="00A37D1C"/>
    <w:rsid w:val="00A5453E"/>
    <w:rsid w:val="00A56F6C"/>
    <w:rsid w:val="00A76C8C"/>
    <w:rsid w:val="00A85F30"/>
    <w:rsid w:val="00A9099E"/>
    <w:rsid w:val="00A91FB7"/>
    <w:rsid w:val="00A9298F"/>
    <w:rsid w:val="00AA0351"/>
    <w:rsid w:val="00AA5F4A"/>
    <w:rsid w:val="00AB1984"/>
    <w:rsid w:val="00AB52B1"/>
    <w:rsid w:val="00AC4CB3"/>
    <w:rsid w:val="00AC780D"/>
    <w:rsid w:val="00AD036B"/>
    <w:rsid w:val="00AD1996"/>
    <w:rsid w:val="00AD4099"/>
    <w:rsid w:val="00AD4901"/>
    <w:rsid w:val="00B02FE0"/>
    <w:rsid w:val="00B057B6"/>
    <w:rsid w:val="00B2575B"/>
    <w:rsid w:val="00B30448"/>
    <w:rsid w:val="00B34786"/>
    <w:rsid w:val="00B400EC"/>
    <w:rsid w:val="00B40162"/>
    <w:rsid w:val="00B41ACE"/>
    <w:rsid w:val="00B50156"/>
    <w:rsid w:val="00B507D4"/>
    <w:rsid w:val="00B518AD"/>
    <w:rsid w:val="00B60A96"/>
    <w:rsid w:val="00B678EC"/>
    <w:rsid w:val="00B76C94"/>
    <w:rsid w:val="00B772D0"/>
    <w:rsid w:val="00B836EA"/>
    <w:rsid w:val="00B84C05"/>
    <w:rsid w:val="00B91B81"/>
    <w:rsid w:val="00B97135"/>
    <w:rsid w:val="00BB3072"/>
    <w:rsid w:val="00BC7632"/>
    <w:rsid w:val="00BD48A9"/>
    <w:rsid w:val="00BD630F"/>
    <w:rsid w:val="00BD7EC6"/>
    <w:rsid w:val="00BE73FA"/>
    <w:rsid w:val="00BF6B4B"/>
    <w:rsid w:val="00C00B67"/>
    <w:rsid w:val="00C0174E"/>
    <w:rsid w:val="00C0511C"/>
    <w:rsid w:val="00C20ACF"/>
    <w:rsid w:val="00C22307"/>
    <w:rsid w:val="00C23469"/>
    <w:rsid w:val="00C30C62"/>
    <w:rsid w:val="00C371DF"/>
    <w:rsid w:val="00C42055"/>
    <w:rsid w:val="00C44B4C"/>
    <w:rsid w:val="00C46734"/>
    <w:rsid w:val="00C47A86"/>
    <w:rsid w:val="00C50AAF"/>
    <w:rsid w:val="00C53220"/>
    <w:rsid w:val="00C838B3"/>
    <w:rsid w:val="00CA3347"/>
    <w:rsid w:val="00CC299A"/>
    <w:rsid w:val="00CD03E3"/>
    <w:rsid w:val="00CE6BDA"/>
    <w:rsid w:val="00D03DBE"/>
    <w:rsid w:val="00D072C0"/>
    <w:rsid w:val="00D34C82"/>
    <w:rsid w:val="00D3757A"/>
    <w:rsid w:val="00D504A9"/>
    <w:rsid w:val="00D5206D"/>
    <w:rsid w:val="00D7177D"/>
    <w:rsid w:val="00D73D7C"/>
    <w:rsid w:val="00D81311"/>
    <w:rsid w:val="00D96018"/>
    <w:rsid w:val="00DB201E"/>
    <w:rsid w:val="00DB3AEC"/>
    <w:rsid w:val="00DC0E68"/>
    <w:rsid w:val="00DD25ED"/>
    <w:rsid w:val="00DE0D6E"/>
    <w:rsid w:val="00E1610C"/>
    <w:rsid w:val="00E16D73"/>
    <w:rsid w:val="00E23E9E"/>
    <w:rsid w:val="00E25722"/>
    <w:rsid w:val="00E27F0A"/>
    <w:rsid w:val="00E4231E"/>
    <w:rsid w:val="00E4302C"/>
    <w:rsid w:val="00E44AC7"/>
    <w:rsid w:val="00E45F4B"/>
    <w:rsid w:val="00E60A16"/>
    <w:rsid w:val="00E72D20"/>
    <w:rsid w:val="00E82B6E"/>
    <w:rsid w:val="00E94258"/>
    <w:rsid w:val="00E96C18"/>
    <w:rsid w:val="00EA2E61"/>
    <w:rsid w:val="00EA7D7F"/>
    <w:rsid w:val="00EB02F4"/>
    <w:rsid w:val="00EB2FA2"/>
    <w:rsid w:val="00EB769A"/>
    <w:rsid w:val="00EC3A35"/>
    <w:rsid w:val="00EE17F2"/>
    <w:rsid w:val="00EE3138"/>
    <w:rsid w:val="00EF2AC7"/>
    <w:rsid w:val="00EF400A"/>
    <w:rsid w:val="00EF6BE4"/>
    <w:rsid w:val="00EF6E5D"/>
    <w:rsid w:val="00F07764"/>
    <w:rsid w:val="00F12517"/>
    <w:rsid w:val="00F131DD"/>
    <w:rsid w:val="00F16BA1"/>
    <w:rsid w:val="00F24435"/>
    <w:rsid w:val="00F30C0F"/>
    <w:rsid w:val="00F314E8"/>
    <w:rsid w:val="00F323A2"/>
    <w:rsid w:val="00F33B57"/>
    <w:rsid w:val="00F33D5C"/>
    <w:rsid w:val="00F34219"/>
    <w:rsid w:val="00F34E90"/>
    <w:rsid w:val="00F356D6"/>
    <w:rsid w:val="00F53BE2"/>
    <w:rsid w:val="00F55684"/>
    <w:rsid w:val="00F57948"/>
    <w:rsid w:val="00F64D5A"/>
    <w:rsid w:val="00F709CD"/>
    <w:rsid w:val="00F906F4"/>
    <w:rsid w:val="00FA0716"/>
    <w:rsid w:val="00FB4629"/>
    <w:rsid w:val="00FB6FB1"/>
    <w:rsid w:val="00FB7063"/>
    <w:rsid w:val="00FC7056"/>
    <w:rsid w:val="00FE1A00"/>
    <w:rsid w:val="024D7E2C"/>
    <w:rsid w:val="0D2EB883"/>
    <w:rsid w:val="0D8163B6"/>
    <w:rsid w:val="13A69650"/>
    <w:rsid w:val="18C10F1C"/>
    <w:rsid w:val="1BB32F19"/>
    <w:rsid w:val="1F2C3AF5"/>
    <w:rsid w:val="1F9252E4"/>
    <w:rsid w:val="1FF4886A"/>
    <w:rsid w:val="22D2584A"/>
    <w:rsid w:val="28751A95"/>
    <w:rsid w:val="29FA8189"/>
    <w:rsid w:val="2C00A012"/>
    <w:rsid w:val="2F421DDF"/>
    <w:rsid w:val="389994B3"/>
    <w:rsid w:val="3B30A011"/>
    <w:rsid w:val="3B93C128"/>
    <w:rsid w:val="3CFBE104"/>
    <w:rsid w:val="510454D8"/>
    <w:rsid w:val="521E120A"/>
    <w:rsid w:val="5D8505AD"/>
    <w:rsid w:val="6CAEFF2C"/>
    <w:rsid w:val="71443FBB"/>
    <w:rsid w:val="72EE784C"/>
    <w:rsid w:val="7563E76A"/>
    <w:rsid w:val="79A6159C"/>
    <w:rsid w:val="7B5CC0D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A95931"/>
  <w15:docId w15:val="{3C82BD0F-EDA0-3647-AE10-F006887AA5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5722"/>
  </w:style>
  <w:style w:type="paragraph" w:styleId="Ttulo1">
    <w:name w:val="heading 1"/>
    <w:basedOn w:val="Normal"/>
    <w:link w:val="Ttulo1Car"/>
    <w:uiPriority w:val="1"/>
    <w:qFormat/>
    <w:rsid w:val="00B34786"/>
    <w:pPr>
      <w:widowControl w:val="0"/>
      <w:autoSpaceDE w:val="0"/>
      <w:autoSpaceDN w:val="0"/>
      <w:spacing w:before="1" w:after="0" w:line="240" w:lineRule="auto"/>
      <w:ind w:left="1181" w:hanging="360"/>
      <w:outlineLvl w:val="0"/>
    </w:pPr>
    <w:rPr>
      <w:rFonts w:ascii="Arial" w:eastAsia="Arial" w:hAnsi="Arial" w:cs="Arial"/>
      <w:b/>
      <w:bCs/>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082E4C"/>
    <w:pPr>
      <w:ind w:left="720"/>
      <w:contextualSpacing/>
    </w:pPr>
  </w:style>
  <w:style w:type="character" w:customStyle="1" w:styleId="Hipervnculo1">
    <w:name w:val="Hipervínculo1"/>
    <w:basedOn w:val="Fuentedeprrafopredeter"/>
    <w:uiPriority w:val="99"/>
    <w:unhideWhenUsed/>
    <w:rsid w:val="000C3C51"/>
    <w:rPr>
      <w:color w:val="F2F2F2"/>
      <w:u w:val="single"/>
    </w:rPr>
  </w:style>
  <w:style w:type="paragraph" w:styleId="NormalWeb">
    <w:name w:val="Normal (Web)"/>
    <w:basedOn w:val="Normal"/>
    <w:uiPriority w:val="99"/>
    <w:unhideWhenUsed/>
    <w:rsid w:val="000C3C51"/>
    <w:rPr>
      <w:rFonts w:ascii="Times New Roman" w:hAnsi="Times New Roman" w:cs="Times New Roman"/>
      <w:sz w:val="24"/>
      <w:szCs w:val="24"/>
    </w:rPr>
  </w:style>
  <w:style w:type="character" w:styleId="Fuerte">
    <w:name w:val="Strong"/>
    <w:basedOn w:val="Fuentedeprrafopredeter"/>
    <w:uiPriority w:val="22"/>
    <w:qFormat/>
    <w:rsid w:val="000C3C51"/>
    <w:rPr>
      <w:b/>
      <w:bCs/>
    </w:rPr>
  </w:style>
  <w:style w:type="character" w:styleId="nfasis">
    <w:name w:val="Emphasis"/>
    <w:basedOn w:val="Fuentedeprrafopredeter"/>
    <w:uiPriority w:val="20"/>
    <w:qFormat/>
    <w:rsid w:val="000C3C51"/>
    <w:rPr>
      <w:i/>
      <w:iCs/>
    </w:rPr>
  </w:style>
  <w:style w:type="paragraph" w:styleId="Textoindependiente">
    <w:name w:val="Body Text"/>
    <w:basedOn w:val="Normal"/>
    <w:link w:val="TextoindependienteCar"/>
    <w:uiPriority w:val="1"/>
    <w:unhideWhenUsed/>
    <w:qFormat/>
    <w:rsid w:val="00430492"/>
    <w:pPr>
      <w:spacing w:after="120"/>
    </w:pPr>
  </w:style>
  <w:style w:type="character" w:customStyle="1" w:styleId="TextoindependienteCar">
    <w:name w:val="Texto independiente Car"/>
    <w:basedOn w:val="Fuentedeprrafopredeter"/>
    <w:link w:val="Textoindependiente"/>
    <w:uiPriority w:val="99"/>
    <w:rsid w:val="00430492"/>
  </w:style>
  <w:style w:type="paragraph" w:customStyle="1" w:styleId="Car1">
    <w:name w:val="Car1"/>
    <w:basedOn w:val="Normal"/>
    <w:next w:val="Textonotapie"/>
    <w:uiPriority w:val="99"/>
    <w:unhideWhenUsed/>
    <w:qFormat/>
    <w:rsid w:val="00430492"/>
    <w:pPr>
      <w:spacing w:after="0" w:line="240" w:lineRule="auto"/>
    </w:pPr>
    <w:rPr>
      <w:sz w:val="20"/>
      <w:szCs w:val="20"/>
      <w:lang w:val="es-MX"/>
    </w:rPr>
  </w:style>
  <w:style w:type="paragraph" w:customStyle="1" w:styleId="Cuadrculamedia1-nfasis21">
    <w:name w:val="Cuadrícula media 1 - Énfasis 21"/>
    <w:basedOn w:val="Normal"/>
    <w:uiPriority w:val="34"/>
    <w:qFormat/>
    <w:rsid w:val="009C2871"/>
    <w:pPr>
      <w:ind w:left="720"/>
      <w:contextualSpacing/>
    </w:pPr>
    <w:rPr>
      <w:rFonts w:ascii="Calibri" w:eastAsia="Calibri" w:hAnsi="Calibri" w:cs="Times New Roman"/>
    </w:rPr>
  </w:style>
  <w:style w:type="character" w:customStyle="1" w:styleId="Ttulo1Car">
    <w:name w:val="Título 1 Car"/>
    <w:basedOn w:val="Fuentedeprrafopredeter"/>
    <w:link w:val="Ttulo1"/>
    <w:uiPriority w:val="1"/>
    <w:rsid w:val="00B34786"/>
    <w:rPr>
      <w:rFonts w:ascii="Arial" w:eastAsia="Arial" w:hAnsi="Arial" w:cs="Arial"/>
      <w:b/>
      <w:bCs/>
      <w:lang w:val="es-ES"/>
    </w:rPr>
  </w:style>
  <w:style w:type="paragraph" w:customStyle="1" w:styleId="Default">
    <w:name w:val="Default"/>
    <w:rsid w:val="00B34786"/>
    <w:pPr>
      <w:autoSpaceDE w:val="0"/>
      <w:autoSpaceDN w:val="0"/>
      <w:adjustRightInd w:val="0"/>
      <w:spacing w:after="0" w:line="240" w:lineRule="auto"/>
    </w:pPr>
    <w:rPr>
      <w:rFonts w:ascii="Arial" w:hAnsi="Arial" w:cs="Arial"/>
      <w:color w:val="000000"/>
      <w:sz w:val="24"/>
      <w:szCs w:val="24"/>
    </w:rPr>
  </w:style>
  <w:style w:type="paragraph" w:styleId="Ttulo">
    <w:name w:val="Title"/>
    <w:basedOn w:val="Normal"/>
    <w:next w:val="Normal"/>
    <w:link w:val="TtuloCar"/>
    <w:uiPriority w:val="10"/>
    <w:qFormat/>
    <w:rsid w:val="00B34786"/>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B34786"/>
    <w:rPr>
      <w:rFonts w:ascii="Geomanist" w:eastAsiaTheme="majorEastAsia" w:hAnsi="Geomanist" w:cstheme="majorBidi"/>
      <w:spacing w:val="-10"/>
      <w:kern w:val="28"/>
      <w:szCs w:val="56"/>
      <w:lang w:val="es-ES"/>
    </w:rPr>
  </w:style>
  <w:style w:type="table" w:customStyle="1" w:styleId="Tablaconcuadrcula1">
    <w:name w:val="Tabla con cuadrícula1"/>
    <w:basedOn w:val="Tablanormal"/>
    <w:next w:val="Tablaconcuadrcula"/>
    <w:uiPriority w:val="59"/>
    <w:qFormat/>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B34786"/>
  </w:style>
  <w:style w:type="table" w:customStyle="1" w:styleId="TableNormal">
    <w:name w:val="Table Normal"/>
    <w:uiPriority w:val="2"/>
    <w:semiHidden/>
    <w:unhideWhenUsed/>
    <w:qFormat/>
    <w:rsid w:val="00B3478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B34786"/>
    <w:pPr>
      <w:widowControl w:val="0"/>
      <w:autoSpaceDE w:val="0"/>
      <w:autoSpaceDN w:val="0"/>
      <w:spacing w:after="0" w:line="208" w:lineRule="exact"/>
      <w:ind w:left="119"/>
    </w:pPr>
    <w:rPr>
      <w:rFonts w:ascii="Calibri" w:eastAsia="Calibri" w:hAnsi="Calibri" w:cs="Calibri"/>
      <w:lang w:val="es-ES"/>
    </w:rPr>
  </w:style>
  <w:style w:type="table" w:customStyle="1" w:styleId="Tablaconcuadrcula2">
    <w:name w:val="Tabla con cuadrícula2"/>
    <w:basedOn w:val="Tablanormal"/>
    <w:next w:val="Tablaconcuadrcula"/>
    <w:uiPriority w:val="39"/>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1A5DD4"/>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021BB"/>
  </w:style>
  <w:style w:type="paragraph" w:customStyle="1" w:styleId="p1">
    <w:name w:val="p1"/>
    <w:basedOn w:val="Normal"/>
    <w:rsid w:val="00811900"/>
    <w:pPr>
      <w:spacing w:after="0" w:line="240" w:lineRule="auto"/>
    </w:pPr>
    <w:rPr>
      <w:rFonts w:ascii="Verdana" w:eastAsia="Times New Roman" w:hAnsi="Verdana" w:cs="Times New Roman"/>
      <w:color w:val="000000"/>
      <w:sz w:val="17"/>
      <w:szCs w:val="17"/>
      <w:lang w:eastAsia="es-MX"/>
    </w:rPr>
  </w:style>
  <w:style w:type="paragraph" w:customStyle="1" w:styleId="p2">
    <w:name w:val="p2"/>
    <w:basedOn w:val="Normal"/>
    <w:rsid w:val="00811900"/>
    <w:pPr>
      <w:spacing w:after="0" w:line="240" w:lineRule="auto"/>
    </w:pPr>
    <w:rPr>
      <w:rFonts w:ascii="Verdana" w:eastAsia="Times New Roman" w:hAnsi="Verdana" w:cs="Times New Roman"/>
      <w:color w:val="0000FF"/>
      <w:sz w:val="17"/>
      <w:szCs w:val="17"/>
      <w:lang w:eastAsia="es-MX"/>
    </w:rPr>
  </w:style>
  <w:style w:type="character" w:customStyle="1" w:styleId="s1">
    <w:name w:val="s1"/>
    <w:basedOn w:val="Fuentedeprrafopredeter"/>
    <w:rsid w:val="00811900"/>
    <w:rPr>
      <w:color w:val="000000"/>
    </w:rPr>
  </w:style>
  <w:style w:type="character" w:customStyle="1" w:styleId="citation-188">
    <w:name w:val="citation-188"/>
    <w:basedOn w:val="Fuentedeprrafopredeter"/>
    <w:rsid w:val="00553192"/>
  </w:style>
  <w:style w:type="character" w:customStyle="1" w:styleId="citation-117">
    <w:name w:val="citation-117"/>
    <w:basedOn w:val="Fuentedeprrafopredeter"/>
    <w:rsid w:val="000C7295"/>
  </w:style>
  <w:style w:type="character" w:customStyle="1" w:styleId="citation-116">
    <w:name w:val="citation-116"/>
    <w:basedOn w:val="Fuentedeprrafopredeter"/>
    <w:rsid w:val="000C7295"/>
  </w:style>
  <w:style w:type="character" w:customStyle="1" w:styleId="citation-115">
    <w:name w:val="citation-115"/>
    <w:basedOn w:val="Fuentedeprrafopredeter"/>
    <w:rsid w:val="000C72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697270">
      <w:bodyDiv w:val="1"/>
      <w:marLeft w:val="0"/>
      <w:marRight w:val="0"/>
      <w:marTop w:val="0"/>
      <w:marBottom w:val="0"/>
      <w:divBdr>
        <w:top w:val="none" w:sz="0" w:space="0" w:color="auto"/>
        <w:left w:val="none" w:sz="0" w:space="0" w:color="auto"/>
        <w:bottom w:val="none" w:sz="0" w:space="0" w:color="auto"/>
        <w:right w:val="none" w:sz="0" w:space="0" w:color="auto"/>
      </w:divBdr>
    </w:div>
    <w:div w:id="567960049">
      <w:bodyDiv w:val="1"/>
      <w:marLeft w:val="0"/>
      <w:marRight w:val="0"/>
      <w:marTop w:val="0"/>
      <w:marBottom w:val="0"/>
      <w:divBdr>
        <w:top w:val="none" w:sz="0" w:space="0" w:color="auto"/>
        <w:left w:val="none" w:sz="0" w:space="0" w:color="auto"/>
        <w:bottom w:val="none" w:sz="0" w:space="0" w:color="auto"/>
        <w:right w:val="none" w:sz="0" w:space="0" w:color="auto"/>
      </w:divBdr>
    </w:div>
    <w:div w:id="632058178">
      <w:bodyDiv w:val="1"/>
      <w:marLeft w:val="0"/>
      <w:marRight w:val="0"/>
      <w:marTop w:val="0"/>
      <w:marBottom w:val="0"/>
      <w:divBdr>
        <w:top w:val="none" w:sz="0" w:space="0" w:color="auto"/>
        <w:left w:val="none" w:sz="0" w:space="0" w:color="auto"/>
        <w:bottom w:val="none" w:sz="0" w:space="0" w:color="auto"/>
        <w:right w:val="none" w:sz="0" w:space="0" w:color="auto"/>
      </w:divBdr>
    </w:div>
    <w:div w:id="904800413">
      <w:bodyDiv w:val="1"/>
      <w:marLeft w:val="0"/>
      <w:marRight w:val="0"/>
      <w:marTop w:val="0"/>
      <w:marBottom w:val="0"/>
      <w:divBdr>
        <w:top w:val="none" w:sz="0" w:space="0" w:color="auto"/>
        <w:left w:val="none" w:sz="0" w:space="0" w:color="auto"/>
        <w:bottom w:val="none" w:sz="0" w:space="0" w:color="auto"/>
        <w:right w:val="none" w:sz="0" w:space="0" w:color="auto"/>
      </w:divBdr>
    </w:div>
    <w:div w:id="1190610056">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colombiacompra.gov.co/sites/cce_public/files/cce_circulares/cce-eicp-ma-06_circular_externa_con_comentarios_de_ciudadanos-_v2f_002.pdf"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jaramillojuandiego05@gmail.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https://relatoria.colombiacompra.gov.co/busqueda/conceptos"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youtube.com/watch?v=X4oPgRxH9bU"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3B8AE37-E1F3-4B08-98E9-52F0B3FA79C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customXml/itemProps3.xml><?xml version="1.0" encoding="utf-8"?>
<ds:datastoreItem xmlns:ds="http://schemas.openxmlformats.org/officeDocument/2006/customXml" ds:itemID="{B524EFD2-6506-4654-A0AC-DEF36450FF53}">
  <ds:schemaRefs>
    <ds:schemaRef ds:uri="http://schemas.microsoft.com/sharepoint/v3/contenttype/forms"/>
  </ds:schemaRefs>
</ds:datastoreItem>
</file>

<file path=customXml/itemProps4.xml><?xml version="1.0" encoding="utf-8"?>
<ds:datastoreItem xmlns:ds="http://schemas.openxmlformats.org/officeDocument/2006/customXml" ds:itemID="{2CF497D8-7D00-4B8D-B570-BC971E0CF24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11</Pages>
  <Words>3258</Words>
  <Characters>16977</Characters>
  <Application>Microsoft Office Word</Application>
  <DocSecurity>0</DocSecurity>
  <Lines>339</Lines>
  <Paragraphs>82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Andreina Cerpa Muñoz</cp:lastModifiedBy>
  <cp:revision>14</cp:revision>
  <dcterms:created xsi:type="dcterms:W3CDTF">2025-12-04T08:25:00Z</dcterms:created>
  <dcterms:modified xsi:type="dcterms:W3CDTF">2026-03-03T20:02:00Z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