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13F6D5" w14:textId="77777777" w:rsidR="000030EE" w:rsidRPr="00203349" w:rsidRDefault="000030EE" w:rsidP="00203349">
      <w:pPr>
        <w:snapToGrid w:val="0"/>
        <w:contextualSpacing/>
        <w:jc w:val="both"/>
        <w:rPr>
          <w:rFonts w:ascii="Verdana" w:eastAsia="Times New Roman" w:hAnsi="Verdana" w:cs="Arial"/>
          <w:b/>
          <w:bCs/>
          <w:lang w:eastAsia="es-ES_tradnl"/>
        </w:rPr>
      </w:pPr>
      <w:bookmarkStart w:id="0" w:name="_Hlk143780582"/>
      <w:r w:rsidRPr="00203349">
        <w:rPr>
          <w:rFonts w:ascii="Verdana" w:eastAsia="Times New Roman" w:hAnsi="Verdana" w:cs="Arial"/>
          <w:b/>
          <w:bCs/>
          <w:lang w:eastAsia="es-ES_tradnl"/>
        </w:rPr>
        <w:t>LEY DE GARANTÍAS ELECTORALES ─ Prohibición ‒ Contratación directa ‒ Alcan</w:t>
      </w:r>
      <w:r w:rsidRPr="00203349">
        <w:rPr>
          <w:rFonts w:ascii="Verdana" w:eastAsia="Times New Roman" w:hAnsi="Verdana" w:cs="Arial"/>
          <w:b/>
          <w:bCs/>
          <w:lang w:eastAsia="es-ES_tradnl"/>
        </w:rPr>
        <w:t>ce</w:t>
      </w:r>
    </w:p>
    <w:p w14:paraId="2C515379" w14:textId="77777777" w:rsidR="00203349" w:rsidRPr="00203349" w:rsidRDefault="00203349" w:rsidP="00203349">
      <w:pPr>
        <w:snapToGrid w:val="0"/>
        <w:spacing w:after="0" w:line="240" w:lineRule="auto"/>
        <w:contextualSpacing/>
        <w:jc w:val="both"/>
        <w:rPr>
          <w:rFonts w:ascii="Verdana" w:eastAsia="Times New Roman" w:hAnsi="Verdana" w:cs="Arial"/>
          <w:sz w:val="20"/>
          <w:szCs w:val="20"/>
          <w:lang w:eastAsia="es-ES_tradnl"/>
        </w:rPr>
      </w:pPr>
    </w:p>
    <w:p w14:paraId="65538D15" w14:textId="7B77CDC4" w:rsidR="00203349" w:rsidRDefault="00203349" w:rsidP="00203349">
      <w:pPr>
        <w:snapToGrid w:val="0"/>
        <w:spacing w:after="0" w:line="240" w:lineRule="auto"/>
        <w:contextualSpacing/>
        <w:jc w:val="both"/>
        <w:rPr>
          <w:rFonts w:ascii="Verdana" w:eastAsia="Times New Roman" w:hAnsi="Verdana" w:cs="Arial"/>
          <w:sz w:val="20"/>
          <w:szCs w:val="20"/>
          <w:lang w:eastAsia="x-none"/>
        </w:rPr>
      </w:pPr>
      <w:r w:rsidRPr="00203349">
        <w:rPr>
          <w:rFonts w:ascii="Verdana" w:eastAsia="Times New Roman" w:hAnsi="Verdana" w:cs="Arial"/>
          <w:sz w:val="20"/>
          <w:szCs w:val="20"/>
          <w:lang w:eastAsia="x-none"/>
        </w:rPr>
        <w:t xml:space="preserve">[…] </w:t>
      </w:r>
      <w:r w:rsidRPr="00203349">
        <w:rPr>
          <w:rFonts w:ascii="Verdana" w:eastAsia="Times New Roman" w:hAnsi="Verdana" w:cs="Arial"/>
          <w:sz w:val="20"/>
          <w:szCs w:val="20"/>
          <w:lang w:eastAsia="x-none"/>
        </w:rPr>
        <w:t xml:space="preserve">la prohibición del artículo 33 de la Ley de Garantías Electorales se refiere a </w:t>
      </w:r>
      <w:r w:rsidRPr="00203349">
        <w:rPr>
          <w:rFonts w:ascii="Verdana" w:eastAsia="Times New Roman" w:hAnsi="Verdana" w:cs="Arial"/>
          <w:sz w:val="20"/>
          <w:szCs w:val="20"/>
          <w:lang w:eastAsia="en-GB"/>
        </w:rPr>
        <w:t>“</w:t>
      </w:r>
      <w:r w:rsidRPr="00203349">
        <w:rPr>
          <w:rFonts w:ascii="Verdana" w:eastAsia="Times New Roman" w:hAnsi="Verdana" w:cs="Arial"/>
          <w:i/>
          <w:iCs/>
          <w:sz w:val="20"/>
          <w:szCs w:val="20"/>
          <w:lang w:eastAsia="x-none"/>
        </w:rPr>
        <w:t>cualquier</w:t>
      </w:r>
      <w:r w:rsidRPr="00203349">
        <w:rPr>
          <w:rFonts w:ascii="Verdana" w:eastAsia="Times New Roman" w:hAnsi="Verdana" w:cs="Arial"/>
          <w:sz w:val="20"/>
          <w:szCs w:val="20"/>
          <w:lang w:eastAsia="x-none"/>
        </w:rPr>
        <w:t xml:space="preserve"> sistema que no implique convocatoria pública y posibilidad de pluralidad de oferentes</w:t>
      </w:r>
      <w:r w:rsidRPr="00203349">
        <w:rPr>
          <w:rFonts w:ascii="Verdana" w:eastAsia="Times New Roman" w:hAnsi="Verdana" w:cs="Arial"/>
          <w:sz w:val="20"/>
          <w:szCs w:val="20"/>
          <w:lang w:eastAsia="en-GB"/>
        </w:rPr>
        <w:t>”</w:t>
      </w:r>
      <w:r w:rsidRPr="00203349">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 y sistematizó las causales de contratación directa. </w:t>
      </w:r>
    </w:p>
    <w:p w14:paraId="16C804C7" w14:textId="77777777" w:rsidR="00203349" w:rsidRPr="00203349" w:rsidRDefault="00203349" w:rsidP="00203349">
      <w:pPr>
        <w:snapToGrid w:val="0"/>
        <w:spacing w:after="0" w:line="240" w:lineRule="auto"/>
        <w:contextualSpacing/>
        <w:jc w:val="both"/>
        <w:rPr>
          <w:rFonts w:ascii="Verdana" w:eastAsia="Times New Roman" w:hAnsi="Verdana" w:cs="Arial"/>
          <w:sz w:val="20"/>
          <w:szCs w:val="20"/>
          <w:lang w:eastAsia="x-none"/>
        </w:rPr>
      </w:pPr>
    </w:p>
    <w:p w14:paraId="3228E12F" w14:textId="3FE3B72D" w:rsidR="00203349" w:rsidRDefault="00203349" w:rsidP="00203349">
      <w:pPr>
        <w:snapToGrid w:val="0"/>
        <w:spacing w:after="0" w:line="240" w:lineRule="auto"/>
        <w:contextualSpacing/>
        <w:jc w:val="both"/>
        <w:rPr>
          <w:rFonts w:ascii="Verdana" w:eastAsia="Times New Roman" w:hAnsi="Verdana" w:cs="Arial"/>
          <w:sz w:val="20"/>
          <w:szCs w:val="20"/>
          <w:vertAlign w:val="superscript"/>
          <w:lang w:eastAsia="x-none"/>
        </w:rPr>
      </w:pPr>
      <w:r w:rsidRPr="00203349">
        <w:rPr>
          <w:rFonts w:ascii="Verdana" w:eastAsia="Times New Roman" w:hAnsi="Verdana" w:cs="Arial"/>
          <w:sz w:val="20"/>
          <w:szCs w:val="20"/>
          <w:lang w:eastAsia="es-ES_tradnl"/>
        </w:rPr>
        <w:t xml:space="preserve">[…] </w:t>
      </w:r>
      <w:r w:rsidRPr="00203349">
        <w:rPr>
          <w:rFonts w:ascii="Verdana" w:eastAsia="Times New Roman" w:hAnsi="Verdana" w:cs="Arial"/>
          <w:sz w:val="20"/>
          <w:szCs w:val="20"/>
          <w:lang w:val="es-MX" w:eastAsia="x-none"/>
        </w:rPr>
        <w:t xml:space="preserve">Así las cosas, ha de entenderse que, para los efectos de la Ley de Garantías Electorales y, en particular, para la restricción temporal contenida en su artículo 33, “contratación directa” es </w:t>
      </w:r>
      <w:r w:rsidRPr="00203349">
        <w:rPr>
          <w:rFonts w:ascii="Verdana" w:eastAsia="Times New Roman" w:hAnsi="Verdana" w:cs="Arial"/>
          <w:i/>
          <w:iCs/>
          <w:sz w:val="20"/>
          <w:szCs w:val="20"/>
          <w:lang w:val="es-MX" w:eastAsia="x-none"/>
        </w:rPr>
        <w:t>cualquier</w:t>
      </w:r>
      <w:r w:rsidRPr="00203349">
        <w:rPr>
          <w:rFonts w:ascii="Verdana" w:eastAsia="Times New Roman" w:hAnsi="Verdana" w:cs="Arial"/>
          <w:sz w:val="20"/>
          <w:szCs w:val="20"/>
          <w:lang w:val="es-MX" w:eastAsia="x-none"/>
        </w:rPr>
        <w:t xml:space="preserve"> sistema de selección o procedimiento de contratación utilizado por las entidades estatales que no incluya la convocatoria pública en alguna de sus etapas, ni permita la participación de una pluralidad de oferentes.</w:t>
      </w:r>
      <w:r w:rsidRPr="00203349">
        <w:rPr>
          <w:rFonts w:ascii="Verdana" w:eastAsia="Times New Roman" w:hAnsi="Verdana" w:cs="Arial"/>
          <w:sz w:val="20"/>
          <w:szCs w:val="20"/>
          <w:vertAlign w:val="superscript"/>
          <w:lang w:eastAsia="x-none"/>
        </w:rPr>
        <w:t xml:space="preserve"> </w:t>
      </w:r>
    </w:p>
    <w:p w14:paraId="659E1CBA" w14:textId="77777777" w:rsidR="00203349" w:rsidRPr="00203349" w:rsidRDefault="00203349" w:rsidP="00203349">
      <w:pPr>
        <w:snapToGrid w:val="0"/>
        <w:spacing w:after="0" w:line="240" w:lineRule="auto"/>
        <w:contextualSpacing/>
        <w:jc w:val="both"/>
        <w:rPr>
          <w:rFonts w:ascii="Verdana" w:eastAsia="Times New Roman" w:hAnsi="Verdana" w:cs="Arial"/>
          <w:sz w:val="20"/>
          <w:szCs w:val="20"/>
          <w:lang w:val="es-MX" w:eastAsia="x-none"/>
        </w:rPr>
      </w:pPr>
    </w:p>
    <w:p w14:paraId="5E1DF7E1" w14:textId="77777777" w:rsidR="000030EE" w:rsidRPr="00203349" w:rsidRDefault="000030EE" w:rsidP="00203349">
      <w:pPr>
        <w:snapToGrid w:val="0"/>
        <w:contextualSpacing/>
        <w:jc w:val="both"/>
        <w:rPr>
          <w:rFonts w:ascii="Verdana" w:eastAsia="Times New Roman" w:hAnsi="Verdana" w:cs="Arial"/>
          <w:b/>
          <w:bCs/>
          <w:sz w:val="20"/>
          <w:szCs w:val="20"/>
          <w:lang w:eastAsia="es-ES_tradnl"/>
        </w:rPr>
      </w:pPr>
      <w:r w:rsidRPr="00203349">
        <w:rPr>
          <w:rFonts w:ascii="Verdana" w:eastAsia="Times New Roman" w:hAnsi="Verdana" w:cs="Arial"/>
          <w:b/>
          <w:bCs/>
          <w:lang w:eastAsia="es-ES_tradnl"/>
        </w:rPr>
        <w:t>LEY DE GARANTÍAS ELECTORALES ─ Prohibición ‒ Contratación directa ‒ Excepciones</w:t>
      </w:r>
    </w:p>
    <w:p w14:paraId="6D1F33F3" w14:textId="77777777" w:rsidR="00203349" w:rsidRPr="00203349" w:rsidRDefault="00203349" w:rsidP="00203349">
      <w:pPr>
        <w:snapToGrid w:val="0"/>
        <w:spacing w:after="0" w:line="240" w:lineRule="auto"/>
        <w:contextualSpacing/>
        <w:jc w:val="both"/>
        <w:rPr>
          <w:rFonts w:ascii="Verdana" w:eastAsia="Times New Roman" w:hAnsi="Verdana" w:cs="Arial"/>
          <w:sz w:val="20"/>
          <w:szCs w:val="20"/>
          <w:lang w:eastAsia="es-ES_tradnl"/>
        </w:rPr>
      </w:pPr>
    </w:p>
    <w:p w14:paraId="253CC2E5" w14:textId="270D9F1D" w:rsidR="00203349" w:rsidRDefault="00203349" w:rsidP="00203349">
      <w:pPr>
        <w:snapToGrid w:val="0"/>
        <w:contextualSpacing/>
        <w:jc w:val="both"/>
        <w:rPr>
          <w:rFonts w:ascii="Verdana" w:eastAsia="Times New Roman" w:hAnsi="Verdana" w:cs="Arial"/>
          <w:sz w:val="20"/>
          <w:szCs w:val="20"/>
          <w:lang w:val="es-MX" w:eastAsia="es-CO"/>
        </w:rPr>
      </w:pPr>
      <w:r w:rsidRPr="00203349">
        <w:rPr>
          <w:rFonts w:ascii="Verdana" w:eastAsia="Times New Roman" w:hAnsi="Verdana" w:cs="Arial"/>
          <w:sz w:val="20"/>
          <w:szCs w:val="20"/>
          <w:lang w:val="es-MX" w:eastAsia="x-none"/>
        </w:rPr>
        <w:t>De otro lado, 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203349">
        <w:rPr>
          <w:rFonts w:ascii="Verdana" w:eastAsia="Times New Roman" w:hAnsi="Verdana" w:cs="Arial"/>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4C6CF81" w14:textId="77777777" w:rsidR="00203349" w:rsidRPr="00203349" w:rsidRDefault="00203349" w:rsidP="00203349">
      <w:pPr>
        <w:snapToGrid w:val="0"/>
        <w:spacing w:after="0" w:line="240" w:lineRule="auto"/>
        <w:contextualSpacing/>
        <w:jc w:val="both"/>
        <w:rPr>
          <w:rFonts w:ascii="Verdana" w:eastAsia="Times New Roman" w:hAnsi="Verdana" w:cs="Arial"/>
          <w:sz w:val="20"/>
          <w:szCs w:val="20"/>
          <w:lang w:eastAsia="es-ES_tradnl"/>
        </w:rPr>
      </w:pPr>
    </w:p>
    <w:p w14:paraId="6CDB7AAF" w14:textId="54AF24A7" w:rsidR="000030EE" w:rsidRPr="00203349" w:rsidRDefault="000030EE" w:rsidP="00203349">
      <w:pPr>
        <w:snapToGrid w:val="0"/>
        <w:contextualSpacing/>
        <w:jc w:val="both"/>
        <w:rPr>
          <w:rFonts w:ascii="Verdana" w:eastAsia="Times New Roman" w:hAnsi="Verdana" w:cs="Arial"/>
          <w:b/>
          <w:bCs/>
          <w:lang w:eastAsia="es-ES_tradnl"/>
        </w:rPr>
      </w:pPr>
      <w:r w:rsidRPr="00203349">
        <w:rPr>
          <w:rFonts w:ascii="Verdana" w:eastAsia="Times New Roman" w:hAnsi="Verdana" w:cs="Arial"/>
          <w:b/>
          <w:bCs/>
          <w:lang w:eastAsia="es-ES_tradnl"/>
        </w:rPr>
        <w:t>LEY DE GARANTÍAS ELECTORALES ‒ Contratación directa ‒ Contrato de arrendamiento</w:t>
      </w:r>
    </w:p>
    <w:p w14:paraId="3E3471A6" w14:textId="77777777" w:rsidR="00203349" w:rsidRPr="00203349" w:rsidRDefault="00203349" w:rsidP="00203349">
      <w:pPr>
        <w:snapToGrid w:val="0"/>
        <w:spacing w:after="0" w:line="240" w:lineRule="auto"/>
        <w:contextualSpacing/>
        <w:jc w:val="both"/>
        <w:rPr>
          <w:rFonts w:ascii="Verdana" w:eastAsia="Times New Roman" w:hAnsi="Verdana" w:cs="Arial"/>
          <w:sz w:val="20"/>
          <w:szCs w:val="20"/>
          <w:lang w:eastAsia="es-ES_tradnl"/>
        </w:rPr>
      </w:pPr>
    </w:p>
    <w:p w14:paraId="2D5710D5" w14:textId="77777777" w:rsidR="00203349" w:rsidRDefault="00203349" w:rsidP="00203349">
      <w:pPr>
        <w:snapToGrid w:val="0"/>
        <w:contextualSpacing/>
        <w:jc w:val="both"/>
        <w:rPr>
          <w:rFonts w:ascii="Verdana" w:eastAsia="Times New Roman" w:hAnsi="Verdana" w:cs="Arial"/>
          <w:sz w:val="20"/>
          <w:szCs w:val="20"/>
          <w:lang w:eastAsia="x-none"/>
        </w:rPr>
      </w:pPr>
      <w:r w:rsidRPr="00203349">
        <w:rPr>
          <w:rFonts w:ascii="Verdana" w:eastAsia="Times New Roman" w:hAnsi="Verdana" w:cs="Arial"/>
          <w:sz w:val="20"/>
          <w:szCs w:val="20"/>
          <w:lang w:eastAsia="x-none"/>
        </w:rPr>
        <w:t xml:space="preserve">La prohibición del artículo 33 de la Ley de Garantías Electorales se refiere a </w:t>
      </w:r>
      <w:r w:rsidRPr="00203349">
        <w:rPr>
          <w:rFonts w:ascii="Verdana" w:eastAsia="Times New Roman" w:hAnsi="Verdana" w:cs="Arial"/>
          <w:sz w:val="20"/>
          <w:szCs w:val="20"/>
          <w:lang w:eastAsia="en-GB"/>
        </w:rPr>
        <w:t>“</w:t>
      </w:r>
      <w:r w:rsidRPr="00203349">
        <w:rPr>
          <w:rFonts w:ascii="Verdana" w:eastAsia="Times New Roman" w:hAnsi="Verdana" w:cs="Arial"/>
          <w:sz w:val="20"/>
          <w:szCs w:val="20"/>
          <w:lang w:eastAsia="x-none"/>
        </w:rPr>
        <w:t>cualquier sistema que no implique convocatoria pública y posibilidad de pluralidad de oferentes</w:t>
      </w:r>
      <w:r w:rsidRPr="00203349">
        <w:rPr>
          <w:rFonts w:ascii="Verdana" w:eastAsia="Times New Roman" w:hAnsi="Verdana" w:cs="Arial"/>
          <w:sz w:val="20"/>
          <w:szCs w:val="20"/>
          <w:lang w:eastAsia="en-GB"/>
        </w:rPr>
        <w:t>”</w:t>
      </w:r>
      <w:r w:rsidRPr="00203349">
        <w:rPr>
          <w:rFonts w:ascii="Verdana" w:eastAsia="Times New Roman" w:hAnsi="Verdana" w:cs="Arial"/>
          <w:sz w:val="20"/>
          <w:szCs w:val="20"/>
          <w:lang w:eastAsia="x-none"/>
        </w:rPr>
        <w:t>, por lo que excluye las demás modalidades de contratación previstas en la Ley 1150 de 2007, es decir, la licitación pública, la selección abreviada y el concurso de méritos u otros previstos en normas especiales.</w:t>
      </w:r>
    </w:p>
    <w:p w14:paraId="6FA080BD" w14:textId="77777777" w:rsidR="00203349" w:rsidRPr="00203349" w:rsidRDefault="00203349" w:rsidP="00203349">
      <w:pPr>
        <w:snapToGrid w:val="0"/>
        <w:spacing w:after="0" w:line="240" w:lineRule="auto"/>
        <w:contextualSpacing/>
        <w:jc w:val="both"/>
        <w:rPr>
          <w:rFonts w:ascii="Verdana" w:eastAsia="Times New Roman" w:hAnsi="Verdana" w:cs="Arial"/>
          <w:sz w:val="20"/>
          <w:szCs w:val="20"/>
          <w:lang w:eastAsia="x-none"/>
        </w:rPr>
      </w:pPr>
    </w:p>
    <w:p w14:paraId="002D89C2" w14:textId="77777777" w:rsidR="00203349" w:rsidRDefault="00203349" w:rsidP="00203349">
      <w:pPr>
        <w:snapToGrid w:val="0"/>
        <w:contextualSpacing/>
        <w:jc w:val="both"/>
        <w:rPr>
          <w:rFonts w:ascii="Verdana" w:eastAsia="Times New Roman" w:hAnsi="Verdana" w:cs="Arial"/>
          <w:sz w:val="20"/>
          <w:szCs w:val="20"/>
          <w:lang w:eastAsia="x-none"/>
        </w:rPr>
      </w:pPr>
      <w:r w:rsidRPr="00203349">
        <w:rPr>
          <w:rFonts w:ascii="Verdana" w:eastAsia="Times New Roman" w:hAnsi="Verdana" w:cs="Arial"/>
          <w:sz w:val="20"/>
          <w:szCs w:val="20"/>
          <w:lang w:eastAsia="x-none"/>
        </w:rPr>
        <w:lastRenderedPageBreak/>
        <w:t xml:space="preserve">Por tanto, teniendo en cuenta que el literal i) del numeral 4° del artículo 2º de la Ley 1150 de 2007 establece que una de las causales de este procedimiento es: “i) El arrendamiento o adquisición de inmuebles”; y adicionalmente, el artículo 2.2.1.2.1.4.11 del Decreto 1082 de 2015 dispone que las Entidades Estatales pueden alquilar o arrendar inmuebles mediante contratación directa; esta contratación, al ser directa, se encuentra cobijada por la prohibición del artículo 33 de la Ley de Garantías Electorales, ya que como se señaló en el párrafo anterior, la prohibición es amplia y aplica a </w:t>
      </w:r>
      <w:r w:rsidRPr="00203349">
        <w:rPr>
          <w:rFonts w:ascii="Verdana" w:eastAsia="Times New Roman" w:hAnsi="Verdana" w:cs="Arial"/>
          <w:i/>
          <w:iCs/>
          <w:sz w:val="20"/>
          <w:szCs w:val="20"/>
          <w:lang w:eastAsia="x-none"/>
        </w:rPr>
        <w:t>toda la contratación que no implique convocatoria pública</w:t>
      </w:r>
      <w:r w:rsidRPr="00203349">
        <w:rPr>
          <w:rFonts w:ascii="Verdana" w:eastAsia="Times New Roman" w:hAnsi="Verdana" w:cs="Arial"/>
          <w:sz w:val="20"/>
          <w:szCs w:val="20"/>
          <w:lang w:eastAsia="x-none"/>
        </w:rPr>
        <w:t>.</w:t>
      </w:r>
    </w:p>
    <w:p w14:paraId="53F7E520" w14:textId="77777777" w:rsidR="00203349" w:rsidRPr="00203349" w:rsidRDefault="00203349" w:rsidP="00203349">
      <w:pPr>
        <w:snapToGrid w:val="0"/>
        <w:spacing w:after="0" w:line="240" w:lineRule="auto"/>
        <w:contextualSpacing/>
        <w:jc w:val="both"/>
        <w:rPr>
          <w:rFonts w:ascii="Verdana" w:eastAsia="Times New Roman" w:hAnsi="Verdana" w:cs="Arial"/>
          <w:sz w:val="20"/>
          <w:szCs w:val="20"/>
          <w:lang w:eastAsia="x-none"/>
        </w:rPr>
      </w:pPr>
    </w:p>
    <w:p w14:paraId="36887E03" w14:textId="6E0A8ACD" w:rsidR="00203349" w:rsidRPr="00203349" w:rsidRDefault="00203349" w:rsidP="00203349">
      <w:pPr>
        <w:snapToGrid w:val="0"/>
        <w:spacing w:after="0" w:line="240" w:lineRule="auto"/>
        <w:contextualSpacing/>
        <w:jc w:val="both"/>
        <w:rPr>
          <w:rFonts w:ascii="Verdana" w:eastAsia="Times New Roman" w:hAnsi="Verdana" w:cs="Arial"/>
          <w:sz w:val="20"/>
          <w:szCs w:val="20"/>
          <w:lang w:eastAsia="es-ES_tradnl"/>
        </w:rPr>
      </w:pPr>
      <w:r w:rsidRPr="00203349">
        <w:rPr>
          <w:rFonts w:ascii="Verdana" w:eastAsia="Times New Roman" w:hAnsi="Verdana" w:cs="Arial"/>
          <w:sz w:val="20"/>
          <w:szCs w:val="20"/>
          <w:lang w:eastAsia="x-none"/>
        </w:rPr>
        <w:t>De esta manera, la celebración de contratos de arrendamiento, de manera directa, en vigencia de la restricción del artículo 33, no resulta en principio viable. Esto sin perjuicio, de la posibilidad de que se celebren, si el contrato se subsume dentro de alguna de las excepciones estipuladas en el artículo 33.</w:t>
      </w:r>
    </w:p>
    <w:p w14:paraId="57518155" w14:textId="77777777" w:rsidR="000030EE" w:rsidRDefault="000030EE" w:rsidP="00B10AE7">
      <w:pPr>
        <w:spacing w:after="0"/>
        <w:rPr>
          <w:rFonts w:ascii="Verdana" w:hAnsi="Verdana"/>
          <w:lang w:val="es-ES"/>
        </w:rPr>
      </w:pPr>
    </w:p>
    <w:p w14:paraId="29D0D17A" w14:textId="77777777" w:rsidR="00203349" w:rsidRDefault="00203349" w:rsidP="00B10AE7">
      <w:pPr>
        <w:spacing w:after="0"/>
        <w:rPr>
          <w:rFonts w:ascii="Verdana" w:hAnsi="Verdana"/>
          <w:lang w:val="es-ES"/>
        </w:rPr>
      </w:pPr>
    </w:p>
    <w:p w14:paraId="7DD8814D" w14:textId="77777777" w:rsidR="00203349" w:rsidRDefault="00203349" w:rsidP="00B10AE7">
      <w:pPr>
        <w:spacing w:after="0"/>
        <w:rPr>
          <w:rFonts w:ascii="Verdana" w:hAnsi="Verdana"/>
          <w:lang w:val="es-ES"/>
        </w:rPr>
      </w:pPr>
    </w:p>
    <w:p w14:paraId="7E5A8828" w14:textId="77777777" w:rsidR="00203349" w:rsidRDefault="00203349" w:rsidP="00B10AE7">
      <w:pPr>
        <w:spacing w:after="0"/>
        <w:rPr>
          <w:rFonts w:ascii="Verdana" w:hAnsi="Verdana"/>
          <w:lang w:val="es-ES"/>
        </w:rPr>
      </w:pPr>
    </w:p>
    <w:p w14:paraId="43BC2903" w14:textId="77777777" w:rsidR="00203349" w:rsidRDefault="00203349" w:rsidP="00B10AE7">
      <w:pPr>
        <w:spacing w:after="0"/>
        <w:rPr>
          <w:rFonts w:ascii="Verdana" w:hAnsi="Verdana"/>
          <w:lang w:val="es-ES"/>
        </w:rPr>
      </w:pPr>
    </w:p>
    <w:p w14:paraId="19A7399E" w14:textId="77777777" w:rsidR="00203349" w:rsidRDefault="00203349" w:rsidP="00B10AE7">
      <w:pPr>
        <w:spacing w:after="0"/>
        <w:rPr>
          <w:rFonts w:ascii="Verdana" w:hAnsi="Verdana"/>
          <w:lang w:val="es-ES"/>
        </w:rPr>
      </w:pPr>
    </w:p>
    <w:p w14:paraId="7E95BD94" w14:textId="77777777" w:rsidR="00203349" w:rsidRDefault="00203349" w:rsidP="00B10AE7">
      <w:pPr>
        <w:spacing w:after="0"/>
        <w:rPr>
          <w:rFonts w:ascii="Verdana" w:hAnsi="Verdana"/>
          <w:lang w:val="es-ES"/>
        </w:rPr>
      </w:pPr>
    </w:p>
    <w:p w14:paraId="208E5331" w14:textId="77777777" w:rsidR="00203349" w:rsidRDefault="00203349" w:rsidP="00B10AE7">
      <w:pPr>
        <w:spacing w:after="0"/>
        <w:rPr>
          <w:rFonts w:ascii="Verdana" w:hAnsi="Verdana"/>
          <w:lang w:val="es-ES"/>
        </w:rPr>
      </w:pPr>
    </w:p>
    <w:p w14:paraId="7C523097" w14:textId="77777777" w:rsidR="00203349" w:rsidRDefault="00203349" w:rsidP="00B10AE7">
      <w:pPr>
        <w:spacing w:after="0"/>
        <w:rPr>
          <w:rFonts w:ascii="Verdana" w:hAnsi="Verdana"/>
          <w:lang w:val="es-ES"/>
        </w:rPr>
      </w:pPr>
    </w:p>
    <w:p w14:paraId="58C4B64E" w14:textId="77777777" w:rsidR="00203349" w:rsidRDefault="00203349" w:rsidP="00B10AE7">
      <w:pPr>
        <w:spacing w:after="0"/>
        <w:rPr>
          <w:rFonts w:ascii="Verdana" w:hAnsi="Verdana"/>
          <w:lang w:val="es-ES"/>
        </w:rPr>
      </w:pPr>
    </w:p>
    <w:p w14:paraId="4EBD92D9" w14:textId="77777777" w:rsidR="00203349" w:rsidRDefault="00203349" w:rsidP="00B10AE7">
      <w:pPr>
        <w:spacing w:after="0"/>
        <w:rPr>
          <w:rFonts w:ascii="Verdana" w:hAnsi="Verdana"/>
          <w:lang w:val="es-ES"/>
        </w:rPr>
      </w:pPr>
    </w:p>
    <w:p w14:paraId="6A713496" w14:textId="77777777" w:rsidR="00203349" w:rsidRDefault="00203349" w:rsidP="00B10AE7">
      <w:pPr>
        <w:spacing w:after="0"/>
        <w:rPr>
          <w:rFonts w:ascii="Verdana" w:hAnsi="Verdana"/>
          <w:lang w:val="es-ES"/>
        </w:rPr>
      </w:pPr>
    </w:p>
    <w:p w14:paraId="2D3326ED" w14:textId="77777777" w:rsidR="00203349" w:rsidRDefault="00203349" w:rsidP="00B10AE7">
      <w:pPr>
        <w:spacing w:after="0"/>
        <w:rPr>
          <w:rFonts w:ascii="Verdana" w:hAnsi="Verdana"/>
          <w:lang w:val="es-ES"/>
        </w:rPr>
      </w:pPr>
    </w:p>
    <w:p w14:paraId="3ED0E106" w14:textId="77777777" w:rsidR="00203349" w:rsidRDefault="00203349" w:rsidP="00B10AE7">
      <w:pPr>
        <w:spacing w:after="0"/>
        <w:rPr>
          <w:rFonts w:ascii="Verdana" w:hAnsi="Verdana"/>
          <w:lang w:val="es-ES"/>
        </w:rPr>
      </w:pPr>
    </w:p>
    <w:p w14:paraId="5D9C1DAA" w14:textId="77777777" w:rsidR="00203349" w:rsidRDefault="00203349" w:rsidP="00B10AE7">
      <w:pPr>
        <w:spacing w:after="0"/>
        <w:rPr>
          <w:rFonts w:ascii="Verdana" w:hAnsi="Verdana"/>
          <w:lang w:val="es-ES"/>
        </w:rPr>
      </w:pPr>
    </w:p>
    <w:p w14:paraId="0D941D4A" w14:textId="77777777" w:rsidR="00203349" w:rsidRDefault="00203349" w:rsidP="00B10AE7">
      <w:pPr>
        <w:spacing w:after="0"/>
        <w:rPr>
          <w:rFonts w:ascii="Verdana" w:hAnsi="Verdana"/>
          <w:lang w:val="es-ES"/>
        </w:rPr>
      </w:pPr>
    </w:p>
    <w:p w14:paraId="22A7E87D" w14:textId="77777777" w:rsidR="00203349" w:rsidRDefault="00203349" w:rsidP="00B10AE7">
      <w:pPr>
        <w:spacing w:after="0"/>
        <w:rPr>
          <w:rFonts w:ascii="Verdana" w:hAnsi="Verdana"/>
          <w:lang w:val="es-ES"/>
        </w:rPr>
      </w:pPr>
    </w:p>
    <w:p w14:paraId="682CC48B" w14:textId="77777777" w:rsidR="00203349" w:rsidRDefault="00203349" w:rsidP="00B10AE7">
      <w:pPr>
        <w:spacing w:after="0"/>
        <w:rPr>
          <w:rFonts w:ascii="Verdana" w:hAnsi="Verdana"/>
          <w:lang w:val="es-ES"/>
        </w:rPr>
      </w:pPr>
    </w:p>
    <w:p w14:paraId="0CA470A8" w14:textId="77777777" w:rsidR="00203349" w:rsidRDefault="00203349" w:rsidP="00B10AE7">
      <w:pPr>
        <w:spacing w:after="0"/>
        <w:rPr>
          <w:rFonts w:ascii="Verdana" w:hAnsi="Verdana"/>
          <w:lang w:val="es-ES"/>
        </w:rPr>
      </w:pPr>
    </w:p>
    <w:p w14:paraId="7A1426B9" w14:textId="77777777" w:rsidR="00203349" w:rsidRDefault="00203349" w:rsidP="00B10AE7">
      <w:pPr>
        <w:spacing w:after="0"/>
        <w:rPr>
          <w:rFonts w:ascii="Verdana" w:hAnsi="Verdana"/>
          <w:lang w:val="es-ES"/>
        </w:rPr>
      </w:pPr>
    </w:p>
    <w:p w14:paraId="191DCECE" w14:textId="77777777" w:rsidR="00203349" w:rsidRDefault="00203349" w:rsidP="00B10AE7">
      <w:pPr>
        <w:spacing w:after="0"/>
        <w:rPr>
          <w:rFonts w:ascii="Verdana" w:hAnsi="Verdana"/>
          <w:lang w:val="es-ES"/>
        </w:rPr>
      </w:pPr>
    </w:p>
    <w:p w14:paraId="61A4A23A" w14:textId="77777777" w:rsidR="00203349" w:rsidRDefault="00203349" w:rsidP="00B10AE7">
      <w:pPr>
        <w:spacing w:after="0"/>
        <w:rPr>
          <w:rFonts w:ascii="Verdana" w:hAnsi="Verdana"/>
          <w:lang w:val="es-ES"/>
        </w:rPr>
      </w:pPr>
    </w:p>
    <w:p w14:paraId="3A83F77D" w14:textId="77777777" w:rsidR="00203349" w:rsidRDefault="00203349" w:rsidP="00B10AE7">
      <w:pPr>
        <w:spacing w:after="0"/>
        <w:rPr>
          <w:rFonts w:ascii="Verdana" w:hAnsi="Verdana"/>
          <w:lang w:val="es-ES"/>
        </w:rPr>
      </w:pPr>
    </w:p>
    <w:p w14:paraId="49FC6315" w14:textId="77777777" w:rsidR="00203349" w:rsidRDefault="00203349" w:rsidP="00B10AE7">
      <w:pPr>
        <w:spacing w:after="0"/>
        <w:rPr>
          <w:rFonts w:ascii="Verdana" w:hAnsi="Verdana"/>
          <w:lang w:val="es-ES"/>
        </w:rPr>
      </w:pPr>
    </w:p>
    <w:p w14:paraId="1914AAC0" w14:textId="77777777" w:rsidR="00203349" w:rsidRDefault="00203349" w:rsidP="00B10AE7">
      <w:pPr>
        <w:spacing w:after="0"/>
        <w:rPr>
          <w:rFonts w:ascii="Verdana" w:hAnsi="Verdana"/>
          <w:lang w:val="es-ES"/>
        </w:rPr>
      </w:pPr>
    </w:p>
    <w:p w14:paraId="6D13CC7E" w14:textId="77777777" w:rsidR="00203349" w:rsidRDefault="00203349" w:rsidP="00B10AE7">
      <w:pPr>
        <w:spacing w:after="0"/>
        <w:rPr>
          <w:rFonts w:ascii="Verdana" w:hAnsi="Verdana"/>
          <w:lang w:val="es-ES"/>
        </w:rPr>
      </w:pPr>
    </w:p>
    <w:p w14:paraId="279EEE35" w14:textId="77777777" w:rsidR="00203349" w:rsidRDefault="00203349" w:rsidP="00B10AE7">
      <w:pPr>
        <w:spacing w:after="0"/>
        <w:rPr>
          <w:rFonts w:ascii="Verdana" w:hAnsi="Verdana"/>
          <w:lang w:val="es-ES"/>
        </w:rPr>
      </w:pPr>
    </w:p>
    <w:p w14:paraId="559701D0" w14:textId="2B98FFED" w:rsidR="00B10AE7" w:rsidRPr="0017378C" w:rsidRDefault="00B10AE7" w:rsidP="00B10AE7">
      <w:pPr>
        <w:spacing w:after="0"/>
        <w:rPr>
          <w:rFonts w:ascii="Verdana" w:hAnsi="Verdana"/>
          <w:lang w:val="es-ES"/>
        </w:rPr>
      </w:pPr>
      <w:r w:rsidRPr="0017378C">
        <w:rPr>
          <w:rFonts w:ascii="Verdana" w:hAnsi="Verdana"/>
          <w:lang w:val="es-ES"/>
        </w:rPr>
        <w:lastRenderedPageBreak/>
        <w:t>Bogotá D.C.,</w:t>
      </w:r>
      <w:r w:rsidR="00DD7C0B">
        <w:rPr>
          <w:rFonts w:ascii="Verdana" w:hAnsi="Verdana"/>
          <w:lang w:val="es-ES"/>
        </w:rPr>
        <w:t xml:space="preserve"> 16 de diciembre de 2025</w:t>
      </w:r>
      <w:r w:rsidRPr="0017378C">
        <w:rPr>
          <w:rFonts w:ascii="Verdana" w:hAnsi="Verdana"/>
          <w:lang w:val="es-ES"/>
        </w:rPr>
        <w:tab/>
      </w:r>
    </w:p>
    <w:p w14:paraId="1D2D7403" w14:textId="77777777" w:rsidR="00B10AE7" w:rsidRPr="0017378C" w:rsidRDefault="00B10AE7" w:rsidP="00B10AE7">
      <w:pPr>
        <w:spacing w:after="0"/>
        <w:rPr>
          <w:rFonts w:ascii="Verdana" w:hAnsi="Verdana"/>
          <w:lang w:val="es-ES"/>
        </w:rPr>
      </w:pPr>
    </w:p>
    <w:p w14:paraId="07AA10A6" w14:textId="77777777" w:rsidR="00203349" w:rsidRDefault="00203349" w:rsidP="00B10AE7">
      <w:pPr>
        <w:spacing w:after="0" w:line="240" w:lineRule="auto"/>
        <w:rPr>
          <w:rFonts w:ascii="Verdana" w:eastAsia="Calibri" w:hAnsi="Verdana" w:cs="Arial"/>
          <w:color w:val="000000" w:themeColor="text1"/>
          <w:lang w:eastAsia="es-ES"/>
        </w:rPr>
      </w:pPr>
    </w:p>
    <w:p w14:paraId="73C85CB2" w14:textId="17252932" w:rsidR="00B10AE7" w:rsidRPr="000B19BB" w:rsidRDefault="00DD7C0B" w:rsidP="00B10AE7">
      <w:pPr>
        <w:spacing w:after="0" w:line="240" w:lineRule="auto"/>
        <w:rPr>
          <w:rFonts w:ascii="Verdana" w:eastAsia="Calibri" w:hAnsi="Verdana" w:cs="Arial"/>
          <w:color w:val="000000" w:themeColor="text1"/>
          <w:lang w:eastAsia="es-ES"/>
        </w:rPr>
      </w:pPr>
      <w:r>
        <w:rPr>
          <w:rFonts w:ascii="Verdana" w:eastAsia="Calibri" w:hAnsi="Verdana" w:cs="Arial"/>
          <w:noProof/>
          <w:color w:val="000000" w:themeColor="text1"/>
          <w:lang w:eastAsia="es-ES"/>
        </w:rPr>
        <w:drawing>
          <wp:anchor distT="0" distB="0" distL="114300" distR="114300" simplePos="0" relativeHeight="251658240" behindDoc="1" locked="0" layoutInCell="1" allowOverlap="1" wp14:anchorId="2228DF3A" wp14:editId="519C6A1B">
            <wp:simplePos x="0" y="0"/>
            <wp:positionH relativeFrom="column">
              <wp:posOffset>3603993</wp:posOffset>
            </wp:positionH>
            <wp:positionV relativeFrom="paragraph">
              <wp:posOffset>169278</wp:posOffset>
            </wp:positionV>
            <wp:extent cx="2261870" cy="661035"/>
            <wp:effectExtent l="0" t="0" r="0" b="0"/>
            <wp:wrapTight wrapText="bothSides">
              <wp:wrapPolygon edited="0">
                <wp:start x="0" y="0"/>
                <wp:lineTo x="0" y="21164"/>
                <wp:lineTo x="21467" y="21164"/>
                <wp:lineTo x="21467" y="0"/>
                <wp:lineTo x="0" y="0"/>
              </wp:wrapPolygon>
            </wp:wrapTight>
            <wp:docPr id="667516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51604" name="Picture 66751604"/>
                    <pic:cNvPicPr/>
                  </pic:nvPicPr>
                  <pic:blipFill>
                    <a:blip r:embed="rId10">
                      <a:extLst>
                        <a:ext uri="{28A0092B-C50C-407E-A947-70E740481C1C}">
                          <a14:useLocalDpi xmlns:a14="http://schemas.microsoft.com/office/drawing/2010/main" val="0"/>
                        </a:ext>
                      </a:extLst>
                    </a:blip>
                    <a:stretch>
                      <a:fillRect/>
                    </a:stretch>
                  </pic:blipFill>
                  <pic:spPr>
                    <a:xfrm>
                      <a:off x="0" y="0"/>
                      <a:ext cx="2261870" cy="661035"/>
                    </a:xfrm>
                    <a:prstGeom prst="rect">
                      <a:avLst/>
                    </a:prstGeom>
                  </pic:spPr>
                </pic:pic>
              </a:graphicData>
            </a:graphic>
            <wp14:sizeRelH relativeFrom="page">
              <wp14:pctWidth>0</wp14:pctWidth>
            </wp14:sizeRelH>
            <wp14:sizeRelV relativeFrom="page">
              <wp14:pctHeight>0</wp14:pctHeight>
            </wp14:sizeRelV>
          </wp:anchor>
        </w:drawing>
      </w:r>
      <w:r w:rsidR="00B10AE7" w:rsidRPr="000B19BB">
        <w:rPr>
          <w:rFonts w:ascii="Verdana" w:eastAsia="Calibri" w:hAnsi="Verdana" w:cs="Arial"/>
          <w:color w:val="000000" w:themeColor="text1"/>
          <w:lang w:eastAsia="es-ES"/>
        </w:rPr>
        <w:t xml:space="preserve">Coronel </w:t>
      </w:r>
    </w:p>
    <w:p w14:paraId="68990F0C" w14:textId="0C40FE17" w:rsidR="00B10AE7" w:rsidRPr="000B19BB" w:rsidRDefault="00B10AE7" w:rsidP="00B10AE7">
      <w:pPr>
        <w:spacing w:after="0" w:line="240" w:lineRule="auto"/>
        <w:rPr>
          <w:rFonts w:ascii="Verdana" w:eastAsia="Calibri" w:hAnsi="Verdana" w:cs="Arial"/>
          <w:b/>
          <w:color w:val="000000" w:themeColor="text1"/>
          <w:lang w:eastAsia="es-ES"/>
        </w:rPr>
      </w:pPr>
      <w:r w:rsidRPr="000B19BB">
        <w:rPr>
          <w:rFonts w:ascii="Verdana" w:eastAsia="Calibri" w:hAnsi="Verdana" w:cs="Arial"/>
          <w:b/>
          <w:color w:val="000000" w:themeColor="text1"/>
          <w:lang w:eastAsia="es-ES"/>
        </w:rPr>
        <w:t xml:space="preserve">Fredy Hernan Calixto Monroy </w:t>
      </w:r>
    </w:p>
    <w:p w14:paraId="52E33F43" w14:textId="364993A0" w:rsidR="00B10AE7" w:rsidRPr="000B19BB" w:rsidRDefault="00B10AE7" w:rsidP="00B10AE7">
      <w:pPr>
        <w:spacing w:after="0" w:line="240" w:lineRule="auto"/>
        <w:rPr>
          <w:rFonts w:ascii="Verdana" w:eastAsia="Calibri" w:hAnsi="Verdana" w:cs="Arial"/>
          <w:color w:val="000000" w:themeColor="text1"/>
          <w:lang w:eastAsia="es-ES"/>
        </w:rPr>
      </w:pPr>
      <w:r w:rsidRPr="000B19BB">
        <w:rPr>
          <w:rFonts w:ascii="Verdana" w:eastAsia="Calibri" w:hAnsi="Verdana" w:cs="Arial"/>
          <w:color w:val="000000" w:themeColor="text1"/>
          <w:lang w:eastAsia="es-ES"/>
        </w:rPr>
        <w:t xml:space="preserve">Director General (E) </w:t>
      </w:r>
    </w:p>
    <w:p w14:paraId="72FEC980" w14:textId="002D0227" w:rsidR="00B10AE7" w:rsidRPr="000B19BB" w:rsidRDefault="00B10AE7" w:rsidP="00B10AE7">
      <w:pPr>
        <w:spacing w:after="0" w:line="240" w:lineRule="auto"/>
        <w:rPr>
          <w:rFonts w:ascii="Verdana" w:eastAsia="Calibri" w:hAnsi="Verdana" w:cs="Arial"/>
          <w:color w:val="000000" w:themeColor="text1"/>
          <w:lang w:eastAsia="es-ES"/>
        </w:rPr>
      </w:pPr>
      <w:r w:rsidRPr="000B19BB">
        <w:rPr>
          <w:rFonts w:ascii="Verdana" w:eastAsia="Calibri" w:hAnsi="Verdana" w:cs="Arial"/>
          <w:color w:val="000000" w:themeColor="text1"/>
          <w:lang w:eastAsia="es-ES"/>
        </w:rPr>
        <w:t xml:space="preserve">Caja </w:t>
      </w:r>
      <w:r>
        <w:rPr>
          <w:rFonts w:ascii="Verdana" w:eastAsia="Calibri" w:hAnsi="Verdana" w:cs="Arial"/>
          <w:color w:val="000000" w:themeColor="text1"/>
          <w:lang w:eastAsia="es-ES"/>
        </w:rPr>
        <w:t>d</w:t>
      </w:r>
      <w:r w:rsidRPr="000B19BB">
        <w:rPr>
          <w:rFonts w:ascii="Verdana" w:eastAsia="Calibri" w:hAnsi="Verdana" w:cs="Arial"/>
          <w:color w:val="000000" w:themeColor="text1"/>
          <w:lang w:eastAsia="es-ES"/>
        </w:rPr>
        <w:t xml:space="preserve">e Retiro </w:t>
      </w:r>
      <w:r>
        <w:rPr>
          <w:rFonts w:ascii="Verdana" w:eastAsia="Calibri" w:hAnsi="Verdana" w:cs="Arial"/>
          <w:color w:val="000000" w:themeColor="text1"/>
          <w:lang w:eastAsia="es-ES"/>
        </w:rPr>
        <w:t>d</w:t>
      </w:r>
      <w:r w:rsidRPr="000B19BB">
        <w:rPr>
          <w:rFonts w:ascii="Verdana" w:eastAsia="Calibri" w:hAnsi="Verdana" w:cs="Arial"/>
          <w:color w:val="000000" w:themeColor="text1"/>
          <w:lang w:eastAsia="es-ES"/>
        </w:rPr>
        <w:t xml:space="preserve">e </w:t>
      </w:r>
      <w:r>
        <w:rPr>
          <w:rFonts w:ascii="Verdana" w:eastAsia="Calibri" w:hAnsi="Verdana" w:cs="Arial"/>
          <w:color w:val="000000" w:themeColor="text1"/>
          <w:lang w:eastAsia="es-ES"/>
        </w:rPr>
        <w:t>l</w:t>
      </w:r>
      <w:r w:rsidRPr="000B19BB">
        <w:rPr>
          <w:rFonts w:ascii="Verdana" w:eastAsia="Calibri" w:hAnsi="Verdana" w:cs="Arial"/>
          <w:color w:val="000000" w:themeColor="text1"/>
          <w:lang w:eastAsia="es-ES"/>
        </w:rPr>
        <w:t xml:space="preserve">as Fuerzas Militares – Cremil </w:t>
      </w:r>
    </w:p>
    <w:p w14:paraId="33851D60" w14:textId="10A91377" w:rsidR="00B10AE7" w:rsidRPr="000B19BB" w:rsidRDefault="00B10AE7" w:rsidP="00B10AE7">
      <w:pPr>
        <w:spacing w:after="0" w:line="240" w:lineRule="auto"/>
        <w:rPr>
          <w:rFonts w:ascii="Verdana" w:eastAsia="Calibri" w:hAnsi="Verdana" w:cs="Arial"/>
          <w:color w:val="000000" w:themeColor="text1"/>
          <w:lang w:eastAsia="es-ES"/>
        </w:rPr>
      </w:pPr>
      <w:r w:rsidRPr="000B19BB">
        <w:rPr>
          <w:rFonts w:ascii="Verdana" w:eastAsia="Calibri" w:hAnsi="Verdana" w:cs="Arial"/>
          <w:color w:val="000000" w:themeColor="text1"/>
          <w:lang w:eastAsia="es-ES"/>
        </w:rPr>
        <w:t>Bogotá D.C.</w:t>
      </w:r>
    </w:p>
    <w:p w14:paraId="14C4B8AE" w14:textId="77777777" w:rsidR="00B10AE7" w:rsidRPr="0017378C" w:rsidRDefault="00B10AE7" w:rsidP="00B10AE7">
      <w:pPr>
        <w:spacing w:after="0" w:line="240" w:lineRule="auto"/>
        <w:rPr>
          <w:rFonts w:ascii="Verdana" w:eastAsia="Calibri" w:hAnsi="Verdana" w:cs="Arial"/>
          <w:b/>
          <w:bCs/>
          <w:color w:val="000000" w:themeColor="text1"/>
          <w:lang w:val="es-ES" w:eastAsia="es-ES"/>
        </w:rPr>
      </w:pPr>
    </w:p>
    <w:p w14:paraId="59EDA5A7" w14:textId="77777777" w:rsidR="00B10AE7" w:rsidRPr="0017378C" w:rsidRDefault="00B10AE7" w:rsidP="00B10AE7">
      <w:pPr>
        <w:spacing w:after="0" w:line="240" w:lineRule="auto"/>
        <w:rPr>
          <w:rFonts w:ascii="Verdana" w:eastAsia="Calibri" w:hAnsi="Verdana" w:cs="Arial"/>
          <w:b/>
          <w:bCs/>
          <w:color w:val="000000" w:themeColor="text1"/>
          <w:lang w:val="es-ES" w:eastAsia="es-ES_tradnl"/>
        </w:rPr>
      </w:pPr>
    </w:p>
    <w:tbl>
      <w:tblPr>
        <w:tblStyle w:val="TableGrid"/>
        <w:tblW w:w="12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gridCol w:w="4179"/>
      </w:tblGrid>
      <w:tr w:rsidR="00B10AE7" w:rsidRPr="0017378C" w14:paraId="3C99E9B4" w14:textId="77777777" w:rsidTr="00F50545">
        <w:trPr>
          <w:gridAfter w:val="1"/>
          <w:wAfter w:w="4179" w:type="dxa"/>
          <w:trHeight w:val="304"/>
        </w:trPr>
        <w:tc>
          <w:tcPr>
            <w:tcW w:w="2689" w:type="dxa"/>
          </w:tcPr>
          <w:p w14:paraId="0CF8EB96" w14:textId="77777777" w:rsidR="00B10AE7" w:rsidRPr="0017378C" w:rsidRDefault="00B10AE7" w:rsidP="00F50545">
            <w:pPr>
              <w:jc w:val="both"/>
              <w:rPr>
                <w:rFonts w:ascii="Verdana" w:eastAsia="Calibri" w:hAnsi="Verdana" w:cs="Arial"/>
                <w:b/>
                <w:bCs/>
                <w:color w:val="000000" w:themeColor="text1"/>
                <w:lang w:val="es-ES" w:eastAsia="es-ES_tradnl"/>
              </w:rPr>
            </w:pPr>
          </w:p>
        </w:tc>
        <w:tc>
          <w:tcPr>
            <w:tcW w:w="6100" w:type="dxa"/>
          </w:tcPr>
          <w:p w14:paraId="44728CE5" w14:textId="3C1DEEBE" w:rsidR="00B10AE7" w:rsidRPr="0017378C" w:rsidRDefault="00B10AE7" w:rsidP="00F50545">
            <w:pPr>
              <w:jc w:val="both"/>
              <w:rPr>
                <w:rFonts w:ascii="Verdana" w:eastAsia="Calibri" w:hAnsi="Verdana" w:cs="Arial"/>
                <w:b/>
                <w:bCs/>
                <w:color w:val="000000" w:themeColor="text1"/>
                <w:lang w:val="es-ES" w:eastAsia="es-ES"/>
              </w:rPr>
            </w:pPr>
            <w:r w:rsidRPr="0017378C">
              <w:rPr>
                <w:rFonts w:ascii="Verdana" w:eastAsia="Calibri" w:hAnsi="Verdana" w:cs="Arial"/>
                <w:b/>
                <w:bCs/>
                <w:color w:val="000000" w:themeColor="text1"/>
                <w:lang w:val="es-ES" w:eastAsia="es-ES"/>
              </w:rPr>
              <w:t>Concepto C-</w:t>
            </w:r>
            <w:r w:rsidR="00FA3A77">
              <w:rPr>
                <w:rFonts w:ascii="Verdana" w:eastAsia="Calibri" w:hAnsi="Verdana" w:cs="Arial"/>
                <w:b/>
                <w:bCs/>
                <w:color w:val="000000" w:themeColor="text1"/>
                <w:lang w:val="es-ES" w:eastAsia="es-ES"/>
              </w:rPr>
              <w:t>1624</w:t>
            </w:r>
            <w:r w:rsidRPr="0017378C">
              <w:rPr>
                <w:rFonts w:ascii="Verdana" w:eastAsia="Calibri" w:hAnsi="Verdana" w:cs="Arial"/>
                <w:b/>
                <w:bCs/>
                <w:color w:val="000000" w:themeColor="text1"/>
                <w:lang w:val="es-ES" w:eastAsia="es-ES"/>
              </w:rPr>
              <w:t xml:space="preserve"> de 2025</w:t>
            </w:r>
          </w:p>
          <w:p w14:paraId="7993F7E4" w14:textId="77777777" w:rsidR="00B10AE7" w:rsidRPr="0017378C" w:rsidRDefault="00B10AE7" w:rsidP="00F50545">
            <w:pPr>
              <w:jc w:val="both"/>
              <w:rPr>
                <w:rFonts w:ascii="Verdana" w:eastAsia="Calibri" w:hAnsi="Verdana" w:cs="Arial"/>
                <w:b/>
                <w:bCs/>
                <w:color w:val="000000" w:themeColor="text1"/>
                <w:lang w:val="es-ES" w:eastAsia="es-ES"/>
              </w:rPr>
            </w:pPr>
          </w:p>
        </w:tc>
      </w:tr>
      <w:tr w:rsidR="00B10AE7" w:rsidRPr="0017378C" w14:paraId="07C0D0E5" w14:textId="77777777" w:rsidTr="00F50545">
        <w:trPr>
          <w:trHeight w:val="884"/>
        </w:trPr>
        <w:tc>
          <w:tcPr>
            <w:tcW w:w="2689" w:type="dxa"/>
          </w:tcPr>
          <w:p w14:paraId="77A76C3D" w14:textId="77777777" w:rsidR="00B10AE7" w:rsidRPr="0017378C" w:rsidRDefault="00B10AE7" w:rsidP="00F50545">
            <w:pPr>
              <w:jc w:val="both"/>
              <w:rPr>
                <w:rFonts w:ascii="Verdana" w:eastAsia="Calibri" w:hAnsi="Verdana" w:cs="Arial"/>
                <w:color w:val="000000" w:themeColor="text1"/>
                <w:lang w:val="es-ES" w:eastAsia="es-ES_tradnl"/>
              </w:rPr>
            </w:pPr>
            <w:r w:rsidRPr="0017378C">
              <w:rPr>
                <w:rFonts w:ascii="Verdana" w:eastAsia="Calibri" w:hAnsi="Verdana" w:cs="Arial"/>
                <w:b/>
                <w:color w:val="000000" w:themeColor="text1"/>
                <w:lang w:val="es-ES" w:eastAsia="es-ES_tradnl"/>
              </w:rPr>
              <w:t>Temas:</w:t>
            </w:r>
            <w:r w:rsidRPr="0017378C">
              <w:rPr>
                <w:rFonts w:ascii="Verdana" w:eastAsia="Calibri" w:hAnsi="Verdana" w:cs="Arial"/>
                <w:color w:val="000000" w:themeColor="text1"/>
                <w:lang w:val="es-ES" w:eastAsia="es-ES_tradnl"/>
              </w:rPr>
              <w:t xml:space="preserve">                   </w:t>
            </w:r>
          </w:p>
        </w:tc>
        <w:tc>
          <w:tcPr>
            <w:tcW w:w="6100" w:type="dxa"/>
          </w:tcPr>
          <w:p w14:paraId="6CF055CC" w14:textId="77777777" w:rsidR="00B10AE7" w:rsidRDefault="00B10AE7" w:rsidP="00F50545">
            <w:pPr>
              <w:spacing w:line="276" w:lineRule="auto"/>
              <w:jc w:val="both"/>
              <w:rPr>
                <w:rFonts w:ascii="Verdana" w:eastAsia="Times New Roman" w:hAnsi="Verdana" w:cs="Arial"/>
                <w:lang w:eastAsia="es-ES_tradnl"/>
              </w:rPr>
            </w:pPr>
            <w:r w:rsidRPr="00A16436">
              <w:rPr>
                <w:rFonts w:ascii="Verdana" w:eastAsia="Times New Roman" w:hAnsi="Verdana" w:cs="Arial"/>
                <w:lang w:eastAsia="es-ES_tradnl"/>
              </w:rPr>
              <w:t>LEY DE GARANTÍAS ELECTORALES ─ Prohibición ‒ Contratación directa ‒ Alcance / LEY DE GARANTÍAS ELECTORALES ─ Prohibición ‒ Contratación directa ‒ Excepciones / LEY DE GARANTÍAS ELECTORALES ‒ Contratación directa ‒ Contrato de arrendamiento</w:t>
            </w:r>
          </w:p>
          <w:p w14:paraId="5B1853D7" w14:textId="77777777" w:rsidR="00B10AE7" w:rsidRPr="0017378C" w:rsidRDefault="00B10AE7" w:rsidP="00F50545">
            <w:pPr>
              <w:spacing w:line="276" w:lineRule="auto"/>
              <w:jc w:val="both"/>
              <w:rPr>
                <w:rFonts w:ascii="Verdana" w:eastAsia="Calibri" w:hAnsi="Verdana" w:cs="Arial"/>
                <w:color w:val="000000" w:themeColor="text1"/>
                <w:lang w:val="es-ES" w:eastAsia="es-ES_tradnl"/>
              </w:rPr>
            </w:pPr>
          </w:p>
        </w:tc>
        <w:tc>
          <w:tcPr>
            <w:tcW w:w="4179" w:type="dxa"/>
          </w:tcPr>
          <w:p w14:paraId="4F554C20" w14:textId="77777777" w:rsidR="00B10AE7" w:rsidRPr="0017378C" w:rsidRDefault="00B10AE7" w:rsidP="00F50545">
            <w:pPr>
              <w:spacing w:line="276" w:lineRule="auto"/>
              <w:jc w:val="both"/>
              <w:rPr>
                <w:rFonts w:ascii="Verdana" w:eastAsia="Calibri" w:hAnsi="Verdana" w:cs="Arial"/>
                <w:color w:val="000000" w:themeColor="text1"/>
                <w:lang w:val="es-ES" w:eastAsia="es-ES_tradnl"/>
              </w:rPr>
            </w:pPr>
          </w:p>
          <w:p w14:paraId="16564C7B" w14:textId="77777777" w:rsidR="00B10AE7" w:rsidRPr="0017378C" w:rsidRDefault="00B10AE7" w:rsidP="00F50545">
            <w:pPr>
              <w:spacing w:line="276" w:lineRule="auto"/>
              <w:rPr>
                <w:rFonts w:ascii="Verdana" w:eastAsia="Calibri" w:hAnsi="Verdana" w:cs="Arial"/>
                <w:color w:val="000000" w:themeColor="text1"/>
                <w:lang w:val="es-ES" w:eastAsia="es-ES_tradnl"/>
              </w:rPr>
            </w:pPr>
          </w:p>
        </w:tc>
      </w:tr>
      <w:tr w:rsidR="00B10AE7" w:rsidRPr="0017378C" w14:paraId="71D24D17" w14:textId="77777777" w:rsidTr="00F50545">
        <w:trPr>
          <w:gridAfter w:val="1"/>
          <w:wAfter w:w="4179" w:type="dxa"/>
        </w:trPr>
        <w:tc>
          <w:tcPr>
            <w:tcW w:w="2689" w:type="dxa"/>
          </w:tcPr>
          <w:p w14:paraId="0B1A9C3D" w14:textId="77777777" w:rsidR="00B10AE7" w:rsidRPr="0017378C" w:rsidRDefault="00B10AE7" w:rsidP="00F50545">
            <w:pPr>
              <w:jc w:val="both"/>
              <w:rPr>
                <w:rFonts w:ascii="Verdana" w:eastAsia="Calibri" w:hAnsi="Verdana" w:cs="Arial"/>
                <w:b/>
                <w:color w:val="000000" w:themeColor="text1"/>
                <w:lang w:val="es-ES" w:eastAsia="es-ES_tradnl"/>
              </w:rPr>
            </w:pPr>
            <w:r w:rsidRPr="0017378C">
              <w:rPr>
                <w:rFonts w:ascii="Verdana" w:eastAsia="Calibri" w:hAnsi="Verdana" w:cs="Arial"/>
                <w:b/>
                <w:color w:val="000000" w:themeColor="text1"/>
                <w:lang w:val="es-ES" w:eastAsia="es-ES_tradnl"/>
              </w:rPr>
              <w:t>Radicación:</w:t>
            </w:r>
            <w:r w:rsidRPr="0017378C">
              <w:rPr>
                <w:rFonts w:ascii="Verdana" w:eastAsia="Calibri" w:hAnsi="Verdana" w:cs="Arial"/>
                <w:color w:val="000000" w:themeColor="text1"/>
                <w:lang w:val="es-ES" w:eastAsia="es-ES_tradnl"/>
              </w:rPr>
              <w:t xml:space="preserve">               </w:t>
            </w:r>
          </w:p>
        </w:tc>
        <w:tc>
          <w:tcPr>
            <w:tcW w:w="6100" w:type="dxa"/>
          </w:tcPr>
          <w:p w14:paraId="16E888BC" w14:textId="77777777" w:rsidR="00B10AE7" w:rsidRPr="0017378C" w:rsidRDefault="00B10AE7" w:rsidP="00F50545">
            <w:pPr>
              <w:jc w:val="both"/>
              <w:rPr>
                <w:rFonts w:ascii="Verdana" w:eastAsia="Calibri" w:hAnsi="Verdana" w:cs="Arial"/>
                <w:color w:val="000000" w:themeColor="text1"/>
                <w:lang w:val="es-ES" w:eastAsia="es-ES_tradnl"/>
              </w:rPr>
            </w:pPr>
            <w:r w:rsidRPr="0017378C">
              <w:rPr>
                <w:rFonts w:ascii="Verdana" w:eastAsia="Calibri" w:hAnsi="Verdana" w:cs="Arial"/>
                <w:color w:val="000000" w:themeColor="text1"/>
                <w:lang w:val="es-ES" w:eastAsia="es-ES_tradnl"/>
              </w:rPr>
              <w:t xml:space="preserve">Respuesta a consulta con radicado No. </w:t>
            </w:r>
            <w:r w:rsidRPr="000B19BB">
              <w:rPr>
                <w:rFonts w:ascii="Verdana" w:eastAsia="Calibri" w:hAnsi="Verdana" w:cs="Arial"/>
                <w:color w:val="000000" w:themeColor="text1"/>
                <w:lang w:val="es-ES" w:eastAsia="es-ES_tradnl"/>
              </w:rPr>
              <w:t>1_2025_10_31_012336</w:t>
            </w:r>
          </w:p>
        </w:tc>
      </w:tr>
    </w:tbl>
    <w:p w14:paraId="2BE45F6C" w14:textId="77777777" w:rsidR="00B10AE7" w:rsidRPr="0017378C" w:rsidRDefault="00B10AE7" w:rsidP="00B10AE7">
      <w:pPr>
        <w:spacing w:after="0" w:line="276" w:lineRule="auto"/>
        <w:jc w:val="both"/>
        <w:rPr>
          <w:rFonts w:ascii="Verdana" w:eastAsia="Calibri" w:hAnsi="Verdana" w:cs="Arial"/>
          <w:color w:val="000000" w:themeColor="text1"/>
          <w:lang w:val="es-ES" w:eastAsia="es-ES_tradnl"/>
        </w:rPr>
      </w:pPr>
    </w:p>
    <w:p w14:paraId="732D73A5" w14:textId="77777777" w:rsidR="00B10AE7" w:rsidRPr="0017378C" w:rsidRDefault="00B10AE7" w:rsidP="00B10AE7">
      <w:pPr>
        <w:spacing w:after="0" w:line="276" w:lineRule="auto"/>
        <w:jc w:val="both"/>
        <w:rPr>
          <w:rFonts w:ascii="Verdana" w:eastAsia="Calibri" w:hAnsi="Verdana" w:cs="Arial"/>
          <w:color w:val="000000" w:themeColor="text1"/>
          <w:lang w:val="es-ES" w:eastAsia="es-ES_tradnl"/>
        </w:rPr>
      </w:pPr>
    </w:p>
    <w:p w14:paraId="31BA70BC" w14:textId="77777777" w:rsidR="00B10AE7" w:rsidRPr="0017378C" w:rsidRDefault="00B10AE7" w:rsidP="00B10AE7">
      <w:pPr>
        <w:spacing w:after="0" w:line="276" w:lineRule="auto"/>
        <w:jc w:val="both"/>
        <w:rPr>
          <w:rFonts w:ascii="Verdana" w:eastAsia="Calibri" w:hAnsi="Verdana" w:cs="Arial"/>
          <w:color w:val="000000" w:themeColor="text1"/>
          <w:lang w:val="es-ES" w:eastAsia="es-ES"/>
        </w:rPr>
      </w:pPr>
      <w:r w:rsidRPr="0017378C">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17378C">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Coronel Monroy</w:t>
      </w:r>
      <w:r w:rsidRPr="0017378C">
        <w:rPr>
          <w:rFonts w:ascii="Verdana" w:eastAsia="Calibri" w:hAnsi="Verdana" w:cs="Arial"/>
          <w:color w:val="000000" w:themeColor="text1"/>
          <w:lang w:val="es-ES" w:eastAsia="es-ES"/>
        </w:rPr>
        <w:t xml:space="preserve">: </w:t>
      </w:r>
    </w:p>
    <w:p w14:paraId="5883B66F" w14:textId="77777777" w:rsidR="00B10AE7" w:rsidRPr="0017378C" w:rsidRDefault="00B10AE7" w:rsidP="00B10AE7">
      <w:pPr>
        <w:tabs>
          <w:tab w:val="left" w:pos="3768"/>
        </w:tabs>
        <w:spacing w:after="0" w:line="276" w:lineRule="auto"/>
        <w:jc w:val="both"/>
        <w:rPr>
          <w:rFonts w:ascii="Verdana" w:eastAsia="Calibri" w:hAnsi="Verdana" w:cs="Arial"/>
          <w:color w:val="000000" w:themeColor="text1"/>
          <w:lang w:val="es-ES" w:eastAsia="es-ES"/>
        </w:rPr>
      </w:pPr>
      <w:r w:rsidRPr="0017378C">
        <w:rPr>
          <w:rFonts w:ascii="Verdana" w:eastAsia="Calibri" w:hAnsi="Verdana" w:cs="Arial"/>
          <w:color w:val="000000" w:themeColor="text1"/>
          <w:lang w:val="es-ES" w:eastAsia="es-ES"/>
        </w:rPr>
        <w:tab/>
      </w:r>
    </w:p>
    <w:p w14:paraId="4FFAADDE" w14:textId="77777777" w:rsidR="00B10AE7" w:rsidRPr="0017378C" w:rsidRDefault="00B10AE7" w:rsidP="00B10AE7">
      <w:pPr>
        <w:spacing w:after="0" w:line="276" w:lineRule="auto"/>
        <w:jc w:val="both"/>
        <w:rPr>
          <w:rFonts w:ascii="Verdana" w:eastAsia="Calibri" w:hAnsi="Verdana" w:cs="Arial"/>
          <w:color w:val="000000" w:themeColor="text1"/>
          <w:lang w:val="es-ES" w:eastAsia="es-ES"/>
        </w:rPr>
      </w:pPr>
      <w:r w:rsidRPr="0017378C">
        <w:rPr>
          <w:rFonts w:ascii="Verdana" w:eastAsia="Calibri" w:hAnsi="Verdana" w:cs="Arial"/>
          <w:color w:val="000000" w:themeColor="text1"/>
          <w:lang w:val="es-ES" w:eastAsia="es-ES"/>
        </w:rPr>
        <w:t>En ejercicio de la competencia otorgada por los artículos 3, numeral 5º, y 11, numeral 8º, del Decreto Ley 4170 de 2011,</w:t>
      </w:r>
      <w:r w:rsidRPr="0017378C">
        <w:rPr>
          <w:rFonts w:ascii="Verdana" w:eastAsia="Arial MT" w:hAnsi="Verdana" w:cs="Arial MT"/>
          <w:color w:val="000000" w:themeColor="text1"/>
          <w:lang w:val="es-ES" w:eastAsia="es-ES"/>
        </w:rPr>
        <w:t xml:space="preserve"> </w:t>
      </w:r>
      <w:r w:rsidRPr="0017378C">
        <w:rPr>
          <w:rFonts w:ascii="Verdana" w:hAnsi="Verdana" w:cs="Arial"/>
          <w:color w:val="000000" w:themeColor="text1"/>
          <w:lang w:val="es-ES"/>
        </w:rPr>
        <w:t>así como lo establecido en el artículo 4 de la Resolución 1707 de 2018 expedida por esta Entidad, la Agencia Nacional de Contratación Pública – Colombia Compra Eficiente– responde su solicitud de con</w:t>
      </w:r>
      <w:r>
        <w:rPr>
          <w:rFonts w:ascii="Verdana" w:hAnsi="Verdana" w:cs="Arial"/>
          <w:color w:val="000000" w:themeColor="text1"/>
          <w:lang w:val="es-ES"/>
        </w:rPr>
        <w:t>sulta</w:t>
      </w:r>
      <w:r w:rsidRPr="0017378C">
        <w:rPr>
          <w:rFonts w:ascii="Verdana" w:hAnsi="Verdana" w:cs="Arial"/>
          <w:color w:val="000000" w:themeColor="text1"/>
          <w:lang w:val="es-ES"/>
        </w:rPr>
        <w:t xml:space="preserve"> </w:t>
      </w:r>
      <w:r>
        <w:rPr>
          <w:rFonts w:ascii="Verdana" w:hAnsi="Verdana" w:cs="Arial"/>
          <w:color w:val="000000" w:themeColor="text1"/>
          <w:lang w:val="es-ES"/>
        </w:rPr>
        <w:t xml:space="preserve">del 31 </w:t>
      </w:r>
      <w:r w:rsidRPr="0017378C">
        <w:rPr>
          <w:rFonts w:ascii="Verdana" w:hAnsi="Verdana" w:cs="Arial"/>
          <w:color w:val="000000" w:themeColor="text1"/>
          <w:lang w:val="es-ES"/>
        </w:rPr>
        <w:t>de</w:t>
      </w:r>
      <w:r>
        <w:rPr>
          <w:rFonts w:ascii="Verdana" w:hAnsi="Verdana" w:cs="Arial"/>
          <w:color w:val="000000" w:themeColor="text1"/>
          <w:lang w:val="es-ES"/>
        </w:rPr>
        <w:t xml:space="preserve"> octubre</w:t>
      </w:r>
      <w:r w:rsidRPr="0017378C">
        <w:rPr>
          <w:rFonts w:ascii="Verdana" w:hAnsi="Verdana" w:cs="Arial"/>
          <w:color w:val="000000" w:themeColor="text1"/>
          <w:lang w:val="es-ES"/>
        </w:rPr>
        <w:t xml:space="preserve"> 2025, en la cual manifiesta lo siguiente:</w:t>
      </w:r>
      <w:r w:rsidRPr="0017378C">
        <w:rPr>
          <w:rFonts w:ascii="Verdana" w:eastAsia="Calibri" w:hAnsi="Verdana" w:cs="Arial"/>
          <w:color w:val="000000" w:themeColor="text1"/>
          <w:lang w:val="es-ES" w:eastAsia="es-ES"/>
        </w:rPr>
        <w:t xml:space="preserve"> </w:t>
      </w:r>
    </w:p>
    <w:p w14:paraId="5EED0CEA" w14:textId="77777777" w:rsidR="00B10AE7" w:rsidRPr="0017378C" w:rsidRDefault="00B10AE7" w:rsidP="00B10AE7">
      <w:pPr>
        <w:spacing w:after="0" w:line="276" w:lineRule="auto"/>
        <w:jc w:val="both"/>
        <w:rPr>
          <w:rFonts w:ascii="Verdana" w:eastAsia="Calibri" w:hAnsi="Verdana" w:cs="Arial"/>
          <w:color w:val="000000" w:themeColor="text1"/>
          <w:lang w:val="es-ES" w:eastAsia="es-ES"/>
        </w:rPr>
      </w:pPr>
    </w:p>
    <w:p w14:paraId="47156318" w14:textId="77777777" w:rsidR="00B10AE7" w:rsidRPr="000B19BB" w:rsidRDefault="00B10AE7" w:rsidP="00B10AE7">
      <w:pPr>
        <w:spacing w:after="0"/>
        <w:ind w:left="720" w:right="709"/>
        <w:jc w:val="both"/>
        <w:rPr>
          <w:rFonts w:ascii="Verdana" w:eastAsia="Century Gothic" w:hAnsi="Verdana" w:cs="Century Gothic"/>
          <w:color w:val="000000" w:themeColor="text1"/>
          <w:sz w:val="20"/>
          <w:szCs w:val="20"/>
        </w:rPr>
      </w:pPr>
      <w:r w:rsidRPr="000B19BB">
        <w:rPr>
          <w:rFonts w:ascii="Verdana" w:eastAsia="Century Gothic" w:hAnsi="Verdana" w:cs="Century Gothic"/>
          <w:color w:val="000000" w:themeColor="text1"/>
          <w:sz w:val="20"/>
          <w:szCs w:val="20"/>
        </w:rPr>
        <w:t xml:space="preserve">“[…]Dada la entrada en vigor de la Ley de Garantía Electorales para la escogencia de Presidente de la República y conforme la circular externa No.006 de 2025, proferida por la Agencia Nacional de contratación Colombia Compra Eficiente, nos permitimos elevar la siguiente consulta; </w:t>
      </w:r>
    </w:p>
    <w:p w14:paraId="1A8773C0" w14:textId="77777777" w:rsidR="00B10AE7" w:rsidRPr="000B19BB" w:rsidRDefault="00B10AE7" w:rsidP="00B10AE7">
      <w:pPr>
        <w:spacing w:after="0"/>
        <w:ind w:left="720" w:right="709"/>
        <w:jc w:val="both"/>
        <w:rPr>
          <w:rFonts w:ascii="Verdana" w:eastAsia="Century Gothic" w:hAnsi="Verdana" w:cs="Century Gothic"/>
          <w:color w:val="000000" w:themeColor="text1"/>
          <w:sz w:val="20"/>
          <w:szCs w:val="20"/>
        </w:rPr>
      </w:pPr>
      <w:r w:rsidRPr="000B19BB">
        <w:rPr>
          <w:rFonts w:ascii="Verdana" w:eastAsia="Century Gothic" w:hAnsi="Verdana" w:cs="Century Gothic"/>
          <w:color w:val="000000" w:themeColor="text1"/>
          <w:sz w:val="20"/>
          <w:szCs w:val="20"/>
        </w:rPr>
        <w:t xml:space="preserve">1. Dentro del marco de contratación que adelanta la Caja de Retiro de las Fuerzas Militares y dado que, con los recursos recaudados por concepto de la suscripción de contratos de arrendamiento, se consulta: ¿Son aplicables las restricciones descritas en la ley 996 de 2005 (ley de garantías Electorales) frente a la celebración de los contratos de </w:t>
      </w:r>
      <w:r w:rsidRPr="000B19BB">
        <w:rPr>
          <w:rFonts w:ascii="Verdana" w:eastAsia="Century Gothic" w:hAnsi="Verdana" w:cs="Century Gothic"/>
          <w:color w:val="000000" w:themeColor="text1"/>
          <w:sz w:val="20"/>
          <w:szCs w:val="20"/>
        </w:rPr>
        <w:lastRenderedPageBreak/>
        <w:t xml:space="preserve">arrendamiento con personas naturales y jurídicas privadas, dado que esa modalidad corresponde a contratación Directa por parte de esta Entidad? </w:t>
      </w:r>
    </w:p>
    <w:p w14:paraId="59705308" w14:textId="77777777" w:rsidR="00B10AE7" w:rsidRPr="000B19BB" w:rsidRDefault="00B10AE7" w:rsidP="00B10AE7">
      <w:pPr>
        <w:spacing w:after="0"/>
        <w:ind w:left="720" w:right="709"/>
        <w:jc w:val="both"/>
        <w:rPr>
          <w:rFonts w:ascii="Verdana" w:eastAsia="Century Gothic" w:hAnsi="Verdana" w:cs="Century Gothic"/>
          <w:color w:val="000000" w:themeColor="text1"/>
          <w:sz w:val="20"/>
          <w:szCs w:val="20"/>
        </w:rPr>
      </w:pPr>
      <w:r w:rsidRPr="000B19BB">
        <w:rPr>
          <w:rFonts w:ascii="Verdana" w:eastAsia="Century Gothic" w:hAnsi="Verdana" w:cs="Century Gothic"/>
          <w:color w:val="000000" w:themeColor="text1"/>
          <w:sz w:val="20"/>
          <w:szCs w:val="20"/>
        </w:rPr>
        <w:t xml:space="preserve">2. De ser negativa la respuesta anterior solicitamos incluir los soportes de viabilidad jurídica y legal para la suscripción de contratos de arrendamiento, máxime cuando se trata de una modalidad de contratación directa. </w:t>
      </w:r>
    </w:p>
    <w:p w14:paraId="452E4248" w14:textId="77777777" w:rsidR="00B10AE7" w:rsidRPr="002914E0" w:rsidRDefault="00B10AE7" w:rsidP="00B10AE7">
      <w:pPr>
        <w:spacing w:after="0"/>
        <w:ind w:left="720" w:right="709"/>
        <w:jc w:val="both"/>
        <w:rPr>
          <w:rFonts w:ascii="Verdana" w:eastAsia="Century Gothic" w:hAnsi="Verdana" w:cs="Century Gothic"/>
          <w:color w:val="000000" w:themeColor="text1"/>
          <w:sz w:val="20"/>
          <w:szCs w:val="20"/>
        </w:rPr>
      </w:pPr>
      <w:r w:rsidRPr="000B19BB">
        <w:rPr>
          <w:rFonts w:ascii="Verdana" w:eastAsia="Century Gothic" w:hAnsi="Verdana" w:cs="Century Gothic"/>
          <w:color w:val="000000" w:themeColor="text1"/>
          <w:sz w:val="20"/>
          <w:szCs w:val="20"/>
        </w:rPr>
        <w:t>3.Solicitamos</w:t>
      </w:r>
      <w:r>
        <w:rPr>
          <w:rFonts w:ascii="Verdana" w:eastAsia="Century Gothic" w:hAnsi="Verdana" w:cs="Century Gothic"/>
          <w:color w:val="000000" w:themeColor="text1"/>
          <w:sz w:val="20"/>
          <w:szCs w:val="20"/>
        </w:rPr>
        <w:t xml:space="preserve"> </w:t>
      </w:r>
      <w:r w:rsidRPr="000B19BB">
        <w:rPr>
          <w:rFonts w:ascii="Verdana" w:eastAsia="Century Gothic" w:hAnsi="Verdana" w:cs="Century Gothic"/>
          <w:color w:val="000000" w:themeColor="text1"/>
          <w:sz w:val="20"/>
          <w:szCs w:val="20"/>
        </w:rPr>
        <w:t>se</w:t>
      </w:r>
      <w:r>
        <w:rPr>
          <w:rFonts w:ascii="Verdana" w:eastAsia="Century Gothic" w:hAnsi="Verdana" w:cs="Century Gothic"/>
          <w:color w:val="000000" w:themeColor="text1"/>
          <w:sz w:val="20"/>
          <w:szCs w:val="20"/>
        </w:rPr>
        <w:t xml:space="preserve"> </w:t>
      </w:r>
      <w:r w:rsidRPr="000B19BB">
        <w:rPr>
          <w:rFonts w:ascii="Verdana" w:eastAsia="Century Gothic" w:hAnsi="Verdana" w:cs="Century Gothic"/>
          <w:color w:val="000000" w:themeColor="text1"/>
          <w:sz w:val="20"/>
          <w:szCs w:val="20"/>
        </w:rPr>
        <w:t>indiquen</w:t>
      </w:r>
      <w:r>
        <w:rPr>
          <w:rFonts w:ascii="Verdana" w:eastAsia="Century Gothic" w:hAnsi="Verdana" w:cs="Century Gothic"/>
          <w:color w:val="000000" w:themeColor="text1"/>
          <w:sz w:val="20"/>
          <w:szCs w:val="20"/>
        </w:rPr>
        <w:t xml:space="preserve"> </w:t>
      </w:r>
      <w:r w:rsidRPr="000B19BB">
        <w:rPr>
          <w:rFonts w:ascii="Verdana" w:eastAsia="Century Gothic" w:hAnsi="Verdana" w:cs="Century Gothic"/>
          <w:color w:val="000000" w:themeColor="text1"/>
          <w:sz w:val="20"/>
          <w:szCs w:val="20"/>
        </w:rPr>
        <w:t>las</w:t>
      </w:r>
      <w:r>
        <w:rPr>
          <w:rFonts w:ascii="Verdana" w:eastAsia="Century Gothic" w:hAnsi="Verdana" w:cs="Century Gothic"/>
          <w:color w:val="000000" w:themeColor="text1"/>
          <w:sz w:val="20"/>
          <w:szCs w:val="20"/>
        </w:rPr>
        <w:t xml:space="preserve"> </w:t>
      </w:r>
      <w:r w:rsidRPr="000B19BB">
        <w:rPr>
          <w:rFonts w:ascii="Verdana" w:eastAsia="Century Gothic" w:hAnsi="Verdana" w:cs="Century Gothic"/>
          <w:color w:val="000000" w:themeColor="text1"/>
          <w:sz w:val="20"/>
          <w:szCs w:val="20"/>
        </w:rPr>
        <w:t>condiciones</w:t>
      </w:r>
      <w:r>
        <w:rPr>
          <w:rFonts w:ascii="Verdana" w:eastAsia="Century Gothic" w:hAnsi="Verdana" w:cs="Century Gothic"/>
          <w:color w:val="000000" w:themeColor="text1"/>
          <w:sz w:val="20"/>
          <w:szCs w:val="20"/>
        </w:rPr>
        <w:t xml:space="preserve"> </w:t>
      </w:r>
      <w:r w:rsidRPr="000B19BB">
        <w:rPr>
          <w:rFonts w:ascii="Verdana" w:eastAsia="Century Gothic" w:hAnsi="Verdana" w:cs="Century Gothic"/>
          <w:color w:val="000000" w:themeColor="text1"/>
          <w:sz w:val="20"/>
          <w:szCs w:val="20"/>
        </w:rPr>
        <w:t>y</w:t>
      </w:r>
      <w:r>
        <w:rPr>
          <w:rFonts w:ascii="Verdana" w:eastAsia="Century Gothic" w:hAnsi="Verdana" w:cs="Century Gothic"/>
          <w:color w:val="000000" w:themeColor="text1"/>
          <w:sz w:val="20"/>
          <w:szCs w:val="20"/>
        </w:rPr>
        <w:t xml:space="preserve"> </w:t>
      </w:r>
      <w:r w:rsidRPr="000B19BB">
        <w:rPr>
          <w:rFonts w:ascii="Verdana" w:eastAsia="Century Gothic" w:hAnsi="Verdana" w:cs="Century Gothic"/>
          <w:color w:val="000000" w:themeColor="text1"/>
          <w:sz w:val="20"/>
          <w:szCs w:val="20"/>
        </w:rPr>
        <w:t>limitaciones</w:t>
      </w:r>
      <w:r>
        <w:rPr>
          <w:rFonts w:ascii="Verdana" w:eastAsia="Century Gothic" w:hAnsi="Verdana" w:cs="Century Gothic"/>
          <w:color w:val="000000" w:themeColor="text1"/>
          <w:sz w:val="20"/>
          <w:szCs w:val="20"/>
        </w:rPr>
        <w:t xml:space="preserve"> </w:t>
      </w:r>
      <w:r w:rsidRPr="000B19BB">
        <w:rPr>
          <w:rFonts w:ascii="Verdana" w:eastAsia="Century Gothic" w:hAnsi="Verdana" w:cs="Century Gothic"/>
          <w:color w:val="000000" w:themeColor="text1"/>
          <w:sz w:val="20"/>
          <w:szCs w:val="20"/>
        </w:rPr>
        <w:t>que</w:t>
      </w:r>
      <w:r>
        <w:rPr>
          <w:rFonts w:ascii="Verdana" w:eastAsia="Century Gothic" w:hAnsi="Verdana" w:cs="Century Gothic"/>
          <w:color w:val="000000" w:themeColor="text1"/>
          <w:sz w:val="20"/>
          <w:szCs w:val="20"/>
        </w:rPr>
        <w:t xml:space="preserve"> </w:t>
      </w:r>
      <w:r w:rsidRPr="000B19BB">
        <w:rPr>
          <w:rFonts w:ascii="Verdana" w:eastAsia="Century Gothic" w:hAnsi="Verdana" w:cs="Century Gothic"/>
          <w:color w:val="000000" w:themeColor="text1"/>
          <w:sz w:val="20"/>
          <w:szCs w:val="20"/>
        </w:rPr>
        <w:t>deben</w:t>
      </w:r>
      <w:r>
        <w:rPr>
          <w:rFonts w:ascii="Verdana" w:eastAsia="Century Gothic" w:hAnsi="Verdana" w:cs="Century Gothic"/>
          <w:color w:val="000000" w:themeColor="text1"/>
          <w:sz w:val="20"/>
          <w:szCs w:val="20"/>
        </w:rPr>
        <w:t xml:space="preserve"> </w:t>
      </w:r>
      <w:r w:rsidRPr="000B19BB">
        <w:rPr>
          <w:rFonts w:ascii="Verdana" w:eastAsia="Century Gothic" w:hAnsi="Verdana" w:cs="Century Gothic"/>
          <w:color w:val="000000" w:themeColor="text1"/>
          <w:sz w:val="20"/>
          <w:szCs w:val="20"/>
        </w:rPr>
        <w:t>considerarse</w:t>
      </w:r>
      <w:r>
        <w:rPr>
          <w:rFonts w:ascii="Verdana" w:eastAsia="Century Gothic" w:hAnsi="Verdana" w:cs="Century Gothic"/>
          <w:color w:val="000000" w:themeColor="text1"/>
          <w:sz w:val="20"/>
          <w:szCs w:val="20"/>
        </w:rPr>
        <w:t xml:space="preserve"> </w:t>
      </w:r>
      <w:r w:rsidRPr="000B19BB">
        <w:rPr>
          <w:rFonts w:ascii="Verdana" w:eastAsia="Century Gothic" w:hAnsi="Verdana" w:cs="Century Gothic"/>
          <w:color w:val="000000" w:themeColor="text1"/>
          <w:sz w:val="20"/>
          <w:szCs w:val="20"/>
        </w:rPr>
        <w:t xml:space="preserve">para evitar extralimitaciones en el ejercicio de las facultades de contratación directa, en cumplimiento con los principios de legalidad, transparencia y buena fe administrativa”. </w:t>
      </w:r>
    </w:p>
    <w:p w14:paraId="1AB19EF9" w14:textId="77777777" w:rsidR="00B10AE7" w:rsidRPr="0017378C" w:rsidRDefault="00B10AE7" w:rsidP="00B10AE7">
      <w:pPr>
        <w:spacing w:after="0"/>
        <w:ind w:left="709" w:right="709"/>
        <w:jc w:val="both"/>
        <w:rPr>
          <w:rFonts w:ascii="Verdana" w:eastAsia="Century Gothic" w:hAnsi="Verdana" w:cs="Century Gothic"/>
          <w:i/>
          <w:iCs/>
          <w:color w:val="000000" w:themeColor="text1"/>
          <w:sz w:val="20"/>
          <w:szCs w:val="20"/>
          <w:lang w:val="es-ES"/>
        </w:rPr>
      </w:pPr>
    </w:p>
    <w:p w14:paraId="2B2C6FA1" w14:textId="77777777" w:rsidR="00B10AE7" w:rsidRPr="0017378C" w:rsidRDefault="00B10AE7" w:rsidP="00B10AE7">
      <w:pPr>
        <w:spacing w:after="0" w:line="276" w:lineRule="auto"/>
        <w:ind w:firstLine="708"/>
        <w:contextualSpacing/>
        <w:jc w:val="both"/>
        <w:rPr>
          <w:rFonts w:ascii="Verdana" w:eastAsia="Calibri" w:hAnsi="Verdana" w:cs="Arial"/>
          <w:color w:val="000000" w:themeColor="text1"/>
          <w:szCs w:val="24"/>
          <w:lang w:val="es-ES" w:eastAsia="es-ES_tradnl"/>
        </w:rPr>
      </w:pPr>
      <w:bookmarkStart w:id="1" w:name="_Hlk135067441"/>
      <w:r w:rsidRPr="0017378C">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7378C">
        <w:rPr>
          <w:rFonts w:ascii="Verdana" w:eastAsia="Calibri" w:hAnsi="Verdana" w:cs="Arial"/>
          <w:color w:val="000000" w:themeColor="text1"/>
          <w:szCs w:val="24"/>
          <w:lang w:val="es-ES" w:eastAsia="es-ES_tradnl"/>
        </w:rPr>
        <w:tab/>
      </w:r>
    </w:p>
    <w:p w14:paraId="62C33DAA" w14:textId="77777777" w:rsidR="00B10AE7" w:rsidRPr="0017378C" w:rsidRDefault="00B10AE7" w:rsidP="00B10AE7">
      <w:pPr>
        <w:spacing w:before="120" w:after="120" w:line="276" w:lineRule="auto"/>
        <w:ind w:firstLine="709"/>
        <w:jc w:val="both"/>
        <w:rPr>
          <w:rFonts w:ascii="Verdana" w:eastAsia="Calibri" w:hAnsi="Verdana" w:cs="Arial"/>
          <w:color w:val="000000" w:themeColor="text1"/>
          <w:lang w:val="es-ES" w:eastAsia="es-ES"/>
        </w:rPr>
      </w:pPr>
      <w:r w:rsidRPr="0017378C">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bookmarkEnd w:id="1"/>
    <w:p w14:paraId="77219C37" w14:textId="77777777" w:rsidR="00B10AE7" w:rsidRPr="0017378C" w:rsidRDefault="00B10AE7" w:rsidP="00B10AE7">
      <w:pPr>
        <w:spacing w:after="0" w:line="276" w:lineRule="auto"/>
        <w:jc w:val="both"/>
        <w:rPr>
          <w:rFonts w:ascii="Verdana" w:eastAsia="Calibri" w:hAnsi="Verdana" w:cs="Arial"/>
          <w:color w:val="000000" w:themeColor="text1"/>
          <w:lang w:val="es-ES" w:eastAsia="es-ES"/>
        </w:rPr>
      </w:pPr>
    </w:p>
    <w:p w14:paraId="5F72D4AD" w14:textId="77777777" w:rsidR="00B10AE7" w:rsidRPr="0017378C" w:rsidRDefault="00B10AE7" w:rsidP="00B10AE7">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7378C">
        <w:rPr>
          <w:rFonts w:ascii="Verdana" w:eastAsia="Century Gothic" w:hAnsi="Verdana" w:cs="Century Gothic"/>
          <w:b/>
          <w:bCs/>
          <w:color w:val="000000" w:themeColor="text1"/>
        </w:rPr>
        <w:t>Problema planteado:</w:t>
      </w:r>
    </w:p>
    <w:p w14:paraId="5355E3DD" w14:textId="77777777" w:rsidR="00B10AE7" w:rsidRPr="0017378C" w:rsidRDefault="00B10AE7" w:rsidP="00B10AE7">
      <w:pPr>
        <w:tabs>
          <w:tab w:val="left" w:pos="426"/>
        </w:tabs>
        <w:spacing w:after="0" w:line="276" w:lineRule="auto"/>
        <w:jc w:val="both"/>
        <w:rPr>
          <w:rFonts w:ascii="Verdana" w:eastAsia="Century Gothic" w:hAnsi="Verdana" w:cs="Century Gothic"/>
          <w:color w:val="000000" w:themeColor="text1"/>
          <w:lang w:val="es-ES"/>
        </w:rPr>
      </w:pPr>
    </w:p>
    <w:p w14:paraId="21136828" w14:textId="77777777" w:rsidR="00B10AE7" w:rsidRPr="0017378C" w:rsidRDefault="00B10AE7" w:rsidP="00B10AE7">
      <w:pPr>
        <w:spacing w:after="0" w:line="276" w:lineRule="auto"/>
        <w:jc w:val="both"/>
        <w:rPr>
          <w:rFonts w:ascii="Verdana" w:eastAsia="Century Gothic" w:hAnsi="Verdana" w:cs="Century Gothic"/>
          <w:color w:val="000000" w:themeColor="text1"/>
          <w:lang w:val="es-ES"/>
        </w:rPr>
      </w:pPr>
      <w:r w:rsidRPr="0017378C">
        <w:rPr>
          <w:rFonts w:ascii="Verdana" w:eastAsia="Century Gothic" w:hAnsi="Verdana" w:cs="Century Gothic"/>
          <w:color w:val="000000" w:themeColor="text1"/>
          <w:lang w:val="es-ES"/>
        </w:rPr>
        <w:t>De acuerdo con el contenido de su solicitud, esta Agencia resolverá el siguiente problema jurídico:</w:t>
      </w:r>
      <w:r w:rsidRPr="000B19BB">
        <w:rPr>
          <w:rFonts w:ascii="Verdana" w:eastAsia="Century Gothic" w:hAnsi="Verdana" w:cs="Century Gothic"/>
        </w:rPr>
        <w:t xml:space="preserve"> </w:t>
      </w:r>
      <w:r w:rsidRPr="00CC5C68">
        <w:rPr>
          <w:rFonts w:ascii="Verdana" w:eastAsia="Century Gothic" w:hAnsi="Verdana" w:cs="Century Gothic"/>
        </w:rPr>
        <w:t>¿</w:t>
      </w:r>
      <w:r>
        <w:rPr>
          <w:rFonts w:ascii="Verdana" w:eastAsia="Century Gothic" w:hAnsi="Verdana" w:cs="Century Gothic"/>
        </w:rPr>
        <w:t xml:space="preserve">La restricción a la contratación directa de la Ley de garantías aplica a la celebración de contratos de arrendamiento entre entidades estatales y personas de derecho privado? </w:t>
      </w:r>
    </w:p>
    <w:p w14:paraId="008F9C54" w14:textId="77777777" w:rsidR="00B10AE7" w:rsidRPr="0017378C" w:rsidRDefault="00B10AE7" w:rsidP="00B10AE7">
      <w:pPr>
        <w:spacing w:after="0" w:line="276" w:lineRule="auto"/>
        <w:jc w:val="both"/>
        <w:rPr>
          <w:rFonts w:ascii="Verdana" w:eastAsia="Calibri" w:hAnsi="Verdana" w:cs="Arial"/>
          <w:color w:val="000000" w:themeColor="text1"/>
          <w:lang w:val="es-ES"/>
        </w:rPr>
      </w:pPr>
    </w:p>
    <w:p w14:paraId="206CF52B" w14:textId="77777777" w:rsidR="00B10AE7" w:rsidRPr="0017378C" w:rsidRDefault="00B10AE7" w:rsidP="00B10AE7">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7378C">
        <w:rPr>
          <w:rFonts w:ascii="Verdana" w:eastAsia="Century Gothic" w:hAnsi="Verdana" w:cs="Century Gothic"/>
          <w:b/>
          <w:bCs/>
          <w:color w:val="000000" w:themeColor="text1"/>
        </w:rPr>
        <w:t>Respuesta:</w:t>
      </w:r>
    </w:p>
    <w:p w14:paraId="0F06445F" w14:textId="77777777" w:rsidR="00B10AE7" w:rsidRPr="0017378C" w:rsidRDefault="00B10AE7" w:rsidP="00B10AE7">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10AE7" w:rsidRPr="0017378C" w14:paraId="55519256" w14:textId="77777777" w:rsidTr="00F50545">
        <w:tc>
          <w:tcPr>
            <w:tcW w:w="8828" w:type="dxa"/>
          </w:tcPr>
          <w:p w14:paraId="7E79B601" w14:textId="77777777" w:rsidR="00B10AE7" w:rsidRDefault="00B10AE7" w:rsidP="00F50545">
            <w:pPr>
              <w:spacing w:after="120" w:line="276" w:lineRule="auto"/>
              <w:jc w:val="both"/>
              <w:rPr>
                <w:rFonts w:ascii="Verdana" w:eastAsia="Times New Roman" w:hAnsi="Verdana" w:cs="Arial"/>
                <w:lang w:eastAsia="x-none"/>
              </w:rPr>
            </w:pPr>
            <w:r w:rsidRPr="00596A79">
              <w:rPr>
                <w:rFonts w:ascii="Verdana" w:eastAsia="Times New Roman" w:hAnsi="Verdana" w:cs="Arial"/>
                <w:color w:val="000000"/>
                <w:szCs w:val="24"/>
                <w:lang w:val="es-ES_tradnl" w:eastAsia="es-ES_tradnl"/>
              </w:rPr>
              <w:t xml:space="preserve"> </w:t>
            </w:r>
            <w:bookmarkStart w:id="2" w:name="_Hlk78818702"/>
            <w:r>
              <w:rPr>
                <w:rFonts w:ascii="Verdana" w:eastAsia="Times New Roman" w:hAnsi="Verdana" w:cs="Arial"/>
                <w:lang w:eastAsia="x-none"/>
              </w:rPr>
              <w:t>L</w:t>
            </w:r>
            <w:r w:rsidRPr="00F02C5A">
              <w:rPr>
                <w:rFonts w:ascii="Verdana" w:eastAsia="Times New Roman" w:hAnsi="Verdana" w:cs="Arial"/>
                <w:lang w:eastAsia="x-none"/>
              </w:rPr>
              <w:t xml:space="preserve">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por lo que excluye las demás modalidades de contratación previstas en la Ley 1150 de 2007, es decir, la licitación pública, la selección abreviada y el concurso de méritos u otros previstos en normas especiales.</w:t>
            </w:r>
            <w:bookmarkEnd w:id="2"/>
          </w:p>
          <w:p w14:paraId="6CF46160" w14:textId="77777777" w:rsidR="00B10AE7" w:rsidRDefault="00B10AE7" w:rsidP="00F50545">
            <w:pPr>
              <w:spacing w:before="120" w:after="120" w:line="276" w:lineRule="auto"/>
              <w:ind w:firstLine="709"/>
              <w:jc w:val="both"/>
              <w:rPr>
                <w:rFonts w:ascii="Verdana" w:eastAsia="Times New Roman" w:hAnsi="Verdana" w:cs="Arial"/>
                <w:lang w:eastAsia="x-none"/>
              </w:rPr>
            </w:pPr>
            <w:r>
              <w:rPr>
                <w:rFonts w:ascii="Verdana" w:eastAsia="Times New Roman" w:hAnsi="Verdana" w:cs="Arial"/>
                <w:lang w:eastAsia="x-none"/>
              </w:rPr>
              <w:t xml:space="preserve">Por tanto, teniendo en cuenta que </w:t>
            </w:r>
            <w:r w:rsidRPr="00F81DDB">
              <w:rPr>
                <w:rFonts w:ascii="Verdana" w:eastAsia="Times New Roman" w:hAnsi="Verdana" w:cs="Arial"/>
                <w:lang w:eastAsia="x-none"/>
              </w:rPr>
              <w:t>el literal i) del numeral 4° del artículo 2º de la Ley 1150 de 2007 establece que una de las causales de este procedimiento es: “i) El arrendamiento o adquisición de inmuebles”</w:t>
            </w:r>
            <w:r>
              <w:rPr>
                <w:rFonts w:ascii="Verdana" w:eastAsia="Times New Roman" w:hAnsi="Verdana" w:cs="Arial"/>
                <w:lang w:eastAsia="x-none"/>
              </w:rPr>
              <w:t>; y a</w:t>
            </w:r>
            <w:r w:rsidRPr="00F81DDB">
              <w:rPr>
                <w:rFonts w:ascii="Verdana" w:eastAsia="Times New Roman" w:hAnsi="Verdana" w:cs="Arial"/>
                <w:lang w:eastAsia="x-none"/>
              </w:rPr>
              <w:t>dicionalmente, el artículo 2.2.1.2.1.4.11 del Decreto 1082 de 2015 dispone que las Entidades Estatales pueden alquilar o arrendar inmuebles mediante contratación directa</w:t>
            </w:r>
            <w:r>
              <w:rPr>
                <w:rFonts w:ascii="Verdana" w:eastAsia="Times New Roman" w:hAnsi="Verdana" w:cs="Arial"/>
                <w:lang w:eastAsia="x-none"/>
              </w:rPr>
              <w:t xml:space="preserve">; esta contratación, al ser directa, se encuentra cobijada por la prohibición del artículo 33 de la Ley de Garantías Electorales, ya que como se señaló en el párrafo anterior, la prohibición es amplia y aplica a </w:t>
            </w:r>
            <w:r w:rsidRPr="00EB2480">
              <w:rPr>
                <w:rFonts w:ascii="Verdana" w:eastAsia="Times New Roman" w:hAnsi="Verdana" w:cs="Arial"/>
                <w:i/>
                <w:iCs/>
                <w:lang w:eastAsia="x-none"/>
              </w:rPr>
              <w:t>toda la contratación que no implique convocatoria pública</w:t>
            </w:r>
            <w:r>
              <w:rPr>
                <w:rFonts w:ascii="Verdana" w:eastAsia="Times New Roman" w:hAnsi="Verdana" w:cs="Arial"/>
                <w:lang w:eastAsia="x-none"/>
              </w:rPr>
              <w:t>.</w:t>
            </w:r>
          </w:p>
          <w:p w14:paraId="1E48437B" w14:textId="6D314B26" w:rsidR="00B10AE7" w:rsidRPr="00964EA8" w:rsidRDefault="00A26DC8" w:rsidP="00F50545">
            <w:pPr>
              <w:spacing w:before="120" w:after="120" w:line="276" w:lineRule="auto"/>
              <w:ind w:firstLine="709"/>
              <w:jc w:val="both"/>
              <w:rPr>
                <w:rFonts w:ascii="Verdana" w:eastAsia="Verdana" w:hAnsi="Verdana" w:cs="Verdana"/>
              </w:rPr>
            </w:pPr>
            <w:r>
              <w:rPr>
                <w:rFonts w:ascii="Verdana" w:eastAsia="Times New Roman" w:hAnsi="Verdana" w:cs="Arial"/>
                <w:lang w:eastAsia="x-none"/>
              </w:rPr>
              <w:t>De esta manera, la celebración de contratos de arrendamiento, de manera directa, en vigencia de</w:t>
            </w:r>
            <w:r w:rsidR="00971375">
              <w:rPr>
                <w:rFonts w:ascii="Verdana" w:eastAsia="Times New Roman" w:hAnsi="Verdana" w:cs="Arial"/>
                <w:lang w:eastAsia="x-none"/>
              </w:rPr>
              <w:t xml:space="preserve"> la restricción del artículo 33, no resulta en principio viable. Esto sin perjuicio, de la posibilidad de que se celebren, si el contrato se subsume dentro de alguna de las excepciones estipuladas en el artículo 33. </w:t>
            </w:r>
          </w:p>
        </w:tc>
      </w:tr>
    </w:tbl>
    <w:p w14:paraId="3567C01D" w14:textId="77777777" w:rsidR="00B10AE7" w:rsidRPr="0017378C" w:rsidRDefault="00B10AE7" w:rsidP="00B10AE7">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6841EE53" w14:textId="77777777" w:rsidR="00B10AE7" w:rsidRPr="0017378C" w:rsidRDefault="00B10AE7" w:rsidP="00B10AE7">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7378C">
        <w:rPr>
          <w:rFonts w:ascii="Verdana" w:eastAsia="Century Gothic" w:hAnsi="Verdana" w:cs="Century Gothic"/>
          <w:b/>
          <w:bCs/>
          <w:color w:val="000000" w:themeColor="text1"/>
        </w:rPr>
        <w:t>Razones de la respuesta:</w:t>
      </w:r>
    </w:p>
    <w:p w14:paraId="4460E588" w14:textId="77777777" w:rsidR="00B10AE7" w:rsidRPr="0017378C" w:rsidRDefault="00B10AE7" w:rsidP="00B10AE7">
      <w:pPr>
        <w:spacing w:after="0" w:line="276" w:lineRule="auto"/>
        <w:jc w:val="both"/>
        <w:rPr>
          <w:rFonts w:ascii="Verdana" w:eastAsia="Calibri" w:hAnsi="Verdana" w:cs="Arial"/>
          <w:color w:val="000000" w:themeColor="text1"/>
          <w:lang w:val="es-ES"/>
        </w:rPr>
      </w:pPr>
    </w:p>
    <w:p w14:paraId="54526427" w14:textId="77777777" w:rsidR="00B10AE7" w:rsidRPr="0017378C" w:rsidRDefault="00B10AE7" w:rsidP="00B10AE7">
      <w:pPr>
        <w:spacing w:after="0" w:line="276" w:lineRule="auto"/>
        <w:jc w:val="both"/>
        <w:rPr>
          <w:rFonts w:ascii="Verdana" w:eastAsia="Calibri" w:hAnsi="Verdana" w:cs="Arial"/>
          <w:color w:val="000000" w:themeColor="text1"/>
          <w:lang w:val="es-ES"/>
        </w:rPr>
      </w:pPr>
      <w:r w:rsidRPr="0017378C">
        <w:rPr>
          <w:rFonts w:ascii="Verdana" w:eastAsia="Calibri" w:hAnsi="Verdana" w:cs="Arial"/>
          <w:color w:val="000000" w:themeColor="text1"/>
          <w:lang w:val="es-ES"/>
        </w:rPr>
        <w:t xml:space="preserve">Lo anterior se sustenta en las siguientes consideraciones: </w:t>
      </w:r>
    </w:p>
    <w:p w14:paraId="77D90C86" w14:textId="77777777" w:rsidR="00B10AE7" w:rsidRDefault="00B10AE7" w:rsidP="00B10AE7">
      <w:pPr>
        <w:spacing w:after="0" w:line="276" w:lineRule="auto"/>
        <w:jc w:val="both"/>
        <w:rPr>
          <w:rFonts w:ascii="Verdana" w:eastAsia="Calibri" w:hAnsi="Verdana" w:cs="Arial"/>
          <w:color w:val="000000" w:themeColor="text1"/>
          <w:lang w:val="es-ES"/>
        </w:rPr>
      </w:pPr>
    </w:p>
    <w:p w14:paraId="5CC26125" w14:textId="77777777" w:rsidR="00B10AE7" w:rsidRPr="00F02C5A" w:rsidRDefault="00B10AE7" w:rsidP="00B10AE7">
      <w:pPr>
        <w:spacing w:after="0" w:line="276" w:lineRule="auto"/>
        <w:contextualSpacing/>
        <w:jc w:val="both"/>
        <w:rPr>
          <w:rFonts w:ascii="Verdana" w:eastAsia="Times New Roman" w:hAnsi="Verdana" w:cs="Arial"/>
          <w:lang w:val="es-MX" w:eastAsia="es-CO"/>
        </w:rPr>
      </w:pPr>
      <w:r w:rsidRPr="00F02C5A">
        <w:rPr>
          <w:rFonts w:ascii="Verdana" w:eastAsia="Times New Roman" w:hAnsi="Verdana" w:cs="Arial"/>
          <w:lang w:val="es-MX" w:eastAsia="x-none"/>
        </w:rPr>
        <w:t xml:space="preserve">El ámbito material de la prohibición contenida </w:t>
      </w:r>
      <w:bookmarkStart w:id="3" w:name="_Hlk75628761"/>
      <w:r w:rsidRPr="00F02C5A">
        <w:rPr>
          <w:rFonts w:ascii="Verdana" w:eastAsia="Times New Roman" w:hAnsi="Verdana" w:cs="Arial"/>
          <w:lang w:val="es-MX" w:eastAsia="x-none"/>
        </w:rPr>
        <w:t xml:space="preserve">en el artículo 33 de la Ley 996 de 2005 </w:t>
      </w:r>
      <w:bookmarkEnd w:id="3"/>
      <w:r w:rsidRPr="00F02C5A">
        <w:rPr>
          <w:rFonts w:ascii="Verdana" w:eastAsia="Times New Roman" w:hAnsi="Verdana" w:cs="Arial"/>
          <w:lang w:val="es-MX" w:eastAsia="x-none"/>
        </w:rPr>
        <w:t xml:space="preserve">está delimitado por la expresión </w:t>
      </w:r>
      <w:r w:rsidRPr="00F02C5A">
        <w:rPr>
          <w:rFonts w:ascii="Verdana" w:eastAsia="Calibri" w:hAnsi="Verdana" w:cs="Arial"/>
          <w:sz w:val="20"/>
          <w:szCs w:val="20"/>
          <w:lang w:val="es-MX"/>
        </w:rPr>
        <w:t>“</w:t>
      </w:r>
      <w:r w:rsidRPr="00F02C5A">
        <w:rPr>
          <w:rFonts w:ascii="Verdana" w:eastAsia="Times New Roman" w:hAnsi="Verdana" w:cs="Arial"/>
          <w:lang w:val="es-MX" w:eastAsia="x-none"/>
        </w:rPr>
        <w:t>queda prohibida la contratación directa</w:t>
      </w:r>
      <w:r w:rsidRPr="00F02C5A">
        <w:rPr>
          <w:rFonts w:ascii="Verdana" w:eastAsia="Calibri" w:hAnsi="Verdana" w:cs="Arial"/>
          <w:sz w:val="20"/>
          <w:szCs w:val="20"/>
          <w:lang w:val="es-MX"/>
        </w:rPr>
        <w:t>”</w:t>
      </w:r>
      <w:r w:rsidRPr="00F02C5A">
        <w:rPr>
          <w:rFonts w:ascii="Verdana" w:eastAsia="Times New Roman" w:hAnsi="Verdana" w:cs="Arial"/>
          <w:lang w:val="es-MX" w:eastAsia="x-none"/>
        </w:rPr>
        <w:t>.</w:t>
      </w:r>
      <w:r w:rsidRPr="00F02C5A">
        <w:rPr>
          <w:rFonts w:ascii="Verdana" w:eastAsia="Times New Roman" w:hAnsi="Verdana" w:cs="Arial"/>
          <w:lang w:val="es-MX" w:eastAsia="es-CO"/>
        </w:rPr>
        <w:t xml:space="preserve"> A propósito de </w:t>
      </w:r>
      <w:r w:rsidRPr="00F02C5A">
        <w:rPr>
          <w:rFonts w:ascii="Verdana" w:eastAsia="Times New Roman" w:hAnsi="Verdana" w:cs="Arial"/>
          <w:lang w:eastAsia="es-CO"/>
        </w:rPr>
        <w:t>esta restricción de la Ley de Garantías Electorales, la Sala de Consulta y Servicio Civil del Consejo de Estado ha considerado que:</w:t>
      </w:r>
    </w:p>
    <w:p w14:paraId="2815BB02" w14:textId="77777777" w:rsidR="00B10AE7" w:rsidRPr="00F02C5A" w:rsidRDefault="00B10AE7" w:rsidP="00B10AE7">
      <w:pPr>
        <w:spacing w:after="0" w:line="276" w:lineRule="auto"/>
        <w:ind w:left="708" w:right="709"/>
        <w:contextualSpacing/>
        <w:jc w:val="both"/>
        <w:rPr>
          <w:rFonts w:ascii="Verdana" w:eastAsia="Calibri" w:hAnsi="Verdana" w:cs="Arial"/>
          <w:sz w:val="21"/>
          <w:szCs w:val="21"/>
          <w:lang w:val="es-MX"/>
        </w:rPr>
      </w:pPr>
    </w:p>
    <w:p w14:paraId="64B40B26" w14:textId="77777777" w:rsidR="00B10AE7" w:rsidRPr="00F02C5A" w:rsidRDefault="00B10AE7" w:rsidP="00B10AE7">
      <w:pPr>
        <w:spacing w:after="0" w:line="240" w:lineRule="auto"/>
        <w:ind w:left="709"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w:t>
      </w:r>
      <w:r w:rsidRPr="00F02C5A">
        <w:rPr>
          <w:rFonts w:ascii="Verdana" w:eastAsia="Calibri" w:hAnsi="Verdana" w:cs="Arial"/>
          <w:sz w:val="21"/>
          <w:szCs w:val="21"/>
          <w:lang w:val="es-MX"/>
        </w:rPr>
        <w:lastRenderedPageBreak/>
        <w:t>(numeral 4, artículo 2, ley 1150 de 2007), y cumpliendo siempre los principios que rigen la contratación pública</w:t>
      </w:r>
      <w:r w:rsidRPr="00F02C5A">
        <w:rPr>
          <w:rFonts w:ascii="Verdana" w:eastAsia="Times New Roman" w:hAnsi="Verdana" w:cs="Arial"/>
          <w:vertAlign w:val="superscript"/>
          <w:lang w:eastAsia="es-CO"/>
        </w:rPr>
        <w:footnoteReference w:id="2"/>
      </w:r>
      <w:r w:rsidRPr="00F02C5A">
        <w:rPr>
          <w:rFonts w:ascii="Verdana" w:eastAsia="Calibri" w:hAnsi="Verdana" w:cs="Arial"/>
          <w:sz w:val="21"/>
          <w:szCs w:val="21"/>
          <w:lang w:val="es-MX"/>
        </w:rPr>
        <w:t>.</w:t>
      </w:r>
    </w:p>
    <w:p w14:paraId="6A1C9F52" w14:textId="77777777" w:rsidR="00B10AE7" w:rsidRPr="00F02C5A" w:rsidRDefault="00B10AE7" w:rsidP="00B10AE7">
      <w:pPr>
        <w:spacing w:after="0" w:line="240" w:lineRule="auto"/>
        <w:ind w:left="709" w:right="709"/>
        <w:contextualSpacing/>
        <w:jc w:val="both"/>
        <w:rPr>
          <w:rFonts w:ascii="Verdana" w:eastAsia="Calibri" w:hAnsi="Verdana" w:cs="Arial"/>
          <w:sz w:val="12"/>
          <w:szCs w:val="12"/>
          <w:lang w:val="es-MX"/>
        </w:rPr>
      </w:pPr>
    </w:p>
    <w:p w14:paraId="671909EB" w14:textId="77777777" w:rsidR="00B10AE7" w:rsidRPr="00F02C5A" w:rsidRDefault="00B10AE7" w:rsidP="00B10AE7">
      <w:pPr>
        <w:spacing w:after="0" w:line="240" w:lineRule="auto"/>
        <w:ind w:left="708"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 xml:space="preserve">Esta Sala ha entendido que para los efectos de la ley de garantías, y dada su finalidad, el enunciado ´contratación directa´ es sinónimo </w:t>
      </w:r>
      <w:bookmarkStart w:id="4" w:name="_Hlk75741738"/>
      <w:r w:rsidRPr="00F02C5A">
        <w:rPr>
          <w:rFonts w:ascii="Verdana" w:eastAsia="Calibri" w:hAnsi="Verdana" w:cs="Arial"/>
          <w:sz w:val="21"/>
          <w:szCs w:val="21"/>
          <w:lang w:val="es-MX"/>
        </w:rPr>
        <w:t xml:space="preserve">de cualquier sistema que no implique convocatoria pública y posibilidad de pluralidad de oferentes, </w:t>
      </w:r>
      <w:bookmarkEnd w:id="4"/>
      <w:r w:rsidRPr="00F02C5A">
        <w:rPr>
          <w:rFonts w:ascii="Verdana" w:eastAsia="Calibri" w:hAnsi="Verdana" w:cs="Arial"/>
          <w:sz w:val="21"/>
          <w:szCs w:val="21"/>
          <w:lang w:val="es-MX"/>
        </w:rPr>
        <w:t>y que, además, no necesariamente hace referencia al procedimiento especial regulado por la ley de contratación estatal, sino a cualquier otro que prescinda de un proceso de licitación pública o concurso</w:t>
      </w:r>
      <w:r w:rsidRPr="00F02C5A">
        <w:rPr>
          <w:rFonts w:ascii="Verdana" w:eastAsia="Times New Roman" w:hAnsi="Verdana" w:cs="Arial"/>
          <w:sz w:val="21"/>
          <w:szCs w:val="21"/>
          <w:vertAlign w:val="superscript"/>
          <w:lang w:val="es-MX"/>
        </w:rPr>
        <w:footnoteReference w:id="3"/>
      </w:r>
      <w:r w:rsidRPr="00F02C5A">
        <w:rPr>
          <w:rFonts w:ascii="Verdana" w:eastAsia="Times New Roman" w:hAnsi="Verdana" w:cs="Arial"/>
          <w:sz w:val="21"/>
          <w:szCs w:val="21"/>
          <w:vertAlign w:val="superscript"/>
          <w:lang w:val="es-MX"/>
        </w:rPr>
        <w:t>.</w:t>
      </w:r>
      <w:r w:rsidRPr="00F02C5A">
        <w:rPr>
          <w:rFonts w:ascii="Verdana" w:eastAsia="Calibri" w:hAnsi="Verdana" w:cs="Arial"/>
          <w:sz w:val="21"/>
          <w:szCs w:val="21"/>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02C5A">
        <w:rPr>
          <w:rFonts w:ascii="Verdana" w:eastAsia="Times New Roman" w:hAnsi="Verdana" w:cs="Arial"/>
          <w:vertAlign w:val="superscript"/>
          <w:lang w:eastAsia="es-CO"/>
        </w:rPr>
        <w:footnoteReference w:id="4"/>
      </w:r>
      <w:r w:rsidRPr="00F02C5A">
        <w:rPr>
          <w:rFonts w:ascii="Verdana" w:eastAsia="Calibri" w:hAnsi="Verdana" w:cs="Arial"/>
          <w:sz w:val="21"/>
          <w:szCs w:val="21"/>
          <w:lang w:val="es-MX"/>
        </w:rPr>
        <w:t xml:space="preserve"> .</w:t>
      </w:r>
    </w:p>
    <w:p w14:paraId="469E633F" w14:textId="77777777" w:rsidR="00B10AE7" w:rsidRPr="00F02C5A" w:rsidRDefault="00B10AE7" w:rsidP="00B10AE7">
      <w:pPr>
        <w:shd w:val="clear" w:color="auto" w:fill="FFFFFF"/>
        <w:spacing w:after="0" w:line="276" w:lineRule="auto"/>
        <w:ind w:firstLine="709"/>
        <w:contextualSpacing/>
        <w:jc w:val="both"/>
        <w:rPr>
          <w:rFonts w:ascii="Verdana" w:eastAsia="Times New Roman" w:hAnsi="Verdana" w:cs="Arial"/>
          <w:lang w:eastAsia="x-none"/>
        </w:rPr>
      </w:pPr>
    </w:p>
    <w:p w14:paraId="455250C9" w14:textId="77777777" w:rsidR="00B10AE7" w:rsidRPr="00F02C5A" w:rsidRDefault="00B10AE7" w:rsidP="00B10AE7">
      <w:pPr>
        <w:spacing w:after="120" w:line="276" w:lineRule="auto"/>
        <w:ind w:firstLine="709"/>
        <w:jc w:val="both"/>
        <w:rPr>
          <w:rFonts w:ascii="Verdana" w:eastAsia="Times New Roman" w:hAnsi="Verdana" w:cs="Arial"/>
          <w:lang w:eastAsia="x-none"/>
        </w:rPr>
      </w:pPr>
      <w:bookmarkStart w:id="6" w:name="_Hlk94521748"/>
      <w:r w:rsidRPr="00F02C5A">
        <w:rPr>
          <w:rFonts w:ascii="Verdana" w:eastAsia="Times New Roman" w:hAnsi="Verdana" w:cs="Arial"/>
          <w:lang w:eastAsia="x-none"/>
        </w:rPr>
        <w:t xml:space="preserve">De conformidad con el citado concepto, la prohibición del artículo 33 de la Ley de Garantías Electorales se refiere a </w:t>
      </w:r>
      <w:r w:rsidRPr="00F02C5A">
        <w:rPr>
          <w:rFonts w:ascii="Verdana" w:eastAsia="Times New Roman" w:hAnsi="Verdana" w:cs="Arial"/>
          <w:sz w:val="19"/>
          <w:szCs w:val="19"/>
          <w:lang w:eastAsia="en-GB"/>
        </w:rPr>
        <w:t>“</w:t>
      </w:r>
      <w:r w:rsidRPr="008F3CAF">
        <w:rPr>
          <w:rFonts w:ascii="Verdana" w:eastAsia="Times New Roman" w:hAnsi="Verdana" w:cs="Arial"/>
          <w:i/>
          <w:iCs/>
          <w:lang w:eastAsia="x-none"/>
        </w:rPr>
        <w:t>cualquier</w:t>
      </w:r>
      <w:r w:rsidRPr="00F02C5A">
        <w:rPr>
          <w:rFonts w:ascii="Verdana" w:eastAsia="Times New Roman" w:hAnsi="Verdana" w:cs="Arial"/>
          <w:lang w:eastAsia="x-none"/>
        </w:rPr>
        <w:t xml:space="preserve">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6"/>
      <w:r w:rsidRPr="00F02C5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02C5A">
        <w:rPr>
          <w:rFonts w:ascii="Verdana" w:eastAsia="Times New Roman" w:hAnsi="Verdana" w:cs="Arial"/>
          <w:vertAlign w:val="superscript"/>
          <w:lang w:val="en-GB" w:eastAsia="x-none"/>
        </w:rPr>
        <w:footnoteReference w:id="5"/>
      </w:r>
      <w:r w:rsidRPr="00F02C5A">
        <w:rPr>
          <w:rFonts w:ascii="Verdana" w:eastAsia="Times New Roman" w:hAnsi="Verdana" w:cs="Arial"/>
          <w:lang w:eastAsia="x-none"/>
        </w:rPr>
        <w:t xml:space="preserve"> y sistematizó las causales de contratación directa</w:t>
      </w:r>
      <w:r w:rsidRPr="00F02C5A">
        <w:rPr>
          <w:rFonts w:ascii="Verdana" w:eastAsia="Times New Roman" w:hAnsi="Verdana" w:cs="Arial"/>
          <w:vertAlign w:val="superscript"/>
          <w:lang w:val="en-GB" w:eastAsia="x-none"/>
        </w:rPr>
        <w:footnoteReference w:id="6"/>
      </w:r>
      <w:r w:rsidRPr="00F02C5A">
        <w:rPr>
          <w:rFonts w:ascii="Verdana" w:eastAsia="Times New Roman" w:hAnsi="Verdana" w:cs="Arial"/>
          <w:lang w:eastAsia="x-none"/>
        </w:rPr>
        <w:t xml:space="preserve">. </w:t>
      </w:r>
    </w:p>
    <w:p w14:paraId="01F21440" w14:textId="77777777" w:rsidR="00B10AE7" w:rsidRPr="00F02C5A" w:rsidRDefault="00B10AE7" w:rsidP="00B10AE7">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eastAsia="x-none"/>
        </w:rPr>
        <w:t xml:space="preserve">De esta forma, se ha depurado la noción de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contratación directa</w:t>
      </w:r>
      <w:r w:rsidRPr="00F02C5A">
        <w:rPr>
          <w:rFonts w:ascii="Verdana" w:eastAsia="Times New Roman" w:hAnsi="Verdana" w:cs="Arial"/>
          <w:lang w:eastAsia="en-GB"/>
        </w:rPr>
        <w:t>”</w:t>
      </w:r>
      <w:r w:rsidRPr="00F02C5A">
        <w:rPr>
          <w:rFonts w:ascii="Verdana" w:eastAsia="Times New Roman" w:hAnsi="Verdana" w:cs="Arial"/>
          <w:lang w:eastAsia="x-none"/>
        </w:rPr>
        <w:t xml:space="preserve">,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w:t>
      </w:r>
      <w:r w:rsidRPr="00F02C5A">
        <w:rPr>
          <w:rFonts w:ascii="Verdana" w:eastAsia="Times New Roman" w:hAnsi="Verdana" w:cs="Arial"/>
          <w:lang w:eastAsia="x-none"/>
        </w:rPr>
        <w:lastRenderedPageBreak/>
        <w:t>esto sería tanto como desconocer que el legislador, no solo en el Estatuto General de la Contratación de la Administración Pública, sino también en leyes especiales e, incluso, en el derecho privado</w:t>
      </w:r>
      <w:r w:rsidRPr="00F02C5A">
        <w:rPr>
          <w:rFonts w:ascii="Verdana" w:eastAsia="Times New Roman" w:hAnsi="Verdana" w:cs="Arial"/>
          <w:vertAlign w:val="superscript"/>
          <w:lang w:val="en-GB" w:eastAsia="x-none"/>
        </w:rPr>
        <w:footnoteReference w:id="7"/>
      </w:r>
      <w:r w:rsidRPr="00F02C5A">
        <w:rPr>
          <w:rFonts w:ascii="Verdana" w:eastAsia="Times New Roman" w:hAnsi="Verdana" w:cs="Arial"/>
          <w:lang w:eastAsia="x-none"/>
        </w:rPr>
        <w:t>, han establecido sistemas de contratación que implican convocatoria pública y participación de varios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w:t>
      </w:r>
    </w:p>
    <w:p w14:paraId="3EFF9DF0" w14:textId="77777777" w:rsidR="00B10AE7" w:rsidRPr="00F02C5A" w:rsidRDefault="00B10AE7" w:rsidP="00B10AE7">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6F5ACCFD" w14:textId="77777777" w:rsidR="00B10AE7" w:rsidRPr="00F02C5A" w:rsidRDefault="00B10AE7" w:rsidP="00B10AE7">
      <w:pPr>
        <w:spacing w:after="120" w:line="276" w:lineRule="auto"/>
        <w:ind w:firstLine="709"/>
        <w:jc w:val="both"/>
        <w:rPr>
          <w:rFonts w:ascii="Verdana" w:eastAsia="Times New Roman" w:hAnsi="Verdana" w:cs="Arial"/>
          <w:lang w:val="es-MX" w:eastAsia="x-none"/>
        </w:rPr>
      </w:pPr>
      <w:bookmarkStart w:id="7" w:name="_Hlk78818796"/>
      <w:r w:rsidRPr="00F02C5A">
        <w:rPr>
          <w:rFonts w:ascii="Verdana" w:eastAsia="Times New Roman" w:hAnsi="Verdana" w:cs="Arial"/>
          <w:lang w:val="es-MX" w:eastAsia="x-none"/>
        </w:rPr>
        <w:t xml:space="preserve"> Así las cosas, </w:t>
      </w:r>
      <w:bookmarkStart w:id="8" w:name="_Hlk99577798"/>
      <w:r w:rsidRPr="00F02C5A">
        <w:rPr>
          <w:rFonts w:ascii="Verdana" w:eastAsia="Times New Roman" w:hAnsi="Verdana" w:cs="Arial"/>
          <w:lang w:val="es-MX" w:eastAsia="x-none"/>
        </w:rPr>
        <w:t xml:space="preserve">ha de entenderse que, para los efectos de la Ley de Garantías Electorales y, en particular, para la restricción temporal contenida en su artículo 33, “contratación directa” es </w:t>
      </w:r>
      <w:r w:rsidRPr="00813863">
        <w:rPr>
          <w:rFonts w:ascii="Verdana" w:eastAsia="Times New Roman" w:hAnsi="Verdana" w:cs="Arial"/>
          <w:i/>
          <w:iCs/>
          <w:lang w:val="es-MX" w:eastAsia="x-none"/>
        </w:rPr>
        <w:t>cualquier</w:t>
      </w:r>
      <w:r w:rsidRPr="00F02C5A">
        <w:rPr>
          <w:rFonts w:ascii="Verdana" w:eastAsia="Times New Roman" w:hAnsi="Verdana" w:cs="Arial"/>
          <w:lang w:val="es-MX" w:eastAsia="x-none"/>
        </w:rPr>
        <w:t xml:space="preserve">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vertAlign w:val="superscript"/>
          <w:lang w:eastAsia="x-none"/>
        </w:rPr>
        <w:footnoteReference w:id="8"/>
      </w:r>
      <w:r w:rsidRPr="00F02C5A">
        <w:rPr>
          <w:rFonts w:ascii="Verdana" w:eastAsia="Times New Roman" w:hAnsi="Verdana" w:cs="Arial"/>
          <w:lang w:val="es-MX" w:eastAsia="x-none"/>
        </w:rPr>
        <w:t>.</w:t>
      </w:r>
      <w:r w:rsidRPr="00F02C5A">
        <w:rPr>
          <w:rFonts w:ascii="Verdana" w:eastAsia="Times New Roman" w:hAnsi="Verdana" w:cs="Arial"/>
          <w:vertAlign w:val="superscript"/>
          <w:lang w:eastAsia="x-none"/>
        </w:rPr>
        <w:t xml:space="preserve"> </w:t>
      </w:r>
    </w:p>
    <w:bookmarkEnd w:id="7"/>
    <w:p w14:paraId="0976FDB9" w14:textId="77777777" w:rsidR="00B10AE7" w:rsidRPr="00F02C5A" w:rsidRDefault="00B10AE7" w:rsidP="00B10AE7">
      <w:pPr>
        <w:spacing w:after="120" w:line="276" w:lineRule="auto"/>
        <w:ind w:firstLine="709"/>
        <w:jc w:val="both"/>
        <w:rPr>
          <w:rFonts w:ascii="Verdana" w:eastAsia="Times New Roman" w:hAnsi="Verdana" w:cs="Arial"/>
          <w:lang w:eastAsia="x-none"/>
        </w:rPr>
      </w:pPr>
      <w:r w:rsidRPr="00F02C5A">
        <w:rPr>
          <w:rFonts w:ascii="Verdana" w:eastAsia="Times New Roman" w:hAnsi="Verdana" w:cs="Arial"/>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4F066C4" w14:textId="77777777" w:rsidR="00B10AE7" w:rsidRPr="00F02C5A" w:rsidRDefault="00B10AE7" w:rsidP="00B10AE7">
      <w:pPr>
        <w:spacing w:after="120" w:line="276" w:lineRule="auto"/>
        <w:ind w:firstLine="709"/>
        <w:jc w:val="both"/>
        <w:rPr>
          <w:rFonts w:ascii="Verdana" w:eastAsia="Times New Roman" w:hAnsi="Verdana" w:cs="Arial"/>
          <w:lang w:val="es-MX" w:eastAsia="x-none"/>
        </w:rPr>
      </w:pPr>
      <w:bookmarkStart w:id="9" w:name="_Hlk77237094"/>
      <w:bookmarkEnd w:id="8"/>
      <w:r w:rsidRPr="00F02C5A">
        <w:rPr>
          <w:rFonts w:ascii="Verdana" w:eastAsia="Times New Roman" w:hAnsi="Verdana" w:cs="Arial"/>
          <w:lang w:val="es-MX" w:eastAsia="es-CO"/>
        </w:rPr>
        <w:t xml:space="preserve">Como en otras oportunidades lo ha manifestado esta Agencia, las prórrogas, modificaciones o adiciones de los contratos suscritos antes de la </w:t>
      </w:r>
      <w:r w:rsidRPr="00F02C5A">
        <w:rPr>
          <w:rFonts w:ascii="Verdana" w:eastAsia="Times New Roman" w:hAnsi="Verdana" w:cs="Arial"/>
          <w:lang w:val="es-MX" w:eastAsia="es-CO"/>
        </w:rPr>
        <w:lastRenderedPageBreak/>
        <w:t>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9"/>
    </w:p>
    <w:p w14:paraId="05A34EC3" w14:textId="77777777" w:rsidR="00B10AE7" w:rsidRPr="00F02C5A" w:rsidRDefault="00B10AE7" w:rsidP="00B10AE7">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 xml:space="preserve">De otro lado, </w:t>
      </w:r>
      <w:bookmarkStart w:id="10" w:name="_Hlk99577887"/>
      <w:bookmarkStart w:id="11" w:name="_Hlk100679762"/>
      <w:r w:rsidRPr="00F02C5A">
        <w:rPr>
          <w:rFonts w:ascii="Verdana" w:eastAsia="Times New Roman" w:hAnsi="Verdana" w:cs="Arial"/>
          <w:lang w:val="es-MX" w:eastAsia="x-none"/>
        </w:rPr>
        <w:t>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02C5A">
        <w:rPr>
          <w:rFonts w:ascii="Verdana" w:eastAsia="Times New Roman" w:hAnsi="Verdana" w:cs="Arial"/>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bookmarkEnd w:id="10"/>
    </w:p>
    <w:bookmarkEnd w:id="11"/>
    <w:p w14:paraId="65115558" w14:textId="77777777" w:rsidR="00B10AE7" w:rsidRDefault="00B10AE7" w:rsidP="00B10AE7">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val="es-MX" w:eastAsia="x-none"/>
        </w:rPr>
        <w:t>En esta labor es importante tener en cuenta, como lo anotó la Corte Constitucional, en Sentencia C-1153 de noviembre 11 de 2005</w:t>
      </w:r>
      <w:r w:rsidRPr="00F02C5A">
        <w:rPr>
          <w:rFonts w:ascii="Verdana" w:eastAsia="Calibri" w:hAnsi="Verdana" w:cs="Arial"/>
          <w:sz w:val="24"/>
          <w:lang w:val="es-MX"/>
        </w:rPr>
        <w:t>,</w:t>
      </w:r>
      <w:r w:rsidRPr="00F02C5A">
        <w:rPr>
          <w:rFonts w:ascii="Verdana" w:eastAsia="Times New Roman" w:hAnsi="Verdana" w:cs="Arial"/>
          <w:lang w:val="es-MX" w:eastAsia="x-none"/>
        </w:rPr>
        <w:t xml:space="preserve"> </w:t>
      </w:r>
      <w:bookmarkStart w:id="12" w:name="_Hlk74309042"/>
      <w:r w:rsidRPr="00F02C5A">
        <w:rPr>
          <w:rFonts w:ascii="Verdana" w:eastAsia="Times New Roman" w:hAnsi="Verdana" w:cs="Arial"/>
          <w:lang w:val="es-MX" w:eastAsia="x-none"/>
        </w:rPr>
        <w:t>que “</w:t>
      </w:r>
      <w:bookmarkEnd w:id="12"/>
      <w:r w:rsidRPr="00F02C5A">
        <w:rPr>
          <w:rFonts w:ascii="Verdana" w:eastAsia="Times New Roman" w:hAnsi="Verdana" w:cs="Arial"/>
          <w:lang w:val="es-MX" w:eastAsia="x-none"/>
        </w:rPr>
        <w:t xml:space="preserve">si bien la limitación garantiza la igualdad de condiciones, también es necesario que tal limitación que pretende la igualdad </w:t>
      </w:r>
      <w:bookmarkStart w:id="13" w:name="_Hlk75768308"/>
      <w:r w:rsidRPr="00F02C5A">
        <w:rPr>
          <w:rFonts w:ascii="Verdana" w:eastAsia="Times New Roman" w:hAnsi="Verdana" w:cs="Arial"/>
          <w:lang w:val="es-MX" w:eastAsia="x-none"/>
        </w:rPr>
        <w:t>no termine yendo en detrimento de intereses públicos, cuya garantía está en cabeza del ejecutivo, como son los inmersos en las excepciones para la prohibición de contratación”</w:t>
      </w:r>
      <w:r w:rsidRPr="00F02C5A">
        <w:rPr>
          <w:rFonts w:ascii="Verdana" w:eastAsia="Calibri" w:hAnsi="Verdana" w:cs="Arial"/>
          <w:vertAlign w:val="superscript"/>
          <w:lang w:val="es-MX"/>
        </w:rPr>
        <w:footnoteReference w:id="9"/>
      </w:r>
      <w:r w:rsidRPr="00F02C5A">
        <w:rPr>
          <w:rFonts w:ascii="Verdana" w:eastAsia="Times New Roman" w:hAnsi="Verdana" w:cs="Arial"/>
          <w:lang w:val="es-MX" w:eastAsia="x-none"/>
        </w:rPr>
        <w:t xml:space="preserve">.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w:t>
      </w:r>
      <w:r w:rsidRPr="00F02C5A">
        <w:rPr>
          <w:rFonts w:ascii="Verdana" w:eastAsia="Times New Roman" w:hAnsi="Verdana" w:cs="Arial"/>
          <w:lang w:val="es-MX" w:eastAsia="es-CO"/>
        </w:rPr>
        <w:t>candidatos</w:t>
      </w:r>
      <w:r w:rsidRPr="00F02C5A">
        <w:rPr>
          <w:rFonts w:ascii="Verdana" w:eastAsia="Times New Roman" w:hAnsi="Verdana" w:cs="Arial"/>
          <w:lang w:val="es-MX" w:eastAsia="x-none"/>
        </w:rPr>
        <w:t xml:space="preserve"> como garantía electoral.</w:t>
      </w:r>
      <w:bookmarkEnd w:id="13"/>
    </w:p>
    <w:p w14:paraId="65040E3F" w14:textId="77777777" w:rsidR="00B10AE7" w:rsidRPr="00280722" w:rsidRDefault="00B10AE7" w:rsidP="00B10AE7">
      <w:pPr>
        <w:spacing w:after="120" w:line="276" w:lineRule="auto"/>
        <w:ind w:firstLine="708"/>
        <w:jc w:val="both"/>
        <w:rPr>
          <w:rFonts w:ascii="Verdana" w:hAnsi="Verdana" w:cs="Arial"/>
        </w:rPr>
      </w:pPr>
      <w:r>
        <w:rPr>
          <w:rFonts w:ascii="Verdana" w:eastAsia="Times New Roman" w:hAnsi="Verdana" w:cs="Arial"/>
          <w:lang w:val="es-MX" w:eastAsia="x-none"/>
        </w:rPr>
        <w:lastRenderedPageBreak/>
        <w:t xml:space="preserve">Por otra parte, </w:t>
      </w:r>
      <w:r>
        <w:rPr>
          <w:rFonts w:ascii="Verdana" w:eastAsia="Calibri" w:hAnsi="Verdana" w:cs="Arial"/>
          <w:color w:val="000000" w:themeColor="text1"/>
        </w:rPr>
        <w:t>t</w:t>
      </w:r>
      <w:r w:rsidRPr="009E0887">
        <w:rPr>
          <w:rFonts w:ascii="Verdana" w:eastAsia="Calibri" w:hAnsi="Verdana" w:cs="Arial"/>
          <w:color w:val="000000" w:themeColor="text1"/>
        </w:rPr>
        <w:t xml:space="preserve">eniendo en cuenta el objeto de su consulta, es pertinente indicar que </w:t>
      </w:r>
      <w:r w:rsidRPr="00280722">
        <w:rPr>
          <w:rFonts w:ascii="Verdana" w:hAnsi="Verdana" w:cs="Arial"/>
          <w:bCs/>
          <w:color w:val="000000" w:themeColor="text1"/>
          <w:lang w:val="es-ES"/>
        </w:rPr>
        <w:t>la Ley 80 de 1993</w:t>
      </w:r>
      <w:r w:rsidRPr="00280722">
        <w:rPr>
          <w:rFonts w:ascii="Verdana" w:hAnsi="Verdana" w:cs="Arial"/>
        </w:rPr>
        <w:t xml:space="preserve"> define los contratos estatales en el artículo 32 y establece un listado enunciativo de contratos estatales</w:t>
      </w:r>
      <w:r>
        <w:rPr>
          <w:rFonts w:ascii="Verdana" w:hAnsi="Verdana" w:cs="Arial"/>
        </w:rPr>
        <w:t xml:space="preserve">. </w:t>
      </w:r>
      <w:r w:rsidRPr="00C02EA0">
        <w:rPr>
          <w:rFonts w:ascii="Verdana" w:hAnsi="Verdana" w:cs="Arial"/>
        </w:rPr>
        <w:t>De acuerdo con esta disposición</w:t>
      </w:r>
      <w:r>
        <w:rPr>
          <w:rFonts w:ascii="Verdana" w:hAnsi="Verdana" w:cs="Arial"/>
        </w:rPr>
        <w:t>,</w:t>
      </w:r>
      <w:r w:rsidRPr="00C02EA0">
        <w:rPr>
          <w:rFonts w:ascii="Verdana" w:hAnsi="Verdana" w:cs="Arial"/>
        </w:rPr>
        <w:t xml:space="preserve"> todos los actos jurídicos, cualquiera que sea su denominación, que celebren las entidades a las que se refiere el EGCAP y que generen obligaciones, son contratos estatales</w:t>
      </w:r>
      <w:r w:rsidRPr="00C02EA0">
        <w:rPr>
          <w:rStyle w:val="FootnoteReference"/>
          <w:rFonts w:ascii="Verdana" w:hAnsi="Verdana" w:cs="Arial"/>
          <w:bCs/>
          <w:color w:val="000000" w:themeColor="text1"/>
        </w:rPr>
        <w:footnoteReference w:id="10"/>
      </w:r>
      <w:r w:rsidRPr="00C02EA0">
        <w:rPr>
          <w:rFonts w:ascii="Verdana" w:hAnsi="Verdana" w:cs="Arial"/>
        </w:rPr>
        <w:t xml:space="preserve">. </w:t>
      </w:r>
      <w:r>
        <w:rPr>
          <w:rFonts w:ascii="Verdana" w:hAnsi="Verdana" w:cs="Arial"/>
        </w:rPr>
        <w:t>E</w:t>
      </w:r>
      <w:r w:rsidRPr="00280722">
        <w:rPr>
          <w:rFonts w:ascii="Verdana" w:hAnsi="Verdana" w:cs="Arial"/>
        </w:rPr>
        <w:t>ntre</w:t>
      </w:r>
      <w:r>
        <w:rPr>
          <w:rFonts w:ascii="Verdana" w:hAnsi="Verdana" w:cs="Arial"/>
        </w:rPr>
        <w:t xml:space="preserve"> los contratos que enuncia el artículo 32 </w:t>
      </w:r>
      <w:r w:rsidRPr="00280722">
        <w:rPr>
          <w:rFonts w:ascii="Verdana" w:hAnsi="Verdana" w:cs="Arial"/>
          <w:i/>
          <w:iCs/>
        </w:rPr>
        <w:t>ibidem</w:t>
      </w:r>
      <w:r>
        <w:rPr>
          <w:rFonts w:ascii="Verdana" w:hAnsi="Verdana" w:cs="Arial"/>
        </w:rPr>
        <w:t xml:space="preserve"> </w:t>
      </w:r>
      <w:r w:rsidRPr="00280722">
        <w:rPr>
          <w:rFonts w:ascii="Verdana" w:hAnsi="Verdana" w:cs="Arial"/>
        </w:rPr>
        <w:t xml:space="preserve">se encuentran el contrato de obra, el contrato de consultoría, el contrato de prestación de servicios, el contrato de concesión y los encargos fiduciarios y fiducia pública. </w:t>
      </w:r>
    </w:p>
    <w:p w14:paraId="67A37BB3" w14:textId="77777777" w:rsidR="00B10AE7" w:rsidRPr="00280722" w:rsidRDefault="00B10AE7" w:rsidP="00B10AE7">
      <w:pPr>
        <w:spacing w:after="120" w:line="276" w:lineRule="auto"/>
        <w:ind w:firstLine="708"/>
        <w:jc w:val="both"/>
        <w:rPr>
          <w:rFonts w:ascii="Verdana" w:hAnsi="Verdana" w:cs="Arial"/>
          <w:bCs/>
          <w:color w:val="000000" w:themeColor="text1"/>
          <w:lang w:val="es-ES"/>
        </w:rPr>
      </w:pPr>
      <w:r w:rsidRPr="00280722">
        <w:rPr>
          <w:rFonts w:ascii="Verdana" w:hAnsi="Verdana" w:cs="Arial"/>
          <w:lang w:eastAsia="es-MX"/>
        </w:rPr>
        <w:t>Aunque el contrato de arrendamiento no se encuentra dentro del listado enunciativo del</w:t>
      </w:r>
      <w:r w:rsidRPr="00280722">
        <w:rPr>
          <w:rFonts w:ascii="Verdana" w:hAnsi="Verdana" w:cs="Arial"/>
          <w:bCs/>
          <w:color w:val="000000" w:themeColor="text1"/>
          <w:lang w:val="es-ES"/>
        </w:rPr>
        <w:t xml:space="preserve"> artículo 32 de la Ley 80 de 1993, su regulación se encuentra en el Código Civil y en el Código de Comercio, principalmente, los artículos 1973 al 2078 del Código Civil que lo desarrollan. Pero también existen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por la cual se expide el régimen de arrendamiento de vivienda urbana.</w:t>
      </w:r>
    </w:p>
    <w:p w14:paraId="05CD62B0" w14:textId="77777777" w:rsidR="00B10AE7" w:rsidRPr="009E0887" w:rsidRDefault="00B10AE7" w:rsidP="00B10AE7">
      <w:pPr>
        <w:spacing w:after="120" w:line="276" w:lineRule="auto"/>
        <w:ind w:firstLine="708"/>
        <w:jc w:val="both"/>
        <w:rPr>
          <w:rFonts w:ascii="Verdana" w:eastAsia="Calibri" w:hAnsi="Verdana" w:cs="Arial"/>
          <w:color w:val="000000" w:themeColor="text1"/>
          <w:lang w:val="es-ES"/>
        </w:rPr>
      </w:pPr>
      <w:r w:rsidRPr="009E0887">
        <w:rPr>
          <w:rFonts w:ascii="Verdana" w:eastAsia="Calibri" w:hAnsi="Verdana" w:cs="Arial"/>
          <w:color w:val="000000" w:themeColor="text1"/>
        </w:rPr>
        <w:t>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o arrendadora– se obliga a concederle a otra –llamada arrendatario o arrendataria– el uso y goce de un bien, a cambio de una renta o canon, diferenciándose del contrato de compraventa en que no opera una transferencia del dominio del bien cuyo uso y goce se entrega.</w:t>
      </w:r>
    </w:p>
    <w:p w14:paraId="334FB98D" w14:textId="77777777" w:rsidR="00B10AE7" w:rsidRPr="009E0887" w:rsidRDefault="00B10AE7" w:rsidP="00B10AE7">
      <w:pPr>
        <w:spacing w:after="120" w:line="276" w:lineRule="auto"/>
        <w:ind w:firstLine="360"/>
        <w:jc w:val="both"/>
        <w:rPr>
          <w:rFonts w:ascii="Verdana" w:eastAsia="Calibri" w:hAnsi="Verdana" w:cs="Arial"/>
          <w:color w:val="000000" w:themeColor="text1"/>
        </w:rPr>
      </w:pPr>
      <w:r>
        <w:rPr>
          <w:rFonts w:ascii="Verdana" w:eastAsia="Calibri" w:hAnsi="Verdana" w:cs="Arial"/>
          <w:color w:val="000000" w:themeColor="text1"/>
        </w:rPr>
        <w:tab/>
      </w:r>
      <w:r w:rsidRPr="009E0887">
        <w:rPr>
          <w:rFonts w:ascii="Verdana" w:eastAsia="Calibri" w:hAnsi="Verdana" w:cs="Arial"/>
          <w:color w:val="000000" w:themeColor="text1"/>
        </w:rPr>
        <w:t xml:space="preserve">En cuanto a sus características, la doctrina ha indicado que el arrendamiento es un contrato: i) bilateral, pues ambas partes se obligan recíprocamente; </w:t>
      </w:r>
      <w:proofErr w:type="spellStart"/>
      <w:r w:rsidRPr="009E0887">
        <w:rPr>
          <w:rFonts w:ascii="Verdana" w:eastAsia="Calibri" w:hAnsi="Verdana" w:cs="Arial"/>
          <w:color w:val="000000" w:themeColor="text1"/>
        </w:rPr>
        <w:t>ii</w:t>
      </w:r>
      <w:proofErr w:type="spellEnd"/>
      <w:r w:rsidRPr="009E0887">
        <w:rPr>
          <w:rFonts w:ascii="Verdana" w:eastAsia="Calibri" w:hAnsi="Verdana" w:cs="Arial"/>
          <w:color w:val="000000" w:themeColor="text1"/>
        </w:rPr>
        <w:t xml:space="preserve">) consensual, dado que se perfecciona con el consentimiento; </w:t>
      </w:r>
      <w:proofErr w:type="spellStart"/>
      <w:r w:rsidRPr="009E0887">
        <w:rPr>
          <w:rFonts w:ascii="Verdana" w:eastAsia="Calibri" w:hAnsi="Verdana" w:cs="Arial"/>
          <w:color w:val="000000" w:themeColor="text1"/>
        </w:rPr>
        <w:t>iii</w:t>
      </w:r>
      <w:proofErr w:type="spellEnd"/>
      <w:r w:rsidRPr="009E0887">
        <w:rPr>
          <w:rFonts w:ascii="Verdana" w:eastAsia="Calibri" w:hAnsi="Verdana" w:cs="Arial"/>
          <w:color w:val="000000" w:themeColor="text1"/>
        </w:rPr>
        <w:t xml:space="preserve">) oneroso, ya que ambas partes obtienen utilidades –el arrendatario, el uso y </w:t>
      </w:r>
      <w:r w:rsidRPr="009E0887">
        <w:rPr>
          <w:rFonts w:ascii="Verdana" w:eastAsia="Calibri" w:hAnsi="Verdana" w:cs="Arial"/>
          <w:color w:val="000000" w:themeColor="text1"/>
        </w:rPr>
        <w:lastRenderedPageBreak/>
        <w:t xml:space="preserve">goce del bien, y el arrendador la renta o canon–; </w:t>
      </w:r>
      <w:proofErr w:type="spellStart"/>
      <w:r w:rsidRPr="009E0887">
        <w:rPr>
          <w:rFonts w:ascii="Verdana" w:eastAsia="Calibri" w:hAnsi="Verdana" w:cs="Arial"/>
          <w:color w:val="000000" w:themeColor="text1"/>
        </w:rPr>
        <w:t>iv</w:t>
      </w:r>
      <w:proofErr w:type="spellEnd"/>
      <w:r w:rsidRPr="009E0887">
        <w:rPr>
          <w:rFonts w:ascii="Verdana" w:eastAsia="Calibri" w:hAnsi="Verdana" w:cs="Arial"/>
          <w:color w:val="000000" w:themeColor="text1"/>
        </w:rPr>
        <w:t>) de ejecución sucesiva, en la medida en que se ejecuta en forma periódica; v) principal, porque existe en forma autónoma; y v) nominado, porque está tipificado y desarrollado en la ley.</w:t>
      </w:r>
    </w:p>
    <w:p w14:paraId="148E383B" w14:textId="77777777" w:rsidR="00B10AE7" w:rsidRDefault="00B10AE7" w:rsidP="00B10AE7">
      <w:pPr>
        <w:spacing w:after="120" w:line="276" w:lineRule="auto"/>
        <w:ind w:firstLine="360"/>
        <w:jc w:val="both"/>
        <w:rPr>
          <w:rFonts w:ascii="Verdana" w:eastAsia="Calibri" w:hAnsi="Verdana" w:cs="Arial"/>
          <w:color w:val="000000" w:themeColor="text1"/>
        </w:rPr>
      </w:pPr>
      <w:r>
        <w:rPr>
          <w:rFonts w:ascii="Verdana" w:eastAsia="Calibri" w:hAnsi="Verdana" w:cs="Arial"/>
          <w:color w:val="000000" w:themeColor="text1"/>
        </w:rPr>
        <w:tab/>
      </w:r>
      <w:r w:rsidRPr="009E0887">
        <w:rPr>
          <w:rFonts w:ascii="Verdana" w:eastAsia="Calibri" w:hAnsi="Verdana" w:cs="Arial"/>
          <w:color w:val="000000" w:themeColor="text1"/>
        </w:rPr>
        <w:t xml:space="preserve">En igual sentido, por su importancia en la contratación estatal, debe precisarse que la modalidad de selección aplicable a la celebración de los contratos de arrendamiento depende del régimen aplicable a la Entidad Estatal. Si se rige por el derecho privado, es decir, si está exceptuada del </w:t>
      </w:r>
      <w:r>
        <w:rPr>
          <w:rFonts w:ascii="Verdana" w:eastAsia="Calibri" w:hAnsi="Verdana" w:cs="Arial"/>
          <w:color w:val="000000" w:themeColor="text1"/>
        </w:rPr>
        <w:t>EGCAP</w:t>
      </w:r>
      <w:r w:rsidRPr="009E0887">
        <w:rPr>
          <w:rFonts w:ascii="Verdana" w:eastAsia="Calibri" w:hAnsi="Verdana" w:cs="Arial"/>
          <w:color w:val="000000" w:themeColor="text1"/>
        </w:rPr>
        <w:t xml:space="preserve">, debe aplicar en principio las normas civiles y comerciales mencionadas, en las cuales se permite la celebración directa del contrato de arrendamiento, pero si el reglamento o manual interno de contratación de la entidad dispone que debe efectuar algún procedimiento especial, este prevalece. </w:t>
      </w:r>
    </w:p>
    <w:p w14:paraId="2F0FF964" w14:textId="77777777" w:rsidR="00B10AE7" w:rsidRDefault="00B10AE7" w:rsidP="00B10AE7">
      <w:pPr>
        <w:spacing w:after="0" w:line="276" w:lineRule="auto"/>
        <w:ind w:firstLine="708"/>
        <w:jc w:val="both"/>
        <w:rPr>
          <w:rFonts w:ascii="Verdana" w:hAnsi="Verdana"/>
          <w:bCs/>
          <w:color w:val="000000" w:themeColor="text1"/>
          <w:lang w:eastAsia="es-ES_tradnl"/>
        </w:rPr>
      </w:pPr>
      <w:r w:rsidRPr="009E0887">
        <w:rPr>
          <w:rFonts w:ascii="Verdana" w:eastAsia="Calibri" w:hAnsi="Verdana" w:cs="Arial"/>
          <w:color w:val="000000" w:themeColor="text1"/>
        </w:rPr>
        <w:t>En contra</w:t>
      </w:r>
      <w:r>
        <w:rPr>
          <w:rFonts w:ascii="Verdana" w:eastAsia="Calibri" w:hAnsi="Verdana" w:cs="Arial"/>
          <w:color w:val="000000" w:themeColor="text1"/>
        </w:rPr>
        <w:t>s</w:t>
      </w:r>
      <w:r w:rsidRPr="009E0887">
        <w:rPr>
          <w:rFonts w:ascii="Verdana" w:eastAsia="Calibri" w:hAnsi="Verdana" w:cs="Arial"/>
          <w:color w:val="000000" w:themeColor="text1"/>
        </w:rPr>
        <w:t>te, si la Entidad Estatal se rige por el EGCAP, bien sea que obre en calidad de arrendadora o arrendataria, debe acudir a la modalidad de selección de contratación directa si a</w:t>
      </w:r>
      <w:r>
        <w:rPr>
          <w:rFonts w:ascii="Verdana" w:eastAsia="Calibri" w:hAnsi="Verdana" w:cs="Arial"/>
          <w:color w:val="000000" w:themeColor="text1"/>
        </w:rPr>
        <w:t xml:space="preserve">rrienda </w:t>
      </w:r>
      <w:r w:rsidRPr="009E0887">
        <w:rPr>
          <w:rFonts w:ascii="Verdana" w:eastAsia="Calibri" w:hAnsi="Verdana" w:cs="Arial"/>
          <w:color w:val="000000" w:themeColor="text1"/>
        </w:rPr>
        <w:t>un inmueble</w:t>
      </w:r>
      <w:r>
        <w:rPr>
          <w:rFonts w:ascii="Verdana" w:eastAsia="Calibri" w:hAnsi="Verdana" w:cs="Arial"/>
          <w:color w:val="000000" w:themeColor="text1"/>
        </w:rPr>
        <w:t xml:space="preserve">. Esto, </w:t>
      </w:r>
      <w:r w:rsidRPr="009E0887">
        <w:rPr>
          <w:rFonts w:ascii="Verdana" w:eastAsia="Calibri" w:hAnsi="Verdana" w:cs="Arial"/>
          <w:color w:val="000000" w:themeColor="text1"/>
        </w:rPr>
        <w:t xml:space="preserve">pues el literal i) </w:t>
      </w:r>
      <w:r>
        <w:rPr>
          <w:rFonts w:ascii="Verdana" w:eastAsia="Calibri" w:hAnsi="Verdana" w:cs="Arial"/>
          <w:color w:val="000000" w:themeColor="text1"/>
        </w:rPr>
        <w:t xml:space="preserve">del </w:t>
      </w:r>
      <w:r w:rsidRPr="009E0887">
        <w:rPr>
          <w:rFonts w:ascii="Verdana" w:eastAsia="Calibri" w:hAnsi="Verdana" w:cs="Arial"/>
          <w:color w:val="000000" w:themeColor="text1"/>
        </w:rPr>
        <w:t xml:space="preserve">numeral 4° </w:t>
      </w:r>
      <w:r>
        <w:rPr>
          <w:rFonts w:ascii="Verdana" w:eastAsia="Calibri" w:hAnsi="Verdana" w:cs="Arial"/>
          <w:color w:val="000000" w:themeColor="text1"/>
        </w:rPr>
        <w:t xml:space="preserve">del </w:t>
      </w:r>
      <w:r w:rsidRPr="009E0887">
        <w:rPr>
          <w:rFonts w:ascii="Verdana" w:eastAsia="Calibri" w:hAnsi="Verdana" w:cs="Arial"/>
          <w:color w:val="000000" w:themeColor="text1"/>
        </w:rPr>
        <w:t>artículo 2º de la Ley 1150 de 2007 establece que una de las causales de este procedimiento es</w:t>
      </w:r>
      <w:r>
        <w:rPr>
          <w:rFonts w:ascii="Verdana" w:eastAsia="Calibri" w:hAnsi="Verdana" w:cs="Arial"/>
          <w:color w:val="000000" w:themeColor="text1"/>
        </w:rPr>
        <w:t>:</w:t>
      </w:r>
      <w:r w:rsidRPr="009E0887">
        <w:rPr>
          <w:rFonts w:ascii="Verdana" w:eastAsia="Calibri" w:hAnsi="Verdana" w:cs="Arial"/>
          <w:color w:val="000000" w:themeColor="text1"/>
        </w:rPr>
        <w:t xml:space="preserve"> “i) El arrendamiento o adquisición de inmuebles”. </w:t>
      </w:r>
      <w:r w:rsidRPr="009E0887">
        <w:rPr>
          <w:rFonts w:ascii="Verdana" w:hAnsi="Verdana"/>
          <w:bCs/>
          <w:color w:val="000000" w:themeColor="text1"/>
          <w:lang w:eastAsia="es-ES_tradnl"/>
        </w:rPr>
        <w:t xml:space="preserve">Adicionalmente, el artículo 2.2.1.2.1.4.11 del Decreto 1082 de 2015 dispone que las Entidades Estatales pueden alquilar o arrendar inmuebles mediante contratación directa para lo cual deben seguir las siguientes reglas: </w:t>
      </w:r>
    </w:p>
    <w:p w14:paraId="12DF2F86" w14:textId="77777777" w:rsidR="00B10AE7" w:rsidRPr="009E0887" w:rsidRDefault="00B10AE7" w:rsidP="00B10AE7">
      <w:pPr>
        <w:spacing w:after="0" w:line="276" w:lineRule="auto"/>
        <w:ind w:firstLine="709"/>
        <w:jc w:val="both"/>
        <w:rPr>
          <w:rFonts w:ascii="Verdana" w:hAnsi="Verdana"/>
          <w:bCs/>
          <w:color w:val="000000" w:themeColor="text1"/>
          <w:lang w:eastAsia="es-ES_tradnl"/>
        </w:rPr>
      </w:pPr>
    </w:p>
    <w:p w14:paraId="172ED204" w14:textId="77777777" w:rsidR="00B10AE7" w:rsidRPr="00280722" w:rsidRDefault="00B10AE7" w:rsidP="00B10AE7">
      <w:pPr>
        <w:spacing w:after="0" w:line="240" w:lineRule="auto"/>
        <w:ind w:left="709" w:right="709"/>
        <w:jc w:val="both"/>
        <w:rPr>
          <w:rFonts w:ascii="Verdana" w:eastAsia="Calibri" w:hAnsi="Verdana" w:cs="Arial"/>
          <w:sz w:val="20"/>
          <w:szCs w:val="20"/>
          <w:lang w:val="es-MX"/>
        </w:rPr>
      </w:pPr>
      <w:r w:rsidRPr="00280722">
        <w:rPr>
          <w:rFonts w:ascii="Verdana" w:eastAsia="Calibri" w:hAnsi="Verdana" w:cs="Arial"/>
          <w:sz w:val="20"/>
          <w:szCs w:val="20"/>
          <w:lang w:val="es-MX"/>
        </w:rPr>
        <w:t>“1.    Verificar las condiciones del mercado inmobiliario en la ciudad en la que la Entidad Estatal requiere el inmueble.</w:t>
      </w:r>
    </w:p>
    <w:p w14:paraId="7A3BAEFA" w14:textId="77777777" w:rsidR="00B10AE7" w:rsidRPr="00280722" w:rsidRDefault="00B10AE7" w:rsidP="00B10AE7">
      <w:pPr>
        <w:spacing w:after="0" w:line="240" w:lineRule="auto"/>
        <w:ind w:left="709" w:right="709"/>
        <w:jc w:val="both"/>
        <w:rPr>
          <w:rFonts w:ascii="Verdana" w:eastAsia="Calibri" w:hAnsi="Verdana" w:cs="Arial"/>
          <w:sz w:val="20"/>
          <w:szCs w:val="20"/>
          <w:lang w:val="es-MX"/>
        </w:rPr>
      </w:pPr>
    </w:p>
    <w:p w14:paraId="5EB4B09E" w14:textId="77777777" w:rsidR="00B10AE7" w:rsidRPr="00280722" w:rsidRDefault="00B10AE7" w:rsidP="00B10AE7">
      <w:pPr>
        <w:spacing w:after="0" w:line="240" w:lineRule="auto"/>
        <w:ind w:left="709" w:right="709"/>
        <w:jc w:val="both"/>
        <w:rPr>
          <w:rFonts w:ascii="Verdana" w:eastAsia="Calibri" w:hAnsi="Verdana" w:cs="Arial"/>
          <w:sz w:val="20"/>
          <w:szCs w:val="20"/>
          <w:lang w:val="es-MX"/>
        </w:rPr>
      </w:pPr>
      <w:r w:rsidRPr="00280722">
        <w:rPr>
          <w:rFonts w:ascii="Verdana" w:eastAsia="Calibri" w:hAnsi="Verdana" w:cs="Arial"/>
          <w:sz w:val="20"/>
          <w:szCs w:val="20"/>
          <w:lang w:val="es-MX"/>
        </w:rPr>
        <w:t>2.    Analizar y comparar las condiciones de los bienes inmuebles que satisfacen las necesidades identificadas y las opciones de arrendamiento, análisis que deberá tener en cuenta los principios y objetivos del sistema de compra y contratación pública”.</w:t>
      </w:r>
    </w:p>
    <w:p w14:paraId="54E88AB8" w14:textId="77777777" w:rsidR="00B10AE7" w:rsidRDefault="00B10AE7" w:rsidP="00B10AE7">
      <w:pPr>
        <w:spacing w:after="0" w:line="276" w:lineRule="auto"/>
        <w:ind w:firstLine="357"/>
        <w:jc w:val="both"/>
        <w:rPr>
          <w:rFonts w:ascii="Verdana" w:hAnsi="Verdana"/>
          <w:color w:val="000000" w:themeColor="text1"/>
          <w:lang w:eastAsia="es-ES"/>
        </w:rPr>
      </w:pPr>
    </w:p>
    <w:p w14:paraId="781E8F34" w14:textId="77777777" w:rsidR="00B10AE7" w:rsidRPr="00023091" w:rsidRDefault="00B10AE7" w:rsidP="00B10AE7">
      <w:pPr>
        <w:spacing w:after="120" w:line="276" w:lineRule="auto"/>
        <w:ind w:firstLine="708"/>
        <w:jc w:val="both"/>
        <w:rPr>
          <w:rFonts w:ascii="Verdana" w:hAnsi="Verdana"/>
          <w:color w:val="000000" w:themeColor="text1"/>
          <w:lang w:val="es-ES" w:eastAsia="es-ES"/>
        </w:rPr>
      </w:pPr>
      <w:r w:rsidRPr="00023091">
        <w:rPr>
          <w:rFonts w:ascii="Verdana" w:hAnsi="Verdana"/>
          <w:color w:val="000000" w:themeColor="text1"/>
          <w:lang w:val="es-ES" w:eastAsia="es-ES"/>
        </w:rPr>
        <w:t>Conforme lo anterior, la entidad debe elaborar los estudios previos y documentos previos y verificar las condiciones del mercado inmobiliario en la ciudad donde la Entidad Estatal requiere el documento. Además, tiene el deber analizar y comparar las condiciones de los bienes inmuebles que satisfacen sus necesidades; y de tener en cuenta los principios y objetivos del Sistema de Compra y Contratación Pública.</w:t>
      </w:r>
    </w:p>
    <w:p w14:paraId="4768C057" w14:textId="77777777" w:rsidR="00B10AE7" w:rsidRPr="00023091" w:rsidRDefault="00B10AE7" w:rsidP="00B10AE7">
      <w:pPr>
        <w:spacing w:after="120" w:line="276" w:lineRule="auto"/>
        <w:ind w:firstLine="708"/>
        <w:jc w:val="both"/>
        <w:rPr>
          <w:rFonts w:ascii="Verdana" w:eastAsia="Calibri" w:hAnsi="Verdana" w:cs="Arial"/>
          <w:color w:val="000000" w:themeColor="text1"/>
        </w:rPr>
      </w:pPr>
      <w:r w:rsidRPr="00023091">
        <w:rPr>
          <w:rFonts w:ascii="Verdana" w:hAnsi="Verdana"/>
          <w:color w:val="000000" w:themeColor="text1"/>
          <w:lang w:eastAsia="es-ES"/>
        </w:rPr>
        <w:t xml:space="preserve">En contraste, si se trata de arrendamiento de bienes muebles, la modalidad aplicable será la licitación pública, la selección abreviada o la mínima cuantía, según corresponda dependiendo del valor de la contratación. Lo </w:t>
      </w:r>
      <w:r w:rsidRPr="00023091">
        <w:rPr>
          <w:rFonts w:ascii="Verdana" w:hAnsi="Verdana"/>
          <w:color w:val="000000" w:themeColor="text1"/>
          <w:lang w:eastAsia="es-ES"/>
        </w:rPr>
        <w:lastRenderedPageBreak/>
        <w:t xml:space="preserve">anterior, en la medida que no se encuentran dentro de las causales de contratación directa que expresamente señala el numeral 4 del artículo 2 de la Ley 1150 de 2007. </w:t>
      </w:r>
      <w:r w:rsidRPr="00023091">
        <w:rPr>
          <w:rFonts w:ascii="Verdana" w:eastAsia="Calibri" w:hAnsi="Verdana" w:cs="Arial"/>
          <w:color w:val="000000" w:themeColor="text1"/>
        </w:rPr>
        <w:t>En ambos supuestos la Entidad Estatal también debe aplicar las normas civiles y comerciales que regulan la sustantividad del contrato de arrendamiento, porque a estas se remiten los artículos 13, 32 y 40 de la Ley 80 de 1993.</w:t>
      </w:r>
    </w:p>
    <w:p w14:paraId="18A7AC97" w14:textId="77777777" w:rsidR="00B10AE7" w:rsidRPr="00023091" w:rsidRDefault="00B10AE7" w:rsidP="00B10AE7">
      <w:pPr>
        <w:spacing w:after="120" w:line="276" w:lineRule="auto"/>
        <w:ind w:firstLine="708"/>
        <w:jc w:val="both"/>
        <w:rPr>
          <w:rFonts w:ascii="Verdana" w:hAnsi="Verdana"/>
          <w:color w:val="000000" w:themeColor="text1"/>
          <w:lang w:eastAsia="es-ES"/>
        </w:rPr>
      </w:pPr>
      <w:r w:rsidRPr="00023091">
        <w:rPr>
          <w:rFonts w:ascii="Verdana" w:hAnsi="Verdana"/>
          <w:color w:val="000000" w:themeColor="text1"/>
          <w:lang w:eastAsia="es-ES"/>
        </w:rPr>
        <w:t>Si el arrendamiento recae sobre bienes públicos debe tenerse en cuenta que la Sección Tercera del Consejo de Estado señaló que los bienes que pueden ser susceptibles de arrendamiento son únicamente los bienes fiscales, no los bienes de uso público.</w:t>
      </w:r>
    </w:p>
    <w:p w14:paraId="7394CE4E" w14:textId="77777777" w:rsidR="00B10AE7" w:rsidRPr="00023091" w:rsidRDefault="00B10AE7" w:rsidP="00B10AE7">
      <w:pPr>
        <w:spacing w:after="120" w:line="276" w:lineRule="auto"/>
        <w:ind w:firstLine="360"/>
        <w:jc w:val="both"/>
        <w:rPr>
          <w:rFonts w:ascii="Verdana" w:eastAsia="Calibri" w:hAnsi="Verdana"/>
          <w:color w:val="000000" w:themeColor="text1"/>
        </w:rPr>
      </w:pPr>
      <w:r w:rsidRPr="00023091">
        <w:rPr>
          <w:rFonts w:ascii="Verdana" w:eastAsia="Calibri" w:hAnsi="Verdana" w:cs="Arial"/>
          <w:color w:val="000000" w:themeColor="text1"/>
          <w:lang w:val="es-ES_tradnl"/>
        </w:rPr>
        <w:tab/>
      </w:r>
      <w:r w:rsidRPr="00023091">
        <w:rPr>
          <w:rFonts w:ascii="Verdana" w:eastAsia="Calibri" w:hAnsi="Verdana"/>
          <w:color w:val="000000" w:themeColor="text1"/>
        </w:rPr>
        <w:t xml:space="preserve">Por otro lado, la Ley 80 de 1993, en el texto original del artículo 41, estableció que los requisitos para perfeccionar el contrato eran: i) llegar a un acuerdo sobre el objeto y la contraprestación y </w:t>
      </w:r>
      <w:proofErr w:type="spellStart"/>
      <w:r w:rsidRPr="00023091">
        <w:rPr>
          <w:rFonts w:ascii="Verdana" w:eastAsia="Calibri" w:hAnsi="Verdana"/>
          <w:color w:val="000000" w:themeColor="text1"/>
        </w:rPr>
        <w:t>ii</w:t>
      </w:r>
      <w:proofErr w:type="spellEnd"/>
      <w:r w:rsidRPr="00023091">
        <w:rPr>
          <w:rFonts w:ascii="Verdana" w:eastAsia="Calibri" w:hAnsi="Verdana"/>
          <w:color w:val="000000" w:themeColor="text1"/>
        </w:rPr>
        <w:t xml:space="preserve">) que conste por escrito. Por su parte, para iniciar la ejecución se requería: i) la constitución y aprobación de la garantía y </w:t>
      </w:r>
      <w:proofErr w:type="spellStart"/>
      <w:r w:rsidRPr="00023091">
        <w:rPr>
          <w:rFonts w:ascii="Verdana" w:eastAsia="Calibri" w:hAnsi="Verdana"/>
          <w:color w:val="000000" w:themeColor="text1"/>
        </w:rPr>
        <w:t>ii</w:t>
      </w:r>
      <w:proofErr w:type="spellEnd"/>
      <w:r w:rsidRPr="00023091">
        <w:rPr>
          <w:rFonts w:ascii="Verdana" w:eastAsia="Calibri" w:hAnsi="Verdana"/>
          <w:color w:val="000000" w:themeColor="text1"/>
        </w:rPr>
        <w:t>) la existencia del registro presupuestal.</w:t>
      </w:r>
    </w:p>
    <w:p w14:paraId="2EBB820B" w14:textId="77777777" w:rsidR="00B10AE7" w:rsidRPr="00023091" w:rsidRDefault="00B10AE7" w:rsidP="00B10AE7">
      <w:pPr>
        <w:spacing w:after="120" w:line="276" w:lineRule="auto"/>
        <w:ind w:firstLine="360"/>
        <w:jc w:val="both"/>
        <w:rPr>
          <w:rFonts w:ascii="Verdana" w:hAnsi="Verdana"/>
          <w:color w:val="000000" w:themeColor="text1"/>
          <w:lang w:eastAsia="es-ES"/>
        </w:rPr>
      </w:pPr>
      <w:r w:rsidRPr="00023091">
        <w:rPr>
          <w:rFonts w:ascii="Verdana" w:hAnsi="Verdana"/>
          <w:bCs/>
          <w:color w:val="000000" w:themeColor="text1"/>
          <w:lang w:eastAsia="es-ES_tradnl"/>
        </w:rPr>
        <w:tab/>
      </w:r>
      <w:r w:rsidRPr="00023091">
        <w:rPr>
          <w:rFonts w:ascii="Verdana" w:hAnsi="Verdana"/>
          <w:color w:val="000000" w:themeColor="text1"/>
          <w:lang w:eastAsia="es-ES"/>
        </w:rPr>
        <w:t xml:space="preserve">En virtud de este contrato, las partes se obligan, una a conceder el goce del inmueble, y otra a pagar un precio por el mismo. Estos contratos tienen como elementos característicos, conforme a la ley y a la jurisprudencia del Consejo de Estado, los siguientes: i) entrega de un bien que efectúa el arrendador al arrendatario para el goce o uso exclusivo de este y </w:t>
      </w:r>
      <w:proofErr w:type="spellStart"/>
      <w:r w:rsidRPr="00023091">
        <w:rPr>
          <w:rFonts w:ascii="Verdana" w:hAnsi="Verdana"/>
          <w:color w:val="000000" w:themeColor="text1"/>
          <w:lang w:eastAsia="es-ES"/>
        </w:rPr>
        <w:t>ii</w:t>
      </w:r>
      <w:proofErr w:type="spellEnd"/>
      <w:r w:rsidRPr="00023091">
        <w:rPr>
          <w:rFonts w:ascii="Verdana" w:hAnsi="Verdana"/>
          <w:color w:val="000000" w:themeColor="text1"/>
          <w:lang w:eastAsia="es-ES"/>
        </w:rPr>
        <w:t xml:space="preserve">) el pago de un precio por el uso o goce del bien arrendado. </w:t>
      </w:r>
    </w:p>
    <w:p w14:paraId="6A78B5A3" w14:textId="0F12A5C3" w:rsidR="00B10AE7" w:rsidRPr="00023091" w:rsidRDefault="00B10AE7" w:rsidP="00B10AE7">
      <w:pPr>
        <w:spacing w:after="120" w:line="276" w:lineRule="auto"/>
        <w:ind w:firstLine="708"/>
        <w:jc w:val="both"/>
        <w:rPr>
          <w:rFonts w:ascii="Verdana" w:eastAsia="Calibri" w:hAnsi="Verdana" w:cs="Arial"/>
          <w:color w:val="000000" w:themeColor="text1"/>
        </w:rPr>
      </w:pPr>
      <w:r>
        <w:rPr>
          <w:rFonts w:ascii="Verdana" w:eastAsia="Calibri" w:hAnsi="Verdana"/>
          <w:color w:val="000000" w:themeColor="text1"/>
        </w:rPr>
        <w:t>Según lo expuesto, los contratos de arrendamiento que contrate cualquier ente público de manera directa estarán sujetos a la prohibición establecida en el artículo 33 de la Ley 996 de 2005, salvo que se configure alguna de las excepciones previstas expresamente en la norma. Corresponde a cada entidad determinar en cada caso concreto la aplicación de la mencionada prohibición, así como de las excepciones que</w:t>
      </w:r>
      <w:r w:rsidR="00F23262">
        <w:rPr>
          <w:rFonts w:ascii="Verdana" w:eastAsia="Calibri" w:hAnsi="Verdana"/>
          <w:color w:val="000000" w:themeColor="text1"/>
        </w:rPr>
        <w:t xml:space="preserve"> sean procedentes</w:t>
      </w:r>
      <w:r>
        <w:rPr>
          <w:rFonts w:ascii="Verdana" w:eastAsia="Calibri" w:hAnsi="Verdana"/>
          <w:color w:val="000000" w:themeColor="text1"/>
        </w:rPr>
        <w:t xml:space="preserve">. </w:t>
      </w:r>
    </w:p>
    <w:p w14:paraId="33DD1FA8" w14:textId="77777777" w:rsidR="00B10AE7" w:rsidRPr="0017378C" w:rsidRDefault="00B10AE7" w:rsidP="00B10AE7">
      <w:pPr>
        <w:spacing w:after="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 </w:t>
      </w:r>
    </w:p>
    <w:p w14:paraId="45144A05" w14:textId="77777777" w:rsidR="00B10AE7" w:rsidRPr="0017378C" w:rsidRDefault="00B10AE7" w:rsidP="00B10AE7">
      <w:pPr>
        <w:pStyle w:val="ListParagraph"/>
        <w:numPr>
          <w:ilvl w:val="0"/>
          <w:numId w:val="16"/>
        </w:numPr>
        <w:spacing w:line="276" w:lineRule="auto"/>
        <w:jc w:val="both"/>
        <w:rPr>
          <w:rFonts w:ascii="Verdana" w:eastAsia="Century Gothic" w:hAnsi="Verdana" w:cs="Century Gothic"/>
          <w:b/>
          <w:bCs/>
          <w:color w:val="000000" w:themeColor="text1"/>
        </w:rPr>
      </w:pPr>
      <w:r w:rsidRPr="0017378C">
        <w:rPr>
          <w:rFonts w:ascii="Verdana" w:eastAsia="Century Gothic" w:hAnsi="Verdana" w:cs="Century Gothic"/>
          <w:b/>
          <w:bCs/>
          <w:color w:val="000000" w:themeColor="text1"/>
        </w:rPr>
        <w:t>Referencias normativas, jurisprudenciales y otras fuentes:</w:t>
      </w:r>
    </w:p>
    <w:p w14:paraId="3668816D" w14:textId="77777777" w:rsidR="00B10AE7" w:rsidRPr="0017378C" w:rsidRDefault="00B10AE7" w:rsidP="00B10AE7">
      <w:pPr>
        <w:pStyle w:val="ListParagraph"/>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10AE7" w:rsidRPr="0017378C" w14:paraId="10910671" w14:textId="77777777" w:rsidTr="00F50545">
        <w:trPr>
          <w:trHeight w:val="870"/>
        </w:trPr>
        <w:tc>
          <w:tcPr>
            <w:tcW w:w="8647" w:type="dxa"/>
          </w:tcPr>
          <w:p w14:paraId="623A03BE" w14:textId="77777777" w:rsidR="00B10AE7" w:rsidRPr="00B015A8" w:rsidRDefault="00B10AE7" w:rsidP="00F50545">
            <w:pPr>
              <w:pStyle w:val="ListParagraph"/>
              <w:widowControl w:val="0"/>
              <w:numPr>
                <w:ilvl w:val="0"/>
                <w:numId w:val="17"/>
              </w:numPr>
              <w:autoSpaceDE w:val="0"/>
              <w:autoSpaceDN w:val="0"/>
              <w:spacing w:after="120" w:line="276" w:lineRule="auto"/>
              <w:jc w:val="both"/>
              <w:rPr>
                <w:rFonts w:ascii="Verdana" w:hAnsi="Verdana" w:cs="Arial"/>
              </w:rPr>
            </w:pPr>
            <w:r w:rsidRPr="00B015A8">
              <w:rPr>
                <w:rFonts w:ascii="Verdana" w:hAnsi="Verdana" w:cs="Arial"/>
              </w:rPr>
              <w:t>Ley 80 de 1993: Artículos 32 y 41.</w:t>
            </w:r>
          </w:p>
          <w:p w14:paraId="66AE855C" w14:textId="77777777" w:rsidR="00B10AE7" w:rsidRPr="00B015A8" w:rsidRDefault="00B10AE7" w:rsidP="00F50545">
            <w:pPr>
              <w:pStyle w:val="ListParagraph"/>
              <w:widowControl w:val="0"/>
              <w:numPr>
                <w:ilvl w:val="0"/>
                <w:numId w:val="17"/>
              </w:numPr>
              <w:autoSpaceDE w:val="0"/>
              <w:autoSpaceDN w:val="0"/>
              <w:spacing w:after="120" w:line="276" w:lineRule="auto"/>
              <w:jc w:val="both"/>
              <w:rPr>
                <w:rFonts w:ascii="Verdana" w:hAnsi="Verdana" w:cs="Arial"/>
              </w:rPr>
            </w:pPr>
            <w:r w:rsidRPr="00B015A8">
              <w:rPr>
                <w:rFonts w:ascii="Verdana" w:hAnsi="Verdana" w:cs="Arial"/>
              </w:rPr>
              <w:t>Ley 1150 de 2007: Artículo 2, numeral 4, artículo 5.</w:t>
            </w:r>
          </w:p>
          <w:p w14:paraId="503F057E" w14:textId="77777777" w:rsidR="00B10AE7" w:rsidRDefault="00B10AE7" w:rsidP="00F50545">
            <w:pPr>
              <w:pStyle w:val="ListParagraph"/>
              <w:widowControl w:val="0"/>
              <w:numPr>
                <w:ilvl w:val="0"/>
                <w:numId w:val="17"/>
              </w:numPr>
              <w:autoSpaceDE w:val="0"/>
              <w:autoSpaceDN w:val="0"/>
              <w:spacing w:after="120" w:line="276" w:lineRule="auto"/>
              <w:jc w:val="both"/>
              <w:rPr>
                <w:rFonts w:ascii="Verdana" w:hAnsi="Verdana" w:cs="Arial"/>
              </w:rPr>
            </w:pPr>
            <w:r w:rsidRPr="00B015A8">
              <w:rPr>
                <w:rFonts w:ascii="Verdana" w:hAnsi="Verdana" w:cs="Arial"/>
              </w:rPr>
              <w:t>Decreto 1082 de 2015: Artículo 2.2.1.2.1.4.11.</w:t>
            </w:r>
          </w:p>
          <w:p w14:paraId="1CC2A245" w14:textId="77777777" w:rsidR="00B10AE7" w:rsidRDefault="00B10AE7" w:rsidP="00F50545">
            <w:pPr>
              <w:pStyle w:val="ListParagraph"/>
              <w:widowControl w:val="0"/>
              <w:numPr>
                <w:ilvl w:val="0"/>
                <w:numId w:val="17"/>
              </w:numPr>
              <w:autoSpaceDE w:val="0"/>
              <w:autoSpaceDN w:val="0"/>
              <w:spacing w:after="120" w:line="276" w:lineRule="auto"/>
              <w:jc w:val="both"/>
              <w:rPr>
                <w:rFonts w:ascii="Verdana" w:hAnsi="Verdana" w:cs="Arial"/>
              </w:rPr>
            </w:pPr>
            <w:r w:rsidRPr="00745CAA">
              <w:rPr>
                <w:rFonts w:ascii="Verdana" w:hAnsi="Verdana" w:cs="Arial"/>
              </w:rPr>
              <w:t xml:space="preserve">Ley </w:t>
            </w:r>
            <w:r>
              <w:rPr>
                <w:rFonts w:ascii="Verdana" w:hAnsi="Verdana" w:cs="Arial"/>
              </w:rPr>
              <w:t>996</w:t>
            </w:r>
            <w:r w:rsidRPr="00745CAA">
              <w:rPr>
                <w:rFonts w:ascii="Verdana" w:hAnsi="Verdana" w:cs="Arial"/>
              </w:rPr>
              <w:t xml:space="preserve"> de 200</w:t>
            </w:r>
            <w:r>
              <w:rPr>
                <w:rFonts w:ascii="Verdana" w:hAnsi="Verdana" w:cs="Arial"/>
              </w:rPr>
              <w:t>5</w:t>
            </w:r>
            <w:r w:rsidRPr="00745CAA">
              <w:rPr>
                <w:rFonts w:ascii="Verdana" w:hAnsi="Verdana" w:cs="Arial"/>
              </w:rPr>
              <w:t>, artículo</w:t>
            </w:r>
            <w:r>
              <w:rPr>
                <w:rFonts w:ascii="Verdana" w:hAnsi="Verdana" w:cs="Arial"/>
              </w:rPr>
              <w:t>s 33 y 38</w:t>
            </w:r>
            <w:r w:rsidRPr="00745CAA">
              <w:rPr>
                <w:rFonts w:ascii="Verdana" w:hAnsi="Verdana" w:cs="Arial"/>
              </w:rPr>
              <w:t>.</w:t>
            </w:r>
          </w:p>
          <w:p w14:paraId="71D7EF54" w14:textId="77777777" w:rsidR="00B10AE7" w:rsidRPr="003E412A" w:rsidRDefault="00B10AE7" w:rsidP="00F50545">
            <w:pPr>
              <w:pStyle w:val="ListParagraph"/>
              <w:widowControl w:val="0"/>
              <w:numPr>
                <w:ilvl w:val="0"/>
                <w:numId w:val="17"/>
              </w:numPr>
              <w:autoSpaceDE w:val="0"/>
              <w:autoSpaceDN w:val="0"/>
              <w:spacing w:after="120" w:line="276" w:lineRule="auto"/>
              <w:jc w:val="both"/>
              <w:rPr>
                <w:rFonts w:ascii="Verdana" w:hAnsi="Verdana" w:cs="Arial"/>
              </w:rPr>
            </w:pPr>
            <w:r w:rsidRPr="00F02C5A">
              <w:rPr>
                <w:rFonts w:ascii="Verdana" w:eastAsia="Times New Roman" w:hAnsi="Verdana" w:cs="Arial"/>
                <w:lang w:val="es-MX" w:eastAsia="x-none"/>
              </w:rPr>
              <w:lastRenderedPageBreak/>
              <w:t>Corte Constitucional, Sentencia C-1153 de noviembre 11 de 2005</w:t>
            </w:r>
            <w:r>
              <w:rPr>
                <w:rFonts w:ascii="Verdana" w:eastAsia="Times New Roman" w:hAnsi="Verdana" w:cs="Arial"/>
                <w:lang w:val="es-MX" w:eastAsia="x-none"/>
              </w:rPr>
              <w:t>.</w:t>
            </w:r>
          </w:p>
          <w:p w14:paraId="0405678D" w14:textId="77777777" w:rsidR="00B10AE7" w:rsidRPr="003E412A" w:rsidRDefault="00B10AE7" w:rsidP="00F50545">
            <w:pPr>
              <w:pStyle w:val="ListParagraph"/>
              <w:widowControl w:val="0"/>
              <w:numPr>
                <w:ilvl w:val="0"/>
                <w:numId w:val="17"/>
              </w:numPr>
              <w:autoSpaceDE w:val="0"/>
              <w:autoSpaceDN w:val="0"/>
              <w:spacing w:after="120" w:line="276" w:lineRule="auto"/>
              <w:jc w:val="both"/>
              <w:rPr>
                <w:rFonts w:ascii="Verdana" w:hAnsi="Verdana" w:cs="Arial"/>
              </w:rPr>
            </w:pPr>
            <w:r w:rsidRPr="003E412A">
              <w:rPr>
                <w:rFonts w:ascii="Verdana" w:hAnsi="Verdana" w:cs="Arial"/>
              </w:rPr>
              <w:t>Consejo de Estado. Sala de Consulta y Servicio Civil, Concepto de 8 de mayo de 2018. Radicación Número: 11001-03-06-000-2018-00095-00(2382). Consejero Ponente: Álvaro Namén Vargas.</w:t>
            </w:r>
          </w:p>
          <w:p w14:paraId="5E622D6A" w14:textId="77777777" w:rsidR="00B10AE7" w:rsidRDefault="00B10AE7" w:rsidP="00F50545">
            <w:pPr>
              <w:pStyle w:val="ListParagraph"/>
              <w:widowControl w:val="0"/>
              <w:numPr>
                <w:ilvl w:val="0"/>
                <w:numId w:val="17"/>
              </w:numPr>
              <w:autoSpaceDE w:val="0"/>
              <w:autoSpaceDN w:val="0"/>
              <w:spacing w:after="120" w:line="276" w:lineRule="auto"/>
              <w:jc w:val="both"/>
              <w:rPr>
                <w:rFonts w:ascii="Verdana" w:hAnsi="Verdana" w:cs="Arial"/>
              </w:rPr>
            </w:pPr>
            <w:r w:rsidRPr="003E412A">
              <w:rPr>
                <w:rFonts w:ascii="Verdana" w:hAnsi="Verdana" w:cs="Arial"/>
              </w:rPr>
              <w:t xml:space="preserve">Consejo de Estado. Sala de Consulta y Servicio Civil. Concepto del 08 de mayo de 2018. </w:t>
            </w:r>
            <w:proofErr w:type="spellStart"/>
            <w:r w:rsidRPr="003E412A">
              <w:rPr>
                <w:rFonts w:ascii="Verdana" w:hAnsi="Verdana" w:cs="Arial"/>
              </w:rPr>
              <w:t>Exp</w:t>
            </w:r>
            <w:proofErr w:type="spellEnd"/>
            <w:r w:rsidRPr="003E412A">
              <w:rPr>
                <w:rFonts w:ascii="Verdana" w:hAnsi="Verdana" w:cs="Arial"/>
              </w:rPr>
              <w:t>. 2.382. C.P. Álvaro Namén Vargas.</w:t>
            </w:r>
          </w:p>
          <w:p w14:paraId="77752740" w14:textId="77777777" w:rsidR="00B10AE7" w:rsidRPr="007E43EB" w:rsidRDefault="00B10AE7" w:rsidP="00F50545">
            <w:pPr>
              <w:pStyle w:val="ListParagraph"/>
              <w:widowControl w:val="0"/>
              <w:numPr>
                <w:ilvl w:val="0"/>
                <w:numId w:val="17"/>
              </w:numPr>
              <w:autoSpaceDE w:val="0"/>
              <w:autoSpaceDN w:val="0"/>
              <w:spacing w:after="120" w:line="276" w:lineRule="auto"/>
              <w:jc w:val="both"/>
              <w:rPr>
                <w:rFonts w:ascii="Verdana" w:hAnsi="Verdana" w:cs="Arial"/>
              </w:rPr>
            </w:pPr>
            <w:r>
              <w:rPr>
                <w:rFonts w:ascii="Verdana" w:hAnsi="Verdana" w:cs="Arial"/>
              </w:rPr>
              <w:t>C</w:t>
            </w:r>
            <w:r w:rsidRPr="007E43EB">
              <w:rPr>
                <w:rFonts w:ascii="Verdana" w:hAnsi="Verdana" w:cs="Arial"/>
              </w:rPr>
              <w:t>onsejo de Estado. Sección Tercera. Sentencia de 3 de diciembre de 2007. Radicados: 24.715, 25.206, 25.409, 24.524, 27.834, 25.410, 26.105, 28.244, 31.447 -acumulados-”.</w:t>
            </w:r>
          </w:p>
          <w:p w14:paraId="646FCA18" w14:textId="77777777" w:rsidR="00B10AE7" w:rsidRPr="007E43EB" w:rsidRDefault="00B10AE7" w:rsidP="00F50545">
            <w:pPr>
              <w:pStyle w:val="ListParagraph"/>
              <w:widowControl w:val="0"/>
              <w:numPr>
                <w:ilvl w:val="0"/>
                <w:numId w:val="17"/>
              </w:numPr>
              <w:autoSpaceDE w:val="0"/>
              <w:autoSpaceDN w:val="0"/>
              <w:spacing w:after="120" w:line="276" w:lineRule="auto"/>
              <w:jc w:val="both"/>
              <w:rPr>
                <w:rFonts w:ascii="Verdana" w:hAnsi="Verdana" w:cs="Arial"/>
              </w:rPr>
            </w:pPr>
            <w:r>
              <w:rPr>
                <w:rFonts w:ascii="Verdana" w:hAnsi="Verdana" w:cs="Arial"/>
              </w:rPr>
              <w:t xml:space="preserve">Consejo de Estado, </w:t>
            </w:r>
            <w:r w:rsidRPr="007E43EB">
              <w:rPr>
                <w:rFonts w:ascii="Verdana" w:hAnsi="Verdana" w:cs="Arial"/>
              </w:rPr>
              <w:t>Sala de Consulta y Servicio Civil</w:t>
            </w:r>
            <w:r>
              <w:rPr>
                <w:rFonts w:ascii="Verdana" w:hAnsi="Verdana" w:cs="Arial"/>
              </w:rPr>
              <w:t>, C</w:t>
            </w:r>
            <w:r w:rsidRPr="007E43EB">
              <w:rPr>
                <w:rFonts w:ascii="Verdana" w:hAnsi="Verdana" w:cs="Arial"/>
              </w:rPr>
              <w:t xml:space="preserve">oncepto 1712 de 2 de febrero de 2006. </w:t>
            </w:r>
          </w:p>
          <w:p w14:paraId="2FA8E0B3" w14:textId="77777777" w:rsidR="00B10AE7" w:rsidRDefault="00B10AE7" w:rsidP="00F50545">
            <w:pPr>
              <w:pStyle w:val="ListParagraph"/>
              <w:widowControl w:val="0"/>
              <w:numPr>
                <w:ilvl w:val="0"/>
                <w:numId w:val="17"/>
              </w:numPr>
              <w:autoSpaceDE w:val="0"/>
              <w:autoSpaceDN w:val="0"/>
              <w:spacing w:after="120" w:line="276" w:lineRule="auto"/>
              <w:jc w:val="both"/>
              <w:rPr>
                <w:rFonts w:ascii="Verdana" w:hAnsi="Verdana" w:cs="Arial"/>
              </w:rPr>
            </w:pPr>
            <w:r w:rsidRPr="007E43EB">
              <w:rPr>
                <w:rFonts w:ascii="Verdana" w:hAnsi="Verdana" w:cs="Arial"/>
              </w:rPr>
              <w:t>Consejo de Estado. Sala de Consulta y Servicio Civil. Concepto del 2 de septiembre de 2013. Radicación número: 11001-03-06-000-2013-00412-00 (2168). Consejero Ponente: Álvaro Namén Vargas.</w:t>
            </w:r>
          </w:p>
          <w:p w14:paraId="7CC0EEAB" w14:textId="77777777" w:rsidR="00B10AE7" w:rsidRPr="00585CF1" w:rsidRDefault="00B10AE7" w:rsidP="00F50545">
            <w:pPr>
              <w:pStyle w:val="ListParagraph"/>
              <w:widowControl w:val="0"/>
              <w:numPr>
                <w:ilvl w:val="0"/>
                <w:numId w:val="17"/>
              </w:numPr>
              <w:autoSpaceDE w:val="0"/>
              <w:autoSpaceDN w:val="0"/>
              <w:spacing w:line="276" w:lineRule="auto"/>
              <w:contextualSpacing w:val="0"/>
              <w:jc w:val="both"/>
              <w:rPr>
                <w:rFonts w:ascii="Verdana" w:hAnsi="Verdana"/>
              </w:rPr>
            </w:pPr>
            <w:r>
              <w:rPr>
                <w:rFonts w:ascii="Verdana" w:hAnsi="Verdana" w:cs="Arial"/>
              </w:rPr>
              <w:t xml:space="preserve">Colombia Compra Eficiente, </w:t>
            </w:r>
            <w:r w:rsidRPr="00D4444C">
              <w:rPr>
                <w:rFonts w:ascii="Verdana" w:hAnsi="Verdana" w:cs="Arial"/>
              </w:rPr>
              <w:t>Circular Externa Única</w:t>
            </w:r>
            <w:r>
              <w:rPr>
                <w:rFonts w:ascii="Verdana" w:hAnsi="Verdana" w:cs="Arial"/>
              </w:rPr>
              <w:t>. Disponible en</w:t>
            </w:r>
            <w:r w:rsidRPr="00D4444C">
              <w:rPr>
                <w:rFonts w:ascii="Verdana" w:hAnsi="Verdana" w:cs="Arial"/>
              </w:rPr>
              <w:t xml:space="preserve">: </w:t>
            </w:r>
            <w:hyperlink r:id="rId11" w:history="1">
              <w:r w:rsidRPr="008D4636">
                <w:rPr>
                  <w:rStyle w:val="Hyperlink"/>
                  <w:rFonts w:ascii="Verdana" w:hAnsi="Verdana" w:cs="Arial"/>
                </w:rPr>
                <w:t>https://colombiacompra.gov.co/sites/cce_public/files/cce_circulares/cce-eicp-ma-06_circular_externa_con_comentarios_de_ciudadanos-_v2f_002.pdf</w:t>
              </w:r>
            </w:hyperlink>
          </w:p>
        </w:tc>
      </w:tr>
    </w:tbl>
    <w:p w14:paraId="26B0DB51" w14:textId="77777777" w:rsidR="00B10AE7" w:rsidRPr="0017378C" w:rsidRDefault="00B10AE7" w:rsidP="00B10AE7">
      <w:pPr>
        <w:widowControl w:val="0"/>
        <w:autoSpaceDE w:val="0"/>
        <w:autoSpaceDN w:val="0"/>
        <w:spacing w:after="0" w:line="276" w:lineRule="auto"/>
        <w:jc w:val="both"/>
        <w:rPr>
          <w:rFonts w:ascii="Verdana" w:hAnsi="Verdana" w:cs="Arial"/>
          <w:color w:val="000000" w:themeColor="text1"/>
          <w:lang w:val="es-ES"/>
        </w:rPr>
      </w:pPr>
    </w:p>
    <w:p w14:paraId="69DA8A17" w14:textId="77777777" w:rsidR="00B10AE7" w:rsidRPr="0017378C" w:rsidRDefault="00B10AE7" w:rsidP="00B10AE7">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7378C">
        <w:rPr>
          <w:rFonts w:ascii="Verdana" w:eastAsia="Century Gothic" w:hAnsi="Verdana" w:cs="Century Gothic"/>
          <w:b/>
          <w:bCs/>
          <w:color w:val="000000" w:themeColor="text1"/>
        </w:rPr>
        <w:t>Doctrina de la Agencia Nacional de Contratación Pública:</w:t>
      </w:r>
    </w:p>
    <w:p w14:paraId="7FF0821F" w14:textId="77777777" w:rsidR="00B10AE7" w:rsidRPr="0017378C" w:rsidRDefault="00B10AE7" w:rsidP="00B10AE7">
      <w:pPr>
        <w:widowControl w:val="0"/>
        <w:autoSpaceDE w:val="0"/>
        <w:autoSpaceDN w:val="0"/>
        <w:spacing w:after="0" w:line="276" w:lineRule="auto"/>
        <w:jc w:val="both"/>
        <w:rPr>
          <w:rFonts w:ascii="Verdana" w:hAnsi="Verdana" w:cs="Arial"/>
          <w:color w:val="000000" w:themeColor="text1"/>
          <w:lang w:val="es-ES"/>
        </w:rPr>
      </w:pPr>
    </w:p>
    <w:p w14:paraId="48BCE36F" w14:textId="77777777" w:rsidR="00B10AE7" w:rsidRPr="00FF20CB" w:rsidRDefault="00B10AE7" w:rsidP="00B10AE7">
      <w:pPr>
        <w:widowControl w:val="0"/>
        <w:autoSpaceDE w:val="0"/>
        <w:autoSpaceDN w:val="0"/>
        <w:spacing w:after="0" w:line="276" w:lineRule="auto"/>
        <w:jc w:val="both"/>
        <w:rPr>
          <w:rStyle w:val="normaltextrun"/>
          <w:rFonts w:ascii="Verdana" w:hAnsi="Verdana" w:cs="Arial"/>
          <w:shd w:val="clear" w:color="auto" w:fill="FFFFFF"/>
          <w:lang w:val="es-ES"/>
        </w:rPr>
      </w:pPr>
      <w:r w:rsidRPr="0017378C">
        <w:rPr>
          <w:rStyle w:val="normaltextrun"/>
          <w:rFonts w:ascii="Verdana" w:hAnsi="Verdana" w:cs="Arial"/>
          <w:color w:val="000000" w:themeColor="text1"/>
          <w:shd w:val="clear" w:color="auto" w:fill="FFFFFF"/>
          <w:lang w:val="es-ES"/>
        </w:rPr>
        <w:t>La Agencia Nacional de Contratación Pública – Colombia Compra Eficiente se ha referido</w:t>
      </w:r>
      <w:r>
        <w:rPr>
          <w:rStyle w:val="normaltextrun"/>
          <w:rFonts w:ascii="Verdana" w:hAnsi="Verdana" w:cs="Arial"/>
          <w:color w:val="000000" w:themeColor="text1"/>
          <w:shd w:val="clear" w:color="auto" w:fill="FFFFFF"/>
          <w:lang w:val="es-ES"/>
        </w:rPr>
        <w:t xml:space="preserve"> </w:t>
      </w:r>
      <w:r w:rsidRPr="00DD781E">
        <w:rPr>
          <w:rStyle w:val="normaltextrun"/>
          <w:rFonts w:ascii="Verdana" w:hAnsi="Verdana" w:cs="Arial"/>
          <w:shd w:val="clear" w:color="auto" w:fill="FFFFFF"/>
          <w:lang w:val="es-ES"/>
        </w:rPr>
        <w:t>se ha pronunciado sobre</w:t>
      </w:r>
      <w:r>
        <w:rPr>
          <w:rStyle w:val="normaltextrun"/>
          <w:rFonts w:ascii="Verdana" w:hAnsi="Verdana" w:cs="Arial"/>
          <w:shd w:val="clear" w:color="auto" w:fill="FFFFFF"/>
          <w:lang w:val="es-ES"/>
        </w:rPr>
        <w:t xml:space="preserve"> </w:t>
      </w:r>
      <w:r>
        <w:rPr>
          <w:rFonts w:ascii="Verdana" w:eastAsia="Calibri" w:hAnsi="Verdana" w:cs="Arial"/>
          <w:lang w:val="es-ES_tradnl" w:eastAsia="es-ES_tradnl"/>
        </w:rPr>
        <w:t>la Ley de Garantías Electorales</w:t>
      </w:r>
      <w:r w:rsidRPr="00F02C5A">
        <w:rPr>
          <w:rStyle w:val="normaltextrun"/>
          <w:rFonts w:ascii="Verdana" w:hAnsi="Verdana" w:cs="Arial"/>
          <w:color w:val="000000"/>
          <w:shd w:val="clear" w:color="auto" w:fill="FFFFFF"/>
        </w:rPr>
        <w:t xml:space="preserve"> </w:t>
      </w:r>
      <w:r>
        <w:rPr>
          <w:rStyle w:val="normaltextrun"/>
          <w:rFonts w:ascii="Verdana" w:hAnsi="Verdana" w:cs="Arial"/>
          <w:color w:val="000000"/>
          <w:shd w:val="clear" w:color="auto" w:fill="FFFFFF"/>
        </w:rPr>
        <w:t xml:space="preserve">en los conceptos </w:t>
      </w:r>
      <w:r w:rsidRPr="00F02C5A">
        <w:rPr>
          <w:rStyle w:val="normaltextrun"/>
          <w:rFonts w:ascii="Verdana" w:hAnsi="Verdana" w:cs="Arial"/>
          <w:color w:val="000000"/>
          <w:shd w:val="clear" w:color="auto" w:fill="FFFFFF"/>
        </w:rPr>
        <w:t>C-329 del 24 de mayo de 2022, C-027 del 22 de marzo de 2023, C-049 del 13 de abril de 2023, C-075 del 25 de abril de 2023, C-076 del 25 de abril de 2023, C-098 del 4 de mayo de 2023, C-105 del 14 de junio de 2023, C-107 del 8 de mayo de 2023, C-115 del 8 de junio de 2023, C-116 del 8 de junio de 2023, C-118 del 9 de junio de 2023, C-134 del 26 de mayo de 2023, C-145 del 18 de mayo de 2023</w:t>
      </w:r>
      <w:r>
        <w:rPr>
          <w:rStyle w:val="normaltextrun"/>
          <w:rFonts w:ascii="Verdana" w:hAnsi="Verdana" w:cs="Arial"/>
          <w:color w:val="000000"/>
          <w:shd w:val="clear" w:color="auto" w:fill="FFFFFF"/>
        </w:rPr>
        <w:t xml:space="preserve">, </w:t>
      </w:r>
      <w:r w:rsidRPr="00F02C5A">
        <w:rPr>
          <w:rStyle w:val="normaltextrun"/>
          <w:rFonts w:ascii="Verdana" w:hAnsi="Verdana" w:cs="Arial"/>
          <w:color w:val="000000"/>
          <w:shd w:val="clear" w:color="auto" w:fill="FFFFFF"/>
        </w:rPr>
        <w:t>C-149 del 1° de junio de 2023</w:t>
      </w:r>
      <w:r>
        <w:rPr>
          <w:rStyle w:val="normaltextrun"/>
          <w:rFonts w:ascii="Verdana" w:hAnsi="Verdana" w:cs="Arial"/>
          <w:color w:val="000000"/>
          <w:shd w:val="clear" w:color="auto" w:fill="FFFFFF"/>
        </w:rPr>
        <w:t>, C-345 del 14 de julio de 2023, C-317 del 25 de abril de 2025 y C-584 del 24 de junio de 2025, entre otros</w:t>
      </w:r>
      <w:r>
        <w:rPr>
          <w:rStyle w:val="normaltextrun"/>
          <w:rFonts w:ascii="Verdana" w:hAnsi="Verdana" w:cs="Arial"/>
          <w:color w:val="000000" w:themeColor="text1"/>
          <w:shd w:val="clear" w:color="auto" w:fill="FFFFFF"/>
          <w:lang w:val="es-ES"/>
        </w:rPr>
        <w:t xml:space="preserve">. </w:t>
      </w:r>
      <w:r w:rsidRPr="0017378C">
        <w:rPr>
          <w:rStyle w:val="normaltextrun"/>
          <w:rFonts w:ascii="Verdana" w:hAnsi="Verdana" w:cs="Arial"/>
          <w:shd w:val="clear" w:color="auto" w:fill="FFFFFF"/>
          <w:lang w:val="es-ES"/>
        </w:rPr>
        <w:t>Estos y otros conceptos se encuentran disponibles para consulta en el Sistema de relatoría de la Agencia</w:t>
      </w:r>
      <w:r w:rsidRPr="0017378C">
        <w:rPr>
          <w:rFonts w:ascii="Verdana" w:hAnsi="Verdana"/>
          <w:lang w:val="es-ES"/>
        </w:rPr>
        <w:t>, al cual puede accederse a través del siguiente enlace:</w:t>
      </w:r>
      <w:r w:rsidRPr="0017378C">
        <w:rPr>
          <w:rStyle w:val="normaltextrun"/>
          <w:rFonts w:ascii="Verdana" w:hAnsi="Verdana" w:cs="Arial"/>
          <w:shd w:val="clear" w:color="auto" w:fill="FFFFFF"/>
          <w:lang w:val="es-ES"/>
        </w:rPr>
        <w:t xml:space="preserve"> </w:t>
      </w:r>
      <w:hyperlink r:id="rId12" w:history="1">
        <w:r w:rsidRPr="0017378C">
          <w:rPr>
            <w:rStyle w:val="Hyperlink"/>
            <w:rFonts w:ascii="Verdana" w:hAnsi="Verdana" w:cs="Arial"/>
            <w:shd w:val="clear" w:color="auto" w:fill="FFFFFF"/>
            <w:lang w:val="es-ES"/>
          </w:rPr>
          <w:t>https://relatoria.colombiacompra.gov.co/busqueda/conceptos</w:t>
        </w:r>
      </w:hyperlink>
      <w:r w:rsidRPr="0017378C">
        <w:rPr>
          <w:rStyle w:val="normaltextrun"/>
          <w:rFonts w:ascii="Verdana" w:hAnsi="Verdana" w:cs="Arial"/>
          <w:shd w:val="clear" w:color="auto" w:fill="FFFFFF"/>
          <w:lang w:val="es-ES"/>
        </w:rPr>
        <w:t>.</w:t>
      </w:r>
      <w:r w:rsidRPr="0017378C">
        <w:rPr>
          <w:rStyle w:val="normaltextrun"/>
          <w:rFonts w:ascii="Verdana" w:hAnsi="Verdana" w:cs="Arial"/>
          <w:color w:val="FF0000"/>
          <w:shd w:val="clear" w:color="auto" w:fill="FFFFFF"/>
          <w:lang w:val="es-ES"/>
        </w:rPr>
        <w:t xml:space="preserve"> </w:t>
      </w:r>
    </w:p>
    <w:p w14:paraId="116E030D" w14:textId="77777777" w:rsidR="00B10AE7" w:rsidRPr="0017378C" w:rsidRDefault="00B10AE7" w:rsidP="00B10AE7">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4477C883" w14:textId="77777777" w:rsidR="00B10AE7" w:rsidRPr="0017378C" w:rsidRDefault="00B10AE7" w:rsidP="00B10AE7">
      <w:pPr>
        <w:spacing w:after="0" w:line="276" w:lineRule="auto"/>
        <w:jc w:val="both"/>
        <w:rPr>
          <w:rFonts w:ascii="Verdana" w:hAnsi="Verdana"/>
          <w:lang w:val="es-ES"/>
        </w:rPr>
      </w:pPr>
      <w:r w:rsidRPr="0017378C">
        <w:rPr>
          <w:rFonts w:ascii="Verdana" w:hAnsi="Verdana"/>
          <w:lang w:val="es-ES"/>
        </w:rPr>
        <w:t xml:space="preserve">Por último, lo invitamos a seguirnos en las redes sociales en las cuales se difunde información institucional: </w:t>
      </w:r>
    </w:p>
    <w:p w14:paraId="42542BAC" w14:textId="77777777" w:rsidR="00B10AE7" w:rsidRPr="0017378C" w:rsidRDefault="00B10AE7" w:rsidP="00B10AE7">
      <w:pPr>
        <w:spacing w:after="0" w:line="276" w:lineRule="auto"/>
        <w:jc w:val="both"/>
        <w:rPr>
          <w:rFonts w:ascii="Verdana" w:hAnsi="Verdana"/>
          <w:lang w:val="es-ES"/>
        </w:rPr>
      </w:pPr>
    </w:p>
    <w:p w14:paraId="321C3668" w14:textId="77777777" w:rsidR="00B10AE7" w:rsidRPr="0017378C" w:rsidRDefault="00B10AE7" w:rsidP="00B10AE7">
      <w:pPr>
        <w:spacing w:after="0" w:line="276" w:lineRule="auto"/>
        <w:jc w:val="both"/>
        <w:rPr>
          <w:rFonts w:ascii="Verdana" w:hAnsi="Verdana"/>
          <w:lang w:val="es-ES"/>
        </w:rPr>
      </w:pPr>
      <w:r w:rsidRPr="0017378C">
        <w:rPr>
          <w:rFonts w:ascii="Verdana" w:hAnsi="Verdana"/>
          <w:lang w:val="es-ES"/>
        </w:rPr>
        <w:t xml:space="preserve">Twitter: </w:t>
      </w:r>
      <w:r w:rsidRPr="0017378C">
        <w:rPr>
          <w:rStyle w:val="Hyperlink"/>
          <w:rFonts w:ascii="Verdana" w:hAnsi="Verdana" w:cs="Arial"/>
          <w:shd w:val="clear" w:color="auto" w:fill="FFFFFF"/>
          <w:lang w:val="es-ES"/>
        </w:rPr>
        <w:t>@colombiacompra</w:t>
      </w:r>
      <w:r w:rsidRPr="0017378C">
        <w:rPr>
          <w:rFonts w:ascii="Verdana" w:hAnsi="Verdana"/>
          <w:color w:val="4472C4" w:themeColor="accent1"/>
          <w:lang w:val="es-ES"/>
        </w:rPr>
        <w:t xml:space="preserve"> </w:t>
      </w:r>
    </w:p>
    <w:p w14:paraId="7F601436" w14:textId="77777777" w:rsidR="00B10AE7" w:rsidRPr="0017378C" w:rsidRDefault="00B10AE7" w:rsidP="00B10AE7">
      <w:pPr>
        <w:spacing w:after="0" w:line="276" w:lineRule="auto"/>
        <w:jc w:val="both"/>
        <w:rPr>
          <w:rFonts w:ascii="Verdana" w:hAnsi="Verdana"/>
          <w:lang w:val="es-ES"/>
        </w:rPr>
      </w:pPr>
      <w:r w:rsidRPr="0017378C">
        <w:rPr>
          <w:rFonts w:ascii="Verdana" w:hAnsi="Verdana"/>
          <w:lang w:val="es-ES"/>
        </w:rPr>
        <w:t xml:space="preserve">Facebook: </w:t>
      </w:r>
      <w:proofErr w:type="spellStart"/>
      <w:r w:rsidRPr="0017378C">
        <w:rPr>
          <w:rStyle w:val="Hyperlink"/>
          <w:rFonts w:ascii="Verdana" w:hAnsi="Verdana" w:cs="Arial"/>
          <w:shd w:val="clear" w:color="auto" w:fill="FFFFFF"/>
          <w:lang w:val="es-ES"/>
        </w:rPr>
        <w:t>ColombiaCompraEficiente</w:t>
      </w:r>
      <w:proofErr w:type="spellEnd"/>
    </w:p>
    <w:p w14:paraId="23F4530E" w14:textId="77777777" w:rsidR="00B10AE7" w:rsidRPr="0017378C" w:rsidRDefault="00B10AE7" w:rsidP="00B10AE7">
      <w:pPr>
        <w:spacing w:after="0" w:line="276" w:lineRule="auto"/>
        <w:jc w:val="both"/>
        <w:rPr>
          <w:rFonts w:ascii="Verdana" w:hAnsi="Verdana"/>
          <w:lang w:val="es-ES"/>
        </w:rPr>
      </w:pPr>
      <w:r w:rsidRPr="0017378C">
        <w:rPr>
          <w:rFonts w:ascii="Verdana" w:hAnsi="Verdana"/>
          <w:lang w:val="es-ES"/>
        </w:rPr>
        <w:t xml:space="preserve">LinkedIn: </w:t>
      </w:r>
      <w:r w:rsidRPr="0017378C">
        <w:rPr>
          <w:rStyle w:val="Hyperlink"/>
          <w:rFonts w:ascii="Verdana" w:hAnsi="Verdana" w:cs="Arial"/>
          <w:shd w:val="clear" w:color="auto" w:fill="FFFFFF"/>
          <w:lang w:val="es-ES"/>
        </w:rPr>
        <w:t xml:space="preserve">Agencia Nacional de Contratación Pública - Colombia Compra Eficiente </w:t>
      </w:r>
      <w:r w:rsidRPr="0017378C">
        <w:rPr>
          <w:rFonts w:ascii="Verdana" w:hAnsi="Verdana"/>
          <w:lang w:val="es-ES"/>
        </w:rPr>
        <w:t xml:space="preserve">Instagram: </w:t>
      </w:r>
      <w:r w:rsidRPr="0017378C">
        <w:rPr>
          <w:rStyle w:val="Hyperlink"/>
          <w:rFonts w:ascii="Verdana" w:hAnsi="Verdana" w:cs="Arial"/>
          <w:shd w:val="clear" w:color="auto" w:fill="FFFFFF"/>
          <w:lang w:val="es-ES"/>
        </w:rPr>
        <w:t>@colombiacompraeficiente_cce</w:t>
      </w:r>
    </w:p>
    <w:p w14:paraId="6F23083D" w14:textId="77777777" w:rsidR="00B10AE7" w:rsidRPr="0017378C" w:rsidRDefault="00B10AE7" w:rsidP="00B10AE7">
      <w:pPr>
        <w:widowControl w:val="0"/>
        <w:autoSpaceDE w:val="0"/>
        <w:autoSpaceDN w:val="0"/>
        <w:spacing w:after="0" w:line="276" w:lineRule="auto"/>
        <w:jc w:val="both"/>
        <w:rPr>
          <w:rFonts w:ascii="Verdana" w:hAnsi="Verdana" w:cs="Arial"/>
          <w:color w:val="000000" w:themeColor="text1"/>
          <w:lang w:val="es-ES"/>
        </w:rPr>
      </w:pPr>
    </w:p>
    <w:p w14:paraId="2E00094B" w14:textId="77777777" w:rsidR="00B10AE7" w:rsidRPr="0017378C" w:rsidRDefault="00B10AE7" w:rsidP="00B10AE7">
      <w:pPr>
        <w:widowControl w:val="0"/>
        <w:autoSpaceDE w:val="0"/>
        <w:autoSpaceDN w:val="0"/>
        <w:spacing w:after="0" w:line="276" w:lineRule="auto"/>
        <w:jc w:val="both"/>
        <w:rPr>
          <w:rFonts w:ascii="Verdana" w:hAnsi="Verdana" w:cs="Arial"/>
          <w:color w:val="000000" w:themeColor="text1"/>
          <w:lang w:val="es-ES"/>
        </w:rPr>
      </w:pPr>
      <w:r w:rsidRPr="0017378C">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27142E9" w14:textId="77777777" w:rsidR="00B10AE7" w:rsidRPr="0017378C" w:rsidRDefault="00B10AE7" w:rsidP="00B10AE7">
      <w:pPr>
        <w:widowControl w:val="0"/>
        <w:autoSpaceDE w:val="0"/>
        <w:autoSpaceDN w:val="0"/>
        <w:spacing w:after="0" w:line="276" w:lineRule="auto"/>
        <w:jc w:val="both"/>
        <w:rPr>
          <w:rFonts w:ascii="Verdana" w:hAnsi="Verdana" w:cs="Arial"/>
          <w:color w:val="000000" w:themeColor="text1"/>
          <w:lang w:val="es-ES"/>
        </w:rPr>
      </w:pPr>
    </w:p>
    <w:p w14:paraId="5E20B51E" w14:textId="77777777" w:rsidR="00B10AE7" w:rsidRPr="0017378C" w:rsidRDefault="00B10AE7" w:rsidP="00B10AE7">
      <w:pPr>
        <w:spacing w:after="0" w:line="276" w:lineRule="auto"/>
        <w:rPr>
          <w:rFonts w:ascii="Verdana" w:hAnsi="Verdana" w:cs="Arial"/>
          <w:color w:val="000000" w:themeColor="text1"/>
          <w:lang w:val="es-ES" w:eastAsia="es-CO"/>
        </w:rPr>
      </w:pPr>
      <w:r w:rsidRPr="0017378C">
        <w:rPr>
          <w:rFonts w:ascii="Verdana" w:eastAsia="Times New Roman" w:hAnsi="Verdana" w:cs="Arial"/>
          <w:color w:val="000000" w:themeColor="text1"/>
          <w:lang w:val="es-ES" w:eastAsia="es-CO"/>
        </w:rPr>
        <w:t>Atentamente,</w:t>
      </w:r>
      <w:r w:rsidRPr="0017378C">
        <w:rPr>
          <w:rFonts w:ascii="Verdana" w:hAnsi="Verdana" w:cs="Arial"/>
          <w:color w:val="000000" w:themeColor="text1"/>
          <w:lang w:val="es-ES" w:eastAsia="es-CO"/>
        </w:rPr>
        <w:t xml:space="preserve"> </w:t>
      </w:r>
    </w:p>
    <w:bookmarkEnd w:id="0"/>
    <w:p w14:paraId="27D11CE3" w14:textId="18A53214" w:rsidR="00B10AE7" w:rsidRPr="0017378C" w:rsidRDefault="000030EE" w:rsidP="00B10AE7">
      <w:pPr>
        <w:spacing w:line="276" w:lineRule="auto"/>
        <w:jc w:val="center"/>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0288" behindDoc="0" locked="0" layoutInCell="1" allowOverlap="1" wp14:anchorId="147EF64B" wp14:editId="1FE76E94">
            <wp:simplePos x="0" y="0"/>
            <wp:positionH relativeFrom="column">
              <wp:posOffset>1106905</wp:posOffset>
            </wp:positionH>
            <wp:positionV relativeFrom="paragraph">
              <wp:posOffset>31215</wp:posOffset>
            </wp:positionV>
            <wp:extent cx="3295650" cy="1223010"/>
            <wp:effectExtent l="0" t="0" r="635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295650" cy="122301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10AE7" w:rsidRPr="0017378C" w14:paraId="27E8B2A6" w14:textId="77777777" w:rsidTr="00F50545">
        <w:trPr>
          <w:trHeight w:val="315"/>
        </w:trPr>
        <w:tc>
          <w:tcPr>
            <w:tcW w:w="893" w:type="dxa"/>
            <w:vAlign w:val="center"/>
            <w:hideMark/>
          </w:tcPr>
          <w:p w14:paraId="1C4DF3E7" w14:textId="77777777" w:rsidR="00B10AE7" w:rsidRPr="0017378C" w:rsidRDefault="00B10AE7" w:rsidP="00F50545">
            <w:pPr>
              <w:contextualSpacing/>
              <w:rPr>
                <w:rFonts w:ascii="Verdana" w:hAnsi="Verdana" w:cs="Arial"/>
                <w:sz w:val="16"/>
                <w:szCs w:val="16"/>
                <w:lang w:val="es-ES" w:eastAsia="es-ES"/>
              </w:rPr>
            </w:pPr>
            <w:r w:rsidRPr="0017378C">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592AAAC" w14:textId="77777777" w:rsidR="00B10AE7" w:rsidRPr="0017378C" w:rsidRDefault="00B10AE7" w:rsidP="00F50545">
            <w:pPr>
              <w:contextualSpacing/>
              <w:rPr>
                <w:rFonts w:ascii="Verdana" w:eastAsia="Arial" w:hAnsi="Verdana" w:cs="Arial"/>
                <w:color w:val="000000" w:themeColor="text1"/>
                <w:sz w:val="16"/>
                <w:szCs w:val="16"/>
                <w:lang w:val="es-ES"/>
              </w:rPr>
            </w:pPr>
            <w:r w:rsidRPr="0017378C">
              <w:rPr>
                <w:rFonts w:ascii="Verdana" w:eastAsia="Arial" w:hAnsi="Verdana" w:cs="Arial"/>
                <w:color w:val="000000" w:themeColor="text1"/>
                <w:sz w:val="16"/>
                <w:szCs w:val="16"/>
                <w:lang w:val="es-ES"/>
              </w:rPr>
              <w:t>Anamaría Bonilla Prieto</w:t>
            </w:r>
          </w:p>
          <w:p w14:paraId="16AA8CD0" w14:textId="77777777" w:rsidR="00B10AE7" w:rsidRPr="0017378C" w:rsidRDefault="00B10AE7" w:rsidP="00F50545">
            <w:pPr>
              <w:contextualSpacing/>
              <w:rPr>
                <w:rFonts w:ascii="Verdana" w:eastAsia="Arial" w:hAnsi="Verdana" w:cs="Arial"/>
                <w:sz w:val="16"/>
                <w:szCs w:val="16"/>
                <w:lang w:val="es-ES"/>
              </w:rPr>
            </w:pPr>
            <w:r w:rsidRPr="0017378C">
              <w:rPr>
                <w:rStyle w:val="normaltextrun"/>
                <w:rFonts w:ascii="Verdana" w:eastAsia="Arial" w:hAnsi="Verdana" w:cs="Arial"/>
                <w:color w:val="000000" w:themeColor="text1"/>
                <w:sz w:val="16"/>
                <w:szCs w:val="16"/>
                <w:lang w:val="es-ES"/>
              </w:rPr>
              <w:t xml:space="preserve">Contratista de la Subdirección </w:t>
            </w:r>
            <w:r w:rsidRPr="0017378C">
              <w:rPr>
                <w:rStyle w:val="normaltextrun"/>
                <w:rFonts w:ascii="Verdana" w:eastAsia="Arial" w:hAnsi="Verdana" w:cs="Arial"/>
                <w:sz w:val="16"/>
                <w:szCs w:val="16"/>
                <w:lang w:val="es-ES"/>
              </w:rPr>
              <w:t>de Gestión Contractual</w:t>
            </w:r>
          </w:p>
        </w:tc>
      </w:tr>
      <w:tr w:rsidR="00B10AE7" w:rsidRPr="0017378C" w14:paraId="4877CE89" w14:textId="77777777" w:rsidTr="00F50545">
        <w:trPr>
          <w:trHeight w:val="330"/>
        </w:trPr>
        <w:tc>
          <w:tcPr>
            <w:tcW w:w="893" w:type="dxa"/>
            <w:vAlign w:val="center"/>
            <w:hideMark/>
          </w:tcPr>
          <w:p w14:paraId="251A4ECB" w14:textId="77777777" w:rsidR="00B10AE7" w:rsidRPr="0017378C" w:rsidRDefault="00B10AE7" w:rsidP="00F50545">
            <w:pPr>
              <w:contextualSpacing/>
              <w:rPr>
                <w:rFonts w:ascii="Verdana" w:hAnsi="Verdana" w:cs="Arial"/>
                <w:sz w:val="16"/>
                <w:szCs w:val="16"/>
                <w:lang w:val="es-ES" w:eastAsia="es-ES"/>
              </w:rPr>
            </w:pPr>
            <w:r w:rsidRPr="0017378C">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D4D75F8" w14:textId="77777777" w:rsidR="00B10AE7" w:rsidRPr="0017378C" w:rsidRDefault="00B10AE7" w:rsidP="00F50545">
            <w:pPr>
              <w:contextualSpacing/>
              <w:rPr>
                <w:rFonts w:ascii="Verdana" w:eastAsia="Arial" w:hAnsi="Verdana" w:cs="Arial"/>
                <w:color w:val="000000" w:themeColor="text1"/>
                <w:sz w:val="16"/>
                <w:szCs w:val="16"/>
                <w:lang w:val="es-ES"/>
              </w:rPr>
            </w:pPr>
            <w:r w:rsidRPr="0017378C">
              <w:rPr>
                <w:rFonts w:ascii="Verdana" w:eastAsia="Arial" w:hAnsi="Verdana" w:cs="Arial"/>
                <w:color w:val="000000" w:themeColor="text1"/>
                <w:sz w:val="16"/>
                <w:szCs w:val="16"/>
                <w:lang w:val="es-ES"/>
              </w:rPr>
              <w:t>Alejandro Sarmiento Cantillo</w:t>
            </w:r>
          </w:p>
          <w:p w14:paraId="1FB39C17" w14:textId="77777777" w:rsidR="00B10AE7" w:rsidRPr="0017378C" w:rsidRDefault="00B10AE7" w:rsidP="00F50545">
            <w:pPr>
              <w:contextualSpacing/>
              <w:rPr>
                <w:rFonts w:ascii="Verdana" w:hAnsi="Verdana" w:cs="Segoe UI"/>
                <w:sz w:val="16"/>
                <w:szCs w:val="16"/>
                <w:lang w:val="es-ES"/>
              </w:rPr>
            </w:pPr>
            <w:r w:rsidRPr="0017378C">
              <w:rPr>
                <w:rFonts w:ascii="Verdana" w:eastAsia="Arial" w:hAnsi="Verdana" w:cs="Arial"/>
                <w:color w:val="000000" w:themeColor="text1"/>
                <w:sz w:val="16"/>
                <w:szCs w:val="16"/>
                <w:lang w:val="es-ES"/>
              </w:rPr>
              <w:t>Gestor T1 – 15 de la Subdirección de Gestión Contractual</w:t>
            </w:r>
            <w:r w:rsidRPr="0017378C">
              <w:rPr>
                <w:rFonts w:ascii="Verdana" w:hAnsi="Verdana" w:cs="Segoe UI"/>
                <w:sz w:val="16"/>
                <w:szCs w:val="16"/>
                <w:lang w:val="es-ES"/>
              </w:rPr>
              <w:t> </w:t>
            </w:r>
          </w:p>
        </w:tc>
      </w:tr>
      <w:tr w:rsidR="00B10AE7" w:rsidRPr="0017378C" w14:paraId="790E4C5A" w14:textId="77777777" w:rsidTr="00F50545">
        <w:trPr>
          <w:trHeight w:val="300"/>
        </w:trPr>
        <w:tc>
          <w:tcPr>
            <w:tcW w:w="893" w:type="dxa"/>
            <w:vAlign w:val="center"/>
          </w:tcPr>
          <w:p w14:paraId="373B2FBE" w14:textId="77777777" w:rsidR="00B10AE7" w:rsidRPr="0017378C" w:rsidRDefault="00B10AE7" w:rsidP="00F50545">
            <w:pPr>
              <w:contextualSpacing/>
              <w:rPr>
                <w:rFonts w:ascii="Verdana" w:hAnsi="Verdana" w:cs="Arial"/>
                <w:sz w:val="16"/>
                <w:szCs w:val="16"/>
                <w:lang w:val="es-ES" w:eastAsia="es-ES"/>
              </w:rPr>
            </w:pPr>
            <w:r w:rsidRPr="0017378C">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4A35AEC" w14:textId="77777777" w:rsidR="00B10AE7" w:rsidRPr="0017378C" w:rsidRDefault="00B10AE7" w:rsidP="00F50545">
            <w:pPr>
              <w:contextualSpacing/>
              <w:rPr>
                <w:rFonts w:ascii="Verdana" w:eastAsia="Calibri" w:hAnsi="Verdana" w:cs="Arial"/>
                <w:sz w:val="16"/>
                <w:szCs w:val="16"/>
                <w:lang w:val="es-ES" w:eastAsia="es-ES"/>
              </w:rPr>
            </w:pPr>
            <w:r w:rsidRPr="0017378C">
              <w:rPr>
                <w:rFonts w:ascii="Verdana" w:eastAsia="Calibri" w:hAnsi="Verdana" w:cs="Arial"/>
                <w:sz w:val="16"/>
                <w:szCs w:val="16"/>
                <w:lang w:val="es-ES" w:eastAsia="es-ES"/>
              </w:rPr>
              <w:t>Carolina Quintero Gacharná</w:t>
            </w:r>
          </w:p>
          <w:p w14:paraId="39E3F3D7" w14:textId="77777777" w:rsidR="00B10AE7" w:rsidRPr="0017378C" w:rsidRDefault="00B10AE7" w:rsidP="00F50545">
            <w:pPr>
              <w:contextualSpacing/>
              <w:rPr>
                <w:rFonts w:ascii="Verdana" w:eastAsia="Calibri" w:hAnsi="Verdana" w:cs="Arial"/>
                <w:sz w:val="16"/>
                <w:szCs w:val="16"/>
                <w:lang w:val="es-ES" w:eastAsia="es-ES"/>
              </w:rPr>
            </w:pPr>
            <w:r w:rsidRPr="0017378C">
              <w:rPr>
                <w:rFonts w:ascii="Verdana" w:eastAsia="Calibri" w:hAnsi="Verdana" w:cs="Arial"/>
                <w:sz w:val="16"/>
                <w:szCs w:val="16"/>
                <w:lang w:val="es-ES" w:eastAsia="es-ES"/>
              </w:rPr>
              <w:t>Subdirectora de Gestión Contractual ANCP – CCE</w:t>
            </w:r>
          </w:p>
        </w:tc>
      </w:tr>
    </w:tbl>
    <w:p w14:paraId="0F293BF4" w14:textId="786C25B1" w:rsidR="00127233" w:rsidRPr="00B10AE7" w:rsidRDefault="00127233" w:rsidP="00B10AE7"/>
    <w:sectPr w:rsidR="00127233" w:rsidRPr="00B10AE7"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F834B7" w14:textId="77777777" w:rsidR="009D4085" w:rsidRDefault="009D4085" w:rsidP="004A1847">
      <w:pPr>
        <w:spacing w:after="0" w:line="240" w:lineRule="auto"/>
      </w:pPr>
      <w:r>
        <w:separator/>
      </w:r>
    </w:p>
  </w:endnote>
  <w:endnote w:type="continuationSeparator" w:id="0">
    <w:p w14:paraId="33AB0EB8" w14:textId="77777777" w:rsidR="009D4085" w:rsidRDefault="009D4085" w:rsidP="004A1847">
      <w:pPr>
        <w:spacing w:after="0" w:line="240" w:lineRule="auto"/>
      </w:pPr>
      <w:r>
        <w:continuationSeparator/>
      </w:r>
    </w:p>
  </w:endnote>
  <w:endnote w:type="continuationNotice" w:id="1">
    <w:p w14:paraId="4406D651" w14:textId="77777777" w:rsidR="009D4085" w:rsidRDefault="009D408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1C333E" w14:textId="77777777" w:rsidR="009D4085" w:rsidRDefault="009D4085" w:rsidP="004A1847">
      <w:pPr>
        <w:spacing w:after="0" w:line="240" w:lineRule="auto"/>
      </w:pPr>
      <w:r>
        <w:separator/>
      </w:r>
    </w:p>
  </w:footnote>
  <w:footnote w:type="continuationSeparator" w:id="0">
    <w:p w14:paraId="7D9F4815" w14:textId="77777777" w:rsidR="009D4085" w:rsidRDefault="009D4085" w:rsidP="004A1847">
      <w:pPr>
        <w:spacing w:after="0" w:line="240" w:lineRule="auto"/>
      </w:pPr>
      <w:r>
        <w:continuationSeparator/>
      </w:r>
    </w:p>
  </w:footnote>
  <w:footnote w:type="continuationNotice" w:id="1">
    <w:p w14:paraId="49A2A066" w14:textId="77777777" w:rsidR="009D4085" w:rsidRDefault="009D4085">
      <w:pPr>
        <w:spacing w:after="0" w:line="240" w:lineRule="auto"/>
      </w:pPr>
    </w:p>
  </w:footnote>
  <w:footnote w:id="2">
    <w:p w14:paraId="62EEBD2A" w14:textId="77777777" w:rsidR="00B10AE7" w:rsidRPr="00020A5B" w:rsidRDefault="00B10AE7" w:rsidP="00B10AE7">
      <w:pPr>
        <w:pStyle w:val="FootnoteText"/>
        <w:ind w:right="51" w:firstLine="709"/>
        <w:contextualSpacing/>
        <w:jc w:val="both"/>
        <w:rPr>
          <w:rFonts w:ascii="Verdana" w:hAnsi="Verdana" w:cs="Arial"/>
          <w:sz w:val="16"/>
          <w:szCs w:val="16"/>
        </w:rPr>
      </w:pPr>
      <w:r w:rsidRPr="00020A5B">
        <w:rPr>
          <w:rStyle w:val="FootnoteReference"/>
          <w:rFonts w:ascii="Verdana" w:hAnsi="Verdana" w:cs="Arial"/>
          <w:sz w:val="16"/>
          <w:szCs w:val="16"/>
        </w:rPr>
        <w:footnoteRef/>
      </w:r>
      <w:r w:rsidRPr="00020A5B">
        <w:rPr>
          <w:rFonts w:ascii="Verdana" w:hAnsi="Verdana" w:cs="Arial"/>
          <w:sz w:val="16"/>
          <w:szCs w:val="16"/>
        </w:rPr>
        <w:t xml:space="preserve"> “</w:t>
      </w:r>
      <w:r w:rsidRPr="00020A5B">
        <w:rPr>
          <w:rFonts w:ascii="Verdana" w:hAnsi="Verdana" w:cs="Arial"/>
          <w:sz w:val="16"/>
          <w:szCs w:val="16"/>
          <w:lang w:val="es-ES"/>
        </w:rPr>
        <w:t xml:space="preserve">[25] </w:t>
      </w:r>
      <w:r w:rsidRPr="00020A5B">
        <w:rPr>
          <w:rFonts w:ascii="Verdana" w:hAnsi="Verdana" w:cs="Arial"/>
          <w:sz w:val="16"/>
          <w:szCs w:val="16"/>
        </w:rPr>
        <w:t>Cfr. Consejo de Estado. Sección Tercera. Sentencia de 3 de diciembre de 2007. Radicados: 24.715, 25.206, 25.409, 24.524, 27.834, 25.410, 26.105, 28.244, 31.447 -acumulados-”.</w:t>
      </w:r>
    </w:p>
    <w:p w14:paraId="7BDBECAA" w14:textId="77777777" w:rsidR="00B10AE7" w:rsidRPr="00020A5B" w:rsidRDefault="00B10AE7" w:rsidP="00B10AE7">
      <w:pPr>
        <w:pStyle w:val="FootnoteText"/>
        <w:ind w:right="51" w:firstLine="709"/>
        <w:contextualSpacing/>
        <w:jc w:val="both"/>
        <w:rPr>
          <w:rFonts w:ascii="Verdana" w:hAnsi="Verdana" w:cs="Arial"/>
          <w:sz w:val="16"/>
          <w:szCs w:val="16"/>
        </w:rPr>
      </w:pPr>
    </w:p>
  </w:footnote>
  <w:footnote w:id="3">
    <w:p w14:paraId="3F1331FD" w14:textId="77777777" w:rsidR="00B10AE7" w:rsidRPr="00020A5B" w:rsidRDefault="00B10AE7" w:rsidP="00B10AE7">
      <w:pPr>
        <w:pStyle w:val="FootnoteText"/>
        <w:ind w:right="51" w:firstLine="709"/>
        <w:contextualSpacing/>
        <w:jc w:val="both"/>
        <w:rPr>
          <w:rFonts w:ascii="Verdana" w:hAnsi="Verdana" w:cs="Arial"/>
          <w:sz w:val="16"/>
          <w:szCs w:val="16"/>
        </w:rPr>
      </w:pPr>
      <w:r w:rsidRPr="00020A5B">
        <w:rPr>
          <w:rStyle w:val="FootnoteReference"/>
          <w:rFonts w:ascii="Verdana" w:hAnsi="Verdana" w:cs="Arial"/>
          <w:sz w:val="16"/>
          <w:szCs w:val="16"/>
        </w:rPr>
        <w:footnoteRef/>
      </w:r>
      <w:r w:rsidRPr="00020A5B">
        <w:rPr>
          <w:rFonts w:ascii="Verdana" w:hAnsi="Verdana" w:cs="Arial"/>
          <w:sz w:val="16"/>
          <w:szCs w:val="16"/>
        </w:rPr>
        <w:t xml:space="preserve"> </w:t>
      </w:r>
      <w:bookmarkStart w:id="5" w:name="_Hlk74294506"/>
      <w:r w:rsidRPr="00020A5B">
        <w:rPr>
          <w:rFonts w:ascii="Verdana" w:hAnsi="Verdana" w:cs="Arial"/>
          <w:sz w:val="16"/>
          <w:szCs w:val="16"/>
        </w:rPr>
        <w:t>“</w:t>
      </w:r>
      <w:r w:rsidRPr="00020A5B">
        <w:rPr>
          <w:rFonts w:ascii="Verdana" w:hAnsi="Verdana" w:cs="Arial"/>
          <w:sz w:val="16"/>
          <w:szCs w:val="16"/>
          <w:lang w:val="es-ES"/>
        </w:rPr>
        <w:t xml:space="preserve">[26] </w:t>
      </w:r>
      <w:bookmarkEnd w:id="5"/>
      <w:r w:rsidRPr="00020A5B">
        <w:rPr>
          <w:rFonts w:ascii="Verdana" w:hAnsi="Verdana" w:cs="Arial"/>
          <w:sz w:val="16"/>
          <w:szCs w:val="16"/>
        </w:rPr>
        <w:t>Al respecto ver el concepto 1712 de 2 de febrero de 2006. Consejo de Estado Sala de Consulta y Servicio Civil”.</w:t>
      </w:r>
    </w:p>
    <w:p w14:paraId="5E71970B" w14:textId="77777777" w:rsidR="00B10AE7" w:rsidRPr="00020A5B" w:rsidRDefault="00B10AE7" w:rsidP="00B10AE7">
      <w:pPr>
        <w:pStyle w:val="FootnoteText"/>
        <w:ind w:right="51" w:firstLine="709"/>
        <w:contextualSpacing/>
        <w:jc w:val="both"/>
        <w:rPr>
          <w:rFonts w:ascii="Verdana" w:hAnsi="Verdana" w:cs="Arial"/>
          <w:sz w:val="16"/>
          <w:szCs w:val="16"/>
        </w:rPr>
      </w:pPr>
    </w:p>
  </w:footnote>
  <w:footnote w:id="4">
    <w:p w14:paraId="46BC5C8F" w14:textId="77777777" w:rsidR="00B10AE7" w:rsidRPr="00020A5B" w:rsidRDefault="00B10AE7" w:rsidP="00B10AE7">
      <w:pPr>
        <w:pStyle w:val="FootnoteText"/>
        <w:ind w:firstLine="709"/>
        <w:contextualSpacing/>
        <w:jc w:val="both"/>
        <w:rPr>
          <w:rFonts w:ascii="Verdana" w:hAnsi="Verdana" w:cs="Arial"/>
          <w:sz w:val="16"/>
          <w:szCs w:val="16"/>
        </w:rPr>
      </w:pPr>
      <w:r w:rsidRPr="00020A5B">
        <w:rPr>
          <w:rStyle w:val="FootnoteReference"/>
          <w:rFonts w:ascii="Verdana" w:hAnsi="Verdana" w:cs="Arial"/>
          <w:sz w:val="16"/>
          <w:szCs w:val="16"/>
        </w:rPr>
        <w:footnoteRef/>
      </w:r>
      <w:r w:rsidRPr="00020A5B">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4337B271" w14:textId="77777777" w:rsidR="00B10AE7" w:rsidRPr="00020A5B" w:rsidRDefault="00B10AE7" w:rsidP="00B10AE7">
      <w:pPr>
        <w:pStyle w:val="FootnoteText"/>
        <w:ind w:firstLine="709"/>
        <w:contextualSpacing/>
        <w:jc w:val="both"/>
        <w:rPr>
          <w:rFonts w:ascii="Verdana" w:hAnsi="Verdana" w:cs="Arial"/>
          <w:sz w:val="16"/>
          <w:szCs w:val="16"/>
        </w:rPr>
      </w:pPr>
    </w:p>
  </w:footnote>
  <w:footnote w:id="5">
    <w:p w14:paraId="4AC56062" w14:textId="77777777" w:rsidR="00B10AE7" w:rsidRPr="00020A5B" w:rsidRDefault="00B10AE7" w:rsidP="00B10AE7">
      <w:pPr>
        <w:pStyle w:val="FootnoteText"/>
        <w:ind w:firstLine="709"/>
        <w:contextualSpacing/>
        <w:jc w:val="both"/>
        <w:rPr>
          <w:rFonts w:ascii="Verdana" w:hAnsi="Verdana" w:cs="Arial"/>
          <w:sz w:val="16"/>
          <w:szCs w:val="16"/>
          <w:lang w:val="es-ES"/>
        </w:rPr>
      </w:pPr>
      <w:r w:rsidRPr="00020A5B">
        <w:rPr>
          <w:rStyle w:val="FootnoteReference"/>
          <w:rFonts w:ascii="Verdana" w:hAnsi="Verdana" w:cs="Arial"/>
          <w:sz w:val="16"/>
          <w:szCs w:val="16"/>
        </w:rPr>
        <w:footnoteRef/>
      </w:r>
      <w:r w:rsidRPr="00020A5B">
        <w:rPr>
          <w:rFonts w:ascii="Verdana" w:hAnsi="Verdana" w:cs="Arial"/>
          <w:sz w:val="16"/>
          <w:szCs w:val="16"/>
        </w:rPr>
        <w:t xml:space="preserve"> </w:t>
      </w:r>
      <w:r w:rsidRPr="00020A5B">
        <w:rPr>
          <w:rFonts w:ascii="Verdana" w:hAnsi="Verdana" w:cs="Arial"/>
          <w:sz w:val="16"/>
          <w:szCs w:val="16"/>
          <w:lang w:val="es-ES"/>
        </w:rPr>
        <w:t xml:space="preserve">Artículo 2. </w:t>
      </w:r>
    </w:p>
  </w:footnote>
  <w:footnote w:id="6">
    <w:p w14:paraId="110F6672" w14:textId="77777777" w:rsidR="00B10AE7" w:rsidRPr="00020A5B" w:rsidRDefault="00B10AE7" w:rsidP="00B10AE7">
      <w:pPr>
        <w:pStyle w:val="FootnoteText"/>
        <w:ind w:firstLine="709"/>
        <w:contextualSpacing/>
        <w:jc w:val="both"/>
        <w:rPr>
          <w:rFonts w:ascii="Verdana" w:hAnsi="Verdana" w:cs="Arial"/>
          <w:sz w:val="16"/>
          <w:szCs w:val="16"/>
        </w:rPr>
      </w:pPr>
    </w:p>
    <w:p w14:paraId="16D9EAE6" w14:textId="77777777" w:rsidR="00B10AE7" w:rsidRPr="00020A5B" w:rsidRDefault="00B10AE7" w:rsidP="00B10AE7">
      <w:pPr>
        <w:pStyle w:val="FootnoteText"/>
        <w:ind w:firstLine="709"/>
        <w:contextualSpacing/>
        <w:jc w:val="both"/>
        <w:rPr>
          <w:rFonts w:ascii="Verdana" w:hAnsi="Verdana" w:cs="Arial"/>
          <w:sz w:val="16"/>
          <w:szCs w:val="16"/>
          <w:lang w:val="es-ES"/>
        </w:rPr>
      </w:pPr>
      <w:r w:rsidRPr="00020A5B">
        <w:rPr>
          <w:rStyle w:val="FootnoteReference"/>
          <w:rFonts w:ascii="Verdana" w:hAnsi="Verdana" w:cs="Arial"/>
          <w:sz w:val="16"/>
          <w:szCs w:val="16"/>
        </w:rPr>
        <w:footnoteRef/>
      </w:r>
      <w:r w:rsidRPr="00020A5B">
        <w:rPr>
          <w:rFonts w:ascii="Verdana" w:hAnsi="Verdana" w:cs="Arial"/>
          <w:sz w:val="16"/>
          <w:szCs w:val="16"/>
        </w:rPr>
        <w:t xml:space="preserve"> </w:t>
      </w:r>
      <w:r w:rsidRPr="00020A5B">
        <w:rPr>
          <w:rFonts w:ascii="Verdana" w:hAnsi="Verdana" w:cs="Arial"/>
          <w:i/>
          <w:sz w:val="16"/>
          <w:szCs w:val="16"/>
          <w:lang w:val="es-ES"/>
        </w:rPr>
        <w:t>Ídem</w:t>
      </w:r>
      <w:r w:rsidRPr="00020A5B">
        <w:rPr>
          <w:rFonts w:ascii="Verdana" w:hAnsi="Verdana" w:cs="Arial"/>
          <w:sz w:val="16"/>
          <w:szCs w:val="16"/>
          <w:lang w:val="es-ES"/>
        </w:rPr>
        <w:t>.</w:t>
      </w:r>
    </w:p>
  </w:footnote>
  <w:footnote w:id="7">
    <w:p w14:paraId="411537F8" w14:textId="77777777" w:rsidR="00B10AE7" w:rsidRPr="00020A5B" w:rsidRDefault="00B10AE7" w:rsidP="00B10AE7">
      <w:pPr>
        <w:pStyle w:val="FootnoteText"/>
        <w:ind w:firstLine="709"/>
        <w:contextualSpacing/>
        <w:jc w:val="both"/>
        <w:rPr>
          <w:rFonts w:ascii="Verdana" w:hAnsi="Verdana" w:cs="Arial"/>
          <w:sz w:val="16"/>
          <w:szCs w:val="16"/>
          <w:lang w:val="es-ES"/>
        </w:rPr>
      </w:pPr>
      <w:r w:rsidRPr="00020A5B">
        <w:rPr>
          <w:rStyle w:val="FootnoteReference"/>
          <w:rFonts w:ascii="Verdana" w:hAnsi="Verdana" w:cs="Arial"/>
          <w:sz w:val="16"/>
          <w:szCs w:val="16"/>
        </w:rPr>
        <w:footnoteRef/>
      </w:r>
      <w:r w:rsidRPr="00020A5B">
        <w:rPr>
          <w:rStyle w:val="FootnoteReference"/>
          <w:rFonts w:ascii="Verdana" w:hAnsi="Verdana" w:cs="Arial"/>
          <w:sz w:val="16"/>
          <w:szCs w:val="16"/>
        </w:rPr>
        <w:t xml:space="preserve"> </w:t>
      </w:r>
      <w:r w:rsidRPr="00020A5B">
        <w:rPr>
          <w:rFonts w:ascii="Verdana" w:hAnsi="Verdana" w:cs="Arial"/>
          <w:sz w:val="16"/>
          <w:szCs w:val="16"/>
          <w:lang w:val="es-ES"/>
        </w:rPr>
        <w:t xml:space="preserve">“[…] A este respecto, cabe recordar que el artículo 860 del Código de Comercio regula la licitación en el derecho privado”. </w:t>
      </w:r>
    </w:p>
    <w:p w14:paraId="66110AB2" w14:textId="77777777" w:rsidR="00B10AE7" w:rsidRPr="00020A5B" w:rsidRDefault="00B10AE7" w:rsidP="00B10AE7">
      <w:pPr>
        <w:pStyle w:val="FootnoteText"/>
        <w:ind w:firstLine="709"/>
        <w:contextualSpacing/>
        <w:jc w:val="both"/>
        <w:rPr>
          <w:rFonts w:ascii="Verdana" w:hAnsi="Verdana" w:cs="Arial"/>
          <w:sz w:val="16"/>
          <w:szCs w:val="16"/>
          <w:lang w:val="es-ES"/>
        </w:rPr>
      </w:pPr>
    </w:p>
  </w:footnote>
  <w:footnote w:id="8">
    <w:p w14:paraId="36D43431" w14:textId="77777777" w:rsidR="00B10AE7" w:rsidRPr="00020A5B" w:rsidRDefault="00B10AE7" w:rsidP="00B10AE7">
      <w:pPr>
        <w:pStyle w:val="FootnoteText"/>
        <w:ind w:firstLine="709"/>
        <w:contextualSpacing/>
        <w:jc w:val="both"/>
        <w:rPr>
          <w:rFonts w:ascii="Verdana" w:hAnsi="Verdana" w:cs="Arial"/>
          <w:sz w:val="16"/>
          <w:szCs w:val="16"/>
        </w:rPr>
      </w:pPr>
    </w:p>
    <w:p w14:paraId="05E31A5D" w14:textId="77777777" w:rsidR="00B10AE7" w:rsidRPr="00020A5B" w:rsidRDefault="00B10AE7" w:rsidP="00B10AE7">
      <w:pPr>
        <w:pStyle w:val="FootnoteText"/>
        <w:ind w:firstLine="709"/>
        <w:contextualSpacing/>
        <w:jc w:val="both"/>
        <w:rPr>
          <w:rFonts w:ascii="Verdana" w:hAnsi="Verdana" w:cs="Arial"/>
          <w:sz w:val="16"/>
          <w:szCs w:val="16"/>
        </w:rPr>
      </w:pPr>
      <w:r w:rsidRPr="00020A5B">
        <w:rPr>
          <w:rStyle w:val="FootnoteReference"/>
          <w:rFonts w:ascii="Verdana" w:hAnsi="Verdana" w:cs="Arial"/>
          <w:sz w:val="16"/>
          <w:szCs w:val="16"/>
        </w:rPr>
        <w:footnoteRef/>
      </w:r>
      <w:r w:rsidRPr="00020A5B">
        <w:rPr>
          <w:rFonts w:ascii="Verdana" w:hAnsi="Verdana" w:cs="Arial"/>
          <w:sz w:val="16"/>
          <w:szCs w:val="16"/>
        </w:rPr>
        <w:t xml:space="preserve"> Consejo de Estado. Sala de Consulta y Servicio Civil. Concepto del 08 de mayo de 2018. Exp. 2.382. C.P. Álvaro Namén Vargas.</w:t>
      </w:r>
    </w:p>
    <w:p w14:paraId="74771E19" w14:textId="77777777" w:rsidR="00B10AE7" w:rsidRPr="00020A5B" w:rsidRDefault="00B10AE7" w:rsidP="00B10AE7">
      <w:pPr>
        <w:pStyle w:val="FootnoteText"/>
        <w:ind w:firstLine="709"/>
        <w:contextualSpacing/>
        <w:jc w:val="both"/>
        <w:rPr>
          <w:rFonts w:ascii="Verdana" w:hAnsi="Verdana" w:cs="Arial"/>
          <w:sz w:val="16"/>
          <w:szCs w:val="16"/>
        </w:rPr>
      </w:pPr>
    </w:p>
  </w:footnote>
  <w:footnote w:id="9">
    <w:p w14:paraId="18CAADC1" w14:textId="77777777" w:rsidR="00B10AE7" w:rsidRPr="00020A5B" w:rsidRDefault="00B10AE7" w:rsidP="00B10AE7">
      <w:pPr>
        <w:pStyle w:val="FootnoteText"/>
        <w:ind w:firstLine="709"/>
        <w:contextualSpacing/>
        <w:jc w:val="both"/>
        <w:rPr>
          <w:rFonts w:ascii="Verdana" w:hAnsi="Verdana" w:cs="Arial"/>
          <w:sz w:val="16"/>
          <w:szCs w:val="16"/>
        </w:rPr>
      </w:pPr>
      <w:r w:rsidRPr="00020A5B">
        <w:rPr>
          <w:rStyle w:val="FootnoteReference"/>
          <w:rFonts w:ascii="Verdana" w:hAnsi="Verdana" w:cs="Arial"/>
          <w:sz w:val="16"/>
          <w:szCs w:val="16"/>
        </w:rPr>
        <w:footnoteRef/>
      </w:r>
      <w:r w:rsidRPr="00020A5B">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32788494" w14:textId="77777777" w:rsidR="00B10AE7" w:rsidRPr="00020A5B" w:rsidRDefault="00B10AE7" w:rsidP="00B10AE7">
      <w:pPr>
        <w:pStyle w:val="FootnoteText"/>
        <w:ind w:firstLine="709"/>
        <w:contextualSpacing/>
        <w:jc w:val="both"/>
        <w:rPr>
          <w:rFonts w:ascii="Verdana" w:hAnsi="Verdana" w:cs="Arial"/>
          <w:sz w:val="16"/>
          <w:szCs w:val="16"/>
        </w:rPr>
      </w:pPr>
    </w:p>
  </w:footnote>
  <w:footnote w:id="10">
    <w:p w14:paraId="5482F5D6" w14:textId="77777777" w:rsidR="00B10AE7" w:rsidRPr="00020A5B" w:rsidRDefault="00B10AE7" w:rsidP="00B10AE7">
      <w:pPr>
        <w:spacing w:after="0" w:line="240" w:lineRule="auto"/>
        <w:ind w:firstLine="708"/>
        <w:contextualSpacing/>
        <w:jc w:val="both"/>
        <w:rPr>
          <w:rFonts w:ascii="Verdana" w:hAnsi="Verdana" w:cs="Arial"/>
          <w:color w:val="000000" w:themeColor="text1"/>
          <w:sz w:val="16"/>
          <w:szCs w:val="16"/>
          <w:lang w:val="es-ES"/>
        </w:rPr>
      </w:pPr>
      <w:r w:rsidRPr="00020A5B">
        <w:rPr>
          <w:rStyle w:val="FootnoteReference"/>
          <w:rFonts w:ascii="Verdana" w:hAnsi="Verdana" w:cs="Arial"/>
          <w:sz w:val="16"/>
          <w:szCs w:val="16"/>
        </w:rPr>
        <w:footnoteRef/>
      </w:r>
      <w:r w:rsidRPr="00020A5B">
        <w:rPr>
          <w:rFonts w:ascii="Verdana" w:hAnsi="Verdana" w:cs="Arial"/>
          <w:sz w:val="16"/>
          <w:szCs w:val="16"/>
        </w:rPr>
        <w:t xml:space="preserve"> Ley 80 de 1993. “</w:t>
      </w:r>
      <w:r w:rsidRPr="00020A5B">
        <w:rPr>
          <w:rFonts w:ascii="Verdana" w:hAnsi="Verdana" w:cs="Arial"/>
          <w:color w:val="000000" w:themeColor="text1"/>
          <w:sz w:val="16"/>
          <w:szCs w:val="16"/>
          <w:lang w:val="es-ES"/>
        </w:rPr>
        <w:t>ARTÍCULO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p w14:paraId="3F1DE4F0" w14:textId="77777777" w:rsidR="00B10AE7" w:rsidRPr="00020A5B" w:rsidRDefault="00B10AE7" w:rsidP="00B10AE7">
      <w:pPr>
        <w:pStyle w:val="FootnoteText"/>
        <w:contextualSpacing/>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00"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502"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1916AB3"/>
    <w:multiLevelType w:val="hybridMultilevel"/>
    <w:tmpl w:val="D61EC1E6"/>
    <w:lvl w:ilvl="0" w:tplc="73DEAA1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5714248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9"/>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0EE"/>
    <w:rsid w:val="00016F78"/>
    <w:rsid w:val="00046945"/>
    <w:rsid w:val="00061B2A"/>
    <w:rsid w:val="00082362"/>
    <w:rsid w:val="000A6440"/>
    <w:rsid w:val="000A683E"/>
    <w:rsid w:val="000B19B9"/>
    <w:rsid w:val="000D0334"/>
    <w:rsid w:val="000D40AA"/>
    <w:rsid w:val="000D5DA7"/>
    <w:rsid w:val="000F6486"/>
    <w:rsid w:val="00116940"/>
    <w:rsid w:val="00125105"/>
    <w:rsid w:val="00127233"/>
    <w:rsid w:val="0015699B"/>
    <w:rsid w:val="001A33BF"/>
    <w:rsid w:val="001E4177"/>
    <w:rsid w:val="001F0B24"/>
    <w:rsid w:val="001F7DC6"/>
    <w:rsid w:val="00203349"/>
    <w:rsid w:val="0021772B"/>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162F"/>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82D4E"/>
    <w:rsid w:val="006900D9"/>
    <w:rsid w:val="006B1578"/>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95053"/>
    <w:rsid w:val="008A446D"/>
    <w:rsid w:val="008B25F1"/>
    <w:rsid w:val="008D180B"/>
    <w:rsid w:val="008F0EA7"/>
    <w:rsid w:val="00923EEF"/>
    <w:rsid w:val="009419F9"/>
    <w:rsid w:val="0095685E"/>
    <w:rsid w:val="00961B09"/>
    <w:rsid w:val="00965334"/>
    <w:rsid w:val="0097093E"/>
    <w:rsid w:val="00971375"/>
    <w:rsid w:val="009A0DFA"/>
    <w:rsid w:val="009A1C6F"/>
    <w:rsid w:val="009B2D26"/>
    <w:rsid w:val="009C71FA"/>
    <w:rsid w:val="009C72E7"/>
    <w:rsid w:val="009C7F7E"/>
    <w:rsid w:val="009D3058"/>
    <w:rsid w:val="009D4085"/>
    <w:rsid w:val="009F3A13"/>
    <w:rsid w:val="00A122D3"/>
    <w:rsid w:val="00A14468"/>
    <w:rsid w:val="00A17F13"/>
    <w:rsid w:val="00A20739"/>
    <w:rsid w:val="00A23AF9"/>
    <w:rsid w:val="00A26DC8"/>
    <w:rsid w:val="00A33C78"/>
    <w:rsid w:val="00A96EF3"/>
    <w:rsid w:val="00AB0ADB"/>
    <w:rsid w:val="00B00C0E"/>
    <w:rsid w:val="00B01B1A"/>
    <w:rsid w:val="00B0381D"/>
    <w:rsid w:val="00B10AE7"/>
    <w:rsid w:val="00B21900"/>
    <w:rsid w:val="00B44A47"/>
    <w:rsid w:val="00B72CD3"/>
    <w:rsid w:val="00B72FFF"/>
    <w:rsid w:val="00BB4A85"/>
    <w:rsid w:val="00BC3D36"/>
    <w:rsid w:val="00BD2771"/>
    <w:rsid w:val="00BD54A6"/>
    <w:rsid w:val="00BD7F72"/>
    <w:rsid w:val="00BF412B"/>
    <w:rsid w:val="00BF7425"/>
    <w:rsid w:val="00C00B64"/>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D7C0B"/>
    <w:rsid w:val="00DF5254"/>
    <w:rsid w:val="00E02524"/>
    <w:rsid w:val="00E16408"/>
    <w:rsid w:val="00E20894"/>
    <w:rsid w:val="00E245AB"/>
    <w:rsid w:val="00E2764C"/>
    <w:rsid w:val="00E27F2E"/>
    <w:rsid w:val="00E50AFE"/>
    <w:rsid w:val="00E7195E"/>
    <w:rsid w:val="00E75C92"/>
    <w:rsid w:val="00E771DC"/>
    <w:rsid w:val="00E8772A"/>
    <w:rsid w:val="00E90F6B"/>
    <w:rsid w:val="00E92C27"/>
    <w:rsid w:val="00EA0E3D"/>
    <w:rsid w:val="00EC38A7"/>
    <w:rsid w:val="00EE1AA8"/>
    <w:rsid w:val="00F23262"/>
    <w:rsid w:val="00F23FEA"/>
    <w:rsid w:val="00F31EDC"/>
    <w:rsid w:val="00F462B3"/>
    <w:rsid w:val="00F5664F"/>
    <w:rsid w:val="00F666C4"/>
    <w:rsid w:val="00F76AFC"/>
    <w:rsid w:val="00FA3A77"/>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B10AE7"/>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B10AE7"/>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lombiacompra.gov.co/sites/cce_public/files/cce_circulares/cce-eicp-ma-06_circular_externa_con_comentarios_de_ciudadanos-_v2f_002.pdf"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F70C58C-85BB-42AE-96CC-9398AC1A42F2}"/>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6</TotalTime>
  <Pages>13</Pages>
  <Words>3877</Words>
  <Characters>22099</Characters>
  <Application>Microsoft Office Word</Application>
  <DocSecurity>0</DocSecurity>
  <Lines>184</Lines>
  <Paragraphs>51</Paragraphs>
  <ScaleCrop>false</ScaleCrop>
  <Company/>
  <LinksUpToDate>false</LinksUpToDate>
  <CharactersWithSpaces>25925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5</cp:revision>
  <cp:lastPrinted>2023-01-10T21:18:00Z</cp:lastPrinted>
  <dcterms:created xsi:type="dcterms:W3CDTF">2025-12-20T00:58:00Z</dcterms:created>
  <dcterms:modified xsi:type="dcterms:W3CDTF">2025-12-20T01:05:00Z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