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BFDF4A" w14:textId="77777777" w:rsidR="007F5B17" w:rsidRPr="00E42FED" w:rsidRDefault="007F5B17" w:rsidP="007F5B17">
      <w:pPr>
        <w:spacing w:after="0" w:line="240" w:lineRule="auto"/>
        <w:jc w:val="both"/>
        <w:rPr>
          <w:rFonts w:ascii="Verdana" w:eastAsia="Calibri" w:hAnsi="Verdana" w:cs="Arial"/>
          <w:b/>
          <w:bCs/>
          <w:lang w:val="es-ES" w:eastAsia="es-ES"/>
        </w:rPr>
      </w:pPr>
      <w:bookmarkStart w:id="0" w:name="_Hlk143780582"/>
      <w:r w:rsidRPr="00E42FED">
        <w:rPr>
          <w:rFonts w:ascii="Verdana" w:eastAsia="Calibri" w:hAnsi="Verdana" w:cs="Arial"/>
          <w:b/>
          <w:bCs/>
          <w:lang w:val="es-ES" w:eastAsia="es-ES"/>
        </w:rPr>
        <w:t>SUBSANABILIDAD – Aplicación – R</w:t>
      </w:r>
      <w:r w:rsidRPr="00E42FED">
        <w:rPr>
          <w:rFonts w:ascii="Verdana" w:eastAsia="Calibri" w:hAnsi="Verdana"/>
          <w:b/>
          <w:bCs/>
          <w:lang w:val="es-ES" w:eastAsia="es-ES"/>
        </w:rPr>
        <w:t>egla general</w:t>
      </w:r>
      <w:r w:rsidRPr="00E42FED">
        <w:rPr>
          <w:rFonts w:ascii="Verdana" w:eastAsia="Calibri" w:hAnsi="Verdana" w:cs="Arial"/>
          <w:b/>
          <w:bCs/>
          <w:lang w:val="es-ES" w:eastAsia="es-ES"/>
        </w:rPr>
        <w:t xml:space="preserve"> – Excepciones </w:t>
      </w:r>
    </w:p>
    <w:p w14:paraId="44E60B79" w14:textId="77777777" w:rsidR="007F5B17" w:rsidRPr="000A06FE" w:rsidRDefault="007F5B17" w:rsidP="007F5B17">
      <w:pPr>
        <w:tabs>
          <w:tab w:val="left" w:pos="426"/>
        </w:tabs>
        <w:spacing w:after="0" w:line="240" w:lineRule="auto"/>
        <w:jc w:val="both"/>
        <w:rPr>
          <w:rFonts w:ascii="Verdana" w:hAnsi="Verdana" w:cs="Arial"/>
          <w:b/>
          <w:lang w:eastAsia="es-CO"/>
        </w:rPr>
      </w:pPr>
    </w:p>
    <w:p w14:paraId="485308E2" w14:textId="77777777" w:rsidR="007F5B17" w:rsidRPr="00E42FED" w:rsidRDefault="007F5B17" w:rsidP="007F5B17">
      <w:pPr>
        <w:spacing w:after="0" w:line="240" w:lineRule="auto"/>
        <w:jc w:val="both"/>
        <w:rPr>
          <w:rFonts w:ascii="Verdana" w:hAnsi="Verdana" w:cs="Arial"/>
          <w:bCs/>
          <w:sz w:val="20"/>
          <w:szCs w:val="20"/>
          <w:lang w:eastAsia="es-CO"/>
        </w:rPr>
      </w:pPr>
      <w:r w:rsidRPr="00E42FED">
        <w:rPr>
          <w:rFonts w:ascii="Verdana" w:hAnsi="Verdana" w:cs="Arial"/>
          <w:bCs/>
          <w:sz w:val="20"/>
          <w:szCs w:val="20"/>
          <w:lang w:eastAsia="es-CO"/>
        </w:rPr>
        <w:t xml:space="preserve">La regla de la </w:t>
      </w:r>
      <w:proofErr w:type="spellStart"/>
      <w:r w:rsidRPr="00E42FED">
        <w:rPr>
          <w:rFonts w:ascii="Verdana" w:hAnsi="Verdana" w:cs="Arial"/>
          <w:bCs/>
          <w:sz w:val="20"/>
          <w:szCs w:val="20"/>
          <w:lang w:eastAsia="es-CO"/>
        </w:rPr>
        <w:t>subsanabilidad</w:t>
      </w:r>
      <w:proofErr w:type="spellEnd"/>
      <w:r w:rsidRPr="00E42FED">
        <w:rPr>
          <w:rFonts w:ascii="Verdana" w:hAnsi="Verdana" w:cs="Arial"/>
          <w:bCs/>
          <w:sz w:val="20"/>
          <w:szCs w:val="20"/>
          <w:lang w:eastAsia="es-CO"/>
        </w:rPr>
        <w:t xml:space="preserve"> de las ofertas en los procedimientos de selección indica que, por regla general, la falta de entrega y los defectos en la acreditación de los requisitos habilitantes son aspectos subsanables. La excepción a esta regla se encuentra en la prohibición de permitir que se subsanen aspectos que otorgan puntaje, de valer la acreditación de circunstancias ocurridas con posterioridad al cierre del proceso y de permitir la entrega de la garantía de seriedad de la oferta que no fue aportada con la propuesta.</w:t>
      </w:r>
    </w:p>
    <w:p w14:paraId="34889D78" w14:textId="77777777" w:rsidR="007F5B17" w:rsidRPr="00E42FED" w:rsidRDefault="007F5B17" w:rsidP="007F5B17">
      <w:pPr>
        <w:spacing w:after="0" w:line="240" w:lineRule="auto"/>
        <w:jc w:val="both"/>
        <w:rPr>
          <w:rFonts w:ascii="Verdana" w:hAnsi="Verdana" w:cs="Arial"/>
          <w:bCs/>
          <w:sz w:val="20"/>
          <w:szCs w:val="20"/>
          <w:lang w:val="es-ES_tradnl" w:eastAsia="es-CO"/>
        </w:rPr>
      </w:pPr>
    </w:p>
    <w:p w14:paraId="780DD67D" w14:textId="77777777" w:rsidR="007F5B17" w:rsidRDefault="007F5B17" w:rsidP="007F5B17">
      <w:pPr>
        <w:spacing w:after="0" w:line="240" w:lineRule="auto"/>
        <w:jc w:val="both"/>
        <w:rPr>
          <w:rFonts w:ascii="Verdana" w:eastAsia="Calibri" w:hAnsi="Verdana" w:cs="Arial"/>
          <w:b/>
          <w:bCs/>
          <w:lang w:val="es-ES" w:eastAsia="es-ES"/>
        </w:rPr>
      </w:pPr>
      <w:r w:rsidRPr="000A06FE">
        <w:rPr>
          <w:rFonts w:ascii="Verdana" w:eastAsia="Calibri" w:hAnsi="Verdana" w:cs="Arial"/>
          <w:b/>
          <w:bCs/>
          <w:lang w:val="es-ES" w:eastAsia="es-ES"/>
        </w:rPr>
        <w:t>SUBSANABILIDAD DE LAS OFERTAS – Alcance de la regla – Ley 1882 de 2018– Ámbito temporal – Criterio material</w:t>
      </w:r>
    </w:p>
    <w:p w14:paraId="45EA67B4" w14:textId="77777777" w:rsidR="007F5B17" w:rsidRPr="000A06FE" w:rsidRDefault="007F5B17" w:rsidP="007F5B17">
      <w:pPr>
        <w:spacing w:after="0" w:line="240" w:lineRule="auto"/>
        <w:jc w:val="both"/>
        <w:rPr>
          <w:rFonts w:ascii="Verdana" w:eastAsia="Calibri" w:hAnsi="Verdana" w:cs="Arial"/>
          <w:b/>
          <w:bCs/>
          <w:lang w:val="es-ES" w:eastAsia="es-ES"/>
        </w:rPr>
      </w:pPr>
    </w:p>
    <w:p w14:paraId="4C994C9E" w14:textId="77777777" w:rsidR="007F5B17" w:rsidRPr="00E42FED" w:rsidRDefault="007F5B17" w:rsidP="007F5B17">
      <w:pPr>
        <w:spacing w:after="0" w:line="240" w:lineRule="auto"/>
        <w:contextualSpacing/>
        <w:jc w:val="both"/>
        <w:rPr>
          <w:rFonts w:ascii="Verdana" w:hAnsi="Verdana" w:cs="Arial"/>
          <w:sz w:val="20"/>
          <w:szCs w:val="20"/>
          <w:lang w:val="es-ES"/>
          <w14:ligatures w14:val="standardContextual"/>
        </w:rPr>
      </w:pPr>
      <w:r w:rsidRPr="00E42FED">
        <w:rPr>
          <w:rFonts w:ascii="Verdana" w:eastAsia="Calibri" w:hAnsi="Verdana" w:cs="Arial"/>
          <w:sz w:val="20"/>
          <w:szCs w:val="20"/>
          <w:lang w:val="es-ES"/>
        </w:rPr>
        <w:t xml:space="preserve">“[…] </w:t>
      </w:r>
      <w:r w:rsidRPr="00E42FED">
        <w:rPr>
          <w:rFonts w:ascii="Verdana" w:hAnsi="Verdana" w:cs="Arial"/>
          <w:sz w:val="20"/>
          <w:szCs w:val="20"/>
          <w:lang w:val="es-ES"/>
          <w14:ligatures w14:val="standardContextual"/>
        </w:rPr>
        <w:t xml:space="preserve">Como puede observarse, la Ley 1882 de 2018: i) mantiene el criterio de la Ley 80 de 1993, relativo a que todo lo que no sea necesario para la comparación de propuestas no es título suficiente para su rechazo; </w:t>
      </w:r>
      <w:proofErr w:type="spellStart"/>
      <w:r w:rsidRPr="00E42FED">
        <w:rPr>
          <w:rFonts w:ascii="Verdana" w:hAnsi="Verdana" w:cs="Arial"/>
          <w:sz w:val="20"/>
          <w:szCs w:val="20"/>
          <w:lang w:val="es-ES"/>
          <w14:ligatures w14:val="standardContextual"/>
        </w:rPr>
        <w:t>ii</w:t>
      </w:r>
      <w:proofErr w:type="spellEnd"/>
      <w:r w:rsidRPr="00E42FED">
        <w:rPr>
          <w:rFonts w:ascii="Verdana" w:hAnsi="Verdana" w:cs="Arial"/>
          <w:sz w:val="20"/>
          <w:szCs w:val="20"/>
          <w:lang w:val="es-ES"/>
          <w14:ligatures w14:val="standardContextual"/>
        </w:rPr>
        <w:t xml:space="preserve">) mantiene el criterio aclaratorio de la Ley 1150 de 2007, según el cual todo lo que no afecte la asignación de puntaje puede subsanarse y, </w:t>
      </w:r>
      <w:proofErr w:type="spellStart"/>
      <w:r w:rsidRPr="00E42FED">
        <w:rPr>
          <w:rFonts w:ascii="Verdana" w:hAnsi="Verdana" w:cs="Arial"/>
          <w:sz w:val="20"/>
          <w:szCs w:val="20"/>
          <w:lang w:val="es-ES"/>
          <w14:ligatures w14:val="standardContextual"/>
        </w:rPr>
        <w:t>iii</w:t>
      </w:r>
      <w:proofErr w:type="spellEnd"/>
      <w:r w:rsidRPr="00E42FED">
        <w:rPr>
          <w:rFonts w:ascii="Verdana" w:hAnsi="Verdana" w:cs="Arial"/>
          <w:sz w:val="20"/>
          <w:szCs w:val="20"/>
          <w:lang w:val="es-ES"/>
          <w14:ligatures w14:val="standardContextual"/>
        </w:rPr>
        <w:t xml:space="preserve">) introduce modificaciones en relación con algunos aspectos que se analizarán a continuación. </w:t>
      </w:r>
    </w:p>
    <w:p w14:paraId="301D1647" w14:textId="77777777" w:rsidR="007F5B17" w:rsidRPr="00E42FED" w:rsidRDefault="007F5B17" w:rsidP="007F5B17">
      <w:pPr>
        <w:spacing w:after="0" w:line="240" w:lineRule="auto"/>
        <w:contextualSpacing/>
        <w:jc w:val="both"/>
        <w:rPr>
          <w:rFonts w:ascii="Verdana" w:hAnsi="Verdana" w:cs="Arial"/>
          <w:sz w:val="20"/>
          <w:szCs w:val="20"/>
          <w:lang w:val="es-ES_tradnl"/>
        </w:rPr>
      </w:pPr>
    </w:p>
    <w:p w14:paraId="66EC6334" w14:textId="77777777" w:rsidR="007F5B17" w:rsidRPr="00E42FED" w:rsidRDefault="007F5B17" w:rsidP="007F5B17">
      <w:pPr>
        <w:spacing w:after="0" w:line="240" w:lineRule="auto"/>
        <w:contextualSpacing/>
        <w:jc w:val="both"/>
        <w:rPr>
          <w:rFonts w:ascii="Verdana" w:eastAsia="Calibri" w:hAnsi="Verdana" w:cs="Arial"/>
          <w:sz w:val="20"/>
          <w:szCs w:val="20"/>
          <w:lang w:val="es-ES_tradnl"/>
        </w:rPr>
      </w:pPr>
      <w:r w:rsidRPr="00E42FED">
        <w:rPr>
          <w:rFonts w:ascii="Verdana" w:hAnsi="Verdana" w:cs="Arial"/>
          <w:i/>
          <w:iCs/>
          <w:sz w:val="20"/>
          <w:szCs w:val="20"/>
          <w:lang w:val="es-ES_tradnl"/>
          <w14:ligatures w14:val="standardContextual"/>
        </w:rPr>
        <w:t>El primero</w:t>
      </w:r>
      <w:r w:rsidRPr="00E42FED">
        <w:rPr>
          <w:rFonts w:ascii="Verdana" w:hAnsi="Verdana" w:cs="Arial"/>
          <w:sz w:val="20"/>
          <w:szCs w:val="20"/>
          <w:lang w:val="es-ES_tradnl"/>
          <w14:ligatures w14:val="standardContextual"/>
        </w:rPr>
        <w:t xml:space="preserve"> es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 La excepción es que el límite anterior no aplica para los procesos de mínima cuantía y para el proceso </w:t>
      </w:r>
      <w:r w:rsidRPr="00E42FED">
        <w:rPr>
          <w:rFonts w:ascii="Verdana" w:eastAsia="Calibri" w:hAnsi="Verdana" w:cs="Arial"/>
          <w:sz w:val="20"/>
          <w:szCs w:val="20"/>
          <w:lang w:val="es-ES_tradnl"/>
          <w14:ligatures w14:val="standardContextual"/>
        </w:rPr>
        <w:t>de selección a través del sistema de subasta, este último al cual hace referencia en su consulta, y en el que los documentos o requisitos subsanables pueden y deben solicitarse por parte de las entidades estatales, como límite, hasta el momento previo a la celebración de la audiencia</w:t>
      </w:r>
      <w:r w:rsidRPr="00E42FED">
        <w:rPr>
          <w:rFonts w:ascii="Verdana" w:eastAsia="Calibri" w:hAnsi="Verdana" w:cs="Arial"/>
          <w:sz w:val="20"/>
          <w:szCs w:val="20"/>
          <w:lang w:val="es-ES_tradnl"/>
        </w:rPr>
        <w:t xml:space="preserve"> […]</w:t>
      </w:r>
    </w:p>
    <w:p w14:paraId="15A6B1B0" w14:textId="77777777" w:rsidR="007F5B17" w:rsidRPr="00E42FED" w:rsidRDefault="007F5B17" w:rsidP="007F5B17">
      <w:pPr>
        <w:spacing w:after="0" w:line="240" w:lineRule="auto"/>
        <w:contextualSpacing/>
        <w:jc w:val="both"/>
        <w:rPr>
          <w:rFonts w:ascii="Verdana" w:eastAsia="Calibri" w:hAnsi="Verdana" w:cs="Arial"/>
          <w:sz w:val="20"/>
          <w:szCs w:val="20"/>
          <w:lang w:val="es-ES_tradnl"/>
        </w:rPr>
      </w:pPr>
    </w:p>
    <w:p w14:paraId="36FB60B7" w14:textId="77777777" w:rsidR="007F5B17" w:rsidRPr="00E42FED" w:rsidRDefault="007F5B17" w:rsidP="007F5B17">
      <w:pPr>
        <w:spacing w:line="240" w:lineRule="auto"/>
        <w:contextualSpacing/>
        <w:jc w:val="both"/>
        <w:rPr>
          <w:rFonts w:ascii="Verdana" w:hAnsi="Verdana" w:cs="Arial"/>
          <w:sz w:val="20"/>
          <w:szCs w:val="20"/>
          <w:lang w:val="es-ES_tradnl"/>
        </w:rPr>
      </w:pPr>
      <w:r w:rsidRPr="00E42FED">
        <w:rPr>
          <w:rFonts w:ascii="Verdana" w:eastAsia="Calibri" w:hAnsi="Verdana" w:cs="Arial"/>
          <w:sz w:val="20"/>
          <w:szCs w:val="20"/>
          <w:lang w:val="es-ES_tradnl"/>
          <w14:ligatures w14:val="standardContextual"/>
        </w:rPr>
        <w:t xml:space="preserve">De otro lado, </w:t>
      </w:r>
      <w:r w:rsidRPr="00E42FED">
        <w:rPr>
          <w:rFonts w:ascii="Verdana" w:eastAsia="Calibri" w:hAnsi="Verdana" w:cs="Arial"/>
          <w:i/>
          <w:iCs/>
          <w:sz w:val="20"/>
          <w:szCs w:val="20"/>
          <w:lang w:val="es-ES_tradnl"/>
          <w14:ligatures w14:val="standardContextual"/>
        </w:rPr>
        <w:t>el segundo</w:t>
      </w:r>
      <w:r w:rsidRPr="00E42FED">
        <w:rPr>
          <w:rFonts w:ascii="Verdana" w:eastAsia="Calibri" w:hAnsi="Verdana" w:cs="Arial"/>
          <w:sz w:val="20"/>
          <w:szCs w:val="20"/>
          <w:lang w:val="es-ES_tradnl"/>
          <w14:ligatures w14:val="standardContextual"/>
        </w:rPr>
        <w:t xml:space="preserve"> cambio importante de la Ley 1882 de 2018 fue la introducción de un criterio material, directamente relacionado con los aspectos subsanables: “</w:t>
      </w:r>
      <w:r w:rsidRPr="00E42FED">
        <w:rPr>
          <w:rFonts w:ascii="Verdana" w:hAnsi="Verdana" w:cs="Arial"/>
          <w:sz w:val="20"/>
          <w:szCs w:val="20"/>
          <w:lang w:val="es-ES_tradnl"/>
          <w14:ligatures w14:val="standardContextual"/>
        </w:rPr>
        <w:t xml:space="preserve">los proponentes no podrán acreditar circunstancias ocurridas con posterioridad al cierre del proceso”. Lo anterior ofrece dos aspectos que merecen clarificación; primero, qué debe entenderse por circunstancias ocurridas con posterioridad; y segundo, qué es el cierre del proceso. </w:t>
      </w:r>
    </w:p>
    <w:p w14:paraId="64BA13A9" w14:textId="77777777" w:rsidR="007F5B17" w:rsidRPr="00E42FED" w:rsidRDefault="007F5B17" w:rsidP="007F5B17">
      <w:pPr>
        <w:spacing w:after="0" w:line="240" w:lineRule="auto"/>
        <w:contextualSpacing/>
        <w:jc w:val="both"/>
        <w:rPr>
          <w:rFonts w:ascii="Verdana" w:hAnsi="Verdana" w:cs="Arial"/>
          <w:sz w:val="20"/>
          <w:szCs w:val="20"/>
          <w:lang w:val="es-ES_tradnl"/>
          <w14:ligatures w14:val="standardContextual"/>
        </w:rPr>
      </w:pPr>
    </w:p>
    <w:p w14:paraId="519129AA" w14:textId="77777777" w:rsidR="007F5B17" w:rsidRPr="00E42FED" w:rsidRDefault="007F5B17" w:rsidP="007F5B17">
      <w:pPr>
        <w:spacing w:after="0" w:line="240" w:lineRule="auto"/>
        <w:contextualSpacing/>
        <w:jc w:val="both"/>
        <w:rPr>
          <w:rFonts w:ascii="Verdana" w:hAnsi="Verdana" w:cs="Arial"/>
          <w:sz w:val="20"/>
          <w:szCs w:val="20"/>
          <w:lang w:val="es-ES_tradnl"/>
        </w:rPr>
      </w:pPr>
      <w:r w:rsidRPr="00E42FED">
        <w:rPr>
          <w:rFonts w:ascii="Verdana" w:hAnsi="Verdana" w:cs="Arial"/>
          <w:sz w:val="20"/>
          <w:szCs w:val="20"/>
          <w:lang w:val="es-ES_tradnl"/>
        </w:rPr>
        <w:t xml:space="preserve">[…] </w:t>
      </w:r>
    </w:p>
    <w:p w14:paraId="48F82E7B" w14:textId="77777777" w:rsidR="007F5B17" w:rsidRPr="00E42FED" w:rsidRDefault="007F5B17" w:rsidP="007F5B17">
      <w:pPr>
        <w:spacing w:after="0" w:line="240" w:lineRule="auto"/>
        <w:contextualSpacing/>
        <w:jc w:val="both"/>
        <w:rPr>
          <w:rFonts w:ascii="Verdana" w:hAnsi="Verdana" w:cs="Arial"/>
          <w:sz w:val="20"/>
          <w:szCs w:val="20"/>
          <w:lang w:val="es-ES_tradnl"/>
        </w:rPr>
      </w:pPr>
    </w:p>
    <w:p w14:paraId="741C08B6" w14:textId="77777777" w:rsidR="007F5B17" w:rsidRPr="00E42FED" w:rsidRDefault="007F5B17" w:rsidP="007F5B17">
      <w:pPr>
        <w:spacing w:after="0" w:line="240" w:lineRule="auto"/>
        <w:contextualSpacing/>
        <w:jc w:val="both"/>
        <w:rPr>
          <w:rFonts w:ascii="Verdana" w:eastAsia="Calibri" w:hAnsi="Verdana" w:cs="Arial"/>
          <w:sz w:val="20"/>
          <w:szCs w:val="20"/>
          <w:lang w:val="es-ES_tradnl"/>
          <w14:ligatures w14:val="standardContextual"/>
        </w:rPr>
      </w:pPr>
      <w:r w:rsidRPr="00E42FED">
        <w:rPr>
          <w:rFonts w:ascii="Verdana" w:eastAsia="Calibri" w:hAnsi="Verdana" w:cs="Arial"/>
          <w:sz w:val="20"/>
          <w:szCs w:val="20"/>
          <w:lang w:val="es-ES_tradnl"/>
          <w14:ligatures w14:val="standardContextual"/>
        </w:rPr>
        <w:t xml:space="preserve">De conformidad con el artículo 5 de la Ley 1882 de 2018, lo subsanable es la prueba de todas las circunstancias ocurridas antes del vencimiento del término para presentar las ofertas, ello es lo que implica la prohibición de acreditar circunstancias ocurridas con posterioridad al “cierre del proceso”. Lo anterior evita, por ejemplo, que se presenten oferentes que no cumplían con los requisitos para participar al momento de presentar </w:t>
      </w:r>
      <w:r w:rsidRPr="00E42FED">
        <w:rPr>
          <w:rFonts w:ascii="Verdana" w:eastAsia="Calibri" w:hAnsi="Verdana" w:cs="Arial"/>
          <w:sz w:val="20"/>
          <w:szCs w:val="20"/>
          <w:lang w:val="es-ES_tradnl"/>
          <w14:ligatures w14:val="standardContextual"/>
        </w:rPr>
        <w:lastRenderedPageBreak/>
        <w:t xml:space="preserve">las ofertas, y pretendan cumplirlos durante el proceso de selección o, inclusive, que se puedan variar condiciones de la oferta una vez presentada. </w:t>
      </w:r>
      <w:r w:rsidRPr="00E42FED">
        <w:rPr>
          <w:rFonts w:ascii="Verdana" w:eastAsia="Calibri" w:hAnsi="Verdana" w:cs="Arial"/>
          <w:sz w:val="20"/>
          <w:szCs w:val="20"/>
          <w:lang w:val="es-ES_tradnl"/>
        </w:rPr>
        <w:t>[…]”</w:t>
      </w:r>
    </w:p>
    <w:p w14:paraId="72871AC3" w14:textId="77777777" w:rsidR="007F5B17" w:rsidRPr="000A06FE" w:rsidRDefault="007F5B17" w:rsidP="007F5B17">
      <w:pPr>
        <w:spacing w:after="0" w:line="240" w:lineRule="auto"/>
        <w:rPr>
          <w:rFonts w:ascii="Verdana" w:eastAsia="Times New Roman" w:hAnsi="Verdana" w:cs="Arial"/>
          <w:sz w:val="20"/>
          <w:szCs w:val="20"/>
          <w:lang w:val="es-ES" w:eastAsia="es-ES_tradnl"/>
        </w:rPr>
      </w:pPr>
    </w:p>
    <w:p w14:paraId="441A935D" w14:textId="77777777" w:rsidR="007F5B17" w:rsidRPr="000A06FE" w:rsidRDefault="007F5B17" w:rsidP="007F5B17">
      <w:pPr>
        <w:spacing w:line="240" w:lineRule="auto"/>
        <w:jc w:val="both"/>
        <w:rPr>
          <w:rFonts w:ascii="Verdana" w:eastAsia="Calibri" w:hAnsi="Verdana" w:cs="Arial"/>
          <w:b/>
          <w:bCs/>
        </w:rPr>
      </w:pPr>
      <w:r w:rsidRPr="000A06FE">
        <w:rPr>
          <w:rFonts w:ascii="Verdana" w:eastAsia="Calibri" w:hAnsi="Verdana" w:cs="Arial"/>
          <w:b/>
          <w:bCs/>
        </w:rPr>
        <w:t xml:space="preserve">SUBASTA INVERSA – Regla de </w:t>
      </w:r>
      <w:proofErr w:type="spellStart"/>
      <w:r w:rsidRPr="000A06FE">
        <w:rPr>
          <w:rFonts w:ascii="Verdana" w:eastAsia="Calibri" w:hAnsi="Verdana" w:cs="Arial"/>
          <w:b/>
          <w:bCs/>
        </w:rPr>
        <w:t>subsanabilidad</w:t>
      </w:r>
      <w:proofErr w:type="spellEnd"/>
      <w:r w:rsidRPr="000A06FE">
        <w:rPr>
          <w:rFonts w:ascii="Verdana" w:eastAsia="Calibri" w:hAnsi="Verdana" w:cs="Arial"/>
          <w:b/>
          <w:bCs/>
        </w:rPr>
        <w:t xml:space="preserve"> – Tiempo límite – Alcance normativo </w:t>
      </w:r>
    </w:p>
    <w:p w14:paraId="4A943F9C" w14:textId="77777777" w:rsidR="007F5B17" w:rsidRPr="00E42FED" w:rsidRDefault="007F5B17" w:rsidP="007F5B17">
      <w:pPr>
        <w:spacing w:after="0" w:line="240" w:lineRule="auto"/>
        <w:ind w:right="49"/>
        <w:contextualSpacing/>
        <w:jc w:val="both"/>
        <w:rPr>
          <w:rFonts w:ascii="Verdana" w:eastAsia="Times New Roman" w:hAnsi="Verdana" w:cs="Arial"/>
          <w:sz w:val="20"/>
          <w:szCs w:val="20"/>
          <w:lang w:eastAsia="es-ES_tradnl"/>
          <w14:ligatures w14:val="standardContextual"/>
        </w:rPr>
      </w:pPr>
      <w:r w:rsidRPr="00E42FED">
        <w:rPr>
          <w:rFonts w:ascii="Verdana" w:eastAsia="Calibri" w:hAnsi="Verdana" w:cs="Arial"/>
          <w:sz w:val="20"/>
          <w:szCs w:val="20"/>
          <w:lang w:val="es-ES_tradnl"/>
        </w:rPr>
        <w:t xml:space="preserve">“[…] </w:t>
      </w:r>
      <w:r w:rsidRPr="00E42FED">
        <w:rPr>
          <w:rFonts w:ascii="Verdana" w:eastAsia="Times New Roman" w:hAnsi="Verdana" w:cs="Arial"/>
          <w:sz w:val="20"/>
          <w:szCs w:val="20"/>
          <w:lang w:eastAsia="es-ES_tradnl"/>
          <w14:ligatures w14:val="standardContextual"/>
        </w:rPr>
        <w:t xml:space="preserve">En ese orden de ideas, extendiendo las anteriores consideraciones a la regla de </w:t>
      </w:r>
      <w:proofErr w:type="spellStart"/>
      <w:r w:rsidRPr="00E42FED">
        <w:rPr>
          <w:rFonts w:ascii="Verdana" w:eastAsia="Times New Roman" w:hAnsi="Verdana" w:cs="Arial"/>
          <w:sz w:val="20"/>
          <w:szCs w:val="20"/>
          <w:lang w:eastAsia="es-ES_tradnl"/>
          <w14:ligatures w14:val="standardContextual"/>
        </w:rPr>
        <w:t>subsanabilidad</w:t>
      </w:r>
      <w:proofErr w:type="spellEnd"/>
      <w:r w:rsidRPr="00E42FED">
        <w:rPr>
          <w:rFonts w:ascii="Verdana" w:eastAsia="Times New Roman" w:hAnsi="Verdana" w:cs="Arial"/>
          <w:sz w:val="20"/>
          <w:szCs w:val="20"/>
          <w:lang w:eastAsia="es-ES_tradnl"/>
          <w14:ligatures w14:val="standardContextual"/>
        </w:rPr>
        <w:t xml:space="preserve"> consagrada en el parágrafo 4 del artículo 5 de la Ley 1150 de 2007 –adicionado por la Ley 1882 de 2018–, dada su identidad con la regulación del parágrafo 1 del artículo 5 de la ley 1150 de 2007 original –antes de ser modificada por la Ley 1882 de 2018– el inicio de la subasta es el momento hasta el cual la entidad cuenta con la facultad para requerir la subsanación de los documentos referentes a la futura contratación o a los proponentes, no necesarios para la comparación de las propuestas. Para el ejercicio de tal facultad, las entidades de manera </w:t>
      </w:r>
      <w:r w:rsidRPr="00E42FED">
        <w:rPr>
          <w:rFonts w:ascii="Verdana" w:eastAsia="Times New Roman" w:hAnsi="Verdana" w:cs="Arial"/>
          <w:i/>
          <w:iCs/>
          <w:sz w:val="20"/>
          <w:szCs w:val="20"/>
          <w:lang w:eastAsia="es-ES_tradnl"/>
          <w14:ligatures w14:val="standardContextual"/>
        </w:rPr>
        <w:t xml:space="preserve">ex ante </w:t>
      </w:r>
      <w:r w:rsidRPr="00E42FED">
        <w:rPr>
          <w:rFonts w:ascii="Verdana" w:eastAsia="Times New Roman" w:hAnsi="Verdana" w:cs="Arial"/>
          <w:sz w:val="20"/>
          <w:szCs w:val="20"/>
          <w:lang w:eastAsia="es-ES_tradnl"/>
          <w14:ligatures w14:val="standardContextual"/>
        </w:rPr>
        <w:t xml:space="preserve">podrán establecer dentro del pliego de condiciones el periodo dentro del cual los participantes del proceso de selección podrán subsanar los documentos que requiera la entidad, o en su defecto, requerir por separado a cada proponente para que subsanen los respectivos documentos, fijándoles un término razonable, el cual en todo caso no podrá exceder el momento previo al inicio de la audiencia de subasta. Así mismo, dentro del pliego de condiciones podrán definir las veces en las cuales le será posible a los proponentes subsanar los documentos.  En sentido, atendiendo a la consulta planteada, la posibilidad de subsanar varias veces un determinado aspecto de la propuesta dependerá de lo establecido en el pliego de condiciones, pues la normativa no restringe el número de veces que un proponente podrá subsanar un determinado aspecto. </w:t>
      </w:r>
    </w:p>
    <w:p w14:paraId="345921EF" w14:textId="77777777" w:rsidR="007F5B17" w:rsidRPr="00E42FED" w:rsidRDefault="007F5B17" w:rsidP="007F5B17">
      <w:pPr>
        <w:spacing w:line="240" w:lineRule="auto"/>
        <w:contextualSpacing/>
        <w:jc w:val="both"/>
        <w:rPr>
          <w:rFonts w:ascii="Verdana" w:eastAsia="Calibri" w:hAnsi="Verdana" w:cs="Arial"/>
          <w:sz w:val="20"/>
          <w:szCs w:val="20"/>
          <w:lang w:val="es-ES_tradnl"/>
        </w:rPr>
      </w:pPr>
    </w:p>
    <w:p w14:paraId="5A7794A1" w14:textId="77777777" w:rsidR="007F5B17" w:rsidRPr="00E42FED" w:rsidRDefault="007F5B17" w:rsidP="007F5B17">
      <w:pPr>
        <w:spacing w:line="240" w:lineRule="auto"/>
        <w:contextualSpacing/>
        <w:jc w:val="both"/>
        <w:rPr>
          <w:rFonts w:ascii="Verdana" w:eastAsia="Calibri" w:hAnsi="Verdana" w:cs="Arial"/>
          <w:sz w:val="20"/>
          <w:szCs w:val="20"/>
          <w:lang w:val="es-ES_tradnl"/>
        </w:rPr>
      </w:pPr>
      <w:r w:rsidRPr="00E42FED">
        <w:rPr>
          <w:rFonts w:ascii="Verdana" w:eastAsia="Calibri" w:hAnsi="Verdana" w:cs="Arial"/>
          <w:sz w:val="20"/>
          <w:szCs w:val="20"/>
          <w:lang w:val="es-ES_tradnl" w:eastAsia="es-ES_tradnl"/>
          <w14:ligatures w14:val="standardContextual"/>
        </w:rPr>
        <w:t>De esta manera, el parágrafo analizado</w:t>
      </w:r>
      <w:r w:rsidRPr="00E42FED">
        <w:rPr>
          <w:rFonts w:ascii="Verdana" w:eastAsia="Calibri" w:hAnsi="Verdana" w:cs="Arial"/>
          <w:sz w:val="20"/>
          <w:szCs w:val="20"/>
          <w:lang w:eastAsia="es-ES_tradnl"/>
          <w14:ligatures w14:val="standardContextual"/>
        </w:rPr>
        <w:t xml:space="preserve"> permite a las entidades </w:t>
      </w:r>
      <w:r w:rsidRPr="00E42FED">
        <w:rPr>
          <w:rFonts w:ascii="Verdana" w:eastAsia="Calibri" w:hAnsi="Verdana" w:cs="Arial"/>
          <w:i/>
          <w:iCs/>
          <w:sz w:val="20"/>
          <w:szCs w:val="20"/>
          <w:lang w:eastAsia="es-ES_tradnl"/>
          <w14:ligatures w14:val="standardContextual"/>
        </w:rPr>
        <w:t>solicitar</w:t>
      </w:r>
      <w:r w:rsidRPr="00E42FED">
        <w:rPr>
          <w:rFonts w:ascii="Verdana" w:eastAsia="Calibri" w:hAnsi="Verdana" w:cs="Arial"/>
          <w:sz w:val="20"/>
          <w:szCs w:val="20"/>
          <w:lang w:eastAsia="es-ES_tradnl"/>
          <w14:ligatures w14:val="standardContextual"/>
        </w:rPr>
        <w:t xml:space="preserve"> a los oferentes que subsanen los documentos referentes a la futura contratación no necesarios para la comparación de las propuestas, hasta el momento previo a la realización a la subasta a la que hace referencia el artículo </w:t>
      </w:r>
      <w:r w:rsidRPr="00E42FED">
        <w:rPr>
          <w:rFonts w:ascii="Verdana" w:eastAsia="Calibri" w:hAnsi="Verdana" w:cs="Arial"/>
          <w:sz w:val="20"/>
          <w:szCs w:val="20"/>
          <w:lang w:val="es-ES_tradnl" w:eastAsia="es-ES_tradnl"/>
          <w14:ligatures w14:val="standardContextual"/>
        </w:rPr>
        <w:t xml:space="preserve">2.2.1.2.1.2.2 del Decreto 1082 de 2015, momento que, además, deberá estar señalado en el pliego de condiciones, independientemente de que la entidad opte para desarrollar la audiencia de manera presencial o través del algún mecanismo electrónico. En defecto de lo anterior, las entidades también podrán </w:t>
      </w:r>
      <w:r w:rsidRPr="00E42FED">
        <w:rPr>
          <w:rFonts w:ascii="Verdana" w:eastAsia="Calibri" w:hAnsi="Verdana" w:cs="Arial"/>
          <w:sz w:val="20"/>
          <w:szCs w:val="20"/>
          <w:lang w:eastAsia="es-ES_tradnl"/>
          <w14:ligatures w14:val="standardContextual"/>
        </w:rPr>
        <w:t xml:space="preserve">requerir por separado o conjuntamente a cada proponente para que subsanen los respectivos documentos, fijándoles un término razonable, el cual en todo caso no podrá exceder el momento previo al inicio de la audiencia de subasta, por lo que será anterior a ella. </w:t>
      </w:r>
      <w:r w:rsidRPr="00E42FED">
        <w:rPr>
          <w:rFonts w:ascii="Verdana" w:eastAsia="Calibri" w:hAnsi="Verdana" w:cs="Arial"/>
          <w:sz w:val="20"/>
          <w:szCs w:val="20"/>
          <w:lang w:val="es-ES_tradnl"/>
        </w:rPr>
        <w:t>[…]”</w:t>
      </w:r>
    </w:p>
    <w:p w14:paraId="388DD747" w14:textId="77777777" w:rsidR="007F5B17" w:rsidRDefault="007F5B17" w:rsidP="007F5B17">
      <w:pPr>
        <w:spacing w:line="276" w:lineRule="auto"/>
        <w:jc w:val="both"/>
        <w:rPr>
          <w:rFonts w:ascii="Verdana" w:eastAsia="Calibri" w:hAnsi="Verdana" w:cs="Arial"/>
          <w:b/>
          <w:bCs/>
          <w:lang w:val="es-ES_tradnl"/>
        </w:rPr>
      </w:pPr>
    </w:p>
    <w:p w14:paraId="3488A31F" w14:textId="77777777" w:rsidR="007F5B17" w:rsidRDefault="007F5B17" w:rsidP="007F5B17">
      <w:pPr>
        <w:spacing w:after="0"/>
        <w:rPr>
          <w:rFonts w:ascii="Verdana" w:hAnsi="Verdana"/>
        </w:rPr>
      </w:pPr>
    </w:p>
    <w:p w14:paraId="78E6BE6A" w14:textId="77777777" w:rsidR="007F5B17" w:rsidRDefault="007F5B17" w:rsidP="007F5B17">
      <w:pPr>
        <w:spacing w:after="0"/>
        <w:rPr>
          <w:rFonts w:ascii="Verdana" w:hAnsi="Verdana"/>
        </w:rPr>
      </w:pPr>
    </w:p>
    <w:p w14:paraId="4723E6C3" w14:textId="77777777" w:rsidR="007F5B17" w:rsidRDefault="007F5B17" w:rsidP="007F5B17">
      <w:pPr>
        <w:spacing w:after="0"/>
        <w:rPr>
          <w:rFonts w:ascii="Verdana" w:hAnsi="Verdana"/>
        </w:rPr>
      </w:pPr>
    </w:p>
    <w:p w14:paraId="4758A33A" w14:textId="77777777" w:rsidR="007F5B17" w:rsidRDefault="007F5B17" w:rsidP="007F5B17">
      <w:pPr>
        <w:spacing w:after="0"/>
        <w:rPr>
          <w:rFonts w:ascii="Verdana" w:hAnsi="Verdana"/>
        </w:rPr>
      </w:pPr>
    </w:p>
    <w:p w14:paraId="2E7AC07D" w14:textId="77777777" w:rsidR="007F5B17" w:rsidRDefault="007F5B17" w:rsidP="007F5B17">
      <w:pPr>
        <w:spacing w:after="0"/>
        <w:rPr>
          <w:rFonts w:ascii="Verdana" w:hAnsi="Verdana"/>
        </w:rPr>
      </w:pPr>
    </w:p>
    <w:p w14:paraId="36373BC6" w14:textId="77777777" w:rsidR="007F5B17" w:rsidRDefault="007F5B17" w:rsidP="007F5B17">
      <w:pPr>
        <w:spacing w:after="0"/>
        <w:rPr>
          <w:rFonts w:ascii="Verdana" w:hAnsi="Verdana"/>
        </w:rPr>
      </w:pPr>
    </w:p>
    <w:p w14:paraId="7FFCF5E4" w14:textId="77777777" w:rsidR="007F5B17" w:rsidRDefault="007F5B17" w:rsidP="007F5B17">
      <w:pPr>
        <w:spacing w:after="0"/>
        <w:rPr>
          <w:rFonts w:ascii="Verdana" w:hAnsi="Verdana"/>
        </w:rPr>
      </w:pPr>
    </w:p>
    <w:p w14:paraId="2672194D" w14:textId="77777777" w:rsidR="007F5B17" w:rsidRDefault="007F5B17" w:rsidP="007F5B17">
      <w:pPr>
        <w:spacing w:after="0"/>
        <w:rPr>
          <w:rFonts w:ascii="Verdana" w:hAnsi="Verdana"/>
        </w:rPr>
      </w:pPr>
    </w:p>
    <w:p w14:paraId="1468C46D" w14:textId="521DAB4A" w:rsidR="00C15139" w:rsidRDefault="00C15139" w:rsidP="00C15139">
      <w:pPr>
        <w:spacing w:after="0"/>
        <w:rPr>
          <w:rFonts w:ascii="Verdana" w:hAnsi="Verdana"/>
        </w:rPr>
      </w:pPr>
      <w:r w:rsidRPr="0024624F">
        <w:rPr>
          <w:rFonts w:ascii="Verdana" w:hAnsi="Verdana"/>
        </w:rPr>
        <w:lastRenderedPageBreak/>
        <w:t xml:space="preserve">Bogotá D.C., </w:t>
      </w:r>
      <w:r w:rsidR="00464A5F">
        <w:rPr>
          <w:rFonts w:ascii="Verdana" w:hAnsi="Verdana"/>
        </w:rPr>
        <w:t>15 de diciembre de 2025</w:t>
      </w:r>
      <w:r w:rsidRPr="000E2B93">
        <w:rPr>
          <w:rFonts w:ascii="Verdana" w:hAnsi="Verdana"/>
        </w:rPr>
        <w:tab/>
      </w:r>
      <w:r w:rsidRPr="000E2B93">
        <w:rPr>
          <w:rFonts w:ascii="Verdana" w:hAnsi="Verdana"/>
        </w:rPr>
        <w:br/>
      </w:r>
    </w:p>
    <w:p w14:paraId="6881B27D" w14:textId="62F68A21" w:rsidR="00697D0C" w:rsidRDefault="0058232A" w:rsidP="00697D0C">
      <w:pPr>
        <w:spacing w:after="0"/>
        <w:rPr>
          <w:rFonts w:ascii="Verdana" w:hAnsi="Verdana"/>
        </w:rPr>
      </w:pPr>
      <w:r w:rsidRPr="0058232A">
        <w:rPr>
          <w:rFonts w:ascii="Verdana" w:hAnsi="Verdana"/>
          <w:noProof/>
        </w:rPr>
        <w:drawing>
          <wp:anchor distT="0" distB="0" distL="114300" distR="114300" simplePos="0" relativeHeight="251657216" behindDoc="1" locked="0" layoutInCell="1" allowOverlap="1" wp14:anchorId="54FC6604" wp14:editId="67860DA2">
            <wp:simplePos x="0" y="0"/>
            <wp:positionH relativeFrom="column">
              <wp:posOffset>3202305</wp:posOffset>
            </wp:positionH>
            <wp:positionV relativeFrom="paragraph">
              <wp:posOffset>44450</wp:posOffset>
            </wp:positionV>
            <wp:extent cx="3019846" cy="1019317"/>
            <wp:effectExtent l="0" t="0" r="9525" b="9525"/>
            <wp:wrapNone/>
            <wp:docPr id="1771634991"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1634991"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3019846" cy="1019317"/>
                    </a:xfrm>
                    <a:prstGeom prst="rect">
                      <a:avLst/>
                    </a:prstGeom>
                  </pic:spPr>
                </pic:pic>
              </a:graphicData>
            </a:graphic>
          </wp:anchor>
        </w:drawing>
      </w:r>
    </w:p>
    <w:p w14:paraId="52A9441E" w14:textId="2490D2DF" w:rsidR="00697D0C" w:rsidRDefault="00697D0C" w:rsidP="00697D0C">
      <w:pPr>
        <w:spacing w:after="0"/>
        <w:rPr>
          <w:rFonts w:ascii="Verdana" w:hAnsi="Verdana"/>
        </w:rPr>
      </w:pPr>
    </w:p>
    <w:p w14:paraId="2505D508" w14:textId="0753C685" w:rsidR="00697D0C" w:rsidRPr="004419BC" w:rsidRDefault="00697D0C" w:rsidP="004419BC">
      <w:pPr>
        <w:spacing w:after="0" w:line="240" w:lineRule="auto"/>
        <w:jc w:val="both"/>
        <w:rPr>
          <w:rFonts w:ascii="Verdana" w:eastAsia="Calibri" w:hAnsi="Verdana" w:cs="Arial"/>
          <w:lang w:eastAsia="es-ES"/>
        </w:rPr>
      </w:pPr>
      <w:bookmarkStart w:id="1" w:name="_Hlk181166130"/>
      <w:bookmarkStart w:id="2" w:name="_Hlk180638295"/>
      <w:bookmarkStart w:id="3" w:name="_Hlk181166167"/>
      <w:bookmarkStart w:id="4" w:name="_Hlk204353692"/>
      <w:bookmarkEnd w:id="1"/>
      <w:r w:rsidRPr="004419BC">
        <w:rPr>
          <w:rFonts w:ascii="Verdana" w:eastAsia="Calibri" w:hAnsi="Verdana" w:cs="Arial"/>
          <w:lang w:eastAsia="es-ES"/>
        </w:rPr>
        <w:t xml:space="preserve">Señor </w:t>
      </w:r>
    </w:p>
    <w:p w14:paraId="6BCA60EE" w14:textId="77777777" w:rsidR="00697D0C" w:rsidRPr="004419BC" w:rsidRDefault="00697D0C" w:rsidP="004419BC">
      <w:pPr>
        <w:spacing w:after="0" w:line="240" w:lineRule="auto"/>
        <w:rPr>
          <w:rFonts w:ascii="Verdana" w:eastAsia="Calibri" w:hAnsi="Verdana" w:cs="Arial"/>
          <w:b/>
          <w:bCs/>
          <w:lang w:eastAsia="es-ES"/>
        </w:rPr>
      </w:pPr>
      <w:r w:rsidRPr="004419BC">
        <w:rPr>
          <w:rFonts w:ascii="Verdana" w:eastAsia="Calibri" w:hAnsi="Verdana" w:cs="Arial"/>
          <w:b/>
          <w:bCs/>
          <w:lang w:eastAsia="es-ES"/>
        </w:rPr>
        <w:t>Dagoberto Enrique Henao Rivera</w:t>
      </w:r>
    </w:p>
    <w:p w14:paraId="4DF5802C" w14:textId="77777777" w:rsidR="00697D0C" w:rsidRPr="004419BC" w:rsidRDefault="00697D0C" w:rsidP="004419BC">
      <w:pPr>
        <w:spacing w:after="0" w:line="240" w:lineRule="auto"/>
        <w:rPr>
          <w:rFonts w:ascii="Verdana" w:hAnsi="Verdana"/>
        </w:rPr>
      </w:pPr>
      <w:hyperlink r:id="rId11" w:history="1">
        <w:r w:rsidRPr="004419BC">
          <w:rPr>
            <w:rStyle w:val="Hipervnculo"/>
            <w:rFonts w:ascii="Verdana" w:hAnsi="Verdana"/>
          </w:rPr>
          <w:t>dagoberto.henao@agencialogistica.gov.co</w:t>
        </w:r>
      </w:hyperlink>
    </w:p>
    <w:p w14:paraId="5E42FF9C" w14:textId="77777777" w:rsidR="00697D0C" w:rsidRPr="004419BC" w:rsidRDefault="00697D0C" w:rsidP="00A84FC0">
      <w:pPr>
        <w:spacing w:after="0" w:line="240" w:lineRule="auto"/>
        <w:rPr>
          <w:rFonts w:ascii="Verdana" w:hAnsi="Verdana"/>
        </w:rPr>
      </w:pPr>
      <w:r w:rsidRPr="004419BC">
        <w:rPr>
          <w:rFonts w:ascii="Verdana" w:hAnsi="Verdana"/>
        </w:rPr>
        <w:t>Malambo,</w:t>
      </w:r>
      <w:r w:rsidRPr="00A84FC0">
        <w:rPr>
          <w:rFonts w:ascii="Verdana" w:hAnsi="Verdana"/>
        </w:rPr>
        <w:t xml:space="preserve"> </w:t>
      </w:r>
      <w:r w:rsidRPr="004419BC">
        <w:rPr>
          <w:rFonts w:ascii="Verdana" w:hAnsi="Verdana"/>
        </w:rPr>
        <w:t>Atlántico</w:t>
      </w:r>
    </w:p>
    <w:tbl>
      <w:tblPr>
        <w:tblStyle w:val="Tablaconcuadrcula"/>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468"/>
        <w:gridCol w:w="336"/>
      </w:tblGrid>
      <w:tr w:rsidR="00697D0C" w:rsidRPr="004419BC" w14:paraId="02613246" w14:textId="77777777">
        <w:trPr>
          <w:trHeight w:val="884"/>
        </w:trPr>
        <w:tc>
          <w:tcPr>
            <w:tcW w:w="2410" w:type="dxa"/>
          </w:tcPr>
          <w:p w14:paraId="4B54E587" w14:textId="77777777" w:rsidR="00697D0C" w:rsidRPr="004419BC" w:rsidRDefault="00697D0C">
            <w:pPr>
              <w:jc w:val="both"/>
              <w:rPr>
                <w:rFonts w:ascii="Verdana" w:eastAsia="Calibri" w:hAnsi="Verdana" w:cs="Arial"/>
                <w:b/>
                <w:bCs/>
                <w:color w:val="7030A0"/>
                <w:lang w:val="es-ES_tradnl" w:eastAsia="es-ES_tradnl"/>
              </w:rPr>
            </w:pPr>
          </w:p>
        </w:tc>
        <w:tc>
          <w:tcPr>
            <w:tcW w:w="6804" w:type="dxa"/>
            <w:gridSpan w:val="2"/>
          </w:tcPr>
          <w:p w14:paraId="12F64E6D" w14:textId="77777777" w:rsidR="00697D0C" w:rsidRPr="004419BC" w:rsidRDefault="00697D0C">
            <w:pPr>
              <w:jc w:val="both"/>
              <w:rPr>
                <w:rFonts w:ascii="Verdana" w:eastAsia="Calibri" w:hAnsi="Verdana" w:cs="Arial"/>
                <w:b/>
                <w:bCs/>
                <w:lang w:val="es-ES" w:eastAsia="es-ES"/>
              </w:rPr>
            </w:pPr>
          </w:p>
          <w:p w14:paraId="0E2B7209" w14:textId="77777777" w:rsidR="00697D0C" w:rsidRPr="004419BC" w:rsidRDefault="00697D0C">
            <w:pPr>
              <w:jc w:val="both"/>
              <w:rPr>
                <w:rFonts w:ascii="Verdana" w:eastAsia="Calibri" w:hAnsi="Verdana" w:cs="Arial"/>
                <w:b/>
                <w:bCs/>
                <w:lang w:val="es-ES" w:eastAsia="es-ES"/>
              </w:rPr>
            </w:pPr>
          </w:p>
          <w:p w14:paraId="33C26CDB" w14:textId="77777777" w:rsidR="00697D0C" w:rsidRDefault="00697D0C">
            <w:pPr>
              <w:jc w:val="both"/>
              <w:rPr>
                <w:rFonts w:ascii="Verdana" w:eastAsia="Calibri" w:hAnsi="Verdana" w:cs="Arial"/>
                <w:b/>
                <w:bCs/>
                <w:lang w:val="es-ES" w:eastAsia="es-ES"/>
              </w:rPr>
            </w:pPr>
            <w:r w:rsidRPr="004419BC">
              <w:rPr>
                <w:rFonts w:ascii="Verdana" w:eastAsia="Calibri" w:hAnsi="Verdana" w:cs="Arial"/>
                <w:b/>
                <w:bCs/>
                <w:lang w:val="es-ES" w:eastAsia="es-ES"/>
              </w:rPr>
              <w:t>Concepto C-1625 de 2025</w:t>
            </w:r>
          </w:p>
          <w:p w14:paraId="38B05786" w14:textId="77777777" w:rsidR="00B75D88" w:rsidRPr="004419BC" w:rsidRDefault="00B75D88">
            <w:pPr>
              <w:jc w:val="both"/>
              <w:rPr>
                <w:rFonts w:ascii="Verdana" w:eastAsia="Calibri" w:hAnsi="Verdana" w:cs="Arial"/>
                <w:b/>
                <w:bCs/>
                <w:lang w:val="es-ES" w:eastAsia="es-ES"/>
              </w:rPr>
            </w:pPr>
          </w:p>
          <w:p w14:paraId="44D6E021" w14:textId="77777777" w:rsidR="00697D0C" w:rsidRPr="004419BC" w:rsidRDefault="00697D0C">
            <w:pPr>
              <w:jc w:val="both"/>
              <w:rPr>
                <w:rFonts w:ascii="Verdana" w:eastAsia="Calibri" w:hAnsi="Verdana" w:cs="Arial"/>
                <w:b/>
                <w:bCs/>
                <w:color w:val="7030A0"/>
                <w:lang w:val="es-ES" w:eastAsia="es-ES"/>
              </w:rPr>
            </w:pPr>
          </w:p>
        </w:tc>
      </w:tr>
      <w:tr w:rsidR="00697D0C" w:rsidRPr="004419BC" w14:paraId="1C64AEA9" w14:textId="77777777">
        <w:trPr>
          <w:trHeight w:val="884"/>
        </w:trPr>
        <w:tc>
          <w:tcPr>
            <w:tcW w:w="2410" w:type="dxa"/>
          </w:tcPr>
          <w:p w14:paraId="65D26A90" w14:textId="77777777" w:rsidR="00697D0C" w:rsidRPr="004419BC" w:rsidRDefault="00697D0C" w:rsidP="004419BC">
            <w:pPr>
              <w:jc w:val="both"/>
              <w:rPr>
                <w:rFonts w:ascii="Verdana" w:eastAsia="Calibri" w:hAnsi="Verdana" w:cs="Arial"/>
                <w:color w:val="000000"/>
                <w:lang w:val="es-ES_tradnl" w:eastAsia="es-ES_tradnl"/>
              </w:rPr>
            </w:pPr>
            <w:r w:rsidRPr="004419BC">
              <w:rPr>
                <w:rFonts w:ascii="Verdana" w:eastAsia="Calibri" w:hAnsi="Verdana" w:cs="Arial"/>
                <w:b/>
                <w:color w:val="000000"/>
                <w:lang w:val="es-ES_tradnl" w:eastAsia="es-ES_tradnl"/>
              </w:rPr>
              <w:t>Temas:</w:t>
            </w:r>
            <w:r w:rsidRPr="004419BC">
              <w:rPr>
                <w:rFonts w:ascii="Verdana" w:eastAsia="Calibri" w:hAnsi="Verdana" w:cs="Arial"/>
                <w:color w:val="000000"/>
                <w:lang w:val="es-ES_tradnl" w:eastAsia="es-ES_tradnl"/>
              </w:rPr>
              <w:t xml:space="preserve">                   </w:t>
            </w:r>
          </w:p>
        </w:tc>
        <w:tc>
          <w:tcPr>
            <w:tcW w:w="6804" w:type="dxa"/>
            <w:gridSpan w:val="2"/>
          </w:tcPr>
          <w:p w14:paraId="544F0CED" w14:textId="77777777" w:rsidR="00697D0C" w:rsidRPr="004419BC" w:rsidRDefault="00697D0C" w:rsidP="00A84FC0">
            <w:pPr>
              <w:jc w:val="both"/>
              <w:rPr>
                <w:rFonts w:ascii="Verdana" w:eastAsia="Calibri" w:hAnsi="Verdana" w:cs="Arial"/>
                <w:b/>
                <w:bCs/>
                <w:lang w:val="es-ES" w:eastAsia="es-ES"/>
              </w:rPr>
            </w:pPr>
            <w:r w:rsidRPr="00A84FC0">
              <w:rPr>
                <w:rFonts w:ascii="Verdana" w:eastAsia="Calibri" w:hAnsi="Verdana" w:cs="Arial"/>
                <w:lang w:val="es-ES" w:eastAsia="es-ES"/>
              </w:rPr>
              <w:t>SUBSANABILIDAD – Aplicación – R</w:t>
            </w:r>
            <w:r w:rsidRPr="004419BC">
              <w:rPr>
                <w:rFonts w:ascii="Verdana" w:eastAsia="Calibri" w:hAnsi="Verdana"/>
                <w:lang w:val="es-ES" w:eastAsia="es-ES"/>
              </w:rPr>
              <w:t>egla general</w:t>
            </w:r>
            <w:r w:rsidRPr="004419BC">
              <w:rPr>
                <w:rFonts w:ascii="Verdana" w:eastAsia="Calibri" w:hAnsi="Verdana" w:cs="Arial"/>
                <w:lang w:val="es-ES" w:eastAsia="es-ES"/>
              </w:rPr>
              <w:t xml:space="preserve"> – Excepcione</w:t>
            </w:r>
            <w:r w:rsidRPr="004419BC">
              <w:rPr>
                <w:rFonts w:ascii="Verdana" w:eastAsia="Calibri" w:hAnsi="Verdana" w:cs="Arial"/>
                <w:b/>
                <w:bCs/>
                <w:lang w:val="es-ES" w:eastAsia="es-ES"/>
              </w:rPr>
              <w:t xml:space="preserve">s </w:t>
            </w:r>
            <w:r w:rsidRPr="004419BC">
              <w:rPr>
                <w:rFonts w:ascii="Verdana" w:hAnsi="Verdana" w:cs="Arial"/>
                <w:bCs/>
                <w:lang w:val="es-ES" w:eastAsia="es-ES_tradnl"/>
              </w:rPr>
              <w:t xml:space="preserve">/SUBSANABILIDAD DE LAS OFERTAS – Alcance de la regla – Ley 1882 de 2018– Ámbito temporal – Criterio material / SUBASTA INVERSA – Regla de </w:t>
            </w:r>
            <w:proofErr w:type="spellStart"/>
            <w:r w:rsidRPr="004419BC">
              <w:rPr>
                <w:rFonts w:ascii="Verdana" w:hAnsi="Verdana" w:cs="Arial"/>
                <w:bCs/>
                <w:lang w:val="es-ES" w:eastAsia="es-ES_tradnl"/>
              </w:rPr>
              <w:t>subsanabilidad</w:t>
            </w:r>
            <w:proofErr w:type="spellEnd"/>
            <w:r w:rsidRPr="004419BC">
              <w:rPr>
                <w:rFonts w:ascii="Verdana" w:hAnsi="Verdana" w:cs="Arial"/>
                <w:bCs/>
                <w:lang w:val="es-ES" w:eastAsia="es-ES_tradnl"/>
              </w:rPr>
              <w:t xml:space="preserve"> – Tiempo límite – Alcance normativo </w:t>
            </w:r>
          </w:p>
          <w:p w14:paraId="77AFBF2E" w14:textId="77777777" w:rsidR="00697D0C" w:rsidRPr="004419BC" w:rsidRDefault="00697D0C">
            <w:pPr>
              <w:jc w:val="both"/>
              <w:rPr>
                <w:rFonts w:ascii="Verdana" w:hAnsi="Verdana" w:cs="Arial"/>
                <w:lang w:eastAsia="es-CO"/>
              </w:rPr>
            </w:pPr>
          </w:p>
          <w:p w14:paraId="2C4634CF" w14:textId="77777777" w:rsidR="00697D0C" w:rsidRPr="004419BC" w:rsidRDefault="00697D0C">
            <w:pPr>
              <w:jc w:val="both"/>
              <w:rPr>
                <w:rFonts w:ascii="Verdana" w:eastAsia="Calibri" w:hAnsi="Verdana" w:cs="Arial"/>
                <w:b/>
                <w:highlight w:val="yellow"/>
                <w:lang w:val="es-ES" w:eastAsia="es-ES"/>
              </w:rPr>
            </w:pPr>
          </w:p>
        </w:tc>
      </w:tr>
      <w:tr w:rsidR="00697D0C" w:rsidRPr="004419BC" w14:paraId="54ADA3A4" w14:textId="77777777">
        <w:tc>
          <w:tcPr>
            <w:tcW w:w="2410" w:type="dxa"/>
          </w:tcPr>
          <w:p w14:paraId="5D8D4B7B" w14:textId="77777777" w:rsidR="00697D0C" w:rsidRPr="004419BC" w:rsidRDefault="00697D0C" w:rsidP="004419BC">
            <w:pPr>
              <w:jc w:val="both"/>
              <w:rPr>
                <w:rFonts w:ascii="Verdana" w:eastAsia="Calibri" w:hAnsi="Verdana" w:cs="Arial"/>
                <w:b/>
                <w:lang w:val="es-ES_tradnl" w:eastAsia="es-ES_tradnl"/>
              </w:rPr>
            </w:pPr>
            <w:r w:rsidRPr="004419BC">
              <w:rPr>
                <w:rFonts w:ascii="Verdana" w:eastAsia="Calibri" w:hAnsi="Verdana" w:cs="Arial"/>
                <w:b/>
                <w:lang w:val="es-ES_tradnl" w:eastAsia="es-ES_tradnl"/>
              </w:rPr>
              <w:t>Radicación:</w:t>
            </w:r>
            <w:r w:rsidRPr="004419BC">
              <w:rPr>
                <w:rFonts w:ascii="Verdana" w:eastAsia="Calibri" w:hAnsi="Verdana" w:cs="Arial"/>
                <w:lang w:val="es-ES_tradnl" w:eastAsia="es-ES_tradnl"/>
              </w:rPr>
              <w:t xml:space="preserve">               </w:t>
            </w:r>
          </w:p>
        </w:tc>
        <w:tc>
          <w:tcPr>
            <w:tcW w:w="6804" w:type="dxa"/>
            <w:gridSpan w:val="2"/>
          </w:tcPr>
          <w:p w14:paraId="10958F78" w14:textId="77777777" w:rsidR="00697D0C" w:rsidRPr="004419BC" w:rsidRDefault="00697D0C" w:rsidP="00A84FC0">
            <w:pPr>
              <w:jc w:val="both"/>
              <w:rPr>
                <w:rFonts w:ascii="Verdana" w:eastAsia="Calibri" w:hAnsi="Verdana" w:cs="Arial"/>
                <w:lang w:val="es-ES_tradnl" w:eastAsia="es-ES_tradnl"/>
              </w:rPr>
            </w:pPr>
            <w:r w:rsidRPr="00A84FC0">
              <w:rPr>
                <w:rFonts w:ascii="Verdana" w:eastAsia="Calibri" w:hAnsi="Verdana" w:cs="Arial"/>
                <w:lang w:val="es-ES_tradnl" w:eastAsia="es-ES_tradnl"/>
              </w:rPr>
              <w:t xml:space="preserve">Respuesta a consulta con radicado No. </w:t>
            </w:r>
            <w:r w:rsidRPr="004419BC">
              <w:rPr>
                <w:rFonts w:ascii="Verdana" w:eastAsia="Calibri" w:hAnsi="Verdana" w:cs="Arial"/>
                <w:lang w:eastAsia="es-ES_tradnl"/>
              </w:rPr>
              <w:t>1_2025_11_04_012403</w:t>
            </w:r>
          </w:p>
        </w:tc>
      </w:tr>
      <w:tr w:rsidR="00697D0C" w:rsidRPr="004419BC" w14:paraId="5404C6B6" w14:textId="77777777">
        <w:trPr>
          <w:gridAfter w:val="1"/>
          <w:wAfter w:w="336" w:type="dxa"/>
          <w:trHeight w:val="233"/>
        </w:trPr>
        <w:tc>
          <w:tcPr>
            <w:tcW w:w="8878" w:type="dxa"/>
            <w:gridSpan w:val="2"/>
          </w:tcPr>
          <w:p w14:paraId="246BBB7F" w14:textId="77777777" w:rsidR="00697D0C" w:rsidRPr="004419BC" w:rsidRDefault="00697D0C">
            <w:pPr>
              <w:spacing w:after="120" w:line="276" w:lineRule="auto"/>
              <w:jc w:val="both"/>
              <w:rPr>
                <w:rFonts w:ascii="Verdana" w:eastAsia="Calibri" w:hAnsi="Verdana" w:cs="Arial"/>
                <w:lang w:val="es-ES_tradnl" w:eastAsia="es-ES"/>
              </w:rPr>
            </w:pPr>
          </w:p>
        </w:tc>
      </w:tr>
    </w:tbl>
    <w:p w14:paraId="56480A35" w14:textId="77777777" w:rsidR="00697D0C" w:rsidRPr="00A84FC0" w:rsidRDefault="00697D0C" w:rsidP="004419BC">
      <w:pPr>
        <w:spacing w:after="0" w:line="276" w:lineRule="auto"/>
        <w:jc w:val="both"/>
        <w:rPr>
          <w:rFonts w:ascii="Verdana" w:eastAsia="Calibri" w:hAnsi="Verdana" w:cs="Arial"/>
          <w:lang w:val="es-ES" w:eastAsia="es-ES"/>
        </w:rPr>
      </w:pPr>
      <w:r w:rsidRPr="004419BC">
        <w:rPr>
          <w:rFonts w:ascii="Verdana" w:eastAsia="Calibri" w:hAnsi="Verdana" w:cs="Arial"/>
          <w:lang w:val="es-ES" w:eastAsia="es-ES"/>
        </w:rPr>
        <w:t>Estimado señor Henao;</w:t>
      </w:r>
    </w:p>
    <w:p w14:paraId="24BC8825" w14:textId="77777777" w:rsidR="00697D0C" w:rsidRPr="004419BC" w:rsidRDefault="00697D0C" w:rsidP="00A84FC0">
      <w:pPr>
        <w:tabs>
          <w:tab w:val="left" w:pos="3768"/>
        </w:tabs>
        <w:spacing w:after="0" w:line="276" w:lineRule="auto"/>
        <w:jc w:val="both"/>
        <w:rPr>
          <w:rFonts w:ascii="Verdana" w:eastAsia="Calibri" w:hAnsi="Verdana" w:cs="Arial"/>
          <w:color w:val="000000" w:themeColor="text1"/>
          <w:lang w:val="es-ES" w:eastAsia="es-ES"/>
        </w:rPr>
      </w:pPr>
      <w:r w:rsidRPr="004419BC">
        <w:rPr>
          <w:rFonts w:ascii="Verdana" w:eastAsia="Calibri" w:hAnsi="Verdana" w:cs="Arial"/>
          <w:color w:val="000000" w:themeColor="text1"/>
          <w:lang w:val="es-ES" w:eastAsia="es-ES"/>
        </w:rPr>
        <w:tab/>
      </w:r>
    </w:p>
    <w:p w14:paraId="6FBFB4B4" w14:textId="77777777" w:rsidR="00697D0C" w:rsidRPr="004419BC" w:rsidRDefault="00697D0C">
      <w:pPr>
        <w:spacing w:after="0" w:line="276" w:lineRule="auto"/>
        <w:jc w:val="both"/>
        <w:rPr>
          <w:rFonts w:ascii="Verdana" w:eastAsia="Calibri" w:hAnsi="Verdana" w:cs="Arial"/>
          <w:lang w:val="es-ES" w:eastAsia="es-ES"/>
        </w:rPr>
      </w:pPr>
      <w:r w:rsidRPr="004419BC">
        <w:rPr>
          <w:rFonts w:ascii="Verdana" w:eastAsia="Calibri" w:hAnsi="Verdana" w:cs="Arial"/>
          <w:lang w:val="es-ES" w:eastAsia="es-ES"/>
        </w:rPr>
        <w:t xml:space="preserve">En ejercicio de la competencia otorgada por los artículos 3, numeral 5º, y 11, numeral 8º, del Decreto Ley 4170 de 2011, así como lo establecido por la Resolución 469 de 2025 expedida por esta Entidad, la Agencia Nacional de Contratación Pública – Colombia Compra Eficiente– responde su solicitud de consulta radicada en esta entidad el 4 de noviembre de 2025, en la cual manifiesta lo siguiente: </w:t>
      </w:r>
    </w:p>
    <w:p w14:paraId="28843F40" w14:textId="77777777" w:rsidR="00697D0C" w:rsidRPr="00326382" w:rsidRDefault="00697D0C" w:rsidP="00CE00A0">
      <w:pPr>
        <w:spacing w:after="0" w:line="276" w:lineRule="auto"/>
        <w:ind w:left="709" w:right="474"/>
        <w:jc w:val="both"/>
        <w:rPr>
          <w:rFonts w:ascii="Verdana" w:hAnsi="Verdana" w:cs="Arial"/>
          <w:sz w:val="20"/>
          <w:szCs w:val="20"/>
          <w:shd w:val="clear" w:color="auto" w:fill="FFFFFF"/>
        </w:rPr>
      </w:pPr>
      <w:bookmarkStart w:id="5" w:name="_Hlk95313578"/>
    </w:p>
    <w:bookmarkEnd w:id="5"/>
    <w:p w14:paraId="747B366A" w14:textId="77777777" w:rsidR="00697D0C" w:rsidRDefault="00697D0C" w:rsidP="00CE00A0">
      <w:pPr>
        <w:tabs>
          <w:tab w:val="left" w:pos="142"/>
          <w:tab w:val="left" w:pos="567"/>
        </w:tabs>
        <w:spacing w:after="0" w:line="240" w:lineRule="auto"/>
        <w:ind w:left="709" w:right="709"/>
        <w:jc w:val="both"/>
        <w:rPr>
          <w:rFonts w:ascii="Verdana" w:eastAsia="Century Gothic" w:hAnsi="Verdana" w:cs="Century Gothic"/>
          <w:i/>
          <w:iCs/>
          <w:sz w:val="20"/>
          <w:szCs w:val="20"/>
        </w:rPr>
      </w:pPr>
      <w:r w:rsidRPr="00C33DBE">
        <w:rPr>
          <w:rFonts w:ascii="Verdana" w:eastAsia="Century Gothic" w:hAnsi="Verdana" w:cs="Century Gothic"/>
          <w:i/>
          <w:iCs/>
          <w:sz w:val="20"/>
          <w:szCs w:val="20"/>
        </w:rPr>
        <w:t xml:space="preserve">“(…) </w:t>
      </w:r>
    </w:p>
    <w:p w14:paraId="35E37B3E" w14:textId="77777777" w:rsidR="00697D0C" w:rsidRDefault="00697D0C" w:rsidP="00CE00A0">
      <w:pPr>
        <w:tabs>
          <w:tab w:val="left" w:pos="142"/>
          <w:tab w:val="left" w:pos="567"/>
        </w:tabs>
        <w:spacing w:after="0" w:line="240" w:lineRule="auto"/>
        <w:ind w:left="709" w:right="709"/>
        <w:jc w:val="both"/>
        <w:rPr>
          <w:rFonts w:ascii="Verdana" w:eastAsia="Century Gothic" w:hAnsi="Verdana" w:cs="Century Gothic"/>
          <w:i/>
          <w:iCs/>
          <w:sz w:val="20"/>
          <w:szCs w:val="20"/>
        </w:rPr>
      </w:pPr>
      <w:bookmarkStart w:id="6" w:name="_Hlk203460035"/>
      <w:r w:rsidRPr="0066027E">
        <w:rPr>
          <w:rFonts w:ascii="Verdana" w:eastAsia="Century Gothic" w:hAnsi="Verdana" w:cs="Century Gothic"/>
          <w:i/>
          <w:iCs/>
          <w:sz w:val="20"/>
          <w:szCs w:val="20"/>
        </w:rPr>
        <w:t>Solicito a la entidad responder de fondo y con argumentos fundamentados en la ley de procedimientos administrativos y</w:t>
      </w:r>
      <w:r>
        <w:rPr>
          <w:rFonts w:ascii="Verdana" w:eastAsia="Century Gothic" w:hAnsi="Verdana" w:cs="Century Gothic"/>
          <w:i/>
          <w:iCs/>
          <w:sz w:val="20"/>
          <w:szCs w:val="20"/>
        </w:rPr>
        <w:t xml:space="preserve"> </w:t>
      </w:r>
      <w:r w:rsidRPr="0066027E">
        <w:rPr>
          <w:rFonts w:ascii="Verdana" w:eastAsia="Century Gothic" w:hAnsi="Verdana" w:cs="Century Gothic"/>
          <w:i/>
          <w:iCs/>
          <w:sz w:val="20"/>
          <w:szCs w:val="20"/>
        </w:rPr>
        <w:t>contractuales la siguiente petición por escrito:</w:t>
      </w:r>
    </w:p>
    <w:p w14:paraId="7CB0455C" w14:textId="77777777" w:rsidR="00B75D88" w:rsidRPr="0066027E" w:rsidRDefault="00B75D88" w:rsidP="00CE00A0">
      <w:pPr>
        <w:tabs>
          <w:tab w:val="left" w:pos="142"/>
          <w:tab w:val="left" w:pos="567"/>
        </w:tabs>
        <w:spacing w:after="0" w:line="240" w:lineRule="auto"/>
        <w:ind w:left="709" w:right="709"/>
        <w:jc w:val="both"/>
        <w:rPr>
          <w:rFonts w:ascii="Verdana" w:eastAsia="Century Gothic" w:hAnsi="Verdana" w:cs="Century Gothic"/>
          <w:i/>
          <w:iCs/>
          <w:sz w:val="20"/>
          <w:szCs w:val="20"/>
        </w:rPr>
      </w:pPr>
    </w:p>
    <w:p w14:paraId="72FBC160" w14:textId="77777777" w:rsidR="00697D0C" w:rsidRDefault="00697D0C" w:rsidP="00CE00A0">
      <w:pPr>
        <w:tabs>
          <w:tab w:val="left" w:pos="142"/>
          <w:tab w:val="left" w:pos="567"/>
        </w:tabs>
        <w:spacing w:after="0" w:line="240" w:lineRule="auto"/>
        <w:ind w:left="709" w:right="709"/>
        <w:jc w:val="both"/>
        <w:rPr>
          <w:rFonts w:ascii="Verdana" w:eastAsia="Century Gothic" w:hAnsi="Verdana" w:cs="Century Gothic"/>
          <w:i/>
          <w:iCs/>
          <w:sz w:val="20"/>
          <w:szCs w:val="20"/>
        </w:rPr>
      </w:pPr>
      <w:r w:rsidRPr="0066027E">
        <w:rPr>
          <w:rFonts w:ascii="Verdana" w:eastAsia="Century Gothic" w:hAnsi="Verdana" w:cs="Century Gothic"/>
          <w:i/>
          <w:iCs/>
          <w:sz w:val="20"/>
          <w:szCs w:val="20"/>
        </w:rPr>
        <w:t>CONSULTA 1 “¿Las entidades estatales que realicen proceso de selección abreviada de subasta inversa</w:t>
      </w:r>
      <w:r>
        <w:rPr>
          <w:rFonts w:ascii="Verdana" w:eastAsia="Century Gothic" w:hAnsi="Verdana" w:cs="Century Gothic"/>
          <w:i/>
          <w:iCs/>
          <w:sz w:val="20"/>
          <w:szCs w:val="20"/>
        </w:rPr>
        <w:t xml:space="preserve"> </w:t>
      </w:r>
      <w:r w:rsidRPr="0066027E">
        <w:rPr>
          <w:rFonts w:ascii="Verdana" w:eastAsia="Century Gothic" w:hAnsi="Verdana" w:cs="Century Gothic"/>
          <w:i/>
          <w:iCs/>
          <w:sz w:val="20"/>
          <w:szCs w:val="20"/>
        </w:rPr>
        <w:t>electrónica pueden rechazar a un oferente por este haber subsanado después del plazo establecido y requerido</w:t>
      </w:r>
      <w:r>
        <w:rPr>
          <w:rFonts w:ascii="Verdana" w:eastAsia="Century Gothic" w:hAnsi="Verdana" w:cs="Century Gothic"/>
          <w:i/>
          <w:iCs/>
          <w:sz w:val="20"/>
          <w:szCs w:val="20"/>
        </w:rPr>
        <w:t xml:space="preserve"> </w:t>
      </w:r>
      <w:r w:rsidRPr="0066027E">
        <w:rPr>
          <w:rFonts w:ascii="Verdana" w:eastAsia="Century Gothic" w:hAnsi="Verdana" w:cs="Century Gothic"/>
          <w:i/>
          <w:iCs/>
          <w:sz w:val="20"/>
          <w:szCs w:val="20"/>
        </w:rPr>
        <w:t xml:space="preserve">en un </w:t>
      </w:r>
      <w:r w:rsidRPr="0066027E">
        <w:rPr>
          <w:rFonts w:ascii="Verdana" w:eastAsia="Century Gothic" w:hAnsi="Verdana" w:cs="Century Gothic"/>
          <w:i/>
          <w:iCs/>
          <w:sz w:val="20"/>
          <w:szCs w:val="20"/>
        </w:rPr>
        <w:lastRenderedPageBreak/>
        <w:t>tercer informe de evaluación?” ¿Teniendo en cuenta que este oferente si subsano, pero con posterioridad</w:t>
      </w:r>
      <w:r>
        <w:rPr>
          <w:rFonts w:ascii="Verdana" w:eastAsia="Century Gothic" w:hAnsi="Verdana" w:cs="Century Gothic"/>
          <w:i/>
          <w:iCs/>
          <w:sz w:val="20"/>
          <w:szCs w:val="20"/>
        </w:rPr>
        <w:t xml:space="preserve"> </w:t>
      </w:r>
      <w:r w:rsidRPr="0066027E">
        <w:rPr>
          <w:rFonts w:ascii="Verdana" w:eastAsia="Century Gothic" w:hAnsi="Verdana" w:cs="Century Gothic"/>
          <w:i/>
          <w:iCs/>
          <w:sz w:val="20"/>
          <w:szCs w:val="20"/>
        </w:rPr>
        <w:t>a la fecha establecida, pero si antes de la apertura del sobre económico que estaba establecida, resaltando que la</w:t>
      </w:r>
      <w:r>
        <w:rPr>
          <w:rFonts w:ascii="Verdana" w:eastAsia="Century Gothic" w:hAnsi="Verdana" w:cs="Century Gothic"/>
          <w:i/>
          <w:iCs/>
          <w:sz w:val="20"/>
          <w:szCs w:val="20"/>
        </w:rPr>
        <w:t xml:space="preserve"> </w:t>
      </w:r>
      <w:r w:rsidRPr="0066027E">
        <w:rPr>
          <w:rFonts w:ascii="Verdana" w:eastAsia="Century Gothic" w:hAnsi="Verdana" w:cs="Century Gothic"/>
          <w:i/>
          <w:iCs/>
          <w:sz w:val="20"/>
          <w:szCs w:val="20"/>
        </w:rPr>
        <w:t>entidad no tuvo en cuenta las reglas de subsana habilidad establecidas en la norma?</w:t>
      </w:r>
    </w:p>
    <w:p w14:paraId="2EF4CD8A" w14:textId="77777777" w:rsidR="00B75D88" w:rsidRPr="0066027E" w:rsidRDefault="00B75D88" w:rsidP="00CE00A0">
      <w:pPr>
        <w:tabs>
          <w:tab w:val="left" w:pos="142"/>
          <w:tab w:val="left" w:pos="567"/>
        </w:tabs>
        <w:spacing w:after="0" w:line="240" w:lineRule="auto"/>
        <w:ind w:left="709" w:right="709"/>
        <w:jc w:val="both"/>
        <w:rPr>
          <w:rFonts w:ascii="Verdana" w:eastAsia="Century Gothic" w:hAnsi="Verdana" w:cs="Century Gothic"/>
          <w:i/>
          <w:iCs/>
          <w:sz w:val="20"/>
          <w:szCs w:val="20"/>
        </w:rPr>
      </w:pPr>
    </w:p>
    <w:p w14:paraId="3F36877F" w14:textId="77777777" w:rsidR="00697D0C" w:rsidRDefault="00697D0C" w:rsidP="00CE00A0">
      <w:pPr>
        <w:tabs>
          <w:tab w:val="left" w:pos="142"/>
          <w:tab w:val="left" w:pos="567"/>
        </w:tabs>
        <w:spacing w:after="0" w:line="240" w:lineRule="auto"/>
        <w:ind w:left="709" w:right="709"/>
        <w:jc w:val="both"/>
        <w:rPr>
          <w:rFonts w:ascii="Verdana" w:eastAsia="Century Gothic" w:hAnsi="Verdana" w:cs="Century Gothic"/>
          <w:i/>
          <w:iCs/>
          <w:sz w:val="20"/>
          <w:szCs w:val="20"/>
        </w:rPr>
      </w:pPr>
      <w:r w:rsidRPr="0066027E">
        <w:rPr>
          <w:rFonts w:ascii="Verdana" w:eastAsia="Century Gothic" w:hAnsi="Verdana" w:cs="Century Gothic"/>
          <w:i/>
          <w:iCs/>
          <w:sz w:val="20"/>
          <w:szCs w:val="20"/>
        </w:rPr>
        <w:t>CONSULTA 2: aplica o no los términos PERENTORIOS en los procesos de selección abreviada de subasta inversa</w:t>
      </w:r>
      <w:r>
        <w:rPr>
          <w:rFonts w:ascii="Verdana" w:eastAsia="Century Gothic" w:hAnsi="Verdana" w:cs="Century Gothic"/>
          <w:i/>
          <w:iCs/>
          <w:sz w:val="20"/>
          <w:szCs w:val="20"/>
        </w:rPr>
        <w:t xml:space="preserve"> </w:t>
      </w:r>
      <w:r w:rsidRPr="0066027E">
        <w:rPr>
          <w:rFonts w:ascii="Verdana" w:eastAsia="Century Gothic" w:hAnsi="Verdana" w:cs="Century Gothic"/>
          <w:i/>
          <w:iCs/>
          <w:sz w:val="20"/>
          <w:szCs w:val="20"/>
        </w:rPr>
        <w:t>electrónica para estableces plazos en la entrega de documentos para subsanar, teniendo en cuenta que aun NO a</w:t>
      </w:r>
      <w:r>
        <w:rPr>
          <w:rFonts w:ascii="Verdana" w:eastAsia="Century Gothic" w:hAnsi="Verdana" w:cs="Century Gothic"/>
          <w:i/>
          <w:iCs/>
          <w:sz w:val="20"/>
          <w:szCs w:val="20"/>
        </w:rPr>
        <w:t xml:space="preserve"> </w:t>
      </w:r>
      <w:r w:rsidRPr="0066027E">
        <w:rPr>
          <w:rFonts w:ascii="Verdana" w:eastAsia="Century Gothic" w:hAnsi="Verdana" w:cs="Century Gothic"/>
          <w:i/>
          <w:iCs/>
          <w:sz w:val="20"/>
          <w:szCs w:val="20"/>
        </w:rPr>
        <w:t>surtido efecto la apertura de los sobres económicos</w:t>
      </w:r>
    </w:p>
    <w:p w14:paraId="75AD1E64" w14:textId="77777777" w:rsidR="00B75D88" w:rsidRPr="0066027E" w:rsidRDefault="00B75D88" w:rsidP="00CE00A0">
      <w:pPr>
        <w:tabs>
          <w:tab w:val="left" w:pos="142"/>
          <w:tab w:val="left" w:pos="567"/>
        </w:tabs>
        <w:spacing w:after="0" w:line="240" w:lineRule="auto"/>
        <w:ind w:left="709" w:right="709"/>
        <w:jc w:val="both"/>
        <w:rPr>
          <w:rFonts w:ascii="Verdana" w:eastAsia="Century Gothic" w:hAnsi="Verdana" w:cs="Century Gothic"/>
          <w:i/>
          <w:iCs/>
          <w:sz w:val="20"/>
          <w:szCs w:val="20"/>
        </w:rPr>
      </w:pPr>
    </w:p>
    <w:p w14:paraId="29F8E449" w14:textId="77777777" w:rsidR="00697D0C" w:rsidRDefault="00697D0C" w:rsidP="00CE00A0">
      <w:pPr>
        <w:tabs>
          <w:tab w:val="left" w:pos="142"/>
          <w:tab w:val="left" w:pos="567"/>
        </w:tabs>
        <w:spacing w:after="0" w:line="240" w:lineRule="auto"/>
        <w:ind w:left="709" w:right="709"/>
        <w:jc w:val="both"/>
        <w:rPr>
          <w:rFonts w:ascii="Verdana" w:eastAsia="Century Gothic" w:hAnsi="Verdana" w:cs="Century Gothic"/>
          <w:i/>
          <w:iCs/>
          <w:sz w:val="20"/>
          <w:szCs w:val="20"/>
        </w:rPr>
      </w:pPr>
      <w:r w:rsidRPr="0066027E">
        <w:rPr>
          <w:rFonts w:ascii="Verdana" w:eastAsia="Century Gothic" w:hAnsi="Verdana" w:cs="Century Gothic"/>
          <w:i/>
          <w:iCs/>
          <w:sz w:val="20"/>
          <w:szCs w:val="20"/>
        </w:rPr>
        <w:t>CONSULTA 3: aplica o no los términos PRECLUSIVOS en los procesos de selección abreviada de subasta inversa</w:t>
      </w:r>
      <w:r>
        <w:rPr>
          <w:rFonts w:ascii="Verdana" w:eastAsia="Century Gothic" w:hAnsi="Verdana" w:cs="Century Gothic"/>
          <w:i/>
          <w:iCs/>
          <w:sz w:val="20"/>
          <w:szCs w:val="20"/>
        </w:rPr>
        <w:t xml:space="preserve"> </w:t>
      </w:r>
      <w:r w:rsidRPr="0066027E">
        <w:rPr>
          <w:rFonts w:ascii="Verdana" w:eastAsia="Century Gothic" w:hAnsi="Verdana" w:cs="Century Gothic"/>
          <w:i/>
          <w:iCs/>
          <w:sz w:val="20"/>
          <w:szCs w:val="20"/>
        </w:rPr>
        <w:t>electrónica para estableces plazos en la entrega de documentos para subsanar, teniendo en cuenta que aun NO a</w:t>
      </w:r>
      <w:r>
        <w:rPr>
          <w:rFonts w:ascii="Verdana" w:eastAsia="Century Gothic" w:hAnsi="Verdana" w:cs="Century Gothic"/>
          <w:i/>
          <w:iCs/>
          <w:sz w:val="20"/>
          <w:szCs w:val="20"/>
        </w:rPr>
        <w:t xml:space="preserve"> </w:t>
      </w:r>
      <w:r w:rsidRPr="0066027E">
        <w:rPr>
          <w:rFonts w:ascii="Verdana" w:eastAsia="Century Gothic" w:hAnsi="Verdana" w:cs="Century Gothic"/>
          <w:i/>
          <w:iCs/>
          <w:sz w:val="20"/>
          <w:szCs w:val="20"/>
        </w:rPr>
        <w:t>surtido efecto la apertura de los sobres económicos</w:t>
      </w:r>
      <w:r>
        <w:rPr>
          <w:rFonts w:ascii="Verdana" w:eastAsia="Century Gothic" w:hAnsi="Verdana" w:cs="Century Gothic"/>
          <w:i/>
          <w:iCs/>
          <w:sz w:val="20"/>
          <w:szCs w:val="20"/>
        </w:rPr>
        <w:t xml:space="preserve"> </w:t>
      </w:r>
      <w:r w:rsidRPr="0066027E">
        <w:rPr>
          <w:rFonts w:ascii="Verdana" w:eastAsia="Century Gothic" w:hAnsi="Verdana" w:cs="Century Gothic"/>
          <w:i/>
          <w:iCs/>
          <w:sz w:val="20"/>
          <w:szCs w:val="20"/>
        </w:rPr>
        <w:t>Lo anterior teniendo en cuenta el caso presente aquí expuesto</w:t>
      </w:r>
    </w:p>
    <w:p w14:paraId="4C5A937E" w14:textId="77777777" w:rsidR="00697D0C" w:rsidRPr="00CD7324" w:rsidRDefault="00697D0C" w:rsidP="00CE00A0">
      <w:pPr>
        <w:tabs>
          <w:tab w:val="left" w:pos="142"/>
          <w:tab w:val="left" w:pos="567"/>
        </w:tabs>
        <w:spacing w:after="0" w:line="240" w:lineRule="auto"/>
        <w:ind w:left="709" w:right="709"/>
        <w:jc w:val="both"/>
        <w:rPr>
          <w:rFonts w:ascii="Verdana" w:eastAsia="Century Gothic" w:hAnsi="Verdana" w:cs="Century Gothic"/>
          <w:i/>
          <w:iCs/>
          <w:sz w:val="20"/>
          <w:szCs w:val="20"/>
        </w:rPr>
      </w:pPr>
      <w:r w:rsidRPr="0066027E" w:rsidDel="0066027E">
        <w:rPr>
          <w:rFonts w:ascii="Verdana" w:eastAsia="Century Gothic" w:hAnsi="Verdana" w:cs="Century Gothic"/>
          <w:i/>
          <w:iCs/>
          <w:sz w:val="20"/>
          <w:szCs w:val="20"/>
        </w:rPr>
        <w:t xml:space="preserve"> </w:t>
      </w:r>
      <w:bookmarkEnd w:id="6"/>
      <w:r w:rsidRPr="00C33DBE">
        <w:rPr>
          <w:rFonts w:ascii="Verdana" w:eastAsia="Century Gothic" w:hAnsi="Verdana" w:cs="Century Gothic"/>
          <w:i/>
          <w:iCs/>
          <w:sz w:val="20"/>
          <w:szCs w:val="20"/>
        </w:rPr>
        <w:t>(…)</w:t>
      </w:r>
      <w:r>
        <w:rPr>
          <w:rFonts w:ascii="Verdana" w:eastAsia="Century Gothic" w:hAnsi="Verdana" w:cs="Century Gothic"/>
          <w:i/>
          <w:iCs/>
          <w:sz w:val="20"/>
          <w:szCs w:val="20"/>
        </w:rPr>
        <w:t>”</w:t>
      </w:r>
      <w:r w:rsidRPr="00CD7324">
        <w:rPr>
          <w:rFonts w:ascii="Verdana" w:eastAsia="Century Gothic" w:hAnsi="Verdana" w:cs="Century Gothic"/>
          <w:i/>
          <w:iCs/>
          <w:sz w:val="20"/>
          <w:szCs w:val="20"/>
        </w:rPr>
        <w:t xml:space="preserve"> </w:t>
      </w:r>
      <w:r>
        <w:rPr>
          <w:rFonts w:ascii="Verdana" w:eastAsia="Century Gothic" w:hAnsi="Verdana" w:cs="Century Gothic"/>
          <w:i/>
          <w:iCs/>
          <w:sz w:val="20"/>
          <w:szCs w:val="20"/>
        </w:rPr>
        <w:t>(sic)</w:t>
      </w:r>
    </w:p>
    <w:p w14:paraId="06AE8615" w14:textId="77777777" w:rsidR="004419BC" w:rsidRDefault="004419BC" w:rsidP="00CE00A0">
      <w:pPr>
        <w:spacing w:after="0" w:line="276" w:lineRule="auto"/>
        <w:jc w:val="both"/>
        <w:rPr>
          <w:rFonts w:ascii="Verdana" w:eastAsia="Calibri" w:hAnsi="Verdana" w:cs="Arial"/>
          <w:lang w:val="es-ES" w:eastAsia="es-ES"/>
        </w:rPr>
      </w:pPr>
    </w:p>
    <w:p w14:paraId="49D933D8" w14:textId="660FC968" w:rsidR="00697D0C" w:rsidRPr="00AA3B9F" w:rsidRDefault="00697D0C" w:rsidP="00697D0C">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2CA6D4F7" w14:textId="77777777" w:rsidR="00697D0C" w:rsidRPr="00AA3B9F" w:rsidRDefault="00697D0C" w:rsidP="00697D0C">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w:t>
      </w:r>
      <w:r w:rsidRPr="00E21BD1">
        <w:t xml:space="preserve"> </w:t>
      </w:r>
    </w:p>
    <w:p w14:paraId="1744C600" w14:textId="77777777" w:rsidR="00697D0C" w:rsidRDefault="00697D0C" w:rsidP="00697D0C">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446C9F4E" w14:textId="77777777" w:rsidR="00697D0C" w:rsidRDefault="00697D0C" w:rsidP="00697D0C">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16283ABF" w14:textId="77777777" w:rsidR="00697D0C" w:rsidRDefault="00697D0C" w:rsidP="00697D0C">
      <w:pPr>
        <w:pStyle w:val="Prrafodelista"/>
        <w:tabs>
          <w:tab w:val="left" w:pos="142"/>
          <w:tab w:val="left" w:pos="284"/>
        </w:tabs>
        <w:spacing w:after="0" w:line="276" w:lineRule="auto"/>
        <w:ind w:left="0"/>
        <w:jc w:val="both"/>
        <w:rPr>
          <w:rFonts w:ascii="Verdana" w:eastAsia="Century Gothic" w:hAnsi="Verdana" w:cs="Century Gothic"/>
          <w:b/>
          <w:bCs/>
        </w:rPr>
      </w:pPr>
    </w:p>
    <w:p w14:paraId="206268D6" w14:textId="77777777" w:rsidR="00697D0C" w:rsidRDefault="00697D0C" w:rsidP="00697D0C">
      <w:pPr>
        <w:pStyle w:val="Prrafodelista"/>
        <w:ind w:left="0" w:right="49"/>
        <w:jc w:val="both"/>
        <w:rPr>
          <w:rFonts w:ascii="Verdana" w:eastAsia="Century Gothic" w:hAnsi="Verdana" w:cs="Century Gothic"/>
          <w:lang w:val="es-CO"/>
        </w:rPr>
      </w:pPr>
      <w:r w:rsidRPr="3F2B4452">
        <w:rPr>
          <w:rFonts w:ascii="Verdana" w:eastAsia="Calibri" w:hAnsi="Verdana" w:cs="Arial"/>
          <w:lang w:eastAsia="es-ES"/>
        </w:rPr>
        <w:lastRenderedPageBreak/>
        <w:t>De acuerdo con el contenido de su solicitud, esta Agencia resolverá el siguiente problema jurídico</w:t>
      </w:r>
      <w:bookmarkStart w:id="7" w:name="_Hlk196737317"/>
      <w:r w:rsidRPr="3F2B4452">
        <w:rPr>
          <w:rFonts w:ascii="Verdana" w:eastAsia="Calibri" w:hAnsi="Verdana" w:cs="Arial"/>
          <w:lang w:eastAsia="es-ES"/>
        </w:rPr>
        <w:t xml:space="preserve">: </w:t>
      </w:r>
      <w:r>
        <w:rPr>
          <w:rFonts w:ascii="Verdana" w:eastAsia="Century Gothic" w:hAnsi="Verdana" w:cs="Century Gothic"/>
          <w:lang w:val="es-CO"/>
        </w:rPr>
        <w:t xml:space="preserve">¿Cuál es la oportunidad que tiene una entidad estatal para solicitar subsanación de una oferta </w:t>
      </w:r>
      <w:r w:rsidRPr="00936785">
        <w:rPr>
          <w:rFonts w:ascii="Verdana" w:eastAsia="Century Gothic" w:hAnsi="Verdana" w:cs="Century Gothic"/>
          <w:lang w:val="es-CO"/>
        </w:rPr>
        <w:t>en un proceso de selección abreviada mediante subasta inversa electrónica</w:t>
      </w:r>
      <w:r w:rsidRPr="00643516">
        <w:rPr>
          <w:rFonts w:ascii="Verdana" w:eastAsia="Century Gothic" w:hAnsi="Verdana" w:cs="Century Gothic"/>
          <w:lang w:val="es-CO"/>
        </w:rPr>
        <w:t>?</w:t>
      </w:r>
    </w:p>
    <w:p w14:paraId="7A5C9D19" w14:textId="77777777" w:rsidR="00697D0C" w:rsidRDefault="00697D0C" w:rsidP="00697D0C">
      <w:pPr>
        <w:pStyle w:val="Prrafodelista"/>
        <w:ind w:left="0" w:right="49"/>
        <w:jc w:val="both"/>
        <w:rPr>
          <w:rFonts w:ascii="Verdana" w:eastAsia="Calibri" w:hAnsi="Verdana" w:cs="Arial"/>
          <w:lang w:val="es-CO" w:eastAsia="es-ES"/>
        </w:rPr>
      </w:pPr>
    </w:p>
    <w:bookmarkEnd w:id="7"/>
    <w:p w14:paraId="4E03D399" w14:textId="77777777" w:rsidR="00697D0C" w:rsidRPr="00593A5F" w:rsidRDefault="00697D0C" w:rsidP="00697D0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3D976D1" w14:textId="77777777" w:rsidR="00697D0C" w:rsidRPr="00593A5F" w:rsidRDefault="00697D0C" w:rsidP="00697D0C">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97D0C" w:rsidRPr="00593A5F" w14:paraId="7CF6A217" w14:textId="77777777">
        <w:tc>
          <w:tcPr>
            <w:tcW w:w="8828" w:type="dxa"/>
          </w:tcPr>
          <w:p w14:paraId="48AFE86C" w14:textId="77777777" w:rsidR="00697D0C" w:rsidRDefault="00697D0C" w:rsidP="00CE00A0">
            <w:pPr>
              <w:spacing w:after="120" w:line="276" w:lineRule="auto"/>
              <w:jc w:val="both"/>
              <w:rPr>
                <w:rFonts w:ascii="Verdana" w:eastAsia="Times New Roman" w:hAnsi="Verdana" w:cs="Arial"/>
                <w:lang w:val="es-ES" w:eastAsia="es-CO"/>
              </w:rPr>
            </w:pPr>
            <w:r w:rsidRPr="37C57DE6">
              <w:rPr>
                <w:rFonts w:ascii="Verdana" w:eastAsia="Times New Roman" w:hAnsi="Verdana" w:cs="Arial"/>
                <w:lang w:val="es-ES" w:eastAsia="es-ES"/>
              </w:rPr>
              <w:t>La posibilidad de enmendar, corregir o subsanar los errores en los que se incurre en los documentos contentivos de la oferta es un tema que ha tenido diferentes momentos o etapas en el ordenamiento jurídico colombiano,</w:t>
            </w:r>
            <w:r>
              <w:rPr>
                <w:rFonts w:ascii="Verdana" w:eastAsia="Times New Roman" w:hAnsi="Verdana" w:cs="Arial"/>
                <w:lang w:val="es-ES" w:eastAsia="es-ES"/>
              </w:rPr>
              <w:t xml:space="preserve"> la Ley </w:t>
            </w:r>
            <w:r w:rsidRPr="3F2B4452">
              <w:rPr>
                <w:rFonts w:ascii="Verdana" w:eastAsia="Times New Roman" w:hAnsi="Verdana" w:cs="Arial"/>
                <w:lang w:val="es-ES" w:eastAsia="es-CO"/>
              </w:rPr>
              <w:t>1882 de 2018, tuvo por finalidad la de introducir cambios y ajustes para fortalecer la contratación pública. En ese orden, mediante su artículo 5 modificó el parágrafo 1º y adicionó algunos otros, entre ellos el 3° y 4° del artículo 5 de la Ley 1150 de 2007</w:t>
            </w:r>
            <w:r>
              <w:rPr>
                <w:rFonts w:ascii="Verdana" w:eastAsia="Times New Roman" w:hAnsi="Verdana" w:cs="Arial"/>
                <w:lang w:val="es-ES" w:eastAsia="es-CO"/>
              </w:rPr>
              <w:t>.</w:t>
            </w:r>
          </w:p>
          <w:p w14:paraId="1F744F6D" w14:textId="77777777" w:rsidR="00697D0C" w:rsidRPr="00E16B45" w:rsidRDefault="00697D0C">
            <w:pPr>
              <w:spacing w:after="120" w:line="276" w:lineRule="auto"/>
              <w:ind w:firstLine="709"/>
              <w:jc w:val="both"/>
              <w:rPr>
                <w:rFonts w:ascii="Verdana" w:eastAsia="Calibri" w:hAnsi="Verdana" w:cs="Arial"/>
                <w:lang w:eastAsia="es-ES"/>
              </w:rPr>
            </w:pPr>
            <w:r w:rsidRPr="00E16B45">
              <w:rPr>
                <w:rFonts w:ascii="Verdana" w:eastAsia="Calibri" w:hAnsi="Verdana" w:cs="Arial"/>
                <w:lang w:eastAsia="es-ES"/>
              </w:rPr>
              <w:t xml:space="preserve">En lo que respecta a la </w:t>
            </w:r>
            <w:proofErr w:type="spellStart"/>
            <w:r w:rsidRPr="00E16B45">
              <w:rPr>
                <w:rFonts w:ascii="Verdana" w:eastAsia="Calibri" w:hAnsi="Verdana" w:cs="Arial"/>
                <w:lang w:eastAsia="es-ES"/>
              </w:rPr>
              <w:t>subsanabilidad</w:t>
            </w:r>
            <w:proofErr w:type="spellEnd"/>
            <w:r w:rsidRPr="00E16B45">
              <w:rPr>
                <w:rFonts w:ascii="Verdana" w:eastAsia="Calibri" w:hAnsi="Verdana" w:cs="Arial"/>
                <w:lang w:eastAsia="es-ES"/>
              </w:rPr>
              <w:t xml:space="preserve"> en procesos de selección en los que se utilice el mecanismo de subasta, el parágrafo 1 del artículo 5 de la Ley 1150 de 2007 consagra una excepción al término general de </w:t>
            </w:r>
            <w:proofErr w:type="spellStart"/>
            <w:r w:rsidRPr="00E16B45">
              <w:rPr>
                <w:rFonts w:ascii="Verdana" w:eastAsia="Calibri" w:hAnsi="Verdana" w:cs="Arial"/>
                <w:lang w:eastAsia="es-ES"/>
              </w:rPr>
              <w:t>subsanabilidad</w:t>
            </w:r>
            <w:proofErr w:type="spellEnd"/>
            <w:r w:rsidRPr="00E16B45">
              <w:rPr>
                <w:rFonts w:ascii="Verdana" w:eastAsia="Calibri" w:hAnsi="Verdana" w:cs="Arial"/>
                <w:lang w:eastAsia="es-ES"/>
              </w:rPr>
              <w:t xml:space="preserve"> explicado</w:t>
            </w:r>
            <w:r>
              <w:rPr>
                <w:rFonts w:ascii="Verdana" w:eastAsia="Calibri" w:hAnsi="Verdana" w:cs="Arial"/>
                <w:lang w:eastAsia="es-ES"/>
              </w:rPr>
              <w:t xml:space="preserve"> en el presente oficio</w:t>
            </w:r>
            <w:r w:rsidRPr="00E16B45">
              <w:rPr>
                <w:rFonts w:ascii="Verdana" w:eastAsia="Calibri" w:hAnsi="Verdana" w:cs="Arial"/>
                <w:lang w:eastAsia="es-ES"/>
              </w:rPr>
              <w:t>. Al respecto, el parágrafo 4 del artículo 5 de la Ley 1150 de 2007, adicionado por el artículo 5 de la Ley 1882 de 2018, dispone que “En aquellos procesos de selección en los que se utilice el mecanismo de subasta, los documentos referentes a la futura contratación o al proponente, no necesarios para la comparación de las propuestas, deberán ser solicitados hasta el momento previo a su realización”.</w:t>
            </w:r>
          </w:p>
          <w:p w14:paraId="4C17DA6B" w14:textId="77777777" w:rsidR="00697D0C" w:rsidRPr="00E16B45" w:rsidRDefault="00697D0C">
            <w:pPr>
              <w:spacing w:after="120" w:line="276" w:lineRule="auto"/>
              <w:ind w:firstLine="709"/>
              <w:jc w:val="both"/>
              <w:rPr>
                <w:rFonts w:ascii="Verdana" w:eastAsia="Calibri" w:hAnsi="Verdana" w:cs="Arial"/>
                <w:lang w:eastAsia="es-ES"/>
              </w:rPr>
            </w:pPr>
            <w:r w:rsidRPr="00E16B45">
              <w:rPr>
                <w:rFonts w:ascii="Verdana" w:eastAsia="Calibri" w:hAnsi="Verdana" w:cs="Arial"/>
                <w:lang w:eastAsia="es-ES"/>
              </w:rPr>
              <w:t xml:space="preserve">Al respecto, es necesario precisar que lo que supone dicha regulación no es que los proponentes tengan la facultad de presentar los documentos referentes a la futura contratación no necesarios para la comparación de las propuestas en cualquier momento anterior al inicio de la subasta, o que estén habilitados para retener tal documentación hasta dicho momento. Lo que hace el parágrafo 4° </w:t>
            </w:r>
            <w:proofErr w:type="spellStart"/>
            <w:r w:rsidRPr="00E16B45">
              <w:rPr>
                <w:rFonts w:ascii="Verdana" w:eastAsia="Calibri" w:hAnsi="Verdana" w:cs="Arial"/>
                <w:lang w:eastAsia="es-ES"/>
              </w:rPr>
              <w:t>Ibídem</w:t>
            </w:r>
            <w:proofErr w:type="spellEnd"/>
            <w:r w:rsidRPr="00E16B45">
              <w:rPr>
                <w:rFonts w:ascii="Verdana" w:eastAsia="Calibri" w:hAnsi="Verdana" w:cs="Arial"/>
                <w:lang w:eastAsia="es-ES"/>
              </w:rPr>
              <w:t xml:space="preserve"> es fijar el momento hasta el cual las respectivas entidades pueden requerir a los proponentes la subsanación de los documentos faltantes, y definirles el momento de presentación, término que es de obligatorio cumplimiento para los proponentes. </w:t>
            </w:r>
          </w:p>
          <w:p w14:paraId="4A232232" w14:textId="77777777" w:rsidR="00697D0C" w:rsidRPr="00E16B45" w:rsidRDefault="00697D0C">
            <w:pPr>
              <w:spacing w:after="120" w:line="276" w:lineRule="auto"/>
              <w:ind w:firstLine="709"/>
              <w:jc w:val="both"/>
              <w:rPr>
                <w:rFonts w:ascii="Verdana" w:eastAsia="Calibri" w:hAnsi="Verdana" w:cs="Arial"/>
                <w:lang w:eastAsia="es-ES"/>
              </w:rPr>
            </w:pPr>
            <w:r w:rsidRPr="00E16B45">
              <w:rPr>
                <w:rFonts w:ascii="Verdana" w:eastAsia="Calibri" w:hAnsi="Verdana" w:cs="Arial"/>
                <w:lang w:eastAsia="es-ES"/>
              </w:rPr>
              <w:t xml:space="preserve">De esta manera, la Ley 1150 de 2007 no consagra un término específico para que los oferentes subsanen los documentos mediante los cuales acreditan el cumplimiento de los requisitos necesarios para participar en procesos en los </w:t>
            </w:r>
            <w:r w:rsidRPr="00E16B45">
              <w:rPr>
                <w:rFonts w:ascii="Verdana" w:eastAsia="Calibri" w:hAnsi="Verdana" w:cs="Arial"/>
                <w:lang w:eastAsia="es-ES"/>
              </w:rPr>
              <w:lastRenderedPageBreak/>
              <w:t>que se use el mecanismo de subasta. Sin embargo, el parágrafo 4° del artículo 5 de la Ley 1150 de 2007 establece que las entidades deberán solicitar la subsanación de tales requisitos hasta antes del inicio de la subasta, razón por la que estas deberán permitir a los proponentes subsanar los documentos que correspondan, para lo cual podrán fijar en el pliego de condiciones un término para que tengan lugar las subsanaciones, o fijarlo al solicitar a los proponentes la realización de las mismas, lo que en todo caso deberá ocurrir antes del inicio de la subasta.</w:t>
            </w:r>
          </w:p>
          <w:p w14:paraId="40E3C483" w14:textId="77777777" w:rsidR="00697D0C" w:rsidRPr="00DD6FC6" w:rsidRDefault="00697D0C">
            <w:pPr>
              <w:spacing w:after="120" w:line="276" w:lineRule="auto"/>
              <w:ind w:firstLine="709"/>
              <w:jc w:val="both"/>
              <w:rPr>
                <w:rFonts w:ascii="Verdana" w:eastAsia="Calibri" w:hAnsi="Verdana" w:cs="Arial"/>
                <w:lang w:eastAsia="es-ES"/>
              </w:rPr>
            </w:pPr>
            <w:r w:rsidRPr="00E16B45">
              <w:rPr>
                <w:rFonts w:ascii="Verdana" w:eastAsia="Calibri" w:hAnsi="Verdana" w:cs="Arial"/>
                <w:lang w:eastAsia="es-ES"/>
              </w:rPr>
              <w:t xml:space="preserve">Conforme a lo anterior, a pesar de que no existe un término legal para que los proponentes subsanen los documentos mediante los cuales deben acreditar el cumplimiento de los requisitos exigidos para participar en procedimientos en que se utilice el mecanismo de subasta, el parágrafo 4° del artículo 5 de la Ley 1150 de 2007 establece una regla que permite a las entidades solicitar las correspondientes subsanaciones, dotando a estas de cierto margen de discrecionalidad para determinar el término o momento específico dentro del que deberá tener lugar la subsanación, que en todo caso deberá ser previo al inicio de la audiencia de subasta. </w:t>
            </w:r>
          </w:p>
        </w:tc>
      </w:tr>
    </w:tbl>
    <w:p w14:paraId="1CB537A8" w14:textId="77777777" w:rsidR="00697D0C" w:rsidRDefault="00697D0C" w:rsidP="00697D0C">
      <w:pPr>
        <w:tabs>
          <w:tab w:val="left" w:pos="142"/>
          <w:tab w:val="left" w:pos="284"/>
        </w:tabs>
        <w:spacing w:after="0" w:line="276" w:lineRule="auto"/>
        <w:jc w:val="both"/>
        <w:rPr>
          <w:rFonts w:ascii="Verdana" w:eastAsia="Century Gothic" w:hAnsi="Verdana" w:cs="Century Gothic"/>
          <w:b/>
          <w:bCs/>
          <w:lang w:val="es-ES"/>
        </w:rPr>
      </w:pPr>
    </w:p>
    <w:p w14:paraId="6F24DFB3" w14:textId="77777777" w:rsidR="00697D0C" w:rsidRDefault="00697D0C" w:rsidP="00697D0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74A6D4A7" w14:textId="77777777" w:rsidR="00697D0C" w:rsidRPr="00B36F85" w:rsidRDefault="00697D0C" w:rsidP="00697D0C">
      <w:pPr>
        <w:spacing w:after="0" w:line="276" w:lineRule="auto"/>
        <w:jc w:val="both"/>
        <w:rPr>
          <w:rFonts w:ascii="Verdana" w:eastAsia="Calibri" w:hAnsi="Verdana" w:cs="Arial"/>
        </w:rPr>
      </w:pPr>
    </w:p>
    <w:p w14:paraId="3F3909F9" w14:textId="77777777" w:rsidR="00697D0C" w:rsidRPr="0055341A" w:rsidDel="004D5F83" w:rsidRDefault="00697D0C" w:rsidP="00CE00A0">
      <w:pPr>
        <w:spacing w:after="120" w:line="276" w:lineRule="auto"/>
        <w:jc w:val="both"/>
        <w:rPr>
          <w:rFonts w:ascii="Verdana" w:eastAsia="Times New Roman" w:hAnsi="Verdana" w:cs="Arial"/>
          <w:lang w:val="es-ES" w:eastAsia="es-ES"/>
        </w:rPr>
      </w:pPr>
      <w:r w:rsidRPr="3F2B4452">
        <w:rPr>
          <w:rFonts w:ascii="Verdana" w:hAnsi="Verdana" w:cs="Arial"/>
          <w:noProof/>
          <w:lang w:val="es-ES"/>
        </w:rPr>
        <w:t>L</w:t>
      </w:r>
      <w:r w:rsidRPr="3F2B4452">
        <w:rPr>
          <w:rFonts w:ascii="Verdana" w:eastAsia="Times New Roman" w:hAnsi="Verdana" w:cs="Arial"/>
        </w:rPr>
        <w:t xml:space="preserve">a regla de la </w:t>
      </w:r>
      <w:proofErr w:type="spellStart"/>
      <w:r w:rsidRPr="3F2B4452">
        <w:rPr>
          <w:rFonts w:ascii="Verdana" w:eastAsia="Times New Roman" w:hAnsi="Verdana" w:cs="Arial"/>
        </w:rPr>
        <w:t>subsanabilidad</w:t>
      </w:r>
      <w:proofErr w:type="spellEnd"/>
      <w:r w:rsidRPr="3F2B4452">
        <w:rPr>
          <w:rFonts w:ascii="Verdana" w:eastAsia="Times New Roman" w:hAnsi="Verdana" w:cs="Arial"/>
        </w:rPr>
        <w:t xml:space="preserve"> de las ofertas en los procedimientos de selección</w:t>
      </w:r>
      <w:r w:rsidRPr="3F2B4452">
        <w:rPr>
          <w:rFonts w:ascii="Verdana" w:eastAsia="Times New Roman" w:hAnsi="Verdana" w:cs="Arial"/>
          <w:b/>
          <w:bCs/>
        </w:rPr>
        <w:t xml:space="preserve"> </w:t>
      </w:r>
      <w:r w:rsidRPr="3F2B4452">
        <w:rPr>
          <w:rFonts w:ascii="Verdana" w:eastAsia="Times New Roman" w:hAnsi="Verdana" w:cs="Arial"/>
          <w:lang w:val="es-ES" w:eastAsia="es-ES"/>
        </w:rPr>
        <w:t>indica que, por regla general, la falta de entrega y los defectos en la acreditación de los requisitos habilitantes son aspectos subsanables. La excepción a esta regla se encuentra en la prohibición de permitir que se subsanen aspectos que otorgan puntaje, de valer la acreditación de circunstancias ocurridas con posterioridad al cierre del proceso y de permitir la entrega de la garantía de seriedad de la oferta que no fue aportada con la propuesta.</w:t>
      </w:r>
    </w:p>
    <w:p w14:paraId="0A406050" w14:textId="3AB1F10F" w:rsidR="00697D0C" w:rsidRDefault="00697D0C" w:rsidP="00A84FC0">
      <w:pPr>
        <w:spacing w:after="0" w:line="276" w:lineRule="auto"/>
        <w:ind w:firstLine="709"/>
        <w:jc w:val="both"/>
        <w:rPr>
          <w:rFonts w:ascii="Verdana" w:eastAsia="Times New Roman" w:hAnsi="Verdana" w:cs="Arial"/>
          <w:lang w:val="es-ES" w:eastAsia="es-CO"/>
        </w:rPr>
      </w:pPr>
      <w:r w:rsidRPr="37C57DE6">
        <w:rPr>
          <w:rFonts w:ascii="Verdana" w:eastAsia="Times New Roman" w:hAnsi="Verdana" w:cs="Arial"/>
          <w:lang w:val="es-ES" w:eastAsia="es-ES"/>
        </w:rPr>
        <w:t>La posibilidad de enmendar, corregir o subsanar los errores en los que se incurre en los documentos contentivos de la oferta es un tema que ha tenido diferentes momentos o etapas en el ordenamiento jurídico colombiano,</w:t>
      </w:r>
      <w:r>
        <w:rPr>
          <w:rFonts w:ascii="Verdana" w:eastAsia="Times New Roman" w:hAnsi="Verdana" w:cs="Arial"/>
          <w:lang w:val="es-ES" w:eastAsia="es-ES"/>
        </w:rPr>
        <w:t xml:space="preserve"> la Ley </w:t>
      </w:r>
      <w:r w:rsidRPr="3F2B4452">
        <w:rPr>
          <w:rFonts w:ascii="Verdana" w:eastAsia="Times New Roman" w:hAnsi="Verdana" w:cs="Arial"/>
          <w:lang w:val="es-ES" w:eastAsia="es-CO"/>
        </w:rPr>
        <w:t xml:space="preserve">1882 de 2018, tuvo por finalidad la de introducir cambios y ajustes para fortalecer la contratación pública. En ese orden, mediante su artículo 5 modificó el parágrafo 1º y adicionó algunos otros, entre ellos el 3° y 4° del artículo 5 de la Ley 1150 de 2007, en los siguientes términos: </w:t>
      </w:r>
    </w:p>
    <w:p w14:paraId="57799833" w14:textId="77777777" w:rsidR="00A84FC0" w:rsidDel="00A05D54" w:rsidRDefault="00A84FC0" w:rsidP="00CE00A0">
      <w:pPr>
        <w:spacing w:after="0" w:line="276" w:lineRule="auto"/>
        <w:ind w:firstLine="709"/>
        <w:jc w:val="both"/>
        <w:rPr>
          <w:rFonts w:ascii="Verdana" w:eastAsia="Times New Roman" w:hAnsi="Verdana" w:cs="Arial"/>
          <w:lang w:val="es-ES" w:eastAsia="es-CO"/>
        </w:rPr>
      </w:pPr>
    </w:p>
    <w:p w14:paraId="62BBA225" w14:textId="77777777" w:rsidR="00697D0C" w:rsidRPr="00556BC7" w:rsidRDefault="00697D0C" w:rsidP="00697D0C">
      <w:pPr>
        <w:spacing w:after="0" w:line="240" w:lineRule="auto"/>
        <w:ind w:left="709" w:right="709"/>
        <w:jc w:val="both"/>
        <w:rPr>
          <w:rFonts w:ascii="Verdana" w:eastAsia="Times New Roman" w:hAnsi="Verdana" w:cs="Arial"/>
          <w:sz w:val="20"/>
          <w:szCs w:val="20"/>
          <w:lang w:val="es-ES_tradnl" w:eastAsia="es-CO"/>
        </w:rPr>
      </w:pPr>
      <w:r>
        <w:rPr>
          <w:rFonts w:ascii="Verdana" w:eastAsia="Times New Roman" w:hAnsi="Verdana" w:cs="Arial"/>
          <w:sz w:val="20"/>
          <w:szCs w:val="20"/>
          <w:lang w:val="es-ES_tradnl" w:eastAsia="es-CO"/>
        </w:rPr>
        <w:lastRenderedPageBreak/>
        <w:t>“</w:t>
      </w:r>
      <w:r w:rsidRPr="00556BC7">
        <w:rPr>
          <w:rFonts w:ascii="Verdana" w:eastAsia="Times New Roman" w:hAnsi="Verdana" w:cs="Arial"/>
          <w:sz w:val="20"/>
          <w:szCs w:val="20"/>
          <w:lang w:val="es-ES_tradnl" w:eastAsia="es-CO"/>
        </w:rPr>
        <w:t xml:space="preserve">Artículo 5°. De la selección objetiva. </w:t>
      </w:r>
    </w:p>
    <w:p w14:paraId="5348516A" w14:textId="77777777" w:rsidR="00697D0C" w:rsidRDefault="00697D0C" w:rsidP="00697D0C">
      <w:pPr>
        <w:pStyle w:val="paragraph"/>
        <w:spacing w:before="0" w:beforeAutospacing="0" w:after="0" w:afterAutospacing="0"/>
        <w:ind w:left="709" w:right="709"/>
        <w:jc w:val="both"/>
        <w:textAlignment w:val="baseline"/>
        <w:rPr>
          <w:rStyle w:val="normaltextrun"/>
          <w:rFonts w:ascii="Verdana" w:hAnsi="Verdana" w:cs="Arial"/>
          <w:color w:val="000000"/>
          <w:sz w:val="20"/>
          <w:szCs w:val="20"/>
          <w:lang w:val="es-ES"/>
        </w:rPr>
      </w:pPr>
    </w:p>
    <w:p w14:paraId="18681F89" w14:textId="77777777" w:rsidR="00697D0C" w:rsidRPr="00556BC7" w:rsidRDefault="00697D0C" w:rsidP="00697D0C">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 xml:space="preserve">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w:t>
      </w:r>
      <w:proofErr w:type="gramStart"/>
      <w:r w:rsidRPr="00556BC7">
        <w:rPr>
          <w:rStyle w:val="normaltextrun"/>
          <w:rFonts w:ascii="Verdana" w:hAnsi="Verdana" w:cs="Arial"/>
          <w:color w:val="000000"/>
          <w:sz w:val="20"/>
          <w:szCs w:val="20"/>
          <w:lang w:val="es-ES"/>
        </w:rPr>
        <w:t>equivalentes,</w:t>
      </w:r>
      <w:proofErr w:type="gramEnd"/>
      <w:r w:rsidRPr="00556BC7">
        <w:rPr>
          <w:rStyle w:val="normaltextrun"/>
          <w:rFonts w:ascii="Verdana" w:hAnsi="Verdana" w:cs="Arial"/>
          <w:color w:val="000000"/>
          <w:sz w:val="20"/>
          <w:szCs w:val="20"/>
          <w:lang w:val="es-ES"/>
        </w:rPr>
        <w:t xml:space="preserve"> tendrán en cuenta los siguientes criterios:</w:t>
      </w:r>
      <w:r w:rsidRPr="00556BC7">
        <w:rPr>
          <w:rStyle w:val="eop"/>
          <w:rFonts w:ascii="Verdana" w:hAnsi="Verdana" w:cs="Arial"/>
          <w:color w:val="000000"/>
          <w:sz w:val="20"/>
          <w:szCs w:val="20"/>
        </w:rPr>
        <w:t> </w:t>
      </w:r>
    </w:p>
    <w:p w14:paraId="6D8E7DF1" w14:textId="77777777" w:rsidR="00697D0C" w:rsidRPr="00556BC7" w:rsidRDefault="00697D0C" w:rsidP="00697D0C">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0E828914" w14:textId="77777777" w:rsidR="00697D0C" w:rsidRPr="00556BC7" w:rsidRDefault="00697D0C" w:rsidP="00697D0C">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r w:rsidRPr="00556BC7">
        <w:rPr>
          <w:rStyle w:val="eop"/>
          <w:rFonts w:ascii="Verdana" w:hAnsi="Verdana" w:cs="Arial"/>
          <w:color w:val="000000"/>
          <w:sz w:val="20"/>
          <w:szCs w:val="20"/>
        </w:rPr>
        <w:t> </w:t>
      </w:r>
    </w:p>
    <w:p w14:paraId="40D187ED" w14:textId="77777777" w:rsidR="00697D0C" w:rsidRPr="00556BC7" w:rsidRDefault="00697D0C" w:rsidP="00697D0C">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415869C3" w14:textId="77777777" w:rsidR="00697D0C" w:rsidRPr="00556BC7" w:rsidRDefault="00697D0C" w:rsidP="00697D0C">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2. &lt;Numeral modificado por el artículo 88 de la Ley 1474 de 2011. El nuevo texto es el siguiente:&gt;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En los contratos de obra pública, el menor plazo ofrecido no será objeto de evaluación. La entidad efectuará las comparaciones del caso mediante el cotejo de los ofrecimientos recibidos y la consulta de precios o condiciones del mercado y los estudios y deducciones de la entidad o de los organismos consultores o asesores designados para ello.</w:t>
      </w:r>
      <w:r w:rsidRPr="00556BC7">
        <w:rPr>
          <w:rStyle w:val="eop"/>
          <w:rFonts w:ascii="Verdana" w:hAnsi="Verdana" w:cs="Arial"/>
          <w:color w:val="000000"/>
          <w:sz w:val="20"/>
          <w:szCs w:val="20"/>
        </w:rPr>
        <w:t> </w:t>
      </w:r>
    </w:p>
    <w:p w14:paraId="77DE2F6F" w14:textId="77777777" w:rsidR="00697D0C" w:rsidRPr="00556BC7" w:rsidRDefault="00697D0C" w:rsidP="00697D0C">
      <w:pPr>
        <w:pStyle w:val="paragraph"/>
        <w:spacing w:before="0" w:beforeAutospacing="0" w:after="0" w:afterAutospacing="0"/>
        <w:ind w:left="709" w:right="709"/>
        <w:jc w:val="both"/>
        <w:textAlignment w:val="baseline"/>
        <w:rPr>
          <w:rFonts w:ascii="Verdana" w:hAnsi="Verdana" w:cs="Segoe UI"/>
          <w:sz w:val="20"/>
          <w:szCs w:val="20"/>
        </w:rPr>
      </w:pPr>
    </w:p>
    <w:p w14:paraId="21CEAE1C" w14:textId="77777777" w:rsidR="00697D0C" w:rsidRPr="00556BC7" w:rsidRDefault="00697D0C" w:rsidP="00697D0C">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En los procesos de selección en los que se tenga en cuenta los factores técnicos y económicos, la oferta más ventajosa será la que resulte de aplicar alguna de las siguientes alternativas:</w:t>
      </w:r>
      <w:r w:rsidRPr="00556BC7">
        <w:rPr>
          <w:rStyle w:val="eop"/>
          <w:rFonts w:ascii="Verdana" w:hAnsi="Verdana" w:cs="Arial"/>
          <w:color w:val="000000"/>
          <w:sz w:val="20"/>
          <w:szCs w:val="20"/>
        </w:rPr>
        <w:t> </w:t>
      </w:r>
    </w:p>
    <w:p w14:paraId="10FA3A85" w14:textId="77777777" w:rsidR="00697D0C" w:rsidRPr="00556BC7" w:rsidRDefault="00697D0C" w:rsidP="00697D0C">
      <w:pPr>
        <w:pStyle w:val="paragraph"/>
        <w:spacing w:before="0" w:beforeAutospacing="0" w:after="0" w:afterAutospacing="0"/>
        <w:ind w:left="709" w:right="709"/>
        <w:jc w:val="both"/>
        <w:textAlignment w:val="baseline"/>
        <w:rPr>
          <w:rFonts w:ascii="Verdana" w:hAnsi="Verdana" w:cs="Segoe UI"/>
          <w:sz w:val="20"/>
          <w:szCs w:val="20"/>
        </w:rPr>
      </w:pPr>
    </w:p>
    <w:p w14:paraId="6AA3CBB1" w14:textId="77777777" w:rsidR="00697D0C" w:rsidRPr="00556BC7" w:rsidRDefault="00697D0C" w:rsidP="00697D0C">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a) La ponderación de los elementos de calidad y precio soportados en puntajes o fórmulas señaladas en el pliego de condiciones; o</w:t>
      </w:r>
    </w:p>
    <w:p w14:paraId="28CA3B2A" w14:textId="77777777" w:rsidR="00697D0C" w:rsidRPr="00556BC7" w:rsidRDefault="00697D0C" w:rsidP="00697D0C">
      <w:pPr>
        <w:pStyle w:val="paragraph"/>
        <w:spacing w:before="0" w:beforeAutospacing="0" w:after="0" w:afterAutospacing="0"/>
        <w:ind w:left="709" w:right="709"/>
        <w:jc w:val="both"/>
        <w:textAlignment w:val="baseline"/>
        <w:rPr>
          <w:rFonts w:ascii="Verdana" w:hAnsi="Verdana" w:cs="Segoe UI"/>
          <w:sz w:val="20"/>
          <w:szCs w:val="20"/>
        </w:rPr>
      </w:pPr>
    </w:p>
    <w:p w14:paraId="714C8961" w14:textId="77777777" w:rsidR="00697D0C" w:rsidRDefault="00697D0C" w:rsidP="00697D0C">
      <w:pPr>
        <w:pStyle w:val="paragraph"/>
        <w:spacing w:before="0" w:beforeAutospacing="0" w:after="0" w:afterAutospacing="0"/>
        <w:ind w:left="709" w:right="709"/>
        <w:jc w:val="both"/>
        <w:textAlignment w:val="baseline"/>
        <w:rPr>
          <w:rStyle w:val="eop"/>
          <w:rFonts w:ascii="Verdana" w:hAnsi="Verdana" w:cs="Arial"/>
          <w:color w:val="000000"/>
          <w:sz w:val="20"/>
          <w:szCs w:val="20"/>
        </w:rPr>
      </w:pPr>
      <w:r w:rsidRPr="00556BC7">
        <w:rPr>
          <w:rStyle w:val="normaltextrun"/>
          <w:rFonts w:ascii="Verdana" w:hAnsi="Verdana" w:cs="Arial"/>
          <w:color w:val="000000"/>
          <w:sz w:val="20"/>
          <w:szCs w:val="20"/>
          <w:lang w:val="es-ES"/>
        </w:rPr>
        <w:t>b) La ponderación de los elementos de calidad y precio que representen la mejor relación de costo-beneficio para la entidad.</w:t>
      </w:r>
      <w:r w:rsidRPr="00556BC7">
        <w:rPr>
          <w:rStyle w:val="eop"/>
          <w:rFonts w:ascii="Verdana" w:hAnsi="Verdana" w:cs="Arial"/>
          <w:color w:val="000000"/>
          <w:sz w:val="20"/>
          <w:szCs w:val="20"/>
        </w:rPr>
        <w:t> </w:t>
      </w:r>
    </w:p>
    <w:p w14:paraId="0BF8AF9D" w14:textId="77777777" w:rsidR="00A83DE9" w:rsidRPr="00556BC7" w:rsidRDefault="00A83DE9" w:rsidP="00697D0C">
      <w:pPr>
        <w:pStyle w:val="paragraph"/>
        <w:spacing w:before="0" w:beforeAutospacing="0" w:after="0" w:afterAutospacing="0"/>
        <w:ind w:left="709" w:right="709"/>
        <w:jc w:val="both"/>
        <w:textAlignment w:val="baseline"/>
        <w:rPr>
          <w:rFonts w:ascii="Verdana" w:hAnsi="Verdana" w:cs="Segoe UI"/>
          <w:sz w:val="20"/>
          <w:szCs w:val="20"/>
        </w:rPr>
      </w:pPr>
    </w:p>
    <w:p w14:paraId="203F4740" w14:textId="77777777" w:rsidR="00697D0C" w:rsidRPr="00556BC7" w:rsidRDefault="00697D0C" w:rsidP="00697D0C">
      <w:pPr>
        <w:pStyle w:val="paragraph"/>
        <w:spacing w:before="0" w:beforeAutospacing="0" w:after="0" w:afterAutospacing="0"/>
        <w:ind w:left="709" w:right="709"/>
        <w:jc w:val="both"/>
        <w:textAlignment w:val="baseline"/>
        <w:rPr>
          <w:rFonts w:ascii="Verdana" w:hAnsi="Verdana" w:cs="Segoe UI"/>
          <w:sz w:val="20"/>
          <w:szCs w:val="20"/>
        </w:rPr>
      </w:pPr>
    </w:p>
    <w:p w14:paraId="369D2337" w14:textId="77777777" w:rsidR="00697D0C" w:rsidRPr="00556BC7" w:rsidRDefault="00697D0C" w:rsidP="00697D0C">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 xml:space="preserve">3. Sin perjuicio de lo previsto en el numeral 1 del presente artículo, en los pliegos de condiciones para las contrataciones cuyo objeto sea la </w:t>
      </w:r>
      <w:r w:rsidRPr="00556BC7">
        <w:rPr>
          <w:rStyle w:val="normaltextrun"/>
          <w:rFonts w:ascii="Verdana" w:hAnsi="Verdana" w:cs="Arial"/>
          <w:color w:val="000000"/>
          <w:sz w:val="20"/>
          <w:szCs w:val="20"/>
          <w:lang w:val="es-ES"/>
        </w:rPr>
        <w:lastRenderedPageBreak/>
        <w:t>adquisición o suministro de bienes y servicios de características técnicas uniformes y común utilización, las entidades estatales incluirán como único factor de evaluación el menor precio ofrecido.</w:t>
      </w:r>
      <w:r w:rsidRPr="00556BC7">
        <w:rPr>
          <w:rStyle w:val="eop"/>
          <w:rFonts w:ascii="Verdana" w:hAnsi="Verdana" w:cs="Arial"/>
          <w:color w:val="000000"/>
          <w:sz w:val="20"/>
          <w:szCs w:val="20"/>
        </w:rPr>
        <w:t> </w:t>
      </w:r>
    </w:p>
    <w:p w14:paraId="455CBAF7" w14:textId="77777777" w:rsidR="00697D0C" w:rsidRPr="00556BC7" w:rsidRDefault="00697D0C" w:rsidP="00697D0C">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117D623C" w14:textId="77777777" w:rsidR="00697D0C" w:rsidRPr="00556BC7" w:rsidRDefault="00697D0C" w:rsidP="00697D0C">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4. En los procesos para la selección de consultores se hará uso de factores de calificación destinados a valorar los aspectos técnicos de la oferta o proyecto. De conformidad con las condiciones que señale el reglamento, se podrán utilizar criterios de experiencia específica del oferente y del equipo de trabajo, en el campo de que se trate.</w:t>
      </w:r>
      <w:r w:rsidRPr="00556BC7">
        <w:rPr>
          <w:rStyle w:val="eop"/>
          <w:rFonts w:ascii="Verdana" w:hAnsi="Verdana" w:cs="Arial"/>
          <w:color w:val="000000"/>
          <w:sz w:val="20"/>
          <w:szCs w:val="20"/>
        </w:rPr>
        <w:t> </w:t>
      </w:r>
    </w:p>
    <w:p w14:paraId="122E5CBC" w14:textId="77777777" w:rsidR="00697D0C" w:rsidRPr="00556BC7" w:rsidRDefault="00697D0C" w:rsidP="00697D0C">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17A84FF9" w14:textId="77777777" w:rsidR="00697D0C" w:rsidRPr="00556BC7" w:rsidRDefault="00697D0C" w:rsidP="00697D0C">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En ningún caso se podrá incluir el precio, como factor de escogencia para la selección de consultores.</w:t>
      </w:r>
      <w:r w:rsidRPr="00556BC7">
        <w:rPr>
          <w:rStyle w:val="eop"/>
          <w:rFonts w:ascii="Verdana" w:hAnsi="Verdana" w:cs="Arial"/>
          <w:color w:val="000000"/>
          <w:sz w:val="20"/>
          <w:szCs w:val="20"/>
        </w:rPr>
        <w:t> </w:t>
      </w:r>
    </w:p>
    <w:p w14:paraId="2F10B55C" w14:textId="77777777" w:rsidR="00697D0C" w:rsidRPr="00556BC7" w:rsidRDefault="00697D0C" w:rsidP="00697D0C">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2F0A6337" w14:textId="77777777" w:rsidR="00697D0C" w:rsidRPr="00556BC7" w:rsidRDefault="00697D0C" w:rsidP="00697D0C">
      <w:pPr>
        <w:pStyle w:val="paragraph"/>
        <w:spacing w:before="0" w:beforeAutospacing="0" w:after="0" w:afterAutospacing="0"/>
        <w:ind w:left="709" w:right="709"/>
        <w:jc w:val="both"/>
        <w:textAlignment w:val="baseline"/>
        <w:rPr>
          <w:rFonts w:ascii="Verdana" w:hAnsi="Verdana" w:cs="Segoe UI"/>
          <w:sz w:val="20"/>
          <w:szCs w:val="20"/>
        </w:rPr>
      </w:pPr>
      <w:r w:rsidRPr="005009EC">
        <w:rPr>
          <w:rStyle w:val="normaltextrun"/>
          <w:rFonts w:ascii="Verdana" w:hAnsi="Verdana" w:cs="Arial"/>
          <w:color w:val="000000"/>
          <w:sz w:val="20"/>
          <w:szCs w:val="20"/>
          <w:u w:val="single"/>
          <w:lang w:val="es-ES"/>
        </w:rPr>
        <w:t xml:space="preserve">PARÁGRAFO 1o. &lt;Parágrafo modificado por el artículo 5 de la Ley 1882 de 2018. El nuevo texto es el siguiente:&gt;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w:t>
      </w:r>
      <w:proofErr w:type="gramStart"/>
      <w:r w:rsidRPr="005009EC">
        <w:rPr>
          <w:rStyle w:val="normaltextrun"/>
          <w:rFonts w:ascii="Verdana" w:hAnsi="Verdana" w:cs="Arial"/>
          <w:color w:val="000000"/>
          <w:sz w:val="20"/>
          <w:szCs w:val="20"/>
          <w:u w:val="single"/>
          <w:lang w:val="es-ES"/>
        </w:rPr>
        <w:t>puntaje,</w:t>
      </w:r>
      <w:proofErr w:type="gramEnd"/>
      <w:r w:rsidRPr="005009EC">
        <w:rPr>
          <w:rStyle w:val="normaltextrun"/>
          <w:rFonts w:ascii="Verdana" w:hAnsi="Verdana" w:cs="Arial"/>
          <w:color w:val="000000"/>
          <w:sz w:val="20"/>
          <w:szCs w:val="20"/>
          <w:u w:val="single"/>
          <w:lang w:val="es-ES"/>
        </w:rPr>
        <w:t xml:space="preserve"> deberán ser solicitados por las entidades estatales y deberán ser entregados por los proponentes hasta el término de traslado del informe de evaluación que corresponda a cada modalidad de selección</w:t>
      </w:r>
      <w:r w:rsidRPr="00556BC7">
        <w:rPr>
          <w:rStyle w:val="normaltextrun"/>
          <w:rFonts w:ascii="Verdana" w:hAnsi="Verdana" w:cs="Arial"/>
          <w:color w:val="000000"/>
          <w:sz w:val="20"/>
          <w:szCs w:val="20"/>
          <w:lang w:val="es-ES"/>
        </w:rPr>
        <w:t xml:space="preserve">, salvo lo dispuesto para el proceso de Mínima cuantía y para el proceso de selección a través del sistema de subasta. </w:t>
      </w:r>
      <w:r w:rsidRPr="005009EC">
        <w:rPr>
          <w:rStyle w:val="normaltextrun"/>
          <w:rFonts w:ascii="Verdana" w:hAnsi="Verdana" w:cs="Arial"/>
          <w:color w:val="000000"/>
          <w:sz w:val="20"/>
          <w:szCs w:val="20"/>
          <w:u w:val="single"/>
          <w:lang w:val="es-ES"/>
        </w:rPr>
        <w:t>Serán rechazadas las ofertas de aquellos proponentes que no suministren la información y la documentación solicitada por la entidad estatal hasta el plazo anteriormente señalado.</w:t>
      </w:r>
      <w:r w:rsidRPr="005009EC">
        <w:rPr>
          <w:rStyle w:val="eop"/>
          <w:rFonts w:ascii="Verdana" w:hAnsi="Verdana" w:cs="Arial"/>
          <w:color w:val="000000"/>
          <w:sz w:val="20"/>
          <w:szCs w:val="20"/>
          <w:u w:val="single"/>
        </w:rPr>
        <w:t> </w:t>
      </w:r>
    </w:p>
    <w:p w14:paraId="3C8CF1D3" w14:textId="77777777" w:rsidR="00697D0C" w:rsidRPr="00556BC7" w:rsidRDefault="00697D0C" w:rsidP="00697D0C">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0625F204" w14:textId="77777777" w:rsidR="00697D0C" w:rsidRPr="00556BC7" w:rsidRDefault="00697D0C" w:rsidP="00697D0C">
      <w:pPr>
        <w:pStyle w:val="paragraph"/>
        <w:spacing w:before="0" w:beforeAutospacing="0" w:after="0" w:afterAutospacing="0"/>
        <w:ind w:left="709" w:right="709"/>
        <w:jc w:val="both"/>
        <w:textAlignment w:val="baseline"/>
        <w:rPr>
          <w:rFonts w:ascii="Verdana" w:hAnsi="Verdana" w:cs="Segoe UI"/>
          <w:sz w:val="20"/>
          <w:szCs w:val="20"/>
        </w:rPr>
      </w:pPr>
      <w:r w:rsidRPr="005009EC">
        <w:rPr>
          <w:rStyle w:val="normaltextrun"/>
          <w:rFonts w:ascii="Verdana" w:hAnsi="Verdana" w:cs="Arial"/>
          <w:color w:val="000000"/>
          <w:sz w:val="20"/>
          <w:szCs w:val="20"/>
          <w:u w:val="single"/>
          <w:lang w:val="es-ES"/>
        </w:rPr>
        <w:t>Durante el término otorgado para subsanar las ofertas, los proponentes no podrán acreditar circunstancias ocurridas con posterioridad al cierre del proceso.</w:t>
      </w:r>
      <w:r w:rsidRPr="00556BC7">
        <w:rPr>
          <w:rStyle w:val="eop"/>
          <w:rFonts w:ascii="Verdana" w:hAnsi="Verdana" w:cs="Arial"/>
          <w:color w:val="000000"/>
          <w:sz w:val="20"/>
          <w:szCs w:val="20"/>
        </w:rPr>
        <w:t> </w:t>
      </w:r>
    </w:p>
    <w:p w14:paraId="78C22611" w14:textId="77777777" w:rsidR="00697D0C" w:rsidRPr="00556BC7" w:rsidRDefault="00697D0C" w:rsidP="00697D0C">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4B3B573B" w14:textId="77777777" w:rsidR="00697D0C" w:rsidRPr="00556BC7" w:rsidRDefault="00697D0C" w:rsidP="00697D0C">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PARÁGRAFO 2o. Las certificaciones de sistemas de gestión de calidad no serán objeto de calificación, ni podrán establecerse como documento habilitante para participar en licitaciones o concursos.</w:t>
      </w:r>
      <w:r w:rsidRPr="00556BC7">
        <w:rPr>
          <w:rStyle w:val="eop"/>
          <w:rFonts w:ascii="Verdana" w:hAnsi="Verdana" w:cs="Arial"/>
          <w:color w:val="000000"/>
          <w:sz w:val="20"/>
          <w:szCs w:val="20"/>
        </w:rPr>
        <w:t> </w:t>
      </w:r>
    </w:p>
    <w:p w14:paraId="3E8E526B" w14:textId="77777777" w:rsidR="00697D0C" w:rsidRPr="00556BC7" w:rsidRDefault="00697D0C" w:rsidP="00697D0C">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74FCA07E" w14:textId="77777777" w:rsidR="00697D0C" w:rsidRDefault="00697D0C" w:rsidP="00697D0C">
      <w:pPr>
        <w:pStyle w:val="paragraph"/>
        <w:spacing w:before="0" w:beforeAutospacing="0" w:after="0" w:afterAutospacing="0"/>
        <w:ind w:left="709" w:right="709"/>
        <w:jc w:val="both"/>
        <w:textAlignment w:val="baseline"/>
        <w:rPr>
          <w:rStyle w:val="eop"/>
          <w:rFonts w:ascii="Verdana" w:hAnsi="Verdana" w:cs="Arial"/>
          <w:color w:val="000000"/>
          <w:sz w:val="20"/>
          <w:szCs w:val="20"/>
          <w:u w:val="single"/>
        </w:rPr>
      </w:pPr>
      <w:r w:rsidRPr="005009EC">
        <w:rPr>
          <w:rStyle w:val="normaltextrun"/>
          <w:rFonts w:ascii="Verdana" w:hAnsi="Verdana" w:cs="Arial"/>
          <w:color w:val="000000"/>
          <w:sz w:val="20"/>
          <w:szCs w:val="20"/>
          <w:u w:val="single"/>
          <w:lang w:val="es-ES"/>
        </w:rPr>
        <w:t xml:space="preserve">PARÁGRAFO 3o. &lt;Parágrafo adicionado por el artículo 5 de la Ley 1882 de 2018. El nuevo texto es el siguiente:&gt; La no entrega de la garantía de seriedad junto con la propuesta no será subsanable y será causal de rechazo de </w:t>
      </w:r>
      <w:proofErr w:type="gramStart"/>
      <w:r w:rsidRPr="005009EC">
        <w:rPr>
          <w:rStyle w:val="normaltextrun"/>
          <w:rFonts w:ascii="Verdana" w:hAnsi="Verdana" w:cs="Arial"/>
          <w:color w:val="000000"/>
          <w:sz w:val="20"/>
          <w:szCs w:val="20"/>
          <w:u w:val="single"/>
          <w:lang w:val="es-ES"/>
        </w:rPr>
        <w:t>la misma</w:t>
      </w:r>
      <w:proofErr w:type="gramEnd"/>
      <w:r w:rsidRPr="005009EC">
        <w:rPr>
          <w:rStyle w:val="normaltextrun"/>
          <w:rFonts w:ascii="Verdana" w:hAnsi="Verdana" w:cs="Arial"/>
          <w:color w:val="000000"/>
          <w:sz w:val="20"/>
          <w:szCs w:val="20"/>
          <w:u w:val="single"/>
          <w:lang w:val="es-ES"/>
        </w:rPr>
        <w:t>.</w:t>
      </w:r>
      <w:r w:rsidRPr="005009EC">
        <w:rPr>
          <w:rStyle w:val="eop"/>
          <w:rFonts w:ascii="Verdana" w:hAnsi="Verdana" w:cs="Arial"/>
          <w:color w:val="000000"/>
          <w:sz w:val="20"/>
          <w:szCs w:val="20"/>
          <w:u w:val="single"/>
        </w:rPr>
        <w:t> </w:t>
      </w:r>
    </w:p>
    <w:p w14:paraId="681AAF1B" w14:textId="77777777" w:rsidR="00A83DE9" w:rsidRPr="005009EC" w:rsidRDefault="00A83DE9" w:rsidP="00697D0C">
      <w:pPr>
        <w:pStyle w:val="paragraph"/>
        <w:spacing w:before="0" w:beforeAutospacing="0" w:after="0" w:afterAutospacing="0"/>
        <w:ind w:left="709" w:right="709"/>
        <w:jc w:val="both"/>
        <w:textAlignment w:val="baseline"/>
        <w:rPr>
          <w:rFonts w:ascii="Verdana" w:hAnsi="Verdana" w:cs="Segoe UI"/>
          <w:sz w:val="20"/>
          <w:szCs w:val="20"/>
          <w:u w:val="single"/>
        </w:rPr>
      </w:pPr>
    </w:p>
    <w:p w14:paraId="1AA608DF" w14:textId="77777777" w:rsidR="00697D0C" w:rsidRPr="00556BC7" w:rsidRDefault="00697D0C" w:rsidP="00697D0C">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6EAF19AB" w14:textId="77777777" w:rsidR="00697D0C" w:rsidRPr="00556BC7" w:rsidRDefault="00697D0C" w:rsidP="00697D0C">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 xml:space="preserve">PARÁGRAFO 4o. &lt;Parágrafo adicionado por el artículo 5 de la Ley 1882 de 2018. El nuevo texto es el siguiente:&gt; En aquellos procesos de selección en los que se utilice el mecanismo de subasta, los documentos referentes a la futura contratación o al proponente, no necesarios para la </w:t>
      </w:r>
      <w:r w:rsidRPr="00556BC7">
        <w:rPr>
          <w:rStyle w:val="normaltextrun"/>
          <w:rFonts w:ascii="Verdana" w:hAnsi="Verdana" w:cs="Arial"/>
          <w:color w:val="000000"/>
          <w:sz w:val="20"/>
          <w:szCs w:val="20"/>
          <w:lang w:val="es-ES"/>
        </w:rPr>
        <w:lastRenderedPageBreak/>
        <w:t>comparación de las propuestas, deberán ser solicitados hasta el momento previo a su realización.</w:t>
      </w:r>
      <w:r w:rsidRPr="00556BC7">
        <w:rPr>
          <w:rStyle w:val="eop"/>
          <w:rFonts w:ascii="Verdana" w:hAnsi="Verdana" w:cs="Arial"/>
          <w:color w:val="000000"/>
          <w:sz w:val="20"/>
          <w:szCs w:val="20"/>
        </w:rPr>
        <w:t> </w:t>
      </w:r>
    </w:p>
    <w:p w14:paraId="4E7899F9" w14:textId="77777777" w:rsidR="00697D0C" w:rsidRPr="00556BC7" w:rsidRDefault="00697D0C" w:rsidP="00697D0C">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eop"/>
          <w:rFonts w:ascii="Verdana" w:hAnsi="Verdana" w:cs="Arial"/>
          <w:color w:val="000000"/>
          <w:sz w:val="20"/>
          <w:szCs w:val="20"/>
        </w:rPr>
        <w:t> </w:t>
      </w:r>
    </w:p>
    <w:p w14:paraId="03B7D22F" w14:textId="77777777" w:rsidR="00697D0C" w:rsidRPr="00556BC7" w:rsidRDefault="00697D0C" w:rsidP="00697D0C">
      <w:pPr>
        <w:pStyle w:val="paragraph"/>
        <w:spacing w:before="0" w:beforeAutospacing="0" w:after="0" w:afterAutospacing="0"/>
        <w:ind w:left="709" w:right="709"/>
        <w:jc w:val="both"/>
        <w:textAlignment w:val="baseline"/>
        <w:rPr>
          <w:rFonts w:ascii="Verdana" w:hAnsi="Verdana" w:cs="Segoe UI"/>
          <w:sz w:val="20"/>
          <w:szCs w:val="20"/>
        </w:rPr>
      </w:pPr>
      <w:r w:rsidRPr="00556BC7">
        <w:rPr>
          <w:rStyle w:val="normaltextrun"/>
          <w:rFonts w:ascii="Verdana" w:hAnsi="Verdana" w:cs="Arial"/>
          <w:color w:val="000000"/>
          <w:sz w:val="20"/>
          <w:szCs w:val="20"/>
          <w:lang w:val="es-ES"/>
        </w:rPr>
        <w:t>PARÁGRAFO 5o. &lt;Parágrafo adicionado por el artículo 5 de la Ley 1882 de 2018. El nuevo texto es el siguiente:&gt; En los procesos de contratación, las entidades estatales deberán aceptar la experiencia adquirida por los proponentes a través de la ejecución de contratos con particulares</w:t>
      </w:r>
      <w:r>
        <w:rPr>
          <w:rStyle w:val="normaltextrun"/>
          <w:rFonts w:ascii="Verdana" w:hAnsi="Verdana" w:cs="Arial"/>
          <w:color w:val="000000"/>
          <w:sz w:val="20"/>
          <w:szCs w:val="20"/>
          <w:lang w:val="es-ES"/>
        </w:rPr>
        <w:t>”. [Subrayado por fuera de texto original]</w:t>
      </w:r>
    </w:p>
    <w:p w14:paraId="3E06F7B1" w14:textId="77777777" w:rsidR="00697D0C" w:rsidRPr="00556BC7" w:rsidRDefault="00697D0C" w:rsidP="00697D0C">
      <w:pPr>
        <w:spacing w:after="0" w:line="276" w:lineRule="auto"/>
        <w:ind w:left="709" w:right="709"/>
        <w:jc w:val="both"/>
        <w:rPr>
          <w:rFonts w:ascii="Verdana" w:eastAsia="Times New Roman" w:hAnsi="Verdana" w:cs="Arial"/>
          <w:lang w:eastAsia="es-CO"/>
        </w:rPr>
      </w:pPr>
    </w:p>
    <w:p w14:paraId="2C5917FF" w14:textId="77777777" w:rsidR="00697D0C" w:rsidRPr="00D16A5E" w:rsidRDefault="00697D0C" w:rsidP="00697D0C">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 xml:space="preserve">Como puede observarse, la Ley 1882 de 2018: i) mantiene el criterio de la Ley 80 de 1993, relativo a que todo lo que no sea necesario para la comparación de propuestas no es título suficiente para su rechazo; </w:t>
      </w:r>
      <w:proofErr w:type="spellStart"/>
      <w:r w:rsidRPr="00D16A5E">
        <w:rPr>
          <w:rFonts w:ascii="Verdana" w:eastAsia="Times New Roman" w:hAnsi="Verdana" w:cs="Arial"/>
          <w:lang w:val="es-ES" w:eastAsia="es-ES"/>
        </w:rPr>
        <w:t>ii</w:t>
      </w:r>
      <w:proofErr w:type="spellEnd"/>
      <w:r w:rsidRPr="00D16A5E">
        <w:rPr>
          <w:rFonts w:ascii="Verdana" w:eastAsia="Times New Roman" w:hAnsi="Verdana" w:cs="Arial"/>
          <w:lang w:val="es-ES" w:eastAsia="es-ES"/>
        </w:rPr>
        <w:t xml:space="preserve">) mantiene el criterio aclaratorio de la Ley 1150 de 2007, según el cual todo lo que no afecte la asignación de puntaje puede subsanarse; </w:t>
      </w:r>
      <w:r>
        <w:rPr>
          <w:rFonts w:ascii="Verdana" w:eastAsia="Times New Roman" w:hAnsi="Verdana" w:cs="Arial"/>
          <w:lang w:val="es-ES" w:eastAsia="es-ES"/>
        </w:rPr>
        <w:t>e</w:t>
      </w:r>
      <w:r w:rsidRPr="00D16A5E">
        <w:rPr>
          <w:rFonts w:ascii="Verdana" w:eastAsia="Times New Roman" w:hAnsi="Verdana" w:cs="Arial"/>
          <w:lang w:val="es-ES" w:eastAsia="es-ES"/>
        </w:rPr>
        <w:t xml:space="preserve">, </w:t>
      </w:r>
      <w:proofErr w:type="spellStart"/>
      <w:r w:rsidRPr="00D16A5E">
        <w:rPr>
          <w:rFonts w:ascii="Verdana" w:eastAsia="Times New Roman" w:hAnsi="Verdana" w:cs="Arial"/>
          <w:lang w:val="es-ES" w:eastAsia="es-ES"/>
        </w:rPr>
        <w:t>iii</w:t>
      </w:r>
      <w:proofErr w:type="spellEnd"/>
      <w:r w:rsidRPr="00D16A5E">
        <w:rPr>
          <w:rFonts w:ascii="Verdana" w:eastAsia="Times New Roman" w:hAnsi="Verdana" w:cs="Arial"/>
          <w:lang w:val="es-ES" w:eastAsia="es-ES"/>
        </w:rPr>
        <w:t xml:space="preserve">) introduce modificaciones en relación con algunos aspectos que se analizarán a continuación. </w:t>
      </w:r>
    </w:p>
    <w:p w14:paraId="70FA4B2E" w14:textId="77777777" w:rsidR="00697D0C" w:rsidRPr="000A06FE" w:rsidRDefault="00697D0C" w:rsidP="00697D0C">
      <w:pPr>
        <w:spacing w:after="120" w:line="276" w:lineRule="auto"/>
        <w:ind w:right="51" w:firstLine="709"/>
        <w:jc w:val="both"/>
        <w:rPr>
          <w:rFonts w:ascii="Verdana" w:eastAsia="Times New Roman" w:hAnsi="Verdana" w:cs="Arial"/>
          <w:lang w:val="es-ES" w:eastAsia="es-ES"/>
        </w:rPr>
      </w:pPr>
      <w:r w:rsidRPr="0F126BB0">
        <w:rPr>
          <w:rFonts w:ascii="Verdana" w:eastAsia="Times New Roman" w:hAnsi="Verdana" w:cs="Arial"/>
          <w:i/>
          <w:iCs/>
          <w:lang w:val="es-ES" w:eastAsia="es-ES"/>
        </w:rPr>
        <w:t xml:space="preserve">La primera modificación </w:t>
      </w:r>
      <w:r w:rsidRPr="37C57DE6">
        <w:rPr>
          <w:rFonts w:ascii="Verdana" w:eastAsia="Times New Roman" w:hAnsi="Verdana" w:cs="Arial"/>
          <w:lang w:val="es-ES" w:eastAsia="es-ES"/>
        </w:rPr>
        <w:t>está relacionada con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w:t>
      </w:r>
      <w:r w:rsidRPr="589BE328">
        <w:rPr>
          <w:rFonts w:ascii="Verdana" w:eastAsia="Times New Roman" w:hAnsi="Verdana" w:cs="Arial"/>
          <w:vertAlign w:val="superscript"/>
          <w:lang w:val="es-ES" w:eastAsia="es-ES"/>
        </w:rPr>
        <w:footnoteReference w:id="1"/>
      </w:r>
      <w:r>
        <w:rPr>
          <w:rFonts w:ascii="Verdana" w:eastAsia="Times New Roman" w:hAnsi="Verdana" w:cs="Arial"/>
          <w:lang w:val="es-ES" w:eastAsia="es-ES"/>
        </w:rPr>
        <w:t xml:space="preserve"> </w:t>
      </w:r>
      <w:r w:rsidRPr="000A06FE">
        <w:rPr>
          <w:rFonts w:ascii="Verdana" w:eastAsia="Times New Roman" w:hAnsi="Verdana" w:cs="Arial"/>
          <w:lang w:val="es-ES" w:eastAsia="es-ES"/>
        </w:rPr>
        <w:t>La excepción es que el límite anterior no aplica para los procesos de mínima cuantía y para el proceso de selección a través del sistema de subasta</w:t>
      </w:r>
      <w:r w:rsidRPr="000A06FE">
        <w:rPr>
          <w:rFonts w:ascii="Verdana" w:eastAsia="Times New Roman" w:hAnsi="Verdana" w:cs="Arial"/>
          <w:vertAlign w:val="superscript"/>
          <w:lang w:val="es-ES" w:eastAsia="es-ES"/>
        </w:rPr>
        <w:footnoteReference w:id="2"/>
      </w:r>
      <w:r w:rsidRPr="000A06FE">
        <w:rPr>
          <w:rFonts w:ascii="Verdana" w:eastAsia="Times New Roman" w:hAnsi="Verdana" w:cs="Arial"/>
          <w:lang w:val="es-ES" w:eastAsia="es-ES"/>
        </w:rPr>
        <w:t xml:space="preserve">, este último al cual hace referencia en su consulta, y en el que los documentos o requisitos subsanables pueden y deben solicitarse por parte de las entidades estatales, como límite, hasta el momento previo a la celebración de la audiencia, en los términos que se explicarán adelante. </w:t>
      </w:r>
    </w:p>
    <w:p w14:paraId="4D2310BB" w14:textId="77777777" w:rsidR="00697D0C" w:rsidRPr="00D16A5E" w:rsidRDefault="00697D0C" w:rsidP="00697D0C">
      <w:pPr>
        <w:spacing w:after="120" w:line="276" w:lineRule="auto"/>
        <w:ind w:right="51" w:firstLine="709"/>
        <w:jc w:val="both"/>
        <w:rPr>
          <w:rFonts w:ascii="Verdana" w:eastAsia="Times New Roman" w:hAnsi="Verdana" w:cs="Arial"/>
          <w:lang w:val="es-ES" w:eastAsia="es-ES"/>
        </w:rPr>
      </w:pPr>
      <w:r w:rsidRPr="3F2B4452">
        <w:rPr>
          <w:rFonts w:ascii="Verdana" w:eastAsia="Times New Roman" w:hAnsi="Verdana" w:cs="Arial"/>
          <w:lang w:val="es-ES" w:eastAsia="es-ES"/>
        </w:rPr>
        <w:t xml:space="preserve">El </w:t>
      </w:r>
      <w:r w:rsidRPr="3F2B4452">
        <w:rPr>
          <w:rFonts w:ascii="Verdana" w:eastAsia="Times New Roman" w:hAnsi="Verdana" w:cs="Arial"/>
          <w:i/>
          <w:iCs/>
          <w:lang w:val="es-ES" w:eastAsia="es-ES"/>
        </w:rPr>
        <w:t>segundo cambio</w:t>
      </w:r>
      <w:r w:rsidRPr="3F2B4452">
        <w:rPr>
          <w:rFonts w:ascii="Verdana" w:eastAsia="Times New Roman" w:hAnsi="Verdana" w:cs="Arial"/>
          <w:lang w:val="es-ES" w:eastAsia="es-ES"/>
        </w:rPr>
        <w:t xml:space="preserve"> importante de la Ley 1882 de 2018 fue la introducción de un criterio material, directamente relacionado con los aspectos subsanables: </w:t>
      </w:r>
      <w:r w:rsidRPr="3F2B4452">
        <w:rPr>
          <w:rFonts w:ascii="Verdana" w:eastAsia="Times New Roman" w:hAnsi="Verdana" w:cs="Arial"/>
          <w:i/>
          <w:iCs/>
          <w:lang w:val="es-ES" w:eastAsia="es-ES"/>
        </w:rPr>
        <w:t>“los proponentes no podrán acreditar circunstancias ocurridas con posterioridad al cierre del proceso”.</w:t>
      </w:r>
      <w:r w:rsidRPr="3F2B4452">
        <w:rPr>
          <w:rFonts w:ascii="Verdana" w:eastAsia="Times New Roman" w:hAnsi="Verdana" w:cs="Arial"/>
          <w:lang w:val="es-ES" w:eastAsia="es-ES"/>
        </w:rPr>
        <w:t xml:space="preserve"> Lo anterior ofrece dos aspectos que merecen clarificación; primero, qué debe entenderse por circunstancias ocurridas con posterioridad; y segundo, qué es el cierre del proceso. </w:t>
      </w:r>
    </w:p>
    <w:p w14:paraId="5545BADC" w14:textId="77777777" w:rsidR="00697D0C" w:rsidRDefault="00697D0C" w:rsidP="00145CBA">
      <w:pPr>
        <w:spacing w:after="120" w:line="360"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lastRenderedPageBreak/>
        <w:t>La Sala de Consulta y Servicio Civil del Consejo de Estado ya había tenido la oportunidad de precisar estas expresiones, a propósito de un concepto en el que se refirió al artículo 10 del derogado Decreto 2474 de 2008, que había determinado que en ningún caso la entidad podía permitir que se acreditaran circunstancias ocurridas con posterioridad al cierre del proceso. E</w:t>
      </w:r>
      <w:r>
        <w:rPr>
          <w:rFonts w:ascii="Verdana" w:eastAsia="Times New Roman" w:hAnsi="Verdana" w:cs="Arial"/>
          <w:lang w:val="es-ES" w:eastAsia="es-ES"/>
        </w:rPr>
        <w:t>n esa ocasión, e</w:t>
      </w:r>
      <w:r w:rsidRPr="00D16A5E">
        <w:rPr>
          <w:rFonts w:ascii="Verdana" w:eastAsia="Times New Roman" w:hAnsi="Verdana" w:cs="Arial"/>
          <w:lang w:val="es-ES" w:eastAsia="es-ES"/>
        </w:rPr>
        <w:t>l Consejo de Estado precisó que</w:t>
      </w:r>
      <w:r>
        <w:rPr>
          <w:rFonts w:ascii="Verdana" w:eastAsia="Times New Roman" w:hAnsi="Verdana" w:cs="Arial"/>
          <w:lang w:val="es-ES" w:eastAsia="es-ES"/>
        </w:rPr>
        <w:t>,</w:t>
      </w:r>
      <w:r w:rsidRPr="00D16A5E">
        <w:rPr>
          <w:rFonts w:ascii="Verdana" w:eastAsia="Times New Roman" w:hAnsi="Verdana" w:cs="Arial"/>
          <w:lang w:val="es-ES" w:eastAsia="es-ES"/>
        </w:rPr>
        <w:t xml:space="preserve"> por cierre del proceso debe entenderse el vencimiento del plazo para la presentación de las ofertas y que lo subsanable son las circunstancias que ocurrieron con anterioridad a esa fecha</w:t>
      </w:r>
      <w:r w:rsidRPr="00D16A5E">
        <w:rPr>
          <w:rFonts w:ascii="Verdana" w:eastAsia="Times New Roman" w:hAnsi="Verdana" w:cs="Arial"/>
          <w:vertAlign w:val="superscript"/>
          <w:lang w:val="es-ES" w:eastAsia="es-ES"/>
        </w:rPr>
        <w:footnoteReference w:id="3"/>
      </w:r>
      <w:r w:rsidRPr="00D16A5E">
        <w:rPr>
          <w:rFonts w:ascii="Verdana" w:eastAsia="Times New Roman" w:hAnsi="Verdana" w:cs="Arial"/>
          <w:lang w:val="es-ES" w:eastAsia="es-ES"/>
        </w:rPr>
        <w:t>.</w:t>
      </w:r>
    </w:p>
    <w:p w14:paraId="6F1E7D75" w14:textId="77777777" w:rsidR="00697D0C" w:rsidRDefault="00697D0C" w:rsidP="00145CBA">
      <w:pPr>
        <w:spacing w:after="120" w:line="360" w:lineRule="auto"/>
        <w:ind w:firstLine="709"/>
        <w:jc w:val="both"/>
        <w:rPr>
          <w:rFonts w:ascii="Verdana" w:eastAsia="Times New Roman" w:hAnsi="Verdana" w:cs="Arial"/>
          <w:lang w:val="es-ES" w:eastAsia="es-ES"/>
        </w:rPr>
      </w:pPr>
      <w:r w:rsidRPr="37C57DE6">
        <w:rPr>
          <w:rFonts w:ascii="Verdana" w:eastAsia="Times New Roman" w:hAnsi="Verdana" w:cs="Arial"/>
          <w:lang w:val="es-ES" w:eastAsia="es-ES"/>
        </w:rPr>
        <w:t xml:space="preserve">De conformidad con el artículo 5 de la Ley 1882 de 2018, lo subsanable es la prueba de todas las circunstancias ocurridas antes del vencimiento del término para presentar las ofertas, ello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7FBFF526" w14:textId="77777777" w:rsidR="00697D0C" w:rsidRPr="00D16A5E" w:rsidRDefault="00697D0C" w:rsidP="00145CBA">
      <w:pPr>
        <w:spacing w:after="120" w:line="240"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 xml:space="preserve">La expresión </w:t>
      </w:r>
      <w:r w:rsidRPr="0F126BB0">
        <w:rPr>
          <w:rFonts w:ascii="Verdana" w:eastAsia="Times New Roman" w:hAnsi="Verdana" w:cs="Arial"/>
          <w:i/>
          <w:iCs/>
          <w:lang w:val="es-ES" w:eastAsia="es-ES"/>
        </w:rPr>
        <w:t>“circunstancias ocurridas con posterioridad al cierre del proceso”</w:t>
      </w:r>
      <w:r w:rsidRPr="00D16A5E">
        <w:rPr>
          <w:rFonts w:ascii="Verdana" w:eastAsia="Times New Roman" w:hAnsi="Verdana" w:cs="Arial"/>
          <w:lang w:val="es-ES" w:eastAsia="es-ES"/>
        </w:rPr>
        <w:t xml:space="preserve"> implica distinguir entre la prueba de un hecho y el hecho mismo. En el caso de la </w:t>
      </w:r>
      <w:proofErr w:type="spellStart"/>
      <w:r w:rsidRPr="00D16A5E">
        <w:rPr>
          <w:rFonts w:ascii="Verdana" w:eastAsia="Times New Roman" w:hAnsi="Verdana" w:cs="Arial"/>
          <w:lang w:val="es-ES" w:eastAsia="es-ES"/>
        </w:rPr>
        <w:t>subsanabilidad</w:t>
      </w:r>
      <w:proofErr w:type="spellEnd"/>
      <w:r w:rsidRPr="00D16A5E">
        <w:rPr>
          <w:rFonts w:ascii="Verdana" w:eastAsia="Times New Roman" w:hAnsi="Verdana" w:cs="Arial"/>
          <w:lang w:val="es-ES" w:eastAsia="es-ES"/>
        </w:rPr>
        <w:t xml:space="preserve"> de las ofertas, una cosa es el requisito habilitante o el elemento de la propuesta y otra su prueba. Lo que prohíbe la norma es que se subsanen requisitos que no estaban materialmente cumplidos al momento de </w:t>
      </w:r>
      <w:r w:rsidRPr="00D16A5E">
        <w:rPr>
          <w:rFonts w:ascii="Verdana" w:eastAsia="Times New Roman" w:hAnsi="Verdana" w:cs="Arial"/>
          <w:lang w:val="es-ES" w:eastAsia="es-ES"/>
        </w:rPr>
        <w:lastRenderedPageBreak/>
        <w:t>presentación de la oferta, o en palabras de la ley, que se acrediten hechos que ocurrieron después del cierre del proceso</w:t>
      </w:r>
      <w:r w:rsidRPr="00D16A5E">
        <w:rPr>
          <w:rFonts w:ascii="Verdana" w:eastAsia="Times New Roman" w:hAnsi="Verdana" w:cs="Arial"/>
          <w:vertAlign w:val="superscript"/>
          <w:lang w:val="es-ES" w:eastAsia="es-ES"/>
        </w:rPr>
        <w:footnoteReference w:id="4"/>
      </w:r>
      <w:r w:rsidRPr="00D16A5E">
        <w:rPr>
          <w:rFonts w:ascii="Verdana" w:eastAsia="Times New Roman" w:hAnsi="Verdana" w:cs="Arial"/>
          <w:lang w:val="es-ES" w:eastAsia="es-ES"/>
        </w:rPr>
        <w:t xml:space="preserve">. </w:t>
      </w:r>
    </w:p>
    <w:p w14:paraId="022CB88E" w14:textId="77777777" w:rsidR="00697D0C" w:rsidRDefault="00697D0C" w:rsidP="00145CBA">
      <w:pPr>
        <w:spacing w:after="120" w:line="240"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Lo anterior quiere decir que no es la prueba –usualmente un documento– lo que debe ser anterior al cierre del proceso, sino el hecho que ella acredita</w:t>
      </w:r>
      <w:r w:rsidRPr="3F2B4452">
        <w:rPr>
          <w:rFonts w:ascii="Verdana" w:eastAsia="Times New Roman" w:hAnsi="Verdana" w:cs="Arial"/>
          <w:lang w:val="es-ES" w:eastAsia="es-ES"/>
        </w:rPr>
        <w:t xml:space="preserve">. Es decir, ante la solicitud de la Administración de subsanar determinado requisito, el documento podría estar fechado con posterioridad al vencimiento del término para recibir propuestas, siempre y cuando el hecho que acredite haya ocurrido antes, esto es, que no sea una circunstancia ocurrida con posterioridad al cierre del proceso. Es por esto </w:t>
      </w:r>
      <w:proofErr w:type="gramStart"/>
      <w:r w:rsidRPr="3F2B4452">
        <w:rPr>
          <w:rFonts w:ascii="Verdana" w:eastAsia="Times New Roman" w:hAnsi="Verdana" w:cs="Arial"/>
          <w:lang w:val="es-ES" w:eastAsia="es-ES"/>
        </w:rPr>
        <w:t>que</w:t>
      </w:r>
      <w:proofErr w:type="gramEnd"/>
      <w:r w:rsidRPr="3F2B4452">
        <w:rPr>
          <w:rFonts w:ascii="Verdana" w:eastAsia="Times New Roman" w:hAnsi="Verdana" w:cs="Arial"/>
          <w:lang w:val="es-ES" w:eastAsia="es-ES"/>
        </w:rPr>
        <w:t xml:space="preserve"> el Consejo de Estado sostiene que” lo que se subsana es la prueba y no la condición habilitante o un elemento de la propuesta [...] lo que se puede remediar es la prueba y no el requisito: La posibilidad debe recaer exclusivamente sobre circunstancias acaecidas antes del cierre del respectivo proceso, esto es, del vencimiento del plazo para presentar ofertas”</w:t>
      </w:r>
      <w:r w:rsidRPr="3F2B4452">
        <w:rPr>
          <w:rFonts w:ascii="Verdana" w:eastAsia="Times New Roman" w:hAnsi="Verdana" w:cs="Arial"/>
          <w:vertAlign w:val="superscript"/>
          <w:lang w:val="es-ES" w:eastAsia="es-ES"/>
        </w:rPr>
        <w:footnoteReference w:id="5"/>
      </w:r>
      <w:r w:rsidRPr="3F2B4452">
        <w:rPr>
          <w:rFonts w:ascii="Verdana" w:eastAsia="Times New Roman" w:hAnsi="Verdana" w:cs="Arial"/>
          <w:lang w:val="es-ES" w:eastAsia="es-ES"/>
        </w:rPr>
        <w:t>.</w:t>
      </w:r>
    </w:p>
    <w:p w14:paraId="08B0DBE8" w14:textId="77777777" w:rsidR="00697D0C" w:rsidRPr="00D33FDC" w:rsidRDefault="00697D0C" w:rsidP="008751B2">
      <w:pPr>
        <w:spacing w:after="120" w:line="276" w:lineRule="auto"/>
        <w:ind w:firstLine="709"/>
        <w:jc w:val="both"/>
        <w:rPr>
          <w:rFonts w:ascii="Verdana" w:eastAsia="Times New Roman" w:hAnsi="Verdana" w:cs="Arial"/>
          <w:lang w:val="es-ES" w:eastAsia="es-ES"/>
        </w:rPr>
      </w:pPr>
      <w:r w:rsidRPr="00D33FDC">
        <w:rPr>
          <w:rFonts w:ascii="Verdana" w:eastAsia="Times New Roman" w:hAnsi="Verdana" w:cs="Arial"/>
          <w:lang w:val="es-ES" w:eastAsia="es-ES"/>
        </w:rPr>
        <w:t xml:space="preserve">Visto lo anterior, una vez verificada la ausencia de requisitos y/o documentos de la oferta, para efectos de saber si se pueden subsanar, la Administración se debe preguntar, en primer lugar, si lo que hace falta es un documento que afecte la asignación de puntaje o no y, en segundo lugar, si el cumplimiento del requisito constituye una circunstancia ocurrida con anterioridad o con posterioridad al cierre del proceso. Para arribar a la conclusión de que lo omitido puede subsanarse, la respuesta al primer interrogante debe ser negativa, es decir, que lo omitido no sea un factor que afecte la asignación de puntaje y la respuesta al segundo interrogante debe dar cuenta de que lo omitido sea la prueba de una circunstancia o hecho que ocurrió con anterioridad al cierre del proceso. </w:t>
      </w:r>
    </w:p>
    <w:p w14:paraId="03F10F3B" w14:textId="77777777" w:rsidR="00697D0C" w:rsidRPr="00C3773D" w:rsidRDefault="00697D0C" w:rsidP="008751B2">
      <w:pPr>
        <w:spacing w:after="120" w:line="276" w:lineRule="auto"/>
        <w:ind w:firstLine="709"/>
        <w:jc w:val="both"/>
        <w:rPr>
          <w:rFonts w:ascii="Verdana" w:eastAsia="Times New Roman" w:hAnsi="Verdana" w:cs="Arial"/>
          <w:lang w:val="es-ES" w:eastAsia="es-ES"/>
        </w:rPr>
      </w:pPr>
      <w:r>
        <w:rPr>
          <w:rFonts w:ascii="Verdana" w:eastAsia="Times New Roman" w:hAnsi="Verdana" w:cs="Arial"/>
          <w:lang w:val="es-ES" w:eastAsia="es-ES"/>
        </w:rPr>
        <w:t xml:space="preserve">Ahora bien, en su consulta señala que el proceso de selección corresponde a una subasta inversa, </w:t>
      </w:r>
      <w:r w:rsidRPr="00C3773D">
        <w:rPr>
          <w:rFonts w:ascii="Verdana" w:eastAsia="Times New Roman" w:hAnsi="Verdana" w:cs="Arial"/>
          <w:lang w:val="es-ES" w:eastAsia="es-ES"/>
        </w:rPr>
        <w:t>e</w:t>
      </w:r>
      <w:r>
        <w:rPr>
          <w:rFonts w:ascii="Verdana" w:eastAsia="Times New Roman" w:hAnsi="Verdana" w:cs="Arial"/>
          <w:lang w:val="es-ES" w:eastAsia="es-ES"/>
        </w:rPr>
        <w:t>ste es</w:t>
      </w:r>
      <w:r w:rsidRPr="00C3773D">
        <w:rPr>
          <w:rFonts w:ascii="Verdana" w:eastAsia="Times New Roman" w:hAnsi="Verdana" w:cs="Arial"/>
          <w:lang w:val="es-ES" w:eastAsia="es-ES"/>
        </w:rPr>
        <w:t xml:space="preserve"> un mecanismo que se concibió con la finalidad de introducir una metodología alternativa para el proceso de negociación y </w:t>
      </w:r>
      <w:r w:rsidRPr="00C3773D">
        <w:rPr>
          <w:rFonts w:ascii="Verdana" w:eastAsia="Times New Roman" w:hAnsi="Verdana" w:cs="Arial"/>
          <w:lang w:val="es-ES" w:eastAsia="es-ES"/>
        </w:rPr>
        <w:lastRenderedPageBreak/>
        <w:t xml:space="preserve">perfeccionamiento del contrato estatal. Su regulación se encuentra en el artículo 2 de la Ley 1150 de 2007, en donde se indica que la figura tiene como finalidad confrontar, de manera dinámica, las distintas ofertas que pueden presentarse para los procesos de licitación pública, para los procesos de selección abreviada que tienen por finalidad la adquisición de bienes y servicios de características técnicas uniformes y de común utilización, y en los procesos de enajenación de bienes del Estado.  </w:t>
      </w:r>
    </w:p>
    <w:p w14:paraId="51E1FA87" w14:textId="77777777" w:rsidR="00697D0C" w:rsidRPr="00C3773D" w:rsidRDefault="00697D0C" w:rsidP="00697D0C">
      <w:pPr>
        <w:spacing w:after="120" w:line="276" w:lineRule="auto"/>
        <w:ind w:firstLine="709"/>
        <w:jc w:val="both"/>
        <w:rPr>
          <w:rFonts w:ascii="Verdana" w:eastAsia="Times New Roman" w:hAnsi="Verdana" w:cs="Arial"/>
          <w:lang w:val="es-ES" w:eastAsia="es-ES"/>
        </w:rPr>
      </w:pPr>
      <w:r>
        <w:rPr>
          <w:rFonts w:ascii="Verdana" w:eastAsia="Times New Roman" w:hAnsi="Verdana" w:cs="Arial"/>
          <w:lang w:val="es-ES" w:eastAsia="es-ES"/>
        </w:rPr>
        <w:t>Tal y como</w:t>
      </w:r>
      <w:r w:rsidRPr="00C3773D">
        <w:rPr>
          <w:rFonts w:ascii="Verdana" w:eastAsia="Times New Roman" w:hAnsi="Verdana" w:cs="Arial"/>
          <w:lang w:val="es-ES" w:eastAsia="es-ES"/>
        </w:rPr>
        <w:t xml:space="preserve"> se indicó en </w:t>
      </w:r>
      <w:r>
        <w:rPr>
          <w:rFonts w:ascii="Verdana" w:eastAsia="Times New Roman" w:hAnsi="Verdana" w:cs="Arial"/>
          <w:lang w:val="es-ES" w:eastAsia="es-ES"/>
        </w:rPr>
        <w:t>los párrafos precedentes</w:t>
      </w:r>
      <w:r w:rsidRPr="00C3773D">
        <w:rPr>
          <w:rFonts w:ascii="Verdana" w:eastAsia="Times New Roman" w:hAnsi="Verdana" w:cs="Arial"/>
          <w:lang w:val="es-ES" w:eastAsia="es-ES"/>
        </w:rPr>
        <w:t xml:space="preserve">, la regla general respecto a la oportunidad para subsanar tiene como excepción, entre otras cosas, el término especial establecido en los procesos de selección en los que se utilice el mecanismo de subasta inversa, para lo cual el artículo 5 de la Ley 1882 de 2018, adicionó el parágrafo 4 al artículo 5 de la Ley 1150 de 2007, en donde se precisa esta regla en los siguientes términos: “Parágrafo 4°. En aquellos procesos de selección en los que se utilice el mecanismo de subasta, los documentos referentes a la futura contratación o al proponente, no necesarios para la comparación de las propuestas, </w:t>
      </w:r>
      <w:r w:rsidRPr="000A06FE">
        <w:rPr>
          <w:rFonts w:ascii="Verdana" w:eastAsia="Times New Roman" w:hAnsi="Verdana" w:cs="Arial"/>
          <w:i/>
          <w:iCs/>
          <w:lang w:val="es-ES" w:eastAsia="es-ES"/>
        </w:rPr>
        <w:t>deberán ser solicitados hasta el momento previo a su realización</w:t>
      </w:r>
      <w:r w:rsidRPr="00C3773D">
        <w:rPr>
          <w:rFonts w:ascii="Verdana" w:eastAsia="Times New Roman" w:hAnsi="Verdana" w:cs="Arial"/>
          <w:lang w:val="es-ES" w:eastAsia="es-ES"/>
        </w:rPr>
        <w:t xml:space="preserve"> (Cursiva fuera de texto)”. </w:t>
      </w:r>
    </w:p>
    <w:p w14:paraId="6554EF26" w14:textId="77777777" w:rsidR="00697D0C" w:rsidRPr="00C3773D" w:rsidRDefault="00697D0C" w:rsidP="00697D0C">
      <w:pPr>
        <w:spacing w:after="120" w:line="276" w:lineRule="auto"/>
        <w:ind w:firstLine="709"/>
        <w:jc w:val="both"/>
        <w:rPr>
          <w:rFonts w:ascii="Verdana" w:eastAsia="Times New Roman" w:hAnsi="Verdana" w:cs="Arial"/>
          <w:lang w:val="es-ES" w:eastAsia="es-ES"/>
        </w:rPr>
      </w:pPr>
      <w:r w:rsidRPr="00C3773D">
        <w:rPr>
          <w:rFonts w:ascii="Verdana" w:eastAsia="Times New Roman" w:hAnsi="Verdana" w:cs="Arial"/>
          <w:lang w:val="es-ES" w:eastAsia="es-ES"/>
        </w:rPr>
        <w:t xml:space="preserve">De esta manera, a juicio de esta Subdirección, lo que supone dicha regulación no es que los proponentes tengan la facultad de presentar los documentos referentes a la futura contratación no necesarios para la comparación de las propuestas en cualquier momento anterior al inicio de la subasta, o que estén habilitados para retener tal documentación hasta dicho momento, ya lo que hace el parágrafo 4° </w:t>
      </w:r>
      <w:proofErr w:type="spellStart"/>
      <w:r w:rsidRPr="00C3773D">
        <w:rPr>
          <w:rFonts w:ascii="Verdana" w:eastAsia="Times New Roman" w:hAnsi="Verdana" w:cs="Arial"/>
          <w:lang w:val="es-ES" w:eastAsia="es-ES"/>
        </w:rPr>
        <w:t>Ibídem</w:t>
      </w:r>
      <w:proofErr w:type="spellEnd"/>
      <w:r w:rsidRPr="00C3773D">
        <w:rPr>
          <w:rFonts w:ascii="Verdana" w:eastAsia="Times New Roman" w:hAnsi="Verdana" w:cs="Arial"/>
          <w:lang w:val="es-ES" w:eastAsia="es-ES"/>
        </w:rPr>
        <w:t xml:space="preserve"> es fijar el momento hasta el cual las respectivas entidades pueden requerir a los proponentes la subsanación de los documentos faltantes. </w:t>
      </w:r>
    </w:p>
    <w:p w14:paraId="06678383" w14:textId="77777777" w:rsidR="00697D0C" w:rsidRPr="00C3773D" w:rsidRDefault="00697D0C" w:rsidP="00697D0C">
      <w:pPr>
        <w:spacing w:after="120" w:line="276" w:lineRule="auto"/>
        <w:ind w:firstLine="709"/>
        <w:jc w:val="both"/>
        <w:rPr>
          <w:rFonts w:ascii="Verdana" w:eastAsia="Times New Roman" w:hAnsi="Verdana" w:cs="Arial"/>
          <w:lang w:val="es-ES" w:eastAsia="es-ES"/>
        </w:rPr>
      </w:pPr>
      <w:r w:rsidRPr="00C3773D">
        <w:rPr>
          <w:rFonts w:ascii="Verdana" w:eastAsia="Times New Roman" w:hAnsi="Verdana" w:cs="Arial"/>
          <w:lang w:val="es-ES" w:eastAsia="es-ES"/>
        </w:rPr>
        <w:t xml:space="preserve">En ese orden de ideas, extendiendo las anteriores consideraciones a la regla de </w:t>
      </w:r>
      <w:proofErr w:type="spellStart"/>
      <w:r w:rsidRPr="00C3773D">
        <w:rPr>
          <w:rFonts w:ascii="Verdana" w:eastAsia="Times New Roman" w:hAnsi="Verdana" w:cs="Arial"/>
          <w:lang w:val="es-ES" w:eastAsia="es-ES"/>
        </w:rPr>
        <w:t>subsanabilidad</w:t>
      </w:r>
      <w:proofErr w:type="spellEnd"/>
      <w:r w:rsidRPr="00C3773D">
        <w:rPr>
          <w:rFonts w:ascii="Verdana" w:eastAsia="Times New Roman" w:hAnsi="Verdana" w:cs="Arial"/>
          <w:lang w:val="es-ES" w:eastAsia="es-ES"/>
        </w:rPr>
        <w:t xml:space="preserve"> consagrada en el parágrafo 4 del artículo 5 de la Ley 1150 de 2007 –adicionado por la Ley 1882 de 2018–, dada su identidad con la regulación del parágrafo 1 del artículo 5 de la ley 1150 de 2007 original –antes de ser modificada por la Ley 1882 de 2018– el inicio de la subasta es el momento hasta el cual la entidad cuenta con la facultad para requerir la subsanación de los documentos referentes a la futura contratación o a los proponentes, no necesarios para la comparación de las propuestas. Para el ejercicio de tal facultad, las entidades de manera ex ante podrán establecer dentro del pliego de condiciones el periodo dentro del cual los participantes del proceso de </w:t>
      </w:r>
      <w:r w:rsidRPr="00C3773D">
        <w:rPr>
          <w:rFonts w:ascii="Verdana" w:eastAsia="Times New Roman" w:hAnsi="Verdana" w:cs="Arial"/>
          <w:lang w:val="es-ES" w:eastAsia="es-ES"/>
        </w:rPr>
        <w:lastRenderedPageBreak/>
        <w:t>selección podrán subsanar los documentos que requiera la entidad, o en su defecto, requerir por separado a cada proponente para que subsanen los respectivos documentos, fijándoles un término razonable, el cual en todo caso no podrá exceder el momento previo al inicio de la audiencia de subasta. Así mismo, dentro del pliego de condiciones podrán definir las veces en las cuales le será posible a los proponentes subsanar los documentos.</w:t>
      </w:r>
      <w:r>
        <w:rPr>
          <w:rFonts w:ascii="Verdana" w:eastAsia="Times New Roman" w:hAnsi="Verdana" w:cs="Arial"/>
          <w:lang w:val="es-ES" w:eastAsia="es-ES"/>
        </w:rPr>
        <w:t xml:space="preserve"> </w:t>
      </w:r>
    </w:p>
    <w:p w14:paraId="4C2CF1FC" w14:textId="77777777" w:rsidR="00697D0C" w:rsidRPr="00C3773D" w:rsidRDefault="00697D0C" w:rsidP="00697D0C">
      <w:pPr>
        <w:spacing w:after="120" w:line="276" w:lineRule="auto"/>
        <w:ind w:firstLine="709"/>
        <w:jc w:val="both"/>
        <w:rPr>
          <w:rFonts w:ascii="Verdana" w:eastAsia="Times New Roman" w:hAnsi="Verdana" w:cs="Arial"/>
          <w:lang w:val="es-ES" w:eastAsia="es-ES"/>
        </w:rPr>
      </w:pPr>
      <w:r w:rsidRPr="00C3773D">
        <w:rPr>
          <w:rFonts w:ascii="Verdana" w:eastAsia="Times New Roman" w:hAnsi="Verdana" w:cs="Arial"/>
          <w:lang w:val="es-ES" w:eastAsia="es-ES"/>
        </w:rPr>
        <w:t xml:space="preserve">De esta manera, el parágrafo analizado permite a las entidades solicitar a los oferentes que subsanen los documentos referentes a la futura contratación no necesarios para la comparación de las propuestas, hasta el momento previo a la realización a la subasta a la que hace referencia el artículo 2.2.1.2.1.2.2 del Decreto 1082 de 2015, momento que, además, deberá estar señalado en el pliego de condiciones, independientemente de que la entidad opte para desarrollar la audiencia de manera presencial o través del algún mecanismo electrónico. En defecto de lo anterior, las entidades también podrán requerir por separado o conjuntamente a cada proponente para que subsanen los respectivos documentos, fijándoles un término razonable, el cual en todo caso no podrá exceder el momento previo al inicio de la audiencia de subasta, por lo que será anterior a ella.    </w:t>
      </w:r>
    </w:p>
    <w:p w14:paraId="734C2FA1" w14:textId="77777777" w:rsidR="00697D0C" w:rsidRDefault="00697D0C" w:rsidP="00697D0C">
      <w:pPr>
        <w:spacing w:after="120" w:line="276" w:lineRule="auto"/>
        <w:ind w:firstLine="709"/>
        <w:jc w:val="both"/>
        <w:rPr>
          <w:rFonts w:ascii="Verdana" w:eastAsia="Times New Roman" w:hAnsi="Verdana" w:cs="Arial"/>
          <w:lang w:val="es-ES" w:eastAsia="es-ES"/>
        </w:rPr>
      </w:pPr>
      <w:r w:rsidRPr="00C3773D">
        <w:rPr>
          <w:rFonts w:ascii="Verdana" w:eastAsia="Times New Roman" w:hAnsi="Verdana" w:cs="Arial"/>
          <w:lang w:val="es-ES" w:eastAsia="es-ES"/>
        </w:rPr>
        <w:t>Conforme a lo anterior, en criterio de esta Subdirección, a pesar de que no existe un término legal preciso para que los proponentes subsanen los documentos mediante los cuales deben acreditar el cumplimiento de los requisitos exigidos para participar en procedimientos en que se haga uso del mecanismo de subasta, el parágrafo 4° del artículo 5 de la Ley 1150 de 2007 establece una regla que permite a las entidades solicitar las correspondientes subsanaciones, dotándolas de cierto margen de discrecionalidad para determinar el término o momento específico dentro del que deberá tener lugar la subsanación, oportunidad que deberá establecer la entidad sin que exceda al momento previo al inicio de la audiencia de subasta.  En tal sentido, de acuerdo con la regulación establecida en cada pliego de condiciones y las circunstancias de cada caso en particular, deberán aplicarse los criterios establecidos en la ley, explicados en este concepto, para definir la procedencia de subsanar algún requisito de las propuestas y las veces en que puede ejercerse esta posibilidad.</w:t>
      </w:r>
    </w:p>
    <w:p w14:paraId="4CCC2095" w14:textId="77777777" w:rsidR="00697D0C" w:rsidRDefault="00697D0C" w:rsidP="00697D0C">
      <w:pPr>
        <w:spacing w:before="120" w:after="120" w:line="276" w:lineRule="auto"/>
        <w:ind w:firstLine="709"/>
        <w:jc w:val="both"/>
        <w:rPr>
          <w:rFonts w:ascii="Verdana" w:hAnsi="Verdana" w:cs="Arial"/>
          <w:color w:val="000000" w:themeColor="text1"/>
          <w:lang w:val="es-ES"/>
        </w:rPr>
      </w:pPr>
      <w:r w:rsidRPr="3F2B4452">
        <w:rPr>
          <w:rFonts w:ascii="Verdana" w:eastAsia="Arial" w:hAnsi="Verdana" w:cs="Arial"/>
        </w:rPr>
        <w:t xml:space="preserve">Al margen de lo anterior, debe advertirse que el análisis sobre la subsanación o el rechazo de las ofertas al interior de los procedimientos de selección debe ser realizado por quienes tengan interés en ello, de acuerdo con </w:t>
      </w:r>
      <w:r w:rsidRPr="3F2B4452">
        <w:rPr>
          <w:rFonts w:ascii="Verdana" w:eastAsia="Arial" w:hAnsi="Verdana" w:cs="Arial"/>
        </w:rPr>
        <w:lastRenderedPageBreak/>
        <w:t xml:space="preserve">lo explicado en 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  </w:t>
      </w:r>
    </w:p>
    <w:p w14:paraId="4E0ADFF3" w14:textId="77777777" w:rsidR="00697D0C" w:rsidRDefault="00697D0C" w:rsidP="00CE00A0">
      <w:pPr>
        <w:spacing w:before="120" w:after="0" w:line="276" w:lineRule="auto"/>
        <w:ind w:firstLine="709"/>
        <w:jc w:val="both"/>
        <w:rPr>
          <w:rFonts w:ascii="Verdana" w:eastAsia="Arial" w:hAnsi="Verdana" w:cs="Arial"/>
          <w:bCs/>
        </w:rPr>
      </w:pPr>
      <w:r w:rsidRPr="001920E4">
        <w:rPr>
          <w:rFonts w:ascii="Verdana" w:eastAsia="Arial" w:hAnsi="Verdana" w:cs="Arial"/>
          <w:bCs/>
        </w:rPr>
        <w:t>De esta manera, al tratarse de un análisis que se debe realizar en cada caso concreto, la Agencia,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lo anterior, previo concepto de sus órganos asesores, la solución de casos particulares corresponde a la entidad que debe adoptar la decisión correspondiente para atender las necesidades de la Entidad Pública.</w:t>
      </w:r>
    </w:p>
    <w:p w14:paraId="123E55BB" w14:textId="77777777" w:rsidR="00697D0C" w:rsidRDefault="00697D0C" w:rsidP="00CE00A0">
      <w:pPr>
        <w:spacing w:after="0" w:line="276" w:lineRule="auto"/>
        <w:ind w:firstLine="709"/>
        <w:jc w:val="both"/>
        <w:rPr>
          <w:rFonts w:ascii="Verdana" w:eastAsia="Arial" w:hAnsi="Verdana" w:cs="Arial"/>
          <w:bCs/>
        </w:rPr>
      </w:pPr>
    </w:p>
    <w:p w14:paraId="7C6BA259" w14:textId="77777777" w:rsidR="00697D0C" w:rsidRPr="0060676F" w:rsidRDefault="00697D0C" w:rsidP="00CE00A0">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4840321C" w14:textId="77777777" w:rsidR="00697D0C" w:rsidRPr="00593A5F" w:rsidRDefault="00697D0C" w:rsidP="00697D0C">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97D0C" w:rsidRPr="00593A5F" w14:paraId="73F79F07" w14:textId="77777777">
        <w:trPr>
          <w:trHeight w:val="870"/>
        </w:trPr>
        <w:tc>
          <w:tcPr>
            <w:tcW w:w="8647" w:type="dxa"/>
          </w:tcPr>
          <w:p w14:paraId="61CF26B9" w14:textId="77777777" w:rsidR="00697D0C" w:rsidRPr="004C6846" w:rsidRDefault="00697D0C">
            <w:pPr>
              <w:pStyle w:val="Prrafodelista"/>
              <w:widowControl w:val="0"/>
              <w:numPr>
                <w:ilvl w:val="0"/>
                <w:numId w:val="18"/>
              </w:numPr>
              <w:tabs>
                <w:tab w:val="left" w:pos="8419"/>
              </w:tabs>
              <w:autoSpaceDE w:val="0"/>
              <w:autoSpaceDN w:val="0"/>
              <w:spacing w:after="160" w:line="276" w:lineRule="auto"/>
              <w:contextualSpacing w:val="0"/>
              <w:jc w:val="both"/>
              <w:rPr>
                <w:rFonts w:ascii="Verdana" w:hAnsi="Verdana" w:cs="Arial"/>
              </w:rPr>
            </w:pPr>
            <w:r w:rsidRPr="004C6846">
              <w:rPr>
                <w:rFonts w:ascii="Verdana" w:hAnsi="Verdana" w:cs="Arial"/>
              </w:rPr>
              <w:t xml:space="preserve">Ley </w:t>
            </w:r>
            <w:r w:rsidRPr="004C6846">
              <w:rPr>
                <w:rFonts w:ascii="Verdana" w:eastAsia="Calibri" w:hAnsi="Verdana" w:cs="Arial"/>
              </w:rPr>
              <w:t>1150 de 2007. Artículo 5, Párrafos 1º y 4º. Artículo 2.</w:t>
            </w:r>
          </w:p>
          <w:p w14:paraId="630D7D24" w14:textId="77777777" w:rsidR="00697D0C" w:rsidRPr="004C6846" w:rsidRDefault="00697D0C">
            <w:pPr>
              <w:pStyle w:val="Prrafodelista"/>
              <w:widowControl w:val="0"/>
              <w:numPr>
                <w:ilvl w:val="0"/>
                <w:numId w:val="18"/>
              </w:numPr>
              <w:tabs>
                <w:tab w:val="left" w:pos="8419"/>
              </w:tabs>
              <w:autoSpaceDE w:val="0"/>
              <w:autoSpaceDN w:val="0"/>
              <w:spacing w:after="160" w:line="276" w:lineRule="auto"/>
              <w:contextualSpacing w:val="0"/>
              <w:jc w:val="both"/>
              <w:rPr>
                <w:rFonts w:ascii="Verdana" w:hAnsi="Verdana" w:cs="Arial"/>
              </w:rPr>
            </w:pPr>
            <w:r w:rsidRPr="004C6846">
              <w:rPr>
                <w:rFonts w:ascii="Verdana" w:hAnsi="Verdana" w:cs="Arial"/>
              </w:rPr>
              <w:t>Ley 1882 de 2018. Artículo 5.</w:t>
            </w:r>
          </w:p>
          <w:p w14:paraId="1786CA89" w14:textId="77777777" w:rsidR="00697D0C" w:rsidRPr="009E718B" w:rsidRDefault="00697D0C">
            <w:pPr>
              <w:pStyle w:val="Prrafodelista"/>
              <w:widowControl w:val="0"/>
              <w:numPr>
                <w:ilvl w:val="0"/>
                <w:numId w:val="18"/>
              </w:numPr>
              <w:tabs>
                <w:tab w:val="left" w:pos="8419"/>
              </w:tabs>
              <w:autoSpaceDE w:val="0"/>
              <w:autoSpaceDN w:val="0"/>
              <w:spacing w:after="160" w:line="276" w:lineRule="auto"/>
              <w:contextualSpacing w:val="0"/>
              <w:jc w:val="both"/>
              <w:rPr>
                <w:rFonts w:ascii="Verdana" w:hAnsi="Verdana" w:cs="Arial"/>
              </w:rPr>
            </w:pPr>
            <w:r w:rsidRPr="009E718B">
              <w:rPr>
                <w:rFonts w:ascii="Verdana" w:hAnsi="Verdana" w:cs="Arial"/>
              </w:rPr>
              <w:t>Decreto 1082 de 2015. Artículo 2.2.1.2.1.2.2</w:t>
            </w:r>
          </w:p>
          <w:p w14:paraId="2914B84C" w14:textId="77777777" w:rsidR="00697D0C" w:rsidRPr="009E718B" w:rsidRDefault="00697D0C">
            <w:pPr>
              <w:pStyle w:val="Textonotapie"/>
              <w:numPr>
                <w:ilvl w:val="0"/>
                <w:numId w:val="18"/>
              </w:numPr>
              <w:jc w:val="both"/>
              <w:rPr>
                <w:rFonts w:ascii="Verdana" w:hAnsi="Verdana" w:cs="Arial"/>
                <w:color w:val="000000"/>
                <w:sz w:val="22"/>
                <w:szCs w:val="22"/>
              </w:rPr>
            </w:pPr>
            <w:r w:rsidRPr="009E718B">
              <w:rPr>
                <w:rFonts w:ascii="Verdana" w:hAnsi="Verdana" w:cs="Arial"/>
                <w:color w:val="000000"/>
                <w:sz w:val="22"/>
                <w:szCs w:val="22"/>
              </w:rPr>
              <w:t>CONSEJO DE ESTADO. Sala de Consulta y Servicio Civil. Concepto del 20 de mayo de 2010. Expediente: 1992. Consejero Ponente: Enrique José Arboleda Perdomo.</w:t>
            </w:r>
          </w:p>
          <w:p w14:paraId="1AEEFCE0" w14:textId="77777777" w:rsidR="00697D0C" w:rsidRPr="00DD242A" w:rsidRDefault="00697D0C">
            <w:pPr>
              <w:pStyle w:val="Prrafodelista"/>
              <w:numPr>
                <w:ilvl w:val="0"/>
                <w:numId w:val="17"/>
              </w:numPr>
              <w:jc w:val="both"/>
              <w:rPr>
                <w:rFonts w:ascii="Verdana" w:eastAsia="Calibri" w:hAnsi="Verdana" w:cs="Arial"/>
                <w:shd w:val="clear" w:color="auto" w:fill="FFFFFF"/>
              </w:rPr>
            </w:pPr>
            <w:r w:rsidRPr="004C6846">
              <w:rPr>
                <w:rFonts w:ascii="Verdana" w:hAnsi="Verdana" w:cs="Arial"/>
              </w:rPr>
              <w:t xml:space="preserve">Circular Externa Única - Agencia Nacional de Contratación Pública Colombia Compra Eficiente. Disponible para consulta en: </w:t>
            </w:r>
            <w:hyperlink r:id="rId12" w:history="1">
              <w:r w:rsidRPr="004C6846">
                <w:rPr>
                  <w:rStyle w:val="Hipervnculo"/>
                  <w:rFonts w:ascii="Verdana" w:hAnsi="Verdana" w:cs="Arial"/>
                  <w:color w:val="auto"/>
                </w:rPr>
                <w:t>https://colombiacompra.gov.co/sites/cce_public/files/cce_circulares/circular_externa_unica_version_3_vf49.pdf</w:t>
              </w:r>
            </w:hyperlink>
            <w:r>
              <w:t>.</w:t>
            </w:r>
          </w:p>
          <w:p w14:paraId="5D67D8DE" w14:textId="77777777" w:rsidR="00697D0C" w:rsidRPr="0055341A" w:rsidRDefault="00697D0C">
            <w:pPr>
              <w:pStyle w:val="Prrafodelista"/>
              <w:jc w:val="both"/>
              <w:rPr>
                <w:rFonts w:ascii="Verdana" w:hAnsi="Verdana" w:cs="Arial"/>
              </w:rPr>
            </w:pPr>
          </w:p>
        </w:tc>
      </w:tr>
    </w:tbl>
    <w:p w14:paraId="7D9CBC56" w14:textId="77777777" w:rsidR="00697D0C" w:rsidRPr="00A84FC0" w:rsidRDefault="00697D0C" w:rsidP="00A84FC0">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00F2258F" w14:textId="77777777" w:rsidR="00697D0C" w:rsidRPr="00A84FC0" w:rsidRDefault="00697D0C" w:rsidP="00CE00A0">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sidRPr="00A84FC0">
        <w:rPr>
          <w:rFonts w:ascii="Verdana" w:eastAsia="Century Gothic" w:hAnsi="Verdana" w:cs="Century Gothic"/>
          <w:b/>
          <w:bCs/>
        </w:rPr>
        <w:t>Doctrina de la Agencia Nacional de Contratación Pública:</w:t>
      </w:r>
    </w:p>
    <w:p w14:paraId="64978B3B" w14:textId="77777777" w:rsidR="005A6B64" w:rsidRPr="00A84FC0" w:rsidRDefault="005A6B64" w:rsidP="00CE00A0">
      <w:pPr>
        <w:spacing w:after="0" w:line="276" w:lineRule="auto"/>
        <w:jc w:val="both"/>
        <w:rPr>
          <w:rFonts w:ascii="Verdana" w:eastAsia="Calibri" w:hAnsi="Verdana" w:cs="Arial"/>
          <w:color w:val="000000" w:themeColor="text1"/>
          <w:lang w:eastAsia="es-ES"/>
        </w:rPr>
      </w:pPr>
    </w:p>
    <w:p w14:paraId="24C53DB0" w14:textId="0A17FDBA" w:rsidR="00697D0C" w:rsidRPr="00A84FC0" w:rsidRDefault="00697D0C" w:rsidP="00CE00A0">
      <w:pPr>
        <w:spacing w:after="0" w:line="276" w:lineRule="auto"/>
        <w:jc w:val="both"/>
        <w:rPr>
          <w:rFonts w:ascii="Verdana" w:eastAsia="Calibri" w:hAnsi="Verdana" w:cs="Arial"/>
          <w:b/>
          <w:bCs/>
          <w:lang w:val="es-ES" w:eastAsia="es-ES"/>
        </w:rPr>
      </w:pPr>
      <w:r w:rsidRPr="00A84FC0">
        <w:rPr>
          <w:rFonts w:ascii="Verdana" w:eastAsia="Calibri" w:hAnsi="Verdana" w:cs="Arial"/>
          <w:color w:val="000000" w:themeColor="text1"/>
          <w:lang w:eastAsia="es-ES"/>
        </w:rPr>
        <w:t xml:space="preserve">Sobre la regla de </w:t>
      </w:r>
      <w:proofErr w:type="spellStart"/>
      <w:r w:rsidRPr="00A84FC0">
        <w:rPr>
          <w:rFonts w:ascii="Verdana" w:eastAsia="Calibri" w:hAnsi="Verdana" w:cs="Arial"/>
          <w:color w:val="000000" w:themeColor="text1"/>
          <w:lang w:eastAsia="es-ES"/>
        </w:rPr>
        <w:t>subsanabilidad</w:t>
      </w:r>
      <w:proofErr w:type="spellEnd"/>
      <w:r w:rsidRPr="00A84FC0">
        <w:rPr>
          <w:rFonts w:ascii="Verdana" w:eastAsia="Calibri" w:hAnsi="Verdana" w:cs="Arial"/>
          <w:color w:val="000000" w:themeColor="text1"/>
          <w:lang w:eastAsia="es-ES"/>
        </w:rPr>
        <w:t xml:space="preserve"> en los procesos de selección, se pronunció esta Subdirección en los conceptos CU-060 del 20 de febrero de 2020, C-282 del 22 de junio de 2021, C-285 del 20 de mayo de 2022, C-882 del 21 de diciembre de 2022, C-965 de 2023, C-447 del 19 de septiembre de 2024</w:t>
      </w:r>
      <w:r w:rsidRPr="00A84FC0">
        <w:rPr>
          <w:rFonts w:ascii="Verdana" w:eastAsia="Aptos" w:hAnsi="Verdana" w:cs="Arial"/>
          <w:shd w:val="clear" w:color="auto" w:fill="FFFFFF"/>
          <w:lang w:val="es-ES"/>
        </w:rPr>
        <w:t xml:space="preserve"> y C</w:t>
      </w:r>
      <w:r w:rsidRPr="00A84FC0">
        <w:rPr>
          <w:rFonts w:ascii="Verdana" w:eastAsia="Calibri" w:hAnsi="Verdana" w:cs="Arial"/>
          <w:color w:val="000000" w:themeColor="text1"/>
          <w:lang w:eastAsia="es-ES"/>
        </w:rPr>
        <w:t>-1009 de 2024</w:t>
      </w:r>
      <w:r w:rsidR="00CC57A2" w:rsidRPr="00A84FC0">
        <w:rPr>
          <w:rFonts w:ascii="Verdana" w:eastAsia="Calibri" w:hAnsi="Verdana" w:cs="Arial"/>
          <w:color w:val="000000" w:themeColor="text1"/>
          <w:lang w:eastAsia="es-ES"/>
        </w:rPr>
        <w:t>,</w:t>
      </w:r>
      <w:r w:rsidR="00CC57A2" w:rsidRPr="00A84FC0">
        <w:rPr>
          <w:rFonts w:ascii="Verdana" w:eastAsia="Calibri" w:hAnsi="Verdana" w:cs="Arial"/>
          <w:lang w:val="es-ES" w:eastAsia="es-ES"/>
        </w:rPr>
        <w:t xml:space="preserve"> </w:t>
      </w:r>
      <w:r w:rsidR="00CC57A2" w:rsidRPr="00A84FC0">
        <w:rPr>
          <w:rFonts w:ascii="Verdana" w:eastAsia="Calibri" w:hAnsi="Verdana" w:cs="Arial"/>
          <w:lang w:val="es-ES" w:eastAsia="es-ES"/>
        </w:rPr>
        <w:lastRenderedPageBreak/>
        <w:t xml:space="preserve">C-289 del 14 de abril de 2025, </w:t>
      </w:r>
      <w:r w:rsidRPr="00A84FC0">
        <w:rPr>
          <w:rFonts w:ascii="Verdana" w:eastAsia="Calibri" w:hAnsi="Verdana" w:cs="Arial"/>
          <w:color w:val="000000" w:themeColor="text1"/>
          <w:lang w:eastAsia="es-ES"/>
        </w:rPr>
        <w:t xml:space="preserve">C-846 del 6 de agosto de 2025, </w:t>
      </w:r>
      <w:r w:rsidRPr="00A84FC0">
        <w:rPr>
          <w:rFonts w:ascii="Verdana" w:eastAsia="Calibri" w:hAnsi="Verdana" w:cs="Arial"/>
          <w:lang w:val="es-ES" w:eastAsia="es-ES"/>
        </w:rPr>
        <w:t>y C-1347 del 15 de octubre de 2025.  Estos</w:t>
      </w:r>
      <w:r w:rsidRPr="00A84FC0">
        <w:rPr>
          <w:rFonts w:ascii="Verdana" w:hAnsi="Verdana"/>
        </w:rPr>
        <w:t xml:space="preserve"> y otros conceptos se encuentran disponibles para consulta en el Sistema de relatoría de la Agencia, al cual se puede acceder a través del siguiente enlace:</w:t>
      </w:r>
      <w:r w:rsidRPr="00A84FC0">
        <w:rPr>
          <w:rFonts w:ascii="Verdana" w:hAnsi="Verdana" w:cs="Arial"/>
          <w:shd w:val="clear" w:color="auto" w:fill="FFFFFF"/>
          <w:lang w:val="es-ES"/>
        </w:rPr>
        <w:t xml:space="preserve"> </w:t>
      </w:r>
      <w:r w:rsidRPr="00A84FC0">
        <w:rPr>
          <w:rFonts w:ascii="Verdana" w:hAnsi="Verdana" w:cs="Arial"/>
          <w:color w:val="0563C1" w:themeColor="hyperlink"/>
          <w:u w:val="single"/>
          <w:shd w:val="clear" w:color="auto" w:fill="FFFFFF"/>
          <w:lang w:val="es-ES"/>
        </w:rPr>
        <w:t>https://relatoria.colombiacompra.gov.co /</w:t>
      </w:r>
      <w:proofErr w:type="spellStart"/>
      <w:r w:rsidRPr="00A84FC0">
        <w:rPr>
          <w:rFonts w:ascii="Verdana" w:hAnsi="Verdana" w:cs="Arial"/>
          <w:color w:val="0563C1" w:themeColor="hyperlink"/>
          <w:u w:val="single"/>
          <w:shd w:val="clear" w:color="auto" w:fill="FFFFFF"/>
          <w:lang w:val="es-ES"/>
        </w:rPr>
        <w:t>busqueda</w:t>
      </w:r>
      <w:proofErr w:type="spellEnd"/>
      <w:r w:rsidRPr="00A84FC0">
        <w:rPr>
          <w:rFonts w:ascii="Verdana" w:hAnsi="Verdana" w:cs="Arial"/>
          <w:color w:val="0563C1" w:themeColor="hyperlink"/>
          <w:u w:val="single"/>
          <w:shd w:val="clear" w:color="auto" w:fill="FFFFFF"/>
          <w:lang w:val="es-ES"/>
        </w:rPr>
        <w:t>/conceptos</w:t>
      </w:r>
    </w:p>
    <w:p w14:paraId="3DDC536B" w14:textId="77777777" w:rsidR="00697D0C" w:rsidRPr="00A84FC0" w:rsidRDefault="00697D0C" w:rsidP="00A84FC0">
      <w:pPr>
        <w:widowControl w:val="0"/>
        <w:autoSpaceDE w:val="0"/>
        <w:autoSpaceDN w:val="0"/>
        <w:spacing w:after="0" w:line="276" w:lineRule="auto"/>
        <w:jc w:val="both"/>
        <w:rPr>
          <w:rFonts w:ascii="Verdana" w:hAnsi="Verdana" w:cs="Arial"/>
          <w:color w:val="000000" w:themeColor="text1"/>
          <w:shd w:val="clear" w:color="auto" w:fill="FFFFFF"/>
        </w:rPr>
      </w:pPr>
    </w:p>
    <w:p w14:paraId="4878F87A" w14:textId="77777777" w:rsidR="00697D0C" w:rsidRPr="00A84FC0" w:rsidRDefault="00697D0C" w:rsidP="00CE00A0">
      <w:pPr>
        <w:spacing w:after="0" w:line="276" w:lineRule="auto"/>
        <w:jc w:val="both"/>
        <w:rPr>
          <w:rFonts w:ascii="Verdana" w:eastAsia="Calibri" w:hAnsi="Verdana" w:cs="Times New Roman"/>
        </w:rPr>
      </w:pPr>
      <w:r w:rsidRPr="00A84FC0">
        <w:rPr>
          <w:rFonts w:ascii="Verdana" w:eastAsia="Calibri" w:hAnsi="Verdana" w:cs="Times New Roman"/>
        </w:rPr>
        <w:t xml:space="preserve">Te informamos que ya se encuentra disponible la </w:t>
      </w:r>
      <w:r w:rsidRPr="00A84FC0">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A84FC0">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A84FC0">
        <w:rPr>
          <w:rFonts w:ascii="Verdana" w:eastAsia="Calibri" w:hAnsi="Verdana" w:cs="Times New Roman"/>
        </w:rPr>
        <w:t>Wayúu</w:t>
      </w:r>
      <w:proofErr w:type="spellEnd"/>
      <w:r w:rsidRPr="00A84FC0">
        <w:rPr>
          <w:rFonts w:ascii="Verdana" w:eastAsia="Calibri" w:hAnsi="Verdana" w:cs="Times New Roman"/>
        </w:rPr>
        <w:t xml:space="preserve">. Puede consultar la guía en el siguiente enlace: Guía de lineamientos de transparencia y selección objetiva para el departamento de La Guajira – Objetivo sexto constitucional de la Sentencia T-302 del 2017". </w:t>
      </w:r>
    </w:p>
    <w:p w14:paraId="63E13A88" w14:textId="77777777" w:rsidR="00697D0C" w:rsidRPr="00A84FC0" w:rsidRDefault="00697D0C" w:rsidP="00A84FC0">
      <w:pPr>
        <w:widowControl w:val="0"/>
        <w:autoSpaceDE w:val="0"/>
        <w:autoSpaceDN w:val="0"/>
        <w:spacing w:after="0" w:line="276" w:lineRule="auto"/>
        <w:jc w:val="both"/>
        <w:rPr>
          <w:rFonts w:ascii="Verdana" w:hAnsi="Verdana" w:cs="Arial"/>
        </w:rPr>
      </w:pPr>
    </w:p>
    <w:p w14:paraId="528F67EB" w14:textId="77777777" w:rsidR="00697D0C" w:rsidRPr="00A84FC0" w:rsidRDefault="00697D0C" w:rsidP="00CE00A0">
      <w:pPr>
        <w:spacing w:after="0" w:line="276" w:lineRule="auto"/>
        <w:jc w:val="both"/>
        <w:rPr>
          <w:rFonts w:ascii="Verdana" w:hAnsi="Verdana"/>
        </w:rPr>
      </w:pPr>
      <w:r w:rsidRPr="00A84FC0">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62928D84" w14:textId="77777777" w:rsidR="00697D0C" w:rsidRPr="00A84FC0" w:rsidRDefault="00697D0C" w:rsidP="00CE00A0">
      <w:pPr>
        <w:spacing w:after="0" w:line="276" w:lineRule="auto"/>
        <w:jc w:val="both"/>
        <w:rPr>
          <w:rFonts w:ascii="Verdana" w:hAnsi="Verdana"/>
        </w:rPr>
      </w:pPr>
    </w:p>
    <w:p w14:paraId="2B4BF76B" w14:textId="77777777" w:rsidR="00697D0C" w:rsidRPr="00A84FC0" w:rsidRDefault="00697D0C" w:rsidP="00CE00A0">
      <w:pPr>
        <w:pStyle w:val="Prrafodelista"/>
        <w:numPr>
          <w:ilvl w:val="0"/>
          <w:numId w:val="15"/>
        </w:numPr>
        <w:spacing w:after="0" w:line="276" w:lineRule="auto"/>
        <w:jc w:val="both"/>
        <w:rPr>
          <w:rFonts w:ascii="Verdana" w:eastAsia="Verdana" w:hAnsi="Verdana" w:cs="Verdana"/>
          <w:color w:val="4472C4" w:themeColor="accent1"/>
          <w:u w:val="single"/>
          <w:lang w:val="es-MX"/>
        </w:rPr>
      </w:pPr>
      <w:r w:rsidRPr="00A84FC0">
        <w:rPr>
          <w:rFonts w:ascii="Verdana" w:eastAsia="Verdana" w:hAnsi="Verdana" w:cs="Verdana"/>
          <w:lang w:val="es-MX"/>
        </w:rPr>
        <w:t xml:space="preserve">Línea nacional gratuita o servicio a la ciudadanía (Mesa de servicio): </w:t>
      </w:r>
      <w:r w:rsidRPr="00A84FC0">
        <w:rPr>
          <w:rStyle w:val="Hipervnculo"/>
          <w:rFonts w:ascii="Verdana" w:hAnsi="Verdana"/>
        </w:rPr>
        <w:t>01800 0520808</w:t>
      </w:r>
    </w:p>
    <w:p w14:paraId="1C5F7E05" w14:textId="77777777" w:rsidR="00697D0C" w:rsidRPr="00A84FC0" w:rsidRDefault="00697D0C" w:rsidP="00CE00A0">
      <w:pPr>
        <w:pStyle w:val="Prrafodelista"/>
        <w:numPr>
          <w:ilvl w:val="0"/>
          <w:numId w:val="15"/>
        </w:numPr>
        <w:spacing w:after="0" w:line="276" w:lineRule="auto"/>
        <w:rPr>
          <w:rFonts w:ascii="Verdana" w:eastAsia="Verdana" w:hAnsi="Verdana" w:cs="Verdana"/>
          <w:color w:val="4472C4" w:themeColor="accent1"/>
          <w:u w:val="single"/>
          <w:lang w:val="es-MX"/>
        </w:rPr>
      </w:pPr>
      <w:r w:rsidRPr="00A84FC0">
        <w:rPr>
          <w:rFonts w:ascii="Verdana" w:eastAsia="Verdana" w:hAnsi="Verdana" w:cs="Verdana"/>
          <w:lang w:val="es-MX"/>
        </w:rPr>
        <w:t>Línea en Bogotá (Mesa de servicio</w:t>
      </w:r>
      <w:proofErr w:type="gramStart"/>
      <w:r w:rsidRPr="00A84FC0">
        <w:rPr>
          <w:rFonts w:ascii="Verdana" w:eastAsia="Verdana" w:hAnsi="Verdana" w:cs="Verdana"/>
          <w:lang w:val="es-MX"/>
        </w:rPr>
        <w:t>):</w:t>
      </w:r>
      <w:r w:rsidRPr="00A84FC0">
        <w:rPr>
          <w:rStyle w:val="Hipervnculo"/>
          <w:rFonts w:ascii="Verdana" w:hAnsi="Verdana"/>
        </w:rPr>
        <w:t>+</w:t>
      </w:r>
      <w:proofErr w:type="gramEnd"/>
      <w:r w:rsidRPr="00A84FC0">
        <w:rPr>
          <w:rStyle w:val="Hipervnculo"/>
          <w:rFonts w:ascii="Verdana" w:hAnsi="Verdana"/>
        </w:rPr>
        <w:t>57 601 7456788</w:t>
      </w:r>
    </w:p>
    <w:p w14:paraId="1672377F" w14:textId="77777777" w:rsidR="00697D0C" w:rsidRPr="00A84FC0" w:rsidRDefault="00697D0C" w:rsidP="00CE00A0">
      <w:pPr>
        <w:pStyle w:val="Prrafodelista"/>
        <w:numPr>
          <w:ilvl w:val="0"/>
          <w:numId w:val="15"/>
        </w:numPr>
        <w:spacing w:after="0" w:line="276" w:lineRule="auto"/>
        <w:rPr>
          <w:rFonts w:ascii="Verdana" w:eastAsia="Verdana" w:hAnsi="Verdana" w:cs="Verdana"/>
          <w:color w:val="0000FF"/>
          <w:u w:val="single"/>
          <w:lang w:val="es-MX"/>
        </w:rPr>
      </w:pPr>
      <w:r w:rsidRPr="00A84FC0">
        <w:rPr>
          <w:rFonts w:ascii="Verdana" w:eastAsia="Verdana" w:hAnsi="Verdana" w:cs="Verdana"/>
          <w:lang w:val="es-MX"/>
        </w:rPr>
        <w:t xml:space="preserve">Correo de radicación de correspondencia: </w:t>
      </w:r>
      <w:hyperlink r:id="rId13">
        <w:r w:rsidRPr="00A84FC0">
          <w:rPr>
            <w:rStyle w:val="Hipervnculo"/>
            <w:rFonts w:ascii="Verdana" w:eastAsia="Verdana" w:hAnsi="Verdana" w:cs="Verdana"/>
            <w:lang w:val="es-MX"/>
          </w:rPr>
          <w:t>ventanilladeradicacion@colombiacompra.gov.co</w:t>
        </w:r>
      </w:hyperlink>
    </w:p>
    <w:p w14:paraId="36C7C706" w14:textId="77777777" w:rsidR="00697D0C" w:rsidRPr="00A84FC0" w:rsidRDefault="00697D0C" w:rsidP="00CE00A0">
      <w:pPr>
        <w:pStyle w:val="Prrafodelista"/>
        <w:numPr>
          <w:ilvl w:val="0"/>
          <w:numId w:val="15"/>
        </w:numPr>
        <w:spacing w:after="0" w:line="276" w:lineRule="auto"/>
        <w:rPr>
          <w:rFonts w:ascii="Verdana" w:eastAsia="Verdana" w:hAnsi="Verdana" w:cs="Verdana"/>
          <w:color w:val="0000FF"/>
          <w:u w:val="single"/>
          <w:lang w:val="es-MX"/>
        </w:rPr>
      </w:pPr>
      <w:r w:rsidRPr="00A84FC0">
        <w:rPr>
          <w:rFonts w:ascii="Verdana" w:eastAsia="Verdana" w:hAnsi="Verdana" w:cs="Verdana"/>
        </w:rPr>
        <w:t>Formulario web para</w:t>
      </w:r>
      <w:r w:rsidRPr="00A84FC0">
        <w:rPr>
          <w:rFonts w:ascii="Verdana" w:eastAsia="Verdana" w:hAnsi="Verdana" w:cs="Verdana"/>
          <w:lang w:val="es"/>
        </w:rPr>
        <w:t xml:space="preserve"> PQRSD: </w:t>
      </w:r>
      <w:hyperlink r:id="rId14">
        <w:r w:rsidRPr="00A84FC0">
          <w:rPr>
            <w:rStyle w:val="Hipervnculo"/>
            <w:rFonts w:ascii="Verdana" w:eastAsia="Verdana" w:hAnsi="Verdana" w:cs="Verdana"/>
            <w:lang w:val="es-MX"/>
          </w:rPr>
          <w:t>https://www.colombiacompra.gov.co/pqrsd/informacion-importante-antes-de-formular-una-pqrsd</w:t>
        </w:r>
      </w:hyperlink>
    </w:p>
    <w:p w14:paraId="292AFA63" w14:textId="77777777" w:rsidR="00697D0C" w:rsidRPr="00A84FC0" w:rsidRDefault="00697D0C" w:rsidP="00CE00A0">
      <w:pPr>
        <w:spacing w:after="0" w:line="276" w:lineRule="auto"/>
        <w:ind w:left="720"/>
        <w:jc w:val="both"/>
        <w:rPr>
          <w:rFonts w:ascii="Verdana" w:hAnsi="Verdana"/>
        </w:rPr>
      </w:pPr>
    </w:p>
    <w:p w14:paraId="70D46D32" w14:textId="77777777" w:rsidR="00697D0C" w:rsidRPr="00A84FC0" w:rsidRDefault="00697D0C" w:rsidP="00CE00A0">
      <w:pPr>
        <w:spacing w:after="0" w:line="276" w:lineRule="auto"/>
        <w:rPr>
          <w:rFonts w:ascii="Verdana" w:hAnsi="Verdana"/>
        </w:rPr>
      </w:pPr>
      <w:r w:rsidRPr="00A84FC0">
        <w:rPr>
          <w:rFonts w:ascii="Verdana" w:hAnsi="Verdana"/>
        </w:rPr>
        <w:t xml:space="preserve">Evalúa el servicio que ofrece la Agencia por el canal de atención de PQRSD en el siguiente </w:t>
      </w:r>
      <w:proofErr w:type="gramStart"/>
      <w:r w:rsidRPr="00A84FC0">
        <w:rPr>
          <w:rFonts w:ascii="Verdana" w:hAnsi="Verdana"/>
        </w:rPr>
        <w:t>enlace :</w:t>
      </w:r>
      <w:proofErr w:type="gramEnd"/>
      <w:hyperlink r:id="rId15" w:tgtFrame="_blank" w:tooltip="https://forms.office.com/r/pphywvs2sz" w:history="1">
        <w:r w:rsidRPr="00A84FC0">
          <w:rPr>
            <w:rStyle w:val="Hipervnculo"/>
            <w:rFonts w:ascii="Verdana" w:hAnsi="Verdana"/>
          </w:rPr>
          <w:t>https://forms.office.com/r/pPHyWVs2SZ</w:t>
        </w:r>
      </w:hyperlink>
      <w:r w:rsidRPr="00A84FC0">
        <w:rPr>
          <w:rFonts w:ascii="Verdana" w:hAnsi="Verdana"/>
        </w:rPr>
        <w:t xml:space="preserve"> .¡Ayúdanos a mejorar porque el compromiso es de todos!</w:t>
      </w:r>
    </w:p>
    <w:p w14:paraId="206E1113" w14:textId="77777777" w:rsidR="00697D0C" w:rsidRPr="00A84FC0" w:rsidRDefault="00697D0C" w:rsidP="00CE00A0">
      <w:pPr>
        <w:spacing w:after="0" w:line="276" w:lineRule="auto"/>
        <w:rPr>
          <w:rFonts w:ascii="Verdana" w:hAnsi="Verdana"/>
        </w:rPr>
      </w:pPr>
    </w:p>
    <w:p w14:paraId="3991CDC2" w14:textId="77777777" w:rsidR="00697D0C" w:rsidRPr="00A84FC0" w:rsidRDefault="00697D0C" w:rsidP="00CE00A0">
      <w:pPr>
        <w:spacing w:after="0" w:line="276" w:lineRule="auto"/>
        <w:jc w:val="both"/>
        <w:rPr>
          <w:rFonts w:ascii="Verdana" w:hAnsi="Verdana"/>
        </w:rPr>
      </w:pPr>
      <w:r w:rsidRPr="00A84FC0">
        <w:rPr>
          <w:rFonts w:ascii="Verdana" w:hAnsi="Verdana"/>
        </w:rPr>
        <w:t xml:space="preserve">Por último, lo invitamos a seguirnos en las redes sociales en las cuales se difunde información institucional: </w:t>
      </w:r>
    </w:p>
    <w:p w14:paraId="298F6CBC" w14:textId="77777777" w:rsidR="00697D0C" w:rsidRPr="00A84FC0" w:rsidRDefault="00697D0C" w:rsidP="00CE00A0">
      <w:pPr>
        <w:spacing w:after="0" w:line="276" w:lineRule="auto"/>
        <w:jc w:val="both"/>
        <w:rPr>
          <w:rFonts w:ascii="Verdana" w:hAnsi="Verdana"/>
        </w:rPr>
      </w:pPr>
    </w:p>
    <w:p w14:paraId="7E4B394A" w14:textId="77777777" w:rsidR="00697D0C" w:rsidRPr="00A84FC0" w:rsidRDefault="00697D0C" w:rsidP="00CE00A0">
      <w:pPr>
        <w:spacing w:after="0" w:line="276" w:lineRule="auto"/>
        <w:jc w:val="both"/>
        <w:rPr>
          <w:rFonts w:ascii="Verdana" w:hAnsi="Verdana"/>
        </w:rPr>
      </w:pPr>
      <w:r w:rsidRPr="00A84FC0">
        <w:rPr>
          <w:rFonts w:ascii="Verdana" w:hAnsi="Verdana"/>
        </w:rPr>
        <w:t xml:space="preserve">Twitter: </w:t>
      </w:r>
      <w:r w:rsidRPr="00A84FC0">
        <w:rPr>
          <w:rStyle w:val="Hipervnculo"/>
          <w:rFonts w:ascii="Verdana" w:hAnsi="Verdana"/>
        </w:rPr>
        <w:t>@colombiacompra</w:t>
      </w:r>
      <w:r w:rsidRPr="00A84FC0">
        <w:rPr>
          <w:rFonts w:ascii="Verdana" w:hAnsi="Verdana"/>
        </w:rPr>
        <w:t xml:space="preserve"> </w:t>
      </w:r>
    </w:p>
    <w:p w14:paraId="26E1D9A6" w14:textId="77777777" w:rsidR="00697D0C" w:rsidRPr="00A84FC0" w:rsidRDefault="00697D0C" w:rsidP="00CE00A0">
      <w:pPr>
        <w:spacing w:after="0" w:line="276" w:lineRule="auto"/>
        <w:jc w:val="both"/>
        <w:rPr>
          <w:rFonts w:ascii="Verdana" w:hAnsi="Verdana"/>
        </w:rPr>
      </w:pPr>
      <w:r w:rsidRPr="00A84FC0">
        <w:rPr>
          <w:rFonts w:ascii="Verdana" w:hAnsi="Verdana"/>
        </w:rPr>
        <w:t xml:space="preserve">Facebook: </w:t>
      </w:r>
      <w:proofErr w:type="spellStart"/>
      <w:r w:rsidRPr="00A84FC0">
        <w:rPr>
          <w:rStyle w:val="Hipervnculo"/>
          <w:rFonts w:ascii="Verdana" w:hAnsi="Verdana"/>
        </w:rPr>
        <w:t>ColombiaCompraEficiente</w:t>
      </w:r>
      <w:proofErr w:type="spellEnd"/>
    </w:p>
    <w:p w14:paraId="41678242" w14:textId="77777777" w:rsidR="00697D0C" w:rsidRPr="00A84FC0" w:rsidRDefault="00697D0C" w:rsidP="00CE00A0">
      <w:pPr>
        <w:spacing w:after="0" w:line="276" w:lineRule="auto"/>
        <w:jc w:val="both"/>
        <w:rPr>
          <w:rFonts w:ascii="Verdana" w:hAnsi="Verdana"/>
        </w:rPr>
      </w:pPr>
      <w:r w:rsidRPr="00A84FC0">
        <w:rPr>
          <w:rFonts w:ascii="Verdana" w:hAnsi="Verdana"/>
        </w:rPr>
        <w:t xml:space="preserve">LinkedIn: </w:t>
      </w:r>
      <w:r w:rsidRPr="00A84FC0">
        <w:rPr>
          <w:rStyle w:val="Hipervnculo"/>
          <w:rFonts w:ascii="Verdana" w:hAnsi="Verdana"/>
        </w:rPr>
        <w:t>Agencia Nacional de Contratación Pública - Colombia Compra Eficiente</w:t>
      </w:r>
      <w:r w:rsidRPr="00A84FC0">
        <w:rPr>
          <w:rFonts w:ascii="Verdana" w:hAnsi="Verdana"/>
        </w:rPr>
        <w:t xml:space="preserve"> Instagram: </w:t>
      </w:r>
      <w:r w:rsidRPr="00A84FC0">
        <w:rPr>
          <w:rStyle w:val="Hipervnculo"/>
          <w:rFonts w:ascii="Verdana" w:hAnsi="Verdana"/>
        </w:rPr>
        <w:t>@colombiacompraeficiente_cce</w:t>
      </w:r>
    </w:p>
    <w:p w14:paraId="3AFCE65C" w14:textId="77777777" w:rsidR="00697D0C" w:rsidRPr="00A84FC0" w:rsidRDefault="00697D0C" w:rsidP="00CE00A0">
      <w:pPr>
        <w:spacing w:after="0" w:line="276" w:lineRule="auto"/>
        <w:jc w:val="both"/>
        <w:rPr>
          <w:rFonts w:ascii="Verdana" w:hAnsi="Verdana"/>
        </w:rPr>
      </w:pPr>
    </w:p>
    <w:p w14:paraId="131E1CBC" w14:textId="77777777" w:rsidR="00697D0C" w:rsidRPr="00A84FC0" w:rsidRDefault="00697D0C" w:rsidP="00A84FC0">
      <w:pPr>
        <w:widowControl w:val="0"/>
        <w:autoSpaceDE w:val="0"/>
        <w:autoSpaceDN w:val="0"/>
        <w:spacing w:after="0" w:line="276" w:lineRule="auto"/>
        <w:jc w:val="both"/>
        <w:rPr>
          <w:rFonts w:ascii="Verdana" w:hAnsi="Verdana" w:cs="Arial"/>
          <w:lang w:val="es-ES_tradnl"/>
        </w:rPr>
      </w:pPr>
      <w:r w:rsidRPr="00A84FC0">
        <w:rPr>
          <w:rFonts w:ascii="Verdana" w:hAnsi="Verdana" w:cs="Arial"/>
        </w:rPr>
        <w:t xml:space="preserve">Este concepto tiene el alcance previsto en el artículo 28 del Código de Procedimiento Administrativo y de lo Contencioso Administrativo </w:t>
      </w:r>
      <w:r w:rsidRPr="00A84FC0">
        <w:rPr>
          <w:rFonts w:ascii="Verdana" w:hAnsi="Verdana" w:cs="Arial"/>
          <w:lang w:val="es-ES_tradnl"/>
        </w:rPr>
        <w:t>y las expresiones aquí utilizadas con mayúscula inicial deben ser entendidas con el significado que les otorga el artículo 2.2.1.1.1.3.1. del Decreto 1082 de 2015.</w:t>
      </w:r>
    </w:p>
    <w:bookmarkEnd w:id="2"/>
    <w:bookmarkEnd w:id="3"/>
    <w:bookmarkEnd w:id="4"/>
    <w:p w14:paraId="2B875B70" w14:textId="77777777" w:rsidR="00697D0C" w:rsidRPr="00A84FC0" w:rsidRDefault="00697D0C" w:rsidP="00A84FC0">
      <w:pPr>
        <w:widowControl w:val="0"/>
        <w:autoSpaceDE w:val="0"/>
        <w:autoSpaceDN w:val="0"/>
        <w:spacing w:after="0" w:line="276" w:lineRule="auto"/>
        <w:jc w:val="both"/>
        <w:rPr>
          <w:rFonts w:ascii="Verdana" w:hAnsi="Verdana" w:cs="Arial"/>
        </w:rPr>
      </w:pPr>
    </w:p>
    <w:p w14:paraId="02CBB25B" w14:textId="77777777" w:rsidR="00697D0C" w:rsidRPr="00A84FC0" w:rsidRDefault="00697D0C">
      <w:pPr>
        <w:spacing w:after="0" w:line="276" w:lineRule="auto"/>
        <w:jc w:val="both"/>
        <w:rPr>
          <w:rFonts w:ascii="Verdana" w:hAnsi="Verdana" w:cs="Arial"/>
          <w:lang w:eastAsia="es-CO"/>
        </w:rPr>
      </w:pPr>
      <w:r w:rsidRPr="00A84FC0">
        <w:rPr>
          <w:rFonts w:ascii="Verdana" w:eastAsia="Times New Roman" w:hAnsi="Verdana" w:cs="Arial"/>
          <w:lang w:eastAsia="es-CO"/>
        </w:rPr>
        <w:t>Atentamente,</w:t>
      </w:r>
      <w:r w:rsidRPr="00A84FC0">
        <w:rPr>
          <w:rFonts w:ascii="Verdana" w:hAnsi="Verdana" w:cs="Arial"/>
          <w:lang w:eastAsia="es-CO"/>
        </w:rPr>
        <w:t xml:space="preserve"> </w:t>
      </w:r>
    </w:p>
    <w:p w14:paraId="3D9327AC" w14:textId="1012EB51" w:rsidR="00697D0C" w:rsidRPr="00EF055B" w:rsidRDefault="00B6393D">
      <w:pPr>
        <w:spacing w:line="276" w:lineRule="auto"/>
        <w:jc w:val="center"/>
        <w:rPr>
          <w:noProof/>
          <w:color w:val="000000"/>
        </w:rPr>
      </w:pPr>
      <w:r w:rsidRPr="002C3AD6">
        <w:rPr>
          <w:rFonts w:ascii="Century Gothic" w:hAnsi="Century Gothic"/>
          <w:noProof/>
        </w:rPr>
        <w:drawing>
          <wp:inline distT="0" distB="0" distL="0" distR="0" wp14:anchorId="40DA3693" wp14:editId="0E6C8F6E">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97D0C" w:rsidRPr="00593A5F" w14:paraId="7F807E60" w14:textId="77777777">
        <w:trPr>
          <w:trHeight w:val="315"/>
        </w:trPr>
        <w:tc>
          <w:tcPr>
            <w:tcW w:w="893" w:type="dxa"/>
            <w:vAlign w:val="center"/>
            <w:hideMark/>
          </w:tcPr>
          <w:p w14:paraId="5165B478" w14:textId="77777777" w:rsidR="00697D0C" w:rsidRPr="003751C7" w:rsidRDefault="00697D0C">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5C94845" w14:textId="77777777" w:rsidR="00697D0C" w:rsidRPr="00E01E66" w:rsidRDefault="00697D0C">
            <w:pPr>
              <w:contextualSpacing/>
              <w:rPr>
                <w:rFonts w:ascii="Verdana" w:eastAsia="Calibri" w:hAnsi="Verdana" w:cs="Arial"/>
                <w:sz w:val="16"/>
                <w:szCs w:val="16"/>
                <w:lang w:val="pt-BR" w:eastAsia="es-ES"/>
              </w:rPr>
            </w:pPr>
            <w:proofErr w:type="spellStart"/>
            <w:r w:rsidRPr="00E01E66">
              <w:rPr>
                <w:rFonts w:ascii="Verdana" w:eastAsia="Calibri" w:hAnsi="Verdana" w:cs="Arial"/>
                <w:sz w:val="16"/>
                <w:szCs w:val="16"/>
                <w:lang w:val="pt-BR" w:eastAsia="es-ES"/>
              </w:rPr>
              <w:t>María</w:t>
            </w:r>
            <w:proofErr w:type="spellEnd"/>
            <w:r w:rsidRPr="00E01E66">
              <w:rPr>
                <w:rFonts w:ascii="Verdana" w:eastAsia="Calibri" w:hAnsi="Verdana" w:cs="Arial"/>
                <w:sz w:val="16"/>
                <w:szCs w:val="16"/>
                <w:lang w:val="pt-BR" w:eastAsia="es-ES"/>
              </w:rPr>
              <w:t xml:space="preserve"> </w:t>
            </w:r>
            <w:proofErr w:type="spellStart"/>
            <w:r w:rsidRPr="00E01E66">
              <w:rPr>
                <w:rFonts w:ascii="Verdana" w:eastAsia="Calibri" w:hAnsi="Verdana" w:cs="Arial"/>
                <w:sz w:val="16"/>
                <w:szCs w:val="16"/>
                <w:lang w:val="pt-BR" w:eastAsia="es-ES"/>
              </w:rPr>
              <w:t>Joshira</w:t>
            </w:r>
            <w:proofErr w:type="spellEnd"/>
            <w:r w:rsidRPr="00E01E66">
              <w:rPr>
                <w:rFonts w:ascii="Verdana" w:eastAsia="Calibri" w:hAnsi="Verdana" w:cs="Arial"/>
                <w:sz w:val="16"/>
                <w:szCs w:val="16"/>
                <w:lang w:val="pt-BR" w:eastAsia="es-ES"/>
              </w:rPr>
              <w:t xml:space="preserve"> Nieto Manzano.</w:t>
            </w:r>
          </w:p>
          <w:p w14:paraId="55E64F63" w14:textId="77777777" w:rsidR="00697D0C" w:rsidRPr="00E01E66" w:rsidRDefault="00697D0C">
            <w:pPr>
              <w:contextualSpacing/>
              <w:rPr>
                <w:rFonts w:ascii="Verdana" w:eastAsia="Calibri" w:hAnsi="Verdana" w:cs="Arial"/>
                <w:sz w:val="16"/>
                <w:szCs w:val="16"/>
                <w:lang w:val="pt-BR" w:eastAsia="es-ES"/>
              </w:rPr>
            </w:pPr>
            <w:r w:rsidRPr="00E01E66">
              <w:rPr>
                <w:rFonts w:ascii="Verdana" w:eastAsia="Calibri" w:hAnsi="Verdana" w:cs="Arial"/>
                <w:sz w:val="16"/>
                <w:szCs w:val="16"/>
                <w:lang w:val="pt-BR" w:eastAsia="es-ES"/>
              </w:rPr>
              <w:t xml:space="preserve">Contratista de </w:t>
            </w:r>
            <w:proofErr w:type="spellStart"/>
            <w:r w:rsidRPr="00E01E66">
              <w:rPr>
                <w:rFonts w:ascii="Verdana" w:eastAsia="Calibri" w:hAnsi="Verdana" w:cs="Arial"/>
                <w:sz w:val="16"/>
                <w:szCs w:val="16"/>
                <w:lang w:val="pt-BR" w:eastAsia="es-ES"/>
              </w:rPr>
              <w:t>la</w:t>
            </w:r>
            <w:proofErr w:type="spellEnd"/>
            <w:r w:rsidRPr="00E01E66">
              <w:rPr>
                <w:rFonts w:ascii="Verdana" w:eastAsia="Calibri" w:hAnsi="Verdana" w:cs="Arial"/>
                <w:sz w:val="16"/>
                <w:szCs w:val="16"/>
                <w:lang w:val="pt-BR" w:eastAsia="es-ES"/>
              </w:rPr>
              <w:t xml:space="preserve"> </w:t>
            </w:r>
            <w:proofErr w:type="spellStart"/>
            <w:r w:rsidRPr="00E01E66">
              <w:rPr>
                <w:rFonts w:ascii="Verdana" w:eastAsia="Calibri" w:hAnsi="Verdana" w:cs="Arial"/>
                <w:sz w:val="16"/>
                <w:szCs w:val="16"/>
                <w:lang w:val="pt-BR" w:eastAsia="es-ES"/>
              </w:rPr>
              <w:t>Subdirección</w:t>
            </w:r>
            <w:proofErr w:type="spellEnd"/>
            <w:r w:rsidRPr="00E01E66">
              <w:rPr>
                <w:rFonts w:ascii="Verdana" w:eastAsia="Calibri" w:hAnsi="Verdana" w:cs="Arial"/>
                <w:sz w:val="16"/>
                <w:szCs w:val="16"/>
                <w:lang w:val="pt-BR" w:eastAsia="es-ES"/>
              </w:rPr>
              <w:t xml:space="preserve"> de Gestión </w:t>
            </w:r>
            <w:proofErr w:type="spellStart"/>
            <w:r w:rsidRPr="00E01E66">
              <w:rPr>
                <w:rFonts w:ascii="Verdana" w:eastAsia="Calibri" w:hAnsi="Verdana" w:cs="Arial"/>
                <w:sz w:val="16"/>
                <w:szCs w:val="16"/>
                <w:lang w:val="pt-BR" w:eastAsia="es-ES"/>
              </w:rPr>
              <w:t>Contractual</w:t>
            </w:r>
            <w:proofErr w:type="spellEnd"/>
          </w:p>
        </w:tc>
      </w:tr>
      <w:tr w:rsidR="00697D0C" w:rsidRPr="00593A5F" w14:paraId="546B2665" w14:textId="77777777">
        <w:trPr>
          <w:trHeight w:val="330"/>
        </w:trPr>
        <w:tc>
          <w:tcPr>
            <w:tcW w:w="893" w:type="dxa"/>
            <w:vAlign w:val="center"/>
            <w:hideMark/>
          </w:tcPr>
          <w:p w14:paraId="7F7D1AEA" w14:textId="77777777" w:rsidR="00697D0C" w:rsidRPr="003751C7" w:rsidRDefault="00697D0C">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D7E6E87" w14:textId="77777777" w:rsidR="00697D0C" w:rsidRPr="00FC6918" w:rsidRDefault="00697D0C">
            <w:pPr>
              <w:contextualSpacing/>
              <w:rPr>
                <w:rFonts w:ascii="Verdana" w:eastAsia="Calibri" w:hAnsi="Verdana" w:cs="Arial"/>
                <w:sz w:val="16"/>
                <w:szCs w:val="16"/>
                <w:lang w:val="pt-BR" w:eastAsia="es-ES"/>
              </w:rPr>
            </w:pPr>
            <w:r w:rsidRPr="00FC6918">
              <w:rPr>
                <w:rFonts w:ascii="Verdana" w:eastAsia="Calibri" w:hAnsi="Verdana" w:cs="Arial"/>
                <w:sz w:val="16"/>
                <w:szCs w:val="16"/>
                <w:lang w:val="pt-BR" w:eastAsia="es-ES"/>
              </w:rPr>
              <w:t>Diana Lucía Saavedra.</w:t>
            </w:r>
          </w:p>
          <w:p w14:paraId="7663240E" w14:textId="77777777" w:rsidR="00697D0C" w:rsidRPr="00C42FC5" w:rsidRDefault="00697D0C">
            <w:pPr>
              <w:contextualSpacing/>
              <w:rPr>
                <w:rStyle w:val="normaltextrun"/>
              </w:rPr>
            </w:pPr>
            <w:r w:rsidRPr="00FC6918">
              <w:rPr>
                <w:rFonts w:ascii="Verdana" w:eastAsia="Calibri" w:hAnsi="Verdana" w:cs="Arial"/>
                <w:sz w:val="16"/>
                <w:szCs w:val="16"/>
                <w:lang w:val="pt-BR" w:eastAsia="es-ES"/>
              </w:rPr>
              <w:t xml:space="preserve">Contratista </w:t>
            </w:r>
            <w:proofErr w:type="spellStart"/>
            <w:r w:rsidRPr="00FC6918">
              <w:rPr>
                <w:rFonts w:ascii="Verdana" w:eastAsia="Calibri" w:hAnsi="Verdana" w:cs="Arial"/>
                <w:sz w:val="16"/>
                <w:szCs w:val="16"/>
                <w:lang w:val="pt-BR" w:eastAsia="es-ES"/>
              </w:rPr>
              <w:t>Subdirección</w:t>
            </w:r>
            <w:proofErr w:type="spellEnd"/>
            <w:r w:rsidRPr="00FC6918">
              <w:rPr>
                <w:rFonts w:eastAsia="Calibri" w:cs="Arial"/>
                <w:lang w:val="pt-BR" w:eastAsia="es-ES"/>
              </w:rPr>
              <w:t xml:space="preserve"> de Gestión </w:t>
            </w:r>
            <w:proofErr w:type="spellStart"/>
            <w:r w:rsidRPr="00FC6918">
              <w:rPr>
                <w:rFonts w:eastAsia="Calibri" w:cs="Arial"/>
                <w:lang w:val="pt-BR" w:eastAsia="es-ES"/>
              </w:rPr>
              <w:t>Contractual</w:t>
            </w:r>
            <w:proofErr w:type="spellEnd"/>
          </w:p>
        </w:tc>
      </w:tr>
      <w:tr w:rsidR="00697D0C" w:rsidRPr="00593A5F" w14:paraId="0ACBF85F" w14:textId="77777777">
        <w:trPr>
          <w:trHeight w:val="300"/>
        </w:trPr>
        <w:tc>
          <w:tcPr>
            <w:tcW w:w="893" w:type="dxa"/>
            <w:vAlign w:val="center"/>
          </w:tcPr>
          <w:p w14:paraId="2DACCD87" w14:textId="77777777" w:rsidR="00697D0C" w:rsidRPr="003751C7" w:rsidRDefault="00697D0C">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9558FE7" w14:textId="77777777" w:rsidR="00697D0C" w:rsidRPr="000015E6" w:rsidRDefault="00697D0C">
            <w:pPr>
              <w:contextualSpacing/>
              <w:rPr>
                <w:rFonts w:ascii="Verdana" w:eastAsia="Calibri" w:hAnsi="Verdana" w:cs="Arial"/>
                <w:sz w:val="16"/>
                <w:szCs w:val="16"/>
                <w:lang w:val="pt-BR" w:eastAsia="es-ES"/>
              </w:rPr>
            </w:pPr>
            <w:r w:rsidRPr="000015E6">
              <w:rPr>
                <w:rFonts w:ascii="Verdana" w:eastAsia="Calibri" w:hAnsi="Verdana" w:cs="Arial"/>
                <w:sz w:val="16"/>
                <w:szCs w:val="16"/>
                <w:lang w:val="pt-BR" w:eastAsia="es-ES"/>
              </w:rPr>
              <w:t>Carolina Quintero Ganchará</w:t>
            </w:r>
            <w:r>
              <w:rPr>
                <w:rFonts w:ascii="Verdana" w:eastAsia="Calibri" w:hAnsi="Verdana" w:cs="Arial"/>
                <w:sz w:val="16"/>
                <w:szCs w:val="16"/>
                <w:lang w:val="pt-BR" w:eastAsia="es-ES"/>
              </w:rPr>
              <w:t>.</w:t>
            </w:r>
          </w:p>
          <w:p w14:paraId="427E8548" w14:textId="77777777" w:rsidR="00697D0C" w:rsidRPr="000015E6" w:rsidRDefault="00697D0C">
            <w:pPr>
              <w:contextualSpacing/>
              <w:rPr>
                <w:rFonts w:ascii="Verdana" w:eastAsia="Calibri" w:hAnsi="Verdana" w:cs="Arial"/>
                <w:sz w:val="16"/>
                <w:szCs w:val="16"/>
                <w:lang w:val="pt-BR" w:eastAsia="es-ES"/>
              </w:rPr>
            </w:pPr>
            <w:r w:rsidRPr="000015E6">
              <w:rPr>
                <w:rFonts w:ascii="Verdana" w:eastAsia="Calibri" w:hAnsi="Verdana" w:cs="Arial"/>
                <w:sz w:val="16"/>
                <w:szCs w:val="16"/>
                <w:lang w:eastAsia="es-ES"/>
              </w:rPr>
              <w:t>Subdirectora</w:t>
            </w:r>
            <w:r w:rsidRPr="000015E6">
              <w:rPr>
                <w:rFonts w:ascii="Verdana" w:eastAsia="Calibri" w:hAnsi="Verdana" w:cs="Arial"/>
                <w:sz w:val="16"/>
                <w:szCs w:val="16"/>
                <w:lang w:val="pt-BR" w:eastAsia="es-ES"/>
              </w:rPr>
              <w:t xml:space="preserve"> de Gestión Contratual ANCP – CCE</w:t>
            </w:r>
          </w:p>
        </w:tc>
      </w:tr>
    </w:tbl>
    <w:p w14:paraId="4E04067D" w14:textId="77777777" w:rsidR="00697D0C" w:rsidRPr="0044528D" w:rsidRDefault="00697D0C" w:rsidP="00697D0C">
      <w:pPr>
        <w:spacing w:after="0"/>
        <w:rPr>
          <w:rFonts w:ascii="Verdana" w:hAnsi="Verdana"/>
        </w:rPr>
      </w:pPr>
    </w:p>
    <w:p w14:paraId="0B79C92C" w14:textId="77777777" w:rsidR="00697D0C" w:rsidRPr="00E3533A" w:rsidRDefault="00697D0C" w:rsidP="00697D0C">
      <w:pPr>
        <w:spacing w:after="0"/>
        <w:rPr>
          <w:rFonts w:ascii="Verdana" w:hAnsi="Verdana"/>
        </w:rPr>
      </w:pPr>
    </w:p>
    <w:bookmarkEnd w:id="0"/>
    <w:p w14:paraId="034E5D55" w14:textId="77777777" w:rsidR="00697D0C" w:rsidRPr="0024624F" w:rsidRDefault="00697D0C" w:rsidP="00C15139">
      <w:pPr>
        <w:spacing w:after="0"/>
        <w:rPr>
          <w:rFonts w:ascii="Verdana" w:hAnsi="Verdana"/>
        </w:rPr>
      </w:pPr>
    </w:p>
    <w:sectPr w:rsidR="00697D0C" w:rsidRPr="0024624F"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B25F1A" w14:textId="77777777" w:rsidR="0057471F" w:rsidRDefault="0057471F" w:rsidP="004A1847">
      <w:pPr>
        <w:spacing w:after="0" w:line="240" w:lineRule="auto"/>
      </w:pPr>
      <w:r>
        <w:separator/>
      </w:r>
    </w:p>
  </w:endnote>
  <w:endnote w:type="continuationSeparator" w:id="0">
    <w:p w14:paraId="4C918962" w14:textId="77777777" w:rsidR="0057471F" w:rsidRDefault="0057471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F54731" w14:textId="77777777" w:rsidR="0057471F" w:rsidRDefault="0057471F" w:rsidP="004A1847">
      <w:pPr>
        <w:spacing w:after="0" w:line="240" w:lineRule="auto"/>
      </w:pPr>
      <w:r>
        <w:separator/>
      </w:r>
    </w:p>
  </w:footnote>
  <w:footnote w:type="continuationSeparator" w:id="0">
    <w:p w14:paraId="01C37A1B" w14:textId="77777777" w:rsidR="0057471F" w:rsidRDefault="0057471F" w:rsidP="004A1847">
      <w:pPr>
        <w:spacing w:after="0" w:line="240" w:lineRule="auto"/>
      </w:pPr>
      <w:r>
        <w:continuationSeparator/>
      </w:r>
    </w:p>
  </w:footnote>
  <w:footnote w:id="1">
    <w:p w14:paraId="0FEDEC1A" w14:textId="5A977754" w:rsidR="00697D0C" w:rsidRPr="001E4D09" w:rsidRDefault="00697D0C" w:rsidP="00A84FC0">
      <w:pPr>
        <w:pStyle w:val="Textonotapie"/>
        <w:ind w:firstLine="709"/>
        <w:jc w:val="both"/>
        <w:rPr>
          <w:rFonts w:ascii="Verdana" w:hAnsi="Verdana" w:cs="Arial"/>
          <w:color w:val="000000"/>
          <w:sz w:val="12"/>
          <w:szCs w:val="12"/>
        </w:rPr>
      </w:pPr>
      <w:r w:rsidRPr="001E4D09">
        <w:rPr>
          <w:rStyle w:val="Refdenotaalpie"/>
          <w:rFonts w:ascii="Verdana" w:hAnsi="Verdana" w:cs="Arial"/>
          <w:color w:val="000000"/>
          <w:sz w:val="12"/>
          <w:szCs w:val="12"/>
        </w:rPr>
        <w:footnoteRef/>
      </w:r>
      <w:r w:rsidRPr="001E4D09">
        <w:rPr>
          <w:rStyle w:val="Refdenotaalpie"/>
          <w:rFonts w:ascii="Verdana" w:hAnsi="Verdana" w:cs="Arial"/>
          <w:color w:val="000000"/>
          <w:sz w:val="12"/>
          <w:szCs w:val="12"/>
        </w:rPr>
        <w:t xml:space="preserve"> </w:t>
      </w:r>
      <w:r w:rsidRPr="001E4D09">
        <w:rPr>
          <w:rFonts w:ascii="Verdana" w:hAnsi="Verdana" w:cs="Arial"/>
          <w:color w:val="000000"/>
          <w:sz w:val="12"/>
          <w:szCs w:val="12"/>
        </w:rPr>
        <w:t>Ley 1150 de 2007, artículo 5, parágrafo 4°: “En aquellos procesos de selección en los que se utilice el mecanismo de subasta, los documentos referentes a la futura contratación o a proponente, no necesarios para la comparación de las propuestas, deberán ser solicitados hasta el momento previo a su realización”.</w:t>
      </w:r>
    </w:p>
  </w:footnote>
  <w:footnote w:id="2">
    <w:p w14:paraId="35875CDD" w14:textId="77777777" w:rsidR="00697D0C" w:rsidRPr="001E4D09" w:rsidRDefault="00697D0C" w:rsidP="00CE00A0">
      <w:pPr>
        <w:pStyle w:val="Textonotapie"/>
        <w:jc w:val="both"/>
        <w:rPr>
          <w:rFonts w:ascii="Verdana" w:hAnsi="Verdana" w:cs="Arial"/>
          <w:color w:val="000000" w:themeColor="text1"/>
          <w:sz w:val="12"/>
          <w:szCs w:val="12"/>
        </w:rPr>
      </w:pPr>
    </w:p>
    <w:p w14:paraId="250265B3" w14:textId="77777777" w:rsidR="00697D0C" w:rsidRPr="001E4D09" w:rsidRDefault="00697D0C" w:rsidP="00697D0C">
      <w:pPr>
        <w:pStyle w:val="Textonotapie"/>
        <w:ind w:firstLine="709"/>
        <w:jc w:val="both"/>
        <w:rPr>
          <w:rFonts w:ascii="Verdana" w:hAnsi="Verdana" w:cs="Arial"/>
          <w:color w:val="000000" w:themeColor="text1"/>
          <w:sz w:val="12"/>
          <w:szCs w:val="12"/>
        </w:rPr>
      </w:pPr>
      <w:r w:rsidRPr="001E4D09">
        <w:rPr>
          <w:rStyle w:val="Refdenotaalpie"/>
          <w:rFonts w:ascii="Verdana" w:hAnsi="Verdana" w:cs="Arial"/>
          <w:color w:val="000000" w:themeColor="text1"/>
          <w:sz w:val="12"/>
          <w:szCs w:val="12"/>
        </w:rPr>
        <w:footnoteRef/>
      </w:r>
      <w:r w:rsidRPr="001E4D09">
        <w:rPr>
          <w:rStyle w:val="Refdenotaalpie"/>
          <w:rFonts w:ascii="Verdana" w:hAnsi="Verdana" w:cs="Arial"/>
          <w:color w:val="000000" w:themeColor="text1"/>
          <w:sz w:val="12"/>
          <w:szCs w:val="12"/>
        </w:rPr>
        <w:t xml:space="preserve"> </w:t>
      </w:r>
      <w:r w:rsidRPr="001E4D09">
        <w:rPr>
          <w:rFonts w:ascii="Verdana" w:hAnsi="Verdana" w:cs="Arial"/>
          <w:color w:val="000000" w:themeColor="text1"/>
          <w:sz w:val="12"/>
          <w:szCs w:val="12"/>
        </w:rPr>
        <w:t>Ley 1150 de 2007, artículo 5, parágrafo 4°: “En aquellos procesos de selección en los que se utilice el mecanismo de subasta, los documentos referentes a la futura contratación o a proponente, no necesarios para la comparación de las propuestas, deberán ser solicitados hasta el momento previo a su realización”.</w:t>
      </w:r>
    </w:p>
    <w:p w14:paraId="68044E94" w14:textId="77777777" w:rsidR="00697D0C" w:rsidRPr="00CE00A0" w:rsidRDefault="00697D0C" w:rsidP="00697D0C">
      <w:pPr>
        <w:pStyle w:val="Textonotapie"/>
        <w:ind w:firstLine="709"/>
        <w:jc w:val="both"/>
        <w:rPr>
          <w:rFonts w:ascii="Verdana" w:hAnsi="Verdana" w:cs="Arial"/>
          <w:color w:val="000000" w:themeColor="text1"/>
          <w:sz w:val="16"/>
          <w:szCs w:val="16"/>
        </w:rPr>
      </w:pPr>
    </w:p>
  </w:footnote>
  <w:footnote w:id="3">
    <w:p w14:paraId="084779B5" w14:textId="77777777" w:rsidR="00697D0C" w:rsidRDefault="00697D0C" w:rsidP="00697D0C">
      <w:pPr>
        <w:pStyle w:val="Textonotapie"/>
        <w:ind w:firstLine="709"/>
        <w:jc w:val="both"/>
        <w:rPr>
          <w:rFonts w:ascii="Verdana" w:hAnsi="Verdana" w:cs="Arial"/>
          <w:color w:val="000000"/>
          <w:sz w:val="12"/>
          <w:szCs w:val="12"/>
        </w:rPr>
      </w:pPr>
      <w:r w:rsidRPr="001E4D09">
        <w:rPr>
          <w:rStyle w:val="Refdenotaalpie"/>
          <w:rFonts w:ascii="Verdana" w:hAnsi="Verdana" w:cs="Arial"/>
          <w:color w:val="000000"/>
          <w:sz w:val="12"/>
          <w:szCs w:val="12"/>
        </w:rPr>
        <w:footnoteRef/>
      </w:r>
      <w:r w:rsidRPr="001E4D09">
        <w:rPr>
          <w:rFonts w:ascii="Verdana" w:hAnsi="Verdana" w:cs="Arial"/>
          <w:color w:val="000000"/>
          <w:sz w:val="12"/>
          <w:szCs w:val="12"/>
        </w:rPr>
        <w:t xml:space="preserve"> Sin embargo, debe tenerse en cuenta que la última norma en cita -Decreto 2474 de 2008, aparte subrayado-, establece un límite a la subsanabilidad, puesto que en cualquier caso debe referirse o recaer sobre circunstancias ocurridas antes del cierre del respectivo proceso, esto es, del vencimiento del plazo para presentar ofertas.</w:t>
      </w:r>
    </w:p>
    <w:p w14:paraId="600D71D8" w14:textId="77777777" w:rsidR="000D2873" w:rsidRPr="001E4D09" w:rsidRDefault="000D2873" w:rsidP="00697D0C">
      <w:pPr>
        <w:pStyle w:val="Textonotapie"/>
        <w:ind w:firstLine="709"/>
        <w:jc w:val="both"/>
        <w:rPr>
          <w:rFonts w:ascii="Verdana" w:hAnsi="Verdana" w:cs="Arial"/>
          <w:color w:val="000000"/>
          <w:sz w:val="12"/>
          <w:szCs w:val="12"/>
        </w:rPr>
      </w:pPr>
    </w:p>
    <w:p w14:paraId="3914C47C" w14:textId="77777777" w:rsidR="00697D0C" w:rsidRPr="001E4D09" w:rsidRDefault="00697D0C" w:rsidP="00697D0C">
      <w:pPr>
        <w:pStyle w:val="Textonotapie"/>
        <w:ind w:firstLine="709"/>
        <w:jc w:val="both"/>
        <w:rPr>
          <w:rFonts w:ascii="Verdana" w:hAnsi="Verdana" w:cs="Arial"/>
          <w:color w:val="000000"/>
          <w:sz w:val="12"/>
          <w:szCs w:val="12"/>
        </w:rPr>
      </w:pPr>
      <w:r w:rsidRPr="001E4D09">
        <w:rPr>
          <w:rFonts w:ascii="Verdana" w:hAnsi="Verdana" w:cs="Arial"/>
          <w:color w:val="000000"/>
          <w:sz w:val="12"/>
          <w:szCs w:val="12"/>
        </w:rPr>
        <w:t>De esta manera, quien se presenta al proceso de selección debe cumplir para la fecha en que ‘se cierra el proceso’ con los requisitos que se requieren para presentar la oferta, de manera que es sobre ellos y no sobre otros que se cumplan con posterioridad, sobre los que recae la posibilidad de saneamiento. Así, por ejemplo, si se requiere una experiencia x, la misma se debe tener al presentar la oferta y la Administración puede requerir al oferente para que especifique aspectos relacionados con ella (complementar certificaciones, aclarar fechas, acreditación de la misma, etc.); pero no podría, por vía de las normas en cita, extender el tiempo para avalar experiencia que sólo se llega a cumplir después del cierre del proceso contractual. O si, igualmente a manera de ejemplo, fuera necesario ser persona jurídica pero el oferente no entrega el certificado de existencia y representación legal que lo acredita o éste es demasiado antiguo, la entidad contratante podría requerir al interesado para que haga entrega del mismo o lo actualice, pero no para que se constituya la sociedad con posterioridad al cierre del proceso, pues si ello no se había hecho, significa simplemente que el oferente no tenía la condición para participar. (Consejo de Estado. Sala de Consulta y Servicio Civil. Concepto del 6 de noviembre de 2008. Expediente: 1927. Consejero Ponente: William Zambrano Cetina).</w:t>
      </w:r>
    </w:p>
    <w:p w14:paraId="6CC29792" w14:textId="77777777" w:rsidR="00697D0C" w:rsidRPr="001E4D09" w:rsidRDefault="00697D0C" w:rsidP="00697D0C">
      <w:pPr>
        <w:pStyle w:val="Textonotapie"/>
        <w:ind w:firstLine="709"/>
        <w:jc w:val="both"/>
        <w:rPr>
          <w:rFonts w:ascii="Verdana" w:hAnsi="Verdana" w:cs="Arial"/>
          <w:color w:val="000000"/>
          <w:sz w:val="12"/>
          <w:szCs w:val="12"/>
        </w:rPr>
      </w:pPr>
    </w:p>
  </w:footnote>
  <w:footnote w:id="4">
    <w:p w14:paraId="003DA3AB" w14:textId="77777777" w:rsidR="00697D0C" w:rsidRDefault="00697D0C" w:rsidP="00697D0C">
      <w:pPr>
        <w:pStyle w:val="Textonotapie"/>
        <w:ind w:firstLine="709"/>
        <w:jc w:val="both"/>
        <w:rPr>
          <w:rFonts w:ascii="Verdana" w:hAnsi="Verdana" w:cs="Arial"/>
          <w:color w:val="000000"/>
          <w:sz w:val="12"/>
          <w:szCs w:val="12"/>
        </w:rPr>
      </w:pPr>
      <w:r w:rsidRPr="001E4D09">
        <w:rPr>
          <w:rStyle w:val="Refdenotaalpie"/>
          <w:rFonts w:ascii="Verdana" w:hAnsi="Verdana" w:cs="Arial"/>
          <w:sz w:val="12"/>
          <w:szCs w:val="12"/>
        </w:rPr>
        <w:footnoteRef/>
      </w:r>
      <w:r w:rsidRPr="001E4D09">
        <w:rPr>
          <w:rFonts w:ascii="Verdana" w:hAnsi="Verdana" w:cs="Arial"/>
          <w:sz w:val="12"/>
          <w:szCs w:val="12"/>
        </w:rPr>
        <w:t xml:space="preserve"> </w:t>
      </w:r>
      <w:r w:rsidRPr="001E4D09">
        <w:rPr>
          <w:rFonts w:ascii="Verdana" w:hAnsi="Verdana" w:cs="Arial"/>
          <w:color w:val="000000"/>
          <w:sz w:val="12"/>
          <w:szCs w:val="12"/>
        </w:rPr>
        <w:t xml:space="preserve">En armonía con lo anterior, actualmente la Circular Externa Única de Colombia Compra Eficiente señala lo siguiente: “De otro lado, cabe destacar que, de conformidad con el artículo 5 de la Ley 1882 de 2018, durante el término otorgado para subsanar, los proponentes no podrán acreditar circunstancias ocurridas luego del cierre del proceso. De esta manera, es subsanable la prueba de todas las circunstancias ocurridas antes del vencimiento del término para presentar las ofertas, por lo que no se podrán acreditar circunstancias ocurridas con posterioridad a dicho momento. </w:t>
      </w:r>
    </w:p>
    <w:p w14:paraId="7111B082" w14:textId="77777777" w:rsidR="001B5DDC" w:rsidRPr="001E4D09" w:rsidRDefault="001B5DDC" w:rsidP="00697D0C">
      <w:pPr>
        <w:pStyle w:val="Textonotapie"/>
        <w:ind w:firstLine="709"/>
        <w:jc w:val="both"/>
        <w:rPr>
          <w:rFonts w:ascii="Verdana" w:hAnsi="Verdana" w:cs="Arial"/>
          <w:color w:val="000000"/>
          <w:sz w:val="12"/>
          <w:szCs w:val="12"/>
        </w:rPr>
      </w:pPr>
    </w:p>
    <w:p w14:paraId="57BC92B0" w14:textId="351450F9" w:rsidR="00697D0C" w:rsidRPr="001E4D09" w:rsidRDefault="00697D0C" w:rsidP="00697D0C">
      <w:pPr>
        <w:pStyle w:val="Textonotapie"/>
        <w:ind w:firstLine="709"/>
        <w:jc w:val="both"/>
        <w:rPr>
          <w:rStyle w:val="Hipervnculo"/>
          <w:rFonts w:ascii="Verdana" w:hAnsi="Verdana" w:cs="Arial"/>
          <w:color w:val="000000"/>
          <w:sz w:val="12"/>
          <w:szCs w:val="12"/>
        </w:rPr>
      </w:pPr>
      <w:r w:rsidRPr="001E4D09">
        <w:rPr>
          <w:rFonts w:ascii="Verdana" w:hAnsi="Verdana" w:cs="Arial"/>
          <w:color w:val="000000"/>
          <w:sz w:val="12"/>
          <w:szCs w:val="12"/>
        </w:rPr>
        <w:t xml:space="preserve">Lo anterior quiere decir que no es la prueba lo que debe ser anterior al cierre del proceso, sino el hecho que esta acredita. En ese sentido, ante la solicitud de la Administración de subsanar un requisito, el documento podría estar fechado con posterioridad al vencimiento del término para recibir propuestas, con la condición de que el hecho que acredite haya ocurrido antes, esto es, que no sea una circunstancia ocurrida con posterioridad al cierre del proceso. Un mejor entendimiento del significado de la expresión «circunstancias ocurridas con posterioridad al cierre del proceso» implica distinguir entre la prueba de un hecho y el hecho mismo. En el caso de la subsanabilidad de las ofertas, una cosa es el requisito habilitante o el elemento de la propuesta que permite cumplir determinada exigencia del pliego de condiciones –o documento equivalente– y otra su prueba. Lo que prohíbe la norma es que se subsanen requisitos que no estaban materialmente cumplidos al momento del cierre del proceso”. Disponible en: </w:t>
      </w:r>
      <w:hyperlink r:id="rId1" w:history="1">
        <w:r w:rsidRPr="001E4D09">
          <w:rPr>
            <w:rStyle w:val="Hipervnculo"/>
            <w:rFonts w:ascii="Verdana" w:hAnsi="Verdana" w:cs="Arial"/>
            <w:sz w:val="12"/>
            <w:szCs w:val="12"/>
          </w:rPr>
          <w:t>https://www.colombiacompra.gov.co/circulares?page=2</w:t>
        </w:r>
      </w:hyperlink>
      <w:r w:rsidRPr="001E4D09">
        <w:rPr>
          <w:rStyle w:val="Hipervnculo"/>
          <w:rFonts w:ascii="Verdana" w:hAnsi="Verdana" w:cs="Arial"/>
          <w:color w:val="000000"/>
          <w:sz w:val="12"/>
          <w:szCs w:val="12"/>
        </w:rPr>
        <w:t xml:space="preserve"> </w:t>
      </w:r>
    </w:p>
    <w:p w14:paraId="67732ED4" w14:textId="77777777" w:rsidR="00A84FC0" w:rsidRPr="001E4D09" w:rsidRDefault="00A84FC0" w:rsidP="00697D0C">
      <w:pPr>
        <w:pStyle w:val="Textonotapie"/>
        <w:ind w:firstLine="709"/>
        <w:jc w:val="both"/>
        <w:rPr>
          <w:rFonts w:ascii="Verdana" w:hAnsi="Verdana" w:cs="Arial"/>
          <w:color w:val="000000"/>
          <w:sz w:val="12"/>
          <w:szCs w:val="12"/>
        </w:rPr>
      </w:pPr>
    </w:p>
  </w:footnote>
  <w:footnote w:id="5">
    <w:p w14:paraId="78545349" w14:textId="77777777" w:rsidR="00697D0C" w:rsidRPr="001E4D09" w:rsidRDefault="00697D0C" w:rsidP="00697D0C">
      <w:pPr>
        <w:pStyle w:val="Textonotapie"/>
        <w:ind w:firstLine="708"/>
        <w:jc w:val="both"/>
        <w:rPr>
          <w:rFonts w:ascii="Verdana" w:hAnsi="Verdana" w:cs="Arial"/>
          <w:color w:val="000000"/>
          <w:sz w:val="12"/>
          <w:szCs w:val="12"/>
        </w:rPr>
      </w:pPr>
      <w:r w:rsidRPr="001E4D09">
        <w:rPr>
          <w:rStyle w:val="Refdenotaalpie"/>
          <w:rFonts w:ascii="Verdana" w:hAnsi="Verdana" w:cs="Arial"/>
          <w:color w:val="000000"/>
          <w:sz w:val="12"/>
          <w:szCs w:val="12"/>
        </w:rPr>
        <w:footnoteRef/>
      </w:r>
      <w:r w:rsidRPr="001E4D09">
        <w:rPr>
          <w:rFonts w:ascii="Verdana" w:hAnsi="Verdana" w:cs="Arial"/>
          <w:color w:val="000000"/>
          <w:sz w:val="12"/>
          <w:szCs w:val="12"/>
        </w:rPr>
        <w:t xml:space="preserve"> CONSEJO DE ESTADO. Sala de Consulta y Servicio Civil. Concepto del 20 de mayo de 2010. Expediente: 1992. Consejero Ponente: Enrique José Arboleda Perdomo.</w:t>
      </w:r>
    </w:p>
    <w:p w14:paraId="560C0E94" w14:textId="77777777" w:rsidR="00697D0C" w:rsidRPr="001E4D09" w:rsidRDefault="00697D0C" w:rsidP="00697D0C">
      <w:pPr>
        <w:pStyle w:val="Textonotapie"/>
        <w:ind w:firstLine="708"/>
        <w:jc w:val="both"/>
        <w:rPr>
          <w:rFonts w:ascii="Verdana" w:hAnsi="Verdana" w:cs="Arial"/>
          <w:color w:val="000000"/>
          <w:sz w:val="12"/>
          <w:szCs w:val="12"/>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FC32C08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20080157">
    <w:abstractNumId w:val="6"/>
  </w:num>
  <w:num w:numId="2" w16cid:durableId="1789471343">
    <w:abstractNumId w:val="2"/>
  </w:num>
  <w:num w:numId="3" w16cid:durableId="212041460">
    <w:abstractNumId w:val="4"/>
  </w:num>
  <w:num w:numId="4" w16cid:durableId="73212546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467358036">
    <w:abstractNumId w:val="2"/>
  </w:num>
  <w:num w:numId="6" w16cid:durableId="742527592">
    <w:abstractNumId w:val="14"/>
  </w:num>
  <w:num w:numId="7" w16cid:durableId="667443024">
    <w:abstractNumId w:val="5"/>
  </w:num>
  <w:num w:numId="8" w16cid:durableId="427846324">
    <w:abstractNumId w:val="13"/>
  </w:num>
  <w:num w:numId="9" w16cid:durableId="535897485">
    <w:abstractNumId w:val="7"/>
  </w:num>
  <w:num w:numId="10" w16cid:durableId="394745402">
    <w:abstractNumId w:val="12"/>
  </w:num>
  <w:num w:numId="11" w16cid:durableId="1240018892">
    <w:abstractNumId w:val="8"/>
  </w:num>
  <w:num w:numId="12" w16cid:durableId="1574778980">
    <w:abstractNumId w:val="1"/>
  </w:num>
  <w:num w:numId="13" w16cid:durableId="104927414">
    <w:abstractNumId w:val="3"/>
  </w:num>
  <w:num w:numId="14" w16cid:durableId="1553734431">
    <w:abstractNumId w:val="15"/>
  </w:num>
  <w:num w:numId="15" w16cid:durableId="1255473718">
    <w:abstractNumId w:val="11"/>
  </w:num>
  <w:num w:numId="16" w16cid:durableId="625475744">
    <w:abstractNumId w:val="0"/>
  </w:num>
  <w:num w:numId="17" w16cid:durableId="1651132100">
    <w:abstractNumId w:val="10"/>
  </w:num>
  <w:num w:numId="18" w16cid:durableId="15816693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84FA8"/>
    <w:rsid w:val="000A683E"/>
    <w:rsid w:val="000B19B9"/>
    <w:rsid w:val="000D0334"/>
    <w:rsid w:val="000D2873"/>
    <w:rsid w:val="000D5DA7"/>
    <w:rsid w:val="000F6486"/>
    <w:rsid w:val="00116940"/>
    <w:rsid w:val="00125105"/>
    <w:rsid w:val="00127233"/>
    <w:rsid w:val="00145CBA"/>
    <w:rsid w:val="00153D5B"/>
    <w:rsid w:val="0015699B"/>
    <w:rsid w:val="001646BD"/>
    <w:rsid w:val="001A33BF"/>
    <w:rsid w:val="001B5DDC"/>
    <w:rsid w:val="001E4177"/>
    <w:rsid w:val="001E4D09"/>
    <w:rsid w:val="001F0B24"/>
    <w:rsid w:val="001F7DC6"/>
    <w:rsid w:val="002040BF"/>
    <w:rsid w:val="00213F68"/>
    <w:rsid w:val="0022400B"/>
    <w:rsid w:val="002247FF"/>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2F47"/>
    <w:rsid w:val="003A779E"/>
    <w:rsid w:val="003D0F4D"/>
    <w:rsid w:val="003D5B0D"/>
    <w:rsid w:val="003E0499"/>
    <w:rsid w:val="003E4F80"/>
    <w:rsid w:val="003E6439"/>
    <w:rsid w:val="003F3941"/>
    <w:rsid w:val="00406575"/>
    <w:rsid w:val="00414C74"/>
    <w:rsid w:val="0042722E"/>
    <w:rsid w:val="004419BC"/>
    <w:rsid w:val="0044528D"/>
    <w:rsid w:val="00464A5F"/>
    <w:rsid w:val="00466E39"/>
    <w:rsid w:val="004976AF"/>
    <w:rsid w:val="004A1847"/>
    <w:rsid w:val="004A305D"/>
    <w:rsid w:val="004F21C4"/>
    <w:rsid w:val="004F685F"/>
    <w:rsid w:val="005261FF"/>
    <w:rsid w:val="005566E8"/>
    <w:rsid w:val="0057471F"/>
    <w:rsid w:val="00574867"/>
    <w:rsid w:val="0058232A"/>
    <w:rsid w:val="00591460"/>
    <w:rsid w:val="005A65E0"/>
    <w:rsid w:val="005A6B64"/>
    <w:rsid w:val="005C3777"/>
    <w:rsid w:val="005C5CDC"/>
    <w:rsid w:val="005D476C"/>
    <w:rsid w:val="006200BF"/>
    <w:rsid w:val="006219F8"/>
    <w:rsid w:val="006302F7"/>
    <w:rsid w:val="00646B9F"/>
    <w:rsid w:val="006614C9"/>
    <w:rsid w:val="00665D70"/>
    <w:rsid w:val="006900D9"/>
    <w:rsid w:val="0069400F"/>
    <w:rsid w:val="00697D0C"/>
    <w:rsid w:val="006B2B53"/>
    <w:rsid w:val="006E0DFD"/>
    <w:rsid w:val="00706C16"/>
    <w:rsid w:val="007235AE"/>
    <w:rsid w:val="007340C3"/>
    <w:rsid w:val="0075235A"/>
    <w:rsid w:val="00756841"/>
    <w:rsid w:val="007649AB"/>
    <w:rsid w:val="00771D0C"/>
    <w:rsid w:val="007833AC"/>
    <w:rsid w:val="007B268C"/>
    <w:rsid w:val="007B7171"/>
    <w:rsid w:val="007C0C0F"/>
    <w:rsid w:val="007C3DC2"/>
    <w:rsid w:val="007E5497"/>
    <w:rsid w:val="007F5B17"/>
    <w:rsid w:val="00806F5F"/>
    <w:rsid w:val="00820278"/>
    <w:rsid w:val="008258C9"/>
    <w:rsid w:val="00844AE9"/>
    <w:rsid w:val="00867F95"/>
    <w:rsid w:val="008751B2"/>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59F1"/>
    <w:rsid w:val="009C71FA"/>
    <w:rsid w:val="009C72E7"/>
    <w:rsid w:val="009C7F7E"/>
    <w:rsid w:val="009D3058"/>
    <w:rsid w:val="009F3A13"/>
    <w:rsid w:val="00A122D3"/>
    <w:rsid w:val="00A14468"/>
    <w:rsid w:val="00A17F13"/>
    <w:rsid w:val="00A20739"/>
    <w:rsid w:val="00A23AF9"/>
    <w:rsid w:val="00A33C78"/>
    <w:rsid w:val="00A709CE"/>
    <w:rsid w:val="00A83DE9"/>
    <w:rsid w:val="00A84FC0"/>
    <w:rsid w:val="00A86D26"/>
    <w:rsid w:val="00AB0ADB"/>
    <w:rsid w:val="00B00C0E"/>
    <w:rsid w:val="00B01B1A"/>
    <w:rsid w:val="00B0381D"/>
    <w:rsid w:val="00B26E07"/>
    <w:rsid w:val="00B44A47"/>
    <w:rsid w:val="00B627B7"/>
    <w:rsid w:val="00B6393D"/>
    <w:rsid w:val="00B72CD3"/>
    <w:rsid w:val="00B72FFF"/>
    <w:rsid w:val="00B75D88"/>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C57A2"/>
    <w:rsid w:val="00CE00A0"/>
    <w:rsid w:val="00CE2F3B"/>
    <w:rsid w:val="00D01FC3"/>
    <w:rsid w:val="00D11825"/>
    <w:rsid w:val="00D13A8A"/>
    <w:rsid w:val="00D361FD"/>
    <w:rsid w:val="00D423A2"/>
    <w:rsid w:val="00D44E26"/>
    <w:rsid w:val="00D520D8"/>
    <w:rsid w:val="00D63AC2"/>
    <w:rsid w:val="00D7383B"/>
    <w:rsid w:val="00D7788A"/>
    <w:rsid w:val="00DA231B"/>
    <w:rsid w:val="00DC39FC"/>
    <w:rsid w:val="00DF5254"/>
    <w:rsid w:val="00E02524"/>
    <w:rsid w:val="00E15963"/>
    <w:rsid w:val="00E16408"/>
    <w:rsid w:val="00E20894"/>
    <w:rsid w:val="00E245AB"/>
    <w:rsid w:val="00E24E6F"/>
    <w:rsid w:val="00E2764C"/>
    <w:rsid w:val="00E27F2E"/>
    <w:rsid w:val="00E45C01"/>
    <w:rsid w:val="00E50AFE"/>
    <w:rsid w:val="00E75C92"/>
    <w:rsid w:val="00E771DC"/>
    <w:rsid w:val="00E8772A"/>
    <w:rsid w:val="00E90F6B"/>
    <w:rsid w:val="00E92C27"/>
    <w:rsid w:val="00EA0E3D"/>
    <w:rsid w:val="00EA7134"/>
    <w:rsid w:val="00EC38A7"/>
    <w:rsid w:val="00EE1AA8"/>
    <w:rsid w:val="00F23FEA"/>
    <w:rsid w:val="00F31EDC"/>
    <w:rsid w:val="00F462B3"/>
    <w:rsid w:val="00F5664F"/>
    <w:rsid w:val="00F666C4"/>
    <w:rsid w:val="00F76AFC"/>
    <w:rsid w:val="00F96601"/>
    <w:rsid w:val="00FA2DE7"/>
    <w:rsid w:val="00FA47C0"/>
    <w:rsid w:val="00FB5DD1"/>
    <w:rsid w:val="00FC2B5D"/>
    <w:rsid w:val="00FF1449"/>
    <w:rsid w:val="00FF7963"/>
    <w:rsid w:val="09908A09"/>
    <w:rsid w:val="09C6B37E"/>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53DB0FF4-0219-4EDB-B711-7231E664EA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697D0C"/>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97D0C"/>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ventanilladeradicacion@colombiacompra.gov.c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colombiacompra.gov.co/sites/cce_public/files/cce_circulares/circular_externa_unica_version_3_vf49.pdf"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agoberto.henao@agencialogistica.gov.co" TargetMode="External"/><Relationship Id="rId5" Type="http://schemas.openxmlformats.org/officeDocument/2006/relationships/styles" Target="styles.xml"/><Relationship Id="rId15" Type="http://schemas.openxmlformats.org/officeDocument/2006/relationships/hyperlink" Target="https://forms.office.com/r/pPHyWVs2SZ"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pqrsd/informacion-importante-antes-de-formular-una-pqrsd"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circulares?page=2"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541AA77A-4252-405D-8BE1-02BD438398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14</TotalTime>
  <Pages>16</Pages>
  <Words>5536</Words>
  <Characters>29342</Characters>
  <Application>Microsoft Office Word</Application>
  <DocSecurity>0</DocSecurity>
  <Lines>598</Lines>
  <Paragraphs>125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34753</CharactersWithSpaces>
  <SharedDoc>false</SharedDoc>
  <HLinks>
    <vt:vector size="36" baseType="variant">
      <vt:variant>
        <vt:i4>4456513</vt:i4>
      </vt:variant>
      <vt:variant>
        <vt:i4>12</vt:i4>
      </vt:variant>
      <vt:variant>
        <vt:i4>0</vt:i4>
      </vt:variant>
      <vt:variant>
        <vt:i4>5</vt:i4>
      </vt:variant>
      <vt:variant>
        <vt:lpwstr>https://forms.office.com/r/pPHyWVs2SZ</vt:lpwstr>
      </vt:variant>
      <vt:variant>
        <vt:lpwstr/>
      </vt:variant>
      <vt:variant>
        <vt:i4>3407926</vt:i4>
      </vt:variant>
      <vt:variant>
        <vt:i4>9</vt:i4>
      </vt:variant>
      <vt:variant>
        <vt:i4>0</vt:i4>
      </vt:variant>
      <vt:variant>
        <vt:i4>5</vt:i4>
      </vt:variant>
      <vt:variant>
        <vt:lpwstr>https://www.colombiacompra.gov.co/pqrsd/informacion-importante-antes-de-formular-una-pqrsd</vt:lpwstr>
      </vt:variant>
      <vt:variant>
        <vt:lpwstr/>
      </vt:variant>
      <vt:variant>
        <vt:i4>4980779</vt:i4>
      </vt:variant>
      <vt:variant>
        <vt:i4>6</vt:i4>
      </vt:variant>
      <vt:variant>
        <vt:i4>0</vt:i4>
      </vt:variant>
      <vt:variant>
        <vt:i4>5</vt:i4>
      </vt:variant>
      <vt:variant>
        <vt:lpwstr>mailto:ventanilladeradicacion@colombiacompra.gov.co</vt:lpwstr>
      </vt:variant>
      <vt:variant>
        <vt:lpwstr/>
      </vt:variant>
      <vt:variant>
        <vt:i4>3604507</vt:i4>
      </vt:variant>
      <vt:variant>
        <vt:i4>3</vt:i4>
      </vt:variant>
      <vt:variant>
        <vt:i4>0</vt:i4>
      </vt:variant>
      <vt:variant>
        <vt:i4>5</vt:i4>
      </vt:variant>
      <vt:variant>
        <vt:lpwstr>https://colombiacompra.gov.co/sites/cce_public/files/cce_circulares/circular_externa_unica_version_3_vf49.pdf</vt:lpwstr>
      </vt:variant>
      <vt:variant>
        <vt:lpwstr/>
      </vt:variant>
      <vt:variant>
        <vt:i4>6291549</vt:i4>
      </vt:variant>
      <vt:variant>
        <vt:i4>0</vt:i4>
      </vt:variant>
      <vt:variant>
        <vt:i4>0</vt:i4>
      </vt:variant>
      <vt:variant>
        <vt:i4>5</vt:i4>
      </vt:variant>
      <vt:variant>
        <vt:lpwstr>mailto:dagoberto.henao@agencialogistica.gov.co</vt:lpwstr>
      </vt:variant>
      <vt:variant>
        <vt:lpwstr/>
      </vt:variant>
      <vt:variant>
        <vt:i4>2424940</vt:i4>
      </vt:variant>
      <vt:variant>
        <vt:i4>0</vt:i4>
      </vt:variant>
      <vt:variant>
        <vt:i4>0</vt:i4>
      </vt:variant>
      <vt:variant>
        <vt:i4>5</vt:i4>
      </vt:variant>
      <vt:variant>
        <vt:lpwstr>https://www.colombiacompra.gov.co/circulares?page=2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2023-01-11T00:18:00Z</cp:lastPrinted>
  <dcterms:created xsi:type="dcterms:W3CDTF">2025-12-15T15:58:00Z</dcterms:created>
  <dcterms:modified xsi:type="dcterms:W3CDTF">2025-12-15T19:02:00Z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