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B6841" w14:textId="60B209F9" w:rsidR="00987096" w:rsidRPr="00A56C1F" w:rsidRDefault="00987096" w:rsidP="00987096">
      <w:pPr>
        <w:jc w:val="both"/>
        <w:rPr>
          <w:rFonts w:ascii="Verdana" w:eastAsia="Calibri" w:hAnsi="Verdana" w:cs="Arial"/>
          <w:b/>
          <w:lang w:val="es-ES_tradnl"/>
        </w:rPr>
      </w:pPr>
      <w:bookmarkStart w:id="0" w:name="_Hlk143780582"/>
      <w:r w:rsidRPr="00A56C1F">
        <w:rPr>
          <w:rFonts w:ascii="Verdana" w:eastAsia="Calibri" w:hAnsi="Verdana" w:cs="Arial"/>
          <w:b/>
          <w:lang w:val="es-ES_tradnl"/>
        </w:rPr>
        <w:t xml:space="preserve">EXPERIENCIA – Requisito habilitante </w:t>
      </w:r>
    </w:p>
    <w:p w14:paraId="29357A50" w14:textId="759A4AEF" w:rsidR="00A56C1F" w:rsidRDefault="00A56C1F" w:rsidP="00987096">
      <w:pPr>
        <w:jc w:val="both"/>
        <w:rPr>
          <w:rFonts w:ascii="Verdana" w:eastAsia="Calibri" w:hAnsi="Verdana" w:cs="Arial"/>
          <w:bCs/>
          <w:lang w:val="es-ES_tradnl"/>
        </w:rPr>
      </w:pPr>
      <w:r w:rsidRPr="00C53B88">
        <w:rPr>
          <w:rFonts w:ascii="Verdana" w:eastAsia="Calibri" w:hAnsi="Verdana" w:cs="Arial"/>
        </w:rPr>
        <w:t>La Ley 1150 de 2007, en el artículo 5, establece los requisitos habilitantes para participar en un procedimiento contractual,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 En ese sentido,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r>
        <w:rPr>
          <w:rFonts w:ascii="Verdana" w:eastAsia="Calibri" w:hAnsi="Verdana" w:cs="Arial"/>
        </w:rPr>
        <w:t>.</w:t>
      </w:r>
    </w:p>
    <w:p w14:paraId="3290E05D" w14:textId="270F7DB6" w:rsidR="00987096" w:rsidRDefault="00987096" w:rsidP="00987096">
      <w:pPr>
        <w:jc w:val="both"/>
        <w:rPr>
          <w:rFonts w:ascii="Verdana" w:eastAsia="Calibri" w:hAnsi="Verdana" w:cs="Arial"/>
          <w:b/>
          <w:lang w:val="es-ES_tradnl"/>
        </w:rPr>
      </w:pPr>
      <w:r w:rsidRPr="00A56C1F">
        <w:rPr>
          <w:rFonts w:ascii="Verdana" w:eastAsia="Calibri" w:hAnsi="Verdana" w:cs="Arial"/>
          <w:b/>
          <w:lang w:val="es-ES_tradnl"/>
        </w:rPr>
        <w:t xml:space="preserve">EXPERIENCIA – Transferencia – Accionistas, socios o constituyentes – Decreto 1082 de 2015 </w:t>
      </w:r>
    </w:p>
    <w:p w14:paraId="0811321B" w14:textId="77777777" w:rsidR="00A56C1F" w:rsidRPr="00C53B88" w:rsidRDefault="00A56C1F" w:rsidP="00A56C1F">
      <w:pPr>
        <w:spacing w:before="120" w:after="120" w:line="276" w:lineRule="auto"/>
        <w:jc w:val="both"/>
        <w:rPr>
          <w:rFonts w:ascii="Verdana" w:eastAsia="Times New Roman" w:hAnsi="Verdana" w:cs="Arial"/>
          <w:lang w:val="es-MX" w:eastAsia="es-ES_tradnl"/>
        </w:rPr>
      </w:pPr>
      <w:r w:rsidRPr="00C53B88">
        <w:rPr>
          <w:rFonts w:ascii="Verdana" w:eastAsia="Times New Roman" w:hAnsi="Verdana" w:cs="Arial"/>
          <w:lang w:val="es-MX" w:eastAsia="es-ES_tradnl"/>
        </w:rPr>
        <w:t xml:space="preserve">Esta medida diferenciada </w:t>
      </w:r>
      <w:bookmarkStart w:id="1" w:name="_Hlk116028985"/>
      <w:r w:rsidRPr="00C53B88">
        <w:rPr>
          <w:rFonts w:ascii="Verdana" w:eastAsia="Times New Roman" w:hAnsi="Verdana" w:cs="Arial"/>
          <w:lang w:val="es-MX" w:eastAsia="es-ES_tradnl"/>
        </w:rPr>
        <w:t>permite que las sociedades que no cuentan con la experiencia suficiente para contratar con el Estado puedan apoyarse en la experiencia de sus accionistas, socios o constituyentes con el fin de incentivar la competencia en la contratación estatal</w:t>
      </w:r>
      <w:bookmarkEnd w:id="1"/>
      <w:r w:rsidRPr="00C53B88">
        <w:rPr>
          <w:rFonts w:ascii="Verdana" w:eastAsia="Times New Roman" w:hAnsi="Verdana" w:cs="Arial"/>
          <w:lang w:val="es-MX" w:eastAsia="es-ES_tradnl"/>
        </w:rPr>
        <w:t>. Así las cosas, el socio transfiere la experiencia adquirida directamente a la sociedad de la que es parte, para que esta, como persona jurídica independiente, pueda cumplir con los requisitos habilitantes que establezcan las entidades estatales en sus procesos de contratación, y de esta forma promover el desarrollo de la empresa y la pluralidad de oferentes en la contratación pública.</w:t>
      </w:r>
    </w:p>
    <w:p w14:paraId="01690165" w14:textId="16BBDD4C" w:rsidR="00987096" w:rsidRDefault="00987096" w:rsidP="00987096">
      <w:pPr>
        <w:jc w:val="both"/>
        <w:rPr>
          <w:rFonts w:ascii="Verdana" w:eastAsia="Calibri" w:hAnsi="Verdana" w:cs="Arial"/>
          <w:b/>
          <w:lang w:val="es-ES_tradnl"/>
        </w:rPr>
      </w:pPr>
      <w:r w:rsidRPr="00A56C1F">
        <w:rPr>
          <w:rFonts w:ascii="Verdana" w:eastAsia="Calibri" w:hAnsi="Verdana" w:cs="Arial"/>
          <w:b/>
          <w:lang w:val="es-ES_tradnl"/>
        </w:rPr>
        <w:t xml:space="preserve">EXPERIENCIA ‒ Conservación ‒ Renovación RUP </w:t>
      </w:r>
    </w:p>
    <w:p w14:paraId="0849BA0E" w14:textId="3F85EEBA" w:rsidR="00A56C1F" w:rsidRPr="00C53B88" w:rsidRDefault="00A56C1F" w:rsidP="00A56C1F">
      <w:pPr>
        <w:jc w:val="both"/>
        <w:rPr>
          <w:rFonts w:ascii="Verdana" w:eastAsia="Calibri" w:hAnsi="Verdana" w:cs="Arial"/>
        </w:rPr>
      </w:pPr>
      <w:r w:rsidRPr="00C53B88">
        <w:rPr>
          <w:rFonts w:ascii="Verdana" w:eastAsia="Calibri" w:hAnsi="Verdana" w:cs="Arial"/>
        </w:rPr>
        <w:t xml:space="preserve">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 Tales documentos deben codificarse con el clasificador de bienes y servicios en el tercer nivel.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Por lo anterior, es </w:t>
      </w:r>
      <w:r w:rsidRPr="00C53B88">
        <w:rPr>
          <w:rFonts w:ascii="Verdana" w:eastAsia="Calibri" w:hAnsi="Verdana" w:cs="Arial"/>
        </w:rPr>
        <w:lastRenderedPageBreak/>
        <w:t>pertinente aclarar que los códigos del clasificador de bienes y servicios ayudan a que exista un lenguaje común en la denominación de los bienes, obras o servicios que los proveedores ofrecen y que las entidades solicitan, sin que la entidad los evalúe, ya que lo que es objeto de evaluación es la experiencia clasificada de esta forma.</w:t>
      </w:r>
    </w:p>
    <w:p w14:paraId="40257BE2" w14:textId="10242B37" w:rsidR="00A56C1F" w:rsidRDefault="00A56C1F" w:rsidP="00987096">
      <w:pPr>
        <w:jc w:val="both"/>
        <w:rPr>
          <w:rFonts w:ascii="Verdana" w:eastAsia="Calibri" w:hAnsi="Verdana" w:cs="Arial"/>
          <w:b/>
          <w:lang w:val="es-ES_tradnl"/>
        </w:rPr>
      </w:pPr>
    </w:p>
    <w:p w14:paraId="569AA80F" w14:textId="062E2171" w:rsidR="00A56C1F" w:rsidRDefault="00A56C1F" w:rsidP="00987096">
      <w:pPr>
        <w:jc w:val="both"/>
        <w:rPr>
          <w:rFonts w:ascii="Verdana" w:eastAsia="Calibri" w:hAnsi="Verdana" w:cs="Arial"/>
          <w:b/>
          <w:lang w:val="es-ES_tradnl"/>
        </w:rPr>
      </w:pPr>
    </w:p>
    <w:p w14:paraId="32C5A54C" w14:textId="636325C1" w:rsidR="00A56C1F" w:rsidRDefault="00A56C1F" w:rsidP="00987096">
      <w:pPr>
        <w:jc w:val="both"/>
        <w:rPr>
          <w:rFonts w:ascii="Verdana" w:eastAsia="Calibri" w:hAnsi="Verdana" w:cs="Arial"/>
          <w:b/>
          <w:lang w:val="es-ES_tradnl"/>
        </w:rPr>
      </w:pPr>
    </w:p>
    <w:p w14:paraId="6DAC5273" w14:textId="06E3F0DB" w:rsidR="00A56C1F" w:rsidRDefault="00A56C1F" w:rsidP="00987096">
      <w:pPr>
        <w:jc w:val="both"/>
        <w:rPr>
          <w:rFonts w:ascii="Verdana" w:eastAsia="Calibri" w:hAnsi="Verdana" w:cs="Arial"/>
          <w:b/>
          <w:lang w:val="es-ES_tradnl"/>
        </w:rPr>
      </w:pPr>
    </w:p>
    <w:p w14:paraId="719BA466" w14:textId="7AFEC8A6" w:rsidR="00A56C1F" w:rsidRDefault="00A56C1F" w:rsidP="00987096">
      <w:pPr>
        <w:jc w:val="both"/>
        <w:rPr>
          <w:rFonts w:ascii="Verdana" w:eastAsia="Calibri" w:hAnsi="Verdana" w:cs="Arial"/>
          <w:b/>
          <w:lang w:val="es-ES_tradnl"/>
        </w:rPr>
      </w:pPr>
    </w:p>
    <w:p w14:paraId="1B648237" w14:textId="79E43FD5" w:rsidR="00A56C1F" w:rsidRDefault="00A56C1F" w:rsidP="00987096">
      <w:pPr>
        <w:jc w:val="both"/>
        <w:rPr>
          <w:rFonts w:ascii="Verdana" w:eastAsia="Calibri" w:hAnsi="Verdana" w:cs="Arial"/>
          <w:b/>
          <w:lang w:val="es-ES_tradnl"/>
        </w:rPr>
      </w:pPr>
    </w:p>
    <w:p w14:paraId="4471D600" w14:textId="5E2B8F25" w:rsidR="00A56C1F" w:rsidRDefault="00A56C1F" w:rsidP="00987096">
      <w:pPr>
        <w:jc w:val="both"/>
        <w:rPr>
          <w:rFonts w:ascii="Verdana" w:eastAsia="Calibri" w:hAnsi="Verdana" w:cs="Arial"/>
          <w:b/>
          <w:lang w:val="es-ES_tradnl"/>
        </w:rPr>
      </w:pPr>
    </w:p>
    <w:p w14:paraId="481F73C7" w14:textId="79A9845D" w:rsidR="00A56C1F" w:rsidRDefault="00A56C1F" w:rsidP="00987096">
      <w:pPr>
        <w:jc w:val="both"/>
        <w:rPr>
          <w:rFonts w:ascii="Verdana" w:eastAsia="Calibri" w:hAnsi="Verdana" w:cs="Arial"/>
          <w:b/>
          <w:lang w:val="es-ES_tradnl"/>
        </w:rPr>
      </w:pPr>
    </w:p>
    <w:p w14:paraId="7747D347" w14:textId="19812F6D" w:rsidR="00A56C1F" w:rsidRDefault="00A56C1F" w:rsidP="00987096">
      <w:pPr>
        <w:jc w:val="both"/>
        <w:rPr>
          <w:rFonts w:ascii="Verdana" w:eastAsia="Calibri" w:hAnsi="Verdana" w:cs="Arial"/>
          <w:b/>
          <w:lang w:val="es-ES_tradnl"/>
        </w:rPr>
      </w:pPr>
    </w:p>
    <w:p w14:paraId="0C0519FB" w14:textId="3AC25A32" w:rsidR="00A56C1F" w:rsidRDefault="00A56C1F" w:rsidP="00987096">
      <w:pPr>
        <w:jc w:val="both"/>
        <w:rPr>
          <w:rFonts w:ascii="Verdana" w:eastAsia="Calibri" w:hAnsi="Verdana" w:cs="Arial"/>
          <w:b/>
          <w:lang w:val="es-ES_tradnl"/>
        </w:rPr>
      </w:pPr>
    </w:p>
    <w:p w14:paraId="4D0B09DA" w14:textId="3B85DA4B" w:rsidR="00A56C1F" w:rsidRDefault="00A56C1F" w:rsidP="00987096">
      <w:pPr>
        <w:jc w:val="both"/>
        <w:rPr>
          <w:rFonts w:ascii="Verdana" w:eastAsia="Calibri" w:hAnsi="Verdana" w:cs="Arial"/>
          <w:b/>
          <w:lang w:val="es-ES_tradnl"/>
        </w:rPr>
      </w:pPr>
    </w:p>
    <w:p w14:paraId="191450E1" w14:textId="3B6F9537" w:rsidR="00A56C1F" w:rsidRDefault="00A56C1F" w:rsidP="00987096">
      <w:pPr>
        <w:jc w:val="both"/>
        <w:rPr>
          <w:rFonts w:ascii="Verdana" w:eastAsia="Calibri" w:hAnsi="Verdana" w:cs="Arial"/>
          <w:b/>
          <w:lang w:val="es-ES_tradnl"/>
        </w:rPr>
      </w:pPr>
    </w:p>
    <w:p w14:paraId="42BC31C7" w14:textId="48CE6E1E" w:rsidR="00A56C1F" w:rsidRDefault="00A56C1F" w:rsidP="00987096">
      <w:pPr>
        <w:jc w:val="both"/>
        <w:rPr>
          <w:rFonts w:ascii="Verdana" w:eastAsia="Calibri" w:hAnsi="Verdana" w:cs="Arial"/>
          <w:b/>
          <w:lang w:val="es-ES_tradnl"/>
        </w:rPr>
      </w:pPr>
    </w:p>
    <w:p w14:paraId="32635209" w14:textId="274EF4A5" w:rsidR="00A56C1F" w:rsidRDefault="00A56C1F" w:rsidP="00987096">
      <w:pPr>
        <w:jc w:val="both"/>
        <w:rPr>
          <w:rFonts w:ascii="Verdana" w:eastAsia="Calibri" w:hAnsi="Verdana" w:cs="Arial"/>
          <w:b/>
          <w:lang w:val="es-ES_tradnl"/>
        </w:rPr>
      </w:pPr>
    </w:p>
    <w:p w14:paraId="1B0C1B76" w14:textId="3A863637" w:rsidR="00A56C1F" w:rsidRDefault="00A56C1F" w:rsidP="00987096">
      <w:pPr>
        <w:jc w:val="both"/>
        <w:rPr>
          <w:rFonts w:ascii="Verdana" w:eastAsia="Calibri" w:hAnsi="Verdana" w:cs="Arial"/>
          <w:b/>
          <w:lang w:val="es-ES_tradnl"/>
        </w:rPr>
      </w:pPr>
    </w:p>
    <w:p w14:paraId="49DAA63C" w14:textId="642825DC" w:rsidR="00A56C1F" w:rsidRDefault="00A56C1F" w:rsidP="00987096">
      <w:pPr>
        <w:jc w:val="both"/>
        <w:rPr>
          <w:rFonts w:ascii="Verdana" w:eastAsia="Calibri" w:hAnsi="Verdana" w:cs="Arial"/>
          <w:b/>
          <w:lang w:val="es-ES_tradnl"/>
        </w:rPr>
      </w:pPr>
    </w:p>
    <w:p w14:paraId="73414F7F" w14:textId="2B93AE87" w:rsidR="00A56C1F" w:rsidRDefault="00A56C1F" w:rsidP="00987096">
      <w:pPr>
        <w:jc w:val="both"/>
        <w:rPr>
          <w:rFonts w:ascii="Verdana" w:eastAsia="Calibri" w:hAnsi="Verdana" w:cs="Arial"/>
          <w:b/>
          <w:lang w:val="es-ES_tradnl"/>
        </w:rPr>
      </w:pPr>
    </w:p>
    <w:p w14:paraId="428A776B" w14:textId="55141338" w:rsidR="00A56C1F" w:rsidRDefault="00A56C1F" w:rsidP="00987096">
      <w:pPr>
        <w:jc w:val="both"/>
        <w:rPr>
          <w:rFonts w:ascii="Verdana" w:eastAsia="Calibri" w:hAnsi="Verdana" w:cs="Arial"/>
          <w:b/>
          <w:lang w:val="es-ES_tradnl"/>
        </w:rPr>
      </w:pPr>
    </w:p>
    <w:p w14:paraId="7E3232E4" w14:textId="77777777" w:rsidR="00A56C1F" w:rsidRPr="00A56C1F" w:rsidRDefault="00A56C1F" w:rsidP="00987096">
      <w:pPr>
        <w:jc w:val="both"/>
        <w:rPr>
          <w:rFonts w:ascii="Verdana" w:eastAsia="Calibri" w:hAnsi="Verdana" w:cs="Arial"/>
          <w:b/>
          <w:lang w:val="es-ES_tradnl"/>
        </w:rPr>
      </w:pPr>
    </w:p>
    <w:p w14:paraId="2A4E8E4C" w14:textId="77777777" w:rsidR="00987096" w:rsidRDefault="00987096" w:rsidP="00C15139">
      <w:pPr>
        <w:spacing w:after="0"/>
        <w:rPr>
          <w:rFonts w:ascii="Verdana" w:hAnsi="Verdana"/>
        </w:rPr>
      </w:pPr>
    </w:p>
    <w:p w14:paraId="30F9FCEE" w14:textId="77777777" w:rsidR="00987096" w:rsidRDefault="00987096" w:rsidP="00C15139">
      <w:pPr>
        <w:spacing w:after="0"/>
        <w:rPr>
          <w:rFonts w:ascii="Verdana" w:hAnsi="Verdana"/>
        </w:rPr>
      </w:pPr>
    </w:p>
    <w:p w14:paraId="1468C46D" w14:textId="22B5BBFF" w:rsidR="00C15139" w:rsidRPr="0024624F" w:rsidRDefault="00987096"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335D7786" wp14:editId="321DC41A">
            <wp:simplePos x="0" y="0"/>
            <wp:positionH relativeFrom="column">
              <wp:posOffset>3046151</wp:posOffset>
            </wp:positionH>
            <wp:positionV relativeFrom="paragraph">
              <wp:posOffset>1270</wp:posOffset>
            </wp:positionV>
            <wp:extent cx="2719346" cy="817848"/>
            <wp:effectExtent l="0" t="0" r="508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719346" cy="817848"/>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16 Diciembre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2427C243" w14:textId="77777777" w:rsidR="005B02ED" w:rsidRPr="0051487B" w:rsidRDefault="005B02ED" w:rsidP="005B02ED">
      <w:pPr>
        <w:spacing w:after="0" w:line="240" w:lineRule="auto"/>
        <w:jc w:val="both"/>
        <w:rPr>
          <w:rFonts w:ascii="Verdana" w:eastAsia="Calibri" w:hAnsi="Verdana" w:cs="Arial"/>
          <w:lang w:val="de-DE" w:eastAsia="es-ES"/>
        </w:rPr>
      </w:pPr>
      <w:bookmarkStart w:id="2" w:name="_Hlk216387225"/>
      <w:bookmarkEnd w:id="0"/>
      <w:r w:rsidRPr="0051487B">
        <w:rPr>
          <w:rFonts w:ascii="Verdana" w:eastAsia="Calibri" w:hAnsi="Verdana" w:cs="Arial"/>
          <w:lang w:val="de-DE" w:eastAsia="es-ES"/>
        </w:rPr>
        <w:t>Señor</w:t>
      </w:r>
    </w:p>
    <w:p w14:paraId="2454562A" w14:textId="77777777" w:rsidR="005B02ED" w:rsidRPr="0051487B" w:rsidRDefault="005B02ED" w:rsidP="005B02ED">
      <w:pPr>
        <w:spacing w:after="0" w:line="240" w:lineRule="auto"/>
        <w:rPr>
          <w:rFonts w:ascii="Verdana" w:eastAsia="Calibri" w:hAnsi="Verdana" w:cs="Arial"/>
          <w:b/>
          <w:lang w:val="de-DE" w:eastAsia="es-ES"/>
        </w:rPr>
      </w:pPr>
      <w:r>
        <w:rPr>
          <w:rFonts w:ascii="Verdana" w:eastAsia="Calibri" w:hAnsi="Verdana" w:cs="Arial"/>
          <w:b/>
          <w:lang w:val="de-DE" w:eastAsia="es-ES"/>
        </w:rPr>
        <w:t>Jesus Cervantes</w:t>
      </w:r>
    </w:p>
    <w:p w14:paraId="527A6139" w14:textId="77777777" w:rsidR="005B02ED" w:rsidRPr="0051487B" w:rsidRDefault="003D4781" w:rsidP="005B02ED">
      <w:pPr>
        <w:spacing w:after="0" w:line="240" w:lineRule="auto"/>
        <w:rPr>
          <w:rFonts w:ascii="Verdana" w:hAnsi="Verdana" w:cs="ArialMT"/>
          <w:lang w:val="de-DE"/>
        </w:rPr>
      </w:pPr>
      <w:hyperlink r:id="rId11" w:history="1">
        <w:r w:rsidR="005B02ED" w:rsidRPr="00133A7C">
          <w:rPr>
            <w:rStyle w:val="Hipervnculo"/>
            <w:rFonts w:ascii="Verdana" w:hAnsi="Verdana" w:cs="ArialMT"/>
            <w:lang w:val="de-DE"/>
          </w:rPr>
          <w:t>ingjesuscervantesceballos@gmail.com</w:t>
        </w:r>
      </w:hyperlink>
      <w:r w:rsidR="005B02ED">
        <w:rPr>
          <w:rFonts w:ascii="Verdana" w:hAnsi="Verdana" w:cs="ArialMT"/>
          <w:lang w:val="de-DE"/>
        </w:rPr>
        <w:t xml:space="preserve"> </w:t>
      </w:r>
      <w:r w:rsidR="005B02ED" w:rsidRPr="0051487B">
        <w:rPr>
          <w:rFonts w:ascii="Verdana" w:hAnsi="Verdana" w:cs="ArialMT"/>
          <w:lang w:val="de-DE"/>
        </w:rPr>
        <w:t xml:space="preserve">   </w:t>
      </w:r>
    </w:p>
    <w:p w14:paraId="3BF0AAFD" w14:textId="77777777" w:rsidR="005B02ED" w:rsidRPr="00C53B42" w:rsidRDefault="005B02ED" w:rsidP="005B02ED">
      <w:pPr>
        <w:spacing w:after="0" w:line="240" w:lineRule="auto"/>
        <w:rPr>
          <w:rFonts w:ascii="Verdana" w:hAnsi="Verdana" w:cs="ArialMT"/>
        </w:rPr>
      </w:pPr>
      <w:r>
        <w:rPr>
          <w:rFonts w:ascii="Verdana" w:eastAsia="Calibri" w:hAnsi="Verdana" w:cs="Arial"/>
          <w:lang w:val="es-ES" w:eastAsia="es-ES"/>
        </w:rPr>
        <w:t>Bogotá D.C.</w:t>
      </w:r>
    </w:p>
    <w:p w14:paraId="1ADC793D" w14:textId="77777777" w:rsidR="005B02ED" w:rsidRPr="00C53B42" w:rsidRDefault="005B02ED" w:rsidP="005B02E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5B02ED" w:rsidRPr="00C53B42" w14:paraId="1B872262" w14:textId="77777777" w:rsidTr="00CE3336">
        <w:trPr>
          <w:trHeight w:val="218"/>
        </w:trPr>
        <w:tc>
          <w:tcPr>
            <w:tcW w:w="2175" w:type="dxa"/>
          </w:tcPr>
          <w:p w14:paraId="1723DE06" w14:textId="77777777" w:rsidR="005B02ED" w:rsidRPr="00C53B42" w:rsidRDefault="005B02ED" w:rsidP="00CE3336">
            <w:pPr>
              <w:jc w:val="both"/>
              <w:rPr>
                <w:rFonts w:ascii="Verdana" w:eastAsia="Calibri" w:hAnsi="Verdana" w:cs="Arial"/>
                <w:b/>
                <w:bCs/>
                <w:color w:val="7030A0"/>
                <w:lang w:val="es-ES_tradnl" w:eastAsia="es-ES_tradnl"/>
              </w:rPr>
            </w:pPr>
          </w:p>
        </w:tc>
        <w:tc>
          <w:tcPr>
            <w:tcW w:w="6614" w:type="dxa"/>
            <w:hideMark/>
          </w:tcPr>
          <w:p w14:paraId="56093CE2" w14:textId="77777777" w:rsidR="005B02ED" w:rsidRDefault="005B02ED" w:rsidP="00CE3336">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1627</w:t>
            </w:r>
            <w:r w:rsidRPr="00C53B42">
              <w:rPr>
                <w:rFonts w:ascii="Verdana" w:eastAsia="Calibri" w:hAnsi="Verdana" w:cs="Arial"/>
                <w:b/>
                <w:bCs/>
                <w:lang w:val="es-ES" w:eastAsia="es-ES"/>
              </w:rPr>
              <w:t xml:space="preserve"> de 2025</w:t>
            </w:r>
          </w:p>
          <w:p w14:paraId="3B71867D" w14:textId="77777777" w:rsidR="005B02ED" w:rsidRPr="00C53B42" w:rsidRDefault="005B02ED" w:rsidP="00CE3336">
            <w:pPr>
              <w:jc w:val="both"/>
              <w:rPr>
                <w:rFonts w:ascii="Verdana" w:eastAsia="Calibri" w:hAnsi="Verdana" w:cs="Arial"/>
                <w:b/>
                <w:bCs/>
                <w:lang w:val="es-ES" w:eastAsia="es-ES"/>
              </w:rPr>
            </w:pPr>
          </w:p>
          <w:p w14:paraId="0D4141D4" w14:textId="77777777" w:rsidR="005B02ED" w:rsidRPr="00C53B42" w:rsidRDefault="005B02ED" w:rsidP="00CE3336">
            <w:pPr>
              <w:jc w:val="both"/>
              <w:rPr>
                <w:rFonts w:ascii="Verdana" w:eastAsia="Calibri" w:hAnsi="Verdana" w:cs="Arial"/>
                <w:b/>
                <w:bCs/>
                <w:lang w:val="es-ES" w:eastAsia="es-ES"/>
              </w:rPr>
            </w:pPr>
          </w:p>
        </w:tc>
      </w:tr>
      <w:tr w:rsidR="005B02ED" w:rsidRPr="00C53B42" w14:paraId="3EBAF9F0" w14:textId="77777777" w:rsidTr="00CE3336">
        <w:trPr>
          <w:trHeight w:val="884"/>
        </w:trPr>
        <w:tc>
          <w:tcPr>
            <w:tcW w:w="2175" w:type="dxa"/>
            <w:hideMark/>
          </w:tcPr>
          <w:p w14:paraId="2A3EBE34" w14:textId="77777777" w:rsidR="005B02ED" w:rsidRPr="00C53B42" w:rsidRDefault="005B02ED" w:rsidP="00CE3336">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495C5D52" w14:textId="77777777" w:rsidR="005B02ED" w:rsidRDefault="005B02ED" w:rsidP="00CE3336">
            <w:pPr>
              <w:jc w:val="both"/>
              <w:rPr>
                <w:rFonts w:ascii="Verdana" w:eastAsia="Calibri" w:hAnsi="Verdana" w:cs="Arial"/>
                <w:bCs/>
                <w:lang w:val="es-ES_tradnl"/>
              </w:rPr>
            </w:pPr>
            <w:r>
              <w:rPr>
                <w:rFonts w:ascii="Verdana" w:eastAsia="Calibri" w:hAnsi="Verdana" w:cs="Arial"/>
                <w:bCs/>
                <w:lang w:val="es-ES_tradnl"/>
              </w:rPr>
              <w:t>EXPERIENCIA – Requisito habilitante /</w:t>
            </w:r>
            <w:r w:rsidRPr="005821E0">
              <w:rPr>
                <w:rFonts w:ascii="Verdana" w:eastAsia="Calibri" w:hAnsi="Verdana" w:cs="Arial"/>
                <w:bCs/>
                <w:lang w:val="es-ES_tradnl"/>
              </w:rPr>
              <w:t xml:space="preserve">EXPERIENCIA – Transferencia – Accionistas, socios o constituyentes – Decreto 1082 de 2015 / EXPERIENCIA ‒ Conservación ‒ Renovación RUP </w:t>
            </w:r>
          </w:p>
          <w:p w14:paraId="441397FF" w14:textId="7BC4D640" w:rsidR="00DC3F3A" w:rsidRPr="002F05F0" w:rsidRDefault="00DC3F3A" w:rsidP="00CE3336">
            <w:pPr>
              <w:jc w:val="both"/>
              <w:rPr>
                <w:rFonts w:ascii="Verdana" w:eastAsia="Calibri" w:hAnsi="Verdana" w:cs="Arial"/>
                <w:highlight w:val="yellow"/>
                <w:lang w:val="es-ES" w:eastAsia="es-ES"/>
              </w:rPr>
            </w:pPr>
          </w:p>
        </w:tc>
      </w:tr>
      <w:tr w:rsidR="005B02ED" w14:paraId="61E19C1D" w14:textId="77777777" w:rsidTr="00CE3336">
        <w:trPr>
          <w:trHeight w:val="360"/>
        </w:trPr>
        <w:tc>
          <w:tcPr>
            <w:tcW w:w="2175" w:type="dxa"/>
            <w:hideMark/>
          </w:tcPr>
          <w:p w14:paraId="26134009" w14:textId="77777777" w:rsidR="005B02ED" w:rsidRPr="00C53B42" w:rsidRDefault="005B02ED" w:rsidP="00CE3336">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4B8C568F" w14:textId="77777777" w:rsidR="005B02ED" w:rsidRPr="002F05F0" w:rsidRDefault="005B02ED" w:rsidP="00CE3336">
            <w:pPr>
              <w:jc w:val="both"/>
              <w:rPr>
                <w:rFonts w:ascii="Verdana" w:eastAsia="Calibri" w:hAnsi="Verdana" w:cs="Arial"/>
                <w:highlight w:val="yellow"/>
                <w:lang w:val="es-ES_tradnl" w:eastAsia="es-ES_tradnl"/>
              </w:rPr>
            </w:pPr>
            <w:r w:rsidRPr="003F20DD">
              <w:rPr>
                <w:rFonts w:ascii="Verdana" w:eastAsia="Calibri" w:hAnsi="Verdana" w:cs="Arial"/>
                <w:lang w:val="es-ES_tradnl" w:eastAsia="es-ES_tradnl"/>
              </w:rPr>
              <w:t xml:space="preserve">Respuesta a consulta con radicado No. </w:t>
            </w:r>
            <w:r w:rsidRPr="00A947D0">
              <w:rPr>
                <w:rFonts w:ascii="Verdana" w:eastAsia="Calibri" w:hAnsi="Verdana" w:cs="Arial"/>
                <w:lang w:val="es-ES_tradnl" w:eastAsia="es-ES_tradnl"/>
              </w:rPr>
              <w:t>1_2025_11_05_012442</w:t>
            </w:r>
            <w:r>
              <w:rPr>
                <w:rFonts w:ascii="Verdana" w:eastAsia="Calibri" w:hAnsi="Verdana" w:cs="Arial"/>
                <w:lang w:val="es-ES_tradnl" w:eastAsia="es-ES_tradnl"/>
              </w:rPr>
              <w:t xml:space="preserve"> acumulada con </w:t>
            </w:r>
            <w:r w:rsidRPr="00A947D0">
              <w:rPr>
                <w:rFonts w:ascii="Verdana" w:eastAsia="Calibri" w:hAnsi="Verdana" w:cs="Arial"/>
                <w:lang w:val="es-ES_tradnl" w:eastAsia="es-ES_tradnl"/>
              </w:rPr>
              <w:t>1_2025_11_05_012443</w:t>
            </w:r>
          </w:p>
        </w:tc>
      </w:tr>
    </w:tbl>
    <w:p w14:paraId="272F0184" w14:textId="77777777" w:rsidR="005B02ED" w:rsidRDefault="005B02ED" w:rsidP="005B02ED">
      <w:pPr>
        <w:spacing w:after="0" w:line="240" w:lineRule="auto"/>
        <w:jc w:val="both"/>
        <w:rPr>
          <w:rFonts w:ascii="Verdana" w:eastAsia="Calibri" w:hAnsi="Verdana" w:cs="Arial"/>
          <w:color w:val="000000"/>
          <w:lang w:val="es-ES_tradnl" w:eastAsia="es-ES_tradnl"/>
        </w:rPr>
      </w:pPr>
    </w:p>
    <w:p w14:paraId="5159FDE4" w14:textId="77777777" w:rsidR="005B02ED" w:rsidRDefault="005B02ED" w:rsidP="005B02ED">
      <w:pPr>
        <w:spacing w:after="0" w:line="240" w:lineRule="auto"/>
        <w:jc w:val="both"/>
        <w:rPr>
          <w:rFonts w:ascii="Verdana" w:eastAsia="Calibri" w:hAnsi="Verdana" w:cs="Arial"/>
          <w:color w:val="000000"/>
          <w:lang w:val="es-ES_tradnl" w:eastAsia="es-ES_tradnl"/>
        </w:rPr>
      </w:pPr>
    </w:p>
    <w:p w14:paraId="046E04F9" w14:textId="77777777" w:rsidR="005B02ED" w:rsidRDefault="005B02ED" w:rsidP="005B02ED">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Cervantes,</w:t>
      </w:r>
    </w:p>
    <w:p w14:paraId="0BC18293" w14:textId="77777777" w:rsidR="005B02ED" w:rsidRDefault="005B02ED" w:rsidP="005B02E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9BB0B22" w14:textId="77777777" w:rsidR="005B02ED" w:rsidRDefault="005B02ED" w:rsidP="005B02ED">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del 5 de noviembre de 2025, en la cual manifiesta lo siguiente: </w:t>
      </w:r>
    </w:p>
    <w:p w14:paraId="37A6E700" w14:textId="77777777" w:rsidR="005B02ED" w:rsidRDefault="005B02ED" w:rsidP="005B02E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8F8C810" w14:textId="77777777" w:rsidR="005B02ED" w:rsidRDefault="005B02ED" w:rsidP="005B02ED">
      <w:pPr>
        <w:autoSpaceDE w:val="0"/>
        <w:autoSpaceDN w:val="0"/>
        <w:adjustRightInd w:val="0"/>
        <w:spacing w:after="0" w:line="240" w:lineRule="auto"/>
        <w:ind w:left="709" w:right="709"/>
        <w:jc w:val="both"/>
      </w:pPr>
      <w:r w:rsidRPr="0009275E">
        <w:rPr>
          <w:rFonts w:ascii="Verdana" w:eastAsia="Century Gothic" w:hAnsi="Verdana" w:cs="Century Gothic"/>
          <w:sz w:val="20"/>
          <w:szCs w:val="20"/>
          <w:lang w:val="es-ES"/>
        </w:rPr>
        <w:t>“</w:t>
      </w:r>
      <w:r>
        <w:t xml:space="preserve">De manera atenta, me permito elevar la siguiente consulta a esa entidad, en su calidad de autoridad rectora en materia de contratación pública, en relación con la acreditación de la experiencia de una empresa participante en procesos de selección. </w:t>
      </w:r>
    </w:p>
    <w:p w14:paraId="1B1FD838" w14:textId="77777777" w:rsidR="005B02ED" w:rsidRDefault="005B02ED" w:rsidP="005B02ED">
      <w:pPr>
        <w:autoSpaceDE w:val="0"/>
        <w:autoSpaceDN w:val="0"/>
        <w:adjustRightInd w:val="0"/>
        <w:spacing w:after="0" w:line="240" w:lineRule="auto"/>
        <w:ind w:left="709" w:right="709"/>
        <w:jc w:val="both"/>
      </w:pPr>
      <w:r>
        <w:t xml:space="preserve">El caso concreto es el siguiente: una sociedad por acciones simplificada, legalmente constituida y registrada, contaba entre sus socios a una persona natural que falleció. Dicha persona participó activamente en la ejecución de contratos que actualmente sustentan la experiencia de la empresa. </w:t>
      </w:r>
    </w:p>
    <w:p w14:paraId="2FB69DFB" w14:textId="77777777" w:rsidR="005B02ED" w:rsidRDefault="005B02ED" w:rsidP="005B02ED">
      <w:pPr>
        <w:autoSpaceDE w:val="0"/>
        <w:autoSpaceDN w:val="0"/>
        <w:adjustRightInd w:val="0"/>
        <w:spacing w:after="0" w:line="240" w:lineRule="auto"/>
        <w:ind w:left="709" w:right="709"/>
        <w:jc w:val="both"/>
      </w:pPr>
      <w:r>
        <w:t xml:space="preserve">En ese contexto, solicitamos respetuosamente su orientación sobre si la experiencia contractual de la empresa puede seguir siendo utilizada para acreditar capacidad y cumplimiento en procesos de contratación pública, pese al fallecimiento del socio, y si existe alguna limitación temporal por el fallecimiento que afecte la validez de dicha experiencia. </w:t>
      </w:r>
    </w:p>
    <w:p w14:paraId="0BD78486" w14:textId="77777777" w:rsidR="005B02ED" w:rsidRPr="0009275E" w:rsidRDefault="005B02ED" w:rsidP="005B02ED">
      <w:pPr>
        <w:autoSpaceDE w:val="0"/>
        <w:autoSpaceDN w:val="0"/>
        <w:adjustRightInd w:val="0"/>
        <w:spacing w:after="0" w:line="240" w:lineRule="auto"/>
        <w:ind w:left="709" w:right="709"/>
        <w:jc w:val="both"/>
        <w:rPr>
          <w:rFonts w:ascii="Verdana" w:eastAsia="Century Gothic" w:hAnsi="Verdana" w:cs="Century Gothic"/>
          <w:sz w:val="20"/>
          <w:szCs w:val="20"/>
          <w:lang w:val="es-ES"/>
        </w:rPr>
      </w:pPr>
      <w:r>
        <w:t>[…]</w:t>
      </w:r>
      <w:r w:rsidRPr="0009275E">
        <w:rPr>
          <w:rFonts w:ascii="Verdana" w:eastAsia="Century Gothic" w:hAnsi="Verdana" w:cs="Century Gothic"/>
          <w:sz w:val="20"/>
          <w:szCs w:val="20"/>
          <w:lang w:val="es-ES"/>
        </w:rPr>
        <w:t>”</w:t>
      </w:r>
    </w:p>
    <w:p w14:paraId="6603B017" w14:textId="77777777" w:rsidR="005B02ED" w:rsidRPr="00924340" w:rsidRDefault="005B02ED" w:rsidP="005B02ED">
      <w:pPr>
        <w:autoSpaceDE w:val="0"/>
        <w:autoSpaceDN w:val="0"/>
        <w:adjustRightInd w:val="0"/>
        <w:spacing w:after="0" w:line="276" w:lineRule="auto"/>
        <w:ind w:left="851" w:right="616"/>
        <w:jc w:val="both"/>
        <w:rPr>
          <w:rFonts w:ascii="Verdana" w:eastAsia="Century Gothic" w:hAnsi="Verdana" w:cs="Century Gothic"/>
          <w:b/>
        </w:rPr>
      </w:pPr>
    </w:p>
    <w:p w14:paraId="36875107" w14:textId="77777777" w:rsidR="005B02ED" w:rsidRDefault="005B02ED" w:rsidP="005B02ED">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03C37E3" w14:textId="77777777" w:rsidR="005B02ED" w:rsidRDefault="005B02ED" w:rsidP="005B02ED">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2138B7BD" w14:textId="77777777" w:rsidR="005B02ED" w:rsidRDefault="005B02ED" w:rsidP="005B02ED">
      <w:pPr>
        <w:spacing w:after="0" w:line="276" w:lineRule="auto"/>
        <w:ind w:firstLine="709"/>
        <w:jc w:val="both"/>
        <w:rPr>
          <w:rFonts w:ascii="Verdana" w:eastAsia="Calibri" w:hAnsi="Verdana" w:cs="Arial"/>
          <w:color w:val="000000"/>
          <w:lang w:val="es-ES" w:eastAsia="es-ES"/>
        </w:rPr>
      </w:pPr>
    </w:p>
    <w:p w14:paraId="17ED90F3" w14:textId="77777777" w:rsidR="005B02ED" w:rsidRDefault="005B02ED" w:rsidP="005B02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0FDE807D" w14:textId="77777777" w:rsidR="005B02ED" w:rsidRDefault="005B02ED" w:rsidP="005B02ED">
      <w:pPr>
        <w:tabs>
          <w:tab w:val="left" w:pos="426"/>
        </w:tabs>
        <w:spacing w:after="0" w:line="276" w:lineRule="auto"/>
        <w:jc w:val="both"/>
        <w:rPr>
          <w:rFonts w:ascii="Verdana" w:eastAsia="Century Gothic" w:hAnsi="Verdana" w:cs="Century Gothic"/>
          <w:lang w:val="es-ES"/>
        </w:rPr>
      </w:pPr>
    </w:p>
    <w:p w14:paraId="65F3F674" w14:textId="77777777" w:rsidR="005B02ED" w:rsidRDefault="005B02ED" w:rsidP="005B02E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i) </w:t>
      </w:r>
      <w:r w:rsidRPr="005649AA">
        <w:rPr>
          <w:rFonts w:ascii="Verdana" w:eastAsia="Century Gothic" w:hAnsi="Verdana" w:cs="Century Gothic"/>
        </w:rPr>
        <w:t>¿</w:t>
      </w:r>
      <w:r>
        <w:rPr>
          <w:rFonts w:ascii="Verdana" w:eastAsia="Century Gothic" w:hAnsi="Verdana" w:cs="Century Gothic"/>
        </w:rPr>
        <w:t xml:space="preserve">la muerte de un socio de una Sociedad por Acciones Simplificada afecta la acreditación de experiencia contractual de la sociedad en un proceso de contratación estatal? </w:t>
      </w:r>
    </w:p>
    <w:p w14:paraId="5B429F13" w14:textId="77777777" w:rsidR="005B02ED" w:rsidRDefault="005B02ED" w:rsidP="005B02ED">
      <w:pPr>
        <w:spacing w:after="0" w:line="276" w:lineRule="auto"/>
        <w:jc w:val="both"/>
        <w:rPr>
          <w:rFonts w:ascii="Verdana" w:eastAsia="Calibri" w:hAnsi="Verdana" w:cs="Arial"/>
          <w:color w:val="7030A0"/>
          <w:lang w:val="es-ES"/>
        </w:rPr>
      </w:pPr>
    </w:p>
    <w:p w14:paraId="25DD7B10" w14:textId="77777777" w:rsidR="005B02ED" w:rsidRDefault="005B02ED" w:rsidP="005B02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3CC6E283" w14:textId="77777777" w:rsidR="005B02ED" w:rsidRDefault="005B02ED" w:rsidP="005B02E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02ED" w:rsidRPr="00DE5508" w14:paraId="0A898DC7" w14:textId="77777777" w:rsidTr="00CE3336">
        <w:tc>
          <w:tcPr>
            <w:tcW w:w="8828" w:type="dxa"/>
            <w:tcBorders>
              <w:top w:val="dotted" w:sz="4" w:space="0" w:color="auto"/>
              <w:left w:val="dotted" w:sz="4" w:space="0" w:color="auto"/>
              <w:bottom w:val="dotted" w:sz="4" w:space="0" w:color="auto"/>
              <w:right w:val="dotted" w:sz="4" w:space="0" w:color="auto"/>
            </w:tcBorders>
          </w:tcPr>
          <w:p w14:paraId="34ECA34B" w14:textId="77777777" w:rsidR="005B02ED" w:rsidRPr="00C53B88" w:rsidRDefault="005B02ED" w:rsidP="00CE3336">
            <w:pPr>
              <w:widowControl w:val="0"/>
              <w:autoSpaceDE w:val="0"/>
              <w:autoSpaceDN w:val="0"/>
              <w:spacing w:line="276" w:lineRule="auto"/>
              <w:jc w:val="both"/>
              <w:rPr>
                <w:rFonts w:ascii="Verdana" w:eastAsia="Calibri" w:hAnsi="Verdana" w:cs="Arial"/>
                <w:lang w:val="es-ES"/>
              </w:rPr>
            </w:pPr>
            <w:r w:rsidRPr="00C53B88">
              <w:rPr>
                <w:rFonts w:ascii="Verdana" w:eastAsia="Calibri" w:hAnsi="Verdana" w:cs="Arial"/>
                <w:lang w:val="es-ES"/>
              </w:rPr>
              <w:t xml:space="preserve">En relación con la experiencia como requisito habilitante para contratación administrativa, </w:t>
            </w:r>
            <w:r w:rsidRPr="00C53B88">
              <w:rPr>
                <w:rFonts w:ascii="Verdana" w:eastAsia="Calibri" w:hAnsi="Verdana" w:cs="Arial"/>
              </w:rPr>
              <w:t>la Agencia Nacional de Contratación Pública - Colombia Compra Eficiente ha reiterado las siguientes conclusiones:</w:t>
            </w:r>
          </w:p>
          <w:p w14:paraId="754136B4" w14:textId="77777777" w:rsidR="005B02ED" w:rsidRPr="00C53B88" w:rsidRDefault="005B02ED" w:rsidP="00CE3336">
            <w:pPr>
              <w:spacing w:before="120"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 La experiencia es </w:t>
            </w:r>
            <w:r w:rsidRPr="00C53B88">
              <w:rPr>
                <w:rFonts w:ascii="Verdana" w:eastAsia="Calibri" w:hAnsi="Verdana" w:cs="Arial"/>
                <w:i/>
                <w:iCs/>
                <w:lang w:val="es-MX" w:eastAsia="es-ES_tradnl"/>
              </w:rPr>
              <w:t>personal</w:t>
            </w:r>
            <w:r w:rsidRPr="00C53B88">
              <w:rPr>
                <w:rFonts w:ascii="Verdana" w:eastAsia="Calibri" w:hAnsi="Verdana" w:cs="Arial"/>
                <w:lang w:val="es-MX" w:eastAsia="es-ES_tradnl"/>
              </w:rPr>
              <w:t>, esto es, se adquiere participando, directa o indirectamente, sin que sea posible no hacerlo y tener experiencia.</w:t>
            </w:r>
          </w:p>
          <w:p w14:paraId="61DC9C03" w14:textId="77777777" w:rsidR="005B02ED" w:rsidRPr="00C53B88" w:rsidRDefault="005B02ED" w:rsidP="00CE3336">
            <w:pPr>
              <w:spacing w:before="120"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ii) La experiencia se puede </w:t>
            </w:r>
            <w:r w:rsidRPr="00C53B88">
              <w:rPr>
                <w:rFonts w:ascii="Verdana" w:eastAsia="Calibri" w:hAnsi="Verdana" w:cs="Arial"/>
                <w:i/>
                <w:iCs/>
                <w:lang w:val="es-MX" w:eastAsia="es-ES_tradnl"/>
              </w:rPr>
              <w:t>compartir</w:t>
            </w:r>
            <w:r w:rsidRPr="00C53B88">
              <w:rPr>
                <w:rFonts w:ascii="Verdana" w:eastAsia="Calibri" w:hAnsi="Verdana" w:cs="Arial"/>
                <w:lang w:val="es-MX" w:eastAsia="es-ES_tradnl"/>
              </w:rPr>
              <w:t xml:space="preserve">, sin que implique que la compartida a una persona se entienda suya, ya que dentro del procedimiento </w:t>
            </w:r>
            <w:r w:rsidRPr="00C53B88">
              <w:rPr>
                <w:rFonts w:ascii="Verdana" w:eastAsia="Calibri" w:hAnsi="Verdana" w:cs="Arial"/>
                <w:lang w:val="es-MX" w:eastAsia="es-ES_tradnl"/>
              </w:rPr>
              <w:lastRenderedPageBreak/>
              <w:t xml:space="preserve">contractual se reflejará que esa persona tiene la experiencia de otra, como es el caso de las figuras asociativas   </w:t>
            </w:r>
            <w:r w:rsidRPr="00C53B88">
              <w:rPr>
                <w:rFonts w:ascii="Arial" w:eastAsia="Calibri" w:hAnsi="Arial" w:cs="Arial"/>
                <w:lang w:val="es-MX" w:eastAsia="es-ES_tradnl"/>
              </w:rPr>
              <w:t>̶</w:t>
            </w:r>
            <w:r w:rsidRPr="00C53B88">
              <w:rPr>
                <w:rFonts w:ascii="Verdana" w:eastAsia="Calibri" w:hAnsi="Verdana" w:cs="Arial"/>
                <w:lang w:val="es-MX" w:eastAsia="es-ES_tradnl"/>
              </w:rPr>
              <w:t xml:space="preserve"> consorcios y uniones temporales </w:t>
            </w:r>
            <w:r w:rsidRPr="00C53B88">
              <w:rPr>
                <w:rFonts w:ascii="Arial" w:eastAsia="Calibri" w:hAnsi="Arial" w:cs="Arial"/>
                <w:lang w:val="es-MX" w:eastAsia="es-ES_tradnl"/>
              </w:rPr>
              <w:t>̶</w:t>
            </w:r>
            <w:r w:rsidRPr="00C53B88">
              <w:rPr>
                <w:rFonts w:ascii="Verdana" w:eastAsia="Calibri" w:hAnsi="Verdana" w:cs="Arial"/>
                <w:lang w:val="es-MX" w:eastAsia="es-ES_tradnl"/>
              </w:rPr>
              <w:t xml:space="preserve">   que se verificar</w:t>
            </w:r>
            <w:r w:rsidRPr="00C53B88">
              <w:rPr>
                <w:rFonts w:ascii="Verdana" w:eastAsia="Calibri" w:hAnsi="Verdana" w:cs="Geomanist Light"/>
                <w:lang w:val="es-MX" w:eastAsia="es-ES_tradnl"/>
              </w:rPr>
              <w:t>á</w:t>
            </w:r>
            <w:r w:rsidRPr="00C53B88">
              <w:rPr>
                <w:rFonts w:ascii="Verdana" w:eastAsia="Calibri" w:hAnsi="Verdana" w:cs="Arial"/>
                <w:lang w:val="es-MX" w:eastAsia="es-ES_tradnl"/>
              </w:rPr>
              <w:t xml:space="preserve"> en el documento privado de constitución</w:t>
            </w:r>
            <w:r w:rsidRPr="00C53B88">
              <w:rPr>
                <w:rFonts w:ascii="Verdana" w:eastAsia="Calibri" w:hAnsi="Verdana" w:cs="Arial"/>
                <w:vertAlign w:val="superscript"/>
                <w:lang w:val="es-MX" w:eastAsia="es-ES_tradnl"/>
              </w:rPr>
              <w:footnoteReference w:id="2"/>
            </w:r>
            <w:r w:rsidRPr="00C53B88">
              <w:rPr>
                <w:rFonts w:ascii="Verdana" w:eastAsia="Calibri" w:hAnsi="Verdana" w:cs="Arial"/>
                <w:lang w:val="es-MX" w:eastAsia="es-ES_tradnl"/>
              </w:rPr>
              <w:t>.</w:t>
            </w:r>
          </w:p>
          <w:p w14:paraId="675A0C68" w14:textId="77777777" w:rsidR="005B02ED" w:rsidRPr="00C53B88" w:rsidRDefault="005B02ED" w:rsidP="00CE3336">
            <w:pPr>
              <w:spacing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iii) Cuando la persona que adquirió la experiencia </w:t>
            </w:r>
            <w:r w:rsidRPr="00C53B88">
              <w:rPr>
                <w:rFonts w:ascii="Verdana" w:eastAsia="Calibri" w:hAnsi="Verdana" w:cs="Arial"/>
                <w:i/>
                <w:iCs/>
                <w:lang w:val="es-MX" w:eastAsia="es-ES_tradnl"/>
              </w:rPr>
              <w:t>desaparece</w:t>
            </w:r>
            <w:r w:rsidRPr="00C53B88">
              <w:rPr>
                <w:rFonts w:ascii="Verdana" w:eastAsia="Calibri" w:hAnsi="Verdana" w:cs="Arial"/>
                <w:lang w:val="es-MX" w:eastAsia="es-ES_tradnl"/>
              </w:rPr>
              <w:t xml:space="preserve"> o se liquida no es posible que comparta o transfiera su experiencia, porque al ser personal sigue la suerte de quien la adquirió.</w:t>
            </w:r>
          </w:p>
          <w:p w14:paraId="049AF283" w14:textId="77777777" w:rsidR="005B02ED" w:rsidRPr="00C53B88" w:rsidRDefault="005B02ED" w:rsidP="00CE3336">
            <w:pPr>
              <w:spacing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iv) La experiencia se puede </w:t>
            </w:r>
            <w:r w:rsidRPr="00C53B88">
              <w:rPr>
                <w:rFonts w:ascii="Verdana" w:eastAsia="Calibri" w:hAnsi="Verdana" w:cs="Arial"/>
                <w:i/>
                <w:iCs/>
                <w:lang w:val="es-MX" w:eastAsia="es-ES_tradnl"/>
              </w:rPr>
              <w:t>transferir</w:t>
            </w:r>
            <w:r w:rsidRPr="00C53B88">
              <w:rPr>
                <w:rFonts w:ascii="Verdana" w:eastAsia="Calibri" w:hAnsi="Verdana" w:cs="Arial"/>
                <w:lang w:val="es-MX" w:eastAsia="es-ES_tradnl"/>
              </w:rPr>
              <w:t>, y esto es diferente a compartir, lo que implica que la experiencia de una persona se traslada a otra, y esta última acredita la experiencia como propia, como se explica a continuación.</w:t>
            </w:r>
          </w:p>
          <w:p w14:paraId="47564150" w14:textId="77777777" w:rsidR="005B02ED" w:rsidRDefault="005B02ED" w:rsidP="00CE3336">
            <w:pPr>
              <w:jc w:val="both"/>
              <w:rPr>
                <w:rFonts w:ascii="Verdana" w:eastAsia="Calibri" w:hAnsi="Verdana" w:cs="Arial"/>
                <w:bCs/>
              </w:rPr>
            </w:pPr>
            <w:r w:rsidRPr="00C53B88">
              <w:rPr>
                <w:rFonts w:ascii="Verdana" w:eastAsia="Times New Roman" w:hAnsi="Verdana" w:cs="Arial"/>
                <w:lang w:val="es-ES_tradnl" w:eastAsia="es-ES_tradnl"/>
                <w14:ligatures w14:val="standardContextual"/>
              </w:rPr>
              <w:t>Ahora bien, teniendo en c</w:t>
            </w:r>
            <w:r>
              <w:rPr>
                <w:rFonts w:ascii="Verdana" w:eastAsia="Times New Roman" w:hAnsi="Verdana" w:cs="Arial"/>
                <w:lang w:val="es-ES_tradnl" w:eastAsia="es-ES_tradnl"/>
                <w14:ligatures w14:val="standardContextual"/>
              </w:rPr>
              <w:t>uen</w:t>
            </w:r>
            <w:r w:rsidRPr="00C53B88">
              <w:rPr>
                <w:rFonts w:ascii="Verdana" w:eastAsia="Times New Roman" w:hAnsi="Verdana" w:cs="Arial"/>
                <w:lang w:val="es-ES_tradnl" w:eastAsia="es-ES_tradnl"/>
                <w14:ligatures w14:val="standardContextual"/>
              </w:rPr>
              <w:t xml:space="preserve">ta lo anterior, para resolver el problema jurídico de su consulta se consideran dos escenarios. El primero, en el que la experiencia contractual adquirida es de la sociedad en ejecución de contratos suscritos por ella. </w:t>
            </w:r>
            <w:r w:rsidRPr="00C53B88">
              <w:rPr>
                <w:rFonts w:ascii="Verdana" w:eastAsia="Calibri" w:hAnsi="Verdana" w:cs="Arial"/>
                <w:bCs/>
              </w:rPr>
              <w:t xml:space="preserve">De conformidad con los artículos 98 y siguientes del Código de Comercio, quizá el principal efecto de un contrato de sociedad es el surgimiento de una persona jurídica distinta de la de los socios, una vez se cumplen las formalidades requeridas para su constitución. La naturaleza de estas personas jurídicas, así como los atributos que la definen, se encuentra condicionada por las estipulaciones sociales, las cuales deben definir el objeto social, el tipo societario, la conformación del capital social, entre otros aspectos que pueden ser materia de reformas sociales que, dependiendo de su tipología, pueden tener incidencia en la existencia de la sociedad y los compromisos adquiridos por esta. </w:t>
            </w:r>
          </w:p>
          <w:p w14:paraId="53147CF8" w14:textId="77777777" w:rsidR="005B02ED" w:rsidRPr="00C53B88" w:rsidRDefault="005B02ED" w:rsidP="00CE3336">
            <w:pPr>
              <w:jc w:val="both"/>
              <w:rPr>
                <w:rFonts w:ascii="Verdana" w:eastAsia="Calibri" w:hAnsi="Verdana" w:cs="Arial"/>
                <w:bCs/>
              </w:rPr>
            </w:pPr>
          </w:p>
          <w:p w14:paraId="540B06F1" w14:textId="77777777" w:rsidR="005B02ED" w:rsidRDefault="005B02ED" w:rsidP="00CE3336">
            <w:pPr>
              <w:ind w:firstLine="708"/>
              <w:jc w:val="both"/>
              <w:rPr>
                <w:rFonts w:ascii="Verdana" w:eastAsia="Calibri" w:hAnsi="Verdana" w:cs="Arial"/>
                <w:bCs/>
              </w:rPr>
            </w:pPr>
            <w:r w:rsidRPr="00C53B88">
              <w:rPr>
                <w:rFonts w:ascii="Verdana" w:eastAsia="Calibri" w:hAnsi="Verdana" w:cs="Arial"/>
                <w:bCs/>
              </w:rPr>
              <w:t xml:space="preserve">Así, en caso de que la experiencia haga referencia a contratos suscritos y ejecutados por la sociedad como persona jurídica independiente de sus socios, la muerte de alguno de sus socios no afecta la validez de dicha experiencia, sino que suscita otro tipo de cuestiones jurídicas como la sucesión y transferencia de la participación societaria del socio que falleció, que deberá resolverse a la luz de la normativa aplicable dependiendo el tipo societario y las demás particularidades del caso. </w:t>
            </w:r>
          </w:p>
          <w:p w14:paraId="46162504" w14:textId="77777777" w:rsidR="005B02ED" w:rsidRPr="00C53B88" w:rsidRDefault="005B02ED" w:rsidP="00CE3336">
            <w:pPr>
              <w:ind w:firstLine="708"/>
              <w:jc w:val="both"/>
              <w:rPr>
                <w:rFonts w:ascii="Verdana" w:eastAsia="Calibri" w:hAnsi="Verdana" w:cs="Arial"/>
                <w:bCs/>
              </w:rPr>
            </w:pPr>
          </w:p>
          <w:p w14:paraId="5A96DFA5" w14:textId="77777777" w:rsidR="005B02ED" w:rsidRPr="00C53B88" w:rsidRDefault="005B02ED" w:rsidP="00CE3336">
            <w:pPr>
              <w:widowControl w:val="0"/>
              <w:autoSpaceDE w:val="0"/>
              <w:autoSpaceDN w:val="0"/>
              <w:spacing w:line="276" w:lineRule="auto"/>
              <w:ind w:firstLine="708"/>
              <w:jc w:val="both"/>
              <w:rPr>
                <w:rFonts w:ascii="Verdana" w:eastAsia="Calibri" w:hAnsi="Verdana" w:cs="Arial"/>
                <w:lang w:val="es-ES"/>
              </w:rPr>
            </w:pPr>
            <w:r w:rsidRPr="00C53B88">
              <w:rPr>
                <w:rFonts w:ascii="Verdana" w:eastAsia="Calibri" w:hAnsi="Verdana" w:cs="Arial"/>
                <w:bCs/>
              </w:rPr>
              <w:t xml:space="preserve">En el segundo escenario, </w:t>
            </w:r>
            <w:r w:rsidRPr="00C53B88">
              <w:rPr>
                <w:rFonts w:ascii="Verdana" w:eastAsia="Calibri" w:hAnsi="Verdana" w:cs="Arial"/>
                <w:lang w:val="es-ES"/>
              </w:rPr>
              <w:t xml:space="preserve">la normativa de contratación establece una figura que permite la transferencia de experiencia en las sociedades con menos de 3 años de constitución como sigue: </w:t>
            </w:r>
          </w:p>
          <w:p w14:paraId="690EAAEF" w14:textId="77777777" w:rsidR="005B02ED" w:rsidRPr="00C53B88" w:rsidRDefault="005B02ED" w:rsidP="00CE3336">
            <w:pPr>
              <w:widowControl w:val="0"/>
              <w:autoSpaceDE w:val="0"/>
              <w:autoSpaceDN w:val="0"/>
              <w:spacing w:line="276" w:lineRule="auto"/>
              <w:jc w:val="both"/>
              <w:rPr>
                <w:rFonts w:ascii="Verdana" w:eastAsia="Calibri" w:hAnsi="Verdana" w:cs="Arial"/>
                <w:color w:val="7030A0"/>
                <w:lang w:val="es-ES"/>
              </w:rPr>
            </w:pPr>
          </w:p>
          <w:p w14:paraId="72C08589" w14:textId="77777777" w:rsidR="005B02ED" w:rsidRPr="00C53B88" w:rsidRDefault="005B02ED" w:rsidP="00CE3336">
            <w:pPr>
              <w:widowControl w:val="0"/>
              <w:autoSpaceDE w:val="0"/>
              <w:autoSpaceDN w:val="0"/>
              <w:spacing w:line="276" w:lineRule="auto"/>
              <w:ind w:left="708"/>
              <w:jc w:val="both"/>
              <w:rPr>
                <w:rFonts w:ascii="Verdana" w:eastAsia="Calibri" w:hAnsi="Verdana" w:cs="Arial"/>
                <w:lang w:val="es-ES"/>
              </w:rPr>
            </w:pPr>
            <w:r w:rsidRPr="00C53B88">
              <w:rPr>
                <w:rFonts w:ascii="Verdana" w:hAnsi="Verdana"/>
                <w:i/>
                <w:iCs/>
                <w:shd w:val="clear" w:color="auto" w:fill="FFFFFF"/>
              </w:rPr>
              <w:lastRenderedPageBreak/>
              <w:t xml:space="preserve">“2.5.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r w:rsidRPr="00C53B88">
              <w:rPr>
                <w:rFonts w:ascii="Verdana" w:hAnsi="Verdana"/>
                <w:b/>
                <w:bCs/>
                <w:i/>
                <w:iCs/>
                <w:u w:val="single"/>
                <w:shd w:val="clear" w:color="auto" w:fill="FFFFFF"/>
              </w:rPr>
              <w:t>Si la constitución del interesado es menor a tres (3) años, puede acreditar la experiencia de sus accionistas, socios o constituyentes</w:t>
            </w:r>
            <w:r w:rsidRPr="00C53B88">
              <w:rPr>
                <w:rFonts w:ascii="Verdana" w:hAnsi="Verdana"/>
                <w:shd w:val="clear" w:color="auto" w:fill="FFFFFF"/>
              </w:rPr>
              <w:t>.”</w:t>
            </w:r>
            <w:r w:rsidRPr="00C53B88">
              <w:rPr>
                <w:rStyle w:val="Refdenotaalpie"/>
                <w:rFonts w:ascii="Verdana" w:hAnsi="Verdana"/>
                <w:shd w:val="clear" w:color="auto" w:fill="FFFFFF"/>
              </w:rPr>
              <w:footnoteReference w:id="3"/>
            </w:r>
          </w:p>
          <w:p w14:paraId="5ECFDC7E" w14:textId="77777777" w:rsidR="005B02ED" w:rsidRDefault="005B02ED" w:rsidP="00CE3336">
            <w:pPr>
              <w:spacing w:after="120" w:line="276" w:lineRule="auto"/>
              <w:ind w:firstLine="708"/>
              <w:jc w:val="both"/>
              <w:rPr>
                <w:rFonts w:ascii="Verdana" w:eastAsia="Times New Roman" w:hAnsi="Verdana" w:cs="Arial"/>
                <w:lang w:val="es-MX" w:eastAsia="es-ES_tradnl"/>
              </w:rPr>
            </w:pPr>
          </w:p>
          <w:p w14:paraId="674AB433" w14:textId="77777777" w:rsidR="005B02ED" w:rsidRDefault="005B02ED" w:rsidP="00CE3336">
            <w:pPr>
              <w:spacing w:after="120" w:line="276" w:lineRule="auto"/>
              <w:ind w:firstLine="708"/>
              <w:jc w:val="both"/>
              <w:rPr>
                <w:rFonts w:ascii="Verdana" w:eastAsia="Times New Roman" w:hAnsi="Verdana" w:cs="Arial"/>
                <w:lang w:val="es-MX" w:eastAsia="es-ES_tradnl"/>
              </w:rPr>
            </w:pPr>
            <w:r w:rsidRPr="00C53B88">
              <w:rPr>
                <w:rFonts w:ascii="Verdana" w:eastAsia="Times New Roman" w:hAnsi="Verdana" w:cs="Arial"/>
                <w:lang w:val="es-MX" w:eastAsia="es-ES_tradnl"/>
              </w:rPr>
              <w:t xml:space="preserve">Sin embargo, debe aclararse que el Decreto 1082 de 2015 sólo permite que una sociedad acredite la experiencia de quienes tienen la calidad de accionistas, socios o constituyentes durante los primeros tres (3) años de su constitución. Por tanto, si se pierden estas calidades, como sucedería cuando un socio se retira por venta o cesión de su participación o fallece y pierde su calidad de socio, ya no sería aceptable que la sociedad acredite la experiencia aportada por dicha persona. </w:t>
            </w:r>
            <w:r w:rsidRPr="00C53B88">
              <w:rPr>
                <w:rFonts w:ascii="Verdana" w:eastAsia="Calibri" w:hAnsi="Verdana" w:cs="Arial"/>
                <w:lang w:val="es-MX"/>
              </w:rPr>
              <w:t xml:space="preserve">Por tanto, si no se tiene o se pierden estas calidades, como sucedería cuando un socio se retira por venta o cesión de su participación y pierde su calidad de socio y/o fallece, ya no sería posible que la sociedad acredite la experiencia aportada por dicha persona, toda vez que la experiencia es inherente a la persona que la ha obtenido, razón por la cual es intransferible en virtud de su carácter personalísimo, pero por disposición legal o reglamentaria, en casos excepcionales se permite transferirla, como el descrito por el </w:t>
            </w:r>
            <w:r w:rsidRPr="00C53B88">
              <w:rPr>
                <w:rFonts w:ascii="Verdana" w:eastAsia="Century Gothic" w:hAnsi="Verdana" w:cs="Century Gothic"/>
              </w:rPr>
              <w:t>numeral 2.5 del artículo 2.2.1.1.1.5.2 del Decreto 1082 de 2015</w:t>
            </w:r>
            <w:r w:rsidRPr="00C53B88">
              <w:rPr>
                <w:rFonts w:ascii="Verdana" w:eastAsia="Calibri" w:hAnsi="Verdana" w:cs="Arial"/>
                <w:lang w:val="es-MX"/>
              </w:rPr>
              <w:t>.</w:t>
            </w:r>
          </w:p>
          <w:p w14:paraId="37EFEDFB" w14:textId="77777777" w:rsidR="005B02ED" w:rsidRPr="00DE5508" w:rsidRDefault="005B02ED" w:rsidP="00CE3336">
            <w:pPr>
              <w:spacing w:after="120" w:line="276" w:lineRule="auto"/>
              <w:ind w:firstLine="708"/>
              <w:jc w:val="both"/>
              <w:rPr>
                <w:rFonts w:ascii="Verdana" w:hAnsi="Verdana"/>
              </w:rPr>
            </w:pPr>
            <w:r w:rsidRPr="00C53B88">
              <w:rPr>
                <w:rFonts w:ascii="Verdana" w:hAnsi="Verdana"/>
              </w:rPr>
              <w:t xml:space="preserve">Dentro de este marco, corresponde a cada entidad, en ejercicio 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w:t>
            </w:r>
            <w:r w:rsidRPr="00C53B88">
              <w:rPr>
                <w:rFonts w:ascii="Verdana" w:hAnsi="Verdana"/>
              </w:rPr>
              <w:lastRenderedPageBreak/>
              <w:t>que corresponda, lo cual es acorde con el principio de juridicidad. Así, cada Entidad definirá la forma de adelantar su gestión contractual, sin que sea atribución de Colombia Compra Eficiente validar sus actuaciones</w:t>
            </w:r>
            <w:r>
              <w:rPr>
                <w:rFonts w:ascii="Verdana" w:hAnsi="Verdana"/>
              </w:rPr>
              <w:t>.</w:t>
            </w:r>
          </w:p>
        </w:tc>
      </w:tr>
    </w:tbl>
    <w:p w14:paraId="5A10CBBB" w14:textId="77777777" w:rsidR="005B02ED" w:rsidRPr="00DE5508" w:rsidRDefault="005B02ED" w:rsidP="005B02ED">
      <w:pPr>
        <w:tabs>
          <w:tab w:val="left" w:pos="142"/>
          <w:tab w:val="left" w:pos="284"/>
        </w:tabs>
        <w:spacing w:after="0" w:line="276" w:lineRule="auto"/>
        <w:jc w:val="both"/>
        <w:rPr>
          <w:rFonts w:ascii="Verdana" w:eastAsia="Century Gothic" w:hAnsi="Verdana" w:cs="Century Gothic"/>
          <w:b/>
          <w:bCs/>
          <w:lang w:val="es-ES"/>
        </w:rPr>
      </w:pPr>
    </w:p>
    <w:p w14:paraId="5164A6DD" w14:textId="77777777" w:rsidR="005B02ED" w:rsidRDefault="005B02ED" w:rsidP="005B02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1D6255A3" w14:textId="77777777" w:rsidR="005B02ED" w:rsidRDefault="005B02ED" w:rsidP="005B02ED">
      <w:pPr>
        <w:spacing w:after="0" w:line="276" w:lineRule="auto"/>
        <w:jc w:val="both"/>
        <w:rPr>
          <w:rFonts w:ascii="Verdana" w:eastAsia="Calibri" w:hAnsi="Verdana" w:cs="Arial"/>
          <w:color w:val="7030A0"/>
          <w:lang w:val="es-ES"/>
        </w:rPr>
      </w:pPr>
    </w:p>
    <w:p w14:paraId="607C1086" w14:textId="77777777" w:rsidR="005B02ED" w:rsidRDefault="005B02ED" w:rsidP="005B02ED">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1292DB5F" w14:textId="77777777" w:rsidR="005B02ED" w:rsidRDefault="005B02ED" w:rsidP="005B02ED">
      <w:pPr>
        <w:widowControl w:val="0"/>
        <w:autoSpaceDE w:val="0"/>
        <w:autoSpaceDN w:val="0"/>
        <w:spacing w:after="0" w:line="276" w:lineRule="auto"/>
        <w:ind w:right="176"/>
        <w:jc w:val="both"/>
        <w:rPr>
          <w:rFonts w:ascii="Verdana" w:eastAsia="Calibri" w:hAnsi="Verdana" w:cs="Arial"/>
          <w:lang w:val="es-ES"/>
        </w:rPr>
      </w:pPr>
    </w:p>
    <w:p w14:paraId="26F67433" w14:textId="77777777" w:rsidR="005B02ED" w:rsidRPr="00C53B88" w:rsidRDefault="005B02ED" w:rsidP="005B02ED">
      <w:pPr>
        <w:spacing w:after="120"/>
        <w:jc w:val="both"/>
        <w:rPr>
          <w:rFonts w:ascii="Verdana" w:eastAsia="Calibri" w:hAnsi="Verdana" w:cs="Arial"/>
          <w:highlight w:val="yellow"/>
        </w:rPr>
      </w:pPr>
      <w:r w:rsidRPr="00C53B88">
        <w:rPr>
          <w:rFonts w:ascii="Verdana" w:eastAsia="Calibri" w:hAnsi="Verdana" w:cs="Arial"/>
        </w:rPr>
        <w:t>La Ley 1150 de 2007, en el artículo 5, establece los requisitos habilitantes para participar en un procedimiento contractual,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w:t>
      </w:r>
      <w:r w:rsidRPr="00C53B88">
        <w:rPr>
          <w:rFonts w:ascii="Verdana" w:eastAsia="Calibri" w:hAnsi="Verdana" w:cs="Arial"/>
          <w:vertAlign w:val="superscript"/>
        </w:rPr>
        <w:footnoteReference w:id="4"/>
      </w:r>
      <w:r w:rsidRPr="00C53B88">
        <w:rPr>
          <w:rFonts w:ascii="Verdana" w:eastAsia="Calibri" w:hAnsi="Verdana" w:cs="Arial"/>
        </w:rPr>
        <w:t>. En ese sentido,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r w:rsidRPr="00C53B88">
        <w:rPr>
          <w:rFonts w:ascii="Verdana" w:eastAsia="Calibri" w:hAnsi="Verdana" w:cs="Arial"/>
          <w:vertAlign w:val="superscript"/>
        </w:rPr>
        <w:footnoteReference w:id="5"/>
      </w:r>
      <w:r w:rsidRPr="00C53B88">
        <w:rPr>
          <w:rFonts w:ascii="Verdana" w:eastAsia="Calibri" w:hAnsi="Verdana" w:cs="Arial"/>
        </w:rPr>
        <w:t>.</w:t>
      </w:r>
    </w:p>
    <w:p w14:paraId="57D49434" w14:textId="77777777" w:rsidR="005B02ED" w:rsidRPr="00C53B88" w:rsidRDefault="005B02ED" w:rsidP="005B02ED">
      <w:pPr>
        <w:spacing w:before="120" w:after="120"/>
        <w:ind w:firstLine="708"/>
        <w:jc w:val="both"/>
        <w:rPr>
          <w:rFonts w:ascii="Verdana" w:eastAsia="Calibri" w:hAnsi="Verdana" w:cs="Arial"/>
        </w:rPr>
      </w:pPr>
      <w:r w:rsidRPr="00C53B88">
        <w:rPr>
          <w:rFonts w:ascii="Verdana" w:eastAsia="Calibri" w:hAnsi="Verdana" w:cs="Arial"/>
        </w:rPr>
        <w:t xml:space="preserve">La experiencia que se deriva de los contratos que el proponente ha celebrado y ejecutado con diferentes contratantes, sin importar la naturaleza de </w:t>
      </w:r>
      <w:r w:rsidRPr="00C53B88">
        <w:rPr>
          <w:rFonts w:ascii="Verdana" w:eastAsia="Calibri" w:hAnsi="Verdana" w:cs="Arial"/>
        </w:rPr>
        <w:lastRenderedPageBreak/>
        <w:t>estos, se verifica con el Registro Único de Proponentes – RUP</w:t>
      </w:r>
      <w:r w:rsidRPr="00C53B88">
        <w:rPr>
          <w:rFonts w:ascii="Verdana" w:eastAsia="Calibri" w:hAnsi="Verdana" w:cs="Arial"/>
          <w:vertAlign w:val="superscript"/>
        </w:rPr>
        <w:footnoteReference w:id="6"/>
      </w:r>
      <w:r w:rsidRPr="00C53B88">
        <w:rPr>
          <w:rFonts w:ascii="Verdana" w:eastAsia="Calibri" w:hAnsi="Verdana" w:cs="Arial"/>
        </w:rPr>
        <w:t>, cuando este certificado sea exigible de acuerdo con la ley. En el RUP constan los requisitos habilitantes que se evalúan exclusivamente con este documento, que es su plena prueba, sin que la entidad o el proponente puedan solicitar o aportar otra documentación</w:t>
      </w:r>
      <w:r w:rsidRPr="00C53B88">
        <w:rPr>
          <w:rFonts w:ascii="Verdana" w:eastAsia="Calibri" w:hAnsi="Verdana" w:cs="Arial"/>
          <w:vertAlign w:val="superscript"/>
        </w:rPr>
        <w:footnoteReference w:id="7"/>
      </w:r>
      <w:r w:rsidRPr="00C53B88">
        <w:rPr>
          <w:rFonts w:ascii="Verdana" w:eastAsia="Calibri" w:hAnsi="Verdana" w:cs="Arial"/>
        </w:rPr>
        <w:t>.</w:t>
      </w:r>
    </w:p>
    <w:p w14:paraId="11467A44" w14:textId="77777777" w:rsidR="005B02ED" w:rsidRPr="00C53B88" w:rsidRDefault="005B02ED" w:rsidP="005B02ED">
      <w:pPr>
        <w:ind w:firstLine="708"/>
        <w:jc w:val="both"/>
        <w:rPr>
          <w:rFonts w:ascii="Verdana" w:eastAsia="Calibri" w:hAnsi="Verdana" w:cs="Arial"/>
        </w:rPr>
      </w:pPr>
      <w:r w:rsidRPr="00C53B88">
        <w:rPr>
          <w:rFonts w:ascii="Verdana" w:eastAsia="Calibri" w:hAnsi="Verdana" w:cs="Arial"/>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 Tales documentos deben codificarse con el clasificador de bienes y servicios en el tercer nivel</w:t>
      </w:r>
      <w:r w:rsidRPr="00C53B88">
        <w:rPr>
          <w:rFonts w:ascii="Verdana" w:eastAsia="Calibri" w:hAnsi="Verdana" w:cs="Arial"/>
          <w:vertAlign w:val="superscript"/>
        </w:rPr>
        <w:footnoteReference w:id="8"/>
      </w:r>
      <w:r w:rsidRPr="00C53B88">
        <w:rPr>
          <w:rFonts w:ascii="Verdana" w:eastAsia="Calibri" w:hAnsi="Verdana" w:cs="Arial"/>
        </w:rPr>
        <w:t xml:space="preserve">. De esta manera, con el RUP se verifica que el proponente tenga experiencia en la ejecución del objeto que </w:t>
      </w:r>
      <w:r w:rsidRPr="00C53B88">
        <w:rPr>
          <w:rFonts w:ascii="Verdana" w:eastAsia="Calibri" w:hAnsi="Verdana" w:cs="Arial"/>
        </w:rPr>
        <w:lastRenderedPageBreak/>
        <w:t>pretende contratar la entidad, esto es, que haya celebrado y ejecutado contratos que se asimilen a la necesidad que la entidad requiere satisfacer con el procedimiento contractual, sin que sea necesario que su objeto sea idéntico. Por lo anterior, es pertinente aclarar que los códigos del clasificador de bienes y servicios ayudan a que exista un lenguaje común en la denominación de los bienes, obras o servicios que los proveedores ofrecen y que las entidades solicitan, sin que la entidad los evalúe, ya que lo que es objeto de evaluación es la experiencia clasificada de esta forma.</w:t>
      </w:r>
    </w:p>
    <w:p w14:paraId="57CD4158" w14:textId="2AFAA616" w:rsidR="005B02ED" w:rsidRPr="00C53B88" w:rsidRDefault="005B02ED" w:rsidP="005B02ED">
      <w:pPr>
        <w:spacing w:before="120"/>
        <w:ind w:firstLine="709"/>
        <w:jc w:val="both"/>
        <w:rPr>
          <w:rFonts w:ascii="Verdana" w:eastAsia="Calibri" w:hAnsi="Verdana" w:cs="Arial"/>
        </w:rPr>
      </w:pPr>
      <w:r w:rsidRPr="00C53B88">
        <w:rPr>
          <w:rFonts w:ascii="Verdana" w:eastAsia="Calibri" w:hAnsi="Verdana" w:cs="Arial"/>
        </w:rPr>
        <w:t>La experiencia como requisito habilitante es personal, lo cual significa que quien tiene la experiencia lo hace en razón de su participación, con anterioridad, en actividades que le permitieron conocer cómo ejecutar el objeto contractual que la entidad pretende satisfacer ahora</w:t>
      </w:r>
      <w:r w:rsidRPr="00C53B88">
        <w:rPr>
          <w:rFonts w:ascii="Verdana" w:eastAsia="Calibri" w:hAnsi="Verdana" w:cs="Arial"/>
          <w:vertAlign w:val="superscript"/>
        </w:rPr>
        <w:footnoteReference w:id="9"/>
      </w:r>
      <w:r w:rsidRPr="00C53B88">
        <w:rPr>
          <w:rFonts w:ascii="Verdana" w:eastAsia="Calibri" w:hAnsi="Verdana" w:cs="Arial"/>
        </w:rPr>
        <w:t>.</w:t>
      </w:r>
      <w:r w:rsidR="3D4B1707" w:rsidRPr="00C53B88">
        <w:rPr>
          <w:rFonts w:ascii="Verdana" w:eastAsia="Calibri" w:hAnsi="Verdana" w:cs="Arial"/>
        </w:rPr>
        <w:t xml:space="preserve"> </w:t>
      </w:r>
      <w:r w:rsidRPr="00C53B88">
        <w:rPr>
          <w:rFonts w:ascii="Verdana" w:eastAsia="Calibri" w:hAnsi="Verdana" w:cs="Arial"/>
        </w:rPr>
        <w:t>Lo anterior es determinante porque no es posible tener experiencia si en la práctica no se han ejecutado actividades similares previas. Precisamente, de la experiencia se deriva el conocimiento del proponente, y para la contratación pública es importante, ya que garantiza que no habrá improvisación ni mayores costos por errores o dificultades originadas en realizar una actividad por primera vez.</w:t>
      </w:r>
    </w:p>
    <w:p w14:paraId="7850A11C" w14:textId="77777777" w:rsidR="005B02ED" w:rsidRPr="00C53B88" w:rsidRDefault="005B02ED" w:rsidP="005B02ED">
      <w:pPr>
        <w:spacing w:before="120"/>
        <w:ind w:firstLine="709"/>
        <w:jc w:val="both"/>
        <w:rPr>
          <w:rFonts w:ascii="Verdana" w:eastAsia="Calibri" w:hAnsi="Verdana" w:cs="Arial"/>
        </w:rPr>
      </w:pPr>
      <w:r w:rsidRPr="00C53B88">
        <w:rPr>
          <w:rFonts w:ascii="Verdana" w:eastAsia="Calibri" w:hAnsi="Verdana" w:cs="Arial"/>
        </w:rPr>
        <w:t xml:space="preserve"> </w:t>
      </w:r>
      <w:bookmarkStart w:id="4" w:name="_Hlk113212591"/>
      <w:r w:rsidRPr="00C53B88">
        <w:rPr>
          <w:rFonts w:ascii="Verdana" w:eastAsia="Calibri" w:hAnsi="Verdana" w:cs="Arial"/>
        </w:rPr>
        <w:t xml:space="preserve">Al respecto, la jurisprudencia ha señalado que la experiencia acreditable </w:t>
      </w:r>
      <w:r w:rsidRPr="00C53B88">
        <w:rPr>
          <w:rFonts w:ascii="Verdana" w:hAnsi="Verdana" w:cs="Arial"/>
        </w:rPr>
        <w:t>“</w:t>
      </w:r>
      <w:r w:rsidRPr="00C53B88">
        <w:rPr>
          <w:rFonts w:ascii="Verdana" w:eastAsia="Calibri" w:hAnsi="Verdana" w:cs="Arial"/>
        </w:rPr>
        <w:t xml:space="preserve">no es más que un valor agregado para el contratista en consideración al registro documentado del hecho de haberlo ejecutado, es decir de haber cumplido las consideraciones pactadas, asunto que alude a un estado adquirido por el contratante en función de la real ejecución que han hecho del contrato. La experiencia predicada de un sujeto comprende unas competencias o habilidades </w:t>
      </w:r>
      <w:r w:rsidRPr="00C53B88">
        <w:rPr>
          <w:rFonts w:ascii="Verdana" w:eastAsia="Calibri" w:hAnsi="Verdana" w:cs="Arial"/>
        </w:rPr>
        <w:lastRenderedPageBreak/>
        <w:t>que este obtuvo, como consecuencia de la ejecución del contrato […]</w:t>
      </w:r>
      <w:r w:rsidRPr="00C53B88">
        <w:rPr>
          <w:rFonts w:ascii="Verdana" w:hAnsi="Verdana" w:cs="Arial"/>
        </w:rPr>
        <w:t>”</w:t>
      </w:r>
      <w:r w:rsidRPr="00C53B88">
        <w:rPr>
          <w:rStyle w:val="Refdenotaalpie"/>
          <w:rFonts w:ascii="Verdana" w:hAnsi="Verdana" w:cs="Arial"/>
        </w:rPr>
        <w:footnoteReference w:id="10"/>
      </w:r>
      <w:r w:rsidRPr="00C53B88">
        <w:rPr>
          <w:rFonts w:ascii="Verdana" w:hAnsi="Verdana" w:cs="Arial"/>
        </w:rPr>
        <w:t xml:space="preserve">. En tal sentido, la ejecución del contrato “se revela como un aspecto inherente a la persona que lo ejecutó”, por lo que es en virtud de dicha ejecución que se obtiene las habilidades y competencias que califican al proponente. </w:t>
      </w:r>
    </w:p>
    <w:bookmarkEnd w:id="4"/>
    <w:p w14:paraId="4841AEB3" w14:textId="77777777" w:rsidR="005B02ED" w:rsidRPr="00C53B88" w:rsidRDefault="005B02ED" w:rsidP="005B02ED">
      <w:pPr>
        <w:spacing w:before="120" w:after="120"/>
        <w:ind w:firstLine="708"/>
        <w:jc w:val="both"/>
        <w:rPr>
          <w:rFonts w:ascii="Verdana" w:eastAsia="Calibri" w:hAnsi="Verdana" w:cs="Arial"/>
        </w:rPr>
      </w:pPr>
      <w:r w:rsidRPr="00C53B88">
        <w:rPr>
          <w:rFonts w:ascii="Verdana" w:eastAsia="Calibri" w:hAnsi="Verdana" w:cs="Arial"/>
        </w:rPr>
        <w:t xml:space="preserve">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evento en el cual, por tratarse de esquemas asociativos, la experiencia es compartida. Por otra parte, la Agencia recomienda que la experiencia que se solicite sea proporcional y no igual al objeto que se va a contratar, ya que esto puede limitar la participación de los proveedores, por no haber ejecutado un objeto igual pero sí similar, que puede funcionar para las exigencias de la entidad ayudando a que exista pluralidad de oferentes. </w:t>
      </w:r>
    </w:p>
    <w:p w14:paraId="1AD7E8DD" w14:textId="77777777" w:rsidR="005B02ED" w:rsidRPr="00C53B88" w:rsidRDefault="005B02ED" w:rsidP="005B02ED">
      <w:pPr>
        <w:widowControl w:val="0"/>
        <w:autoSpaceDE w:val="0"/>
        <w:autoSpaceDN w:val="0"/>
        <w:spacing w:after="0" w:line="276" w:lineRule="auto"/>
        <w:ind w:firstLine="708"/>
        <w:jc w:val="both"/>
        <w:rPr>
          <w:rFonts w:ascii="Verdana" w:eastAsia="Calibri" w:hAnsi="Verdana" w:cs="Arial"/>
          <w:lang w:val="es-ES"/>
        </w:rPr>
      </w:pPr>
      <w:r w:rsidRPr="00C53B88">
        <w:rPr>
          <w:rFonts w:ascii="Verdana" w:eastAsia="Calibri" w:hAnsi="Verdana" w:cs="Arial"/>
          <w:lang w:val="es-ES"/>
        </w:rPr>
        <w:t xml:space="preserve">En relación con la experiencia como requisito habilitante para contratación administrativa, </w:t>
      </w:r>
      <w:r w:rsidRPr="00C53B88">
        <w:rPr>
          <w:rFonts w:ascii="Verdana" w:eastAsia="Calibri" w:hAnsi="Verdana" w:cs="Arial"/>
        </w:rPr>
        <w:t>la Agencia Nacional de Contratación Pública - Colombia Compra Eficiente ha reiterado las siguientes conclusiones:</w:t>
      </w:r>
    </w:p>
    <w:p w14:paraId="680D25F9" w14:textId="77777777" w:rsidR="005B02ED" w:rsidRPr="00C53B88" w:rsidRDefault="005B02ED" w:rsidP="005B02ED">
      <w:pPr>
        <w:spacing w:before="120"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 La experiencia es </w:t>
      </w:r>
      <w:r w:rsidRPr="00C53B88">
        <w:rPr>
          <w:rFonts w:ascii="Verdana" w:eastAsia="Calibri" w:hAnsi="Verdana" w:cs="Arial"/>
          <w:i/>
          <w:iCs/>
          <w:lang w:val="es-MX" w:eastAsia="es-ES_tradnl"/>
        </w:rPr>
        <w:t>personal</w:t>
      </w:r>
      <w:r w:rsidRPr="00C53B88">
        <w:rPr>
          <w:rFonts w:ascii="Verdana" w:eastAsia="Calibri" w:hAnsi="Verdana" w:cs="Arial"/>
          <w:lang w:val="es-MX" w:eastAsia="es-ES_tradnl"/>
        </w:rPr>
        <w:t>, esto es, se adquiere participando, directa o indirectamente, sin que sea posible no hacerlo y tener experiencia.</w:t>
      </w:r>
    </w:p>
    <w:p w14:paraId="5B76AA6E" w14:textId="77777777" w:rsidR="005B02ED" w:rsidRPr="00C53B88" w:rsidRDefault="005B02ED" w:rsidP="005B02ED">
      <w:pPr>
        <w:spacing w:before="120"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ii) La experiencia se puede </w:t>
      </w:r>
      <w:r w:rsidRPr="00C53B88">
        <w:rPr>
          <w:rFonts w:ascii="Verdana" w:eastAsia="Calibri" w:hAnsi="Verdana" w:cs="Arial"/>
          <w:i/>
          <w:iCs/>
          <w:lang w:val="es-MX" w:eastAsia="es-ES_tradnl"/>
        </w:rPr>
        <w:t>compartir</w:t>
      </w:r>
      <w:r w:rsidRPr="00C53B88">
        <w:rPr>
          <w:rFonts w:ascii="Verdana" w:eastAsia="Calibri" w:hAnsi="Verdana" w:cs="Arial"/>
          <w:lang w:val="es-MX" w:eastAsia="es-ES_tradnl"/>
        </w:rPr>
        <w:t xml:space="preserve">, sin que implique que la compartida a una persona se entienda suya, ya que dentro del procedimiento contractual se reflejará que esa persona tiene la experiencia de otra, como es el caso de las figuras asociativas   </w:t>
      </w:r>
      <w:r w:rsidRPr="00C53B88">
        <w:rPr>
          <w:rFonts w:ascii="Arial" w:eastAsia="Calibri" w:hAnsi="Arial" w:cs="Arial"/>
          <w:lang w:val="es-MX" w:eastAsia="es-ES_tradnl"/>
        </w:rPr>
        <w:t>̶</w:t>
      </w:r>
      <w:r w:rsidRPr="00C53B88">
        <w:rPr>
          <w:rFonts w:ascii="Verdana" w:eastAsia="Calibri" w:hAnsi="Verdana" w:cs="Arial"/>
          <w:lang w:val="es-MX" w:eastAsia="es-ES_tradnl"/>
        </w:rPr>
        <w:t xml:space="preserve"> consorcios y uniones temporales </w:t>
      </w:r>
      <w:r w:rsidRPr="00C53B88">
        <w:rPr>
          <w:rFonts w:ascii="Arial" w:eastAsia="Calibri" w:hAnsi="Arial" w:cs="Arial"/>
          <w:lang w:val="es-MX" w:eastAsia="es-ES_tradnl"/>
        </w:rPr>
        <w:t>̶</w:t>
      </w:r>
      <w:r w:rsidRPr="00C53B88">
        <w:rPr>
          <w:rFonts w:ascii="Verdana" w:eastAsia="Calibri" w:hAnsi="Verdana" w:cs="Arial"/>
          <w:lang w:val="es-MX" w:eastAsia="es-ES_tradnl"/>
        </w:rPr>
        <w:t xml:space="preserve">   que se verificar</w:t>
      </w:r>
      <w:r w:rsidRPr="00C53B88">
        <w:rPr>
          <w:rFonts w:ascii="Verdana" w:eastAsia="Calibri" w:hAnsi="Verdana" w:cs="Geomanist Light"/>
          <w:lang w:val="es-MX" w:eastAsia="es-ES_tradnl"/>
        </w:rPr>
        <w:t>á</w:t>
      </w:r>
      <w:r w:rsidRPr="00C53B88">
        <w:rPr>
          <w:rFonts w:ascii="Verdana" w:eastAsia="Calibri" w:hAnsi="Verdana" w:cs="Arial"/>
          <w:lang w:val="es-MX" w:eastAsia="es-ES_tradnl"/>
        </w:rPr>
        <w:t xml:space="preserve"> en el documento privado de constitución</w:t>
      </w:r>
      <w:r w:rsidRPr="00C53B88">
        <w:rPr>
          <w:rFonts w:ascii="Verdana" w:eastAsia="Calibri" w:hAnsi="Verdana" w:cs="Arial"/>
          <w:vertAlign w:val="superscript"/>
          <w:lang w:val="es-MX" w:eastAsia="es-ES_tradnl"/>
        </w:rPr>
        <w:footnoteReference w:id="11"/>
      </w:r>
      <w:r w:rsidRPr="00C53B88">
        <w:rPr>
          <w:rFonts w:ascii="Verdana" w:eastAsia="Calibri" w:hAnsi="Verdana" w:cs="Arial"/>
          <w:lang w:val="es-MX" w:eastAsia="es-ES_tradnl"/>
        </w:rPr>
        <w:t>.</w:t>
      </w:r>
    </w:p>
    <w:p w14:paraId="72752A28" w14:textId="77777777" w:rsidR="005B02ED" w:rsidRPr="00C53B88" w:rsidRDefault="005B02ED" w:rsidP="005B02ED">
      <w:pPr>
        <w:spacing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iii) Cuando la persona que adquirió la experiencia </w:t>
      </w:r>
      <w:r w:rsidRPr="00C53B88">
        <w:rPr>
          <w:rFonts w:ascii="Verdana" w:eastAsia="Calibri" w:hAnsi="Verdana" w:cs="Arial"/>
          <w:i/>
          <w:iCs/>
          <w:lang w:val="es-MX" w:eastAsia="es-ES_tradnl"/>
        </w:rPr>
        <w:t>desaparece</w:t>
      </w:r>
      <w:r w:rsidRPr="00C53B88">
        <w:rPr>
          <w:rFonts w:ascii="Verdana" w:eastAsia="Calibri" w:hAnsi="Verdana" w:cs="Arial"/>
          <w:lang w:val="es-MX" w:eastAsia="es-ES_tradnl"/>
        </w:rPr>
        <w:t xml:space="preserve"> o se liquida no es posible que comparta o transfiera su experiencia, porque al ser personal sigue la suerte de quien la adquirió.</w:t>
      </w:r>
    </w:p>
    <w:p w14:paraId="13DF2576" w14:textId="77777777" w:rsidR="005B02ED" w:rsidRPr="00C53B88" w:rsidRDefault="005B02ED" w:rsidP="005B02ED">
      <w:pPr>
        <w:spacing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iv) La experiencia se puede </w:t>
      </w:r>
      <w:r w:rsidRPr="00C53B88">
        <w:rPr>
          <w:rFonts w:ascii="Verdana" w:eastAsia="Calibri" w:hAnsi="Verdana" w:cs="Arial"/>
          <w:i/>
          <w:iCs/>
          <w:lang w:val="es-MX" w:eastAsia="es-ES_tradnl"/>
        </w:rPr>
        <w:t>transferir</w:t>
      </w:r>
      <w:r w:rsidRPr="00C53B88">
        <w:rPr>
          <w:rFonts w:ascii="Verdana" w:eastAsia="Calibri" w:hAnsi="Verdana" w:cs="Arial"/>
          <w:lang w:val="es-MX" w:eastAsia="es-ES_tradnl"/>
        </w:rPr>
        <w:t>, y esto es diferente a compartir, lo que implica que la experiencia de una persona se traslada a otra, y esta última acredita la experiencia como propia, como se explica a continuación.</w:t>
      </w:r>
    </w:p>
    <w:p w14:paraId="72ACED1E" w14:textId="77777777" w:rsidR="005B02ED" w:rsidRPr="00C53B88" w:rsidRDefault="005B02ED" w:rsidP="005B02ED">
      <w:pPr>
        <w:jc w:val="both"/>
        <w:rPr>
          <w:rFonts w:ascii="Verdana" w:eastAsia="Calibri" w:hAnsi="Verdana" w:cs="Arial"/>
          <w:bCs/>
        </w:rPr>
      </w:pPr>
      <w:r w:rsidRPr="00C53B88">
        <w:rPr>
          <w:rFonts w:ascii="Verdana" w:eastAsia="Times New Roman" w:hAnsi="Verdana" w:cs="Arial"/>
          <w:lang w:val="es-ES_tradnl" w:eastAsia="es-ES_tradnl"/>
          <w14:ligatures w14:val="standardContextual"/>
        </w:rPr>
        <w:lastRenderedPageBreak/>
        <w:t>Ahora bien, teniendo en c</w:t>
      </w:r>
      <w:r>
        <w:rPr>
          <w:rFonts w:ascii="Verdana" w:eastAsia="Times New Roman" w:hAnsi="Verdana" w:cs="Arial"/>
          <w:lang w:val="es-ES_tradnl" w:eastAsia="es-ES_tradnl"/>
          <w14:ligatures w14:val="standardContextual"/>
        </w:rPr>
        <w:t>uen</w:t>
      </w:r>
      <w:r w:rsidRPr="00C53B88">
        <w:rPr>
          <w:rFonts w:ascii="Verdana" w:eastAsia="Times New Roman" w:hAnsi="Verdana" w:cs="Arial"/>
          <w:lang w:val="es-ES_tradnl" w:eastAsia="es-ES_tradnl"/>
          <w14:ligatures w14:val="standardContextual"/>
        </w:rPr>
        <w:t xml:space="preserve">ta lo anterior, para resolver el problema jurídico de su consulta se consideran dos escenarios. El primero, en el que la experiencia contractual adquirida es de la sociedad en ejecución de contratos suscritos por ella. </w:t>
      </w:r>
      <w:r w:rsidRPr="00C53B88">
        <w:rPr>
          <w:rFonts w:ascii="Verdana" w:eastAsia="Calibri" w:hAnsi="Verdana" w:cs="Arial"/>
          <w:bCs/>
        </w:rPr>
        <w:t xml:space="preserve">De conformidad con los artículos 98 y siguientes del Código de Comercio, quizá el principal efecto de un contrato de sociedad es el surgimiento de una persona jurídica distinta de la de los socios, una vez se cumplen las formalidades requeridas para su constitución. La naturaleza de estas personas jurídicas, así como los atributos que la definen, se encuentra condicionada por las estipulaciones sociales, las cuales deben definir el objeto social, el tipo societario, la conformación del capital social, entre otros aspectos que pueden ser materia de reformas sociales que, dependiendo de su tipología, pueden tener incidencia en la existencia de la sociedad y los compromisos adquiridos por esta. </w:t>
      </w:r>
    </w:p>
    <w:p w14:paraId="6F117C26" w14:textId="77777777" w:rsidR="005B02ED" w:rsidRPr="00C53B88" w:rsidRDefault="005B02ED" w:rsidP="005B02ED">
      <w:pPr>
        <w:ind w:firstLine="708"/>
        <w:jc w:val="both"/>
        <w:rPr>
          <w:rFonts w:ascii="Verdana" w:eastAsia="Calibri" w:hAnsi="Verdana" w:cs="Arial"/>
          <w:bCs/>
        </w:rPr>
      </w:pPr>
      <w:r w:rsidRPr="00C53B88">
        <w:rPr>
          <w:rFonts w:ascii="Verdana" w:eastAsia="Calibri" w:hAnsi="Verdana" w:cs="Arial"/>
          <w:bCs/>
        </w:rPr>
        <w:t xml:space="preserve">Así, en caso de que la experiencia haga referencia a contratos suscritos y ejecutados por la sociedad como persona jurídica independiente de sus socios, la muerte de alguno de sus socios no afecta la validez de dicha experiencia, sino que suscita otro tipo de cuestiones jurídicas como la sucesión y transferencia de la participación societaria del socio que falleció, que deberá resolverse a la luz de la normativa aplicable dependiendo el tipo societario y las demás particularidades del caso. </w:t>
      </w:r>
    </w:p>
    <w:p w14:paraId="0CD4BF82" w14:textId="77777777" w:rsidR="005B02ED" w:rsidRPr="00C53B88" w:rsidRDefault="005B02ED" w:rsidP="005B02ED">
      <w:pPr>
        <w:widowControl w:val="0"/>
        <w:autoSpaceDE w:val="0"/>
        <w:autoSpaceDN w:val="0"/>
        <w:spacing w:after="0" w:line="276" w:lineRule="auto"/>
        <w:ind w:firstLine="708"/>
        <w:jc w:val="both"/>
        <w:rPr>
          <w:rFonts w:ascii="Verdana" w:eastAsia="Calibri" w:hAnsi="Verdana" w:cs="Arial"/>
          <w:lang w:val="es-ES"/>
        </w:rPr>
      </w:pPr>
      <w:r w:rsidRPr="00C53B88">
        <w:rPr>
          <w:rFonts w:ascii="Verdana" w:eastAsia="Calibri" w:hAnsi="Verdana" w:cs="Arial"/>
          <w:bCs/>
        </w:rPr>
        <w:t xml:space="preserve">En el segundo escenario, </w:t>
      </w:r>
      <w:r w:rsidRPr="00C53B88">
        <w:rPr>
          <w:rFonts w:ascii="Verdana" w:eastAsia="Calibri" w:hAnsi="Verdana" w:cs="Arial"/>
          <w:lang w:val="es-ES"/>
        </w:rPr>
        <w:t xml:space="preserve">la normativa de contratación establece una figura que permite la transferencia de experiencia en las sociedades con menos de 3 años de constitución como sigue: </w:t>
      </w:r>
    </w:p>
    <w:p w14:paraId="58C3A1E3" w14:textId="77777777" w:rsidR="005B02ED" w:rsidRPr="00C53B88" w:rsidRDefault="005B02ED" w:rsidP="005B02ED">
      <w:pPr>
        <w:widowControl w:val="0"/>
        <w:autoSpaceDE w:val="0"/>
        <w:autoSpaceDN w:val="0"/>
        <w:spacing w:after="0" w:line="276" w:lineRule="auto"/>
        <w:jc w:val="both"/>
        <w:rPr>
          <w:rFonts w:ascii="Verdana" w:eastAsia="Calibri" w:hAnsi="Verdana" w:cs="Arial"/>
          <w:color w:val="7030A0"/>
          <w:lang w:val="es-ES"/>
        </w:rPr>
      </w:pPr>
    </w:p>
    <w:p w14:paraId="64265C20" w14:textId="77777777" w:rsidR="005B02ED" w:rsidRPr="00C53B88" w:rsidRDefault="005B02ED" w:rsidP="005B02ED">
      <w:pPr>
        <w:widowControl w:val="0"/>
        <w:autoSpaceDE w:val="0"/>
        <w:autoSpaceDN w:val="0"/>
        <w:spacing w:after="0" w:line="276" w:lineRule="auto"/>
        <w:ind w:left="708"/>
        <w:jc w:val="both"/>
        <w:rPr>
          <w:rFonts w:ascii="Verdana" w:eastAsia="Calibri" w:hAnsi="Verdana" w:cs="Arial"/>
          <w:lang w:val="es-ES"/>
        </w:rPr>
      </w:pPr>
      <w:r w:rsidRPr="00C53B88">
        <w:rPr>
          <w:rFonts w:ascii="Verdana" w:hAnsi="Verdana"/>
          <w:i/>
          <w:iCs/>
          <w:shd w:val="clear" w:color="auto" w:fill="FFFFFF"/>
        </w:rPr>
        <w:t xml:space="preserve">“2.5.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r w:rsidRPr="00C53B88">
        <w:rPr>
          <w:rFonts w:ascii="Verdana" w:hAnsi="Verdana"/>
          <w:b/>
          <w:bCs/>
          <w:i/>
          <w:iCs/>
          <w:u w:val="single"/>
          <w:shd w:val="clear" w:color="auto" w:fill="FFFFFF"/>
        </w:rPr>
        <w:t>Si la constitución del interesado es menor a tres (3) años, puede acreditar la experiencia de sus accionistas, socios o constituyentes</w:t>
      </w:r>
      <w:r w:rsidRPr="00C53B88">
        <w:rPr>
          <w:rFonts w:ascii="Verdana" w:hAnsi="Verdana"/>
          <w:shd w:val="clear" w:color="auto" w:fill="FFFFFF"/>
        </w:rPr>
        <w:t>.”</w:t>
      </w:r>
      <w:r w:rsidRPr="00C53B88">
        <w:rPr>
          <w:rStyle w:val="Refdenotaalpie"/>
          <w:rFonts w:ascii="Verdana" w:hAnsi="Verdana"/>
          <w:shd w:val="clear" w:color="auto" w:fill="FFFFFF"/>
        </w:rPr>
        <w:footnoteReference w:id="12"/>
      </w:r>
    </w:p>
    <w:p w14:paraId="2EA92F96" w14:textId="5FE24F83" w:rsidR="005B02ED" w:rsidRPr="00C53B88" w:rsidRDefault="00A56C1F" w:rsidP="005B02ED">
      <w:pPr>
        <w:spacing w:before="120" w:after="120" w:line="276" w:lineRule="auto"/>
        <w:ind w:firstLine="708"/>
        <w:jc w:val="both"/>
        <w:rPr>
          <w:rFonts w:ascii="Verdana" w:eastAsia="Times New Roman" w:hAnsi="Verdana" w:cs="Arial"/>
          <w:lang w:val="es-MX" w:eastAsia="es-ES_tradnl"/>
        </w:rPr>
      </w:pPr>
      <w:r>
        <w:rPr>
          <w:rFonts w:ascii="Verdana" w:eastAsia="Times New Roman" w:hAnsi="Verdana" w:cs="Arial"/>
          <w:lang w:val="es-MX" w:eastAsia="es-ES_tradnl"/>
        </w:rPr>
        <w:lastRenderedPageBreak/>
        <w:t>c</w:t>
      </w:r>
    </w:p>
    <w:p w14:paraId="2B935FEA" w14:textId="4A2A2D71" w:rsidR="005B02ED" w:rsidRPr="00C53B88" w:rsidRDefault="005B02ED" w:rsidP="005B02ED">
      <w:pPr>
        <w:spacing w:after="120" w:line="276" w:lineRule="auto"/>
        <w:ind w:firstLine="708"/>
        <w:jc w:val="both"/>
        <w:rPr>
          <w:rFonts w:ascii="Verdana" w:eastAsia="Times New Roman" w:hAnsi="Verdana" w:cs="Arial"/>
          <w:lang w:val="es-MX" w:eastAsia="es-ES"/>
        </w:rPr>
      </w:pPr>
      <w:r w:rsidRPr="371E251F">
        <w:rPr>
          <w:rFonts w:ascii="Verdana" w:eastAsia="Times New Roman" w:hAnsi="Verdana" w:cs="Arial"/>
          <w:lang w:val="es-MX" w:eastAsia="es-ES"/>
        </w:rPr>
        <w:t xml:space="preserve">Sin embargo, debe aclararse que el Decreto 1082 de 2015 sólo permite que una sociedad acredite la experiencia de quienes tienen la calidad de accionistas, socios o constituyentes durante los primeros tres (3) años de su constitución. Por tanto, si se pierden estas calidades, como sucedería cuando un socio se retira por venta o cesión de su participación o fallece y pierde su calidad de socio, ya no sería aceptable que la sociedad acredite la experiencia aportada por dicha persona. </w:t>
      </w:r>
      <w:r w:rsidRPr="00C53B88">
        <w:rPr>
          <w:rFonts w:ascii="Verdana" w:eastAsia="Calibri" w:hAnsi="Verdana" w:cs="Arial"/>
          <w:lang w:val="es-MX"/>
        </w:rPr>
        <w:t xml:space="preserve">Por tanto, si no se tiene o se pierden estas calidades, como sucedería cuando un socio se retira por venta o cesión de su participación y pierde su calidad de socio y/o fallece, ya no sería posible que la sociedad acredite la experiencia aportada por dicha persona, toda vez que la experiencia es inherente a la persona que la ha obtenido, razón por la cual es intransferible en virtud de su carácter personalísimo, pero por disposición legal o reglamentaria, en casos excepcionales se permite transferirla, como el descrito por el </w:t>
      </w:r>
      <w:r w:rsidRPr="00C53B88">
        <w:rPr>
          <w:rFonts w:ascii="Verdana" w:eastAsia="Century Gothic" w:hAnsi="Verdana" w:cs="Century Gothic"/>
        </w:rPr>
        <w:t>numeral 2.5 del artículo 2.2.1.1.1.5.2 del Decreto 1082 de 2015</w:t>
      </w:r>
      <w:r w:rsidRPr="00C53B88">
        <w:rPr>
          <w:rFonts w:ascii="Verdana" w:eastAsia="Calibri" w:hAnsi="Verdana" w:cs="Arial"/>
          <w:lang w:val="es-MX"/>
        </w:rPr>
        <w:t>.</w:t>
      </w:r>
      <w:r w:rsidR="3F5AEFB3" w:rsidRPr="371E251F">
        <w:rPr>
          <w:rFonts w:ascii="Verdana" w:eastAsia="Calibri" w:hAnsi="Verdana" w:cs="Arial"/>
          <w:lang w:val="es-MX"/>
        </w:rPr>
        <w:t xml:space="preserve"> </w:t>
      </w:r>
      <w:r w:rsidRPr="371E251F">
        <w:rPr>
          <w:rFonts w:ascii="Verdana" w:eastAsia="Times New Roman" w:hAnsi="Verdana" w:cs="Arial"/>
          <w:lang w:val="es-MX" w:eastAsia="es-ES"/>
        </w:rPr>
        <w:t>Esta interpretación, además, se impone en atención al fin de evitar prácticas corruptas o que atenten contra la transparencia en la contratación estatal, por lo que la experiencia aportada por quien se retira no deberá tenerse en cuenta por las Entidades Estatales, y no debería ser utilizada por el proponente en procesos de contratación, ya que es inherente a la persona que la ha obtenido.</w:t>
      </w:r>
    </w:p>
    <w:p w14:paraId="4FD3665A" w14:textId="77777777" w:rsidR="005B02ED" w:rsidRPr="00C53B88" w:rsidRDefault="005B02ED" w:rsidP="005B02ED">
      <w:pPr>
        <w:widowControl w:val="0"/>
        <w:autoSpaceDE w:val="0"/>
        <w:autoSpaceDN w:val="0"/>
        <w:spacing w:after="120" w:line="276" w:lineRule="auto"/>
        <w:ind w:firstLine="708"/>
        <w:jc w:val="both"/>
        <w:rPr>
          <w:rFonts w:ascii="Verdana" w:eastAsia="Arial" w:hAnsi="Verdana" w:cs="Arial"/>
        </w:rPr>
      </w:pPr>
      <w:r w:rsidRPr="00C53B88">
        <w:rPr>
          <w:rFonts w:ascii="Verdana" w:hAnsi="Verdana"/>
        </w:rPr>
        <w:t>Dentro de este marco, corresponde a cada entidad, en ejercicio 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C0A7C6F" w14:textId="77777777" w:rsidR="005B02ED" w:rsidRDefault="005B02ED" w:rsidP="005B02ED">
      <w:pPr>
        <w:widowControl w:val="0"/>
        <w:autoSpaceDE w:val="0"/>
        <w:autoSpaceDN w:val="0"/>
        <w:spacing w:after="0" w:line="276" w:lineRule="auto"/>
        <w:jc w:val="both"/>
        <w:rPr>
          <w:rFonts w:ascii="Verdana" w:hAnsi="Verdana" w:cs="Arial"/>
        </w:rPr>
      </w:pPr>
    </w:p>
    <w:p w14:paraId="3954A430" w14:textId="77777777" w:rsidR="005B02ED" w:rsidRDefault="005B02ED" w:rsidP="005B02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7F2B94A2" w14:textId="77777777" w:rsidR="005B02ED" w:rsidRDefault="005B02ED" w:rsidP="005B02ED">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B02ED" w14:paraId="072F726B" w14:textId="77777777" w:rsidTr="00CE3336">
        <w:trPr>
          <w:trHeight w:val="870"/>
        </w:trPr>
        <w:tc>
          <w:tcPr>
            <w:tcW w:w="8647" w:type="dxa"/>
            <w:tcBorders>
              <w:top w:val="dotted" w:sz="4" w:space="0" w:color="auto"/>
              <w:left w:val="dotted" w:sz="4" w:space="0" w:color="auto"/>
              <w:bottom w:val="dotted" w:sz="4" w:space="0" w:color="auto"/>
              <w:right w:val="dotted" w:sz="4" w:space="0" w:color="auto"/>
            </w:tcBorders>
            <w:hideMark/>
          </w:tcPr>
          <w:p w14:paraId="45F20AD4" w14:textId="77777777" w:rsidR="005B02ED" w:rsidRPr="00C6244F" w:rsidRDefault="005B02ED" w:rsidP="00CE3336">
            <w:pPr>
              <w:widowControl w:val="0"/>
              <w:numPr>
                <w:ilvl w:val="0"/>
                <w:numId w:val="17"/>
              </w:numPr>
              <w:autoSpaceDE w:val="0"/>
              <w:autoSpaceDN w:val="0"/>
              <w:spacing w:after="120" w:line="276" w:lineRule="auto"/>
              <w:jc w:val="both"/>
              <w:rPr>
                <w:rFonts w:ascii="Verdana" w:eastAsia="Arial MT" w:hAnsi="Verdana" w:cs="Arial"/>
                <w:bCs/>
                <w:lang w:val="es-ES" w:eastAsia="es-ES" w:bidi="es-ES"/>
              </w:rPr>
            </w:pPr>
            <w:r w:rsidRPr="00C6244F">
              <w:rPr>
                <w:rFonts w:ascii="Verdana" w:eastAsia="Arial MT" w:hAnsi="Verdana" w:cs="Arial"/>
                <w:bCs/>
                <w:lang w:val="es-ES" w:eastAsia="es-ES" w:bidi="es-ES"/>
              </w:rPr>
              <w:lastRenderedPageBreak/>
              <w:t>Ley 1150 de 2007, artículo 5</w:t>
            </w:r>
          </w:p>
          <w:p w14:paraId="71964A25" w14:textId="77777777" w:rsidR="005B02ED" w:rsidRPr="00C6244F" w:rsidRDefault="005B02ED" w:rsidP="00CE3336">
            <w:pPr>
              <w:widowControl w:val="0"/>
              <w:numPr>
                <w:ilvl w:val="0"/>
                <w:numId w:val="17"/>
              </w:numPr>
              <w:autoSpaceDE w:val="0"/>
              <w:autoSpaceDN w:val="0"/>
              <w:spacing w:after="120" w:line="276" w:lineRule="auto"/>
              <w:jc w:val="both"/>
              <w:rPr>
                <w:rFonts w:ascii="Verdana" w:eastAsia="Arial MT" w:hAnsi="Verdana" w:cs="Arial"/>
                <w:bCs/>
                <w:lang w:val="es-ES" w:eastAsia="es-ES" w:bidi="es-ES"/>
              </w:rPr>
            </w:pPr>
            <w:r w:rsidRPr="00C6244F">
              <w:rPr>
                <w:rFonts w:ascii="Verdana" w:eastAsia="Arial MT" w:hAnsi="Verdana" w:cs="Arial"/>
                <w:bCs/>
                <w:lang w:val="es-ES" w:eastAsia="es-ES" w:bidi="es-ES"/>
              </w:rPr>
              <w:t>Decreto 1082 de 2015, artículo 2.2.1.1.1.6.2., 2.2.1.1.1.5.2.</w:t>
            </w:r>
          </w:p>
          <w:p w14:paraId="2DA75332" w14:textId="77777777" w:rsidR="005B02ED" w:rsidRPr="006A640E" w:rsidRDefault="005B02ED" w:rsidP="00CE3336">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6244F">
              <w:rPr>
                <w:rFonts w:ascii="Verdana" w:eastAsia="Arial MT" w:hAnsi="Verdana" w:cs="Arial"/>
                <w:bCs/>
                <w:lang w:val="es-ES" w:eastAsia="es-ES" w:bidi="es-ES"/>
              </w:rPr>
              <w:t>Código de Comercio, artículo 98</w:t>
            </w:r>
          </w:p>
        </w:tc>
      </w:tr>
    </w:tbl>
    <w:p w14:paraId="424530C3" w14:textId="77777777" w:rsidR="005B02ED" w:rsidRDefault="005B02ED" w:rsidP="005B02ED">
      <w:pPr>
        <w:widowControl w:val="0"/>
        <w:autoSpaceDE w:val="0"/>
        <w:autoSpaceDN w:val="0"/>
        <w:spacing w:after="0" w:line="276" w:lineRule="auto"/>
        <w:jc w:val="both"/>
        <w:rPr>
          <w:rFonts w:ascii="Verdana" w:hAnsi="Verdana" w:cs="Arial"/>
        </w:rPr>
      </w:pPr>
    </w:p>
    <w:p w14:paraId="736C8406" w14:textId="77777777" w:rsidR="005B02ED" w:rsidRDefault="005B02ED" w:rsidP="005B02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2511DC8F" w14:textId="77777777" w:rsidR="005B02ED" w:rsidRDefault="005B02ED" w:rsidP="005B02ED">
      <w:pPr>
        <w:widowControl w:val="0"/>
        <w:autoSpaceDE w:val="0"/>
        <w:autoSpaceDN w:val="0"/>
        <w:spacing w:after="0" w:line="276" w:lineRule="auto"/>
        <w:jc w:val="both"/>
        <w:rPr>
          <w:rFonts w:ascii="Verdana" w:hAnsi="Verdana" w:cs="Arial"/>
        </w:rPr>
      </w:pPr>
    </w:p>
    <w:p w14:paraId="39470F86" w14:textId="77777777" w:rsidR="005B02ED" w:rsidRPr="00FE3C84" w:rsidRDefault="005B02ED" w:rsidP="005B02ED">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 xml:space="preserve">Sobre la acreditación de experiencia de sociedades </w:t>
      </w:r>
      <w:r w:rsidRPr="00815B34">
        <w:rPr>
          <w:rStyle w:val="normaltextrun"/>
          <w:rFonts w:ascii="Verdana" w:hAnsi="Verdana" w:cs="Arial"/>
          <w:shd w:val="clear" w:color="auto" w:fill="FFFFFF"/>
          <w:lang w:val="es-ES"/>
        </w:rPr>
        <w:t>se pronunció esta Subdirección en los conceptos</w:t>
      </w:r>
      <w:r w:rsidRPr="00815B34">
        <w:rPr>
          <w:rStyle w:val="normaltextrun"/>
          <w:rFonts w:ascii="Verdana" w:hAnsi="Verdana" w:cs="Calibri"/>
          <w:shd w:val="clear" w:color="auto" w:fill="FFFFFF"/>
        </w:rPr>
        <w:t xml:space="preserve"> </w:t>
      </w:r>
      <w:r w:rsidRPr="00815B34">
        <w:rPr>
          <w:rStyle w:val="normaltextrun"/>
          <w:rFonts w:ascii="Verdana" w:hAnsi="Verdana" w:cs="Arial"/>
          <w:shd w:val="clear" w:color="auto" w:fill="FFFFFF"/>
          <w:lang w:val="es-ES"/>
        </w:rPr>
        <w:t xml:space="preserve">C-779 de 2022, </w:t>
      </w:r>
      <w:r>
        <w:rPr>
          <w:rStyle w:val="normaltextrun"/>
          <w:rFonts w:ascii="Verdana" w:hAnsi="Verdana" w:cs="Arial"/>
          <w:shd w:val="clear" w:color="auto" w:fill="FFFFFF"/>
          <w:lang w:val="es-ES"/>
        </w:rPr>
        <w:t xml:space="preserve">C-005 de 2024, </w:t>
      </w:r>
      <w:r w:rsidRPr="00815B34">
        <w:rPr>
          <w:rStyle w:val="normaltextrun"/>
          <w:rFonts w:ascii="Verdana" w:hAnsi="Verdana" w:cs="Arial"/>
          <w:shd w:val="clear" w:color="auto" w:fill="FFFFFF"/>
          <w:lang w:val="es-ES"/>
        </w:rPr>
        <w:t>C-1006 de 2024, C-223 de 2024, C-278 de 2024, C-088 de 2024</w:t>
      </w:r>
      <w:r>
        <w:rPr>
          <w:rStyle w:val="normaltextrun"/>
          <w:rFonts w:ascii="Verdana" w:hAnsi="Verdana" w:cs="Arial"/>
          <w:shd w:val="clear" w:color="auto" w:fill="FFFFFF"/>
          <w:lang w:val="es-ES"/>
        </w:rPr>
        <w:t>, C-424 de 2024, C- 121 de 2025, entre otros.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762B5CA5" w14:textId="77777777" w:rsidR="005B02ED" w:rsidRDefault="005B02ED" w:rsidP="005B02ED">
      <w:pPr>
        <w:spacing w:after="0" w:line="276" w:lineRule="auto"/>
        <w:jc w:val="both"/>
        <w:rPr>
          <w:rFonts w:ascii="Verdana" w:hAnsi="Verdana"/>
        </w:rPr>
      </w:pPr>
    </w:p>
    <w:p w14:paraId="788E2564" w14:textId="77777777" w:rsidR="005B02ED" w:rsidRDefault="005B02ED" w:rsidP="005B02ED">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003D6C7C" w14:textId="77777777" w:rsidR="005B02ED" w:rsidRDefault="005B02ED" w:rsidP="005B02ED">
      <w:pPr>
        <w:spacing w:after="0" w:line="276" w:lineRule="auto"/>
        <w:jc w:val="both"/>
        <w:rPr>
          <w:rFonts w:ascii="Verdana" w:hAnsi="Verdana"/>
        </w:rPr>
      </w:pPr>
    </w:p>
    <w:p w14:paraId="4F778DF7" w14:textId="77777777" w:rsidR="005B02ED" w:rsidRDefault="005B02ED" w:rsidP="005B02ED">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388E0A0F" w14:textId="77777777" w:rsidR="005B02ED" w:rsidRDefault="005B02ED" w:rsidP="005B02ED">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3C24B4B2" w14:textId="77777777" w:rsidR="005B02ED" w:rsidRDefault="005B02ED" w:rsidP="005B02ED">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6734E2EF" w14:textId="77777777" w:rsidR="005B02ED" w:rsidRDefault="005B02ED" w:rsidP="005B02ED">
      <w:pPr>
        <w:widowControl w:val="0"/>
        <w:autoSpaceDE w:val="0"/>
        <w:autoSpaceDN w:val="0"/>
        <w:spacing w:after="0" w:line="276" w:lineRule="auto"/>
        <w:jc w:val="both"/>
        <w:rPr>
          <w:rFonts w:ascii="Verdana" w:hAnsi="Verdana" w:cs="Arial"/>
        </w:rPr>
      </w:pPr>
    </w:p>
    <w:p w14:paraId="72F2D598" w14:textId="77777777" w:rsidR="005B02ED" w:rsidRDefault="005B02ED" w:rsidP="005B02ED">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68F92233" w14:textId="77777777" w:rsidR="005B02ED" w:rsidRDefault="005B02ED" w:rsidP="005B02ED">
      <w:pPr>
        <w:widowControl w:val="0"/>
        <w:autoSpaceDE w:val="0"/>
        <w:autoSpaceDN w:val="0"/>
        <w:spacing w:after="0" w:line="276" w:lineRule="auto"/>
        <w:jc w:val="both"/>
        <w:rPr>
          <w:rFonts w:ascii="Verdana" w:hAnsi="Verdana" w:cs="Arial"/>
        </w:rPr>
      </w:pPr>
    </w:p>
    <w:p w14:paraId="38A1F3A4" w14:textId="77777777" w:rsidR="005B02ED" w:rsidRDefault="005B02ED" w:rsidP="005B02ED">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380CB0BF" w14:textId="6FA03982" w:rsidR="005B02ED" w:rsidRDefault="00A56C1F" w:rsidP="005B02ED">
      <w:pPr>
        <w:spacing w:after="0" w:line="276" w:lineRule="auto"/>
        <w:jc w:val="center"/>
      </w:pPr>
      <w:r>
        <w:rPr>
          <w:noProof/>
        </w:rPr>
        <w:drawing>
          <wp:inline distT="0" distB="0" distL="0" distR="0" wp14:anchorId="70CB1321" wp14:editId="39A9D033">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02ED" w14:paraId="05616DFA" w14:textId="77777777" w:rsidTr="00CE3336">
        <w:trPr>
          <w:trHeight w:val="315"/>
        </w:trPr>
        <w:tc>
          <w:tcPr>
            <w:tcW w:w="893" w:type="dxa"/>
            <w:vAlign w:val="center"/>
            <w:hideMark/>
          </w:tcPr>
          <w:p w14:paraId="59E564E1" w14:textId="77777777" w:rsidR="005B02ED" w:rsidRDefault="005B02ED" w:rsidP="00CE3336">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505BEF3E" w14:textId="77777777" w:rsidR="005B02ED" w:rsidRDefault="005B02ED" w:rsidP="00CE3336">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71F5FFC0" w14:textId="77777777" w:rsidR="005B02ED" w:rsidRDefault="005B02ED" w:rsidP="00CE3336">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5B02ED" w14:paraId="71462807" w14:textId="77777777" w:rsidTr="00CE3336">
        <w:trPr>
          <w:trHeight w:val="330"/>
        </w:trPr>
        <w:tc>
          <w:tcPr>
            <w:tcW w:w="893" w:type="dxa"/>
            <w:vAlign w:val="center"/>
            <w:hideMark/>
          </w:tcPr>
          <w:p w14:paraId="05C4C1CD" w14:textId="77777777" w:rsidR="005B02ED" w:rsidRDefault="005B02ED" w:rsidP="00CE3336">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84B8EDE" w14:textId="77777777" w:rsidR="005B02ED" w:rsidRDefault="005B02ED" w:rsidP="00CE3336">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35B4B9BC" w14:textId="77777777" w:rsidR="005B02ED" w:rsidRDefault="005B02ED" w:rsidP="00CE3336">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5B02ED" w14:paraId="6E658E11" w14:textId="77777777" w:rsidTr="00CE3336">
        <w:trPr>
          <w:trHeight w:val="300"/>
        </w:trPr>
        <w:tc>
          <w:tcPr>
            <w:tcW w:w="893" w:type="dxa"/>
            <w:vAlign w:val="center"/>
            <w:hideMark/>
          </w:tcPr>
          <w:p w14:paraId="2B7A805E" w14:textId="77777777" w:rsidR="005B02ED" w:rsidRDefault="005B02ED" w:rsidP="00CE3336">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9B5850" w14:textId="77777777" w:rsidR="005B02ED" w:rsidRDefault="005B02ED" w:rsidP="00CE3336">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0397B774" w14:textId="77777777" w:rsidR="005B02ED" w:rsidRDefault="005B02ED" w:rsidP="00CE3336">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 </w:t>
            </w:r>
          </w:p>
        </w:tc>
      </w:tr>
    </w:tbl>
    <w:p w14:paraId="49081378" w14:textId="77777777" w:rsidR="005B02ED" w:rsidRPr="001249F1" w:rsidRDefault="005B02ED" w:rsidP="005B02ED"/>
    <w:p w14:paraId="55DFAEA5" w14:textId="77777777" w:rsidR="005B02ED" w:rsidRPr="0044528D" w:rsidRDefault="005B02ED" w:rsidP="005B02ED">
      <w:pPr>
        <w:spacing w:after="0"/>
        <w:rPr>
          <w:rFonts w:ascii="Verdana" w:eastAsia="Times New Roman" w:hAnsi="Verdana" w:cs="Segoe UI"/>
          <w:b/>
          <w:bCs/>
          <w:color w:val="46589C"/>
          <w:lang w:val="es-ES" w:eastAsia="es-CO"/>
        </w:rPr>
      </w:pPr>
    </w:p>
    <w:p w14:paraId="013BD7CC" w14:textId="77777777" w:rsidR="005B02ED" w:rsidRPr="00046945" w:rsidRDefault="005B02ED" w:rsidP="005B02ED">
      <w:pPr>
        <w:spacing w:after="0"/>
        <w:rPr>
          <w:rFonts w:ascii="Verdana" w:eastAsia="Times New Roman" w:hAnsi="Verdana" w:cs="Segoe UI"/>
          <w:sz w:val="18"/>
          <w:szCs w:val="18"/>
          <w:lang w:eastAsia="es-CO"/>
        </w:rPr>
      </w:pPr>
    </w:p>
    <w:p w14:paraId="6FD25724" w14:textId="77777777" w:rsidR="005B02ED" w:rsidRPr="0044528D" w:rsidRDefault="005B02ED" w:rsidP="005B02ED">
      <w:pPr>
        <w:spacing w:after="0"/>
        <w:rPr>
          <w:rFonts w:ascii="Verdana" w:hAnsi="Verdana"/>
        </w:rPr>
      </w:pPr>
    </w:p>
    <w:bookmarkEnd w:id="2"/>
    <w:p w14:paraId="7365FC75" w14:textId="77777777" w:rsidR="005B02ED" w:rsidRPr="0015699B" w:rsidRDefault="005B02ED" w:rsidP="005B02ED">
      <w:pPr>
        <w:spacing w:after="0"/>
        <w:rPr>
          <w:rFonts w:ascii="Verdana" w:eastAsia="Times New Roman" w:hAnsi="Verdana" w:cs="Segoe UI"/>
          <w:lang w:eastAsia="es-CO"/>
        </w:rPr>
      </w:pPr>
    </w:p>
    <w:p w14:paraId="0F293BF4" w14:textId="2E4405F6" w:rsidR="00127233" w:rsidRPr="0015699B" w:rsidRDefault="00127233" w:rsidP="005B02ED">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2C4BA" w14:textId="77777777" w:rsidR="003D4781" w:rsidRDefault="003D4781" w:rsidP="004A1847">
      <w:pPr>
        <w:spacing w:after="0" w:line="240" w:lineRule="auto"/>
      </w:pPr>
      <w:r>
        <w:separator/>
      </w:r>
    </w:p>
  </w:endnote>
  <w:endnote w:type="continuationSeparator" w:id="0">
    <w:p w14:paraId="091F4BB8" w14:textId="77777777" w:rsidR="003D4781" w:rsidRDefault="003D4781" w:rsidP="004A1847">
      <w:pPr>
        <w:spacing w:after="0" w:line="240" w:lineRule="auto"/>
      </w:pPr>
      <w:r>
        <w:continuationSeparator/>
      </w:r>
    </w:p>
  </w:endnote>
  <w:endnote w:type="continuationNotice" w:id="1">
    <w:p w14:paraId="2B771351" w14:textId="77777777" w:rsidR="003D4781" w:rsidRDefault="003D47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E4243D" w14:textId="77777777" w:rsidR="003D4781" w:rsidRDefault="003D4781" w:rsidP="004A1847">
      <w:pPr>
        <w:spacing w:after="0" w:line="240" w:lineRule="auto"/>
      </w:pPr>
      <w:r>
        <w:separator/>
      </w:r>
    </w:p>
  </w:footnote>
  <w:footnote w:type="continuationSeparator" w:id="0">
    <w:p w14:paraId="4BD6F725" w14:textId="77777777" w:rsidR="003D4781" w:rsidRDefault="003D4781" w:rsidP="004A1847">
      <w:pPr>
        <w:spacing w:after="0" w:line="240" w:lineRule="auto"/>
      </w:pPr>
      <w:r>
        <w:continuationSeparator/>
      </w:r>
    </w:p>
  </w:footnote>
  <w:footnote w:type="continuationNotice" w:id="1">
    <w:p w14:paraId="36378CB3" w14:textId="77777777" w:rsidR="003D4781" w:rsidRDefault="003D4781">
      <w:pPr>
        <w:spacing w:after="0" w:line="240" w:lineRule="auto"/>
      </w:pPr>
    </w:p>
  </w:footnote>
  <w:footnote w:id="2">
    <w:p w14:paraId="10E615B4" w14:textId="77777777" w:rsidR="005B02ED" w:rsidRPr="005B02ED" w:rsidRDefault="005B02ED" w:rsidP="005B02ED">
      <w:pPr>
        <w:pStyle w:val="Textonotapie"/>
        <w:ind w:firstLine="708"/>
        <w:contextualSpacing/>
        <w:rPr>
          <w:rFonts w:ascii="Verdana" w:hAnsi="Verdana" w:cs="Arial"/>
          <w:sz w:val="16"/>
          <w:szCs w:val="16"/>
        </w:rPr>
      </w:pPr>
      <w:r w:rsidRPr="005B02ED">
        <w:rPr>
          <w:rStyle w:val="Refdenotaalpie"/>
          <w:rFonts w:ascii="Verdana" w:hAnsi="Verdana" w:cs="Arial"/>
          <w:sz w:val="16"/>
          <w:szCs w:val="16"/>
        </w:rPr>
        <w:footnoteRef/>
      </w:r>
      <w:r w:rsidRPr="005B02ED">
        <w:rPr>
          <w:rFonts w:ascii="Verdana" w:hAnsi="Verdana" w:cs="Arial"/>
          <w:sz w:val="16"/>
          <w:szCs w:val="16"/>
        </w:rPr>
        <w:t xml:space="preserve"> Esta conclusión cambió respecto del concepto C – 002 del 20 de febrero de 2020, para adecuarla a un mejor entendimiento de las normas sobre la experiencia.</w:t>
      </w:r>
    </w:p>
    <w:p w14:paraId="65DB42C6" w14:textId="77777777" w:rsidR="005B02ED" w:rsidRPr="005B02ED" w:rsidRDefault="005B02ED" w:rsidP="005B02ED">
      <w:pPr>
        <w:pStyle w:val="Textonotapie"/>
        <w:ind w:firstLine="708"/>
        <w:contextualSpacing/>
        <w:rPr>
          <w:rFonts w:ascii="Verdana" w:hAnsi="Verdana" w:cs="Arial"/>
          <w:sz w:val="16"/>
          <w:szCs w:val="16"/>
          <w:lang w:val="es-CO"/>
        </w:rPr>
      </w:pPr>
    </w:p>
  </w:footnote>
  <w:footnote w:id="3">
    <w:p w14:paraId="279DA276" w14:textId="77777777" w:rsidR="005B02ED" w:rsidRPr="00BD29C9" w:rsidRDefault="005B02ED" w:rsidP="005B02ED">
      <w:pPr>
        <w:pStyle w:val="Textonotapie"/>
        <w:jc w:val="both"/>
        <w:rPr>
          <w:lang w:val="es-ES"/>
        </w:rPr>
      </w:pPr>
      <w:r>
        <w:rPr>
          <w:rStyle w:val="Refdenotaalpie"/>
        </w:rPr>
        <w:footnoteRef/>
      </w:r>
      <w:r>
        <w:t xml:space="preserve"> </w:t>
      </w:r>
      <w:r w:rsidRPr="005B02ED">
        <w:rPr>
          <w:rFonts w:ascii="Verdana" w:eastAsia="Times New Roman" w:hAnsi="Verdana" w:cs="Arial"/>
          <w:sz w:val="16"/>
          <w:szCs w:val="16"/>
          <w:lang w:eastAsia="es-ES_tradnl"/>
        </w:rPr>
        <w:t>artículo 2.2.1.1.1.5.2 del Decreto 1082 de 2015. Negrilla y subrayado fuera de texto original</w:t>
      </w:r>
      <w:r>
        <w:rPr>
          <w:rFonts w:ascii="Geomanist Light" w:eastAsia="Times New Roman" w:hAnsi="Geomanist Light" w:cs="Arial"/>
          <w:lang w:eastAsia="es-ES_tradnl"/>
        </w:rPr>
        <w:t xml:space="preserve"> </w:t>
      </w:r>
    </w:p>
  </w:footnote>
  <w:footnote w:id="4">
    <w:p w14:paraId="656E5E5C" w14:textId="77777777" w:rsidR="005B02ED" w:rsidRPr="005B02ED" w:rsidRDefault="005B02ED" w:rsidP="005B02ED">
      <w:pPr>
        <w:pStyle w:val="Textonotapie"/>
        <w:ind w:firstLine="708"/>
        <w:jc w:val="both"/>
        <w:rPr>
          <w:rFonts w:ascii="Verdana" w:hAnsi="Verdana" w:cs="Arial"/>
          <w:sz w:val="16"/>
          <w:szCs w:val="16"/>
        </w:rPr>
      </w:pPr>
      <w:r w:rsidRPr="005B02ED">
        <w:rPr>
          <w:rStyle w:val="Refdenotaalpie"/>
          <w:rFonts w:ascii="Verdana" w:hAnsi="Verdana" w:cs="Arial"/>
          <w:sz w:val="16"/>
          <w:szCs w:val="16"/>
        </w:rPr>
        <w:footnoteRef/>
      </w:r>
      <w:r w:rsidRPr="005B02ED">
        <w:rPr>
          <w:rFonts w:ascii="Verdana" w:hAnsi="Verdana" w:cs="Arial"/>
          <w:sz w:val="16"/>
          <w:szCs w:val="16"/>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5626D2ED"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2A76B055" w14:textId="77777777" w:rsidR="005B02ED" w:rsidRPr="005B02ED" w:rsidRDefault="005B02ED" w:rsidP="005B02ED">
      <w:pPr>
        <w:pStyle w:val="Textonotapie"/>
        <w:jc w:val="both"/>
        <w:rPr>
          <w:rFonts w:ascii="Verdana" w:hAnsi="Verdana" w:cs="Arial"/>
          <w:sz w:val="16"/>
          <w:szCs w:val="16"/>
          <w:lang w:val="es-ES"/>
        </w:rPr>
      </w:pPr>
    </w:p>
  </w:footnote>
  <w:footnote w:id="5">
    <w:p w14:paraId="26576560" w14:textId="77777777" w:rsidR="005B02ED" w:rsidRPr="005B02ED" w:rsidRDefault="005B02ED" w:rsidP="005B02ED">
      <w:pPr>
        <w:pStyle w:val="Textonotapie"/>
        <w:ind w:firstLine="708"/>
        <w:jc w:val="both"/>
        <w:rPr>
          <w:rFonts w:ascii="Verdana" w:hAnsi="Verdana" w:cs="Arial"/>
          <w:sz w:val="16"/>
          <w:szCs w:val="16"/>
        </w:rPr>
      </w:pPr>
      <w:r w:rsidRPr="005B02ED">
        <w:rPr>
          <w:rStyle w:val="Refdenotaalpie"/>
          <w:rFonts w:ascii="Verdana" w:hAnsi="Verdana" w:cs="Arial"/>
          <w:sz w:val="16"/>
          <w:szCs w:val="16"/>
        </w:rPr>
        <w:footnoteRef/>
      </w:r>
      <w:r w:rsidRPr="005B02ED">
        <w:rPr>
          <w:rFonts w:ascii="Verdana" w:hAnsi="Verdana" w:cs="Arial"/>
          <w:sz w:val="16"/>
          <w:szCs w:val="16"/>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01D8EC12" w14:textId="77777777" w:rsidR="005B02ED" w:rsidRPr="00551B00" w:rsidRDefault="005B02ED" w:rsidP="005B02ED">
      <w:pPr>
        <w:pStyle w:val="Textonotapie"/>
        <w:ind w:firstLine="708"/>
        <w:rPr>
          <w:rFonts w:ascii="Century Gothic" w:hAnsi="Century Gothic" w:cs="Arial"/>
          <w:sz w:val="16"/>
          <w:szCs w:val="16"/>
          <w:lang w:val="es-ES"/>
        </w:rPr>
      </w:pPr>
    </w:p>
  </w:footnote>
  <w:footnote w:id="6">
    <w:p w14:paraId="79E519FF" w14:textId="77777777" w:rsidR="005B02ED" w:rsidRPr="005B02ED" w:rsidRDefault="005B02ED" w:rsidP="005B02ED">
      <w:pPr>
        <w:pStyle w:val="Textonotapie"/>
        <w:ind w:firstLine="708"/>
        <w:jc w:val="both"/>
        <w:rPr>
          <w:rFonts w:ascii="Verdana" w:hAnsi="Verdana" w:cs="Arial"/>
          <w:sz w:val="16"/>
          <w:szCs w:val="16"/>
        </w:rPr>
      </w:pPr>
      <w:r w:rsidRPr="005B02ED">
        <w:rPr>
          <w:rStyle w:val="Refdenotaalpie"/>
          <w:rFonts w:ascii="Verdana" w:hAnsi="Verdana" w:cs="Arial"/>
          <w:sz w:val="16"/>
          <w:szCs w:val="16"/>
        </w:rPr>
        <w:footnoteRef/>
      </w:r>
      <w:r w:rsidRPr="005B02ED">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652332F7"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12670AB8"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w:t>
      </w:r>
    </w:p>
    <w:p w14:paraId="1612F848" w14:textId="77777777" w:rsidR="005B02ED" w:rsidRPr="005B02ED" w:rsidRDefault="005B02ED" w:rsidP="005B02ED">
      <w:pPr>
        <w:pStyle w:val="Textonotapie"/>
        <w:ind w:firstLine="708"/>
        <w:jc w:val="both"/>
        <w:rPr>
          <w:rFonts w:ascii="Verdana" w:hAnsi="Verdana" w:cs="Arial"/>
          <w:sz w:val="16"/>
          <w:szCs w:val="16"/>
          <w:lang w:val="es-ES"/>
        </w:rPr>
      </w:pPr>
    </w:p>
  </w:footnote>
  <w:footnote w:id="7">
    <w:p w14:paraId="70CBA7E9" w14:textId="77777777" w:rsidR="005B02ED" w:rsidRPr="005B02ED" w:rsidRDefault="005B02ED" w:rsidP="005B02ED">
      <w:pPr>
        <w:pStyle w:val="Textonotapie"/>
        <w:ind w:firstLine="708"/>
        <w:jc w:val="both"/>
        <w:rPr>
          <w:rFonts w:ascii="Verdana" w:hAnsi="Verdana" w:cs="Arial"/>
          <w:sz w:val="16"/>
          <w:szCs w:val="16"/>
        </w:rPr>
      </w:pPr>
      <w:r w:rsidRPr="005B02ED">
        <w:rPr>
          <w:rStyle w:val="Refdenotaalpie"/>
          <w:rFonts w:ascii="Verdana" w:hAnsi="Verdana" w:cs="Arial"/>
          <w:sz w:val="16"/>
          <w:szCs w:val="16"/>
        </w:rPr>
        <w:footnoteRef/>
      </w:r>
      <w:r w:rsidRPr="005B02ED">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FF599F8"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w:t>
      </w:r>
    </w:p>
    <w:p w14:paraId="1C20908B"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2855E8FB"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02D7BFC7" w14:textId="77777777" w:rsidR="005B02ED" w:rsidRPr="005B02ED" w:rsidRDefault="005B02ED" w:rsidP="005B02ED">
      <w:pPr>
        <w:pStyle w:val="Textonotapie"/>
        <w:jc w:val="both"/>
        <w:rPr>
          <w:rFonts w:ascii="Verdana" w:hAnsi="Verdana" w:cs="Arial"/>
          <w:sz w:val="16"/>
          <w:szCs w:val="16"/>
          <w:lang w:val="es-ES"/>
        </w:rPr>
      </w:pPr>
    </w:p>
  </w:footnote>
  <w:footnote w:id="8">
    <w:p w14:paraId="29E4D98F" w14:textId="77777777" w:rsidR="005B02ED" w:rsidRPr="005B02ED" w:rsidRDefault="005B02ED" w:rsidP="005B02ED">
      <w:pPr>
        <w:pStyle w:val="Textonotapie"/>
        <w:ind w:firstLine="708"/>
        <w:jc w:val="both"/>
        <w:rPr>
          <w:rFonts w:ascii="Verdana" w:hAnsi="Verdana" w:cs="Arial"/>
          <w:sz w:val="16"/>
          <w:szCs w:val="16"/>
        </w:rPr>
      </w:pPr>
      <w:r w:rsidRPr="005B02ED">
        <w:rPr>
          <w:rStyle w:val="Refdenotaalpie"/>
          <w:rFonts w:ascii="Verdana" w:hAnsi="Verdana" w:cs="Arial"/>
          <w:sz w:val="16"/>
          <w:szCs w:val="16"/>
        </w:rPr>
        <w:footnoteRef/>
      </w:r>
      <w:r w:rsidRPr="005B02ED">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B7B197E"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1.    Si es una persona natural:</w:t>
      </w:r>
    </w:p>
    <w:p w14:paraId="4C8DDFBF"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1.1. Bienes, obras y servicios que ofrecerá a las Entidades Estatales, identificados con el Clasificador de Bienes y Servicios en el tercer nivel.</w:t>
      </w:r>
    </w:p>
    <w:p w14:paraId="79CD8E94"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5DE3CF0E" w14:textId="77777777" w:rsidR="005B02ED" w:rsidRPr="00551B00" w:rsidRDefault="005B02ED" w:rsidP="005B02ED">
      <w:pPr>
        <w:pStyle w:val="Textonotapie"/>
        <w:ind w:firstLine="708"/>
        <w:rPr>
          <w:rFonts w:ascii="Century Gothic" w:hAnsi="Century Gothic" w:cs="Arial"/>
          <w:sz w:val="16"/>
          <w:szCs w:val="16"/>
          <w:lang w:val="es-ES"/>
        </w:rPr>
      </w:pPr>
    </w:p>
  </w:footnote>
  <w:footnote w:id="9">
    <w:p w14:paraId="078B3FB4" w14:textId="77777777" w:rsidR="005B02ED" w:rsidRPr="005B02ED" w:rsidRDefault="005B02ED" w:rsidP="005B02ED">
      <w:pPr>
        <w:pStyle w:val="Textonotapie"/>
        <w:ind w:firstLine="708"/>
        <w:jc w:val="both"/>
        <w:rPr>
          <w:rFonts w:ascii="Verdana" w:hAnsi="Verdana" w:cs="Arial"/>
          <w:sz w:val="16"/>
          <w:szCs w:val="16"/>
        </w:rPr>
      </w:pPr>
      <w:r w:rsidRPr="005B02ED">
        <w:rPr>
          <w:rStyle w:val="Refdenotaalpie"/>
          <w:rFonts w:ascii="Verdana" w:hAnsi="Verdana" w:cs="Arial"/>
          <w:sz w:val="16"/>
          <w:szCs w:val="16"/>
        </w:rPr>
        <w:footnoteRef/>
      </w:r>
      <w:r w:rsidRPr="005B02ED">
        <w:rPr>
          <w:rFonts w:ascii="Verdana" w:hAnsi="Verdana" w:cs="Arial"/>
          <w:sz w:val="16"/>
          <w:szCs w:val="16"/>
        </w:rPr>
        <w:t xml:space="preserve"> Colombia Compra Eficiente, Manual para determinar y verificar requisitos habilitantes en los procesos de contratación V2: </w:t>
      </w:r>
      <w:bookmarkStart w:id="3" w:name="_Hlk110954624"/>
      <w:r w:rsidRPr="005B02ED">
        <w:rPr>
          <w:rFonts w:ascii="Verdana" w:hAnsi="Verdana" w:cs="Arial"/>
          <w:sz w:val="16"/>
          <w:szCs w:val="16"/>
        </w:rPr>
        <w:t>“</w:t>
      </w:r>
      <w:r w:rsidRPr="005B02ED">
        <w:rPr>
          <w:rFonts w:ascii="Verdana" w:hAnsi="Verdana" w:cs="Arial"/>
          <w:sz w:val="16"/>
          <w:szCs w:val="16"/>
          <w:lang w:val="es-CO"/>
        </w:rPr>
        <w:t>Dentro de los requisitos habilitantes establecidos por el artículo 5 de la Ley 1150 de 2007 se destaca la experiencia, la cual debe ser entendida como el conocimiento del proponente derivado de su participación previa en actividades iguales o similares a las previstas en el objeto del contrato con contratantes públicos, privados, nacionales o extranjeros, ya sea directamente o en asocio con otra persona, como es el caso de los proponentes plurales, en cuyo evento la experiencia no deja de ser personal, sino que es proporcional a la participación como miembro de un consorcio o unión temporal, evento en el cual, por tratarse de esquemas asociativos, la experiencia es compartida</w:t>
      </w:r>
      <w:r w:rsidRPr="005B02ED">
        <w:rPr>
          <w:rFonts w:ascii="Verdana" w:hAnsi="Verdana" w:cs="Arial"/>
          <w:sz w:val="16"/>
          <w:szCs w:val="16"/>
        </w:rPr>
        <w:t>.</w:t>
      </w:r>
    </w:p>
    <w:p w14:paraId="04179A49"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w:t>
      </w:r>
    </w:p>
    <w:p w14:paraId="18869759" w14:textId="77777777" w:rsidR="005B02ED" w:rsidRPr="005B02ED" w:rsidRDefault="005B02ED" w:rsidP="005B02ED">
      <w:pPr>
        <w:pStyle w:val="Textonotapie"/>
        <w:ind w:firstLine="708"/>
        <w:jc w:val="both"/>
        <w:rPr>
          <w:rFonts w:ascii="Verdana" w:hAnsi="Verdana" w:cs="Arial"/>
          <w:sz w:val="16"/>
          <w:szCs w:val="16"/>
          <w:lang w:val="es-CO"/>
        </w:rPr>
      </w:pPr>
      <w:r w:rsidRPr="005B02ED">
        <w:rPr>
          <w:rFonts w:ascii="Verdana" w:hAnsi="Verdana" w:cs="Arial"/>
          <w:sz w:val="16"/>
          <w:szCs w:val="16"/>
          <w:lang w:val="es-CO"/>
        </w:rPr>
        <w:t xml:space="preserve">Así mismo, la experiencia requerida en un Proceso de Contratación debe ser adecuada y proporcional a la naturaleza del contrato, su valor, complejidad y Riesgo. Es adecuada cuando es afín al tipo de actividades previstas en el objeto del negocio a celebrar. Por ejemplo, si es para prestar un servicio de aseo general, el proponente debe tener experiencia en tal servicio, sin que sea relevante el lugar en el cual lo haya ejecutado o quién fue el contratante. </w:t>
      </w:r>
    </w:p>
    <w:p w14:paraId="7E68E6FA" w14:textId="77777777" w:rsidR="005B02ED" w:rsidRPr="005B02ED" w:rsidRDefault="005B02ED" w:rsidP="005B02ED">
      <w:pPr>
        <w:pStyle w:val="Textonotapie"/>
        <w:ind w:firstLine="708"/>
        <w:jc w:val="both"/>
        <w:rPr>
          <w:rFonts w:ascii="Verdana" w:hAnsi="Verdana" w:cs="Arial"/>
          <w:sz w:val="16"/>
          <w:szCs w:val="16"/>
        </w:rPr>
      </w:pPr>
      <w:r w:rsidRPr="005B02ED">
        <w:rPr>
          <w:rFonts w:ascii="Verdana" w:hAnsi="Verdana" w:cs="Arial"/>
          <w:sz w:val="16"/>
          <w:szCs w:val="16"/>
        </w:rPr>
        <w:t>Es proporcional cuando tiene relación con el alcance, la cuantía, Riesgo y la complejidad del negocio a celebrar. Por ejemplo, en una obra pública con un presupuesto oficial de 100 SMMLV, la experiencia exigida es proporcional si se exige que los proponentes hayan participado en Procesos de Contratación entre 90 y 100 SMMLV del mismo tipo de obra [...]”.</w:t>
      </w:r>
    </w:p>
    <w:bookmarkEnd w:id="3"/>
    <w:p w14:paraId="19720720" w14:textId="77777777" w:rsidR="005B02ED" w:rsidRPr="005B02ED" w:rsidRDefault="005B02ED" w:rsidP="005B02ED">
      <w:pPr>
        <w:pStyle w:val="Textonotapie"/>
        <w:jc w:val="both"/>
        <w:rPr>
          <w:rFonts w:ascii="Verdana" w:hAnsi="Verdana" w:cs="Arial"/>
          <w:sz w:val="16"/>
          <w:szCs w:val="16"/>
        </w:rPr>
      </w:pPr>
    </w:p>
  </w:footnote>
  <w:footnote w:id="10">
    <w:p w14:paraId="4688054E" w14:textId="77777777" w:rsidR="005B02ED" w:rsidRPr="000403BB" w:rsidRDefault="005B02ED" w:rsidP="005B02ED">
      <w:pPr>
        <w:pStyle w:val="Textonotapie"/>
        <w:ind w:firstLine="709"/>
        <w:rPr>
          <w:rFonts w:ascii="Verdana" w:hAnsi="Verdana"/>
          <w:sz w:val="16"/>
          <w:szCs w:val="16"/>
          <w:lang w:val="es-CO"/>
        </w:rPr>
      </w:pPr>
      <w:r w:rsidRPr="000403BB">
        <w:rPr>
          <w:rStyle w:val="Refdenotaalpie"/>
          <w:rFonts w:ascii="Verdana" w:hAnsi="Verdana"/>
          <w:sz w:val="16"/>
          <w:szCs w:val="16"/>
        </w:rPr>
        <w:footnoteRef/>
      </w:r>
      <w:r w:rsidRPr="000403BB">
        <w:rPr>
          <w:rFonts w:ascii="Verdana" w:hAnsi="Verdana"/>
          <w:sz w:val="16"/>
          <w:szCs w:val="16"/>
        </w:rPr>
        <w:t xml:space="preserve"> </w:t>
      </w:r>
      <w:r w:rsidRPr="000403BB">
        <w:rPr>
          <w:rFonts w:ascii="Verdana" w:hAnsi="Verdana" w:cs="Arial"/>
          <w:sz w:val="16"/>
          <w:szCs w:val="16"/>
          <w:lang w:val="es-CO"/>
        </w:rPr>
        <w:t>Consejo de Estado. Sección Tercera. Sentencia del 20 de abril del 2022. Radicación Nro. 54482. C.P.: Jaime Enrique Rodríguez Navas.</w:t>
      </w:r>
    </w:p>
  </w:footnote>
  <w:footnote w:id="11">
    <w:p w14:paraId="6B406164" w14:textId="77777777" w:rsidR="005B02ED" w:rsidRPr="000403BB" w:rsidRDefault="005B02ED" w:rsidP="005B02ED">
      <w:pPr>
        <w:pStyle w:val="Textonotapie"/>
        <w:ind w:firstLine="708"/>
        <w:contextualSpacing/>
        <w:rPr>
          <w:rFonts w:ascii="Verdana" w:hAnsi="Verdana" w:cs="Arial"/>
          <w:sz w:val="16"/>
          <w:szCs w:val="16"/>
        </w:rPr>
      </w:pPr>
      <w:r w:rsidRPr="000403BB">
        <w:rPr>
          <w:rStyle w:val="Refdenotaalpie"/>
          <w:rFonts w:ascii="Verdana" w:hAnsi="Verdana" w:cs="Arial"/>
          <w:sz w:val="16"/>
          <w:szCs w:val="16"/>
        </w:rPr>
        <w:footnoteRef/>
      </w:r>
      <w:r w:rsidRPr="000403BB">
        <w:rPr>
          <w:rFonts w:ascii="Verdana" w:hAnsi="Verdana" w:cs="Arial"/>
          <w:sz w:val="16"/>
          <w:szCs w:val="16"/>
        </w:rPr>
        <w:t xml:space="preserve"> Esta conclusión cambió respecto del concepto C – 002 del 20 de febrero de 2020, para adecuarla a un mejor entendimiento de las normas sobre la experiencia.</w:t>
      </w:r>
    </w:p>
    <w:p w14:paraId="1FE5344A" w14:textId="77777777" w:rsidR="005B02ED" w:rsidRPr="004B5310" w:rsidRDefault="005B02ED" w:rsidP="005B02ED">
      <w:pPr>
        <w:pStyle w:val="Textonotapie"/>
        <w:ind w:firstLine="708"/>
        <w:contextualSpacing/>
        <w:rPr>
          <w:rFonts w:ascii="Arial" w:hAnsi="Arial" w:cs="Arial"/>
          <w:sz w:val="18"/>
          <w:szCs w:val="18"/>
          <w:lang w:val="es-CO"/>
        </w:rPr>
      </w:pPr>
    </w:p>
  </w:footnote>
  <w:footnote w:id="12">
    <w:p w14:paraId="3713B135" w14:textId="77777777" w:rsidR="005B02ED" w:rsidRPr="00703EBF" w:rsidRDefault="005B02ED" w:rsidP="005B02ED">
      <w:pPr>
        <w:pStyle w:val="Textonotapie"/>
        <w:jc w:val="both"/>
        <w:rPr>
          <w:rFonts w:ascii="Verdana" w:hAnsi="Verdana"/>
          <w:sz w:val="16"/>
          <w:szCs w:val="16"/>
          <w:lang w:val="es-ES"/>
        </w:rPr>
      </w:pPr>
      <w:r w:rsidRPr="00703EBF">
        <w:rPr>
          <w:rStyle w:val="Refdenotaalpie"/>
          <w:rFonts w:ascii="Verdana" w:hAnsi="Verdana"/>
          <w:sz w:val="16"/>
          <w:szCs w:val="16"/>
        </w:rPr>
        <w:footnoteRef/>
      </w:r>
      <w:r w:rsidRPr="00703EBF">
        <w:rPr>
          <w:rFonts w:ascii="Verdana" w:hAnsi="Verdana"/>
          <w:sz w:val="16"/>
          <w:szCs w:val="16"/>
        </w:rPr>
        <w:t xml:space="preserve"> </w:t>
      </w:r>
      <w:r w:rsidRPr="00703EBF">
        <w:rPr>
          <w:rFonts w:ascii="Verdana" w:eastAsia="Times New Roman" w:hAnsi="Verdana" w:cs="Arial"/>
          <w:sz w:val="16"/>
          <w:szCs w:val="16"/>
          <w:lang w:eastAsia="es-ES_tradnl"/>
        </w:rPr>
        <w:t xml:space="preserve">artículo 2.2.1.1.1.5.2 del Decreto 1082 de 2015. Negrilla y subrayado fuera de texto original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3BB"/>
    <w:rsid w:val="00046945"/>
    <w:rsid w:val="00061B2A"/>
    <w:rsid w:val="00082362"/>
    <w:rsid w:val="000A683E"/>
    <w:rsid w:val="000B19B9"/>
    <w:rsid w:val="000B5913"/>
    <w:rsid w:val="000D0334"/>
    <w:rsid w:val="000D5DA7"/>
    <w:rsid w:val="000F6486"/>
    <w:rsid w:val="00116940"/>
    <w:rsid w:val="00125105"/>
    <w:rsid w:val="00127233"/>
    <w:rsid w:val="0015699B"/>
    <w:rsid w:val="0018030A"/>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4781"/>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B02ED"/>
    <w:rsid w:val="005C3777"/>
    <w:rsid w:val="005C5CDC"/>
    <w:rsid w:val="005D476C"/>
    <w:rsid w:val="006200BF"/>
    <w:rsid w:val="006219F8"/>
    <w:rsid w:val="006302F7"/>
    <w:rsid w:val="00646B9F"/>
    <w:rsid w:val="00665D70"/>
    <w:rsid w:val="006900D9"/>
    <w:rsid w:val="00703EB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8F6444"/>
    <w:rsid w:val="00923EEF"/>
    <w:rsid w:val="009419F9"/>
    <w:rsid w:val="0095685E"/>
    <w:rsid w:val="00961B09"/>
    <w:rsid w:val="00965334"/>
    <w:rsid w:val="0097093E"/>
    <w:rsid w:val="00987096"/>
    <w:rsid w:val="009A0DFA"/>
    <w:rsid w:val="009A1C6F"/>
    <w:rsid w:val="009B2D26"/>
    <w:rsid w:val="009C71FA"/>
    <w:rsid w:val="009C72E7"/>
    <w:rsid w:val="009C7F7E"/>
    <w:rsid w:val="009D3058"/>
    <w:rsid w:val="009F3A13"/>
    <w:rsid w:val="009F798A"/>
    <w:rsid w:val="00A122D3"/>
    <w:rsid w:val="00A14468"/>
    <w:rsid w:val="00A17F13"/>
    <w:rsid w:val="00A20739"/>
    <w:rsid w:val="00A23AF9"/>
    <w:rsid w:val="00A33C78"/>
    <w:rsid w:val="00A56C1F"/>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6079"/>
    <w:rsid w:val="00D361FD"/>
    <w:rsid w:val="00D423A2"/>
    <w:rsid w:val="00D44E26"/>
    <w:rsid w:val="00D520D8"/>
    <w:rsid w:val="00D63AC2"/>
    <w:rsid w:val="00D7383B"/>
    <w:rsid w:val="00D7788A"/>
    <w:rsid w:val="00DA231B"/>
    <w:rsid w:val="00DC39FC"/>
    <w:rsid w:val="00DC3F3A"/>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371E251F"/>
    <w:rsid w:val="3D4B1707"/>
    <w:rsid w:val="3F5AEFB3"/>
    <w:rsid w:val="4B3BF3C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02ED"/>
    <w:rPr>
      <w:rFonts w:ascii="Geomanist Light" w:hAnsi="Geomanist Light"/>
      <w:lang w:val="es-ES"/>
    </w:rPr>
  </w:style>
  <w:style w:type="paragraph" w:customStyle="1" w:styleId="Appelnotedebasde">
    <w:name w:val="Appel note de bas de..."/>
    <w:basedOn w:val="Normal"/>
    <w:link w:val="Refdenotaalpie"/>
    <w:uiPriority w:val="99"/>
    <w:rsid w:val="005B02E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jesuscervantesceballos@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AE439E2-1975-4C4F-9BB8-15C4AD6D7CAF}"/>
</file>

<file path=docProps/app.xml><?xml version="1.0" encoding="utf-8"?>
<Properties xmlns="http://schemas.openxmlformats.org/officeDocument/2006/extended-properties" xmlns:vt="http://schemas.openxmlformats.org/officeDocument/2006/docPropsVTypes">
  <Template>Normal</Template>
  <TotalTime>394</TotalTime>
  <Pages>14</Pages>
  <Words>3666</Words>
  <Characters>20164</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4</cp:revision>
  <cp:lastPrinted>2023-01-10T21:18:00Z</cp:lastPrinted>
  <dcterms:created xsi:type="dcterms:W3CDTF">2025-12-16T18:31:00Z</dcterms:created>
  <dcterms:modified xsi:type="dcterms:W3CDTF">2025-12-26T11:57:00Z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