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F33F0" w14:textId="3B982706" w:rsidR="001F27DD" w:rsidRDefault="001F27DD" w:rsidP="001F27DD">
      <w:pPr>
        <w:jc w:val="both"/>
        <w:rPr>
          <w:rFonts w:ascii="Verdana" w:hAnsi="Verdana" w:cs="Arial"/>
          <w:b/>
          <w:bCs/>
          <w:lang w:val="es-ES" w:eastAsia="es-ES"/>
        </w:rPr>
      </w:pPr>
      <w:bookmarkStart w:id="0" w:name="_Hlk215673488"/>
      <w:r w:rsidRPr="001F27DD">
        <w:rPr>
          <w:rFonts w:ascii="Verdana" w:hAnsi="Verdana" w:cs="Arial"/>
          <w:b/>
          <w:bCs/>
          <w:lang w:val="es-ES" w:eastAsia="es-ES"/>
        </w:rPr>
        <w:t>LEY DE GARANTÍAS ELECTORALES – Finalidad / LEY DE GARANTÍAS ELECTORALES ‒ Restricciones ‒ Contratación ‒ Tipos de elección</w:t>
      </w:r>
    </w:p>
    <w:p w14:paraId="0757A48A" w14:textId="2DC2743E" w:rsidR="001F27DD" w:rsidRPr="00BC3A80" w:rsidRDefault="001F27DD" w:rsidP="001F27DD">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 xml:space="preserve">Por ejemplo, el artículo 127 de la Constitución Política establece una prohibición contractual a los servidores públicos y, en cuanto a aspectos políticos, señala restricciones a ciertos empleados del Estado, incluso en época no electoral. </w:t>
      </w:r>
    </w:p>
    <w:p w14:paraId="484FE93F" w14:textId="17F22AEB" w:rsidR="001F27DD" w:rsidRPr="00BC3A80" w:rsidRDefault="001F27DD" w:rsidP="001F27DD">
      <w:pPr>
        <w:tabs>
          <w:tab w:val="left" w:pos="426"/>
        </w:tabs>
        <w:spacing w:after="120" w:line="276" w:lineRule="auto"/>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06C677DE" w14:textId="261F4573" w:rsidR="001F27DD" w:rsidRPr="001F27DD" w:rsidRDefault="001F27DD" w:rsidP="001F27DD">
      <w:pPr>
        <w:jc w:val="both"/>
        <w:rPr>
          <w:rFonts w:ascii="Verdana" w:eastAsia="Times New Roman" w:hAnsi="Verdana" w:cs="Arial"/>
          <w:b/>
          <w:bCs/>
          <w:lang w:eastAsia="es-ES_tradnl"/>
        </w:rPr>
      </w:pPr>
      <w:r w:rsidRPr="001F27DD">
        <w:rPr>
          <w:rFonts w:ascii="Verdana" w:hAnsi="Verdana" w:cs="Arial"/>
          <w:b/>
          <w:bCs/>
          <w:lang w:val="es-ES" w:eastAsia="es-ES"/>
        </w:rPr>
        <w:t>LEY DE GARANTÍAS ELECTORALES ‒ Artículo 33 ‒ Ámbito materia</w:t>
      </w:r>
    </w:p>
    <w:p w14:paraId="5680E3BF" w14:textId="77777777" w:rsidR="001F27DD" w:rsidRDefault="001F27DD" w:rsidP="001F27DD">
      <w:pPr>
        <w:spacing w:after="120" w:line="276" w:lineRule="auto"/>
        <w:jc w:val="both"/>
        <w:rPr>
          <w:rFonts w:ascii="Verdana" w:hAnsi="Verdana" w:cs="Arial"/>
        </w:rPr>
      </w:pPr>
      <w:r>
        <w:rPr>
          <w:rFonts w:ascii="Verdana" w:hAnsi="Verdana" w:cs="Arial"/>
        </w:rPr>
        <w:t>E</w:t>
      </w:r>
      <w:r w:rsidRPr="004E4419">
        <w:rPr>
          <w:rFonts w:ascii="Verdana" w:hAnsi="Verdana" w:cs="Arial"/>
        </w:rPr>
        <w:t xml:space="preserve">l artículo 33 de la Ley 996 de 2005, </w:t>
      </w:r>
      <w:r>
        <w:rPr>
          <w:rFonts w:ascii="Verdana" w:hAnsi="Verdana" w:cs="Arial"/>
        </w:rPr>
        <w:t xml:space="preserve">aplicable </w:t>
      </w:r>
      <w:r w:rsidRPr="004E4419">
        <w:rPr>
          <w:rFonts w:ascii="Verdana" w:hAnsi="Verdana" w:cs="Arial"/>
        </w:rPr>
        <w:t>en época de elecciones presidenciales</w:t>
      </w:r>
      <w:r>
        <w:rPr>
          <w:rFonts w:ascii="Verdana" w:hAnsi="Verdana" w:cs="Arial"/>
        </w:rPr>
        <w:t>,</w:t>
      </w:r>
      <w:r w:rsidRPr="004E4419">
        <w:rPr>
          <w:rFonts w:ascii="Verdana" w:hAnsi="Verdana" w:cs="Arial"/>
        </w:rPr>
        <w:t xml:space="preserve"> restringe a todos los entes del Estado la celebración de contratos en cualquier modalidad de contratación directa, incluida la prestación de servicios. Si bien la normativa prevé unas excepciones, como los contratos refer</w:t>
      </w:r>
      <w:r>
        <w:rPr>
          <w:rFonts w:ascii="Verdana" w:hAnsi="Verdana" w:cs="Arial"/>
        </w:rPr>
        <w:t>entes</w:t>
      </w:r>
      <w:r w:rsidRPr="004E4419">
        <w:rPr>
          <w:rFonts w:ascii="Verdana" w:hAnsi="Verdana" w:cs="Arial"/>
        </w:rPr>
        <w:t xml:space="preserve"> </w:t>
      </w:r>
      <w:r>
        <w:rPr>
          <w:rFonts w:ascii="Verdana" w:hAnsi="Verdana" w:cs="Arial"/>
        </w:rPr>
        <w:t>a</w:t>
      </w:r>
      <w:r w:rsidRPr="004E4419">
        <w:rPr>
          <w:rFonts w:ascii="Verdana" w:hAnsi="Verdana" w:cs="Arial"/>
        </w:rPr>
        <w:t xml:space="preserve">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ninguno incluye la celebración de contratos de prestación de servicios para proteger el fuero de maternidad</w:t>
      </w:r>
      <w:r>
        <w:rPr>
          <w:rFonts w:ascii="Verdana" w:hAnsi="Verdana" w:cs="Arial"/>
        </w:rPr>
        <w:t xml:space="preserve">. </w:t>
      </w:r>
    </w:p>
    <w:p w14:paraId="29ADED4E" w14:textId="77777777" w:rsidR="001F27DD" w:rsidRPr="00592EFA" w:rsidRDefault="001F27DD" w:rsidP="001F27DD">
      <w:pPr>
        <w:widowControl w:val="0"/>
        <w:autoSpaceDE w:val="0"/>
        <w:autoSpaceDN w:val="0"/>
        <w:spacing w:after="120" w:line="276" w:lineRule="auto"/>
        <w:jc w:val="both"/>
        <w:rPr>
          <w:rFonts w:ascii="Verdana" w:eastAsia="Arial" w:hAnsi="Verdana" w:cs="Arial"/>
          <w:lang w:eastAsia="es-ES" w:bidi="es-ES"/>
        </w:rPr>
      </w:pPr>
      <w:r w:rsidRPr="00592EFA">
        <w:rPr>
          <w:rFonts w:ascii="Verdana" w:eastAsia="Arial" w:hAnsi="Verdana" w:cs="Arial"/>
          <w:lang w:eastAsia="es-ES" w:bidi="es-ES"/>
        </w:rPr>
        <w:t>Esta Agencia ha sostenido, en diversos pronunciamientos, que las prohibiciones previstas en el artículo 33 de la Ley 996 de 2005 deben ser objeto de una interpretación restrictiva, de modo que no es posible extender su alcance a situaciones no contempladas de manera expresa por el legislador. Este criterio es igualmente aplicable a las excepciones establecidas en dicha normativa.</w:t>
      </w:r>
    </w:p>
    <w:p w14:paraId="0A4CDAAE" w14:textId="77777777" w:rsidR="001F27DD" w:rsidRPr="001F27DD" w:rsidRDefault="001F27DD" w:rsidP="001F27DD">
      <w:pPr>
        <w:spacing w:line="276" w:lineRule="auto"/>
        <w:jc w:val="both"/>
        <w:rPr>
          <w:rFonts w:ascii="Verdana" w:hAnsi="Verdana" w:cs="Arial"/>
          <w:b/>
          <w:bCs/>
          <w:lang w:val="es-ES" w:eastAsia="es-ES"/>
        </w:rPr>
      </w:pPr>
      <w:r w:rsidRPr="001F27DD">
        <w:rPr>
          <w:rFonts w:ascii="Verdana" w:hAnsi="Verdana" w:cs="Arial"/>
          <w:b/>
          <w:bCs/>
          <w:lang w:val="es-ES" w:eastAsia="es-ES"/>
        </w:rPr>
        <w:lastRenderedPageBreak/>
        <w:t>LEY DE GARANTÍAS ELECTORALES ‒ Aplicación ‒ Excepciones ‒ Contratos de prestación de servicios y/o apoyo a la gestión</w:t>
      </w:r>
      <w:r w:rsidRPr="001F27DD">
        <w:rPr>
          <w:rFonts w:ascii="Verdana" w:hAnsi="Verdana"/>
          <w:b/>
          <w:bCs/>
        </w:rPr>
        <w:t xml:space="preserve"> </w:t>
      </w:r>
      <w:r w:rsidRPr="001F27DD">
        <w:rPr>
          <w:rFonts w:ascii="Verdana" w:hAnsi="Verdana" w:cs="Arial"/>
          <w:b/>
          <w:bCs/>
          <w:lang w:val="es-ES" w:eastAsia="es-ES"/>
        </w:rPr>
        <w:t xml:space="preserve">profesionales - </w:t>
      </w:r>
      <w:r w:rsidRPr="001F27DD">
        <w:rPr>
          <w:rFonts w:ascii="Verdana" w:hAnsi="Verdana" w:cs="Arial"/>
          <w:b/>
          <w:bCs/>
        </w:rPr>
        <w:t>Fuero de maternidad – Estabilidad laboral reforzada</w:t>
      </w:r>
    </w:p>
    <w:p w14:paraId="56F757E2" w14:textId="77777777" w:rsidR="001F27DD" w:rsidRPr="00592EFA" w:rsidRDefault="001F27DD" w:rsidP="001F27DD">
      <w:pPr>
        <w:widowControl w:val="0"/>
        <w:autoSpaceDE w:val="0"/>
        <w:autoSpaceDN w:val="0"/>
        <w:spacing w:after="120" w:line="276" w:lineRule="auto"/>
        <w:jc w:val="both"/>
        <w:rPr>
          <w:rFonts w:ascii="Verdana" w:eastAsia="Arial" w:hAnsi="Verdana" w:cs="Arial"/>
          <w:lang w:eastAsia="es-ES" w:bidi="es-ES"/>
        </w:rPr>
      </w:pPr>
      <w:r w:rsidRPr="00592EFA">
        <w:rPr>
          <w:rFonts w:ascii="Verdana" w:eastAsia="Arial" w:hAnsi="Verdana" w:cs="Arial"/>
          <w:lang w:eastAsia="es-ES" w:bidi="es-ES"/>
        </w:rPr>
        <w:t>Esta Agencia ha sostenido, en diversos pronunciamientos, que las prohibiciones previstas en el artículo 33 de la Ley 996 de 2005 deben ser objeto de una interpretación restrictiva, de modo que no es posible extender su alcance a situaciones no contempladas de manera expresa por el legislador. Este criterio es igualmente aplicable a las excepciones establecidas en dicha normativa.</w:t>
      </w:r>
    </w:p>
    <w:p w14:paraId="69F37029" w14:textId="77777777" w:rsidR="001F27DD" w:rsidRPr="00592EFA" w:rsidRDefault="001F27DD" w:rsidP="001F27DD">
      <w:pPr>
        <w:widowControl w:val="0"/>
        <w:autoSpaceDE w:val="0"/>
        <w:autoSpaceDN w:val="0"/>
        <w:spacing w:after="120" w:line="276" w:lineRule="auto"/>
        <w:jc w:val="both"/>
        <w:rPr>
          <w:rFonts w:ascii="Verdana" w:eastAsia="Arial" w:hAnsi="Verdana" w:cs="Arial"/>
          <w:lang w:eastAsia="es-ES" w:bidi="es-ES"/>
        </w:rPr>
      </w:pPr>
      <w:r w:rsidRPr="00592EFA">
        <w:rPr>
          <w:rFonts w:ascii="Verdana" w:eastAsia="Arial" w:hAnsi="Verdana" w:cs="Arial"/>
          <w:lang w:eastAsia="es-ES" w:bidi="es-ES"/>
        </w:rPr>
        <w:t>En este sentido, dado que la Ley de Garantías no consagra una excepción específica que habilite la celebración de contratos de prestación de servicios con mujeres amparadas por el fuero de maternidad, corresponde a las entidades públicas adoptar las medidas necesarias para asegurar el goce efectivo de dicha estabilidad reforzada antes de la entrada en vigor de la restricción electoral.</w:t>
      </w:r>
    </w:p>
    <w:p w14:paraId="3B22C6C9" w14:textId="77777777" w:rsidR="001F27DD" w:rsidRDefault="001F27DD" w:rsidP="001F27DD">
      <w:pPr>
        <w:widowControl w:val="0"/>
        <w:autoSpaceDE w:val="0"/>
        <w:autoSpaceDN w:val="0"/>
        <w:spacing w:after="120" w:line="276" w:lineRule="auto"/>
        <w:jc w:val="both"/>
        <w:rPr>
          <w:rFonts w:ascii="Verdana" w:eastAsia="Arial" w:hAnsi="Verdana" w:cs="Arial"/>
          <w:lang w:eastAsia="es-ES" w:bidi="es-ES"/>
        </w:rPr>
      </w:pPr>
      <w:r w:rsidRPr="00592EFA">
        <w:rPr>
          <w:rFonts w:ascii="Verdana" w:eastAsia="Arial" w:hAnsi="Verdana" w:cs="Arial"/>
          <w:lang w:eastAsia="es-ES" w:bidi="es-ES"/>
        </w:rPr>
        <w:t>Por consiguiente, y en atención a los principios de autonomía de la voluntad, responsabilidad y planeación, esta Agencia considera que las entidades deben celebrar, con anterioridad al periodo de restricción, los acuerdos contractuales que permitan garantizar la continuidad en la prestación del servicio por parte de la contratista</w:t>
      </w:r>
      <w:r>
        <w:rPr>
          <w:rFonts w:ascii="Verdana" w:eastAsia="Arial" w:hAnsi="Verdana" w:cs="Arial"/>
          <w:lang w:eastAsia="es-ES" w:bidi="es-ES"/>
        </w:rPr>
        <w:t xml:space="preserve"> amparada por el fuero de maternidad</w:t>
      </w:r>
      <w:r w:rsidRPr="00592EFA">
        <w:rPr>
          <w:rFonts w:ascii="Verdana" w:eastAsia="Arial" w:hAnsi="Verdana" w:cs="Arial"/>
          <w:lang w:eastAsia="es-ES" w:bidi="es-ES"/>
        </w:rPr>
        <w:t>. Dichos mecanismos</w:t>
      </w:r>
      <w:r>
        <w:rPr>
          <w:rFonts w:ascii="Verdana" w:eastAsia="Arial" w:hAnsi="Verdana" w:cs="Arial"/>
          <w:lang w:eastAsia="es-ES" w:bidi="es-ES"/>
        </w:rPr>
        <w:t xml:space="preserve">, contratar previamente a que entre a regir o hacer uso de la facultad de realizar </w:t>
      </w:r>
      <w:r w:rsidRPr="00592EFA">
        <w:rPr>
          <w:rFonts w:ascii="Verdana" w:eastAsia="Arial" w:hAnsi="Verdana" w:cs="Arial"/>
          <w:lang w:eastAsia="es-ES" w:bidi="es-ES"/>
        </w:rPr>
        <w:t>prórrogas o adiciones dentro de los límites legales</w:t>
      </w:r>
      <w:r>
        <w:rPr>
          <w:rFonts w:ascii="Verdana" w:eastAsia="Arial" w:hAnsi="Verdana" w:cs="Arial"/>
          <w:lang w:eastAsia="es-ES" w:bidi="es-ES"/>
        </w:rPr>
        <w:t xml:space="preserve">, </w:t>
      </w:r>
      <w:r w:rsidRPr="00592EFA">
        <w:rPr>
          <w:rFonts w:ascii="Verdana" w:eastAsia="Arial" w:hAnsi="Verdana" w:cs="Arial"/>
          <w:lang w:eastAsia="es-ES" w:bidi="es-ES"/>
        </w:rPr>
        <w:t>se encuentran permitidos durante la vigencia de la Ley de Garantías</w:t>
      </w:r>
      <w:r>
        <w:rPr>
          <w:rFonts w:ascii="Verdana" w:eastAsia="Arial" w:hAnsi="Verdana" w:cs="Arial"/>
          <w:lang w:eastAsia="es-ES" w:bidi="es-ES"/>
        </w:rPr>
        <w:t>Electorales</w:t>
      </w:r>
      <w:r w:rsidRPr="00592EFA">
        <w:rPr>
          <w:rFonts w:ascii="Verdana" w:eastAsia="Arial" w:hAnsi="Verdana" w:cs="Arial"/>
          <w:lang w:eastAsia="es-ES" w:bidi="es-ES"/>
        </w:rPr>
        <w:t>, y constituyen la vía adecuada para salvaguardar la estabilidad derivada del fuero de maternidad.</w:t>
      </w:r>
    </w:p>
    <w:p w14:paraId="1EBDACB4" w14:textId="77777777" w:rsidR="001F27DD" w:rsidRDefault="001F27DD" w:rsidP="00AC6792">
      <w:pPr>
        <w:rPr>
          <w:rFonts w:ascii="Verdana" w:eastAsia="Times New Roman" w:hAnsi="Verdana" w:cs="Arial"/>
          <w:lang w:eastAsia="es-ES_tradnl"/>
        </w:rPr>
      </w:pPr>
    </w:p>
    <w:p w14:paraId="5D776241" w14:textId="77777777" w:rsidR="001F27DD" w:rsidRDefault="001F27DD" w:rsidP="00AC6792">
      <w:pPr>
        <w:rPr>
          <w:rFonts w:ascii="Verdana" w:eastAsia="Times New Roman" w:hAnsi="Verdana" w:cs="Arial"/>
          <w:lang w:eastAsia="es-ES_tradnl"/>
        </w:rPr>
      </w:pPr>
    </w:p>
    <w:p w14:paraId="74BB53CE" w14:textId="77777777" w:rsidR="001F27DD" w:rsidRDefault="001F27DD" w:rsidP="00AC6792">
      <w:pPr>
        <w:rPr>
          <w:rFonts w:ascii="Verdana" w:eastAsia="Times New Roman" w:hAnsi="Verdana" w:cs="Arial"/>
          <w:lang w:eastAsia="es-ES_tradnl"/>
        </w:rPr>
      </w:pPr>
    </w:p>
    <w:p w14:paraId="5B2ED981" w14:textId="77777777" w:rsidR="001F27DD" w:rsidRDefault="001F27DD" w:rsidP="00AC6792">
      <w:pPr>
        <w:rPr>
          <w:rFonts w:ascii="Verdana" w:eastAsia="Times New Roman" w:hAnsi="Verdana" w:cs="Arial"/>
          <w:lang w:eastAsia="es-ES_tradnl"/>
        </w:rPr>
      </w:pPr>
    </w:p>
    <w:p w14:paraId="50E94ABA" w14:textId="77777777" w:rsidR="001F27DD" w:rsidRDefault="001F27DD" w:rsidP="00AC6792">
      <w:pPr>
        <w:rPr>
          <w:rFonts w:ascii="Verdana" w:eastAsia="Times New Roman" w:hAnsi="Verdana" w:cs="Arial"/>
          <w:lang w:eastAsia="es-ES_tradnl"/>
        </w:rPr>
      </w:pPr>
    </w:p>
    <w:p w14:paraId="7E3BF087" w14:textId="77777777" w:rsidR="001F27DD" w:rsidRDefault="001F27DD" w:rsidP="00AC6792">
      <w:pPr>
        <w:rPr>
          <w:rFonts w:ascii="Verdana" w:eastAsia="Times New Roman" w:hAnsi="Verdana" w:cs="Arial"/>
          <w:lang w:eastAsia="es-ES_tradnl"/>
        </w:rPr>
      </w:pPr>
    </w:p>
    <w:p w14:paraId="50EB0FEA" w14:textId="77777777" w:rsidR="001F27DD" w:rsidRDefault="001F27DD" w:rsidP="00AC6792">
      <w:pPr>
        <w:rPr>
          <w:rFonts w:ascii="Verdana" w:eastAsia="Times New Roman" w:hAnsi="Verdana" w:cs="Arial"/>
          <w:lang w:eastAsia="es-ES_tradnl"/>
        </w:rPr>
      </w:pPr>
    </w:p>
    <w:p w14:paraId="5B71C552" w14:textId="77777777" w:rsidR="001F27DD" w:rsidRDefault="001F27DD" w:rsidP="00AC6792">
      <w:pPr>
        <w:rPr>
          <w:rFonts w:ascii="Verdana" w:eastAsia="Times New Roman" w:hAnsi="Verdana" w:cs="Arial"/>
          <w:lang w:eastAsia="es-ES_tradnl"/>
        </w:rPr>
      </w:pPr>
    </w:p>
    <w:p w14:paraId="78F77FB6" w14:textId="77777777" w:rsidR="001F27DD" w:rsidRDefault="001F27DD" w:rsidP="00AC6792">
      <w:pPr>
        <w:rPr>
          <w:rFonts w:ascii="Verdana" w:eastAsia="Times New Roman" w:hAnsi="Verdana" w:cs="Arial"/>
          <w:lang w:eastAsia="es-ES_tradnl"/>
        </w:rPr>
      </w:pPr>
    </w:p>
    <w:p w14:paraId="346E63F5" w14:textId="62559F52" w:rsidR="00AC6792" w:rsidRPr="006F44C3" w:rsidRDefault="00AC6792" w:rsidP="00AC6792">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1F27DD">
        <w:rPr>
          <w:rFonts w:ascii="Verdana" w:eastAsia="Times New Roman" w:hAnsi="Verdana" w:cs="Arial"/>
          <w:lang w:eastAsia="es-ES_tradnl"/>
        </w:rPr>
        <w:t>08</w:t>
      </w:r>
      <w:r w:rsidRPr="00093B55">
        <w:rPr>
          <w:rFonts w:ascii="Verdana" w:eastAsia="Times New Roman" w:hAnsi="Verdana" w:cs="Arial"/>
          <w:lang w:eastAsia="es-ES_tradnl"/>
        </w:rPr>
        <w:t xml:space="preserve"> de </w:t>
      </w:r>
      <w:r w:rsidR="001F27DD">
        <w:rPr>
          <w:rFonts w:ascii="Verdana" w:eastAsia="Times New Roman" w:hAnsi="Verdana" w:cs="Arial"/>
          <w:lang w:eastAsia="es-ES_tradnl"/>
        </w:rPr>
        <w:t>diciembre</w:t>
      </w:r>
      <w:r w:rsidRPr="00093B55">
        <w:rPr>
          <w:rFonts w:ascii="Verdana" w:eastAsia="Times New Roman" w:hAnsi="Verdana" w:cs="Arial"/>
          <w:lang w:eastAsia="es-ES_tradnl"/>
        </w:rPr>
        <w:t xml:space="preserve"> de </w:t>
      </w:r>
      <w:r w:rsidR="001F27DD">
        <w:rPr>
          <w:rFonts w:ascii="Verdana" w:eastAsia="Times New Roman" w:hAnsi="Verdana" w:cs="Arial"/>
          <w:lang w:eastAsia="es-ES_tradnl"/>
        </w:rPr>
        <w:t>2025</w:t>
      </w:r>
    </w:p>
    <w:p w14:paraId="09FD8333" w14:textId="77777777" w:rsidR="00AC6792" w:rsidRPr="00BC3A80" w:rsidRDefault="00AC6792" w:rsidP="00AC6792">
      <w:pPr>
        <w:spacing w:after="0" w:line="240" w:lineRule="auto"/>
        <w:jc w:val="right"/>
        <w:rPr>
          <w:rFonts w:ascii="Verdana" w:hAnsi="Verdana" w:cs="Arial"/>
          <w:color w:val="000000"/>
          <w:lang w:val="es-ES_tradnl"/>
        </w:rPr>
      </w:pPr>
    </w:p>
    <w:p w14:paraId="3EF5338B" w14:textId="554B57EE" w:rsidR="001F27DD" w:rsidRDefault="001F27DD" w:rsidP="001F27DD">
      <w:pPr>
        <w:spacing w:after="0" w:line="240" w:lineRule="auto"/>
        <w:ind w:left="4248"/>
        <w:jc w:val="both"/>
        <w:rPr>
          <w:rFonts w:ascii="Verdana" w:hAnsi="Verdana" w:cs="Arial"/>
          <w:lang w:val="es-ES_tradnl" w:eastAsia="es-ES"/>
        </w:rPr>
      </w:pPr>
      <w:r w:rsidRPr="001F27DD">
        <w:rPr>
          <w:rFonts w:ascii="Verdana" w:hAnsi="Verdana" w:cs="Arial"/>
          <w:lang w:val="es-ES_tradnl" w:eastAsia="es-ES"/>
        </w:rPr>
        <w:drawing>
          <wp:inline distT="0" distB="0" distL="0" distR="0" wp14:anchorId="4679194E" wp14:editId="2ECCA8FE">
            <wp:extent cx="3391373" cy="1095528"/>
            <wp:effectExtent l="0" t="0" r="0" b="9525"/>
            <wp:docPr id="20444932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493246" name=""/>
                    <pic:cNvPicPr/>
                  </pic:nvPicPr>
                  <pic:blipFill>
                    <a:blip r:embed="rId11"/>
                    <a:stretch>
                      <a:fillRect/>
                    </a:stretch>
                  </pic:blipFill>
                  <pic:spPr>
                    <a:xfrm>
                      <a:off x="0" y="0"/>
                      <a:ext cx="3391373" cy="1095528"/>
                    </a:xfrm>
                    <a:prstGeom prst="rect">
                      <a:avLst/>
                    </a:prstGeom>
                  </pic:spPr>
                </pic:pic>
              </a:graphicData>
            </a:graphic>
          </wp:inline>
        </w:drawing>
      </w:r>
    </w:p>
    <w:p w14:paraId="5D9F0328" w14:textId="09CE007B" w:rsidR="00AC6792" w:rsidRPr="00BC3A80" w:rsidRDefault="00AC6792" w:rsidP="00AC6792">
      <w:pPr>
        <w:spacing w:after="0" w:line="240" w:lineRule="auto"/>
        <w:jc w:val="both"/>
        <w:rPr>
          <w:rFonts w:ascii="Verdana" w:hAnsi="Verdana" w:cs="Arial"/>
          <w:lang w:val="es-ES_tradnl" w:eastAsia="es-ES"/>
        </w:rPr>
      </w:pPr>
      <w:r w:rsidRPr="00BC3A80">
        <w:rPr>
          <w:rFonts w:ascii="Verdana" w:hAnsi="Verdana" w:cs="Arial"/>
          <w:lang w:val="es-ES_tradnl" w:eastAsia="es-ES"/>
        </w:rPr>
        <w:t>Señor</w:t>
      </w:r>
    </w:p>
    <w:p w14:paraId="3849083F" w14:textId="77777777" w:rsidR="00AC6792" w:rsidRDefault="00AC6792" w:rsidP="00AC6792">
      <w:pPr>
        <w:spacing w:after="0" w:line="240" w:lineRule="auto"/>
        <w:jc w:val="both"/>
        <w:rPr>
          <w:rFonts w:ascii="Verdana" w:hAnsi="Verdana" w:cs="Arial"/>
          <w:b/>
          <w:bCs/>
          <w:lang w:val="es-ES_tradnl" w:eastAsia="es-ES"/>
        </w:rPr>
      </w:pPr>
      <w:r>
        <w:rPr>
          <w:rFonts w:ascii="Verdana" w:hAnsi="Verdana" w:cs="Arial"/>
          <w:b/>
          <w:bCs/>
          <w:lang w:val="es-ES_tradnl" w:eastAsia="es-ES"/>
        </w:rPr>
        <w:t>Gustavo Lara</w:t>
      </w:r>
    </w:p>
    <w:p w14:paraId="64CE363F" w14:textId="77777777" w:rsidR="00AC6792" w:rsidRPr="008C3AE4" w:rsidRDefault="00AC6792" w:rsidP="00AC6792">
      <w:pPr>
        <w:spacing w:after="0" w:line="240" w:lineRule="auto"/>
        <w:rPr>
          <w:rFonts w:ascii="Arial" w:hAnsi="Arial" w:cs="Arial"/>
        </w:rPr>
      </w:pPr>
      <w:hyperlink r:id="rId12" w:history="1">
        <w:r w:rsidRPr="008C3AE4">
          <w:rPr>
            <w:rStyle w:val="Hipervnculo"/>
            <w:rFonts w:ascii="Arial" w:hAnsi="Arial" w:cs="Arial"/>
          </w:rPr>
          <w:t>Gustavo_lara05@hotmail.com</w:t>
        </w:r>
      </w:hyperlink>
      <w:r w:rsidRPr="008C3AE4">
        <w:rPr>
          <w:rFonts w:ascii="Arial" w:hAnsi="Arial" w:cs="Arial"/>
        </w:rPr>
        <w:t xml:space="preserve">; </w:t>
      </w:r>
    </w:p>
    <w:p w14:paraId="5603F52A" w14:textId="77777777" w:rsidR="00AC6792" w:rsidRPr="00C8004B" w:rsidRDefault="00AC6792" w:rsidP="00AC6792">
      <w:pPr>
        <w:tabs>
          <w:tab w:val="left" w:pos="3708"/>
        </w:tabs>
        <w:spacing w:after="0" w:line="240" w:lineRule="auto"/>
        <w:rPr>
          <w:rFonts w:ascii="Verdana" w:hAnsi="Verdana" w:cs="Arial"/>
          <w:lang w:val="en-US" w:eastAsia="es-ES"/>
        </w:rPr>
      </w:pPr>
      <w:r w:rsidRPr="00C8004B">
        <w:rPr>
          <w:rFonts w:ascii="Verdana" w:hAnsi="Verdana" w:cs="Arial"/>
          <w:lang w:val="en-US" w:eastAsia="es-ES"/>
        </w:rPr>
        <w:t>B</w:t>
      </w:r>
      <w:r>
        <w:rPr>
          <w:rFonts w:ascii="Verdana" w:hAnsi="Verdana" w:cs="Arial"/>
          <w:lang w:val="en-US" w:eastAsia="es-ES"/>
        </w:rPr>
        <w:t>arranquilla, Atlántico.</w:t>
      </w:r>
      <w:r w:rsidRPr="00C8004B">
        <w:rPr>
          <w:rFonts w:ascii="Verdana" w:hAnsi="Verdana" w:cs="Arial"/>
          <w:lang w:val="en-US" w:eastAsia="es-ES"/>
        </w:rPr>
        <w:tab/>
      </w:r>
    </w:p>
    <w:p w14:paraId="70E123C5" w14:textId="77777777" w:rsidR="00AC6792" w:rsidRPr="00C8004B" w:rsidRDefault="00AC6792" w:rsidP="00AC6792">
      <w:pPr>
        <w:spacing w:after="0" w:line="240" w:lineRule="auto"/>
        <w:rPr>
          <w:rFonts w:ascii="Verdana" w:hAnsi="Verdana" w:cs="Arial"/>
          <w:b/>
          <w:bCs/>
          <w:color w:val="000000"/>
          <w:lang w:val="en-US" w:eastAsia="es-ES_tradnl"/>
        </w:rPr>
      </w:pPr>
    </w:p>
    <w:p w14:paraId="082642C4" w14:textId="77777777" w:rsidR="00AC6792" w:rsidRPr="00C8004B" w:rsidRDefault="00AC6792" w:rsidP="00AC6792">
      <w:pPr>
        <w:spacing w:after="0" w:line="240" w:lineRule="auto"/>
        <w:rPr>
          <w:rFonts w:ascii="Verdana" w:hAnsi="Verdana" w:cs="Arial"/>
          <w:b/>
          <w:bCs/>
          <w:color w:val="000000"/>
          <w:lang w:val="en-US"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AC6792" w:rsidRPr="00BC3A80" w14:paraId="32AECC41" w14:textId="77777777" w:rsidTr="00A5756B">
        <w:trPr>
          <w:trHeight w:val="102"/>
        </w:trPr>
        <w:tc>
          <w:tcPr>
            <w:tcW w:w="2689" w:type="dxa"/>
          </w:tcPr>
          <w:p w14:paraId="3EDC18F8" w14:textId="77777777" w:rsidR="00AC6792" w:rsidRPr="00C8004B" w:rsidRDefault="00AC6792" w:rsidP="00A5756B">
            <w:pPr>
              <w:jc w:val="both"/>
              <w:rPr>
                <w:rFonts w:ascii="Verdana" w:hAnsi="Verdana" w:cs="Arial"/>
                <w:b/>
                <w:bCs/>
                <w:color w:val="7030A0"/>
                <w:lang w:val="en-US" w:eastAsia="es-ES_tradnl"/>
              </w:rPr>
            </w:pPr>
          </w:p>
        </w:tc>
        <w:tc>
          <w:tcPr>
            <w:tcW w:w="6100" w:type="dxa"/>
          </w:tcPr>
          <w:p w14:paraId="1CB6ABAD" w14:textId="77777777" w:rsidR="00AC6792" w:rsidRDefault="00AC6792" w:rsidP="00A5756B">
            <w:pPr>
              <w:jc w:val="both"/>
              <w:rPr>
                <w:rFonts w:ascii="Verdana" w:hAnsi="Verdana" w:cs="Arial"/>
                <w:b/>
                <w:bCs/>
                <w:lang w:val="es-ES_tradnl" w:eastAsia="es-ES"/>
              </w:rPr>
            </w:pPr>
            <w:r w:rsidRPr="00BC3A80">
              <w:rPr>
                <w:rFonts w:ascii="Verdana" w:hAnsi="Verdana" w:cs="Arial"/>
                <w:b/>
                <w:bCs/>
                <w:lang w:val="es-ES_tradnl" w:eastAsia="es-ES"/>
              </w:rPr>
              <w:t>Concepto C –</w:t>
            </w:r>
            <w:r>
              <w:rPr>
                <w:rFonts w:ascii="Verdana" w:hAnsi="Verdana" w:cs="Arial"/>
                <w:b/>
                <w:bCs/>
                <w:lang w:val="es-ES_tradnl" w:eastAsia="es-ES"/>
              </w:rPr>
              <w:t xml:space="preserve"> </w:t>
            </w:r>
            <w:r w:rsidRPr="005B210E">
              <w:rPr>
                <w:rFonts w:ascii="Verdana" w:hAnsi="Verdana" w:cs="Arial"/>
                <w:b/>
                <w:bCs/>
                <w:lang w:val="es-ES_tradnl" w:eastAsia="es-ES"/>
              </w:rPr>
              <w:t>1628</w:t>
            </w:r>
            <w:r w:rsidRPr="00BC3A80">
              <w:rPr>
                <w:rFonts w:ascii="Verdana" w:hAnsi="Verdana" w:cs="Arial"/>
                <w:b/>
                <w:bCs/>
                <w:lang w:val="es-ES_tradnl" w:eastAsia="es-ES"/>
              </w:rPr>
              <w:t xml:space="preserve"> de 2025</w:t>
            </w:r>
          </w:p>
          <w:p w14:paraId="26E4CD90" w14:textId="77777777" w:rsidR="00AC6792" w:rsidRPr="00BC3A80" w:rsidRDefault="00AC6792" w:rsidP="00A5756B">
            <w:pPr>
              <w:jc w:val="both"/>
              <w:rPr>
                <w:rFonts w:ascii="Verdana" w:hAnsi="Verdana" w:cs="Arial"/>
                <w:b/>
                <w:bCs/>
                <w:color w:val="7030A0"/>
                <w:lang w:val="es-ES_tradnl" w:eastAsia="es-ES"/>
              </w:rPr>
            </w:pPr>
          </w:p>
        </w:tc>
      </w:tr>
      <w:tr w:rsidR="00AC6792" w:rsidRPr="00BC3A80" w14:paraId="34F770D0" w14:textId="77777777" w:rsidTr="00A5756B">
        <w:trPr>
          <w:trHeight w:val="884"/>
        </w:trPr>
        <w:tc>
          <w:tcPr>
            <w:tcW w:w="2689" w:type="dxa"/>
          </w:tcPr>
          <w:p w14:paraId="76DEA344" w14:textId="77777777" w:rsidR="00AC6792" w:rsidRPr="00BC3A80" w:rsidRDefault="00AC6792" w:rsidP="00A5756B">
            <w:pPr>
              <w:jc w:val="both"/>
              <w:rPr>
                <w:rFonts w:ascii="Verdana" w:hAnsi="Verdana" w:cs="Arial"/>
                <w:color w:val="000000"/>
                <w:lang w:val="es-ES_tradnl" w:eastAsia="es-ES_tradnl"/>
              </w:rPr>
            </w:pPr>
            <w:r w:rsidRPr="00BC3A80">
              <w:rPr>
                <w:rFonts w:ascii="Verdana" w:hAnsi="Verdana" w:cs="Arial"/>
                <w:b/>
                <w:color w:val="000000"/>
                <w:lang w:val="es-ES_tradnl" w:eastAsia="es-ES_tradnl"/>
              </w:rPr>
              <w:t>Temas:</w:t>
            </w:r>
            <w:r w:rsidRPr="00BC3A80">
              <w:rPr>
                <w:rFonts w:ascii="Verdana" w:hAnsi="Verdana" w:cs="Arial"/>
                <w:color w:val="000000"/>
                <w:lang w:val="es-ES_tradnl" w:eastAsia="es-ES_tradnl"/>
              </w:rPr>
              <w:t xml:space="preserve">                   </w:t>
            </w:r>
          </w:p>
        </w:tc>
        <w:tc>
          <w:tcPr>
            <w:tcW w:w="6100" w:type="dxa"/>
          </w:tcPr>
          <w:p w14:paraId="562A56BF" w14:textId="77777777" w:rsidR="00AC6792" w:rsidRDefault="00AC6792" w:rsidP="00A5756B">
            <w:pPr>
              <w:spacing w:line="276" w:lineRule="auto"/>
              <w:jc w:val="both"/>
              <w:rPr>
                <w:rFonts w:ascii="Verdana" w:hAnsi="Verdana" w:cs="Arial"/>
                <w:lang w:val="es-ES" w:eastAsia="es-ES"/>
              </w:rPr>
            </w:pPr>
            <w:r w:rsidRPr="00BC3A80">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 LEY DE GARANTÍAS ELECTORALES ‒ Aplicación ‒ </w:t>
            </w:r>
            <w:r>
              <w:rPr>
                <w:rFonts w:ascii="Verdana" w:hAnsi="Verdana" w:cs="Arial"/>
                <w:lang w:val="es-ES" w:eastAsia="es-ES"/>
              </w:rPr>
              <w:t>E</w:t>
            </w:r>
            <w:r w:rsidRPr="00BC3A80">
              <w:rPr>
                <w:rFonts w:ascii="Verdana" w:hAnsi="Verdana" w:cs="Arial"/>
                <w:lang w:val="es-ES" w:eastAsia="es-ES"/>
              </w:rPr>
              <w:t xml:space="preserve">xcepciones </w:t>
            </w:r>
            <w:r w:rsidRPr="00C02EAA">
              <w:rPr>
                <w:rFonts w:ascii="Verdana" w:hAnsi="Verdana" w:cs="Arial"/>
                <w:lang w:val="es-ES" w:eastAsia="es-ES"/>
              </w:rPr>
              <w:t>‒ Contratos de prestación de servicios y/o apoyo a la gestión</w:t>
            </w:r>
            <w:r w:rsidRPr="00C02EAA">
              <w:rPr>
                <w:rFonts w:ascii="Verdana" w:hAnsi="Verdana"/>
              </w:rPr>
              <w:t xml:space="preserve"> </w:t>
            </w:r>
            <w:r w:rsidRPr="00C02EAA">
              <w:rPr>
                <w:rFonts w:ascii="Verdana" w:hAnsi="Verdana" w:cs="Arial"/>
                <w:lang w:val="es-ES" w:eastAsia="es-ES"/>
              </w:rPr>
              <w:t xml:space="preserve">profesionales - </w:t>
            </w:r>
            <w:r w:rsidRPr="00C02EAA">
              <w:rPr>
                <w:rFonts w:ascii="Verdana" w:hAnsi="Verdana" w:cs="Arial"/>
              </w:rPr>
              <w:t>Fuero de maternidad – Estabilidad laboral reforzada</w:t>
            </w:r>
          </w:p>
          <w:p w14:paraId="314EBEB8" w14:textId="77777777" w:rsidR="00AC6792" w:rsidRPr="00BC3A80" w:rsidRDefault="00AC6792" w:rsidP="00A5756B">
            <w:pPr>
              <w:spacing w:line="276" w:lineRule="auto"/>
              <w:jc w:val="both"/>
              <w:rPr>
                <w:rFonts w:ascii="Verdana" w:eastAsia="Arial" w:hAnsi="Verdana" w:cs="Arial"/>
                <w:bCs/>
                <w:color w:val="000000" w:themeColor="text1"/>
              </w:rPr>
            </w:pPr>
          </w:p>
        </w:tc>
      </w:tr>
      <w:tr w:rsidR="00AC6792" w:rsidRPr="00BC3A80" w14:paraId="18645BF4" w14:textId="77777777" w:rsidTr="00A5756B">
        <w:tc>
          <w:tcPr>
            <w:tcW w:w="2689" w:type="dxa"/>
          </w:tcPr>
          <w:p w14:paraId="13AF987B" w14:textId="77777777" w:rsidR="00AC6792" w:rsidRPr="00BC3A80" w:rsidRDefault="00AC6792" w:rsidP="00A5756B">
            <w:pPr>
              <w:jc w:val="both"/>
              <w:rPr>
                <w:rFonts w:ascii="Verdana" w:hAnsi="Verdana" w:cs="Arial"/>
                <w:b/>
                <w:lang w:val="es-ES_tradnl" w:eastAsia="es-ES_tradnl"/>
              </w:rPr>
            </w:pPr>
            <w:r w:rsidRPr="00BC3A80">
              <w:rPr>
                <w:rFonts w:ascii="Verdana" w:hAnsi="Verdana" w:cs="Arial"/>
                <w:b/>
                <w:lang w:val="es-ES_tradnl" w:eastAsia="es-ES_tradnl"/>
              </w:rPr>
              <w:t>Radicación:</w:t>
            </w:r>
            <w:r w:rsidRPr="00BC3A80">
              <w:rPr>
                <w:rFonts w:ascii="Verdana" w:hAnsi="Verdana" w:cs="Arial"/>
                <w:lang w:val="es-ES_tradnl" w:eastAsia="es-ES_tradnl"/>
              </w:rPr>
              <w:t xml:space="preserve">               </w:t>
            </w:r>
          </w:p>
        </w:tc>
        <w:tc>
          <w:tcPr>
            <w:tcW w:w="6100" w:type="dxa"/>
          </w:tcPr>
          <w:p w14:paraId="52797402" w14:textId="77777777" w:rsidR="00AC6792" w:rsidRPr="00BC3A80" w:rsidRDefault="00AC6792" w:rsidP="00A5756B">
            <w:pPr>
              <w:spacing w:line="276" w:lineRule="auto"/>
              <w:jc w:val="both"/>
              <w:rPr>
                <w:rFonts w:ascii="Verdana" w:hAnsi="Verdana" w:cs="Arial"/>
                <w:lang w:val="es-ES_tradnl" w:eastAsia="es-ES_tradnl"/>
              </w:rPr>
            </w:pPr>
            <w:r w:rsidRPr="00BC3A80">
              <w:rPr>
                <w:rFonts w:ascii="Verdana" w:hAnsi="Verdana" w:cs="Arial"/>
                <w:lang w:val="es-ES_tradnl" w:eastAsia="es-ES_tradnl"/>
              </w:rPr>
              <w:t xml:space="preserve">Respuesta a la consulta con radicado No. </w:t>
            </w:r>
            <w:r w:rsidRPr="005B210E">
              <w:rPr>
                <w:rFonts w:ascii="Verdana" w:hAnsi="Verdana" w:cs="Arial"/>
                <w:lang w:val="es-ES_tradnl" w:eastAsia="es-ES_tradnl"/>
              </w:rPr>
              <w:t>1_2025_11_04_012414</w:t>
            </w:r>
          </w:p>
        </w:tc>
      </w:tr>
    </w:tbl>
    <w:p w14:paraId="5D285058" w14:textId="77777777" w:rsidR="00AC6792" w:rsidRPr="00BC3A80" w:rsidRDefault="00AC6792" w:rsidP="00AC6792">
      <w:pPr>
        <w:spacing w:after="0" w:line="276" w:lineRule="auto"/>
        <w:jc w:val="both"/>
        <w:rPr>
          <w:rFonts w:ascii="Verdana" w:hAnsi="Verdana" w:cs="Arial"/>
          <w:color w:val="000000"/>
          <w:lang w:val="es-ES_tradnl" w:eastAsia="es-ES_tradnl"/>
        </w:rPr>
      </w:pPr>
    </w:p>
    <w:p w14:paraId="6E9F1C5A" w14:textId="77777777" w:rsidR="00AC6792" w:rsidRPr="00BC3A80" w:rsidRDefault="00AC6792" w:rsidP="00AC6792">
      <w:pPr>
        <w:spacing w:after="0" w:line="276" w:lineRule="auto"/>
        <w:jc w:val="both"/>
        <w:rPr>
          <w:rFonts w:ascii="Verdana" w:hAnsi="Verdana" w:cs="Arial"/>
          <w:color w:val="000000"/>
          <w:lang w:val="es-ES_tradnl" w:eastAsia="es-ES_tradnl"/>
        </w:rPr>
      </w:pPr>
    </w:p>
    <w:p w14:paraId="690FA779" w14:textId="77777777" w:rsidR="00AC6792" w:rsidRPr="00BC3A80" w:rsidRDefault="00AC6792" w:rsidP="00AC6792">
      <w:pPr>
        <w:spacing w:after="0" w:line="276" w:lineRule="auto"/>
        <w:jc w:val="both"/>
        <w:rPr>
          <w:rFonts w:ascii="Verdana" w:hAnsi="Verdana" w:cs="Arial"/>
          <w:lang w:val="es-ES_tradnl" w:eastAsia="es-ES"/>
        </w:rPr>
      </w:pPr>
      <w:r w:rsidRPr="00BC3A80">
        <w:rPr>
          <w:rFonts w:ascii="Verdana" w:hAnsi="Verdana" w:cs="Arial"/>
          <w:lang w:val="es-ES_tradnl" w:eastAsia="es-ES"/>
        </w:rPr>
        <w:t>Estimad</w:t>
      </w:r>
      <w:r>
        <w:rPr>
          <w:rFonts w:ascii="Verdana" w:hAnsi="Verdana" w:cs="Arial"/>
          <w:lang w:val="es-ES_tradnl" w:eastAsia="es-ES"/>
        </w:rPr>
        <w:t>o</w:t>
      </w:r>
      <w:r w:rsidRPr="00BC3A80">
        <w:rPr>
          <w:rFonts w:ascii="Verdana" w:hAnsi="Verdana" w:cs="Arial"/>
          <w:lang w:val="es-ES_tradnl" w:eastAsia="es-ES"/>
        </w:rPr>
        <w:t xml:space="preserve"> señor </w:t>
      </w:r>
      <w:r>
        <w:rPr>
          <w:rFonts w:ascii="Verdana" w:hAnsi="Verdana" w:cs="Arial"/>
          <w:lang w:val="es-ES_tradnl" w:eastAsia="es-ES"/>
        </w:rPr>
        <w:t>Lara</w:t>
      </w:r>
      <w:r w:rsidRPr="00BC3A80">
        <w:rPr>
          <w:rFonts w:ascii="Verdana" w:hAnsi="Verdana" w:cs="Arial"/>
          <w:lang w:val="es-ES_tradnl" w:eastAsia="es-ES"/>
        </w:rPr>
        <w:t xml:space="preserve">: </w:t>
      </w:r>
    </w:p>
    <w:p w14:paraId="1898B3B0" w14:textId="77777777" w:rsidR="00AC6792" w:rsidRPr="00BC3A80" w:rsidRDefault="00AC6792" w:rsidP="00AC6792">
      <w:pPr>
        <w:tabs>
          <w:tab w:val="left" w:pos="3768"/>
        </w:tabs>
        <w:spacing w:after="0" w:line="276" w:lineRule="auto"/>
        <w:jc w:val="both"/>
        <w:rPr>
          <w:rFonts w:ascii="Verdana" w:hAnsi="Verdana" w:cs="Arial"/>
          <w:color w:val="000000" w:themeColor="text1"/>
          <w:lang w:val="es-ES_tradnl" w:eastAsia="es-ES"/>
        </w:rPr>
      </w:pPr>
      <w:r w:rsidRPr="00BC3A80">
        <w:rPr>
          <w:rFonts w:ascii="Verdana" w:hAnsi="Verdana" w:cs="Arial"/>
          <w:color w:val="000000" w:themeColor="text1"/>
          <w:lang w:val="es-ES_tradnl" w:eastAsia="es-ES"/>
        </w:rPr>
        <w:tab/>
      </w:r>
    </w:p>
    <w:p w14:paraId="35321B8A" w14:textId="77777777" w:rsidR="00AC6792" w:rsidRPr="00BC3A80" w:rsidRDefault="00AC6792" w:rsidP="00AC6792">
      <w:pPr>
        <w:spacing w:after="0" w:line="276" w:lineRule="auto"/>
        <w:jc w:val="both"/>
        <w:rPr>
          <w:rFonts w:ascii="Verdana" w:hAnsi="Verdana" w:cs="Arial"/>
          <w:color w:val="7030A0"/>
          <w:lang w:val="es-ES_tradnl"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 expedida por esta Entidad</w:t>
      </w:r>
      <w:r w:rsidRPr="00BC3A80">
        <w:rPr>
          <w:rFonts w:ascii="Verdana" w:hAnsi="Verdana" w:cs="Arial"/>
          <w:lang w:val="es-ES_tradnl"/>
        </w:rPr>
        <w:t xml:space="preserve">, </w:t>
      </w:r>
      <w:r w:rsidRPr="00BC3A80">
        <w:rPr>
          <w:rFonts w:ascii="Verdana" w:hAnsi="Verdana" w:cs="Arial"/>
          <w:color w:val="000000" w:themeColor="text1"/>
          <w:lang w:val="es-ES_tradnl" w:eastAsia="es-ES"/>
        </w:rPr>
        <w:t>la Agencia Nacional de Contratación Pública – Colombia Compra Eficiente responde su solicitud de consulta</w:t>
      </w:r>
      <w:r>
        <w:rPr>
          <w:rFonts w:ascii="Verdana" w:hAnsi="Verdana" w:cs="Arial"/>
          <w:color w:val="000000" w:themeColor="text1"/>
          <w:lang w:val="es-ES_tradnl" w:eastAsia="es-ES"/>
        </w:rPr>
        <w:t xml:space="preserve"> de fecha 04 de noviembre de 2025</w:t>
      </w:r>
      <w:r>
        <w:rPr>
          <w:rFonts w:ascii="Verdana" w:hAnsi="Verdana" w:cs="Arial"/>
          <w:lang w:val="es-ES_tradnl" w:eastAsia="es-ES"/>
        </w:rPr>
        <w:t>,</w:t>
      </w:r>
      <w:r w:rsidRPr="00BC3A80">
        <w:rPr>
          <w:rFonts w:ascii="Verdana" w:hAnsi="Verdana" w:cs="Arial"/>
          <w:lang w:val="es-ES_tradnl" w:eastAsia="es-ES"/>
        </w:rPr>
        <w:t xml:space="preserve"> respecto de la aplicación de la Ley de Garantías Electorales en la contratación </w:t>
      </w:r>
      <w:r>
        <w:rPr>
          <w:rFonts w:ascii="Verdana" w:hAnsi="Verdana" w:cs="Arial"/>
          <w:lang w:val="es-ES_tradnl" w:eastAsia="es-ES"/>
        </w:rPr>
        <w:t xml:space="preserve">directa y la celebración de contratos </w:t>
      </w:r>
      <w:r>
        <w:rPr>
          <w:rFonts w:ascii="Verdana" w:hAnsi="Verdana" w:cs="Arial"/>
          <w:lang w:val="es-ES_tradnl" w:eastAsia="es-ES"/>
        </w:rPr>
        <w:lastRenderedPageBreak/>
        <w:t>de prestación de servicios con personas con fuero de maternidad y estabilidad laboral reforzada , donde</w:t>
      </w:r>
      <w:r w:rsidRPr="00BC3A80">
        <w:rPr>
          <w:rFonts w:ascii="Verdana" w:hAnsi="Verdana" w:cs="Arial"/>
          <w:lang w:val="es-ES_tradnl" w:eastAsia="es-ES"/>
        </w:rPr>
        <w:t xml:space="preserve"> manifiesta lo siguiente: </w:t>
      </w:r>
    </w:p>
    <w:p w14:paraId="5E57443D" w14:textId="77777777" w:rsidR="00AC6792" w:rsidRPr="00BC3A80" w:rsidRDefault="00AC6792" w:rsidP="00AC6792">
      <w:pPr>
        <w:tabs>
          <w:tab w:val="left" w:pos="142"/>
          <w:tab w:val="left" w:pos="284"/>
        </w:tabs>
        <w:spacing w:after="0" w:line="276" w:lineRule="auto"/>
        <w:jc w:val="both"/>
        <w:rPr>
          <w:rFonts w:ascii="Verdana" w:eastAsia="Century Gothic" w:hAnsi="Verdana" w:cs="Century Gothic"/>
          <w:b/>
          <w:bCs/>
          <w:lang w:val="es-ES_tradnl"/>
        </w:rPr>
      </w:pPr>
    </w:p>
    <w:p w14:paraId="54E1C076" w14:textId="77777777" w:rsidR="00AC6792" w:rsidRPr="00585370" w:rsidRDefault="00AC6792" w:rsidP="00AC6792">
      <w:pPr>
        <w:spacing w:after="0" w:line="240" w:lineRule="auto"/>
        <w:ind w:left="709" w:right="709"/>
        <w:jc w:val="both"/>
        <w:rPr>
          <w:rFonts w:ascii="Verdana" w:eastAsia="Century Gothic" w:hAnsi="Verdana" w:cs="Century Gothic"/>
          <w:i/>
          <w:iCs/>
          <w:sz w:val="21"/>
          <w:szCs w:val="21"/>
        </w:rPr>
      </w:pPr>
      <w:bookmarkStart w:id="1" w:name="_Hlk95313578"/>
      <w:r w:rsidRPr="00585370">
        <w:rPr>
          <w:rFonts w:ascii="Verdana" w:eastAsia="Century Gothic" w:hAnsi="Verdana" w:cs="Century Gothic"/>
          <w:i/>
          <w:iCs/>
          <w:sz w:val="21"/>
          <w:szCs w:val="21"/>
          <w:lang w:val="es-ES"/>
        </w:rPr>
        <w:t>“</w:t>
      </w:r>
      <w:bookmarkEnd w:id="1"/>
      <w:r w:rsidRPr="00585370">
        <w:rPr>
          <w:rFonts w:ascii="Verdana" w:eastAsia="Century Gothic" w:hAnsi="Verdana" w:cs="Century Gothic"/>
          <w:i/>
          <w:iCs/>
          <w:sz w:val="21"/>
          <w:szCs w:val="21"/>
          <w:lang w:val="es-ES"/>
        </w:rPr>
        <w:t xml:space="preserve">[…] </w:t>
      </w:r>
      <w:r w:rsidRPr="00585370">
        <w:rPr>
          <w:rFonts w:ascii="Verdana" w:eastAsia="Century Gothic" w:hAnsi="Verdana" w:cs="Century Gothic"/>
          <w:i/>
          <w:iCs/>
          <w:sz w:val="21"/>
          <w:szCs w:val="21"/>
        </w:rPr>
        <w:t>De manera atenta, solicito concepto sobre la aplicación de la estabilidad laboral reforzada de las mujeres en estado de embarazo o en periodo de lactancia vinculadas mediante contratos de prestación de servicios de apoyo a la gestión, frente al inicio de la Ley de Garantías Electorales el 31 de enero de 2026. En particular, quisiera conocer sobre cómo deben proceder las entidades cuando una contratista, posterior a su parto y durante el disfrute de su licencia, manifiesta su voluntad de reintegro, pero la entidad no puede suscribir un nuevo contrato al tratarse de una contratación directa restringida por la norma electoral.</w:t>
      </w:r>
    </w:p>
    <w:p w14:paraId="73A142B6" w14:textId="77777777" w:rsidR="00AC6792" w:rsidRPr="00585370" w:rsidRDefault="00AC6792" w:rsidP="00AC6792">
      <w:pPr>
        <w:spacing w:after="0" w:line="240" w:lineRule="auto"/>
        <w:ind w:left="709" w:right="709"/>
        <w:jc w:val="both"/>
        <w:rPr>
          <w:rFonts w:ascii="Verdana" w:eastAsia="Century Gothic" w:hAnsi="Verdana" w:cs="Century Gothic"/>
          <w:i/>
          <w:iCs/>
          <w:sz w:val="21"/>
          <w:szCs w:val="21"/>
        </w:rPr>
      </w:pPr>
    </w:p>
    <w:p w14:paraId="0C8923C6" w14:textId="77777777" w:rsidR="00AC6792" w:rsidRPr="00585370" w:rsidRDefault="00AC6792" w:rsidP="00AC6792">
      <w:pPr>
        <w:spacing w:after="0" w:line="240" w:lineRule="auto"/>
        <w:ind w:left="709" w:right="709"/>
        <w:jc w:val="both"/>
        <w:rPr>
          <w:rFonts w:ascii="Verdana" w:eastAsia="Century Gothic" w:hAnsi="Verdana" w:cs="Century Gothic"/>
          <w:i/>
          <w:iCs/>
          <w:sz w:val="21"/>
          <w:szCs w:val="21"/>
        </w:rPr>
      </w:pPr>
      <w:r w:rsidRPr="00585370">
        <w:rPr>
          <w:rFonts w:ascii="Verdana" w:eastAsia="Century Gothic" w:hAnsi="Verdana" w:cs="Century Gothic"/>
          <w:i/>
          <w:iCs/>
          <w:sz w:val="21"/>
          <w:szCs w:val="21"/>
        </w:rPr>
        <w:t>Agradezco su amable atención y la guía que puedan brindar respecto a cómo garantizar la protección derivada de la estabilidad laboral reforzada sin vulnerar las limitaciones de la Ley de Garantías, con el fin de aplicar correctamente las disposiciones legales en estos casos. […]”</w:t>
      </w:r>
    </w:p>
    <w:p w14:paraId="042E2CE3" w14:textId="77777777" w:rsidR="00AC6792" w:rsidRPr="00BC3A80" w:rsidRDefault="00AC6792" w:rsidP="00AC6792">
      <w:pPr>
        <w:tabs>
          <w:tab w:val="left" w:pos="142"/>
          <w:tab w:val="left" w:pos="284"/>
        </w:tabs>
        <w:spacing w:after="0" w:line="276" w:lineRule="auto"/>
        <w:contextualSpacing/>
        <w:jc w:val="both"/>
        <w:rPr>
          <w:rFonts w:ascii="Verdana" w:eastAsia="Century Gothic" w:hAnsi="Verdana" w:cs="Century Gothic"/>
          <w:b/>
          <w:bCs/>
          <w:lang w:val="es-ES_tradnl"/>
        </w:rPr>
      </w:pPr>
    </w:p>
    <w:p w14:paraId="7A7CBEA7" w14:textId="77777777" w:rsidR="00AC6792" w:rsidRPr="00BC3A80" w:rsidRDefault="00AC6792" w:rsidP="00AC6792">
      <w:pPr>
        <w:spacing w:after="120" w:line="276" w:lineRule="auto"/>
        <w:ind w:firstLine="709"/>
        <w:jc w:val="both"/>
        <w:rPr>
          <w:rFonts w:ascii="Verdana" w:hAnsi="Verdana" w:cs="Arial"/>
          <w:color w:val="000000"/>
          <w:lang w:val="es-ES" w:eastAsia="es-ES"/>
        </w:rPr>
      </w:pPr>
      <w:r w:rsidRPr="00BC3A80">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val="es-ES" w:eastAsia="es-ES"/>
        </w:rPr>
        <w:t xml:space="preserve">la Agencia Nacional de Contratación Pública – </w:t>
      </w:r>
      <w:r w:rsidRPr="00BC3A80">
        <w:rPr>
          <w:rFonts w:ascii="Verdana" w:hAnsi="Verdana" w:cs="Arial"/>
          <w:color w:val="000000" w:themeColor="text1"/>
          <w:lang w:val="es-ES"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3A80">
        <w:tab/>
      </w:r>
    </w:p>
    <w:p w14:paraId="1EAB03BB" w14:textId="77777777" w:rsidR="00AC6792" w:rsidRPr="00BC3A80" w:rsidRDefault="00AC6792" w:rsidP="00AC6792">
      <w:pPr>
        <w:spacing w:after="0" w:line="276" w:lineRule="auto"/>
        <w:ind w:firstLine="709"/>
        <w:jc w:val="both"/>
        <w:rPr>
          <w:rFonts w:ascii="Verdana" w:hAnsi="Verdana" w:cs="Arial"/>
          <w:color w:val="000000"/>
          <w:lang w:val="es-ES_tradnl" w:eastAsia="es-ES"/>
        </w:rPr>
      </w:pPr>
      <w:r w:rsidRPr="00BC3A80">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problema</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jurídico</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 xml:space="preserve">de su consulta. </w:t>
      </w:r>
      <w:r w:rsidRPr="00BC3A80">
        <w:rPr>
          <w:rFonts w:ascii="Verdana" w:hAnsi="Verdana" w:cs="Arial"/>
          <w:lang w:val="es-ES_tradnl" w:eastAsia="es-ES"/>
        </w:rPr>
        <w:t xml:space="preserve"> </w:t>
      </w:r>
    </w:p>
    <w:p w14:paraId="21BAE88A" w14:textId="77777777" w:rsidR="00AC6792" w:rsidRPr="00BC3A80" w:rsidRDefault="00AC6792" w:rsidP="00AC6792">
      <w:pPr>
        <w:spacing w:after="0" w:line="276" w:lineRule="auto"/>
        <w:ind w:firstLine="708"/>
        <w:jc w:val="both"/>
        <w:rPr>
          <w:rFonts w:ascii="Verdana" w:hAnsi="Verdana" w:cs="Arial"/>
          <w:lang w:val="es-ES_tradnl" w:eastAsia="es-ES"/>
        </w:rPr>
      </w:pPr>
    </w:p>
    <w:p w14:paraId="1A77B42D" w14:textId="77777777" w:rsidR="00AC6792" w:rsidRPr="00BC3A80" w:rsidRDefault="00AC6792" w:rsidP="00AC6792">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lastRenderedPageBreak/>
        <w:t>Problema planteado:</w:t>
      </w:r>
    </w:p>
    <w:p w14:paraId="7D47E51B" w14:textId="77777777" w:rsidR="00AC6792" w:rsidRPr="00BC3A80" w:rsidRDefault="00AC6792" w:rsidP="00AC6792">
      <w:pPr>
        <w:tabs>
          <w:tab w:val="left" w:pos="426"/>
        </w:tabs>
        <w:spacing w:after="0" w:line="276" w:lineRule="auto"/>
        <w:jc w:val="both"/>
        <w:rPr>
          <w:rFonts w:ascii="Verdana" w:eastAsia="Century Gothic" w:hAnsi="Verdana" w:cs="Century Gothic"/>
          <w:lang w:val="es-ES_tradnl"/>
        </w:rPr>
      </w:pPr>
    </w:p>
    <w:p w14:paraId="4A2D36F1" w14:textId="77777777" w:rsidR="00AC6792" w:rsidRPr="00BC3A80" w:rsidRDefault="00AC6792" w:rsidP="00AC6792">
      <w:pPr>
        <w:spacing w:after="0" w:line="276" w:lineRule="auto"/>
        <w:jc w:val="both"/>
        <w:rPr>
          <w:rFonts w:ascii="Verdana" w:eastAsia="Century Gothic" w:hAnsi="Verdana" w:cs="Century Gothic"/>
          <w:lang w:val="es-ES_tradnl"/>
        </w:rPr>
      </w:pPr>
      <w:r w:rsidRPr="00BC3A80">
        <w:rPr>
          <w:rFonts w:ascii="Verdana" w:eastAsia="Century Gothic" w:hAnsi="Verdana" w:cs="Century Gothic"/>
          <w:lang w:val="es-ES_tradnl"/>
        </w:rPr>
        <w:t xml:space="preserve">De acuerdo con el contenido de su solicitud, esta Agencia resolverá el siguiente problema jurídico: </w:t>
      </w:r>
      <w:r w:rsidRPr="00585370">
        <w:rPr>
          <w:rFonts w:ascii="Verdana" w:eastAsia="Century Gothic" w:hAnsi="Verdana" w:cs="Century Gothic"/>
        </w:rPr>
        <w:t>¿Se puede contratar por prestación de servicios a una persona con fuero de maternidad durante la Ley de Garantías, sin violar la ley ni incurrir en falta disciplinaria?</w:t>
      </w:r>
    </w:p>
    <w:p w14:paraId="43A19863" w14:textId="77777777" w:rsidR="00AC6792" w:rsidRPr="00BC3A80" w:rsidRDefault="00AC6792" w:rsidP="00AC6792">
      <w:pPr>
        <w:spacing w:after="0" w:line="276" w:lineRule="auto"/>
        <w:jc w:val="both"/>
        <w:rPr>
          <w:rFonts w:ascii="Verdana" w:hAnsi="Verdana" w:cs="Arial"/>
          <w:color w:val="7030A0"/>
          <w:lang w:val="es-ES_tradnl"/>
        </w:rPr>
      </w:pPr>
    </w:p>
    <w:p w14:paraId="295FE9D4" w14:textId="77777777" w:rsidR="00AC6792" w:rsidRPr="00BC3A80" w:rsidRDefault="00AC6792" w:rsidP="00AC6792">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Respuesta:</w:t>
      </w:r>
    </w:p>
    <w:p w14:paraId="5F9A3804" w14:textId="77777777" w:rsidR="00AC6792" w:rsidRPr="00BC3A80" w:rsidRDefault="00AC6792" w:rsidP="00AC6792">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6792" w:rsidRPr="00BC3A80" w14:paraId="26FE003B" w14:textId="77777777" w:rsidTr="00A5756B">
        <w:trPr>
          <w:jc w:val="center"/>
        </w:trPr>
        <w:tc>
          <w:tcPr>
            <w:tcW w:w="8828" w:type="dxa"/>
          </w:tcPr>
          <w:p w14:paraId="3A63CEAA" w14:textId="4677E648" w:rsidR="00AC6792" w:rsidRDefault="00EF3229" w:rsidP="005E39D8">
            <w:pPr>
              <w:spacing w:after="120" w:line="276" w:lineRule="auto"/>
              <w:ind w:firstLine="709"/>
              <w:jc w:val="both"/>
              <w:rPr>
                <w:rFonts w:ascii="Verdana" w:hAnsi="Verdana" w:cs="Arial"/>
              </w:rPr>
            </w:pPr>
            <w:r>
              <w:rPr>
                <w:rFonts w:ascii="Verdana" w:hAnsi="Verdana" w:cs="Arial"/>
              </w:rPr>
              <w:t>E</w:t>
            </w:r>
            <w:r w:rsidR="00AC6792" w:rsidRPr="004E4419">
              <w:rPr>
                <w:rFonts w:ascii="Verdana" w:hAnsi="Verdana" w:cs="Arial"/>
              </w:rPr>
              <w:t xml:space="preserve">l artículo 33 de la Ley 996 de 2005, </w:t>
            </w:r>
            <w:r>
              <w:rPr>
                <w:rFonts w:ascii="Verdana" w:hAnsi="Verdana" w:cs="Arial"/>
              </w:rPr>
              <w:t xml:space="preserve">aplicable </w:t>
            </w:r>
            <w:r w:rsidR="00AC6792" w:rsidRPr="004E4419">
              <w:rPr>
                <w:rFonts w:ascii="Verdana" w:hAnsi="Verdana" w:cs="Arial"/>
              </w:rPr>
              <w:t>en época de elecciones presidenciales</w:t>
            </w:r>
            <w:r>
              <w:rPr>
                <w:rFonts w:ascii="Verdana" w:hAnsi="Verdana" w:cs="Arial"/>
              </w:rPr>
              <w:t>,</w:t>
            </w:r>
            <w:r w:rsidR="00AC6792" w:rsidRPr="004E4419">
              <w:rPr>
                <w:rFonts w:ascii="Verdana" w:hAnsi="Verdana" w:cs="Arial"/>
              </w:rPr>
              <w:t xml:space="preserve"> restringe a todos los entes del Estado la celebración de contratos en cualquier modalidad de contratación directa, incluida la prestación de servicios. Si bien la normativa prevé unas excepciones, como los contratos refer</w:t>
            </w:r>
            <w:r>
              <w:rPr>
                <w:rFonts w:ascii="Verdana" w:hAnsi="Verdana" w:cs="Arial"/>
              </w:rPr>
              <w:t>entes</w:t>
            </w:r>
            <w:r w:rsidR="00AC6792" w:rsidRPr="004E4419">
              <w:rPr>
                <w:rFonts w:ascii="Verdana" w:hAnsi="Verdana" w:cs="Arial"/>
              </w:rPr>
              <w:t xml:space="preserve"> </w:t>
            </w:r>
            <w:r>
              <w:rPr>
                <w:rFonts w:ascii="Verdana" w:hAnsi="Verdana" w:cs="Arial"/>
              </w:rPr>
              <w:t>a</w:t>
            </w:r>
            <w:r w:rsidR="00AC6792" w:rsidRPr="004E4419">
              <w:rPr>
                <w:rFonts w:ascii="Verdana" w:hAnsi="Verdana" w:cs="Arial"/>
              </w:rPr>
              <w:t xml:space="preserve">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ninguno incluye la celebración de contratos de prestación de servicios para proteger el fuero de maternidad</w:t>
            </w:r>
            <w:r w:rsidR="00AC6792">
              <w:rPr>
                <w:rFonts w:ascii="Verdana" w:hAnsi="Verdana" w:cs="Arial"/>
              </w:rPr>
              <w:t xml:space="preserve">. </w:t>
            </w:r>
          </w:p>
          <w:p w14:paraId="21FC281A" w14:textId="77777777" w:rsidR="00AC6792" w:rsidRPr="00592EFA" w:rsidRDefault="00AC6792" w:rsidP="005E39D8">
            <w:pPr>
              <w:widowControl w:val="0"/>
              <w:autoSpaceDE w:val="0"/>
              <w:autoSpaceDN w:val="0"/>
              <w:spacing w:after="120" w:line="276" w:lineRule="auto"/>
              <w:ind w:firstLine="709"/>
              <w:jc w:val="both"/>
              <w:rPr>
                <w:rFonts w:ascii="Verdana" w:eastAsia="Arial" w:hAnsi="Verdana" w:cs="Arial"/>
                <w:lang w:eastAsia="es-ES" w:bidi="es-ES"/>
              </w:rPr>
            </w:pPr>
            <w:r w:rsidRPr="00592EFA">
              <w:rPr>
                <w:rFonts w:ascii="Verdana" w:eastAsia="Arial" w:hAnsi="Verdana" w:cs="Arial"/>
                <w:lang w:eastAsia="es-ES" w:bidi="es-ES"/>
              </w:rPr>
              <w:t>Esta Agencia ha sostenido, en diversos pronunciamientos, que las prohibiciones previstas en el artículo 33 de la Ley 996 de 2005 deben ser objeto de una interpretación restrictiva, de modo que no es posible extender su alcance a situaciones no contempladas de manera expresa por el legislador. Este criterio es igualmente aplicable a las excepciones establecidas en dicha normativa.</w:t>
            </w:r>
          </w:p>
          <w:p w14:paraId="619B26D7" w14:textId="77777777" w:rsidR="00AC6792" w:rsidRPr="00592EFA" w:rsidRDefault="00AC6792" w:rsidP="005E39D8">
            <w:pPr>
              <w:widowControl w:val="0"/>
              <w:autoSpaceDE w:val="0"/>
              <w:autoSpaceDN w:val="0"/>
              <w:spacing w:after="120" w:line="276" w:lineRule="auto"/>
              <w:ind w:firstLine="709"/>
              <w:jc w:val="both"/>
              <w:rPr>
                <w:rFonts w:ascii="Verdana" w:eastAsia="Arial" w:hAnsi="Verdana" w:cs="Arial"/>
                <w:lang w:eastAsia="es-ES" w:bidi="es-ES"/>
              </w:rPr>
            </w:pPr>
            <w:r w:rsidRPr="00592EFA">
              <w:rPr>
                <w:rFonts w:ascii="Verdana" w:eastAsia="Arial" w:hAnsi="Verdana" w:cs="Arial"/>
                <w:lang w:eastAsia="es-ES" w:bidi="es-ES"/>
              </w:rPr>
              <w:t>En este sentido, dado que la Ley de Garantías no consagra una excepción específica que habilite la celebración de contratos de prestación de servicios con mujeres amparadas por el fuero de maternidad, corresponde a las entidades públicas adoptar las medidas necesarias para asegurar el goce efectivo de dicha estabilidad reforzada antes de la entrada en vigor de la restricción electoral.</w:t>
            </w:r>
          </w:p>
          <w:p w14:paraId="182DE531" w14:textId="212BD6AF" w:rsidR="00AC6792" w:rsidRDefault="00AC6792" w:rsidP="005E39D8">
            <w:pPr>
              <w:widowControl w:val="0"/>
              <w:autoSpaceDE w:val="0"/>
              <w:autoSpaceDN w:val="0"/>
              <w:spacing w:after="120" w:line="276" w:lineRule="auto"/>
              <w:ind w:firstLine="709"/>
              <w:jc w:val="both"/>
              <w:rPr>
                <w:rFonts w:ascii="Verdana" w:eastAsia="Arial" w:hAnsi="Verdana" w:cs="Arial"/>
                <w:lang w:eastAsia="es-ES" w:bidi="es-ES"/>
              </w:rPr>
            </w:pPr>
            <w:r w:rsidRPr="00592EFA">
              <w:rPr>
                <w:rFonts w:ascii="Verdana" w:eastAsia="Arial" w:hAnsi="Verdana" w:cs="Arial"/>
                <w:lang w:eastAsia="es-ES" w:bidi="es-ES"/>
              </w:rPr>
              <w:t xml:space="preserve">Por consiguiente, y en atención a los principios de autonomía de la voluntad, responsabilidad y planeación, esta Agencia considera que las entidades deben celebrar, con anterioridad al periodo de restricción, los acuerdos contractuales que permitan garantizar la continuidad en la prestación </w:t>
            </w:r>
            <w:r w:rsidRPr="00592EFA">
              <w:rPr>
                <w:rFonts w:ascii="Verdana" w:eastAsia="Arial" w:hAnsi="Verdana" w:cs="Arial"/>
                <w:lang w:eastAsia="es-ES" w:bidi="es-ES"/>
              </w:rPr>
              <w:lastRenderedPageBreak/>
              <w:t>del servicio por parte de la contratista</w:t>
            </w:r>
            <w:r w:rsidR="00EF3229">
              <w:rPr>
                <w:rFonts w:ascii="Verdana" w:eastAsia="Arial" w:hAnsi="Verdana" w:cs="Arial"/>
                <w:lang w:eastAsia="es-ES" w:bidi="es-ES"/>
              </w:rPr>
              <w:t xml:space="preserve"> amparada por el fuero de maternidad</w:t>
            </w:r>
            <w:r w:rsidRPr="00592EFA">
              <w:rPr>
                <w:rFonts w:ascii="Verdana" w:eastAsia="Arial" w:hAnsi="Verdana" w:cs="Arial"/>
                <w:lang w:eastAsia="es-ES" w:bidi="es-ES"/>
              </w:rPr>
              <w:t>. Dichos mecanismos</w:t>
            </w:r>
            <w:r>
              <w:rPr>
                <w:rFonts w:ascii="Verdana" w:eastAsia="Arial" w:hAnsi="Verdana" w:cs="Arial"/>
                <w:lang w:eastAsia="es-ES" w:bidi="es-ES"/>
              </w:rPr>
              <w:t xml:space="preserve">, </w:t>
            </w:r>
            <w:r w:rsidR="00EF3229">
              <w:rPr>
                <w:rFonts w:ascii="Verdana" w:eastAsia="Arial" w:hAnsi="Verdana" w:cs="Arial"/>
                <w:lang w:eastAsia="es-ES" w:bidi="es-ES"/>
              </w:rPr>
              <w:t>contratar previamente a que entre a regir o hacer uso de la facultad de realizar</w:t>
            </w:r>
            <w:r>
              <w:rPr>
                <w:rFonts w:ascii="Verdana" w:eastAsia="Arial" w:hAnsi="Verdana" w:cs="Arial"/>
                <w:lang w:eastAsia="es-ES" w:bidi="es-ES"/>
              </w:rPr>
              <w:t xml:space="preserve"> </w:t>
            </w:r>
            <w:r w:rsidRPr="00592EFA">
              <w:rPr>
                <w:rFonts w:ascii="Verdana" w:eastAsia="Arial" w:hAnsi="Verdana" w:cs="Arial"/>
                <w:lang w:eastAsia="es-ES" w:bidi="es-ES"/>
              </w:rPr>
              <w:t>prórrogas o adiciones dentro de los límites legales</w:t>
            </w:r>
            <w:r>
              <w:rPr>
                <w:rFonts w:ascii="Verdana" w:eastAsia="Arial" w:hAnsi="Verdana" w:cs="Arial"/>
                <w:lang w:eastAsia="es-ES" w:bidi="es-ES"/>
              </w:rPr>
              <w:t xml:space="preserve">, </w:t>
            </w:r>
            <w:r w:rsidRPr="00592EFA">
              <w:rPr>
                <w:rFonts w:ascii="Verdana" w:eastAsia="Arial" w:hAnsi="Verdana" w:cs="Arial"/>
                <w:lang w:eastAsia="es-ES" w:bidi="es-ES"/>
              </w:rPr>
              <w:t>se encuentran permitidos durante la vigencia de la Ley de Garantías</w:t>
            </w:r>
            <w:r w:rsidR="00EF3229">
              <w:rPr>
                <w:rFonts w:ascii="Verdana" w:eastAsia="Arial" w:hAnsi="Verdana" w:cs="Arial"/>
                <w:lang w:eastAsia="es-ES" w:bidi="es-ES"/>
              </w:rPr>
              <w:t>Electorales</w:t>
            </w:r>
            <w:r w:rsidRPr="00592EFA">
              <w:rPr>
                <w:rFonts w:ascii="Verdana" w:eastAsia="Arial" w:hAnsi="Verdana" w:cs="Arial"/>
                <w:lang w:eastAsia="es-ES" w:bidi="es-ES"/>
              </w:rPr>
              <w:t>, y constituyen la vía adecuada para salvaguardar la estabilidad derivada del fuero de maternidad.</w:t>
            </w:r>
          </w:p>
          <w:p w14:paraId="33BE4F89" w14:textId="77777777" w:rsidR="00AC6792" w:rsidRPr="00BC3A80" w:rsidRDefault="00AC6792" w:rsidP="005E39D8">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En todo caso, vale anotar que es responsabilidad de</w:t>
            </w:r>
            <w:r>
              <w:rPr>
                <w:rFonts w:ascii="Verdana" w:eastAsia="Arial" w:hAnsi="Verdana" w:cs="Arial"/>
                <w:bCs/>
                <w:color w:val="000000" w:themeColor="text1"/>
              </w:rPr>
              <w:t xml:space="preserve"> la</w:t>
            </w:r>
            <w:r w:rsidRPr="00BC3A80">
              <w:rPr>
                <w:rFonts w:ascii="Verdana" w:eastAsia="Arial" w:hAnsi="Verdana" w:cs="Arial"/>
                <w:bCs/>
                <w:color w:val="000000" w:themeColor="text1"/>
              </w:rPr>
              <w:t xml:space="preserve"> respectiv</w:t>
            </w:r>
            <w:r>
              <w:rPr>
                <w:rFonts w:ascii="Verdana" w:eastAsia="Arial" w:hAnsi="Verdana" w:cs="Arial"/>
                <w:bCs/>
                <w:color w:val="000000" w:themeColor="text1"/>
              </w:rPr>
              <w:t>a</w:t>
            </w:r>
            <w:r w:rsidRPr="00BC3A80">
              <w:rPr>
                <w:rFonts w:ascii="Verdana" w:eastAsia="Arial" w:hAnsi="Verdana" w:cs="Arial"/>
                <w:bCs/>
                <w:color w:val="000000" w:themeColor="text1"/>
              </w:rPr>
              <w:t xml:space="preserve"> ent</w:t>
            </w:r>
            <w:r>
              <w:rPr>
                <w:rFonts w:ascii="Verdana" w:eastAsia="Arial" w:hAnsi="Verdana" w:cs="Arial"/>
                <w:bCs/>
                <w:color w:val="000000" w:themeColor="text1"/>
              </w:rPr>
              <w:t>idad</w:t>
            </w:r>
            <w:r w:rsidRPr="00BC3A80">
              <w:rPr>
                <w:rFonts w:ascii="Verdana" w:eastAsia="Arial" w:hAnsi="Verdana" w:cs="Arial"/>
                <w:bCs/>
                <w:color w:val="000000" w:themeColor="text1"/>
              </w:rPr>
              <w:t xml:space="preserve"> del Estado examinar en cada caso la naturaleza de las actividades que adelanta y justificar si las mismas se enmarcan en alguna de las excepciones, </w:t>
            </w:r>
            <w:r>
              <w:rPr>
                <w:rFonts w:ascii="Verdana" w:eastAsia="Arial" w:hAnsi="Verdana" w:cs="Arial"/>
                <w:bCs/>
                <w:color w:val="000000" w:themeColor="text1"/>
              </w:rPr>
              <w:t xml:space="preserve">y justificar de manera idónea la actividad contractual durante la vigencia de la Ley de garantías. </w:t>
            </w:r>
          </w:p>
        </w:tc>
      </w:tr>
    </w:tbl>
    <w:p w14:paraId="795B9984" w14:textId="77777777" w:rsidR="00AC6792" w:rsidRPr="00BC3A80" w:rsidRDefault="00AC6792" w:rsidP="00AC6792">
      <w:pPr>
        <w:tabs>
          <w:tab w:val="left" w:pos="142"/>
          <w:tab w:val="left" w:pos="284"/>
        </w:tabs>
        <w:spacing w:after="0" w:line="276" w:lineRule="auto"/>
        <w:jc w:val="both"/>
        <w:rPr>
          <w:rFonts w:ascii="Verdana" w:eastAsia="Century Gothic" w:hAnsi="Verdana" w:cs="Century Gothic"/>
          <w:b/>
          <w:bCs/>
          <w:lang w:val="es-ES_tradnl"/>
        </w:rPr>
      </w:pPr>
    </w:p>
    <w:p w14:paraId="4A1D6519" w14:textId="77777777" w:rsidR="00AC6792" w:rsidRPr="00BC3A80" w:rsidRDefault="00AC6792" w:rsidP="00AC6792">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Razones de la respuesta:</w:t>
      </w:r>
    </w:p>
    <w:p w14:paraId="64BC4B91" w14:textId="77777777" w:rsidR="00AC6792" w:rsidRPr="00BC3A80" w:rsidRDefault="00AC6792" w:rsidP="00AC6792">
      <w:pPr>
        <w:spacing w:after="0" w:line="276" w:lineRule="auto"/>
        <w:jc w:val="both"/>
        <w:rPr>
          <w:rFonts w:ascii="Verdana" w:hAnsi="Verdana" w:cs="Arial"/>
          <w:color w:val="7030A0"/>
          <w:lang w:val="es-ES_tradnl"/>
        </w:rPr>
      </w:pPr>
    </w:p>
    <w:p w14:paraId="26ABF190" w14:textId="77777777" w:rsidR="00AC6792" w:rsidRPr="00BC3A80" w:rsidRDefault="00AC6792" w:rsidP="00AC6792">
      <w:pPr>
        <w:spacing w:after="0" w:line="276" w:lineRule="auto"/>
        <w:jc w:val="both"/>
        <w:rPr>
          <w:rFonts w:ascii="Verdana" w:hAnsi="Verdana" w:cs="Arial"/>
          <w:lang w:val="es-ES_tradnl"/>
        </w:rPr>
      </w:pPr>
      <w:r w:rsidRPr="00BC3A80">
        <w:rPr>
          <w:rFonts w:ascii="Verdana" w:hAnsi="Verdana" w:cs="Arial"/>
          <w:lang w:val="es-ES_tradnl"/>
        </w:rPr>
        <w:t>Lo anterior se sustenta en las siguientes consideraciones:</w:t>
      </w:r>
    </w:p>
    <w:p w14:paraId="2D5EECC4" w14:textId="77777777" w:rsidR="00AC6792" w:rsidRPr="00BC3A80" w:rsidRDefault="00AC6792" w:rsidP="00AC6792">
      <w:pPr>
        <w:spacing w:after="0" w:line="276" w:lineRule="auto"/>
        <w:ind w:firstLine="709"/>
        <w:jc w:val="both"/>
        <w:rPr>
          <w:rFonts w:ascii="Verdana" w:hAnsi="Verdana" w:cs="Arial"/>
          <w:color w:val="000000" w:themeColor="text1"/>
        </w:rPr>
      </w:pPr>
    </w:p>
    <w:p w14:paraId="2DADF1AC" w14:textId="37FF7829" w:rsidR="00AC6792" w:rsidRPr="00BC3A80" w:rsidRDefault="00EF3229" w:rsidP="00AC6792">
      <w:pPr>
        <w:tabs>
          <w:tab w:val="left" w:pos="426"/>
        </w:tabs>
        <w:spacing w:after="120" w:line="276" w:lineRule="auto"/>
        <w:jc w:val="both"/>
        <w:rPr>
          <w:rFonts w:ascii="Verdana" w:eastAsia="Times New Roman" w:hAnsi="Verdana" w:cs="Arial"/>
          <w:lang w:val="es-ES" w:eastAsia="es-CO"/>
        </w:rPr>
      </w:pPr>
      <w:r>
        <w:rPr>
          <w:rFonts w:ascii="Verdana" w:hAnsi="Verdana" w:cs="Arial"/>
          <w:lang w:val="es-ES"/>
        </w:rPr>
        <w:t xml:space="preserve">i. </w:t>
      </w:r>
      <w:r w:rsidR="00AC6792" w:rsidRPr="00BC3A80">
        <w:rPr>
          <w:rFonts w:ascii="Verdana" w:hAnsi="Verdana" w:cs="Arial"/>
          <w:lang w:val="es-ES"/>
        </w:rPr>
        <w:t>El ordenamiento jurídico colombiano contempla medidas para evitar la obtención de beneficios personales en asuntos propios de la administración pública</w:t>
      </w:r>
      <w:r w:rsidR="00AC6792" w:rsidRPr="00BC3A80">
        <w:rPr>
          <w:rFonts w:ascii="Verdana" w:hAnsi="Verdana" w:cs="Arial"/>
          <w:i/>
          <w:lang w:val="es-ES"/>
        </w:rPr>
        <w:t xml:space="preserve">. </w:t>
      </w:r>
      <w:r w:rsidR="00AC6792"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00AC6792" w:rsidRPr="00BC3A80">
        <w:rPr>
          <w:rFonts w:ascii="Verdana" w:hAnsi="Verdana"/>
          <w:vertAlign w:val="superscript"/>
          <w:lang w:val="es-ES"/>
        </w:rPr>
        <w:footnoteReference w:id="1"/>
      </w:r>
      <w:r w:rsidR="00AC6792" w:rsidRPr="00BC3A80">
        <w:rPr>
          <w:rFonts w:ascii="Verdana" w:hAnsi="Verdana" w:cs="Arial"/>
          <w:lang w:val="es-ES"/>
        </w:rPr>
        <w:t xml:space="preserve">. </w:t>
      </w:r>
    </w:p>
    <w:p w14:paraId="051D1E7E" w14:textId="77777777" w:rsidR="00AC6792" w:rsidRPr="00BC3A80" w:rsidRDefault="00AC6792" w:rsidP="00AC6792">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2"/>
      </w:r>
      <w:r w:rsidRPr="00BC3A80">
        <w:rPr>
          <w:rFonts w:ascii="Verdana" w:eastAsia="Times New Roman" w:hAnsi="Verdana" w:cs="Arial"/>
          <w:lang w:val="es-ES" w:eastAsia="es-CO"/>
        </w:rPr>
        <w:t xml:space="preserve">. En esta medida, introduce </w:t>
      </w:r>
      <w:r w:rsidRPr="00BC3A80">
        <w:rPr>
          <w:rFonts w:ascii="Verdana" w:eastAsia="Times New Roman" w:hAnsi="Verdana" w:cs="Arial"/>
          <w:lang w:val="es-ES" w:eastAsia="es-CO"/>
        </w:rPr>
        <w:lastRenderedPageBreak/>
        <w:t>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4927746E" w14:textId="77777777" w:rsidR="00AC6792" w:rsidRPr="00BC3A80" w:rsidRDefault="00AC6792" w:rsidP="00AC6792">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09AA83B2" w14:textId="77777777" w:rsidR="00AC6792" w:rsidRPr="00BC3A80" w:rsidRDefault="00AC6792" w:rsidP="00AC6792">
      <w:pPr>
        <w:spacing w:after="0" w:line="276" w:lineRule="auto"/>
        <w:ind w:right="709"/>
        <w:jc w:val="both"/>
        <w:rPr>
          <w:rFonts w:ascii="Verdana" w:eastAsia="Times New Roman" w:hAnsi="Verdana" w:cs="Arial"/>
          <w:lang w:val="es-ES" w:eastAsia="es-CO"/>
        </w:rPr>
      </w:pPr>
    </w:p>
    <w:p w14:paraId="6D8AEE12" w14:textId="77777777" w:rsidR="00AC6792" w:rsidRPr="00BC3A80" w:rsidRDefault="00AC6792" w:rsidP="00AC6792">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5DC2167" w14:textId="77777777" w:rsidR="00AC6792" w:rsidRDefault="00AC6792" w:rsidP="00AC6792">
      <w:pPr>
        <w:spacing w:after="0" w:line="240" w:lineRule="auto"/>
        <w:ind w:left="709" w:right="709"/>
        <w:contextualSpacing/>
        <w:jc w:val="both"/>
        <w:rPr>
          <w:rFonts w:ascii="Verdana" w:eastAsia="Times New Roman" w:hAnsi="Verdana" w:cs="Arial"/>
          <w:sz w:val="20"/>
          <w:szCs w:val="20"/>
          <w:lang w:val="es-ES" w:eastAsia="es-CO"/>
        </w:rPr>
      </w:pPr>
    </w:p>
    <w:p w14:paraId="68FA1F71" w14:textId="77777777" w:rsidR="00AC6792" w:rsidRPr="00BC3A80" w:rsidRDefault="00AC6792" w:rsidP="00AC6792">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5E9526A3" w14:textId="77777777" w:rsidR="00AC6792" w:rsidRDefault="00AC6792" w:rsidP="00AC6792">
      <w:pPr>
        <w:spacing w:after="0" w:line="240" w:lineRule="auto"/>
        <w:ind w:left="709" w:right="709"/>
        <w:contextualSpacing/>
        <w:jc w:val="both"/>
        <w:rPr>
          <w:rFonts w:ascii="Verdana" w:eastAsia="Times New Roman" w:hAnsi="Verdana" w:cs="Arial"/>
          <w:sz w:val="20"/>
          <w:szCs w:val="20"/>
          <w:lang w:val="es-ES" w:eastAsia="es-CO"/>
        </w:rPr>
      </w:pPr>
    </w:p>
    <w:p w14:paraId="1AF82D55" w14:textId="77777777" w:rsidR="00AC6792" w:rsidRPr="00BC3A80" w:rsidRDefault="00AC6792" w:rsidP="00AC6792">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3"/>
      </w:r>
    </w:p>
    <w:p w14:paraId="3DEFE1DB" w14:textId="77777777" w:rsidR="00AC6792" w:rsidRPr="00BC3A80" w:rsidRDefault="00AC6792" w:rsidP="00AC6792">
      <w:pPr>
        <w:spacing w:after="0" w:line="276" w:lineRule="auto"/>
        <w:ind w:firstLine="709"/>
        <w:jc w:val="both"/>
        <w:rPr>
          <w:rFonts w:ascii="Verdana" w:eastAsia="Times New Roman" w:hAnsi="Verdana" w:cs="Arial"/>
          <w:lang w:val="es-ES" w:eastAsia="es-CO"/>
        </w:rPr>
      </w:pPr>
    </w:p>
    <w:p w14:paraId="36B86F71" w14:textId="77777777" w:rsidR="00AC6792" w:rsidRPr="00BC3A80" w:rsidRDefault="00AC6792" w:rsidP="00AC6792">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C981692" w14:textId="77777777" w:rsidR="00AC6792" w:rsidRPr="00BC3A80" w:rsidRDefault="00AC6792" w:rsidP="00AC6792">
      <w:pPr>
        <w:spacing w:after="0" w:line="276" w:lineRule="auto"/>
        <w:ind w:firstLine="709"/>
        <w:jc w:val="both"/>
        <w:rPr>
          <w:rFonts w:ascii="Verdana" w:eastAsia="Times New Roman" w:hAnsi="Verdana" w:cs="Arial"/>
          <w:lang w:val="es-ES" w:eastAsia="es-CO"/>
        </w:rPr>
      </w:pPr>
    </w:p>
    <w:p w14:paraId="51A6B4AE" w14:textId="77777777" w:rsidR="00AC6792" w:rsidRPr="00BC3A80" w:rsidRDefault="00AC6792" w:rsidP="00AC6792">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w:t>
      </w:r>
      <w:r w:rsidRPr="00BC3A80">
        <w:rPr>
          <w:rFonts w:ascii="Verdana" w:eastAsia="Times New Roman" w:hAnsi="Verdana" w:cs="Arial"/>
          <w:sz w:val="20"/>
          <w:szCs w:val="20"/>
          <w:lang w:val="es-ES" w:eastAsia="es-CO"/>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36E68A8" w14:textId="77777777" w:rsidR="00AC6792" w:rsidRPr="00BC3A80" w:rsidRDefault="00AC6792" w:rsidP="00AC6792">
      <w:pPr>
        <w:spacing w:after="0" w:line="240" w:lineRule="auto"/>
        <w:ind w:right="709"/>
        <w:jc w:val="both"/>
        <w:rPr>
          <w:rFonts w:ascii="Verdana" w:eastAsia="Times New Roman" w:hAnsi="Verdana" w:cs="Arial"/>
          <w:lang w:val="es-ES" w:eastAsia="es-CO"/>
        </w:rPr>
      </w:pPr>
    </w:p>
    <w:p w14:paraId="3DB1A8A8" w14:textId="77777777" w:rsidR="00AC6792" w:rsidRPr="00BC3A80" w:rsidRDefault="00AC6792" w:rsidP="00AC6792">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4"/>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5"/>
      </w:r>
      <w:r w:rsidRPr="00BC3A80">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6"/>
      </w:r>
      <w:r w:rsidRPr="00BC3A80">
        <w:rPr>
          <w:rFonts w:ascii="Verdana" w:eastAsia="Times New Roman" w:hAnsi="Verdana" w:cs="Arial"/>
          <w:sz w:val="20"/>
          <w:szCs w:val="20"/>
          <w:lang w:val="es-ES" w:eastAsia="es-CO"/>
        </w:rPr>
        <w:t>.</w:t>
      </w:r>
    </w:p>
    <w:p w14:paraId="63A014A3" w14:textId="77777777" w:rsidR="00AC6792" w:rsidRPr="00BC3A80" w:rsidRDefault="00AC6792" w:rsidP="00AC6792">
      <w:pPr>
        <w:spacing w:after="0" w:line="276" w:lineRule="auto"/>
        <w:jc w:val="both"/>
        <w:rPr>
          <w:rFonts w:ascii="Verdana" w:hAnsi="Verdana" w:cs="Arial"/>
          <w:bCs/>
          <w:lang w:val="es-ES"/>
        </w:rPr>
      </w:pPr>
    </w:p>
    <w:p w14:paraId="0F44A8BB" w14:textId="77777777" w:rsidR="00AC6792" w:rsidRPr="00BC3A80" w:rsidRDefault="00AC6792" w:rsidP="00AC6792">
      <w:pPr>
        <w:spacing w:after="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809B68B" w14:textId="77777777" w:rsidR="00AC6792" w:rsidRPr="00BC3A80" w:rsidRDefault="00AC6792" w:rsidP="00AC6792">
      <w:pPr>
        <w:spacing w:after="0" w:line="276" w:lineRule="auto"/>
        <w:ind w:firstLine="709"/>
        <w:jc w:val="both"/>
        <w:rPr>
          <w:rFonts w:ascii="Verdana" w:eastAsia="Arial" w:hAnsi="Verdana" w:cs="Arial"/>
          <w:lang w:val="es-ES" w:eastAsia="es-ES" w:bidi="es-ES"/>
        </w:rPr>
      </w:pPr>
    </w:p>
    <w:p w14:paraId="07ACDD93" w14:textId="77777777" w:rsidR="00AC6792" w:rsidRPr="00BC3A80" w:rsidRDefault="00AC6792" w:rsidP="00AC6792">
      <w:pPr>
        <w:spacing w:after="120" w:line="276" w:lineRule="auto"/>
        <w:jc w:val="both"/>
        <w:rPr>
          <w:rFonts w:ascii="Verdana" w:eastAsia="Arial" w:hAnsi="Verdana" w:cs="Arial"/>
          <w:lang w:val="es-ES" w:eastAsia="es-ES" w:bidi="es-ES"/>
        </w:rPr>
      </w:pPr>
      <w:r w:rsidRPr="00BC3A80">
        <w:rPr>
          <w:rFonts w:ascii="Verdana" w:eastAsia="Arial" w:hAnsi="Verdana" w:cs="Arial"/>
          <w:lang w:val="es-ES" w:eastAsia="es-ES" w:bidi="es-ES"/>
        </w:rPr>
        <w:t xml:space="preserve">ii. 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0DBCF32C" w14:textId="77777777" w:rsidR="00AC6792" w:rsidRPr="00BC3A80" w:rsidRDefault="00AC6792" w:rsidP="00AC6792">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xml:space="preserve">, salvo “[…] lo referente a la </w:t>
      </w:r>
      <w:r w:rsidRPr="00BC3A80">
        <w:rPr>
          <w:rFonts w:ascii="Verdana" w:hAnsi="Verdana" w:cs="Arial"/>
          <w:lang w:val="es-ES"/>
        </w:rPr>
        <w:lastRenderedPageBreak/>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7"/>
      </w:r>
      <w:r w:rsidRPr="00BC3A80">
        <w:rPr>
          <w:rFonts w:ascii="Verdana" w:hAnsi="Verdana" w:cs="Arial"/>
          <w:lang w:val="es-ES"/>
        </w:rPr>
        <w:t>.</w:t>
      </w:r>
    </w:p>
    <w:p w14:paraId="24C99D40" w14:textId="77777777" w:rsidR="00AC6792" w:rsidRPr="00BC3A80" w:rsidRDefault="00AC6792" w:rsidP="00AC6792">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C3A80">
        <w:rPr>
          <w:rFonts w:ascii="Verdana" w:hAnsi="Verdana" w:cs="Arial"/>
          <w:vertAlign w:val="superscript"/>
          <w:lang w:val="es-ES"/>
        </w:rPr>
        <w:footnoteReference w:id="8"/>
      </w:r>
      <w:r w:rsidRPr="00BC3A80">
        <w:rPr>
          <w:rFonts w:ascii="Verdana" w:hAnsi="Verdana" w:cs="Arial"/>
          <w:lang w:val="es-ES"/>
        </w:rPr>
        <w:t>.</w:t>
      </w:r>
      <w:r w:rsidRPr="00BC3A80">
        <w:rPr>
          <w:rFonts w:ascii="Verdana" w:eastAsia="Arial" w:hAnsi="Verdana" w:cs="Arial"/>
          <w:lang w:val="es-ES" w:eastAsia="es-ES" w:bidi="es-ES"/>
        </w:rPr>
        <w:t xml:space="preserve"> </w:t>
      </w:r>
    </w:p>
    <w:p w14:paraId="65A277EA" w14:textId="77777777" w:rsidR="00AC6792" w:rsidRPr="00BC3A80" w:rsidRDefault="00AC6792" w:rsidP="00AC679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4DF39C8" w14:textId="77777777" w:rsidR="00AC6792" w:rsidRPr="00BC3A80" w:rsidRDefault="00AC6792" w:rsidP="00AC679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2B8651B" w14:textId="77777777" w:rsidR="00AC6792" w:rsidRPr="00BC3A80" w:rsidRDefault="00AC6792" w:rsidP="00AC679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w:t>
      </w:r>
      <w:r w:rsidRPr="00BC3A80">
        <w:rPr>
          <w:rFonts w:ascii="Verdana" w:eastAsia="Arial" w:hAnsi="Verdana" w:cs="Arial"/>
          <w:sz w:val="20"/>
          <w:szCs w:val="20"/>
          <w:lang w:val="es-ES" w:eastAsia="es-ES" w:bidi="es-ES"/>
        </w:rPr>
        <w:lastRenderedPageBreak/>
        <w:t>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9"/>
      </w:r>
      <w:r w:rsidRPr="00BC3A80">
        <w:rPr>
          <w:rFonts w:ascii="Verdana" w:eastAsia="Arial" w:hAnsi="Verdana" w:cs="Arial"/>
          <w:sz w:val="20"/>
          <w:szCs w:val="20"/>
          <w:lang w:val="es-ES" w:eastAsia="es-ES" w:bidi="es-ES"/>
        </w:rPr>
        <w:t>”.</w:t>
      </w:r>
    </w:p>
    <w:p w14:paraId="170B802C" w14:textId="77777777" w:rsidR="00AC6792" w:rsidRPr="00BC3A80" w:rsidRDefault="00AC6792" w:rsidP="00AC6792">
      <w:pPr>
        <w:widowControl w:val="0"/>
        <w:autoSpaceDE w:val="0"/>
        <w:autoSpaceDN w:val="0"/>
        <w:spacing w:after="0" w:line="276" w:lineRule="auto"/>
        <w:contextualSpacing/>
        <w:rPr>
          <w:rFonts w:ascii="Verdana" w:eastAsia="Arial" w:hAnsi="Verdana" w:cs="Arial"/>
          <w:lang w:val="es-ES" w:eastAsia="es-ES" w:bidi="es-ES"/>
        </w:rPr>
      </w:pPr>
    </w:p>
    <w:p w14:paraId="2F40D6C7" w14:textId="77777777" w:rsidR="00AC6792" w:rsidRPr="00BC3A80" w:rsidRDefault="00AC6792" w:rsidP="00AC6792">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para los sujetos señalados en la disposición</w:t>
      </w:r>
      <w:r w:rsidRPr="00BC3A80">
        <w:rPr>
          <w:rFonts w:ascii="Verdana" w:eastAsia="Arial" w:hAnsi="Verdana" w:cs="Arial"/>
          <w:lang w:val="es-ES" w:eastAsia="es-ES" w:bidi="es-ES"/>
        </w:rPr>
        <w:t>.</w:t>
      </w:r>
    </w:p>
    <w:p w14:paraId="657C4C02" w14:textId="77777777" w:rsidR="00AC6792" w:rsidRPr="00BC3A80" w:rsidRDefault="00AC6792" w:rsidP="00AC6792">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6C7CE003" w14:textId="77777777" w:rsidR="00AC6792" w:rsidRPr="00CD77EE" w:rsidRDefault="00AC6792" w:rsidP="00AC6792">
      <w:pPr>
        <w:spacing w:after="120" w:line="276" w:lineRule="auto"/>
        <w:ind w:firstLine="709"/>
        <w:jc w:val="both"/>
        <w:rPr>
          <w:rFonts w:ascii="Verdana" w:hAnsi="Verdana" w:cs="Arial"/>
          <w:bCs/>
          <w:color w:val="000000" w:themeColor="text1"/>
          <w:lang w:val="es-ES"/>
        </w:rPr>
      </w:pPr>
      <w:r w:rsidRPr="00CD77EE">
        <w:rPr>
          <w:rFonts w:ascii="Verdana" w:eastAsia="Arial" w:hAnsi="Verdana" w:cs="Arial"/>
          <w:bCs/>
          <w:color w:val="000000" w:themeColor="text1"/>
          <w:lang w:val="es-ES"/>
        </w:rPr>
        <w:lastRenderedPageBreak/>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CD77EE">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0DAAB387" w14:textId="77777777" w:rsidR="00AC6792" w:rsidRPr="00CD77EE" w:rsidRDefault="00AC6792" w:rsidP="00AC6792">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1) La contratación referente a la defensa y seguridad del Estado;</w:t>
      </w:r>
    </w:p>
    <w:p w14:paraId="68B5ECD3" w14:textId="77777777" w:rsidR="00AC6792" w:rsidRPr="00CD77EE" w:rsidRDefault="00AC6792" w:rsidP="00AC6792">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2) Los contratos de crédito público;</w:t>
      </w:r>
    </w:p>
    <w:p w14:paraId="264B4FFE" w14:textId="77777777" w:rsidR="00AC6792" w:rsidRPr="00CD77EE" w:rsidRDefault="00AC6792" w:rsidP="00AC6792">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3) Los contratos requeridos para cubrir las emergencias educativas, sanitarias y desastres; </w:t>
      </w:r>
    </w:p>
    <w:p w14:paraId="324887FC" w14:textId="77777777" w:rsidR="00AC6792" w:rsidRPr="00CD77EE" w:rsidRDefault="00AC6792" w:rsidP="00AC6792">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239597AE" w14:textId="77777777" w:rsidR="00AC6792" w:rsidRPr="00CD77EE" w:rsidRDefault="00AC6792" w:rsidP="00AC6792">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5) La contratación que deban realizar las entidades sanitarias y hospitalarias. </w:t>
      </w:r>
    </w:p>
    <w:p w14:paraId="3CE8AC7A" w14:textId="77777777" w:rsidR="00AC6792" w:rsidRPr="00407C12" w:rsidRDefault="00AC6792" w:rsidP="00AC6792">
      <w:pPr>
        <w:tabs>
          <w:tab w:val="left" w:pos="426"/>
        </w:tabs>
        <w:spacing w:before="120" w:after="0" w:line="276" w:lineRule="auto"/>
        <w:ind w:firstLine="709"/>
        <w:jc w:val="both"/>
        <w:rPr>
          <w:rFonts w:ascii="Verdana" w:hAnsi="Verdana" w:cs="Arial"/>
          <w:bCs/>
          <w:color w:val="000000" w:themeColor="text1"/>
          <w:lang w:val="es-ES"/>
        </w:rPr>
      </w:pPr>
      <w:r w:rsidRPr="00407C12">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452D9BFD" w14:textId="77777777" w:rsidR="00AC6792" w:rsidRPr="00407C12" w:rsidRDefault="00AC6792" w:rsidP="00AC6792">
      <w:pPr>
        <w:tabs>
          <w:tab w:val="left" w:pos="426"/>
        </w:tabs>
        <w:spacing w:after="0" w:line="240" w:lineRule="auto"/>
        <w:ind w:firstLine="709"/>
        <w:jc w:val="both"/>
        <w:rPr>
          <w:rFonts w:ascii="Verdana" w:hAnsi="Verdana" w:cs="Arial"/>
          <w:bCs/>
          <w:color w:val="000000" w:themeColor="text1"/>
          <w:lang w:val="es-ES"/>
        </w:rPr>
      </w:pPr>
    </w:p>
    <w:p w14:paraId="01C60052" w14:textId="77777777" w:rsidR="00AC6792" w:rsidRPr="00407C12" w:rsidRDefault="00AC6792" w:rsidP="00AC6792">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407C12">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07C12">
        <w:rPr>
          <w:rFonts w:ascii="Verdana" w:hAnsi="Verdana" w:cs="Arial"/>
          <w:color w:val="000000" w:themeColor="text1"/>
          <w:sz w:val="20"/>
          <w:szCs w:val="20"/>
          <w:vertAlign w:val="superscript"/>
          <w:lang w:val="es-ES" w:eastAsia="es-CO"/>
        </w:rPr>
        <w:footnoteReference w:id="10"/>
      </w:r>
      <w:r w:rsidRPr="00407C12">
        <w:rPr>
          <w:rFonts w:ascii="Verdana" w:hAnsi="Verdana" w:cs="Arial"/>
          <w:color w:val="000000" w:themeColor="text1"/>
          <w:sz w:val="20"/>
          <w:szCs w:val="20"/>
          <w:lang w:val="es-ES" w:eastAsia="es-CO"/>
        </w:rPr>
        <w:t xml:space="preserve">”. </w:t>
      </w:r>
    </w:p>
    <w:p w14:paraId="2407013D" w14:textId="77777777" w:rsidR="00AC6792" w:rsidRPr="00DF0C0C" w:rsidRDefault="00AC6792" w:rsidP="00AC6792">
      <w:pPr>
        <w:shd w:val="clear" w:color="auto" w:fill="FFFFFF"/>
        <w:spacing w:after="0" w:line="240" w:lineRule="auto"/>
        <w:ind w:left="709" w:right="709"/>
        <w:jc w:val="both"/>
        <w:rPr>
          <w:rFonts w:ascii="Verdana" w:hAnsi="Verdana" w:cs="Arial"/>
          <w:color w:val="000000" w:themeColor="text1"/>
          <w:sz w:val="20"/>
          <w:szCs w:val="20"/>
          <w:highlight w:val="cyan"/>
          <w:lang w:val="es-ES" w:eastAsia="es-CO"/>
        </w:rPr>
      </w:pPr>
    </w:p>
    <w:p w14:paraId="3BC74486" w14:textId="77777777" w:rsidR="00AC6792" w:rsidRPr="00DF0C0C" w:rsidRDefault="00AC6792" w:rsidP="00AC6792">
      <w:pPr>
        <w:tabs>
          <w:tab w:val="left" w:pos="426"/>
          <w:tab w:val="left" w:pos="3402"/>
        </w:tabs>
        <w:spacing w:after="120" w:line="276" w:lineRule="auto"/>
        <w:ind w:firstLine="709"/>
        <w:jc w:val="both"/>
        <w:rPr>
          <w:rFonts w:ascii="Verdana" w:hAnsi="Verdana" w:cs="Arial"/>
          <w:color w:val="000000" w:themeColor="text1"/>
          <w:highlight w:val="cyan"/>
          <w:shd w:val="clear" w:color="auto" w:fill="FFFFFF"/>
          <w:lang w:val="es-ES"/>
        </w:rPr>
      </w:pPr>
      <w:r w:rsidRPr="00DD40AB">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DD40AB">
        <w:rPr>
          <w:rFonts w:ascii="Verdana" w:hAnsi="Verdana" w:cs="Arial"/>
          <w:bCs/>
          <w:color w:val="000000" w:themeColor="text1"/>
          <w:lang w:val="es-ES"/>
        </w:rPr>
        <w:t xml:space="preserve">ey de </w:t>
      </w:r>
      <w:r>
        <w:rPr>
          <w:rFonts w:ascii="Verdana" w:hAnsi="Verdana" w:cs="Arial"/>
          <w:bCs/>
          <w:color w:val="000000" w:themeColor="text1"/>
          <w:lang w:val="es-ES"/>
        </w:rPr>
        <w:t>G</w:t>
      </w:r>
      <w:r w:rsidRPr="00DD40AB">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DD40AB">
        <w:rPr>
          <w:rFonts w:ascii="Verdana" w:hAnsi="Verdana" w:cs="Arial"/>
          <w:bCs/>
          <w:color w:val="000000" w:themeColor="text1"/>
          <w:lang w:val="es-ES"/>
        </w:rPr>
        <w:t xml:space="preserve">lectorales tienen por finalidad garantizar la realización ininterrumpida de ciertas actividades que, dada su importancia en el orden interno, se verían irrazonablemente afectadas por la restricción. De igual forma, la Sala de Consulta y Servicio Civil del Consejo de Estado, en </w:t>
      </w:r>
      <w:r w:rsidRPr="00DD40AB">
        <w:rPr>
          <w:rFonts w:ascii="Verdana" w:hAnsi="Verdana" w:cs="Arial"/>
          <w:bCs/>
          <w:color w:val="000000" w:themeColor="text1"/>
          <w:lang w:val="es-ES"/>
        </w:rPr>
        <w:lastRenderedPageBreak/>
        <w:t>concepto del 2 de septiembre de 2013</w:t>
      </w:r>
      <w:r w:rsidRPr="00DD40AB">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D40AB">
        <w:rPr>
          <w:rFonts w:ascii="Verdana" w:hAnsi="Verdana" w:cs="Arial"/>
          <w:i/>
          <w:color w:val="000000" w:themeColor="text1"/>
          <w:lang w:val="es-ES"/>
        </w:rPr>
        <w:t xml:space="preserve">Las excepciones aplicables a la restricción de contratación pública. </w:t>
      </w:r>
      <w:r w:rsidRPr="00DD40AB">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DD40AB">
        <w:rPr>
          <w:rFonts w:ascii="Verdana" w:hAnsi="Verdana" w:cs="Arial"/>
          <w:color w:val="000000" w:themeColor="text1"/>
          <w:shd w:val="clear" w:color="auto" w:fill="FFFFFF"/>
          <w:vertAlign w:val="superscript"/>
          <w:lang w:val="es-ES"/>
        </w:rPr>
        <w:footnoteReference w:id="11"/>
      </w:r>
      <w:r w:rsidRPr="00DD40AB">
        <w:rPr>
          <w:rFonts w:ascii="Verdana" w:hAnsi="Verdana" w:cs="Arial"/>
          <w:color w:val="000000" w:themeColor="text1"/>
          <w:shd w:val="clear" w:color="auto" w:fill="FFFFFF"/>
          <w:lang w:val="es-ES"/>
        </w:rPr>
        <w:t>.</w:t>
      </w:r>
    </w:p>
    <w:p w14:paraId="669C9E78" w14:textId="77777777" w:rsidR="00AC6792" w:rsidRPr="009E6635" w:rsidRDefault="00AC6792" w:rsidP="00AC6792">
      <w:pPr>
        <w:tabs>
          <w:tab w:val="left" w:pos="426"/>
        </w:tabs>
        <w:spacing w:after="120" w:line="276" w:lineRule="auto"/>
        <w:ind w:firstLine="709"/>
        <w:jc w:val="both"/>
        <w:rPr>
          <w:rFonts w:ascii="Verdana" w:hAnsi="Verdana" w:cs="Arial"/>
          <w:bCs/>
          <w:color w:val="000000" w:themeColor="text1"/>
          <w:lang w:val="es-ES"/>
        </w:rPr>
      </w:pPr>
      <w:r w:rsidRPr="009E6635">
        <w:rPr>
          <w:rFonts w:ascii="Verdana" w:hAnsi="Verdana" w:cs="Arial"/>
          <w:bCs/>
          <w:color w:val="000000" w:themeColor="text1"/>
          <w:lang w:val="es-ES"/>
        </w:rPr>
        <w:t xml:space="preserve">Lo anterior implica que las excepciones al artículo 33 en comento deben interpretarse y aplicarse de manera </w:t>
      </w:r>
      <w:r w:rsidRPr="009E6635">
        <w:rPr>
          <w:rFonts w:ascii="Verdana" w:hAnsi="Verdana" w:cs="Arial"/>
          <w:bCs/>
          <w:i/>
          <w:iCs/>
          <w:color w:val="000000" w:themeColor="text1"/>
          <w:lang w:val="es-ES"/>
        </w:rPr>
        <w:t>estricta</w:t>
      </w:r>
      <w:r w:rsidRPr="009E6635">
        <w:rPr>
          <w:rFonts w:ascii="Verdana" w:hAnsi="Verdana" w:cs="Arial"/>
          <w:bCs/>
          <w:color w:val="000000" w:themeColor="text1"/>
          <w:lang w:val="es-ES"/>
        </w:rPr>
        <w:t>. En otras palabras, no es factible hacer interpretaciones extensivas</w:t>
      </w:r>
      <w:r w:rsidRPr="009E6635">
        <w:rPr>
          <w:rFonts w:ascii="Verdana" w:hAnsi="Verdana" w:cs="Arial"/>
          <w:bCs/>
          <w:i/>
          <w:iCs/>
          <w:color w:val="000000" w:themeColor="text1"/>
          <w:lang w:val="es-ES"/>
        </w:rPr>
        <w:t xml:space="preserve"> </w:t>
      </w:r>
      <w:r w:rsidRPr="009E663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17860F9" w14:textId="2D1B401A" w:rsidR="00AC6792" w:rsidRDefault="00AC6792" w:rsidP="00AC6792">
      <w:pPr>
        <w:spacing w:after="120" w:line="276" w:lineRule="auto"/>
        <w:ind w:firstLine="709"/>
        <w:jc w:val="both"/>
        <w:rPr>
          <w:rFonts w:ascii="Verdana" w:hAnsi="Verdana" w:cs="Arial"/>
          <w:bCs/>
          <w:color w:val="000000" w:themeColor="text1"/>
        </w:rPr>
      </w:pPr>
      <w:r w:rsidRPr="009E6635">
        <w:rPr>
          <w:rFonts w:ascii="Verdana" w:hAnsi="Verdana" w:cs="Arial"/>
          <w:bCs/>
          <w:color w:val="000000" w:themeColor="text1"/>
          <w:lang w:val="es-ES"/>
        </w:rPr>
        <w:t xml:space="preserve">Particularmente, </w:t>
      </w:r>
      <w:r w:rsidRPr="004F51CF">
        <w:rPr>
          <w:rFonts w:ascii="Verdana" w:hAnsi="Verdana" w:cs="Arial"/>
          <w:bCs/>
          <w:color w:val="000000" w:themeColor="text1"/>
        </w:rPr>
        <w:t>al confrontar el catálogo de excepciones con</w:t>
      </w:r>
      <w:r>
        <w:rPr>
          <w:rFonts w:ascii="Verdana" w:hAnsi="Verdana" w:cs="Arial"/>
          <w:bCs/>
          <w:color w:val="000000" w:themeColor="text1"/>
        </w:rPr>
        <w:t xml:space="preserve"> </w:t>
      </w:r>
      <w:r>
        <w:rPr>
          <w:rFonts w:ascii="Verdana" w:hAnsi="Verdana" w:cs="Arial"/>
          <w:bCs/>
          <w:color w:val="000000" w:themeColor="text1"/>
          <w:lang w:val="es-ES"/>
        </w:rPr>
        <w:t>los</w:t>
      </w:r>
      <w:r w:rsidRPr="009E6635">
        <w:rPr>
          <w:rFonts w:ascii="Verdana" w:hAnsi="Verdana" w:cs="Arial"/>
          <w:bCs/>
          <w:color w:val="000000" w:themeColor="text1"/>
          <w:lang w:val="es-ES"/>
        </w:rPr>
        <w:t xml:space="preserve"> contratos </w:t>
      </w:r>
      <w:r>
        <w:rPr>
          <w:rFonts w:ascii="Verdana" w:hAnsi="Verdana" w:cs="Arial"/>
          <w:bCs/>
          <w:color w:val="000000" w:themeColor="text1"/>
        </w:rPr>
        <w:t>directos</w:t>
      </w:r>
      <w:r w:rsidRPr="00BA1157">
        <w:rPr>
          <w:rFonts w:ascii="Verdana" w:hAnsi="Verdana" w:cs="Arial"/>
          <w:bCs/>
          <w:color w:val="000000" w:themeColor="text1"/>
        </w:rPr>
        <w:t xml:space="preserve"> —particularmente los contratos de prestación de servicios profesionales y/o de apoyo a la gestión</w:t>
      </w:r>
      <w:r w:rsidR="00EF3229">
        <w:rPr>
          <w:rFonts w:ascii="Verdana" w:hAnsi="Verdana" w:cs="Arial"/>
          <w:bCs/>
          <w:color w:val="000000" w:themeColor="text1"/>
        </w:rPr>
        <w:t xml:space="preserve"> para salvaguardar la protección que brinda el fuero de maternidad</w:t>
      </w:r>
      <w:r w:rsidRPr="00BA1157">
        <w:rPr>
          <w:rFonts w:ascii="Verdana" w:hAnsi="Verdana" w:cs="Arial"/>
          <w:bCs/>
          <w:color w:val="000000" w:themeColor="text1"/>
        </w:rPr>
        <w:t>—</w:t>
      </w:r>
      <w:r>
        <w:rPr>
          <w:rFonts w:ascii="Verdana" w:hAnsi="Verdana" w:cs="Arial"/>
          <w:bCs/>
          <w:color w:val="000000" w:themeColor="text1"/>
        </w:rPr>
        <w:t xml:space="preserve"> a los que se hace referencia en la presente solicitud, </w:t>
      </w:r>
      <w:r w:rsidRPr="00093CA0">
        <w:rPr>
          <w:rFonts w:ascii="Verdana" w:hAnsi="Verdana" w:cs="Arial"/>
          <w:bCs/>
          <w:color w:val="000000" w:themeColor="text1"/>
        </w:rPr>
        <w:t>se advierte que dichos contratos no encuadran en ninguno de los supuestos exceptuados por el inciso segundo del artículo 33 de la Ley 996 de 2005. 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p>
    <w:p w14:paraId="33BA6540" w14:textId="5AFE288F" w:rsidR="00AC6792" w:rsidRDefault="00AC6792" w:rsidP="005E39D8">
      <w:pPr>
        <w:spacing w:after="120" w:line="276" w:lineRule="auto"/>
        <w:ind w:firstLine="709"/>
        <w:jc w:val="both"/>
        <w:rPr>
          <w:rFonts w:ascii="Verdana" w:hAnsi="Verdana" w:cs="Arial"/>
          <w:lang w:val="es-ES"/>
        </w:rPr>
      </w:pPr>
      <w:r w:rsidRPr="00C02EAA">
        <w:rPr>
          <w:rFonts w:ascii="Verdana" w:hAnsi="Verdana" w:cs="Arial"/>
        </w:rPr>
        <w:t xml:space="preserve">En conclusión, la interpretación restrictiva de las prohibiciones previstas en el artículo 33 de la Ley 996 de 2005, sumada al deber constitucional de garantizar la estabilidad </w:t>
      </w:r>
      <w:r w:rsidR="00EF3229">
        <w:rPr>
          <w:rFonts w:ascii="Verdana" w:hAnsi="Verdana" w:cs="Arial"/>
        </w:rPr>
        <w:t xml:space="preserve">ocupacional </w:t>
      </w:r>
      <w:r w:rsidRPr="00C02EAA">
        <w:rPr>
          <w:rFonts w:ascii="Verdana" w:hAnsi="Verdana" w:cs="Arial"/>
        </w:rPr>
        <w:t xml:space="preserve">reforzada derivada del fuero de maternidad, permite afirmar que las entidades públicas deben adoptar medidas contractuales previas al periodo de restricciones electorales que aseguren la continuidad en la prestación del servicio por parte de las contratistas amparadas por dicha protección. Esta conclusión se ajusta a la doctrina jurisprudencial reciente del Consejo de Estado y de la Corte Constitucional, que han reiterado que la estabilidad reforzada es plenamente exigible en los contratos de </w:t>
      </w:r>
      <w:r w:rsidRPr="00C02EAA">
        <w:rPr>
          <w:rFonts w:ascii="Verdana" w:hAnsi="Verdana" w:cs="Arial"/>
        </w:rPr>
        <w:lastRenderedPageBreak/>
        <w:t xml:space="preserve">prestación de servicios cuando subsiste la necesidad del servicio y existe conocimiento del embarazo. Por lo tanto, la celebración o perfeccionamiento previo de mecanismos contractuales permitidos —como prórrogas o adiciones dentro de los límites legales— no solo es jurídicamente viable, sino que constituye la actuación debida para armonizar el cumplimiento de la Ley de Garantías </w:t>
      </w:r>
      <w:r w:rsidR="00E17513">
        <w:rPr>
          <w:rFonts w:ascii="Verdana" w:hAnsi="Verdana" w:cs="Arial"/>
        </w:rPr>
        <w:t xml:space="preserve">Electorales </w:t>
      </w:r>
      <w:r w:rsidRPr="00C02EAA">
        <w:rPr>
          <w:rFonts w:ascii="Verdana" w:hAnsi="Verdana" w:cs="Arial"/>
        </w:rPr>
        <w:t>con la obligación superior de evitar tratos discriminatorios y asegurar la protección reforzada de la maternidad.</w:t>
      </w:r>
    </w:p>
    <w:p w14:paraId="10CB125B" w14:textId="77777777" w:rsidR="00AC6792" w:rsidRPr="00BC3A80" w:rsidRDefault="00AC6792" w:rsidP="00AC6792">
      <w:pPr>
        <w:spacing w:after="0" w:line="276" w:lineRule="auto"/>
        <w:ind w:firstLine="708"/>
        <w:jc w:val="both"/>
        <w:rPr>
          <w:rFonts w:ascii="Verdana" w:hAnsi="Verdana" w:cs="Arial"/>
          <w:bCs/>
          <w:color w:val="000000" w:themeColor="text1"/>
        </w:rPr>
      </w:pPr>
      <w:r w:rsidRPr="00BC3A80">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98BF92F" w14:textId="77777777" w:rsidR="00AC6792" w:rsidRPr="00BC3A80" w:rsidRDefault="00AC6792" w:rsidP="00AC6792">
      <w:pPr>
        <w:spacing w:after="0" w:line="276" w:lineRule="auto"/>
        <w:ind w:firstLine="708"/>
        <w:jc w:val="both"/>
        <w:rPr>
          <w:rFonts w:ascii="Verdana" w:hAnsi="Verdana" w:cs="Arial"/>
          <w:bCs/>
          <w:color w:val="000000" w:themeColor="text1"/>
        </w:rPr>
      </w:pPr>
    </w:p>
    <w:p w14:paraId="69E36EE4" w14:textId="77777777" w:rsidR="00AC6792" w:rsidRPr="00BC3A80" w:rsidRDefault="00AC6792" w:rsidP="00AC6792">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Referencias normativas:</w:t>
      </w:r>
    </w:p>
    <w:p w14:paraId="55221378" w14:textId="77777777" w:rsidR="00AC6792" w:rsidRPr="00BC3A80" w:rsidRDefault="00AC6792" w:rsidP="00AC6792">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6792" w:rsidRPr="00BC3A80" w14:paraId="6D2541D9" w14:textId="77777777" w:rsidTr="00A5756B">
        <w:trPr>
          <w:trHeight w:val="491"/>
          <w:jc w:val="center"/>
        </w:trPr>
        <w:tc>
          <w:tcPr>
            <w:tcW w:w="8647" w:type="dxa"/>
          </w:tcPr>
          <w:p w14:paraId="1751B8FD" w14:textId="77777777" w:rsidR="00AC6792" w:rsidRPr="00BC3A80" w:rsidRDefault="00AC6792" w:rsidP="00AC6792">
            <w:pPr>
              <w:widowControl w:val="0"/>
              <w:numPr>
                <w:ilvl w:val="0"/>
                <w:numId w:val="17"/>
              </w:numPr>
              <w:autoSpaceDE w:val="0"/>
              <w:autoSpaceDN w:val="0"/>
              <w:spacing w:before="120" w:after="120"/>
              <w:jc w:val="both"/>
              <w:rPr>
                <w:rFonts w:ascii="Verdana" w:eastAsia="Arial MT" w:hAnsi="Verdana" w:cs="Arial"/>
                <w:lang w:val="es-ES" w:eastAsia="es-ES" w:bidi="es-ES"/>
              </w:rPr>
            </w:pPr>
            <w:r w:rsidRPr="00BC3A80">
              <w:rPr>
                <w:rFonts w:ascii="Verdana" w:eastAsia="Arial MT" w:hAnsi="Verdana" w:cs="Arial"/>
                <w:lang w:val="es-ES" w:eastAsia="es-ES" w:bidi="es-ES"/>
              </w:rPr>
              <w:t>Constitución Política, artículo 127.</w:t>
            </w:r>
          </w:p>
          <w:p w14:paraId="353285F2" w14:textId="77777777" w:rsidR="00AC6792" w:rsidRPr="00BC3A80" w:rsidRDefault="00AC6792" w:rsidP="00AC6792">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eastAsia="Arial MT" w:hAnsi="Verdana" w:cs="Arial"/>
                <w:bCs/>
                <w:lang w:val="es-ES" w:eastAsia="es-ES" w:bidi="es-ES"/>
              </w:rPr>
              <w:t>Ley 996 de 2005, artículos 33 y 38.</w:t>
            </w:r>
          </w:p>
          <w:p w14:paraId="6E496C0E" w14:textId="77777777" w:rsidR="00AC6792" w:rsidRPr="00BC3A80" w:rsidRDefault="00AC6792" w:rsidP="00AC6792">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hAnsi="Verdana" w:cs="Arial"/>
                <w:bCs/>
                <w:color w:val="000000" w:themeColor="text1"/>
                <w:lang w:val="es-ES"/>
              </w:rPr>
              <w:t>Decreto 1068 de 2015, artículo 2.2.1.1.1.</w:t>
            </w:r>
          </w:p>
          <w:p w14:paraId="11C33872" w14:textId="77777777" w:rsidR="00AC6792" w:rsidRPr="00BC3A80" w:rsidRDefault="00AC6792" w:rsidP="00AC6792">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Sección Primera. Sentencia de 3 de marzo de 2005, Exp. 2004-00823-01(PI). </w:t>
            </w:r>
          </w:p>
          <w:p w14:paraId="09591B80" w14:textId="77777777" w:rsidR="00AC6792" w:rsidRPr="00BC3A80" w:rsidRDefault="00AC6792" w:rsidP="00AC6792">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Sala de Consulta y Servicio Civil, Concepto de fecha 24 de julio de 2013, Rad. 2166, C. P. Álvaro Namén Vargas. </w:t>
            </w:r>
          </w:p>
          <w:p w14:paraId="3A80A5D0" w14:textId="77777777" w:rsidR="00AC6792" w:rsidRPr="00BC3A80" w:rsidRDefault="00AC6792" w:rsidP="00AC6792">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15 de noviembre de 2007. Expediente número 1863. Consejero Ponente: Luis Fernando Álvarez Jaramillo</w:t>
            </w:r>
          </w:p>
          <w:p w14:paraId="7465EBC2" w14:textId="77777777" w:rsidR="00AC6792" w:rsidRPr="00BC3A80" w:rsidRDefault="00AC6792" w:rsidP="00AC6792">
            <w:pPr>
              <w:numPr>
                <w:ilvl w:val="0"/>
                <w:numId w:val="17"/>
              </w:numPr>
              <w:spacing w:before="120" w:after="120" w:line="276" w:lineRule="auto"/>
              <w:jc w:val="both"/>
              <w:rPr>
                <w:rFonts w:ascii="Verdana" w:hAnsi="Verdana" w:cs="Arial"/>
                <w:lang w:val="es-ES"/>
              </w:rPr>
            </w:pPr>
            <w:r w:rsidRPr="00BC3A80">
              <w:rPr>
                <w:rFonts w:ascii="Verdana" w:hAnsi="Verdana" w:cs="Arial"/>
                <w:lang w:val="es-ES"/>
              </w:rPr>
              <w:t>Consejo de Estado. Sala de Consulta y Servicio Civil. Concepto del 17 de febrero de 2015. C.P. William Zambrano Cetina. Radicación No. 11001-03-06-000-2015-00164-00(2269).</w:t>
            </w:r>
          </w:p>
          <w:p w14:paraId="05127175" w14:textId="77777777" w:rsidR="00AC6792" w:rsidRPr="00BC3A80" w:rsidRDefault="00AC6792" w:rsidP="00AC6792">
            <w:pPr>
              <w:numPr>
                <w:ilvl w:val="0"/>
                <w:numId w:val="17"/>
              </w:numPr>
              <w:spacing w:before="120" w:after="120" w:line="276" w:lineRule="auto"/>
              <w:jc w:val="both"/>
              <w:rPr>
                <w:rFonts w:ascii="Verdana" w:hAnsi="Verdana" w:cs="Arial"/>
                <w:lang w:val="es-ES"/>
              </w:rPr>
            </w:pPr>
            <w:r w:rsidRPr="00BC3A80">
              <w:rPr>
                <w:rFonts w:ascii="Verdana" w:hAnsi="Verdana" w:cs="Arial"/>
                <w:lang w:val="es-ES"/>
              </w:rPr>
              <w:lastRenderedPageBreak/>
              <w:t>Consejo de Estado, Sala de Consulta y Servicio Civil, Concepto de fecha 8 de mayo de 2018, No. 2382. C. P. Álvaro Namén Vargas.</w:t>
            </w:r>
          </w:p>
          <w:p w14:paraId="2F975246" w14:textId="77777777" w:rsidR="00AC6792" w:rsidRPr="00BC3A80" w:rsidRDefault="00AC6792" w:rsidP="00AC6792">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2 de septiembre de 2013 Radicado No: 2168. CP: Alvaro Namén Vargas.</w:t>
            </w:r>
          </w:p>
          <w:p w14:paraId="5B3C06D1" w14:textId="77777777" w:rsidR="00AC6792" w:rsidRPr="003346AD" w:rsidRDefault="00AC6792" w:rsidP="00AC6792">
            <w:pPr>
              <w:widowControl w:val="0"/>
              <w:numPr>
                <w:ilvl w:val="0"/>
                <w:numId w:val="17"/>
              </w:numPr>
              <w:autoSpaceDE w:val="0"/>
              <w:autoSpaceDN w:val="0"/>
              <w:spacing w:after="120" w:line="276" w:lineRule="auto"/>
              <w:jc w:val="both"/>
              <w:rPr>
                <w:rFonts w:ascii="Verdana" w:hAnsi="Verdana" w:cs="Arial"/>
                <w:lang w:val="es-ES"/>
              </w:rPr>
            </w:pPr>
            <w:r w:rsidRPr="00E42998">
              <w:rPr>
                <w:rFonts w:ascii="Verdana" w:hAnsi="Verdana" w:cs="Arial"/>
              </w:rPr>
              <w:t xml:space="preserve">Consejo de Estado, Sección Tercera. Auto del 4 de octubre de 2024. </w:t>
            </w:r>
            <w:r w:rsidRPr="00BC3A80">
              <w:rPr>
                <w:rFonts w:ascii="Verdana" w:hAnsi="Verdana" w:cs="Arial"/>
                <w:lang w:val="pt-BR"/>
              </w:rPr>
              <w:t>Exp. 70.313. C.P: Fredy Ibarra Martínez.</w:t>
            </w:r>
          </w:p>
          <w:p w14:paraId="28DE7364" w14:textId="77777777" w:rsidR="00AC6792" w:rsidRPr="00C71E4F" w:rsidRDefault="00AC6792" w:rsidP="00AC6792">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78FD99A4" w14:textId="77777777" w:rsidR="00AC6792" w:rsidRPr="00BC3A80" w:rsidRDefault="00AC6792" w:rsidP="00AC6792">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lang w:val="pt-BR"/>
              </w:rPr>
              <w:t>Corte Constitucional. Sentencia C-671 de 2015. M.P. Alberto Rojas Ríos</w:t>
            </w:r>
          </w:p>
          <w:p w14:paraId="33FC325F" w14:textId="77777777" w:rsidR="00AC6792" w:rsidRPr="00BC3A80" w:rsidRDefault="00AC6792" w:rsidP="00AC6792">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rPr>
              <w:t xml:space="preserve">Circular Externa No. 006 de 2025 </w:t>
            </w:r>
            <w:hyperlink r:id="rId13" w:history="1">
              <w:r w:rsidRPr="00BC3A80">
                <w:rPr>
                  <w:rFonts w:ascii="Verdana" w:hAnsi="Verdana" w:cs="Arial"/>
                  <w:color w:val="0000FF"/>
                  <w:u w:val="single"/>
                </w:rPr>
                <w:t>https://www.colombiacompra.gov.co/archivos/circular/circular-externa-006-de-2025</w:t>
              </w:r>
            </w:hyperlink>
            <w:r w:rsidRPr="00BC3A80">
              <w:rPr>
                <w:rFonts w:ascii="Verdana" w:hAnsi="Verdana" w:cs="Arial"/>
              </w:rPr>
              <w:t xml:space="preserve"> </w:t>
            </w:r>
          </w:p>
        </w:tc>
      </w:tr>
    </w:tbl>
    <w:p w14:paraId="495C0BC8" w14:textId="77777777" w:rsidR="00AC6792" w:rsidRPr="00BC3A80" w:rsidRDefault="00AC6792" w:rsidP="00AC6792">
      <w:pPr>
        <w:widowControl w:val="0"/>
        <w:autoSpaceDE w:val="0"/>
        <w:autoSpaceDN w:val="0"/>
        <w:spacing w:after="0" w:line="276" w:lineRule="auto"/>
        <w:jc w:val="both"/>
        <w:rPr>
          <w:rFonts w:ascii="Verdana" w:hAnsi="Verdana" w:cs="Arial"/>
          <w:lang w:val="es-ES_tradnl"/>
        </w:rPr>
      </w:pPr>
    </w:p>
    <w:p w14:paraId="6B3CCB80" w14:textId="77777777" w:rsidR="00AC6792" w:rsidRPr="00BC3A80" w:rsidRDefault="00AC6792" w:rsidP="00AC6792">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Doctrina de la Agencia Nacional de Contratación Pública:</w:t>
      </w:r>
    </w:p>
    <w:p w14:paraId="1657D128" w14:textId="77777777" w:rsidR="00AC6792" w:rsidRPr="00BC3A80" w:rsidRDefault="00AC6792" w:rsidP="00AC6792">
      <w:pPr>
        <w:widowControl w:val="0"/>
        <w:autoSpaceDE w:val="0"/>
        <w:autoSpaceDN w:val="0"/>
        <w:spacing w:after="0" w:line="276" w:lineRule="auto"/>
        <w:jc w:val="both"/>
        <w:rPr>
          <w:rFonts w:ascii="Verdana" w:hAnsi="Verdana" w:cs="Arial"/>
          <w:lang w:val="es-ES_tradnl"/>
        </w:rPr>
      </w:pPr>
    </w:p>
    <w:p w14:paraId="41FFB57C" w14:textId="77777777" w:rsidR="00AC6792" w:rsidRPr="00BC3A80" w:rsidRDefault="00AC6792" w:rsidP="00AC6792">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BC3A80">
        <w:rPr>
          <w:rFonts w:ascii="Verdana" w:hAnsi="Verdana" w:cs="Arial"/>
          <w:shd w:val="clear" w:color="auto" w:fill="FFFFFF"/>
        </w:rPr>
        <w:t xml:space="preserve"> C-1430 del 12 de noviembre de 2025</w:t>
      </w:r>
      <w:r>
        <w:rPr>
          <w:rFonts w:ascii="Verdana" w:hAnsi="Verdana" w:cs="Arial"/>
          <w:shd w:val="clear" w:color="auto" w:fill="FFFFFF"/>
        </w:rPr>
        <w:t xml:space="preserve"> y C-1568 del 14 de noviembre de 2025, entre otros</w:t>
      </w:r>
      <w:r w:rsidRPr="00BC3A80">
        <w:rPr>
          <w:rFonts w:ascii="Verdana" w:hAnsi="Verdana" w:cs="Arial"/>
          <w:shd w:val="clear" w:color="auto" w:fill="FFFFFF"/>
        </w:rPr>
        <w:t xml:space="preserve">. </w:t>
      </w:r>
      <w:r w:rsidRPr="00BC3A80">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BC3A80">
          <w:rPr>
            <w:rFonts w:ascii="Verdana" w:hAnsi="Verdana" w:cs="Arial"/>
            <w:color w:val="0000FF"/>
            <w:u w:val="single"/>
            <w:shd w:val="clear" w:color="auto" w:fill="FFFFFF"/>
            <w:lang w:val="es-ES_tradnl"/>
          </w:rPr>
          <w:t>https://relatoria.colombiacompra.gov.co/busqueda/conceptos</w:t>
        </w:r>
      </w:hyperlink>
      <w:r w:rsidRPr="00BC3A80">
        <w:rPr>
          <w:rFonts w:ascii="Verdana" w:hAnsi="Verdana" w:cs="Arial"/>
          <w:shd w:val="clear" w:color="auto" w:fill="FFFFFF"/>
          <w:lang w:val="es-ES_tradnl"/>
        </w:rPr>
        <w:t xml:space="preserve">. </w:t>
      </w:r>
      <w:r w:rsidRPr="00BC3A80">
        <w:rPr>
          <w:rFonts w:ascii="Verdana" w:hAnsi="Verdana" w:cs="Arial"/>
          <w:color w:val="FF0000"/>
          <w:shd w:val="clear" w:color="auto" w:fill="FFFFFF"/>
          <w:lang w:val="es-ES_tradnl"/>
        </w:rPr>
        <w:t xml:space="preserve"> </w:t>
      </w:r>
    </w:p>
    <w:p w14:paraId="09E23A9B" w14:textId="77777777" w:rsidR="00AC6792" w:rsidRPr="00BC3A80" w:rsidRDefault="00AC6792" w:rsidP="00AC6792">
      <w:pPr>
        <w:widowControl w:val="0"/>
        <w:autoSpaceDE w:val="0"/>
        <w:autoSpaceDN w:val="0"/>
        <w:spacing w:after="0" w:line="276" w:lineRule="auto"/>
        <w:jc w:val="both"/>
        <w:rPr>
          <w:rFonts w:ascii="Verdana" w:hAnsi="Verdana" w:cs="Arial"/>
          <w:color w:val="FF0000"/>
          <w:shd w:val="clear" w:color="auto" w:fill="FFFFFF"/>
          <w:lang w:val="es-ES_tradnl"/>
        </w:rPr>
      </w:pPr>
    </w:p>
    <w:p w14:paraId="46EEF6A5" w14:textId="77777777" w:rsidR="00AC6792" w:rsidRPr="00BC3A80" w:rsidRDefault="00AC6792" w:rsidP="00AC6792">
      <w:pPr>
        <w:shd w:val="clear" w:color="auto" w:fill="FFFFFF"/>
        <w:spacing w:after="0" w:line="276" w:lineRule="auto"/>
        <w:jc w:val="both"/>
        <w:rPr>
          <w:rFonts w:ascii="Verdana" w:hAnsi="Verdana"/>
          <w:color w:val="467886"/>
          <w:u w:val="single"/>
        </w:rPr>
      </w:pPr>
      <w:r w:rsidRPr="00BC3A80">
        <w:rPr>
          <w:rFonts w:ascii="Verdana" w:hAnsi="Verdana"/>
          <w:color w:val="000000"/>
        </w:rPr>
        <w:lastRenderedPageBreak/>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5878E378" w14:textId="77777777" w:rsidR="00AC6792" w:rsidRPr="00BC3A80" w:rsidRDefault="00AC6792" w:rsidP="00AC6792">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30BB5008" w14:textId="77777777" w:rsidR="00AC6792" w:rsidRPr="00BC3A80" w:rsidRDefault="00AC6792" w:rsidP="00AC6792">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CFA09CA" w14:textId="77777777" w:rsidR="00AC6792" w:rsidRPr="00BC3A80" w:rsidRDefault="00AC6792" w:rsidP="00AC6792">
      <w:pPr>
        <w:spacing w:after="0" w:line="276" w:lineRule="auto"/>
        <w:jc w:val="both"/>
        <w:rPr>
          <w:rFonts w:ascii="Verdana" w:hAnsi="Verdana"/>
        </w:rPr>
      </w:pPr>
    </w:p>
    <w:p w14:paraId="3F565DC7" w14:textId="77777777" w:rsidR="00AC6792" w:rsidRPr="00BC3A80" w:rsidRDefault="00AC6792" w:rsidP="00AC6792">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6F587B80" w14:textId="77777777" w:rsidR="00AC6792" w:rsidRPr="00BC3A80" w:rsidRDefault="00AC6792" w:rsidP="00AC6792">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r w:rsidRPr="00BC3A80">
        <w:rPr>
          <w:rFonts w:ascii="Verdana" w:hAnsi="Verdana"/>
          <w:color w:val="0000FF"/>
          <w:u w:val="single"/>
          <w:lang w:val="es-ES"/>
        </w:rPr>
        <w:t>+57 601 7456788</w:t>
      </w:r>
    </w:p>
    <w:p w14:paraId="3086C008" w14:textId="77777777" w:rsidR="00AC6792" w:rsidRPr="00BC3A80" w:rsidRDefault="00AC6792" w:rsidP="00AC6792">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6" w:history="1">
        <w:r w:rsidRPr="00BC3A80">
          <w:rPr>
            <w:rFonts w:ascii="Verdana" w:eastAsia="Verdana" w:hAnsi="Verdana" w:cs="Verdana"/>
            <w:color w:val="0000FF"/>
            <w:u w:val="single"/>
            <w:lang w:val="es-MX"/>
          </w:rPr>
          <w:t>ventanilladeradicacion@colombiacompra.gov.co</w:t>
        </w:r>
      </w:hyperlink>
    </w:p>
    <w:p w14:paraId="3C81C75A" w14:textId="77777777" w:rsidR="00AC6792" w:rsidRPr="00BC3A80" w:rsidRDefault="00AC6792" w:rsidP="00AC6792">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7" w:history="1">
        <w:r w:rsidRPr="00BC3A80">
          <w:rPr>
            <w:rFonts w:ascii="Verdana" w:eastAsia="Verdana" w:hAnsi="Verdana" w:cs="Verdana"/>
            <w:color w:val="0000FF"/>
            <w:u w:val="single"/>
            <w:lang w:val="es-MX"/>
          </w:rPr>
          <w:t>https://www.colombiacompra.gov.co/pqrsd/informacion-importante-antes-de-formular-una-pqrsd</w:t>
        </w:r>
      </w:hyperlink>
    </w:p>
    <w:p w14:paraId="59C9965E" w14:textId="77777777" w:rsidR="00AC6792" w:rsidRPr="00BC3A80" w:rsidRDefault="00AC6792" w:rsidP="00AC6792">
      <w:pPr>
        <w:spacing w:after="0" w:line="276" w:lineRule="auto"/>
        <w:ind w:left="720"/>
        <w:jc w:val="both"/>
        <w:rPr>
          <w:rFonts w:ascii="Verdana" w:hAnsi="Verdana"/>
        </w:rPr>
      </w:pPr>
    </w:p>
    <w:p w14:paraId="259A89B6" w14:textId="77777777" w:rsidR="00AC6792" w:rsidRPr="00BC3A80" w:rsidRDefault="00AC6792" w:rsidP="00AC6792">
      <w:pPr>
        <w:spacing w:after="0" w:line="276" w:lineRule="auto"/>
        <w:rPr>
          <w:rFonts w:ascii="Verdana" w:hAnsi="Verdana"/>
        </w:rPr>
      </w:pPr>
      <w:r w:rsidRPr="00BC3A80">
        <w:rPr>
          <w:rFonts w:ascii="Verdana" w:hAnsi="Verdana"/>
        </w:rPr>
        <w:t>Evalúa el servicio que ofrece la Agencia por el canal de atención de PQRSD en el siguiente enlace :</w:t>
      </w:r>
      <w:hyperlink r:id="rId18"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34A1E4BC" w14:textId="77777777" w:rsidR="00AC6792" w:rsidRPr="00BC3A80" w:rsidRDefault="00AC6792" w:rsidP="00AC6792">
      <w:pPr>
        <w:spacing w:after="0" w:line="276" w:lineRule="auto"/>
        <w:rPr>
          <w:rFonts w:ascii="Verdana" w:hAnsi="Verdana"/>
        </w:rPr>
      </w:pPr>
    </w:p>
    <w:p w14:paraId="41D0BD10" w14:textId="77777777" w:rsidR="00AC6792" w:rsidRPr="00BC3A80" w:rsidRDefault="00AC6792" w:rsidP="00AC6792">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7FF1F490" w14:textId="77777777" w:rsidR="00AC6792" w:rsidRPr="00BC3A80" w:rsidRDefault="00AC6792" w:rsidP="00AC6792">
      <w:pPr>
        <w:spacing w:after="0" w:line="276" w:lineRule="auto"/>
        <w:jc w:val="both"/>
        <w:rPr>
          <w:rFonts w:ascii="Verdana" w:hAnsi="Verdana"/>
        </w:rPr>
      </w:pPr>
    </w:p>
    <w:p w14:paraId="00402BC8" w14:textId="77777777" w:rsidR="00AC6792" w:rsidRPr="00BC3A80" w:rsidRDefault="00AC6792" w:rsidP="00AC6792">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38DC47B0" w14:textId="77777777" w:rsidR="00AC6792" w:rsidRPr="00BC3A80" w:rsidRDefault="00AC6792" w:rsidP="00AC6792">
      <w:pPr>
        <w:spacing w:after="0" w:line="276" w:lineRule="auto"/>
        <w:jc w:val="both"/>
        <w:rPr>
          <w:rFonts w:ascii="Verdana" w:hAnsi="Verdana"/>
        </w:rPr>
      </w:pPr>
      <w:r w:rsidRPr="00BC3A80">
        <w:rPr>
          <w:rFonts w:ascii="Verdana" w:hAnsi="Verdana"/>
        </w:rPr>
        <w:t xml:space="preserve">Facebook: </w:t>
      </w:r>
      <w:r w:rsidRPr="00BC3A80">
        <w:rPr>
          <w:rFonts w:ascii="Verdana" w:hAnsi="Verdana"/>
          <w:color w:val="0000FF"/>
          <w:u w:val="single"/>
        </w:rPr>
        <w:t>ColombiaCompraEficiente</w:t>
      </w:r>
    </w:p>
    <w:p w14:paraId="75B6EEF9" w14:textId="77777777" w:rsidR="00AC6792" w:rsidRPr="00BC3A80" w:rsidRDefault="00AC6792" w:rsidP="00AC6792">
      <w:pPr>
        <w:spacing w:after="0" w:line="276" w:lineRule="auto"/>
        <w:jc w:val="both"/>
        <w:rPr>
          <w:rFonts w:ascii="Verdana" w:hAnsi="Verdana"/>
        </w:rPr>
      </w:pPr>
      <w:r w:rsidRPr="00BC3A80">
        <w:rPr>
          <w:rFonts w:ascii="Verdana" w:hAnsi="Verdana"/>
        </w:rPr>
        <w:lastRenderedPageBreak/>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05FAABFD" w14:textId="77777777" w:rsidR="00AC6792" w:rsidRPr="00BC3A80" w:rsidRDefault="00AC6792" w:rsidP="00AC6792">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7CA4C12E" w14:textId="77777777" w:rsidR="00AC6792" w:rsidRPr="00BC3A80" w:rsidRDefault="00AC6792" w:rsidP="00AC6792">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5793EB5C" w14:textId="77777777" w:rsidR="00AC6792" w:rsidRPr="00BC3A80" w:rsidRDefault="00AC6792" w:rsidP="00AC6792">
      <w:pPr>
        <w:widowControl w:val="0"/>
        <w:autoSpaceDE w:val="0"/>
        <w:autoSpaceDN w:val="0"/>
        <w:spacing w:after="0" w:line="276" w:lineRule="auto"/>
        <w:jc w:val="both"/>
        <w:rPr>
          <w:rFonts w:ascii="Verdana" w:hAnsi="Verdana" w:cs="Arial"/>
          <w:lang w:val="es-ES_tradnl"/>
        </w:rPr>
      </w:pPr>
    </w:p>
    <w:p w14:paraId="60B906C1" w14:textId="77777777" w:rsidR="00AC6792" w:rsidRDefault="00AC6792" w:rsidP="00AC6792">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bookmarkEnd w:id="0"/>
    </w:p>
    <w:p w14:paraId="35450E41" w14:textId="77777777" w:rsidR="00AC6792" w:rsidRPr="00116940" w:rsidRDefault="00AC6792" w:rsidP="00AC6792">
      <w:pPr>
        <w:spacing w:after="0" w:line="240" w:lineRule="auto"/>
        <w:jc w:val="both"/>
        <w:rPr>
          <w:rFonts w:ascii="Verdana" w:hAnsi="Verdana"/>
        </w:rPr>
      </w:pPr>
    </w:p>
    <w:p w14:paraId="35409BEC" w14:textId="2415EB61" w:rsidR="00AC6792" w:rsidRDefault="001F27DD" w:rsidP="00AC6792">
      <w:pPr>
        <w:spacing w:after="0" w:line="240" w:lineRule="auto"/>
        <w:jc w:val="center"/>
      </w:pPr>
      <w:r w:rsidRPr="002C3AD6">
        <w:rPr>
          <w:rFonts w:ascii="Century Gothic" w:hAnsi="Century Gothic"/>
          <w:noProof/>
        </w:rPr>
        <w:drawing>
          <wp:inline distT="0" distB="0" distL="0" distR="0" wp14:anchorId="77F3A082" wp14:editId="586184E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6792" w:rsidRPr="00E3533A" w14:paraId="5966BA0E" w14:textId="77777777" w:rsidTr="00A5756B">
        <w:trPr>
          <w:trHeight w:val="315"/>
        </w:trPr>
        <w:tc>
          <w:tcPr>
            <w:tcW w:w="893" w:type="dxa"/>
            <w:vAlign w:val="center"/>
            <w:hideMark/>
          </w:tcPr>
          <w:p w14:paraId="0AAA6B14" w14:textId="77777777" w:rsidR="00AC6792" w:rsidRPr="00E3533A" w:rsidRDefault="00AC6792" w:rsidP="00A5756B">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6DA9689" w14:textId="77777777" w:rsidR="00AC6792" w:rsidRPr="00E3533A" w:rsidRDefault="00AC6792" w:rsidP="00A5756B">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4ACDEF6B" w14:textId="77777777" w:rsidR="00AC6792" w:rsidRPr="00E3533A" w:rsidRDefault="00AC6792" w:rsidP="00A5756B">
            <w:pPr>
              <w:contextualSpacing/>
              <w:rPr>
                <w:rFonts w:ascii="Verdana" w:eastAsia="Arial" w:hAnsi="Verdana" w:cs="Arial"/>
                <w:sz w:val="16"/>
                <w:szCs w:val="16"/>
              </w:rPr>
            </w:pPr>
            <w:r>
              <w:rPr>
                <w:rFonts w:ascii="Verdana" w:eastAsia="Calibri" w:hAnsi="Verdana" w:cs="Times New Roman"/>
                <w:sz w:val="16"/>
                <w:szCs w:val="16"/>
              </w:rPr>
              <w:t xml:space="preserve">Contratista </w:t>
            </w:r>
            <w:r w:rsidRPr="00E3533A">
              <w:rPr>
                <w:rFonts w:ascii="Verdana" w:eastAsia="Calibri" w:hAnsi="Verdana" w:cs="Times New Roman"/>
                <w:sz w:val="16"/>
                <w:szCs w:val="16"/>
              </w:rPr>
              <w:t>de la Subdirección de Gestión Contractual</w:t>
            </w:r>
          </w:p>
        </w:tc>
      </w:tr>
      <w:tr w:rsidR="00AC6792" w:rsidRPr="00E3533A" w14:paraId="127BADD7" w14:textId="77777777" w:rsidTr="00A5756B">
        <w:trPr>
          <w:trHeight w:val="330"/>
        </w:trPr>
        <w:tc>
          <w:tcPr>
            <w:tcW w:w="893" w:type="dxa"/>
            <w:vAlign w:val="center"/>
            <w:hideMark/>
          </w:tcPr>
          <w:p w14:paraId="54FC914A" w14:textId="77777777" w:rsidR="00AC6792" w:rsidRPr="00E3533A" w:rsidRDefault="00AC6792" w:rsidP="00A5756B">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5E946D" w14:textId="77777777" w:rsidR="00AC6792" w:rsidRPr="002B5C7D" w:rsidRDefault="00AC6792" w:rsidP="00A5756B">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5F7123EA" w14:textId="77777777" w:rsidR="00AC6792" w:rsidRPr="00E3533A" w:rsidRDefault="00AC6792" w:rsidP="00A5756B">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AC6792" w:rsidRPr="00E3533A" w14:paraId="19885AE6" w14:textId="77777777" w:rsidTr="00A5756B">
        <w:trPr>
          <w:trHeight w:val="300"/>
        </w:trPr>
        <w:tc>
          <w:tcPr>
            <w:tcW w:w="893" w:type="dxa"/>
            <w:vAlign w:val="center"/>
          </w:tcPr>
          <w:p w14:paraId="2DC8BED0" w14:textId="77777777" w:rsidR="00AC6792" w:rsidRPr="00E3533A" w:rsidRDefault="00AC6792" w:rsidP="00A5756B">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4D03C3" w14:textId="77777777" w:rsidR="00AC6792" w:rsidRPr="00E3533A" w:rsidRDefault="00AC6792" w:rsidP="00A5756B">
            <w:pPr>
              <w:contextualSpacing/>
              <w:rPr>
                <w:rFonts w:ascii="Verdana" w:eastAsia="Calibri" w:hAnsi="Verdana" w:cs="Arial"/>
                <w:sz w:val="16"/>
                <w:szCs w:val="16"/>
                <w:lang w:eastAsia="es-ES"/>
              </w:rPr>
            </w:pPr>
            <w:r>
              <w:rPr>
                <w:rFonts w:ascii="Verdana" w:eastAsia="Calibri" w:hAnsi="Verdana" w:cs="Arial"/>
                <w:sz w:val="16"/>
                <w:szCs w:val="16"/>
                <w:lang w:eastAsia="es-ES"/>
              </w:rPr>
              <w:t>Carolina Quintero Gacharná</w:t>
            </w:r>
          </w:p>
          <w:p w14:paraId="6A960D47" w14:textId="77777777" w:rsidR="00AC6792" w:rsidRPr="00E3533A" w:rsidRDefault="00AC6792" w:rsidP="00A5756B">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1F13F7EF" w14:textId="77777777" w:rsidR="00AC6792" w:rsidRPr="00E3533A" w:rsidRDefault="00AC6792" w:rsidP="00AC6792">
      <w:pPr>
        <w:spacing w:after="0"/>
        <w:rPr>
          <w:rFonts w:ascii="Verdana" w:hAnsi="Verdana"/>
        </w:rPr>
      </w:pPr>
    </w:p>
    <w:p w14:paraId="5C1B3F26" w14:textId="77777777" w:rsidR="00AC6792" w:rsidRPr="00FB7971" w:rsidRDefault="00AC6792" w:rsidP="00AC6792"/>
    <w:p w14:paraId="1C527EE8" w14:textId="77777777" w:rsidR="00AC6792" w:rsidRPr="00214248" w:rsidRDefault="00AC6792" w:rsidP="00AC6792"/>
    <w:p w14:paraId="23DB458D" w14:textId="77777777" w:rsidR="00AC6792" w:rsidRPr="0044528D" w:rsidRDefault="00AC6792" w:rsidP="00AC6792">
      <w:pPr>
        <w:spacing w:after="0"/>
        <w:jc w:val="both"/>
        <w:rPr>
          <w:rStyle w:val="Hipervnculo"/>
          <w:rFonts w:ascii="Verdana" w:hAnsi="Verdana"/>
        </w:rPr>
      </w:pPr>
    </w:p>
    <w:p w14:paraId="2E07FFB3" w14:textId="77777777" w:rsidR="00AC6792" w:rsidRDefault="00AC6792" w:rsidP="00AC6792"/>
    <w:p w14:paraId="0F293BF4" w14:textId="104A68E2" w:rsidR="00127233" w:rsidRPr="00AC6792" w:rsidRDefault="00127233" w:rsidP="00AC6792"/>
    <w:sectPr w:rsidR="00127233" w:rsidRPr="00AC6792"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3D854" w14:textId="77777777" w:rsidR="00260981" w:rsidRDefault="00260981" w:rsidP="004A1847">
      <w:pPr>
        <w:spacing w:after="0" w:line="240" w:lineRule="auto"/>
      </w:pPr>
      <w:r>
        <w:separator/>
      </w:r>
    </w:p>
  </w:endnote>
  <w:endnote w:type="continuationSeparator" w:id="0">
    <w:p w14:paraId="2D018197" w14:textId="77777777" w:rsidR="00260981" w:rsidRDefault="0026098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AC6792"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AC6792">
      <w:rPr>
        <w:rFonts w:ascii="Century Gothic" w:eastAsia="Geo" w:hAnsi="Century Gothic" w:cs="Geo"/>
        <w:b/>
        <w:bCs/>
        <w:color w:val="000000" w:themeColor="text1"/>
        <w:sz w:val="16"/>
        <w:szCs w:val="16"/>
        <w:lang w:val="pt-PT" w:eastAsia="es-CO"/>
      </w:rPr>
      <w:t xml:space="preserve">Código: </w:t>
    </w:r>
    <w:r w:rsidRPr="00AC6792">
      <w:rPr>
        <w:rFonts w:ascii="Century Gothic" w:eastAsia="Geo" w:hAnsi="Century Gothic" w:cs="Geo"/>
        <w:color w:val="000000" w:themeColor="text1"/>
        <w:sz w:val="16"/>
        <w:szCs w:val="16"/>
        <w:lang w:val="pt-PT" w:eastAsia="es-CO"/>
      </w:rPr>
      <w:t xml:space="preserve">CCE-REC-FM-17 </w:t>
    </w:r>
    <w:r w:rsidRPr="00AC6792">
      <w:rPr>
        <w:rFonts w:ascii="Century Gothic" w:eastAsia="Geo" w:hAnsi="Century Gothic" w:cs="Geo"/>
        <w:b/>
        <w:bCs/>
        <w:color w:val="000000" w:themeColor="text1"/>
        <w:sz w:val="16"/>
        <w:szCs w:val="16"/>
        <w:lang w:val="pt-PT" w:eastAsia="es-CO"/>
      </w:rPr>
      <w:t>V</w:t>
    </w:r>
    <w:r w:rsidRPr="00AC6792">
      <w:rPr>
        <w:rFonts w:ascii="Century Gothic" w:eastAsia="Arial Nova" w:hAnsi="Century Gothic" w:cs="Arial Nova"/>
        <w:b/>
        <w:bCs/>
        <w:color w:val="000000" w:themeColor="text1"/>
        <w:sz w:val="16"/>
        <w:szCs w:val="16"/>
        <w:lang w:val="pt-PT" w:eastAsia="es-CO"/>
      </w:rPr>
      <w:t xml:space="preserve">: </w:t>
    </w:r>
    <w:r w:rsidRPr="00AC6792">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3F49C" w14:textId="77777777" w:rsidR="00260981" w:rsidRDefault="00260981" w:rsidP="004A1847">
      <w:pPr>
        <w:spacing w:after="0" w:line="240" w:lineRule="auto"/>
      </w:pPr>
      <w:r>
        <w:separator/>
      </w:r>
    </w:p>
  </w:footnote>
  <w:footnote w:type="continuationSeparator" w:id="0">
    <w:p w14:paraId="72B9D2D9" w14:textId="77777777" w:rsidR="00260981" w:rsidRDefault="00260981" w:rsidP="004A1847">
      <w:pPr>
        <w:spacing w:after="0" w:line="240" w:lineRule="auto"/>
      </w:pPr>
      <w:r>
        <w:continuationSeparator/>
      </w:r>
    </w:p>
  </w:footnote>
  <w:footnote w:id="1">
    <w:p w14:paraId="16C24676" w14:textId="77777777" w:rsidR="00AC6792" w:rsidRPr="00B10300" w:rsidRDefault="00AC6792" w:rsidP="00AC6792">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615C7E1" w14:textId="77777777" w:rsidR="00AC6792" w:rsidRPr="00B10300" w:rsidRDefault="00AC6792" w:rsidP="00AC6792">
      <w:pPr>
        <w:pStyle w:val="Textonotapie"/>
        <w:ind w:firstLine="709"/>
        <w:contextualSpacing/>
        <w:jc w:val="both"/>
        <w:rPr>
          <w:rFonts w:ascii="Verdana" w:hAnsi="Verdana" w:cs="Arial"/>
          <w:sz w:val="14"/>
          <w:szCs w:val="14"/>
        </w:rPr>
      </w:pPr>
      <w:r w:rsidRPr="00B103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CA1C040" w14:textId="77777777" w:rsidR="00AC6792" w:rsidRPr="00B10300" w:rsidRDefault="00AC6792" w:rsidP="00AC6792">
      <w:pPr>
        <w:pStyle w:val="Textonotapie"/>
        <w:ind w:firstLine="709"/>
        <w:contextualSpacing/>
        <w:jc w:val="both"/>
        <w:rPr>
          <w:rFonts w:ascii="Verdana" w:hAnsi="Verdana" w:cs="Arial"/>
          <w:sz w:val="14"/>
          <w:szCs w:val="14"/>
        </w:rPr>
      </w:pPr>
    </w:p>
  </w:footnote>
  <w:footnote w:id="2">
    <w:p w14:paraId="64595C52" w14:textId="77777777" w:rsidR="00AC6792" w:rsidRPr="00B10300" w:rsidRDefault="00AC6792" w:rsidP="00AC6792">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Gaceta del Congreso de la República No. 71 del 2005.</w:t>
      </w:r>
    </w:p>
  </w:footnote>
  <w:footnote w:id="3">
    <w:p w14:paraId="5337A668" w14:textId="77777777" w:rsidR="00AC6792" w:rsidRPr="00B10300" w:rsidRDefault="00AC6792" w:rsidP="00AC6792">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 C- 1153 de 2005, M.P. Marco Gerardo Monroy Cabra.</w:t>
      </w:r>
    </w:p>
    <w:p w14:paraId="18F7BDD9" w14:textId="77777777" w:rsidR="00AC6792" w:rsidRPr="00B10300" w:rsidRDefault="00AC6792" w:rsidP="00AC6792">
      <w:pPr>
        <w:pStyle w:val="Textonotapie"/>
        <w:ind w:firstLine="709"/>
        <w:contextualSpacing/>
        <w:jc w:val="both"/>
        <w:rPr>
          <w:rFonts w:ascii="Verdana" w:hAnsi="Verdana" w:cs="Arial"/>
          <w:sz w:val="14"/>
          <w:szCs w:val="14"/>
          <w:lang w:val="pt-BR"/>
        </w:rPr>
      </w:pPr>
    </w:p>
  </w:footnote>
  <w:footnote w:id="4">
    <w:p w14:paraId="733AEE0B" w14:textId="77777777" w:rsidR="00AC6792" w:rsidRPr="00B10300" w:rsidRDefault="00AC6792" w:rsidP="00AC6792">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36CB0F63" w14:textId="77777777" w:rsidR="00AC6792" w:rsidRPr="00B10300" w:rsidRDefault="00AC6792" w:rsidP="00AC6792">
      <w:pPr>
        <w:pStyle w:val="Textonotapie"/>
        <w:ind w:firstLine="709"/>
        <w:contextualSpacing/>
        <w:jc w:val="both"/>
        <w:rPr>
          <w:rFonts w:ascii="Verdana" w:hAnsi="Verdana" w:cs="Arial"/>
          <w:sz w:val="14"/>
          <w:szCs w:val="14"/>
          <w:lang w:val="pt-BR"/>
        </w:rPr>
      </w:pPr>
    </w:p>
  </w:footnote>
  <w:footnote w:id="5">
    <w:p w14:paraId="271A1851" w14:textId="77777777" w:rsidR="00AC6792" w:rsidRPr="00B10300" w:rsidRDefault="00AC6792" w:rsidP="00AC6792">
      <w:pPr>
        <w:pStyle w:val="Textonotapie"/>
        <w:ind w:firstLine="709"/>
        <w:contextualSpacing/>
        <w:jc w:val="both"/>
        <w:rPr>
          <w:rFonts w:ascii="Verdana" w:hAnsi="Verdana" w:cs="Arial"/>
          <w:sz w:val="14"/>
          <w:szCs w:val="14"/>
          <w:lang w:val="es-CO"/>
        </w:rPr>
      </w:pPr>
      <w:r w:rsidRPr="00B10300">
        <w:rPr>
          <w:rStyle w:val="Refdenotaalpie"/>
          <w:rFonts w:ascii="Verdana" w:hAnsi="Verdana" w:cs="Arial"/>
          <w:sz w:val="14"/>
          <w:szCs w:val="14"/>
        </w:rPr>
        <w:footnoteRef/>
      </w:r>
      <w:r w:rsidRPr="00B103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2F239C9D" w14:textId="77777777" w:rsidR="00AC6792" w:rsidRPr="00B10300" w:rsidRDefault="00AC6792" w:rsidP="00AC6792">
      <w:pPr>
        <w:pStyle w:val="Textonotapie"/>
        <w:ind w:firstLine="709"/>
        <w:contextualSpacing/>
        <w:jc w:val="both"/>
        <w:rPr>
          <w:rFonts w:ascii="Verdana" w:hAnsi="Verdana" w:cs="Arial"/>
          <w:sz w:val="14"/>
          <w:szCs w:val="14"/>
          <w:lang w:val="es-CO"/>
        </w:rPr>
      </w:pPr>
    </w:p>
  </w:footnote>
  <w:footnote w:id="6">
    <w:p w14:paraId="043C0DED" w14:textId="77777777" w:rsidR="00AC6792" w:rsidRPr="00B10300" w:rsidRDefault="00AC6792" w:rsidP="00AC6792">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de fecha 24 de julio de 2013, Rad. 2166, C. P. Álvaro Namén Vargas. </w:t>
      </w:r>
    </w:p>
    <w:p w14:paraId="0EEEFD3D" w14:textId="77777777" w:rsidR="00AC6792" w:rsidRPr="00B10300" w:rsidRDefault="00AC6792" w:rsidP="00AC6792">
      <w:pPr>
        <w:pStyle w:val="Textonotapie"/>
        <w:ind w:firstLine="709"/>
        <w:contextualSpacing/>
        <w:jc w:val="both"/>
        <w:rPr>
          <w:rFonts w:ascii="Verdana" w:hAnsi="Verdana" w:cs="Arial"/>
          <w:sz w:val="14"/>
          <w:szCs w:val="14"/>
        </w:rPr>
      </w:pPr>
      <w:r w:rsidRPr="00B10300">
        <w:rPr>
          <w:rFonts w:ascii="Verdana" w:hAnsi="Verdana" w:cs="Arial"/>
          <w:sz w:val="14"/>
          <w:szCs w:val="14"/>
        </w:rPr>
        <w:t xml:space="preserve"> </w:t>
      </w:r>
    </w:p>
  </w:footnote>
  <w:footnote w:id="7">
    <w:p w14:paraId="0175D339" w14:textId="77777777" w:rsidR="00AC6792" w:rsidRPr="00B10300" w:rsidRDefault="00AC6792" w:rsidP="00AC6792">
      <w:pPr>
        <w:spacing w:after="0" w:line="240" w:lineRule="auto"/>
        <w:ind w:firstLine="709"/>
        <w:contextualSpacing/>
        <w:jc w:val="both"/>
        <w:rPr>
          <w:rFonts w:ascii="Verdana" w:eastAsia="Times New Roman"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color w:val="000000"/>
          <w:sz w:val="14"/>
          <w:szCs w:val="14"/>
        </w:rPr>
        <w:t>“</w:t>
      </w:r>
      <w:r w:rsidRPr="00B10300">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034DED1" w14:textId="77777777" w:rsidR="00AC6792" w:rsidRPr="00B10300" w:rsidRDefault="00AC6792" w:rsidP="00AC6792">
      <w:pPr>
        <w:spacing w:after="0" w:line="240" w:lineRule="auto"/>
        <w:ind w:firstLine="709"/>
        <w:contextualSpacing/>
        <w:jc w:val="both"/>
        <w:rPr>
          <w:rFonts w:ascii="Verdana" w:eastAsia="Times New Roman" w:hAnsi="Verdana" w:cs="Arial"/>
          <w:sz w:val="14"/>
          <w:szCs w:val="14"/>
        </w:rPr>
      </w:pPr>
      <w:r w:rsidRPr="00B103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10300">
        <w:rPr>
          <w:rFonts w:ascii="Verdana" w:hAnsi="Verdana" w:cs="Arial"/>
          <w:color w:val="000000"/>
          <w:sz w:val="14"/>
          <w:szCs w:val="14"/>
        </w:rPr>
        <w:t>”</w:t>
      </w:r>
      <w:r w:rsidRPr="00B10300">
        <w:rPr>
          <w:rFonts w:ascii="Verdana" w:eastAsia="Times New Roman" w:hAnsi="Verdana" w:cs="Arial"/>
          <w:sz w:val="14"/>
          <w:szCs w:val="14"/>
        </w:rPr>
        <w:t>.</w:t>
      </w:r>
    </w:p>
    <w:p w14:paraId="2754B8BE" w14:textId="77777777" w:rsidR="00AC6792" w:rsidRPr="00B10300" w:rsidRDefault="00AC6792" w:rsidP="00AC6792">
      <w:pPr>
        <w:spacing w:after="0" w:line="240" w:lineRule="auto"/>
        <w:ind w:firstLine="709"/>
        <w:contextualSpacing/>
        <w:jc w:val="both"/>
        <w:rPr>
          <w:rFonts w:ascii="Verdana" w:eastAsia="Times New Roman" w:hAnsi="Verdana" w:cs="Arial"/>
          <w:sz w:val="14"/>
          <w:szCs w:val="14"/>
        </w:rPr>
      </w:pPr>
    </w:p>
  </w:footnote>
  <w:footnote w:id="8">
    <w:p w14:paraId="78401491" w14:textId="77777777" w:rsidR="00AC6792" w:rsidRPr="00B10300" w:rsidRDefault="00AC6792" w:rsidP="00AC6792">
      <w:pPr>
        <w:pStyle w:val="NormalWeb"/>
        <w:spacing w:after="0"/>
        <w:ind w:firstLine="709"/>
        <w:contextualSpacing/>
        <w:jc w:val="both"/>
        <w:rPr>
          <w:rFonts w:ascii="Verdana" w:hAnsi="Verdana" w:cs="Arial"/>
          <w:sz w:val="14"/>
          <w:szCs w:val="14"/>
          <w:lang w:val="es-MX"/>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w:t>
      </w:r>
      <w:r w:rsidRPr="00B10300">
        <w:rPr>
          <w:rFonts w:ascii="Verdana" w:eastAsia="Calibri" w:hAnsi="Verdana" w:cs="Arial"/>
          <w:color w:val="000000"/>
          <w:sz w:val="14"/>
          <w:szCs w:val="14"/>
        </w:rPr>
        <w:t>“</w:t>
      </w:r>
      <w:r w:rsidRPr="00B10300">
        <w:rPr>
          <w:rFonts w:ascii="Verdana" w:hAnsi="Verdana" w:cs="Arial"/>
          <w:sz w:val="14"/>
          <w:szCs w:val="14"/>
          <w:lang w:val="es-MX"/>
        </w:rPr>
        <w:t>Artículo 38. Prohibiciones para los servidores públicos. A los empleados del Estado les está prohibido: […]</w:t>
      </w:r>
    </w:p>
    <w:p w14:paraId="4D62086E" w14:textId="77777777" w:rsidR="00AC6792" w:rsidRPr="00B10300" w:rsidRDefault="00AC6792" w:rsidP="00AC6792">
      <w:pPr>
        <w:pStyle w:val="NormalWeb"/>
        <w:spacing w:after="0"/>
        <w:ind w:firstLine="709"/>
        <w:contextualSpacing/>
        <w:jc w:val="both"/>
        <w:rPr>
          <w:rFonts w:ascii="Verdana" w:hAnsi="Verdana" w:cs="Arial"/>
          <w:sz w:val="14"/>
          <w:szCs w:val="14"/>
          <w:lang w:val="es-MX"/>
        </w:rPr>
      </w:pPr>
      <w:r w:rsidRPr="00B10300">
        <w:rPr>
          <w:rStyle w:val="baj"/>
          <w:rFonts w:ascii="Verdana" w:hAnsi="Verdana" w:cs="Arial"/>
          <w:sz w:val="14"/>
          <w:szCs w:val="14"/>
          <w:lang w:val="es-MX"/>
        </w:rPr>
        <w:t>Parágrafo.</w:t>
      </w:r>
      <w:r w:rsidRPr="00B10300">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10300">
        <w:rPr>
          <w:rFonts w:ascii="Verdana" w:eastAsia="Calibri" w:hAnsi="Verdana" w:cs="Arial"/>
          <w:color w:val="000000"/>
          <w:sz w:val="14"/>
          <w:szCs w:val="14"/>
        </w:rPr>
        <w:t>”</w:t>
      </w:r>
      <w:r w:rsidRPr="00B10300">
        <w:rPr>
          <w:rFonts w:ascii="Verdana" w:hAnsi="Verdana" w:cs="Arial"/>
          <w:sz w:val="14"/>
          <w:szCs w:val="14"/>
          <w:lang w:val="es-MX"/>
        </w:rPr>
        <w:t>.</w:t>
      </w:r>
    </w:p>
    <w:p w14:paraId="44EA4F09" w14:textId="77777777" w:rsidR="00AC6792" w:rsidRPr="00B10300" w:rsidRDefault="00AC6792" w:rsidP="00AC6792">
      <w:pPr>
        <w:pStyle w:val="NormalWeb"/>
        <w:spacing w:after="0"/>
        <w:ind w:firstLine="709"/>
        <w:contextualSpacing/>
        <w:jc w:val="both"/>
        <w:rPr>
          <w:rFonts w:ascii="Verdana" w:hAnsi="Verdana" w:cs="Arial"/>
          <w:sz w:val="14"/>
          <w:szCs w:val="14"/>
          <w:lang w:val="es-MX"/>
        </w:rPr>
      </w:pPr>
    </w:p>
  </w:footnote>
  <w:footnote w:id="9">
    <w:p w14:paraId="6BE6D566" w14:textId="77777777" w:rsidR="00AC6792" w:rsidRPr="00B10300" w:rsidRDefault="00AC6792" w:rsidP="00AC6792">
      <w:pPr>
        <w:pStyle w:val="NormalWeb"/>
        <w:spacing w:after="0"/>
        <w:ind w:firstLine="709"/>
        <w:contextualSpacing/>
        <w:jc w:val="both"/>
        <w:rPr>
          <w:rFonts w:ascii="Verdana" w:hAnsi="Verdana" w:cs="Arial"/>
          <w:sz w:val="14"/>
          <w:szCs w:val="14"/>
          <w:lang w:val="es-ES"/>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11958EB0" w14:textId="77777777" w:rsidR="00AC6792" w:rsidRPr="00B10300" w:rsidRDefault="00AC6792" w:rsidP="00AC6792">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p w14:paraId="318FA751" w14:textId="77777777" w:rsidR="00AC6792" w:rsidRPr="00B10300" w:rsidRDefault="00AC6792" w:rsidP="00AC6792">
      <w:pPr>
        <w:pStyle w:val="Textonotapie"/>
        <w:ind w:firstLine="708"/>
        <w:contextualSpacing/>
        <w:jc w:val="both"/>
        <w:rPr>
          <w:rFonts w:ascii="Verdana" w:hAnsi="Verdana" w:cs="Arial"/>
          <w:color w:val="000000" w:themeColor="text1"/>
          <w:sz w:val="14"/>
          <w:szCs w:val="14"/>
        </w:rPr>
      </w:pPr>
    </w:p>
  </w:footnote>
  <w:footnote w:id="11">
    <w:p w14:paraId="6F129CCC" w14:textId="77777777" w:rsidR="00AC6792" w:rsidRPr="00B10300" w:rsidRDefault="00AC6792" w:rsidP="00AC6792">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25pt;height:14.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27DD"/>
    <w:rsid w:val="001F7DC6"/>
    <w:rsid w:val="0022400B"/>
    <w:rsid w:val="002421BB"/>
    <w:rsid w:val="0025796E"/>
    <w:rsid w:val="00260981"/>
    <w:rsid w:val="002707A2"/>
    <w:rsid w:val="002951A0"/>
    <w:rsid w:val="002962BC"/>
    <w:rsid w:val="002A093D"/>
    <w:rsid w:val="002A0DD0"/>
    <w:rsid w:val="002A49AC"/>
    <w:rsid w:val="002A64FD"/>
    <w:rsid w:val="002C7A84"/>
    <w:rsid w:val="002E2BF8"/>
    <w:rsid w:val="002E4FD9"/>
    <w:rsid w:val="0030657A"/>
    <w:rsid w:val="003068DE"/>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E39D8"/>
    <w:rsid w:val="006200BF"/>
    <w:rsid w:val="006219F8"/>
    <w:rsid w:val="006302F7"/>
    <w:rsid w:val="00646B9F"/>
    <w:rsid w:val="00665D70"/>
    <w:rsid w:val="006900D9"/>
    <w:rsid w:val="00706C16"/>
    <w:rsid w:val="007340C3"/>
    <w:rsid w:val="0075235A"/>
    <w:rsid w:val="00756841"/>
    <w:rsid w:val="007649AB"/>
    <w:rsid w:val="00771D0C"/>
    <w:rsid w:val="007833AC"/>
    <w:rsid w:val="00783A4E"/>
    <w:rsid w:val="0079057A"/>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307B"/>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6792"/>
    <w:rsid w:val="00B00C0E"/>
    <w:rsid w:val="00B01B1A"/>
    <w:rsid w:val="00B0381D"/>
    <w:rsid w:val="00B417E5"/>
    <w:rsid w:val="00B44A47"/>
    <w:rsid w:val="00B72CD3"/>
    <w:rsid w:val="00B72FFF"/>
    <w:rsid w:val="00B83BE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17513"/>
    <w:rsid w:val="00E20894"/>
    <w:rsid w:val="00E245AB"/>
    <w:rsid w:val="00E2764C"/>
    <w:rsid w:val="00E27F2E"/>
    <w:rsid w:val="00E50AFE"/>
    <w:rsid w:val="00E75C92"/>
    <w:rsid w:val="00E771DC"/>
    <w:rsid w:val="00E8772A"/>
    <w:rsid w:val="00E90F6B"/>
    <w:rsid w:val="00E92C27"/>
    <w:rsid w:val="00EA0E3D"/>
    <w:rsid w:val="00EC38A7"/>
    <w:rsid w:val="00EE1AA8"/>
    <w:rsid w:val="00EF3229"/>
    <w:rsid w:val="00F207FE"/>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C6792"/>
    <w:pPr>
      <w:spacing w:line="240" w:lineRule="exact"/>
    </w:pPr>
    <w:rPr>
      <w:vertAlign w:val="superscript"/>
    </w:rPr>
  </w:style>
  <w:style w:type="character" w:customStyle="1" w:styleId="baj">
    <w:name w:val="b_aj"/>
    <w:basedOn w:val="Fuentedeprrafopredeter"/>
    <w:rsid w:val="00AC6792"/>
  </w:style>
  <w:style w:type="table" w:customStyle="1" w:styleId="Tablaconcuadrcula1">
    <w:name w:val="Tabla con cuadrícula1"/>
    <w:basedOn w:val="Tablanormal"/>
    <w:next w:val="Tablaconcuadrcula"/>
    <w:uiPriority w:val="39"/>
    <w:qFormat/>
    <w:rsid w:val="00AC6792"/>
    <w:pPr>
      <w:spacing w:after="0" w:line="240" w:lineRule="auto"/>
    </w:pPr>
    <w:tblPr/>
  </w:style>
  <w:style w:type="character" w:customStyle="1" w:styleId="NormalWebCar">
    <w:name w:val="Normal (Web) Car"/>
    <w:link w:val="NormalWeb"/>
    <w:uiPriority w:val="99"/>
    <w:locked/>
    <w:rsid w:val="00AC679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Gustavo_lara05@hot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8E4E94AD-4672-4B4D-A29A-FA8C3758AA86}">
  <ds:schemaRefs>
    <ds:schemaRef ds:uri="http://schemas.openxmlformats.org/officeDocument/2006/bibliography"/>
  </ds:schemaRefs>
</ds:datastoreItem>
</file>

<file path=customXml/itemProps3.xml><?xml version="1.0" encoding="utf-8"?>
<ds:datastoreItem xmlns:ds="http://schemas.openxmlformats.org/officeDocument/2006/customXml" ds:itemID="{9DCDC13E-D0C2-4F72-AA19-19DCA2279E35}"/>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238</TotalTime>
  <Pages>16</Pages>
  <Words>4870</Words>
  <Characters>26790</Characters>
  <Application>Microsoft Office Word</Application>
  <DocSecurity>0</DocSecurity>
  <Lines>223</Lines>
  <Paragraphs>63</Paragraphs>
  <ScaleCrop>false</ScaleCrop>
  <Company/>
  <LinksUpToDate>false</LinksUpToDate>
  <CharactersWithSpaces>31597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2025-12-09T03:43:00Z</dcterms:created>
  <dcterms:modified xsi:type="dcterms:W3CDTF">2025-12-09T21:13:00Z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