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A6D120" w14:textId="77777777" w:rsidR="00036766" w:rsidRPr="001F2E86" w:rsidRDefault="00036766" w:rsidP="001F2E86">
      <w:pPr>
        <w:snapToGrid w:val="0"/>
        <w:contextualSpacing/>
        <w:jc w:val="both"/>
        <w:rPr>
          <w:rFonts w:ascii="Verdana" w:eastAsia="Calibri" w:hAnsi="Verdana" w:cs="Arial"/>
          <w:b/>
          <w:bCs/>
          <w:lang w:val="es-ES" w:eastAsia="es-ES"/>
        </w:rPr>
      </w:pPr>
      <w:r w:rsidRPr="001F2E86">
        <w:rPr>
          <w:rFonts w:ascii="Verdana" w:eastAsia="Calibri" w:hAnsi="Verdana" w:cs="Arial"/>
          <w:b/>
          <w:bCs/>
          <w:lang w:val="es-ES" w:eastAsia="es-ES"/>
        </w:rPr>
        <w:t>LEY DE GARANTÍAS ELECTORALES – Finalidad</w:t>
      </w:r>
    </w:p>
    <w:p w14:paraId="7D290443" w14:textId="77777777" w:rsidR="001F2E86" w:rsidRPr="001F2E86" w:rsidRDefault="001F2E86" w:rsidP="001F2E86">
      <w:pPr>
        <w:snapToGrid w:val="0"/>
        <w:spacing w:after="0" w:line="240" w:lineRule="auto"/>
        <w:contextualSpacing/>
        <w:jc w:val="both"/>
        <w:rPr>
          <w:rFonts w:ascii="Verdana" w:eastAsia="Calibri" w:hAnsi="Verdana" w:cs="Arial"/>
          <w:sz w:val="20"/>
          <w:szCs w:val="20"/>
          <w:lang w:val="es-ES" w:eastAsia="es-ES"/>
        </w:rPr>
      </w:pPr>
    </w:p>
    <w:p w14:paraId="282FBD89" w14:textId="4CBA1F2C" w:rsidR="00036766" w:rsidRDefault="00036766" w:rsidP="001F2E86">
      <w:pPr>
        <w:snapToGrid w:val="0"/>
        <w:contextualSpacing/>
        <w:jc w:val="both"/>
        <w:rPr>
          <w:rFonts w:ascii="Verdana" w:eastAsia="Times New Roman" w:hAnsi="Verdana" w:cs="Arial"/>
          <w:sz w:val="20"/>
          <w:szCs w:val="20"/>
          <w:lang w:val="es-ES" w:eastAsia="es-CO"/>
        </w:rPr>
      </w:pPr>
      <w:r w:rsidRPr="001F2E86">
        <w:rPr>
          <w:rFonts w:ascii="Verdana" w:eastAsia="Calibri" w:hAnsi="Verdana" w:cs="Arial"/>
          <w:sz w:val="20"/>
          <w:szCs w:val="20"/>
          <w:lang w:val="es-ES"/>
        </w:rPr>
        <w:t>El ordenamiento jurídico colombiano contempla medidas para evitar la obtención de beneficios personales en asuntos propios de la administración pública</w:t>
      </w:r>
      <w:r w:rsidRPr="001F2E86">
        <w:rPr>
          <w:rFonts w:ascii="Verdana" w:eastAsia="Calibri" w:hAnsi="Verdana" w:cs="Arial"/>
          <w:i/>
          <w:sz w:val="20"/>
          <w:szCs w:val="20"/>
          <w:lang w:val="es-ES"/>
        </w:rPr>
        <w:t xml:space="preserve">. </w:t>
      </w:r>
      <w:r w:rsidRPr="001F2E86">
        <w:rPr>
          <w:rFonts w:ascii="Verdana" w:eastAsia="Times New Roman" w:hAnsi="Verdana" w:cs="Arial"/>
          <w:sz w:val="20"/>
          <w:szCs w:val="20"/>
          <w:lang w:val="es-ES" w:eastAsia="es-CO"/>
        </w:rPr>
        <w:t>La Ley 996 de 2005, conocida como “Ley de Garantías Electorales”, hace parte del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54A167D0" w14:textId="77777777" w:rsidR="001F2E86" w:rsidRPr="001F2E86" w:rsidRDefault="001F2E86" w:rsidP="001F2E86">
      <w:pPr>
        <w:snapToGrid w:val="0"/>
        <w:spacing w:after="0" w:line="240" w:lineRule="auto"/>
        <w:contextualSpacing/>
        <w:jc w:val="both"/>
        <w:rPr>
          <w:rFonts w:ascii="Verdana" w:eastAsia="Calibri" w:hAnsi="Verdana" w:cs="Arial"/>
          <w:sz w:val="20"/>
          <w:szCs w:val="20"/>
          <w:lang w:val="es-ES" w:eastAsia="es-ES"/>
        </w:rPr>
      </w:pPr>
    </w:p>
    <w:p w14:paraId="22F413ED" w14:textId="77777777" w:rsidR="00036766" w:rsidRPr="001F2E86" w:rsidRDefault="00036766" w:rsidP="001F2E86">
      <w:pPr>
        <w:snapToGrid w:val="0"/>
        <w:contextualSpacing/>
        <w:jc w:val="both"/>
        <w:rPr>
          <w:rFonts w:ascii="Verdana" w:eastAsia="Calibri" w:hAnsi="Verdana" w:cs="Arial"/>
          <w:b/>
          <w:bCs/>
          <w:lang w:val="es-ES" w:eastAsia="es-ES"/>
        </w:rPr>
      </w:pPr>
      <w:r w:rsidRPr="001F2E86">
        <w:rPr>
          <w:rFonts w:ascii="Verdana" w:eastAsia="Calibri" w:hAnsi="Verdana" w:cs="Arial"/>
          <w:b/>
          <w:bCs/>
          <w:lang w:val="es-ES" w:eastAsia="es-ES"/>
        </w:rPr>
        <w:t>LEY DE GARANTÍAS ELECTORALES ‒ Restricciones ‒ Contratación ‒ Tipos de elección</w:t>
      </w:r>
    </w:p>
    <w:p w14:paraId="44C945AF" w14:textId="77777777" w:rsidR="001F2E86" w:rsidRPr="001F2E86" w:rsidRDefault="001F2E86" w:rsidP="001F2E86">
      <w:pPr>
        <w:snapToGrid w:val="0"/>
        <w:spacing w:after="0" w:line="240" w:lineRule="auto"/>
        <w:contextualSpacing/>
        <w:jc w:val="both"/>
        <w:rPr>
          <w:rFonts w:ascii="Verdana" w:eastAsia="Calibri" w:hAnsi="Verdana" w:cs="Arial"/>
          <w:sz w:val="20"/>
          <w:szCs w:val="20"/>
          <w:lang w:val="es-ES" w:eastAsia="es-ES"/>
        </w:rPr>
      </w:pPr>
    </w:p>
    <w:p w14:paraId="7DF8BC1B" w14:textId="77777777" w:rsidR="00036766" w:rsidRPr="001F2E86" w:rsidRDefault="00036766" w:rsidP="001F2E86">
      <w:pPr>
        <w:snapToGrid w:val="0"/>
        <w:spacing w:after="0" w:line="240" w:lineRule="auto"/>
        <w:contextualSpacing/>
        <w:jc w:val="both"/>
        <w:rPr>
          <w:rFonts w:ascii="Verdana" w:eastAsia="Arial" w:hAnsi="Verdana" w:cs="Arial"/>
          <w:sz w:val="20"/>
          <w:szCs w:val="20"/>
          <w:lang w:val="es-ES" w:eastAsia="es-ES" w:bidi="es-ES"/>
        </w:rPr>
      </w:pPr>
      <w:r w:rsidRPr="001F2E86">
        <w:rPr>
          <w:rFonts w:ascii="Verdana" w:eastAsia="Arial" w:hAnsi="Verdana" w:cs="Arial"/>
          <w:sz w:val="20"/>
          <w:szCs w:val="20"/>
          <w:lang w:val="es-ES"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4A556460" w14:textId="23B75EBC" w:rsidR="00036766" w:rsidRPr="001F2E86" w:rsidRDefault="00036766" w:rsidP="001F2E86">
      <w:pPr>
        <w:snapToGrid w:val="0"/>
        <w:spacing w:after="0" w:line="240" w:lineRule="auto"/>
        <w:contextualSpacing/>
        <w:jc w:val="both"/>
        <w:rPr>
          <w:rFonts w:ascii="Verdana" w:eastAsia="Calibri" w:hAnsi="Verdana" w:cs="Arial"/>
          <w:sz w:val="20"/>
          <w:szCs w:val="20"/>
          <w:lang w:val="es-ES"/>
        </w:rPr>
      </w:pPr>
      <w:r w:rsidRPr="001F2E86">
        <w:rPr>
          <w:rFonts w:ascii="Verdana" w:eastAsia="Calibri" w:hAnsi="Verdana" w:cs="Arial"/>
          <w:sz w:val="20"/>
          <w:szCs w:val="20"/>
          <w:lang w:val="es-ES"/>
        </w:rPr>
        <w:t xml:space="preserve">Por un lado, el </w:t>
      </w:r>
      <w:r w:rsidRPr="001F2E86">
        <w:rPr>
          <w:rFonts w:ascii="Verdana" w:eastAsia="Calibri" w:hAnsi="Verdana" w:cs="Arial"/>
          <w:i/>
          <w:iCs/>
          <w:sz w:val="20"/>
          <w:szCs w:val="20"/>
          <w:lang w:val="es-ES"/>
        </w:rPr>
        <w:t xml:space="preserve">artículo 33 </w:t>
      </w:r>
      <w:r w:rsidRPr="001F2E86">
        <w:rPr>
          <w:rFonts w:ascii="Verdana" w:eastAsia="Calibri" w:hAnsi="Verdana" w:cs="Arial"/>
          <w:sz w:val="20"/>
          <w:szCs w:val="20"/>
          <w:lang w:val="es-ES"/>
        </w:rPr>
        <w:t xml:space="preserve">de la Ley 996 de 2005 prohíbe “[…] la contratación directa por parte de </w:t>
      </w:r>
      <w:r w:rsidRPr="001F2E86">
        <w:rPr>
          <w:rFonts w:ascii="Verdana" w:eastAsia="Calibri" w:hAnsi="Verdana" w:cs="Arial"/>
          <w:i/>
          <w:iCs/>
          <w:sz w:val="20"/>
          <w:szCs w:val="20"/>
          <w:lang w:val="es-ES"/>
        </w:rPr>
        <w:t>todos los entes del Estado</w:t>
      </w:r>
      <w:r w:rsidRPr="001F2E86">
        <w:rPr>
          <w:rFonts w:ascii="Verdana" w:eastAsia="Calibri" w:hAnsi="Verdana" w:cs="Arial"/>
          <w:sz w:val="20"/>
          <w:szCs w:val="20"/>
          <w:lang w:val="es-ES"/>
        </w:rPr>
        <w:t xml:space="preserve">” durante los cuatro (4) meses anteriores a las </w:t>
      </w:r>
      <w:r w:rsidRPr="001F2E86">
        <w:rPr>
          <w:rFonts w:ascii="Verdana" w:eastAsia="Calibri" w:hAnsi="Verdana" w:cs="Arial"/>
          <w:i/>
          <w:iCs/>
          <w:sz w:val="20"/>
          <w:szCs w:val="20"/>
          <w:lang w:val="es-ES"/>
        </w:rPr>
        <w:t>elecciones presidenciales</w:t>
      </w:r>
      <w:r w:rsidRPr="001F2E86">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1F2E86">
        <w:rPr>
          <w:rFonts w:ascii="Verdana" w:eastAsia="Calibri" w:hAnsi="Verdana" w:cs="Arial"/>
          <w:sz w:val="20"/>
          <w:szCs w:val="20"/>
          <w:vertAlign w:val="superscript"/>
          <w:lang w:val="es-ES"/>
        </w:rPr>
        <w:t>”</w:t>
      </w:r>
      <w:r w:rsidRPr="001F2E86">
        <w:rPr>
          <w:rFonts w:ascii="Verdana" w:eastAsia="Calibri" w:hAnsi="Verdana" w:cs="Arial"/>
          <w:sz w:val="20"/>
          <w:szCs w:val="20"/>
          <w:lang w:val="es-ES"/>
        </w:rPr>
        <w:t>.</w:t>
      </w:r>
    </w:p>
    <w:p w14:paraId="31A47FD8" w14:textId="77777777" w:rsidR="001F2E86" w:rsidRDefault="001F2E86" w:rsidP="001F2E86">
      <w:pPr>
        <w:widowControl w:val="0"/>
        <w:autoSpaceDE w:val="0"/>
        <w:autoSpaceDN w:val="0"/>
        <w:snapToGrid w:val="0"/>
        <w:spacing w:after="0" w:line="240" w:lineRule="auto"/>
        <w:ind w:right="113"/>
        <w:contextualSpacing/>
        <w:jc w:val="both"/>
        <w:rPr>
          <w:rFonts w:ascii="Verdana" w:eastAsia="Calibri" w:hAnsi="Verdana" w:cs="Arial"/>
          <w:sz w:val="20"/>
          <w:szCs w:val="20"/>
          <w:lang w:val="es-ES"/>
        </w:rPr>
      </w:pPr>
    </w:p>
    <w:p w14:paraId="2E9DFCD1" w14:textId="1B4AC2C3" w:rsidR="00036766" w:rsidRDefault="00036766" w:rsidP="001F2E86">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F2E86">
        <w:rPr>
          <w:rFonts w:ascii="Verdana" w:eastAsia="Calibri" w:hAnsi="Verdana" w:cs="Arial"/>
          <w:sz w:val="20"/>
          <w:szCs w:val="20"/>
          <w:lang w:val="es-ES"/>
        </w:rPr>
        <w:t xml:space="preserve">Por otro lado, </w:t>
      </w:r>
      <w:r w:rsidRPr="001F2E86">
        <w:rPr>
          <w:rFonts w:ascii="Verdana" w:eastAsia="Calibri" w:hAnsi="Verdana" w:cs="Arial"/>
          <w:i/>
          <w:iCs/>
          <w:sz w:val="20"/>
          <w:szCs w:val="20"/>
          <w:lang w:val="es-ES"/>
        </w:rPr>
        <w:t xml:space="preserve">el parágrafo del artículo 38 </w:t>
      </w:r>
      <w:r w:rsidRPr="001F2E86">
        <w:rPr>
          <w:rFonts w:ascii="Verdana" w:eastAsia="Calibri" w:hAnsi="Verdana" w:cs="Arial"/>
          <w:sz w:val="20"/>
          <w:szCs w:val="20"/>
          <w:lang w:val="es-ES"/>
        </w:rPr>
        <w:t xml:space="preserve">de la Ley 996 de 2005 prevé una restricción, aplicable respecto de </w:t>
      </w:r>
      <w:r w:rsidRPr="001F2E86">
        <w:rPr>
          <w:rFonts w:ascii="Verdana" w:eastAsia="Calibri" w:hAnsi="Verdana" w:cs="Arial"/>
          <w:i/>
          <w:iCs/>
          <w:sz w:val="20"/>
          <w:szCs w:val="20"/>
          <w:lang w:val="es-ES"/>
        </w:rPr>
        <w:t>cualquier tipo de contienda electoral</w:t>
      </w:r>
      <w:r w:rsidRPr="001F2E86">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F2E86">
        <w:rPr>
          <w:rFonts w:ascii="Verdana" w:eastAsia="Arial" w:hAnsi="Verdana" w:cs="Arial"/>
          <w:sz w:val="20"/>
          <w:szCs w:val="20"/>
          <w:lang w:val="es-ES" w:eastAsia="es-ES" w:bidi="es-ES"/>
        </w:rPr>
        <w:t xml:space="preserve"> </w:t>
      </w:r>
    </w:p>
    <w:p w14:paraId="12923D35" w14:textId="77777777" w:rsidR="001F2E86" w:rsidRPr="001F2E86" w:rsidRDefault="001F2E86" w:rsidP="001F2E86">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p>
    <w:p w14:paraId="3BAFC970" w14:textId="77777777" w:rsidR="00036766" w:rsidRPr="001F2E86" w:rsidRDefault="00036766" w:rsidP="001F2E86">
      <w:pPr>
        <w:snapToGrid w:val="0"/>
        <w:spacing w:after="0" w:line="240" w:lineRule="auto"/>
        <w:contextualSpacing/>
        <w:jc w:val="both"/>
        <w:rPr>
          <w:rFonts w:ascii="Verdana" w:eastAsia="Calibri" w:hAnsi="Verdana" w:cs="Arial"/>
          <w:b/>
          <w:bCs/>
          <w:sz w:val="20"/>
          <w:szCs w:val="20"/>
          <w:lang w:val="es-ES" w:eastAsia="es-ES"/>
        </w:rPr>
      </w:pPr>
      <w:r w:rsidRPr="001F2E86">
        <w:rPr>
          <w:rFonts w:ascii="Verdana" w:eastAsia="Calibri" w:hAnsi="Verdana" w:cs="Arial"/>
          <w:b/>
          <w:bCs/>
          <w:lang w:val="es-ES" w:eastAsia="es-ES"/>
        </w:rPr>
        <w:t>LEY DE GARANTÍAS ELECTORALES ‒ Artículo 33 ‒ Ámbito material</w:t>
      </w:r>
    </w:p>
    <w:p w14:paraId="13CF4E99" w14:textId="77777777" w:rsidR="001F2E86" w:rsidRDefault="001F2E86" w:rsidP="001F2E86">
      <w:pPr>
        <w:snapToGrid w:val="0"/>
        <w:spacing w:after="0" w:line="240" w:lineRule="auto"/>
        <w:contextualSpacing/>
        <w:jc w:val="both"/>
        <w:rPr>
          <w:rFonts w:ascii="Verdana" w:eastAsia="Times New Roman" w:hAnsi="Verdana" w:cs="Arial"/>
          <w:sz w:val="20"/>
          <w:szCs w:val="20"/>
          <w:lang w:val="es-ES" w:eastAsia="x-none"/>
        </w:rPr>
      </w:pPr>
    </w:p>
    <w:p w14:paraId="04BCC2E7" w14:textId="188D5091" w:rsidR="001F2E86" w:rsidRPr="001F2E86" w:rsidRDefault="001F2E86" w:rsidP="001F2E86">
      <w:pPr>
        <w:snapToGrid w:val="0"/>
        <w:spacing w:after="0" w:line="240" w:lineRule="auto"/>
        <w:contextualSpacing/>
        <w:jc w:val="both"/>
        <w:rPr>
          <w:rFonts w:ascii="Verdana" w:eastAsia="Times New Roman" w:hAnsi="Verdana" w:cs="Arial"/>
          <w:bCs/>
          <w:sz w:val="20"/>
          <w:szCs w:val="20"/>
          <w:lang w:val="es-ES" w:eastAsia="x-none"/>
        </w:rPr>
      </w:pPr>
      <w:r w:rsidRPr="001F2E86">
        <w:rPr>
          <w:rFonts w:ascii="Verdana" w:eastAsia="Times New Roman" w:hAnsi="Verdana" w:cs="Arial"/>
          <w:sz w:val="20"/>
          <w:szCs w:val="20"/>
          <w:lang w:val="es-ES" w:eastAsia="x-none"/>
        </w:rPr>
        <w:t xml:space="preserve">De acuerdo con este concepto, la prohibición del artículo 33 de la Ley de Garantías Electorales se refiere a </w:t>
      </w:r>
      <w:r w:rsidRPr="001F2E86">
        <w:rPr>
          <w:rFonts w:ascii="Verdana" w:eastAsia="Times New Roman" w:hAnsi="Verdana" w:cs="Arial"/>
          <w:sz w:val="20"/>
          <w:szCs w:val="20"/>
          <w:lang w:val="es-ES" w:eastAsia="en-GB"/>
        </w:rPr>
        <w:t>“</w:t>
      </w:r>
      <w:r w:rsidRPr="001F2E86">
        <w:rPr>
          <w:rFonts w:ascii="Verdana" w:eastAsia="Times New Roman" w:hAnsi="Verdana" w:cs="Arial"/>
          <w:i/>
          <w:iCs/>
          <w:sz w:val="20"/>
          <w:szCs w:val="20"/>
          <w:lang w:val="es-ES" w:eastAsia="x-none"/>
        </w:rPr>
        <w:t>cualquier</w:t>
      </w:r>
      <w:r w:rsidRPr="001F2E86">
        <w:rPr>
          <w:rFonts w:ascii="Verdana" w:eastAsia="Times New Roman" w:hAnsi="Verdana" w:cs="Arial"/>
          <w:sz w:val="20"/>
          <w:szCs w:val="20"/>
          <w:lang w:val="es-ES" w:eastAsia="x-none"/>
        </w:rPr>
        <w:t xml:space="preserve"> sistema que no implique convocatoria pública y posibilidad de pluralidad de oferentes</w:t>
      </w:r>
      <w:r w:rsidRPr="001F2E86">
        <w:rPr>
          <w:rFonts w:ascii="Verdana" w:eastAsia="Times New Roman" w:hAnsi="Verdana" w:cs="Arial"/>
          <w:sz w:val="20"/>
          <w:szCs w:val="20"/>
          <w:lang w:val="es-ES" w:eastAsia="en-GB"/>
        </w:rPr>
        <w:t>”</w:t>
      </w:r>
      <w:r w:rsidRPr="001F2E86">
        <w:rPr>
          <w:rFonts w:ascii="Verdana" w:eastAsia="Times New Roman" w:hAnsi="Verdana" w:cs="Arial"/>
          <w:sz w:val="20"/>
          <w:szCs w:val="20"/>
          <w:lang w:val="es-ES" w:eastAsia="x-none"/>
        </w:rPr>
        <w:t xml:space="preserve">, por lo que excluye las demás modalidades de contratación previstas en la Ley 1150 de 2007, es decir, la licitación pública, la selección abreviada, el concurso de méritos </w:t>
      </w:r>
      <w:r w:rsidRPr="001F2E86">
        <w:rPr>
          <w:rFonts w:ascii="Verdana" w:eastAsia="Times New Roman" w:hAnsi="Verdana" w:cs="Arial"/>
          <w:sz w:val="20"/>
          <w:szCs w:val="20"/>
          <w:lang w:val="es-ES"/>
        </w:rPr>
        <w:t>y la mínima cuantía</w:t>
      </w:r>
      <w:r w:rsidRPr="001F2E86" w:rsidDel="00A85D9F">
        <w:rPr>
          <w:rFonts w:ascii="Verdana" w:eastAsia="Times New Roman" w:hAnsi="Verdana" w:cs="Arial"/>
          <w:sz w:val="20"/>
          <w:szCs w:val="20"/>
          <w:lang w:val="es-ES" w:eastAsia="x-none"/>
        </w:rPr>
        <w:t xml:space="preserve"> </w:t>
      </w:r>
      <w:r w:rsidRPr="001F2E86">
        <w:rPr>
          <w:rFonts w:ascii="Verdana" w:eastAsia="Times New Roman" w:hAnsi="Verdana" w:cs="Arial"/>
          <w:sz w:val="20"/>
          <w:szCs w:val="20"/>
          <w:lang w:val="es-ES"/>
        </w:rPr>
        <w:t xml:space="preserve">u otros previstos en normas especiales. </w:t>
      </w:r>
      <w:r w:rsidRPr="001F2E86">
        <w:rPr>
          <w:rFonts w:ascii="Verdana" w:eastAsia="Times New Roman" w:hAnsi="Verdana" w:cs="Arial"/>
          <w:sz w:val="20"/>
          <w:szCs w:val="20"/>
          <w:lang w:val="es-ES" w:eastAsia="x-none"/>
        </w:rPr>
        <w:t xml:space="preserve">Esta posición es congruente con la expedición de la Ley 1150 de 2007 que, </w:t>
      </w:r>
      <w:r w:rsidRPr="001F2E86">
        <w:rPr>
          <w:rFonts w:ascii="Verdana" w:eastAsia="Times New Roman" w:hAnsi="Verdana" w:cs="Arial"/>
          <w:sz w:val="20"/>
          <w:szCs w:val="20"/>
          <w:lang w:val="es-ES" w:eastAsia="x-none"/>
        </w:rPr>
        <w:lastRenderedPageBreak/>
        <w:t xml:space="preserve">entre otras reformas, introdujo la selección abreviada, rediseñó el concurso de méritos y sistematizó las causales de contratación directa, </w:t>
      </w:r>
      <w:r w:rsidRPr="001F2E86">
        <w:rPr>
          <w:rFonts w:ascii="Verdana" w:eastAsia="Calibri" w:hAnsi="Verdana" w:cs="Arial"/>
          <w:sz w:val="20"/>
          <w:szCs w:val="20"/>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23122C32" w14:textId="77777777" w:rsidR="001F2E86" w:rsidRDefault="001F2E86" w:rsidP="001F2E86">
      <w:pPr>
        <w:snapToGrid w:val="0"/>
        <w:spacing w:after="0" w:line="240" w:lineRule="auto"/>
        <w:contextualSpacing/>
        <w:jc w:val="both"/>
        <w:rPr>
          <w:rFonts w:ascii="Verdana" w:eastAsia="Calibri" w:hAnsi="Verdana" w:cs="Arial"/>
          <w:sz w:val="20"/>
          <w:szCs w:val="20"/>
          <w:lang w:val="es-ES" w:eastAsia="es-ES"/>
        </w:rPr>
      </w:pPr>
    </w:p>
    <w:p w14:paraId="0988445B" w14:textId="1E0AEDBF" w:rsidR="001F2E86" w:rsidRPr="001F2E86" w:rsidRDefault="001F2E86" w:rsidP="001F2E86">
      <w:pPr>
        <w:snapToGrid w:val="0"/>
        <w:spacing w:after="0" w:line="240" w:lineRule="auto"/>
        <w:contextualSpacing/>
        <w:jc w:val="both"/>
        <w:rPr>
          <w:rFonts w:ascii="Verdana" w:hAnsi="Verdana" w:cs="Arial"/>
          <w:bCs/>
          <w:sz w:val="20"/>
          <w:szCs w:val="20"/>
          <w:lang w:val="es-ES" w:eastAsia="es-CO"/>
        </w:rPr>
      </w:pPr>
      <w:r w:rsidRPr="001F2E86">
        <w:rPr>
          <w:rFonts w:ascii="Verdana" w:eastAsia="Calibri" w:hAnsi="Verdana" w:cs="Arial"/>
          <w:sz w:val="20"/>
          <w:szCs w:val="20"/>
          <w:lang w:val="es-ES" w:eastAsia="es-ES"/>
        </w:rPr>
        <w:t xml:space="preserve">[…] </w:t>
      </w:r>
      <w:r w:rsidRPr="001F2E86">
        <w:rPr>
          <w:rFonts w:ascii="Verdana" w:eastAsia="Times New Roman" w:hAnsi="Verdana" w:cs="Arial"/>
          <w:bCs/>
          <w:sz w:val="20"/>
          <w:szCs w:val="20"/>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1F2E86">
        <w:rPr>
          <w:rFonts w:ascii="Verdana" w:eastAsia="Times New Roman" w:hAnsi="Verdana" w:cs="Arial"/>
          <w:bCs/>
          <w:i/>
          <w:iCs/>
          <w:sz w:val="20"/>
          <w:szCs w:val="20"/>
          <w:lang w:val="es-ES" w:eastAsia="es-CO"/>
        </w:rPr>
        <w:t>, sino también frente a las entidades que tengan un régimen especial de contratación</w:t>
      </w:r>
      <w:r w:rsidRPr="001F2E86">
        <w:rPr>
          <w:rFonts w:ascii="Verdana" w:eastAsia="Times New Roman" w:hAnsi="Verdana" w:cs="Arial"/>
          <w:bCs/>
          <w:sz w:val="20"/>
          <w:szCs w:val="20"/>
          <w:lang w:val="es-ES" w:eastAsia="es-CO"/>
        </w:rPr>
        <w:t>.</w:t>
      </w:r>
      <w:r w:rsidRPr="001F2E86">
        <w:rPr>
          <w:rFonts w:ascii="Verdana" w:hAnsi="Verdana" w:cs="Arial"/>
          <w:bCs/>
          <w:sz w:val="20"/>
          <w:szCs w:val="20"/>
          <w:lang w:val="es-ES" w:eastAsia="x-none"/>
        </w:rPr>
        <w:t xml:space="preserve"> </w:t>
      </w:r>
      <w:r w:rsidRPr="001F2E86">
        <w:rPr>
          <w:rFonts w:ascii="Verdana" w:hAnsi="Verdana" w:cs="Arial"/>
          <w:bCs/>
          <w:sz w:val="20"/>
          <w:szCs w:val="20"/>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1F2E86">
        <w:rPr>
          <w:rFonts w:ascii="Verdana" w:hAnsi="Verdana"/>
          <w:sz w:val="20"/>
          <w:szCs w:val="20"/>
          <w:lang w:val="es-ES"/>
        </w:rPr>
        <w:t xml:space="preserve"> </w:t>
      </w:r>
      <w:r w:rsidRPr="001F2E86">
        <w:rPr>
          <w:rFonts w:ascii="Verdana" w:hAnsi="Verdana" w:cs="Arial"/>
          <w:bCs/>
          <w:sz w:val="20"/>
          <w:szCs w:val="20"/>
          <w:lang w:val="es-ES" w:eastAsia="x-none"/>
        </w:rPr>
        <w:t>Tal como lo ha sostenido el Consejo de Estado, el vocablo “todos” utilizado por el legislador comprende</w:t>
      </w:r>
      <w:r w:rsidRPr="001F2E86">
        <w:rPr>
          <w:rFonts w:ascii="Verdana" w:hAnsi="Verdana"/>
          <w:sz w:val="20"/>
          <w:szCs w:val="20"/>
          <w:lang w:val="es-ES"/>
        </w:rPr>
        <w:t xml:space="preserve"> </w:t>
      </w:r>
      <w:r w:rsidRPr="001F2E86">
        <w:rPr>
          <w:rFonts w:ascii="Verdana" w:hAnsi="Verdana" w:cs="Arial"/>
          <w:bCs/>
          <w:sz w:val="20"/>
          <w:szCs w:val="20"/>
          <w:lang w:val="es-ES" w:eastAsia="x-none"/>
        </w:rPr>
        <w:t xml:space="preserve">a la </w:t>
      </w:r>
      <w:r w:rsidRPr="001F2E86">
        <w:rPr>
          <w:rFonts w:ascii="Verdana" w:hAnsi="Verdana" w:cs="Arial"/>
          <w:bCs/>
          <w:i/>
          <w:iCs/>
          <w:sz w:val="20"/>
          <w:szCs w:val="20"/>
          <w:lang w:val="es-ES" w:eastAsia="x-none"/>
        </w:rPr>
        <w:t>totalidad</w:t>
      </w:r>
      <w:r w:rsidRPr="001F2E86">
        <w:rPr>
          <w:rFonts w:ascii="Verdana" w:hAnsi="Verdana" w:cs="Arial"/>
          <w:bCs/>
          <w:sz w:val="20"/>
          <w:szCs w:val="20"/>
          <w:lang w:val="es-ES" w:eastAsia="x-none"/>
        </w:rPr>
        <w:t xml:space="preserve">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1F2E86">
        <w:rPr>
          <w:rFonts w:ascii="Verdana" w:hAnsi="Verdana" w:cs="Arial"/>
          <w:bCs/>
          <w:sz w:val="20"/>
          <w:szCs w:val="20"/>
          <w:lang w:val="es-ES" w:eastAsia="es-CO"/>
        </w:rPr>
        <w:t>”</w:t>
      </w:r>
      <w:r>
        <w:rPr>
          <w:rFonts w:ascii="Verdana" w:hAnsi="Verdana" w:cs="Arial"/>
          <w:bCs/>
          <w:sz w:val="20"/>
          <w:szCs w:val="20"/>
          <w:lang w:val="es-ES" w:eastAsia="es-CO"/>
        </w:rPr>
        <w:t>.</w:t>
      </w:r>
    </w:p>
    <w:p w14:paraId="5AB2498E" w14:textId="4BB31B51" w:rsidR="001F2E86" w:rsidRPr="001F2E86" w:rsidRDefault="001F2E86" w:rsidP="001F2E86">
      <w:pPr>
        <w:snapToGrid w:val="0"/>
        <w:spacing w:after="0" w:line="240" w:lineRule="auto"/>
        <w:contextualSpacing/>
        <w:jc w:val="both"/>
        <w:rPr>
          <w:rFonts w:ascii="Verdana" w:eastAsia="Calibri" w:hAnsi="Verdana" w:cs="Arial"/>
          <w:sz w:val="20"/>
          <w:szCs w:val="20"/>
          <w:lang w:val="es-ES" w:eastAsia="es-ES"/>
        </w:rPr>
      </w:pPr>
    </w:p>
    <w:p w14:paraId="52A078BB" w14:textId="0E49AE48" w:rsidR="00036766" w:rsidRPr="001F2E86" w:rsidRDefault="00036766" w:rsidP="001F2E86">
      <w:pPr>
        <w:snapToGrid w:val="0"/>
        <w:contextualSpacing/>
        <w:jc w:val="both"/>
        <w:rPr>
          <w:rFonts w:ascii="Verdana" w:eastAsia="Calibri" w:hAnsi="Verdana" w:cs="Arial"/>
          <w:b/>
          <w:bCs/>
          <w:lang w:val="es-ES" w:eastAsia="es-ES"/>
        </w:rPr>
      </w:pPr>
      <w:r w:rsidRPr="001F2E86">
        <w:rPr>
          <w:rFonts w:ascii="Verdana" w:eastAsia="Calibri" w:hAnsi="Verdana" w:cs="Arial"/>
          <w:b/>
          <w:bCs/>
          <w:lang w:val="es-ES" w:eastAsia="es-ES"/>
        </w:rPr>
        <w:t xml:space="preserve">LEY DE GARANTÍAS ELECTORALES ‒ Artículo 38 </w:t>
      </w:r>
    </w:p>
    <w:p w14:paraId="276EE10B" w14:textId="77777777" w:rsidR="001F2E86" w:rsidRPr="001F2E86" w:rsidRDefault="001F2E86" w:rsidP="001F2E86">
      <w:pPr>
        <w:snapToGrid w:val="0"/>
        <w:spacing w:after="0" w:line="240" w:lineRule="auto"/>
        <w:contextualSpacing/>
        <w:jc w:val="both"/>
        <w:rPr>
          <w:rFonts w:ascii="Verdana" w:eastAsia="Calibri" w:hAnsi="Verdana" w:cs="Arial"/>
          <w:sz w:val="20"/>
          <w:szCs w:val="20"/>
          <w:lang w:val="es-ES" w:eastAsia="es-ES"/>
        </w:rPr>
      </w:pPr>
    </w:p>
    <w:p w14:paraId="60815690" w14:textId="08878CEC" w:rsidR="001F2E86" w:rsidRPr="001F2E86" w:rsidRDefault="001F2E86" w:rsidP="001F2E86">
      <w:pPr>
        <w:snapToGrid w:val="0"/>
        <w:spacing w:after="0" w:line="240" w:lineRule="auto"/>
        <w:contextualSpacing/>
        <w:jc w:val="both"/>
        <w:rPr>
          <w:rFonts w:ascii="Verdana" w:hAnsi="Verdana" w:cs="Arial"/>
          <w:sz w:val="20"/>
          <w:szCs w:val="20"/>
          <w:lang w:val="es-ES"/>
        </w:rPr>
      </w:pPr>
      <w:r w:rsidRPr="001F2E86">
        <w:rPr>
          <w:rFonts w:ascii="Verdana" w:eastAsia="Arial" w:hAnsi="Verdana" w:cs="Arial"/>
          <w:bCs/>
          <w:color w:val="000000" w:themeColor="text1"/>
          <w:sz w:val="20"/>
          <w:szCs w:val="20"/>
          <w:lang w:val="es-ES"/>
        </w:rPr>
        <w:t xml:space="preserve">Por otro lado, la prohibición establecida en el </w:t>
      </w:r>
      <w:r w:rsidRPr="001F2E86">
        <w:rPr>
          <w:rFonts w:ascii="Verdana" w:eastAsia="Arial" w:hAnsi="Verdana" w:cs="Arial"/>
          <w:bCs/>
          <w:i/>
          <w:iCs/>
          <w:color w:val="000000" w:themeColor="text1"/>
          <w:sz w:val="20"/>
          <w:szCs w:val="20"/>
          <w:lang w:val="es-ES"/>
        </w:rPr>
        <w:t xml:space="preserve">parágrafo del artículo 38 </w:t>
      </w:r>
      <w:r w:rsidRPr="001F2E86">
        <w:rPr>
          <w:rFonts w:ascii="Verdana" w:eastAsia="Calibri" w:hAnsi="Verdana" w:cs="Arial"/>
          <w:bCs/>
          <w:sz w:val="20"/>
          <w:szCs w:val="20"/>
          <w:lang w:val="es-ES"/>
        </w:rPr>
        <w:t xml:space="preserve">de la Ley 996 de 2005 dispone que “los Gobernadores, Alcaldes Municipales y/o Distritales, Secretarios, Gerentes y directores de Entidades Descentralizadas del orden Municipal, Departamental o Distrital, dentro de los cuatro (4) meses anteriores a las elecciones, no podrán celebrar </w:t>
      </w:r>
      <w:r w:rsidRPr="001F2E86">
        <w:rPr>
          <w:rFonts w:ascii="Verdana" w:eastAsia="Calibri" w:hAnsi="Verdana" w:cs="Arial"/>
          <w:bCs/>
          <w:i/>
          <w:iCs/>
          <w:sz w:val="20"/>
          <w:szCs w:val="20"/>
          <w:lang w:val="es-ES"/>
        </w:rPr>
        <w:t>convenios interadministrativos</w:t>
      </w:r>
      <w:r w:rsidRPr="001F2E86">
        <w:rPr>
          <w:rFonts w:ascii="Verdana" w:eastAsia="Calibri" w:hAnsi="Verdana" w:cs="Arial"/>
          <w:bCs/>
          <w:sz w:val="20"/>
          <w:szCs w:val="20"/>
          <w:lang w:val="es-ES"/>
        </w:rPr>
        <w:t xml:space="preserve"> para la ejecución de recursos públicos”.</w:t>
      </w:r>
      <w:r w:rsidRPr="001F2E86">
        <w:rPr>
          <w:rFonts w:ascii="Verdana" w:hAnsi="Verdana" w:cs="Arial"/>
          <w:bCs/>
          <w:iCs/>
          <w:sz w:val="20"/>
          <w:szCs w:val="20"/>
          <w:lang w:val="es-ES" w:eastAsia="x-none"/>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1F2E86">
        <w:rPr>
          <w:rFonts w:ascii="Verdana" w:hAnsi="Verdana" w:cs="Arial"/>
          <w:sz w:val="20"/>
          <w:szCs w:val="20"/>
          <w:lang w:val="es-ES"/>
        </w:rPr>
        <w:t xml:space="preserve"> </w:t>
      </w:r>
    </w:p>
    <w:p w14:paraId="08B63F21" w14:textId="77777777" w:rsidR="00036766" w:rsidRDefault="00036766" w:rsidP="00D376C9">
      <w:pPr>
        <w:spacing w:after="0"/>
        <w:rPr>
          <w:rFonts w:ascii="Verdana" w:hAnsi="Verdana"/>
          <w:lang w:val="es-ES"/>
        </w:rPr>
      </w:pPr>
    </w:p>
    <w:p w14:paraId="13944D1C" w14:textId="77777777" w:rsidR="001F2E86" w:rsidRDefault="001F2E86" w:rsidP="00D376C9">
      <w:pPr>
        <w:spacing w:after="0"/>
        <w:rPr>
          <w:rFonts w:ascii="Verdana" w:hAnsi="Verdana"/>
          <w:lang w:val="es-ES"/>
        </w:rPr>
      </w:pPr>
    </w:p>
    <w:p w14:paraId="433CA4B5" w14:textId="77777777" w:rsidR="001F2E86" w:rsidRDefault="001F2E86" w:rsidP="00D376C9">
      <w:pPr>
        <w:spacing w:after="0"/>
        <w:rPr>
          <w:rFonts w:ascii="Verdana" w:hAnsi="Verdana"/>
          <w:lang w:val="es-ES"/>
        </w:rPr>
      </w:pPr>
    </w:p>
    <w:p w14:paraId="0A613A90" w14:textId="77777777" w:rsidR="00CB79D3" w:rsidRDefault="00CB79D3" w:rsidP="00D376C9">
      <w:pPr>
        <w:spacing w:after="0"/>
        <w:rPr>
          <w:rFonts w:ascii="Verdana" w:hAnsi="Verdana"/>
          <w:lang w:val="es-ES"/>
        </w:rPr>
      </w:pPr>
    </w:p>
    <w:p w14:paraId="40689688" w14:textId="77777777" w:rsidR="00CB79D3" w:rsidRDefault="00CB79D3" w:rsidP="00D376C9">
      <w:pPr>
        <w:spacing w:after="0"/>
        <w:rPr>
          <w:rFonts w:ascii="Verdana" w:hAnsi="Verdana"/>
          <w:lang w:val="es-ES"/>
        </w:rPr>
      </w:pPr>
    </w:p>
    <w:p w14:paraId="15FD6C20" w14:textId="77777777" w:rsidR="00CB79D3" w:rsidRDefault="00CB79D3" w:rsidP="00D376C9">
      <w:pPr>
        <w:spacing w:after="0"/>
        <w:rPr>
          <w:rFonts w:ascii="Verdana" w:hAnsi="Verdana"/>
          <w:lang w:val="es-ES"/>
        </w:rPr>
      </w:pPr>
    </w:p>
    <w:p w14:paraId="7A604196" w14:textId="77777777" w:rsidR="00CB79D3" w:rsidRDefault="00CB79D3" w:rsidP="00D376C9">
      <w:pPr>
        <w:spacing w:after="0"/>
        <w:rPr>
          <w:rFonts w:ascii="Verdana" w:hAnsi="Verdana"/>
          <w:lang w:val="es-ES"/>
        </w:rPr>
      </w:pPr>
    </w:p>
    <w:p w14:paraId="61072A34" w14:textId="77777777" w:rsidR="00CB79D3" w:rsidRDefault="00CB79D3" w:rsidP="00D376C9">
      <w:pPr>
        <w:spacing w:after="0"/>
        <w:rPr>
          <w:rFonts w:ascii="Verdana" w:hAnsi="Verdana"/>
          <w:lang w:val="es-ES"/>
        </w:rPr>
      </w:pPr>
    </w:p>
    <w:p w14:paraId="530C69CD" w14:textId="77777777" w:rsidR="00CB79D3" w:rsidRDefault="00CB79D3" w:rsidP="00D376C9">
      <w:pPr>
        <w:spacing w:after="0"/>
        <w:rPr>
          <w:rFonts w:ascii="Verdana" w:hAnsi="Verdana"/>
          <w:lang w:val="es-ES"/>
        </w:rPr>
      </w:pPr>
    </w:p>
    <w:p w14:paraId="264110B8" w14:textId="77777777" w:rsidR="00CB79D3" w:rsidRDefault="00CB79D3" w:rsidP="00D376C9">
      <w:pPr>
        <w:spacing w:after="0"/>
        <w:rPr>
          <w:rFonts w:ascii="Verdana" w:hAnsi="Verdana"/>
          <w:lang w:val="es-ES"/>
        </w:rPr>
      </w:pPr>
    </w:p>
    <w:p w14:paraId="798D6536" w14:textId="77777777" w:rsidR="00CB79D3" w:rsidRDefault="00CB79D3" w:rsidP="00D376C9">
      <w:pPr>
        <w:spacing w:after="0"/>
        <w:rPr>
          <w:rFonts w:ascii="Verdana" w:hAnsi="Verdana"/>
          <w:lang w:val="es-ES"/>
        </w:rPr>
      </w:pPr>
    </w:p>
    <w:p w14:paraId="34552812" w14:textId="292B3498" w:rsidR="00D376C9" w:rsidRPr="00FC6F34" w:rsidRDefault="00D376C9" w:rsidP="00D376C9">
      <w:pPr>
        <w:spacing w:after="0"/>
        <w:rPr>
          <w:rFonts w:ascii="Verdana" w:hAnsi="Verdana"/>
          <w:lang w:val="es-ES"/>
        </w:rPr>
      </w:pPr>
      <w:r w:rsidRPr="00FC6F34">
        <w:rPr>
          <w:rFonts w:ascii="Verdana" w:hAnsi="Verdana"/>
          <w:lang w:val="es-ES"/>
        </w:rPr>
        <w:lastRenderedPageBreak/>
        <w:t xml:space="preserve">Bogotá D.C., </w:t>
      </w:r>
      <w:r w:rsidR="00B07419">
        <w:rPr>
          <w:rFonts w:ascii="Verdana" w:hAnsi="Verdana"/>
          <w:lang w:val="es-ES"/>
        </w:rPr>
        <w:t xml:space="preserve">17 de diciembre </w:t>
      </w:r>
      <w:r>
        <w:rPr>
          <w:rFonts w:ascii="Verdana" w:hAnsi="Verdana"/>
          <w:lang w:val="es-ES"/>
        </w:rPr>
        <w:t>de 2025</w:t>
      </w:r>
      <w:r w:rsidRPr="00FC6F34">
        <w:rPr>
          <w:rFonts w:ascii="Verdana" w:hAnsi="Verdana"/>
          <w:lang w:val="es-ES"/>
        </w:rPr>
        <w:tab/>
      </w:r>
    </w:p>
    <w:p w14:paraId="41EF1009" w14:textId="20B6914D" w:rsidR="00D376C9" w:rsidRPr="00FC6F34" w:rsidRDefault="00D376C9" w:rsidP="00D376C9">
      <w:pPr>
        <w:spacing w:after="0"/>
        <w:rPr>
          <w:rFonts w:ascii="Verdana" w:hAnsi="Verdana"/>
          <w:lang w:val="es-ES"/>
        </w:rPr>
      </w:pPr>
    </w:p>
    <w:p w14:paraId="0B46FD6B" w14:textId="2117C202" w:rsidR="00D376C9" w:rsidRDefault="00036766" w:rsidP="00D376C9">
      <w:pPr>
        <w:spacing w:after="0" w:line="240" w:lineRule="auto"/>
        <w:rPr>
          <w:rFonts w:ascii="Verdana" w:eastAsia="Calibri" w:hAnsi="Verdana" w:cs="Arial"/>
          <w:color w:val="000000" w:themeColor="text1"/>
          <w:lang w:val="es-ES" w:eastAsia="es-ES"/>
        </w:rPr>
      </w:pPr>
      <w:bookmarkStart w:id="0" w:name="_Hlk143780582"/>
      <w:r>
        <w:rPr>
          <w:rFonts w:ascii="Verdana" w:hAnsi="Verdana"/>
          <w:noProof/>
          <w:lang w:val="en-CO"/>
        </w:rPr>
        <w:drawing>
          <wp:anchor distT="0" distB="0" distL="114300" distR="114300" simplePos="0" relativeHeight="251658240" behindDoc="0" locked="0" layoutInCell="1" allowOverlap="1" wp14:anchorId="7DB03740" wp14:editId="2CF61A2C">
            <wp:simplePos x="0" y="0"/>
            <wp:positionH relativeFrom="column">
              <wp:posOffset>2980428</wp:posOffset>
            </wp:positionH>
            <wp:positionV relativeFrom="page">
              <wp:posOffset>1961515</wp:posOffset>
            </wp:positionV>
            <wp:extent cx="2305685" cy="690880"/>
            <wp:effectExtent l="0" t="0" r="5715" b="0"/>
            <wp:wrapSquare wrapText="bothSides"/>
            <wp:docPr id="2100239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239370" name="Picture 2100239370"/>
                    <pic:cNvPicPr/>
                  </pic:nvPicPr>
                  <pic:blipFill>
                    <a:blip r:embed="rId10">
                      <a:extLst>
                        <a:ext uri="{28A0092B-C50C-407E-A947-70E740481C1C}">
                          <a14:useLocalDpi xmlns:a14="http://schemas.microsoft.com/office/drawing/2010/main" val="0"/>
                        </a:ext>
                      </a:extLst>
                    </a:blip>
                    <a:stretch>
                      <a:fillRect/>
                    </a:stretch>
                  </pic:blipFill>
                  <pic:spPr>
                    <a:xfrm>
                      <a:off x="0" y="0"/>
                      <a:ext cx="2305685" cy="690880"/>
                    </a:xfrm>
                    <a:prstGeom prst="rect">
                      <a:avLst/>
                    </a:prstGeom>
                  </pic:spPr>
                </pic:pic>
              </a:graphicData>
            </a:graphic>
            <wp14:sizeRelH relativeFrom="page">
              <wp14:pctWidth>0</wp14:pctWidth>
            </wp14:sizeRelH>
            <wp14:sizeRelV relativeFrom="page">
              <wp14:pctHeight>0</wp14:pctHeight>
            </wp14:sizeRelV>
          </wp:anchor>
        </w:drawing>
      </w:r>
      <w:r w:rsidR="00D376C9" w:rsidRPr="00FC6F34">
        <w:rPr>
          <w:rFonts w:ascii="Verdana" w:eastAsia="Calibri" w:hAnsi="Verdana" w:cs="Arial"/>
          <w:color w:val="000000" w:themeColor="text1"/>
          <w:lang w:val="es-ES" w:eastAsia="es-ES"/>
        </w:rPr>
        <w:t>Señor</w:t>
      </w:r>
    </w:p>
    <w:p w14:paraId="3D74A4AC" w14:textId="32D072D8" w:rsidR="00D376C9" w:rsidRPr="00EA6FA4" w:rsidRDefault="00D376C9" w:rsidP="00D376C9">
      <w:pPr>
        <w:spacing w:after="0" w:line="240" w:lineRule="auto"/>
        <w:rPr>
          <w:rFonts w:ascii="Verdana" w:hAnsi="Verdana"/>
          <w:lang w:val="en-CO"/>
        </w:rPr>
      </w:pPr>
      <w:r w:rsidRPr="00EA6FA4">
        <w:rPr>
          <w:rFonts w:ascii="Verdana" w:hAnsi="Verdana"/>
          <w:b/>
          <w:bCs/>
          <w:lang w:val="en-CO"/>
        </w:rPr>
        <w:t>Wilmar Jose Valencia Su</w:t>
      </w:r>
      <w:r>
        <w:rPr>
          <w:rFonts w:ascii="Verdana" w:hAnsi="Verdana"/>
          <w:b/>
          <w:bCs/>
          <w:lang w:val="en-CO"/>
        </w:rPr>
        <w:t>á</w:t>
      </w:r>
      <w:r w:rsidRPr="00EA6FA4">
        <w:rPr>
          <w:rFonts w:ascii="Verdana" w:hAnsi="Verdana"/>
          <w:b/>
          <w:bCs/>
          <w:lang w:val="en-CO"/>
        </w:rPr>
        <w:t xml:space="preserve">rez </w:t>
      </w:r>
    </w:p>
    <w:p w14:paraId="3EDE3A2B" w14:textId="5EF2BBB4" w:rsidR="00D376C9" w:rsidRDefault="00D376C9" w:rsidP="00D376C9">
      <w:pPr>
        <w:spacing w:after="0" w:line="240" w:lineRule="auto"/>
        <w:rPr>
          <w:rFonts w:ascii="Verdana" w:hAnsi="Verdana"/>
          <w:lang w:val="en-CO"/>
        </w:rPr>
      </w:pPr>
      <w:hyperlink r:id="rId11" w:history="1">
        <w:r w:rsidRPr="00EA6FA4">
          <w:rPr>
            <w:rStyle w:val="Hyperlink"/>
            <w:rFonts w:ascii="Verdana" w:hAnsi="Verdana"/>
            <w:lang w:val="en-CO"/>
          </w:rPr>
          <w:t>wilmarvalencia@hotmail.com</w:t>
        </w:r>
      </w:hyperlink>
    </w:p>
    <w:p w14:paraId="6E6A5BBC" w14:textId="77777777" w:rsidR="00D376C9" w:rsidRPr="00BC4697" w:rsidRDefault="00D376C9" w:rsidP="00D376C9">
      <w:pPr>
        <w:spacing w:after="0" w:line="240" w:lineRule="auto"/>
        <w:rPr>
          <w:rFonts w:ascii="Verdana" w:eastAsia="Calibri" w:hAnsi="Verdana" w:cs="Arial"/>
          <w:color w:val="000000" w:themeColor="text1"/>
          <w:lang w:eastAsia="es-ES"/>
        </w:rPr>
      </w:pPr>
      <w:r w:rsidRPr="00FC6F34">
        <w:rPr>
          <w:rFonts w:ascii="Verdana" w:hAnsi="Verdana"/>
          <w:lang w:val="es-ES"/>
        </w:rPr>
        <w:t>Bogotá D.C.</w:t>
      </w:r>
    </w:p>
    <w:p w14:paraId="014E2C85" w14:textId="77777777" w:rsidR="00D376C9" w:rsidRPr="00FC6F34" w:rsidRDefault="00D376C9" w:rsidP="00D376C9">
      <w:pPr>
        <w:spacing w:after="0" w:line="240" w:lineRule="auto"/>
        <w:rPr>
          <w:rFonts w:ascii="Verdana" w:eastAsia="Calibri" w:hAnsi="Verdana" w:cs="Arial"/>
          <w:b/>
          <w:bCs/>
          <w:color w:val="000000" w:themeColor="text1"/>
          <w:lang w:val="es-ES" w:eastAsia="es-ES"/>
        </w:rPr>
      </w:pPr>
    </w:p>
    <w:tbl>
      <w:tblPr>
        <w:tblStyle w:val="TableGrid"/>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D376C9" w:rsidRPr="00FC6F34" w14:paraId="0D718ABE" w14:textId="77777777" w:rsidTr="00F50545">
        <w:trPr>
          <w:trHeight w:val="300"/>
        </w:trPr>
        <w:tc>
          <w:tcPr>
            <w:tcW w:w="2410" w:type="dxa"/>
          </w:tcPr>
          <w:p w14:paraId="2F0E891D" w14:textId="77777777" w:rsidR="00D376C9" w:rsidRPr="00FC6F34" w:rsidRDefault="00D376C9" w:rsidP="00F50545">
            <w:pPr>
              <w:ind w:left="-142"/>
              <w:jc w:val="both"/>
              <w:rPr>
                <w:rFonts w:ascii="Verdana" w:eastAsia="Calibri" w:hAnsi="Verdana" w:cs="Arial"/>
                <w:b/>
                <w:bCs/>
                <w:color w:val="000000" w:themeColor="text1"/>
                <w:lang w:val="es-ES" w:eastAsia="es-ES_tradnl"/>
              </w:rPr>
            </w:pPr>
          </w:p>
        </w:tc>
        <w:tc>
          <w:tcPr>
            <w:tcW w:w="6100" w:type="dxa"/>
          </w:tcPr>
          <w:p w14:paraId="5BAEEA1D" w14:textId="77777777" w:rsidR="00D376C9" w:rsidRDefault="00D376C9" w:rsidP="00F50545">
            <w:pPr>
              <w:ind w:left="3"/>
              <w:jc w:val="both"/>
              <w:rPr>
                <w:rFonts w:ascii="Verdana" w:eastAsia="Calibri" w:hAnsi="Verdana" w:cs="Arial"/>
                <w:b/>
                <w:bCs/>
                <w:color w:val="000000" w:themeColor="text1"/>
                <w:lang w:val="es-ES" w:eastAsia="es-ES"/>
              </w:rPr>
            </w:pPr>
          </w:p>
          <w:p w14:paraId="605831F0" w14:textId="33F47EFB" w:rsidR="00D376C9" w:rsidRPr="00FC6F34" w:rsidRDefault="00D376C9" w:rsidP="00F50545">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00337269">
              <w:rPr>
                <w:rFonts w:ascii="Verdana" w:eastAsia="Calibri" w:hAnsi="Verdana" w:cs="Arial"/>
                <w:b/>
                <w:bCs/>
                <w:color w:val="000000" w:themeColor="text1"/>
                <w:lang w:val="es-ES" w:eastAsia="es-ES"/>
              </w:rPr>
              <w:t>1629</w:t>
            </w:r>
            <w:r w:rsidRPr="00FC6F34">
              <w:rPr>
                <w:rFonts w:ascii="Verdana" w:eastAsia="Calibri" w:hAnsi="Verdana" w:cs="Arial"/>
                <w:b/>
                <w:bCs/>
                <w:color w:val="000000" w:themeColor="text1"/>
                <w:lang w:val="es-ES" w:eastAsia="es-ES"/>
              </w:rPr>
              <w:t xml:space="preserve"> de 2025</w:t>
            </w:r>
          </w:p>
          <w:p w14:paraId="3280ACCA" w14:textId="77777777" w:rsidR="00D376C9" w:rsidRPr="00FC6F34" w:rsidRDefault="00D376C9" w:rsidP="00F50545">
            <w:pPr>
              <w:ind w:left="3"/>
              <w:jc w:val="both"/>
              <w:rPr>
                <w:rFonts w:ascii="Verdana" w:eastAsia="Calibri" w:hAnsi="Verdana" w:cs="Arial"/>
                <w:b/>
                <w:bCs/>
                <w:color w:val="000000" w:themeColor="text1"/>
                <w:lang w:val="es-ES" w:eastAsia="es-ES"/>
              </w:rPr>
            </w:pPr>
          </w:p>
        </w:tc>
      </w:tr>
      <w:tr w:rsidR="00D376C9" w:rsidRPr="00FC6F34" w14:paraId="78EEE20D" w14:textId="77777777" w:rsidTr="00F50545">
        <w:trPr>
          <w:trHeight w:val="300"/>
        </w:trPr>
        <w:tc>
          <w:tcPr>
            <w:tcW w:w="2410" w:type="dxa"/>
          </w:tcPr>
          <w:p w14:paraId="57E447D4" w14:textId="77777777" w:rsidR="00D376C9" w:rsidRPr="00FC6F34" w:rsidRDefault="00D376C9" w:rsidP="00F50545">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6BA481AE" w14:textId="77777777" w:rsidR="00D376C9" w:rsidRDefault="00D376C9" w:rsidP="00F50545">
            <w:pPr>
              <w:spacing w:line="276" w:lineRule="auto"/>
              <w:jc w:val="both"/>
              <w:rPr>
                <w:rFonts w:ascii="Verdana" w:eastAsia="Calibri" w:hAnsi="Verdana" w:cs="Arial"/>
                <w:lang w:val="es-ES" w:eastAsia="es-ES"/>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w:t>
            </w:r>
            <w:r w:rsidRPr="00FC6F34">
              <w:rPr>
                <w:rFonts w:ascii="Verdana" w:eastAsia="Calibri" w:hAnsi="Verdana" w:cs="Arial"/>
                <w:lang w:val="es-ES" w:eastAsia="es-ES"/>
              </w:rPr>
              <w:t>LEY DE GARANTÍAS ELECTORALES ‒ Artículo 3</w:t>
            </w:r>
            <w:r>
              <w:rPr>
                <w:rFonts w:ascii="Verdana" w:eastAsia="Calibri" w:hAnsi="Verdana" w:cs="Arial"/>
                <w:lang w:val="es-ES" w:eastAsia="es-ES"/>
              </w:rPr>
              <w:t>8</w:t>
            </w:r>
            <w:r w:rsidRPr="00FC6F34">
              <w:rPr>
                <w:rFonts w:ascii="Verdana" w:eastAsia="Calibri" w:hAnsi="Verdana" w:cs="Arial"/>
                <w:lang w:val="es-ES" w:eastAsia="es-ES"/>
              </w:rPr>
              <w:t xml:space="preserve"> </w:t>
            </w:r>
          </w:p>
          <w:p w14:paraId="210FDF1B" w14:textId="77777777" w:rsidR="00D376C9" w:rsidRPr="00FC6F34" w:rsidRDefault="00D376C9" w:rsidP="00F50545">
            <w:pPr>
              <w:spacing w:line="276" w:lineRule="auto"/>
              <w:jc w:val="both"/>
              <w:rPr>
                <w:rFonts w:ascii="Verdana" w:eastAsia="Calibri" w:hAnsi="Verdana" w:cs="Arial"/>
                <w:color w:val="000000" w:themeColor="text1"/>
                <w:lang w:val="es-ES" w:eastAsia="es-ES"/>
              </w:rPr>
            </w:pPr>
          </w:p>
        </w:tc>
      </w:tr>
      <w:tr w:rsidR="00D376C9" w:rsidRPr="00FC6F34" w14:paraId="3F35A4D1" w14:textId="77777777" w:rsidTr="00F50545">
        <w:tc>
          <w:tcPr>
            <w:tcW w:w="2410" w:type="dxa"/>
          </w:tcPr>
          <w:p w14:paraId="7F63055B" w14:textId="77777777" w:rsidR="00D376C9" w:rsidRPr="00FC6F34" w:rsidRDefault="00D376C9" w:rsidP="00F50545">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14D15EFC" w14:textId="77777777" w:rsidR="00D376C9" w:rsidRPr="00FC6F34" w:rsidRDefault="00D376C9" w:rsidP="00F50545">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Pr="00EA6FA4">
              <w:rPr>
                <w:rFonts w:ascii="Verdana" w:eastAsia="Calibri" w:hAnsi="Verdana" w:cs="Arial"/>
                <w:color w:val="000000" w:themeColor="text1"/>
                <w:lang w:val="es-ES" w:eastAsia="es-ES"/>
              </w:rPr>
              <w:t>1_2025_11_04_012420</w:t>
            </w:r>
          </w:p>
        </w:tc>
      </w:tr>
    </w:tbl>
    <w:p w14:paraId="0800B368" w14:textId="77777777" w:rsidR="00D376C9" w:rsidRPr="00FC6F34" w:rsidRDefault="00D376C9" w:rsidP="00D376C9">
      <w:pPr>
        <w:spacing w:after="0" w:line="276" w:lineRule="auto"/>
        <w:jc w:val="both"/>
        <w:rPr>
          <w:rFonts w:ascii="Verdana" w:eastAsia="Calibri" w:hAnsi="Verdana" w:cs="Arial"/>
          <w:color w:val="000000" w:themeColor="text1"/>
          <w:lang w:val="es-ES" w:eastAsia="es-ES"/>
        </w:rPr>
      </w:pPr>
    </w:p>
    <w:p w14:paraId="1DEF4937" w14:textId="77777777" w:rsidR="00D376C9" w:rsidRPr="00FC6F34" w:rsidRDefault="00D376C9" w:rsidP="00D376C9">
      <w:pPr>
        <w:spacing w:after="0" w:line="276" w:lineRule="auto"/>
        <w:jc w:val="both"/>
        <w:rPr>
          <w:rFonts w:ascii="Verdana" w:eastAsia="Calibri" w:hAnsi="Verdana" w:cs="Arial"/>
          <w:color w:val="000000" w:themeColor="text1"/>
          <w:lang w:val="es-ES" w:eastAsia="es-ES"/>
        </w:rPr>
      </w:pPr>
    </w:p>
    <w:p w14:paraId="7FD891CD" w14:textId="77777777" w:rsidR="00D376C9" w:rsidRPr="00FC6F34" w:rsidRDefault="00D376C9" w:rsidP="00D376C9">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Quintero</w:t>
      </w:r>
      <w:r w:rsidRPr="00FC6F34">
        <w:rPr>
          <w:rFonts w:ascii="Verdana" w:eastAsia="Calibri" w:hAnsi="Verdana" w:cs="Arial"/>
          <w:color w:val="000000" w:themeColor="text1"/>
          <w:lang w:val="es-ES" w:eastAsia="es-ES"/>
        </w:rPr>
        <w:t xml:space="preserve">: </w:t>
      </w:r>
    </w:p>
    <w:p w14:paraId="325E68F9" w14:textId="77777777" w:rsidR="00D376C9" w:rsidRPr="00FC6F34" w:rsidRDefault="00D376C9" w:rsidP="00D376C9">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6AEDE9E7" w14:textId="77777777" w:rsidR="00D376C9" w:rsidRPr="00FC6F34" w:rsidRDefault="00D376C9" w:rsidP="00D376C9">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04</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noviembre</w:t>
      </w:r>
      <w:r w:rsidRPr="00FC6F34">
        <w:rPr>
          <w:rFonts w:ascii="Verdana" w:eastAsia="Calibri" w:hAnsi="Verdana" w:cs="Arial"/>
          <w:color w:val="000000" w:themeColor="text1"/>
          <w:lang w:val="es-ES" w:eastAsia="es-ES"/>
        </w:rPr>
        <w:t xml:space="preserve"> de 2025, en la cual manifiesta lo siguiente: </w:t>
      </w:r>
    </w:p>
    <w:p w14:paraId="44332DC4" w14:textId="77777777" w:rsidR="00D376C9" w:rsidRPr="00BF306B" w:rsidRDefault="00D376C9" w:rsidP="00D376C9">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7A6F92F0" w14:textId="77777777" w:rsidR="00D376C9" w:rsidRPr="00EA6FA4" w:rsidRDefault="00D376C9" w:rsidP="00D376C9">
      <w:pPr>
        <w:spacing w:after="0" w:line="240" w:lineRule="auto"/>
        <w:ind w:left="709" w:right="709"/>
        <w:jc w:val="both"/>
        <w:rPr>
          <w:rFonts w:ascii="Verdana" w:eastAsia="Century Gothic" w:hAnsi="Verdana" w:cs="Century Gothic"/>
          <w:b/>
          <w:bCs/>
          <w:iCs/>
          <w:color w:val="000000" w:themeColor="text1"/>
          <w:sz w:val="20"/>
          <w:szCs w:val="20"/>
        </w:rPr>
      </w:pPr>
      <w:r w:rsidRPr="00EA6FA4">
        <w:rPr>
          <w:rFonts w:ascii="Verdana" w:eastAsia="Century Gothic" w:hAnsi="Verdana" w:cs="Century Gothic"/>
          <w:iCs/>
          <w:color w:val="000000" w:themeColor="text1"/>
          <w:sz w:val="20"/>
          <w:szCs w:val="20"/>
          <w:lang w:val="es-ES"/>
        </w:rPr>
        <w:t>“</w:t>
      </w:r>
      <w:r>
        <w:rPr>
          <w:rFonts w:ascii="Verdana" w:eastAsia="Century Gothic" w:hAnsi="Verdana" w:cs="Century Gothic"/>
          <w:iCs/>
          <w:color w:val="000000" w:themeColor="text1"/>
          <w:sz w:val="20"/>
          <w:szCs w:val="20"/>
          <w:lang w:val="es-ES"/>
        </w:rPr>
        <w:t xml:space="preserve">[…] </w:t>
      </w:r>
      <w:r w:rsidRPr="00EA6FA4">
        <w:rPr>
          <w:rFonts w:ascii="Verdana" w:eastAsia="Century Gothic" w:hAnsi="Verdana" w:cs="Century Gothic"/>
          <w:b/>
          <w:bCs/>
          <w:iCs/>
          <w:color w:val="000000" w:themeColor="text1"/>
          <w:sz w:val="20"/>
          <w:szCs w:val="20"/>
        </w:rPr>
        <w:t>¿Cuál es la fecha de la ley de garantías que aplica cuando en un extremo del contrato a suscribir está el Ministerio de Minas y Energía y en el otro extremo esta:</w:t>
      </w:r>
    </w:p>
    <w:p w14:paraId="2565001E" w14:textId="77777777" w:rsidR="00D376C9" w:rsidRPr="00EA6FA4" w:rsidRDefault="00D376C9" w:rsidP="00D376C9">
      <w:pPr>
        <w:spacing w:after="0" w:line="240" w:lineRule="auto"/>
        <w:ind w:left="720" w:right="709"/>
        <w:jc w:val="both"/>
        <w:rPr>
          <w:rFonts w:ascii="Verdana" w:eastAsia="Century Gothic" w:hAnsi="Verdana" w:cs="Century Gothic"/>
          <w:iCs/>
          <w:color w:val="000000" w:themeColor="text1"/>
          <w:sz w:val="20"/>
          <w:szCs w:val="20"/>
        </w:rPr>
      </w:pPr>
      <w:r w:rsidRPr="00EA6FA4">
        <w:rPr>
          <w:rFonts w:ascii="Verdana" w:eastAsia="Century Gothic" w:hAnsi="Verdana" w:cs="Century Gothic"/>
          <w:iCs/>
          <w:color w:val="000000" w:themeColor="text1"/>
          <w:sz w:val="20"/>
          <w:szCs w:val="20"/>
        </w:rPr>
        <w:t>1. Un Operador de Red  de carácter privado (caso de AIR-E)</w:t>
      </w:r>
    </w:p>
    <w:p w14:paraId="2EC24D5A" w14:textId="77777777" w:rsidR="00D376C9" w:rsidRPr="00EA6FA4" w:rsidRDefault="00D376C9" w:rsidP="00D376C9">
      <w:pPr>
        <w:spacing w:after="0" w:line="240" w:lineRule="auto"/>
        <w:ind w:left="720" w:right="709"/>
        <w:jc w:val="both"/>
        <w:rPr>
          <w:rFonts w:ascii="Verdana" w:eastAsia="Century Gothic" w:hAnsi="Verdana" w:cs="Century Gothic"/>
          <w:iCs/>
          <w:color w:val="000000" w:themeColor="text1"/>
          <w:sz w:val="20"/>
          <w:szCs w:val="20"/>
        </w:rPr>
      </w:pPr>
      <w:r w:rsidRPr="00EA6FA4">
        <w:rPr>
          <w:rFonts w:ascii="Verdana" w:eastAsia="Century Gothic" w:hAnsi="Verdana" w:cs="Century Gothic"/>
          <w:iCs/>
          <w:color w:val="000000" w:themeColor="text1"/>
          <w:sz w:val="20"/>
          <w:szCs w:val="20"/>
        </w:rPr>
        <w:t>2. Un Operador de Red de carácter mixto, con participación accionaria de la nación en más del 50% y un menor porcentaje de entidades territoriales (caso de EMSA).?</w:t>
      </w:r>
    </w:p>
    <w:p w14:paraId="6F1E2FFD" w14:textId="77777777" w:rsidR="00D376C9" w:rsidRPr="00EA6FA4" w:rsidRDefault="00D376C9" w:rsidP="00D376C9">
      <w:pPr>
        <w:spacing w:after="0" w:line="240" w:lineRule="auto"/>
        <w:ind w:left="709" w:right="709"/>
        <w:jc w:val="both"/>
        <w:rPr>
          <w:rFonts w:ascii="Verdana" w:eastAsia="Century Gothic" w:hAnsi="Verdana" w:cs="Century Gothic"/>
          <w:i/>
          <w:color w:val="000000" w:themeColor="text1"/>
          <w:sz w:val="20"/>
          <w:szCs w:val="20"/>
        </w:rPr>
      </w:pPr>
      <w:r w:rsidRPr="00EA6FA4">
        <w:rPr>
          <w:rFonts w:ascii="Verdana" w:eastAsia="Century Gothic" w:hAnsi="Verdana" w:cs="Century Gothic"/>
          <w:iCs/>
          <w:color w:val="000000" w:themeColor="text1"/>
          <w:sz w:val="20"/>
          <w:szCs w:val="20"/>
        </w:rPr>
        <w:t xml:space="preserve">La anterior pregunta se hace a la luz de lo establecido por la Agencia Nacional de Contratación Pública Colombia Compra Eficiente en su CIRCULAR EXTERNA No. 06 del 25 de Septiembre de 2025, donde se abordó el tema de las prohibiciones establecidas en el artículo 33 y el </w:t>
      </w:r>
      <w:r w:rsidRPr="00EA6FA4">
        <w:rPr>
          <w:rFonts w:ascii="Verdana" w:eastAsia="Century Gothic" w:hAnsi="Verdana" w:cs="Century Gothic"/>
          <w:iCs/>
          <w:color w:val="000000" w:themeColor="text1"/>
          <w:sz w:val="20"/>
          <w:szCs w:val="20"/>
        </w:rPr>
        <w:lastRenderedPageBreak/>
        <w:t>parágrafo del artículo 38 de la Ley 996 de 2005 “Ley de Garantías Electorales</w:t>
      </w:r>
      <w:r w:rsidRPr="00EA6FA4">
        <w:rPr>
          <w:rFonts w:ascii="Verdana" w:hAnsi="Verdana"/>
          <w:iCs/>
          <w:sz w:val="20"/>
          <w:szCs w:val="20"/>
        </w:rPr>
        <w:t>?”</w:t>
      </w:r>
      <w:r>
        <w:rPr>
          <w:rFonts w:ascii="Verdana" w:hAnsi="Verdana"/>
          <w:sz w:val="20"/>
          <w:szCs w:val="20"/>
        </w:rPr>
        <w:t xml:space="preserve"> […]</w:t>
      </w:r>
    </w:p>
    <w:p w14:paraId="7423E2E2" w14:textId="77777777" w:rsidR="00D376C9" w:rsidRPr="00FC6F34" w:rsidRDefault="00D376C9" w:rsidP="00D376C9">
      <w:pPr>
        <w:spacing w:after="0" w:line="276" w:lineRule="auto"/>
        <w:ind w:right="709"/>
        <w:jc w:val="both"/>
        <w:rPr>
          <w:rFonts w:ascii="Verdana" w:eastAsia="Calibri" w:hAnsi="Verdana" w:cs="Arial"/>
          <w:lang w:val="es-ES"/>
        </w:rPr>
      </w:pPr>
    </w:p>
    <w:p w14:paraId="1FC4008C" w14:textId="77777777" w:rsidR="00D376C9" w:rsidRPr="00FC6F34" w:rsidRDefault="00D376C9" w:rsidP="00D376C9">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3D55CBDB" w14:textId="77777777" w:rsidR="00D376C9" w:rsidRPr="00FC6F34" w:rsidRDefault="00D376C9" w:rsidP="00D376C9">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F7A77F6" w14:textId="77777777" w:rsidR="00D376C9" w:rsidRPr="00FC6F34" w:rsidRDefault="00D376C9" w:rsidP="00D376C9">
      <w:pPr>
        <w:spacing w:after="0" w:line="276" w:lineRule="auto"/>
        <w:ind w:firstLine="709"/>
        <w:jc w:val="both"/>
        <w:rPr>
          <w:rFonts w:ascii="Verdana" w:eastAsia="Calibri" w:hAnsi="Verdana" w:cs="Arial"/>
          <w:color w:val="000000" w:themeColor="text1"/>
          <w:lang w:val="es-ES" w:eastAsia="es-ES"/>
        </w:rPr>
      </w:pPr>
    </w:p>
    <w:p w14:paraId="3858E552" w14:textId="77777777" w:rsidR="00D376C9" w:rsidRPr="00FC6F34" w:rsidRDefault="00D376C9" w:rsidP="00D376C9">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4562432B" w14:textId="77777777" w:rsidR="00D376C9" w:rsidRPr="00FC6F34" w:rsidRDefault="00D376C9" w:rsidP="00D376C9">
      <w:pPr>
        <w:tabs>
          <w:tab w:val="left" w:pos="426"/>
        </w:tabs>
        <w:spacing w:after="0" w:line="276" w:lineRule="auto"/>
        <w:jc w:val="both"/>
        <w:rPr>
          <w:rFonts w:ascii="Verdana" w:eastAsia="Century Gothic" w:hAnsi="Verdana" w:cs="Century Gothic"/>
          <w:color w:val="000000" w:themeColor="text1"/>
          <w:lang w:val="es-ES"/>
        </w:rPr>
      </w:pPr>
    </w:p>
    <w:p w14:paraId="65B7B44B" w14:textId="77777777" w:rsidR="00D376C9" w:rsidRPr="00FC6F34" w:rsidRDefault="00D376C9" w:rsidP="00D376C9">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Pr>
          <w:rFonts w:ascii="Verdana" w:eastAsia="Century Gothic" w:hAnsi="Verdana" w:cs="Century Gothic"/>
          <w:color w:val="000000" w:themeColor="text1"/>
          <w:lang w:val="es-ES"/>
        </w:rPr>
        <w:t>¿Cuál es el alcance material y temporal de las prohibiciones establecidas en la Ley de Garantías Electorales?</w:t>
      </w:r>
    </w:p>
    <w:p w14:paraId="538C7BC2" w14:textId="77777777" w:rsidR="00D376C9" w:rsidRPr="00FC6F34" w:rsidRDefault="00D376C9" w:rsidP="00D376C9">
      <w:pPr>
        <w:spacing w:after="0" w:line="276" w:lineRule="auto"/>
        <w:jc w:val="both"/>
        <w:rPr>
          <w:rFonts w:ascii="Verdana" w:eastAsia="Calibri" w:hAnsi="Verdana" w:cs="Arial"/>
          <w:color w:val="000000" w:themeColor="text1"/>
          <w:lang w:val="es-ES"/>
        </w:rPr>
      </w:pPr>
    </w:p>
    <w:p w14:paraId="4F74AB80" w14:textId="77777777" w:rsidR="00D376C9" w:rsidRPr="00FC6F34" w:rsidRDefault="00D376C9" w:rsidP="00D376C9">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49E4282A" w14:textId="77777777" w:rsidR="00D376C9" w:rsidRPr="00FC6F34" w:rsidRDefault="00D376C9" w:rsidP="00D376C9">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376C9" w:rsidRPr="00FC6F34" w14:paraId="5128D171" w14:textId="77777777" w:rsidTr="00F50545">
        <w:tc>
          <w:tcPr>
            <w:tcW w:w="8828" w:type="dxa"/>
          </w:tcPr>
          <w:p w14:paraId="50E5A4DB" w14:textId="77777777" w:rsidR="00D376C9" w:rsidRPr="00E21839" w:rsidRDefault="00D376C9" w:rsidP="00F50545">
            <w:pPr>
              <w:spacing w:after="120" w:line="276" w:lineRule="auto"/>
              <w:jc w:val="both"/>
              <w:rPr>
                <w:rFonts w:ascii="Verdana" w:eastAsia="Arial" w:hAnsi="Verdana" w:cs="Arial"/>
                <w:color w:val="000000" w:themeColor="text1"/>
              </w:rPr>
            </w:pPr>
            <w:r>
              <w:rPr>
                <w:rFonts w:ascii="Verdana" w:eastAsia="Arial" w:hAnsi="Verdana" w:cs="Arial"/>
                <w:color w:val="000000" w:themeColor="text1"/>
              </w:rPr>
              <w:t xml:space="preserve">Los contratos o convenios que pretenda celebrar de manera </w:t>
            </w:r>
            <w:r w:rsidRPr="000A779C">
              <w:rPr>
                <w:rFonts w:ascii="Verdana" w:eastAsia="Arial" w:hAnsi="Verdana" w:cs="Arial"/>
                <w:i/>
                <w:iCs/>
                <w:color w:val="000000" w:themeColor="text1"/>
              </w:rPr>
              <w:t xml:space="preserve">directa </w:t>
            </w:r>
            <w:r w:rsidRPr="00812489">
              <w:rPr>
                <w:rFonts w:ascii="Verdana" w:eastAsia="Arial" w:hAnsi="Verdana" w:cs="Arial"/>
                <w:i/>
                <w:iCs/>
                <w:color w:val="000000" w:themeColor="text1"/>
              </w:rPr>
              <w:t>cualquier</w:t>
            </w:r>
            <w:r>
              <w:rPr>
                <w:rFonts w:ascii="Verdana" w:eastAsia="Arial" w:hAnsi="Verdana" w:cs="Arial"/>
                <w:color w:val="000000" w:themeColor="text1"/>
              </w:rPr>
              <w:t xml:space="preserve"> </w:t>
            </w:r>
            <w:r w:rsidRPr="000A779C">
              <w:rPr>
                <w:rFonts w:ascii="Verdana" w:eastAsia="Arial" w:hAnsi="Verdana" w:cs="Arial"/>
                <w:i/>
                <w:iCs/>
                <w:color w:val="000000" w:themeColor="text1"/>
              </w:rPr>
              <w:t>ente público</w:t>
            </w:r>
            <w:r>
              <w:rPr>
                <w:rFonts w:ascii="Verdana" w:eastAsia="Arial" w:hAnsi="Verdana" w:cs="Arial"/>
                <w:color w:val="000000" w:themeColor="text1"/>
              </w:rPr>
              <w:t xml:space="preserve">, y que no impliquen convocatorias públicas o la posibilidad de pluralidad de oferentes, estarán sujetos a la prohibición del artículo 33 de la Ley 996 de 2005. En cualquier caso, </w:t>
            </w:r>
            <w:r>
              <w:rPr>
                <w:rFonts w:ascii="Verdana" w:eastAsia="Arial" w:hAnsi="Verdana" w:cs="Arial"/>
                <w:bCs/>
                <w:color w:val="000000" w:themeColor="text1"/>
                <w:lang w:val="es-ES"/>
              </w:rPr>
              <w:t xml:space="preserve">será pertinente analizar si se configura alguna de las excepciones a la restricción del artículo 33 que señala expresamente esta norma. De ser así, la entidad podrá llevar a cabo la </w:t>
            </w:r>
            <w:r>
              <w:rPr>
                <w:rFonts w:ascii="Verdana" w:eastAsia="Arial" w:hAnsi="Verdana" w:cs="Arial"/>
                <w:bCs/>
                <w:color w:val="000000" w:themeColor="text1"/>
                <w:lang w:val="es-ES"/>
              </w:rPr>
              <w:lastRenderedPageBreak/>
              <w:t xml:space="preserve">contratación directa, a pesar de que haya iniciado el periodo de garantías electorales correspondiente al artículo 33 de la Ley 996 de 2005. </w:t>
            </w:r>
          </w:p>
          <w:p w14:paraId="14F237FC" w14:textId="77777777" w:rsidR="00D376C9" w:rsidRDefault="00D376C9" w:rsidP="00F50545">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la contratación restringida es la que lleven a cabo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xml:space="preserve">”, de modo que otras entidades no se encuentran sujetas a lo dispuesto en este artículo. Por otra parte, es necesario </w:t>
            </w:r>
            <w:r>
              <w:rPr>
                <w:rFonts w:ascii="Verdana" w:eastAsia="Arial" w:hAnsi="Verdana" w:cs="Arial"/>
                <w:bCs/>
                <w:color w:val="000000" w:themeColor="text1"/>
                <w:lang w:val="es-ES"/>
              </w:rPr>
              <w:t xml:space="preserve">verificar si lo que pretende adelantar es un convenio interadministrativo que involucre la ejecución de recursos públicos. Cuando este sea el caso, operará la restricción señalada en el parágrafo y dichas entidades tendrán prohibido llevar a cabo la contratación en los cuatro meses anteriores a </w:t>
            </w:r>
            <w:r w:rsidRPr="00DF46A6">
              <w:rPr>
                <w:rFonts w:ascii="Verdana" w:eastAsia="Arial" w:hAnsi="Verdana" w:cs="Arial"/>
                <w:bCs/>
                <w:i/>
                <w:iCs/>
                <w:color w:val="000000" w:themeColor="text1"/>
                <w:lang w:val="es-ES"/>
              </w:rPr>
              <w:t>cualquier contienda electoral</w:t>
            </w:r>
            <w:r>
              <w:rPr>
                <w:rFonts w:ascii="Verdana" w:eastAsia="Arial" w:hAnsi="Verdana" w:cs="Arial"/>
                <w:bCs/>
                <w:color w:val="000000" w:themeColor="text1"/>
                <w:lang w:val="es-ES"/>
              </w:rPr>
              <w:t xml:space="preserve">. Es importante resaltar que para esta prohibición la norma no contempló ninguna excepción. </w:t>
            </w:r>
          </w:p>
          <w:p w14:paraId="2B5A6A88" w14:textId="77777777" w:rsidR="00D376C9" w:rsidRPr="000A779C" w:rsidRDefault="00D376C9" w:rsidP="00F50545">
            <w:pPr>
              <w:spacing w:after="120" w:line="276" w:lineRule="auto"/>
              <w:ind w:firstLine="708"/>
              <w:jc w:val="both"/>
              <w:rPr>
                <w:rFonts w:ascii="Verdana" w:eastAsia="Arial" w:hAnsi="Verdana" w:cs="Arial"/>
                <w:color w:val="000000" w:themeColor="text1"/>
              </w:rPr>
            </w:pPr>
            <w:r>
              <w:rPr>
                <w:rFonts w:ascii="Verdana" w:eastAsia="Arial" w:hAnsi="Verdana" w:cs="Arial"/>
                <w:bCs/>
                <w:color w:val="000000" w:themeColor="text1"/>
                <w:lang w:val="es-ES"/>
              </w:rPr>
              <w:t>Con respecto a la pregunta planteada en su consulta, se aclara que la</w:t>
            </w:r>
            <w:r>
              <w:rPr>
                <w:rFonts w:ascii="Verdana" w:eastAsia="Arial" w:hAnsi="Verdana" w:cs="Arial"/>
                <w:color w:val="000000" w:themeColor="text1"/>
              </w:rPr>
              <w:t xml:space="preserve"> prohibición establecida en el artículo 33 de la ley de Garantías Electorales rige d</w:t>
            </w:r>
            <w:r w:rsidRPr="00812489">
              <w:rPr>
                <w:rFonts w:ascii="Verdana" w:eastAsia="Arial" w:hAnsi="Verdana" w:cs="Arial"/>
                <w:color w:val="000000" w:themeColor="text1"/>
              </w:rPr>
              <w:t xml:space="preserve">urante los cuatro (4) meses anteriores a la </w:t>
            </w:r>
            <w:r w:rsidRPr="000A779C">
              <w:rPr>
                <w:rFonts w:ascii="Verdana" w:eastAsia="Arial" w:hAnsi="Verdana" w:cs="Arial"/>
                <w:i/>
                <w:iCs/>
                <w:color w:val="000000" w:themeColor="text1"/>
              </w:rPr>
              <w:t>elección presidencial</w:t>
            </w:r>
            <w:r>
              <w:rPr>
                <w:rFonts w:ascii="Verdana" w:eastAsia="Arial" w:hAnsi="Verdana" w:cs="Arial"/>
                <w:color w:val="000000" w:themeColor="text1"/>
              </w:rPr>
              <w:t xml:space="preserve">. Por su parte la restricción del parágrafo del artículo 38 aplica </w:t>
            </w:r>
            <w:r w:rsidRPr="001456FE">
              <w:rPr>
                <w:rFonts w:ascii="Verdana" w:eastAsia="Arial" w:hAnsi="Verdana" w:cs="Arial"/>
                <w:color w:val="000000" w:themeColor="text1"/>
              </w:rPr>
              <w:t xml:space="preserve">dentro de los cuatro (4) meses anteriores a </w:t>
            </w:r>
            <w:r w:rsidRPr="000A779C">
              <w:rPr>
                <w:rFonts w:ascii="Verdana" w:eastAsia="Arial" w:hAnsi="Verdana" w:cs="Arial"/>
                <w:i/>
                <w:iCs/>
                <w:color w:val="000000" w:themeColor="text1"/>
              </w:rPr>
              <w:t>cualquier contienda electoral</w:t>
            </w:r>
            <w:r>
              <w:rPr>
                <w:rFonts w:ascii="Verdana" w:eastAsia="Arial" w:hAnsi="Verdana" w:cs="Arial"/>
                <w:color w:val="000000" w:themeColor="text1"/>
              </w:rPr>
              <w:t>. Sobre la fecha específica l</w:t>
            </w:r>
            <w:r w:rsidRPr="00812489">
              <w:rPr>
                <w:rFonts w:ascii="Verdana" w:eastAsia="Arial" w:hAnsi="Verdana" w:cs="Arial"/>
                <w:color w:val="000000" w:themeColor="text1"/>
              </w:rPr>
              <w:t xml:space="preserve">a Registraduría Nacional del Estado Civil expidió las Resoluciones No. 2580 y 2581 del 5 de marzo de 2025, por las cuales </w:t>
            </w:r>
            <w:r>
              <w:rPr>
                <w:rFonts w:ascii="Verdana" w:eastAsia="Arial" w:hAnsi="Verdana" w:cs="Arial"/>
                <w:color w:val="000000" w:themeColor="text1"/>
              </w:rPr>
              <w:t xml:space="preserve">fijó </w:t>
            </w:r>
            <w:r w:rsidRPr="00812489">
              <w:rPr>
                <w:rFonts w:ascii="Verdana" w:eastAsia="Arial" w:hAnsi="Verdana" w:cs="Arial"/>
                <w:color w:val="000000" w:themeColor="text1"/>
              </w:rPr>
              <w:t>los calendarios para las elecciones</w:t>
            </w:r>
            <w:r>
              <w:rPr>
                <w:rFonts w:ascii="Verdana" w:eastAsia="Arial" w:hAnsi="Verdana" w:cs="Arial"/>
                <w:color w:val="000000" w:themeColor="text1"/>
              </w:rPr>
              <w:t>. Según lo anterior,</w:t>
            </w:r>
            <w:r w:rsidRPr="00812489">
              <w:rPr>
                <w:rFonts w:ascii="Verdana" w:eastAsia="Arial" w:hAnsi="Verdana" w:cs="Arial"/>
                <w:color w:val="000000" w:themeColor="text1"/>
              </w:rPr>
              <w:t xml:space="preserve"> </w:t>
            </w:r>
            <w:r>
              <w:rPr>
                <w:rFonts w:ascii="Verdana" w:eastAsia="Arial" w:hAnsi="Verdana" w:cs="Arial"/>
                <w:color w:val="000000" w:themeColor="text1"/>
              </w:rPr>
              <w:t xml:space="preserve">las elecciones para el </w:t>
            </w:r>
            <w:r w:rsidRPr="000A779C">
              <w:rPr>
                <w:rFonts w:ascii="Verdana" w:eastAsia="Arial" w:hAnsi="Verdana" w:cs="Arial"/>
                <w:color w:val="000000" w:themeColor="text1"/>
              </w:rPr>
              <w:t>Senado de la República y la Cámara de Representantes</w:t>
            </w:r>
            <w:r w:rsidRPr="00812489">
              <w:rPr>
                <w:rFonts w:ascii="Verdana" w:eastAsia="Arial" w:hAnsi="Verdana" w:cs="Arial"/>
                <w:color w:val="000000" w:themeColor="text1"/>
              </w:rPr>
              <w:t xml:space="preserve"> de la República</w:t>
            </w:r>
            <w:r>
              <w:rPr>
                <w:rFonts w:ascii="Verdana" w:eastAsia="Arial" w:hAnsi="Verdana" w:cs="Arial"/>
                <w:color w:val="000000" w:themeColor="text1"/>
              </w:rPr>
              <w:t xml:space="preserve"> se realizarán el</w:t>
            </w:r>
            <w:r w:rsidRPr="001456FE">
              <w:rPr>
                <w:rFonts w:ascii="Verdana" w:eastAsia="Arial" w:hAnsi="Verdana" w:cs="Arial"/>
                <w:color w:val="000000" w:themeColor="text1"/>
              </w:rPr>
              <w:t xml:space="preserve"> 8 de marzo de 2026</w:t>
            </w:r>
            <w:r>
              <w:rPr>
                <w:rFonts w:ascii="Verdana" w:eastAsia="Arial" w:hAnsi="Verdana" w:cs="Arial"/>
                <w:color w:val="000000" w:themeColor="text1"/>
              </w:rPr>
              <w:t>; la elección del</w:t>
            </w:r>
            <w:r w:rsidRPr="00812489">
              <w:rPr>
                <w:rFonts w:ascii="Verdana" w:eastAsia="Arial" w:hAnsi="Verdana" w:cs="Arial"/>
                <w:color w:val="000000" w:themeColor="text1"/>
              </w:rPr>
              <w:t xml:space="preserve"> presidente y vicepresidente de la República (primera vuelta</w:t>
            </w:r>
            <w:r>
              <w:rPr>
                <w:rFonts w:ascii="Verdana" w:eastAsia="Arial" w:hAnsi="Verdana" w:cs="Arial"/>
                <w:color w:val="000000" w:themeColor="text1"/>
              </w:rPr>
              <w:t>)</w:t>
            </w:r>
            <w:r w:rsidRPr="000A779C">
              <w:rPr>
                <w:rFonts w:ascii="Verdana" w:eastAsia="Arial" w:hAnsi="Verdana" w:cs="Arial"/>
                <w:color w:val="000000" w:themeColor="text1"/>
              </w:rPr>
              <w:t xml:space="preserve"> se llevará a cabo el 31 de mayo de 2026 y</w:t>
            </w:r>
            <w:r>
              <w:rPr>
                <w:rFonts w:ascii="Verdana" w:eastAsia="Arial" w:hAnsi="Verdana" w:cs="Arial"/>
                <w:color w:val="000000" w:themeColor="text1"/>
              </w:rPr>
              <w:t>,</w:t>
            </w:r>
            <w:r w:rsidRPr="000A779C">
              <w:rPr>
                <w:rFonts w:ascii="Verdana" w:eastAsia="Arial" w:hAnsi="Verdana" w:cs="Arial"/>
                <w:color w:val="000000" w:themeColor="text1"/>
              </w:rPr>
              <w:t xml:space="preserve"> de presentarse segunda vuelta, el 21 de junio de 2026</w:t>
            </w:r>
            <w:r>
              <w:rPr>
                <w:rFonts w:ascii="Verdana" w:eastAsia="Arial" w:hAnsi="Verdana" w:cs="Arial"/>
                <w:color w:val="000000" w:themeColor="text1"/>
              </w:rPr>
              <w:t xml:space="preserve">. Teniendo en cuenta lo anterior, la prohibición del artículo 33 aplica en estricto sentido para cualquier contratación directa que realicen todos los entes públicos desde el 31 de enero de 2026 </w:t>
            </w:r>
            <w:r w:rsidRPr="000A779C">
              <w:rPr>
                <w:rFonts w:ascii="Verdana" w:eastAsia="Arial" w:hAnsi="Verdana" w:cs="Arial"/>
                <w:color w:val="000000" w:themeColor="text1"/>
              </w:rPr>
              <w:t>hasta el 31 de mayo de 2026 y, de presentarse segunda vuelta, hasta el 21 de junio de 2026.</w:t>
            </w:r>
            <w:r w:rsidRPr="000A779C">
              <w:rPr>
                <w:rStyle w:val="FootnoteReference"/>
                <w:rFonts w:ascii="Verdana" w:eastAsia="Arial" w:hAnsi="Verdana" w:cs="Arial"/>
                <w:color w:val="000000" w:themeColor="text1"/>
              </w:rPr>
              <w:t xml:space="preserve"> </w:t>
            </w:r>
            <w:r>
              <w:rPr>
                <w:rFonts w:ascii="Verdana" w:eastAsia="Arial" w:hAnsi="Verdana" w:cs="Arial"/>
                <w:color w:val="000000" w:themeColor="text1"/>
              </w:rPr>
              <w:t xml:space="preserve">Por otra parte, la prohibición del parágrafo del artículo 38 rige para las entidades allí señaladas que pretendan celebrar convenios interadministrativos desde el </w:t>
            </w:r>
            <w:r w:rsidRPr="000A779C">
              <w:rPr>
                <w:rFonts w:ascii="Verdana" w:eastAsia="Arial" w:hAnsi="Verdana" w:cs="Arial"/>
                <w:color w:val="000000" w:themeColor="text1"/>
              </w:rPr>
              <w:t>08 de noviembre de 2025 hasta el 31 de mayo de 2026 y, de presentarse segunda vuelta, hasta el 21 de junio de 2026.</w:t>
            </w:r>
            <w:r>
              <w:rPr>
                <w:rStyle w:val="FootnoteReference"/>
                <w:rFonts w:ascii="Verdana" w:eastAsia="Arial" w:hAnsi="Verdana" w:cs="Arial"/>
                <w:color w:val="000000" w:themeColor="text1"/>
              </w:rPr>
              <w:footnoteReference w:id="2"/>
            </w:r>
          </w:p>
          <w:p w14:paraId="46B5AEC9" w14:textId="77777777" w:rsidR="00D376C9" w:rsidRPr="000F22B6" w:rsidRDefault="00D376C9" w:rsidP="00F50545">
            <w:pPr>
              <w:shd w:val="clear" w:color="auto" w:fill="FFFFFF"/>
              <w:spacing w:after="120" w:line="276" w:lineRule="auto"/>
              <w:ind w:firstLine="708"/>
              <w:jc w:val="both"/>
              <w:rPr>
                <w:rFonts w:ascii="Verdana" w:hAnsi="Verdana" w:cs="Arial"/>
                <w:lang w:val="es-ES" w:eastAsia="es-CO"/>
              </w:rPr>
            </w:pPr>
            <w:r>
              <w:rPr>
                <w:rFonts w:ascii="Verdana" w:eastAsia="Calibri" w:hAnsi="Verdana" w:cs="Arial"/>
                <w:lang w:val="es-ES"/>
              </w:rPr>
              <w:lastRenderedPageBreak/>
              <w:t>C</w:t>
            </w:r>
            <w:r w:rsidRPr="00584759">
              <w:rPr>
                <w:rFonts w:ascii="Verdana" w:eastAsia="Calibri" w:hAnsi="Verdana" w:cs="Arial"/>
                <w:lang w:val="es-ES"/>
              </w:rPr>
              <w:t xml:space="preserve">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 xml:space="preserve">statal realizar el análisis para determinar si aplica o no </w:t>
            </w:r>
            <w:r>
              <w:rPr>
                <w:rFonts w:ascii="Verdana" w:eastAsia="Calibri" w:hAnsi="Verdana" w:cs="Arial"/>
                <w:lang w:val="es-ES"/>
              </w:rPr>
              <w:t>alguna restricción contemplada en la Ley de Garantías Electorales</w:t>
            </w:r>
            <w:r w:rsidRPr="00584759">
              <w:rPr>
                <w:rFonts w:ascii="Verdana" w:eastAsia="Calibri" w:hAnsi="Verdana" w:cs="Arial"/>
                <w:lang w:val="es-ES"/>
              </w:rPr>
              <w:t xml:space="preserve">, para lo cual las consideraciones expuestas en el presente concepto constituyen un instrumento orientador. </w:t>
            </w:r>
            <w:r>
              <w:rPr>
                <w:rFonts w:ascii="Verdana" w:hAnsi="Verdana" w:cs="Arial"/>
                <w:lang w:val="es-ES" w:eastAsia="es-CO"/>
              </w:rPr>
              <w:t>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tipologías distintas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42FF2485" w14:textId="77777777" w:rsidR="00D376C9" w:rsidRPr="00036A04" w:rsidRDefault="00D376C9" w:rsidP="00F50545">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25F7AEB3" w14:textId="77777777" w:rsidR="00D376C9" w:rsidRPr="00FC6F34" w:rsidRDefault="00D376C9" w:rsidP="00D376C9">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9F5C9EB" w14:textId="77777777" w:rsidR="00D376C9" w:rsidRPr="00FC6F34" w:rsidRDefault="00D376C9" w:rsidP="00D376C9">
      <w:pPr>
        <w:pStyle w:val="ListParagraph"/>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554FFB63" w14:textId="77777777" w:rsidR="00D376C9" w:rsidRPr="00FC6F34" w:rsidRDefault="00D376C9" w:rsidP="00D376C9">
      <w:pPr>
        <w:spacing w:after="0" w:line="276" w:lineRule="auto"/>
        <w:jc w:val="both"/>
        <w:rPr>
          <w:rFonts w:ascii="Verdana" w:eastAsia="Calibri" w:hAnsi="Verdana" w:cs="Arial"/>
          <w:color w:val="000000" w:themeColor="text1"/>
          <w:lang w:val="es-ES"/>
        </w:rPr>
      </w:pPr>
    </w:p>
    <w:p w14:paraId="786BD596" w14:textId="77777777" w:rsidR="00D376C9" w:rsidRPr="002F297B" w:rsidRDefault="00D376C9" w:rsidP="00D376C9">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Pr>
          <w:rFonts w:ascii="Verdana" w:eastAsia="Times New Roman" w:hAnsi="Verdana" w:cs="Arial"/>
          <w:lang w:val="es-ES" w:eastAsia="es-CO"/>
        </w:rPr>
        <w:t>L</w:t>
      </w:r>
      <w:r w:rsidRPr="00FC6F34">
        <w:rPr>
          <w:rFonts w:ascii="Verdana" w:eastAsia="Times New Roman" w:hAnsi="Verdana" w:cs="Arial"/>
          <w:lang w:val="es-ES" w:eastAsia="es-CO"/>
        </w:rPr>
        <w:t xml:space="preserve">a Ley 996 de 2005, conocida como “Ley de Garantías Electorales”, </w:t>
      </w:r>
      <w:r>
        <w:rPr>
          <w:rFonts w:ascii="Verdana" w:eastAsia="Times New Roman" w:hAnsi="Verdana" w:cs="Arial"/>
          <w:lang w:val="es-ES" w:eastAsia="es-CO"/>
        </w:rPr>
        <w:t>hace parte de</w:t>
      </w:r>
      <w:r w:rsidRPr="00FC6F34">
        <w:rPr>
          <w:rFonts w:ascii="Verdana" w:eastAsia="Times New Roman" w:hAnsi="Verdana" w:cs="Arial"/>
          <w:lang w:val="es-ES" w:eastAsia="es-CO"/>
        </w:rPr>
        <w:t>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5BEDC66A" w14:textId="77777777" w:rsidR="00D376C9" w:rsidRPr="00FC6F34" w:rsidRDefault="00D376C9" w:rsidP="00D376C9">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lastRenderedPageBreak/>
        <w:t>En armonía con lo anterior, la Corte Constitucional ha abordado la definición de la Ley de Garantías Electorales. De esta manera, explica que tiene como propósito:</w:t>
      </w:r>
    </w:p>
    <w:p w14:paraId="4BE1B224" w14:textId="77777777" w:rsidR="00D376C9" w:rsidRPr="00FC6F34" w:rsidRDefault="00D376C9" w:rsidP="00D376C9">
      <w:pPr>
        <w:spacing w:after="0" w:line="276" w:lineRule="auto"/>
        <w:ind w:right="709"/>
        <w:jc w:val="both"/>
        <w:rPr>
          <w:rFonts w:ascii="Verdana" w:eastAsia="Times New Roman" w:hAnsi="Verdana" w:cs="Arial"/>
          <w:lang w:val="es-ES" w:eastAsia="es-CO"/>
        </w:rPr>
      </w:pPr>
    </w:p>
    <w:p w14:paraId="2C7BDC8E" w14:textId="77777777" w:rsidR="00D376C9" w:rsidRPr="00FC6F34" w:rsidRDefault="00D376C9" w:rsidP="00D376C9">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6C90662" w14:textId="77777777" w:rsidR="00D376C9" w:rsidRPr="00FC6F34" w:rsidRDefault="00D376C9" w:rsidP="00D376C9">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0906AC6E" w14:textId="77777777" w:rsidR="00D376C9" w:rsidRPr="00FC6F34" w:rsidRDefault="00D376C9" w:rsidP="00D376C9">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6011AEBB" w14:textId="77777777" w:rsidR="00D376C9" w:rsidRPr="00FC6F34" w:rsidRDefault="00D376C9" w:rsidP="00D376C9">
      <w:pPr>
        <w:spacing w:after="0" w:line="276" w:lineRule="auto"/>
        <w:ind w:firstLine="709"/>
        <w:jc w:val="both"/>
        <w:rPr>
          <w:rFonts w:ascii="Verdana" w:eastAsia="Times New Roman" w:hAnsi="Verdana" w:cs="Arial"/>
          <w:lang w:val="es-ES" w:eastAsia="es-CO"/>
        </w:rPr>
      </w:pPr>
    </w:p>
    <w:p w14:paraId="216933AC" w14:textId="77777777" w:rsidR="00D376C9" w:rsidRPr="00FC6F34" w:rsidRDefault="00D376C9" w:rsidP="00D376C9">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BF00B00" w14:textId="77777777" w:rsidR="00D376C9" w:rsidRPr="00FC6F34" w:rsidRDefault="00D376C9" w:rsidP="00D376C9">
      <w:pPr>
        <w:spacing w:after="0" w:line="276" w:lineRule="auto"/>
        <w:ind w:firstLine="709"/>
        <w:jc w:val="both"/>
        <w:rPr>
          <w:rFonts w:ascii="Verdana" w:eastAsia="Times New Roman" w:hAnsi="Verdana" w:cs="Arial"/>
          <w:lang w:val="es-ES" w:eastAsia="es-CO"/>
        </w:rPr>
      </w:pPr>
    </w:p>
    <w:p w14:paraId="22E2DDB6" w14:textId="77777777" w:rsidR="00D376C9" w:rsidRPr="00FC6F34" w:rsidRDefault="00D376C9" w:rsidP="00D376C9">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460595E" w14:textId="77777777" w:rsidR="00D376C9" w:rsidRPr="00FC6F34" w:rsidRDefault="00D376C9" w:rsidP="00D376C9">
      <w:pPr>
        <w:spacing w:after="0" w:line="240" w:lineRule="auto"/>
        <w:ind w:right="709"/>
        <w:jc w:val="both"/>
        <w:rPr>
          <w:rFonts w:ascii="Verdana" w:eastAsia="Times New Roman" w:hAnsi="Verdana" w:cs="Arial"/>
          <w:lang w:val="es-ES" w:eastAsia="es-CO"/>
        </w:rPr>
      </w:pPr>
    </w:p>
    <w:p w14:paraId="2F516B94" w14:textId="77777777" w:rsidR="00D376C9" w:rsidRPr="00FC6F34" w:rsidRDefault="00D376C9" w:rsidP="00D376C9">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6198CD21" w14:textId="77777777" w:rsidR="00D376C9" w:rsidRPr="00FC6F34" w:rsidRDefault="00D376C9" w:rsidP="00D376C9">
      <w:pPr>
        <w:spacing w:after="0" w:line="276" w:lineRule="auto"/>
        <w:jc w:val="both"/>
        <w:rPr>
          <w:rFonts w:ascii="Verdana" w:eastAsia="Calibri" w:hAnsi="Verdana" w:cs="Arial"/>
          <w:bCs/>
          <w:lang w:val="es-ES"/>
        </w:rPr>
      </w:pPr>
    </w:p>
    <w:p w14:paraId="3E0245F4" w14:textId="77777777" w:rsidR="00D376C9" w:rsidRPr="00FC6F34" w:rsidRDefault="00D376C9" w:rsidP="00D376C9">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84268BF" w14:textId="77777777" w:rsidR="00D376C9" w:rsidRPr="00FC6F34" w:rsidRDefault="00D376C9" w:rsidP="00D376C9">
      <w:pPr>
        <w:spacing w:after="0" w:line="276" w:lineRule="auto"/>
        <w:ind w:firstLine="709"/>
        <w:jc w:val="both"/>
        <w:rPr>
          <w:rFonts w:ascii="Verdana" w:eastAsia="Arial" w:hAnsi="Verdana" w:cs="Arial"/>
          <w:lang w:val="es-ES" w:eastAsia="es-ES" w:bidi="es-ES"/>
        </w:rPr>
      </w:pPr>
    </w:p>
    <w:p w14:paraId="26B94FB0" w14:textId="77777777" w:rsidR="00D376C9" w:rsidRPr="00FC6F34" w:rsidRDefault="00D376C9" w:rsidP="00D376C9">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2E32E6C9" w14:textId="77777777" w:rsidR="00D376C9" w:rsidRPr="00FC6F34" w:rsidRDefault="00D376C9" w:rsidP="00D376C9">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C6F34">
        <w:rPr>
          <w:rFonts w:ascii="Verdana" w:eastAsia="Calibri" w:hAnsi="Verdana" w:cs="Arial"/>
          <w:lang w:val="es-ES"/>
        </w:rPr>
        <w:lastRenderedPageBreak/>
        <w:t>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71CC6A4F" w14:textId="77777777" w:rsidR="00D376C9" w:rsidRPr="00FC6F34" w:rsidRDefault="00D376C9" w:rsidP="00D376C9">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4A1748DE" w14:textId="77777777" w:rsidR="00D376C9" w:rsidRPr="00FC6F34" w:rsidRDefault="00D376C9" w:rsidP="00D376C9">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7A534356" w14:textId="77777777" w:rsidR="00D376C9" w:rsidRPr="00FC6F34" w:rsidRDefault="00D376C9" w:rsidP="00D376C9">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74B4083" w14:textId="77777777" w:rsidR="00D376C9" w:rsidRPr="00FC6F34" w:rsidRDefault="00D376C9" w:rsidP="00D376C9">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FC6F34">
        <w:rPr>
          <w:rFonts w:ascii="Verdana" w:eastAsia="Arial" w:hAnsi="Verdana" w:cs="Arial"/>
          <w:sz w:val="20"/>
          <w:szCs w:val="20"/>
          <w:lang w:val="es-ES" w:eastAsia="es-ES" w:bidi="es-ES"/>
        </w:rPr>
        <w:lastRenderedPageBreak/>
        <w:t>excluyendo las correspondientes a Presidente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4CF6CE9C" w14:textId="77777777" w:rsidR="00D376C9" w:rsidRPr="00FC6F34" w:rsidRDefault="00D376C9" w:rsidP="00D376C9">
      <w:pPr>
        <w:widowControl w:val="0"/>
        <w:autoSpaceDE w:val="0"/>
        <w:autoSpaceDN w:val="0"/>
        <w:spacing w:after="0" w:line="276" w:lineRule="auto"/>
        <w:contextualSpacing/>
        <w:rPr>
          <w:rFonts w:ascii="Verdana" w:eastAsia="Arial" w:hAnsi="Verdana" w:cs="Arial"/>
          <w:lang w:val="es-ES" w:eastAsia="es-ES" w:bidi="es-ES"/>
        </w:rPr>
      </w:pPr>
    </w:p>
    <w:p w14:paraId="33611B87" w14:textId="77777777" w:rsidR="00D376C9" w:rsidRPr="00FC6F34" w:rsidRDefault="00D376C9" w:rsidP="00D376C9">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F69D041" w14:textId="77777777" w:rsidR="00D376C9" w:rsidRPr="00FC6F34" w:rsidRDefault="00D376C9" w:rsidP="00D376C9">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096708A9" w14:textId="77777777" w:rsidR="00D376C9" w:rsidRPr="00FC6F34" w:rsidRDefault="00D376C9" w:rsidP="00D376C9">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FC6F34">
        <w:rPr>
          <w:rFonts w:ascii="Verdana" w:eastAsia="Arial" w:hAnsi="Verdana" w:cs="Arial"/>
          <w:lang w:val="es-ES" w:eastAsia="es-ES" w:bidi="es-ES"/>
        </w:rPr>
        <w:lastRenderedPageBreak/>
        <w:t xml:space="preserve">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0C3F3F7" w14:textId="77777777" w:rsidR="00D376C9" w:rsidRPr="00FC6F34" w:rsidRDefault="00D376C9" w:rsidP="00D376C9">
      <w:pPr>
        <w:spacing w:after="0" w:line="276" w:lineRule="auto"/>
        <w:ind w:firstLine="709"/>
        <w:jc w:val="both"/>
        <w:rPr>
          <w:rFonts w:ascii="Verdana" w:eastAsia="Arial" w:hAnsi="Verdana" w:cs="Arial"/>
          <w:lang w:val="es-ES" w:eastAsia="es-ES" w:bidi="es-ES"/>
        </w:rPr>
      </w:pPr>
    </w:p>
    <w:p w14:paraId="087329E5" w14:textId="77777777" w:rsidR="00D376C9" w:rsidRPr="00FC6F34" w:rsidRDefault="00D376C9" w:rsidP="00D376C9">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sidRPr="00FC6F34">
        <w:rPr>
          <w:rFonts w:ascii="Verdana" w:eastAsia="Times New Roman" w:hAnsi="Verdana" w:cs="Arial"/>
          <w:lang w:val="es-ES"/>
        </w:rPr>
        <w:t xml:space="preserve">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w:t>
      </w:r>
      <w:r w:rsidRPr="00FC6F34">
        <w:rPr>
          <w:rFonts w:ascii="Verdana" w:eastAsia="Calibri" w:hAnsi="Verdana" w:cs="Arial"/>
          <w:lang w:val="es-ES" w:eastAsia="es-ES" w:bidi="es-ES"/>
        </w:rPr>
        <w:t xml:space="preserve">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artículo 33 de la Ley 996 de 2005</w:t>
      </w:r>
      <w:r>
        <w:rPr>
          <w:rFonts w:ascii="Verdana" w:eastAsia="Times New Roman" w:hAnsi="Verdana" w:cs="Arial"/>
          <w:lang w:val="es-ES"/>
        </w:rPr>
        <w:t xml:space="preserve"> </w:t>
      </w:r>
      <w:r w:rsidRPr="00FC6F34">
        <w:rPr>
          <w:rFonts w:ascii="Verdana" w:eastAsia="Times New Roman" w:hAnsi="Verdana" w:cs="Arial"/>
          <w:lang w:val="es-ES"/>
        </w:rPr>
        <w:t xml:space="preserve">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Pr>
          <w:rFonts w:ascii="Verdana" w:eastAsia="Times New Roman" w:hAnsi="Verdana" w:cs="Arial"/>
          <w:lang w:val="es-ES"/>
        </w:rPr>
        <w:t xml:space="preserve">. </w:t>
      </w:r>
      <w:r>
        <w:rPr>
          <w:rFonts w:ascii="Verdana" w:eastAsia="Calibri" w:hAnsi="Verdana" w:cs="Arial"/>
          <w:lang w:val="es-ES"/>
        </w:rPr>
        <w:t>Sobre</w:t>
      </w:r>
      <w:r w:rsidRPr="00FC6F34">
        <w:rPr>
          <w:rFonts w:ascii="Verdana" w:eastAsia="Times New Roman" w:hAnsi="Verdana" w:cs="Arial"/>
          <w:lang w:val="es-ES" w:eastAsia="es-CO"/>
        </w:rPr>
        <w:t xml:space="preserve"> esta restricción, la Sala de Consulta y Servicio Civil del Consejo de Estado ha considerado que:</w:t>
      </w:r>
    </w:p>
    <w:p w14:paraId="451ADD87" w14:textId="77777777" w:rsidR="00D376C9" w:rsidRPr="00FC6F34" w:rsidRDefault="00D376C9" w:rsidP="00D376C9">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32B16BBF" w14:textId="77777777" w:rsidR="00D376C9" w:rsidRPr="00FC6F34" w:rsidRDefault="00D376C9" w:rsidP="00D376C9">
      <w:pPr>
        <w:shd w:val="clear" w:color="auto" w:fill="FFFFFF" w:themeFill="background1"/>
        <w:spacing w:after="0" w:line="276" w:lineRule="auto"/>
        <w:ind w:firstLine="709"/>
        <w:jc w:val="both"/>
        <w:rPr>
          <w:rFonts w:ascii="Verdana" w:eastAsia="Times New Roman" w:hAnsi="Verdana" w:cs="Arial"/>
          <w:lang w:val="es-ES" w:eastAsia="x-none"/>
        </w:rPr>
      </w:pPr>
    </w:p>
    <w:p w14:paraId="5B7F40D9" w14:textId="77777777" w:rsidR="00D376C9" w:rsidRPr="00FC6F34" w:rsidRDefault="00D376C9" w:rsidP="00D376C9">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56189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 xml:space="preserve">además lo es con la posterior creación de </w:t>
      </w:r>
      <w:r w:rsidRPr="00FC6F34">
        <w:rPr>
          <w:rFonts w:ascii="Verdana" w:eastAsia="Calibri" w:hAnsi="Verdana" w:cs="Arial"/>
          <w:lang w:val="es-ES" w:eastAsia="x-none"/>
        </w:rPr>
        <w:lastRenderedPageBreak/>
        <w:t>la modalidad de mínima cuantía establecida actualmente en el numeral 5 del artículo 2 de la Ley 1150 de 2007, de acuerdo con las modificaciones realizadas por leyes posteriores.</w:t>
      </w:r>
    </w:p>
    <w:p w14:paraId="3BE7A318" w14:textId="77777777" w:rsidR="00D376C9" w:rsidRPr="00FC6F34" w:rsidRDefault="00D376C9" w:rsidP="00D376C9">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40689687" w14:textId="77777777" w:rsidR="00D376C9" w:rsidRPr="00FC6F34" w:rsidRDefault="00D376C9" w:rsidP="00D376C9">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7638579" w14:textId="77777777" w:rsidR="00D376C9" w:rsidRPr="00FC6F34" w:rsidRDefault="00D376C9" w:rsidP="00D376C9">
      <w:pPr>
        <w:spacing w:after="0" w:line="276" w:lineRule="auto"/>
        <w:ind w:firstLine="708"/>
        <w:jc w:val="both"/>
        <w:rPr>
          <w:rFonts w:ascii="Verdana" w:eastAsia="Times New Roman" w:hAnsi="Verdana" w:cs="Arial"/>
          <w:lang w:val="es-ES"/>
        </w:rPr>
      </w:pPr>
    </w:p>
    <w:p w14:paraId="100430ED" w14:textId="77777777" w:rsidR="00D376C9" w:rsidRPr="00FC6F34" w:rsidRDefault="00D376C9" w:rsidP="00D376C9">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0BD5AFE5" w14:textId="77777777" w:rsidR="00D376C9" w:rsidRPr="00FC6F34" w:rsidRDefault="00D376C9" w:rsidP="00D376C9">
      <w:pPr>
        <w:spacing w:after="0" w:line="276" w:lineRule="auto"/>
        <w:ind w:firstLine="708"/>
        <w:jc w:val="both"/>
        <w:rPr>
          <w:rFonts w:ascii="Verdana" w:eastAsia="Times New Roman" w:hAnsi="Verdana" w:cs="Arial"/>
          <w:lang w:val="es-ES"/>
        </w:rPr>
      </w:pPr>
    </w:p>
    <w:p w14:paraId="1FC995B9" w14:textId="77777777" w:rsidR="00D376C9" w:rsidRPr="00FC6F34" w:rsidRDefault="00D376C9" w:rsidP="00D376C9">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 xml:space="preserve">“El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w:t>
      </w:r>
      <w:r w:rsidRPr="00FC6F34">
        <w:rPr>
          <w:rFonts w:ascii="Verdana" w:eastAsia="Times New Roman" w:hAnsi="Verdana" w:cs="Arial"/>
          <w:bCs/>
          <w:sz w:val="20"/>
          <w:szCs w:val="20"/>
          <w:lang w:val="es-ES" w:eastAsia="es-CO"/>
        </w:rPr>
        <w:lastRenderedPageBreak/>
        <w:t>romper el equilibrio entre los partidos y los candidatos a las elecciones presidenciales […]”</w:t>
      </w:r>
      <w:r w:rsidRPr="00FC6F34">
        <w:rPr>
          <w:rStyle w:val="FootnoteReferenc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13819029" w14:textId="77777777" w:rsidR="00D376C9" w:rsidRPr="00FC6F34" w:rsidRDefault="00D376C9" w:rsidP="00D376C9">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Pr>
          <w:rFonts w:ascii="Verdana" w:hAnsi="Verdana" w:cs="Arial"/>
          <w:bCs/>
          <w:lang w:val="es-ES" w:eastAsia="x-none"/>
        </w:rPr>
        <w:t>T</w:t>
      </w:r>
      <w:r w:rsidRPr="00FC6F34">
        <w:rPr>
          <w:rFonts w:ascii="Verdana" w:hAnsi="Verdana" w:cs="Arial"/>
          <w:bCs/>
          <w:lang w:val="es-ES" w:eastAsia="x-none"/>
        </w:rPr>
        <w:t>al como lo ha sostenido el Consejo de Estado, el vocablo “todos” utilizado por</w:t>
      </w:r>
      <w:r>
        <w:rPr>
          <w:rFonts w:ascii="Verdana" w:hAnsi="Verdana" w:cs="Arial"/>
          <w:bCs/>
          <w:lang w:val="es-ES" w:eastAsia="x-none"/>
        </w:rPr>
        <w:t xml:space="preserve"> </w:t>
      </w:r>
      <w:r w:rsidRPr="00FC6F34">
        <w:rPr>
          <w:rFonts w:ascii="Verdana" w:hAnsi="Verdana" w:cs="Arial"/>
          <w:bCs/>
          <w:lang w:val="es-ES" w:eastAsia="x-none"/>
        </w:rPr>
        <w:t>el legislador comprende</w:t>
      </w:r>
      <w:r w:rsidRPr="00FC6F34">
        <w:rPr>
          <w:rFonts w:ascii="Verdana" w:hAnsi="Verdana"/>
          <w:lang w:val="es-ES"/>
        </w:rPr>
        <w:t xml:space="preserve"> </w:t>
      </w:r>
      <w:r w:rsidRPr="00FC6F34">
        <w:rPr>
          <w:rFonts w:ascii="Verdana" w:hAnsi="Verdana" w:cs="Arial"/>
          <w:bCs/>
          <w:lang w:val="es-ES" w:eastAsia="x-none"/>
        </w:rPr>
        <w:t xml:space="preserve">a la </w:t>
      </w:r>
      <w:r w:rsidRPr="00561896">
        <w:rPr>
          <w:rFonts w:ascii="Verdana" w:hAnsi="Verdana" w:cs="Arial"/>
          <w:bCs/>
          <w:i/>
          <w:iCs/>
          <w:lang w:val="es-ES" w:eastAsia="x-none"/>
        </w:rPr>
        <w:t>totalidad</w:t>
      </w:r>
      <w:r w:rsidRPr="00FC6F34">
        <w:rPr>
          <w:rFonts w:ascii="Verdana" w:hAnsi="Verdana" w:cs="Arial"/>
          <w:bCs/>
          <w:lang w:val="es-ES" w:eastAsia="x-none"/>
        </w:rPr>
        <w:t xml:space="preserve">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FootnoteReferenc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6C841FFA" w14:textId="77777777" w:rsidR="00D376C9" w:rsidRPr="00FC6F34" w:rsidRDefault="00D376C9" w:rsidP="00D376C9">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w:t>
      </w:r>
      <w:r>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 xml:space="preserve">cobija a cualquier ente público </w:t>
      </w:r>
      <w:r>
        <w:rPr>
          <w:rFonts w:ascii="Verdana" w:eastAsia="Arial" w:hAnsi="Verdana" w:cs="Arial"/>
          <w:color w:val="000000" w:themeColor="text1"/>
          <w:lang w:val="es-ES"/>
        </w:rPr>
        <w:t xml:space="preserve">que pretenda celebrar contratos de manera directa, independientemente de la naturaleza de la contraparte con quien los suscriba. Lo anterior incluye a aquellos entes públicos de </w:t>
      </w:r>
      <w:r w:rsidRPr="00FC6F34">
        <w:rPr>
          <w:rFonts w:ascii="Verdana" w:eastAsia="Arial" w:hAnsi="Verdana" w:cs="Arial"/>
          <w:color w:val="000000" w:themeColor="text1"/>
          <w:lang w:val="es-ES"/>
        </w:rPr>
        <w:t>régimen especial</w:t>
      </w:r>
      <w:r>
        <w:rPr>
          <w:rFonts w:ascii="Verdana" w:eastAsia="Arial" w:hAnsi="Verdana" w:cs="Arial"/>
          <w:color w:val="000000" w:themeColor="text1"/>
          <w:lang w:val="es-ES"/>
        </w:rPr>
        <w:t xml:space="preserve">, </w:t>
      </w:r>
      <w:r w:rsidRPr="00FC6F34">
        <w:rPr>
          <w:rFonts w:ascii="Verdana" w:eastAsia="Arial" w:hAnsi="Verdana" w:cs="Arial"/>
          <w:color w:val="000000" w:themeColor="text1"/>
          <w:lang w:val="es-ES"/>
        </w:rPr>
        <w:t>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23CBA4AC" w14:textId="77777777" w:rsidR="00D376C9" w:rsidRPr="00FC6F34" w:rsidRDefault="00D376C9" w:rsidP="00D376C9">
      <w:pPr>
        <w:spacing w:before="120" w:line="276" w:lineRule="auto"/>
        <w:ind w:firstLine="709"/>
        <w:jc w:val="both"/>
        <w:rPr>
          <w:rFonts w:ascii="Verdana" w:hAnsi="Verdana" w:cs="Arial"/>
          <w:bCs/>
          <w:color w:val="000000" w:themeColor="text1"/>
          <w:lang w:val="es-ES"/>
        </w:rPr>
      </w:pPr>
      <w:r>
        <w:rPr>
          <w:rFonts w:ascii="Verdana" w:eastAsia="Arial" w:hAnsi="Verdana" w:cs="Arial"/>
          <w:bCs/>
          <w:color w:val="000000" w:themeColor="text1"/>
          <w:lang w:val="es-ES"/>
        </w:rPr>
        <w:t xml:space="preserve">Por lo anterior, </w:t>
      </w:r>
      <w:r w:rsidRPr="00FC6F34">
        <w:rPr>
          <w:rFonts w:ascii="Verdana" w:eastAsia="Arial" w:hAnsi="Verdana" w:cs="Arial"/>
          <w:bCs/>
          <w:color w:val="000000" w:themeColor="text1"/>
          <w:lang w:val="es-ES"/>
        </w:rPr>
        <w:t xml:space="preserve">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56790EDC" w14:textId="77777777" w:rsidR="00D376C9" w:rsidRPr="00FC6F34" w:rsidRDefault="00D376C9" w:rsidP="00D376C9">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7D3BE67C" w14:textId="77777777" w:rsidR="00D376C9" w:rsidRPr="00FC6F34" w:rsidRDefault="00D376C9" w:rsidP="00D376C9">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7E0617B5" w14:textId="77777777" w:rsidR="00D376C9" w:rsidRPr="00FC6F34" w:rsidRDefault="00D376C9" w:rsidP="00D376C9">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4AC873EA" w14:textId="77777777" w:rsidR="00D376C9" w:rsidRPr="00FC6F34" w:rsidRDefault="00D376C9" w:rsidP="00D376C9">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0713A6E9" w14:textId="77777777" w:rsidR="00D376C9" w:rsidRPr="00FC6F34" w:rsidRDefault="00D376C9" w:rsidP="00D376C9">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17F6F663" w14:textId="77777777" w:rsidR="00D376C9" w:rsidRPr="00FC6F34" w:rsidRDefault="00D376C9" w:rsidP="00D376C9">
      <w:pPr>
        <w:spacing w:before="240" w:line="276" w:lineRule="auto"/>
        <w:ind w:firstLine="708"/>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8570136" w14:textId="77777777" w:rsidR="00D376C9" w:rsidRPr="00153204" w:rsidRDefault="00D376C9" w:rsidP="00D376C9">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 xml:space="preserve">“[…] </w:t>
      </w:r>
      <w:r w:rsidRPr="00153204">
        <w:rPr>
          <w:rFonts w:ascii="Verdana" w:hAnsi="Verdana" w:cs="Arial"/>
          <w:i/>
          <w:color w:val="000000" w:themeColor="text1"/>
          <w:lang w:val="es-ES"/>
        </w:rPr>
        <w:t xml:space="preserve">Las excepciones aplicables a la restricción de contratación pública </w:t>
      </w:r>
      <w:r w:rsidRPr="00153204">
        <w:rPr>
          <w:rFonts w:ascii="Verdana" w:hAnsi="Verdana" w:cs="Arial"/>
          <w:color w:val="000000" w:themeColor="text1"/>
          <w:shd w:val="clear" w:color="auto" w:fill="FFFFFF"/>
          <w:lang w:val="es-ES"/>
        </w:rPr>
        <w:t xml:space="preserve">Ahora bien, las únicas excepciones a las disposiciones previstas en la Ley de Garantías se </w:t>
      </w:r>
      <w:r w:rsidRPr="00153204">
        <w:rPr>
          <w:rFonts w:ascii="Verdana" w:hAnsi="Verdana" w:cs="Arial"/>
          <w:color w:val="000000" w:themeColor="text1"/>
          <w:shd w:val="clear" w:color="auto" w:fill="FFFFFF"/>
          <w:lang w:val="es-ES"/>
        </w:rPr>
        <w:lastRenderedPageBreak/>
        <w:t>encuentran numeradas taxativamente en el último inciso del artículo 33 de la ley 996 de 2005 […]”</w:t>
      </w:r>
      <w:r w:rsidRPr="00153204">
        <w:rPr>
          <w:rFonts w:ascii="Verdana" w:hAnsi="Verdana" w:cs="Arial"/>
          <w:color w:val="000000" w:themeColor="text1"/>
          <w:shd w:val="clear" w:color="auto" w:fill="FFFFFF"/>
          <w:vertAlign w:val="superscript"/>
          <w:lang w:val="es-ES"/>
        </w:rPr>
        <w:footnoteReference w:id="19"/>
      </w:r>
      <w:r w:rsidRPr="00153204">
        <w:rPr>
          <w:rFonts w:ascii="Verdana" w:hAnsi="Verdana" w:cs="Arial"/>
          <w:color w:val="000000" w:themeColor="text1"/>
          <w:shd w:val="clear" w:color="auto" w:fill="FFFFFF"/>
          <w:lang w:val="es-ES"/>
        </w:rPr>
        <w:t>.</w:t>
      </w:r>
    </w:p>
    <w:p w14:paraId="3CD67F3C" w14:textId="77777777" w:rsidR="00D376C9" w:rsidRPr="00FC6F34" w:rsidRDefault="00D376C9" w:rsidP="00D376C9">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0BDBFC23" w14:textId="77777777" w:rsidR="00D376C9" w:rsidRDefault="00D376C9" w:rsidP="00D376C9">
      <w:pPr>
        <w:spacing w:before="240" w:line="276" w:lineRule="auto"/>
        <w:jc w:val="both"/>
        <w:rPr>
          <w:rFonts w:ascii="Verdana" w:hAnsi="Verdana" w:cs="Arial"/>
          <w:lang w:val="es-ES"/>
        </w:rPr>
      </w:pPr>
      <w:r>
        <w:rPr>
          <w:rFonts w:ascii="Verdana" w:eastAsia="Arial" w:hAnsi="Verdana" w:cs="Arial"/>
          <w:bCs/>
          <w:color w:val="000000" w:themeColor="text1"/>
          <w:lang w:val="es-ES"/>
        </w:rPr>
        <w:t xml:space="preserve">v) Por otro lado, la prohibición establecida en el </w:t>
      </w:r>
      <w:r w:rsidRPr="00F46F28">
        <w:rPr>
          <w:rFonts w:ascii="Verdana" w:eastAsia="Arial" w:hAnsi="Verdana" w:cs="Arial"/>
          <w:bCs/>
          <w:i/>
          <w:iCs/>
          <w:color w:val="000000" w:themeColor="text1"/>
          <w:lang w:val="es-ES"/>
        </w:rPr>
        <w:t xml:space="preserve">parágrafo del artículo 38 </w:t>
      </w:r>
      <w:r w:rsidRPr="00FC6F34">
        <w:rPr>
          <w:rFonts w:ascii="Verdana" w:eastAsia="Calibri" w:hAnsi="Verdana" w:cs="Arial"/>
          <w:bCs/>
          <w:lang w:val="es-ES"/>
        </w:rPr>
        <w:t xml:space="preserve">de la Ley 996 de 2005 dispone que “los Gobernadores, Alcaldes Municipales y/o Distritales, Secretarios, Gerentes y directores de Entidades Descentralizadas del orden Municipal, Departamental o Distrital, dentro de los cuatro (4) meses anteriores a las elecciones, no podrán celebrar </w:t>
      </w:r>
      <w:r w:rsidRPr="002D4C10">
        <w:rPr>
          <w:rFonts w:ascii="Verdana" w:eastAsia="Calibri" w:hAnsi="Verdana" w:cs="Arial"/>
          <w:bCs/>
          <w:i/>
          <w:iCs/>
          <w:lang w:val="es-ES"/>
        </w:rPr>
        <w:t>convenios interadministrativos</w:t>
      </w:r>
      <w:r w:rsidRPr="00FC6F34">
        <w:rPr>
          <w:rFonts w:ascii="Verdana" w:eastAsia="Calibri" w:hAnsi="Verdana" w:cs="Arial"/>
          <w:bCs/>
          <w:lang w:val="es-ES"/>
        </w:rPr>
        <w:t xml:space="preserve"> para la ejecución de recursos públicos”.</w:t>
      </w:r>
      <w:r w:rsidRPr="00FC6F34">
        <w:rPr>
          <w:rFonts w:ascii="Verdana" w:hAnsi="Verdana" w:cs="Arial"/>
          <w:bCs/>
          <w:iCs/>
          <w:lang w:val="es-ES" w:eastAsia="x-none"/>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C6F34">
        <w:rPr>
          <w:rStyle w:val="FootnoteReference"/>
          <w:rFonts w:ascii="Verdana" w:hAnsi="Verdana" w:cs="Arial"/>
          <w:bCs/>
          <w:iCs/>
          <w:lang w:val="es-ES" w:eastAsia="x-none"/>
        </w:rPr>
        <w:footnoteReference w:id="20"/>
      </w:r>
      <w:r w:rsidRPr="00FC6F34">
        <w:rPr>
          <w:rFonts w:ascii="Verdana" w:hAnsi="Verdana" w:cs="Arial"/>
          <w:bCs/>
          <w:iCs/>
          <w:lang w:val="es-ES" w:eastAsia="x-none"/>
        </w:rPr>
        <w:t>.</w:t>
      </w:r>
      <w:r w:rsidRPr="00FC6F34">
        <w:rPr>
          <w:rFonts w:ascii="Verdana" w:hAnsi="Verdana" w:cs="Arial"/>
          <w:lang w:val="es-ES"/>
        </w:rPr>
        <w:t xml:space="preserve"> </w:t>
      </w:r>
      <w:bookmarkStart w:id="3" w:name="_Hlk78820161"/>
    </w:p>
    <w:p w14:paraId="11648E4E" w14:textId="77777777" w:rsidR="00D376C9" w:rsidRDefault="00D376C9" w:rsidP="00D376C9">
      <w:pPr>
        <w:spacing w:before="120" w:after="120" w:line="276" w:lineRule="auto"/>
        <w:ind w:firstLine="708"/>
        <w:jc w:val="both"/>
        <w:rPr>
          <w:rFonts w:ascii="Verdana" w:hAnsi="Verdana" w:cs="Arial"/>
          <w:lang w:val="es-ES"/>
        </w:rPr>
      </w:pPr>
      <w:r w:rsidRPr="00FC6F34">
        <w:rPr>
          <w:rFonts w:ascii="Verdana" w:hAnsi="Verdana" w:cs="Arial"/>
          <w:lang w:val="es-ES"/>
        </w:rPr>
        <w:t>Aunque la ley no definió ni desarrolló</w:t>
      </w:r>
      <w:r>
        <w:rPr>
          <w:rFonts w:ascii="Verdana" w:hAnsi="Verdana" w:cs="Arial"/>
          <w:lang w:val="es-ES"/>
        </w:rPr>
        <w:t xml:space="preserve"> </w:t>
      </w:r>
      <w:r w:rsidRPr="00FC6F34">
        <w:rPr>
          <w:rFonts w:ascii="Verdana" w:eastAsia="Calibri" w:hAnsi="Verdana" w:cs="Arial"/>
          <w:bCs/>
          <w:lang w:val="es-ES"/>
        </w:rPr>
        <w:t>la tipología de convenios interadministrativos</w:t>
      </w:r>
      <w:r w:rsidRPr="00FC6F34">
        <w:rPr>
          <w:rFonts w:ascii="Verdana" w:hAnsi="Verdana" w:cs="Arial"/>
          <w:lang w:val="es-ES"/>
        </w:rPr>
        <w:t>, el Decreto 1082 de 2015 califica a los convenios o contratos interadministrativos como aquella contratación entre entidades estatales</w:t>
      </w:r>
      <w:r w:rsidRPr="00FC6F34">
        <w:rPr>
          <w:rStyle w:val="FootnoteReference"/>
          <w:rFonts w:ascii="Verdana" w:hAnsi="Verdana" w:cs="Arial"/>
          <w:lang w:val="es-ES"/>
        </w:rPr>
        <w:footnoteReference w:id="21"/>
      </w:r>
      <w:r w:rsidRPr="00FC6F34">
        <w:rPr>
          <w:rFonts w:ascii="Verdana" w:hAnsi="Verdana" w:cs="Arial"/>
          <w:lang w:val="es-ES"/>
        </w:rPr>
        <w:t xml:space="preserve">. De acuerdo con lo anterior, el convenio interadministrativo es el acuerdo donde concurre la voluntad de dos o más personas jurídicas de derecho público con la finalidad de cumplir, en el marco de sus objetivos misionales y sus competencias, con los fines del Estado. Es decir, los convenios interadministrativos están determinados por un criterio orgánico, pues es necesario que los extremos de la relación contractual sean </w:t>
      </w:r>
      <w:r>
        <w:rPr>
          <w:rFonts w:ascii="Verdana" w:hAnsi="Verdana" w:cs="Arial"/>
          <w:lang w:val="es-ES"/>
        </w:rPr>
        <w:t>E</w:t>
      </w:r>
      <w:r w:rsidRPr="00FC6F34">
        <w:rPr>
          <w:rFonts w:ascii="Verdana" w:hAnsi="Verdana" w:cs="Arial"/>
          <w:lang w:val="es-ES"/>
        </w:rPr>
        <w:t>ntidades</w:t>
      </w:r>
      <w:r w:rsidRPr="00FC6F34">
        <w:rPr>
          <w:rFonts w:ascii="Verdana" w:hAnsi="Verdana" w:cs="Arial"/>
          <w:spacing w:val="-6"/>
          <w:lang w:val="es-ES"/>
        </w:rPr>
        <w:t xml:space="preserve"> </w:t>
      </w:r>
      <w:r>
        <w:rPr>
          <w:rFonts w:ascii="Verdana" w:hAnsi="Verdana" w:cs="Arial"/>
          <w:lang w:val="es-ES"/>
        </w:rPr>
        <w:t>E</w:t>
      </w:r>
      <w:r w:rsidRPr="00FC6F34">
        <w:rPr>
          <w:rFonts w:ascii="Verdana" w:hAnsi="Verdana" w:cs="Arial"/>
          <w:lang w:val="es-ES"/>
        </w:rPr>
        <w:t>statales.</w:t>
      </w:r>
      <w:bookmarkStart w:id="4" w:name="_Hlk78820654"/>
      <w:bookmarkEnd w:id="3"/>
    </w:p>
    <w:p w14:paraId="59B3F3AB" w14:textId="77777777" w:rsidR="00D376C9" w:rsidRPr="000A1100" w:rsidRDefault="00D376C9" w:rsidP="00D376C9">
      <w:pPr>
        <w:spacing w:before="120" w:after="120" w:line="276" w:lineRule="auto"/>
        <w:ind w:firstLine="708"/>
        <w:jc w:val="both"/>
        <w:rPr>
          <w:rFonts w:ascii="Verdana" w:hAnsi="Verdana" w:cs="Arial"/>
          <w:lang w:val="es-ES"/>
        </w:rPr>
      </w:pPr>
      <w:r w:rsidRPr="00FC6F34">
        <w:rPr>
          <w:rFonts w:ascii="Verdana" w:hAnsi="Verdana" w:cs="Arial"/>
          <w:lang w:val="es-ES"/>
        </w:rPr>
        <w:lastRenderedPageBreak/>
        <w:t xml:space="preserve">Si bien los convenios interadministrativos están previstos en la Ley 80 de 1993, en la Ley 1150 de 2007 y en el Decreto en el 1082 de 2015, no quiere decir que solo puedan celebrarse entre </w:t>
      </w:r>
      <w:r>
        <w:rPr>
          <w:rFonts w:ascii="Verdana" w:hAnsi="Verdana" w:cs="Arial"/>
          <w:lang w:val="es-ES"/>
        </w:rPr>
        <w:t>E</w:t>
      </w:r>
      <w:r w:rsidRPr="00FC6F34">
        <w:rPr>
          <w:rFonts w:ascii="Verdana" w:hAnsi="Verdana" w:cs="Arial"/>
          <w:lang w:val="es-ES"/>
        </w:rPr>
        <w:t xml:space="preserve">ntidades </w:t>
      </w:r>
      <w:r>
        <w:rPr>
          <w:rFonts w:ascii="Verdana" w:hAnsi="Verdana" w:cs="Arial"/>
          <w:lang w:val="es-ES"/>
        </w:rPr>
        <w:t>E</w:t>
      </w:r>
      <w:r w:rsidRPr="00FC6F34">
        <w:rPr>
          <w:rFonts w:ascii="Verdana" w:hAnsi="Verdana" w:cs="Arial"/>
          <w:lang w:val="es-ES"/>
        </w:rPr>
        <w:t xml:space="preserve">statales que apliquen el régimen de contratación allí previsto, pues una </w:t>
      </w:r>
      <w:r>
        <w:rPr>
          <w:rFonts w:ascii="Verdana" w:hAnsi="Verdana" w:cs="Arial"/>
          <w:lang w:val="es-ES"/>
        </w:rPr>
        <w:t>E</w:t>
      </w:r>
      <w:r w:rsidRPr="00FC6F34">
        <w:rPr>
          <w:rFonts w:ascii="Verdana" w:hAnsi="Verdana" w:cs="Arial"/>
          <w:lang w:val="es-ES"/>
        </w:rPr>
        <w:t xml:space="preserve">ntidad </w:t>
      </w:r>
      <w:r>
        <w:rPr>
          <w:rFonts w:ascii="Verdana" w:hAnsi="Verdana" w:cs="Arial"/>
          <w:lang w:val="es-ES"/>
        </w:rPr>
        <w:t>E</w:t>
      </w:r>
      <w:r w:rsidRPr="00FC6F34">
        <w:rPr>
          <w:rFonts w:ascii="Verdana" w:hAnsi="Verdana" w:cs="Arial"/>
          <w:lang w:val="es-ES"/>
        </w:rPr>
        <w:t xml:space="preserve">statal sometida a la Ley 80 de 1993 </w:t>
      </w:r>
      <w:r>
        <w:rPr>
          <w:rFonts w:ascii="Verdana" w:hAnsi="Verdana" w:cs="Arial"/>
          <w:lang w:val="es-ES"/>
        </w:rPr>
        <w:t xml:space="preserve">puede </w:t>
      </w:r>
      <w:r w:rsidRPr="00FC6F34">
        <w:rPr>
          <w:rFonts w:ascii="Verdana" w:hAnsi="Verdana" w:cs="Arial"/>
          <w:lang w:val="es-ES"/>
        </w:rPr>
        <w:t>celebrar esta clase de convenios con una de régimen especial y no por ello dejará de ser un convenio interadministrativo.</w:t>
      </w:r>
      <w:bookmarkEnd w:id="4"/>
      <w:r>
        <w:rPr>
          <w:rFonts w:ascii="Verdana" w:hAnsi="Verdana" w:cs="Arial"/>
          <w:lang w:val="es-ES"/>
        </w:rPr>
        <w:t xml:space="preserve"> </w:t>
      </w:r>
      <w:r w:rsidRPr="00FC6F34">
        <w:rPr>
          <w:rFonts w:ascii="Verdana" w:hAnsi="Verdana" w:cs="Arial"/>
          <w:lang w:val="es-ES"/>
        </w:rPr>
        <w:t xml:space="preserve">Teniendo en cuenta lo anterior, se reitera que los convenios interadministrativos </w:t>
      </w:r>
      <w:r>
        <w:rPr>
          <w:rFonts w:ascii="Verdana" w:hAnsi="Verdana" w:cs="Arial"/>
          <w:lang w:val="es-ES"/>
        </w:rPr>
        <w:t xml:space="preserve">están definidos por </w:t>
      </w:r>
      <w:r w:rsidRPr="00FC6F34">
        <w:rPr>
          <w:rFonts w:ascii="Verdana" w:hAnsi="Verdana" w:cs="Arial"/>
          <w:lang w:val="es-ES"/>
        </w:rPr>
        <w:t xml:space="preserve">la naturaleza de las partes, de manera que </w:t>
      </w:r>
      <w:r>
        <w:rPr>
          <w:rFonts w:ascii="Verdana" w:hAnsi="Verdana" w:cs="Arial"/>
          <w:lang w:val="es-ES"/>
        </w:rPr>
        <w:t xml:space="preserve">se identifican </w:t>
      </w:r>
      <w:r w:rsidRPr="00FC6F34">
        <w:rPr>
          <w:rFonts w:ascii="Verdana" w:hAnsi="Verdana" w:cs="Arial"/>
          <w:lang w:val="es-ES"/>
        </w:rPr>
        <w:t>por un criterio orgánico</w:t>
      </w:r>
      <w:r>
        <w:rPr>
          <w:rFonts w:ascii="Verdana" w:hAnsi="Verdana" w:cs="Arial"/>
          <w:lang w:val="es-ES"/>
        </w:rPr>
        <w:t xml:space="preserve"> y </w:t>
      </w:r>
      <w:r w:rsidRPr="00FC6F34">
        <w:rPr>
          <w:rFonts w:ascii="Verdana" w:hAnsi="Verdana" w:cs="Arial"/>
          <w:lang w:val="es-ES"/>
        </w:rPr>
        <w:t xml:space="preserve">serán aquellos celebrados entre entidades estatales. </w:t>
      </w:r>
    </w:p>
    <w:p w14:paraId="6797BCD6" w14:textId="77777777" w:rsidR="00D376C9" w:rsidRDefault="00D376C9" w:rsidP="00D376C9">
      <w:pPr>
        <w:spacing w:before="120" w:after="0" w:line="276" w:lineRule="auto"/>
        <w:ind w:firstLine="708"/>
        <w:jc w:val="both"/>
        <w:rPr>
          <w:rFonts w:ascii="Verdana" w:hAnsi="Verdana" w:cs="Arial"/>
          <w:bCs/>
          <w:lang w:val="es-ES" w:eastAsia="es-CO"/>
        </w:rPr>
      </w:pPr>
      <w:r>
        <w:rPr>
          <w:rFonts w:ascii="Verdana" w:eastAsia="Calibri" w:hAnsi="Verdana" w:cs="Arial"/>
          <w:bCs/>
          <w:lang w:val="es-ES"/>
        </w:rPr>
        <w:t xml:space="preserve">En consecuencia, </w:t>
      </w:r>
      <w:r w:rsidRPr="00FC6F34">
        <w:rPr>
          <w:rFonts w:ascii="Verdana" w:hAnsi="Verdana" w:cs="Arial"/>
          <w:bCs/>
          <w:lang w:val="es-ES" w:eastAsia="es-CO"/>
        </w:rPr>
        <w:t xml:space="preserve">el parágrafo del artículo 38 de la Ley 996 de 2005 prohíbe </w:t>
      </w:r>
      <w:r>
        <w:rPr>
          <w:rFonts w:ascii="Verdana" w:hAnsi="Verdana" w:cs="Arial"/>
          <w:bCs/>
          <w:lang w:val="es-ES" w:eastAsia="es-CO"/>
        </w:rPr>
        <w:t xml:space="preserve">específicamente </w:t>
      </w:r>
      <w:r w:rsidRPr="00FC6F34">
        <w:rPr>
          <w:rFonts w:ascii="Verdana" w:hAnsi="Verdana" w:cs="Arial"/>
          <w:bCs/>
          <w:lang w:val="es-ES" w:eastAsia="es-CO"/>
        </w:rPr>
        <w:t xml:space="preserve">a los </w:t>
      </w:r>
      <w:r w:rsidRPr="00EF61FB">
        <w:rPr>
          <w:rFonts w:ascii="Verdana" w:hAnsi="Verdana" w:cs="Arial"/>
          <w:bCs/>
          <w:i/>
          <w:iCs/>
          <w:lang w:val="es-ES" w:eastAsia="es-CO"/>
        </w:rPr>
        <w:t>alcaldes, gobernadores, secretarios, gerentes y directores de las entidades del orden municipal, departamental o distrital</w:t>
      </w:r>
      <w:r w:rsidRPr="00FC6F34">
        <w:rPr>
          <w:rFonts w:ascii="Verdana" w:hAnsi="Verdana" w:cs="Arial"/>
          <w:bCs/>
          <w:lang w:val="es-ES" w:eastAsia="es-CO"/>
        </w:rPr>
        <w:t xml:space="preserve"> celebrar convenios interadministrativos para la ejecución de recursos públicos. En este sentido, </w:t>
      </w:r>
      <w:r>
        <w:rPr>
          <w:rFonts w:ascii="Verdana" w:hAnsi="Verdana" w:cs="Arial"/>
          <w:bCs/>
          <w:lang w:val="es-ES" w:eastAsia="es-CO"/>
        </w:rPr>
        <w:t>cuando dichas entidades pretenda celebrar un convenio con otra entidad</w:t>
      </w:r>
      <w:r w:rsidRPr="00FC6F34">
        <w:rPr>
          <w:rFonts w:ascii="Verdana" w:hAnsi="Verdana" w:cs="Arial"/>
          <w:bCs/>
          <w:lang w:val="es-ES" w:eastAsia="es-CO"/>
        </w:rPr>
        <w:t xml:space="preserve">, no podrá </w:t>
      </w:r>
      <w:r>
        <w:rPr>
          <w:rFonts w:ascii="Verdana" w:hAnsi="Verdana" w:cs="Arial"/>
          <w:bCs/>
          <w:lang w:val="es-ES" w:eastAsia="es-CO"/>
        </w:rPr>
        <w:t xml:space="preserve">hacerlo durante </w:t>
      </w:r>
      <w:r w:rsidRPr="00FC6F34">
        <w:rPr>
          <w:rFonts w:ascii="Verdana" w:hAnsi="Verdana" w:cs="Arial"/>
          <w:bCs/>
          <w:lang w:val="es-ES" w:eastAsia="es-CO"/>
        </w:rPr>
        <w:t>la aplicación de la ley de garantías, toda vez que la citada disposición hace referencia a dicha tipología contractual sin que el legislador hubiere contemplado excepción alguna frente a la modalidad de selección o naturaleza de su objeto</w:t>
      </w:r>
      <w:r w:rsidRPr="00FC6F34">
        <w:rPr>
          <w:rFonts w:ascii="Verdana" w:hAnsi="Verdana" w:cs="Arial"/>
          <w:vertAlign w:val="superscript"/>
          <w:lang w:val="es-ES"/>
        </w:rPr>
        <w:footnoteReference w:id="22"/>
      </w:r>
      <w:r w:rsidRPr="00FC6F34">
        <w:rPr>
          <w:rFonts w:ascii="Verdana" w:hAnsi="Verdana" w:cs="Arial"/>
          <w:bCs/>
          <w:lang w:val="es-ES" w:eastAsia="es-CO"/>
        </w:rPr>
        <w:t xml:space="preserve">. </w:t>
      </w:r>
    </w:p>
    <w:p w14:paraId="43345627" w14:textId="77777777" w:rsidR="00D376C9" w:rsidRPr="00FB337F" w:rsidRDefault="00D376C9" w:rsidP="00D376C9">
      <w:pPr>
        <w:spacing w:after="0" w:line="276" w:lineRule="auto"/>
        <w:ind w:firstLine="708"/>
        <w:jc w:val="both"/>
        <w:rPr>
          <w:rFonts w:ascii="Verdana" w:eastAsia="Calibri" w:hAnsi="Verdana" w:cs="Arial"/>
          <w:bCs/>
          <w:lang w:val="es-ES"/>
        </w:rPr>
      </w:pPr>
    </w:p>
    <w:p w14:paraId="49D9EC09" w14:textId="77777777" w:rsidR="00D376C9" w:rsidRPr="00E21839" w:rsidRDefault="00D376C9" w:rsidP="00D376C9">
      <w:pPr>
        <w:spacing w:after="120" w:line="276" w:lineRule="auto"/>
        <w:jc w:val="both"/>
        <w:rPr>
          <w:rFonts w:ascii="Verdana" w:eastAsia="Arial" w:hAnsi="Verdana" w:cs="Arial"/>
          <w:color w:val="000000" w:themeColor="text1"/>
        </w:rPr>
      </w:pPr>
      <w:proofErr w:type="spellStart"/>
      <w:r>
        <w:rPr>
          <w:rFonts w:ascii="Verdana" w:eastAsia="Arial" w:hAnsi="Verdana" w:cs="Arial"/>
          <w:bCs/>
          <w:color w:val="000000" w:themeColor="text1"/>
          <w:lang w:val="es-ES"/>
        </w:rPr>
        <w:t>iv</w:t>
      </w:r>
      <w:proofErr w:type="spellEnd"/>
      <w:r>
        <w:rPr>
          <w:rFonts w:ascii="Verdana" w:eastAsia="Arial" w:hAnsi="Verdana" w:cs="Arial"/>
          <w:bCs/>
          <w:color w:val="000000" w:themeColor="text1"/>
          <w:lang w:val="es-ES"/>
        </w:rPr>
        <w:t xml:space="preserve">) </w:t>
      </w:r>
      <w:r>
        <w:rPr>
          <w:rFonts w:ascii="Verdana" w:eastAsia="Arial" w:hAnsi="Verdana" w:cs="Arial"/>
          <w:color w:val="000000" w:themeColor="text1"/>
        </w:rPr>
        <w:t xml:space="preserve">De lo anterior se evidencia que los contratos o convenios que pretenda celebrar de manera directa </w:t>
      </w:r>
      <w:r w:rsidRPr="00812489">
        <w:rPr>
          <w:rFonts w:ascii="Verdana" w:eastAsia="Arial" w:hAnsi="Verdana" w:cs="Arial"/>
          <w:i/>
          <w:iCs/>
          <w:color w:val="000000" w:themeColor="text1"/>
        </w:rPr>
        <w:t>cualquier</w:t>
      </w:r>
      <w:r>
        <w:rPr>
          <w:rFonts w:ascii="Verdana" w:eastAsia="Arial" w:hAnsi="Verdana" w:cs="Arial"/>
          <w:color w:val="000000" w:themeColor="text1"/>
        </w:rPr>
        <w:t xml:space="preserve"> ente público, y que no impliquen convocatorias públicas o la posibilidad de pluralidad de oferentes, estarán sujetos a la prohibición del artículo 33 de la Ley 996 de 2005. En cualquier caso, </w:t>
      </w:r>
      <w:r>
        <w:rPr>
          <w:rFonts w:ascii="Verdana" w:eastAsia="Arial" w:hAnsi="Verdana" w:cs="Arial"/>
          <w:bCs/>
          <w:color w:val="000000" w:themeColor="text1"/>
          <w:lang w:val="es-ES"/>
        </w:rPr>
        <w:t xml:space="preserve">será pertinente analizar si se configura alguna de las excepciones a la restricción del artículo 33. De ser así, la entidad podrá llevar a cabo la contratación directa, a pesar de que haya iniciado el periodo de garantías electorales correspondiente al artículo 33 de la Ley 996 de 2005. </w:t>
      </w:r>
    </w:p>
    <w:p w14:paraId="4840F541" w14:textId="77777777" w:rsidR="00D376C9" w:rsidRDefault="00D376C9" w:rsidP="00D376C9">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Adicionalmente, 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la contratación restringida es la que lleven a cabo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xml:space="preserve">”, de modo que otras entidades no se encuentran sujetas a lo dispuesto en este artículo. Por otra parte, es necesario </w:t>
      </w:r>
      <w:r>
        <w:rPr>
          <w:rFonts w:ascii="Verdana" w:eastAsia="Arial" w:hAnsi="Verdana" w:cs="Arial"/>
          <w:bCs/>
          <w:color w:val="000000" w:themeColor="text1"/>
          <w:lang w:val="es-ES"/>
        </w:rPr>
        <w:t xml:space="preserve">verificar si lo que pretende adelantar es un convenio interadministrativo que involucre la </w:t>
      </w:r>
      <w:r>
        <w:rPr>
          <w:rFonts w:ascii="Verdana" w:eastAsia="Arial" w:hAnsi="Verdana" w:cs="Arial"/>
          <w:bCs/>
          <w:color w:val="000000" w:themeColor="text1"/>
          <w:lang w:val="es-ES"/>
        </w:rPr>
        <w:lastRenderedPageBreak/>
        <w:t xml:space="preserve">ejecución de recursos públicos. Cuando este sea el caso, operará la restricción señalada en el parágrafo y dichas entidades tendrán prohibido llevar a cabo la contratación en los cuatro meses anteriores a </w:t>
      </w:r>
      <w:r w:rsidRPr="00DF46A6">
        <w:rPr>
          <w:rFonts w:ascii="Verdana" w:eastAsia="Arial" w:hAnsi="Verdana" w:cs="Arial"/>
          <w:bCs/>
          <w:i/>
          <w:iCs/>
          <w:color w:val="000000" w:themeColor="text1"/>
          <w:lang w:val="es-ES"/>
        </w:rPr>
        <w:t>cualquier contienda electoral</w:t>
      </w:r>
      <w:r>
        <w:rPr>
          <w:rFonts w:ascii="Verdana" w:eastAsia="Arial" w:hAnsi="Verdana" w:cs="Arial"/>
          <w:bCs/>
          <w:color w:val="000000" w:themeColor="text1"/>
          <w:lang w:val="es-ES"/>
        </w:rPr>
        <w:t xml:space="preserve">. Es importante resaltar que para esta prohibición la norma no contempló ninguna excepción. </w:t>
      </w:r>
    </w:p>
    <w:p w14:paraId="7F0D8C3C" w14:textId="77777777" w:rsidR="00D376C9" w:rsidRPr="000A779C" w:rsidRDefault="00D376C9" w:rsidP="00D376C9">
      <w:pPr>
        <w:spacing w:after="120" w:line="276" w:lineRule="auto"/>
        <w:ind w:firstLine="708"/>
        <w:jc w:val="both"/>
        <w:rPr>
          <w:rFonts w:ascii="Verdana" w:eastAsia="Arial" w:hAnsi="Verdana" w:cs="Arial"/>
          <w:color w:val="000000" w:themeColor="text1"/>
        </w:rPr>
      </w:pPr>
      <w:r>
        <w:rPr>
          <w:rFonts w:ascii="Verdana" w:eastAsia="Arial" w:hAnsi="Verdana" w:cs="Arial"/>
          <w:bCs/>
          <w:color w:val="000000" w:themeColor="text1"/>
          <w:lang w:val="es-ES"/>
        </w:rPr>
        <w:t>Con respecto a la pregunta planteada en su consulta, se aclara que la</w:t>
      </w:r>
      <w:r>
        <w:rPr>
          <w:rFonts w:ascii="Verdana" w:eastAsia="Arial" w:hAnsi="Verdana" w:cs="Arial"/>
          <w:color w:val="000000" w:themeColor="text1"/>
        </w:rPr>
        <w:t xml:space="preserve"> prohibición establecida en el artículo 33 de la ley de Garantías Electorales rige d</w:t>
      </w:r>
      <w:r w:rsidRPr="00812489">
        <w:rPr>
          <w:rFonts w:ascii="Verdana" w:eastAsia="Arial" w:hAnsi="Verdana" w:cs="Arial"/>
          <w:color w:val="000000" w:themeColor="text1"/>
        </w:rPr>
        <w:t>urante los cuatro (4) meses anteriores a la elección presidencial</w:t>
      </w:r>
      <w:r>
        <w:rPr>
          <w:rFonts w:ascii="Verdana" w:eastAsia="Arial" w:hAnsi="Verdana" w:cs="Arial"/>
          <w:color w:val="000000" w:themeColor="text1"/>
        </w:rPr>
        <w:t xml:space="preserve">. Por su parte la restricción del parágrafo del artículo 38 aplica </w:t>
      </w:r>
      <w:r w:rsidRPr="001456FE">
        <w:rPr>
          <w:rFonts w:ascii="Verdana" w:eastAsia="Arial" w:hAnsi="Verdana" w:cs="Arial"/>
          <w:color w:val="000000" w:themeColor="text1"/>
        </w:rPr>
        <w:t xml:space="preserve">dentro de los cuatro (4) meses anteriores a </w:t>
      </w:r>
      <w:r>
        <w:rPr>
          <w:rFonts w:ascii="Verdana" w:eastAsia="Arial" w:hAnsi="Verdana" w:cs="Arial"/>
          <w:color w:val="000000" w:themeColor="text1"/>
        </w:rPr>
        <w:t>cualquier contienda electoral. Sobre la fecha específica l</w:t>
      </w:r>
      <w:r w:rsidRPr="00812489">
        <w:rPr>
          <w:rFonts w:ascii="Verdana" w:eastAsia="Arial" w:hAnsi="Verdana" w:cs="Arial"/>
          <w:color w:val="000000" w:themeColor="text1"/>
        </w:rPr>
        <w:t xml:space="preserve">a Registraduría Nacional del Estado Civil expidió las Resoluciones No. 2580 y 2581 del 5 de marzo de 2025, por las cuales </w:t>
      </w:r>
      <w:r>
        <w:rPr>
          <w:rFonts w:ascii="Verdana" w:eastAsia="Arial" w:hAnsi="Verdana" w:cs="Arial"/>
          <w:color w:val="000000" w:themeColor="text1"/>
        </w:rPr>
        <w:t xml:space="preserve">fijó </w:t>
      </w:r>
      <w:r w:rsidRPr="00812489">
        <w:rPr>
          <w:rFonts w:ascii="Verdana" w:eastAsia="Arial" w:hAnsi="Verdana" w:cs="Arial"/>
          <w:color w:val="000000" w:themeColor="text1"/>
        </w:rPr>
        <w:t>los calendarios para las elecciones</w:t>
      </w:r>
      <w:r>
        <w:rPr>
          <w:rFonts w:ascii="Verdana" w:eastAsia="Arial" w:hAnsi="Verdana" w:cs="Arial"/>
          <w:color w:val="000000" w:themeColor="text1"/>
        </w:rPr>
        <w:t>. Según lo anterior,</w:t>
      </w:r>
      <w:r w:rsidRPr="00812489">
        <w:rPr>
          <w:rFonts w:ascii="Verdana" w:eastAsia="Arial" w:hAnsi="Verdana" w:cs="Arial"/>
          <w:color w:val="000000" w:themeColor="text1"/>
        </w:rPr>
        <w:t xml:space="preserve"> </w:t>
      </w:r>
      <w:r>
        <w:rPr>
          <w:rFonts w:ascii="Verdana" w:eastAsia="Arial" w:hAnsi="Verdana" w:cs="Arial"/>
          <w:color w:val="000000" w:themeColor="text1"/>
        </w:rPr>
        <w:t xml:space="preserve">las elecciones para el </w:t>
      </w:r>
      <w:r w:rsidRPr="000A779C">
        <w:rPr>
          <w:rFonts w:ascii="Verdana" w:eastAsia="Arial" w:hAnsi="Verdana" w:cs="Arial"/>
          <w:color w:val="000000" w:themeColor="text1"/>
        </w:rPr>
        <w:t>Senado de la República y la Cámara de Representantes</w:t>
      </w:r>
      <w:r w:rsidRPr="00812489">
        <w:rPr>
          <w:rFonts w:ascii="Verdana" w:eastAsia="Arial" w:hAnsi="Verdana" w:cs="Arial"/>
          <w:color w:val="000000" w:themeColor="text1"/>
        </w:rPr>
        <w:t xml:space="preserve"> de la República</w:t>
      </w:r>
      <w:r>
        <w:rPr>
          <w:rFonts w:ascii="Verdana" w:eastAsia="Arial" w:hAnsi="Verdana" w:cs="Arial"/>
          <w:color w:val="000000" w:themeColor="text1"/>
        </w:rPr>
        <w:t xml:space="preserve"> se realizarán el</w:t>
      </w:r>
      <w:r w:rsidRPr="001456FE">
        <w:rPr>
          <w:rFonts w:ascii="Verdana" w:eastAsia="Arial" w:hAnsi="Verdana" w:cs="Arial"/>
          <w:color w:val="000000" w:themeColor="text1"/>
        </w:rPr>
        <w:t xml:space="preserve"> 8 de marzo de 2026</w:t>
      </w:r>
      <w:r>
        <w:rPr>
          <w:rFonts w:ascii="Verdana" w:eastAsia="Arial" w:hAnsi="Verdana" w:cs="Arial"/>
          <w:color w:val="000000" w:themeColor="text1"/>
        </w:rPr>
        <w:t>; la elección del</w:t>
      </w:r>
      <w:r w:rsidRPr="00812489">
        <w:rPr>
          <w:rFonts w:ascii="Verdana" w:eastAsia="Arial" w:hAnsi="Verdana" w:cs="Arial"/>
          <w:color w:val="000000" w:themeColor="text1"/>
        </w:rPr>
        <w:t xml:space="preserve"> presidente y vicepresidente de la República (primera vuelta</w:t>
      </w:r>
      <w:r>
        <w:rPr>
          <w:rFonts w:ascii="Verdana" w:eastAsia="Arial" w:hAnsi="Verdana" w:cs="Arial"/>
          <w:color w:val="000000" w:themeColor="text1"/>
        </w:rPr>
        <w:t>)</w:t>
      </w:r>
      <w:r w:rsidRPr="000A779C">
        <w:rPr>
          <w:rFonts w:ascii="Verdana" w:eastAsia="Arial" w:hAnsi="Verdana" w:cs="Arial"/>
          <w:color w:val="000000" w:themeColor="text1"/>
        </w:rPr>
        <w:t xml:space="preserve"> se llevará a cabo el 31 de mayo de 2026 y, de presentarse segunda vuelta, el 21 de junio de 2026</w:t>
      </w:r>
      <w:r>
        <w:rPr>
          <w:rFonts w:ascii="Verdana" w:eastAsia="Arial" w:hAnsi="Verdana" w:cs="Arial"/>
          <w:color w:val="000000" w:themeColor="text1"/>
        </w:rPr>
        <w:t xml:space="preserve">. Teniendo en cuenta lo anterior, la prohibición del artículo 33 aplica en estricto sentido para cualquier contratación directa que realicen todos los entes públicos desde el 31 de enero de 2026 </w:t>
      </w:r>
      <w:r w:rsidRPr="000A779C">
        <w:rPr>
          <w:rFonts w:ascii="Verdana" w:eastAsia="Arial" w:hAnsi="Verdana" w:cs="Arial"/>
          <w:color w:val="000000" w:themeColor="text1"/>
        </w:rPr>
        <w:t>hasta el 31 de mayo de 2026 y, de presentarse segunda vuelta, hasta el 21 de junio de 2026.</w:t>
      </w:r>
      <w:r w:rsidRPr="000A779C">
        <w:rPr>
          <w:rStyle w:val="FootnoteReference"/>
          <w:rFonts w:ascii="Verdana" w:eastAsia="Arial" w:hAnsi="Verdana" w:cs="Arial"/>
          <w:color w:val="000000" w:themeColor="text1"/>
        </w:rPr>
        <w:t xml:space="preserve"> </w:t>
      </w:r>
      <w:r>
        <w:rPr>
          <w:rFonts w:ascii="Verdana" w:eastAsia="Arial" w:hAnsi="Verdana" w:cs="Arial"/>
          <w:color w:val="000000" w:themeColor="text1"/>
        </w:rPr>
        <w:t xml:space="preserve">Por otra parte, la prohibición del parágrafo del artículo 38 rige para las entidades allí señaladas que pretendan celebrar convenios interadministrativos desde el </w:t>
      </w:r>
      <w:r w:rsidRPr="000A779C">
        <w:rPr>
          <w:rFonts w:ascii="Verdana" w:eastAsia="Arial" w:hAnsi="Verdana" w:cs="Arial"/>
          <w:color w:val="000000" w:themeColor="text1"/>
        </w:rPr>
        <w:t>08 de noviembre de 2025 hasta el 31 de mayo de 2026 y, de presentarse segunda vuelta, hasta el 21 de junio de 2026.</w:t>
      </w:r>
      <w:r>
        <w:rPr>
          <w:rStyle w:val="FootnoteReference"/>
          <w:rFonts w:ascii="Verdana" w:eastAsia="Arial" w:hAnsi="Verdana" w:cs="Arial"/>
          <w:color w:val="000000" w:themeColor="text1"/>
        </w:rPr>
        <w:footnoteReference w:id="23"/>
      </w:r>
    </w:p>
    <w:p w14:paraId="45C9E0E4" w14:textId="77777777" w:rsidR="00D376C9" w:rsidRPr="000F22B6" w:rsidRDefault="00D376C9" w:rsidP="00D376C9">
      <w:pPr>
        <w:shd w:val="clear" w:color="auto" w:fill="FFFFFF"/>
        <w:spacing w:after="120" w:line="276" w:lineRule="auto"/>
        <w:ind w:firstLine="708"/>
        <w:jc w:val="both"/>
        <w:rPr>
          <w:rFonts w:ascii="Verdana" w:hAnsi="Verdana" w:cs="Arial"/>
          <w:lang w:val="es-ES" w:eastAsia="es-CO"/>
        </w:rPr>
      </w:pPr>
      <w:r>
        <w:rPr>
          <w:rFonts w:ascii="Verdana" w:eastAsia="Calibri" w:hAnsi="Verdana" w:cs="Arial"/>
          <w:lang w:val="es-ES"/>
        </w:rPr>
        <w:t>C</w:t>
      </w:r>
      <w:r w:rsidRPr="00584759">
        <w:rPr>
          <w:rFonts w:ascii="Verdana" w:eastAsia="Calibri" w:hAnsi="Verdana" w:cs="Arial"/>
          <w:lang w:val="es-ES"/>
        </w:rPr>
        <w:t xml:space="preserve">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 xml:space="preserve">statal realizar el análisis para determinar si aplica o no </w:t>
      </w:r>
      <w:r>
        <w:rPr>
          <w:rFonts w:ascii="Verdana" w:eastAsia="Calibri" w:hAnsi="Verdana" w:cs="Arial"/>
          <w:lang w:val="es-ES"/>
        </w:rPr>
        <w:t>alguna restricción contemplada en la Ley de Garantías Electorales</w:t>
      </w:r>
      <w:r w:rsidRPr="00584759">
        <w:rPr>
          <w:rFonts w:ascii="Verdana" w:eastAsia="Calibri" w:hAnsi="Verdana" w:cs="Arial"/>
          <w:lang w:val="es-ES"/>
        </w:rPr>
        <w:t xml:space="preserve">, para lo cual las consideraciones expuestas en el presente concepto constituyen un instrumento orientador. </w:t>
      </w:r>
      <w:r>
        <w:rPr>
          <w:rFonts w:ascii="Verdana" w:hAnsi="Verdana" w:cs="Arial"/>
          <w:lang w:val="es-ES" w:eastAsia="es-CO"/>
        </w:rPr>
        <w:t>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modalidades distintas a la contratación directa o tipologías distintas a los convenios interadministrativos</w:t>
      </w:r>
      <w:r w:rsidRPr="00FC6F34">
        <w:rPr>
          <w:rFonts w:ascii="Verdana" w:hAnsi="Verdana" w:cs="Arial"/>
          <w:lang w:val="es-ES" w:eastAsia="es-CO"/>
        </w:rPr>
        <w:t xml:space="preserve">, </w:t>
      </w:r>
      <w:r>
        <w:rPr>
          <w:rFonts w:ascii="Verdana" w:hAnsi="Verdana" w:cs="Arial"/>
          <w:lang w:val="es-ES" w:eastAsia="es-CO"/>
        </w:rPr>
        <w:t xml:space="preserve">es decir,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6CC577D9" w14:textId="77777777" w:rsidR="00D376C9" w:rsidRPr="00584759" w:rsidRDefault="00D376C9" w:rsidP="00D376C9">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color w:val="000000" w:themeColor="text1"/>
          <w:lang w:val="es-ES" w:eastAsia="es-ES"/>
        </w:rPr>
        <w:lastRenderedPageBreak/>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6E93A4AF" w14:textId="77777777" w:rsidR="00D376C9" w:rsidRPr="00FC6F34" w:rsidRDefault="00D376C9" w:rsidP="00D376C9">
      <w:pPr>
        <w:spacing w:after="0" w:line="276" w:lineRule="auto"/>
        <w:ind w:firstLine="708"/>
        <w:jc w:val="both"/>
        <w:rPr>
          <w:rFonts w:ascii="Verdana" w:eastAsia="Calibri" w:hAnsi="Verdana" w:cs="Arial"/>
          <w:lang w:val="es-ES"/>
        </w:rPr>
      </w:pPr>
    </w:p>
    <w:bookmarkEnd w:id="1"/>
    <w:bookmarkEnd w:id="2"/>
    <w:p w14:paraId="3121BA4C" w14:textId="77777777" w:rsidR="00D376C9" w:rsidRPr="00FC6F34" w:rsidRDefault="00D376C9" w:rsidP="00D376C9">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75F4BEA9" w14:textId="77777777" w:rsidR="00D376C9" w:rsidRPr="00FC6F34" w:rsidRDefault="00D376C9" w:rsidP="00D376C9">
      <w:pPr>
        <w:widowControl w:val="0"/>
        <w:autoSpaceDE w:val="0"/>
        <w:autoSpaceDN w:val="0"/>
        <w:spacing w:after="0" w:line="276" w:lineRule="auto"/>
        <w:jc w:val="both"/>
        <w:rPr>
          <w:rFonts w:ascii="Verdana" w:hAnsi="Verdana" w:cs="Arial"/>
          <w:color w:val="000000" w:themeColor="text1"/>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376C9" w:rsidRPr="00FC6F34" w14:paraId="640A7439" w14:textId="77777777" w:rsidTr="00F50545">
        <w:trPr>
          <w:trHeight w:val="870"/>
        </w:trPr>
        <w:tc>
          <w:tcPr>
            <w:tcW w:w="8647" w:type="dxa"/>
          </w:tcPr>
          <w:p w14:paraId="49435D6B" w14:textId="77777777" w:rsidR="00D376C9" w:rsidRPr="000A1BCD" w:rsidRDefault="00D376C9" w:rsidP="000A1BCD">
            <w:pPr>
              <w:widowControl w:val="0"/>
              <w:numPr>
                <w:ilvl w:val="0"/>
                <w:numId w:val="16"/>
              </w:numPr>
              <w:autoSpaceDE w:val="0"/>
              <w:autoSpaceDN w:val="0"/>
              <w:snapToGrid w:val="0"/>
              <w:spacing w:line="276" w:lineRule="auto"/>
              <w:ind w:left="714" w:hanging="357"/>
              <w:contextualSpacing/>
              <w:jc w:val="both"/>
              <w:rPr>
                <w:rFonts w:ascii="Verdana" w:eastAsia="Arial MT" w:hAnsi="Verdana" w:cs="Arial"/>
                <w:lang w:val="es-ES" w:eastAsia="es-ES" w:bidi="es-ES"/>
              </w:rPr>
            </w:pPr>
            <w:r w:rsidRPr="000A1BCD">
              <w:rPr>
                <w:rFonts w:ascii="Verdana" w:eastAsia="Arial MT" w:hAnsi="Verdana" w:cs="Arial"/>
                <w:bCs/>
                <w:lang w:val="es-ES" w:eastAsia="es-ES" w:bidi="es-ES"/>
              </w:rPr>
              <w:t>Ley 996 de 2005: artículos 33 y 38.</w:t>
            </w:r>
          </w:p>
          <w:p w14:paraId="3863ADCF" w14:textId="77777777" w:rsidR="00D376C9" w:rsidRPr="000A1BCD" w:rsidRDefault="00D376C9" w:rsidP="000A1BCD">
            <w:pPr>
              <w:pStyle w:val="ListParagraph"/>
              <w:numPr>
                <w:ilvl w:val="0"/>
                <w:numId w:val="16"/>
              </w:numPr>
              <w:snapToGrid w:val="0"/>
              <w:spacing w:line="276" w:lineRule="auto"/>
              <w:ind w:left="714" w:hanging="357"/>
              <w:jc w:val="both"/>
              <w:rPr>
                <w:rFonts w:ascii="Verdana" w:hAnsi="Verdana" w:cs="Arial"/>
              </w:rPr>
            </w:pPr>
            <w:r w:rsidRPr="000A1BCD">
              <w:rPr>
                <w:rFonts w:ascii="Verdana" w:hAnsi="Verdana" w:cs="Arial"/>
              </w:rPr>
              <w:t>Ley 80 de 1993, artículos 30 y 32.</w:t>
            </w:r>
          </w:p>
          <w:p w14:paraId="630FB32B" w14:textId="77777777" w:rsidR="00D376C9" w:rsidRPr="000A1BCD" w:rsidRDefault="00D376C9" w:rsidP="000A1BCD">
            <w:pPr>
              <w:widowControl w:val="0"/>
              <w:numPr>
                <w:ilvl w:val="0"/>
                <w:numId w:val="16"/>
              </w:numPr>
              <w:autoSpaceDE w:val="0"/>
              <w:autoSpaceDN w:val="0"/>
              <w:snapToGrid w:val="0"/>
              <w:spacing w:line="276" w:lineRule="auto"/>
              <w:ind w:left="714" w:hanging="357"/>
              <w:contextualSpacing/>
              <w:jc w:val="both"/>
              <w:rPr>
                <w:rFonts w:ascii="Verdana" w:eastAsia="Arial MT" w:hAnsi="Verdana" w:cs="Arial"/>
                <w:lang w:val="es-ES" w:eastAsia="es-ES" w:bidi="es-ES"/>
              </w:rPr>
            </w:pPr>
            <w:r w:rsidRPr="000A1BCD">
              <w:rPr>
                <w:rFonts w:ascii="Verdana" w:eastAsia="Times New Roman" w:hAnsi="Verdana" w:cs="Times New Roman"/>
                <w:lang w:val="es-ES" w:eastAsia="es-MX"/>
              </w:rPr>
              <w:t xml:space="preserve">Ley 1150 de 2007, </w:t>
            </w:r>
            <w:r w:rsidRPr="000A1BCD">
              <w:rPr>
                <w:rFonts w:ascii="Verdana" w:eastAsia="Arial MT" w:hAnsi="Verdana" w:cs="Arial"/>
                <w:lang w:val="es-ES" w:eastAsia="es-ES" w:bidi="es-ES"/>
              </w:rPr>
              <w:t xml:space="preserve">Artículo 2, numeral 4. </w:t>
            </w:r>
          </w:p>
          <w:p w14:paraId="6C5951B5" w14:textId="77777777" w:rsidR="00D376C9" w:rsidRPr="000A1BCD" w:rsidRDefault="00D376C9" w:rsidP="000A1BCD">
            <w:pPr>
              <w:widowControl w:val="0"/>
              <w:numPr>
                <w:ilvl w:val="0"/>
                <w:numId w:val="16"/>
              </w:numPr>
              <w:autoSpaceDE w:val="0"/>
              <w:autoSpaceDN w:val="0"/>
              <w:snapToGrid w:val="0"/>
              <w:spacing w:line="276" w:lineRule="auto"/>
              <w:ind w:left="714" w:hanging="357"/>
              <w:contextualSpacing/>
              <w:jc w:val="both"/>
              <w:rPr>
                <w:rFonts w:ascii="Verdana" w:eastAsia="Calibri" w:hAnsi="Verdana" w:cs="Arial"/>
                <w:lang w:val="es-ES"/>
              </w:rPr>
            </w:pPr>
            <w:r w:rsidRPr="000A1BCD">
              <w:rPr>
                <w:rFonts w:ascii="Verdana" w:eastAsia="Calibri" w:hAnsi="Verdana" w:cs="Arial"/>
                <w:lang w:val="es-ES"/>
              </w:rPr>
              <w:t xml:space="preserve">Consejo de Estado, Sección Primera. Sentencia de 3 de marzo de 2005, </w:t>
            </w:r>
            <w:proofErr w:type="spellStart"/>
            <w:r w:rsidRPr="000A1BCD">
              <w:rPr>
                <w:rFonts w:ascii="Verdana" w:eastAsia="Calibri" w:hAnsi="Verdana" w:cs="Arial"/>
                <w:lang w:val="es-ES"/>
              </w:rPr>
              <w:t>Exp</w:t>
            </w:r>
            <w:proofErr w:type="spellEnd"/>
            <w:r w:rsidRPr="000A1BCD">
              <w:rPr>
                <w:rFonts w:ascii="Verdana" w:eastAsia="Calibri" w:hAnsi="Verdana" w:cs="Arial"/>
                <w:lang w:val="es-ES"/>
              </w:rPr>
              <w:t xml:space="preserve">. 2004-00823-01(PI). </w:t>
            </w:r>
          </w:p>
          <w:p w14:paraId="39A08BD5" w14:textId="77777777" w:rsidR="00D376C9" w:rsidRPr="000A1BCD" w:rsidRDefault="00D376C9" w:rsidP="000A1BCD">
            <w:pPr>
              <w:widowControl w:val="0"/>
              <w:numPr>
                <w:ilvl w:val="0"/>
                <w:numId w:val="16"/>
              </w:numPr>
              <w:autoSpaceDE w:val="0"/>
              <w:autoSpaceDN w:val="0"/>
              <w:snapToGrid w:val="0"/>
              <w:spacing w:line="276" w:lineRule="auto"/>
              <w:ind w:left="714" w:hanging="357"/>
              <w:contextualSpacing/>
              <w:jc w:val="both"/>
              <w:rPr>
                <w:rFonts w:ascii="Verdana" w:eastAsia="Calibri" w:hAnsi="Verdana" w:cs="Arial"/>
                <w:lang w:val="es-ES"/>
              </w:rPr>
            </w:pPr>
            <w:r w:rsidRPr="000A1BCD">
              <w:rPr>
                <w:rFonts w:ascii="Verdana" w:eastAsia="Calibri" w:hAnsi="Verdana" w:cs="Arial"/>
                <w:lang w:val="es-ES"/>
              </w:rPr>
              <w:t xml:space="preserve">Consejo de Estado, Sala de Consulta y Servicio Civil, Concepto de fecha 24 de julio de 2013, Rad. 2166, C. P. Álvaro Namén Vargas. </w:t>
            </w:r>
          </w:p>
          <w:p w14:paraId="5F21469D" w14:textId="77777777" w:rsidR="00D376C9" w:rsidRPr="000A1BCD" w:rsidRDefault="00D376C9" w:rsidP="000A1BCD">
            <w:pPr>
              <w:pStyle w:val="ListParagraph"/>
              <w:numPr>
                <w:ilvl w:val="0"/>
                <w:numId w:val="16"/>
              </w:numPr>
              <w:snapToGrid w:val="0"/>
              <w:spacing w:line="276" w:lineRule="auto"/>
              <w:ind w:left="714" w:hanging="357"/>
              <w:jc w:val="both"/>
              <w:rPr>
                <w:rFonts w:ascii="Verdana" w:hAnsi="Verdana" w:cs="Arial"/>
              </w:rPr>
            </w:pPr>
            <w:r w:rsidRPr="000A1BCD">
              <w:rPr>
                <w:rFonts w:ascii="Verdana" w:eastAsia="Calibri" w:hAnsi="Verdana" w:cs="Arial"/>
              </w:rPr>
              <w:t>Consejo de Estado. Sala de Consulta y Servicio Civil. Concepto del 17 de febrero de 2015. C.P. William Zambrano Cetina. Radicación No. 11001-03-06-000-2015-00164-00(2269).</w:t>
            </w:r>
          </w:p>
          <w:p w14:paraId="02457CF1" w14:textId="77777777" w:rsidR="000A1BCD" w:rsidRPr="000A1BCD" w:rsidRDefault="00D376C9" w:rsidP="000A1BCD">
            <w:pPr>
              <w:pStyle w:val="ListParagraph"/>
              <w:numPr>
                <w:ilvl w:val="0"/>
                <w:numId w:val="16"/>
              </w:numPr>
              <w:snapToGrid w:val="0"/>
              <w:spacing w:line="276" w:lineRule="auto"/>
              <w:ind w:left="714" w:hanging="357"/>
              <w:jc w:val="both"/>
              <w:rPr>
                <w:rFonts w:ascii="Verdana" w:hAnsi="Verdana" w:cs="Arial"/>
              </w:rPr>
            </w:pPr>
            <w:r w:rsidRPr="000A1BCD">
              <w:rPr>
                <w:rFonts w:ascii="Verdana" w:eastAsia="Calibri" w:hAnsi="Verdana" w:cs="Arial"/>
              </w:rPr>
              <w:t>Consejo de Estado, Sala de Consulta y Servicio Civil, Concepto de fecha 8 de mayo de 2018, No. 2382. C. P. Álvaro Namén Vargas.</w:t>
            </w:r>
          </w:p>
          <w:p w14:paraId="5D0F9BAB" w14:textId="577D702E" w:rsidR="000A1BCD" w:rsidRPr="000A1BCD" w:rsidRDefault="000A1BCD" w:rsidP="000A1BCD">
            <w:pPr>
              <w:pStyle w:val="ListParagraph"/>
              <w:numPr>
                <w:ilvl w:val="0"/>
                <w:numId w:val="16"/>
              </w:numPr>
              <w:snapToGrid w:val="0"/>
              <w:spacing w:line="276" w:lineRule="auto"/>
              <w:ind w:left="714" w:hanging="357"/>
              <w:jc w:val="both"/>
              <w:rPr>
                <w:rFonts w:ascii="Verdana" w:hAnsi="Verdana" w:cs="Arial"/>
              </w:rPr>
            </w:pPr>
            <w:r w:rsidRPr="000A1BCD">
              <w:rPr>
                <w:rFonts w:ascii="Verdana" w:hAnsi="Verdana" w:cs="Arial"/>
              </w:rPr>
              <w:t xml:space="preserve">Colombia Compra Eficiente, Circular Externa Única. Disponible en: </w:t>
            </w:r>
            <w:hyperlink r:id="rId12" w:history="1">
              <w:r w:rsidRPr="000A1BCD">
                <w:rPr>
                  <w:rStyle w:val="Hyperlink"/>
                  <w:rFonts w:ascii="Verdana" w:hAnsi="Verdana" w:cs="Arial"/>
                </w:rPr>
                <w:t>https://colombiacompra.gov.co/sites/cce_public/files/cce_circulares/cce-eicp-ma-06_circular_externa_con_comentarios_de_ciudadanos-_v2f_002.pdf</w:t>
              </w:r>
            </w:hyperlink>
          </w:p>
          <w:p w14:paraId="72D1572E" w14:textId="5B8FDCFA" w:rsidR="00D376C9" w:rsidRPr="000A1BCD" w:rsidRDefault="00D376C9" w:rsidP="000A1BCD">
            <w:pPr>
              <w:pStyle w:val="ListParagraph"/>
              <w:numPr>
                <w:ilvl w:val="0"/>
                <w:numId w:val="16"/>
              </w:numPr>
              <w:snapToGrid w:val="0"/>
              <w:spacing w:line="276" w:lineRule="auto"/>
              <w:ind w:left="714" w:hanging="357"/>
              <w:jc w:val="both"/>
              <w:rPr>
                <w:rFonts w:ascii="Verdana" w:eastAsia="Calibri" w:hAnsi="Verdana" w:cs="Arial"/>
              </w:rPr>
            </w:pPr>
            <w:r w:rsidRPr="000A1BCD">
              <w:rPr>
                <w:rFonts w:ascii="Verdana" w:eastAsia="Calibri" w:hAnsi="Verdana" w:cs="Arial"/>
              </w:rPr>
              <w:t xml:space="preserve">Circular No. 10 del 08 de noviembre de 2025 de la Procuraduría General de la Nación, disponible en: </w:t>
            </w:r>
            <w:hyperlink r:id="rId13" w:history="1">
              <w:r w:rsidRPr="000A1BCD">
                <w:rPr>
                  <w:rFonts w:ascii="Verdana" w:eastAsia="Calibri" w:hAnsi="Verdana" w:cs="Arial"/>
                </w:rPr>
                <w:t>https://www.procuraduria.gov.co/Documents/2025/Noviembre%202025/PRS.%20CIRCULAR%20LEY%20DE%20GARANTI%CC%81AS%20-%20PARA%20FIRMA%20DEL%20PGN%206-11-2025%281%29.pdf</w:t>
              </w:r>
            </w:hyperlink>
          </w:p>
        </w:tc>
      </w:tr>
    </w:tbl>
    <w:p w14:paraId="001999EF" w14:textId="77777777" w:rsidR="00D376C9" w:rsidRPr="00FC6F34" w:rsidRDefault="00D376C9" w:rsidP="00D376C9">
      <w:pPr>
        <w:widowControl w:val="0"/>
        <w:autoSpaceDE w:val="0"/>
        <w:autoSpaceDN w:val="0"/>
        <w:spacing w:after="0" w:line="276" w:lineRule="auto"/>
        <w:jc w:val="both"/>
        <w:rPr>
          <w:rFonts w:ascii="Verdana" w:hAnsi="Verdana" w:cs="Arial"/>
          <w:color w:val="000000" w:themeColor="text1"/>
          <w:lang w:val="es-ES"/>
        </w:rPr>
      </w:pPr>
    </w:p>
    <w:p w14:paraId="71331686" w14:textId="77777777" w:rsidR="00D376C9" w:rsidRPr="00FC6F34" w:rsidRDefault="00D376C9" w:rsidP="00D376C9">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4FF4156E" w14:textId="77777777" w:rsidR="00D376C9" w:rsidRPr="00FC6F34" w:rsidRDefault="00D376C9" w:rsidP="00D376C9">
      <w:pPr>
        <w:widowControl w:val="0"/>
        <w:autoSpaceDE w:val="0"/>
        <w:autoSpaceDN w:val="0"/>
        <w:spacing w:after="0" w:line="276" w:lineRule="auto"/>
        <w:jc w:val="both"/>
        <w:rPr>
          <w:rFonts w:ascii="Verdana" w:hAnsi="Verdana" w:cs="Arial"/>
          <w:color w:val="000000" w:themeColor="text1"/>
          <w:lang w:val="es-ES"/>
        </w:rPr>
      </w:pPr>
    </w:p>
    <w:p w14:paraId="61E70316" w14:textId="77777777" w:rsidR="00D376C9" w:rsidRDefault="00D376C9" w:rsidP="00D376C9">
      <w:pPr>
        <w:spacing w:after="120"/>
        <w:jc w:val="both"/>
        <w:rPr>
          <w:rFonts w:ascii="Verdana" w:hAnsi="Verdana" w:cs="Arial"/>
          <w:color w:val="000000" w:themeColor="text1"/>
          <w:shd w:val="clear" w:color="auto" w:fill="FFFFFF"/>
          <w:lang w:val="es-ES"/>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xml:space="preserve">, 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4"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766E52EF" w14:textId="77777777" w:rsidR="00D376C9" w:rsidRPr="00982071" w:rsidRDefault="00D376C9" w:rsidP="00D376C9">
      <w:pPr>
        <w:spacing w:after="0"/>
        <w:jc w:val="both"/>
        <w:rPr>
          <w:rFonts w:ascii="Arial" w:eastAsia="Calibri" w:hAnsi="Arial" w:cs="Arial"/>
          <w:b/>
          <w:bCs/>
          <w:color w:val="000000" w:themeColor="text1"/>
          <w:lang w:val="es-ES_tradnl"/>
        </w:rPr>
      </w:pPr>
    </w:p>
    <w:p w14:paraId="017082E7" w14:textId="77777777" w:rsidR="00D376C9" w:rsidRPr="00FC6F34" w:rsidRDefault="00D376C9" w:rsidP="00D376C9">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45A96EF" w14:textId="77777777" w:rsidR="00D376C9" w:rsidRPr="00FC6F34" w:rsidRDefault="00D376C9" w:rsidP="00D376C9">
      <w:pPr>
        <w:widowControl w:val="0"/>
        <w:autoSpaceDE w:val="0"/>
        <w:autoSpaceDN w:val="0"/>
        <w:spacing w:after="0" w:line="276" w:lineRule="auto"/>
        <w:jc w:val="both"/>
        <w:rPr>
          <w:rFonts w:ascii="Verdana" w:hAnsi="Verdana" w:cs="Arial"/>
          <w:lang w:val="es-ES"/>
        </w:rPr>
      </w:pPr>
    </w:p>
    <w:p w14:paraId="398C4ECD" w14:textId="5252C0B8" w:rsidR="00D376C9" w:rsidRPr="00FC6F34" w:rsidRDefault="00D376C9" w:rsidP="00D376C9">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56B7E803" w14:textId="5F2D046F" w:rsidR="00D376C9" w:rsidRPr="00FC6F34" w:rsidRDefault="00B46F80" w:rsidP="00D376C9">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5D100E82" wp14:editId="1210E38C">
            <wp:simplePos x="0" y="0"/>
            <wp:positionH relativeFrom="column">
              <wp:posOffset>1485900</wp:posOffset>
            </wp:positionH>
            <wp:positionV relativeFrom="paragraph">
              <wp:posOffset>33057</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376C9" w:rsidRPr="00FC6F34" w14:paraId="026DCA8A" w14:textId="77777777" w:rsidTr="00F50545">
        <w:trPr>
          <w:trHeight w:val="315"/>
        </w:trPr>
        <w:tc>
          <w:tcPr>
            <w:tcW w:w="893" w:type="dxa"/>
            <w:vAlign w:val="center"/>
            <w:hideMark/>
          </w:tcPr>
          <w:p w14:paraId="684C9740" w14:textId="77777777" w:rsidR="00D376C9" w:rsidRPr="00FC6F34" w:rsidRDefault="00D376C9" w:rsidP="00F50545">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D535C1F" w14:textId="77777777" w:rsidR="00D376C9" w:rsidRPr="00FC6F34" w:rsidRDefault="00D376C9" w:rsidP="00F50545">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6202045A" w14:textId="77777777" w:rsidR="00D376C9" w:rsidRPr="00FC6F34" w:rsidRDefault="00D376C9" w:rsidP="00F50545">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D376C9" w:rsidRPr="00FC6F34" w14:paraId="39863FD8" w14:textId="77777777" w:rsidTr="00F50545">
        <w:trPr>
          <w:trHeight w:val="330"/>
        </w:trPr>
        <w:tc>
          <w:tcPr>
            <w:tcW w:w="893" w:type="dxa"/>
            <w:vAlign w:val="center"/>
            <w:hideMark/>
          </w:tcPr>
          <w:p w14:paraId="48FFBB71" w14:textId="77777777" w:rsidR="00D376C9" w:rsidRPr="00FC6F34" w:rsidRDefault="00D376C9" w:rsidP="00F50545">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C6B772" w14:textId="77777777" w:rsidR="00D376C9" w:rsidRPr="00FC6F34" w:rsidRDefault="00D376C9" w:rsidP="00F50545">
            <w:pPr>
              <w:spacing w:line="276" w:lineRule="auto"/>
              <w:contextualSpacing/>
              <w:textAlignment w:val="baseline"/>
              <w:rPr>
                <w:rFonts w:ascii="Verdana" w:eastAsia="Times New Roman" w:hAnsi="Verdana" w:cs="Arial"/>
                <w:sz w:val="16"/>
                <w:szCs w:val="16"/>
                <w:lang w:val="es-ES" w:eastAsia="es-ES_tradnl"/>
              </w:rPr>
            </w:pPr>
            <w:r w:rsidRPr="00FC6F34">
              <w:rPr>
                <w:rFonts w:ascii="Verdana" w:eastAsia="Times New Roman" w:hAnsi="Verdana" w:cs="Arial"/>
                <w:sz w:val="16"/>
                <w:szCs w:val="16"/>
                <w:lang w:val="es-ES" w:eastAsia="es-ES_tradnl"/>
              </w:rPr>
              <w:t>Alejandro Sarmiento Cantillo</w:t>
            </w:r>
          </w:p>
          <w:p w14:paraId="03784F48" w14:textId="77777777" w:rsidR="00D376C9" w:rsidRPr="00FC6F34" w:rsidRDefault="00D376C9" w:rsidP="00F50545">
            <w:pPr>
              <w:pStyle w:val="paragraph"/>
              <w:spacing w:before="0" w:beforeAutospacing="0" w:after="0" w:afterAutospacing="0"/>
              <w:contextualSpacing/>
              <w:textAlignment w:val="baseline"/>
              <w:rPr>
                <w:rFonts w:ascii="Verdana" w:hAnsi="Verdana" w:cs="Segoe UI"/>
                <w:sz w:val="16"/>
                <w:szCs w:val="16"/>
                <w:lang w:val="es-ES"/>
              </w:rPr>
            </w:pPr>
            <w:r w:rsidRPr="00FC6F34">
              <w:rPr>
                <w:rFonts w:ascii="Verdana" w:hAnsi="Verdana" w:cs="Arial"/>
                <w:sz w:val="16"/>
                <w:szCs w:val="16"/>
                <w:lang w:val="es-ES"/>
              </w:rPr>
              <w:t xml:space="preserve">Gestor T1 – 15 </w:t>
            </w:r>
            <w:r w:rsidRPr="00FC6F34">
              <w:rPr>
                <w:rStyle w:val="normaltextrun"/>
                <w:rFonts w:ascii="Verdana" w:hAnsi="Verdana" w:cs="Arial"/>
                <w:sz w:val="16"/>
                <w:szCs w:val="16"/>
                <w:lang w:val="es-ES"/>
              </w:rPr>
              <w:t>de la Subdirección de Gestión Contractual</w:t>
            </w:r>
            <w:r w:rsidRPr="00FC6F34">
              <w:rPr>
                <w:rStyle w:val="eop"/>
                <w:rFonts w:ascii="Verdana" w:hAnsi="Verdana" w:cs="Arial"/>
                <w:sz w:val="16"/>
                <w:szCs w:val="16"/>
                <w:lang w:val="es-ES"/>
              </w:rPr>
              <w:t> </w:t>
            </w:r>
          </w:p>
        </w:tc>
      </w:tr>
      <w:tr w:rsidR="00D376C9" w:rsidRPr="00FC6F34" w14:paraId="6B3DF8EF" w14:textId="77777777" w:rsidTr="00F50545">
        <w:trPr>
          <w:trHeight w:val="300"/>
        </w:trPr>
        <w:tc>
          <w:tcPr>
            <w:tcW w:w="893" w:type="dxa"/>
            <w:vAlign w:val="center"/>
          </w:tcPr>
          <w:p w14:paraId="6E4C0E45" w14:textId="77777777" w:rsidR="00D376C9" w:rsidRPr="00FC6F34" w:rsidRDefault="00D376C9" w:rsidP="00F50545">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CC4DDF" w14:textId="77777777" w:rsidR="00D376C9" w:rsidRPr="00FC6F34" w:rsidRDefault="00D376C9" w:rsidP="00F50545">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16D457EE" w14:textId="77777777" w:rsidR="00D376C9" w:rsidRPr="00FC6F34" w:rsidRDefault="00D376C9" w:rsidP="00F50545">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bookmarkEnd w:id="0"/>
    </w:tbl>
    <w:p w14:paraId="35563176" w14:textId="77777777" w:rsidR="00D376C9" w:rsidRPr="00FC6F34" w:rsidRDefault="00D376C9" w:rsidP="00D376C9">
      <w:pPr>
        <w:spacing w:after="0" w:line="240" w:lineRule="auto"/>
        <w:textAlignment w:val="baseline"/>
        <w:rPr>
          <w:rFonts w:ascii="Verdana" w:eastAsia="Times New Roman" w:hAnsi="Verdana" w:cs="Segoe UI"/>
          <w:b/>
          <w:bCs/>
          <w:color w:val="46589C"/>
          <w:lang w:val="es-ES" w:eastAsia="es-CO"/>
        </w:rPr>
      </w:pPr>
    </w:p>
    <w:p w14:paraId="0F293BF4" w14:textId="7B789CE4" w:rsidR="00127233" w:rsidRPr="00D376C9" w:rsidRDefault="00127233" w:rsidP="00D376C9"/>
    <w:sectPr w:rsidR="00127233" w:rsidRPr="00D376C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A65F99" w14:textId="77777777" w:rsidR="00DF4CD6" w:rsidRDefault="00DF4CD6" w:rsidP="004A1847">
      <w:pPr>
        <w:spacing w:after="0" w:line="240" w:lineRule="auto"/>
      </w:pPr>
      <w:r>
        <w:separator/>
      </w:r>
    </w:p>
  </w:endnote>
  <w:endnote w:type="continuationSeparator" w:id="0">
    <w:p w14:paraId="3CF6BC92" w14:textId="77777777" w:rsidR="00DF4CD6" w:rsidRDefault="00DF4CD6" w:rsidP="004A1847">
      <w:pPr>
        <w:spacing w:after="0" w:line="240" w:lineRule="auto"/>
      </w:pPr>
      <w:r>
        <w:continuationSeparator/>
      </w:r>
    </w:p>
  </w:endnote>
  <w:endnote w:type="continuationNotice" w:id="1">
    <w:p w14:paraId="675869A5" w14:textId="77777777" w:rsidR="00DF4CD6" w:rsidRDefault="00DF4C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A23A9A" w14:textId="77777777" w:rsidR="00DF4CD6" w:rsidRDefault="00DF4CD6" w:rsidP="004A1847">
      <w:pPr>
        <w:spacing w:after="0" w:line="240" w:lineRule="auto"/>
      </w:pPr>
      <w:r>
        <w:separator/>
      </w:r>
    </w:p>
  </w:footnote>
  <w:footnote w:type="continuationSeparator" w:id="0">
    <w:p w14:paraId="1B368622" w14:textId="77777777" w:rsidR="00DF4CD6" w:rsidRDefault="00DF4CD6" w:rsidP="004A1847">
      <w:pPr>
        <w:spacing w:after="0" w:line="240" w:lineRule="auto"/>
      </w:pPr>
      <w:r>
        <w:continuationSeparator/>
      </w:r>
    </w:p>
  </w:footnote>
  <w:footnote w:type="continuationNotice" w:id="1">
    <w:p w14:paraId="2E8DDFA9" w14:textId="77777777" w:rsidR="00DF4CD6" w:rsidRDefault="00DF4CD6">
      <w:pPr>
        <w:spacing w:after="0" w:line="240" w:lineRule="auto"/>
      </w:pPr>
    </w:p>
  </w:footnote>
  <w:footnote w:id="2">
    <w:p w14:paraId="52444B99" w14:textId="77777777" w:rsidR="00D376C9" w:rsidRPr="000A779C" w:rsidRDefault="00D376C9" w:rsidP="00D376C9">
      <w:pPr>
        <w:pStyle w:val="FootnoteText"/>
        <w:ind w:firstLine="708"/>
        <w:jc w:val="both"/>
        <w:rPr>
          <w:rFonts w:ascii="Verdana" w:hAnsi="Verdana"/>
          <w:sz w:val="16"/>
          <w:szCs w:val="16"/>
          <w:lang w:val="es-ES"/>
        </w:rPr>
      </w:pPr>
      <w:r w:rsidRPr="000A779C">
        <w:rPr>
          <w:rStyle w:val="FootnoteReference"/>
          <w:rFonts w:ascii="Verdana" w:hAnsi="Verdana"/>
          <w:sz w:val="16"/>
          <w:szCs w:val="16"/>
        </w:rPr>
        <w:footnoteRef/>
      </w:r>
      <w:r w:rsidRPr="000A779C">
        <w:rPr>
          <w:rFonts w:ascii="Verdana" w:hAnsi="Verdana"/>
          <w:sz w:val="16"/>
          <w:szCs w:val="16"/>
        </w:rPr>
        <w:t xml:space="preserve"> Para más información se recomienda consultar la Circular No. 10 del 08 de noviembre de 2025 de la Procuraduría General de la Nación, disponible en: https://www.procuraduria.gov.co/Documents/2025/Noviembre%202025/PRS.%20CIRCULAR%20LEY%20DE%20GARANTI%CC%81AS%20-%20PARA%20FIRMA%20DEL%20PGN%206-11-2025%281%29.pdf</w:t>
      </w:r>
    </w:p>
  </w:footnote>
  <w:footnote w:id="3">
    <w:p w14:paraId="2115066C" w14:textId="77777777" w:rsidR="00D376C9" w:rsidRPr="000A779C" w:rsidRDefault="00D376C9" w:rsidP="00D376C9">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hAnsi="Verdana" w:cs="Arial"/>
          <w:sz w:val="16"/>
          <w:szCs w:val="16"/>
        </w:rPr>
        <w:t>Gaceta del Congreso de la República No. 71 del 2005.</w:t>
      </w:r>
    </w:p>
  </w:footnote>
  <w:footnote w:id="4">
    <w:p w14:paraId="3EA42EE8" w14:textId="77777777" w:rsidR="00D376C9" w:rsidRPr="000A779C" w:rsidRDefault="00D376C9" w:rsidP="00D376C9">
      <w:pPr>
        <w:pStyle w:val="FootnoteText"/>
        <w:ind w:firstLine="709"/>
        <w:contextualSpacing/>
        <w:jc w:val="both"/>
        <w:rPr>
          <w:rFonts w:ascii="Verdana" w:hAnsi="Verdana" w:cs="Arial"/>
          <w:sz w:val="16"/>
          <w:szCs w:val="16"/>
          <w:lang w:val="pt-BR"/>
        </w:rPr>
      </w:pPr>
      <w:r w:rsidRPr="000A779C">
        <w:rPr>
          <w:rStyle w:val="FootnoteReference"/>
          <w:rFonts w:ascii="Verdana" w:hAnsi="Verdana" w:cs="Arial"/>
          <w:sz w:val="16"/>
          <w:szCs w:val="16"/>
        </w:rPr>
        <w:footnoteRef/>
      </w:r>
      <w:r w:rsidRPr="000A779C">
        <w:rPr>
          <w:rFonts w:ascii="Verdana" w:hAnsi="Verdana" w:cs="Arial"/>
          <w:sz w:val="16"/>
          <w:szCs w:val="16"/>
          <w:lang w:val="pt-BR"/>
        </w:rPr>
        <w:t xml:space="preserve"> Corte Constitucional, Sentencia C- 1153 de 2005, M.P. Marco Gerardo </w:t>
      </w:r>
      <w:proofErr w:type="spellStart"/>
      <w:r w:rsidRPr="000A779C">
        <w:rPr>
          <w:rFonts w:ascii="Verdana" w:hAnsi="Verdana" w:cs="Arial"/>
          <w:sz w:val="16"/>
          <w:szCs w:val="16"/>
          <w:lang w:val="pt-BR"/>
        </w:rPr>
        <w:t>Monroy</w:t>
      </w:r>
      <w:proofErr w:type="spellEnd"/>
      <w:r w:rsidRPr="000A779C">
        <w:rPr>
          <w:rFonts w:ascii="Verdana" w:hAnsi="Verdana" w:cs="Arial"/>
          <w:sz w:val="16"/>
          <w:szCs w:val="16"/>
          <w:lang w:val="pt-BR"/>
        </w:rPr>
        <w:t xml:space="preserve"> Cabra.</w:t>
      </w:r>
    </w:p>
  </w:footnote>
  <w:footnote w:id="5">
    <w:p w14:paraId="3BA853AC" w14:textId="77777777" w:rsidR="00D376C9" w:rsidRPr="000A779C" w:rsidRDefault="00D376C9" w:rsidP="00D376C9">
      <w:pPr>
        <w:pStyle w:val="FootnoteText"/>
        <w:ind w:firstLine="709"/>
        <w:contextualSpacing/>
        <w:jc w:val="both"/>
        <w:rPr>
          <w:rFonts w:ascii="Verdana" w:hAnsi="Verdana" w:cs="Arial"/>
          <w:sz w:val="16"/>
          <w:szCs w:val="16"/>
          <w:lang w:val="pt-BR"/>
        </w:rPr>
      </w:pPr>
      <w:r w:rsidRPr="000A779C">
        <w:rPr>
          <w:rStyle w:val="FootnoteReference"/>
          <w:rFonts w:ascii="Verdana" w:hAnsi="Verdana" w:cs="Arial"/>
          <w:sz w:val="16"/>
          <w:szCs w:val="16"/>
        </w:rPr>
        <w:footnoteRef/>
      </w:r>
      <w:r w:rsidRPr="000A779C">
        <w:rPr>
          <w:rFonts w:ascii="Verdana" w:hAnsi="Verdana" w:cs="Arial"/>
          <w:sz w:val="16"/>
          <w:szCs w:val="16"/>
          <w:lang w:val="pt-BR"/>
        </w:rPr>
        <w:t xml:space="preserve"> Corte Constitucional. Sentencias: C-233 de 4 de abril de 2002, expediente: D-3704; C-551 de 9 de </w:t>
      </w:r>
      <w:proofErr w:type="spellStart"/>
      <w:r w:rsidRPr="000A779C">
        <w:rPr>
          <w:rFonts w:ascii="Verdana" w:hAnsi="Verdana" w:cs="Arial"/>
          <w:sz w:val="16"/>
          <w:szCs w:val="16"/>
          <w:lang w:val="pt-BR"/>
        </w:rPr>
        <w:t>julio</w:t>
      </w:r>
      <w:proofErr w:type="spellEnd"/>
      <w:r w:rsidRPr="000A779C">
        <w:rPr>
          <w:rFonts w:ascii="Verdana" w:hAnsi="Verdana" w:cs="Arial"/>
          <w:sz w:val="16"/>
          <w:szCs w:val="16"/>
          <w:lang w:val="pt-BR"/>
        </w:rPr>
        <w:t xml:space="preserve"> de 2003, expediente: CRF-001 de 9 de </w:t>
      </w:r>
      <w:proofErr w:type="spellStart"/>
      <w:r w:rsidRPr="000A779C">
        <w:rPr>
          <w:rFonts w:ascii="Verdana" w:hAnsi="Verdana" w:cs="Arial"/>
          <w:sz w:val="16"/>
          <w:szCs w:val="16"/>
          <w:lang w:val="pt-BR"/>
        </w:rPr>
        <w:t>julio</w:t>
      </w:r>
      <w:proofErr w:type="spellEnd"/>
      <w:r w:rsidRPr="000A779C">
        <w:rPr>
          <w:rFonts w:ascii="Verdana" w:hAnsi="Verdana" w:cs="Arial"/>
          <w:sz w:val="16"/>
          <w:szCs w:val="16"/>
          <w:lang w:val="pt-BR"/>
        </w:rPr>
        <w:t xml:space="preserve"> de 2003; C-652 de 5 de agosto de 2003, expediente: D-4330; C-353 de 20 de </w:t>
      </w:r>
      <w:proofErr w:type="spellStart"/>
      <w:r w:rsidRPr="000A779C">
        <w:rPr>
          <w:rFonts w:ascii="Verdana" w:hAnsi="Verdana" w:cs="Arial"/>
          <w:sz w:val="16"/>
          <w:szCs w:val="16"/>
          <w:lang w:val="pt-BR"/>
        </w:rPr>
        <w:t>mayo</w:t>
      </w:r>
      <w:proofErr w:type="spellEnd"/>
      <w:r w:rsidRPr="000A779C">
        <w:rPr>
          <w:rFonts w:ascii="Verdana" w:hAnsi="Verdana" w:cs="Arial"/>
          <w:sz w:val="16"/>
          <w:szCs w:val="16"/>
          <w:lang w:val="pt-BR"/>
        </w:rPr>
        <w:t xml:space="preserve"> de 2009, expediente: D-7518, C-541 de 30 de </w:t>
      </w:r>
      <w:proofErr w:type="spellStart"/>
      <w:r w:rsidRPr="000A779C">
        <w:rPr>
          <w:rFonts w:ascii="Verdana" w:hAnsi="Verdana" w:cs="Arial"/>
          <w:sz w:val="16"/>
          <w:szCs w:val="16"/>
          <w:lang w:val="pt-BR"/>
        </w:rPr>
        <w:t>junio</w:t>
      </w:r>
      <w:proofErr w:type="spellEnd"/>
      <w:r w:rsidRPr="000A779C">
        <w:rPr>
          <w:rFonts w:ascii="Verdana" w:hAnsi="Verdana" w:cs="Arial"/>
          <w:sz w:val="16"/>
          <w:szCs w:val="16"/>
          <w:lang w:val="pt-BR"/>
        </w:rPr>
        <w:t xml:space="preserve"> de 2010, expediente: DD7966; entre </w:t>
      </w:r>
      <w:proofErr w:type="spellStart"/>
      <w:r w:rsidRPr="000A779C">
        <w:rPr>
          <w:rFonts w:ascii="Verdana" w:hAnsi="Verdana" w:cs="Arial"/>
          <w:sz w:val="16"/>
          <w:szCs w:val="16"/>
          <w:lang w:val="pt-BR"/>
        </w:rPr>
        <w:t>otras</w:t>
      </w:r>
      <w:proofErr w:type="spellEnd"/>
      <w:r w:rsidRPr="000A779C">
        <w:rPr>
          <w:rFonts w:ascii="Verdana" w:hAnsi="Verdana" w:cs="Arial"/>
          <w:sz w:val="16"/>
          <w:szCs w:val="16"/>
          <w:lang w:val="pt-BR"/>
        </w:rPr>
        <w:t>.</w:t>
      </w:r>
    </w:p>
  </w:footnote>
  <w:footnote w:id="6">
    <w:p w14:paraId="439EBBB6" w14:textId="77777777" w:rsidR="00D376C9" w:rsidRPr="000A779C" w:rsidRDefault="00D376C9" w:rsidP="00D376C9">
      <w:pPr>
        <w:pStyle w:val="FootnoteText"/>
        <w:ind w:firstLine="709"/>
        <w:contextualSpacing/>
        <w:jc w:val="both"/>
        <w:rPr>
          <w:rFonts w:ascii="Verdana" w:hAnsi="Verdana" w:cs="Arial"/>
          <w:sz w:val="16"/>
          <w:szCs w:val="16"/>
          <w:lang w:val="es-CO"/>
        </w:rPr>
      </w:pPr>
      <w:r w:rsidRPr="000A779C">
        <w:rPr>
          <w:rStyle w:val="FootnoteReference"/>
          <w:rFonts w:ascii="Verdana" w:hAnsi="Verdana" w:cs="Arial"/>
          <w:sz w:val="16"/>
          <w:szCs w:val="16"/>
        </w:rPr>
        <w:footnoteRef/>
      </w:r>
      <w:r w:rsidRPr="000A779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3B9400DF" w14:textId="77777777" w:rsidR="00D376C9" w:rsidRPr="000A779C" w:rsidRDefault="00D376C9" w:rsidP="00D376C9">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de fecha 24 de julio de 2013, Rad. 2166, C. P. Álvaro Namén Vargas.  </w:t>
      </w:r>
    </w:p>
  </w:footnote>
  <w:footnote w:id="8">
    <w:p w14:paraId="37F236FD" w14:textId="77777777" w:rsidR="00D376C9" w:rsidRPr="000A779C" w:rsidRDefault="00D376C9" w:rsidP="00D376C9">
      <w:pPr>
        <w:spacing w:after="0" w:line="240" w:lineRule="auto"/>
        <w:ind w:firstLine="709"/>
        <w:contextualSpacing/>
        <w:jc w:val="both"/>
        <w:rPr>
          <w:rFonts w:ascii="Verdana" w:eastAsia="Times New Roman"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eastAsia="Calibri" w:hAnsi="Verdana" w:cs="Arial"/>
          <w:color w:val="000000"/>
          <w:sz w:val="16"/>
          <w:szCs w:val="16"/>
        </w:rPr>
        <w:t>“</w:t>
      </w:r>
      <w:r w:rsidRPr="000A779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23468CA" w14:textId="77777777" w:rsidR="00D376C9" w:rsidRPr="000A779C" w:rsidRDefault="00D376C9" w:rsidP="00D376C9">
      <w:pPr>
        <w:spacing w:after="0" w:line="240" w:lineRule="auto"/>
        <w:ind w:firstLine="709"/>
        <w:contextualSpacing/>
        <w:jc w:val="both"/>
        <w:rPr>
          <w:rFonts w:ascii="Verdana" w:eastAsia="Times New Roman" w:hAnsi="Verdana" w:cs="Arial"/>
          <w:sz w:val="16"/>
          <w:szCs w:val="16"/>
        </w:rPr>
      </w:pPr>
      <w:r w:rsidRPr="000A779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A779C">
        <w:rPr>
          <w:rFonts w:ascii="Verdana" w:eastAsia="Calibri" w:hAnsi="Verdana" w:cs="Arial"/>
          <w:color w:val="000000"/>
          <w:sz w:val="16"/>
          <w:szCs w:val="16"/>
        </w:rPr>
        <w:t>”</w:t>
      </w:r>
      <w:r w:rsidRPr="000A779C">
        <w:rPr>
          <w:rFonts w:ascii="Verdana" w:eastAsia="Times New Roman" w:hAnsi="Verdana" w:cs="Arial"/>
          <w:sz w:val="16"/>
          <w:szCs w:val="16"/>
        </w:rPr>
        <w:t>.</w:t>
      </w:r>
    </w:p>
  </w:footnote>
  <w:footnote w:id="9">
    <w:p w14:paraId="0FA50845" w14:textId="77777777" w:rsidR="00D376C9" w:rsidRPr="000A779C" w:rsidRDefault="00D376C9" w:rsidP="00D376C9">
      <w:pPr>
        <w:pStyle w:val="NormalWeb"/>
        <w:spacing w:before="0" w:beforeAutospacing="0" w:after="0" w:afterAutospacing="0"/>
        <w:ind w:firstLine="709"/>
        <w:contextualSpacing/>
        <w:jc w:val="both"/>
        <w:rPr>
          <w:rFonts w:ascii="Verdana" w:hAnsi="Verdana" w:cs="Arial"/>
          <w:sz w:val="16"/>
          <w:szCs w:val="16"/>
          <w:lang w:val="es-MX"/>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eastAsia="Calibri" w:hAnsi="Verdana" w:cs="Arial"/>
          <w:color w:val="000000"/>
          <w:sz w:val="16"/>
          <w:szCs w:val="16"/>
        </w:rPr>
        <w:t>“</w:t>
      </w:r>
      <w:r w:rsidRPr="000A779C">
        <w:rPr>
          <w:rFonts w:ascii="Verdana" w:hAnsi="Verdana" w:cs="Arial"/>
          <w:sz w:val="16"/>
          <w:szCs w:val="16"/>
          <w:lang w:val="es-MX"/>
        </w:rPr>
        <w:t>Artículo 38. Prohibiciones para los servidores públicos. A los empleados del Estado les está prohibido: […]</w:t>
      </w:r>
    </w:p>
    <w:p w14:paraId="493AEE59" w14:textId="77777777" w:rsidR="00D376C9" w:rsidRPr="000A779C" w:rsidRDefault="00D376C9" w:rsidP="00D376C9">
      <w:pPr>
        <w:pStyle w:val="NormalWeb"/>
        <w:spacing w:before="0" w:beforeAutospacing="0" w:after="0" w:afterAutospacing="0"/>
        <w:ind w:firstLine="709"/>
        <w:contextualSpacing/>
        <w:jc w:val="both"/>
        <w:rPr>
          <w:rFonts w:ascii="Verdana" w:hAnsi="Verdana" w:cs="Arial"/>
          <w:sz w:val="16"/>
          <w:szCs w:val="16"/>
          <w:lang w:val="es-MX"/>
        </w:rPr>
      </w:pPr>
      <w:r w:rsidRPr="000A779C">
        <w:rPr>
          <w:rStyle w:val="baj"/>
          <w:rFonts w:ascii="Verdana" w:hAnsi="Verdana" w:cs="Arial"/>
          <w:sz w:val="16"/>
          <w:szCs w:val="16"/>
          <w:lang w:val="es-MX"/>
        </w:rPr>
        <w:t>Parágrafo.</w:t>
      </w:r>
      <w:r w:rsidRPr="000A779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A779C">
        <w:rPr>
          <w:rFonts w:ascii="Verdana" w:eastAsia="Calibri" w:hAnsi="Verdana" w:cs="Arial"/>
          <w:color w:val="000000"/>
          <w:sz w:val="16"/>
          <w:szCs w:val="16"/>
        </w:rPr>
        <w:t>”</w:t>
      </w:r>
      <w:r w:rsidRPr="000A779C">
        <w:rPr>
          <w:rFonts w:ascii="Verdana" w:hAnsi="Verdana" w:cs="Arial"/>
          <w:sz w:val="16"/>
          <w:szCs w:val="16"/>
          <w:lang w:val="es-MX"/>
        </w:rPr>
        <w:t>.</w:t>
      </w:r>
    </w:p>
  </w:footnote>
  <w:footnote w:id="10">
    <w:p w14:paraId="74D69768" w14:textId="77777777" w:rsidR="00D376C9" w:rsidRPr="000A779C" w:rsidRDefault="00D376C9" w:rsidP="00D376C9">
      <w:pPr>
        <w:spacing w:after="0" w:line="240" w:lineRule="auto"/>
        <w:ind w:left="100" w:right="244" w:firstLine="709"/>
        <w:contextualSpacing/>
        <w:jc w:val="both"/>
        <w:rPr>
          <w:rFonts w:ascii="Verdana" w:hAnsi="Verdana" w:cs="Arial"/>
          <w:sz w:val="16"/>
          <w:szCs w:val="16"/>
          <w:lang w:val="es-ES"/>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677B7122" w14:textId="77777777" w:rsidR="00D376C9" w:rsidRPr="000A779C" w:rsidRDefault="00D376C9" w:rsidP="00D376C9">
      <w:pPr>
        <w:pStyle w:val="FootnoteText"/>
        <w:ind w:right="51"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hAnsi="Verdana" w:cs="Arial"/>
          <w:sz w:val="16"/>
          <w:szCs w:val="16"/>
          <w:lang w:val="es-ES"/>
        </w:rPr>
        <w:t xml:space="preserve">[26] </w:t>
      </w:r>
      <w:r w:rsidRPr="000A779C">
        <w:rPr>
          <w:rFonts w:ascii="Verdana" w:hAnsi="Verdana" w:cs="Arial"/>
          <w:sz w:val="16"/>
          <w:szCs w:val="16"/>
        </w:rPr>
        <w:t>Al respecto ver el concepto 1712 de 2 de febrero de 2006. Consejo de Estado Sala de Consulta y Servicio Civil”.</w:t>
      </w:r>
    </w:p>
  </w:footnote>
  <w:footnote w:id="12">
    <w:p w14:paraId="05B0050A" w14:textId="77777777" w:rsidR="00D376C9" w:rsidRPr="000A779C" w:rsidRDefault="00D376C9" w:rsidP="00D376C9">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4CBE0262" w14:textId="77777777" w:rsidR="00D376C9" w:rsidRPr="000A779C" w:rsidRDefault="00D376C9" w:rsidP="00D376C9">
      <w:pPr>
        <w:pStyle w:val="FootnoteText"/>
        <w:ind w:firstLine="709"/>
        <w:contextualSpacing/>
        <w:jc w:val="both"/>
        <w:rPr>
          <w:rFonts w:ascii="Verdana" w:hAnsi="Verdana" w:cs="Arial"/>
          <w:sz w:val="16"/>
          <w:szCs w:val="16"/>
          <w:lang w:val="es-ES"/>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hAnsi="Verdana" w:cs="Arial"/>
          <w:sz w:val="16"/>
          <w:szCs w:val="16"/>
          <w:lang w:val="es-ES"/>
        </w:rPr>
        <w:t xml:space="preserve">Artículo 2. </w:t>
      </w:r>
    </w:p>
  </w:footnote>
  <w:footnote w:id="14">
    <w:p w14:paraId="306E5AD2" w14:textId="77777777" w:rsidR="00D376C9" w:rsidRPr="000A779C" w:rsidRDefault="00D376C9" w:rsidP="00D376C9">
      <w:pPr>
        <w:pStyle w:val="FootnoteText"/>
        <w:ind w:firstLine="709"/>
        <w:contextualSpacing/>
        <w:jc w:val="both"/>
        <w:rPr>
          <w:rFonts w:ascii="Verdana" w:hAnsi="Verdana" w:cs="Arial"/>
          <w:sz w:val="16"/>
          <w:szCs w:val="16"/>
          <w:lang w:val="es-ES"/>
        </w:rPr>
      </w:pPr>
      <w:r w:rsidRPr="000A779C">
        <w:rPr>
          <w:rStyle w:val="FootnoteReference"/>
          <w:rFonts w:ascii="Verdana" w:hAnsi="Verdana" w:cs="Arial"/>
          <w:sz w:val="16"/>
          <w:szCs w:val="16"/>
        </w:rPr>
        <w:footnoteRef/>
      </w:r>
      <w:r w:rsidRPr="000A779C">
        <w:rPr>
          <w:rFonts w:ascii="Verdana" w:hAnsi="Verdana" w:cs="Arial"/>
          <w:sz w:val="16"/>
          <w:szCs w:val="16"/>
        </w:rPr>
        <w:t xml:space="preserve"> </w:t>
      </w:r>
      <w:r w:rsidRPr="000A779C">
        <w:rPr>
          <w:rFonts w:ascii="Verdana" w:hAnsi="Verdana" w:cs="Arial"/>
          <w:i/>
          <w:sz w:val="16"/>
          <w:szCs w:val="16"/>
          <w:lang w:val="es-ES"/>
        </w:rPr>
        <w:t>Ídem</w:t>
      </w:r>
      <w:r w:rsidRPr="000A779C">
        <w:rPr>
          <w:rFonts w:ascii="Verdana" w:hAnsi="Verdana" w:cs="Arial"/>
          <w:sz w:val="16"/>
          <w:szCs w:val="16"/>
          <w:lang w:val="es-ES"/>
        </w:rPr>
        <w:t>.</w:t>
      </w:r>
    </w:p>
  </w:footnote>
  <w:footnote w:id="15">
    <w:p w14:paraId="149EEF60" w14:textId="77777777" w:rsidR="00D376C9" w:rsidRPr="000A779C" w:rsidRDefault="00D376C9" w:rsidP="00D376C9">
      <w:pPr>
        <w:pStyle w:val="FootnoteText"/>
        <w:ind w:firstLine="709"/>
        <w:contextualSpacing/>
        <w:jc w:val="both"/>
        <w:rPr>
          <w:rFonts w:ascii="Verdana" w:hAnsi="Verdana" w:cs="Arial"/>
          <w:sz w:val="16"/>
          <w:szCs w:val="16"/>
        </w:rPr>
      </w:pPr>
      <w:r w:rsidRPr="000A779C">
        <w:rPr>
          <w:rStyle w:val="FootnoteReference"/>
          <w:rFonts w:ascii="Verdana" w:hAnsi="Verdana" w:cs="Arial"/>
          <w:sz w:val="16"/>
          <w:szCs w:val="16"/>
        </w:rPr>
        <w:footnoteRef/>
      </w:r>
      <w:r w:rsidRPr="000A779C">
        <w:rPr>
          <w:rFonts w:ascii="Verdana" w:hAnsi="Verdana" w:cs="Arial"/>
          <w:sz w:val="16"/>
          <w:szCs w:val="16"/>
        </w:rPr>
        <w:t xml:space="preserve"> Consejo de Estado. Sala de Consulta y Servicio Civil. Concepto del 08 de mayo de 2018. Exp. 2.382. C.P. Álvaro Namén Vargas.</w:t>
      </w:r>
    </w:p>
  </w:footnote>
  <w:footnote w:id="16">
    <w:p w14:paraId="3051FB7C" w14:textId="77777777" w:rsidR="00D376C9" w:rsidRPr="000A779C" w:rsidRDefault="00D376C9" w:rsidP="00D376C9">
      <w:pPr>
        <w:pStyle w:val="FootnoteText"/>
        <w:ind w:firstLine="708"/>
        <w:contextualSpacing/>
        <w:jc w:val="both"/>
        <w:rPr>
          <w:rFonts w:ascii="Verdana" w:hAnsi="Verdana"/>
          <w:sz w:val="16"/>
          <w:szCs w:val="16"/>
          <w:lang w:val="es-ES"/>
        </w:rPr>
      </w:pPr>
      <w:r w:rsidRPr="000A779C">
        <w:rPr>
          <w:rStyle w:val="FootnoteReference"/>
          <w:rFonts w:ascii="Verdana" w:hAnsi="Verdana"/>
          <w:sz w:val="16"/>
          <w:szCs w:val="16"/>
        </w:rPr>
        <w:footnoteRef/>
      </w:r>
      <w:r w:rsidRPr="000A779C">
        <w:rPr>
          <w:rFonts w:ascii="Verdana" w:hAnsi="Verdana"/>
          <w:sz w:val="16"/>
          <w:szCs w:val="16"/>
        </w:rPr>
        <w:t xml:space="preserve"> </w:t>
      </w:r>
      <w:r w:rsidRPr="000A779C">
        <w:rPr>
          <w:rFonts w:ascii="Verdana" w:eastAsia="Calibri" w:hAnsi="Verdana" w:cs="Arial"/>
          <w:sz w:val="16"/>
          <w:szCs w:val="16"/>
          <w:lang w:val="es-ES"/>
        </w:rPr>
        <w:t xml:space="preserve">Consejo de Estado, Sala de Consulta y Servicio Civil, Concepto de fecha 8 de mayo de 2018, No. </w:t>
      </w:r>
      <w:r w:rsidRPr="000A779C">
        <w:rPr>
          <w:rFonts w:ascii="Verdana" w:hAnsi="Verdana"/>
          <w:sz w:val="16"/>
          <w:szCs w:val="16"/>
          <w:lang w:val="es-CO"/>
        </w:rPr>
        <w:t>2382.</w:t>
      </w:r>
      <w:r w:rsidRPr="000A779C">
        <w:rPr>
          <w:rFonts w:ascii="Verdana" w:hAnsi="Verdana"/>
          <w:sz w:val="16"/>
          <w:szCs w:val="16"/>
        </w:rPr>
        <w:t xml:space="preserve"> </w:t>
      </w:r>
      <w:r w:rsidRPr="000A779C">
        <w:rPr>
          <w:rFonts w:ascii="Verdana" w:hAnsi="Verdana"/>
          <w:sz w:val="16"/>
          <w:szCs w:val="16"/>
          <w:lang w:val="es-CO"/>
        </w:rPr>
        <w:t>C. P. Álvaro Namén Vargas.</w:t>
      </w:r>
    </w:p>
  </w:footnote>
  <w:footnote w:id="17">
    <w:p w14:paraId="54299412" w14:textId="77777777" w:rsidR="00D376C9" w:rsidRPr="000A779C" w:rsidRDefault="00D376C9" w:rsidP="00D376C9">
      <w:pPr>
        <w:spacing w:after="0" w:line="240" w:lineRule="auto"/>
        <w:ind w:firstLine="709"/>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5A225014" w14:textId="77777777" w:rsidR="00D376C9" w:rsidRPr="000A779C" w:rsidRDefault="00D376C9" w:rsidP="00D376C9">
      <w:pPr>
        <w:pStyle w:val="FootnoteText"/>
        <w:ind w:firstLine="708"/>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CORTE CONSTITUCIONAL. Sentencia C-1153 de 2005 M.P. Marco Gerardo Monroy Cabra. </w:t>
      </w:r>
    </w:p>
  </w:footnote>
  <w:footnote w:id="19">
    <w:p w14:paraId="7166EB6D" w14:textId="77777777" w:rsidR="00D376C9" w:rsidRPr="000A779C" w:rsidRDefault="00D376C9" w:rsidP="00D376C9">
      <w:pPr>
        <w:pStyle w:val="FootnoteText"/>
        <w:ind w:firstLine="708"/>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0">
    <w:p w14:paraId="14629E79" w14:textId="77777777" w:rsidR="00D376C9" w:rsidRPr="000A779C" w:rsidRDefault="00D376C9" w:rsidP="00D376C9">
      <w:pPr>
        <w:pStyle w:val="FootnoteText"/>
        <w:ind w:firstLine="709"/>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1">
    <w:p w14:paraId="266654C3" w14:textId="77777777" w:rsidR="00D376C9" w:rsidRPr="000A779C" w:rsidRDefault="00D376C9" w:rsidP="00D376C9">
      <w:pPr>
        <w:spacing w:after="0" w:line="240" w:lineRule="auto"/>
        <w:ind w:firstLine="709"/>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3ECE7749" w14:textId="77777777" w:rsidR="00D376C9" w:rsidRPr="000A779C" w:rsidRDefault="00D376C9" w:rsidP="00D376C9">
      <w:pPr>
        <w:spacing w:after="0" w:line="240" w:lineRule="auto"/>
        <w:ind w:firstLine="709"/>
        <w:contextualSpacing/>
        <w:jc w:val="both"/>
        <w:rPr>
          <w:rFonts w:ascii="Verdana" w:hAnsi="Verdana" w:cs="Arial"/>
          <w:color w:val="000000" w:themeColor="text1"/>
          <w:sz w:val="16"/>
          <w:szCs w:val="16"/>
        </w:rPr>
      </w:pPr>
      <w:r w:rsidRPr="000A779C">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0A779C">
        <w:rPr>
          <w:rFonts w:ascii="Verdana" w:hAnsi="Verdana" w:cs="Arial"/>
          <w:color w:val="000000" w:themeColor="text1"/>
          <w:spacing w:val="-1"/>
          <w:sz w:val="16"/>
          <w:szCs w:val="16"/>
        </w:rPr>
        <w:t xml:space="preserve"> </w:t>
      </w:r>
      <w:r w:rsidRPr="000A779C">
        <w:rPr>
          <w:rFonts w:ascii="Verdana" w:hAnsi="Verdana" w:cs="Arial"/>
          <w:color w:val="000000" w:themeColor="text1"/>
          <w:sz w:val="16"/>
          <w:szCs w:val="16"/>
        </w:rPr>
        <w:t>Estatales».</w:t>
      </w:r>
    </w:p>
  </w:footnote>
  <w:footnote w:id="22">
    <w:p w14:paraId="11C2F913" w14:textId="77777777" w:rsidR="00D376C9" w:rsidRPr="000A779C" w:rsidRDefault="00D376C9" w:rsidP="00D376C9">
      <w:pPr>
        <w:pStyle w:val="FootnoteText"/>
        <w:ind w:firstLine="708"/>
        <w:contextualSpacing/>
        <w:jc w:val="both"/>
        <w:rPr>
          <w:rFonts w:ascii="Verdana" w:hAnsi="Verdana" w:cs="Arial"/>
          <w:color w:val="000000" w:themeColor="text1"/>
          <w:sz w:val="16"/>
          <w:szCs w:val="16"/>
        </w:rPr>
      </w:pPr>
      <w:r w:rsidRPr="000A779C">
        <w:rPr>
          <w:rStyle w:val="FootnoteReference"/>
          <w:rFonts w:ascii="Verdana" w:hAnsi="Verdana" w:cs="Arial"/>
          <w:color w:val="000000" w:themeColor="text1"/>
          <w:sz w:val="16"/>
          <w:szCs w:val="16"/>
        </w:rPr>
        <w:footnoteRef/>
      </w:r>
      <w:r w:rsidRPr="000A779C">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23">
    <w:p w14:paraId="7FDA014D" w14:textId="77777777" w:rsidR="00D376C9" w:rsidRPr="000A779C" w:rsidRDefault="00D376C9" w:rsidP="00D376C9">
      <w:pPr>
        <w:pStyle w:val="FootnoteText"/>
        <w:ind w:firstLine="708"/>
        <w:jc w:val="both"/>
        <w:rPr>
          <w:rFonts w:ascii="Verdana" w:hAnsi="Verdana"/>
          <w:sz w:val="16"/>
          <w:szCs w:val="16"/>
          <w:lang w:val="es-ES"/>
        </w:rPr>
      </w:pPr>
      <w:r w:rsidRPr="000A779C">
        <w:rPr>
          <w:rStyle w:val="FootnoteReference"/>
          <w:rFonts w:ascii="Verdana" w:hAnsi="Verdana"/>
          <w:sz w:val="16"/>
          <w:szCs w:val="16"/>
        </w:rPr>
        <w:footnoteRef/>
      </w:r>
      <w:r w:rsidRPr="000A779C">
        <w:rPr>
          <w:rFonts w:ascii="Verdana" w:hAnsi="Verdana"/>
          <w:sz w:val="16"/>
          <w:szCs w:val="16"/>
        </w:rPr>
        <w:t xml:space="preserve"> Para más información se recomienda consultar la Circular No. 10 del 08 de noviembre de 2025 de la Procuraduría General de la Nación, disponible en: https://www.procuraduria.gov.co/Documents/2025/Noviembre%202025/PRS.%20CIRCULAR%20LEY%20DE%20GARANTI%CC%81AS%20-%20PARA%20FIRMA%20DEL%20PGN%206-11-2025%281%29.pdf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78" type="#_x0000_t75" style="width:12.2pt;height:12.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766"/>
    <w:rsid w:val="00046945"/>
    <w:rsid w:val="00061B2A"/>
    <w:rsid w:val="00082362"/>
    <w:rsid w:val="00085A41"/>
    <w:rsid w:val="000A1BCD"/>
    <w:rsid w:val="000A683E"/>
    <w:rsid w:val="000B19B9"/>
    <w:rsid w:val="000D0334"/>
    <w:rsid w:val="000D5DA7"/>
    <w:rsid w:val="000E39B5"/>
    <w:rsid w:val="000F6486"/>
    <w:rsid w:val="00116940"/>
    <w:rsid w:val="00125105"/>
    <w:rsid w:val="00127233"/>
    <w:rsid w:val="0015699B"/>
    <w:rsid w:val="001A33BF"/>
    <w:rsid w:val="001E4177"/>
    <w:rsid w:val="001F0B24"/>
    <w:rsid w:val="001F2E86"/>
    <w:rsid w:val="001F7DC6"/>
    <w:rsid w:val="002236D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7269"/>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22CA"/>
    <w:rsid w:val="00724983"/>
    <w:rsid w:val="007340C3"/>
    <w:rsid w:val="0075235A"/>
    <w:rsid w:val="00756841"/>
    <w:rsid w:val="007649AB"/>
    <w:rsid w:val="00771D0C"/>
    <w:rsid w:val="007833AC"/>
    <w:rsid w:val="007A528D"/>
    <w:rsid w:val="007B268C"/>
    <w:rsid w:val="007B7171"/>
    <w:rsid w:val="007C0C0F"/>
    <w:rsid w:val="007C3DC2"/>
    <w:rsid w:val="007E5497"/>
    <w:rsid w:val="00806F5F"/>
    <w:rsid w:val="00820278"/>
    <w:rsid w:val="008258C9"/>
    <w:rsid w:val="00844AE9"/>
    <w:rsid w:val="0084648F"/>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07419"/>
    <w:rsid w:val="00B21900"/>
    <w:rsid w:val="00B44A47"/>
    <w:rsid w:val="00B46F80"/>
    <w:rsid w:val="00B66820"/>
    <w:rsid w:val="00B72CD3"/>
    <w:rsid w:val="00B72FFF"/>
    <w:rsid w:val="00BC3D36"/>
    <w:rsid w:val="00BD2771"/>
    <w:rsid w:val="00BD54A6"/>
    <w:rsid w:val="00BD7F72"/>
    <w:rsid w:val="00BF7425"/>
    <w:rsid w:val="00C04FB3"/>
    <w:rsid w:val="00C11D8B"/>
    <w:rsid w:val="00C15139"/>
    <w:rsid w:val="00C330EB"/>
    <w:rsid w:val="00C50D69"/>
    <w:rsid w:val="00C5365C"/>
    <w:rsid w:val="00C754BE"/>
    <w:rsid w:val="00C76B1C"/>
    <w:rsid w:val="00C925AC"/>
    <w:rsid w:val="00CB6357"/>
    <w:rsid w:val="00CB79D3"/>
    <w:rsid w:val="00CC1B26"/>
    <w:rsid w:val="00D2573D"/>
    <w:rsid w:val="00D361FD"/>
    <w:rsid w:val="00D376C9"/>
    <w:rsid w:val="00D423A2"/>
    <w:rsid w:val="00D44E26"/>
    <w:rsid w:val="00D520D8"/>
    <w:rsid w:val="00D63AC2"/>
    <w:rsid w:val="00D7383B"/>
    <w:rsid w:val="00D7788A"/>
    <w:rsid w:val="00DA231B"/>
    <w:rsid w:val="00DC39FC"/>
    <w:rsid w:val="00DF4CD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01EA"/>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link w:val="NormalWebCh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D376C9"/>
    <w:pPr>
      <w:spacing w:line="240" w:lineRule="exact"/>
    </w:pPr>
    <w:rPr>
      <w:vertAlign w:val="superscript"/>
    </w:rPr>
  </w:style>
  <w:style w:type="character" w:customStyle="1" w:styleId="baj">
    <w:name w:val="b_aj"/>
    <w:basedOn w:val="DefaultParagraphFont"/>
    <w:rsid w:val="00D376C9"/>
  </w:style>
  <w:style w:type="character" w:customStyle="1" w:styleId="NormalWebChar">
    <w:name w:val="Normal (Web) Char"/>
    <w:link w:val="NormalWeb"/>
    <w:uiPriority w:val="99"/>
    <w:locked/>
    <w:rsid w:val="00D376C9"/>
    <w:rPr>
      <w:rFonts w:ascii="Times New Roman" w:eastAsia="Times New Roman" w:hAnsi="Times New Roman" w:cs="Times New Roman"/>
      <w:sz w:val="24"/>
      <w:szCs w:val="24"/>
      <w:lang w:eastAsia="es-CO"/>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D376C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procuraduria.gov.co/Documents/2025/Noviembre%202025/PRS.%20CIRCULAR%20LEY%20DE%20GARANTI%CC%81AS%20-%20PARA%20FIRMA%20DEL%20PGN%206-11-2025%281%29.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ites/cce_public/files/cce_circulares/cce-eicp-ma-06_circular_externa_con_comentarios_de_ciudadanos-_v2f_002.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ilmarvalencia@hot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20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F691D99-D131-49B6-8035-E7D63151B29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8</TotalTime>
  <Pages>19</Pages>
  <Words>6226</Words>
  <Characters>35490</Characters>
  <Application>Microsoft Office Word</Application>
  <DocSecurity>0</DocSecurity>
  <Lines>295</Lines>
  <Paragraphs>83</Paragraphs>
  <ScaleCrop>false</ScaleCrop>
  <Company/>
  <LinksUpToDate>false</LinksUpToDate>
  <CharactersWithSpaces>41633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6</cp:revision>
  <cp:lastPrinted>2023-01-10T21:18:00Z</cp:lastPrinted>
  <dcterms:created xsi:type="dcterms:W3CDTF">2025-12-20T01:16:00Z</dcterms:created>
  <dcterms:modified xsi:type="dcterms:W3CDTF">2025-12-20T01:25:00Z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