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0A0BC7" w14:textId="77777777" w:rsidR="00083BD2" w:rsidRPr="006A09D6" w:rsidRDefault="00083BD2" w:rsidP="00083BD2">
      <w:pPr>
        <w:spacing w:after="0" w:line="240" w:lineRule="auto"/>
        <w:jc w:val="both"/>
        <w:rPr>
          <w:rFonts w:ascii="Verdana" w:eastAsia="Calibri" w:hAnsi="Verdana" w:cs="Arial"/>
          <w:b/>
          <w:bCs/>
          <w:color w:val="000000"/>
          <w:kern w:val="2"/>
          <w14:ligatures w14:val="standardContextual"/>
        </w:rPr>
      </w:pPr>
      <w:bookmarkStart w:id="0" w:name="_Hlk181166130"/>
      <w:bookmarkStart w:id="1" w:name="_Hlk209714638"/>
      <w:bookmarkStart w:id="2" w:name="_Hlk216730182"/>
      <w:r w:rsidRPr="006A09D6">
        <w:rPr>
          <w:rFonts w:ascii="Verdana" w:eastAsia="Calibri" w:hAnsi="Verdana" w:cs="Arial"/>
          <w:b/>
          <w:bCs/>
          <w:color w:val="000000"/>
          <w:kern w:val="2"/>
          <w14:ligatures w14:val="standardContextual"/>
        </w:rPr>
        <w:t xml:space="preserve">INHABILIDADES E INCOMPATIBILIDADES </w:t>
      </w:r>
      <w:r w:rsidRPr="006A09D6">
        <w:rPr>
          <w:rFonts w:ascii="Verdana" w:eastAsia="Calibri" w:hAnsi="Verdana" w:cs="Arial"/>
          <w:b/>
          <w:color w:val="000000"/>
          <w:kern w:val="2"/>
          <w14:ligatures w14:val="standardContextual"/>
        </w:rPr>
        <w:t>–</w:t>
      </w:r>
      <w:r w:rsidRPr="006A09D6">
        <w:rPr>
          <w:rFonts w:ascii="Verdana" w:eastAsia="Calibri" w:hAnsi="Verdana" w:cs="Arial"/>
          <w:b/>
          <w:bCs/>
          <w:color w:val="000000"/>
          <w:kern w:val="2"/>
          <w14:ligatures w14:val="standardContextual"/>
        </w:rPr>
        <w:t xml:space="preserve"> Concepto </w:t>
      </w:r>
      <w:r w:rsidRPr="006A09D6">
        <w:rPr>
          <w:rFonts w:ascii="Verdana" w:eastAsia="Calibri" w:hAnsi="Verdana" w:cs="Arial"/>
          <w:b/>
          <w:color w:val="000000"/>
          <w:kern w:val="2"/>
          <w14:ligatures w14:val="standardContextual"/>
        </w:rPr>
        <w:t xml:space="preserve">– </w:t>
      </w:r>
      <w:r w:rsidRPr="006A09D6">
        <w:rPr>
          <w:rFonts w:ascii="Verdana" w:eastAsia="Calibri" w:hAnsi="Verdana" w:cs="Arial"/>
          <w:b/>
          <w:bCs/>
          <w:color w:val="000000"/>
          <w:kern w:val="2"/>
          <w14:ligatures w14:val="standardContextual"/>
        </w:rPr>
        <w:t xml:space="preserve">Principio de legalidad </w:t>
      </w:r>
      <w:r w:rsidRPr="006A09D6">
        <w:rPr>
          <w:rFonts w:ascii="Verdana" w:eastAsia="Calibri" w:hAnsi="Verdana" w:cs="Arial"/>
          <w:b/>
          <w:color w:val="000000"/>
          <w:kern w:val="2"/>
          <w14:ligatures w14:val="standardContextual"/>
        </w:rPr>
        <w:t>–</w:t>
      </w:r>
      <w:r w:rsidRPr="006A09D6">
        <w:rPr>
          <w:rFonts w:ascii="Verdana" w:eastAsia="Calibri" w:hAnsi="Verdana" w:cs="Arial"/>
          <w:b/>
          <w:bCs/>
          <w:color w:val="000000"/>
          <w:kern w:val="2"/>
          <w14:ligatures w14:val="standardContextual"/>
        </w:rPr>
        <w:t xml:space="preserve"> Interpretación restrictiva</w:t>
      </w:r>
    </w:p>
    <w:p w14:paraId="2E72B76C" w14:textId="77777777" w:rsidR="00083BD2" w:rsidRPr="006A09D6" w:rsidRDefault="00083BD2" w:rsidP="00083BD2">
      <w:pPr>
        <w:spacing w:after="0" w:line="240" w:lineRule="auto"/>
        <w:jc w:val="both"/>
        <w:rPr>
          <w:rFonts w:ascii="Verdana" w:eastAsia="Calibri" w:hAnsi="Verdana" w:cs="Arial"/>
          <w:b/>
          <w:bCs/>
          <w:color w:val="000000"/>
          <w:kern w:val="2"/>
          <w14:ligatures w14:val="standardContextual"/>
        </w:rPr>
      </w:pPr>
    </w:p>
    <w:p w14:paraId="01F373D1" w14:textId="77777777" w:rsidR="00083BD2" w:rsidRPr="006A09D6" w:rsidRDefault="00083BD2" w:rsidP="00083BD2">
      <w:pPr>
        <w:spacing w:after="0" w:line="240" w:lineRule="auto"/>
        <w:jc w:val="both"/>
        <w:rPr>
          <w:rFonts w:ascii="Verdana" w:eastAsia="Calibri" w:hAnsi="Verdana" w:cs="Arial"/>
          <w:color w:val="000000"/>
          <w:kern w:val="2"/>
          <w:sz w:val="20"/>
          <w:szCs w:val="20"/>
          <w14:ligatures w14:val="standardContextual"/>
        </w:rPr>
      </w:pPr>
      <w:r w:rsidRPr="006A09D6">
        <w:rPr>
          <w:rFonts w:ascii="Verdana" w:eastAsia="Calibri" w:hAnsi="Verdana" w:cs="Arial"/>
          <w:color w:val="000000"/>
          <w:kern w:val="2"/>
          <w:sz w:val="20"/>
          <w:szCs w:val="20"/>
          <w14:ligatures w14:val="standardContextual"/>
        </w:rPr>
        <w:t xml:space="preserve">Las </w:t>
      </w:r>
      <w:r w:rsidRPr="006A09D6">
        <w:rPr>
          <w:rFonts w:ascii="Verdana" w:eastAsia="Calibri" w:hAnsi="Verdana" w:cs="Arial"/>
          <w:i/>
          <w:iCs/>
          <w:color w:val="000000"/>
          <w:kern w:val="2"/>
          <w:sz w:val="20"/>
          <w:szCs w:val="20"/>
          <w14:ligatures w14:val="standardContextual"/>
        </w:rPr>
        <w:t>inhabilidades</w:t>
      </w:r>
      <w:r w:rsidRPr="006A09D6">
        <w:rPr>
          <w:rFonts w:ascii="Verdana" w:eastAsia="Calibri" w:hAnsi="Verdana" w:cs="Arial"/>
          <w:color w:val="000000"/>
          <w:kern w:val="2"/>
          <w:sz w:val="20"/>
          <w:szCs w:val="20"/>
          <w14:ligatures w14:val="standardContextual"/>
        </w:rPr>
        <w:t xml:space="preserve"> son prohibiciones para concurrir a los procedimientos de selección y para contratar con el Estado, que se derivan de:  i) la existencia de comportamientos reprochables o sanciones anteriormente impuestas, ii) vínculos personales relativos al parentesco o al estado civil o iii) una actividad u oficio que se desempeñó en el pasado. De otro lado, las </w:t>
      </w:r>
      <w:r w:rsidRPr="006A09D6">
        <w:rPr>
          <w:rFonts w:ascii="Verdana" w:eastAsia="Calibri" w:hAnsi="Verdana" w:cs="Arial"/>
          <w:i/>
          <w:iCs/>
          <w:color w:val="000000"/>
          <w:kern w:val="2"/>
          <w:sz w:val="20"/>
          <w:szCs w:val="20"/>
          <w14:ligatures w14:val="standardContextual"/>
        </w:rPr>
        <w:t>incompatibilidades</w:t>
      </w:r>
      <w:r w:rsidRPr="006A09D6">
        <w:rPr>
          <w:rFonts w:ascii="Verdana" w:eastAsia="Calibri" w:hAnsi="Verdana" w:cs="Arial"/>
          <w:color w:val="000000"/>
          <w:kern w:val="2"/>
          <w:sz w:val="20"/>
          <w:szCs w:val="20"/>
          <w14:ligatures w14:val="standardContextual"/>
        </w:rPr>
        <w:t xml:space="preserve">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 </w:t>
      </w:r>
    </w:p>
    <w:p w14:paraId="73AEDAA3" w14:textId="77777777" w:rsidR="00083BD2" w:rsidRPr="006A09D6" w:rsidRDefault="00083BD2" w:rsidP="00083BD2">
      <w:pPr>
        <w:spacing w:after="120" w:line="240" w:lineRule="auto"/>
        <w:jc w:val="both"/>
        <w:rPr>
          <w:rFonts w:ascii="Verdana" w:eastAsia="Calibri" w:hAnsi="Verdana" w:cs="Arial"/>
          <w:color w:val="000000"/>
          <w:kern w:val="2"/>
          <w:sz w:val="20"/>
          <w:szCs w:val="20"/>
          <w14:ligatures w14:val="standardContextual"/>
        </w:rPr>
      </w:pPr>
      <w:r w:rsidRPr="006A09D6">
        <w:rPr>
          <w:rFonts w:ascii="Verdana" w:eastAsia="Calibri" w:hAnsi="Verdana" w:cs="Arial"/>
          <w:color w:val="000000"/>
          <w:kern w:val="2"/>
          <w:sz w:val="20"/>
          <w:szCs w:val="20"/>
          <w14:ligatures w14:val="standardContextual"/>
        </w:rPr>
        <w:t>[…]</w:t>
      </w:r>
    </w:p>
    <w:p w14:paraId="16068486" w14:textId="77777777" w:rsidR="00083BD2" w:rsidRPr="006A09D6" w:rsidRDefault="00083BD2" w:rsidP="00083BD2">
      <w:pPr>
        <w:spacing w:after="0" w:line="240" w:lineRule="auto"/>
        <w:jc w:val="both"/>
        <w:rPr>
          <w:rFonts w:ascii="Verdana" w:eastAsia="Calibri" w:hAnsi="Verdana" w:cs="Arial"/>
          <w:color w:val="000000"/>
          <w:kern w:val="2"/>
          <w:sz w:val="20"/>
          <w:szCs w:val="20"/>
          <w14:ligatures w14:val="standardContextual"/>
        </w:rPr>
      </w:pPr>
      <w:r w:rsidRPr="006A09D6">
        <w:rPr>
          <w:rFonts w:ascii="Verdana" w:eastAsia="Calibri" w:hAnsi="Verdana" w:cs="Arial"/>
          <w:color w:val="000000"/>
          <w:kern w:val="2"/>
          <w:sz w:val="20"/>
          <w:szCs w:val="20"/>
          <w14:ligatures w14:val="standardContextual"/>
        </w:rPr>
        <w:t>Ahora bien, al ser las inhabilidades e incompatibilidades –como ya se dijo– restricciones o límites especiales a la capacidad para presentar ofertas y celebrar contratos estatales, la interpretación de las causales que las integran debe ser restrictiva, pues si se admitiera una interpretación amplia, extensiva o finalista de las mismas, tales enunciados normativos podrían cobijar múltiples supuestos indeterminados, según el parecer o el sentido común de los operadores jurídicos, poniendo en riesgo principios como la igualdad, el debido proceso, la libre concurrencia y el ejercicio de la profesión u oficio.</w:t>
      </w:r>
    </w:p>
    <w:p w14:paraId="1316C30D" w14:textId="77777777" w:rsidR="00083BD2" w:rsidRPr="006A09D6" w:rsidRDefault="00083BD2" w:rsidP="00083BD2">
      <w:pPr>
        <w:spacing w:after="0" w:line="240" w:lineRule="auto"/>
        <w:jc w:val="both"/>
        <w:rPr>
          <w:rFonts w:ascii="Verdana" w:eastAsia="Calibri" w:hAnsi="Verdana" w:cs="Arial"/>
          <w:color w:val="000000"/>
          <w:kern w:val="2"/>
          <w:sz w:val="20"/>
          <w:szCs w:val="20"/>
          <w14:ligatures w14:val="standardContextual"/>
        </w:rPr>
      </w:pPr>
    </w:p>
    <w:p w14:paraId="6B45904E" w14:textId="77777777" w:rsidR="00083BD2" w:rsidRPr="006A09D6" w:rsidRDefault="00083BD2" w:rsidP="00083BD2">
      <w:pPr>
        <w:spacing w:after="0" w:line="240" w:lineRule="auto"/>
        <w:jc w:val="both"/>
        <w:rPr>
          <w:rFonts w:ascii="Verdana" w:eastAsia="Calibri" w:hAnsi="Verdana" w:cs="Arial"/>
          <w:b/>
          <w:color w:val="000000"/>
          <w:kern w:val="2"/>
          <w14:ligatures w14:val="standardContextual"/>
        </w:rPr>
      </w:pPr>
      <w:r w:rsidRPr="006A09D6">
        <w:rPr>
          <w:rFonts w:ascii="Verdana" w:eastAsia="Calibri" w:hAnsi="Verdana" w:cs="Arial"/>
          <w:b/>
          <w:color w:val="000000"/>
          <w:kern w:val="2"/>
          <w14:ligatures w14:val="standardContextual"/>
        </w:rPr>
        <w:t>DOCENTE DE HORA CÁTEDRA – Naturaleza jurídica de vinculación – Calidad de servidor público</w:t>
      </w:r>
      <w:r>
        <w:rPr>
          <w:rFonts w:ascii="Verdana" w:eastAsia="Calibri" w:hAnsi="Verdana" w:cs="Arial"/>
          <w:b/>
          <w:color w:val="000000"/>
          <w:kern w:val="2"/>
          <w14:ligatures w14:val="standardContextual"/>
        </w:rPr>
        <w:t xml:space="preserve"> – Pronunciamientos jurisprudenciales y doctrinales</w:t>
      </w:r>
    </w:p>
    <w:p w14:paraId="66BDDE38" w14:textId="77777777" w:rsidR="00083BD2" w:rsidRPr="006A09D6" w:rsidRDefault="00083BD2" w:rsidP="00083BD2">
      <w:pPr>
        <w:spacing w:after="0" w:line="240" w:lineRule="auto"/>
        <w:jc w:val="both"/>
        <w:rPr>
          <w:rFonts w:ascii="Verdana" w:eastAsia="Calibri" w:hAnsi="Verdana" w:cs="Arial"/>
          <w:b/>
          <w:color w:val="000000"/>
          <w:kern w:val="2"/>
          <w14:ligatures w14:val="standardContextual"/>
        </w:rPr>
      </w:pPr>
    </w:p>
    <w:p w14:paraId="1D02FB1D" w14:textId="77777777" w:rsidR="00083BD2" w:rsidRPr="006A09D6" w:rsidRDefault="00083BD2" w:rsidP="00083BD2">
      <w:pPr>
        <w:spacing w:after="0" w:line="240" w:lineRule="auto"/>
        <w:jc w:val="both"/>
        <w:rPr>
          <w:rFonts w:ascii="Verdana" w:eastAsia="Calibri" w:hAnsi="Verdana" w:cs="Arial"/>
          <w:color w:val="000000"/>
          <w:kern w:val="2"/>
          <w:sz w:val="20"/>
          <w:szCs w:val="20"/>
          <w14:ligatures w14:val="standardContextual"/>
        </w:rPr>
      </w:pPr>
      <w:r w:rsidRPr="006A09D6">
        <w:rPr>
          <w:rFonts w:ascii="Verdana" w:eastAsia="Calibri" w:hAnsi="Verdana" w:cs="Arial"/>
          <w:color w:val="000000"/>
          <w:kern w:val="2"/>
          <w:sz w:val="20"/>
          <w:szCs w:val="20"/>
          <w14:ligatures w14:val="standardContextual"/>
        </w:rPr>
        <w:t>Con fundamento en la jurisprudencia constitucional, se puede colegir que los docentes ocasionales y, para el caso que nos ocupa, los docentes de cátedra, no son empleados públicos, así como tampoco pertenecen a la carrera profesoral, pero sí adquieren la connotación de servidores públicos, sin que su vinculación pueda efectuarse a través de contratos de prestación de servicios; lo que permite concluir que no son contratistas del Estado, en la medida en que se vinculan mediante acto administrativo en el cual se determinarán las modalidades y efectos de su relación jurídica de acuerdo con la ley.</w:t>
      </w:r>
    </w:p>
    <w:p w14:paraId="1668492D" w14:textId="77777777" w:rsidR="00083BD2" w:rsidRPr="006A09D6" w:rsidRDefault="00083BD2" w:rsidP="00083BD2">
      <w:pPr>
        <w:spacing w:after="0" w:line="240" w:lineRule="auto"/>
        <w:jc w:val="both"/>
        <w:rPr>
          <w:rFonts w:ascii="Verdana" w:eastAsia="Calibri" w:hAnsi="Verdana" w:cs="Arial"/>
          <w:color w:val="000000"/>
          <w:kern w:val="2"/>
          <w:sz w:val="20"/>
          <w:szCs w:val="20"/>
          <w14:ligatures w14:val="standardContextual"/>
        </w:rPr>
      </w:pPr>
    </w:p>
    <w:p w14:paraId="39CBFB52" w14:textId="77777777" w:rsidR="00083BD2" w:rsidRDefault="00083BD2" w:rsidP="00083BD2">
      <w:pPr>
        <w:spacing w:after="0" w:line="240" w:lineRule="auto"/>
        <w:jc w:val="both"/>
        <w:rPr>
          <w:rFonts w:ascii="Verdana" w:eastAsia="Calibri" w:hAnsi="Verdana" w:cs="Arial"/>
          <w:color w:val="000000"/>
          <w:kern w:val="2"/>
          <w:sz w:val="20"/>
          <w:szCs w:val="20"/>
          <w14:ligatures w14:val="standardContextual"/>
        </w:rPr>
      </w:pPr>
      <w:r w:rsidRPr="0013429F">
        <w:rPr>
          <w:rFonts w:ascii="Verdana" w:eastAsia="Calibri" w:hAnsi="Verdana" w:cs="Arial"/>
          <w:color w:val="000000"/>
          <w:kern w:val="2"/>
          <w:sz w:val="20"/>
          <w:szCs w:val="20"/>
          <w14:ligatures w14:val="standardContextual"/>
        </w:rPr>
        <w:t>Esta misma tesis la sostiene en varios de los recientes conceptos que emitió el Departamento Administrativo de la Función Pública – DAFP al referirse al régimen de inhabilidades e incompatibilidades del servidor público, dentro de los que se destaca el Concepto 047311 de 2023</w:t>
      </w:r>
      <w:r>
        <w:rPr>
          <w:rFonts w:ascii="Verdana" w:eastAsia="Calibri" w:hAnsi="Verdana" w:cs="Arial"/>
          <w:color w:val="000000"/>
          <w:kern w:val="2"/>
          <w:sz w:val="20"/>
          <w:szCs w:val="20"/>
          <w14:ligatures w14:val="standardContextual"/>
        </w:rPr>
        <w:t xml:space="preserve"> […]</w:t>
      </w:r>
    </w:p>
    <w:p w14:paraId="61754690" w14:textId="77777777" w:rsidR="00083BD2" w:rsidRPr="006A09D6" w:rsidRDefault="00083BD2" w:rsidP="00083BD2">
      <w:pPr>
        <w:spacing w:after="0" w:line="240" w:lineRule="auto"/>
        <w:jc w:val="both"/>
        <w:rPr>
          <w:rFonts w:ascii="Verdana" w:eastAsia="Calibri" w:hAnsi="Verdana" w:cs="Arial"/>
          <w:color w:val="000000"/>
          <w:kern w:val="2"/>
          <w:sz w:val="20"/>
          <w:szCs w:val="20"/>
          <w14:ligatures w14:val="standardContextual"/>
        </w:rPr>
      </w:pPr>
    </w:p>
    <w:p w14:paraId="6B20F0FB" w14:textId="77777777" w:rsidR="00083BD2" w:rsidRPr="006A09D6" w:rsidRDefault="00083BD2" w:rsidP="00083BD2">
      <w:pPr>
        <w:spacing w:after="0" w:line="240" w:lineRule="auto"/>
        <w:jc w:val="both"/>
        <w:rPr>
          <w:rFonts w:ascii="Verdana" w:eastAsia="Calibri" w:hAnsi="Verdana" w:cs="Arial"/>
          <w:b/>
          <w:color w:val="000000"/>
          <w:kern w:val="2"/>
          <w14:ligatures w14:val="standardContextual"/>
        </w:rPr>
      </w:pPr>
      <w:r w:rsidRPr="006A09D6">
        <w:rPr>
          <w:rFonts w:ascii="Verdana" w:eastAsia="Calibri" w:hAnsi="Verdana" w:cs="Arial"/>
          <w:b/>
          <w:color w:val="000000"/>
          <w:kern w:val="2"/>
          <w14:ligatures w14:val="standardContextual"/>
        </w:rPr>
        <w:t>INHABILIDADES E INCOMPATIBILIDADES – Ley 80 de 1993 – Numeral 1, literal f) – Servidor público – Concordancia artículo 127 superior</w:t>
      </w:r>
    </w:p>
    <w:p w14:paraId="69C9B1E3" w14:textId="77777777" w:rsidR="00083BD2" w:rsidRPr="006A09D6" w:rsidRDefault="00083BD2" w:rsidP="00083BD2">
      <w:pPr>
        <w:spacing w:after="0" w:line="240" w:lineRule="auto"/>
        <w:jc w:val="both"/>
        <w:rPr>
          <w:rFonts w:ascii="Verdana" w:eastAsia="Calibri" w:hAnsi="Verdana" w:cs="Arial"/>
          <w:b/>
          <w:color w:val="000000"/>
          <w:kern w:val="2"/>
          <w14:ligatures w14:val="standardContextual"/>
        </w:rPr>
      </w:pPr>
    </w:p>
    <w:p w14:paraId="79BA3019" w14:textId="77777777" w:rsidR="00083BD2" w:rsidRDefault="00083BD2" w:rsidP="00083BD2">
      <w:pPr>
        <w:spacing w:after="0" w:line="240" w:lineRule="auto"/>
        <w:jc w:val="both"/>
        <w:rPr>
          <w:rFonts w:ascii="Verdana" w:eastAsia="Calibri" w:hAnsi="Verdana" w:cs="Arial"/>
          <w:color w:val="000000"/>
          <w:kern w:val="2"/>
          <w:sz w:val="20"/>
          <w:szCs w:val="20"/>
          <w14:ligatures w14:val="standardContextual"/>
        </w:rPr>
      </w:pPr>
      <w:r w:rsidRPr="00E31955">
        <w:rPr>
          <w:rFonts w:ascii="Verdana" w:eastAsia="Calibri" w:hAnsi="Verdana" w:cs="Arial"/>
          <w:color w:val="000000"/>
          <w:kern w:val="2"/>
          <w:sz w:val="20"/>
          <w:szCs w:val="20"/>
          <w14:ligatures w14:val="standardContextual"/>
        </w:rPr>
        <w:t xml:space="preserve">En ese sentido, si la vinculación como docente de cátedra en institución educativa de naturaleza estatal le otorga la naturaleza de servidor público, (examen que le corresponderá a cada entidad estatal contratante efectuar para cada caso concreto), </w:t>
      </w:r>
      <w:r w:rsidRPr="00E31955">
        <w:rPr>
          <w:rFonts w:ascii="Verdana" w:eastAsia="Calibri" w:hAnsi="Verdana" w:cs="Arial"/>
          <w:color w:val="000000"/>
          <w:kern w:val="2"/>
          <w:sz w:val="20"/>
          <w:szCs w:val="20"/>
          <w14:ligatures w14:val="standardContextual"/>
        </w:rPr>
        <w:lastRenderedPageBreak/>
        <w:t>podría configurarse la inhabilidad consagrada en el literal f) del numeral 1 del artículo 8 de la Ley 80 de 1993, en concordancia con el artículo 127 de la Constitución Política de Colombia de 1991, que prohíbe a los servidores públicos celebrar contratos con entidades estatales. Caso en el que la inhabilidad viene de manera sobreviniente, pues antes de la celebración del contrato, la persona aún no detentaba la calidad de servidor público.</w:t>
      </w:r>
    </w:p>
    <w:p w14:paraId="76D418BA" w14:textId="77777777" w:rsidR="00083BD2" w:rsidRDefault="00083BD2" w:rsidP="00083BD2">
      <w:pPr>
        <w:spacing w:after="0" w:line="240" w:lineRule="auto"/>
        <w:jc w:val="both"/>
        <w:rPr>
          <w:rFonts w:ascii="Verdana" w:eastAsia="Calibri" w:hAnsi="Verdana" w:cs="Arial"/>
          <w:b/>
          <w:color w:val="000000"/>
          <w:kern w:val="2"/>
          <w14:ligatures w14:val="standardContextual"/>
        </w:rPr>
      </w:pPr>
    </w:p>
    <w:p w14:paraId="41C59C45" w14:textId="77777777" w:rsidR="00083BD2" w:rsidRDefault="00083BD2" w:rsidP="00083BD2">
      <w:pPr>
        <w:spacing w:after="0" w:line="240" w:lineRule="auto"/>
        <w:jc w:val="both"/>
        <w:rPr>
          <w:rFonts w:ascii="Verdana" w:eastAsia="Calibri" w:hAnsi="Verdana" w:cs="Arial"/>
          <w:b/>
          <w:color w:val="000000"/>
          <w:kern w:val="2"/>
          <w14:ligatures w14:val="standardContextual"/>
        </w:rPr>
      </w:pPr>
      <w:r>
        <w:rPr>
          <w:rFonts w:ascii="Verdana" w:eastAsia="Calibri" w:hAnsi="Verdana" w:cs="Arial"/>
          <w:b/>
          <w:color w:val="000000"/>
          <w:kern w:val="2"/>
          <w14:ligatures w14:val="standardContextual"/>
        </w:rPr>
        <w:t>ANALISIS DE CADA CASO EN CONCRETO – Análisis de naturaleza jurídica de la vinculación</w:t>
      </w:r>
    </w:p>
    <w:p w14:paraId="5508D0EA" w14:textId="77777777" w:rsidR="00083BD2" w:rsidRDefault="00083BD2" w:rsidP="00083BD2">
      <w:pPr>
        <w:spacing w:after="0" w:line="240" w:lineRule="auto"/>
        <w:jc w:val="both"/>
        <w:rPr>
          <w:rFonts w:ascii="Verdana" w:eastAsia="Calibri" w:hAnsi="Verdana" w:cs="Arial"/>
          <w:b/>
          <w:color w:val="000000"/>
          <w:kern w:val="2"/>
          <w14:ligatures w14:val="standardContextual"/>
        </w:rPr>
      </w:pPr>
    </w:p>
    <w:p w14:paraId="4E4396A5" w14:textId="77777777" w:rsidR="00083BD2" w:rsidRPr="00BB6CC4" w:rsidRDefault="00083BD2" w:rsidP="00083BD2">
      <w:pPr>
        <w:spacing w:after="0" w:line="240" w:lineRule="auto"/>
        <w:jc w:val="both"/>
        <w:rPr>
          <w:rFonts w:ascii="Verdana" w:eastAsia="Calibri" w:hAnsi="Verdana" w:cs="Arial"/>
          <w:color w:val="000000"/>
          <w:kern w:val="2"/>
          <w:sz w:val="20"/>
          <w:szCs w:val="20"/>
          <w14:ligatures w14:val="standardContextual"/>
        </w:rPr>
      </w:pPr>
      <w:r w:rsidRPr="00BB6CC4">
        <w:rPr>
          <w:rFonts w:ascii="Verdana" w:eastAsia="Calibri" w:hAnsi="Verdana" w:cs="Arial"/>
          <w:color w:val="000000"/>
          <w:kern w:val="2"/>
          <w:sz w:val="20"/>
          <w:szCs w:val="20"/>
          <w14:ligatures w14:val="standardContextual"/>
        </w:rPr>
        <w:t>En todo caso, corresponde a la entidad estatal contratante determinar en cada caso concreto si se cumplen o no los supuestos de hecho y condiciones que dan lugar a la configuración de la referida inhabilidad.</w:t>
      </w:r>
    </w:p>
    <w:p w14:paraId="11F71887" w14:textId="77777777" w:rsidR="00083BD2" w:rsidRPr="00BB6CC4" w:rsidRDefault="00083BD2" w:rsidP="00083BD2">
      <w:pPr>
        <w:spacing w:after="0" w:line="240" w:lineRule="auto"/>
        <w:jc w:val="both"/>
        <w:rPr>
          <w:rFonts w:ascii="Verdana" w:eastAsia="Calibri" w:hAnsi="Verdana" w:cs="Arial"/>
          <w:color w:val="000000"/>
          <w:kern w:val="2"/>
          <w:sz w:val="20"/>
          <w:szCs w:val="20"/>
          <w14:ligatures w14:val="standardContextual"/>
        </w:rPr>
      </w:pPr>
    </w:p>
    <w:p w14:paraId="2696EC8C" w14:textId="77777777" w:rsidR="00C1511F" w:rsidRDefault="00C1511F" w:rsidP="00C1511F">
      <w:pPr>
        <w:spacing w:after="0" w:line="240" w:lineRule="auto"/>
        <w:rPr>
          <w:rFonts w:ascii="Verdana" w:hAnsi="Verdana"/>
        </w:rPr>
      </w:pPr>
    </w:p>
    <w:p w14:paraId="06FD8BC2" w14:textId="77777777" w:rsidR="00C1511F" w:rsidRDefault="00C1511F" w:rsidP="00C1511F">
      <w:pPr>
        <w:spacing w:after="0" w:line="240" w:lineRule="auto"/>
        <w:rPr>
          <w:rFonts w:ascii="Verdana" w:hAnsi="Verdana"/>
        </w:rPr>
      </w:pPr>
    </w:p>
    <w:p w14:paraId="47E73D3C" w14:textId="77777777" w:rsidR="00C1511F" w:rsidRDefault="00C1511F" w:rsidP="00C1511F">
      <w:pPr>
        <w:spacing w:after="0" w:line="240" w:lineRule="auto"/>
        <w:rPr>
          <w:rFonts w:ascii="Verdana" w:hAnsi="Verdana"/>
        </w:rPr>
      </w:pPr>
    </w:p>
    <w:p w14:paraId="0D2503A3" w14:textId="77777777" w:rsidR="00C1511F" w:rsidRDefault="00C1511F" w:rsidP="00C1511F">
      <w:pPr>
        <w:spacing w:after="0" w:line="240" w:lineRule="auto"/>
        <w:rPr>
          <w:rFonts w:ascii="Verdana" w:hAnsi="Verdana"/>
        </w:rPr>
      </w:pPr>
    </w:p>
    <w:p w14:paraId="600939B6" w14:textId="77777777" w:rsidR="00C1511F" w:rsidRDefault="00C1511F" w:rsidP="00C1511F">
      <w:pPr>
        <w:spacing w:after="0" w:line="240" w:lineRule="auto"/>
        <w:rPr>
          <w:rFonts w:ascii="Verdana" w:hAnsi="Verdana"/>
        </w:rPr>
      </w:pPr>
    </w:p>
    <w:p w14:paraId="5CF7EF7B" w14:textId="77777777" w:rsidR="00C1511F" w:rsidRDefault="00C1511F" w:rsidP="00C1511F">
      <w:pPr>
        <w:spacing w:after="0" w:line="240" w:lineRule="auto"/>
        <w:rPr>
          <w:rFonts w:ascii="Verdana" w:hAnsi="Verdana"/>
        </w:rPr>
      </w:pPr>
    </w:p>
    <w:p w14:paraId="2EAB1EE5" w14:textId="77777777" w:rsidR="00C1511F" w:rsidRDefault="00C1511F" w:rsidP="00C1511F">
      <w:pPr>
        <w:spacing w:after="0" w:line="240" w:lineRule="auto"/>
        <w:rPr>
          <w:rFonts w:ascii="Verdana" w:hAnsi="Verdana"/>
        </w:rPr>
      </w:pPr>
    </w:p>
    <w:p w14:paraId="75CD0F87" w14:textId="77777777" w:rsidR="00C1511F" w:rsidRDefault="00C1511F" w:rsidP="00C1511F">
      <w:pPr>
        <w:spacing w:after="0" w:line="240" w:lineRule="auto"/>
        <w:rPr>
          <w:rFonts w:ascii="Verdana" w:hAnsi="Verdana"/>
        </w:rPr>
      </w:pPr>
    </w:p>
    <w:p w14:paraId="56D9B42A" w14:textId="77777777" w:rsidR="00C1511F" w:rsidRDefault="00C1511F" w:rsidP="00C1511F">
      <w:pPr>
        <w:spacing w:after="0" w:line="240" w:lineRule="auto"/>
        <w:rPr>
          <w:rFonts w:ascii="Verdana" w:hAnsi="Verdana"/>
        </w:rPr>
      </w:pPr>
    </w:p>
    <w:p w14:paraId="78E18E7D" w14:textId="77777777" w:rsidR="00C1511F" w:rsidRDefault="00C1511F" w:rsidP="00C1511F">
      <w:pPr>
        <w:spacing w:after="0" w:line="240" w:lineRule="auto"/>
        <w:rPr>
          <w:rFonts w:ascii="Verdana" w:hAnsi="Verdana"/>
        </w:rPr>
      </w:pPr>
    </w:p>
    <w:p w14:paraId="00244C72" w14:textId="77777777" w:rsidR="00C1511F" w:rsidRDefault="00C1511F" w:rsidP="00C1511F">
      <w:pPr>
        <w:spacing w:after="0" w:line="240" w:lineRule="auto"/>
        <w:rPr>
          <w:rFonts w:ascii="Verdana" w:hAnsi="Verdana"/>
        </w:rPr>
      </w:pPr>
    </w:p>
    <w:p w14:paraId="0B956EC9" w14:textId="77777777" w:rsidR="00C1511F" w:rsidRDefault="00C1511F" w:rsidP="00C1511F">
      <w:pPr>
        <w:spacing w:after="0" w:line="240" w:lineRule="auto"/>
        <w:rPr>
          <w:rFonts w:ascii="Verdana" w:hAnsi="Verdana"/>
        </w:rPr>
      </w:pPr>
    </w:p>
    <w:p w14:paraId="7EC7BF6D" w14:textId="77777777" w:rsidR="00C1511F" w:rsidRDefault="00C1511F" w:rsidP="00C1511F">
      <w:pPr>
        <w:spacing w:after="0" w:line="240" w:lineRule="auto"/>
        <w:rPr>
          <w:rFonts w:ascii="Verdana" w:hAnsi="Verdana"/>
        </w:rPr>
      </w:pPr>
    </w:p>
    <w:p w14:paraId="5007BFD5" w14:textId="77777777" w:rsidR="00C1511F" w:rsidRDefault="00C1511F" w:rsidP="00C1511F">
      <w:pPr>
        <w:spacing w:after="0" w:line="240" w:lineRule="auto"/>
        <w:rPr>
          <w:rFonts w:ascii="Verdana" w:hAnsi="Verdana"/>
        </w:rPr>
      </w:pPr>
    </w:p>
    <w:p w14:paraId="54573A0D" w14:textId="77777777" w:rsidR="00C1511F" w:rsidRDefault="00C1511F" w:rsidP="00C1511F">
      <w:pPr>
        <w:spacing w:after="0" w:line="240" w:lineRule="auto"/>
        <w:rPr>
          <w:rFonts w:ascii="Verdana" w:hAnsi="Verdana"/>
        </w:rPr>
      </w:pPr>
    </w:p>
    <w:p w14:paraId="315ADF3D" w14:textId="77777777" w:rsidR="00C1511F" w:rsidRDefault="00C1511F" w:rsidP="00C1511F">
      <w:pPr>
        <w:spacing w:after="0" w:line="240" w:lineRule="auto"/>
        <w:rPr>
          <w:rFonts w:ascii="Verdana" w:hAnsi="Verdana"/>
        </w:rPr>
      </w:pPr>
    </w:p>
    <w:p w14:paraId="0632EAD3" w14:textId="77777777" w:rsidR="00C1511F" w:rsidRDefault="00C1511F" w:rsidP="00C1511F">
      <w:pPr>
        <w:spacing w:after="0" w:line="240" w:lineRule="auto"/>
        <w:rPr>
          <w:rFonts w:ascii="Verdana" w:hAnsi="Verdana"/>
        </w:rPr>
      </w:pPr>
    </w:p>
    <w:p w14:paraId="6A6754F3" w14:textId="77777777" w:rsidR="00C1511F" w:rsidRDefault="00C1511F" w:rsidP="00C1511F">
      <w:pPr>
        <w:spacing w:after="0" w:line="240" w:lineRule="auto"/>
        <w:rPr>
          <w:rFonts w:ascii="Verdana" w:hAnsi="Verdana"/>
        </w:rPr>
      </w:pPr>
    </w:p>
    <w:p w14:paraId="1932E63D" w14:textId="77777777" w:rsidR="00C1511F" w:rsidRDefault="00C1511F" w:rsidP="00C1511F">
      <w:pPr>
        <w:spacing w:after="0" w:line="240" w:lineRule="auto"/>
        <w:rPr>
          <w:rFonts w:ascii="Verdana" w:hAnsi="Verdana"/>
        </w:rPr>
      </w:pPr>
    </w:p>
    <w:p w14:paraId="50B78495" w14:textId="77777777" w:rsidR="00C1511F" w:rsidRDefault="00C1511F" w:rsidP="00C1511F">
      <w:pPr>
        <w:spacing w:after="0" w:line="240" w:lineRule="auto"/>
        <w:rPr>
          <w:rFonts w:ascii="Verdana" w:hAnsi="Verdana"/>
        </w:rPr>
      </w:pPr>
    </w:p>
    <w:p w14:paraId="2B661A7A" w14:textId="77777777" w:rsidR="00C1511F" w:rsidRDefault="00C1511F" w:rsidP="00C1511F">
      <w:pPr>
        <w:spacing w:after="0" w:line="240" w:lineRule="auto"/>
        <w:rPr>
          <w:rFonts w:ascii="Verdana" w:hAnsi="Verdana"/>
        </w:rPr>
      </w:pPr>
    </w:p>
    <w:p w14:paraId="071285B4" w14:textId="77777777" w:rsidR="00C1511F" w:rsidRDefault="00C1511F" w:rsidP="00C1511F">
      <w:pPr>
        <w:spacing w:after="0" w:line="240" w:lineRule="auto"/>
        <w:rPr>
          <w:rFonts w:ascii="Verdana" w:hAnsi="Verdana"/>
        </w:rPr>
      </w:pPr>
    </w:p>
    <w:p w14:paraId="6C9FF386" w14:textId="77777777" w:rsidR="00C1511F" w:rsidRDefault="00C1511F" w:rsidP="00C1511F">
      <w:pPr>
        <w:spacing w:after="0" w:line="240" w:lineRule="auto"/>
        <w:rPr>
          <w:rFonts w:ascii="Verdana" w:hAnsi="Verdana"/>
        </w:rPr>
      </w:pPr>
    </w:p>
    <w:p w14:paraId="4F4E512B" w14:textId="77777777" w:rsidR="00C1511F" w:rsidRDefault="00C1511F" w:rsidP="00C1511F">
      <w:pPr>
        <w:spacing w:after="0" w:line="240" w:lineRule="auto"/>
        <w:rPr>
          <w:rFonts w:ascii="Verdana" w:hAnsi="Verdana"/>
        </w:rPr>
      </w:pPr>
    </w:p>
    <w:p w14:paraId="0A8CB145" w14:textId="77777777" w:rsidR="00C1511F" w:rsidRDefault="00C1511F" w:rsidP="00C1511F">
      <w:pPr>
        <w:spacing w:after="0" w:line="240" w:lineRule="auto"/>
        <w:rPr>
          <w:rFonts w:ascii="Verdana" w:hAnsi="Verdana"/>
        </w:rPr>
      </w:pPr>
    </w:p>
    <w:p w14:paraId="527964F4" w14:textId="77777777" w:rsidR="00C1511F" w:rsidRDefault="00C1511F" w:rsidP="00C1511F">
      <w:pPr>
        <w:spacing w:after="0" w:line="240" w:lineRule="auto"/>
        <w:rPr>
          <w:rFonts w:ascii="Verdana" w:hAnsi="Verdana"/>
        </w:rPr>
      </w:pPr>
    </w:p>
    <w:p w14:paraId="1622CA05" w14:textId="77777777" w:rsidR="00C1511F" w:rsidRDefault="00C1511F" w:rsidP="00C1511F">
      <w:pPr>
        <w:spacing w:after="0" w:line="240" w:lineRule="auto"/>
        <w:rPr>
          <w:rFonts w:ascii="Verdana" w:hAnsi="Verdana"/>
        </w:rPr>
      </w:pPr>
    </w:p>
    <w:p w14:paraId="4FACF270" w14:textId="77777777" w:rsidR="00C1511F" w:rsidRDefault="00C1511F" w:rsidP="00C1511F">
      <w:pPr>
        <w:spacing w:after="0" w:line="240" w:lineRule="auto"/>
        <w:rPr>
          <w:rFonts w:ascii="Verdana" w:hAnsi="Verdana"/>
        </w:rPr>
      </w:pPr>
    </w:p>
    <w:p w14:paraId="38DD9D9C" w14:textId="77777777" w:rsidR="00C1511F" w:rsidRDefault="00C1511F" w:rsidP="00C1511F">
      <w:pPr>
        <w:spacing w:after="0" w:line="240" w:lineRule="auto"/>
        <w:rPr>
          <w:rFonts w:ascii="Verdana" w:hAnsi="Verdana"/>
        </w:rPr>
      </w:pPr>
    </w:p>
    <w:p w14:paraId="28F44B3B" w14:textId="77777777" w:rsidR="00C1511F" w:rsidRDefault="00C1511F" w:rsidP="00C1511F">
      <w:pPr>
        <w:spacing w:after="0" w:line="240" w:lineRule="auto"/>
        <w:rPr>
          <w:rFonts w:ascii="Verdana" w:hAnsi="Verdana"/>
        </w:rPr>
      </w:pPr>
    </w:p>
    <w:p w14:paraId="3EF6DCF1" w14:textId="77777777" w:rsidR="00C1511F" w:rsidRDefault="00C1511F" w:rsidP="00C1511F">
      <w:pPr>
        <w:spacing w:after="0" w:line="240" w:lineRule="auto"/>
        <w:rPr>
          <w:rFonts w:ascii="Verdana" w:hAnsi="Verdana"/>
        </w:rPr>
      </w:pPr>
    </w:p>
    <w:p w14:paraId="7B7FC8A6" w14:textId="1AD6412E" w:rsidR="00C1511F" w:rsidRDefault="00C1511F" w:rsidP="00C1511F">
      <w:pPr>
        <w:spacing w:after="0" w:line="240" w:lineRule="auto"/>
        <w:rPr>
          <w:rFonts w:ascii="Verdana" w:hAnsi="Verdana"/>
        </w:rPr>
      </w:pPr>
      <w:r>
        <w:rPr>
          <w:rFonts w:ascii="Verdana" w:hAnsi="Verdana"/>
        </w:rPr>
        <w:t>B</w:t>
      </w:r>
      <w:r w:rsidRPr="0044528D">
        <w:rPr>
          <w:rFonts w:ascii="Verdana" w:hAnsi="Verdana"/>
        </w:rPr>
        <w:t xml:space="preserve">ogotá D.C., </w:t>
      </w:r>
      <w:r w:rsidR="00B02236">
        <w:rPr>
          <w:rFonts w:ascii="Verdana" w:hAnsi="Verdana"/>
        </w:rPr>
        <w:t>16</w:t>
      </w:r>
      <w:r>
        <w:rPr>
          <w:rFonts w:ascii="Verdana" w:hAnsi="Verdana"/>
        </w:rPr>
        <w:t xml:space="preserve"> de </w:t>
      </w:r>
      <w:r w:rsidR="00775064">
        <w:rPr>
          <w:rFonts w:ascii="Verdana" w:hAnsi="Verdana"/>
        </w:rPr>
        <w:t>diciembre</w:t>
      </w:r>
      <w:r w:rsidR="00CA4CCC">
        <w:rPr>
          <w:rFonts w:ascii="Verdana" w:hAnsi="Verdana"/>
        </w:rPr>
        <w:t xml:space="preserve"> </w:t>
      </w:r>
      <w:r>
        <w:rPr>
          <w:rFonts w:ascii="Verdana" w:hAnsi="Verdana"/>
        </w:rPr>
        <w:t xml:space="preserve">de </w:t>
      </w:r>
      <w:r w:rsidR="00131D54">
        <w:rPr>
          <w:rFonts w:ascii="Verdana" w:hAnsi="Verdana"/>
        </w:rPr>
        <w:t>2025</w:t>
      </w:r>
      <w:r>
        <w:rPr>
          <w:rFonts w:ascii="Verdana" w:hAnsi="Verdana"/>
        </w:rPr>
        <w:t>.</w:t>
      </w:r>
    </w:p>
    <w:p w14:paraId="5D726659" w14:textId="77777777" w:rsidR="00B02236" w:rsidRDefault="00B02236" w:rsidP="00C1511F">
      <w:pPr>
        <w:spacing w:after="0" w:line="240" w:lineRule="auto"/>
        <w:rPr>
          <w:rFonts w:ascii="Verdana" w:hAnsi="Verdana"/>
        </w:rPr>
      </w:pPr>
    </w:p>
    <w:p w14:paraId="2784B05B" w14:textId="58836629" w:rsidR="00B02236" w:rsidRDefault="00B02236" w:rsidP="00B02236">
      <w:pPr>
        <w:spacing w:after="0" w:line="240" w:lineRule="auto"/>
        <w:jc w:val="right"/>
        <w:rPr>
          <w:rFonts w:ascii="Verdana" w:hAnsi="Verdana"/>
        </w:rPr>
      </w:pPr>
      <w:r>
        <w:rPr>
          <w:rFonts w:ascii="Verdana" w:hAnsi="Verdana"/>
          <w:noProof/>
        </w:rPr>
        <w:drawing>
          <wp:inline distT="0" distB="0" distL="0" distR="0" wp14:anchorId="4563DBDC" wp14:editId="47746CEC">
            <wp:extent cx="2971800" cy="933450"/>
            <wp:effectExtent l="0" t="0" r="0" b="0"/>
            <wp:docPr id="210891918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71800" cy="933450"/>
                    </a:xfrm>
                    <a:prstGeom prst="rect">
                      <a:avLst/>
                    </a:prstGeom>
                    <a:noFill/>
                    <a:ln>
                      <a:noFill/>
                    </a:ln>
                  </pic:spPr>
                </pic:pic>
              </a:graphicData>
            </a:graphic>
          </wp:inline>
        </w:drawing>
      </w:r>
    </w:p>
    <w:bookmarkEnd w:id="0"/>
    <w:p w14:paraId="704194A5" w14:textId="77777777" w:rsidR="00C1511F" w:rsidRDefault="00C1511F" w:rsidP="00C1511F">
      <w:pPr>
        <w:spacing w:after="0" w:line="240" w:lineRule="auto"/>
        <w:rPr>
          <w:rFonts w:ascii="Verdana" w:hAnsi="Verdana"/>
        </w:rPr>
      </w:pPr>
    </w:p>
    <w:p w14:paraId="06A0972E" w14:textId="1E3DFABE" w:rsidR="00C1511F" w:rsidRPr="003575D1" w:rsidRDefault="00FB1226" w:rsidP="00C1511F">
      <w:pPr>
        <w:spacing w:after="0" w:line="240" w:lineRule="auto"/>
        <w:jc w:val="both"/>
        <w:rPr>
          <w:rFonts w:ascii="Verdana" w:eastAsia="Calibri" w:hAnsi="Verdana" w:cs="Arial"/>
          <w:lang w:eastAsia="es-ES"/>
        </w:rPr>
      </w:pPr>
      <w:r>
        <w:rPr>
          <w:rFonts w:ascii="Verdana" w:eastAsia="Calibri" w:hAnsi="Verdana" w:cs="Arial"/>
          <w:lang w:eastAsia="es-ES"/>
        </w:rPr>
        <w:t>S</w:t>
      </w:r>
      <w:r w:rsidR="00C1511F" w:rsidRPr="003575D1">
        <w:rPr>
          <w:rFonts w:ascii="Verdana" w:eastAsia="Calibri" w:hAnsi="Verdana" w:cs="Arial"/>
          <w:lang w:eastAsia="es-ES"/>
        </w:rPr>
        <w:t>eñor</w:t>
      </w:r>
      <w:r w:rsidR="00C1511F" w:rsidRPr="003575D1">
        <w:rPr>
          <w:rFonts w:ascii="Verdana" w:eastAsia="Calibri" w:hAnsi="Verdana" w:cs="Arial"/>
          <w:lang w:eastAsia="es-ES"/>
        </w:rPr>
        <w:tab/>
      </w:r>
    </w:p>
    <w:p w14:paraId="377DBDC7" w14:textId="77777777" w:rsidR="00EA41C5" w:rsidRDefault="00EA41C5" w:rsidP="00C1511F">
      <w:pPr>
        <w:spacing w:after="0" w:line="240" w:lineRule="auto"/>
        <w:rPr>
          <w:rFonts w:ascii="Verdana" w:eastAsia="Calibri" w:hAnsi="Verdana" w:cs="Arial"/>
          <w:b/>
          <w:bCs/>
          <w:lang w:eastAsia="es-ES"/>
        </w:rPr>
      </w:pPr>
      <w:r w:rsidRPr="00EA41C5">
        <w:rPr>
          <w:rFonts w:ascii="Verdana" w:eastAsia="Calibri" w:hAnsi="Verdana" w:cs="Arial"/>
          <w:b/>
          <w:bCs/>
          <w:lang w:eastAsia="es-ES"/>
        </w:rPr>
        <w:t xml:space="preserve">FERNANDO MAURICIO IGLESIAS </w:t>
      </w:r>
    </w:p>
    <w:p w14:paraId="485C12B4" w14:textId="11B81B04" w:rsidR="00C1511F" w:rsidRDefault="00EA41C5" w:rsidP="00C1511F">
      <w:pPr>
        <w:spacing w:after="0" w:line="240" w:lineRule="auto"/>
        <w:rPr>
          <w:rFonts w:ascii="Verdana" w:hAnsi="Verdana"/>
        </w:rPr>
      </w:pPr>
      <w:hyperlink r:id="rId12" w:history="1">
        <w:r w:rsidRPr="00DD40DF">
          <w:rPr>
            <w:rStyle w:val="Hipervnculo"/>
            <w:rFonts w:ascii="Verdana" w:hAnsi="Verdana"/>
          </w:rPr>
          <w:t>frenandoiglesias@gmail.com</w:t>
        </w:r>
      </w:hyperlink>
      <w:r>
        <w:rPr>
          <w:rFonts w:ascii="Verdana" w:hAnsi="Verdana"/>
        </w:rPr>
        <w:t xml:space="preserve"> </w:t>
      </w:r>
    </w:p>
    <w:p w14:paraId="5B850941" w14:textId="7F4B2990" w:rsidR="006370D8" w:rsidRPr="003575D1" w:rsidRDefault="00EA41C5" w:rsidP="00EA41C5">
      <w:pPr>
        <w:spacing w:after="0" w:line="240" w:lineRule="auto"/>
        <w:rPr>
          <w:rFonts w:ascii="Verdana" w:hAnsi="Verdana"/>
          <w:highlight w:val="yellow"/>
        </w:rPr>
      </w:pPr>
      <w:r>
        <w:rPr>
          <w:rFonts w:ascii="Verdana" w:hAnsi="Verdana"/>
        </w:rPr>
        <w:t>Neiva</w:t>
      </w:r>
      <w:r w:rsidR="006370D8">
        <w:rPr>
          <w:rFonts w:ascii="Verdana" w:hAnsi="Verdana"/>
        </w:rPr>
        <w:t xml:space="preserve"> (</w:t>
      </w:r>
      <w:r>
        <w:rPr>
          <w:rFonts w:ascii="Verdana" w:hAnsi="Verdana"/>
        </w:rPr>
        <w:t>Huila</w:t>
      </w:r>
      <w:r w:rsidR="006370D8">
        <w:rPr>
          <w:rFonts w:ascii="Verdana" w:hAnsi="Verdana"/>
        </w:rPr>
        <w:t>)</w:t>
      </w:r>
    </w:p>
    <w:p w14:paraId="0F464BC6" w14:textId="77777777" w:rsidR="00C1511F" w:rsidRPr="00FE3DEC" w:rsidRDefault="00C1511F" w:rsidP="00C1511F">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C1511F" w:rsidRPr="00593A5F" w14:paraId="2CC523E4" w14:textId="77777777" w:rsidTr="00660F64">
        <w:trPr>
          <w:trHeight w:val="273"/>
        </w:trPr>
        <w:tc>
          <w:tcPr>
            <w:tcW w:w="2295" w:type="dxa"/>
          </w:tcPr>
          <w:p w14:paraId="16D5B03E" w14:textId="77777777" w:rsidR="00C1511F" w:rsidRPr="00E5644F" w:rsidRDefault="00C1511F" w:rsidP="00660F64">
            <w:pPr>
              <w:jc w:val="both"/>
              <w:rPr>
                <w:rFonts w:ascii="Verdana" w:eastAsia="Calibri" w:hAnsi="Verdana" w:cs="Arial"/>
                <w:b/>
                <w:bCs/>
                <w:color w:val="7030A0"/>
                <w:lang w:val="es-ES_tradnl" w:eastAsia="es-ES_tradnl"/>
              </w:rPr>
            </w:pPr>
          </w:p>
        </w:tc>
        <w:tc>
          <w:tcPr>
            <w:tcW w:w="6481" w:type="dxa"/>
            <w:gridSpan w:val="2"/>
          </w:tcPr>
          <w:p w14:paraId="1ED6EEAD" w14:textId="68E60F87" w:rsidR="00C1511F" w:rsidRDefault="00C1511F" w:rsidP="00660F64">
            <w:pPr>
              <w:jc w:val="both"/>
              <w:rPr>
                <w:rFonts w:ascii="Verdana" w:eastAsia="Calibri" w:hAnsi="Verdana" w:cs="Arial"/>
                <w:b/>
                <w:bCs/>
                <w:lang w:val="es-ES" w:eastAsia="es-ES"/>
              </w:rPr>
            </w:pPr>
            <w:r w:rsidRPr="00E5644F">
              <w:rPr>
                <w:rFonts w:ascii="Verdana" w:eastAsia="Calibri" w:hAnsi="Verdana" w:cs="Arial"/>
                <w:b/>
                <w:bCs/>
                <w:lang w:val="es-ES" w:eastAsia="es-ES"/>
              </w:rPr>
              <w:t xml:space="preserve">Concepto C- </w:t>
            </w:r>
            <w:r w:rsidR="005034D2">
              <w:rPr>
                <w:rFonts w:ascii="Verdana" w:eastAsia="Calibri" w:hAnsi="Verdana" w:cs="Arial"/>
                <w:b/>
                <w:bCs/>
                <w:lang w:val="es-ES" w:eastAsia="es-ES"/>
              </w:rPr>
              <w:t>1</w:t>
            </w:r>
            <w:r w:rsidR="00EA41C5">
              <w:rPr>
                <w:rFonts w:ascii="Verdana" w:eastAsia="Calibri" w:hAnsi="Verdana" w:cs="Arial"/>
                <w:b/>
                <w:bCs/>
                <w:lang w:val="es-ES" w:eastAsia="es-ES"/>
              </w:rPr>
              <w:t>630</w:t>
            </w:r>
            <w:r>
              <w:rPr>
                <w:rFonts w:ascii="Verdana" w:eastAsia="Calibri" w:hAnsi="Verdana" w:cs="Arial"/>
                <w:b/>
                <w:bCs/>
                <w:lang w:val="es-ES" w:eastAsia="es-ES"/>
              </w:rPr>
              <w:t xml:space="preserve"> </w:t>
            </w:r>
            <w:r w:rsidRPr="00E5644F">
              <w:rPr>
                <w:rFonts w:ascii="Verdana" w:eastAsia="Calibri" w:hAnsi="Verdana" w:cs="Arial"/>
                <w:b/>
                <w:bCs/>
                <w:lang w:val="es-ES" w:eastAsia="es-ES"/>
              </w:rPr>
              <w:t>de 202</w:t>
            </w:r>
            <w:r>
              <w:rPr>
                <w:rFonts w:ascii="Verdana" w:eastAsia="Calibri" w:hAnsi="Verdana" w:cs="Arial"/>
                <w:b/>
                <w:bCs/>
                <w:lang w:val="es-ES" w:eastAsia="es-ES"/>
              </w:rPr>
              <w:t>5</w:t>
            </w:r>
          </w:p>
          <w:p w14:paraId="368F2682" w14:textId="77777777" w:rsidR="00C1511F" w:rsidRPr="00E5644F" w:rsidRDefault="00C1511F" w:rsidP="00660F64">
            <w:pPr>
              <w:jc w:val="both"/>
              <w:rPr>
                <w:rFonts w:ascii="Verdana" w:eastAsia="Calibri" w:hAnsi="Verdana" w:cs="Arial"/>
                <w:b/>
                <w:bCs/>
                <w:color w:val="7030A0"/>
                <w:lang w:val="es-ES" w:eastAsia="es-ES"/>
              </w:rPr>
            </w:pPr>
          </w:p>
        </w:tc>
      </w:tr>
      <w:tr w:rsidR="00C1511F" w:rsidRPr="005034D2" w14:paraId="49EB07A3" w14:textId="77777777" w:rsidTr="00AA6344">
        <w:trPr>
          <w:trHeight w:val="651"/>
        </w:trPr>
        <w:tc>
          <w:tcPr>
            <w:tcW w:w="2295" w:type="dxa"/>
          </w:tcPr>
          <w:p w14:paraId="21FEB36D" w14:textId="77777777" w:rsidR="00C1511F" w:rsidRPr="00593A5F" w:rsidRDefault="00C1511F" w:rsidP="00660F64">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494AE14F" w14:textId="77777777" w:rsidR="00083BD2" w:rsidRDefault="00083BD2" w:rsidP="00AA6344">
            <w:pPr>
              <w:jc w:val="both"/>
              <w:rPr>
                <w:rFonts w:ascii="Verdana" w:eastAsia="Times New Roman" w:hAnsi="Verdana" w:cs="Arial"/>
                <w:lang w:eastAsia="es-ES_tradnl"/>
              </w:rPr>
            </w:pPr>
            <w:r w:rsidRPr="00E31955">
              <w:rPr>
                <w:rFonts w:ascii="Verdana" w:eastAsia="Times New Roman" w:hAnsi="Verdana" w:cs="Arial"/>
                <w:lang w:eastAsia="es-ES_tradnl"/>
              </w:rPr>
              <w:t>INHABILIDADES E INCOMPATIBILIDADES – Concepto – Principio de legalidad – Interpretación restrictiva</w:t>
            </w:r>
            <w:r>
              <w:rPr>
                <w:rFonts w:ascii="Verdana" w:eastAsia="Times New Roman" w:hAnsi="Verdana" w:cs="Arial"/>
                <w:lang w:eastAsia="es-ES_tradnl"/>
              </w:rPr>
              <w:t xml:space="preserve"> / </w:t>
            </w:r>
            <w:r w:rsidRPr="00E31955">
              <w:rPr>
                <w:rFonts w:ascii="Verdana" w:eastAsia="Times New Roman" w:hAnsi="Verdana" w:cs="Arial"/>
                <w:lang w:eastAsia="es-ES_tradnl"/>
              </w:rPr>
              <w:t>DOCENTE DE HORA CÁTEDRA – Naturaleza jurídica de vinculación – Calidad de servidor público – Pronunciamientos jurisprudenciales y doctrinales</w:t>
            </w:r>
            <w:r>
              <w:rPr>
                <w:rFonts w:ascii="Verdana" w:eastAsia="Times New Roman" w:hAnsi="Verdana" w:cs="Arial"/>
                <w:lang w:eastAsia="es-ES_tradnl"/>
              </w:rPr>
              <w:t xml:space="preserve"> / </w:t>
            </w:r>
            <w:r w:rsidRPr="00E31955">
              <w:rPr>
                <w:rFonts w:ascii="Verdana" w:eastAsia="Times New Roman" w:hAnsi="Verdana" w:cs="Arial"/>
                <w:lang w:eastAsia="es-ES_tradnl"/>
              </w:rPr>
              <w:t>INHABILIDADES E INCOMPATIBILIDADES – Ley 80 de 1993 – Numeral 1, literal f) – Servidor público – Concordancia artículo 127 superior</w:t>
            </w:r>
            <w:r>
              <w:rPr>
                <w:rFonts w:ascii="Verdana" w:eastAsia="Times New Roman" w:hAnsi="Verdana" w:cs="Arial"/>
                <w:lang w:eastAsia="es-ES_tradnl"/>
              </w:rPr>
              <w:t xml:space="preserve"> / </w:t>
            </w:r>
            <w:r w:rsidRPr="00626931">
              <w:rPr>
                <w:rFonts w:ascii="Verdana" w:eastAsia="Times New Roman" w:hAnsi="Verdana" w:cs="Arial"/>
                <w:lang w:eastAsia="es-ES_tradnl"/>
              </w:rPr>
              <w:t>ANALISIS DE CADA CASO EN CONCRETO – Análisis de naturaleza jurídica de la vinculación</w:t>
            </w:r>
            <w:r>
              <w:rPr>
                <w:rFonts w:ascii="Verdana" w:eastAsia="Times New Roman" w:hAnsi="Verdana" w:cs="Arial"/>
                <w:lang w:eastAsia="es-ES_tradnl"/>
              </w:rPr>
              <w:t>.</w:t>
            </w:r>
          </w:p>
          <w:p w14:paraId="10B6A52A" w14:textId="6309461B" w:rsidR="00083BD2" w:rsidRPr="00083BD2" w:rsidRDefault="00083BD2" w:rsidP="00AA6344">
            <w:pPr>
              <w:jc w:val="both"/>
              <w:rPr>
                <w:rFonts w:ascii="Verdana" w:eastAsia="Times New Roman" w:hAnsi="Verdana" w:cs="Arial"/>
                <w:lang w:eastAsia="es-ES_tradnl"/>
              </w:rPr>
            </w:pPr>
          </w:p>
        </w:tc>
      </w:tr>
      <w:tr w:rsidR="00C1511F" w:rsidRPr="00593A5F" w14:paraId="571ABAF4" w14:textId="77777777" w:rsidTr="00660F64">
        <w:trPr>
          <w:trHeight w:val="545"/>
        </w:trPr>
        <w:tc>
          <w:tcPr>
            <w:tcW w:w="2295" w:type="dxa"/>
          </w:tcPr>
          <w:p w14:paraId="5890C7B6" w14:textId="77777777" w:rsidR="00C1511F" w:rsidRPr="006730E9" w:rsidRDefault="00C1511F" w:rsidP="00660F64">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454A869B" w14:textId="1643BC6B" w:rsidR="00C1511F" w:rsidRPr="006730E9" w:rsidRDefault="00C1511F" w:rsidP="00660F64">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bookmarkStart w:id="3" w:name="_Hlk216730175"/>
            <w:r w:rsidR="009D3DBD" w:rsidRPr="009D3DBD">
              <w:rPr>
                <w:rFonts w:ascii="Verdana" w:eastAsia="Calibri" w:hAnsi="Verdana" w:cs="Arial"/>
                <w:lang w:val="es-ES_tradnl" w:eastAsia="es-ES_tradnl"/>
              </w:rPr>
              <w:t>1_2025_11_05_012428</w:t>
            </w:r>
            <w:r w:rsidR="009D3DBD">
              <w:rPr>
                <w:rFonts w:ascii="Verdana" w:eastAsia="Calibri" w:hAnsi="Verdana" w:cs="Arial"/>
                <w:lang w:val="es-ES_tradnl" w:eastAsia="es-ES_tradnl"/>
              </w:rPr>
              <w:t xml:space="preserve"> </w:t>
            </w:r>
            <w:bookmarkEnd w:id="3"/>
            <w:r w:rsidR="00541A93">
              <w:rPr>
                <w:rFonts w:ascii="Verdana" w:eastAsia="Calibri" w:hAnsi="Verdana" w:cs="Arial"/>
                <w:lang w:val="es-ES_tradnl" w:eastAsia="es-ES_tradnl"/>
              </w:rPr>
              <w:t xml:space="preserve">acumulada con el radicado </w:t>
            </w:r>
            <w:r w:rsidR="00541A93" w:rsidRPr="00541A93">
              <w:rPr>
                <w:rFonts w:ascii="Verdana" w:eastAsia="Calibri" w:hAnsi="Verdana" w:cs="Arial"/>
                <w:lang w:val="es-ES_tradnl" w:eastAsia="es-ES_tradnl"/>
              </w:rPr>
              <w:t>1_2025_11_05_012434</w:t>
            </w:r>
          </w:p>
        </w:tc>
      </w:tr>
      <w:tr w:rsidR="00C1511F" w:rsidRPr="00DB23D2" w14:paraId="391F5535" w14:textId="77777777" w:rsidTr="00660F64">
        <w:trPr>
          <w:gridAfter w:val="1"/>
          <w:wAfter w:w="319" w:type="dxa"/>
          <w:trHeight w:val="242"/>
        </w:trPr>
        <w:tc>
          <w:tcPr>
            <w:tcW w:w="8457" w:type="dxa"/>
            <w:gridSpan w:val="2"/>
          </w:tcPr>
          <w:p w14:paraId="378309E5" w14:textId="77777777" w:rsidR="00C1511F" w:rsidRPr="00DB23D2" w:rsidRDefault="00C1511F" w:rsidP="00660F64">
            <w:pPr>
              <w:spacing w:line="276" w:lineRule="auto"/>
              <w:jc w:val="both"/>
              <w:rPr>
                <w:rFonts w:ascii="Verdana" w:eastAsia="Calibri" w:hAnsi="Verdana" w:cs="Arial"/>
                <w:lang w:val="es-ES_tradnl" w:eastAsia="es-ES"/>
              </w:rPr>
            </w:pPr>
          </w:p>
        </w:tc>
      </w:tr>
    </w:tbl>
    <w:p w14:paraId="0214A2E1" w14:textId="26DF4F24" w:rsidR="00C1511F" w:rsidRPr="006730E9" w:rsidRDefault="00C1511F" w:rsidP="00C1511F">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sidR="002739F6">
        <w:rPr>
          <w:rFonts w:ascii="Verdana" w:eastAsia="Calibri" w:hAnsi="Verdana" w:cs="Arial"/>
          <w:lang w:val="es-ES" w:eastAsia="es-ES"/>
        </w:rPr>
        <w:t>o</w:t>
      </w:r>
      <w:r>
        <w:rPr>
          <w:rFonts w:ascii="Verdana" w:eastAsia="Calibri" w:hAnsi="Verdana" w:cs="Arial"/>
          <w:lang w:val="es-ES" w:eastAsia="es-ES"/>
        </w:rPr>
        <w:t xml:space="preserve"> </w:t>
      </w:r>
      <w:r w:rsidRPr="006730E9">
        <w:rPr>
          <w:rFonts w:ascii="Verdana" w:eastAsia="Calibri" w:hAnsi="Verdana" w:cs="Arial"/>
          <w:lang w:val="es-ES" w:eastAsia="es-ES"/>
        </w:rPr>
        <w:t>señor</w:t>
      </w:r>
      <w:r>
        <w:rPr>
          <w:rFonts w:ascii="Verdana" w:eastAsia="Calibri" w:hAnsi="Verdana" w:cs="Arial"/>
          <w:lang w:val="es-ES" w:eastAsia="es-ES"/>
        </w:rPr>
        <w:t xml:space="preserve"> </w:t>
      </w:r>
      <w:r w:rsidR="00541A93">
        <w:rPr>
          <w:rFonts w:ascii="Verdana" w:eastAsia="Calibri" w:hAnsi="Verdana" w:cs="Arial"/>
          <w:lang w:val="es-ES" w:eastAsia="es-ES"/>
        </w:rPr>
        <w:t>Iglesias</w:t>
      </w:r>
      <w:r>
        <w:rPr>
          <w:rFonts w:ascii="Verdana" w:eastAsia="Calibri" w:hAnsi="Verdana" w:cs="Arial"/>
          <w:lang w:val="es-ES" w:eastAsia="es-ES"/>
        </w:rPr>
        <w:t>;</w:t>
      </w:r>
    </w:p>
    <w:p w14:paraId="6CB9564C" w14:textId="77777777" w:rsidR="00C1511F" w:rsidRDefault="00C1511F" w:rsidP="00C1511F">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ab/>
      </w:r>
    </w:p>
    <w:p w14:paraId="1D30832C" w14:textId="233646CE" w:rsidR="00C1511F" w:rsidRPr="006730E9" w:rsidRDefault="00C1511F" w:rsidP="00C1511F">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–Colombia Compra Eficiente– responde su solicitud</w:t>
      </w:r>
      <w:r>
        <w:rPr>
          <w:rFonts w:ascii="Verdana" w:eastAsia="Calibri" w:hAnsi="Verdana" w:cs="Arial"/>
          <w:lang w:val="es-ES" w:eastAsia="es-ES"/>
        </w:rPr>
        <w:t xml:space="preserve"> radicada </w:t>
      </w:r>
      <w:r w:rsidR="002739F6">
        <w:rPr>
          <w:rFonts w:ascii="Verdana" w:eastAsia="Calibri" w:hAnsi="Verdana" w:cs="Arial"/>
          <w:lang w:val="es-ES" w:eastAsia="es-ES"/>
        </w:rPr>
        <w:t xml:space="preserve">trasladada por competencia por parte del Departamento Administrativo de la Función Pública y radicada </w:t>
      </w:r>
      <w:r>
        <w:rPr>
          <w:rFonts w:ascii="Verdana" w:eastAsia="Calibri" w:hAnsi="Verdana" w:cs="Arial"/>
          <w:lang w:val="es-ES" w:eastAsia="es-ES"/>
        </w:rPr>
        <w:t xml:space="preserve">en esta entidad </w:t>
      </w:r>
      <w:r w:rsidRPr="00E5644F">
        <w:rPr>
          <w:rFonts w:ascii="Verdana" w:eastAsia="Calibri" w:hAnsi="Verdana" w:cs="Arial"/>
          <w:lang w:val="es-ES" w:eastAsia="es-ES"/>
        </w:rPr>
        <w:t xml:space="preserve">el </w:t>
      </w:r>
      <w:r w:rsidR="002739F6">
        <w:rPr>
          <w:rFonts w:ascii="Verdana" w:eastAsia="Calibri" w:hAnsi="Verdana" w:cs="Arial"/>
          <w:lang w:val="es-ES" w:eastAsia="es-ES"/>
        </w:rPr>
        <w:t>21</w:t>
      </w:r>
      <w:r w:rsidRPr="00656A22">
        <w:rPr>
          <w:rFonts w:ascii="Verdana" w:eastAsia="Calibri" w:hAnsi="Verdana" w:cs="Arial"/>
          <w:lang w:val="es-ES" w:eastAsia="es-ES"/>
        </w:rPr>
        <w:t xml:space="preserve"> de </w:t>
      </w:r>
      <w:r w:rsidR="006370D8">
        <w:rPr>
          <w:rFonts w:ascii="Verdana" w:eastAsia="Calibri" w:hAnsi="Verdana" w:cs="Arial"/>
          <w:lang w:val="es-ES" w:eastAsia="es-ES"/>
        </w:rPr>
        <w:t>octu</w:t>
      </w:r>
      <w:r>
        <w:rPr>
          <w:rFonts w:ascii="Verdana" w:eastAsia="Calibri" w:hAnsi="Verdana" w:cs="Arial"/>
          <w:lang w:val="es-ES" w:eastAsia="es-ES"/>
        </w:rPr>
        <w:t>bre</w:t>
      </w:r>
      <w:r w:rsidRPr="00656A22">
        <w:rPr>
          <w:rFonts w:ascii="Verdana" w:eastAsia="Calibri" w:hAnsi="Verdana" w:cs="Arial"/>
          <w:lang w:val="es-ES" w:eastAsia="es-ES"/>
        </w:rPr>
        <w:t xml:space="preserve"> de 2025,</w:t>
      </w:r>
      <w:r w:rsidRPr="00E5644F">
        <w:rPr>
          <w:rFonts w:ascii="Verdana" w:eastAsia="Calibri" w:hAnsi="Verdana" w:cs="Arial"/>
          <w:lang w:val="es-ES" w:eastAsia="es-ES"/>
        </w:rPr>
        <w:t xml:space="preserve"> en</w:t>
      </w:r>
      <w:r w:rsidRPr="006730E9">
        <w:rPr>
          <w:rFonts w:ascii="Verdana" w:eastAsia="Calibri" w:hAnsi="Verdana" w:cs="Arial"/>
          <w:lang w:val="es-ES" w:eastAsia="es-ES"/>
        </w:rPr>
        <w:t xml:space="preserve"> la cual manifiesta lo siguiente: </w:t>
      </w:r>
    </w:p>
    <w:p w14:paraId="6924E634" w14:textId="77777777" w:rsidR="00C1511F" w:rsidRPr="00326382" w:rsidRDefault="00C1511F" w:rsidP="00C1511F">
      <w:pPr>
        <w:spacing w:after="0" w:line="276" w:lineRule="auto"/>
        <w:ind w:left="709" w:right="474"/>
        <w:jc w:val="both"/>
        <w:rPr>
          <w:rFonts w:ascii="Verdana" w:hAnsi="Verdana" w:cs="Arial"/>
          <w:sz w:val="20"/>
          <w:szCs w:val="20"/>
          <w:shd w:val="clear" w:color="auto" w:fill="FFFFFF"/>
        </w:rPr>
      </w:pPr>
      <w:bookmarkStart w:id="4" w:name="_Hlk95313578"/>
    </w:p>
    <w:bookmarkEnd w:id="4"/>
    <w:p w14:paraId="47A05413" w14:textId="77777777" w:rsidR="00C1511F" w:rsidRDefault="00C1511F" w:rsidP="00C1511F">
      <w:pPr>
        <w:tabs>
          <w:tab w:val="left" w:pos="142"/>
          <w:tab w:val="left" w:pos="567"/>
        </w:tabs>
        <w:spacing w:after="0" w:line="240" w:lineRule="auto"/>
        <w:ind w:right="709"/>
        <w:jc w:val="both"/>
        <w:rPr>
          <w:rFonts w:ascii="Verdana" w:eastAsia="Century Gothic" w:hAnsi="Verdana" w:cs="Century Gothic"/>
          <w:i/>
          <w:iCs/>
          <w:sz w:val="20"/>
          <w:szCs w:val="20"/>
        </w:rPr>
      </w:pPr>
      <w:r w:rsidRPr="003575D1">
        <w:rPr>
          <w:rFonts w:ascii="Verdana" w:eastAsia="Century Gothic" w:hAnsi="Verdana" w:cs="Century Gothic"/>
          <w:i/>
          <w:iCs/>
          <w:sz w:val="20"/>
          <w:szCs w:val="20"/>
        </w:rPr>
        <w:lastRenderedPageBreak/>
        <w:t xml:space="preserve">          “(…) </w:t>
      </w:r>
    </w:p>
    <w:p w14:paraId="1BE8F0F5" w14:textId="28866E6F" w:rsidR="00541A93" w:rsidRPr="00541A93" w:rsidRDefault="00541A93" w:rsidP="00541A93">
      <w:pPr>
        <w:tabs>
          <w:tab w:val="left" w:pos="142"/>
          <w:tab w:val="left" w:pos="567"/>
        </w:tabs>
        <w:spacing w:after="0" w:line="240" w:lineRule="auto"/>
        <w:ind w:left="709" w:right="709"/>
        <w:jc w:val="both"/>
        <w:rPr>
          <w:rFonts w:ascii="Verdana" w:eastAsia="Century Gothic" w:hAnsi="Verdana" w:cs="Century Gothic"/>
          <w:i/>
          <w:iCs/>
          <w:sz w:val="20"/>
          <w:szCs w:val="20"/>
        </w:rPr>
      </w:pPr>
      <w:r w:rsidRPr="00541A93">
        <w:rPr>
          <w:rFonts w:ascii="Verdana" w:eastAsia="Century Gothic" w:hAnsi="Verdana" w:cs="Century Gothic"/>
          <w:i/>
          <w:iCs/>
          <w:sz w:val="20"/>
          <w:szCs w:val="20"/>
        </w:rPr>
        <w:t>De conformidad con la Ley 30 de 1992, un profesor ocasional de tiempo completo,</w:t>
      </w:r>
      <w:r>
        <w:rPr>
          <w:rFonts w:ascii="Verdana" w:eastAsia="Century Gothic" w:hAnsi="Verdana" w:cs="Century Gothic"/>
          <w:i/>
          <w:iCs/>
          <w:sz w:val="20"/>
          <w:szCs w:val="20"/>
        </w:rPr>
        <w:t xml:space="preserve"> </w:t>
      </w:r>
      <w:r w:rsidRPr="00541A93">
        <w:rPr>
          <w:rFonts w:ascii="Verdana" w:eastAsia="Century Gothic" w:hAnsi="Verdana" w:cs="Century Gothic"/>
          <w:i/>
          <w:iCs/>
          <w:sz w:val="20"/>
          <w:szCs w:val="20"/>
        </w:rPr>
        <w:t>o medio tiempo, de una Universidad Oficial (pública), puede suscribir contratos</w:t>
      </w:r>
      <w:r>
        <w:rPr>
          <w:rFonts w:ascii="Verdana" w:eastAsia="Century Gothic" w:hAnsi="Verdana" w:cs="Century Gothic"/>
          <w:i/>
          <w:iCs/>
          <w:sz w:val="20"/>
          <w:szCs w:val="20"/>
        </w:rPr>
        <w:t xml:space="preserve"> </w:t>
      </w:r>
      <w:r w:rsidRPr="00541A93">
        <w:rPr>
          <w:rFonts w:ascii="Verdana" w:eastAsia="Century Gothic" w:hAnsi="Verdana" w:cs="Century Gothic"/>
          <w:i/>
          <w:iCs/>
          <w:sz w:val="20"/>
          <w:szCs w:val="20"/>
        </w:rPr>
        <w:t>estatales, ¿o esta incurso en la inhabilidad del literal f) del art. 8 de la Ley 80 de 1993?</w:t>
      </w:r>
    </w:p>
    <w:p w14:paraId="08FB820C" w14:textId="46F9DA4D" w:rsidR="00C1511F" w:rsidRPr="00EA70F7" w:rsidRDefault="00541A93" w:rsidP="00541A93">
      <w:pPr>
        <w:tabs>
          <w:tab w:val="left" w:pos="142"/>
          <w:tab w:val="left" w:pos="567"/>
        </w:tabs>
        <w:spacing w:after="0" w:line="240" w:lineRule="auto"/>
        <w:ind w:left="709" w:right="709"/>
        <w:jc w:val="both"/>
        <w:rPr>
          <w:rFonts w:ascii="Verdana" w:eastAsia="Century Gothic" w:hAnsi="Verdana" w:cs="Century Gothic"/>
          <w:i/>
          <w:iCs/>
          <w:sz w:val="20"/>
          <w:szCs w:val="20"/>
        </w:rPr>
      </w:pPr>
      <w:r w:rsidRPr="00541A93">
        <w:rPr>
          <w:rFonts w:ascii="Verdana" w:eastAsia="Century Gothic" w:hAnsi="Verdana" w:cs="Century Gothic"/>
          <w:i/>
          <w:iCs/>
          <w:sz w:val="20"/>
          <w:szCs w:val="20"/>
        </w:rPr>
        <w:t xml:space="preserve">Gracias. </w:t>
      </w:r>
      <w:r w:rsidR="00C1511F" w:rsidRPr="00EA70F7">
        <w:rPr>
          <w:rFonts w:ascii="Verdana" w:eastAsia="Century Gothic" w:hAnsi="Verdana" w:cs="Century Gothic"/>
          <w:i/>
          <w:iCs/>
          <w:sz w:val="20"/>
          <w:szCs w:val="20"/>
        </w:rPr>
        <w:t xml:space="preserve">(…)”. </w:t>
      </w:r>
    </w:p>
    <w:p w14:paraId="33B8BBA2" w14:textId="77777777" w:rsidR="00C1511F" w:rsidRDefault="00C1511F" w:rsidP="00C1511F">
      <w:pPr>
        <w:spacing w:after="0" w:line="276" w:lineRule="auto"/>
        <w:ind w:firstLine="709"/>
        <w:jc w:val="both"/>
        <w:rPr>
          <w:rFonts w:ascii="Verdana" w:eastAsia="Calibri" w:hAnsi="Verdana" w:cs="Arial"/>
          <w:lang w:val="es-ES" w:eastAsia="es-ES"/>
        </w:rPr>
      </w:pPr>
    </w:p>
    <w:p w14:paraId="5103154F" w14:textId="77777777" w:rsidR="00C1511F" w:rsidRPr="00AA3B9F" w:rsidRDefault="00C1511F" w:rsidP="00C1511F">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7E556145" w14:textId="77777777" w:rsidR="00C1511F" w:rsidRDefault="00C1511F" w:rsidP="00C1511F">
      <w:pPr>
        <w:spacing w:after="0" w:line="276" w:lineRule="auto"/>
        <w:ind w:firstLine="709"/>
        <w:jc w:val="both"/>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w:t>
      </w:r>
      <w:r w:rsidRPr="00AA3B9F">
        <w:rPr>
          <w:rFonts w:ascii="Verdana" w:eastAsia="Calibri" w:hAnsi="Verdana" w:cs="Arial"/>
          <w:lang w:val="es-ES" w:eastAsia="es-ES"/>
        </w:rPr>
        <w:t>ndo 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2C8191A6" w14:textId="77777777" w:rsidR="00C1511F" w:rsidRDefault="00C1511F" w:rsidP="00C1511F">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01BD5145" w14:textId="27A165EA" w:rsidR="00C1511F" w:rsidRDefault="00C1511F" w:rsidP="00C1511F">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s jurídicos </w:t>
      </w:r>
      <w:r w:rsidRPr="00593A5F">
        <w:rPr>
          <w:rFonts w:ascii="Verdana" w:eastAsia="Century Gothic" w:hAnsi="Verdana" w:cs="Century Gothic"/>
          <w:b/>
          <w:bCs/>
        </w:rPr>
        <w:t>planteado</w:t>
      </w:r>
      <w:r>
        <w:rPr>
          <w:rFonts w:ascii="Verdana" w:eastAsia="Century Gothic" w:hAnsi="Verdana" w:cs="Century Gothic"/>
          <w:b/>
          <w:bCs/>
        </w:rPr>
        <w:t>s</w:t>
      </w:r>
      <w:r w:rsidR="001672A5">
        <w:rPr>
          <w:rFonts w:ascii="Verdana" w:eastAsia="Century Gothic" w:hAnsi="Verdana" w:cs="Century Gothic"/>
          <w:b/>
          <w:bCs/>
        </w:rPr>
        <w:t xml:space="preserve"> </w:t>
      </w:r>
      <w:r w:rsidRPr="00593A5F">
        <w:rPr>
          <w:rFonts w:ascii="Verdana" w:eastAsia="Century Gothic" w:hAnsi="Verdana" w:cs="Century Gothic"/>
          <w:b/>
          <w:bCs/>
        </w:rPr>
        <w:t>:</w:t>
      </w:r>
    </w:p>
    <w:p w14:paraId="56E36DE0" w14:textId="77777777" w:rsidR="00C1511F" w:rsidRDefault="00C1511F" w:rsidP="00C1511F">
      <w:pPr>
        <w:pStyle w:val="Prrafodelista"/>
        <w:tabs>
          <w:tab w:val="left" w:pos="142"/>
          <w:tab w:val="left" w:pos="284"/>
        </w:tabs>
        <w:spacing w:after="0" w:line="276" w:lineRule="auto"/>
        <w:ind w:left="0"/>
        <w:jc w:val="both"/>
        <w:rPr>
          <w:rFonts w:ascii="Verdana" w:eastAsia="Century Gothic" w:hAnsi="Verdana" w:cs="Century Gothic"/>
          <w:b/>
          <w:bCs/>
        </w:rPr>
      </w:pPr>
    </w:p>
    <w:p w14:paraId="2E11CBA1" w14:textId="287DA170" w:rsidR="002C187B" w:rsidRPr="00593A5F" w:rsidRDefault="00C1511F" w:rsidP="002C187B">
      <w:pPr>
        <w:spacing w:after="0" w:line="276" w:lineRule="auto"/>
        <w:jc w:val="both"/>
        <w:rPr>
          <w:rFonts w:ascii="Verdana" w:eastAsia="Century Gothic" w:hAnsi="Verdana" w:cs="Century Gothic"/>
        </w:rPr>
      </w:pPr>
      <w:r w:rsidRPr="00E21BD1">
        <w:rPr>
          <w:rFonts w:ascii="Verdana" w:eastAsia="Calibri" w:hAnsi="Verdana" w:cs="Arial"/>
          <w:lang w:eastAsia="es-ES"/>
        </w:rPr>
        <w:t xml:space="preserve">De acuerdo con el contenido de su solicitud, esta Agencia resolverá </w:t>
      </w:r>
      <w:r w:rsidR="002C187B">
        <w:rPr>
          <w:rFonts w:ascii="Verdana" w:eastAsia="Calibri" w:hAnsi="Verdana" w:cs="Arial"/>
          <w:lang w:eastAsia="es-ES"/>
        </w:rPr>
        <w:t>el</w:t>
      </w:r>
      <w:r>
        <w:rPr>
          <w:rFonts w:ascii="Verdana" w:eastAsia="Calibri" w:hAnsi="Verdana" w:cs="Arial"/>
          <w:lang w:eastAsia="es-ES"/>
        </w:rPr>
        <w:t xml:space="preserve"> </w:t>
      </w:r>
      <w:r w:rsidRPr="00E21BD1">
        <w:rPr>
          <w:rFonts w:ascii="Verdana" w:eastAsia="Calibri" w:hAnsi="Verdana" w:cs="Arial"/>
          <w:lang w:eastAsia="es-ES"/>
        </w:rPr>
        <w:t>siguiente problema jurídico:</w:t>
      </w:r>
      <w:bookmarkStart w:id="5" w:name="_Hlk196737317"/>
      <w:r>
        <w:rPr>
          <w:rFonts w:ascii="Verdana" w:eastAsia="Calibri" w:hAnsi="Verdana" w:cs="Arial"/>
          <w:lang w:eastAsia="es-ES"/>
        </w:rPr>
        <w:t xml:space="preserve"> </w:t>
      </w:r>
      <w:r w:rsidR="00541A93" w:rsidRPr="006A09D6">
        <w:rPr>
          <w:rFonts w:ascii="Verdana" w:hAnsi="Verdana"/>
        </w:rPr>
        <w:t xml:space="preserve">De conformidad con el régimen de inhabilidades e incompatibilidades consagrado en el Estatuto General de Contratación ¿Sobrevendría alguna inhabilidad e incompatibilidad en el contratista del Estado que pretenda vincularse como docente hora cátedra en una institución de educación superior estatal u oficial?  </w:t>
      </w:r>
    </w:p>
    <w:p w14:paraId="35F934B1" w14:textId="5FEE181D" w:rsidR="002D1330" w:rsidRDefault="002739F6" w:rsidP="00C1511F">
      <w:pPr>
        <w:spacing w:after="0" w:line="276" w:lineRule="auto"/>
        <w:jc w:val="both"/>
        <w:rPr>
          <w:rFonts w:ascii="Verdana" w:eastAsia="Calibri" w:hAnsi="Verdana" w:cs="Arial"/>
          <w:lang w:eastAsia="es-ES"/>
        </w:rPr>
      </w:pPr>
      <w:r>
        <w:rPr>
          <w:rFonts w:ascii="Verdana" w:eastAsia="Calibri" w:hAnsi="Verdana" w:cs="Arial"/>
          <w:lang w:eastAsia="es-ES"/>
        </w:rPr>
        <w:t xml:space="preserve"> </w:t>
      </w:r>
    </w:p>
    <w:bookmarkEnd w:id="5"/>
    <w:p w14:paraId="23923788" w14:textId="77777777" w:rsidR="00C1511F" w:rsidRDefault="00C1511F" w:rsidP="00C1511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3B6929E2" w14:textId="77777777" w:rsidR="00C1511F" w:rsidRPr="00593A5F" w:rsidRDefault="00C1511F" w:rsidP="00C1511F">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1511F" w:rsidRPr="00593A5F" w14:paraId="10B80104" w14:textId="77777777" w:rsidTr="00660F64">
        <w:tc>
          <w:tcPr>
            <w:tcW w:w="8828" w:type="dxa"/>
          </w:tcPr>
          <w:p w14:paraId="6ADDC173" w14:textId="0BCCDD88" w:rsidR="00C1511F" w:rsidRDefault="00083BD2" w:rsidP="002E3EA0">
            <w:pPr>
              <w:spacing w:after="120" w:line="276" w:lineRule="auto"/>
              <w:jc w:val="both"/>
              <w:rPr>
                <w:rFonts w:ascii="Verdana" w:eastAsia="Arial MT" w:hAnsi="Verdana" w:cs="Arial"/>
                <w:lang w:eastAsia="es-ES" w:bidi="es-ES"/>
              </w:rPr>
            </w:pPr>
            <w:r>
              <w:rPr>
                <w:rFonts w:ascii="Verdana" w:eastAsia="Arial MT" w:hAnsi="Verdana" w:cs="Arial"/>
                <w:lang w:eastAsia="es-ES" w:bidi="es-ES"/>
              </w:rPr>
              <w:lastRenderedPageBreak/>
              <w:t xml:space="preserve">En línea con lo previsto en el concepto C-061 del 25 de febrero de 2025 proferido por esta Subdirección Contractual, si </w:t>
            </w:r>
            <w:r w:rsidRPr="006A09D6">
              <w:rPr>
                <w:rFonts w:ascii="Verdana" w:eastAsia="Arial MT" w:hAnsi="Verdana" w:cs="Arial"/>
                <w:lang w:eastAsia="es-ES" w:bidi="es-ES"/>
              </w:rPr>
              <w:t>la vinculación como docente de cátedra</w:t>
            </w:r>
            <w:r>
              <w:rPr>
                <w:rStyle w:val="Refdenotaalpie"/>
                <w:rFonts w:ascii="Verdana" w:eastAsia="Arial MT" w:hAnsi="Verdana" w:cs="Arial"/>
                <w:lang w:eastAsia="es-ES" w:bidi="es-ES"/>
              </w:rPr>
              <w:footnoteReference w:id="2"/>
            </w:r>
            <w:r w:rsidRPr="006A09D6">
              <w:rPr>
                <w:rFonts w:ascii="Verdana" w:eastAsia="Arial MT" w:hAnsi="Verdana" w:cs="Arial"/>
                <w:lang w:eastAsia="es-ES" w:bidi="es-ES"/>
              </w:rPr>
              <w:t xml:space="preserve"> en institución educativa de naturaleza estatal </w:t>
            </w:r>
            <w:r>
              <w:rPr>
                <w:rFonts w:ascii="Verdana" w:eastAsia="Arial MT" w:hAnsi="Verdana" w:cs="Arial"/>
                <w:lang w:eastAsia="es-ES" w:bidi="es-ES"/>
              </w:rPr>
              <w:t>le otorga la naturaleza de servidor público</w:t>
            </w:r>
            <w:r w:rsidRPr="006A09D6">
              <w:rPr>
                <w:rFonts w:ascii="Verdana" w:eastAsia="Arial MT" w:hAnsi="Verdana" w:cs="Arial"/>
                <w:lang w:eastAsia="es-ES" w:bidi="es-ES"/>
              </w:rPr>
              <w:t>,</w:t>
            </w:r>
            <w:r>
              <w:rPr>
                <w:rFonts w:ascii="Verdana" w:eastAsia="Arial MT" w:hAnsi="Verdana" w:cs="Arial"/>
                <w:lang w:eastAsia="es-ES" w:bidi="es-ES"/>
              </w:rPr>
              <w:t xml:space="preserve"> (examen que le corresponderá a cada entidad estatal contratante efectuar para cada caso concreto), resulta posible la configuración de la </w:t>
            </w:r>
            <w:r w:rsidRPr="006A09D6">
              <w:rPr>
                <w:rFonts w:ascii="Verdana" w:eastAsia="Arial MT" w:hAnsi="Verdana" w:cs="Arial"/>
                <w:lang w:eastAsia="es-ES" w:bidi="es-ES"/>
              </w:rPr>
              <w:t>inhabilidad consagrada en el literal f) del numeral 1 del artículo 8 de la Ley 80 de 1993, en concordancia con el artículo 127 de la Constitución Política de Colombia de 1991, que prohíbe a los servidores públicos celebrar contratos con entidades estatales</w:t>
            </w:r>
            <w:r>
              <w:rPr>
                <w:rFonts w:ascii="Verdana" w:eastAsia="Arial MT" w:hAnsi="Verdana" w:cs="Arial"/>
                <w:lang w:eastAsia="es-ES" w:bidi="es-ES"/>
              </w:rPr>
              <w:t xml:space="preserve">, salvo las excepciones legales. </w:t>
            </w:r>
            <w:bookmarkStart w:id="6" w:name="_Hlk191371886"/>
            <w:r w:rsidRPr="006A09D6">
              <w:rPr>
                <w:rFonts w:ascii="Verdana" w:eastAsia="Arial MT" w:hAnsi="Verdana" w:cs="Arial"/>
                <w:lang w:eastAsia="es-ES" w:bidi="es-ES"/>
              </w:rPr>
              <w:t xml:space="preserve">En todo caso, corresponde a la entidad estatal contratante determinar en cada caso concreto si se cumplen o no los supuestos de hecho y condiciones que dan lugar a la configuración de la referida </w:t>
            </w:r>
            <w:r>
              <w:rPr>
                <w:rFonts w:ascii="Verdana" w:eastAsia="Arial MT" w:hAnsi="Verdana" w:cs="Arial"/>
                <w:lang w:eastAsia="es-ES" w:bidi="es-ES"/>
              </w:rPr>
              <w:t>inhabilidad</w:t>
            </w:r>
            <w:r w:rsidRPr="006A09D6">
              <w:rPr>
                <w:rFonts w:ascii="Verdana" w:eastAsia="Arial MT" w:hAnsi="Verdana" w:cs="Arial"/>
                <w:lang w:eastAsia="es-ES" w:bidi="es-ES"/>
              </w:rPr>
              <w:t>.</w:t>
            </w:r>
            <w:bookmarkEnd w:id="6"/>
          </w:p>
          <w:p w14:paraId="10028F03" w14:textId="45BD789F" w:rsidR="00083BD2" w:rsidRPr="00645A3D" w:rsidRDefault="00083BD2" w:rsidP="00083BD2">
            <w:pPr>
              <w:tabs>
                <w:tab w:val="left" w:pos="450"/>
              </w:tabs>
              <w:spacing w:before="120" w:line="276" w:lineRule="auto"/>
              <w:jc w:val="both"/>
              <w:rPr>
                <w:rFonts w:ascii="Verdana" w:hAnsi="Verdana" w:cs="Arial"/>
                <w:lang w:val="es-ES"/>
              </w:rPr>
            </w:pPr>
            <w:r>
              <w:rPr>
                <w:rFonts w:ascii="Verdana" w:eastAsia="Calibri" w:hAnsi="Verdana" w:cs="Arial"/>
                <w:bCs/>
                <w:color w:val="000000" w:themeColor="text1"/>
              </w:rPr>
              <w:t xml:space="preserve">          Finalmente</w:t>
            </w:r>
            <w:r>
              <w:rPr>
                <w:rFonts w:ascii="Verdana" w:eastAsia="Calibri" w:hAnsi="Verdana" w:cs="Times New Roman"/>
                <w:lang w:val="es-ES"/>
              </w:rPr>
              <w:t>,</w:t>
            </w:r>
            <w:r w:rsidRPr="00DB4737">
              <w:rPr>
                <w:rFonts w:ascii="Verdana" w:eastAsia="Calibri" w:hAnsi="Verdana" w:cs="Times New Roman"/>
                <w:lang w:val="es-ES"/>
              </w:rPr>
              <w:t xml:space="preserve"> debe advertirse que el análisis en torno </w:t>
            </w:r>
            <w:r>
              <w:rPr>
                <w:rFonts w:ascii="Verdana" w:eastAsia="Calibri" w:hAnsi="Verdana" w:cs="Times New Roman"/>
                <w:lang w:val="es-ES"/>
              </w:rPr>
              <w:t>a un proceso de contratación especifico debe</w:t>
            </w:r>
            <w:r w:rsidRPr="0012388D">
              <w:rPr>
                <w:rFonts w:ascii="Verdana" w:eastAsia="Calibri" w:hAnsi="Verdana" w:cs="Times New Roman"/>
                <w:lang w:val="es-ES"/>
              </w:rPr>
              <w:t xml:space="preserve"> ser realizado por quienes tengan interés en ello.</w:t>
            </w:r>
            <w:r w:rsidRPr="00DB4737">
              <w:rPr>
                <w:rFonts w:ascii="Verdana" w:eastAsia="Calibri" w:hAnsi="Verdana"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1A38D109" w14:textId="64FC4BE4" w:rsidR="00083BD2" w:rsidRPr="00E529C2" w:rsidRDefault="00083BD2" w:rsidP="00083BD2">
            <w:pPr>
              <w:spacing w:after="120" w:line="276" w:lineRule="auto"/>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tc>
      </w:tr>
      <w:tr w:rsidR="00C1511F" w:rsidRPr="00593A5F" w14:paraId="22D8C63C" w14:textId="77777777" w:rsidTr="00660F64">
        <w:tc>
          <w:tcPr>
            <w:tcW w:w="8828" w:type="dxa"/>
          </w:tcPr>
          <w:p w14:paraId="7E0BB983" w14:textId="77777777" w:rsidR="00C1511F" w:rsidRDefault="00C1511F" w:rsidP="00660F64">
            <w:pPr>
              <w:spacing w:after="120" w:line="276" w:lineRule="auto"/>
              <w:jc w:val="both"/>
              <w:rPr>
                <w:rFonts w:ascii="Verdana" w:eastAsia="Calibri" w:hAnsi="Verdana" w:cs="Arial"/>
                <w:bCs/>
                <w:lang w:eastAsia="es-ES_tradnl"/>
              </w:rPr>
            </w:pPr>
          </w:p>
        </w:tc>
      </w:tr>
    </w:tbl>
    <w:p w14:paraId="7139B825" w14:textId="77777777" w:rsidR="00C1511F" w:rsidRDefault="00C1511F" w:rsidP="00C1511F">
      <w:pPr>
        <w:tabs>
          <w:tab w:val="left" w:pos="142"/>
          <w:tab w:val="left" w:pos="284"/>
        </w:tabs>
        <w:spacing w:after="0" w:line="276" w:lineRule="auto"/>
        <w:jc w:val="both"/>
        <w:rPr>
          <w:rFonts w:ascii="Verdana" w:eastAsia="Century Gothic" w:hAnsi="Verdana" w:cs="Century Gothic"/>
          <w:b/>
          <w:bCs/>
          <w:lang w:val="es-ES"/>
        </w:rPr>
      </w:pPr>
    </w:p>
    <w:p w14:paraId="4E5A672A" w14:textId="77777777" w:rsidR="00C1511F" w:rsidRDefault="00C1511F" w:rsidP="00C1511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7D349CAE" w14:textId="77777777" w:rsidR="00C1511F" w:rsidRDefault="00C1511F" w:rsidP="00C1511F">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6BF82BFB" w14:textId="20EE02E2" w:rsidR="00083BD2" w:rsidRPr="006A09D6" w:rsidRDefault="00C1511F" w:rsidP="00083BD2">
      <w:pPr>
        <w:widowControl w:val="0"/>
        <w:autoSpaceDE w:val="0"/>
        <w:autoSpaceDN w:val="0"/>
        <w:spacing w:after="0" w:line="276" w:lineRule="auto"/>
        <w:ind w:right="68"/>
        <w:jc w:val="both"/>
        <w:rPr>
          <w:rFonts w:ascii="Verdana" w:eastAsia="Arial MT" w:hAnsi="Verdana" w:cs="Arial"/>
          <w:u w:val="single"/>
        </w:rPr>
      </w:pPr>
      <w:r>
        <w:rPr>
          <w:rFonts w:ascii="Verdana" w:eastAsia="Arial" w:hAnsi="Verdana" w:cs="Arial"/>
          <w:lang w:val="es-ES"/>
        </w:rPr>
        <w:t xml:space="preserve">         </w:t>
      </w:r>
      <w:r w:rsidR="00083BD2" w:rsidRPr="006A09D6">
        <w:rPr>
          <w:rFonts w:ascii="Verdana" w:eastAsia="Arial MT" w:hAnsi="Verdana" w:cs="Arial"/>
        </w:rPr>
        <w:t>El régimen de inhabilidades e incompatibilidades en la contratación pública</w:t>
      </w:r>
      <w:r w:rsidR="00083BD2" w:rsidRPr="006A09D6">
        <w:rPr>
          <w:rFonts w:ascii="Verdana" w:eastAsia="Arial MT" w:hAnsi="Verdana" w:cs="Arial"/>
          <w:spacing w:val="1"/>
        </w:rPr>
        <w:t xml:space="preserve"> </w:t>
      </w:r>
      <w:r w:rsidR="00083BD2" w:rsidRPr="006A09D6">
        <w:rPr>
          <w:rFonts w:ascii="Verdana" w:eastAsia="Arial MT" w:hAnsi="Verdana" w:cs="Arial"/>
        </w:rPr>
        <w:t xml:space="preserve">responde al propósito de asegurar que la actividad de adquisición y </w:t>
      </w:r>
      <w:r w:rsidR="00083BD2" w:rsidRPr="006A09D6">
        <w:rPr>
          <w:rFonts w:ascii="Verdana" w:eastAsia="Arial MT" w:hAnsi="Verdana" w:cs="Arial"/>
        </w:rPr>
        <w:lastRenderedPageBreak/>
        <w:t xml:space="preserve">provisión de </w:t>
      </w:r>
      <w:r w:rsidR="00083BD2" w:rsidRPr="006A09D6">
        <w:rPr>
          <w:rFonts w:ascii="Verdana" w:eastAsia="Arial MT" w:hAnsi="Verdana" w:cs="Arial"/>
          <w:spacing w:val="1"/>
        </w:rPr>
        <w:t>bienes</w:t>
      </w:r>
      <w:r w:rsidR="00083BD2" w:rsidRPr="006A09D6">
        <w:rPr>
          <w:rFonts w:ascii="Verdana" w:eastAsia="Arial MT" w:hAnsi="Verdana" w:cs="Arial"/>
        </w:rPr>
        <w:t xml:space="preserve"> y servicios por parte de las entidades estatales se efectúe cumpliendo con los</w:t>
      </w:r>
      <w:r w:rsidR="00083BD2" w:rsidRPr="006A09D6">
        <w:rPr>
          <w:rFonts w:ascii="Verdana" w:eastAsia="Arial MT" w:hAnsi="Verdana" w:cs="Arial"/>
          <w:spacing w:val="1"/>
        </w:rPr>
        <w:t xml:space="preserve"> </w:t>
      </w:r>
      <w:r w:rsidR="00083BD2" w:rsidRPr="006A09D6">
        <w:rPr>
          <w:rFonts w:ascii="Verdana" w:eastAsia="Arial MT" w:hAnsi="Verdana" w:cs="Arial"/>
        </w:rPr>
        <w:t>principios</w:t>
      </w:r>
      <w:r w:rsidR="00083BD2" w:rsidRPr="006A09D6">
        <w:rPr>
          <w:rFonts w:ascii="Verdana" w:eastAsia="Arial MT" w:hAnsi="Verdana" w:cs="Arial"/>
          <w:spacing w:val="-11"/>
        </w:rPr>
        <w:t xml:space="preserve"> </w:t>
      </w:r>
      <w:r w:rsidR="00083BD2" w:rsidRPr="006A09D6">
        <w:rPr>
          <w:rFonts w:ascii="Verdana" w:eastAsia="Arial MT" w:hAnsi="Verdana" w:cs="Arial"/>
        </w:rPr>
        <w:t>de</w:t>
      </w:r>
      <w:r w:rsidR="00083BD2" w:rsidRPr="006A09D6">
        <w:rPr>
          <w:rFonts w:ascii="Verdana" w:eastAsia="Arial MT" w:hAnsi="Verdana" w:cs="Arial"/>
          <w:spacing w:val="-11"/>
        </w:rPr>
        <w:t xml:space="preserve"> </w:t>
      </w:r>
      <w:r w:rsidR="00083BD2" w:rsidRPr="006A09D6">
        <w:rPr>
          <w:rFonts w:ascii="Verdana" w:eastAsia="Arial MT" w:hAnsi="Verdana" w:cs="Arial"/>
        </w:rPr>
        <w:t>la</w:t>
      </w:r>
      <w:r w:rsidR="00083BD2" w:rsidRPr="006A09D6">
        <w:rPr>
          <w:rFonts w:ascii="Verdana" w:eastAsia="Arial MT" w:hAnsi="Verdana" w:cs="Arial"/>
          <w:spacing w:val="-11"/>
        </w:rPr>
        <w:t xml:space="preserve"> </w:t>
      </w:r>
      <w:r w:rsidR="00083BD2" w:rsidRPr="006A09D6">
        <w:rPr>
          <w:rFonts w:ascii="Verdana" w:eastAsia="Arial MT" w:hAnsi="Verdana" w:cs="Arial"/>
        </w:rPr>
        <w:t>función</w:t>
      </w:r>
      <w:r w:rsidR="00083BD2" w:rsidRPr="006A09D6">
        <w:rPr>
          <w:rFonts w:ascii="Verdana" w:eastAsia="Arial MT" w:hAnsi="Verdana" w:cs="Arial"/>
          <w:spacing w:val="-10"/>
        </w:rPr>
        <w:t xml:space="preserve"> </w:t>
      </w:r>
      <w:r w:rsidR="00083BD2" w:rsidRPr="006A09D6">
        <w:rPr>
          <w:rFonts w:ascii="Verdana" w:eastAsia="Arial MT" w:hAnsi="Verdana" w:cs="Arial"/>
        </w:rPr>
        <w:t>administrativa</w:t>
      </w:r>
      <w:r w:rsidR="00083BD2" w:rsidRPr="006A09D6">
        <w:rPr>
          <w:rFonts w:ascii="Verdana" w:eastAsia="Arial MT" w:hAnsi="Verdana" w:cs="Arial"/>
          <w:spacing w:val="-11"/>
        </w:rPr>
        <w:t xml:space="preserve"> </w:t>
      </w:r>
      <w:r w:rsidR="00083BD2" w:rsidRPr="006A09D6">
        <w:rPr>
          <w:rFonts w:ascii="Verdana" w:eastAsia="Arial MT" w:hAnsi="Verdana" w:cs="Arial"/>
        </w:rPr>
        <w:t>y</w:t>
      </w:r>
      <w:r w:rsidR="00083BD2" w:rsidRPr="006A09D6">
        <w:rPr>
          <w:rFonts w:ascii="Verdana" w:eastAsia="Arial MT" w:hAnsi="Verdana" w:cs="Arial"/>
          <w:spacing w:val="-10"/>
        </w:rPr>
        <w:t xml:space="preserve"> </w:t>
      </w:r>
      <w:r w:rsidR="00083BD2" w:rsidRPr="006A09D6">
        <w:rPr>
          <w:rFonts w:ascii="Verdana" w:eastAsia="Arial MT" w:hAnsi="Verdana" w:cs="Arial"/>
        </w:rPr>
        <w:t>de</w:t>
      </w:r>
      <w:r w:rsidR="00083BD2" w:rsidRPr="006A09D6">
        <w:rPr>
          <w:rFonts w:ascii="Verdana" w:eastAsia="Arial MT" w:hAnsi="Verdana" w:cs="Arial"/>
          <w:spacing w:val="-11"/>
        </w:rPr>
        <w:t xml:space="preserve"> </w:t>
      </w:r>
      <w:r w:rsidR="00083BD2" w:rsidRPr="006A09D6">
        <w:rPr>
          <w:rFonts w:ascii="Verdana" w:eastAsia="Arial MT" w:hAnsi="Verdana" w:cs="Arial"/>
        </w:rPr>
        <w:t>la</w:t>
      </w:r>
      <w:r w:rsidR="00083BD2" w:rsidRPr="006A09D6">
        <w:rPr>
          <w:rFonts w:ascii="Verdana" w:eastAsia="Arial MT" w:hAnsi="Verdana" w:cs="Arial"/>
          <w:spacing w:val="-11"/>
        </w:rPr>
        <w:t xml:space="preserve"> </w:t>
      </w:r>
      <w:r w:rsidR="00083BD2" w:rsidRPr="006A09D6">
        <w:rPr>
          <w:rFonts w:ascii="Verdana" w:eastAsia="Arial MT" w:hAnsi="Verdana" w:cs="Arial"/>
        </w:rPr>
        <w:t>gestión</w:t>
      </w:r>
      <w:r w:rsidR="00083BD2" w:rsidRPr="006A09D6">
        <w:rPr>
          <w:rFonts w:ascii="Verdana" w:eastAsia="Arial MT" w:hAnsi="Verdana" w:cs="Arial"/>
          <w:spacing w:val="-11"/>
        </w:rPr>
        <w:t xml:space="preserve"> </w:t>
      </w:r>
      <w:r w:rsidR="00083BD2" w:rsidRPr="006A09D6">
        <w:rPr>
          <w:rFonts w:ascii="Verdana" w:eastAsia="Arial MT" w:hAnsi="Verdana" w:cs="Arial"/>
        </w:rPr>
        <w:t>fiscal,</w:t>
      </w:r>
      <w:r w:rsidR="00083BD2" w:rsidRPr="006A09D6">
        <w:rPr>
          <w:rFonts w:ascii="Verdana" w:eastAsia="Arial MT" w:hAnsi="Verdana" w:cs="Arial"/>
          <w:spacing w:val="-10"/>
        </w:rPr>
        <w:t xml:space="preserve"> </w:t>
      </w:r>
      <w:r w:rsidR="00083BD2" w:rsidRPr="006A09D6">
        <w:rPr>
          <w:rFonts w:ascii="Verdana" w:eastAsia="Arial MT" w:hAnsi="Verdana" w:cs="Arial"/>
        </w:rPr>
        <w:t>especialmente</w:t>
      </w:r>
      <w:r w:rsidR="00083BD2" w:rsidRPr="006A09D6">
        <w:rPr>
          <w:rFonts w:ascii="Verdana" w:eastAsia="Arial MT" w:hAnsi="Verdana" w:cs="Arial"/>
          <w:spacing w:val="-11"/>
        </w:rPr>
        <w:t xml:space="preserve"> </w:t>
      </w:r>
      <w:r w:rsidR="00083BD2" w:rsidRPr="006A09D6">
        <w:rPr>
          <w:rFonts w:ascii="Verdana" w:eastAsia="Arial MT" w:hAnsi="Verdana" w:cs="Arial"/>
        </w:rPr>
        <w:t>con</w:t>
      </w:r>
      <w:r w:rsidR="00083BD2" w:rsidRPr="006A09D6">
        <w:rPr>
          <w:rFonts w:ascii="Verdana" w:eastAsia="Arial MT" w:hAnsi="Verdana" w:cs="Arial"/>
          <w:spacing w:val="-11"/>
        </w:rPr>
        <w:t xml:space="preserve"> </w:t>
      </w:r>
      <w:r w:rsidR="00083BD2" w:rsidRPr="006A09D6">
        <w:rPr>
          <w:rFonts w:ascii="Verdana" w:eastAsia="Arial MT" w:hAnsi="Verdana" w:cs="Arial"/>
        </w:rPr>
        <w:t>probidad</w:t>
      </w:r>
      <w:r w:rsidR="00083BD2" w:rsidRPr="006A09D6">
        <w:rPr>
          <w:rFonts w:ascii="Verdana" w:eastAsia="Arial MT" w:hAnsi="Verdana" w:cs="Arial"/>
          <w:spacing w:val="1"/>
        </w:rPr>
        <w:t xml:space="preserve"> </w:t>
      </w:r>
      <w:r w:rsidR="00083BD2" w:rsidRPr="006A09D6">
        <w:rPr>
          <w:rFonts w:ascii="Verdana" w:eastAsia="Arial MT" w:hAnsi="Verdana" w:cs="Arial"/>
        </w:rPr>
        <w:t>y</w:t>
      </w:r>
      <w:r w:rsidR="00083BD2" w:rsidRPr="006A09D6">
        <w:rPr>
          <w:rFonts w:ascii="Verdana" w:eastAsia="Arial MT" w:hAnsi="Verdana" w:cs="Arial"/>
          <w:spacing w:val="1"/>
        </w:rPr>
        <w:t xml:space="preserve"> </w:t>
      </w:r>
      <w:r w:rsidR="00083BD2" w:rsidRPr="006A09D6">
        <w:rPr>
          <w:rFonts w:ascii="Verdana" w:eastAsia="Arial MT" w:hAnsi="Verdana" w:cs="Arial"/>
        </w:rPr>
        <w:t>transparencia.</w:t>
      </w:r>
      <w:r w:rsidR="00083BD2" w:rsidRPr="006A09D6">
        <w:rPr>
          <w:rFonts w:ascii="Verdana" w:eastAsia="Arial MT" w:hAnsi="Verdana" w:cs="Arial"/>
          <w:spacing w:val="1"/>
        </w:rPr>
        <w:t xml:space="preserve"> </w:t>
      </w:r>
      <w:r w:rsidR="00083BD2" w:rsidRPr="006A09D6">
        <w:rPr>
          <w:rFonts w:ascii="Verdana" w:eastAsia="Arial MT" w:hAnsi="Verdana" w:cs="Arial"/>
        </w:rPr>
        <w:t>Por</w:t>
      </w:r>
      <w:r w:rsidR="00083BD2" w:rsidRPr="006A09D6">
        <w:rPr>
          <w:rFonts w:ascii="Verdana" w:eastAsia="Arial MT" w:hAnsi="Verdana" w:cs="Arial"/>
          <w:spacing w:val="1"/>
        </w:rPr>
        <w:t xml:space="preserve"> </w:t>
      </w:r>
      <w:r w:rsidR="00083BD2" w:rsidRPr="006A09D6">
        <w:rPr>
          <w:rFonts w:ascii="Verdana" w:eastAsia="Arial MT" w:hAnsi="Verdana" w:cs="Arial"/>
        </w:rPr>
        <w:t>ello,</w:t>
      </w:r>
      <w:r w:rsidR="00083BD2" w:rsidRPr="006A09D6">
        <w:rPr>
          <w:rFonts w:ascii="Verdana" w:eastAsia="Arial MT" w:hAnsi="Verdana" w:cs="Arial"/>
          <w:spacing w:val="1"/>
        </w:rPr>
        <w:t xml:space="preserve"> </w:t>
      </w:r>
      <w:r w:rsidR="00083BD2" w:rsidRPr="006A09D6">
        <w:rPr>
          <w:rFonts w:ascii="Verdana" w:eastAsia="Arial MT" w:hAnsi="Verdana" w:cs="Arial"/>
        </w:rPr>
        <w:t>como</w:t>
      </w:r>
      <w:r w:rsidR="00083BD2" w:rsidRPr="006A09D6">
        <w:rPr>
          <w:rFonts w:ascii="Verdana" w:eastAsia="Arial MT" w:hAnsi="Verdana" w:cs="Arial"/>
          <w:spacing w:val="1"/>
        </w:rPr>
        <w:t xml:space="preserve"> </w:t>
      </w:r>
      <w:r w:rsidR="00083BD2" w:rsidRPr="006A09D6">
        <w:rPr>
          <w:rFonts w:ascii="Verdana" w:eastAsia="Arial MT" w:hAnsi="Verdana" w:cs="Arial"/>
        </w:rPr>
        <w:t>lo</w:t>
      </w:r>
      <w:r w:rsidR="00083BD2" w:rsidRPr="006A09D6">
        <w:rPr>
          <w:rFonts w:ascii="Verdana" w:eastAsia="Arial MT" w:hAnsi="Verdana" w:cs="Arial"/>
          <w:spacing w:val="1"/>
        </w:rPr>
        <w:t xml:space="preserve"> </w:t>
      </w:r>
      <w:r w:rsidR="00083BD2" w:rsidRPr="006A09D6">
        <w:rPr>
          <w:rFonts w:ascii="Verdana" w:eastAsia="Arial MT" w:hAnsi="Verdana" w:cs="Arial"/>
        </w:rPr>
        <w:t>ha</w:t>
      </w:r>
      <w:r w:rsidR="00083BD2" w:rsidRPr="006A09D6">
        <w:rPr>
          <w:rFonts w:ascii="Verdana" w:eastAsia="Arial MT" w:hAnsi="Verdana" w:cs="Arial"/>
          <w:spacing w:val="1"/>
        </w:rPr>
        <w:t xml:space="preserve"> </w:t>
      </w:r>
      <w:r w:rsidR="00083BD2" w:rsidRPr="006A09D6">
        <w:rPr>
          <w:rFonts w:ascii="Verdana" w:eastAsia="Arial MT" w:hAnsi="Verdana" w:cs="Arial"/>
        </w:rPr>
        <w:t>destacado</w:t>
      </w:r>
      <w:r w:rsidR="00083BD2" w:rsidRPr="006A09D6">
        <w:rPr>
          <w:rFonts w:ascii="Verdana" w:eastAsia="Arial MT" w:hAnsi="Verdana" w:cs="Arial"/>
          <w:spacing w:val="1"/>
        </w:rPr>
        <w:t xml:space="preserve"> </w:t>
      </w:r>
      <w:r w:rsidR="00083BD2" w:rsidRPr="006A09D6">
        <w:rPr>
          <w:rFonts w:ascii="Verdana" w:eastAsia="Arial MT" w:hAnsi="Verdana" w:cs="Arial"/>
        </w:rPr>
        <w:t>la</w:t>
      </w:r>
      <w:r w:rsidR="00083BD2" w:rsidRPr="006A09D6">
        <w:rPr>
          <w:rFonts w:ascii="Verdana" w:eastAsia="Arial MT" w:hAnsi="Verdana" w:cs="Arial"/>
          <w:spacing w:val="1"/>
        </w:rPr>
        <w:t xml:space="preserve"> </w:t>
      </w:r>
      <w:r w:rsidR="00083BD2" w:rsidRPr="006A09D6">
        <w:rPr>
          <w:rFonts w:ascii="Verdana" w:eastAsia="Arial MT" w:hAnsi="Verdana" w:cs="Arial"/>
        </w:rPr>
        <w:t>doctrina,</w:t>
      </w:r>
      <w:r w:rsidR="00083BD2" w:rsidRPr="006A09D6">
        <w:rPr>
          <w:rFonts w:ascii="Verdana" w:eastAsia="Arial MT" w:hAnsi="Verdana" w:cs="Arial"/>
          <w:spacing w:val="1"/>
        </w:rPr>
        <w:t xml:space="preserve"> </w:t>
      </w:r>
      <w:r w:rsidR="00083BD2" w:rsidRPr="006A09D6">
        <w:rPr>
          <w:rFonts w:ascii="Verdana" w:eastAsia="Arial MT" w:hAnsi="Verdana" w:cs="Arial"/>
        </w:rPr>
        <w:t>las</w:t>
      </w:r>
      <w:r w:rsidR="00083BD2" w:rsidRPr="006A09D6">
        <w:rPr>
          <w:rFonts w:ascii="Verdana" w:eastAsia="Arial MT" w:hAnsi="Verdana" w:cs="Arial"/>
          <w:spacing w:val="1"/>
        </w:rPr>
        <w:t xml:space="preserve"> </w:t>
      </w:r>
      <w:r w:rsidR="00083BD2" w:rsidRPr="006A09D6">
        <w:rPr>
          <w:rFonts w:ascii="Verdana" w:eastAsia="Arial MT" w:hAnsi="Verdana" w:cs="Arial"/>
        </w:rPr>
        <w:t>inhabilidades</w:t>
      </w:r>
      <w:r w:rsidR="00083BD2" w:rsidRPr="006A09D6">
        <w:rPr>
          <w:rFonts w:ascii="Verdana" w:eastAsia="Arial MT" w:hAnsi="Verdana" w:cs="Arial"/>
          <w:spacing w:val="1"/>
        </w:rPr>
        <w:t xml:space="preserve"> </w:t>
      </w:r>
      <w:r w:rsidR="00083BD2" w:rsidRPr="006A09D6">
        <w:rPr>
          <w:rFonts w:ascii="Verdana" w:eastAsia="Arial MT" w:hAnsi="Verdana" w:cs="Arial"/>
        </w:rPr>
        <w:t>e</w:t>
      </w:r>
      <w:r w:rsidR="00083BD2" w:rsidRPr="006A09D6">
        <w:rPr>
          <w:rFonts w:ascii="Verdana" w:eastAsia="Arial MT" w:hAnsi="Verdana" w:cs="Arial"/>
          <w:spacing w:val="1"/>
        </w:rPr>
        <w:t xml:space="preserve"> </w:t>
      </w:r>
      <w:r w:rsidR="00083BD2" w:rsidRPr="006A09D6">
        <w:rPr>
          <w:rFonts w:ascii="Verdana" w:eastAsia="Arial MT" w:hAnsi="Verdana" w:cs="Arial"/>
        </w:rPr>
        <w:t>incompatibilidades se han convertido en herramientas en la lucha contra la corrupción,</w:t>
      </w:r>
      <w:r w:rsidR="00083BD2" w:rsidRPr="006A09D6">
        <w:rPr>
          <w:rFonts w:ascii="Verdana" w:eastAsia="Arial MT" w:hAnsi="Verdana" w:cs="Arial"/>
          <w:spacing w:val="1"/>
        </w:rPr>
        <w:t xml:space="preserve"> </w:t>
      </w:r>
      <w:r w:rsidR="00083BD2" w:rsidRPr="006A09D6">
        <w:rPr>
          <w:rFonts w:ascii="Verdana" w:eastAsia="Arial MT" w:hAnsi="Verdana" w:cs="Arial"/>
        </w:rPr>
        <w:t>adoptando</w:t>
      </w:r>
      <w:r w:rsidR="00083BD2" w:rsidRPr="006A09D6">
        <w:rPr>
          <w:rFonts w:ascii="Verdana" w:eastAsia="Arial MT" w:hAnsi="Verdana" w:cs="Arial"/>
          <w:spacing w:val="-14"/>
        </w:rPr>
        <w:t xml:space="preserve"> </w:t>
      </w:r>
      <w:r w:rsidR="00083BD2" w:rsidRPr="006A09D6">
        <w:rPr>
          <w:rFonts w:ascii="Verdana" w:eastAsia="Arial MT" w:hAnsi="Verdana" w:cs="Arial"/>
        </w:rPr>
        <w:t>paulatinamente</w:t>
      </w:r>
      <w:r w:rsidR="00083BD2" w:rsidRPr="006A09D6">
        <w:rPr>
          <w:rFonts w:ascii="Verdana" w:eastAsia="Arial MT" w:hAnsi="Verdana" w:cs="Arial"/>
          <w:spacing w:val="-14"/>
        </w:rPr>
        <w:t xml:space="preserve"> </w:t>
      </w:r>
      <w:r w:rsidR="00083BD2" w:rsidRPr="006A09D6">
        <w:rPr>
          <w:rFonts w:ascii="Verdana" w:eastAsia="Arial MT" w:hAnsi="Verdana" w:cs="Arial"/>
        </w:rPr>
        <w:t>un</w:t>
      </w:r>
      <w:r w:rsidR="00083BD2" w:rsidRPr="006A09D6">
        <w:rPr>
          <w:rFonts w:ascii="Verdana" w:eastAsia="Arial MT" w:hAnsi="Verdana" w:cs="Arial"/>
          <w:spacing w:val="-14"/>
        </w:rPr>
        <w:t xml:space="preserve"> </w:t>
      </w:r>
      <w:r w:rsidR="00083BD2" w:rsidRPr="006A09D6">
        <w:rPr>
          <w:rFonts w:ascii="Verdana" w:eastAsia="Arial MT" w:hAnsi="Verdana" w:cs="Arial"/>
        </w:rPr>
        <w:t>carácter</w:t>
      </w:r>
      <w:r w:rsidR="00083BD2" w:rsidRPr="006A09D6">
        <w:rPr>
          <w:rFonts w:ascii="Verdana" w:eastAsia="Arial MT" w:hAnsi="Verdana" w:cs="Arial"/>
          <w:spacing w:val="-15"/>
        </w:rPr>
        <w:t xml:space="preserve"> </w:t>
      </w:r>
      <w:r w:rsidR="00083BD2" w:rsidRPr="006A09D6">
        <w:rPr>
          <w:rFonts w:ascii="Verdana" w:eastAsia="Arial MT" w:hAnsi="Verdana" w:cs="Arial"/>
        </w:rPr>
        <w:t>sancionatorio</w:t>
      </w:r>
      <w:r w:rsidR="00083BD2" w:rsidRPr="006A09D6">
        <w:rPr>
          <w:rFonts w:ascii="Verdana" w:eastAsia="Arial MT" w:hAnsi="Verdana" w:cs="Arial"/>
          <w:spacing w:val="-14"/>
        </w:rPr>
        <w:t xml:space="preserve"> </w:t>
      </w:r>
      <w:r w:rsidR="00083BD2" w:rsidRPr="006A09D6">
        <w:rPr>
          <w:rFonts w:ascii="Verdana" w:eastAsia="Arial MT" w:hAnsi="Verdana" w:cs="Arial"/>
        </w:rPr>
        <w:t>o</w:t>
      </w:r>
      <w:r w:rsidR="00083BD2" w:rsidRPr="006A09D6">
        <w:rPr>
          <w:rFonts w:ascii="Verdana" w:eastAsia="Arial MT" w:hAnsi="Verdana" w:cs="Arial"/>
          <w:spacing w:val="-15"/>
        </w:rPr>
        <w:t xml:space="preserve"> </w:t>
      </w:r>
      <w:r w:rsidR="00083BD2" w:rsidRPr="006A09D6">
        <w:rPr>
          <w:rFonts w:ascii="Verdana" w:eastAsia="Arial MT" w:hAnsi="Verdana" w:cs="Arial"/>
        </w:rPr>
        <w:t>“neopunitivo”</w:t>
      </w:r>
      <w:r w:rsidR="00083BD2" w:rsidRPr="006A09D6">
        <w:rPr>
          <w:rFonts w:ascii="Verdana" w:hAnsi="Verdana"/>
          <w:vertAlign w:val="superscript"/>
        </w:rPr>
        <w:footnoteReference w:id="3"/>
      </w:r>
      <w:r w:rsidR="00083BD2" w:rsidRPr="006A09D6">
        <w:rPr>
          <w:rFonts w:ascii="Verdana" w:eastAsia="Arial MT" w:hAnsi="Verdana" w:cs="Arial"/>
        </w:rPr>
        <w:t>.</w:t>
      </w:r>
      <w:r w:rsidR="00083BD2" w:rsidRPr="006A09D6">
        <w:rPr>
          <w:rFonts w:ascii="Verdana" w:eastAsia="Arial MT" w:hAnsi="Verdana" w:cs="Arial"/>
          <w:spacing w:val="-14"/>
        </w:rPr>
        <w:t xml:space="preserve"> </w:t>
      </w:r>
      <w:r w:rsidR="00083BD2" w:rsidRPr="006A09D6">
        <w:rPr>
          <w:rFonts w:ascii="Verdana" w:eastAsia="Arial MT" w:hAnsi="Verdana" w:cs="Arial"/>
        </w:rPr>
        <w:t>Si</w:t>
      </w:r>
      <w:r w:rsidR="00083BD2" w:rsidRPr="006A09D6">
        <w:rPr>
          <w:rFonts w:ascii="Verdana" w:eastAsia="Arial MT" w:hAnsi="Verdana" w:cs="Arial"/>
          <w:spacing w:val="-14"/>
        </w:rPr>
        <w:t xml:space="preserve"> </w:t>
      </w:r>
      <w:r w:rsidR="00083BD2" w:rsidRPr="006A09D6">
        <w:rPr>
          <w:rFonts w:ascii="Verdana" w:eastAsia="Arial MT" w:hAnsi="Verdana" w:cs="Arial"/>
        </w:rPr>
        <w:t>bien</w:t>
      </w:r>
      <w:r w:rsidR="00083BD2" w:rsidRPr="006A09D6">
        <w:rPr>
          <w:rFonts w:ascii="Verdana" w:eastAsia="Arial MT" w:hAnsi="Verdana" w:cs="Arial"/>
          <w:spacing w:val="-14"/>
        </w:rPr>
        <w:t xml:space="preserve"> </w:t>
      </w:r>
      <w:r w:rsidR="00083BD2" w:rsidRPr="006A09D6">
        <w:rPr>
          <w:rFonts w:ascii="Verdana" w:eastAsia="Arial MT" w:hAnsi="Verdana" w:cs="Arial"/>
        </w:rPr>
        <w:t>no</w:t>
      </w:r>
      <w:r w:rsidR="00083BD2" w:rsidRPr="006A09D6">
        <w:rPr>
          <w:rFonts w:ascii="Verdana" w:eastAsia="Arial MT" w:hAnsi="Verdana" w:cs="Arial"/>
          <w:spacing w:val="-14"/>
        </w:rPr>
        <w:t xml:space="preserve"> </w:t>
      </w:r>
      <w:r w:rsidR="00083BD2" w:rsidRPr="006A09D6">
        <w:rPr>
          <w:rFonts w:ascii="Verdana" w:eastAsia="Arial MT" w:hAnsi="Verdana" w:cs="Arial"/>
        </w:rPr>
        <w:t>todas las causales de inhabilidad y de incompatibilidad son consecuencia de una medida de</w:t>
      </w:r>
      <w:r w:rsidR="00083BD2" w:rsidRPr="006A09D6">
        <w:rPr>
          <w:rFonts w:ascii="Verdana" w:eastAsia="Arial MT" w:hAnsi="Verdana" w:cs="Arial"/>
          <w:spacing w:val="1"/>
        </w:rPr>
        <w:t xml:space="preserve"> </w:t>
      </w:r>
      <w:r w:rsidR="00083BD2" w:rsidRPr="006A09D6">
        <w:rPr>
          <w:rFonts w:ascii="Verdana" w:eastAsia="Arial MT" w:hAnsi="Verdana" w:cs="Arial"/>
        </w:rPr>
        <w:t>reproche,</w:t>
      </w:r>
      <w:r w:rsidR="00083BD2" w:rsidRPr="006A09D6">
        <w:rPr>
          <w:rFonts w:ascii="Verdana" w:eastAsia="Arial MT" w:hAnsi="Verdana" w:cs="Arial"/>
          <w:spacing w:val="2"/>
        </w:rPr>
        <w:t xml:space="preserve"> </w:t>
      </w:r>
      <w:r w:rsidR="00083BD2" w:rsidRPr="006A09D6">
        <w:rPr>
          <w:rFonts w:ascii="Verdana" w:eastAsia="Arial MT" w:hAnsi="Verdana" w:cs="Arial"/>
        </w:rPr>
        <w:t>ni</w:t>
      </w:r>
      <w:r w:rsidR="00083BD2" w:rsidRPr="006A09D6">
        <w:rPr>
          <w:rFonts w:ascii="Verdana" w:eastAsia="Arial MT" w:hAnsi="Verdana" w:cs="Arial"/>
          <w:spacing w:val="3"/>
        </w:rPr>
        <w:t xml:space="preserve"> </w:t>
      </w:r>
      <w:r w:rsidR="00083BD2" w:rsidRPr="006A09D6">
        <w:rPr>
          <w:rFonts w:ascii="Verdana" w:eastAsia="Arial MT" w:hAnsi="Verdana" w:cs="Arial"/>
        </w:rPr>
        <w:t>de</w:t>
      </w:r>
      <w:r w:rsidR="00083BD2" w:rsidRPr="006A09D6">
        <w:rPr>
          <w:rFonts w:ascii="Verdana" w:eastAsia="Arial MT" w:hAnsi="Verdana" w:cs="Arial"/>
          <w:spacing w:val="2"/>
        </w:rPr>
        <w:t xml:space="preserve"> </w:t>
      </w:r>
      <w:r w:rsidR="00083BD2" w:rsidRPr="006A09D6">
        <w:rPr>
          <w:rFonts w:ascii="Verdana" w:eastAsia="Arial MT" w:hAnsi="Verdana" w:cs="Arial"/>
        </w:rPr>
        <w:t>una</w:t>
      </w:r>
      <w:r w:rsidR="00083BD2" w:rsidRPr="006A09D6">
        <w:rPr>
          <w:rFonts w:ascii="Verdana" w:eastAsia="Arial MT" w:hAnsi="Verdana" w:cs="Arial"/>
          <w:spacing w:val="3"/>
        </w:rPr>
        <w:t xml:space="preserve"> </w:t>
      </w:r>
      <w:r w:rsidR="00083BD2" w:rsidRPr="006A09D6">
        <w:rPr>
          <w:rFonts w:ascii="Verdana" w:eastAsia="Arial MT" w:hAnsi="Verdana" w:cs="Arial"/>
        </w:rPr>
        <w:t>sanción</w:t>
      </w:r>
      <w:r w:rsidR="00083BD2" w:rsidRPr="006A09D6">
        <w:rPr>
          <w:rFonts w:ascii="Verdana" w:eastAsia="Arial MT" w:hAnsi="Verdana" w:cs="Arial"/>
          <w:spacing w:val="2"/>
        </w:rPr>
        <w:t xml:space="preserve"> </w:t>
      </w:r>
      <w:r w:rsidR="00083BD2" w:rsidRPr="006A09D6">
        <w:rPr>
          <w:rFonts w:ascii="Verdana" w:eastAsia="Arial MT" w:hAnsi="Verdana" w:cs="Arial"/>
        </w:rPr>
        <w:t>previa,</w:t>
      </w:r>
      <w:r w:rsidR="00083BD2" w:rsidRPr="006A09D6">
        <w:rPr>
          <w:rFonts w:ascii="Verdana" w:eastAsia="Arial MT" w:hAnsi="Verdana" w:cs="Arial"/>
          <w:spacing w:val="3"/>
        </w:rPr>
        <w:t xml:space="preserve"> </w:t>
      </w:r>
      <w:r w:rsidR="00083BD2" w:rsidRPr="006A09D6">
        <w:rPr>
          <w:rFonts w:ascii="Verdana" w:eastAsia="Arial MT" w:hAnsi="Verdana" w:cs="Arial"/>
        </w:rPr>
        <w:t>es</w:t>
      </w:r>
      <w:r w:rsidR="00083BD2" w:rsidRPr="006A09D6">
        <w:rPr>
          <w:rFonts w:ascii="Verdana" w:eastAsia="Arial MT" w:hAnsi="Verdana" w:cs="Arial"/>
          <w:spacing w:val="3"/>
        </w:rPr>
        <w:t xml:space="preserve"> </w:t>
      </w:r>
      <w:r w:rsidR="00083BD2" w:rsidRPr="006A09D6">
        <w:rPr>
          <w:rFonts w:ascii="Verdana" w:eastAsia="Arial MT" w:hAnsi="Verdana" w:cs="Arial"/>
        </w:rPr>
        <w:t>indiscutible</w:t>
      </w:r>
      <w:r w:rsidR="00083BD2" w:rsidRPr="006A09D6">
        <w:rPr>
          <w:rFonts w:ascii="Verdana" w:eastAsia="Arial MT" w:hAnsi="Verdana" w:cs="Arial"/>
          <w:spacing w:val="2"/>
        </w:rPr>
        <w:t xml:space="preserve"> </w:t>
      </w:r>
      <w:r w:rsidR="00083BD2" w:rsidRPr="006A09D6">
        <w:rPr>
          <w:rFonts w:ascii="Verdana" w:eastAsia="Arial MT" w:hAnsi="Verdana" w:cs="Arial"/>
        </w:rPr>
        <w:t>que</w:t>
      </w:r>
      <w:r w:rsidR="00083BD2" w:rsidRPr="006A09D6">
        <w:rPr>
          <w:rFonts w:ascii="Verdana" w:eastAsia="Arial MT" w:hAnsi="Verdana" w:cs="Arial"/>
          <w:spacing w:val="3"/>
        </w:rPr>
        <w:t xml:space="preserve"> </w:t>
      </w:r>
      <w:r w:rsidR="00083BD2" w:rsidRPr="006A09D6">
        <w:rPr>
          <w:rFonts w:ascii="Verdana" w:eastAsia="Arial MT" w:hAnsi="Verdana" w:cs="Arial"/>
        </w:rPr>
        <w:t>en</w:t>
      </w:r>
      <w:r w:rsidR="00083BD2" w:rsidRPr="006A09D6">
        <w:rPr>
          <w:rFonts w:ascii="Verdana" w:eastAsia="Arial MT" w:hAnsi="Verdana" w:cs="Arial"/>
          <w:spacing w:val="3"/>
        </w:rPr>
        <w:t xml:space="preserve"> </w:t>
      </w:r>
      <w:r w:rsidR="00083BD2" w:rsidRPr="006A09D6">
        <w:rPr>
          <w:rFonts w:ascii="Verdana" w:eastAsia="Arial MT" w:hAnsi="Verdana" w:cs="Arial"/>
        </w:rPr>
        <w:t>los</w:t>
      </w:r>
      <w:r w:rsidR="00083BD2" w:rsidRPr="006A09D6">
        <w:rPr>
          <w:rFonts w:ascii="Verdana" w:eastAsia="Arial MT" w:hAnsi="Verdana" w:cs="Arial"/>
          <w:spacing w:val="2"/>
        </w:rPr>
        <w:t xml:space="preserve"> </w:t>
      </w:r>
      <w:r w:rsidR="00083BD2" w:rsidRPr="006A09D6">
        <w:rPr>
          <w:rFonts w:ascii="Verdana" w:eastAsia="Arial MT" w:hAnsi="Verdana" w:cs="Arial"/>
        </w:rPr>
        <w:t>años más recientes los lamentables hechos de corrupción han generado como respuesta</w:t>
      </w:r>
      <w:r w:rsidR="00083BD2" w:rsidRPr="006A09D6">
        <w:rPr>
          <w:rFonts w:ascii="Verdana" w:eastAsia="Arial MT" w:hAnsi="Verdana" w:cs="Arial"/>
          <w:spacing w:val="1"/>
        </w:rPr>
        <w:t xml:space="preserve"> </w:t>
      </w:r>
      <w:r w:rsidR="00083BD2" w:rsidRPr="006A09D6">
        <w:rPr>
          <w:rFonts w:ascii="Verdana" w:eastAsia="Arial MT" w:hAnsi="Verdana" w:cs="Arial"/>
        </w:rPr>
        <w:t>del legislador, un incremento de las restricciones a la capacidad contractual, dirigidas a</w:t>
      </w:r>
      <w:r w:rsidR="00083BD2" w:rsidRPr="006A09D6">
        <w:rPr>
          <w:rFonts w:ascii="Verdana" w:eastAsia="Arial MT" w:hAnsi="Verdana" w:cs="Arial"/>
          <w:spacing w:val="-59"/>
        </w:rPr>
        <w:t xml:space="preserve"> </w:t>
      </w:r>
      <w:r w:rsidR="00083BD2" w:rsidRPr="006A09D6">
        <w:rPr>
          <w:rFonts w:ascii="Verdana" w:eastAsia="Arial MT" w:hAnsi="Verdana" w:cs="Arial"/>
        </w:rPr>
        <w:t>prevenir</w:t>
      </w:r>
      <w:r w:rsidR="00083BD2" w:rsidRPr="006A09D6">
        <w:rPr>
          <w:rFonts w:ascii="Verdana" w:eastAsia="Arial MT" w:hAnsi="Verdana" w:cs="Arial"/>
          <w:spacing w:val="-2"/>
        </w:rPr>
        <w:t xml:space="preserve"> </w:t>
      </w:r>
      <w:r w:rsidR="00083BD2" w:rsidRPr="006A09D6">
        <w:rPr>
          <w:rFonts w:ascii="Verdana" w:eastAsia="Arial MT" w:hAnsi="Verdana" w:cs="Arial"/>
        </w:rPr>
        <w:t>este</w:t>
      </w:r>
      <w:r w:rsidR="00083BD2" w:rsidRPr="006A09D6">
        <w:rPr>
          <w:rFonts w:ascii="Verdana" w:eastAsia="Arial MT" w:hAnsi="Verdana" w:cs="Arial"/>
          <w:spacing w:val="-1"/>
        </w:rPr>
        <w:t xml:space="preserve"> </w:t>
      </w:r>
      <w:r w:rsidR="00083BD2" w:rsidRPr="006A09D6">
        <w:rPr>
          <w:rFonts w:ascii="Verdana" w:eastAsia="Arial MT" w:hAnsi="Verdana" w:cs="Arial"/>
        </w:rPr>
        <w:t>tipo</w:t>
      </w:r>
      <w:r w:rsidR="00083BD2" w:rsidRPr="006A09D6">
        <w:rPr>
          <w:rFonts w:ascii="Verdana" w:eastAsia="Arial MT" w:hAnsi="Verdana" w:cs="Arial"/>
          <w:spacing w:val="-2"/>
        </w:rPr>
        <w:t xml:space="preserve"> </w:t>
      </w:r>
      <w:r w:rsidR="00083BD2" w:rsidRPr="006A09D6">
        <w:rPr>
          <w:rFonts w:ascii="Verdana" w:eastAsia="Arial MT" w:hAnsi="Verdana" w:cs="Arial"/>
        </w:rPr>
        <w:t>de</w:t>
      </w:r>
      <w:r w:rsidR="00083BD2" w:rsidRPr="006A09D6">
        <w:rPr>
          <w:rFonts w:ascii="Verdana" w:eastAsia="Arial MT" w:hAnsi="Verdana" w:cs="Arial"/>
          <w:spacing w:val="-1"/>
        </w:rPr>
        <w:t xml:space="preserve"> </w:t>
      </w:r>
      <w:r w:rsidR="00083BD2" w:rsidRPr="006A09D6">
        <w:rPr>
          <w:rFonts w:ascii="Verdana" w:eastAsia="Arial MT" w:hAnsi="Verdana" w:cs="Arial"/>
        </w:rPr>
        <w:t>situaciones</w:t>
      </w:r>
      <w:r w:rsidR="00083BD2" w:rsidRPr="006A09D6">
        <w:rPr>
          <w:rFonts w:ascii="Verdana" w:eastAsia="Arial MT" w:hAnsi="Verdana" w:cs="Arial"/>
          <w:spacing w:val="-1"/>
        </w:rPr>
        <w:t xml:space="preserve"> </w:t>
      </w:r>
      <w:r w:rsidR="00083BD2" w:rsidRPr="006A09D6">
        <w:rPr>
          <w:rFonts w:ascii="Verdana" w:eastAsia="Arial MT" w:hAnsi="Verdana" w:cs="Arial"/>
        </w:rPr>
        <w:t>o</w:t>
      </w:r>
      <w:r w:rsidR="00083BD2" w:rsidRPr="006A09D6">
        <w:rPr>
          <w:rFonts w:ascii="Verdana" w:eastAsia="Arial MT" w:hAnsi="Verdana" w:cs="Arial"/>
          <w:spacing w:val="-2"/>
        </w:rPr>
        <w:t xml:space="preserve"> </w:t>
      </w:r>
      <w:r w:rsidR="00083BD2" w:rsidRPr="006A09D6">
        <w:rPr>
          <w:rFonts w:ascii="Verdana" w:eastAsia="Arial MT" w:hAnsi="Verdana" w:cs="Arial"/>
        </w:rPr>
        <w:t>a</w:t>
      </w:r>
      <w:r w:rsidR="00083BD2" w:rsidRPr="006A09D6">
        <w:rPr>
          <w:rFonts w:ascii="Verdana" w:eastAsia="Arial MT" w:hAnsi="Verdana" w:cs="Arial"/>
          <w:spacing w:val="-1"/>
        </w:rPr>
        <w:t xml:space="preserve"> </w:t>
      </w:r>
      <w:r w:rsidR="00083BD2" w:rsidRPr="006A09D6">
        <w:rPr>
          <w:rFonts w:ascii="Verdana" w:eastAsia="Arial MT" w:hAnsi="Verdana" w:cs="Arial"/>
        </w:rPr>
        <w:t>sancionar</w:t>
      </w:r>
      <w:r w:rsidR="00083BD2" w:rsidRPr="006A09D6">
        <w:rPr>
          <w:rFonts w:ascii="Verdana" w:eastAsia="Arial MT" w:hAnsi="Verdana" w:cs="Arial"/>
          <w:spacing w:val="-1"/>
        </w:rPr>
        <w:t xml:space="preserve"> </w:t>
      </w:r>
      <w:r w:rsidR="00083BD2" w:rsidRPr="006A09D6">
        <w:rPr>
          <w:rFonts w:ascii="Verdana" w:eastAsia="Arial MT" w:hAnsi="Verdana" w:cs="Arial"/>
        </w:rPr>
        <w:t>tales</w:t>
      </w:r>
      <w:r w:rsidR="00083BD2" w:rsidRPr="006A09D6">
        <w:rPr>
          <w:rFonts w:ascii="Verdana" w:eastAsia="Arial MT" w:hAnsi="Verdana" w:cs="Arial"/>
          <w:spacing w:val="-2"/>
        </w:rPr>
        <w:t xml:space="preserve"> </w:t>
      </w:r>
      <w:r w:rsidR="00083BD2" w:rsidRPr="006A09D6">
        <w:rPr>
          <w:rFonts w:ascii="Verdana" w:eastAsia="Arial MT" w:hAnsi="Verdana" w:cs="Arial"/>
        </w:rPr>
        <w:t>conductas.</w:t>
      </w:r>
    </w:p>
    <w:p w14:paraId="2ABC31F9" w14:textId="77777777" w:rsidR="00083BD2" w:rsidRPr="006A09D6" w:rsidRDefault="00083BD2" w:rsidP="00083BD2">
      <w:pPr>
        <w:widowControl w:val="0"/>
        <w:autoSpaceDE w:val="0"/>
        <w:autoSpaceDN w:val="0"/>
        <w:spacing w:before="120" w:after="0" w:line="276" w:lineRule="auto"/>
        <w:ind w:firstLine="708"/>
        <w:jc w:val="both"/>
        <w:rPr>
          <w:rFonts w:ascii="Verdana" w:eastAsia="Arial MT" w:hAnsi="Verdana" w:cs="Arial"/>
        </w:rPr>
      </w:pPr>
      <w:r w:rsidRPr="006A09D6">
        <w:rPr>
          <w:rFonts w:ascii="Verdana" w:eastAsia="Arial MT" w:hAnsi="Verdana" w:cs="Arial"/>
        </w:rPr>
        <w:t>Ahora bien, las inhabilidades e incompatibilidades, al ser</w:t>
      </w:r>
      <w:r w:rsidRPr="006A09D6">
        <w:rPr>
          <w:rFonts w:ascii="Verdana" w:eastAsia="Arial MT" w:hAnsi="Verdana" w:cs="Arial"/>
          <w:spacing w:val="1"/>
        </w:rPr>
        <w:t xml:space="preserve"> </w:t>
      </w:r>
      <w:r w:rsidRPr="006A09D6">
        <w:rPr>
          <w:rFonts w:ascii="Verdana" w:eastAsia="Arial MT" w:hAnsi="Verdana" w:cs="Arial"/>
        </w:rPr>
        <w:t>restricciones o límites especiales a la capacidad para presentar ofertas y celebrar</w:t>
      </w:r>
      <w:r w:rsidRPr="006A09D6">
        <w:rPr>
          <w:rFonts w:ascii="Verdana" w:eastAsia="Arial MT" w:hAnsi="Verdana" w:cs="Arial"/>
          <w:spacing w:val="1"/>
        </w:rPr>
        <w:t xml:space="preserve"> </w:t>
      </w:r>
      <w:r w:rsidRPr="006A09D6">
        <w:rPr>
          <w:rFonts w:ascii="Verdana" w:eastAsia="Arial MT" w:hAnsi="Verdana" w:cs="Arial"/>
        </w:rPr>
        <w:t>contratos</w:t>
      </w:r>
      <w:r w:rsidRPr="006A09D6">
        <w:rPr>
          <w:rFonts w:ascii="Verdana" w:eastAsia="Arial MT" w:hAnsi="Verdana" w:cs="Arial"/>
          <w:spacing w:val="-12"/>
        </w:rPr>
        <w:t xml:space="preserve"> </w:t>
      </w:r>
      <w:r w:rsidRPr="006A09D6">
        <w:rPr>
          <w:rFonts w:ascii="Verdana" w:eastAsia="Arial MT" w:hAnsi="Verdana" w:cs="Arial"/>
        </w:rPr>
        <w:t>estatales,</w:t>
      </w:r>
      <w:r w:rsidRPr="006A09D6">
        <w:rPr>
          <w:rFonts w:ascii="Verdana" w:eastAsia="Arial MT" w:hAnsi="Verdana" w:cs="Arial"/>
          <w:spacing w:val="-12"/>
        </w:rPr>
        <w:t xml:space="preserve"> </w:t>
      </w:r>
      <w:r w:rsidRPr="006A09D6">
        <w:rPr>
          <w:rFonts w:ascii="Verdana" w:eastAsia="Arial MT" w:hAnsi="Verdana" w:cs="Arial"/>
        </w:rPr>
        <w:t>solo</w:t>
      </w:r>
      <w:r w:rsidRPr="006A09D6">
        <w:rPr>
          <w:rFonts w:ascii="Verdana" w:eastAsia="Arial MT" w:hAnsi="Verdana" w:cs="Arial"/>
          <w:spacing w:val="-12"/>
        </w:rPr>
        <w:t xml:space="preserve"> </w:t>
      </w:r>
      <w:r w:rsidRPr="006A09D6">
        <w:rPr>
          <w:rFonts w:ascii="Verdana" w:eastAsia="Arial MT" w:hAnsi="Verdana" w:cs="Arial"/>
        </w:rPr>
        <w:t>pueden</w:t>
      </w:r>
      <w:r w:rsidRPr="006A09D6">
        <w:rPr>
          <w:rFonts w:ascii="Verdana" w:eastAsia="Arial MT" w:hAnsi="Verdana" w:cs="Arial"/>
          <w:spacing w:val="-11"/>
        </w:rPr>
        <w:t xml:space="preserve"> </w:t>
      </w:r>
      <w:r w:rsidRPr="006A09D6">
        <w:rPr>
          <w:rFonts w:ascii="Verdana" w:eastAsia="Arial MT" w:hAnsi="Verdana" w:cs="Arial"/>
        </w:rPr>
        <w:t>tipificarse</w:t>
      </w:r>
      <w:r w:rsidRPr="006A09D6">
        <w:rPr>
          <w:rFonts w:ascii="Verdana" w:eastAsia="Arial MT" w:hAnsi="Verdana" w:cs="Arial"/>
          <w:spacing w:val="-10"/>
        </w:rPr>
        <w:t xml:space="preserve"> </w:t>
      </w:r>
      <w:r w:rsidRPr="006A09D6">
        <w:rPr>
          <w:rFonts w:ascii="Verdana" w:eastAsia="Arial MT" w:hAnsi="Verdana" w:cs="Arial"/>
        </w:rPr>
        <w:t>en</w:t>
      </w:r>
      <w:r w:rsidRPr="006A09D6">
        <w:rPr>
          <w:rFonts w:ascii="Verdana" w:eastAsia="Arial MT" w:hAnsi="Verdana" w:cs="Arial"/>
          <w:spacing w:val="-12"/>
        </w:rPr>
        <w:t xml:space="preserve"> </w:t>
      </w:r>
      <w:r w:rsidRPr="006A09D6">
        <w:rPr>
          <w:rFonts w:ascii="Verdana" w:eastAsia="Arial MT" w:hAnsi="Verdana" w:cs="Arial"/>
        </w:rPr>
        <w:t>la</w:t>
      </w:r>
      <w:r w:rsidRPr="006A09D6">
        <w:rPr>
          <w:rFonts w:ascii="Verdana" w:eastAsia="Arial MT" w:hAnsi="Verdana" w:cs="Arial"/>
          <w:spacing w:val="-12"/>
        </w:rPr>
        <w:t xml:space="preserve"> </w:t>
      </w:r>
      <w:r w:rsidRPr="006A09D6">
        <w:rPr>
          <w:rFonts w:ascii="Verdana" w:eastAsia="Arial MT" w:hAnsi="Verdana" w:cs="Arial"/>
        </w:rPr>
        <w:t>ley</w:t>
      </w:r>
      <w:r w:rsidRPr="006A09D6">
        <w:rPr>
          <w:rFonts w:ascii="Verdana" w:eastAsia="Arial MT" w:hAnsi="Verdana" w:cs="Arial"/>
          <w:spacing w:val="-12"/>
        </w:rPr>
        <w:t xml:space="preserve"> </w:t>
      </w:r>
      <w:r w:rsidRPr="006A09D6">
        <w:rPr>
          <w:rFonts w:ascii="Verdana" w:eastAsia="Arial MT" w:hAnsi="Verdana" w:cs="Arial"/>
        </w:rPr>
        <w:t xml:space="preserve">y su interpretación debe ser </w:t>
      </w:r>
      <w:r w:rsidRPr="006A09D6">
        <w:rPr>
          <w:rFonts w:ascii="Verdana" w:eastAsia="Arial MT" w:hAnsi="Verdana" w:cs="Arial"/>
          <w:i/>
        </w:rPr>
        <w:t>restrictiva</w:t>
      </w:r>
      <w:r w:rsidRPr="006A09D6">
        <w:rPr>
          <w:i/>
          <w:vertAlign w:val="superscript"/>
        </w:rPr>
        <w:footnoteReference w:id="4"/>
      </w:r>
      <w:r w:rsidRPr="006A09D6">
        <w:rPr>
          <w:rFonts w:ascii="Verdana" w:eastAsia="Arial MT" w:hAnsi="Verdana" w:cs="Arial"/>
        </w:rPr>
        <w:t>. De admitirse una interpretación</w:t>
      </w:r>
      <w:r w:rsidRPr="006A09D6">
        <w:rPr>
          <w:rFonts w:ascii="Verdana" w:eastAsia="Arial MT" w:hAnsi="Verdana" w:cs="Arial"/>
          <w:spacing w:val="1"/>
        </w:rPr>
        <w:t xml:space="preserve"> </w:t>
      </w:r>
      <w:r w:rsidRPr="006A09D6">
        <w:rPr>
          <w:rFonts w:ascii="Verdana" w:eastAsia="Arial MT" w:hAnsi="Verdana" w:cs="Arial"/>
        </w:rPr>
        <w:t>extensiva,</w:t>
      </w:r>
      <w:r w:rsidRPr="006A09D6">
        <w:rPr>
          <w:rFonts w:ascii="Verdana" w:eastAsia="Arial MT" w:hAnsi="Verdana" w:cs="Arial"/>
          <w:spacing w:val="1"/>
        </w:rPr>
        <w:t xml:space="preserve"> </w:t>
      </w:r>
      <w:r w:rsidRPr="006A09D6">
        <w:rPr>
          <w:rFonts w:ascii="Verdana" w:eastAsia="Arial MT" w:hAnsi="Verdana" w:cs="Arial"/>
        </w:rPr>
        <w:t>tales</w:t>
      </w:r>
      <w:r w:rsidRPr="006A09D6">
        <w:rPr>
          <w:rFonts w:ascii="Verdana" w:eastAsia="Arial MT" w:hAnsi="Verdana" w:cs="Arial"/>
          <w:spacing w:val="1"/>
        </w:rPr>
        <w:t xml:space="preserve"> </w:t>
      </w:r>
      <w:r w:rsidRPr="006A09D6">
        <w:rPr>
          <w:rFonts w:ascii="Verdana" w:eastAsia="Arial MT" w:hAnsi="Verdana" w:cs="Arial"/>
        </w:rPr>
        <w:t>enunciados</w:t>
      </w:r>
      <w:r w:rsidRPr="006A09D6">
        <w:rPr>
          <w:rFonts w:ascii="Verdana" w:eastAsia="Arial MT" w:hAnsi="Verdana" w:cs="Arial"/>
          <w:spacing w:val="1"/>
        </w:rPr>
        <w:t xml:space="preserve"> </w:t>
      </w:r>
      <w:r w:rsidRPr="006A09D6">
        <w:rPr>
          <w:rFonts w:ascii="Verdana" w:eastAsia="Arial MT" w:hAnsi="Verdana" w:cs="Arial"/>
        </w:rPr>
        <w:t>normativos</w:t>
      </w:r>
      <w:r w:rsidRPr="006A09D6">
        <w:rPr>
          <w:rFonts w:ascii="Verdana" w:eastAsia="Arial MT" w:hAnsi="Verdana" w:cs="Arial"/>
          <w:spacing w:val="1"/>
        </w:rPr>
        <w:t xml:space="preserve"> </w:t>
      </w:r>
      <w:r w:rsidRPr="006A09D6">
        <w:rPr>
          <w:rFonts w:ascii="Verdana" w:eastAsia="Arial MT" w:hAnsi="Verdana" w:cs="Arial"/>
        </w:rPr>
        <w:t>podrían</w:t>
      </w:r>
      <w:r w:rsidRPr="006A09D6">
        <w:rPr>
          <w:rFonts w:ascii="Verdana" w:eastAsia="Arial MT" w:hAnsi="Verdana" w:cs="Arial"/>
          <w:spacing w:val="1"/>
        </w:rPr>
        <w:t xml:space="preserve"> </w:t>
      </w:r>
      <w:r w:rsidRPr="006A09D6">
        <w:rPr>
          <w:rFonts w:ascii="Verdana" w:eastAsia="Arial MT" w:hAnsi="Verdana" w:cs="Arial"/>
        </w:rPr>
        <w:t>contemplar</w:t>
      </w:r>
      <w:r w:rsidRPr="006A09D6">
        <w:rPr>
          <w:rFonts w:ascii="Verdana" w:eastAsia="Arial MT" w:hAnsi="Verdana" w:cs="Arial"/>
          <w:spacing w:val="1"/>
        </w:rPr>
        <w:t xml:space="preserve"> </w:t>
      </w:r>
      <w:r w:rsidRPr="006A09D6">
        <w:rPr>
          <w:rFonts w:ascii="Verdana" w:eastAsia="Arial MT" w:hAnsi="Verdana" w:cs="Arial"/>
        </w:rPr>
        <w:t>múltiples</w:t>
      </w:r>
      <w:r w:rsidRPr="006A09D6">
        <w:rPr>
          <w:rFonts w:ascii="Verdana" w:eastAsia="Arial MT" w:hAnsi="Verdana" w:cs="Arial"/>
          <w:spacing w:val="1"/>
        </w:rPr>
        <w:t xml:space="preserve"> </w:t>
      </w:r>
      <w:r w:rsidRPr="006A09D6">
        <w:rPr>
          <w:rFonts w:ascii="Verdana" w:eastAsia="Arial MT" w:hAnsi="Verdana" w:cs="Arial"/>
        </w:rPr>
        <w:t>supuestos</w:t>
      </w:r>
      <w:r w:rsidRPr="006A09D6">
        <w:rPr>
          <w:rFonts w:ascii="Verdana" w:eastAsia="Arial MT" w:hAnsi="Verdana" w:cs="Arial"/>
          <w:spacing w:val="1"/>
        </w:rPr>
        <w:t xml:space="preserve"> </w:t>
      </w:r>
      <w:r w:rsidRPr="006A09D6">
        <w:rPr>
          <w:rFonts w:ascii="Verdana" w:eastAsia="Arial MT" w:hAnsi="Verdana" w:cs="Arial"/>
        </w:rPr>
        <w:t>indeterminados,</w:t>
      </w:r>
      <w:r w:rsidRPr="006A09D6">
        <w:rPr>
          <w:rFonts w:ascii="Verdana" w:eastAsia="Arial MT" w:hAnsi="Verdana" w:cs="Arial"/>
          <w:spacing w:val="-4"/>
        </w:rPr>
        <w:t xml:space="preserve"> </w:t>
      </w:r>
      <w:r w:rsidRPr="006A09D6">
        <w:rPr>
          <w:rFonts w:ascii="Verdana" w:eastAsia="Arial MT" w:hAnsi="Verdana" w:cs="Arial"/>
        </w:rPr>
        <w:t>adquiriendo</w:t>
      </w:r>
      <w:r w:rsidRPr="006A09D6">
        <w:rPr>
          <w:rFonts w:ascii="Verdana" w:eastAsia="Arial MT" w:hAnsi="Verdana" w:cs="Arial"/>
          <w:spacing w:val="-4"/>
        </w:rPr>
        <w:t xml:space="preserve"> </w:t>
      </w:r>
      <w:r w:rsidRPr="006A09D6">
        <w:rPr>
          <w:rFonts w:ascii="Verdana" w:eastAsia="Arial MT" w:hAnsi="Verdana" w:cs="Arial"/>
        </w:rPr>
        <w:t>un</w:t>
      </w:r>
      <w:r w:rsidRPr="006A09D6">
        <w:rPr>
          <w:rFonts w:ascii="Verdana" w:eastAsia="Arial MT" w:hAnsi="Verdana" w:cs="Arial"/>
          <w:spacing w:val="-4"/>
        </w:rPr>
        <w:t xml:space="preserve"> </w:t>
      </w:r>
      <w:r w:rsidRPr="006A09D6">
        <w:rPr>
          <w:rFonts w:ascii="Verdana" w:eastAsia="Arial MT" w:hAnsi="Verdana" w:cs="Arial"/>
        </w:rPr>
        <w:t>cariz</w:t>
      </w:r>
      <w:r w:rsidRPr="006A09D6">
        <w:rPr>
          <w:rFonts w:ascii="Verdana" w:eastAsia="Arial MT" w:hAnsi="Verdana" w:cs="Arial"/>
          <w:spacing w:val="-4"/>
        </w:rPr>
        <w:t xml:space="preserve"> </w:t>
      </w:r>
      <w:r w:rsidRPr="006A09D6">
        <w:rPr>
          <w:rFonts w:ascii="Verdana" w:eastAsia="Arial MT" w:hAnsi="Verdana" w:cs="Arial"/>
        </w:rPr>
        <w:t>subjetivo,</w:t>
      </w:r>
      <w:r w:rsidRPr="006A09D6">
        <w:rPr>
          <w:rFonts w:ascii="Verdana" w:eastAsia="Arial MT" w:hAnsi="Verdana" w:cs="Arial"/>
          <w:spacing w:val="-3"/>
        </w:rPr>
        <w:t xml:space="preserve"> </w:t>
      </w:r>
      <w:r w:rsidRPr="006A09D6">
        <w:rPr>
          <w:rFonts w:ascii="Verdana" w:eastAsia="Arial MT" w:hAnsi="Verdana" w:cs="Arial"/>
        </w:rPr>
        <w:t>según</w:t>
      </w:r>
      <w:r w:rsidRPr="006A09D6">
        <w:rPr>
          <w:rFonts w:ascii="Verdana" w:eastAsia="Arial MT" w:hAnsi="Verdana" w:cs="Arial"/>
          <w:spacing w:val="-4"/>
        </w:rPr>
        <w:t xml:space="preserve"> </w:t>
      </w:r>
      <w:r w:rsidRPr="006A09D6">
        <w:rPr>
          <w:rFonts w:ascii="Verdana" w:eastAsia="Arial MT" w:hAnsi="Verdana" w:cs="Arial"/>
        </w:rPr>
        <w:t>el</w:t>
      </w:r>
      <w:r w:rsidRPr="006A09D6">
        <w:rPr>
          <w:rFonts w:ascii="Verdana" w:eastAsia="Arial MT" w:hAnsi="Verdana" w:cs="Arial"/>
          <w:spacing w:val="-4"/>
        </w:rPr>
        <w:t xml:space="preserve"> </w:t>
      </w:r>
      <w:r w:rsidRPr="006A09D6">
        <w:rPr>
          <w:rFonts w:ascii="Verdana" w:eastAsia="Arial MT" w:hAnsi="Verdana" w:cs="Arial"/>
        </w:rPr>
        <w:t>parecer</w:t>
      </w:r>
      <w:r w:rsidRPr="006A09D6">
        <w:rPr>
          <w:rFonts w:ascii="Verdana" w:eastAsia="Arial MT" w:hAnsi="Verdana" w:cs="Arial"/>
          <w:spacing w:val="-4"/>
        </w:rPr>
        <w:t xml:space="preserve"> </w:t>
      </w:r>
      <w:r w:rsidRPr="006A09D6">
        <w:rPr>
          <w:rFonts w:ascii="Verdana" w:eastAsia="Arial MT" w:hAnsi="Verdana" w:cs="Arial"/>
        </w:rPr>
        <w:t>o</w:t>
      </w:r>
      <w:r w:rsidRPr="006A09D6">
        <w:rPr>
          <w:rFonts w:ascii="Verdana" w:eastAsia="Arial MT" w:hAnsi="Verdana" w:cs="Arial"/>
          <w:spacing w:val="-3"/>
        </w:rPr>
        <w:t xml:space="preserve"> </w:t>
      </w:r>
      <w:r w:rsidRPr="006A09D6">
        <w:rPr>
          <w:rFonts w:ascii="Verdana" w:eastAsia="Arial MT" w:hAnsi="Verdana" w:cs="Arial"/>
        </w:rPr>
        <w:t>el</w:t>
      </w:r>
      <w:r w:rsidRPr="006A09D6">
        <w:rPr>
          <w:rFonts w:ascii="Verdana" w:eastAsia="Arial MT" w:hAnsi="Verdana" w:cs="Arial"/>
          <w:spacing w:val="-4"/>
        </w:rPr>
        <w:t xml:space="preserve"> </w:t>
      </w:r>
      <w:r w:rsidRPr="006A09D6">
        <w:rPr>
          <w:rFonts w:ascii="Verdana" w:eastAsia="Arial MT" w:hAnsi="Verdana" w:cs="Arial"/>
        </w:rPr>
        <w:t>sentido</w:t>
      </w:r>
      <w:r w:rsidRPr="006A09D6">
        <w:rPr>
          <w:rFonts w:ascii="Verdana" w:eastAsia="Arial MT" w:hAnsi="Verdana" w:cs="Arial"/>
          <w:spacing w:val="-4"/>
        </w:rPr>
        <w:t xml:space="preserve"> </w:t>
      </w:r>
      <w:r w:rsidRPr="006A09D6">
        <w:rPr>
          <w:rFonts w:ascii="Verdana" w:eastAsia="Arial MT" w:hAnsi="Verdana" w:cs="Arial"/>
        </w:rPr>
        <w:t>común</w:t>
      </w:r>
      <w:r w:rsidRPr="006A09D6">
        <w:rPr>
          <w:rFonts w:ascii="Verdana" w:eastAsia="Arial MT" w:hAnsi="Verdana" w:cs="Arial"/>
          <w:spacing w:val="-4"/>
        </w:rPr>
        <w:t xml:space="preserve"> </w:t>
      </w:r>
      <w:r w:rsidRPr="006A09D6">
        <w:rPr>
          <w:rFonts w:ascii="Verdana" w:eastAsia="Arial MT" w:hAnsi="Verdana" w:cs="Arial"/>
        </w:rPr>
        <w:t>de los operadores jurídicos, poniendo en riesgo principios como la igualdad, el debido</w:t>
      </w:r>
      <w:r w:rsidRPr="006A09D6">
        <w:rPr>
          <w:rFonts w:ascii="Verdana" w:eastAsia="Arial MT" w:hAnsi="Verdana" w:cs="Arial"/>
          <w:spacing w:val="1"/>
        </w:rPr>
        <w:t xml:space="preserve"> </w:t>
      </w:r>
      <w:r w:rsidRPr="006A09D6">
        <w:rPr>
          <w:rFonts w:ascii="Verdana" w:eastAsia="Arial MT" w:hAnsi="Verdana" w:cs="Arial"/>
        </w:rPr>
        <w:t>proceso, la libre concurrencia y el ejercicio de la profesión u oficio. Tal ha sido la postura al interior de la jurisprudencia, tanto de la Corte Constitucional como de la Sección</w:t>
      </w:r>
      <w:r w:rsidRPr="006A09D6">
        <w:rPr>
          <w:rFonts w:ascii="Verdana" w:eastAsia="Arial MT" w:hAnsi="Verdana" w:cs="Arial"/>
          <w:spacing w:val="1"/>
        </w:rPr>
        <w:t xml:space="preserve"> </w:t>
      </w:r>
      <w:r w:rsidRPr="006A09D6">
        <w:rPr>
          <w:rFonts w:ascii="Verdana" w:eastAsia="Arial MT" w:hAnsi="Verdana" w:cs="Arial"/>
        </w:rPr>
        <w:t>Tercera</w:t>
      </w:r>
      <w:r w:rsidRPr="006A09D6">
        <w:rPr>
          <w:rFonts w:ascii="Verdana" w:eastAsia="Arial MT" w:hAnsi="Verdana" w:cs="Arial"/>
          <w:spacing w:val="-2"/>
        </w:rPr>
        <w:t xml:space="preserve"> </w:t>
      </w:r>
      <w:r w:rsidRPr="006A09D6">
        <w:rPr>
          <w:rFonts w:ascii="Verdana" w:eastAsia="Arial MT" w:hAnsi="Verdana" w:cs="Arial"/>
        </w:rPr>
        <w:t>del</w:t>
      </w:r>
      <w:r w:rsidRPr="006A09D6">
        <w:rPr>
          <w:rFonts w:ascii="Verdana" w:eastAsia="Arial MT" w:hAnsi="Verdana" w:cs="Arial"/>
          <w:spacing w:val="-1"/>
        </w:rPr>
        <w:t xml:space="preserve"> </w:t>
      </w:r>
      <w:r w:rsidRPr="006A09D6">
        <w:rPr>
          <w:rFonts w:ascii="Verdana" w:eastAsia="Arial MT" w:hAnsi="Verdana" w:cs="Arial"/>
        </w:rPr>
        <w:t>Consejo</w:t>
      </w:r>
      <w:r w:rsidRPr="006A09D6">
        <w:rPr>
          <w:rFonts w:ascii="Verdana" w:eastAsia="Arial MT" w:hAnsi="Verdana" w:cs="Arial"/>
          <w:spacing w:val="-1"/>
        </w:rPr>
        <w:t xml:space="preserve"> </w:t>
      </w:r>
      <w:r w:rsidRPr="006A09D6">
        <w:rPr>
          <w:rFonts w:ascii="Verdana" w:eastAsia="Arial MT" w:hAnsi="Verdana" w:cs="Arial"/>
        </w:rPr>
        <w:t>de</w:t>
      </w:r>
      <w:r w:rsidRPr="006A09D6">
        <w:rPr>
          <w:rFonts w:ascii="Verdana" w:eastAsia="Arial MT" w:hAnsi="Verdana" w:cs="Arial"/>
          <w:spacing w:val="-1"/>
        </w:rPr>
        <w:t xml:space="preserve"> </w:t>
      </w:r>
      <w:r w:rsidRPr="006A09D6">
        <w:rPr>
          <w:rFonts w:ascii="Verdana" w:eastAsia="Arial MT" w:hAnsi="Verdana" w:cs="Arial"/>
        </w:rPr>
        <w:t>Estado.</w:t>
      </w:r>
    </w:p>
    <w:p w14:paraId="10D5E59E" w14:textId="77777777" w:rsidR="00083BD2" w:rsidRPr="006A09D6" w:rsidRDefault="00083BD2" w:rsidP="00083BD2">
      <w:pPr>
        <w:widowControl w:val="0"/>
        <w:autoSpaceDE w:val="0"/>
        <w:autoSpaceDN w:val="0"/>
        <w:spacing w:before="120" w:after="0" w:line="276" w:lineRule="auto"/>
        <w:ind w:firstLine="708"/>
        <w:jc w:val="both"/>
        <w:rPr>
          <w:rFonts w:ascii="Verdana" w:eastAsia="Arial MT" w:hAnsi="Verdana" w:cs="Arial"/>
        </w:rPr>
      </w:pPr>
      <w:r w:rsidRPr="006A09D6">
        <w:rPr>
          <w:rFonts w:ascii="Verdana" w:eastAsia="Arial MT" w:hAnsi="Verdana" w:cs="Arial"/>
        </w:rPr>
        <w:t>En</w:t>
      </w:r>
      <w:r w:rsidRPr="006A09D6">
        <w:rPr>
          <w:rFonts w:ascii="Verdana" w:eastAsia="Arial MT" w:hAnsi="Verdana" w:cs="Arial"/>
          <w:spacing w:val="-11"/>
        </w:rPr>
        <w:t xml:space="preserve"> </w:t>
      </w:r>
      <w:r w:rsidRPr="006A09D6">
        <w:rPr>
          <w:rFonts w:ascii="Verdana" w:eastAsia="Arial MT" w:hAnsi="Verdana" w:cs="Arial"/>
        </w:rPr>
        <w:t>efecto,</w:t>
      </w:r>
      <w:r w:rsidRPr="006A09D6">
        <w:rPr>
          <w:rFonts w:ascii="Verdana" w:eastAsia="Arial MT" w:hAnsi="Verdana" w:cs="Arial"/>
          <w:spacing w:val="-10"/>
        </w:rPr>
        <w:t xml:space="preserve"> </w:t>
      </w:r>
      <w:r w:rsidRPr="006A09D6">
        <w:rPr>
          <w:rFonts w:ascii="Verdana" w:eastAsia="Arial MT" w:hAnsi="Verdana" w:cs="Arial"/>
        </w:rPr>
        <w:t>el</w:t>
      </w:r>
      <w:r w:rsidRPr="006A09D6">
        <w:rPr>
          <w:rFonts w:ascii="Verdana" w:eastAsia="Arial MT" w:hAnsi="Verdana" w:cs="Arial"/>
          <w:spacing w:val="-10"/>
        </w:rPr>
        <w:t xml:space="preserve"> </w:t>
      </w:r>
      <w:r w:rsidRPr="006A09D6">
        <w:rPr>
          <w:rFonts w:ascii="Verdana" w:eastAsia="Arial MT" w:hAnsi="Verdana" w:cs="Arial"/>
        </w:rPr>
        <w:t>máximo</w:t>
      </w:r>
      <w:r w:rsidRPr="006A09D6">
        <w:rPr>
          <w:rFonts w:ascii="Verdana" w:eastAsia="Arial MT" w:hAnsi="Verdana" w:cs="Arial"/>
          <w:spacing w:val="-10"/>
        </w:rPr>
        <w:t xml:space="preserve"> </w:t>
      </w:r>
      <w:r w:rsidRPr="006A09D6">
        <w:rPr>
          <w:rFonts w:ascii="Verdana" w:eastAsia="Arial MT" w:hAnsi="Verdana" w:cs="Arial"/>
        </w:rPr>
        <w:t>tribunal</w:t>
      </w:r>
      <w:r w:rsidRPr="006A09D6">
        <w:rPr>
          <w:rFonts w:ascii="Verdana" w:eastAsia="Arial MT" w:hAnsi="Verdana" w:cs="Arial"/>
          <w:spacing w:val="-9"/>
        </w:rPr>
        <w:t xml:space="preserve"> </w:t>
      </w:r>
      <w:r w:rsidRPr="006A09D6">
        <w:rPr>
          <w:rFonts w:ascii="Verdana" w:eastAsia="Arial MT" w:hAnsi="Verdana" w:cs="Arial"/>
        </w:rPr>
        <w:t>constitucional ha indicado que, al tratar de precisar el sentido de este tipo de normas,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sidRPr="006A09D6">
        <w:rPr>
          <w:rFonts w:ascii="Verdana" w:eastAsia="Arial MT" w:hAnsi="Verdana" w:cs="Arial"/>
          <w:vertAlign w:val="superscript"/>
        </w:rPr>
        <w:footnoteReference w:id="5"/>
      </w:r>
      <w:r w:rsidRPr="006A09D6">
        <w:rPr>
          <w:rFonts w:ascii="Verdana" w:eastAsia="Arial MT" w:hAnsi="Verdana" w:cs="Arial"/>
        </w:rPr>
        <w:t xml:space="preserve">. Por su parte, el Consejo de Estado también ha acogido este criterio, considerando –como expresa la Sala de Consulta y Servicio Civil–, que “La interpretación </w:t>
      </w:r>
      <w:r w:rsidRPr="006A09D6">
        <w:rPr>
          <w:rFonts w:ascii="Verdana" w:eastAsia="Arial MT" w:hAnsi="Verdana" w:cs="Arial"/>
        </w:rPr>
        <w:lastRenderedPageBreak/>
        <w:t>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w:t>
      </w:r>
      <w:r w:rsidRPr="006A09D6">
        <w:rPr>
          <w:rFonts w:ascii="Verdana" w:eastAsia="Arial MT" w:hAnsi="Verdana" w:cs="Arial"/>
          <w:vertAlign w:val="superscript"/>
        </w:rPr>
        <w:footnoteReference w:id="6"/>
      </w:r>
      <w:r w:rsidRPr="006A09D6">
        <w:rPr>
          <w:rFonts w:ascii="Verdana" w:eastAsia="Arial MT" w:hAnsi="Verdana" w:cs="Arial"/>
        </w:rPr>
        <w:t>. En tal sentido, la Sección Tercera ha señalado que:</w:t>
      </w:r>
    </w:p>
    <w:p w14:paraId="78D68ECD" w14:textId="77777777" w:rsidR="00083BD2" w:rsidRPr="006A09D6" w:rsidRDefault="00083BD2" w:rsidP="00083BD2">
      <w:pPr>
        <w:widowControl w:val="0"/>
        <w:autoSpaceDE w:val="0"/>
        <w:autoSpaceDN w:val="0"/>
        <w:spacing w:after="0" w:line="276" w:lineRule="auto"/>
        <w:ind w:firstLine="708"/>
        <w:jc w:val="both"/>
        <w:rPr>
          <w:rFonts w:ascii="Verdana" w:eastAsia="Arial MT" w:hAnsi="Verdana" w:cs="Arial"/>
          <w:sz w:val="25"/>
        </w:rPr>
      </w:pPr>
    </w:p>
    <w:p w14:paraId="5A313559" w14:textId="77777777" w:rsidR="00083BD2" w:rsidRPr="006A09D6" w:rsidRDefault="00083BD2" w:rsidP="00083BD2">
      <w:pPr>
        <w:widowControl w:val="0"/>
        <w:autoSpaceDE w:val="0"/>
        <w:autoSpaceDN w:val="0"/>
        <w:spacing w:after="0" w:line="240" w:lineRule="auto"/>
        <w:ind w:left="709" w:right="709"/>
        <w:jc w:val="both"/>
        <w:rPr>
          <w:rFonts w:ascii="Verdana" w:eastAsia="Calibri" w:hAnsi="Verdana" w:cs="Arial"/>
          <w:sz w:val="20"/>
          <w:szCs w:val="20"/>
        </w:rPr>
      </w:pPr>
      <w:r w:rsidRPr="006A09D6">
        <w:rPr>
          <w:rFonts w:ascii="Verdana" w:eastAsia="Arial MT" w:hAnsi="Verdana" w:cs="Arial"/>
          <w:sz w:val="20"/>
          <w:szCs w:val="20"/>
        </w:rPr>
        <w:t>“[…]</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de</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conformidad</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con</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la</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jurisprudencia</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uniforme</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y</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reiterada</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de</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esta</w:t>
      </w:r>
      <w:r w:rsidRPr="006A09D6">
        <w:rPr>
          <w:rFonts w:ascii="Verdana" w:eastAsia="Arial MT" w:hAnsi="Verdana" w:cs="Arial"/>
          <w:spacing w:val="-56"/>
          <w:sz w:val="20"/>
          <w:szCs w:val="20"/>
        </w:rPr>
        <w:t xml:space="preserve"> </w:t>
      </w:r>
      <w:r w:rsidRPr="006A09D6">
        <w:rPr>
          <w:rFonts w:ascii="Verdana" w:eastAsia="Arial MT" w:hAnsi="Verdana" w:cs="Arial"/>
          <w:sz w:val="20"/>
          <w:szCs w:val="20"/>
        </w:rPr>
        <w:t>Corporación, la aplicación de las normas que contemplan inhabilidades e</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incompatibilidades,</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como</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en</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general</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de</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todas</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aquellas</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que</w:t>
      </w:r>
      <w:r w:rsidRPr="006A09D6">
        <w:rPr>
          <w:rFonts w:ascii="Verdana" w:eastAsia="Arial MT" w:hAnsi="Verdana" w:cs="Arial"/>
          <w:spacing w:val="1"/>
          <w:sz w:val="20"/>
          <w:szCs w:val="20"/>
        </w:rPr>
        <w:t xml:space="preserve"> </w:t>
      </w:r>
      <w:r w:rsidRPr="006A09D6">
        <w:rPr>
          <w:rFonts w:ascii="Verdana" w:eastAsia="Arial MT" w:hAnsi="Verdana" w:cs="Arial"/>
          <w:sz w:val="20"/>
          <w:szCs w:val="20"/>
        </w:rPr>
        <w:t>comportan</w:t>
      </w:r>
      <w:r w:rsidRPr="006A09D6">
        <w:rPr>
          <w:rFonts w:ascii="Verdana" w:eastAsia="Arial MT" w:hAnsi="Verdana" w:cs="Arial"/>
          <w:spacing w:val="-56"/>
          <w:sz w:val="20"/>
          <w:szCs w:val="20"/>
        </w:rPr>
        <w:t xml:space="preserve"> </w:t>
      </w:r>
      <w:r w:rsidRPr="006A09D6">
        <w:rPr>
          <w:rFonts w:ascii="Verdana" w:eastAsia="Arial MT" w:hAnsi="Verdana" w:cs="Arial"/>
          <w:sz w:val="20"/>
          <w:szCs w:val="20"/>
        </w:rPr>
        <w:t>prohibiciones</w:t>
      </w:r>
      <w:r w:rsidRPr="006A09D6">
        <w:rPr>
          <w:rFonts w:ascii="Verdana" w:eastAsia="Arial MT" w:hAnsi="Verdana" w:cs="Arial"/>
          <w:spacing w:val="-12"/>
          <w:sz w:val="20"/>
          <w:szCs w:val="20"/>
        </w:rPr>
        <w:t xml:space="preserve"> </w:t>
      </w:r>
      <w:r w:rsidRPr="006A09D6">
        <w:rPr>
          <w:rFonts w:ascii="Verdana" w:eastAsia="Arial MT" w:hAnsi="Verdana" w:cs="Arial"/>
          <w:sz w:val="20"/>
          <w:szCs w:val="20"/>
        </w:rPr>
        <w:t>o</w:t>
      </w:r>
      <w:r w:rsidRPr="006A09D6">
        <w:rPr>
          <w:rFonts w:ascii="Verdana" w:eastAsia="Arial MT" w:hAnsi="Verdana" w:cs="Arial"/>
          <w:spacing w:val="-13"/>
          <w:sz w:val="20"/>
          <w:szCs w:val="20"/>
        </w:rPr>
        <w:t xml:space="preserve"> </w:t>
      </w:r>
      <w:r w:rsidRPr="006A09D6">
        <w:rPr>
          <w:rFonts w:ascii="Verdana" w:eastAsia="Arial MT" w:hAnsi="Verdana" w:cs="Arial"/>
          <w:sz w:val="20"/>
          <w:szCs w:val="20"/>
        </w:rPr>
        <w:t>limitaciones,</w:t>
      </w:r>
      <w:r w:rsidRPr="006A09D6">
        <w:rPr>
          <w:rFonts w:ascii="Verdana" w:eastAsia="Arial MT" w:hAnsi="Verdana" w:cs="Arial"/>
          <w:spacing w:val="-12"/>
          <w:sz w:val="20"/>
          <w:szCs w:val="20"/>
        </w:rPr>
        <w:t xml:space="preserve"> </w:t>
      </w:r>
      <w:r w:rsidRPr="006A09D6">
        <w:rPr>
          <w:rFonts w:ascii="Verdana" w:eastAsia="Arial MT" w:hAnsi="Verdana" w:cs="Arial"/>
          <w:sz w:val="20"/>
          <w:szCs w:val="20"/>
        </w:rPr>
        <w:t>deben</w:t>
      </w:r>
      <w:r w:rsidRPr="006A09D6">
        <w:rPr>
          <w:rFonts w:ascii="Verdana" w:eastAsia="Arial MT" w:hAnsi="Verdana" w:cs="Arial"/>
          <w:spacing w:val="-13"/>
          <w:sz w:val="20"/>
          <w:szCs w:val="20"/>
        </w:rPr>
        <w:t xml:space="preserve"> </w:t>
      </w:r>
      <w:r w:rsidRPr="006A09D6">
        <w:rPr>
          <w:rFonts w:ascii="Verdana" w:eastAsia="Arial MT" w:hAnsi="Verdana" w:cs="Arial"/>
          <w:sz w:val="20"/>
          <w:szCs w:val="20"/>
        </w:rPr>
        <w:t>responder</w:t>
      </w:r>
      <w:r w:rsidRPr="006A09D6">
        <w:rPr>
          <w:rFonts w:ascii="Verdana" w:eastAsia="Arial MT" w:hAnsi="Verdana" w:cs="Arial"/>
          <w:spacing w:val="-13"/>
          <w:sz w:val="20"/>
          <w:szCs w:val="20"/>
        </w:rPr>
        <w:t xml:space="preserve"> </w:t>
      </w:r>
      <w:r w:rsidRPr="006A09D6">
        <w:rPr>
          <w:rFonts w:ascii="Verdana" w:eastAsia="Arial MT" w:hAnsi="Verdana" w:cs="Arial"/>
          <w:sz w:val="20"/>
          <w:szCs w:val="20"/>
        </w:rPr>
        <w:t>a</w:t>
      </w:r>
      <w:r w:rsidRPr="006A09D6">
        <w:rPr>
          <w:rFonts w:ascii="Verdana" w:eastAsia="Arial MT" w:hAnsi="Verdana" w:cs="Arial"/>
          <w:spacing w:val="-12"/>
          <w:sz w:val="20"/>
          <w:szCs w:val="20"/>
        </w:rPr>
        <w:t xml:space="preserve"> </w:t>
      </w:r>
      <w:r w:rsidRPr="006A09D6">
        <w:rPr>
          <w:rFonts w:ascii="Verdana" w:eastAsia="Arial MT" w:hAnsi="Verdana" w:cs="Arial"/>
          <w:sz w:val="20"/>
          <w:szCs w:val="20"/>
        </w:rPr>
        <w:t>una</w:t>
      </w:r>
      <w:r w:rsidRPr="006A09D6">
        <w:rPr>
          <w:rFonts w:ascii="Verdana" w:eastAsia="Arial MT" w:hAnsi="Verdana" w:cs="Arial"/>
          <w:spacing w:val="-13"/>
          <w:sz w:val="20"/>
          <w:szCs w:val="20"/>
        </w:rPr>
        <w:t xml:space="preserve"> </w:t>
      </w:r>
      <w:r w:rsidRPr="006A09D6">
        <w:rPr>
          <w:rFonts w:ascii="Verdana" w:eastAsia="Arial MT" w:hAnsi="Verdana" w:cs="Arial"/>
          <w:sz w:val="20"/>
          <w:szCs w:val="20"/>
        </w:rPr>
        <w:t>interpretación</w:t>
      </w:r>
      <w:r w:rsidRPr="006A09D6">
        <w:rPr>
          <w:rFonts w:ascii="Verdana" w:eastAsia="Arial MT" w:hAnsi="Verdana" w:cs="Arial"/>
          <w:spacing w:val="-12"/>
          <w:sz w:val="20"/>
          <w:szCs w:val="20"/>
        </w:rPr>
        <w:t xml:space="preserve"> </w:t>
      </w:r>
      <w:r w:rsidRPr="006A09D6">
        <w:rPr>
          <w:rFonts w:ascii="Verdana" w:eastAsia="Arial MT" w:hAnsi="Verdana" w:cs="Arial"/>
          <w:sz w:val="20"/>
          <w:szCs w:val="20"/>
        </w:rPr>
        <w:t xml:space="preserve">restrictiva </w:t>
      </w:r>
      <w:r w:rsidRPr="006A09D6">
        <w:rPr>
          <w:rFonts w:ascii="Verdana" w:eastAsia="Calibri" w:hAnsi="Verdana" w:cs="Arial"/>
          <w:sz w:val="20"/>
          <w:szCs w:val="20"/>
        </w:rPr>
        <w:t>que</w:t>
      </w:r>
      <w:r w:rsidRPr="006A09D6">
        <w:rPr>
          <w:rFonts w:ascii="Verdana" w:eastAsia="Calibri" w:hAnsi="Verdana" w:cs="Arial"/>
          <w:spacing w:val="-6"/>
          <w:sz w:val="20"/>
          <w:szCs w:val="20"/>
        </w:rPr>
        <w:t xml:space="preserve"> </w:t>
      </w:r>
      <w:r w:rsidRPr="006A09D6">
        <w:rPr>
          <w:rFonts w:ascii="Verdana" w:eastAsia="Calibri" w:hAnsi="Verdana" w:cs="Arial"/>
          <w:sz w:val="20"/>
          <w:szCs w:val="20"/>
        </w:rPr>
        <w:t>no</w:t>
      </w:r>
      <w:r w:rsidRPr="006A09D6">
        <w:rPr>
          <w:rFonts w:ascii="Verdana" w:eastAsia="Calibri" w:hAnsi="Verdana" w:cs="Arial"/>
          <w:spacing w:val="-5"/>
          <w:sz w:val="20"/>
          <w:szCs w:val="20"/>
        </w:rPr>
        <w:t xml:space="preserve"> </w:t>
      </w:r>
      <w:r w:rsidRPr="006A09D6">
        <w:rPr>
          <w:rFonts w:ascii="Verdana" w:eastAsia="Calibri" w:hAnsi="Verdana" w:cs="Arial"/>
          <w:sz w:val="20"/>
          <w:szCs w:val="20"/>
        </w:rPr>
        <w:t>permite</w:t>
      </w:r>
      <w:r w:rsidRPr="006A09D6">
        <w:rPr>
          <w:rFonts w:ascii="Verdana" w:eastAsia="Calibri" w:hAnsi="Verdana" w:cs="Arial"/>
          <w:spacing w:val="-6"/>
          <w:sz w:val="20"/>
          <w:szCs w:val="20"/>
        </w:rPr>
        <w:t xml:space="preserve"> </w:t>
      </w:r>
      <w:r w:rsidRPr="006A09D6">
        <w:rPr>
          <w:rFonts w:ascii="Verdana" w:eastAsia="Calibri" w:hAnsi="Verdana" w:cs="Arial"/>
          <w:sz w:val="20"/>
          <w:szCs w:val="20"/>
        </w:rPr>
        <w:t>su</w:t>
      </w:r>
      <w:r w:rsidRPr="006A09D6">
        <w:rPr>
          <w:rFonts w:ascii="Verdana" w:eastAsia="Calibri" w:hAnsi="Verdana" w:cs="Arial"/>
          <w:spacing w:val="-5"/>
          <w:sz w:val="20"/>
          <w:szCs w:val="20"/>
        </w:rPr>
        <w:t xml:space="preserve"> </w:t>
      </w:r>
      <w:r w:rsidRPr="006A09D6">
        <w:rPr>
          <w:rFonts w:ascii="Verdana" w:eastAsia="Calibri" w:hAnsi="Verdana" w:cs="Arial"/>
          <w:sz w:val="20"/>
          <w:szCs w:val="20"/>
        </w:rPr>
        <w:t>extensión,</w:t>
      </w:r>
      <w:r w:rsidRPr="006A09D6">
        <w:rPr>
          <w:rFonts w:ascii="Verdana" w:eastAsia="Calibri" w:hAnsi="Verdana" w:cs="Arial"/>
          <w:spacing w:val="-6"/>
          <w:sz w:val="20"/>
          <w:szCs w:val="20"/>
        </w:rPr>
        <w:t xml:space="preserve"> </w:t>
      </w:r>
      <w:r w:rsidRPr="006A09D6">
        <w:rPr>
          <w:rFonts w:ascii="Verdana" w:eastAsia="Calibri" w:hAnsi="Verdana" w:cs="Arial"/>
          <w:sz w:val="20"/>
          <w:szCs w:val="20"/>
        </w:rPr>
        <w:t>por</w:t>
      </w:r>
      <w:r w:rsidRPr="006A09D6">
        <w:rPr>
          <w:rFonts w:ascii="Verdana" w:eastAsia="Calibri" w:hAnsi="Verdana" w:cs="Arial"/>
          <w:spacing w:val="-5"/>
          <w:sz w:val="20"/>
          <w:szCs w:val="20"/>
        </w:rPr>
        <w:t xml:space="preserve"> </w:t>
      </w:r>
      <w:r w:rsidRPr="006A09D6">
        <w:rPr>
          <w:rFonts w:ascii="Verdana" w:eastAsia="Calibri" w:hAnsi="Verdana" w:cs="Arial"/>
          <w:sz w:val="20"/>
          <w:szCs w:val="20"/>
        </w:rPr>
        <w:t>vía</w:t>
      </w:r>
      <w:r w:rsidRPr="006A09D6">
        <w:rPr>
          <w:rFonts w:ascii="Verdana" w:eastAsia="Calibri" w:hAnsi="Verdana" w:cs="Arial"/>
          <w:spacing w:val="-6"/>
          <w:sz w:val="20"/>
          <w:szCs w:val="20"/>
        </w:rPr>
        <w:t xml:space="preserve"> </w:t>
      </w:r>
      <w:r w:rsidRPr="006A09D6">
        <w:rPr>
          <w:rFonts w:ascii="Verdana" w:eastAsia="Calibri" w:hAnsi="Verdana" w:cs="Arial"/>
          <w:sz w:val="20"/>
          <w:szCs w:val="20"/>
        </w:rPr>
        <w:t>de</w:t>
      </w:r>
      <w:r w:rsidRPr="006A09D6">
        <w:rPr>
          <w:rFonts w:ascii="Verdana" w:eastAsia="Calibri" w:hAnsi="Verdana" w:cs="Arial"/>
          <w:spacing w:val="-5"/>
          <w:sz w:val="20"/>
          <w:szCs w:val="20"/>
        </w:rPr>
        <w:t xml:space="preserve"> </w:t>
      </w:r>
      <w:r w:rsidRPr="006A09D6">
        <w:rPr>
          <w:rFonts w:ascii="Verdana" w:eastAsia="Calibri" w:hAnsi="Verdana" w:cs="Arial"/>
          <w:sz w:val="20"/>
          <w:szCs w:val="20"/>
        </w:rPr>
        <w:t>la</w:t>
      </w:r>
      <w:r w:rsidRPr="006A09D6">
        <w:rPr>
          <w:rFonts w:ascii="Verdana" w:eastAsia="Calibri" w:hAnsi="Verdana" w:cs="Arial"/>
          <w:spacing w:val="-6"/>
          <w:sz w:val="20"/>
          <w:szCs w:val="20"/>
        </w:rPr>
        <w:t xml:space="preserve"> </w:t>
      </w:r>
      <w:r w:rsidRPr="006A09D6">
        <w:rPr>
          <w:rFonts w:ascii="Verdana" w:eastAsia="Calibri" w:hAnsi="Verdana" w:cs="Arial"/>
          <w:sz w:val="20"/>
          <w:szCs w:val="20"/>
        </w:rPr>
        <w:t>figura</w:t>
      </w:r>
      <w:r w:rsidRPr="006A09D6">
        <w:rPr>
          <w:rFonts w:ascii="Verdana" w:eastAsia="Calibri" w:hAnsi="Verdana" w:cs="Arial"/>
          <w:spacing w:val="-4"/>
          <w:sz w:val="20"/>
          <w:szCs w:val="20"/>
        </w:rPr>
        <w:t xml:space="preserve"> </w:t>
      </w:r>
      <w:r w:rsidRPr="006A09D6">
        <w:rPr>
          <w:rFonts w:ascii="Verdana" w:eastAsia="Calibri" w:hAnsi="Verdana" w:cs="Arial"/>
          <w:sz w:val="20"/>
          <w:szCs w:val="20"/>
        </w:rPr>
        <w:t>de</w:t>
      </w:r>
      <w:r w:rsidRPr="006A09D6">
        <w:rPr>
          <w:rFonts w:ascii="Verdana" w:eastAsia="Calibri" w:hAnsi="Verdana" w:cs="Arial"/>
          <w:spacing w:val="-6"/>
          <w:sz w:val="20"/>
          <w:szCs w:val="20"/>
        </w:rPr>
        <w:t xml:space="preserve"> </w:t>
      </w:r>
      <w:r w:rsidRPr="006A09D6">
        <w:rPr>
          <w:rFonts w:ascii="Verdana" w:eastAsia="Calibri" w:hAnsi="Verdana" w:cs="Arial"/>
          <w:sz w:val="20"/>
          <w:szCs w:val="20"/>
        </w:rPr>
        <w:t>la</w:t>
      </w:r>
      <w:r w:rsidRPr="006A09D6">
        <w:rPr>
          <w:rFonts w:ascii="Verdana" w:eastAsia="Calibri" w:hAnsi="Verdana" w:cs="Arial"/>
          <w:spacing w:val="-5"/>
          <w:sz w:val="20"/>
          <w:szCs w:val="20"/>
        </w:rPr>
        <w:t xml:space="preserve"> </w:t>
      </w:r>
      <w:r w:rsidRPr="006A09D6">
        <w:rPr>
          <w:rFonts w:ascii="Verdana" w:eastAsia="Calibri" w:hAnsi="Verdana" w:cs="Arial"/>
          <w:sz w:val="20"/>
          <w:szCs w:val="20"/>
        </w:rPr>
        <w:t>analogía,</w:t>
      </w:r>
      <w:r w:rsidRPr="006A09D6">
        <w:rPr>
          <w:rFonts w:ascii="Verdana" w:eastAsia="Calibri" w:hAnsi="Verdana" w:cs="Arial"/>
          <w:spacing w:val="-6"/>
          <w:sz w:val="20"/>
          <w:szCs w:val="20"/>
        </w:rPr>
        <w:t xml:space="preserve"> </w:t>
      </w:r>
      <w:r w:rsidRPr="006A09D6">
        <w:rPr>
          <w:rFonts w:ascii="Verdana" w:eastAsia="Calibri" w:hAnsi="Verdana" w:cs="Arial"/>
          <w:sz w:val="20"/>
          <w:szCs w:val="20"/>
        </w:rPr>
        <w:t>a</w:t>
      </w:r>
      <w:r w:rsidRPr="006A09D6">
        <w:rPr>
          <w:rFonts w:ascii="Verdana" w:eastAsia="Calibri" w:hAnsi="Verdana" w:cs="Arial"/>
          <w:spacing w:val="-5"/>
          <w:sz w:val="20"/>
          <w:szCs w:val="20"/>
        </w:rPr>
        <w:t xml:space="preserve"> </w:t>
      </w:r>
      <w:r w:rsidRPr="006A09D6">
        <w:rPr>
          <w:rFonts w:ascii="Verdana" w:eastAsia="Arial MT" w:hAnsi="Verdana" w:cs="Arial"/>
          <w:sz w:val="20"/>
          <w:szCs w:val="20"/>
        </w:rPr>
        <w:t>supuestos no contemplados</w:t>
      </w:r>
      <w:r w:rsidRPr="006A09D6">
        <w:rPr>
          <w:rFonts w:ascii="Verdana" w:eastAsia="Calibri" w:hAnsi="Verdana" w:cs="Arial"/>
          <w:spacing w:val="-1"/>
          <w:sz w:val="20"/>
          <w:szCs w:val="20"/>
        </w:rPr>
        <w:t xml:space="preserve"> </w:t>
      </w:r>
      <w:r w:rsidRPr="006A09D6">
        <w:rPr>
          <w:rFonts w:ascii="Verdana" w:eastAsia="Calibri" w:hAnsi="Verdana" w:cs="Arial"/>
          <w:sz w:val="20"/>
          <w:szCs w:val="20"/>
        </w:rPr>
        <w:t>por</w:t>
      </w:r>
      <w:r w:rsidRPr="006A09D6">
        <w:rPr>
          <w:rFonts w:ascii="Verdana" w:eastAsia="Calibri" w:hAnsi="Verdana" w:cs="Arial"/>
          <w:spacing w:val="-1"/>
          <w:sz w:val="20"/>
          <w:szCs w:val="20"/>
        </w:rPr>
        <w:t xml:space="preserve"> </w:t>
      </w:r>
      <w:r w:rsidRPr="006A09D6">
        <w:rPr>
          <w:rFonts w:ascii="Verdana" w:eastAsia="Calibri" w:hAnsi="Verdana" w:cs="Arial"/>
          <w:sz w:val="20"/>
          <w:szCs w:val="20"/>
        </w:rPr>
        <w:t>el</w:t>
      </w:r>
      <w:r w:rsidRPr="006A09D6">
        <w:rPr>
          <w:rFonts w:ascii="Verdana" w:eastAsia="Calibri" w:hAnsi="Verdana" w:cs="Arial"/>
          <w:spacing w:val="-1"/>
          <w:sz w:val="20"/>
          <w:szCs w:val="20"/>
        </w:rPr>
        <w:t xml:space="preserve"> </w:t>
      </w:r>
      <w:r w:rsidRPr="006A09D6">
        <w:rPr>
          <w:rFonts w:ascii="Verdana" w:eastAsia="Calibri" w:hAnsi="Verdana" w:cs="Arial"/>
          <w:sz w:val="20"/>
          <w:szCs w:val="20"/>
        </w:rPr>
        <w:t>ordenamiento”</w:t>
      </w:r>
      <w:r w:rsidRPr="006A09D6">
        <w:rPr>
          <w:rFonts w:ascii="Verdana" w:eastAsia="Calibri" w:hAnsi="Verdana" w:cs="Arial"/>
          <w:sz w:val="20"/>
          <w:szCs w:val="20"/>
          <w:vertAlign w:val="superscript"/>
        </w:rPr>
        <w:footnoteReference w:id="7"/>
      </w:r>
      <w:r w:rsidRPr="006A09D6">
        <w:rPr>
          <w:rFonts w:ascii="Verdana" w:eastAsia="Calibri" w:hAnsi="Verdana" w:cs="Arial"/>
          <w:sz w:val="20"/>
          <w:szCs w:val="20"/>
        </w:rPr>
        <w:t>.</w:t>
      </w:r>
    </w:p>
    <w:p w14:paraId="2CD8804F" w14:textId="77777777" w:rsidR="00083BD2" w:rsidRPr="006A09D6" w:rsidRDefault="00083BD2" w:rsidP="00083BD2">
      <w:pPr>
        <w:widowControl w:val="0"/>
        <w:autoSpaceDE w:val="0"/>
        <w:autoSpaceDN w:val="0"/>
        <w:spacing w:after="0" w:line="240" w:lineRule="auto"/>
        <w:ind w:left="709" w:right="709"/>
        <w:jc w:val="both"/>
        <w:rPr>
          <w:rFonts w:ascii="Verdana" w:eastAsia="Arial MT" w:hAnsi="Verdana" w:cs="Arial"/>
          <w:sz w:val="21"/>
        </w:rPr>
      </w:pPr>
    </w:p>
    <w:p w14:paraId="08BF1C89" w14:textId="77777777" w:rsidR="00083BD2" w:rsidRPr="006A09D6" w:rsidRDefault="00083BD2" w:rsidP="00083BD2">
      <w:pPr>
        <w:widowControl w:val="0"/>
        <w:autoSpaceDE w:val="0"/>
        <w:autoSpaceDN w:val="0"/>
        <w:spacing w:after="0" w:line="240" w:lineRule="auto"/>
        <w:ind w:right="709" w:firstLine="708"/>
        <w:jc w:val="both"/>
        <w:rPr>
          <w:rFonts w:ascii="Verdana" w:eastAsia="Arial MT" w:hAnsi="Verdana" w:cs="Arial"/>
        </w:rPr>
      </w:pPr>
      <w:r w:rsidRPr="006A09D6">
        <w:rPr>
          <w:rFonts w:ascii="Verdana" w:eastAsia="Arial MT" w:hAnsi="Verdana" w:cs="Arial"/>
        </w:rPr>
        <w:t>En el mismo sentido ha expuesto que:</w:t>
      </w:r>
    </w:p>
    <w:p w14:paraId="26B67256" w14:textId="77777777" w:rsidR="00083BD2" w:rsidRPr="006A09D6" w:rsidRDefault="00083BD2" w:rsidP="00083BD2">
      <w:pPr>
        <w:widowControl w:val="0"/>
        <w:autoSpaceDE w:val="0"/>
        <w:autoSpaceDN w:val="0"/>
        <w:spacing w:after="0" w:line="240" w:lineRule="auto"/>
        <w:ind w:right="709"/>
        <w:jc w:val="both"/>
        <w:rPr>
          <w:rFonts w:ascii="Verdana" w:eastAsia="Arial MT" w:hAnsi="Verdana" w:cs="Arial"/>
        </w:rPr>
      </w:pPr>
    </w:p>
    <w:p w14:paraId="404D1A6B" w14:textId="77777777" w:rsidR="00083BD2" w:rsidRPr="006A09D6" w:rsidRDefault="00083BD2" w:rsidP="00083BD2">
      <w:pPr>
        <w:widowControl w:val="0"/>
        <w:autoSpaceDE w:val="0"/>
        <w:autoSpaceDN w:val="0"/>
        <w:spacing w:after="0" w:line="240" w:lineRule="auto"/>
        <w:ind w:left="709" w:right="709"/>
        <w:jc w:val="both"/>
        <w:rPr>
          <w:rFonts w:ascii="Verdana" w:eastAsia="Arial MT" w:hAnsi="Verdana" w:cs="Arial"/>
          <w:sz w:val="20"/>
          <w:szCs w:val="20"/>
        </w:rPr>
      </w:pPr>
      <w:r w:rsidRPr="006A09D6">
        <w:rPr>
          <w:rFonts w:ascii="Verdana" w:eastAsia="Arial MT" w:hAnsi="Verdana" w:cs="Arial"/>
          <w:sz w:val="20"/>
          <w:szCs w:val="20"/>
        </w:rPr>
        <w:t>“[…] la aplicación de estos preceptos exige una interpretación restrictiva, dado que según el principio hermenéutico pro libertate, entre varias interpretaciones posibles de una norma que regula una inhabilidad, debe preferirse aquella que menos limita el derecho de las personas; en otros términos, se encuentra prohibida constitucionalmente la interpretación extensiva de las causales de inhabilidad, toda vez que las palabras de la ley son la frontera que no se puede traspasar en el ejercicio hermenéutico de las mismas, pues de hacerlo se vulnerarían los derechos fundamentales al debido proceso (art. 29 CN) y a la igualdad (art. 13 Ibid.); […]”</w:t>
      </w:r>
      <w:r w:rsidRPr="006A09D6">
        <w:rPr>
          <w:rFonts w:ascii="Verdana" w:eastAsia="Arial MT" w:hAnsi="Verdana" w:cs="Arial"/>
          <w:sz w:val="20"/>
          <w:szCs w:val="20"/>
          <w:vertAlign w:val="superscript"/>
        </w:rPr>
        <w:footnoteReference w:id="8"/>
      </w:r>
      <w:r w:rsidRPr="006A09D6">
        <w:rPr>
          <w:rFonts w:ascii="Verdana" w:eastAsia="Arial MT" w:hAnsi="Verdana" w:cs="Arial"/>
          <w:sz w:val="20"/>
          <w:szCs w:val="20"/>
        </w:rPr>
        <w:t>.</w:t>
      </w:r>
    </w:p>
    <w:p w14:paraId="68FB5828" w14:textId="77777777" w:rsidR="00083BD2" w:rsidRPr="006A09D6" w:rsidRDefault="00083BD2" w:rsidP="00083BD2">
      <w:pPr>
        <w:widowControl w:val="0"/>
        <w:autoSpaceDE w:val="0"/>
        <w:autoSpaceDN w:val="0"/>
        <w:spacing w:after="0" w:line="240" w:lineRule="auto"/>
        <w:ind w:left="810" w:right="1243"/>
        <w:jc w:val="both"/>
        <w:rPr>
          <w:rFonts w:ascii="Verdana" w:eastAsia="Arial MT" w:hAnsi="Verdana" w:cs="Arial"/>
          <w:sz w:val="20"/>
        </w:rPr>
      </w:pPr>
    </w:p>
    <w:p w14:paraId="0D71D5D8" w14:textId="77777777" w:rsidR="00083BD2" w:rsidRPr="006A09D6" w:rsidRDefault="00083BD2" w:rsidP="00083BD2">
      <w:pPr>
        <w:widowControl w:val="0"/>
        <w:autoSpaceDE w:val="0"/>
        <w:autoSpaceDN w:val="0"/>
        <w:spacing w:after="120" w:line="276" w:lineRule="auto"/>
        <w:ind w:firstLine="708"/>
        <w:jc w:val="both"/>
        <w:rPr>
          <w:rFonts w:ascii="Verdana" w:eastAsia="Arial" w:hAnsi="Verdana" w:cs="Arial"/>
          <w:color w:val="333333"/>
          <w:shd w:val="clear" w:color="auto" w:fill="FFFFFF"/>
          <w:lang w:eastAsia="es-ES" w:bidi="es-ES"/>
        </w:rPr>
      </w:pPr>
      <w:r w:rsidRPr="006A09D6">
        <w:rPr>
          <w:rFonts w:ascii="Verdana" w:eastAsia="Arial MT" w:hAnsi="Verdana" w:cs="Arial"/>
          <w:lang w:eastAsia="es-ES" w:bidi="es-ES"/>
        </w:rPr>
        <w:t xml:space="preserve">De igual forma, </w:t>
      </w:r>
      <w:r w:rsidRPr="006A09D6">
        <w:rPr>
          <w:rFonts w:ascii="Verdana" w:eastAsia="Arial" w:hAnsi="Verdana" w:cs="Arial"/>
          <w:lang w:eastAsia="es-ES" w:bidi="es-ES"/>
        </w:rPr>
        <w:t>la Corte Constitucional en jurisprudencia</w:t>
      </w:r>
      <w:r w:rsidRPr="006A09D6">
        <w:rPr>
          <w:vertAlign w:val="superscript"/>
          <w:lang w:eastAsia="es-ES" w:bidi="es-ES"/>
        </w:rPr>
        <w:footnoteReference w:id="9"/>
      </w:r>
      <w:r w:rsidRPr="006A09D6">
        <w:rPr>
          <w:rFonts w:ascii="Verdana" w:eastAsia="Arial" w:hAnsi="Verdana" w:cs="Arial"/>
          <w:lang w:eastAsia="es-ES" w:bidi="es-ES"/>
        </w:rPr>
        <w:t xml:space="preserve"> citada a su vez por el Consejo de Estado</w:t>
      </w:r>
      <w:r w:rsidRPr="006A09D6">
        <w:rPr>
          <w:vertAlign w:val="superscript"/>
          <w:lang w:eastAsia="es-ES" w:bidi="es-ES"/>
        </w:rPr>
        <w:footnoteReference w:id="10"/>
      </w:r>
      <w:r w:rsidRPr="006A09D6">
        <w:rPr>
          <w:rFonts w:ascii="Verdana" w:eastAsia="Arial" w:hAnsi="Verdana" w:cs="Arial"/>
          <w:lang w:eastAsia="es-ES" w:bidi="es-ES"/>
        </w:rPr>
        <w:t xml:space="preserve">, se ha referido al régimen general de inhabilidades e incompatibilidades, destacando de este la prevalencia del interés general sobre el particular y su doble connotación, como quiera que no solo puede ser consecuencia de una sanción sino también erigirse con una finalidad preventiva </w:t>
      </w:r>
      <w:r w:rsidRPr="006A09D6">
        <w:rPr>
          <w:rFonts w:ascii="Verdana" w:eastAsia="Arial" w:hAnsi="Verdana" w:cs="Arial"/>
          <w:lang w:eastAsia="es-ES" w:bidi="es-ES"/>
        </w:rPr>
        <w:lastRenderedPageBreak/>
        <w:t>que busca asegurar la no afectación del interés general, en suma</w:t>
      </w:r>
      <w:r w:rsidRPr="006A09D6">
        <w:rPr>
          <w:rFonts w:ascii="Verdana" w:eastAsia="Arial" w:hAnsi="Verdana" w:cs="Arial"/>
          <w:i/>
          <w:lang w:eastAsia="es-ES" w:bidi="es-ES"/>
        </w:rPr>
        <w:t xml:space="preserve">, </w:t>
      </w:r>
      <w:r w:rsidRPr="006A09D6">
        <w:rPr>
          <w:rFonts w:ascii="Verdana" w:eastAsia="Arial MT" w:hAnsi="Verdana" w:cs="Arial"/>
          <w:i/>
          <w:lang w:eastAsia="es-ES" w:bidi="es-ES"/>
        </w:rPr>
        <w:t>“[…] l</w:t>
      </w:r>
      <w:r w:rsidRPr="006A09D6">
        <w:rPr>
          <w:rFonts w:ascii="Verdana" w:eastAsia="Arial" w:hAnsi="Verdana" w:cs="Arial"/>
          <w:i/>
          <w:color w:val="333333"/>
          <w:shd w:val="clear" w:color="auto" w:fill="FFFFFF"/>
          <w:lang w:eastAsia="es-ES" w:bidi="es-ES"/>
        </w:rPr>
        <w:t>a inhabilidad no es una pena sino una garantía de que el comportamiento anterior no afectará el desempeño de la función o cargo, de protección del interés general y de la idoneidad, probidad y moralidad del aspirante</w:t>
      </w:r>
      <w:r w:rsidRPr="006A09D6">
        <w:rPr>
          <w:rFonts w:ascii="Verdana" w:eastAsia="Arial MT" w:hAnsi="Verdana" w:cs="Arial"/>
          <w:i/>
          <w:lang w:eastAsia="es-ES" w:bidi="es-ES"/>
        </w:rPr>
        <w:t>”</w:t>
      </w:r>
      <w:r w:rsidRPr="006A09D6">
        <w:rPr>
          <w:rFonts w:ascii="Verdana" w:eastAsia="Arial" w:hAnsi="Verdana" w:cs="Arial"/>
          <w:color w:val="333333"/>
          <w:shd w:val="clear" w:color="auto" w:fill="FFFFFF"/>
          <w:vertAlign w:val="superscript"/>
          <w:lang w:eastAsia="es-ES" w:bidi="es-ES"/>
        </w:rPr>
        <w:t>12</w:t>
      </w:r>
      <w:r w:rsidRPr="006A09D6">
        <w:rPr>
          <w:rFonts w:ascii="Verdana" w:eastAsia="Arial" w:hAnsi="Verdana" w:cs="Arial"/>
          <w:color w:val="333333"/>
          <w:shd w:val="clear" w:color="auto" w:fill="FFFFFF"/>
          <w:lang w:eastAsia="es-ES" w:bidi="es-ES"/>
        </w:rPr>
        <w:t>; en este sentido, en el ámbito contractual se propende por la adquisición de bienes y servicios por parte de las entidades públicas, sin condiciones anteriores o injerencia de intereses que afecten la misma, de modo que se salvaguarda el principio de transparencia y con ello la consecución en general de los fines que rigen la función pública.</w:t>
      </w:r>
    </w:p>
    <w:p w14:paraId="632574BE" w14:textId="77777777" w:rsidR="00083BD2" w:rsidRPr="006A09D6" w:rsidRDefault="00083BD2" w:rsidP="00083BD2">
      <w:pPr>
        <w:spacing w:after="0" w:line="276" w:lineRule="auto"/>
        <w:ind w:firstLine="708"/>
        <w:jc w:val="both"/>
        <w:rPr>
          <w:rFonts w:ascii="Verdana" w:eastAsia="Calibri" w:hAnsi="Verdana" w:cs="Arial"/>
          <w:color w:val="000000"/>
          <w:szCs w:val="24"/>
        </w:rPr>
      </w:pPr>
      <w:r w:rsidRPr="006A09D6">
        <w:rPr>
          <w:rFonts w:ascii="Verdana" w:eastAsia="Arial" w:hAnsi="Verdana" w:cs="Arial"/>
          <w:color w:val="000000"/>
        </w:rPr>
        <w:t xml:space="preserve">Como se aprecia, el principio </w:t>
      </w:r>
      <w:r w:rsidRPr="006A09D6">
        <w:rPr>
          <w:rFonts w:ascii="Verdana" w:eastAsia="Arial" w:hAnsi="Verdana" w:cs="Arial"/>
          <w:i/>
          <w:color w:val="000000"/>
        </w:rPr>
        <w:t>pro libertate</w:t>
      </w:r>
      <w:r w:rsidRPr="006A09D6">
        <w:rPr>
          <w:rFonts w:ascii="Verdana" w:eastAsia="Arial" w:hAnsi="Verdana" w:cs="Arial"/>
          <w:color w:val="000000"/>
        </w:rPr>
        <w:t xml:space="preserve"> es el que debe dirigir la interpretación de las disposiciones normativas que consagran restricciones de derechos, como sucede con las causales de inhabilidad e incompatibilidad en la contratación estatal. Además, en relación con la determinación de las causales de inhabilidad e incompatibilidad, la</w:t>
      </w:r>
      <w:r w:rsidRPr="006A09D6">
        <w:rPr>
          <w:rFonts w:ascii="Verdana" w:eastAsia="Calibri" w:hAnsi="Verdana" w:cs="Arial"/>
          <w:color w:val="000000"/>
        </w:rPr>
        <w:t xml:space="preserve"> Corte Constitucional ha resaltado que la competencia para determinar qué hechos o situaciones generan inhabilidades o incompatibilidades para contratar con el Estado la tiene el legislador, pues este régimen es un aspecto propio del Estatuto General de la Contratación de la Administración Pública, cuya expedición compete al Congreso de la República, conforme al artículo 150 de la Constitución Política, y que en esta materia rige el principio de legalidad:</w:t>
      </w:r>
    </w:p>
    <w:p w14:paraId="2EFC7C7C" w14:textId="77777777" w:rsidR="00083BD2" w:rsidRPr="006A09D6" w:rsidRDefault="00083BD2" w:rsidP="00083BD2">
      <w:pPr>
        <w:tabs>
          <w:tab w:val="left" w:pos="1532"/>
        </w:tabs>
        <w:spacing w:after="0" w:line="276" w:lineRule="auto"/>
        <w:jc w:val="both"/>
        <w:rPr>
          <w:rFonts w:ascii="Verdana" w:eastAsia="Calibri" w:hAnsi="Verdana" w:cs="Arial"/>
          <w:color w:val="000000"/>
        </w:rPr>
      </w:pPr>
      <w:r w:rsidRPr="006A09D6">
        <w:rPr>
          <w:rFonts w:ascii="Verdana" w:eastAsia="Calibri" w:hAnsi="Verdana" w:cs="Arial"/>
          <w:color w:val="000000"/>
          <w:sz w:val="24"/>
        </w:rPr>
        <w:tab/>
      </w:r>
    </w:p>
    <w:p w14:paraId="27406442" w14:textId="77777777" w:rsidR="00083BD2" w:rsidRPr="006A09D6" w:rsidRDefault="00083BD2" w:rsidP="00083BD2">
      <w:pPr>
        <w:spacing w:after="0" w:line="240" w:lineRule="auto"/>
        <w:ind w:left="709" w:right="709"/>
        <w:jc w:val="both"/>
        <w:rPr>
          <w:rFonts w:ascii="Verdana" w:eastAsia="Calibri" w:hAnsi="Verdana" w:cs="Arial"/>
          <w:color w:val="000000"/>
          <w:sz w:val="20"/>
          <w:szCs w:val="20"/>
        </w:rPr>
      </w:pPr>
      <w:r w:rsidRPr="006A09D6">
        <w:rPr>
          <w:rFonts w:ascii="Verdana" w:eastAsia="Calibri" w:hAnsi="Verdana" w:cs="Arial"/>
          <w:color w:val="000000"/>
          <w:sz w:val="20"/>
          <w:szCs w:val="20"/>
        </w:rPr>
        <w:t xml:space="preserve">“[…] Las limitaciones y restricciones que se contienen en el citado estatuto, predicables de la relación Estado-particulares y que afectan los diversos momentos de formación, celebración y ejecución de los contratos estatales, se refieren a una faceta de la actividad del Estado y en la que se contempla, en los términos de la ley, una especial modalidad de participación o colaboración de los particulares en su papel de contratistas. La ley demandada recae sobre una materia que pertenece al dominio de la esfera estatal y pública, dentro de la cual no rige el principio pro libertate, sino el de legalidad, el que ordena que la función pública debe someterse estrictamente a lo que disponga la Constitución y la ley (CP art. 6). </w:t>
      </w:r>
    </w:p>
    <w:p w14:paraId="6C530F31" w14:textId="77777777" w:rsidR="00083BD2" w:rsidRPr="006A09D6" w:rsidRDefault="00083BD2" w:rsidP="00083BD2">
      <w:pPr>
        <w:spacing w:after="0" w:line="240" w:lineRule="auto"/>
        <w:ind w:left="709" w:right="709"/>
        <w:jc w:val="both"/>
        <w:rPr>
          <w:rFonts w:ascii="Verdana" w:eastAsia="Calibri" w:hAnsi="Verdana" w:cs="Arial"/>
          <w:color w:val="000000"/>
          <w:sz w:val="20"/>
          <w:szCs w:val="20"/>
        </w:rPr>
      </w:pPr>
      <w:r w:rsidRPr="006A09D6">
        <w:rPr>
          <w:rFonts w:ascii="Verdana" w:eastAsia="Calibri" w:hAnsi="Verdana" w:cs="Arial"/>
          <w:color w:val="000000"/>
          <w:sz w:val="20"/>
          <w:szCs w:val="20"/>
        </w:rPr>
        <w:t>[…]</w:t>
      </w:r>
    </w:p>
    <w:p w14:paraId="497AB520" w14:textId="77777777" w:rsidR="00083BD2" w:rsidRPr="006A09D6" w:rsidRDefault="00083BD2" w:rsidP="00083BD2">
      <w:pPr>
        <w:spacing w:after="0" w:line="240" w:lineRule="auto"/>
        <w:ind w:left="709" w:right="709"/>
        <w:jc w:val="both"/>
        <w:rPr>
          <w:rFonts w:ascii="Verdana" w:eastAsia="Calibri" w:hAnsi="Verdana" w:cs="Arial"/>
          <w:color w:val="000000"/>
          <w:sz w:val="20"/>
          <w:szCs w:val="20"/>
        </w:rPr>
      </w:pPr>
      <w:r w:rsidRPr="006A09D6">
        <w:rPr>
          <w:rFonts w:ascii="Verdana" w:eastAsia="Calibri" w:hAnsi="Verdana" w:cs="Arial"/>
          <w:color w:val="000000"/>
          <w:sz w:val="20"/>
          <w:szCs w:val="20"/>
        </w:rPr>
        <w:t>Se comprende con facilidad que el régimen de inhabilidades e incompatibilidades corresponde a una materia de normal y obligada inclusión en un estatuto contractual. El legislador, a quien se ha confiado expedir el indicado estatuto, tiene, pues, competencia para establecerlo (CP art. 150)”</w:t>
      </w:r>
      <w:r w:rsidRPr="006A09D6">
        <w:rPr>
          <w:rFonts w:ascii="Verdana" w:eastAsia="Calibri" w:hAnsi="Verdana" w:cs="Arial"/>
          <w:color w:val="000000"/>
          <w:sz w:val="20"/>
          <w:szCs w:val="20"/>
          <w:vertAlign w:val="superscript"/>
        </w:rPr>
        <w:footnoteReference w:id="11"/>
      </w:r>
      <w:r w:rsidRPr="006A09D6">
        <w:rPr>
          <w:rFonts w:ascii="Verdana" w:eastAsia="Calibri" w:hAnsi="Verdana" w:cs="Arial"/>
          <w:color w:val="000000"/>
          <w:sz w:val="20"/>
          <w:szCs w:val="20"/>
        </w:rPr>
        <w:t>.</w:t>
      </w:r>
    </w:p>
    <w:p w14:paraId="03835CE1" w14:textId="77777777" w:rsidR="00083BD2" w:rsidRPr="006A09D6" w:rsidRDefault="00083BD2" w:rsidP="00083BD2">
      <w:pPr>
        <w:widowControl w:val="0"/>
        <w:autoSpaceDE w:val="0"/>
        <w:autoSpaceDN w:val="0"/>
        <w:spacing w:after="0" w:line="240" w:lineRule="auto"/>
        <w:ind w:left="1049" w:rightChars="709" w:right="1560" w:firstLine="709"/>
        <w:jc w:val="both"/>
        <w:rPr>
          <w:rFonts w:ascii="Verdana" w:eastAsia="Arial" w:hAnsi="Verdana" w:cs="Arial"/>
          <w:color w:val="333333"/>
          <w:shd w:val="clear" w:color="auto" w:fill="FFFFFF"/>
          <w:lang w:eastAsia="es-ES" w:bidi="es-ES"/>
        </w:rPr>
      </w:pPr>
    </w:p>
    <w:p w14:paraId="618EC574" w14:textId="77777777" w:rsidR="00083BD2" w:rsidRPr="006A09D6" w:rsidRDefault="00083BD2" w:rsidP="00083BD2">
      <w:pPr>
        <w:widowControl w:val="0"/>
        <w:autoSpaceDE w:val="0"/>
        <w:autoSpaceDN w:val="0"/>
        <w:spacing w:after="120" w:line="276" w:lineRule="auto"/>
        <w:ind w:firstLine="709"/>
        <w:jc w:val="both"/>
        <w:rPr>
          <w:rFonts w:ascii="Verdana" w:eastAsia="Arial MT" w:hAnsi="Verdana" w:cs="Arial"/>
          <w:lang w:eastAsia="es-ES" w:bidi="es-ES"/>
        </w:rPr>
      </w:pPr>
      <w:r w:rsidRPr="006A09D6">
        <w:rPr>
          <w:rFonts w:ascii="Verdana" w:eastAsia="Arial MT" w:hAnsi="Verdana" w:cs="Arial"/>
          <w:lang w:eastAsia="es-ES" w:bidi="es-ES"/>
        </w:rPr>
        <w:lastRenderedPageBreak/>
        <w:t>En suma, el régimen de inhabilidades e incompatibilidades se origina en la prerrogativa legislativa, obedece al principio de legalidad y su interpretación es restrictiva, como quiera que su aplicación implica limitaciones para el acceso a cargos o ejercicio de funciones públicas y para participar en procesos de contratación pública adelantados por las entidades estatales, según sea el caso.</w:t>
      </w:r>
    </w:p>
    <w:p w14:paraId="3D39E94E" w14:textId="77777777" w:rsidR="00083BD2" w:rsidRPr="006A09D6" w:rsidRDefault="00083BD2" w:rsidP="00083BD2">
      <w:pPr>
        <w:widowControl w:val="0"/>
        <w:autoSpaceDE w:val="0"/>
        <w:autoSpaceDN w:val="0"/>
        <w:spacing w:after="120" w:line="276" w:lineRule="auto"/>
        <w:ind w:firstLine="709"/>
        <w:jc w:val="both"/>
        <w:rPr>
          <w:rFonts w:ascii="Verdana" w:eastAsia="Arial MT" w:hAnsi="Verdana" w:cs="Arial"/>
          <w:lang w:eastAsia="es-ES" w:bidi="es-ES"/>
        </w:rPr>
      </w:pPr>
      <w:r w:rsidRPr="006A09D6">
        <w:rPr>
          <w:rFonts w:ascii="Verdana" w:eastAsia="Arial MT" w:hAnsi="Verdana" w:cs="Arial"/>
          <w:lang w:eastAsia="es-ES" w:bidi="es-ES"/>
        </w:rPr>
        <w:t>Con relación al objeto de la consulta, en vista de que lo que se pretende a través de los interrogantes planteados es establecer si existe alguna restricción y si se configura alguna inhabilidad o incompatibilidad para el contratista del Estado que pretenda vincularse como docente hora cátedra en una institución de educación superior, es bueno señalar que, en virtud del artículo 3.5 del Decreto 4170 de 2011, esta Agencia tiene competencia para absolver consultas sobre la aplicación de normas de carácter general en materia de compras y contrastación pública, de manera que la interpretación de normas que no hagan parte de dicha materia desborda las facultades y competencias consultivas que otorgó la disposición en cita.</w:t>
      </w:r>
    </w:p>
    <w:p w14:paraId="71B819F8" w14:textId="77777777" w:rsidR="00083BD2" w:rsidRPr="006A09D6" w:rsidRDefault="00083BD2" w:rsidP="00083BD2">
      <w:pPr>
        <w:widowControl w:val="0"/>
        <w:autoSpaceDE w:val="0"/>
        <w:autoSpaceDN w:val="0"/>
        <w:spacing w:after="120" w:line="276" w:lineRule="auto"/>
        <w:ind w:firstLine="709"/>
        <w:jc w:val="both"/>
        <w:rPr>
          <w:rFonts w:ascii="Verdana" w:eastAsia="Arial MT" w:hAnsi="Verdana" w:cs="Arial"/>
          <w:lang w:eastAsia="es-ES" w:bidi="es-ES"/>
        </w:rPr>
      </w:pPr>
      <w:r>
        <w:rPr>
          <w:rFonts w:ascii="Verdana" w:eastAsia="Arial MT" w:hAnsi="Verdana" w:cs="Arial"/>
          <w:lang w:eastAsia="es-ES" w:bidi="es-ES"/>
        </w:rPr>
        <w:t>En el marco de la</w:t>
      </w:r>
      <w:r w:rsidRPr="006A09D6">
        <w:rPr>
          <w:rFonts w:ascii="Verdana" w:eastAsia="Arial MT" w:hAnsi="Verdana" w:cs="Arial"/>
          <w:lang w:eastAsia="es-ES" w:bidi="es-ES"/>
        </w:rPr>
        <w:t xml:space="preserve"> facultad consultiva</w:t>
      </w:r>
      <w:r>
        <w:rPr>
          <w:rFonts w:ascii="Verdana" w:eastAsia="Arial MT" w:hAnsi="Verdana" w:cs="Arial"/>
          <w:lang w:eastAsia="es-ES" w:bidi="es-ES"/>
        </w:rPr>
        <w:t xml:space="preserve"> que tiene esta Agencia</w:t>
      </w:r>
      <w:r w:rsidRPr="006A09D6">
        <w:rPr>
          <w:rFonts w:ascii="Verdana" w:eastAsia="Arial MT" w:hAnsi="Verdana" w:cs="Arial"/>
          <w:lang w:eastAsia="es-ES" w:bidi="es-ES"/>
        </w:rPr>
        <w:t xml:space="preserve">, </w:t>
      </w:r>
      <w:r>
        <w:rPr>
          <w:rFonts w:ascii="Verdana" w:eastAsia="Arial MT" w:hAnsi="Verdana" w:cs="Arial"/>
          <w:lang w:eastAsia="es-ES" w:bidi="es-ES"/>
        </w:rPr>
        <w:t>se advierte que será necesario evaluar para cada caso concreto la</w:t>
      </w:r>
      <w:r w:rsidRPr="006A09D6">
        <w:rPr>
          <w:rFonts w:ascii="Verdana" w:eastAsia="Arial MT" w:hAnsi="Verdana" w:cs="Arial"/>
          <w:lang w:eastAsia="es-ES" w:bidi="es-ES"/>
        </w:rPr>
        <w:t xml:space="preserve"> naturaleza de la vinculación de los docentes de cátedra </w:t>
      </w:r>
      <w:r>
        <w:rPr>
          <w:rFonts w:ascii="Verdana" w:eastAsia="Arial MT" w:hAnsi="Verdana" w:cs="Arial"/>
          <w:lang w:eastAsia="es-ES" w:bidi="es-ES"/>
        </w:rPr>
        <w:t>en</w:t>
      </w:r>
      <w:r w:rsidRPr="006A09D6">
        <w:rPr>
          <w:rFonts w:ascii="Verdana" w:eastAsia="Arial MT" w:hAnsi="Verdana" w:cs="Arial"/>
          <w:lang w:eastAsia="es-ES" w:bidi="es-ES"/>
        </w:rPr>
        <w:t xml:space="preserve"> las instituciones de educación superior y establecer si, en virtud de la naturaleza de la vinculación, se puede configurar alguna de las causales de inhabilidad e incompatibilidad en el contrato estatal en ejecución, más allá del pronunciamiento que amerite la materia relacionada con inhabilidades e incompatibilidades que recaigan sobre los servidores públicos, circunstancia que deberá resolverse ante las autoridades competentes como el Departamento Administrativo de la Función Pública – DAFP y, en lo referente a la materia del derecho disciplinario, la misma Procuraduría General de la Nación – PGN.</w:t>
      </w:r>
    </w:p>
    <w:p w14:paraId="3EC9279E" w14:textId="77777777" w:rsidR="00083BD2" w:rsidRPr="006A09D6" w:rsidRDefault="00083BD2" w:rsidP="00083BD2">
      <w:pPr>
        <w:widowControl w:val="0"/>
        <w:autoSpaceDE w:val="0"/>
        <w:autoSpaceDN w:val="0"/>
        <w:spacing w:after="120" w:line="276" w:lineRule="auto"/>
        <w:ind w:firstLine="709"/>
        <w:jc w:val="both"/>
        <w:rPr>
          <w:rFonts w:ascii="Verdana" w:eastAsia="Arial MT" w:hAnsi="Verdana" w:cs="Arial"/>
          <w:lang w:eastAsia="es-ES" w:bidi="es-ES"/>
        </w:rPr>
      </w:pPr>
      <w:r>
        <w:rPr>
          <w:rFonts w:ascii="Verdana" w:eastAsia="Arial MT" w:hAnsi="Verdana" w:cs="Arial"/>
          <w:lang w:eastAsia="es-ES" w:bidi="es-ES"/>
        </w:rPr>
        <w:t>Sin embargo, para efectos de hacer consideraciones generales sobre la materia, vale la pena señalar que</w:t>
      </w:r>
      <w:r w:rsidRPr="006A09D6">
        <w:rPr>
          <w:rFonts w:ascii="Verdana" w:eastAsia="Arial MT" w:hAnsi="Verdana" w:cs="Arial"/>
          <w:lang w:eastAsia="es-ES" w:bidi="es-ES"/>
        </w:rPr>
        <w:t xml:space="preserve"> la Ley 30 de 1992 “por la cual se organiza el servicio público de la Educación Superior” la cual se fundamenta en el principio constitucional de autonomía universitaria consagrado en el artículo 69 de la Constitución Política de 1991, señaló en su Capitulo Tercero lo concerniente al personal de dichas organizaciones, particularmente, en lo que nos interesa para efectos de la consulta, los docentes, creando tres categorías de acuerdo con la </w:t>
      </w:r>
      <w:r w:rsidRPr="006A09D6">
        <w:rPr>
          <w:rFonts w:ascii="Verdana" w:eastAsia="Arial MT" w:hAnsi="Verdana" w:cs="Arial"/>
          <w:lang w:eastAsia="es-ES" w:bidi="es-ES"/>
        </w:rPr>
        <w:lastRenderedPageBreak/>
        <w:t>vinculación</w:t>
      </w:r>
      <w:r w:rsidRPr="006A09D6">
        <w:rPr>
          <w:rStyle w:val="Refdenotaalpie"/>
          <w:rFonts w:ascii="Verdana" w:eastAsia="Arial MT" w:hAnsi="Verdana" w:cs="Arial"/>
          <w:lang w:eastAsia="es-ES" w:bidi="es-ES"/>
        </w:rPr>
        <w:footnoteReference w:id="12"/>
      </w:r>
      <w:r w:rsidRPr="006A09D6">
        <w:rPr>
          <w:rFonts w:ascii="Verdana" w:eastAsia="Arial MT" w:hAnsi="Verdana" w:cs="Arial"/>
          <w:lang w:eastAsia="es-ES" w:bidi="es-ES"/>
        </w:rPr>
        <w:t xml:space="preserve"> de aquellos, así: i) profesores que adquieren la connotación de empleados públicos, elegidos por libre nombramiento y remoción, quienes ingresan por concurso de méritos, y están sujetos a un régimen especial</w:t>
      </w:r>
      <w:r w:rsidRPr="006A09D6">
        <w:rPr>
          <w:rStyle w:val="Refdenotaalpie"/>
          <w:rFonts w:ascii="Verdana" w:eastAsia="Arial MT" w:hAnsi="Verdana" w:cs="Arial"/>
          <w:lang w:eastAsia="es-ES" w:bidi="es-ES"/>
        </w:rPr>
        <w:footnoteReference w:id="13"/>
      </w:r>
      <w:r w:rsidRPr="006A09D6">
        <w:rPr>
          <w:rFonts w:ascii="Verdana" w:eastAsia="Arial MT" w:hAnsi="Verdana" w:cs="Arial"/>
          <w:lang w:eastAsia="es-ES" w:bidi="es-ES"/>
        </w:rPr>
        <w:t>; ii) los profesores de cátedra</w:t>
      </w:r>
      <w:r w:rsidRPr="006A09D6">
        <w:rPr>
          <w:rStyle w:val="Refdenotaalpie"/>
          <w:rFonts w:ascii="Verdana" w:eastAsia="Arial MT" w:hAnsi="Verdana" w:cs="Arial"/>
          <w:lang w:eastAsia="es-ES" w:bidi="es-ES"/>
        </w:rPr>
        <w:footnoteReference w:id="14"/>
      </w:r>
      <w:r w:rsidRPr="006A09D6">
        <w:rPr>
          <w:rFonts w:ascii="Verdana" w:eastAsia="Arial MT" w:hAnsi="Verdana" w:cs="Arial"/>
          <w:lang w:eastAsia="es-ES" w:bidi="es-ES"/>
        </w:rPr>
        <w:t xml:space="preserve"> quienes, antes del estudio que efectúo la Corte Constitucional sobre la exequibilidad del aparte del artículo 73 y a la que nos referiremos a continuación, se vinculaban mediante contrato de prestación de servicios, celebrados por períodos académicos y, iii) los profesores ocasionales</w:t>
      </w:r>
      <w:r w:rsidRPr="006A09D6">
        <w:rPr>
          <w:rStyle w:val="Refdenotaalpie"/>
          <w:rFonts w:ascii="Verdana" w:eastAsia="Arial MT" w:hAnsi="Verdana" w:cs="Arial"/>
          <w:lang w:eastAsia="es-ES" w:bidi="es-ES"/>
        </w:rPr>
        <w:footnoteReference w:id="15"/>
      </w:r>
      <w:r w:rsidRPr="006A09D6">
        <w:rPr>
          <w:rFonts w:ascii="Verdana" w:eastAsia="Arial MT" w:hAnsi="Verdana" w:cs="Arial"/>
          <w:lang w:eastAsia="es-ES" w:bidi="es-ES"/>
        </w:rPr>
        <w:t xml:space="preserve">, definidos en el artículo 74, con vinculación de manera transitoria. </w:t>
      </w:r>
    </w:p>
    <w:p w14:paraId="2C85413C" w14:textId="4C5E85F7" w:rsidR="002E3EA0" w:rsidRDefault="002E3EA0" w:rsidP="00083BD2">
      <w:pPr>
        <w:spacing w:after="120" w:line="276" w:lineRule="auto"/>
        <w:jc w:val="both"/>
        <w:rPr>
          <w:rFonts w:ascii="Verdana" w:hAnsi="Verdana" w:cs="Arial"/>
          <w:lang w:val="es-MX" w:eastAsia="es-ES"/>
        </w:rPr>
      </w:pPr>
    </w:p>
    <w:p w14:paraId="0FF5E7E8" w14:textId="77777777" w:rsidR="00C1511F" w:rsidRPr="0060676F" w:rsidRDefault="00C1511F" w:rsidP="00C1511F">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67CE5891" w14:textId="77777777" w:rsidR="00C1511F" w:rsidRPr="00593A5F" w:rsidRDefault="00C1511F" w:rsidP="00C1511F">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1511F" w:rsidRPr="00593A5F" w14:paraId="04A8BED6" w14:textId="77777777" w:rsidTr="00660F64">
        <w:trPr>
          <w:trHeight w:val="870"/>
        </w:trPr>
        <w:tc>
          <w:tcPr>
            <w:tcW w:w="8647" w:type="dxa"/>
          </w:tcPr>
          <w:p w14:paraId="32E5A316" w14:textId="77777777" w:rsidR="00571C99" w:rsidRPr="006A09D6" w:rsidRDefault="00571C99" w:rsidP="00571C99">
            <w:pPr>
              <w:pStyle w:val="Prrafodelista"/>
              <w:widowControl w:val="0"/>
              <w:numPr>
                <w:ilvl w:val="0"/>
                <w:numId w:val="22"/>
              </w:numPr>
              <w:autoSpaceDE w:val="0"/>
              <w:autoSpaceDN w:val="0"/>
              <w:jc w:val="both"/>
              <w:rPr>
                <w:rFonts w:ascii="Verdana" w:hAnsi="Verdana" w:cs="Arial"/>
              </w:rPr>
            </w:pPr>
            <w:r w:rsidRPr="006A09D6">
              <w:rPr>
                <w:rFonts w:ascii="Verdana" w:hAnsi="Verdana" w:cs="Arial"/>
              </w:rPr>
              <w:t>Constitución Política, artículo 29, 69, 127 y 150</w:t>
            </w:r>
          </w:p>
          <w:p w14:paraId="2EAE4F1F" w14:textId="77777777" w:rsidR="00571C99" w:rsidRPr="006A09D6" w:rsidRDefault="00571C99" w:rsidP="00571C99">
            <w:pPr>
              <w:pStyle w:val="Prrafodelista"/>
              <w:widowControl w:val="0"/>
              <w:numPr>
                <w:ilvl w:val="0"/>
                <w:numId w:val="22"/>
              </w:numPr>
              <w:autoSpaceDE w:val="0"/>
              <w:autoSpaceDN w:val="0"/>
              <w:jc w:val="both"/>
              <w:rPr>
                <w:rFonts w:ascii="Verdana" w:hAnsi="Verdana" w:cs="Arial"/>
              </w:rPr>
            </w:pPr>
            <w:r w:rsidRPr="006A09D6">
              <w:rPr>
                <w:rFonts w:ascii="Verdana" w:hAnsi="Verdana" w:cs="Arial"/>
              </w:rPr>
              <w:t>Ley 80 de 1993, artículo 8, numeral 1, literal f) y artículo 9</w:t>
            </w:r>
          </w:p>
          <w:p w14:paraId="701E20B7" w14:textId="77777777" w:rsidR="00571C99" w:rsidRPr="006A09D6" w:rsidRDefault="00571C99" w:rsidP="00571C99">
            <w:pPr>
              <w:pStyle w:val="Prrafodelista"/>
              <w:widowControl w:val="0"/>
              <w:numPr>
                <w:ilvl w:val="0"/>
                <w:numId w:val="22"/>
              </w:numPr>
              <w:autoSpaceDE w:val="0"/>
              <w:autoSpaceDN w:val="0"/>
              <w:jc w:val="both"/>
              <w:rPr>
                <w:rFonts w:ascii="Verdana" w:hAnsi="Verdana" w:cs="Arial"/>
              </w:rPr>
            </w:pPr>
            <w:r w:rsidRPr="006A09D6">
              <w:rPr>
                <w:rFonts w:ascii="Verdana" w:hAnsi="Verdana" w:cs="Arial"/>
              </w:rPr>
              <w:t>Ley 30 de 1992, artículos 70, 71 73 y 74</w:t>
            </w:r>
          </w:p>
          <w:p w14:paraId="4ED9FF1F" w14:textId="77777777" w:rsidR="00571C99" w:rsidRPr="006A09D6" w:rsidRDefault="00571C99" w:rsidP="00571C99">
            <w:pPr>
              <w:pStyle w:val="Prrafodelista"/>
              <w:widowControl w:val="0"/>
              <w:numPr>
                <w:ilvl w:val="0"/>
                <w:numId w:val="22"/>
              </w:numPr>
              <w:autoSpaceDE w:val="0"/>
              <w:autoSpaceDN w:val="0"/>
              <w:jc w:val="both"/>
              <w:rPr>
                <w:rFonts w:ascii="Verdana" w:hAnsi="Verdana" w:cs="Arial"/>
              </w:rPr>
            </w:pPr>
            <w:r w:rsidRPr="006A09D6">
              <w:rPr>
                <w:rFonts w:ascii="Verdana" w:hAnsi="Verdana" w:cs="Arial"/>
              </w:rPr>
              <w:t>Decreto 4170 de 2011, artículo 3.5</w:t>
            </w:r>
          </w:p>
          <w:p w14:paraId="1C1D1ECE" w14:textId="77777777" w:rsidR="00571C99" w:rsidRPr="006A09D6" w:rsidRDefault="00571C99" w:rsidP="00571C99">
            <w:pPr>
              <w:pStyle w:val="Prrafodelista"/>
              <w:widowControl w:val="0"/>
              <w:numPr>
                <w:ilvl w:val="0"/>
                <w:numId w:val="22"/>
              </w:numPr>
              <w:autoSpaceDE w:val="0"/>
              <w:autoSpaceDN w:val="0"/>
              <w:jc w:val="both"/>
              <w:rPr>
                <w:rFonts w:ascii="Verdana" w:hAnsi="Verdana" w:cs="Arial"/>
              </w:rPr>
            </w:pPr>
            <w:r w:rsidRPr="009D6ED0">
              <w:rPr>
                <w:rFonts w:ascii="Verdana" w:hAnsi="Verdana" w:cs="Arial"/>
                <w:lang w:val="pt-BR"/>
              </w:rPr>
              <w:t xml:space="preserve">Corte Constitucional. Sentencia C-006 de 1996. </w:t>
            </w:r>
            <w:r w:rsidRPr="000E56C5">
              <w:rPr>
                <w:rFonts w:ascii="Verdana" w:hAnsi="Verdana" w:cs="Arial"/>
              </w:rPr>
              <w:t>Bogotá, D.C., enero 18 de 1996. Magistrado Ponente: Dr. Fabio Morón Díaz.</w:t>
            </w:r>
          </w:p>
          <w:p w14:paraId="243396CF" w14:textId="77777777" w:rsidR="00571C99" w:rsidRPr="006A09D6" w:rsidRDefault="00571C99" w:rsidP="00571C99">
            <w:pPr>
              <w:pStyle w:val="Prrafodelista"/>
              <w:widowControl w:val="0"/>
              <w:numPr>
                <w:ilvl w:val="0"/>
                <w:numId w:val="22"/>
              </w:numPr>
              <w:tabs>
                <w:tab w:val="left" w:pos="8419"/>
              </w:tabs>
              <w:autoSpaceDE w:val="0"/>
              <w:autoSpaceDN w:val="0"/>
              <w:jc w:val="both"/>
              <w:rPr>
                <w:rFonts w:ascii="Verdana" w:hAnsi="Verdana" w:cs="Arial"/>
              </w:rPr>
            </w:pPr>
            <w:r w:rsidRPr="006A09D6">
              <w:rPr>
                <w:rFonts w:ascii="Verdana" w:hAnsi="Verdana" w:cs="Arial"/>
              </w:rPr>
              <w:t xml:space="preserve">Corte Constitucional. Sentencia T-1039 de 2006. Magistrado Ponente: Humberto Sierra Porto. La Corte ha mantenido este criterio en las sentencias: C-903 de 2008. Magistrado Ponente: Jaime Araujo </w:t>
            </w:r>
            <w:r w:rsidRPr="006A09D6">
              <w:rPr>
                <w:rFonts w:ascii="Verdana" w:hAnsi="Verdana" w:cs="Arial"/>
              </w:rPr>
              <w:lastRenderedPageBreak/>
              <w:t>Rentería; C-101 de 2018. Magistrada Ponente Gloria Stella Ortiz Delgado; entre otras.</w:t>
            </w:r>
          </w:p>
          <w:p w14:paraId="6A2D5219" w14:textId="77777777" w:rsidR="00571C99" w:rsidRPr="006A09D6" w:rsidRDefault="00571C99" w:rsidP="00571C99">
            <w:pPr>
              <w:pStyle w:val="Prrafodelista"/>
              <w:widowControl w:val="0"/>
              <w:numPr>
                <w:ilvl w:val="0"/>
                <w:numId w:val="22"/>
              </w:numPr>
              <w:tabs>
                <w:tab w:val="left" w:pos="8419"/>
              </w:tabs>
              <w:autoSpaceDE w:val="0"/>
              <w:autoSpaceDN w:val="0"/>
              <w:jc w:val="both"/>
              <w:rPr>
                <w:rFonts w:ascii="Verdana" w:hAnsi="Verdana" w:cs="Arial"/>
              </w:rPr>
            </w:pPr>
            <w:r w:rsidRPr="006A09D6">
              <w:rPr>
                <w:rFonts w:ascii="Verdana" w:hAnsi="Verdana" w:cs="Arial"/>
              </w:rPr>
              <w:t>Consejo de Estado. Sala de Consulta y Servicio Civil. Concepto del 30 de abril de 2015. Expediente: 2251. Consejero Ponente: Álvaro Namén Vargas.</w:t>
            </w:r>
          </w:p>
          <w:p w14:paraId="67B36D2F" w14:textId="77777777" w:rsidR="00571C99" w:rsidRPr="006A09D6" w:rsidRDefault="00571C99" w:rsidP="00571C99">
            <w:pPr>
              <w:pStyle w:val="Prrafodelista"/>
              <w:widowControl w:val="0"/>
              <w:numPr>
                <w:ilvl w:val="0"/>
                <w:numId w:val="22"/>
              </w:numPr>
              <w:tabs>
                <w:tab w:val="left" w:pos="8419"/>
              </w:tabs>
              <w:autoSpaceDE w:val="0"/>
              <w:autoSpaceDN w:val="0"/>
              <w:jc w:val="both"/>
              <w:rPr>
                <w:rFonts w:ascii="Verdana" w:hAnsi="Verdana" w:cs="Arial"/>
              </w:rPr>
            </w:pPr>
            <w:r w:rsidRPr="006A09D6">
              <w:rPr>
                <w:rFonts w:ascii="Verdana" w:hAnsi="Verdana" w:cs="Arial"/>
              </w:rPr>
              <w:t>Consejo de Estado. Sección Tercera. Subsección A. Sentencia del 24 de junio de 2015. Exp. 40.635. Consejero Ponente: Hernán Andrade Rincón (E).</w:t>
            </w:r>
          </w:p>
          <w:p w14:paraId="697097B0" w14:textId="77777777" w:rsidR="00571C99" w:rsidRPr="006A09D6" w:rsidRDefault="00571C99" w:rsidP="00571C99">
            <w:pPr>
              <w:pStyle w:val="Prrafodelista"/>
              <w:widowControl w:val="0"/>
              <w:numPr>
                <w:ilvl w:val="0"/>
                <w:numId w:val="22"/>
              </w:numPr>
              <w:tabs>
                <w:tab w:val="left" w:pos="8419"/>
              </w:tabs>
              <w:autoSpaceDE w:val="0"/>
              <w:autoSpaceDN w:val="0"/>
              <w:jc w:val="both"/>
              <w:rPr>
                <w:rFonts w:ascii="Verdana" w:hAnsi="Verdana" w:cs="Arial"/>
              </w:rPr>
            </w:pPr>
            <w:r w:rsidRPr="006A09D6">
              <w:rPr>
                <w:rFonts w:ascii="Verdana" w:hAnsi="Verdana" w:cs="Arial"/>
              </w:rPr>
              <w:t>Consejo de Estado. Sección Tercera. Subsección C. Sentencia del 22 de mayo de 2013. Exp. 24.057. C.P. Olga Melida Valle De La Hoz.</w:t>
            </w:r>
          </w:p>
          <w:p w14:paraId="1F781F32" w14:textId="77777777" w:rsidR="00571C99" w:rsidRPr="006A09D6" w:rsidRDefault="00571C99" w:rsidP="00571C99">
            <w:pPr>
              <w:pStyle w:val="Prrafodelista"/>
              <w:widowControl w:val="0"/>
              <w:numPr>
                <w:ilvl w:val="0"/>
                <w:numId w:val="22"/>
              </w:numPr>
              <w:tabs>
                <w:tab w:val="left" w:pos="8419"/>
              </w:tabs>
              <w:autoSpaceDE w:val="0"/>
              <w:autoSpaceDN w:val="0"/>
              <w:jc w:val="both"/>
              <w:rPr>
                <w:rFonts w:ascii="Verdana" w:hAnsi="Verdana" w:cs="Arial"/>
              </w:rPr>
            </w:pPr>
            <w:r w:rsidRPr="006A09D6">
              <w:rPr>
                <w:rFonts w:ascii="Verdana" w:hAnsi="Verdana" w:cs="Arial"/>
              </w:rPr>
              <w:t>Corte Constitucional, Sentencia C- 373 de 2002, M.P. Jaime Córdoba Triviño; sentencia C-325 de 2009, M.P. Gabriel Eduardo Mendoza Martelo.</w:t>
            </w:r>
          </w:p>
          <w:p w14:paraId="5E5175FD" w14:textId="77777777" w:rsidR="00571C99" w:rsidRPr="006A09D6" w:rsidRDefault="00571C99" w:rsidP="00571C99">
            <w:pPr>
              <w:pStyle w:val="Prrafodelista"/>
              <w:widowControl w:val="0"/>
              <w:numPr>
                <w:ilvl w:val="0"/>
                <w:numId w:val="22"/>
              </w:numPr>
              <w:tabs>
                <w:tab w:val="left" w:pos="8419"/>
              </w:tabs>
              <w:autoSpaceDE w:val="0"/>
              <w:autoSpaceDN w:val="0"/>
              <w:jc w:val="both"/>
              <w:rPr>
                <w:rFonts w:ascii="Verdana" w:hAnsi="Verdana" w:cs="Arial"/>
              </w:rPr>
            </w:pPr>
            <w:r w:rsidRPr="006A09D6">
              <w:rPr>
                <w:rFonts w:ascii="Verdana" w:hAnsi="Verdana" w:cs="Arial"/>
              </w:rPr>
              <w:t>Consejo de Estado, Sección Quinta, Sentencia del 13 de junio de 2019, Exp. No. 00111 C.P. Rocío Araújo Oñate.</w:t>
            </w:r>
          </w:p>
          <w:p w14:paraId="762846EB" w14:textId="77777777" w:rsidR="00571C99" w:rsidRPr="006A09D6" w:rsidRDefault="00571C99" w:rsidP="00571C99">
            <w:pPr>
              <w:pStyle w:val="Prrafodelista"/>
              <w:widowControl w:val="0"/>
              <w:numPr>
                <w:ilvl w:val="0"/>
                <w:numId w:val="22"/>
              </w:numPr>
              <w:tabs>
                <w:tab w:val="left" w:pos="8419"/>
              </w:tabs>
              <w:autoSpaceDE w:val="0"/>
              <w:autoSpaceDN w:val="0"/>
              <w:jc w:val="both"/>
              <w:rPr>
                <w:rFonts w:ascii="Verdana" w:hAnsi="Verdana" w:cs="Arial"/>
              </w:rPr>
            </w:pPr>
            <w:r w:rsidRPr="009D6ED0">
              <w:rPr>
                <w:rFonts w:ascii="Verdana" w:hAnsi="Verdana" w:cs="Arial"/>
                <w:lang w:val="pt-BR"/>
              </w:rPr>
              <w:t xml:space="preserve">Corte Constitucional. Sentencia C-006 de 1996. </w:t>
            </w:r>
            <w:r w:rsidRPr="006A09D6">
              <w:rPr>
                <w:rFonts w:ascii="Verdana" w:hAnsi="Verdana" w:cs="Arial"/>
              </w:rPr>
              <w:t>Bogotá, D.C., enero 18 de 1996. Magistrado Ponente: Dr. Fabio Morón Díaz.</w:t>
            </w:r>
          </w:p>
          <w:p w14:paraId="0235A7AD" w14:textId="77777777" w:rsidR="00571C99" w:rsidRPr="006A09D6" w:rsidRDefault="00571C99" w:rsidP="00571C99">
            <w:pPr>
              <w:pStyle w:val="Prrafodelista"/>
              <w:numPr>
                <w:ilvl w:val="0"/>
                <w:numId w:val="22"/>
              </w:numPr>
              <w:jc w:val="both"/>
              <w:rPr>
                <w:rFonts w:ascii="Verdana" w:hAnsi="Verdana" w:cs="Arial"/>
              </w:rPr>
            </w:pPr>
            <w:r w:rsidRPr="006A09D6">
              <w:rPr>
                <w:rFonts w:ascii="Verdana" w:hAnsi="Verdana" w:cs="Arial"/>
              </w:rPr>
              <w:t>BARRETO MORENO, Antonio Alejandro. Inhabilidades de la contratación estatal, efectos y neopunitivismo en el Estatuto Anticorrupción. En: ALVIAR GARCÍA, Helena (Coordinadora). Nuevas tendencias del Derecho administrativo. Bogotá: Universidad de los Andes; Temis, 2016. pp. 63-99.</w:t>
            </w:r>
          </w:p>
          <w:p w14:paraId="27A51F26" w14:textId="1B735737" w:rsidR="00C1511F" w:rsidRPr="0096584D" w:rsidRDefault="00C1511F" w:rsidP="00571C99">
            <w:pPr>
              <w:pStyle w:val="Prrafodelista"/>
              <w:widowControl w:val="0"/>
              <w:autoSpaceDE w:val="0"/>
              <w:autoSpaceDN w:val="0"/>
              <w:spacing w:after="120" w:line="276" w:lineRule="auto"/>
              <w:rPr>
                <w:rFonts w:ascii="Verdana" w:eastAsia="Calibri" w:hAnsi="Verdana" w:cs="Arial"/>
                <w:color w:val="000000"/>
              </w:rPr>
            </w:pPr>
          </w:p>
        </w:tc>
      </w:tr>
    </w:tbl>
    <w:p w14:paraId="58ADDCE6" w14:textId="77777777" w:rsidR="00C1511F" w:rsidRDefault="00C1511F" w:rsidP="00C1511F">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100567F" w14:textId="77777777" w:rsidR="00C1511F" w:rsidRDefault="00C1511F" w:rsidP="00C1511F">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2503120B" w14:textId="77777777" w:rsidR="00C1511F" w:rsidRPr="00593A5F" w:rsidRDefault="00C1511F" w:rsidP="00C1511F">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01D7E38D" w14:textId="3568D211" w:rsidR="00C1511F" w:rsidRPr="00C95794" w:rsidRDefault="00571C99" w:rsidP="00C1511F">
      <w:pPr>
        <w:widowControl w:val="0"/>
        <w:autoSpaceDE w:val="0"/>
        <w:autoSpaceDN w:val="0"/>
        <w:spacing w:after="0" w:line="276" w:lineRule="auto"/>
        <w:jc w:val="both"/>
        <w:rPr>
          <w:rFonts w:ascii="Verdana" w:eastAsia="Times New Roman" w:hAnsi="Verdana" w:cs="Arial"/>
          <w:color w:val="4472C4"/>
          <w:szCs w:val="24"/>
          <w:lang w:eastAsia="es-ES_tradnl"/>
        </w:rPr>
      </w:pPr>
      <w:r w:rsidRPr="0C75B527">
        <w:rPr>
          <w:rFonts w:ascii="Verdana" w:eastAsia="Calibri" w:hAnsi="Verdana" w:cs="Arial"/>
          <w:lang w:eastAsia="es-ES"/>
        </w:rPr>
        <w:t xml:space="preserve">Sobre el régimen de inhabilidades e incompatibilidades se pronunció esta Subdirección en los conceptos </w:t>
      </w:r>
      <w:r w:rsidRPr="006A09D6">
        <w:rPr>
          <w:rFonts w:ascii="Verdana" w:eastAsia="Calibri" w:hAnsi="Verdana" w:cs="Arial"/>
        </w:rPr>
        <w:t>No. 4201912000004765 de 29 de agosto de 2019, 4201913000005694 del 3 de octubre de 2019, 4201912000006288 del 7 de septiembre de 2019, 4201912000006259 del 13 de noviembre de 2019, 4201913000006917 del 21 de noviembre de 2019, 4201912000006978 del 25 de noviembre de 2019, 4201912000007291 del 3 de diciembre de 2019, 4201912000007281 del 5 de diciembre de 2019, 4201912000007060 del 11 de diciembre de 2019, 4201912000007512 del 16  diciembre de 2019, 4201912000008460 del 14 de febrero de 2020, C−032 del 19 de febrero de 2020,  C−402 del 26 de junio de 2020, C−365 del 30 de junio de 2020, C−386 del 24 de julio de 2020, C-585 del 14 de septiembre de 2020, C–592 del 14 de septiembre de 2020, C−551 de 24 de septiembre de 2020, C−709 del 7 de diciembre de 2020, C–721 de 14 de diciembre de 2020, C–004 del 12 de febrero de 2021, C–815 del 18 de febrero de 2021, C–047 del 8 de marzo de 2021, C–</w:t>
      </w:r>
      <w:r w:rsidRPr="006A09D6">
        <w:rPr>
          <w:rFonts w:ascii="Verdana" w:eastAsia="Calibri" w:hAnsi="Verdana" w:cs="Arial"/>
        </w:rPr>
        <w:lastRenderedPageBreak/>
        <w:t>113 del 30 de marzo de 2021, C–122 del 30 de marzo de 2021, C–178 del 28 de abril de 2021, C−190 del 30 de abril de 2021, C−210 del 12 de mayo de 2021, C−275 del 11 de junio de 2021, C−293 del 28 de junio de 2021, C−321 del 2 de julio de 2021, C−410 del 7 de julio de 2021, C−491 del 14 de septiembre de 2021, C−522 del 1 de octubre de 2021, C−128 del 25 de marzo de 2022, C−252 del 3 de mayo de 2022, C−376 del 14 de junio de 2022, C−413 del 24 de junio de 2022, C−691 del 20 de octubre de 2022, C−731 del 10 de noviembre de 2022, C−928 del 26 de enero de 2023, C−126 del 24 de abril de 2023, C−175 del 4 de mayo de 2023, C−234 del 5 de julio de 2023, C−010 del 31 de enero de 2024 y C-039 del 23 de abril de 2024</w:t>
      </w:r>
      <w:r w:rsidRPr="006A09D6">
        <w:rPr>
          <w:rFonts w:ascii="Verdana" w:hAnsi="Verdana" w:cs="Arial"/>
        </w:rPr>
        <w:t>. También se ha pronunciado sobre el conflicto de interés en los conceptos C-229 del 16 de abril de 2020, C-815 del 18 de febrero de 2021, C-449 del 31 de agosto de 2021, C-288 del 14 de julio de 2023, C-651 del 22 de octubre de 2024, C-689 del 19 de noviembre de 2024</w:t>
      </w:r>
      <w:r>
        <w:rPr>
          <w:rFonts w:ascii="Verdana" w:hAnsi="Verdana" w:cs="Arial"/>
        </w:rPr>
        <w:t>,</w:t>
      </w:r>
      <w:r w:rsidRPr="006A09D6">
        <w:rPr>
          <w:rFonts w:ascii="Verdana" w:hAnsi="Verdana" w:cs="Arial"/>
        </w:rPr>
        <w:t xml:space="preserve"> </w:t>
      </w:r>
      <w:r>
        <w:rPr>
          <w:rFonts w:ascii="Verdana" w:hAnsi="Verdana" w:cs="Arial"/>
        </w:rPr>
        <w:t xml:space="preserve">C-061 del 25 de febrero de 2025. </w:t>
      </w:r>
      <w:r w:rsidR="00C1511F" w:rsidRPr="00C95794">
        <w:rPr>
          <w:rFonts w:ascii="Verdana" w:eastAsia="Times New Roman" w:hAnsi="Verdana" w:cs="Arial"/>
          <w:szCs w:val="24"/>
          <w:lang w:eastAsia="es-ES_tradnl"/>
        </w:rPr>
        <w:t xml:space="preserve">Estos y otros conceptos se encuentran disponibles para consulta en el Sistema de relatoría de la Agencia, al cual se puede acceder a través del siguiente enlace: </w:t>
      </w:r>
      <w:hyperlink r:id="rId13" w:history="1">
        <w:r w:rsidR="00C1511F" w:rsidRPr="00C95794">
          <w:rPr>
            <w:rFonts w:ascii="Verdana" w:eastAsia="Times New Roman" w:hAnsi="Verdana" w:cs="Arial"/>
            <w:color w:val="0000FF"/>
            <w:szCs w:val="24"/>
            <w:u w:val="single"/>
            <w:lang w:eastAsia="es-ES_tradnl"/>
          </w:rPr>
          <w:t>https://relatoria.colombiacompra.gov.co</w:t>
        </w:r>
      </w:hyperlink>
    </w:p>
    <w:p w14:paraId="52414A80" w14:textId="77777777" w:rsidR="00C1511F" w:rsidRDefault="00C1511F" w:rsidP="00C1511F">
      <w:pPr>
        <w:widowControl w:val="0"/>
        <w:autoSpaceDE w:val="0"/>
        <w:autoSpaceDN w:val="0"/>
        <w:spacing w:after="0" w:line="276" w:lineRule="auto"/>
        <w:jc w:val="both"/>
        <w:rPr>
          <w:rFonts w:ascii="Verdana" w:hAnsi="Verdana" w:cs="Arial"/>
          <w:color w:val="000000" w:themeColor="text1"/>
          <w:shd w:val="clear" w:color="auto" w:fill="FFFFFF"/>
        </w:rPr>
      </w:pPr>
    </w:p>
    <w:p w14:paraId="2DD3E5C6" w14:textId="77777777" w:rsidR="00C1511F" w:rsidRPr="00103B90" w:rsidRDefault="00C1511F" w:rsidP="00C1511F">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4"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35229C2C" w14:textId="77777777" w:rsidR="00C1511F" w:rsidRPr="00103B90" w:rsidRDefault="00C1511F" w:rsidP="00C1511F">
      <w:pPr>
        <w:widowControl w:val="0"/>
        <w:autoSpaceDE w:val="0"/>
        <w:autoSpaceDN w:val="0"/>
        <w:spacing w:after="0" w:line="276" w:lineRule="auto"/>
        <w:jc w:val="both"/>
        <w:rPr>
          <w:rFonts w:ascii="Verdana" w:hAnsi="Verdana"/>
        </w:rPr>
      </w:pPr>
    </w:p>
    <w:p w14:paraId="0BCE0327" w14:textId="77777777" w:rsidR="00C1511F" w:rsidRPr="00505CD6" w:rsidRDefault="00C1511F" w:rsidP="00C1511F">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795BA75C" w14:textId="77777777" w:rsidR="00C1511F" w:rsidRPr="00505CD6" w:rsidRDefault="00C1511F" w:rsidP="00C1511F">
      <w:pPr>
        <w:widowControl w:val="0"/>
        <w:autoSpaceDE w:val="0"/>
        <w:autoSpaceDN w:val="0"/>
        <w:spacing w:after="0" w:line="276" w:lineRule="auto"/>
        <w:jc w:val="both"/>
        <w:rPr>
          <w:rFonts w:ascii="Verdana" w:hAnsi="Verdana" w:cs="Arial"/>
        </w:rPr>
      </w:pPr>
    </w:p>
    <w:p w14:paraId="4C307D77" w14:textId="77777777" w:rsidR="00C1511F" w:rsidRDefault="00C1511F" w:rsidP="00C1511F">
      <w:pPr>
        <w:spacing w:after="0" w:line="276" w:lineRule="auto"/>
        <w:jc w:val="both"/>
        <w:rPr>
          <w:rFonts w:ascii="Verdana" w:hAnsi="Verdana" w:cs="Arial"/>
          <w:lang w:eastAsia="es-CO"/>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7B4A209C" w14:textId="77777777" w:rsidR="00C1511F" w:rsidRDefault="00C1511F" w:rsidP="00C1511F">
      <w:pPr>
        <w:spacing w:after="0" w:line="276" w:lineRule="auto"/>
        <w:jc w:val="both"/>
        <w:rPr>
          <w:noProof/>
        </w:rPr>
      </w:pPr>
    </w:p>
    <w:p w14:paraId="65D1ED77" w14:textId="5A3618C8" w:rsidR="00C1511F" w:rsidRDefault="00C1511F" w:rsidP="00C1511F">
      <w:pPr>
        <w:spacing w:line="276" w:lineRule="auto"/>
        <w:jc w:val="center"/>
        <w:rPr>
          <w:noProof/>
        </w:rPr>
      </w:pPr>
    </w:p>
    <w:p w14:paraId="032483A1" w14:textId="12A22ACF" w:rsidR="00CA4CCC" w:rsidRDefault="00CA4CCC" w:rsidP="00C1511F">
      <w:pPr>
        <w:spacing w:line="276" w:lineRule="auto"/>
        <w:jc w:val="center"/>
        <w:rPr>
          <w:noProof/>
        </w:rPr>
      </w:pPr>
    </w:p>
    <w:p w14:paraId="266E7EE0" w14:textId="19359E97" w:rsidR="00B02236" w:rsidRDefault="00B02236" w:rsidP="00C1511F">
      <w:pPr>
        <w:spacing w:line="276" w:lineRule="auto"/>
        <w:jc w:val="center"/>
        <w:rPr>
          <w:noProof/>
        </w:rPr>
      </w:pPr>
      <w:r>
        <w:rPr>
          <w:noProof/>
        </w:rPr>
        <w:lastRenderedPageBreak/>
        <w:drawing>
          <wp:inline distT="0" distB="0" distL="0" distR="0" wp14:anchorId="388048CF" wp14:editId="4E42F87A">
            <wp:extent cx="3383280" cy="1452383"/>
            <wp:effectExtent l="0" t="0" r="7620" b="0"/>
            <wp:docPr id="570217398"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389230" cy="1454937"/>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1511F" w:rsidRPr="00593A5F" w14:paraId="16674101" w14:textId="77777777" w:rsidTr="00660F64">
        <w:trPr>
          <w:trHeight w:val="315"/>
        </w:trPr>
        <w:tc>
          <w:tcPr>
            <w:tcW w:w="893" w:type="dxa"/>
            <w:vAlign w:val="center"/>
            <w:hideMark/>
          </w:tcPr>
          <w:p w14:paraId="418FE48B" w14:textId="77777777" w:rsidR="00C1511F" w:rsidRPr="003751C7" w:rsidRDefault="00C1511F" w:rsidP="00660F64">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83F7B11" w14:textId="34FBD586" w:rsidR="00C1511F" w:rsidRPr="007911EE" w:rsidRDefault="00CA4CCC" w:rsidP="00660F64">
            <w:pPr>
              <w:contextualSpacing/>
              <w:rPr>
                <w:rFonts w:ascii="Verdana" w:hAnsi="Verdana"/>
                <w:sz w:val="16"/>
                <w:szCs w:val="16"/>
              </w:rPr>
            </w:pPr>
            <w:r>
              <w:rPr>
                <w:rFonts w:ascii="Verdana" w:hAnsi="Verdana"/>
                <w:sz w:val="16"/>
                <w:szCs w:val="16"/>
              </w:rPr>
              <w:t xml:space="preserve">Nicolas Andres Guzman </w:t>
            </w:r>
          </w:p>
          <w:p w14:paraId="46611B75" w14:textId="77777777" w:rsidR="00C1511F" w:rsidRPr="007911EE" w:rsidRDefault="00C1511F" w:rsidP="00660F64">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C1511F" w:rsidRPr="00593A5F" w14:paraId="6FBDD3A9" w14:textId="77777777" w:rsidTr="00660F64">
        <w:trPr>
          <w:trHeight w:val="330"/>
        </w:trPr>
        <w:tc>
          <w:tcPr>
            <w:tcW w:w="893" w:type="dxa"/>
            <w:vAlign w:val="center"/>
            <w:hideMark/>
          </w:tcPr>
          <w:p w14:paraId="1235939D" w14:textId="77777777" w:rsidR="00C1511F" w:rsidRPr="003751C7" w:rsidRDefault="00C1511F" w:rsidP="00660F64">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CAD8030" w14:textId="77777777" w:rsidR="00EA41C5" w:rsidRDefault="00EA41C5" w:rsidP="00660F64">
            <w:pPr>
              <w:spacing w:line="276" w:lineRule="auto"/>
              <w:contextualSpacing/>
              <w:jc w:val="both"/>
              <w:rPr>
                <w:rFonts w:ascii="Verdana" w:hAnsi="Verdana"/>
                <w:sz w:val="16"/>
                <w:szCs w:val="16"/>
              </w:rPr>
            </w:pPr>
            <w:r w:rsidRPr="00EA41C5">
              <w:rPr>
                <w:rFonts w:ascii="Verdana" w:hAnsi="Verdana"/>
                <w:sz w:val="16"/>
                <w:szCs w:val="16"/>
              </w:rPr>
              <w:t>Juan Carlos González</w:t>
            </w:r>
          </w:p>
          <w:p w14:paraId="61936CB2" w14:textId="580ED927" w:rsidR="00C1511F" w:rsidRPr="007911EE" w:rsidRDefault="00C1511F" w:rsidP="00660F64">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C1511F" w:rsidRPr="00593A5F" w14:paraId="3849128E" w14:textId="77777777" w:rsidTr="00660F64">
        <w:trPr>
          <w:trHeight w:val="330"/>
        </w:trPr>
        <w:tc>
          <w:tcPr>
            <w:tcW w:w="893" w:type="dxa"/>
            <w:vAlign w:val="center"/>
          </w:tcPr>
          <w:p w14:paraId="606DE2EB" w14:textId="77777777" w:rsidR="00C1511F" w:rsidRPr="003751C7" w:rsidRDefault="00C1511F" w:rsidP="00660F64">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2A73A31" w14:textId="77777777" w:rsidR="00C1511F" w:rsidRDefault="00C1511F" w:rsidP="00660F64">
            <w:pPr>
              <w:spacing w:line="276" w:lineRule="auto"/>
              <w:contextualSpacing/>
              <w:jc w:val="both"/>
              <w:rPr>
                <w:rFonts w:ascii="Verdana" w:hAnsi="Verdana"/>
                <w:sz w:val="16"/>
                <w:szCs w:val="16"/>
              </w:rPr>
            </w:pPr>
            <w:r>
              <w:rPr>
                <w:rFonts w:ascii="Verdana" w:hAnsi="Verdana"/>
                <w:sz w:val="16"/>
                <w:szCs w:val="16"/>
              </w:rPr>
              <w:t xml:space="preserve">Carolina Quintero Gacharná. </w:t>
            </w:r>
          </w:p>
          <w:p w14:paraId="14706E6D" w14:textId="77777777" w:rsidR="00C1511F" w:rsidRDefault="00C1511F" w:rsidP="00660F64">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 </w:t>
            </w:r>
            <w:r>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6659ABF3" w14:textId="77777777" w:rsidR="00C1511F" w:rsidRPr="00F30C63" w:rsidRDefault="00C1511F" w:rsidP="00C1511F"/>
    <w:bookmarkEnd w:id="2"/>
    <w:p w14:paraId="0F293BF4" w14:textId="020DDFED" w:rsidR="00127233" w:rsidRPr="00D55B9E" w:rsidRDefault="00127233" w:rsidP="00D55B9E"/>
    <w:sectPr w:rsidR="00127233" w:rsidRPr="00D55B9E"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D20A1A" w14:textId="77777777" w:rsidR="004508A5" w:rsidRDefault="004508A5" w:rsidP="004A1847">
      <w:pPr>
        <w:spacing w:after="0" w:line="240" w:lineRule="auto"/>
      </w:pPr>
      <w:r>
        <w:separator/>
      </w:r>
    </w:p>
  </w:endnote>
  <w:endnote w:type="continuationSeparator" w:id="0">
    <w:p w14:paraId="6F132CE3" w14:textId="77777777" w:rsidR="004508A5" w:rsidRDefault="004508A5" w:rsidP="004A1847">
      <w:pPr>
        <w:spacing w:after="0" w:line="240" w:lineRule="auto"/>
      </w:pPr>
      <w:r>
        <w:continuationSeparator/>
      </w:r>
    </w:p>
  </w:endnote>
  <w:endnote w:type="continuationNotice" w:id="1">
    <w:p w14:paraId="262D2F7A" w14:textId="77777777" w:rsidR="004508A5" w:rsidRDefault="004508A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D1EFB6" w14:textId="77777777" w:rsidR="004508A5" w:rsidRDefault="004508A5" w:rsidP="004A1847">
      <w:pPr>
        <w:spacing w:after="0" w:line="240" w:lineRule="auto"/>
      </w:pPr>
      <w:r>
        <w:separator/>
      </w:r>
    </w:p>
  </w:footnote>
  <w:footnote w:type="continuationSeparator" w:id="0">
    <w:p w14:paraId="0D18EAFA" w14:textId="77777777" w:rsidR="004508A5" w:rsidRDefault="004508A5" w:rsidP="004A1847">
      <w:pPr>
        <w:spacing w:after="0" w:line="240" w:lineRule="auto"/>
      </w:pPr>
      <w:r>
        <w:continuationSeparator/>
      </w:r>
    </w:p>
  </w:footnote>
  <w:footnote w:type="continuationNotice" w:id="1">
    <w:p w14:paraId="31ED90A3" w14:textId="77777777" w:rsidR="004508A5" w:rsidRDefault="004508A5">
      <w:pPr>
        <w:spacing w:after="0" w:line="240" w:lineRule="auto"/>
      </w:pPr>
    </w:p>
  </w:footnote>
  <w:footnote w:id="2">
    <w:p w14:paraId="590AA77F" w14:textId="0BB9CE06" w:rsidR="00083BD2" w:rsidRPr="00083BD2" w:rsidRDefault="00083BD2" w:rsidP="00083BD2">
      <w:pPr>
        <w:pStyle w:val="Textonotapie"/>
        <w:rPr>
          <w:rFonts w:ascii="Verdana" w:hAnsi="Verdana"/>
          <w:sz w:val="16"/>
          <w:szCs w:val="16"/>
          <w:lang w:val="es-CO"/>
        </w:rPr>
      </w:pPr>
      <w:r w:rsidRPr="00083BD2">
        <w:rPr>
          <w:rStyle w:val="Refdenotaalpie"/>
          <w:rFonts w:ascii="Verdana" w:hAnsi="Verdana"/>
          <w:sz w:val="16"/>
          <w:szCs w:val="16"/>
        </w:rPr>
        <w:footnoteRef/>
      </w:r>
      <w:r w:rsidRPr="00083BD2">
        <w:rPr>
          <w:rFonts w:ascii="Verdana" w:hAnsi="Verdana"/>
          <w:sz w:val="16"/>
          <w:szCs w:val="16"/>
        </w:rPr>
        <w:t xml:space="preserve">  Concepto de la Función Pública </w:t>
      </w:r>
      <w:hyperlink r:id="rId1" w:history="1">
        <w:r w:rsidRPr="00083BD2">
          <w:rPr>
            <w:rStyle w:val="Hipervnculo"/>
            <w:rFonts w:ascii="Verdana" w:hAnsi="Verdana"/>
            <w:sz w:val="16"/>
            <w:szCs w:val="16"/>
          </w:rPr>
          <w:t>https://www.funcionpublica.gov.co/eva/gestornormativo/norma.php?i=191709</w:t>
        </w:r>
      </w:hyperlink>
      <w:r w:rsidRPr="00083BD2">
        <w:rPr>
          <w:rFonts w:ascii="Verdana" w:hAnsi="Verdana"/>
          <w:sz w:val="16"/>
          <w:szCs w:val="16"/>
        </w:rPr>
        <w:t xml:space="preserve"> </w:t>
      </w:r>
    </w:p>
  </w:footnote>
  <w:footnote w:id="3">
    <w:p w14:paraId="614641E6" w14:textId="77777777" w:rsidR="00083BD2" w:rsidRPr="00083BD2" w:rsidRDefault="00083BD2" w:rsidP="00083BD2">
      <w:pPr>
        <w:spacing w:after="0" w:line="240" w:lineRule="auto"/>
        <w:ind w:firstLine="709"/>
        <w:jc w:val="both"/>
        <w:rPr>
          <w:rFonts w:ascii="Verdana" w:hAnsi="Verdana" w:cs="Arial"/>
          <w:color w:val="000000"/>
          <w:sz w:val="16"/>
          <w:szCs w:val="16"/>
        </w:rPr>
      </w:pPr>
      <w:r w:rsidRPr="00083BD2">
        <w:rPr>
          <w:rStyle w:val="Refdenotaalpie"/>
          <w:rFonts w:ascii="Verdana" w:hAnsi="Verdana" w:cs="Arial"/>
          <w:color w:val="000000"/>
          <w:sz w:val="16"/>
          <w:szCs w:val="16"/>
        </w:rPr>
        <w:footnoteRef/>
      </w:r>
      <w:r w:rsidRPr="00083BD2">
        <w:rPr>
          <w:rFonts w:ascii="Verdana" w:hAnsi="Verdana" w:cs="Arial"/>
          <w:color w:val="000000"/>
          <w:sz w:val="16"/>
          <w:szCs w:val="16"/>
        </w:rPr>
        <w:t xml:space="preserve"> BARRETO MORENO, Antonio Alejandro. Inhabilidades de la contratación estatal, efectos y neopunitivismo en el Estatuto Anticorrupción. En: ALVIAR GARCÍA, Helena (Coordinadora). Nuevas tendencias del Derecho administrativo. Bogotá: Universidad de los Andes; Temis, 2016. pp. 63-99.</w:t>
      </w:r>
    </w:p>
    <w:p w14:paraId="5F5B0758" w14:textId="77777777" w:rsidR="00083BD2" w:rsidRPr="00083BD2" w:rsidRDefault="00083BD2" w:rsidP="00083BD2">
      <w:pPr>
        <w:spacing w:after="0" w:line="240" w:lineRule="auto"/>
        <w:ind w:firstLine="709"/>
        <w:jc w:val="both"/>
        <w:rPr>
          <w:rFonts w:ascii="Verdana" w:hAnsi="Verdana" w:cs="Arial"/>
          <w:color w:val="000000"/>
          <w:sz w:val="16"/>
          <w:szCs w:val="16"/>
        </w:rPr>
      </w:pPr>
    </w:p>
  </w:footnote>
  <w:footnote w:id="4">
    <w:p w14:paraId="42359F4C" w14:textId="77777777" w:rsidR="00083BD2" w:rsidRPr="00083BD2" w:rsidRDefault="00083BD2" w:rsidP="00083BD2">
      <w:pPr>
        <w:pStyle w:val="Textonotapie"/>
        <w:ind w:firstLine="709"/>
        <w:jc w:val="both"/>
        <w:rPr>
          <w:rFonts w:ascii="Verdana" w:hAnsi="Verdana" w:cs="Arial"/>
          <w:color w:val="000000"/>
          <w:sz w:val="16"/>
          <w:szCs w:val="16"/>
          <w:lang w:val="es-CO"/>
        </w:rPr>
      </w:pPr>
      <w:r w:rsidRPr="00083BD2">
        <w:rPr>
          <w:rStyle w:val="Refdenotaalpie"/>
          <w:rFonts w:ascii="Verdana" w:hAnsi="Verdana" w:cs="Arial"/>
          <w:color w:val="000000"/>
          <w:sz w:val="16"/>
          <w:szCs w:val="16"/>
          <w:lang w:val="es-CO"/>
        </w:rPr>
        <w:footnoteRef/>
      </w:r>
      <w:r w:rsidRPr="00083BD2">
        <w:rPr>
          <w:rFonts w:ascii="Verdana" w:hAnsi="Verdana" w:cs="Arial"/>
          <w:color w:val="000000"/>
          <w:sz w:val="16"/>
          <w:szCs w:val="16"/>
          <w:lang w:val="es-CO"/>
        </w:rPr>
        <w:t xml:space="preserve"> Ibíd., p. 69</w:t>
      </w:r>
    </w:p>
    <w:p w14:paraId="1E2D08C5" w14:textId="77777777" w:rsidR="00083BD2" w:rsidRPr="00083BD2" w:rsidRDefault="00083BD2" w:rsidP="00083BD2">
      <w:pPr>
        <w:pStyle w:val="Textonotapie"/>
        <w:ind w:firstLine="709"/>
        <w:jc w:val="both"/>
        <w:rPr>
          <w:rFonts w:ascii="Verdana" w:hAnsi="Verdana" w:cs="Arial"/>
          <w:color w:val="000000"/>
          <w:sz w:val="16"/>
          <w:szCs w:val="16"/>
          <w:lang w:val="es-CO"/>
        </w:rPr>
      </w:pPr>
    </w:p>
  </w:footnote>
  <w:footnote w:id="5">
    <w:p w14:paraId="40B61F18" w14:textId="77777777" w:rsidR="00083BD2" w:rsidRPr="00083BD2" w:rsidRDefault="00083BD2" w:rsidP="00083BD2">
      <w:pPr>
        <w:pStyle w:val="Textonotapie"/>
        <w:ind w:firstLine="709"/>
        <w:jc w:val="both"/>
        <w:rPr>
          <w:rFonts w:ascii="Verdana" w:hAnsi="Verdana" w:cs="Arial"/>
          <w:color w:val="000000"/>
          <w:sz w:val="16"/>
          <w:szCs w:val="16"/>
          <w:lang w:val="es-CO"/>
        </w:rPr>
      </w:pPr>
      <w:r w:rsidRPr="00083BD2">
        <w:rPr>
          <w:rStyle w:val="Refdenotaalpie"/>
          <w:rFonts w:ascii="Verdana" w:hAnsi="Verdana" w:cs="Arial"/>
          <w:color w:val="000000"/>
          <w:sz w:val="16"/>
          <w:szCs w:val="16"/>
          <w:lang w:val="es-CO"/>
        </w:rPr>
        <w:footnoteRef/>
      </w:r>
      <w:r w:rsidRPr="00083BD2">
        <w:rPr>
          <w:rFonts w:ascii="Verdana" w:hAnsi="Verdana" w:cs="Arial"/>
          <w:color w:val="000000"/>
          <w:sz w:val="16"/>
          <w:szCs w:val="16"/>
          <w:lang w:val="es-CO"/>
        </w:rPr>
        <w:t xml:space="preserve"> Corte Constitucional. Sentencia T-1039 de 2006. Magistrado Ponente: Humberto Sierra Porto. La Corte ha mantenido este criterio en las sentencias: C-903 de 2008. Magistrado Ponente: Jaime Araujo Rentería; C-101 de 2018. Magistrada Ponente Gloria Stella Ortiz Delgado; entre otras.</w:t>
      </w:r>
    </w:p>
    <w:p w14:paraId="25D3B808" w14:textId="77777777" w:rsidR="00083BD2" w:rsidRPr="00083BD2" w:rsidRDefault="00083BD2" w:rsidP="00083BD2">
      <w:pPr>
        <w:pStyle w:val="Textonotapie"/>
        <w:ind w:firstLine="709"/>
        <w:jc w:val="both"/>
        <w:rPr>
          <w:rFonts w:ascii="Verdana" w:hAnsi="Verdana" w:cs="Arial"/>
          <w:color w:val="000000"/>
          <w:sz w:val="16"/>
          <w:szCs w:val="16"/>
          <w:lang w:val="es-CO"/>
        </w:rPr>
      </w:pPr>
    </w:p>
  </w:footnote>
  <w:footnote w:id="6">
    <w:p w14:paraId="4647DC5A" w14:textId="77777777" w:rsidR="00083BD2" w:rsidRPr="00083BD2" w:rsidRDefault="00083BD2" w:rsidP="00083BD2">
      <w:pPr>
        <w:pStyle w:val="Textonotapie"/>
        <w:ind w:firstLine="709"/>
        <w:jc w:val="both"/>
        <w:rPr>
          <w:rFonts w:ascii="Verdana" w:hAnsi="Verdana" w:cs="Arial"/>
          <w:color w:val="000000"/>
          <w:sz w:val="16"/>
          <w:szCs w:val="16"/>
          <w:lang w:val="es-CO"/>
        </w:rPr>
      </w:pPr>
      <w:r w:rsidRPr="00083BD2">
        <w:rPr>
          <w:rStyle w:val="Refdenotaalpie"/>
          <w:rFonts w:ascii="Verdana" w:hAnsi="Verdana" w:cs="Arial"/>
          <w:color w:val="000000"/>
          <w:sz w:val="16"/>
          <w:szCs w:val="16"/>
          <w:lang w:val="es-CO"/>
        </w:rPr>
        <w:footnoteRef/>
      </w:r>
      <w:r w:rsidRPr="00083BD2">
        <w:rPr>
          <w:rFonts w:ascii="Verdana" w:hAnsi="Verdana" w:cs="Arial"/>
          <w:color w:val="000000"/>
          <w:sz w:val="16"/>
          <w:szCs w:val="16"/>
          <w:lang w:val="es-CO"/>
        </w:rPr>
        <w:t xml:space="preserve"> Consejo de Estado. Sala de Consulta y Servicio Civil. Concepto del 30 de abril de 2015. Expediente: 2251. Consejero Ponente: Álvaro Namén Vargas.</w:t>
      </w:r>
    </w:p>
    <w:p w14:paraId="4DDD538B" w14:textId="77777777" w:rsidR="00083BD2" w:rsidRPr="00083BD2" w:rsidRDefault="00083BD2" w:rsidP="00083BD2">
      <w:pPr>
        <w:pStyle w:val="Textonotapie"/>
        <w:ind w:firstLine="709"/>
        <w:jc w:val="both"/>
        <w:rPr>
          <w:rFonts w:ascii="Verdana" w:hAnsi="Verdana" w:cs="Arial"/>
          <w:color w:val="000000"/>
          <w:sz w:val="16"/>
          <w:szCs w:val="16"/>
          <w:lang w:val="es-CO"/>
        </w:rPr>
      </w:pPr>
    </w:p>
  </w:footnote>
  <w:footnote w:id="7">
    <w:p w14:paraId="3EDAD616" w14:textId="77777777" w:rsidR="00083BD2" w:rsidRPr="00083BD2" w:rsidRDefault="00083BD2" w:rsidP="00083BD2">
      <w:pPr>
        <w:spacing w:after="0" w:line="240" w:lineRule="auto"/>
        <w:ind w:firstLine="709"/>
        <w:jc w:val="both"/>
        <w:rPr>
          <w:rFonts w:ascii="Verdana" w:hAnsi="Verdana" w:cs="Arial"/>
          <w:color w:val="000000"/>
          <w:sz w:val="16"/>
          <w:szCs w:val="16"/>
        </w:rPr>
      </w:pPr>
      <w:r w:rsidRPr="00083BD2">
        <w:rPr>
          <w:rStyle w:val="Refdenotaalpie"/>
          <w:rFonts w:ascii="Verdana" w:hAnsi="Verdana" w:cs="Arial"/>
          <w:color w:val="000000"/>
          <w:sz w:val="16"/>
          <w:szCs w:val="16"/>
        </w:rPr>
        <w:footnoteRef/>
      </w:r>
      <w:r w:rsidRPr="00083BD2">
        <w:rPr>
          <w:rFonts w:ascii="Verdana" w:hAnsi="Verdana" w:cs="Arial"/>
          <w:color w:val="000000"/>
          <w:sz w:val="16"/>
          <w:szCs w:val="16"/>
        </w:rPr>
        <w:t xml:space="preserve"> Consejo</w:t>
      </w:r>
      <w:r w:rsidRPr="00083BD2">
        <w:rPr>
          <w:rFonts w:ascii="Verdana" w:hAnsi="Verdana" w:cs="Arial"/>
          <w:color w:val="000000"/>
          <w:spacing w:val="12"/>
          <w:sz w:val="16"/>
          <w:szCs w:val="16"/>
        </w:rPr>
        <w:t xml:space="preserve"> </w:t>
      </w:r>
      <w:r w:rsidRPr="00083BD2">
        <w:rPr>
          <w:rFonts w:ascii="Verdana" w:hAnsi="Verdana" w:cs="Arial"/>
          <w:color w:val="000000"/>
          <w:sz w:val="16"/>
          <w:szCs w:val="16"/>
        </w:rPr>
        <w:t>de</w:t>
      </w:r>
      <w:r w:rsidRPr="00083BD2">
        <w:rPr>
          <w:rFonts w:ascii="Verdana" w:hAnsi="Verdana" w:cs="Arial"/>
          <w:color w:val="000000"/>
          <w:spacing w:val="11"/>
          <w:sz w:val="16"/>
          <w:szCs w:val="16"/>
        </w:rPr>
        <w:t xml:space="preserve"> </w:t>
      </w:r>
      <w:r w:rsidRPr="00083BD2">
        <w:rPr>
          <w:rFonts w:ascii="Verdana" w:hAnsi="Verdana" w:cs="Arial"/>
          <w:color w:val="000000"/>
          <w:sz w:val="16"/>
          <w:szCs w:val="16"/>
        </w:rPr>
        <w:t>Estado.</w:t>
      </w:r>
      <w:r w:rsidRPr="00083BD2">
        <w:rPr>
          <w:rFonts w:ascii="Verdana" w:hAnsi="Verdana" w:cs="Arial"/>
          <w:color w:val="000000"/>
          <w:spacing w:val="12"/>
          <w:sz w:val="16"/>
          <w:szCs w:val="16"/>
        </w:rPr>
        <w:t xml:space="preserve"> </w:t>
      </w:r>
      <w:r w:rsidRPr="00083BD2">
        <w:rPr>
          <w:rFonts w:ascii="Verdana" w:hAnsi="Verdana" w:cs="Arial"/>
          <w:color w:val="000000"/>
          <w:sz w:val="16"/>
          <w:szCs w:val="16"/>
        </w:rPr>
        <w:t>Sección</w:t>
      </w:r>
      <w:r w:rsidRPr="00083BD2">
        <w:rPr>
          <w:rFonts w:ascii="Verdana" w:hAnsi="Verdana" w:cs="Arial"/>
          <w:color w:val="000000"/>
          <w:spacing w:val="12"/>
          <w:sz w:val="16"/>
          <w:szCs w:val="16"/>
        </w:rPr>
        <w:t xml:space="preserve"> </w:t>
      </w:r>
      <w:r w:rsidRPr="00083BD2">
        <w:rPr>
          <w:rFonts w:ascii="Verdana" w:hAnsi="Verdana" w:cs="Arial"/>
          <w:color w:val="000000"/>
          <w:sz w:val="16"/>
          <w:szCs w:val="16"/>
        </w:rPr>
        <w:t>Tercera.</w:t>
      </w:r>
      <w:r w:rsidRPr="00083BD2">
        <w:rPr>
          <w:rFonts w:ascii="Verdana" w:hAnsi="Verdana" w:cs="Arial"/>
          <w:color w:val="000000"/>
          <w:spacing w:val="12"/>
          <w:sz w:val="16"/>
          <w:szCs w:val="16"/>
        </w:rPr>
        <w:t xml:space="preserve"> </w:t>
      </w:r>
      <w:r w:rsidRPr="00083BD2">
        <w:rPr>
          <w:rFonts w:ascii="Verdana" w:hAnsi="Verdana" w:cs="Arial"/>
          <w:color w:val="000000"/>
          <w:sz w:val="16"/>
          <w:szCs w:val="16"/>
        </w:rPr>
        <w:t>Subsección</w:t>
      </w:r>
      <w:r w:rsidRPr="00083BD2">
        <w:rPr>
          <w:rFonts w:ascii="Verdana" w:hAnsi="Verdana" w:cs="Arial"/>
          <w:color w:val="000000"/>
          <w:spacing w:val="13"/>
          <w:sz w:val="16"/>
          <w:szCs w:val="16"/>
        </w:rPr>
        <w:t xml:space="preserve"> </w:t>
      </w:r>
      <w:r w:rsidRPr="00083BD2">
        <w:rPr>
          <w:rFonts w:ascii="Verdana" w:hAnsi="Verdana" w:cs="Arial"/>
          <w:color w:val="000000"/>
          <w:sz w:val="16"/>
          <w:szCs w:val="16"/>
        </w:rPr>
        <w:t>A.</w:t>
      </w:r>
      <w:r w:rsidRPr="00083BD2">
        <w:rPr>
          <w:rFonts w:ascii="Verdana" w:hAnsi="Verdana" w:cs="Arial"/>
          <w:color w:val="000000"/>
          <w:spacing w:val="12"/>
          <w:sz w:val="16"/>
          <w:szCs w:val="16"/>
        </w:rPr>
        <w:t xml:space="preserve"> </w:t>
      </w:r>
      <w:r w:rsidRPr="00083BD2">
        <w:rPr>
          <w:rFonts w:ascii="Verdana" w:hAnsi="Verdana" w:cs="Arial"/>
          <w:color w:val="000000"/>
          <w:sz w:val="16"/>
          <w:szCs w:val="16"/>
        </w:rPr>
        <w:t>Sentencia</w:t>
      </w:r>
      <w:r w:rsidRPr="00083BD2">
        <w:rPr>
          <w:rFonts w:ascii="Verdana" w:hAnsi="Verdana" w:cs="Arial"/>
          <w:color w:val="000000"/>
          <w:spacing w:val="13"/>
          <w:sz w:val="16"/>
          <w:szCs w:val="16"/>
        </w:rPr>
        <w:t xml:space="preserve"> </w:t>
      </w:r>
      <w:r w:rsidRPr="00083BD2">
        <w:rPr>
          <w:rFonts w:ascii="Verdana" w:hAnsi="Verdana" w:cs="Arial"/>
          <w:color w:val="000000"/>
          <w:sz w:val="16"/>
          <w:szCs w:val="16"/>
        </w:rPr>
        <w:t>del</w:t>
      </w:r>
      <w:r w:rsidRPr="00083BD2">
        <w:rPr>
          <w:rFonts w:ascii="Verdana" w:hAnsi="Verdana" w:cs="Arial"/>
          <w:color w:val="000000"/>
          <w:spacing w:val="11"/>
          <w:sz w:val="16"/>
          <w:szCs w:val="16"/>
        </w:rPr>
        <w:t xml:space="preserve"> </w:t>
      </w:r>
      <w:r w:rsidRPr="00083BD2">
        <w:rPr>
          <w:rFonts w:ascii="Verdana" w:hAnsi="Verdana" w:cs="Arial"/>
          <w:color w:val="000000"/>
          <w:sz w:val="16"/>
          <w:szCs w:val="16"/>
        </w:rPr>
        <w:t>24</w:t>
      </w:r>
      <w:r w:rsidRPr="00083BD2">
        <w:rPr>
          <w:rFonts w:ascii="Verdana" w:hAnsi="Verdana" w:cs="Arial"/>
          <w:color w:val="000000"/>
          <w:spacing w:val="11"/>
          <w:sz w:val="16"/>
          <w:szCs w:val="16"/>
        </w:rPr>
        <w:t xml:space="preserve"> </w:t>
      </w:r>
      <w:r w:rsidRPr="00083BD2">
        <w:rPr>
          <w:rFonts w:ascii="Verdana" w:hAnsi="Verdana" w:cs="Arial"/>
          <w:color w:val="000000"/>
          <w:sz w:val="16"/>
          <w:szCs w:val="16"/>
        </w:rPr>
        <w:t>de</w:t>
      </w:r>
      <w:r w:rsidRPr="00083BD2">
        <w:rPr>
          <w:rFonts w:ascii="Verdana" w:hAnsi="Verdana" w:cs="Arial"/>
          <w:color w:val="000000"/>
          <w:spacing w:val="11"/>
          <w:sz w:val="16"/>
          <w:szCs w:val="16"/>
        </w:rPr>
        <w:t xml:space="preserve"> </w:t>
      </w:r>
      <w:r w:rsidRPr="00083BD2">
        <w:rPr>
          <w:rFonts w:ascii="Verdana" w:hAnsi="Verdana" w:cs="Arial"/>
          <w:color w:val="000000"/>
          <w:sz w:val="16"/>
          <w:szCs w:val="16"/>
        </w:rPr>
        <w:t>junio</w:t>
      </w:r>
      <w:r w:rsidRPr="00083BD2">
        <w:rPr>
          <w:rFonts w:ascii="Verdana" w:hAnsi="Verdana" w:cs="Arial"/>
          <w:color w:val="000000"/>
          <w:spacing w:val="11"/>
          <w:sz w:val="16"/>
          <w:szCs w:val="16"/>
        </w:rPr>
        <w:t xml:space="preserve"> </w:t>
      </w:r>
      <w:r w:rsidRPr="00083BD2">
        <w:rPr>
          <w:rFonts w:ascii="Verdana" w:hAnsi="Verdana" w:cs="Arial"/>
          <w:color w:val="000000"/>
          <w:sz w:val="16"/>
          <w:szCs w:val="16"/>
        </w:rPr>
        <w:t>de</w:t>
      </w:r>
      <w:r w:rsidRPr="00083BD2">
        <w:rPr>
          <w:rFonts w:ascii="Verdana" w:hAnsi="Verdana" w:cs="Arial"/>
          <w:color w:val="000000"/>
          <w:spacing w:val="11"/>
          <w:sz w:val="16"/>
          <w:szCs w:val="16"/>
        </w:rPr>
        <w:t xml:space="preserve"> </w:t>
      </w:r>
      <w:r w:rsidRPr="00083BD2">
        <w:rPr>
          <w:rFonts w:ascii="Verdana" w:hAnsi="Verdana" w:cs="Arial"/>
          <w:color w:val="000000"/>
          <w:sz w:val="16"/>
          <w:szCs w:val="16"/>
        </w:rPr>
        <w:t>2015.</w:t>
      </w:r>
      <w:r w:rsidRPr="00083BD2">
        <w:rPr>
          <w:rFonts w:ascii="Verdana" w:hAnsi="Verdana" w:cs="Arial"/>
          <w:color w:val="000000"/>
          <w:spacing w:val="1"/>
          <w:sz w:val="16"/>
          <w:szCs w:val="16"/>
        </w:rPr>
        <w:t xml:space="preserve"> </w:t>
      </w:r>
      <w:r w:rsidRPr="00083BD2">
        <w:rPr>
          <w:rFonts w:ascii="Verdana" w:hAnsi="Verdana" w:cs="Arial"/>
          <w:color w:val="000000"/>
          <w:sz w:val="16"/>
          <w:szCs w:val="16"/>
        </w:rPr>
        <w:t>Exp.</w:t>
      </w:r>
      <w:r w:rsidRPr="00083BD2">
        <w:rPr>
          <w:rFonts w:ascii="Verdana" w:hAnsi="Verdana" w:cs="Arial"/>
          <w:color w:val="000000"/>
          <w:spacing w:val="-2"/>
          <w:sz w:val="16"/>
          <w:szCs w:val="16"/>
        </w:rPr>
        <w:t xml:space="preserve"> </w:t>
      </w:r>
      <w:r w:rsidRPr="00083BD2">
        <w:rPr>
          <w:rFonts w:ascii="Verdana" w:hAnsi="Verdana" w:cs="Arial"/>
          <w:color w:val="000000"/>
          <w:sz w:val="16"/>
          <w:szCs w:val="16"/>
        </w:rPr>
        <w:t>40.635.</w:t>
      </w:r>
      <w:r w:rsidRPr="00083BD2">
        <w:rPr>
          <w:rFonts w:ascii="Verdana" w:hAnsi="Verdana" w:cs="Arial"/>
          <w:color w:val="000000"/>
          <w:spacing w:val="-2"/>
          <w:sz w:val="16"/>
          <w:szCs w:val="16"/>
        </w:rPr>
        <w:t xml:space="preserve"> </w:t>
      </w:r>
      <w:r w:rsidRPr="00083BD2">
        <w:rPr>
          <w:rFonts w:ascii="Verdana" w:hAnsi="Verdana" w:cs="Arial"/>
          <w:color w:val="000000"/>
          <w:sz w:val="16"/>
          <w:szCs w:val="16"/>
        </w:rPr>
        <w:t>Consejero</w:t>
      </w:r>
      <w:r w:rsidRPr="00083BD2">
        <w:rPr>
          <w:rFonts w:ascii="Verdana" w:hAnsi="Verdana" w:cs="Arial"/>
          <w:color w:val="000000"/>
          <w:spacing w:val="-1"/>
          <w:sz w:val="16"/>
          <w:szCs w:val="16"/>
        </w:rPr>
        <w:t xml:space="preserve"> </w:t>
      </w:r>
      <w:r w:rsidRPr="00083BD2">
        <w:rPr>
          <w:rFonts w:ascii="Verdana" w:hAnsi="Verdana" w:cs="Arial"/>
          <w:color w:val="000000"/>
          <w:sz w:val="16"/>
          <w:szCs w:val="16"/>
        </w:rPr>
        <w:t>Ponente:</w:t>
      </w:r>
      <w:r w:rsidRPr="00083BD2">
        <w:rPr>
          <w:rFonts w:ascii="Verdana" w:hAnsi="Verdana" w:cs="Arial"/>
          <w:color w:val="000000"/>
          <w:spacing w:val="-2"/>
          <w:sz w:val="16"/>
          <w:szCs w:val="16"/>
        </w:rPr>
        <w:t xml:space="preserve"> </w:t>
      </w:r>
      <w:r w:rsidRPr="00083BD2">
        <w:rPr>
          <w:rFonts w:ascii="Verdana" w:hAnsi="Verdana" w:cs="Arial"/>
          <w:color w:val="000000"/>
          <w:sz w:val="16"/>
          <w:szCs w:val="16"/>
        </w:rPr>
        <w:t>Hernán</w:t>
      </w:r>
      <w:r w:rsidRPr="00083BD2">
        <w:rPr>
          <w:rFonts w:ascii="Verdana" w:hAnsi="Verdana" w:cs="Arial"/>
          <w:color w:val="000000"/>
          <w:spacing w:val="-1"/>
          <w:sz w:val="16"/>
          <w:szCs w:val="16"/>
        </w:rPr>
        <w:t xml:space="preserve"> </w:t>
      </w:r>
      <w:r w:rsidRPr="00083BD2">
        <w:rPr>
          <w:rFonts w:ascii="Verdana" w:hAnsi="Verdana" w:cs="Arial"/>
          <w:color w:val="000000"/>
          <w:sz w:val="16"/>
          <w:szCs w:val="16"/>
        </w:rPr>
        <w:t>Andrade</w:t>
      </w:r>
      <w:r w:rsidRPr="00083BD2">
        <w:rPr>
          <w:rFonts w:ascii="Verdana" w:hAnsi="Verdana" w:cs="Arial"/>
          <w:color w:val="000000"/>
          <w:spacing w:val="-2"/>
          <w:sz w:val="16"/>
          <w:szCs w:val="16"/>
        </w:rPr>
        <w:t xml:space="preserve"> </w:t>
      </w:r>
      <w:r w:rsidRPr="00083BD2">
        <w:rPr>
          <w:rFonts w:ascii="Verdana" w:hAnsi="Verdana" w:cs="Arial"/>
          <w:color w:val="000000"/>
          <w:sz w:val="16"/>
          <w:szCs w:val="16"/>
        </w:rPr>
        <w:t>Rincón</w:t>
      </w:r>
      <w:r w:rsidRPr="00083BD2">
        <w:rPr>
          <w:rFonts w:ascii="Verdana" w:hAnsi="Verdana" w:cs="Arial"/>
          <w:color w:val="000000"/>
          <w:spacing w:val="-1"/>
          <w:sz w:val="16"/>
          <w:szCs w:val="16"/>
        </w:rPr>
        <w:t xml:space="preserve"> </w:t>
      </w:r>
      <w:r w:rsidRPr="00083BD2">
        <w:rPr>
          <w:rFonts w:ascii="Verdana" w:hAnsi="Verdana" w:cs="Arial"/>
          <w:color w:val="000000"/>
          <w:sz w:val="16"/>
          <w:szCs w:val="16"/>
        </w:rPr>
        <w:t>(E).</w:t>
      </w:r>
    </w:p>
    <w:p w14:paraId="6C53D49E" w14:textId="77777777" w:rsidR="00083BD2" w:rsidRPr="00083BD2" w:rsidRDefault="00083BD2" w:rsidP="00083BD2">
      <w:pPr>
        <w:spacing w:after="0" w:line="240" w:lineRule="auto"/>
        <w:ind w:firstLine="709"/>
        <w:jc w:val="both"/>
        <w:rPr>
          <w:rFonts w:ascii="Verdana" w:hAnsi="Verdana" w:cs="Arial"/>
          <w:color w:val="000000"/>
          <w:sz w:val="16"/>
          <w:szCs w:val="16"/>
        </w:rPr>
      </w:pPr>
    </w:p>
  </w:footnote>
  <w:footnote w:id="8">
    <w:p w14:paraId="6710AE4D" w14:textId="77777777" w:rsidR="00083BD2" w:rsidRPr="00083BD2" w:rsidRDefault="00083BD2" w:rsidP="00083BD2">
      <w:pPr>
        <w:pStyle w:val="Textonotapie"/>
        <w:ind w:firstLine="709"/>
        <w:jc w:val="both"/>
        <w:rPr>
          <w:rFonts w:ascii="Verdana" w:hAnsi="Verdana" w:cs="Arial"/>
          <w:color w:val="000000"/>
          <w:sz w:val="16"/>
          <w:szCs w:val="16"/>
          <w:lang w:val="es-CO"/>
        </w:rPr>
      </w:pPr>
      <w:r w:rsidRPr="00083BD2">
        <w:rPr>
          <w:rStyle w:val="Refdenotaalpie"/>
          <w:rFonts w:ascii="Verdana" w:hAnsi="Verdana" w:cs="Arial"/>
          <w:color w:val="000000"/>
          <w:sz w:val="16"/>
          <w:szCs w:val="16"/>
          <w:lang w:val="es-CO"/>
        </w:rPr>
        <w:footnoteRef/>
      </w:r>
      <w:r w:rsidRPr="00083BD2">
        <w:rPr>
          <w:rFonts w:ascii="Verdana" w:hAnsi="Verdana" w:cs="Arial"/>
          <w:color w:val="000000"/>
          <w:sz w:val="16"/>
          <w:szCs w:val="16"/>
          <w:lang w:val="es-CO"/>
        </w:rPr>
        <w:t xml:space="preserve"> Consejo de Estado. Sección Tercera. Subsección C. Sentencia del 22 de mayo de 2013. Exp. 24.057. C.P. Olga Melida Valle De La Hoz.</w:t>
      </w:r>
    </w:p>
    <w:p w14:paraId="05FBB863" w14:textId="77777777" w:rsidR="00083BD2" w:rsidRPr="00083BD2" w:rsidRDefault="00083BD2" w:rsidP="00083BD2">
      <w:pPr>
        <w:pStyle w:val="Textonotapie"/>
        <w:ind w:firstLine="709"/>
        <w:jc w:val="both"/>
        <w:rPr>
          <w:rFonts w:ascii="Verdana" w:hAnsi="Verdana" w:cs="Arial"/>
          <w:color w:val="000000"/>
          <w:sz w:val="16"/>
          <w:szCs w:val="16"/>
          <w:lang w:val="es-CO"/>
        </w:rPr>
      </w:pPr>
    </w:p>
  </w:footnote>
  <w:footnote w:id="9">
    <w:p w14:paraId="24DD5D79" w14:textId="77777777" w:rsidR="00083BD2" w:rsidRPr="00083BD2" w:rsidRDefault="00083BD2" w:rsidP="00083BD2">
      <w:pPr>
        <w:pStyle w:val="Textonotapie"/>
        <w:ind w:firstLine="709"/>
        <w:jc w:val="both"/>
        <w:rPr>
          <w:rFonts w:ascii="Verdana" w:hAnsi="Verdana" w:cs="Arial"/>
          <w:color w:val="000000"/>
          <w:sz w:val="16"/>
          <w:szCs w:val="16"/>
          <w:lang w:val="es-CO"/>
        </w:rPr>
      </w:pPr>
      <w:r w:rsidRPr="00083BD2">
        <w:rPr>
          <w:rStyle w:val="Refdenotaalpie"/>
          <w:rFonts w:ascii="Verdana" w:hAnsi="Verdana" w:cs="Arial"/>
          <w:color w:val="000000"/>
          <w:sz w:val="16"/>
          <w:szCs w:val="16"/>
          <w:lang w:val="es-CO"/>
        </w:rPr>
        <w:footnoteRef/>
      </w:r>
      <w:r w:rsidRPr="00083BD2">
        <w:rPr>
          <w:rFonts w:ascii="Verdana" w:hAnsi="Verdana" w:cs="Arial"/>
          <w:color w:val="000000"/>
          <w:sz w:val="16"/>
          <w:szCs w:val="16"/>
          <w:lang w:val="es-CO"/>
        </w:rPr>
        <w:t xml:space="preserve"> Corte Constitucional, Sentencia C- 373 de 2002, M.P. Jaime Córdoba Triviño; sentencia C-325 de 2009, M.P. Gabriel Eduardo Mendoza Martelo.</w:t>
      </w:r>
    </w:p>
    <w:p w14:paraId="5B57A493" w14:textId="77777777" w:rsidR="00083BD2" w:rsidRPr="00083BD2" w:rsidRDefault="00083BD2" w:rsidP="00083BD2">
      <w:pPr>
        <w:pStyle w:val="Textonotapie"/>
        <w:ind w:firstLine="709"/>
        <w:jc w:val="both"/>
        <w:rPr>
          <w:rFonts w:ascii="Verdana" w:hAnsi="Verdana" w:cs="Arial"/>
          <w:color w:val="000000"/>
          <w:sz w:val="16"/>
          <w:szCs w:val="16"/>
          <w:lang w:val="es-CO"/>
        </w:rPr>
      </w:pPr>
    </w:p>
  </w:footnote>
  <w:footnote w:id="10">
    <w:p w14:paraId="4C518F64" w14:textId="77777777" w:rsidR="00083BD2" w:rsidRPr="00083BD2" w:rsidRDefault="00083BD2" w:rsidP="00083BD2">
      <w:pPr>
        <w:pStyle w:val="Textonotapie"/>
        <w:ind w:firstLine="709"/>
        <w:jc w:val="both"/>
        <w:rPr>
          <w:rFonts w:ascii="Verdana" w:hAnsi="Verdana" w:cs="Arial"/>
          <w:color w:val="000000"/>
          <w:sz w:val="16"/>
          <w:szCs w:val="16"/>
          <w:lang w:val="es-CO"/>
        </w:rPr>
      </w:pPr>
      <w:r w:rsidRPr="00083BD2">
        <w:rPr>
          <w:rStyle w:val="Refdenotaalpie"/>
          <w:rFonts w:ascii="Verdana" w:hAnsi="Verdana" w:cs="Arial"/>
          <w:color w:val="000000"/>
          <w:sz w:val="16"/>
          <w:szCs w:val="16"/>
          <w:lang w:val="es-CO"/>
        </w:rPr>
        <w:footnoteRef/>
      </w:r>
      <w:r w:rsidRPr="00083BD2">
        <w:rPr>
          <w:rFonts w:ascii="Verdana" w:hAnsi="Verdana" w:cs="Arial"/>
          <w:color w:val="000000"/>
          <w:sz w:val="16"/>
          <w:szCs w:val="16"/>
          <w:lang w:val="es-CO"/>
        </w:rPr>
        <w:t xml:space="preserve"> Consejo de Estado, Sección Quinta, Sentencia del 13 de junio de 2019, Exp. No. 00111 C.P. Rocío Araújo Oñate.</w:t>
      </w:r>
    </w:p>
  </w:footnote>
  <w:footnote w:id="11">
    <w:p w14:paraId="6FF6D00F" w14:textId="77777777" w:rsidR="00083BD2" w:rsidRPr="00083BD2" w:rsidRDefault="00083BD2" w:rsidP="00083BD2">
      <w:pPr>
        <w:pStyle w:val="Textonotapie"/>
        <w:ind w:firstLine="709"/>
        <w:jc w:val="both"/>
        <w:rPr>
          <w:rFonts w:ascii="Verdana" w:hAnsi="Verdana" w:cs="Arial"/>
          <w:color w:val="000000"/>
          <w:sz w:val="16"/>
          <w:szCs w:val="16"/>
          <w:lang w:val="es-CO"/>
        </w:rPr>
      </w:pPr>
      <w:r w:rsidRPr="00083BD2">
        <w:rPr>
          <w:rStyle w:val="Refdenotaalpie"/>
          <w:rFonts w:ascii="Verdana" w:hAnsi="Verdana" w:cs="Arial"/>
          <w:color w:val="000000"/>
          <w:sz w:val="16"/>
          <w:szCs w:val="16"/>
          <w:lang w:val="es-CO"/>
        </w:rPr>
        <w:footnoteRef/>
      </w:r>
      <w:r w:rsidRPr="00083BD2">
        <w:rPr>
          <w:rFonts w:ascii="Verdana" w:hAnsi="Verdana" w:cs="Arial"/>
          <w:color w:val="000000"/>
          <w:sz w:val="16"/>
          <w:szCs w:val="16"/>
          <w:lang w:val="es-CO"/>
        </w:rPr>
        <w:t xml:space="preserve"> </w:t>
      </w:r>
      <w:r w:rsidRPr="00083BD2">
        <w:rPr>
          <w:rFonts w:ascii="Verdana" w:hAnsi="Verdana" w:cs="Arial"/>
          <w:i/>
          <w:color w:val="000000"/>
          <w:sz w:val="16"/>
          <w:szCs w:val="16"/>
          <w:lang w:val="es-CO"/>
        </w:rPr>
        <w:t>Ibid</w:t>
      </w:r>
      <w:r w:rsidRPr="00083BD2">
        <w:rPr>
          <w:rFonts w:ascii="Verdana" w:hAnsi="Verdana" w:cs="Arial"/>
          <w:color w:val="000000"/>
          <w:sz w:val="16"/>
          <w:szCs w:val="16"/>
          <w:lang w:val="es-CO"/>
        </w:rPr>
        <w:t xml:space="preserve">. </w:t>
      </w:r>
    </w:p>
    <w:p w14:paraId="6A98BC65" w14:textId="77777777" w:rsidR="00083BD2" w:rsidRPr="00083BD2" w:rsidRDefault="00083BD2" w:rsidP="00083BD2">
      <w:pPr>
        <w:pStyle w:val="Textonotapie"/>
        <w:ind w:firstLine="709"/>
        <w:jc w:val="both"/>
        <w:rPr>
          <w:rFonts w:ascii="Verdana" w:hAnsi="Verdana" w:cs="Arial"/>
          <w:color w:val="000000"/>
          <w:sz w:val="16"/>
          <w:szCs w:val="16"/>
          <w:lang w:val="es-CO"/>
        </w:rPr>
      </w:pPr>
    </w:p>
  </w:footnote>
  <w:footnote w:id="12">
    <w:p w14:paraId="00804CBB" w14:textId="77777777" w:rsidR="00083BD2" w:rsidRPr="00083BD2" w:rsidRDefault="00083BD2" w:rsidP="00083BD2">
      <w:pPr>
        <w:pStyle w:val="Textonotapie"/>
        <w:ind w:firstLine="708"/>
        <w:jc w:val="both"/>
        <w:rPr>
          <w:rFonts w:ascii="Verdana" w:hAnsi="Verdana"/>
          <w:sz w:val="16"/>
          <w:szCs w:val="16"/>
          <w:lang w:val="es-CO"/>
        </w:rPr>
      </w:pPr>
      <w:r w:rsidRPr="00083BD2">
        <w:rPr>
          <w:rStyle w:val="Refdenotaalpie"/>
          <w:rFonts w:ascii="Verdana" w:hAnsi="Verdana"/>
          <w:sz w:val="16"/>
          <w:szCs w:val="16"/>
          <w:lang w:val="es-CO"/>
        </w:rPr>
        <w:footnoteRef/>
      </w:r>
      <w:r w:rsidRPr="00083BD2">
        <w:rPr>
          <w:rFonts w:ascii="Verdana" w:hAnsi="Verdana"/>
          <w:sz w:val="16"/>
          <w:szCs w:val="16"/>
          <w:lang w:val="es-CO"/>
        </w:rPr>
        <w:t xml:space="preserve"> Ley 30 de 1992. “Artículo 71. Los profesores podrán ser de dedicación exclusiva, de tiempo completo, de medio tiempo y de cátedra.   </w:t>
      </w:r>
    </w:p>
    <w:p w14:paraId="550C53D6" w14:textId="77777777" w:rsidR="00083BD2" w:rsidRPr="00083BD2" w:rsidRDefault="00083BD2" w:rsidP="00083BD2">
      <w:pPr>
        <w:pStyle w:val="Textonotapie"/>
        <w:ind w:firstLine="708"/>
        <w:jc w:val="both"/>
        <w:rPr>
          <w:rFonts w:ascii="Verdana" w:hAnsi="Verdana"/>
          <w:sz w:val="16"/>
          <w:szCs w:val="16"/>
          <w:lang w:val="es-CO"/>
        </w:rPr>
      </w:pPr>
      <w:r w:rsidRPr="00083BD2">
        <w:rPr>
          <w:rFonts w:ascii="Verdana" w:hAnsi="Verdana"/>
          <w:sz w:val="16"/>
          <w:szCs w:val="16"/>
          <w:lang w:val="es-CO"/>
        </w:rPr>
        <w:t>La dedicación del profesor de tiempo completo a la universidad será de cuarenta horas laborales semanales.” </w:t>
      </w:r>
    </w:p>
    <w:p w14:paraId="54F91188" w14:textId="77777777" w:rsidR="00083BD2" w:rsidRPr="00083BD2" w:rsidRDefault="00083BD2" w:rsidP="00083BD2">
      <w:pPr>
        <w:pStyle w:val="Textonotapie"/>
        <w:ind w:firstLine="708"/>
        <w:jc w:val="both"/>
        <w:rPr>
          <w:sz w:val="16"/>
          <w:szCs w:val="16"/>
          <w:lang w:val="es-CO"/>
        </w:rPr>
      </w:pPr>
    </w:p>
  </w:footnote>
  <w:footnote w:id="13">
    <w:p w14:paraId="72227D13" w14:textId="77777777" w:rsidR="00083BD2" w:rsidRPr="00083BD2" w:rsidRDefault="00083BD2" w:rsidP="00083BD2">
      <w:pPr>
        <w:pStyle w:val="Textonotapie"/>
        <w:ind w:firstLine="708"/>
        <w:jc w:val="both"/>
        <w:rPr>
          <w:rFonts w:ascii="Verdana" w:hAnsi="Verdana"/>
          <w:sz w:val="16"/>
          <w:szCs w:val="16"/>
          <w:lang w:val="es-CO"/>
        </w:rPr>
      </w:pPr>
      <w:r w:rsidRPr="00083BD2">
        <w:rPr>
          <w:rStyle w:val="Refdenotaalpie"/>
          <w:rFonts w:ascii="Verdana" w:hAnsi="Verdana"/>
          <w:sz w:val="16"/>
          <w:szCs w:val="16"/>
          <w:lang w:val="es-CO"/>
        </w:rPr>
        <w:footnoteRef/>
      </w:r>
      <w:r w:rsidRPr="00083BD2">
        <w:rPr>
          <w:rFonts w:ascii="Verdana" w:hAnsi="Verdana"/>
          <w:sz w:val="16"/>
          <w:szCs w:val="16"/>
          <w:lang w:val="es-CO"/>
        </w:rPr>
        <w:t xml:space="preserve"> </w:t>
      </w:r>
      <w:r w:rsidRPr="00083BD2">
        <w:rPr>
          <w:rFonts w:ascii="Verdana" w:hAnsi="Verdana"/>
          <w:i/>
          <w:iCs/>
          <w:sz w:val="16"/>
          <w:szCs w:val="16"/>
          <w:lang w:val="es-CO"/>
        </w:rPr>
        <w:t>Ibidem</w:t>
      </w:r>
      <w:r w:rsidRPr="00083BD2">
        <w:rPr>
          <w:rFonts w:ascii="Verdana" w:hAnsi="Verdana"/>
          <w:sz w:val="16"/>
          <w:szCs w:val="16"/>
          <w:lang w:val="es-CO"/>
        </w:rPr>
        <w:t>. “Artículo 70. Para ser nombrado profesor de universidad estatal u oficial se requiere como mínimo poseer título profesional universitario. Su incorporación se efectuará previo concurso público de méritos cuya reglamentación corresponde al Consejo Superior Universitario.</w:t>
      </w:r>
    </w:p>
    <w:p w14:paraId="3025269B" w14:textId="77777777" w:rsidR="00083BD2" w:rsidRPr="00083BD2" w:rsidRDefault="00083BD2" w:rsidP="00083BD2">
      <w:pPr>
        <w:pStyle w:val="Textonotapie"/>
        <w:ind w:firstLine="708"/>
        <w:jc w:val="both"/>
        <w:rPr>
          <w:rFonts w:ascii="Verdana" w:hAnsi="Verdana"/>
          <w:sz w:val="16"/>
          <w:szCs w:val="16"/>
          <w:lang w:val="es-CO"/>
        </w:rPr>
      </w:pPr>
      <w:r w:rsidRPr="00083BD2">
        <w:rPr>
          <w:rFonts w:ascii="Verdana" w:hAnsi="Verdana"/>
          <w:sz w:val="16"/>
          <w:szCs w:val="16"/>
          <w:lang w:val="es-CO"/>
        </w:rPr>
        <w:t>[…]”</w:t>
      </w:r>
    </w:p>
    <w:p w14:paraId="1C46E6F2" w14:textId="77777777" w:rsidR="00083BD2" w:rsidRPr="00083BD2" w:rsidRDefault="00083BD2" w:rsidP="00083BD2">
      <w:pPr>
        <w:pStyle w:val="Textonotapie"/>
        <w:ind w:firstLine="708"/>
        <w:jc w:val="both"/>
        <w:rPr>
          <w:rFonts w:ascii="Verdana" w:hAnsi="Verdana"/>
          <w:sz w:val="16"/>
          <w:szCs w:val="16"/>
          <w:lang w:val="es-CO"/>
        </w:rPr>
      </w:pPr>
    </w:p>
  </w:footnote>
  <w:footnote w:id="14">
    <w:p w14:paraId="67169533" w14:textId="77777777" w:rsidR="00083BD2" w:rsidRPr="00083BD2" w:rsidRDefault="00083BD2" w:rsidP="00083BD2">
      <w:pPr>
        <w:pStyle w:val="Textonotapie"/>
        <w:ind w:firstLine="708"/>
        <w:jc w:val="both"/>
        <w:rPr>
          <w:rFonts w:ascii="Verdana" w:hAnsi="Verdana"/>
          <w:sz w:val="16"/>
          <w:szCs w:val="16"/>
          <w:u w:val="single"/>
          <w:lang w:val="es-CO"/>
        </w:rPr>
      </w:pPr>
      <w:r w:rsidRPr="00083BD2">
        <w:rPr>
          <w:rStyle w:val="Refdenotaalpie"/>
          <w:rFonts w:ascii="Verdana" w:hAnsi="Verdana"/>
          <w:sz w:val="16"/>
          <w:szCs w:val="16"/>
          <w:lang w:val="es-CO"/>
        </w:rPr>
        <w:footnoteRef/>
      </w:r>
      <w:r w:rsidRPr="00083BD2">
        <w:rPr>
          <w:sz w:val="16"/>
          <w:szCs w:val="16"/>
          <w:lang w:val="es-CO"/>
        </w:rPr>
        <w:t xml:space="preserve"> </w:t>
      </w:r>
      <w:r w:rsidRPr="00083BD2">
        <w:rPr>
          <w:rFonts w:ascii="Verdana" w:hAnsi="Verdana"/>
          <w:i/>
          <w:iCs/>
          <w:sz w:val="16"/>
          <w:szCs w:val="16"/>
          <w:lang w:val="es-CO"/>
        </w:rPr>
        <w:t>Ibidem</w:t>
      </w:r>
      <w:r w:rsidRPr="00083BD2">
        <w:rPr>
          <w:rFonts w:ascii="Verdana" w:hAnsi="Verdana"/>
          <w:sz w:val="16"/>
          <w:szCs w:val="16"/>
          <w:lang w:val="es-CO"/>
        </w:rPr>
        <w:t xml:space="preserve">. “Artículo 73. Los profesores de cátedra no son empleados públicos ni trabajadores oficiales; </w:t>
      </w:r>
      <w:r w:rsidRPr="00083BD2">
        <w:rPr>
          <w:rFonts w:ascii="Verdana" w:hAnsi="Verdana"/>
          <w:sz w:val="16"/>
          <w:szCs w:val="16"/>
          <w:u w:val="single"/>
          <w:lang w:val="es-CO"/>
        </w:rPr>
        <w:t>son contratistas y su vinculación a la entidad se hará mediante contrato de prestación de servicios, el cual se celebrará por períodos académicos.</w:t>
      </w:r>
    </w:p>
    <w:p w14:paraId="6866A3B6" w14:textId="77777777" w:rsidR="00083BD2" w:rsidRPr="00083BD2" w:rsidRDefault="00083BD2" w:rsidP="00083BD2">
      <w:pPr>
        <w:pStyle w:val="Textonotapie"/>
        <w:ind w:firstLine="708"/>
        <w:jc w:val="both"/>
        <w:rPr>
          <w:rFonts w:ascii="Verdana" w:hAnsi="Verdana"/>
          <w:sz w:val="16"/>
          <w:szCs w:val="16"/>
          <w:u w:val="single"/>
          <w:lang w:val="es-CO"/>
        </w:rPr>
      </w:pPr>
      <w:r w:rsidRPr="00083BD2">
        <w:rPr>
          <w:rFonts w:ascii="Verdana" w:hAnsi="Verdana"/>
          <w:sz w:val="16"/>
          <w:szCs w:val="16"/>
          <w:u w:val="single"/>
          <w:lang w:val="es-CO"/>
        </w:rPr>
        <w:t xml:space="preserve">Los contratos a que se refiere este artículo no estarán sujetos a formalidades distintas a las que se acostumbran entre particulares. El régimen de estipulaciones será el determinado por la naturaleza del servicio y el contrato podrá darse por terminado sin indemnización alguna en los casos de incumplimiento de los deberes previstos en la ley o en el contrato.   </w:t>
      </w:r>
    </w:p>
    <w:p w14:paraId="44A36352" w14:textId="77777777" w:rsidR="00083BD2" w:rsidRPr="00083BD2" w:rsidRDefault="00083BD2" w:rsidP="00083BD2">
      <w:pPr>
        <w:pStyle w:val="Textonotapie"/>
        <w:ind w:firstLine="708"/>
        <w:jc w:val="both"/>
        <w:rPr>
          <w:rFonts w:ascii="Verdana" w:hAnsi="Verdana"/>
          <w:sz w:val="16"/>
          <w:szCs w:val="16"/>
          <w:lang w:val="es-CO"/>
        </w:rPr>
      </w:pPr>
      <w:r w:rsidRPr="00083BD2">
        <w:rPr>
          <w:rFonts w:ascii="Verdana" w:hAnsi="Verdana"/>
          <w:sz w:val="16"/>
          <w:szCs w:val="16"/>
          <w:u w:val="single"/>
          <w:lang w:val="es-CO"/>
        </w:rPr>
        <w:t>Estos contratos requieren, para su perfeccionamiento, el registro presupuestal correspondiente</w:t>
      </w:r>
      <w:r w:rsidRPr="00083BD2">
        <w:rPr>
          <w:rFonts w:ascii="Verdana" w:hAnsi="Verdana"/>
          <w:sz w:val="16"/>
          <w:szCs w:val="16"/>
          <w:lang w:val="es-CO"/>
        </w:rPr>
        <w:t>”. [Subrayado declarado inexequible por la Corte Constitucional en Sentencia C-006 de 1996. Magistrado Ponente Dr. Fabio Morón Díaz].</w:t>
      </w:r>
    </w:p>
    <w:p w14:paraId="4B261156" w14:textId="77777777" w:rsidR="00083BD2" w:rsidRPr="00083BD2" w:rsidRDefault="00083BD2" w:rsidP="00083BD2">
      <w:pPr>
        <w:pStyle w:val="Textonotapie"/>
        <w:ind w:firstLine="708"/>
        <w:jc w:val="both"/>
        <w:rPr>
          <w:sz w:val="16"/>
          <w:szCs w:val="16"/>
          <w:lang w:val="es-CO"/>
        </w:rPr>
      </w:pPr>
    </w:p>
  </w:footnote>
  <w:footnote w:id="15">
    <w:p w14:paraId="0E73F433" w14:textId="77777777" w:rsidR="00083BD2" w:rsidRPr="00083BD2" w:rsidRDefault="00083BD2" w:rsidP="00083BD2">
      <w:pPr>
        <w:pStyle w:val="Textonotapie"/>
        <w:ind w:firstLine="708"/>
        <w:jc w:val="both"/>
        <w:rPr>
          <w:rFonts w:ascii="Verdana" w:hAnsi="Verdana"/>
          <w:sz w:val="16"/>
          <w:szCs w:val="16"/>
          <w:lang w:val="es-CO"/>
        </w:rPr>
      </w:pPr>
      <w:r w:rsidRPr="00083BD2">
        <w:rPr>
          <w:rStyle w:val="Refdenotaalpie"/>
          <w:rFonts w:ascii="Verdana" w:hAnsi="Verdana"/>
          <w:sz w:val="16"/>
          <w:szCs w:val="16"/>
          <w:lang w:val="es-CO"/>
        </w:rPr>
        <w:footnoteRef/>
      </w:r>
      <w:r w:rsidRPr="00083BD2">
        <w:rPr>
          <w:rFonts w:ascii="Verdana" w:hAnsi="Verdana"/>
          <w:sz w:val="16"/>
          <w:szCs w:val="16"/>
          <w:lang w:val="es-CO"/>
        </w:rPr>
        <w:t xml:space="preserve"> </w:t>
      </w:r>
      <w:r w:rsidRPr="00083BD2">
        <w:rPr>
          <w:rFonts w:ascii="Verdana" w:hAnsi="Verdana"/>
          <w:i/>
          <w:iCs/>
          <w:sz w:val="16"/>
          <w:szCs w:val="16"/>
          <w:lang w:val="es-CO"/>
        </w:rPr>
        <w:t>Ibidem. “</w:t>
      </w:r>
      <w:r w:rsidRPr="00083BD2">
        <w:rPr>
          <w:rFonts w:ascii="Verdana" w:hAnsi="Verdana"/>
          <w:sz w:val="16"/>
          <w:szCs w:val="16"/>
          <w:lang w:val="es-CO"/>
        </w:rPr>
        <w:t>Artículo 74. Serán profesores ocasionales aquellos que con dedicación de tiempo completo o de medio tiempo, sean requeridos transitoriamente por la entidad para un período inferior a un año.   </w:t>
      </w:r>
    </w:p>
    <w:p w14:paraId="116C07D8" w14:textId="77777777" w:rsidR="00083BD2" w:rsidRPr="00083BD2" w:rsidRDefault="00083BD2" w:rsidP="00083BD2">
      <w:pPr>
        <w:pStyle w:val="Textonotapie"/>
        <w:ind w:firstLine="708"/>
        <w:jc w:val="both"/>
        <w:rPr>
          <w:rFonts w:ascii="Verdana" w:hAnsi="Verdana"/>
          <w:sz w:val="16"/>
          <w:szCs w:val="16"/>
          <w:lang w:val="es-CO"/>
        </w:rPr>
      </w:pPr>
      <w:r w:rsidRPr="00083BD2">
        <w:rPr>
          <w:rFonts w:ascii="Verdana" w:hAnsi="Verdana"/>
          <w:sz w:val="16"/>
          <w:szCs w:val="16"/>
          <w:lang w:val="es-CO"/>
        </w:rPr>
        <w:t>Los docentes ocasionales no son empleados públicos ni trabajadores oficiales, sus servicios serán reconocidos mediante resolución y no gozarán del régimen prestacional previsto para estos últimos”. </w:t>
      </w:r>
    </w:p>
    <w:p w14:paraId="7875AF99" w14:textId="77777777" w:rsidR="00083BD2" w:rsidRPr="00083BD2" w:rsidRDefault="00083BD2" w:rsidP="00083BD2">
      <w:pPr>
        <w:pStyle w:val="Textonotapie"/>
        <w:rPr>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EDB7981"/>
    <w:multiLevelType w:val="hybridMultilevel"/>
    <w:tmpl w:val="5582A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4DDC6F0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DF33853"/>
    <w:multiLevelType w:val="hybridMultilevel"/>
    <w:tmpl w:val="21ECB3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532464B1"/>
    <w:multiLevelType w:val="hybridMultilevel"/>
    <w:tmpl w:val="4864A2D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580613F6"/>
    <w:multiLevelType w:val="hybridMultilevel"/>
    <w:tmpl w:val="032AA33E"/>
    <w:lvl w:ilvl="0" w:tplc="4B766AFE">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2F61192"/>
    <w:multiLevelType w:val="hybridMultilevel"/>
    <w:tmpl w:val="7D440B9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7"/>
  </w:num>
  <w:num w:numId="7" w16cid:durableId="1946422806">
    <w:abstractNumId w:val="6"/>
  </w:num>
  <w:num w:numId="8" w16cid:durableId="152644682">
    <w:abstractNumId w:val="16"/>
  </w:num>
  <w:num w:numId="9" w16cid:durableId="1317221377">
    <w:abstractNumId w:val="8"/>
  </w:num>
  <w:num w:numId="10" w16cid:durableId="1471245386">
    <w:abstractNumId w:val="15"/>
  </w:num>
  <w:num w:numId="11" w16cid:durableId="289172385">
    <w:abstractNumId w:val="9"/>
  </w:num>
  <w:num w:numId="12" w16cid:durableId="1470781324">
    <w:abstractNumId w:val="1"/>
  </w:num>
  <w:num w:numId="13" w16cid:durableId="1512908409">
    <w:abstractNumId w:val="4"/>
  </w:num>
  <w:num w:numId="14" w16cid:durableId="895897244">
    <w:abstractNumId w:val="18"/>
  </w:num>
  <w:num w:numId="15" w16cid:durableId="390349800">
    <w:abstractNumId w:val="14"/>
  </w:num>
  <w:num w:numId="16" w16cid:durableId="1609659350">
    <w:abstractNumId w:val="0"/>
  </w:num>
  <w:num w:numId="17" w16cid:durableId="798687251">
    <w:abstractNumId w:val="10"/>
  </w:num>
  <w:num w:numId="18" w16cid:durableId="26950456">
    <w:abstractNumId w:val="12"/>
  </w:num>
  <w:num w:numId="19" w16cid:durableId="1934971269">
    <w:abstractNumId w:val="13"/>
  </w:num>
  <w:num w:numId="20" w16cid:durableId="693657684">
    <w:abstractNumId w:val="11"/>
  </w:num>
  <w:num w:numId="21" w16cid:durableId="613639331">
    <w:abstractNumId w:val="3"/>
  </w:num>
  <w:num w:numId="22" w16cid:durableId="136447831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12B8"/>
    <w:rsid w:val="00082362"/>
    <w:rsid w:val="00083BD2"/>
    <w:rsid w:val="00096743"/>
    <w:rsid w:val="000A683E"/>
    <w:rsid w:val="000B19B9"/>
    <w:rsid w:val="000D0334"/>
    <w:rsid w:val="000D716E"/>
    <w:rsid w:val="000E2446"/>
    <w:rsid w:val="000E670E"/>
    <w:rsid w:val="000F6486"/>
    <w:rsid w:val="001026F1"/>
    <w:rsid w:val="001173E7"/>
    <w:rsid w:val="00125105"/>
    <w:rsid w:val="00127233"/>
    <w:rsid w:val="00131D54"/>
    <w:rsid w:val="001672A5"/>
    <w:rsid w:val="001E4177"/>
    <w:rsid w:val="001F0DF0"/>
    <w:rsid w:val="001F7DC6"/>
    <w:rsid w:val="002318C4"/>
    <w:rsid w:val="002421BB"/>
    <w:rsid w:val="00254C5E"/>
    <w:rsid w:val="0025796E"/>
    <w:rsid w:val="002707A2"/>
    <w:rsid w:val="002739F6"/>
    <w:rsid w:val="002951A0"/>
    <w:rsid w:val="002962BC"/>
    <w:rsid w:val="002A093D"/>
    <w:rsid w:val="002A0DD0"/>
    <w:rsid w:val="002A49AC"/>
    <w:rsid w:val="002A64FD"/>
    <w:rsid w:val="002C187B"/>
    <w:rsid w:val="002C7A84"/>
    <w:rsid w:val="002D1330"/>
    <w:rsid w:val="002E3EA0"/>
    <w:rsid w:val="002E4FD9"/>
    <w:rsid w:val="00310D71"/>
    <w:rsid w:val="00322A85"/>
    <w:rsid w:val="00324168"/>
    <w:rsid w:val="003448F4"/>
    <w:rsid w:val="003547E0"/>
    <w:rsid w:val="003604E7"/>
    <w:rsid w:val="00374F5E"/>
    <w:rsid w:val="00377E3E"/>
    <w:rsid w:val="003A779E"/>
    <w:rsid w:val="003D0F4D"/>
    <w:rsid w:val="003D5B0D"/>
    <w:rsid w:val="003E0499"/>
    <w:rsid w:val="003F3941"/>
    <w:rsid w:val="00406575"/>
    <w:rsid w:val="00414C74"/>
    <w:rsid w:val="0042722E"/>
    <w:rsid w:val="0044528D"/>
    <w:rsid w:val="004508A5"/>
    <w:rsid w:val="004A1847"/>
    <w:rsid w:val="004A305D"/>
    <w:rsid w:val="004C3576"/>
    <w:rsid w:val="004F21C4"/>
    <w:rsid w:val="004F685F"/>
    <w:rsid w:val="005034D2"/>
    <w:rsid w:val="005226A3"/>
    <w:rsid w:val="00541A93"/>
    <w:rsid w:val="005566E8"/>
    <w:rsid w:val="00571C99"/>
    <w:rsid w:val="00574867"/>
    <w:rsid w:val="00591460"/>
    <w:rsid w:val="005C3777"/>
    <w:rsid w:val="005C5CDC"/>
    <w:rsid w:val="005D476C"/>
    <w:rsid w:val="006105DF"/>
    <w:rsid w:val="006219F8"/>
    <w:rsid w:val="006302F7"/>
    <w:rsid w:val="006370D8"/>
    <w:rsid w:val="00665D70"/>
    <w:rsid w:val="006867E8"/>
    <w:rsid w:val="006900D9"/>
    <w:rsid w:val="006A150C"/>
    <w:rsid w:val="006A760C"/>
    <w:rsid w:val="00706C16"/>
    <w:rsid w:val="00756841"/>
    <w:rsid w:val="007649AB"/>
    <w:rsid w:val="00771D0C"/>
    <w:rsid w:val="00775064"/>
    <w:rsid w:val="007833AC"/>
    <w:rsid w:val="007A0AF5"/>
    <w:rsid w:val="007B268C"/>
    <w:rsid w:val="007B7171"/>
    <w:rsid w:val="007B7846"/>
    <w:rsid w:val="007C0C0F"/>
    <w:rsid w:val="007C3DC2"/>
    <w:rsid w:val="007E5497"/>
    <w:rsid w:val="00806F5F"/>
    <w:rsid w:val="00820278"/>
    <w:rsid w:val="0082646B"/>
    <w:rsid w:val="00867F95"/>
    <w:rsid w:val="008843B6"/>
    <w:rsid w:val="00891928"/>
    <w:rsid w:val="00897A3A"/>
    <w:rsid w:val="008A446D"/>
    <w:rsid w:val="008C00BE"/>
    <w:rsid w:val="008D180B"/>
    <w:rsid w:val="008F0EA7"/>
    <w:rsid w:val="00923EEF"/>
    <w:rsid w:val="00927E23"/>
    <w:rsid w:val="009419F9"/>
    <w:rsid w:val="0095685E"/>
    <w:rsid w:val="00961B09"/>
    <w:rsid w:val="00965334"/>
    <w:rsid w:val="0096584D"/>
    <w:rsid w:val="0097093E"/>
    <w:rsid w:val="009A0DFA"/>
    <w:rsid w:val="009B25A8"/>
    <w:rsid w:val="009B2D26"/>
    <w:rsid w:val="009C71FA"/>
    <w:rsid w:val="009C72E7"/>
    <w:rsid w:val="009D3058"/>
    <w:rsid w:val="009D3DBD"/>
    <w:rsid w:val="009D67EE"/>
    <w:rsid w:val="009F3A13"/>
    <w:rsid w:val="00A122D3"/>
    <w:rsid w:val="00A17F13"/>
    <w:rsid w:val="00A20739"/>
    <w:rsid w:val="00A33C78"/>
    <w:rsid w:val="00A427F5"/>
    <w:rsid w:val="00A732CA"/>
    <w:rsid w:val="00AA6344"/>
    <w:rsid w:val="00AB0ADB"/>
    <w:rsid w:val="00B00C0E"/>
    <w:rsid w:val="00B01B1A"/>
    <w:rsid w:val="00B02236"/>
    <w:rsid w:val="00B44A47"/>
    <w:rsid w:val="00B575D3"/>
    <w:rsid w:val="00B72CD3"/>
    <w:rsid w:val="00B72FFF"/>
    <w:rsid w:val="00B809BA"/>
    <w:rsid w:val="00BC3D36"/>
    <w:rsid w:val="00BD7F72"/>
    <w:rsid w:val="00C00355"/>
    <w:rsid w:val="00C04FB3"/>
    <w:rsid w:val="00C1511F"/>
    <w:rsid w:val="00C330EB"/>
    <w:rsid w:val="00C46E6B"/>
    <w:rsid w:val="00C754BE"/>
    <w:rsid w:val="00C76B1C"/>
    <w:rsid w:val="00CA4CCC"/>
    <w:rsid w:val="00CB6357"/>
    <w:rsid w:val="00CC1B26"/>
    <w:rsid w:val="00D25B7B"/>
    <w:rsid w:val="00D423A2"/>
    <w:rsid w:val="00D520D8"/>
    <w:rsid w:val="00D530FB"/>
    <w:rsid w:val="00D55B9E"/>
    <w:rsid w:val="00D56871"/>
    <w:rsid w:val="00D63AC2"/>
    <w:rsid w:val="00D7383B"/>
    <w:rsid w:val="00DA231B"/>
    <w:rsid w:val="00DC39FC"/>
    <w:rsid w:val="00DC6176"/>
    <w:rsid w:val="00DF00F0"/>
    <w:rsid w:val="00DF5254"/>
    <w:rsid w:val="00E031CE"/>
    <w:rsid w:val="00E16408"/>
    <w:rsid w:val="00E17C3A"/>
    <w:rsid w:val="00E20894"/>
    <w:rsid w:val="00E245AB"/>
    <w:rsid w:val="00E25FD5"/>
    <w:rsid w:val="00E2764C"/>
    <w:rsid w:val="00E27F2E"/>
    <w:rsid w:val="00E50AFE"/>
    <w:rsid w:val="00E75C92"/>
    <w:rsid w:val="00E771DC"/>
    <w:rsid w:val="00E86295"/>
    <w:rsid w:val="00E8772A"/>
    <w:rsid w:val="00E90F6B"/>
    <w:rsid w:val="00E92C27"/>
    <w:rsid w:val="00EA0E3D"/>
    <w:rsid w:val="00EA41C5"/>
    <w:rsid w:val="00EC38A7"/>
    <w:rsid w:val="00EE1AA8"/>
    <w:rsid w:val="00F27F22"/>
    <w:rsid w:val="00F31EDC"/>
    <w:rsid w:val="00F433CC"/>
    <w:rsid w:val="00F462B3"/>
    <w:rsid w:val="00F5664F"/>
    <w:rsid w:val="00F62755"/>
    <w:rsid w:val="00F666C4"/>
    <w:rsid w:val="00F74E3C"/>
    <w:rsid w:val="00F76AFC"/>
    <w:rsid w:val="00FA47C0"/>
    <w:rsid w:val="00FA667E"/>
    <w:rsid w:val="00FA724C"/>
    <w:rsid w:val="00FB1226"/>
    <w:rsid w:val="00FB5DD1"/>
    <w:rsid w:val="00FC2B5D"/>
    <w:rsid w:val="00FC5B6A"/>
    <w:rsid w:val="00FC5E1A"/>
    <w:rsid w:val="00FF1449"/>
    <w:rsid w:val="05F96E65"/>
    <w:rsid w:val="06090C9D"/>
    <w:rsid w:val="0998F53A"/>
    <w:rsid w:val="09CBEA51"/>
    <w:rsid w:val="0B06CA8E"/>
    <w:rsid w:val="0E4FE082"/>
    <w:rsid w:val="167D2C41"/>
    <w:rsid w:val="198C1964"/>
    <w:rsid w:val="1DA0FC8D"/>
    <w:rsid w:val="1ED87BA7"/>
    <w:rsid w:val="1EDA87ED"/>
    <w:rsid w:val="23DBCB4D"/>
    <w:rsid w:val="2504CB05"/>
    <w:rsid w:val="270E1229"/>
    <w:rsid w:val="2765B3BA"/>
    <w:rsid w:val="27CC9A10"/>
    <w:rsid w:val="2C5E855B"/>
    <w:rsid w:val="2DC16A4C"/>
    <w:rsid w:val="2E116E98"/>
    <w:rsid w:val="3047398B"/>
    <w:rsid w:val="3523D436"/>
    <w:rsid w:val="365D653C"/>
    <w:rsid w:val="38C9EECD"/>
    <w:rsid w:val="3B7D9243"/>
    <w:rsid w:val="3EE9DC86"/>
    <w:rsid w:val="4344087E"/>
    <w:rsid w:val="45F0E6E4"/>
    <w:rsid w:val="46A5D335"/>
    <w:rsid w:val="49580EE6"/>
    <w:rsid w:val="4BEA0D57"/>
    <w:rsid w:val="4E49A36A"/>
    <w:rsid w:val="4F40F1A6"/>
    <w:rsid w:val="50566CEE"/>
    <w:rsid w:val="526E35E6"/>
    <w:rsid w:val="5800A332"/>
    <w:rsid w:val="5E4F8E4F"/>
    <w:rsid w:val="5FBC865D"/>
    <w:rsid w:val="60D71CD1"/>
    <w:rsid w:val="60E9D9B8"/>
    <w:rsid w:val="64A157D9"/>
    <w:rsid w:val="6C959D56"/>
    <w:rsid w:val="6DA7E6B4"/>
    <w:rsid w:val="74DBBA0B"/>
    <w:rsid w:val="7665A5F6"/>
    <w:rsid w:val="792F6EA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1511F"/>
    <w:rPr>
      <w:rFonts w:ascii="Geomanist Light" w:hAnsi="Geomanist Light"/>
      <w:lang w:val="es-ES"/>
    </w:rPr>
  </w:style>
  <w:style w:type="paragraph" w:customStyle="1" w:styleId="Appelnotedebasde">
    <w:name w:val="Appel note de bas de..."/>
    <w:basedOn w:val="Normal"/>
    <w:link w:val="Refdenotaalpie"/>
    <w:rsid w:val="00C1511F"/>
    <w:pPr>
      <w:spacing w:line="240" w:lineRule="exact"/>
    </w:pPr>
    <w:rPr>
      <w:vertAlign w:val="superscript"/>
    </w:rPr>
  </w:style>
  <w:style w:type="character" w:customStyle="1" w:styleId="NormalWebCar">
    <w:name w:val="Normal (Web) Car"/>
    <w:link w:val="NormalWeb"/>
    <w:uiPriority w:val="99"/>
    <w:rsid w:val="00C1511F"/>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C1511F"/>
    <w:rPr>
      <w:i/>
      <w:iCs/>
    </w:rPr>
  </w:style>
  <w:style w:type="character" w:customStyle="1" w:styleId="baj">
    <w:name w:val="b_aj"/>
    <w:basedOn w:val="Fuentedeprrafopredeter"/>
    <w:rsid w:val="002E3E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frenandoiglesias@gmail.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jpe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funcionpublica.gov.co/eva/gestornormativo/norma.php?i=191709"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04FE5CEB-B250-4AD8-A477-592C7B4A59C8}"/>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6D5BB1B-6B12-4FF3-AB7D-4FC2B5F5C7A9}">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503</TotalTime>
  <Pages>13</Pages>
  <Words>3879</Words>
  <Characters>21066</Characters>
  <Application>Microsoft Office Word</Application>
  <DocSecurity>0</DocSecurity>
  <Lines>457</Lines>
  <Paragraphs>96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Nicolas Andres Guzman Padilla</cp:lastModifiedBy>
  <cp:revision>31</cp:revision>
  <cp:lastPrinted>2023-01-10T21:18:00Z</cp:lastPrinted>
  <dcterms:created xsi:type="dcterms:W3CDTF">2025-10-30T18:16:00Z</dcterms:created>
  <dcterms:modified xsi:type="dcterms:W3CDTF">2025-12-22T02:20:00Z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