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FC5E85" w14:textId="77777777" w:rsidR="008B7171" w:rsidRDefault="008B7171" w:rsidP="00345791">
      <w:pPr>
        <w:spacing w:after="0" w:line="240" w:lineRule="auto"/>
        <w:jc w:val="both"/>
        <w:rPr>
          <w:rFonts w:ascii="Verdana" w:hAnsi="Verdana"/>
          <w:b/>
        </w:rPr>
      </w:pPr>
      <w:bookmarkStart w:id="0" w:name="_Hlk143780582"/>
      <w:r w:rsidRPr="008B7171">
        <w:rPr>
          <w:rFonts w:ascii="Verdana" w:hAnsi="Verdana"/>
          <w:b/>
        </w:rPr>
        <w:t>ENAJENACIÓN – Bienes muebles – Bienes Inmueb</w:t>
      </w:r>
      <w:r>
        <w:rPr>
          <w:rFonts w:ascii="Verdana" w:hAnsi="Verdana"/>
          <w:b/>
        </w:rPr>
        <w:t xml:space="preserve">les </w:t>
      </w:r>
    </w:p>
    <w:p w14:paraId="35F960F5" w14:textId="6F89220F" w:rsidR="008B7171" w:rsidRDefault="008B7171" w:rsidP="00345791">
      <w:pPr>
        <w:spacing w:after="0" w:line="240" w:lineRule="auto"/>
        <w:jc w:val="both"/>
        <w:rPr>
          <w:rFonts w:ascii="Verdana" w:hAnsi="Verdana"/>
          <w:b/>
        </w:rPr>
      </w:pPr>
    </w:p>
    <w:p w14:paraId="27432CC4" w14:textId="7D302705" w:rsidR="008B7171" w:rsidRPr="008B7171" w:rsidRDefault="008B7171" w:rsidP="00345791">
      <w:pPr>
        <w:spacing w:after="0" w:line="240" w:lineRule="auto"/>
        <w:jc w:val="both"/>
        <w:rPr>
          <w:rFonts w:ascii="Verdana" w:hAnsi="Verdana"/>
          <w:sz w:val="20"/>
        </w:rPr>
      </w:pPr>
      <w:r w:rsidRPr="008B7171">
        <w:rPr>
          <w:rFonts w:ascii="Verdana" w:hAnsi="Verdana"/>
          <w:sz w:val="20"/>
        </w:rPr>
        <w:t xml:space="preserve">La </w:t>
      </w:r>
      <w:r w:rsidRPr="008B7171">
        <w:rPr>
          <w:rFonts w:ascii="Verdana" w:hAnsi="Verdana"/>
          <w:sz w:val="20"/>
          <w:lang w:val="es-ES"/>
        </w:rPr>
        <w:t>enajenación</w:t>
      </w:r>
      <w:r w:rsidRPr="008B7171">
        <w:rPr>
          <w:rFonts w:ascii="Verdana" w:hAnsi="Verdana"/>
          <w:sz w:val="20"/>
        </w:rPr>
        <w:t xml:space="preserve"> se define como la transferencia del derecho real sobre un bien. Como indica la doctrina, “</w:t>
      </w:r>
      <w:r w:rsidRPr="008B7171">
        <w:rPr>
          <w:rFonts w:ascii="Verdana" w:hAnsi="Verdana"/>
          <w:i/>
          <w:iCs/>
          <w:sz w:val="20"/>
        </w:rPr>
        <w:t xml:space="preserve">Dar –en sentido restringido–, </w:t>
      </w:r>
      <w:proofErr w:type="spellStart"/>
      <w:r w:rsidRPr="008B7171">
        <w:rPr>
          <w:rFonts w:ascii="Verdana" w:hAnsi="Verdana"/>
          <w:i/>
          <w:iCs/>
          <w:sz w:val="20"/>
        </w:rPr>
        <w:t>traditar</w:t>
      </w:r>
      <w:proofErr w:type="spellEnd"/>
      <w:r w:rsidRPr="008B7171">
        <w:rPr>
          <w:rFonts w:ascii="Verdana" w:hAnsi="Verdana"/>
          <w:i/>
          <w:iCs/>
          <w:sz w:val="20"/>
        </w:rPr>
        <w:t xml:space="preserve">, enajenar, disponer, son conceptos sinónimos en el Código Civil. Cuando se da, se enajena. Cuando se </w:t>
      </w:r>
      <w:proofErr w:type="spellStart"/>
      <w:r w:rsidRPr="008B7171">
        <w:rPr>
          <w:rFonts w:ascii="Verdana" w:hAnsi="Verdana"/>
          <w:i/>
          <w:iCs/>
          <w:sz w:val="20"/>
        </w:rPr>
        <w:t>tradita</w:t>
      </w:r>
      <w:proofErr w:type="spellEnd"/>
      <w:r w:rsidRPr="008B7171">
        <w:rPr>
          <w:rFonts w:ascii="Verdana" w:hAnsi="Verdana"/>
          <w:i/>
          <w:iCs/>
          <w:sz w:val="20"/>
        </w:rPr>
        <w:t xml:space="preserve">, se enajena, Cuando se enajena, se da o se </w:t>
      </w:r>
      <w:proofErr w:type="spellStart"/>
      <w:r w:rsidRPr="008B7171">
        <w:rPr>
          <w:rFonts w:ascii="Verdana" w:hAnsi="Verdana"/>
          <w:i/>
          <w:iCs/>
          <w:sz w:val="20"/>
        </w:rPr>
        <w:t>tradita</w:t>
      </w:r>
      <w:proofErr w:type="spellEnd"/>
      <w:r w:rsidRPr="008B7171">
        <w:rPr>
          <w:rFonts w:ascii="Verdana" w:hAnsi="Verdana"/>
          <w:i/>
          <w:iCs/>
          <w:sz w:val="20"/>
        </w:rPr>
        <w:t>. Y, finalmente, cuando ocurre cualquiera de tales fenómenos, se dispone”.</w:t>
      </w:r>
      <w:r w:rsidRPr="008B7171">
        <w:rPr>
          <w:rFonts w:ascii="Verdana" w:hAnsi="Verdana"/>
          <w:sz w:val="20"/>
        </w:rPr>
        <w:t xml:space="preserve"> Lo más usual es que la enajenación se lleve a cabo respecto del derecho de propiedad; y en tal caso se efectúa a través de los modos señalados en el artículo 673 del Código Civil, pudiendo recaer tanto sobre los bienes muebles, como inmuebles, aunque frente a estos la ley exige solemnidades especiales. Entretanto, el artículo 1521 del Código Civil dispone que se presenta objeto ilícito en la enajenación: i) “De las cosas que no están en el comercio”, ii) “De los derechos o privilegios que no pueden transferirse a otra persona” y iii) “De las cosas embargadas por decreto judicial, a menos que el juez lo autorice o el acreedor consienta en ello”.</w:t>
      </w:r>
    </w:p>
    <w:p w14:paraId="159471AF" w14:textId="6BBC8A14" w:rsidR="00345791" w:rsidRDefault="00345791" w:rsidP="00345791">
      <w:pPr>
        <w:spacing w:after="0" w:line="240" w:lineRule="auto"/>
        <w:jc w:val="both"/>
        <w:rPr>
          <w:rFonts w:ascii="Verdana" w:hAnsi="Verdana"/>
          <w:sz w:val="20"/>
        </w:rPr>
      </w:pPr>
      <w:r>
        <w:rPr>
          <w:rFonts w:ascii="Verdana" w:hAnsi="Verdana"/>
          <w:sz w:val="20"/>
        </w:rPr>
        <w:t>[…]</w:t>
      </w:r>
    </w:p>
    <w:p w14:paraId="7A2F1A08" w14:textId="3435F8BE" w:rsidR="008B7171" w:rsidRPr="008B7171" w:rsidRDefault="008B7171" w:rsidP="00345791">
      <w:pPr>
        <w:spacing w:after="0" w:line="240" w:lineRule="auto"/>
        <w:jc w:val="both"/>
        <w:rPr>
          <w:rFonts w:ascii="Verdana" w:hAnsi="Verdana"/>
          <w:sz w:val="20"/>
          <w:lang w:val="es-ES"/>
        </w:rPr>
      </w:pPr>
      <w:r w:rsidRPr="008B7171">
        <w:rPr>
          <w:rFonts w:ascii="Verdana" w:hAnsi="Verdana"/>
          <w:sz w:val="20"/>
        </w:rPr>
        <w:t>Respecto del tipo de bienes que pueden ser objeto de donación es importante resaltar, en primer lugar, que e</w:t>
      </w:r>
      <w:r w:rsidRPr="008B7171">
        <w:rPr>
          <w:rFonts w:ascii="Verdana" w:hAnsi="Verdana"/>
          <w:sz w:val="20"/>
          <w:lang w:val="es-ES"/>
        </w:rPr>
        <w:t>l artículo 654 del Código Civil clasifica las cosas corporales en muebles e inmuebles. El artículo 655 define los bienes muebles como los que “</w:t>
      </w:r>
      <w:r w:rsidRPr="008B7171">
        <w:rPr>
          <w:rFonts w:ascii="Verdana" w:hAnsi="Verdana"/>
          <w:i/>
          <w:iCs/>
          <w:sz w:val="20"/>
          <w:lang w:val="es-ES"/>
        </w:rPr>
        <w:t>pueden transportarse de un lugar a otro, sea moviéndose ellas a sí mismas como los animales</w:t>
      </w:r>
      <w:r w:rsidRPr="008B7171">
        <w:rPr>
          <w:rFonts w:ascii="Verdana" w:hAnsi="Verdana"/>
          <w:sz w:val="20"/>
          <w:lang w:val="es-ES"/>
        </w:rPr>
        <w:t xml:space="preserve"> (</w:t>
      </w:r>
      <w:r w:rsidRPr="008B7171">
        <w:rPr>
          <w:rFonts w:ascii="Verdana" w:hAnsi="Verdana"/>
          <w:i/>
          <w:iCs/>
          <w:sz w:val="20"/>
          <w:lang w:val="es-ES"/>
        </w:rPr>
        <w:t>que por eso se llaman semovientes), sea que sólo se muevan por una fuerza externa, como las cosas inanimadas”</w:t>
      </w:r>
      <w:r w:rsidRPr="008B7171">
        <w:rPr>
          <w:rFonts w:ascii="Verdana" w:hAnsi="Verdana"/>
          <w:sz w:val="20"/>
          <w:lang w:val="es-ES"/>
        </w:rPr>
        <w:t>, mientras que el artículo 656 define los inmuebles así: “</w:t>
      </w:r>
      <w:r w:rsidRPr="008B7171">
        <w:rPr>
          <w:rFonts w:ascii="Verdana" w:hAnsi="Verdana"/>
          <w:i/>
          <w:iCs/>
          <w:sz w:val="20"/>
          <w:lang w:val="es-ES"/>
        </w:rPr>
        <w:t>Inmuebles o fincas o bienes raíces son las cosas que no pueden transportarse de un lugar a otro; como las tierras y minas, y las que adhieren permanentemente a ellas, como los edificios, los árboles. Las casas y veredas se llaman predios o fundos”.</w:t>
      </w:r>
      <w:r w:rsidRPr="008B7171">
        <w:rPr>
          <w:rFonts w:ascii="Verdana" w:hAnsi="Verdana"/>
          <w:sz w:val="20"/>
          <w:lang w:val="es-ES"/>
        </w:rPr>
        <w:t xml:space="preserve"> No obstante, esta definición se refiere a los inmuebles por naturaleza, pues el Código también considera inmuebles a las cosas que en principio eran muebles, pero que por su destinación o adhesión mutan su categoría. </w:t>
      </w:r>
    </w:p>
    <w:p w14:paraId="7AEC9215" w14:textId="77777777" w:rsidR="008B7171" w:rsidRPr="008B7171" w:rsidRDefault="008B7171" w:rsidP="00345791">
      <w:pPr>
        <w:spacing w:after="0" w:line="240" w:lineRule="auto"/>
        <w:jc w:val="both"/>
        <w:rPr>
          <w:rFonts w:ascii="Verdana" w:hAnsi="Verdana"/>
          <w:b/>
          <w:lang w:val="es-ES"/>
        </w:rPr>
      </w:pPr>
    </w:p>
    <w:p w14:paraId="3D840919" w14:textId="09D11AAF" w:rsidR="008B7171" w:rsidRPr="008B7171" w:rsidRDefault="008B7171" w:rsidP="00345791">
      <w:pPr>
        <w:spacing w:after="0" w:line="240" w:lineRule="auto"/>
        <w:jc w:val="both"/>
        <w:rPr>
          <w:rFonts w:ascii="Verdana" w:hAnsi="Verdana"/>
          <w:b/>
        </w:rPr>
      </w:pPr>
      <w:r w:rsidRPr="008B7171">
        <w:rPr>
          <w:rFonts w:ascii="Verdana" w:hAnsi="Verdana"/>
          <w:b/>
        </w:rPr>
        <w:t xml:space="preserve">BIENES PÚBLICOS – Tipos </w:t>
      </w:r>
    </w:p>
    <w:p w14:paraId="6A1C2F94" w14:textId="69E24112" w:rsidR="008B7171" w:rsidRDefault="008B7171" w:rsidP="00345791">
      <w:pPr>
        <w:spacing w:after="0" w:line="240" w:lineRule="auto"/>
        <w:jc w:val="both"/>
        <w:rPr>
          <w:rFonts w:ascii="Verdana" w:hAnsi="Verdana"/>
          <w:b/>
        </w:rPr>
      </w:pPr>
    </w:p>
    <w:p w14:paraId="3376A17E" w14:textId="76ADEACE" w:rsidR="00345791" w:rsidRPr="00345791" w:rsidRDefault="00345791" w:rsidP="00345791">
      <w:pPr>
        <w:spacing w:after="0" w:line="240" w:lineRule="auto"/>
        <w:jc w:val="both"/>
        <w:rPr>
          <w:rFonts w:ascii="Verdana" w:hAnsi="Verdana"/>
          <w:i/>
          <w:iCs/>
          <w:sz w:val="20"/>
          <w:lang w:val="es-MX"/>
        </w:rPr>
      </w:pPr>
      <w:r w:rsidRPr="00345791">
        <w:rPr>
          <w:rFonts w:ascii="Verdana" w:hAnsi="Verdana"/>
          <w:sz w:val="20"/>
          <w:lang w:val="es-ES"/>
        </w:rPr>
        <w:t>Por otro lado, e</w:t>
      </w:r>
      <w:r w:rsidRPr="00345791">
        <w:rPr>
          <w:rFonts w:ascii="Verdana" w:hAnsi="Verdana"/>
          <w:sz w:val="20"/>
          <w:lang w:val="es-MX"/>
        </w:rPr>
        <w:t>l artículo 674 del Código Civil define los bienes de dominio público como aquellos que “</w:t>
      </w:r>
      <w:r w:rsidRPr="00345791">
        <w:rPr>
          <w:rFonts w:ascii="Verdana" w:hAnsi="Verdana"/>
          <w:i/>
          <w:iCs/>
          <w:sz w:val="20"/>
          <w:lang w:val="es-MX"/>
        </w:rPr>
        <w:t xml:space="preserve">[…] pertenece a todos los habitantes de un Territorio, como el de calles, plazas, puentes y caminos, se llaman bienes de la Unión o de uso público o bienes públicos del Territorio”. </w:t>
      </w:r>
      <w:r w:rsidRPr="00345791">
        <w:rPr>
          <w:rFonts w:ascii="Verdana" w:hAnsi="Verdana"/>
          <w:sz w:val="20"/>
          <w:lang w:val="es-MX"/>
        </w:rPr>
        <w:t>Los bienes de dominio público, de acuerdo con la sentencia C- 183 de 2003 de la Corte Constitucional, son “</w:t>
      </w:r>
      <w:r w:rsidRPr="00345791">
        <w:rPr>
          <w:rFonts w:ascii="Verdana" w:hAnsi="Verdana"/>
          <w:i/>
          <w:iCs/>
          <w:sz w:val="20"/>
          <w:lang w:val="es-MX"/>
        </w:rPr>
        <w:t>el conjunto de bienes que la administración afecta al uso directo de la comunidad o que lo utiliza para servir a la sociedad”</w:t>
      </w:r>
      <w:r w:rsidRPr="00345791">
        <w:rPr>
          <w:rFonts w:ascii="Verdana" w:hAnsi="Verdana"/>
          <w:sz w:val="20"/>
          <w:lang w:val="es-MX"/>
        </w:rPr>
        <w:t xml:space="preserve">. Dentro de esta categoría se encuentran los bienes fiscales y los bienes de uso público. Los bienes fiscales, de acuerdo con el Alto Tribunal Constitucional, están destinados a la prestación de servicios públicos que la Administración utiliza de forma inmediata, como los edificios donde funcionan las oficinas públicas. </w:t>
      </w:r>
    </w:p>
    <w:p w14:paraId="27E74554" w14:textId="77777777" w:rsidR="00345791" w:rsidRPr="00345791" w:rsidRDefault="00345791" w:rsidP="00345791">
      <w:pPr>
        <w:spacing w:after="0" w:line="240" w:lineRule="auto"/>
        <w:jc w:val="both"/>
        <w:rPr>
          <w:rFonts w:ascii="Verdana" w:hAnsi="Verdana"/>
          <w:b/>
          <w:lang w:val="es-MX"/>
        </w:rPr>
      </w:pPr>
    </w:p>
    <w:p w14:paraId="2749C8AF" w14:textId="77777777" w:rsidR="008B7171" w:rsidRPr="008B7171" w:rsidRDefault="008B7171" w:rsidP="00345791">
      <w:pPr>
        <w:spacing w:after="0" w:line="240" w:lineRule="auto"/>
        <w:jc w:val="both"/>
        <w:rPr>
          <w:rFonts w:ascii="Verdana" w:hAnsi="Verdana"/>
          <w:b/>
        </w:rPr>
      </w:pPr>
      <w:r w:rsidRPr="008B7171">
        <w:rPr>
          <w:rFonts w:ascii="Verdana" w:hAnsi="Verdana"/>
          <w:b/>
        </w:rPr>
        <w:t>ENAJENACIÓN – Bienes muebles – Título gratuito – Decreto 1082 de 2015 – Procedimiento</w:t>
      </w:r>
    </w:p>
    <w:p w14:paraId="1BEC031C" w14:textId="551445C6" w:rsidR="00345791" w:rsidRPr="00345791" w:rsidRDefault="00345791" w:rsidP="00345791">
      <w:pPr>
        <w:spacing w:after="0" w:line="240" w:lineRule="auto"/>
        <w:jc w:val="both"/>
        <w:rPr>
          <w:rFonts w:ascii="Verdana" w:hAnsi="Verdana"/>
          <w:sz w:val="20"/>
          <w:szCs w:val="20"/>
        </w:rPr>
      </w:pPr>
    </w:p>
    <w:p w14:paraId="484005CA" w14:textId="765F325C" w:rsidR="00345791" w:rsidRDefault="00345791" w:rsidP="00345791">
      <w:pPr>
        <w:spacing w:after="0" w:line="240" w:lineRule="auto"/>
        <w:jc w:val="both"/>
        <w:rPr>
          <w:rFonts w:ascii="Verdana" w:hAnsi="Verdana"/>
          <w:sz w:val="20"/>
          <w:szCs w:val="20"/>
          <w:lang w:val="es-ES"/>
        </w:rPr>
      </w:pPr>
      <w:r w:rsidRPr="00345791">
        <w:rPr>
          <w:rFonts w:ascii="Verdana" w:hAnsi="Verdana"/>
          <w:sz w:val="20"/>
          <w:szCs w:val="20"/>
          <w:lang w:val="es-ES"/>
        </w:rPr>
        <w:lastRenderedPageBreak/>
        <w:t xml:space="preserve">Ahora bien, </w:t>
      </w:r>
      <w:r w:rsidRPr="00345791">
        <w:rPr>
          <w:rFonts w:ascii="Verdana" w:hAnsi="Verdana"/>
          <w:sz w:val="20"/>
          <w:szCs w:val="20"/>
        </w:rPr>
        <w:t>L</w:t>
      </w:r>
      <w:r w:rsidRPr="00345791">
        <w:rPr>
          <w:rFonts w:ascii="Verdana" w:hAnsi="Verdana"/>
          <w:sz w:val="20"/>
          <w:szCs w:val="20"/>
          <w:lang w:val="es-ES"/>
        </w:rPr>
        <w:t>os bienes muebles que se enajenen por la Entidad Estatal, que sean dados a título gratuito a otras Entidades Estatales en virtud de lo consagrado en el artículo 2.2.1.2.2.4.3. del Decreto 1082 de 2015, deberá realizar un inventario de los bienes muebles que no utilizan y, a continuación, se la habilita para ofrecerlos a título gratuito a las demás Entidades Estatales a través de un acto administrativo que deberá publicar en su página Web.</w:t>
      </w:r>
      <w:r w:rsidRPr="00345791">
        <w:rPr>
          <w:rFonts w:ascii="Verdana" w:hAnsi="Verdana"/>
          <w:sz w:val="20"/>
          <w:szCs w:val="20"/>
        </w:rPr>
        <w:t xml:space="preserve"> </w:t>
      </w:r>
      <w:r w:rsidRPr="00345791">
        <w:rPr>
          <w:rFonts w:ascii="Verdana" w:hAnsi="Verdana"/>
          <w:sz w:val="20"/>
          <w:szCs w:val="20"/>
          <w:lang w:val="es-ES"/>
        </w:rPr>
        <w:t xml:space="preserve">El acto administrativo que oferta bienes muebles a título gratuito entre entidades estatales cumple la función de un aviso de convocatoria, porque es el mecanismo mediante el cual la entidad propietaria informa públicamente que dispone de determinados bienes y que estos pueden solicitarse por otras entidades interesadas. Dicho acto administrativo garantiza la transparencia y publicidad del proceso, pues permite que todas las entidades estatales potencialmente beneficiarias tengan conocimiento de la oferta y puedan manifestar su interés en recibir los bienes. </w:t>
      </w:r>
    </w:p>
    <w:p w14:paraId="3D1BFA25" w14:textId="77777777" w:rsidR="00345791" w:rsidRPr="00345791" w:rsidRDefault="00345791" w:rsidP="00345791">
      <w:pPr>
        <w:spacing w:after="0" w:line="240" w:lineRule="auto"/>
        <w:jc w:val="both"/>
        <w:rPr>
          <w:rFonts w:ascii="Verdana" w:hAnsi="Verdana"/>
          <w:sz w:val="20"/>
          <w:szCs w:val="20"/>
          <w:lang w:val="es-ES"/>
        </w:rPr>
      </w:pPr>
    </w:p>
    <w:p w14:paraId="5B2AEE33" w14:textId="77777777" w:rsidR="00345791" w:rsidRPr="00345791" w:rsidRDefault="00345791" w:rsidP="00345791">
      <w:pPr>
        <w:spacing w:after="0" w:line="240" w:lineRule="auto"/>
        <w:jc w:val="both"/>
        <w:rPr>
          <w:rFonts w:ascii="Verdana" w:hAnsi="Verdana"/>
          <w:sz w:val="20"/>
          <w:szCs w:val="20"/>
          <w:lang w:val="es-ES"/>
        </w:rPr>
      </w:pPr>
      <w:r w:rsidRPr="00345791">
        <w:rPr>
          <w:rFonts w:ascii="Verdana" w:hAnsi="Verdana"/>
          <w:sz w:val="20"/>
          <w:szCs w:val="20"/>
          <w:lang w:val="es-ES"/>
        </w:rPr>
        <w:t>Posterior a ello, la norma en mención indica que dentro de los treinta (30) días calendario siguientes a la fecha de publicación del acto administrativo, la Entidad Estatal interesada en adquirir estos bienes a título gratuito debe manifestar su interés, y con ella, debe señalar la necesidad funcional que pretende satisfacer con el bien conjuntamente con las razones que justifican su solicitud. Finalmente, la norma señala que, si hay dos o más manifestaciones de interés de Entidades Estatales para el mismo bien, la Entidad Estatal que primero haya manifestado su interés debe tener preferencia, sin que existan más normas complementarias o posteriores que hayan regulado con mayor detalle el procedimiento en mención.</w:t>
      </w:r>
    </w:p>
    <w:p w14:paraId="58BFFDF9" w14:textId="77777777" w:rsidR="00345791" w:rsidRPr="00345791" w:rsidRDefault="00345791" w:rsidP="00345791">
      <w:pPr>
        <w:spacing w:after="0" w:line="240" w:lineRule="auto"/>
        <w:jc w:val="both"/>
        <w:rPr>
          <w:rFonts w:ascii="Verdana" w:hAnsi="Verdana"/>
          <w:b/>
          <w:lang w:val="es-ES"/>
        </w:rPr>
      </w:pPr>
    </w:p>
    <w:p w14:paraId="7B2071BB" w14:textId="77777777" w:rsidR="008B7171" w:rsidRPr="008B7171" w:rsidRDefault="008B7171" w:rsidP="00345791">
      <w:pPr>
        <w:spacing w:after="0" w:line="240" w:lineRule="auto"/>
        <w:jc w:val="both"/>
        <w:rPr>
          <w:rFonts w:ascii="Verdana" w:hAnsi="Verdana"/>
          <w:b/>
        </w:rPr>
      </w:pPr>
      <w:r w:rsidRPr="008B7171">
        <w:rPr>
          <w:rFonts w:ascii="Verdana" w:hAnsi="Verdana"/>
          <w:b/>
        </w:rPr>
        <w:t xml:space="preserve">ESTUDIOS PREVIOS – Planeación – Deber de las entidades </w:t>
      </w:r>
    </w:p>
    <w:p w14:paraId="2792A32D" w14:textId="77777777" w:rsidR="00345791" w:rsidRDefault="00345791" w:rsidP="00345791">
      <w:pPr>
        <w:spacing w:after="0" w:line="240" w:lineRule="auto"/>
        <w:jc w:val="both"/>
        <w:rPr>
          <w:rFonts w:ascii="Verdana" w:hAnsi="Verdana"/>
          <w:sz w:val="20"/>
          <w:lang w:val="es-ES"/>
        </w:rPr>
      </w:pPr>
    </w:p>
    <w:p w14:paraId="0A726283" w14:textId="0DA112E9" w:rsidR="00345791" w:rsidRDefault="00345791" w:rsidP="00345791">
      <w:pPr>
        <w:spacing w:after="0" w:line="240" w:lineRule="auto"/>
        <w:jc w:val="both"/>
        <w:rPr>
          <w:rFonts w:ascii="Verdana" w:hAnsi="Verdana"/>
          <w:sz w:val="20"/>
        </w:rPr>
      </w:pPr>
      <w:r w:rsidRPr="00345791">
        <w:rPr>
          <w:rFonts w:ascii="Verdana" w:hAnsi="Verdana"/>
          <w:sz w:val="20"/>
          <w:lang w:val="es-ES"/>
        </w:rPr>
        <w:t>En todo proceso de contratación, independiente de la modalidad de selección resulta aplicable l</w:t>
      </w:r>
      <w:r w:rsidRPr="00345791">
        <w:rPr>
          <w:rFonts w:ascii="Verdana" w:hAnsi="Verdana"/>
          <w:bCs/>
          <w:sz w:val="20"/>
          <w:lang w:val="es-ES_tradnl"/>
        </w:rPr>
        <w:t>a planeación contractual como una herramienta de gerencia pública, que exige estructurar el proceso contractual dedicando tiempo y esfuerzos para elaborar estudios previos, los cuales deberán ser adecuados a su alcance y complejidad. Lo anterior, con la finalidad de determinar la necesidad que pretende satisfacer la entidad estatal, consultando el tipo de bienes y servicios que ofrece el mercado y sus características, especificaciones, precios, costos, riesgos, garantías, disponibilidad, oferentes, entre otros. Así, una debida planeación debe conducir a una escogencia diligente de la mejor oferta, para beneficiar los intereses y fines públicos inmersos en la contratación de las entidades estatales, buscando siempre la correcta ejecución del contrato.</w:t>
      </w:r>
      <w:r w:rsidRPr="00345791">
        <w:rPr>
          <w:rFonts w:ascii="Verdana" w:hAnsi="Verdana"/>
          <w:sz w:val="20"/>
        </w:rPr>
        <w:t xml:space="preserve"> </w:t>
      </w:r>
    </w:p>
    <w:p w14:paraId="775F3FB8" w14:textId="77777777" w:rsidR="00345791" w:rsidRPr="00345791" w:rsidRDefault="00345791" w:rsidP="00345791">
      <w:pPr>
        <w:spacing w:after="0" w:line="240" w:lineRule="auto"/>
        <w:jc w:val="both"/>
        <w:rPr>
          <w:rFonts w:ascii="Verdana" w:hAnsi="Verdana"/>
          <w:sz w:val="20"/>
        </w:rPr>
      </w:pPr>
    </w:p>
    <w:p w14:paraId="6CA9FD88" w14:textId="423BFB4A" w:rsidR="008B7171" w:rsidRPr="00345791" w:rsidRDefault="00345791" w:rsidP="00345791">
      <w:pPr>
        <w:spacing w:after="0" w:line="240" w:lineRule="auto"/>
        <w:jc w:val="both"/>
        <w:rPr>
          <w:rFonts w:ascii="Verdana" w:hAnsi="Verdana"/>
          <w:sz w:val="20"/>
        </w:rPr>
      </w:pPr>
      <w:r w:rsidRPr="00345791">
        <w:rPr>
          <w:rFonts w:ascii="Verdana" w:hAnsi="Verdana"/>
          <w:bCs/>
          <w:sz w:val="20"/>
        </w:rPr>
        <w:t xml:space="preserve">En armonía con lo anterior, el Estatuto General de Contratación de la Administración Pública contiene disposiciones que demandan de las entidades estatales el deber de planeación en la etapa precontractual. Esto con la finalidad de que los procesos de contratación satisfagan las necesidades de la Administración, cumplan sus fines, logren la continua y eficiente prestación de los servicios públicos y permitan la efectividad de los derechos e intereses de los administrados que </w:t>
      </w:r>
      <w:r w:rsidRPr="00345791">
        <w:rPr>
          <w:rFonts w:ascii="Verdana" w:hAnsi="Verdana"/>
          <w:bCs/>
          <w:sz w:val="20"/>
          <w:lang w:val="es-ES_tradnl"/>
        </w:rPr>
        <w:t>colaboran</w:t>
      </w:r>
      <w:r w:rsidRPr="00345791">
        <w:rPr>
          <w:rFonts w:ascii="Verdana" w:hAnsi="Verdana"/>
          <w:bCs/>
          <w:sz w:val="20"/>
        </w:rPr>
        <w:t xml:space="preserve"> en su consecución. En relación con el principio de economía, se tienen las siguientes reglas derivadas de su aplicación, lo cual está previsto en el artículo 25 de la Ley 80 de 1993</w:t>
      </w:r>
      <w:r>
        <w:rPr>
          <w:rFonts w:ascii="Verdana" w:hAnsi="Verdana"/>
          <w:bCs/>
          <w:sz w:val="20"/>
        </w:rPr>
        <w:t xml:space="preserve"> […].</w:t>
      </w:r>
    </w:p>
    <w:p w14:paraId="74F61DF2" w14:textId="77777777" w:rsidR="008B7171" w:rsidRPr="008B7171" w:rsidRDefault="008B7171" w:rsidP="00345791">
      <w:pPr>
        <w:spacing w:after="0" w:line="240" w:lineRule="auto"/>
        <w:jc w:val="both"/>
        <w:rPr>
          <w:rFonts w:ascii="Verdana" w:hAnsi="Verdana"/>
          <w:b/>
        </w:rPr>
      </w:pPr>
      <w:r w:rsidRPr="008B7171">
        <w:rPr>
          <w:rFonts w:ascii="Verdana" w:hAnsi="Verdana"/>
          <w:b/>
        </w:rPr>
        <w:lastRenderedPageBreak/>
        <w:t>PRINCIPIO DE PUBLICIDAD – SECOP – Documentos del proceso – Deber de publicación</w:t>
      </w:r>
    </w:p>
    <w:p w14:paraId="1534F66D" w14:textId="0F7E9901" w:rsidR="008B7171" w:rsidRDefault="008B7171" w:rsidP="00345791">
      <w:pPr>
        <w:spacing w:after="0" w:line="240" w:lineRule="auto"/>
        <w:jc w:val="both"/>
        <w:rPr>
          <w:rFonts w:ascii="Verdana" w:hAnsi="Verdana"/>
          <w:b/>
        </w:rPr>
      </w:pPr>
    </w:p>
    <w:p w14:paraId="1994A023" w14:textId="1A63DA5D" w:rsidR="00345791" w:rsidRDefault="00345791" w:rsidP="00345791">
      <w:pPr>
        <w:spacing w:after="0" w:line="240" w:lineRule="auto"/>
        <w:jc w:val="both"/>
        <w:rPr>
          <w:rFonts w:ascii="Verdana" w:hAnsi="Verdana"/>
          <w:sz w:val="20"/>
        </w:rPr>
      </w:pPr>
      <w:r w:rsidRPr="00345791">
        <w:rPr>
          <w:rFonts w:ascii="Verdana" w:hAnsi="Verdana"/>
          <w:sz w:val="20"/>
        </w:rPr>
        <w:t xml:space="preserve">La expresión </w:t>
      </w:r>
      <w:r w:rsidRPr="00345791">
        <w:rPr>
          <w:rFonts w:ascii="Verdana" w:hAnsi="Verdana"/>
          <w:i/>
          <w:iCs/>
          <w:sz w:val="20"/>
        </w:rPr>
        <w:t xml:space="preserve">Documentos del Proceso </w:t>
      </w:r>
      <w:r w:rsidRPr="00345791">
        <w:rPr>
          <w:rFonts w:ascii="Verdana" w:hAnsi="Verdana"/>
          <w:sz w:val="20"/>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345791">
        <w:rPr>
          <w:rFonts w:ascii="Verdana" w:hAnsi="Verdana"/>
          <w:i/>
          <w:iCs/>
          <w:sz w:val="20"/>
        </w:rPr>
        <w:t>y cualquier otro documento expedido por la Entidad Estatal durante el Proceso de Contratación</w:t>
      </w:r>
      <w:r w:rsidRPr="00345791">
        <w:rPr>
          <w:rFonts w:ascii="Verdana" w:hAnsi="Verdana"/>
          <w:sz w:val="20"/>
        </w:rPr>
        <w:t>”. [Énfasis fuera de texto]</w:t>
      </w:r>
    </w:p>
    <w:p w14:paraId="03BCD5DD" w14:textId="77777777" w:rsidR="00345791" w:rsidRPr="00345791" w:rsidRDefault="00345791" w:rsidP="00345791">
      <w:pPr>
        <w:spacing w:after="0" w:line="240" w:lineRule="auto"/>
        <w:jc w:val="both"/>
        <w:rPr>
          <w:rFonts w:ascii="Verdana" w:hAnsi="Verdana"/>
          <w:sz w:val="20"/>
        </w:rPr>
      </w:pPr>
    </w:p>
    <w:p w14:paraId="75D01CC1" w14:textId="77777777" w:rsidR="00345791" w:rsidRPr="00345791" w:rsidRDefault="00345791" w:rsidP="00345791">
      <w:pPr>
        <w:spacing w:after="0" w:line="240" w:lineRule="auto"/>
        <w:jc w:val="both"/>
        <w:rPr>
          <w:rFonts w:ascii="Verdana" w:hAnsi="Verdana"/>
          <w:sz w:val="20"/>
        </w:rPr>
      </w:pPr>
      <w:r w:rsidRPr="00345791">
        <w:rPr>
          <w:rFonts w:ascii="Verdana" w:hAnsi="Verdana"/>
          <w:sz w:val="20"/>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proofErr w:type="spellStart"/>
      <w:r w:rsidRPr="00345791">
        <w:rPr>
          <w:rFonts w:ascii="Verdana" w:hAnsi="Verdana"/>
          <w:i/>
          <w:iCs/>
          <w:sz w:val="20"/>
        </w:rPr>
        <w:t>Ibidem</w:t>
      </w:r>
      <w:proofErr w:type="spellEnd"/>
      <w:r w:rsidRPr="00345791">
        <w:rPr>
          <w:rFonts w:ascii="Verdana" w:hAnsi="Verdana"/>
          <w:sz w:val="20"/>
        </w:rPr>
        <w:t xml:space="preserve"> recoge en la noción de Documentos del Proceso “cualquier otro documento expedido por la Entidad Estatal durante el Proceso de Contratación”. </w:t>
      </w:r>
    </w:p>
    <w:p w14:paraId="06C08073" w14:textId="77777777" w:rsidR="00345791" w:rsidRPr="008B7171" w:rsidRDefault="00345791" w:rsidP="00345791">
      <w:pPr>
        <w:spacing w:after="0" w:line="240" w:lineRule="auto"/>
        <w:jc w:val="both"/>
        <w:rPr>
          <w:rFonts w:ascii="Verdana" w:hAnsi="Verdana"/>
          <w:b/>
        </w:rPr>
      </w:pPr>
    </w:p>
    <w:p w14:paraId="1A3D54D7" w14:textId="38BBBC56" w:rsidR="008B7171" w:rsidRPr="008B7171" w:rsidRDefault="008B7171" w:rsidP="00345791">
      <w:pPr>
        <w:spacing w:after="0" w:line="240" w:lineRule="auto"/>
        <w:jc w:val="both"/>
        <w:rPr>
          <w:rFonts w:ascii="Verdana" w:hAnsi="Verdana"/>
          <w:b/>
        </w:rPr>
      </w:pPr>
      <w:r w:rsidRPr="008B7171">
        <w:rPr>
          <w:rFonts w:ascii="Verdana" w:hAnsi="Verdana"/>
          <w:b/>
        </w:rPr>
        <w:t>PRINCIPIO DE PUBLICIDAD – Deber de publicidad –SECOP I- Enajenación de bienes a título gratuito.</w:t>
      </w:r>
    </w:p>
    <w:p w14:paraId="2730901F" w14:textId="59C3D2AC" w:rsidR="008B7171" w:rsidRDefault="008B7171" w:rsidP="00345791">
      <w:pPr>
        <w:spacing w:after="0" w:line="240" w:lineRule="auto"/>
        <w:rPr>
          <w:rFonts w:ascii="Verdana" w:hAnsi="Verdana"/>
        </w:rPr>
      </w:pPr>
    </w:p>
    <w:p w14:paraId="3781E7D9" w14:textId="06EB06CA" w:rsidR="00345791" w:rsidRDefault="00345791" w:rsidP="00345791">
      <w:pPr>
        <w:spacing w:after="0" w:line="240" w:lineRule="auto"/>
        <w:jc w:val="both"/>
        <w:rPr>
          <w:rFonts w:ascii="Verdana" w:hAnsi="Verdana"/>
          <w:sz w:val="20"/>
        </w:rPr>
      </w:pPr>
      <w:r w:rsidRPr="00345791">
        <w:rPr>
          <w:rFonts w:ascii="Verdana" w:hAnsi="Verdana"/>
          <w:sz w:val="20"/>
        </w:rPr>
        <w:t xml:space="preserve">En tal sentido, la Circular Externa 003 de 2024 dispone reglas sobre la obligatoriedad de SECOP II para la vigencia 2024 y primer semestre de 2025 para todas las Entidades Estatales, incluidas aquellas con regímenes contractuales especiales, la publicación de documentos relacionados con su actividad contractual en dicha plataforma. Así mismo, dicha circular establece, entre otras cosas, lo siguiente: “Están exceptuados de la medida las asociaciones público–privadas-APP- de que trata la Ley 1508 de 2012 y demás normas complementarias, los contratos donde existan más de dos partes, los concursos de arquitectura y </w:t>
      </w:r>
      <w:r w:rsidRPr="00345791">
        <w:rPr>
          <w:rFonts w:ascii="Verdana" w:hAnsi="Verdana"/>
          <w:i/>
          <w:sz w:val="20"/>
        </w:rPr>
        <w:t>la enajenación de bienes a título gratuito</w:t>
      </w:r>
      <w:r w:rsidRPr="00345791">
        <w:rPr>
          <w:rFonts w:ascii="Verdana" w:hAnsi="Verdana"/>
          <w:sz w:val="20"/>
        </w:rPr>
        <w:t xml:space="preserve">, los cuales deberán publicarse a través del SECOP I” (énfasis fuera de texto). </w:t>
      </w:r>
    </w:p>
    <w:p w14:paraId="0170242A" w14:textId="77777777" w:rsidR="00345791" w:rsidRPr="00345791" w:rsidRDefault="00345791" w:rsidP="00345791">
      <w:pPr>
        <w:spacing w:after="0" w:line="240" w:lineRule="auto"/>
        <w:jc w:val="both"/>
        <w:rPr>
          <w:rFonts w:ascii="Verdana" w:hAnsi="Verdana"/>
          <w:sz w:val="20"/>
        </w:rPr>
      </w:pPr>
    </w:p>
    <w:p w14:paraId="0DA83871" w14:textId="77777777" w:rsidR="00345791" w:rsidRPr="00345791" w:rsidRDefault="00345791" w:rsidP="00345791">
      <w:pPr>
        <w:spacing w:after="0" w:line="240" w:lineRule="auto"/>
        <w:jc w:val="both"/>
        <w:rPr>
          <w:rFonts w:ascii="Verdana" w:hAnsi="Verdana"/>
          <w:sz w:val="20"/>
          <w:lang w:val="es-MX"/>
        </w:rPr>
      </w:pPr>
      <w:r w:rsidRPr="00345791">
        <w:rPr>
          <w:rFonts w:ascii="Verdana" w:hAnsi="Verdana"/>
          <w:sz w:val="20"/>
        </w:rPr>
        <w:t xml:space="preserve">Es decir, se establece en dicha circular que los contratos de Asociaciones Público-Privadas, los contratos donde existan más de dos partes, los concursos de arquitectura y la enajenación de bienes a título gratuito, los cuales deberán publicarse por SECOP I, cumpliendo los mandatos legales y reglamentarios. </w:t>
      </w:r>
      <w:r w:rsidRPr="00345791">
        <w:rPr>
          <w:rFonts w:ascii="Verdana" w:hAnsi="Verdana"/>
          <w:sz w:val="20"/>
          <w:lang w:val="es-ES"/>
        </w:rPr>
        <w:t>en virtud del principio de transparencia, así como por el principio de máxima publicidad establecido en el artículo 2 de la Ley 1712 de 2014, el contenido del expediente en el que reposa la actuación es información pública, independientemente de si se trata de documentos que deban ser publicados en SECOP, ya sea en SECOP I o en SECOP II.</w:t>
      </w:r>
      <w:r w:rsidRPr="00345791">
        <w:rPr>
          <w:rFonts w:ascii="Verdana" w:hAnsi="Verdana"/>
          <w:sz w:val="20"/>
          <w:lang w:val="es-MX"/>
        </w:rPr>
        <w:t xml:space="preserve"> En razón a dicho interés, el legislador mediante el artículo 3 de la Ley 1150 de 2007 y la normativa de la transparencia y el acceso a la información pública, materializa los principios de publicidad y transparencia en el ámbito de la contratación estatal, estableciendo el SECOP como medio de publicidad principal de las actuaciones contractuales públicas.</w:t>
      </w:r>
    </w:p>
    <w:p w14:paraId="4875FF9A" w14:textId="77777777" w:rsidR="00345791" w:rsidRPr="00345791" w:rsidRDefault="00345791" w:rsidP="00674FF0">
      <w:pPr>
        <w:spacing w:after="0"/>
        <w:rPr>
          <w:rFonts w:ascii="Verdana" w:hAnsi="Verdana"/>
          <w:lang w:val="es-MX"/>
        </w:rPr>
      </w:pPr>
    </w:p>
    <w:p w14:paraId="646C7DE6" w14:textId="5DCB375A" w:rsidR="00674FF0" w:rsidRDefault="008B7171" w:rsidP="00674FF0">
      <w:pPr>
        <w:spacing w:after="0"/>
        <w:rPr>
          <w:rFonts w:ascii="Verdana" w:hAnsi="Verdana"/>
        </w:rPr>
      </w:pPr>
      <w:r w:rsidRPr="008B7171">
        <w:rPr>
          <w:rFonts w:ascii="Verdana" w:hAnsi="Verdana"/>
          <w:noProof/>
          <w:lang w:val="en-US"/>
        </w:rPr>
        <w:lastRenderedPageBreak/>
        <w:drawing>
          <wp:anchor distT="0" distB="0" distL="114300" distR="114300" simplePos="0" relativeHeight="251658240" behindDoc="0" locked="0" layoutInCell="1" allowOverlap="1" wp14:anchorId="62C85DE8" wp14:editId="55A3567A">
            <wp:simplePos x="0" y="0"/>
            <wp:positionH relativeFrom="margin">
              <wp:posOffset>2743200</wp:posOffset>
            </wp:positionH>
            <wp:positionV relativeFrom="paragraph">
              <wp:posOffset>255905</wp:posOffset>
            </wp:positionV>
            <wp:extent cx="2867025" cy="791210"/>
            <wp:effectExtent l="0" t="0" r="9525" b="889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67025" cy="7912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74FF0" w:rsidRPr="0024624F">
        <w:rPr>
          <w:rFonts w:ascii="Verdana" w:hAnsi="Verdana"/>
        </w:rPr>
        <w:t xml:space="preserve">Bogotá D.C., </w:t>
      </w:r>
      <w:r>
        <w:rPr>
          <w:rFonts w:ascii="Verdana" w:hAnsi="Verdana"/>
        </w:rPr>
        <w:t>16 de diciembre de 2025</w:t>
      </w:r>
      <w:r w:rsidR="00674FF0" w:rsidRPr="000E2B93">
        <w:rPr>
          <w:rFonts w:ascii="Verdana" w:hAnsi="Verdana"/>
        </w:rPr>
        <w:tab/>
      </w:r>
      <w:r w:rsidR="00674FF0" w:rsidRPr="000E2B93">
        <w:rPr>
          <w:rFonts w:ascii="Verdana" w:hAnsi="Verdana"/>
        </w:rPr>
        <w:br/>
      </w:r>
    </w:p>
    <w:p w14:paraId="3126DB97" w14:textId="1D83A12F" w:rsidR="00674FF0" w:rsidRPr="00B57A1B" w:rsidRDefault="00674FF0" w:rsidP="00674FF0">
      <w:pPr>
        <w:spacing w:after="0" w:line="240" w:lineRule="auto"/>
        <w:rPr>
          <w:rFonts w:ascii="Verdana" w:hAnsi="Verdana"/>
        </w:rPr>
      </w:pPr>
    </w:p>
    <w:p w14:paraId="3AC2ED13" w14:textId="77777777" w:rsidR="00674FF0" w:rsidRPr="00097627" w:rsidRDefault="00674FF0" w:rsidP="00674FF0">
      <w:pPr>
        <w:spacing w:after="0" w:line="240" w:lineRule="auto"/>
        <w:rPr>
          <w:rFonts w:ascii="Verdana" w:eastAsia="Calibri" w:hAnsi="Verdana" w:cs="Times New Roman"/>
          <w:lang w:val="es-MX"/>
        </w:rPr>
      </w:pPr>
      <w:r w:rsidRPr="00097627">
        <w:rPr>
          <w:rFonts w:ascii="Verdana" w:eastAsia="Calibri" w:hAnsi="Verdana" w:cs="Times New Roman"/>
          <w:lang w:val="es-MX"/>
        </w:rPr>
        <w:t>Señor</w:t>
      </w:r>
    </w:p>
    <w:p w14:paraId="630DB4BD" w14:textId="77777777" w:rsidR="00674FF0" w:rsidRPr="00097627" w:rsidRDefault="00674FF0" w:rsidP="00674FF0">
      <w:pPr>
        <w:spacing w:after="0" w:line="240" w:lineRule="auto"/>
        <w:rPr>
          <w:rFonts w:ascii="Verdana" w:eastAsia="Calibri" w:hAnsi="Verdana" w:cs="Times New Roman"/>
          <w:b/>
          <w:lang w:val="es-MX"/>
        </w:rPr>
      </w:pPr>
      <w:r w:rsidRPr="00097627">
        <w:rPr>
          <w:rFonts w:ascii="Verdana" w:eastAsia="Calibri" w:hAnsi="Verdana" w:cs="Times New Roman"/>
          <w:b/>
          <w:lang w:val="es-MX"/>
        </w:rPr>
        <w:t>Alex Humberto Díaz Castrillón</w:t>
      </w:r>
    </w:p>
    <w:p w14:paraId="1FDB9167" w14:textId="77777777" w:rsidR="00674FF0" w:rsidRPr="00097627" w:rsidRDefault="008A0720" w:rsidP="00674FF0">
      <w:pPr>
        <w:spacing w:after="0" w:line="240" w:lineRule="auto"/>
        <w:rPr>
          <w:rFonts w:ascii="Verdana" w:hAnsi="Verdana"/>
        </w:rPr>
      </w:pPr>
      <w:hyperlink r:id="rId12" w:history="1">
        <w:r w:rsidR="00674FF0" w:rsidRPr="007908EC">
          <w:rPr>
            <w:rStyle w:val="Hipervnculo"/>
            <w:rFonts w:ascii="Verdana" w:hAnsi="Verdana"/>
          </w:rPr>
          <w:t>abogahdc@gmail.com</w:t>
        </w:r>
      </w:hyperlink>
      <w:r w:rsidR="00674FF0">
        <w:rPr>
          <w:rFonts w:ascii="Verdana" w:hAnsi="Verdana"/>
        </w:rPr>
        <w:t xml:space="preserve"> </w:t>
      </w:r>
    </w:p>
    <w:p w14:paraId="4565CE9F" w14:textId="77777777" w:rsidR="00674FF0" w:rsidRPr="00097627" w:rsidRDefault="00674FF0" w:rsidP="00674FF0">
      <w:pPr>
        <w:spacing w:after="0" w:line="240" w:lineRule="auto"/>
        <w:rPr>
          <w:rFonts w:ascii="Verdana" w:eastAsia="Calibri" w:hAnsi="Verdana" w:cs="Times New Roman"/>
        </w:rPr>
      </w:pPr>
      <w:r w:rsidRPr="00097627">
        <w:rPr>
          <w:rFonts w:ascii="Verdana" w:eastAsia="Calibri" w:hAnsi="Verdana" w:cs="Times New Roman"/>
        </w:rPr>
        <w:t>Bogotá D.C.</w:t>
      </w:r>
    </w:p>
    <w:p w14:paraId="6DB4780F" w14:textId="77777777" w:rsidR="00674FF0" w:rsidRPr="00B57A1B" w:rsidRDefault="00674FF0" w:rsidP="00674FF0">
      <w:pPr>
        <w:spacing w:after="0" w:line="240" w:lineRule="auto"/>
        <w:rPr>
          <w:rFonts w:ascii="Verdana" w:eastAsia="Calibri" w:hAnsi="Verdana" w:cs="Times New Roman"/>
        </w:rPr>
      </w:pPr>
    </w:p>
    <w:p w14:paraId="3F6ED089" w14:textId="77777777" w:rsidR="00674FF0" w:rsidRPr="00B57A1B" w:rsidRDefault="00674FF0" w:rsidP="00674FF0">
      <w:pPr>
        <w:spacing w:after="0" w:line="240" w:lineRule="auto"/>
        <w:rPr>
          <w:rFonts w:ascii="Verdana" w:eastAsia="Calibri" w:hAnsi="Verdana" w:cs="Times New Roman"/>
        </w:rPr>
      </w:pPr>
    </w:p>
    <w:p w14:paraId="1942DFA1" w14:textId="77777777" w:rsidR="00674FF0" w:rsidRPr="00B57A1B" w:rsidRDefault="00674FF0" w:rsidP="00674FF0">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C–1631</w:t>
      </w:r>
      <w:r w:rsidRPr="00B57A1B">
        <w:rPr>
          <w:rFonts w:ascii="Verdana" w:eastAsia="Calibri" w:hAnsi="Verdana" w:cs="Times New Roman"/>
          <w:b/>
          <w:bCs/>
          <w:lang w:val="es-ES"/>
        </w:rPr>
        <w:t xml:space="preserve"> de 2025</w:t>
      </w:r>
    </w:p>
    <w:p w14:paraId="3589DE62" w14:textId="77777777" w:rsidR="00674FF0" w:rsidRPr="00B57A1B" w:rsidRDefault="00674FF0" w:rsidP="00674FF0">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674FF0" w:rsidRPr="00B57A1B" w14:paraId="6E916F8C" w14:textId="77777777" w:rsidTr="00167CF4">
        <w:trPr>
          <w:trHeight w:val="645"/>
        </w:trPr>
        <w:tc>
          <w:tcPr>
            <w:tcW w:w="2685" w:type="dxa"/>
            <w:hideMark/>
          </w:tcPr>
          <w:p w14:paraId="0525269A" w14:textId="77777777" w:rsidR="00674FF0" w:rsidRPr="00B57A1B" w:rsidRDefault="00674FF0" w:rsidP="00167CF4">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7D46A2FB" w14:textId="77777777" w:rsidR="00674FF0" w:rsidRDefault="00674FF0" w:rsidP="00167CF4">
            <w:pPr>
              <w:spacing w:line="276" w:lineRule="auto"/>
              <w:jc w:val="both"/>
              <w:rPr>
                <w:rFonts w:ascii="Verdana" w:hAnsi="Verdana" w:cs="Arial"/>
                <w:lang w:eastAsia="es-ES"/>
              </w:rPr>
            </w:pPr>
            <w:r>
              <w:rPr>
                <w:rFonts w:ascii="Verdana" w:hAnsi="Verdana" w:cs="Arial"/>
                <w:lang w:eastAsia="es-ES"/>
              </w:rPr>
              <w:t xml:space="preserve">ENAJENACIÓN – Bienes muebles – Bienes Inmuebles / BIENES PÚBLICOS – Tipos / ENAJENACIÓN – Bienes muebles – Título gratuito – Decreto 1082 de 2015 – Procedimiento / ESTUDIOS PREVIOS – Planeación – Deber de las entidades / </w:t>
            </w:r>
            <w:r w:rsidRPr="00B63408">
              <w:rPr>
                <w:rFonts w:ascii="Verdana" w:hAnsi="Verdana" w:cs="Arial"/>
                <w:lang w:eastAsia="es-ES"/>
              </w:rPr>
              <w:t xml:space="preserve">PRINCIPIO DE PUBLICIDAD – SECOP – Documentos del proceso – Deber de publicación / </w:t>
            </w:r>
            <w:r>
              <w:rPr>
                <w:rFonts w:ascii="Verdana" w:hAnsi="Verdana" w:cs="Arial"/>
                <w:lang w:eastAsia="es-ES"/>
              </w:rPr>
              <w:t>PRINCIPIO DE PUBLICIDAD – D</w:t>
            </w:r>
            <w:r w:rsidRPr="00B63408">
              <w:rPr>
                <w:rFonts w:ascii="Verdana" w:hAnsi="Verdana" w:cs="Arial"/>
                <w:lang w:eastAsia="es-ES"/>
              </w:rPr>
              <w:t>e</w:t>
            </w:r>
            <w:r>
              <w:rPr>
                <w:rFonts w:ascii="Verdana" w:hAnsi="Verdana" w:cs="Arial"/>
                <w:lang w:eastAsia="es-ES"/>
              </w:rPr>
              <w:t>ber de publicidad –SECOP I- E</w:t>
            </w:r>
            <w:r w:rsidRPr="00B63408">
              <w:rPr>
                <w:rFonts w:ascii="Verdana" w:hAnsi="Verdana" w:cs="Arial"/>
                <w:lang w:eastAsia="es-ES"/>
              </w:rPr>
              <w:t>najenaci</w:t>
            </w:r>
            <w:r>
              <w:rPr>
                <w:rFonts w:ascii="Verdana" w:hAnsi="Verdana" w:cs="Arial"/>
                <w:lang w:eastAsia="es-ES"/>
              </w:rPr>
              <w:t>ón de bienes a título gratuito.</w:t>
            </w:r>
          </w:p>
          <w:p w14:paraId="19E76A80" w14:textId="77777777" w:rsidR="00674FF0" w:rsidRPr="00441434" w:rsidRDefault="00674FF0" w:rsidP="00167CF4">
            <w:pPr>
              <w:spacing w:line="276" w:lineRule="auto"/>
              <w:jc w:val="both"/>
              <w:rPr>
                <w:rFonts w:ascii="Verdana" w:hAnsi="Verdana" w:cs="Arial"/>
                <w:lang w:eastAsia="es-ES"/>
              </w:rPr>
            </w:pPr>
          </w:p>
          <w:p w14:paraId="5DED78F4" w14:textId="77777777" w:rsidR="00674FF0" w:rsidRPr="00441434" w:rsidRDefault="00674FF0" w:rsidP="00167CF4">
            <w:pPr>
              <w:spacing w:line="276" w:lineRule="auto"/>
              <w:jc w:val="both"/>
              <w:rPr>
                <w:rFonts w:ascii="Verdana" w:hAnsi="Verdana" w:cs="Arial"/>
                <w:lang w:eastAsia="es-ES"/>
              </w:rPr>
            </w:pPr>
          </w:p>
        </w:tc>
        <w:tc>
          <w:tcPr>
            <w:tcW w:w="6237" w:type="dxa"/>
          </w:tcPr>
          <w:p w14:paraId="7A461B47" w14:textId="77777777" w:rsidR="00674FF0" w:rsidRPr="00B57A1B" w:rsidRDefault="00674FF0" w:rsidP="00167CF4">
            <w:pPr>
              <w:spacing w:line="256" w:lineRule="auto"/>
              <w:rPr>
                <w:rFonts w:ascii="Verdana" w:hAnsi="Verdana"/>
              </w:rPr>
            </w:pPr>
          </w:p>
        </w:tc>
      </w:tr>
      <w:tr w:rsidR="00674FF0" w:rsidRPr="00B57A1B" w14:paraId="493E0678" w14:textId="77777777" w:rsidTr="00167CF4">
        <w:tc>
          <w:tcPr>
            <w:tcW w:w="2685" w:type="dxa"/>
          </w:tcPr>
          <w:p w14:paraId="5C713855" w14:textId="77777777" w:rsidR="00674FF0" w:rsidRPr="00B57A1B" w:rsidRDefault="00674FF0" w:rsidP="00167CF4">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7E8AF30F" w14:textId="77777777" w:rsidR="00674FF0" w:rsidRPr="002F4390" w:rsidRDefault="00674FF0" w:rsidP="00167CF4">
            <w:pPr>
              <w:spacing w:line="257" w:lineRule="auto"/>
              <w:jc w:val="both"/>
              <w:rPr>
                <w:rFonts w:ascii="Verdana" w:hAnsi="Verdana"/>
                <w:lang w:val="es-ES_tradnl"/>
              </w:rPr>
            </w:pPr>
            <w:r w:rsidRPr="00B57A1B">
              <w:rPr>
                <w:rFonts w:ascii="Verdana" w:hAnsi="Verdana"/>
                <w:lang w:val="es-ES_tradnl"/>
              </w:rPr>
              <w:t xml:space="preserve">Respuesta a consulta con radicado No. </w:t>
            </w:r>
            <w:r w:rsidRPr="00097627">
              <w:rPr>
                <w:rFonts w:ascii="Verdana" w:hAnsi="Verdana"/>
              </w:rPr>
              <w:t>1_2025_11_05_012423</w:t>
            </w:r>
          </w:p>
          <w:p w14:paraId="339B9304" w14:textId="77777777" w:rsidR="00674FF0" w:rsidRPr="00B57A1B" w:rsidRDefault="00674FF0" w:rsidP="00167CF4">
            <w:pPr>
              <w:spacing w:line="257" w:lineRule="auto"/>
              <w:jc w:val="both"/>
              <w:rPr>
                <w:rFonts w:ascii="Verdana" w:hAnsi="Verdana"/>
              </w:rPr>
            </w:pPr>
          </w:p>
          <w:p w14:paraId="7263D100" w14:textId="77777777" w:rsidR="00674FF0" w:rsidRPr="00B57A1B" w:rsidRDefault="00674FF0" w:rsidP="00167CF4">
            <w:pPr>
              <w:spacing w:line="257" w:lineRule="auto"/>
              <w:jc w:val="both"/>
              <w:rPr>
                <w:rFonts w:ascii="Verdana" w:hAnsi="Verdana"/>
              </w:rPr>
            </w:pPr>
          </w:p>
        </w:tc>
        <w:tc>
          <w:tcPr>
            <w:tcW w:w="6237" w:type="dxa"/>
          </w:tcPr>
          <w:p w14:paraId="7A55D0F3" w14:textId="77777777" w:rsidR="00674FF0" w:rsidRPr="00B57A1B" w:rsidRDefault="00674FF0" w:rsidP="00167CF4">
            <w:pPr>
              <w:spacing w:line="256" w:lineRule="auto"/>
              <w:rPr>
                <w:rFonts w:ascii="Verdana" w:hAnsi="Verdana"/>
                <w:lang w:val="es-ES_tradnl"/>
              </w:rPr>
            </w:pPr>
          </w:p>
        </w:tc>
      </w:tr>
    </w:tbl>
    <w:p w14:paraId="6B8AFDBC" w14:textId="77777777" w:rsidR="00674FF0" w:rsidRPr="00B57A1B" w:rsidRDefault="00674FF0" w:rsidP="00674FF0">
      <w:pPr>
        <w:spacing w:after="0" w:line="256" w:lineRule="auto"/>
        <w:rPr>
          <w:rFonts w:ascii="Verdana" w:eastAsia="Calibri" w:hAnsi="Verdana" w:cs="Times New Roman"/>
          <w:lang w:val="es-ES"/>
        </w:rPr>
      </w:pPr>
      <w:r w:rsidRPr="00B57A1B">
        <w:rPr>
          <w:rFonts w:ascii="Verdana" w:eastAsia="Calibri" w:hAnsi="Verdana" w:cs="Times New Roman"/>
          <w:lang w:val="es-ES"/>
        </w:rPr>
        <w:t>Estimado</w:t>
      </w:r>
      <w:r>
        <w:rPr>
          <w:rFonts w:ascii="Verdana" w:eastAsia="Calibri" w:hAnsi="Verdana" w:cs="Times New Roman"/>
          <w:lang w:val="es-ES"/>
        </w:rPr>
        <w:t xml:space="preserve"> Señor Olaya</w:t>
      </w:r>
      <w:r w:rsidRPr="00B57A1B">
        <w:rPr>
          <w:rFonts w:ascii="Verdana" w:eastAsia="Calibri" w:hAnsi="Verdana" w:cs="Times New Roman"/>
          <w:lang w:val="es-ES"/>
        </w:rPr>
        <w:t xml:space="preserve">: </w:t>
      </w:r>
    </w:p>
    <w:p w14:paraId="4E3514D3" w14:textId="77777777" w:rsidR="00674FF0" w:rsidRPr="00B57A1B" w:rsidRDefault="00674FF0" w:rsidP="00674FF0">
      <w:pPr>
        <w:spacing w:after="0" w:line="256" w:lineRule="auto"/>
        <w:rPr>
          <w:rFonts w:ascii="Verdana" w:eastAsia="Calibri" w:hAnsi="Verdana" w:cs="Times New Roman"/>
          <w:lang w:val="es-ES"/>
        </w:rPr>
      </w:pPr>
    </w:p>
    <w:p w14:paraId="656CC27C" w14:textId="77777777" w:rsidR="00674FF0" w:rsidRDefault="00674FF0" w:rsidP="00674FF0">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 consulta del 5 de noviembre de 2025</w:t>
      </w:r>
      <w:r w:rsidRPr="00B57A1B">
        <w:rPr>
          <w:rFonts w:ascii="Verdana" w:eastAsia="Calibri" w:hAnsi="Verdana" w:cs="Times New Roman"/>
          <w:bCs/>
          <w:lang w:val="es-ES" w:bidi="es-ES"/>
        </w:rPr>
        <w:t xml:space="preserve">, en la cual manifiesta: </w:t>
      </w:r>
    </w:p>
    <w:p w14:paraId="186DF51A" w14:textId="77777777" w:rsidR="00674FF0" w:rsidRPr="0076175D" w:rsidRDefault="00674FF0" w:rsidP="00674FF0">
      <w:pPr>
        <w:spacing w:after="0" w:line="240" w:lineRule="auto"/>
        <w:ind w:right="709"/>
        <w:jc w:val="both"/>
        <w:rPr>
          <w:rFonts w:ascii="Verdana" w:eastAsia="Calibri" w:hAnsi="Verdana" w:cs="Times New Roman"/>
          <w:bCs/>
          <w:sz w:val="20"/>
          <w:szCs w:val="20"/>
          <w:lang w:bidi="es-ES"/>
        </w:rPr>
      </w:pPr>
    </w:p>
    <w:p w14:paraId="4D60A90E" w14:textId="77777777" w:rsidR="00674FF0" w:rsidRDefault="00674FF0" w:rsidP="00674FF0">
      <w:pPr>
        <w:spacing w:after="0" w:line="240" w:lineRule="auto"/>
        <w:ind w:left="720"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w:t>
      </w:r>
      <w:r w:rsidRPr="0076175D">
        <w:rPr>
          <w:rFonts w:ascii="Verdana" w:eastAsia="Calibri" w:hAnsi="Verdana" w:cs="Times New Roman"/>
          <w:bCs/>
          <w:sz w:val="20"/>
          <w:szCs w:val="20"/>
          <w:lang w:bidi="es-ES"/>
        </w:rPr>
        <w:t>El Decreto 1082 de 2015 establece para la enajenación de bienes muebles a título gratuito entre entidades estatales, lo siguiente:</w:t>
      </w:r>
      <w:r>
        <w:rPr>
          <w:rFonts w:ascii="Verdana" w:eastAsia="Calibri" w:hAnsi="Verdana" w:cs="Times New Roman"/>
          <w:bCs/>
          <w:sz w:val="20"/>
          <w:szCs w:val="20"/>
          <w:lang w:bidi="es-ES"/>
        </w:rPr>
        <w:t xml:space="preserve"> </w:t>
      </w:r>
      <w:r w:rsidRPr="0076175D">
        <w:rPr>
          <w:rFonts w:ascii="Verdana" w:eastAsia="Calibri" w:hAnsi="Verdana" w:cs="Times New Roman"/>
          <w:bCs/>
          <w:sz w:val="20"/>
          <w:szCs w:val="20"/>
          <w:lang w:bidi="es-ES"/>
        </w:rPr>
        <w:t xml:space="preserve">'ARTÍCULO 2.2.1.2.2.4.3. Enajenación de bienes muebles a título gratuito entre Entidades Estatales. Las Entidades Estatales deben hacer un inventario de los bienes muebles que no utilizan y ofrecerlos a título gratuito a las Entidades Estatales a través de un acto administrativo motivado que </w:t>
      </w:r>
      <w:r w:rsidRPr="0076175D">
        <w:rPr>
          <w:rFonts w:ascii="Verdana" w:eastAsia="Calibri" w:hAnsi="Verdana" w:cs="Times New Roman"/>
          <w:bCs/>
          <w:sz w:val="20"/>
          <w:szCs w:val="20"/>
          <w:lang w:bidi="es-ES"/>
        </w:rPr>
        <w:lastRenderedPageBreak/>
        <w:t>deben publicar en su página web.</w:t>
      </w:r>
      <w:r>
        <w:rPr>
          <w:rFonts w:ascii="Verdana" w:eastAsia="Calibri" w:hAnsi="Verdana" w:cs="Times New Roman"/>
          <w:bCs/>
          <w:sz w:val="20"/>
          <w:szCs w:val="20"/>
          <w:lang w:bidi="es-ES"/>
        </w:rPr>
        <w:t xml:space="preserve"> </w:t>
      </w:r>
      <w:r w:rsidRPr="0076175D">
        <w:rPr>
          <w:rFonts w:ascii="Verdana" w:eastAsia="Calibri" w:hAnsi="Verdana" w:cs="Times New Roman"/>
          <w:bCs/>
          <w:sz w:val="20"/>
          <w:szCs w:val="20"/>
          <w:lang w:bidi="es-ES"/>
        </w:rPr>
        <w:t xml:space="preserve">La Entidad Estatal interesada en adquirir estos bienes a título gratuito, debe manifestarlo por escrito dentro de los treinta (30) días calendario siguientes a la fecha de publicación del acto administrativo. En tal manifestación la Entidad Estatal debe señalar la necesidad funcional que pretende satisfacer con el bien y las razones que justifican su </w:t>
      </w:r>
      <w:proofErr w:type="spellStart"/>
      <w:proofErr w:type="gramStart"/>
      <w:r w:rsidRPr="0076175D">
        <w:rPr>
          <w:rFonts w:ascii="Verdana" w:eastAsia="Calibri" w:hAnsi="Verdana" w:cs="Times New Roman"/>
          <w:bCs/>
          <w:sz w:val="20"/>
          <w:szCs w:val="20"/>
          <w:lang w:bidi="es-ES"/>
        </w:rPr>
        <w:t>solicitud.Si</w:t>
      </w:r>
      <w:proofErr w:type="spellEnd"/>
      <w:proofErr w:type="gramEnd"/>
      <w:r w:rsidRPr="0076175D">
        <w:rPr>
          <w:rFonts w:ascii="Verdana" w:eastAsia="Calibri" w:hAnsi="Verdana" w:cs="Times New Roman"/>
          <w:bCs/>
          <w:sz w:val="20"/>
          <w:szCs w:val="20"/>
          <w:lang w:bidi="es-ES"/>
        </w:rPr>
        <w:t xml:space="preserve"> hay dos o más manifestaciones de interés de Entidades Estatales para el mismo bien, la Entidad Estatal que primero haya manifestado su interés debe tener preferencia. Los representantes legales de la Entidad Estatal titular del bien y la interesada en recibirlo, deben suscribir un acta de entrega en la cual deben establecer la fecha de la entrega material del bien, la cual no debe ser mayor a treinta (30) días calendario, contados a partir de la suscripción del acta de entrega.'. Revisado </w:t>
      </w:r>
      <w:proofErr w:type="gramStart"/>
      <w:r w:rsidRPr="0076175D">
        <w:rPr>
          <w:rFonts w:ascii="Verdana" w:eastAsia="Calibri" w:hAnsi="Verdana" w:cs="Times New Roman"/>
          <w:bCs/>
          <w:sz w:val="20"/>
          <w:szCs w:val="20"/>
          <w:lang w:bidi="es-ES"/>
        </w:rPr>
        <w:t xml:space="preserve">el </w:t>
      </w:r>
      <w:proofErr w:type="spellStart"/>
      <w:r w:rsidRPr="0076175D">
        <w:rPr>
          <w:rFonts w:ascii="Verdana" w:eastAsia="Calibri" w:hAnsi="Verdana" w:cs="Times New Roman"/>
          <w:bCs/>
          <w:sz w:val="20"/>
          <w:szCs w:val="20"/>
          <w:lang w:bidi="es-ES"/>
        </w:rPr>
        <w:t>terma</w:t>
      </w:r>
      <w:proofErr w:type="spellEnd"/>
      <w:proofErr w:type="gramEnd"/>
      <w:r w:rsidRPr="0076175D">
        <w:rPr>
          <w:rFonts w:ascii="Verdana" w:eastAsia="Calibri" w:hAnsi="Verdana" w:cs="Times New Roman"/>
          <w:bCs/>
          <w:sz w:val="20"/>
          <w:szCs w:val="20"/>
          <w:lang w:bidi="es-ES"/>
        </w:rPr>
        <w:t xml:space="preserve"> se presentan algunas inquietudes, a saber:</w:t>
      </w:r>
    </w:p>
    <w:p w14:paraId="10426A49" w14:textId="77777777" w:rsidR="00674FF0" w:rsidRDefault="00674FF0" w:rsidP="00674FF0">
      <w:pPr>
        <w:spacing w:after="0" w:line="240" w:lineRule="auto"/>
        <w:ind w:left="720" w:right="709"/>
        <w:jc w:val="both"/>
        <w:rPr>
          <w:rFonts w:ascii="Verdana" w:eastAsia="Calibri" w:hAnsi="Verdana" w:cs="Times New Roman"/>
          <w:bCs/>
          <w:sz w:val="20"/>
          <w:szCs w:val="20"/>
          <w:lang w:bidi="es-ES"/>
        </w:rPr>
      </w:pPr>
    </w:p>
    <w:p w14:paraId="5EF43115" w14:textId="77777777" w:rsidR="00674FF0" w:rsidRPr="002F4390" w:rsidRDefault="00674FF0" w:rsidP="00674FF0">
      <w:pPr>
        <w:spacing w:after="0" w:line="240" w:lineRule="auto"/>
        <w:ind w:left="720" w:right="709"/>
        <w:jc w:val="both"/>
        <w:rPr>
          <w:rFonts w:ascii="Verdana" w:eastAsia="Calibri" w:hAnsi="Verdana" w:cs="Times New Roman"/>
          <w:bCs/>
          <w:sz w:val="20"/>
          <w:szCs w:val="20"/>
          <w:lang w:bidi="es-ES"/>
        </w:rPr>
      </w:pPr>
      <w:r w:rsidRPr="0076175D">
        <w:rPr>
          <w:rFonts w:ascii="Verdana" w:eastAsia="Calibri" w:hAnsi="Verdana" w:cs="Times New Roman"/>
          <w:bCs/>
          <w:sz w:val="20"/>
          <w:szCs w:val="20"/>
          <w:lang w:bidi="es-ES"/>
        </w:rPr>
        <w:t xml:space="preserve">1. Por estar dentro de la sección que pertenece al proceso de selección abreviada, enajenación de bienes del estado, a primera vista la conclusión es que el tramite requiere estudio del sector, aviso de convocatoria, estudio previo, etc.2. Al ingresar al SECOP II para crear el proceso, en los tipos no se consagro para enajenación a </w:t>
      </w:r>
      <w:proofErr w:type="spellStart"/>
      <w:r w:rsidRPr="0076175D">
        <w:rPr>
          <w:rFonts w:ascii="Verdana" w:eastAsia="Calibri" w:hAnsi="Verdana" w:cs="Times New Roman"/>
          <w:bCs/>
          <w:sz w:val="20"/>
          <w:szCs w:val="20"/>
          <w:lang w:bidi="es-ES"/>
        </w:rPr>
        <w:t>titulo</w:t>
      </w:r>
      <w:proofErr w:type="spellEnd"/>
      <w:r w:rsidRPr="0076175D">
        <w:rPr>
          <w:rFonts w:ascii="Verdana" w:eastAsia="Calibri" w:hAnsi="Verdana" w:cs="Times New Roman"/>
          <w:bCs/>
          <w:sz w:val="20"/>
          <w:szCs w:val="20"/>
          <w:lang w:bidi="es-ES"/>
        </w:rPr>
        <w:t xml:space="preserve"> gratuito.3. No tiene lógica hacer estudio del sector para regalar a otra entidad del estado unos muebles que no se usan, por cuanto las condiciones del mercado y demás no afectan en nada y no se trata de escoger un contratista para adquirir bien o servicio o para la construcción de obra.3. la redacción del artículo citado, da a entender que es un trámite administrativo que se realiza en la página web y no en el SECOP </w:t>
      </w:r>
      <w:proofErr w:type="gramStart"/>
      <w:r w:rsidRPr="0076175D">
        <w:rPr>
          <w:rFonts w:ascii="Verdana" w:eastAsia="Calibri" w:hAnsi="Verdana" w:cs="Times New Roman"/>
          <w:bCs/>
          <w:sz w:val="20"/>
          <w:szCs w:val="20"/>
          <w:lang w:bidi="es-ES"/>
        </w:rPr>
        <w:t>II ,</w:t>
      </w:r>
      <w:proofErr w:type="gramEnd"/>
      <w:r w:rsidRPr="0076175D">
        <w:rPr>
          <w:rFonts w:ascii="Verdana" w:eastAsia="Calibri" w:hAnsi="Verdana" w:cs="Times New Roman"/>
          <w:bCs/>
          <w:sz w:val="20"/>
          <w:szCs w:val="20"/>
          <w:lang w:bidi="es-ES"/>
        </w:rPr>
        <w:t xml:space="preserve"> por fuera del régimen de contratación regulado por ley 80 de 1.993, ley 1150 de 2007 y Decreto |1082 de 2015.4. Revisado en las publicaciones de algunas entidades nacionales se observa que no lo realizan por el SECOP II sino administrativamente en la </w:t>
      </w:r>
      <w:proofErr w:type="spellStart"/>
      <w:r w:rsidRPr="0076175D">
        <w:rPr>
          <w:rFonts w:ascii="Verdana" w:eastAsia="Calibri" w:hAnsi="Verdana" w:cs="Times New Roman"/>
          <w:bCs/>
          <w:sz w:val="20"/>
          <w:szCs w:val="20"/>
          <w:lang w:bidi="es-ES"/>
        </w:rPr>
        <w:t>pagina</w:t>
      </w:r>
      <w:proofErr w:type="spellEnd"/>
      <w:r w:rsidRPr="0076175D">
        <w:rPr>
          <w:rFonts w:ascii="Verdana" w:eastAsia="Calibri" w:hAnsi="Verdana" w:cs="Times New Roman"/>
          <w:bCs/>
          <w:sz w:val="20"/>
          <w:szCs w:val="20"/>
          <w:lang w:bidi="es-ES"/>
        </w:rPr>
        <w:t xml:space="preserve"> </w:t>
      </w:r>
      <w:proofErr w:type="spellStart"/>
      <w:proofErr w:type="gramStart"/>
      <w:r w:rsidRPr="0076175D">
        <w:rPr>
          <w:rFonts w:ascii="Verdana" w:eastAsia="Calibri" w:hAnsi="Verdana" w:cs="Times New Roman"/>
          <w:bCs/>
          <w:sz w:val="20"/>
          <w:szCs w:val="20"/>
          <w:lang w:bidi="es-ES"/>
        </w:rPr>
        <w:t>web.CONCLUSION</w:t>
      </w:r>
      <w:proofErr w:type="spellEnd"/>
      <w:proofErr w:type="gramEnd"/>
      <w:r w:rsidRPr="0076175D">
        <w:rPr>
          <w:rFonts w:ascii="Verdana" w:eastAsia="Calibri" w:hAnsi="Verdana" w:cs="Times New Roman"/>
          <w:bCs/>
          <w:sz w:val="20"/>
          <w:szCs w:val="20"/>
          <w:lang w:bidi="es-ES"/>
        </w:rPr>
        <w:t>: 1) Debe realizarse en el SECOP II? 2) que tipo de proceso?”</w:t>
      </w:r>
      <w:r w:rsidRPr="002F4390">
        <w:rPr>
          <w:rFonts w:ascii="Verdana" w:eastAsia="Calibri" w:hAnsi="Verdana" w:cs="Times New Roman"/>
          <w:bCs/>
          <w:sz w:val="20"/>
          <w:szCs w:val="20"/>
          <w:lang w:bidi="es-ES"/>
        </w:rPr>
        <w:t>.</w:t>
      </w:r>
    </w:p>
    <w:p w14:paraId="590BE62B" w14:textId="77777777" w:rsidR="00674FF0" w:rsidRPr="00812F2C" w:rsidRDefault="00674FF0" w:rsidP="00674FF0">
      <w:pPr>
        <w:spacing w:after="0" w:line="240" w:lineRule="auto"/>
        <w:ind w:left="709" w:right="709"/>
        <w:jc w:val="both"/>
        <w:rPr>
          <w:rFonts w:ascii="Verdana" w:eastAsia="Calibri" w:hAnsi="Verdana" w:cs="Times New Roman"/>
          <w:bCs/>
          <w:sz w:val="21"/>
          <w:szCs w:val="21"/>
          <w:lang w:bidi="es-ES"/>
        </w:rPr>
      </w:pPr>
    </w:p>
    <w:p w14:paraId="3889DCE8" w14:textId="77777777" w:rsidR="00674FF0" w:rsidRPr="00B57A1B" w:rsidRDefault="00674FF0" w:rsidP="00674FF0">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w:t>
      </w:r>
      <w:r w:rsidRPr="00B57A1B">
        <w:rPr>
          <w:rFonts w:ascii="Verdana" w:eastAsia="Calibri" w:hAnsi="Verdana" w:cs="Times New Roman"/>
          <w:lang w:val="es-ES"/>
        </w:rPr>
        <w:lastRenderedPageBreak/>
        <w:t>determinar grados de responsabilidad por las actuaciones de los diferentes participes del sistema de compra pública.</w:t>
      </w:r>
    </w:p>
    <w:p w14:paraId="1BEC8F98" w14:textId="77777777" w:rsidR="00674FF0" w:rsidRPr="00B57A1B" w:rsidRDefault="00674FF0" w:rsidP="00674FF0">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los problemas jurídicos objeto de consulta</w:t>
      </w:r>
      <w:r w:rsidRPr="00B57A1B">
        <w:rPr>
          <w:rFonts w:ascii="Verdana" w:eastAsia="Calibri" w:hAnsi="Verdana" w:cs="Times New Roman"/>
          <w:lang w:val="es-ES"/>
        </w:rPr>
        <w:t xml:space="preserve">. </w:t>
      </w:r>
    </w:p>
    <w:p w14:paraId="5D4D6F7E" w14:textId="77777777" w:rsidR="00674FF0" w:rsidRPr="00B57A1B" w:rsidRDefault="00674FF0" w:rsidP="00674FF0">
      <w:pPr>
        <w:spacing w:after="0" w:line="256" w:lineRule="auto"/>
        <w:rPr>
          <w:rFonts w:ascii="Verdana" w:eastAsia="Calibri" w:hAnsi="Verdana" w:cs="Times New Roman"/>
          <w:lang w:val="es-ES"/>
        </w:rPr>
      </w:pPr>
    </w:p>
    <w:p w14:paraId="7EBB143B" w14:textId="77777777" w:rsidR="00674FF0" w:rsidRPr="00B57A1B" w:rsidRDefault="00674FF0" w:rsidP="00674FF0">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6A040501" w14:textId="77777777" w:rsidR="00674FF0" w:rsidRPr="00B57A1B" w:rsidRDefault="00674FF0" w:rsidP="00674FF0">
      <w:pPr>
        <w:spacing w:after="0" w:line="256" w:lineRule="auto"/>
        <w:rPr>
          <w:rFonts w:ascii="Verdana" w:eastAsia="Calibri" w:hAnsi="Verdana" w:cs="Times New Roman"/>
        </w:rPr>
      </w:pPr>
    </w:p>
    <w:p w14:paraId="3740F505" w14:textId="77777777" w:rsidR="00674FF0" w:rsidRDefault="00674FF0" w:rsidP="00674FF0">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Pr>
          <w:rFonts w:ascii="Verdana" w:eastAsia="Calibri" w:hAnsi="Verdana" w:cs="Times New Roman"/>
          <w:iCs/>
          <w:lang w:val="es-ES"/>
        </w:rPr>
        <w:t xml:space="preserve">: i) ¿Es necesario la elaboración de documentos precontractuales, tales como estudios previos, aviso de convocatoria, estudio del sector para la enajenación de bienes a título gratuito entre entidades estatales? ii) </w:t>
      </w:r>
      <w:r w:rsidRPr="002F4390">
        <w:rPr>
          <w:rFonts w:ascii="Verdana" w:eastAsia="Calibri" w:hAnsi="Verdana" w:cs="Times New Roman"/>
          <w:iCs/>
          <w:lang w:val="es-ES"/>
        </w:rPr>
        <w:t>¿</w:t>
      </w:r>
      <w:r>
        <w:rPr>
          <w:rFonts w:ascii="Verdana" w:eastAsia="Calibri" w:hAnsi="Verdana" w:cs="Times New Roman"/>
          <w:iCs/>
          <w:lang w:val="es-ES"/>
        </w:rPr>
        <w:t xml:space="preserve">Cómo debe </w:t>
      </w:r>
      <w:r w:rsidRPr="0076175D">
        <w:rPr>
          <w:rFonts w:ascii="Verdana" w:eastAsia="Calibri" w:hAnsi="Verdana" w:cs="Times New Roman"/>
          <w:iCs/>
          <w:lang w:val="es-ES"/>
        </w:rPr>
        <w:t>garantizar</w:t>
      </w:r>
      <w:r>
        <w:rPr>
          <w:rFonts w:ascii="Verdana" w:eastAsia="Calibri" w:hAnsi="Verdana" w:cs="Times New Roman"/>
          <w:iCs/>
          <w:lang w:val="es-ES"/>
        </w:rPr>
        <w:t>se</w:t>
      </w:r>
      <w:r w:rsidRPr="0076175D">
        <w:rPr>
          <w:rFonts w:ascii="Verdana" w:eastAsia="Calibri" w:hAnsi="Verdana" w:cs="Times New Roman"/>
          <w:iCs/>
          <w:lang w:val="es-ES"/>
        </w:rPr>
        <w:t xml:space="preserve"> la transparencia y publicidad del proceso de enajenación</w:t>
      </w:r>
      <w:r>
        <w:rPr>
          <w:rFonts w:ascii="Verdana" w:eastAsia="Calibri" w:hAnsi="Verdana" w:cs="Times New Roman"/>
          <w:iCs/>
          <w:lang w:val="es-ES"/>
        </w:rPr>
        <w:t xml:space="preserve"> a título gratuito de bienes muebles si no es posible aplicar SECOP II</w:t>
      </w:r>
      <w:r w:rsidRPr="002F4390">
        <w:rPr>
          <w:rFonts w:ascii="Verdana" w:eastAsia="Calibri" w:hAnsi="Verdana" w:cs="Times New Roman"/>
          <w:iCs/>
          <w:lang w:val="es-ES"/>
        </w:rPr>
        <w:t>?</w:t>
      </w:r>
    </w:p>
    <w:p w14:paraId="52048BBE" w14:textId="77777777" w:rsidR="00674FF0" w:rsidRPr="00B57A1B" w:rsidRDefault="00674FF0" w:rsidP="00674FF0">
      <w:pPr>
        <w:spacing w:after="0" w:line="276" w:lineRule="auto"/>
        <w:jc w:val="both"/>
        <w:rPr>
          <w:rFonts w:ascii="Verdana" w:eastAsia="Calibri" w:hAnsi="Verdana" w:cs="Times New Roman"/>
          <w:i/>
          <w:iCs/>
          <w:lang w:val="es-ES"/>
        </w:rPr>
      </w:pPr>
    </w:p>
    <w:p w14:paraId="1371EA71" w14:textId="77777777" w:rsidR="00674FF0" w:rsidRPr="00B57A1B" w:rsidRDefault="00674FF0" w:rsidP="00674FF0">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143BB28B" w14:textId="77777777" w:rsidR="00674FF0" w:rsidRPr="00B57A1B" w:rsidRDefault="00674FF0" w:rsidP="00674FF0">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674FF0" w:rsidRPr="00B57A1B" w14:paraId="30123185" w14:textId="77777777" w:rsidTr="00167CF4">
        <w:trPr>
          <w:trHeight w:val="345"/>
          <w:jc w:val="center"/>
        </w:trPr>
        <w:tc>
          <w:tcPr>
            <w:tcW w:w="8784" w:type="dxa"/>
            <w:tcBorders>
              <w:bottom w:val="single" w:sz="4" w:space="0" w:color="auto"/>
            </w:tcBorders>
          </w:tcPr>
          <w:p w14:paraId="513D2888" w14:textId="77777777" w:rsidR="00674FF0" w:rsidRDefault="00674FF0" w:rsidP="00167CF4">
            <w:pPr>
              <w:tabs>
                <w:tab w:val="left" w:pos="709"/>
              </w:tabs>
              <w:snapToGrid w:val="0"/>
              <w:spacing w:before="120" w:line="276" w:lineRule="auto"/>
              <w:jc w:val="both"/>
              <w:rPr>
                <w:rFonts w:ascii="Verdana" w:eastAsia="Calibri" w:hAnsi="Verdana" w:cs="Times New Roman"/>
              </w:rPr>
            </w:pPr>
            <w:r>
              <w:rPr>
                <w:rFonts w:ascii="Verdana" w:eastAsia="Calibri" w:hAnsi="Verdana" w:cs="Times New Roman"/>
              </w:rPr>
              <w:t>En cuanto a los problemas jurídicos, objeto de consulta, se expresa lo siguiente:</w:t>
            </w:r>
          </w:p>
          <w:p w14:paraId="3248BF6D" w14:textId="77777777" w:rsidR="00674FF0" w:rsidRDefault="00674FF0" w:rsidP="00167CF4">
            <w:pPr>
              <w:tabs>
                <w:tab w:val="left" w:pos="709"/>
              </w:tabs>
              <w:snapToGrid w:val="0"/>
              <w:spacing w:line="276" w:lineRule="auto"/>
              <w:jc w:val="both"/>
              <w:rPr>
                <w:rFonts w:ascii="Verdana" w:eastAsia="Calibri" w:hAnsi="Verdana" w:cs="Times New Roman"/>
              </w:rPr>
            </w:pPr>
          </w:p>
          <w:p w14:paraId="2BE48028" w14:textId="77777777" w:rsidR="00674FF0" w:rsidRPr="00097627" w:rsidRDefault="00674FF0" w:rsidP="00167CF4">
            <w:pPr>
              <w:widowControl w:val="0"/>
              <w:autoSpaceDE w:val="0"/>
              <w:autoSpaceDN w:val="0"/>
              <w:spacing w:after="120" w:line="276" w:lineRule="auto"/>
              <w:jc w:val="both"/>
              <w:rPr>
                <w:rFonts w:ascii="Verdana" w:eastAsia="Arial" w:hAnsi="Verdana" w:cs="Arial"/>
                <w:lang w:val="es-ES"/>
              </w:rPr>
            </w:pPr>
            <w:r>
              <w:rPr>
                <w:rFonts w:ascii="Verdana" w:eastAsia="Calibri" w:hAnsi="Verdana" w:cs="Times New Roman"/>
              </w:rPr>
              <w:t>i. L</w:t>
            </w:r>
            <w:r w:rsidRPr="00097627">
              <w:rPr>
                <w:rFonts w:ascii="Verdana" w:eastAsia="Arial" w:hAnsi="Verdana" w:cs="Arial"/>
                <w:lang w:val="es-ES"/>
              </w:rPr>
              <w:t>os bienes</w:t>
            </w:r>
            <w:r>
              <w:rPr>
                <w:rFonts w:ascii="Verdana" w:eastAsia="Arial" w:hAnsi="Verdana" w:cs="Arial"/>
                <w:lang w:val="es-ES"/>
              </w:rPr>
              <w:t xml:space="preserve"> muebles</w:t>
            </w:r>
            <w:r w:rsidRPr="00097627">
              <w:rPr>
                <w:rFonts w:ascii="Verdana" w:eastAsia="Arial" w:hAnsi="Verdana" w:cs="Arial"/>
                <w:lang w:val="es-ES"/>
              </w:rPr>
              <w:t xml:space="preserve"> que </w:t>
            </w:r>
            <w:r>
              <w:rPr>
                <w:rFonts w:ascii="Verdana" w:eastAsia="Arial" w:hAnsi="Verdana" w:cs="Arial"/>
                <w:lang w:val="es-ES"/>
              </w:rPr>
              <w:t xml:space="preserve">se enajenen </w:t>
            </w:r>
            <w:r w:rsidRPr="00097627">
              <w:rPr>
                <w:rFonts w:ascii="Verdana" w:eastAsia="Arial" w:hAnsi="Verdana" w:cs="Arial"/>
                <w:lang w:val="es-ES"/>
              </w:rPr>
              <w:t>por la Entidad Estatal</w:t>
            </w:r>
            <w:r>
              <w:rPr>
                <w:rFonts w:ascii="Verdana" w:eastAsia="Arial" w:hAnsi="Verdana" w:cs="Arial"/>
                <w:lang w:val="es-ES"/>
              </w:rPr>
              <w:t xml:space="preserve">, que sean dados a </w:t>
            </w:r>
            <w:r w:rsidRPr="00097627">
              <w:rPr>
                <w:rFonts w:ascii="Verdana" w:eastAsia="Arial" w:hAnsi="Verdana" w:cs="Arial"/>
                <w:lang w:val="es-ES"/>
              </w:rPr>
              <w:t>título gratuito a otras Entidades Estatales en virtud de lo consagrado en el</w:t>
            </w:r>
            <w:r w:rsidRPr="00097627">
              <w:rPr>
                <w:rFonts w:ascii="Verdana" w:eastAsia="Arial" w:hAnsi="Verdana" w:cs="Arial"/>
                <w:spacing w:val="13"/>
                <w:lang w:val="es-ES"/>
              </w:rPr>
              <w:t xml:space="preserve"> </w:t>
            </w:r>
            <w:r w:rsidRPr="00097627">
              <w:rPr>
                <w:rFonts w:ascii="Verdana" w:eastAsia="Arial" w:hAnsi="Verdana" w:cs="Arial"/>
                <w:lang w:val="es-ES"/>
              </w:rPr>
              <w:t>artículo</w:t>
            </w:r>
            <w:r w:rsidRPr="00097627">
              <w:rPr>
                <w:rFonts w:ascii="Verdana" w:eastAsia="Arial" w:hAnsi="Verdana" w:cs="Arial"/>
                <w:spacing w:val="16"/>
                <w:lang w:val="es-ES"/>
              </w:rPr>
              <w:t xml:space="preserve"> </w:t>
            </w:r>
            <w:r w:rsidRPr="00097627">
              <w:rPr>
                <w:rFonts w:ascii="Verdana" w:eastAsia="Arial" w:hAnsi="Verdana" w:cs="Arial"/>
                <w:lang w:val="es-ES"/>
              </w:rPr>
              <w:t>2.2.1.2.2.4.3.</w:t>
            </w:r>
            <w:r w:rsidRPr="00097627">
              <w:rPr>
                <w:rFonts w:ascii="Verdana" w:eastAsia="Arial" w:hAnsi="Verdana" w:cs="Arial"/>
                <w:spacing w:val="12"/>
                <w:lang w:val="es-ES"/>
              </w:rPr>
              <w:t xml:space="preserve"> </w:t>
            </w:r>
            <w:r w:rsidRPr="00097627">
              <w:rPr>
                <w:rFonts w:ascii="Verdana" w:eastAsia="Arial" w:hAnsi="Verdana" w:cs="Arial"/>
                <w:lang w:val="es-ES"/>
              </w:rPr>
              <w:t>del Decreto 1082 de 2015, deberá realizar</w:t>
            </w:r>
            <w:r>
              <w:rPr>
                <w:rFonts w:ascii="Verdana" w:eastAsia="Arial" w:hAnsi="Verdana" w:cs="Arial"/>
                <w:lang w:val="es-ES"/>
              </w:rPr>
              <w:t xml:space="preserve"> </w:t>
            </w:r>
            <w:r w:rsidRPr="00097627">
              <w:rPr>
                <w:rFonts w:ascii="Verdana" w:eastAsia="Arial" w:hAnsi="Verdana" w:cs="Arial"/>
                <w:lang w:val="es-ES"/>
              </w:rPr>
              <w:t>un inventario de los bienes muebles que no utilizan y, a continuación, se la habilita para ofrecerlos a título gratuito a las demás Entidades Estatales a través de un acto administrativo que deberá publicar en su página Web.</w:t>
            </w:r>
            <w:r w:rsidRPr="009877B5">
              <w:t xml:space="preserve"> </w:t>
            </w:r>
            <w:r w:rsidRPr="009877B5">
              <w:rPr>
                <w:rFonts w:ascii="Verdana" w:eastAsia="Arial" w:hAnsi="Verdana" w:cs="Arial"/>
                <w:lang w:val="es-ES"/>
              </w:rPr>
              <w:t>El acto administrativo que oferta bienes muebles a título gratuito entre entidades estatales cumple la función de un aviso de convocatoria, porque es el mecanismo mediante el cual la entidad propietaria informa públicamente que dispone de determinado</w:t>
            </w:r>
            <w:r>
              <w:rPr>
                <w:rFonts w:ascii="Verdana" w:eastAsia="Arial" w:hAnsi="Verdana" w:cs="Arial"/>
                <w:lang w:val="es-ES"/>
              </w:rPr>
              <w:t xml:space="preserve">s bienes y que estos pueden solicitarse </w:t>
            </w:r>
            <w:r w:rsidRPr="009877B5">
              <w:rPr>
                <w:rFonts w:ascii="Verdana" w:eastAsia="Arial" w:hAnsi="Verdana" w:cs="Arial"/>
                <w:lang w:val="es-ES"/>
              </w:rPr>
              <w:t>p</w:t>
            </w:r>
            <w:r>
              <w:rPr>
                <w:rFonts w:ascii="Verdana" w:eastAsia="Arial" w:hAnsi="Verdana" w:cs="Arial"/>
                <w:lang w:val="es-ES"/>
              </w:rPr>
              <w:t xml:space="preserve">or otras entidades interesadas. Dicho acto administrativo </w:t>
            </w:r>
            <w:r w:rsidRPr="009877B5">
              <w:rPr>
                <w:rFonts w:ascii="Verdana" w:eastAsia="Arial" w:hAnsi="Verdana" w:cs="Arial"/>
                <w:lang w:val="es-ES"/>
              </w:rPr>
              <w:t xml:space="preserve">garantiza la transparencia y </w:t>
            </w:r>
            <w:r w:rsidRPr="009877B5">
              <w:rPr>
                <w:rFonts w:ascii="Verdana" w:eastAsia="Arial" w:hAnsi="Verdana" w:cs="Arial"/>
                <w:lang w:val="es-ES"/>
              </w:rPr>
              <w:lastRenderedPageBreak/>
              <w:t>publicidad del proceso, pues permite que todas las entidades estatales potencialmente beneficiarias tengan conocimiento de la oferta y puedan manifestar su interés en re</w:t>
            </w:r>
            <w:r>
              <w:rPr>
                <w:rFonts w:ascii="Verdana" w:eastAsia="Arial" w:hAnsi="Verdana" w:cs="Arial"/>
                <w:lang w:val="es-ES"/>
              </w:rPr>
              <w:t xml:space="preserve">cibir los bienes. </w:t>
            </w:r>
          </w:p>
          <w:p w14:paraId="781543E9" w14:textId="77777777" w:rsidR="00674FF0" w:rsidRPr="00097627" w:rsidRDefault="00674FF0" w:rsidP="00167CF4">
            <w:pPr>
              <w:widowControl w:val="0"/>
              <w:autoSpaceDE w:val="0"/>
              <w:autoSpaceDN w:val="0"/>
              <w:spacing w:after="120" w:line="276" w:lineRule="auto"/>
              <w:ind w:firstLine="708"/>
              <w:jc w:val="both"/>
              <w:rPr>
                <w:rFonts w:ascii="Verdana" w:eastAsia="Arial" w:hAnsi="Verdana" w:cs="Arial"/>
                <w:lang w:val="es-ES"/>
              </w:rPr>
            </w:pPr>
            <w:r w:rsidRPr="00097627">
              <w:rPr>
                <w:rFonts w:ascii="Verdana" w:eastAsia="Arial" w:hAnsi="Verdana" w:cs="Arial"/>
                <w:lang w:val="es-ES"/>
              </w:rPr>
              <w:t>Posterior a ello, la norma en mención indica que dentro de los treinta (30) días calendario siguientes a la fecha de publicación del acto administrativo, la Entidad Estatal interesada en adquirir estos bienes a título gratuito debe manifestar su interés, y con ella, debe señalar la necesidad funcional que pretende satisfacer con el bien conjuntamente con las razones que justifican su solicitud.</w:t>
            </w:r>
            <w:r>
              <w:rPr>
                <w:rFonts w:ascii="Verdana" w:eastAsia="Arial" w:hAnsi="Verdana" w:cs="Arial"/>
                <w:lang w:val="es-ES"/>
              </w:rPr>
              <w:t xml:space="preserve"> </w:t>
            </w:r>
            <w:r w:rsidRPr="00097627">
              <w:rPr>
                <w:rFonts w:ascii="Verdana" w:eastAsia="Arial" w:hAnsi="Verdana" w:cs="Arial"/>
                <w:lang w:val="es-ES"/>
              </w:rPr>
              <w:t>Finalmente, la norma señala que, si hay dos o más manifestaciones de interés de Entidades Estatales para el mismo bien, la Entidad Estatal que primero haya manifestado su interés debe tener preferencia, sin que existan más normas complementarias o posteriores que hayan regulado con mayor detalle el procedimiento en mención.</w:t>
            </w:r>
          </w:p>
          <w:p w14:paraId="62DB497D" w14:textId="77777777" w:rsidR="00674FF0" w:rsidRPr="00B63408" w:rsidRDefault="00674FF0" w:rsidP="00167CF4">
            <w:pPr>
              <w:spacing w:before="120" w:after="120" w:line="276" w:lineRule="auto"/>
              <w:ind w:firstLine="708"/>
              <w:jc w:val="both"/>
              <w:rPr>
                <w:rFonts w:ascii="Verdana" w:eastAsia="Times New Roman" w:hAnsi="Verdana" w:cs="Arial"/>
                <w:bCs/>
                <w:lang w:val="es-ES_tradnl" w:eastAsia="es-ES_tradnl"/>
              </w:rPr>
            </w:pPr>
            <w:r>
              <w:rPr>
                <w:rFonts w:ascii="Verdana" w:eastAsia="Calibri" w:hAnsi="Verdana" w:cs="Arial"/>
                <w:lang w:eastAsia="es-ES_tradnl"/>
              </w:rPr>
              <w:t xml:space="preserve">Ahora bien, </w:t>
            </w:r>
            <w:r>
              <w:rPr>
                <w:rFonts w:ascii="Verdana" w:eastAsia="Times New Roman" w:hAnsi="Verdana" w:cs="Arial"/>
                <w:color w:val="000000"/>
                <w:bdr w:val="none" w:sz="0" w:space="0" w:color="auto" w:frame="1"/>
                <w:lang w:val="es-ES" w:eastAsia="es-ES_tradnl"/>
              </w:rPr>
              <w:t xml:space="preserve">en todo proceso de contratación, independiente de la modalidad de selección, resulta aplicable </w:t>
            </w:r>
            <w:r w:rsidRPr="0083378B">
              <w:rPr>
                <w:rFonts w:ascii="Verdana" w:eastAsia="Times New Roman" w:hAnsi="Verdana" w:cs="Arial"/>
                <w:color w:val="000000"/>
                <w:bdr w:val="none" w:sz="0" w:space="0" w:color="auto" w:frame="1"/>
                <w:lang w:val="es-ES" w:eastAsia="es-ES_tradnl"/>
              </w:rPr>
              <w:t>l</w:t>
            </w:r>
            <w:r>
              <w:rPr>
                <w:rFonts w:ascii="Verdana" w:eastAsia="Times New Roman" w:hAnsi="Verdana" w:cs="Arial"/>
                <w:bCs/>
                <w:lang w:val="es-ES_tradnl" w:eastAsia="es-ES_tradnl"/>
              </w:rPr>
              <w:t>a planeación contractual como una</w:t>
            </w:r>
            <w:r w:rsidRPr="0083378B">
              <w:rPr>
                <w:rFonts w:ascii="Verdana" w:eastAsia="Times New Roman" w:hAnsi="Verdana" w:cs="Arial"/>
                <w:bCs/>
                <w:lang w:val="es-ES_tradnl" w:eastAsia="es-ES_tradnl"/>
              </w:rPr>
              <w:t xml:space="preserve"> herramienta de gerencia pública, que exige estructurar el proceso contractual dedicando tiempo y esfuerzos para elaborar estudios previos, los cuales deberán ser adecuados a su alcance y complejidad. Lo anterior, con la finalidad de determinar la necesidad que pretende satisfacer la entidad estatal, consultando el tipo de bienes y servicios que ofrece el mercado y sus características, especificaciones, precios, costos, riesgos, garantías, disponibilidad, oferentes, entre otros. </w:t>
            </w:r>
            <w:r>
              <w:rPr>
                <w:rFonts w:ascii="Verdana" w:eastAsia="Times New Roman" w:hAnsi="Verdana" w:cs="Arial"/>
                <w:bCs/>
                <w:lang w:eastAsia="es-ES_tradnl"/>
              </w:rPr>
              <w:t xml:space="preserve">En tal sentido, </w:t>
            </w:r>
            <w:r>
              <w:rPr>
                <w:rFonts w:ascii="Verdana" w:eastAsia="Times New Roman" w:hAnsi="Verdana" w:cs="Arial"/>
                <w:bCs/>
                <w:lang w:val="es-ES_tradnl" w:eastAsia="es-ES_tradnl"/>
              </w:rPr>
              <w:t xml:space="preserve">es necesario </w:t>
            </w:r>
            <w:r>
              <w:rPr>
                <w:rFonts w:ascii="Verdana" w:eastAsia="Times New Roman" w:hAnsi="Verdana" w:cs="Arial"/>
                <w:color w:val="000000"/>
                <w:bdr w:val="none" w:sz="0" w:space="0" w:color="auto" w:frame="1"/>
                <w:lang w:val="es-ES_tradnl" w:eastAsia="es-ES_tradnl"/>
              </w:rPr>
              <w:t>e</w:t>
            </w:r>
            <w:r w:rsidRPr="009721AA">
              <w:rPr>
                <w:rFonts w:ascii="Verdana" w:eastAsia="Calibri" w:hAnsi="Verdana" w:cs="Arial"/>
                <w:lang w:val="es-ES_tradnl" w:eastAsia="es-ES_tradnl"/>
              </w:rPr>
              <w:t xml:space="preserve">laborar un estudio previo para la enajenación de bienes muebles a título gratuito entre </w:t>
            </w:r>
            <w:r>
              <w:rPr>
                <w:rFonts w:ascii="Verdana" w:eastAsia="Calibri" w:hAnsi="Verdana" w:cs="Arial"/>
                <w:lang w:val="es-ES_tradnl" w:eastAsia="es-ES_tradnl"/>
              </w:rPr>
              <w:t xml:space="preserve">entidades estatales </w:t>
            </w:r>
            <w:r w:rsidRPr="009721AA">
              <w:rPr>
                <w:rFonts w:ascii="Verdana" w:eastAsia="Calibri" w:hAnsi="Verdana" w:cs="Arial"/>
                <w:lang w:val="es-ES_tradnl" w:eastAsia="es-ES_tradnl"/>
              </w:rPr>
              <w:t>porque garantiza la transparencia y la legalidad del proceso. Este documento permite justificar la necesidad de la transferencia, verificar que los bienes cumplen con las condiciones de uso y que no representan un detrimento patrimonial para la entidad que los entrega. Además, el estudio previo asegura que la decisión esté soportada en criterios técnicos y jurídicos, evitando posibles cuestionamientos sobre la pertinenci</w:t>
            </w:r>
            <w:r>
              <w:rPr>
                <w:rFonts w:ascii="Verdana" w:eastAsia="Calibri" w:hAnsi="Verdana" w:cs="Arial"/>
                <w:lang w:val="es-ES_tradnl" w:eastAsia="es-ES_tradnl"/>
              </w:rPr>
              <w:t>a o conveniencia de la gestión del procedimiento de contratación y de la celebración del contrato</w:t>
            </w:r>
            <w:r w:rsidRPr="009721AA">
              <w:rPr>
                <w:rFonts w:ascii="Verdana" w:eastAsia="Calibri" w:hAnsi="Verdana" w:cs="Arial"/>
                <w:lang w:val="es-ES_tradnl" w:eastAsia="es-ES_tradnl"/>
              </w:rPr>
              <w:t>.</w:t>
            </w:r>
          </w:p>
          <w:p w14:paraId="119F2664" w14:textId="77777777" w:rsidR="00674FF0" w:rsidRDefault="00674FF0" w:rsidP="00167CF4">
            <w:pPr>
              <w:spacing w:after="120" w:line="276" w:lineRule="auto"/>
              <w:jc w:val="both"/>
              <w:rPr>
                <w:rFonts w:ascii="Verdana" w:eastAsia="Calibri" w:hAnsi="Verdana" w:cs="Times New Roman"/>
              </w:rPr>
            </w:pPr>
          </w:p>
          <w:p w14:paraId="219085F9" w14:textId="77777777" w:rsidR="00674FF0" w:rsidRPr="003C545C" w:rsidRDefault="00674FF0" w:rsidP="00167CF4">
            <w:pPr>
              <w:tabs>
                <w:tab w:val="left" w:pos="709"/>
              </w:tabs>
              <w:spacing w:before="120" w:after="120" w:line="276" w:lineRule="auto"/>
              <w:jc w:val="both"/>
              <w:rPr>
                <w:rStyle w:val="eop"/>
                <w:rFonts w:ascii="Verdana" w:hAnsi="Verdana" w:cs="Arial"/>
                <w:shd w:val="clear" w:color="auto" w:fill="FFFFFF"/>
              </w:rPr>
            </w:pPr>
            <w:r>
              <w:rPr>
                <w:rFonts w:ascii="Verdana" w:eastAsia="Calibri" w:hAnsi="Verdana" w:cs="Times New Roman"/>
              </w:rPr>
              <w:t xml:space="preserve">ii. </w:t>
            </w:r>
            <w:r>
              <w:rPr>
                <w:rFonts w:ascii="Verdana" w:hAnsi="Verdana" w:cs="Arial"/>
                <w:shd w:val="clear" w:color="auto" w:fill="FFFFFF"/>
              </w:rPr>
              <w:t>De acuerdo con las consideraciones que se exponen en las razones de la respuesta</w:t>
            </w:r>
            <w:r w:rsidRPr="003C545C">
              <w:rPr>
                <w:rFonts w:ascii="Verdana" w:hAnsi="Verdana" w:cs="Arial"/>
                <w:shd w:val="clear" w:color="auto" w:fill="FFFFFF"/>
              </w:rPr>
              <w:t xml:space="preserve">, </w:t>
            </w:r>
            <w:r>
              <w:rPr>
                <w:rFonts w:ascii="Verdana" w:hAnsi="Verdana" w:cs="Arial"/>
                <w:shd w:val="clear" w:color="auto" w:fill="FFFFFF"/>
              </w:rPr>
              <w:t xml:space="preserve">es clara </w:t>
            </w:r>
            <w:r w:rsidRPr="003C545C">
              <w:rPr>
                <w:rFonts w:ascii="Verdana" w:hAnsi="Verdana" w:cs="Arial"/>
                <w:shd w:val="clear" w:color="auto" w:fill="FFFFFF"/>
              </w:rPr>
              <w:t xml:space="preserve">la obligatoriedad de publicar la información </w:t>
            </w:r>
            <w:r>
              <w:rPr>
                <w:rFonts w:ascii="Verdana" w:hAnsi="Verdana" w:cs="Arial"/>
                <w:shd w:val="clear" w:color="auto" w:fill="FFFFFF"/>
              </w:rPr>
              <w:t xml:space="preserve">de la actividad </w:t>
            </w:r>
            <w:r w:rsidRPr="003C545C">
              <w:rPr>
                <w:rFonts w:ascii="Verdana" w:hAnsi="Verdana" w:cs="Arial"/>
                <w:shd w:val="clear" w:color="auto" w:fill="FFFFFF"/>
              </w:rPr>
              <w:lastRenderedPageBreak/>
              <w:t>contractual</w:t>
            </w:r>
            <w:r>
              <w:rPr>
                <w:rFonts w:ascii="Verdana" w:hAnsi="Verdana" w:cs="Arial"/>
                <w:shd w:val="clear" w:color="auto" w:fill="FFFFFF"/>
              </w:rPr>
              <w:t xml:space="preserve"> que se realiza con cargo a recursos públicos</w:t>
            </w:r>
            <w:r w:rsidRPr="003C545C">
              <w:rPr>
                <w:rFonts w:ascii="Verdana" w:hAnsi="Verdana" w:cs="Arial"/>
                <w:shd w:val="clear" w:color="auto" w:fill="FFFFFF"/>
              </w:rPr>
              <w:t xml:space="preserve"> en el SECOP, incluidas aquellas con regímenes contractuales especiales. Esta obligación incluye todos los documentos generados durante las fases precontractual, contractual y </w:t>
            </w:r>
            <w:proofErr w:type="spellStart"/>
            <w:r w:rsidRPr="003C545C">
              <w:rPr>
                <w:rFonts w:ascii="Verdana" w:hAnsi="Verdana" w:cs="Arial"/>
                <w:shd w:val="clear" w:color="auto" w:fill="FFFFFF"/>
              </w:rPr>
              <w:t>postcontractual</w:t>
            </w:r>
            <w:proofErr w:type="spellEnd"/>
            <w:r w:rsidRPr="003C545C">
              <w:rPr>
                <w:rFonts w:ascii="Verdana" w:hAnsi="Verdana" w:cs="Arial"/>
                <w:shd w:val="clear" w:color="auto" w:fill="FFFFFF"/>
              </w:rPr>
              <w:t>, como contratos, actos administrativos e información generada con ocasión al proceso de contratación. Esto tiene como objetivo garantizar la transparencia, el acceso público a la información y el control social sobre la contratación pública, permitiendo que la ciudadanía tenga acceso a los documentos en un sistema unificado y oficial.</w:t>
            </w:r>
          </w:p>
          <w:p w14:paraId="40706B69" w14:textId="77777777" w:rsidR="00674FF0" w:rsidRDefault="00674FF0" w:rsidP="00167CF4">
            <w:pPr>
              <w:spacing w:after="120" w:line="276" w:lineRule="auto"/>
              <w:ind w:firstLine="709"/>
              <w:jc w:val="both"/>
              <w:rPr>
                <w:rFonts w:ascii="Verdana" w:eastAsia="Calibri" w:hAnsi="Verdana" w:cs="Arial"/>
                <w:lang w:eastAsia="es-ES_tradnl"/>
              </w:rPr>
            </w:pPr>
            <w:r>
              <w:rPr>
                <w:rFonts w:ascii="Verdana" w:eastAsia="Calibri" w:hAnsi="Verdana" w:cs="Arial"/>
                <w:lang w:eastAsia="es-ES_tradnl"/>
              </w:rPr>
              <w:t xml:space="preserve">De igual modo, la Agencia Nacional de Contratación Pública –Colombia Compra Eficiente en sus diferentes circulares sobre la obligatoriedad de publicar en SECOP II, ha manifestado que </w:t>
            </w:r>
            <w:r w:rsidRPr="00095E97">
              <w:rPr>
                <w:rFonts w:ascii="Verdana" w:eastAsia="Calibri" w:hAnsi="Verdana" w:cs="Arial"/>
                <w:lang w:eastAsia="es-ES_tradnl"/>
              </w:rPr>
              <w:t xml:space="preserve">en cumplimiento de las funciones conferidas por los numerales 2, 5 y 8 del artículo 3 del Decreto Ley 4170 de 2011, actuando como ente rector del Sistema de Compra Pública y administrador del Sistema Electrónico para </w:t>
            </w:r>
            <w:r>
              <w:rPr>
                <w:rFonts w:ascii="Verdana" w:eastAsia="Calibri" w:hAnsi="Verdana" w:cs="Arial"/>
                <w:lang w:eastAsia="es-ES_tradnl"/>
              </w:rPr>
              <w:t>la Contratación Pública – SECOP</w:t>
            </w:r>
            <w:r w:rsidRPr="00095E97">
              <w:rPr>
                <w:rFonts w:ascii="Verdana" w:eastAsia="Calibri" w:hAnsi="Verdana" w:cs="Arial"/>
                <w:lang w:eastAsia="es-ES_tradnl"/>
              </w:rPr>
              <w:t>, es competente para desarrollar e impulsar políticas públicas, programas, herramientas y normas orientadas a la organización y articulación de los partícipes en los procesos de compras y contratación pública, así como para promover las mejores prácticas en la gest</w:t>
            </w:r>
            <w:r>
              <w:rPr>
                <w:rFonts w:ascii="Verdana" w:eastAsia="Calibri" w:hAnsi="Verdana" w:cs="Arial"/>
                <w:lang w:eastAsia="es-ES_tradnl"/>
              </w:rPr>
              <w:t xml:space="preserve">ión contractual del Estado, a </w:t>
            </w:r>
            <w:r w:rsidRPr="00095E97">
              <w:rPr>
                <w:rFonts w:ascii="Verdana" w:eastAsia="Calibri" w:hAnsi="Verdana" w:cs="Arial"/>
                <w:lang w:eastAsia="es-ES_tradnl"/>
              </w:rPr>
              <w:t>fin de lograr una mayor eficiencia, transparencia y optimización de los recursos públicos.</w:t>
            </w:r>
            <w:r>
              <w:rPr>
                <w:rFonts w:ascii="Verdana" w:eastAsia="Calibri" w:hAnsi="Verdana" w:cs="Arial"/>
                <w:lang w:eastAsia="es-ES_tradnl"/>
              </w:rPr>
              <w:t xml:space="preserve"> </w:t>
            </w:r>
          </w:p>
          <w:p w14:paraId="33D57FB3" w14:textId="77777777" w:rsidR="00674FF0" w:rsidRDefault="00674FF0" w:rsidP="00167CF4">
            <w:pPr>
              <w:spacing w:after="120" w:line="276" w:lineRule="auto"/>
              <w:ind w:firstLine="709"/>
              <w:jc w:val="both"/>
              <w:rPr>
                <w:rFonts w:ascii="Verdana" w:eastAsia="Calibri" w:hAnsi="Verdana" w:cs="Arial"/>
                <w:lang w:eastAsia="es-ES_tradnl"/>
              </w:rPr>
            </w:pPr>
            <w:r w:rsidRPr="00C05FE1">
              <w:rPr>
                <w:rFonts w:ascii="Verdana" w:eastAsia="Calibri" w:hAnsi="Verdana" w:cs="Arial"/>
                <w:lang w:eastAsia="es-ES_tradnl"/>
              </w:rPr>
              <w:t>En tal sentido, la Circular Externa 003 de 2024 dispone reglas sobre la obligatoriedad de SECOP II para la vigencia 2024 y primer semestre de 2025</w:t>
            </w:r>
            <w:r>
              <w:rPr>
                <w:rFonts w:ascii="Verdana" w:eastAsia="Calibri" w:hAnsi="Verdana" w:cs="Arial"/>
                <w:lang w:eastAsia="es-ES_tradnl"/>
              </w:rPr>
              <w:t xml:space="preserve"> para </w:t>
            </w:r>
            <w:r w:rsidRPr="00A81666">
              <w:rPr>
                <w:rFonts w:ascii="Verdana" w:hAnsi="Verdana" w:cs="Arial"/>
                <w:shd w:val="clear" w:color="auto" w:fill="FFFFFF"/>
              </w:rPr>
              <w:t>todas las Entidades Estatales, incluidas aquellas con regímenes contractuales especiales, la publicación de documentos relacionados con su actividad contractual en dicha plataforma</w:t>
            </w:r>
            <w:r>
              <w:rPr>
                <w:rFonts w:ascii="Verdana" w:hAnsi="Verdana" w:cs="Arial"/>
                <w:shd w:val="clear" w:color="auto" w:fill="FFFFFF"/>
              </w:rPr>
              <w:t>. Así mismo, dicha circular establece, entre otras cosas, lo siguiente</w:t>
            </w:r>
            <w:r w:rsidRPr="00C05FE1">
              <w:rPr>
                <w:rFonts w:ascii="Verdana" w:eastAsia="Calibri" w:hAnsi="Verdana" w:cs="Arial"/>
                <w:lang w:eastAsia="es-ES_tradnl"/>
              </w:rPr>
              <w:t xml:space="preserve">: “Están exceptuados de la medida las asociaciones público–privadas-APP- de que trata la Ley 1508 de 2012 y demás normas complementarias, los contratos donde existan más de dos partes, los concursos de arquitectura y </w:t>
            </w:r>
            <w:r w:rsidRPr="00482B83">
              <w:rPr>
                <w:rFonts w:ascii="Verdana" w:eastAsia="Calibri" w:hAnsi="Verdana" w:cs="Arial"/>
                <w:i/>
                <w:lang w:eastAsia="es-ES_tradnl"/>
              </w:rPr>
              <w:t>la enajenación de bienes a título gratuito</w:t>
            </w:r>
            <w:r w:rsidRPr="00C05FE1">
              <w:rPr>
                <w:rFonts w:ascii="Verdana" w:eastAsia="Calibri" w:hAnsi="Verdana" w:cs="Arial"/>
                <w:lang w:eastAsia="es-ES_tradnl"/>
              </w:rPr>
              <w:t>, los cuales deberán pu</w:t>
            </w:r>
            <w:r>
              <w:rPr>
                <w:rFonts w:ascii="Verdana" w:eastAsia="Calibri" w:hAnsi="Verdana" w:cs="Arial"/>
                <w:lang w:eastAsia="es-ES_tradnl"/>
              </w:rPr>
              <w:t xml:space="preserve">blicarse a través del SECOP I” (énfasis fuera de texto). </w:t>
            </w:r>
          </w:p>
          <w:p w14:paraId="2090C6BA" w14:textId="77777777" w:rsidR="00674FF0" w:rsidRPr="004427A2" w:rsidRDefault="00674FF0" w:rsidP="00167CF4">
            <w:pPr>
              <w:spacing w:after="120" w:line="276" w:lineRule="auto"/>
              <w:ind w:firstLine="709"/>
              <w:jc w:val="both"/>
              <w:rPr>
                <w:rFonts w:ascii="Verdana" w:eastAsia="Calibri" w:hAnsi="Verdana" w:cs="Arial"/>
                <w:lang w:val="es-ES_tradnl"/>
              </w:rPr>
            </w:pPr>
            <w:r>
              <w:rPr>
                <w:rFonts w:ascii="Verdana" w:eastAsia="Calibri" w:hAnsi="Verdana" w:cs="Arial"/>
                <w:lang w:eastAsia="es-ES_tradnl"/>
              </w:rPr>
              <w:t xml:space="preserve">En dicha circular se establece que </w:t>
            </w:r>
            <w:r w:rsidRPr="00C05FE1">
              <w:rPr>
                <w:rFonts w:ascii="Verdana" w:eastAsia="Calibri" w:hAnsi="Verdana" w:cs="Arial"/>
                <w:lang w:eastAsia="es-ES_tradnl"/>
              </w:rPr>
              <w:t>la enajenación d</w:t>
            </w:r>
            <w:r>
              <w:rPr>
                <w:rFonts w:ascii="Verdana" w:eastAsia="Calibri" w:hAnsi="Verdana" w:cs="Arial"/>
                <w:lang w:eastAsia="es-ES_tradnl"/>
              </w:rPr>
              <w:t xml:space="preserve">e bienes a título gratuito debe publicarse </w:t>
            </w:r>
            <w:r w:rsidRPr="00C05FE1">
              <w:rPr>
                <w:rFonts w:ascii="Verdana" w:eastAsia="Calibri" w:hAnsi="Verdana" w:cs="Arial"/>
                <w:lang w:eastAsia="es-ES_tradnl"/>
              </w:rPr>
              <w:t>por SECOP I, cumpliendo los mandatos legales</w:t>
            </w:r>
            <w:r>
              <w:rPr>
                <w:rFonts w:ascii="Verdana" w:eastAsia="Calibri" w:hAnsi="Verdana" w:cs="Arial"/>
                <w:lang w:eastAsia="es-ES_tradnl"/>
              </w:rPr>
              <w:t xml:space="preserve"> y reglamentarios, </w:t>
            </w:r>
            <w:r w:rsidRPr="00F91268">
              <w:rPr>
                <w:rFonts w:ascii="Verdana" w:eastAsia="Calibri" w:hAnsi="Verdana" w:cs="Arial"/>
                <w:lang w:val="es-ES" w:eastAsia="es-ES_tradnl"/>
              </w:rPr>
              <w:t xml:space="preserve">en virtud </w:t>
            </w:r>
            <w:r>
              <w:rPr>
                <w:rFonts w:ascii="Verdana" w:eastAsia="Calibri" w:hAnsi="Verdana" w:cs="Arial"/>
                <w:lang w:val="es-ES" w:eastAsia="es-ES_tradnl"/>
              </w:rPr>
              <w:t>del principio de transparencia</w:t>
            </w:r>
            <w:r w:rsidRPr="00F91268">
              <w:rPr>
                <w:rFonts w:ascii="Verdana" w:eastAsia="Calibri" w:hAnsi="Verdana" w:cs="Arial"/>
                <w:lang w:val="es-ES" w:eastAsia="es-ES_tradnl"/>
              </w:rPr>
              <w:t xml:space="preserve">, así como por el principio de máxima publicidad establecido en el artículo 2 de la Ley 1712 de 2014, </w:t>
            </w:r>
            <w:r>
              <w:rPr>
                <w:rFonts w:ascii="Verdana" w:eastAsia="Calibri" w:hAnsi="Verdana" w:cs="Arial"/>
                <w:lang w:val="es-ES" w:eastAsia="es-ES_tradnl"/>
              </w:rPr>
              <w:t xml:space="preserve">por lo que </w:t>
            </w:r>
            <w:r w:rsidRPr="00F91268">
              <w:rPr>
                <w:rFonts w:ascii="Verdana" w:eastAsia="Calibri" w:hAnsi="Verdana" w:cs="Arial"/>
                <w:lang w:val="es-ES" w:eastAsia="es-ES_tradnl"/>
              </w:rPr>
              <w:t xml:space="preserve">el contenido del expediente en el que reposa la actuación es </w:t>
            </w:r>
            <w:r w:rsidRPr="00F91268">
              <w:rPr>
                <w:rFonts w:ascii="Verdana" w:eastAsia="Calibri" w:hAnsi="Verdana" w:cs="Arial"/>
                <w:lang w:val="es-ES" w:eastAsia="es-ES_tradnl"/>
              </w:rPr>
              <w:lastRenderedPageBreak/>
              <w:t>información pública, independiente de si se t</w:t>
            </w:r>
            <w:r>
              <w:rPr>
                <w:rFonts w:ascii="Verdana" w:eastAsia="Calibri" w:hAnsi="Verdana" w:cs="Arial"/>
                <w:lang w:val="es-ES" w:eastAsia="es-ES_tradnl"/>
              </w:rPr>
              <w:t>rata de documentos que deban publicarse</w:t>
            </w:r>
            <w:r w:rsidRPr="00F91268">
              <w:rPr>
                <w:rFonts w:ascii="Verdana" w:eastAsia="Calibri" w:hAnsi="Verdana" w:cs="Arial"/>
                <w:lang w:val="es-ES" w:eastAsia="es-ES_tradnl"/>
              </w:rPr>
              <w:t xml:space="preserve"> en SECOP</w:t>
            </w:r>
            <w:r>
              <w:rPr>
                <w:rFonts w:ascii="Verdana" w:eastAsia="Calibri" w:hAnsi="Verdana" w:cs="Arial"/>
                <w:lang w:val="es-ES" w:eastAsia="es-ES_tradnl"/>
              </w:rPr>
              <w:t>, ya sea en SECOP I o en SECOP II</w:t>
            </w:r>
            <w:r w:rsidRPr="00F91268">
              <w:rPr>
                <w:rFonts w:ascii="Verdana" w:eastAsia="Calibri" w:hAnsi="Verdana" w:cs="Arial"/>
                <w:lang w:val="es-ES" w:eastAsia="es-ES_tradnl"/>
              </w:rPr>
              <w:t>.</w:t>
            </w:r>
            <w:r w:rsidRPr="00F5391F">
              <w:rPr>
                <w:rFonts w:ascii="Verdana" w:eastAsia="Calibri" w:hAnsi="Verdana" w:cs="Arial"/>
                <w:lang w:val="es-MX"/>
              </w:rPr>
              <w:t xml:space="preserve"> </w:t>
            </w:r>
            <w:r w:rsidRPr="004427A2">
              <w:rPr>
                <w:rFonts w:ascii="Verdana" w:eastAsia="Calibri" w:hAnsi="Verdana" w:cs="Arial"/>
                <w:lang w:val="es-ES_tradnl"/>
              </w:rPr>
              <w:t>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6D249918" w14:textId="77777777" w:rsidR="00674FF0" w:rsidRPr="00B63408" w:rsidRDefault="00674FF0" w:rsidP="00167CF4">
            <w:pPr>
              <w:spacing w:after="120" w:line="276" w:lineRule="auto"/>
              <w:ind w:firstLine="708"/>
              <w:jc w:val="both"/>
              <w:rPr>
                <w:rFonts w:ascii="Verdana" w:eastAsia="Calibri" w:hAnsi="Verdana" w:cs="Arial"/>
                <w:lang w:eastAsia="es-ES_tradnl"/>
              </w:rPr>
            </w:pPr>
            <w:r w:rsidRPr="00BF0437">
              <w:rPr>
                <w:rFonts w:ascii="Verdana" w:eastAsia="Calibri" w:hAnsi="Verdana" w:cs="Arial"/>
                <w:lang w:eastAsia="es-ES_tradnl"/>
              </w:rPr>
              <w:t xml:space="preserve">Así las cosas, existe un deber de publicar los contratos </w:t>
            </w:r>
            <w:r>
              <w:rPr>
                <w:rFonts w:ascii="Verdana" w:eastAsia="Calibri" w:hAnsi="Verdana" w:cs="Arial"/>
                <w:lang w:eastAsia="es-ES_tradnl"/>
              </w:rPr>
              <w:t xml:space="preserve">para la </w:t>
            </w:r>
            <w:r w:rsidRPr="00BF0437">
              <w:rPr>
                <w:rFonts w:ascii="Verdana" w:eastAsia="Calibri" w:hAnsi="Verdana" w:cs="Arial"/>
                <w:lang w:eastAsia="es-ES_tradnl"/>
              </w:rPr>
              <w:t>enajenación de bienes a título gratuito, en SECOP, que en el caso particular dispuesto en la Circular Externa 03 de 2024 será en SECOP I, con fundamento en todo caso de la normat</w:t>
            </w:r>
            <w:r>
              <w:rPr>
                <w:rFonts w:ascii="Verdana" w:eastAsia="Calibri" w:hAnsi="Verdana" w:cs="Arial"/>
                <w:lang w:eastAsia="es-ES_tradnl"/>
              </w:rPr>
              <w:t>iva legal y reglamentaria ya expuesta en las razones de la respuesta</w:t>
            </w:r>
            <w:r w:rsidRPr="00BF0437">
              <w:rPr>
                <w:rFonts w:ascii="Verdana" w:eastAsia="Calibri" w:hAnsi="Verdana" w:cs="Arial"/>
                <w:lang w:eastAsia="es-ES_tradnl"/>
              </w:rPr>
              <w:t xml:space="preserve"> sobre el deber de publicidad de la información y transparencia, y teniendo en cuenta las directrices y lineamientos dispuestos por la Agencia Nacional de Contratación Pública –Colombia Compra Eficiente, como administrador de la plataforma y ente rector en contratación y compra pública.</w:t>
            </w:r>
          </w:p>
        </w:tc>
      </w:tr>
    </w:tbl>
    <w:p w14:paraId="45028246" w14:textId="77777777" w:rsidR="00674FF0" w:rsidRPr="00B57A1B" w:rsidRDefault="00674FF0" w:rsidP="00674FF0">
      <w:pPr>
        <w:spacing w:after="0" w:line="276" w:lineRule="auto"/>
        <w:jc w:val="both"/>
        <w:rPr>
          <w:rFonts w:ascii="Verdana" w:eastAsia="Calibri" w:hAnsi="Verdana" w:cs="Arial"/>
          <w:bCs/>
          <w:color w:val="000000" w:themeColor="text1"/>
        </w:rPr>
      </w:pPr>
    </w:p>
    <w:p w14:paraId="0C4C91CC" w14:textId="77777777" w:rsidR="00674FF0" w:rsidRPr="00B57A1B" w:rsidRDefault="00674FF0" w:rsidP="00674FF0">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7081F4D5" w14:textId="77777777" w:rsidR="00674FF0" w:rsidRPr="00B57A1B" w:rsidRDefault="00674FF0" w:rsidP="00674FF0">
      <w:pPr>
        <w:spacing w:after="0" w:line="256" w:lineRule="auto"/>
        <w:rPr>
          <w:rFonts w:ascii="Verdana" w:eastAsia="Calibri" w:hAnsi="Verdana" w:cs="Times New Roman"/>
          <w:b/>
          <w:bCs/>
          <w:lang w:val="es-ES"/>
        </w:rPr>
      </w:pPr>
    </w:p>
    <w:p w14:paraId="449A7249" w14:textId="77777777" w:rsidR="00674FF0" w:rsidRPr="00B57A1B" w:rsidRDefault="00674FF0" w:rsidP="00674FF0">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741F2B5D" w14:textId="77777777" w:rsidR="00674FF0" w:rsidRPr="00415608" w:rsidRDefault="00674FF0" w:rsidP="00674FF0">
      <w:pPr>
        <w:spacing w:after="0" w:line="276" w:lineRule="auto"/>
        <w:jc w:val="both"/>
        <w:rPr>
          <w:rFonts w:ascii="Verdana" w:eastAsia="Calibri" w:hAnsi="Verdana" w:cs="Arial"/>
          <w:lang w:val="es-ES"/>
        </w:rPr>
      </w:pPr>
      <w:bookmarkStart w:id="1" w:name="_Hlk78820161"/>
    </w:p>
    <w:p w14:paraId="6ACF8E9C" w14:textId="77777777" w:rsidR="00674FF0" w:rsidRPr="00097627" w:rsidRDefault="00674FF0" w:rsidP="00674FF0">
      <w:pPr>
        <w:spacing w:after="120" w:line="276" w:lineRule="auto"/>
        <w:jc w:val="both"/>
        <w:rPr>
          <w:rFonts w:ascii="Verdana" w:eastAsia="Times New Roman" w:hAnsi="Verdana" w:cs="Arial"/>
          <w:color w:val="000000" w:themeColor="text1"/>
          <w:lang w:eastAsia="es-ES_tradnl"/>
        </w:rPr>
      </w:pPr>
      <w:r w:rsidRPr="00097627">
        <w:rPr>
          <w:rFonts w:ascii="Verdana" w:eastAsia="Calibri" w:hAnsi="Verdana" w:cs="Arial"/>
          <w:bCs/>
          <w:lang w:val="es-ES_tradnl"/>
        </w:rPr>
        <w:t>i.</w:t>
      </w:r>
      <w:r w:rsidRPr="00097627">
        <w:rPr>
          <w:rFonts w:ascii="Verdana" w:eastAsia="Calibri" w:hAnsi="Verdana" w:cs="Arial"/>
          <w:color w:val="000000"/>
          <w:lang w:val="es-MX"/>
        </w:rPr>
        <w:t xml:space="preserve"> </w:t>
      </w:r>
      <w:r w:rsidRPr="00097627">
        <w:rPr>
          <w:rFonts w:ascii="Verdana" w:eastAsia="Times New Roman" w:hAnsi="Verdana" w:cs="Arial"/>
          <w:color w:val="000000" w:themeColor="text1"/>
          <w:lang w:eastAsia="es-ES_tradnl"/>
        </w:rPr>
        <w:t xml:space="preserve">La </w:t>
      </w:r>
      <w:r w:rsidRPr="00097627">
        <w:rPr>
          <w:rFonts w:ascii="Verdana" w:eastAsia="Times New Roman" w:hAnsi="Verdana" w:cs="Arial"/>
          <w:color w:val="000000" w:themeColor="text1"/>
          <w:lang w:val="es-ES" w:eastAsia="es-ES_tradnl"/>
        </w:rPr>
        <w:t>enajenación</w:t>
      </w:r>
      <w:r w:rsidRPr="00097627">
        <w:rPr>
          <w:rFonts w:ascii="Verdana" w:eastAsia="Times New Roman" w:hAnsi="Verdana" w:cs="Arial"/>
          <w:color w:val="000000" w:themeColor="text1"/>
          <w:lang w:eastAsia="es-ES_tradnl"/>
        </w:rPr>
        <w:t xml:space="preserve"> se define como la transferencia del derecho real</w:t>
      </w:r>
      <w:r w:rsidRPr="00097627">
        <w:rPr>
          <w:rFonts w:ascii="Verdana" w:eastAsia="Times New Roman" w:hAnsi="Verdana" w:cs="Arial"/>
          <w:color w:val="000000" w:themeColor="text1"/>
          <w:vertAlign w:val="superscript"/>
          <w:lang w:eastAsia="es-ES_tradnl"/>
        </w:rPr>
        <w:footnoteReference w:id="1"/>
      </w:r>
      <w:r w:rsidRPr="00097627">
        <w:rPr>
          <w:rFonts w:ascii="Verdana" w:eastAsia="Times New Roman" w:hAnsi="Verdana" w:cs="Arial"/>
          <w:color w:val="000000" w:themeColor="text1"/>
          <w:lang w:eastAsia="es-ES_tradnl"/>
        </w:rPr>
        <w:t xml:space="preserve"> sobre un bien</w:t>
      </w:r>
      <w:r w:rsidRPr="00097627">
        <w:rPr>
          <w:rFonts w:ascii="Verdana" w:eastAsia="Times New Roman" w:hAnsi="Verdana" w:cs="Arial"/>
          <w:color w:val="000000" w:themeColor="text1"/>
          <w:vertAlign w:val="superscript"/>
          <w:lang w:eastAsia="es-ES_tradnl"/>
        </w:rPr>
        <w:footnoteReference w:id="2"/>
      </w:r>
      <w:r>
        <w:rPr>
          <w:rFonts w:ascii="Verdana" w:eastAsia="Times New Roman" w:hAnsi="Verdana" w:cs="Arial"/>
          <w:color w:val="000000" w:themeColor="text1"/>
          <w:lang w:eastAsia="es-ES_tradnl"/>
        </w:rPr>
        <w:t>. Como indica la doctrina, “</w:t>
      </w:r>
      <w:r w:rsidRPr="00097627">
        <w:rPr>
          <w:rFonts w:ascii="Verdana" w:eastAsia="Times New Roman" w:hAnsi="Verdana" w:cs="Arial"/>
          <w:i/>
          <w:iCs/>
          <w:color w:val="000000" w:themeColor="text1"/>
          <w:lang w:eastAsia="es-ES_tradnl"/>
        </w:rPr>
        <w:t xml:space="preserve">Dar –en sentido restringido–, </w:t>
      </w:r>
      <w:proofErr w:type="spellStart"/>
      <w:r w:rsidRPr="00097627">
        <w:rPr>
          <w:rFonts w:ascii="Verdana" w:eastAsia="Times New Roman" w:hAnsi="Verdana" w:cs="Arial"/>
          <w:i/>
          <w:iCs/>
          <w:color w:val="000000" w:themeColor="text1"/>
          <w:lang w:eastAsia="es-ES_tradnl"/>
        </w:rPr>
        <w:t>traditar</w:t>
      </w:r>
      <w:proofErr w:type="spellEnd"/>
      <w:r w:rsidRPr="00097627">
        <w:rPr>
          <w:rFonts w:ascii="Verdana" w:eastAsia="Times New Roman" w:hAnsi="Verdana" w:cs="Arial"/>
          <w:i/>
          <w:iCs/>
          <w:color w:val="000000" w:themeColor="text1"/>
          <w:lang w:eastAsia="es-ES_tradnl"/>
        </w:rPr>
        <w:t xml:space="preserve">, enajenar, disponer, son conceptos sinónimos en el Código Civil. Cuando se da, se enajena. Cuando se </w:t>
      </w:r>
      <w:proofErr w:type="spellStart"/>
      <w:r w:rsidRPr="00097627">
        <w:rPr>
          <w:rFonts w:ascii="Verdana" w:eastAsia="Times New Roman" w:hAnsi="Verdana" w:cs="Arial"/>
          <w:i/>
          <w:iCs/>
          <w:color w:val="000000" w:themeColor="text1"/>
          <w:lang w:eastAsia="es-ES_tradnl"/>
        </w:rPr>
        <w:t>tradita</w:t>
      </w:r>
      <w:proofErr w:type="spellEnd"/>
      <w:r w:rsidRPr="00097627">
        <w:rPr>
          <w:rFonts w:ascii="Verdana" w:eastAsia="Times New Roman" w:hAnsi="Verdana" w:cs="Arial"/>
          <w:i/>
          <w:iCs/>
          <w:color w:val="000000" w:themeColor="text1"/>
          <w:lang w:eastAsia="es-ES_tradnl"/>
        </w:rPr>
        <w:t xml:space="preserve">, se enajena, Cuando se enajena, se da o se </w:t>
      </w:r>
      <w:proofErr w:type="spellStart"/>
      <w:r w:rsidRPr="00097627">
        <w:rPr>
          <w:rFonts w:ascii="Verdana" w:eastAsia="Times New Roman" w:hAnsi="Verdana" w:cs="Arial"/>
          <w:i/>
          <w:iCs/>
          <w:color w:val="000000" w:themeColor="text1"/>
          <w:lang w:eastAsia="es-ES_tradnl"/>
        </w:rPr>
        <w:t>tradita</w:t>
      </w:r>
      <w:proofErr w:type="spellEnd"/>
      <w:r w:rsidRPr="00097627">
        <w:rPr>
          <w:rFonts w:ascii="Verdana" w:eastAsia="Times New Roman" w:hAnsi="Verdana" w:cs="Arial"/>
          <w:i/>
          <w:iCs/>
          <w:color w:val="000000" w:themeColor="text1"/>
          <w:lang w:eastAsia="es-ES_tradnl"/>
        </w:rPr>
        <w:t>. Y, finalmente, cuando ocurre cualquiera</w:t>
      </w:r>
      <w:r>
        <w:rPr>
          <w:rFonts w:ascii="Verdana" w:eastAsia="Times New Roman" w:hAnsi="Verdana" w:cs="Arial"/>
          <w:i/>
          <w:iCs/>
          <w:color w:val="000000" w:themeColor="text1"/>
          <w:lang w:eastAsia="es-ES_tradnl"/>
        </w:rPr>
        <w:t xml:space="preserve"> de tales fenómenos, se dispone”</w:t>
      </w:r>
      <w:r w:rsidRPr="00097627">
        <w:rPr>
          <w:rFonts w:ascii="Verdana" w:eastAsia="Times New Roman" w:hAnsi="Verdana" w:cs="Arial"/>
          <w:i/>
          <w:iCs/>
          <w:color w:val="000000" w:themeColor="text1"/>
          <w:vertAlign w:val="superscript"/>
          <w:lang w:eastAsia="es-ES_tradnl"/>
        </w:rPr>
        <w:footnoteReference w:id="3"/>
      </w:r>
      <w:r w:rsidRPr="00097627">
        <w:rPr>
          <w:rFonts w:ascii="Verdana" w:eastAsia="Times New Roman" w:hAnsi="Verdana" w:cs="Arial"/>
          <w:i/>
          <w:iCs/>
          <w:color w:val="000000" w:themeColor="text1"/>
          <w:lang w:eastAsia="es-ES_tradnl"/>
        </w:rPr>
        <w:t>.</w:t>
      </w:r>
      <w:r w:rsidRPr="00097627">
        <w:rPr>
          <w:rFonts w:ascii="Verdana" w:eastAsia="Times New Roman" w:hAnsi="Verdana" w:cs="Arial"/>
          <w:color w:val="000000" w:themeColor="text1"/>
          <w:lang w:eastAsia="es-ES_tradnl"/>
        </w:rPr>
        <w:t xml:space="preserve"> Lo más usual es que la enajenación se lleve a cabo respecto del derecho de propiedad; y en tal caso se efectúa a través de los modos señalados en el artículo 673 del </w:t>
      </w:r>
      <w:r w:rsidRPr="00097627">
        <w:rPr>
          <w:rFonts w:ascii="Verdana" w:eastAsia="Times New Roman" w:hAnsi="Verdana" w:cs="Arial"/>
          <w:color w:val="000000" w:themeColor="text1"/>
          <w:lang w:eastAsia="es-ES_tradnl"/>
        </w:rPr>
        <w:lastRenderedPageBreak/>
        <w:t>Código Civil</w:t>
      </w:r>
      <w:r w:rsidRPr="00097627">
        <w:rPr>
          <w:rFonts w:ascii="Verdana" w:eastAsia="Times New Roman" w:hAnsi="Verdana" w:cs="Arial"/>
          <w:color w:val="000000" w:themeColor="text1"/>
          <w:vertAlign w:val="superscript"/>
          <w:lang w:eastAsia="es-ES_tradnl"/>
        </w:rPr>
        <w:footnoteReference w:id="4"/>
      </w:r>
      <w:r w:rsidRPr="00097627">
        <w:rPr>
          <w:rFonts w:ascii="Verdana" w:eastAsia="Times New Roman" w:hAnsi="Verdana" w:cs="Arial"/>
          <w:color w:val="000000" w:themeColor="text1"/>
          <w:lang w:eastAsia="es-ES_tradnl"/>
        </w:rPr>
        <w:t>, pudiendo recaer tanto sobre los bienes muebles, como inmuebles, aunque frente a estos la ley exige solemnidades especiales</w:t>
      </w:r>
      <w:r w:rsidRPr="00097627">
        <w:rPr>
          <w:rFonts w:ascii="Verdana" w:eastAsia="Times New Roman" w:hAnsi="Verdana" w:cs="Arial"/>
          <w:color w:val="000000" w:themeColor="text1"/>
          <w:vertAlign w:val="superscript"/>
          <w:lang w:eastAsia="es-ES_tradnl"/>
        </w:rPr>
        <w:footnoteReference w:id="5"/>
      </w:r>
      <w:r w:rsidRPr="00097627">
        <w:rPr>
          <w:rFonts w:ascii="Verdana" w:eastAsia="Times New Roman" w:hAnsi="Verdana" w:cs="Arial"/>
          <w:color w:val="000000" w:themeColor="text1"/>
          <w:lang w:eastAsia="es-ES_tradnl"/>
        </w:rPr>
        <w:t>. Entretanto, el artículo 1521 del Código Civil dispone que se presenta objeto</w:t>
      </w:r>
      <w:r>
        <w:rPr>
          <w:rFonts w:ascii="Verdana" w:eastAsia="Times New Roman" w:hAnsi="Verdana" w:cs="Arial"/>
          <w:color w:val="000000" w:themeColor="text1"/>
          <w:lang w:eastAsia="es-ES_tradnl"/>
        </w:rPr>
        <w:t xml:space="preserve"> ilícito en la enajenación: i) “</w:t>
      </w:r>
      <w:r w:rsidRPr="00097627">
        <w:rPr>
          <w:rFonts w:ascii="Verdana" w:eastAsia="Times New Roman" w:hAnsi="Verdana" w:cs="Arial"/>
          <w:color w:val="000000" w:themeColor="text1"/>
          <w:lang w:eastAsia="es-ES_tradnl"/>
        </w:rPr>
        <w:t>De las c</w:t>
      </w:r>
      <w:r>
        <w:rPr>
          <w:rFonts w:ascii="Verdana" w:eastAsia="Times New Roman" w:hAnsi="Verdana" w:cs="Arial"/>
          <w:color w:val="000000" w:themeColor="text1"/>
          <w:lang w:eastAsia="es-ES_tradnl"/>
        </w:rPr>
        <w:t>osas que no están en el comercio”, ii) “</w:t>
      </w:r>
      <w:r w:rsidRPr="00097627">
        <w:rPr>
          <w:rFonts w:ascii="Verdana" w:eastAsia="Times New Roman" w:hAnsi="Verdana" w:cs="Arial"/>
          <w:color w:val="000000" w:themeColor="text1"/>
          <w:lang w:eastAsia="es-ES_tradnl"/>
        </w:rPr>
        <w:t>De los derechos o privilegios que no pueden tran</w:t>
      </w:r>
      <w:r>
        <w:rPr>
          <w:rFonts w:ascii="Verdana" w:eastAsia="Times New Roman" w:hAnsi="Verdana" w:cs="Arial"/>
          <w:color w:val="000000" w:themeColor="text1"/>
          <w:lang w:eastAsia="es-ES_tradnl"/>
        </w:rPr>
        <w:t>sferirse a otra persona” y iii) “</w:t>
      </w:r>
      <w:r w:rsidRPr="00097627">
        <w:rPr>
          <w:rFonts w:ascii="Verdana" w:eastAsia="Times New Roman" w:hAnsi="Verdana" w:cs="Arial"/>
          <w:color w:val="000000" w:themeColor="text1"/>
          <w:lang w:eastAsia="es-ES_tradnl"/>
        </w:rPr>
        <w:t xml:space="preserve">De las cosas embargadas por decreto judicial, a menos que el juez lo autorice </w:t>
      </w:r>
      <w:r>
        <w:rPr>
          <w:rFonts w:ascii="Verdana" w:eastAsia="Times New Roman" w:hAnsi="Verdana" w:cs="Arial"/>
          <w:color w:val="000000" w:themeColor="text1"/>
          <w:lang w:eastAsia="es-ES_tradnl"/>
        </w:rPr>
        <w:t>o el acreedor consienta en ello”</w:t>
      </w:r>
      <w:r w:rsidRPr="00097627">
        <w:rPr>
          <w:rFonts w:ascii="Verdana" w:eastAsia="Times New Roman" w:hAnsi="Verdana" w:cs="Arial"/>
          <w:color w:val="000000" w:themeColor="text1"/>
          <w:lang w:eastAsia="es-ES_tradnl"/>
        </w:rPr>
        <w:t>.</w:t>
      </w:r>
    </w:p>
    <w:p w14:paraId="379EF261" w14:textId="77777777" w:rsidR="00674FF0" w:rsidRPr="00097627" w:rsidRDefault="00674FF0" w:rsidP="00674FF0">
      <w:pPr>
        <w:spacing w:after="120" w:line="276" w:lineRule="auto"/>
        <w:ind w:firstLine="709"/>
        <w:jc w:val="both"/>
        <w:rPr>
          <w:rFonts w:ascii="Verdana" w:eastAsia="Times New Roman" w:hAnsi="Verdana" w:cs="Arial"/>
          <w:lang w:eastAsia="es-ES_tradnl"/>
        </w:rPr>
      </w:pPr>
      <w:r w:rsidRPr="00097627">
        <w:rPr>
          <w:rFonts w:ascii="Verdana" w:eastAsia="Times New Roman" w:hAnsi="Verdana" w:cs="Arial"/>
          <w:color w:val="000000" w:themeColor="text1"/>
          <w:lang w:eastAsia="es-ES_tradnl"/>
        </w:rPr>
        <w:t xml:space="preserve">La enajenación de bienes a título gratuito está relacionada con el contrato de donación, definido en </w:t>
      </w:r>
      <w:r w:rsidRPr="00097627">
        <w:rPr>
          <w:rFonts w:ascii="Verdana" w:eastAsia="Times New Roman" w:hAnsi="Verdana" w:cs="Arial"/>
          <w:lang w:eastAsia="es-ES_tradnl"/>
        </w:rPr>
        <w:t>Código Civ</w:t>
      </w:r>
      <w:r>
        <w:rPr>
          <w:rFonts w:ascii="Verdana" w:eastAsia="Times New Roman" w:hAnsi="Verdana" w:cs="Arial"/>
          <w:lang w:eastAsia="es-ES_tradnl"/>
        </w:rPr>
        <w:t>il como “</w:t>
      </w:r>
      <w:r w:rsidRPr="00097627">
        <w:rPr>
          <w:rFonts w:ascii="Verdana" w:eastAsia="Times New Roman" w:hAnsi="Verdana" w:cs="Arial"/>
          <w:i/>
          <w:iCs/>
          <w:lang w:eastAsia="es-ES_tradnl"/>
        </w:rPr>
        <w:t>un acto por el cual una persona transfiere, gratuita e irrevocablemente, una parte de sus bienes a otra persona que la acepta</w:t>
      </w:r>
      <w:r>
        <w:rPr>
          <w:rFonts w:ascii="Verdana" w:eastAsia="Times New Roman" w:hAnsi="Verdana" w:cs="Arial"/>
          <w:i/>
          <w:iCs/>
          <w:lang w:eastAsia="es-ES_tradnl"/>
        </w:rPr>
        <w:t>”</w:t>
      </w:r>
      <w:r w:rsidRPr="00097627">
        <w:rPr>
          <w:rFonts w:ascii="Verdana" w:eastAsia="Times New Roman" w:hAnsi="Verdana" w:cs="Arial"/>
          <w:lang w:eastAsia="es-ES_tradnl"/>
        </w:rPr>
        <w:t>. El Consejo de Estado</w:t>
      </w:r>
      <w:r w:rsidRPr="00097627">
        <w:rPr>
          <w:rFonts w:ascii="Verdana" w:eastAsia="Times New Roman" w:hAnsi="Verdana" w:cs="Arial"/>
          <w:vertAlign w:val="superscript"/>
          <w:lang w:eastAsia="es-ES_tradnl"/>
        </w:rPr>
        <w:footnoteReference w:id="6"/>
      </w:r>
      <w:r w:rsidRPr="00097627">
        <w:rPr>
          <w:rFonts w:ascii="Verdana" w:eastAsia="Times New Roman" w:hAnsi="Verdana" w:cs="Arial"/>
          <w:lang w:eastAsia="es-ES_tradnl"/>
        </w:rPr>
        <w:t xml:space="preserve"> sostuvo respecto de la definición de la donación del Código Civil, que era naturalmente imprecisa toda vez q</w:t>
      </w:r>
      <w:r>
        <w:rPr>
          <w:rFonts w:ascii="Verdana" w:eastAsia="Times New Roman" w:hAnsi="Verdana" w:cs="Arial"/>
          <w:lang w:eastAsia="es-ES_tradnl"/>
        </w:rPr>
        <w:t>ue la donación es un verdadero “contrato”</w:t>
      </w:r>
      <w:r w:rsidRPr="00097627">
        <w:rPr>
          <w:rFonts w:ascii="Verdana" w:eastAsia="Times New Roman" w:hAnsi="Verdana" w:cs="Arial"/>
          <w:lang w:eastAsia="es-ES_tradnl"/>
        </w:rPr>
        <w:t xml:space="preserve"> y no solo un acto, lo anterior porque</w:t>
      </w:r>
      <w:r>
        <w:rPr>
          <w:rFonts w:ascii="Verdana" w:eastAsia="Times New Roman" w:hAnsi="Verdana" w:cs="Arial"/>
          <w:lang w:eastAsia="es-ES_tradnl"/>
        </w:rPr>
        <w:t xml:space="preserve"> para el perfeccionamiento del “contrato”</w:t>
      </w:r>
      <w:r w:rsidRPr="00097627">
        <w:rPr>
          <w:rFonts w:ascii="Verdana" w:eastAsia="Times New Roman" w:hAnsi="Verdana" w:cs="Arial"/>
          <w:lang w:eastAsia="es-ES_tradnl"/>
        </w:rPr>
        <w:t xml:space="preserve"> concurre i) la voluntad dispositiva de la persona que pretende entregar parte de su patrimonio –donante– y ii) la aceptación de quien recibirá el beneficio económico –donatario–</w:t>
      </w:r>
      <w:r w:rsidRPr="00097627">
        <w:rPr>
          <w:rFonts w:ascii="Verdana" w:eastAsia="Times New Roman" w:hAnsi="Verdana" w:cs="Arial"/>
          <w:vertAlign w:val="superscript"/>
          <w:lang w:eastAsia="es-ES_tradnl"/>
        </w:rPr>
        <w:t xml:space="preserve"> </w:t>
      </w:r>
    </w:p>
    <w:p w14:paraId="67C548E1" w14:textId="77777777" w:rsidR="00674FF0" w:rsidRPr="00097627" w:rsidRDefault="00674FF0" w:rsidP="00674FF0">
      <w:pPr>
        <w:spacing w:after="120" w:line="276" w:lineRule="auto"/>
        <w:ind w:firstLine="708"/>
        <w:jc w:val="both"/>
        <w:rPr>
          <w:rFonts w:ascii="Verdana" w:eastAsia="Times New Roman" w:hAnsi="Verdana" w:cs="Arial"/>
          <w:color w:val="000000" w:themeColor="text1"/>
          <w:lang w:val="es-ES" w:eastAsia="es-ES_tradnl"/>
        </w:rPr>
      </w:pPr>
      <w:r w:rsidRPr="00097627">
        <w:rPr>
          <w:rFonts w:ascii="Verdana" w:eastAsia="Times New Roman" w:hAnsi="Verdana" w:cs="Arial"/>
          <w:color w:val="000000" w:themeColor="text1"/>
          <w:lang w:eastAsia="es-ES_tradnl"/>
        </w:rPr>
        <w:t>Respecto del tipo de bienes que pueden ser objeto de donación es importante resaltar, en primer lugar, que e</w:t>
      </w:r>
      <w:r w:rsidRPr="00097627">
        <w:rPr>
          <w:rFonts w:ascii="Verdana" w:eastAsia="Times New Roman" w:hAnsi="Verdana" w:cs="Arial"/>
          <w:color w:val="000000" w:themeColor="text1"/>
          <w:lang w:val="es-ES" w:eastAsia="es-ES_tradnl"/>
        </w:rPr>
        <w:t xml:space="preserve">l artículo 654 del Código Civil clasifica las cosas corporales en muebles e inmuebles. El artículo 655 define </w:t>
      </w:r>
      <w:r>
        <w:rPr>
          <w:rFonts w:ascii="Verdana" w:eastAsia="Times New Roman" w:hAnsi="Verdana" w:cs="Arial"/>
          <w:color w:val="000000" w:themeColor="text1"/>
          <w:lang w:val="es-ES" w:eastAsia="es-ES_tradnl"/>
        </w:rPr>
        <w:t>los bienes muebles como los que “</w:t>
      </w:r>
      <w:r w:rsidRPr="00097627">
        <w:rPr>
          <w:rFonts w:ascii="Verdana" w:eastAsia="Times New Roman" w:hAnsi="Verdana" w:cs="Arial"/>
          <w:i/>
          <w:iCs/>
          <w:color w:val="000000" w:themeColor="text1"/>
          <w:lang w:val="es-ES" w:eastAsia="es-ES_tradnl"/>
        </w:rPr>
        <w:t>pueden transportarse de un lugar a otro, sea moviéndose ellas a sí mismas como los animales</w:t>
      </w:r>
      <w:r w:rsidRPr="00097627">
        <w:rPr>
          <w:rFonts w:ascii="Verdana" w:eastAsia="Times New Roman" w:hAnsi="Verdana" w:cs="Arial"/>
          <w:color w:val="000000" w:themeColor="text1"/>
          <w:lang w:val="es-ES" w:eastAsia="es-ES_tradnl"/>
        </w:rPr>
        <w:t xml:space="preserve"> (</w:t>
      </w:r>
      <w:r w:rsidRPr="00097627">
        <w:rPr>
          <w:rFonts w:ascii="Verdana" w:eastAsia="Times New Roman" w:hAnsi="Verdana" w:cs="Arial"/>
          <w:i/>
          <w:iCs/>
          <w:color w:val="000000" w:themeColor="text1"/>
          <w:lang w:val="es-ES" w:eastAsia="es-ES_tradnl"/>
        </w:rPr>
        <w:t>que por eso se llaman semovientes), sea que sólo se muevan por una fuerza ext</w:t>
      </w:r>
      <w:r>
        <w:rPr>
          <w:rFonts w:ascii="Verdana" w:eastAsia="Times New Roman" w:hAnsi="Verdana" w:cs="Arial"/>
          <w:i/>
          <w:iCs/>
          <w:color w:val="000000" w:themeColor="text1"/>
          <w:lang w:val="es-ES" w:eastAsia="es-ES_tradnl"/>
        </w:rPr>
        <w:t>erna, como las cosas inanimadas”</w:t>
      </w:r>
      <w:r w:rsidRPr="00097627">
        <w:rPr>
          <w:rFonts w:ascii="Verdana" w:eastAsia="Times New Roman" w:hAnsi="Verdana" w:cs="Arial"/>
          <w:color w:val="000000" w:themeColor="text1"/>
          <w:lang w:val="es-ES" w:eastAsia="es-ES_tradnl"/>
        </w:rPr>
        <w:t>, mientras que el artícul</w:t>
      </w:r>
      <w:r>
        <w:rPr>
          <w:rFonts w:ascii="Verdana" w:eastAsia="Times New Roman" w:hAnsi="Verdana" w:cs="Arial"/>
          <w:color w:val="000000" w:themeColor="text1"/>
          <w:lang w:val="es-ES" w:eastAsia="es-ES_tradnl"/>
        </w:rPr>
        <w:t>o 656 define los inmuebles así: “</w:t>
      </w:r>
      <w:r w:rsidRPr="00097627">
        <w:rPr>
          <w:rFonts w:ascii="Verdana" w:eastAsia="Times New Roman" w:hAnsi="Verdana" w:cs="Arial"/>
          <w:i/>
          <w:iCs/>
          <w:color w:val="000000" w:themeColor="text1"/>
          <w:lang w:val="es-ES" w:eastAsia="es-ES_tradnl"/>
        </w:rPr>
        <w:t>Inmuebles o fincas o bienes raíces son las cosas que no pueden transportarse de un lugar a otro; como las tierras y minas, y las que adhieren permanentemente a ellas, como los edificios, los árboles. Las casas y ver</w:t>
      </w:r>
      <w:r>
        <w:rPr>
          <w:rFonts w:ascii="Verdana" w:eastAsia="Times New Roman" w:hAnsi="Verdana" w:cs="Arial"/>
          <w:i/>
          <w:iCs/>
          <w:color w:val="000000" w:themeColor="text1"/>
          <w:lang w:val="es-ES" w:eastAsia="es-ES_tradnl"/>
        </w:rPr>
        <w:t>edas se llaman predios o fundos”</w:t>
      </w:r>
      <w:r w:rsidRPr="00097627">
        <w:rPr>
          <w:rFonts w:ascii="Verdana" w:eastAsia="Times New Roman" w:hAnsi="Verdana" w:cs="Arial"/>
          <w:i/>
          <w:iCs/>
          <w:color w:val="000000" w:themeColor="text1"/>
          <w:lang w:val="es-ES" w:eastAsia="es-ES_tradnl"/>
        </w:rPr>
        <w:t>.</w:t>
      </w:r>
      <w:r w:rsidRPr="00097627">
        <w:rPr>
          <w:rFonts w:ascii="Verdana" w:eastAsia="Times New Roman" w:hAnsi="Verdana" w:cs="Arial"/>
          <w:color w:val="000000" w:themeColor="text1"/>
          <w:lang w:val="es-ES" w:eastAsia="es-ES_tradnl"/>
        </w:rPr>
        <w:t xml:space="preserve"> No obstante, esta definición se refiere a los inmuebles por naturaleza, pues el Código también considera inmuebles a las cosas que en principio eran muebles, pero que por su destinación o adhesión mutan su categoría. </w:t>
      </w:r>
    </w:p>
    <w:p w14:paraId="1689D12F" w14:textId="77777777" w:rsidR="00674FF0" w:rsidRPr="00097627" w:rsidRDefault="00674FF0" w:rsidP="00674FF0">
      <w:pPr>
        <w:spacing w:after="120" w:line="276" w:lineRule="auto"/>
        <w:ind w:firstLine="708"/>
        <w:jc w:val="both"/>
        <w:rPr>
          <w:rFonts w:ascii="Verdana" w:eastAsia="Times New Roman" w:hAnsi="Verdana" w:cs="Arial"/>
          <w:i/>
          <w:iCs/>
          <w:lang w:val="es-MX" w:eastAsia="es-ES_tradnl"/>
        </w:rPr>
      </w:pPr>
      <w:r w:rsidRPr="00097627">
        <w:rPr>
          <w:rFonts w:ascii="Verdana" w:eastAsia="Times New Roman" w:hAnsi="Verdana" w:cs="Arial"/>
          <w:lang w:val="es-ES" w:eastAsia="es-ES_tradnl"/>
        </w:rPr>
        <w:lastRenderedPageBreak/>
        <w:t>Por otro lado, e</w:t>
      </w:r>
      <w:r w:rsidRPr="00097627">
        <w:rPr>
          <w:rFonts w:ascii="Verdana" w:eastAsia="Times New Roman" w:hAnsi="Verdana" w:cs="Arial"/>
          <w:lang w:val="es-MX" w:eastAsia="es-ES_tradnl"/>
        </w:rPr>
        <w:t xml:space="preserve">l artículo 674 del Código Civil define los bienes de dominio público como aquellos que </w:t>
      </w:r>
      <w:r>
        <w:rPr>
          <w:rFonts w:ascii="Verdana" w:eastAsia="Times New Roman" w:hAnsi="Verdana" w:cs="Arial"/>
          <w:lang w:val="es-MX" w:eastAsia="es-ES_tradnl"/>
        </w:rPr>
        <w:t>“</w:t>
      </w:r>
      <w:r>
        <w:rPr>
          <w:rFonts w:ascii="Verdana" w:eastAsia="Times New Roman" w:hAnsi="Verdana" w:cs="Arial"/>
          <w:i/>
          <w:iCs/>
          <w:lang w:val="es-MX" w:eastAsia="es-ES_tradnl"/>
        </w:rPr>
        <w:t>[…]</w:t>
      </w:r>
      <w:r w:rsidRPr="00097627">
        <w:rPr>
          <w:rFonts w:ascii="Verdana" w:eastAsia="Times New Roman" w:hAnsi="Verdana" w:cs="Arial"/>
          <w:i/>
          <w:iCs/>
          <w:lang w:val="es-MX" w:eastAsia="es-ES_tradnl"/>
        </w:rPr>
        <w:t xml:space="preserve"> pertenece a todos los habitantes de un Territorio, como el de calles, plazas, puentes y caminos, se llaman bienes de la Unión o de uso público o</w:t>
      </w:r>
      <w:r>
        <w:rPr>
          <w:rFonts w:ascii="Verdana" w:eastAsia="Times New Roman" w:hAnsi="Verdana" w:cs="Arial"/>
          <w:i/>
          <w:iCs/>
          <w:lang w:val="es-MX" w:eastAsia="es-ES_tradnl"/>
        </w:rPr>
        <w:t xml:space="preserve"> bienes públicos del Territorio”</w:t>
      </w:r>
      <w:r w:rsidRPr="00097627">
        <w:rPr>
          <w:rFonts w:ascii="Verdana" w:eastAsia="Times New Roman" w:hAnsi="Verdana" w:cs="Arial"/>
          <w:i/>
          <w:iCs/>
          <w:lang w:val="es-MX" w:eastAsia="es-ES_tradnl"/>
        </w:rPr>
        <w:t>.</w:t>
      </w:r>
      <w:r>
        <w:rPr>
          <w:rFonts w:ascii="Verdana" w:eastAsia="Times New Roman" w:hAnsi="Verdana" w:cs="Arial"/>
          <w:i/>
          <w:iCs/>
          <w:lang w:val="es-MX" w:eastAsia="es-ES_tradnl"/>
        </w:rPr>
        <w:t xml:space="preserve"> </w:t>
      </w:r>
      <w:r w:rsidRPr="00097627">
        <w:rPr>
          <w:rFonts w:ascii="Verdana" w:eastAsia="Times New Roman" w:hAnsi="Verdana" w:cs="Arial"/>
          <w:lang w:val="es-MX" w:eastAsia="es-ES_tradnl"/>
        </w:rPr>
        <w:t>Los bienes de dominio público, de acuerdo con la sentencia C- 183 de 2003 de la C</w:t>
      </w:r>
      <w:r>
        <w:rPr>
          <w:rFonts w:ascii="Verdana" w:eastAsia="Times New Roman" w:hAnsi="Verdana" w:cs="Arial"/>
          <w:lang w:val="es-MX" w:eastAsia="es-ES_tradnl"/>
        </w:rPr>
        <w:t>orte Constitucional, son “</w:t>
      </w:r>
      <w:r w:rsidRPr="00097627">
        <w:rPr>
          <w:rFonts w:ascii="Verdana" w:eastAsia="Times New Roman" w:hAnsi="Verdana" w:cs="Arial"/>
          <w:i/>
          <w:iCs/>
          <w:lang w:val="es-MX" w:eastAsia="es-ES_tradnl"/>
        </w:rPr>
        <w:t>el conjunto de bienes que la administración afecta al uso directo de la comunidad o que lo ut</w:t>
      </w:r>
      <w:r>
        <w:rPr>
          <w:rFonts w:ascii="Verdana" w:eastAsia="Times New Roman" w:hAnsi="Verdana" w:cs="Arial"/>
          <w:i/>
          <w:iCs/>
          <w:lang w:val="es-MX" w:eastAsia="es-ES_tradnl"/>
        </w:rPr>
        <w:t>iliza para servir a la sociedad”</w:t>
      </w:r>
      <w:r w:rsidRPr="00097627">
        <w:rPr>
          <w:rFonts w:ascii="Verdana" w:eastAsia="Times New Roman" w:hAnsi="Verdana" w:cs="Arial"/>
          <w:lang w:val="es-MX" w:eastAsia="es-ES_tradnl"/>
        </w:rPr>
        <w:t>. Dentro de esta categoría se encuentran los bienes fiscales y los bienes de uso público.</w:t>
      </w:r>
      <w:r w:rsidRPr="00097627">
        <w:rPr>
          <w:rFonts w:ascii="Verdana" w:eastAsia="Times New Roman" w:hAnsi="Verdana" w:cs="Arial"/>
          <w:vertAlign w:val="superscript"/>
          <w:lang w:val="es-MX" w:eastAsia="es-ES_tradnl"/>
        </w:rPr>
        <w:footnoteReference w:id="7"/>
      </w:r>
      <w:r w:rsidRPr="00097627">
        <w:rPr>
          <w:rFonts w:ascii="Verdana" w:eastAsia="Times New Roman" w:hAnsi="Verdana" w:cs="Arial"/>
          <w:lang w:val="es-MX" w:eastAsia="es-ES_tradnl"/>
        </w:rPr>
        <w:t xml:space="preserve"> Los bienes fiscales, de acuerdo con el Alto Tribunal Constitucional</w:t>
      </w:r>
      <w:r w:rsidRPr="00097627">
        <w:rPr>
          <w:rFonts w:ascii="Verdana" w:eastAsia="Times New Roman" w:hAnsi="Verdana" w:cs="Arial"/>
          <w:vertAlign w:val="superscript"/>
          <w:lang w:val="es-MX" w:eastAsia="es-ES_tradnl"/>
        </w:rPr>
        <w:footnoteReference w:id="8"/>
      </w:r>
      <w:r w:rsidRPr="00097627">
        <w:rPr>
          <w:rFonts w:ascii="Verdana" w:eastAsia="Times New Roman" w:hAnsi="Verdana" w:cs="Arial"/>
          <w:lang w:val="es-MX" w:eastAsia="es-ES_tradnl"/>
        </w:rPr>
        <w:t xml:space="preserve">, están destinados a la prestación de servicios públicos que la Administración utiliza de forma inmediata, como los edificios donde funcionan las oficinas públicas. </w:t>
      </w:r>
    </w:p>
    <w:p w14:paraId="402AABB3" w14:textId="77777777" w:rsidR="00674FF0" w:rsidRPr="00097627" w:rsidRDefault="00674FF0" w:rsidP="00674FF0">
      <w:pPr>
        <w:spacing w:after="120" w:line="276" w:lineRule="auto"/>
        <w:ind w:firstLine="720"/>
        <w:jc w:val="both"/>
        <w:rPr>
          <w:rFonts w:ascii="Verdana" w:eastAsia="Times New Roman" w:hAnsi="Verdana" w:cs="Arial"/>
          <w:lang w:val="es-MX" w:eastAsia="es-ES_tradnl"/>
        </w:rPr>
      </w:pPr>
      <w:r w:rsidRPr="00097627">
        <w:rPr>
          <w:rFonts w:ascii="Verdana" w:eastAsia="Times New Roman" w:hAnsi="Verdana" w:cs="Arial"/>
          <w:lang w:val="es-MX" w:eastAsia="es-ES_tradnl"/>
        </w:rPr>
        <w:t xml:space="preserve">A su vez, el Consejo de Estado, define los bienes fiscales como </w:t>
      </w:r>
      <w:r>
        <w:rPr>
          <w:rFonts w:ascii="Verdana" w:eastAsia="Times New Roman" w:hAnsi="Verdana" w:cs="Arial"/>
          <w:i/>
          <w:iCs/>
          <w:lang w:val="es-MX" w:eastAsia="es-ES_tradnl"/>
        </w:rPr>
        <w:t>“</w:t>
      </w:r>
      <w:r w:rsidRPr="00097627">
        <w:rPr>
          <w:rFonts w:ascii="Verdana" w:eastAsia="Times New Roman" w:hAnsi="Verdana" w:cs="Arial"/>
          <w:i/>
          <w:iCs/>
          <w:lang w:val="es-MX" w:eastAsia="es-ES_tradnl"/>
        </w:rPr>
        <w:t xml:space="preserve">aquellos que pertenecen  </w:t>
      </w:r>
      <w:r w:rsidRPr="00097627">
        <w:rPr>
          <w:rFonts w:ascii="Verdana" w:eastAsia="Times New Roman" w:hAnsi="Verdana" w:cs="Arial"/>
          <w:i/>
          <w:iCs/>
          <w:color w:val="000000" w:themeColor="text1"/>
          <w:lang w:val="es-MX" w:eastAsia="es-ES_tradnl"/>
        </w:rPr>
        <w:t>a sujetos de derecho público de cualquier naturaleza u orden y que, por lo general, están destinados al cumplimiento de las funciones públicas o servicios públicos, tales como los terrenos, edificios, fincas, granjas, equipos, enseres, acciones, rentas y bienes del presupuesto, etc., es decir, afectos al desarrollo de su misión y utilizados para sus actividades, o pueden constituir una reserva patrimonial para fines de utilidad común. Su dominio corresponde a la República, pero su uso no pertenece generalmente a los habitantes, de manera que el Estado los posee y los administra en forma similar a como lo hacen los particulares con los bienes de su</w:t>
      </w:r>
      <w:r w:rsidRPr="00097627">
        <w:rPr>
          <w:rFonts w:ascii="Verdana" w:eastAsia="Times New Roman" w:hAnsi="Verdana" w:cs="Arial"/>
          <w:i/>
          <w:iCs/>
          <w:color w:val="000000" w:themeColor="text1"/>
          <w:spacing w:val="-27"/>
          <w:lang w:val="es-MX" w:eastAsia="es-ES_tradnl"/>
        </w:rPr>
        <w:t xml:space="preserve"> </w:t>
      </w:r>
      <w:r>
        <w:rPr>
          <w:rFonts w:ascii="Verdana" w:eastAsia="Times New Roman" w:hAnsi="Verdana" w:cs="Arial"/>
          <w:i/>
          <w:iCs/>
          <w:color w:val="000000" w:themeColor="text1"/>
          <w:lang w:val="es-MX" w:eastAsia="es-ES_tradnl"/>
        </w:rPr>
        <w:t>propiedad”</w:t>
      </w:r>
      <w:r w:rsidRPr="00097627">
        <w:rPr>
          <w:rFonts w:ascii="Verdana" w:eastAsia="Times New Roman" w:hAnsi="Verdana" w:cs="Arial"/>
          <w:i/>
          <w:iCs/>
          <w:vertAlign w:val="superscript"/>
          <w:lang w:val="es-MX" w:eastAsia="es-ES_tradnl"/>
        </w:rPr>
        <w:footnoteReference w:id="9"/>
      </w:r>
      <w:r w:rsidRPr="00097627">
        <w:rPr>
          <w:rFonts w:ascii="Verdana" w:eastAsia="Times New Roman" w:hAnsi="Verdana" w:cs="Arial"/>
          <w:vertAlign w:val="superscript"/>
          <w:lang w:val="es-MX" w:eastAsia="es-ES_tradnl"/>
        </w:rPr>
        <w:t>.</w:t>
      </w:r>
      <w:r w:rsidRPr="00097627">
        <w:rPr>
          <w:rFonts w:ascii="Verdana" w:eastAsia="Times New Roman" w:hAnsi="Verdana" w:cs="Arial"/>
          <w:color w:val="000000" w:themeColor="text1"/>
          <w:lang w:val="es-MX" w:eastAsia="es-ES_tradnl"/>
        </w:rPr>
        <w:t xml:space="preserve"> </w:t>
      </w:r>
      <w:r w:rsidRPr="00097627">
        <w:rPr>
          <w:rFonts w:ascii="Verdana" w:eastAsia="Times New Roman" w:hAnsi="Verdana" w:cs="Arial"/>
          <w:lang w:val="es-MX" w:eastAsia="es-ES_tradnl"/>
        </w:rPr>
        <w:t>De esta forma, sobre los bienes fiscales, a pesar de estar destinados a la prestación de servicios públicos, las Entidades Estatales tienen la facultad de disponer de ellos a través de un acto jurídico como la compraventa, la donación, el arriendo, entre</w:t>
      </w:r>
      <w:r w:rsidRPr="00097627">
        <w:rPr>
          <w:rFonts w:ascii="Verdana" w:eastAsia="Times New Roman" w:hAnsi="Verdana" w:cs="Arial"/>
          <w:spacing w:val="-3"/>
          <w:lang w:val="es-MX" w:eastAsia="es-ES_tradnl"/>
        </w:rPr>
        <w:t xml:space="preserve"> </w:t>
      </w:r>
      <w:r w:rsidRPr="00097627">
        <w:rPr>
          <w:rFonts w:ascii="Verdana" w:eastAsia="Times New Roman" w:hAnsi="Verdana" w:cs="Arial"/>
          <w:lang w:val="es-MX" w:eastAsia="es-ES_tradnl"/>
        </w:rPr>
        <w:t>otros.</w:t>
      </w:r>
      <w:r w:rsidRPr="00097627">
        <w:rPr>
          <w:rFonts w:ascii="Verdana" w:eastAsia="Times New Roman" w:hAnsi="Verdana" w:cs="Arial"/>
          <w:vertAlign w:val="superscript"/>
          <w:lang w:val="es-MX" w:eastAsia="es-ES_tradnl"/>
        </w:rPr>
        <w:t xml:space="preserve"> </w:t>
      </w:r>
    </w:p>
    <w:p w14:paraId="4009D1A3" w14:textId="77777777" w:rsidR="00674FF0" w:rsidRPr="00097627" w:rsidRDefault="00674FF0" w:rsidP="00674FF0">
      <w:pPr>
        <w:spacing w:after="0" w:line="276" w:lineRule="auto"/>
        <w:ind w:firstLine="720"/>
        <w:jc w:val="both"/>
        <w:rPr>
          <w:rFonts w:ascii="Verdana" w:eastAsia="Times New Roman" w:hAnsi="Verdana" w:cs="Arial"/>
          <w:lang w:val="es-MX" w:eastAsia="es-ES_tradnl"/>
        </w:rPr>
      </w:pPr>
      <w:r w:rsidRPr="00097627">
        <w:rPr>
          <w:rFonts w:ascii="Verdana" w:eastAsia="Times New Roman" w:hAnsi="Verdana" w:cs="Arial"/>
          <w:lang w:val="es-MX" w:eastAsia="es-ES_tradnl"/>
        </w:rPr>
        <w:t xml:space="preserve">Acerca de los bienes de uso público, el Consejo de Estado los define como </w:t>
      </w:r>
      <w:r>
        <w:rPr>
          <w:rFonts w:ascii="Verdana" w:eastAsia="Times New Roman" w:hAnsi="Verdana" w:cs="Arial"/>
          <w:i/>
          <w:iCs/>
          <w:lang w:val="es-MX" w:eastAsia="es-ES_tradnl"/>
        </w:rPr>
        <w:t>“</w:t>
      </w:r>
      <w:r w:rsidRPr="00097627">
        <w:rPr>
          <w:rFonts w:ascii="Verdana" w:eastAsia="Times New Roman" w:hAnsi="Verdana" w:cs="Arial"/>
          <w:i/>
          <w:iCs/>
          <w:lang w:val="es-MX" w:eastAsia="es-ES_tradnl"/>
        </w:rPr>
        <w:t>aquellos cuya titularidad pertenece al Estado y se hallan destinados al uso, goce y disfrute de todos los habitantes del territorio, están sometidos al régimen de derecho público y sobre ellos el Estado ejerce derechos de administración y de policía, con miras a garantizar y proteger su uso y goce común,</w:t>
      </w:r>
      <w:r>
        <w:rPr>
          <w:rFonts w:ascii="Verdana" w:eastAsia="Times New Roman" w:hAnsi="Verdana" w:cs="Arial"/>
          <w:i/>
          <w:iCs/>
          <w:lang w:val="es-MX" w:eastAsia="es-ES_tradnl"/>
        </w:rPr>
        <w:t xml:space="preserve"> por motivos de interés general”</w:t>
      </w:r>
      <w:r w:rsidRPr="00097627">
        <w:rPr>
          <w:rFonts w:ascii="Verdana" w:eastAsia="Times New Roman" w:hAnsi="Verdana" w:cs="Arial"/>
          <w:i/>
          <w:iCs/>
          <w:vertAlign w:val="superscript"/>
          <w:lang w:val="es-MX" w:eastAsia="es-ES_tradnl"/>
        </w:rPr>
        <w:footnoteReference w:id="10"/>
      </w:r>
      <w:r w:rsidRPr="00097627">
        <w:rPr>
          <w:rFonts w:ascii="Verdana" w:eastAsia="Times New Roman" w:hAnsi="Verdana" w:cs="Arial"/>
          <w:i/>
          <w:iCs/>
          <w:lang w:val="es-MX" w:eastAsia="es-ES_tradnl"/>
        </w:rPr>
        <w:t>.</w:t>
      </w:r>
      <w:r w:rsidRPr="00097627">
        <w:rPr>
          <w:rFonts w:ascii="Verdana" w:eastAsia="Times New Roman" w:hAnsi="Verdana" w:cs="Arial"/>
          <w:lang w:val="es-MX" w:eastAsia="es-ES_tradnl"/>
        </w:rPr>
        <w:t xml:space="preserve"> Por lo tanto, como estos bienes están destinados al uso de los habitantes de un territorio, el Estado no puede disponer de ellos por </w:t>
      </w:r>
      <w:r w:rsidRPr="00097627">
        <w:rPr>
          <w:rFonts w:ascii="Verdana" w:eastAsia="Times New Roman" w:hAnsi="Verdana" w:cs="Arial"/>
          <w:lang w:val="es-MX" w:eastAsia="es-ES_tradnl"/>
        </w:rPr>
        <w:lastRenderedPageBreak/>
        <w:t>encontrarse fuera del comercio</w:t>
      </w:r>
      <w:r w:rsidRPr="00097627">
        <w:rPr>
          <w:rFonts w:ascii="Verdana" w:eastAsia="Times New Roman" w:hAnsi="Verdana" w:cs="Arial"/>
          <w:vertAlign w:val="superscript"/>
          <w:lang w:val="es-MX" w:eastAsia="es-ES_tradnl"/>
        </w:rPr>
        <w:footnoteReference w:id="11"/>
      </w:r>
      <w:r w:rsidRPr="00097627">
        <w:rPr>
          <w:rFonts w:ascii="Verdana" w:eastAsia="Times New Roman" w:hAnsi="Verdana" w:cs="Arial"/>
          <w:lang w:val="es-MX" w:eastAsia="es-ES_tradnl"/>
        </w:rPr>
        <w:t>.</w:t>
      </w:r>
      <w:r w:rsidRPr="00097627">
        <w:rPr>
          <w:rFonts w:ascii="Verdana" w:eastAsia="Times New Roman" w:hAnsi="Verdana" w:cs="Arial"/>
          <w:vertAlign w:val="superscript"/>
          <w:lang w:val="es-MX" w:eastAsia="es-ES_tradnl"/>
        </w:rPr>
        <w:t xml:space="preserve"> </w:t>
      </w:r>
      <w:r>
        <w:rPr>
          <w:rFonts w:ascii="Verdana" w:eastAsia="Times New Roman" w:hAnsi="Verdana" w:cs="Arial"/>
          <w:lang w:val="es-MX" w:eastAsia="es-ES_tradnl"/>
        </w:rPr>
        <w:t xml:space="preserve"> </w:t>
      </w:r>
      <w:r w:rsidRPr="00097627">
        <w:rPr>
          <w:rFonts w:ascii="Verdana" w:eastAsia="Times New Roman" w:hAnsi="Verdana" w:cs="Arial"/>
          <w:lang w:val="es-MX" w:eastAsia="es-ES_tradnl"/>
        </w:rPr>
        <w:t>En ese orden de ideas, los bienes sobre los cuales puede recaer el acto de enajenación a título gratuito (donación) son los bienes fiscales muebles o inmuebles y no los bienes de uso público.</w:t>
      </w:r>
    </w:p>
    <w:p w14:paraId="53BC2B5C" w14:textId="77777777" w:rsidR="00674FF0" w:rsidRPr="00097627" w:rsidRDefault="00674FF0" w:rsidP="00674FF0">
      <w:pPr>
        <w:widowControl w:val="0"/>
        <w:autoSpaceDE w:val="0"/>
        <w:autoSpaceDN w:val="0"/>
        <w:spacing w:after="0" w:line="276" w:lineRule="auto"/>
        <w:jc w:val="both"/>
        <w:rPr>
          <w:rFonts w:ascii="Verdana" w:eastAsia="Arial" w:hAnsi="Verdana" w:cs="Arial"/>
          <w:lang w:val="es-ES"/>
        </w:rPr>
      </w:pPr>
    </w:p>
    <w:p w14:paraId="74D85DC2" w14:textId="77777777" w:rsidR="00674FF0" w:rsidRPr="00097627" w:rsidRDefault="00674FF0" w:rsidP="00674FF0">
      <w:pPr>
        <w:widowControl w:val="0"/>
        <w:autoSpaceDE w:val="0"/>
        <w:autoSpaceDN w:val="0"/>
        <w:spacing w:after="120" w:line="276" w:lineRule="auto"/>
        <w:jc w:val="both"/>
        <w:rPr>
          <w:rFonts w:ascii="Verdana" w:eastAsia="Arial" w:hAnsi="Verdana" w:cs="Arial"/>
        </w:rPr>
      </w:pPr>
      <w:r w:rsidRPr="51C34F01">
        <w:rPr>
          <w:rFonts w:ascii="Verdana" w:eastAsia="Arial" w:hAnsi="Verdana" w:cs="Arial"/>
        </w:rPr>
        <w:t>ii. El literal e) del numeral 2 del artículo 2 de la Ley 1150 de 2007 dispone que la enajenación de bienes del Estado, con excepción de aquellos a que se refiere la Ley 226 de 1995, se realiza a través de la modalidad de selección abreviada. En virtud de ello, el Decreto 1082 de 2015, por medio del cual se expide el Decreto Único Reglamentario del Sector Administrativo de Planeación Nacional, dispuso en los artículos 2.2.1.2.2.1.1. y siguientes, las reglas que deben tener en cuenta las Entidades Estatales, cuando utilicen dicha  modalidad de selección para enajenar</w:t>
      </w:r>
      <w:r w:rsidRPr="51C34F01">
        <w:rPr>
          <w:rFonts w:ascii="Verdana" w:eastAsia="Arial" w:hAnsi="Verdana" w:cs="Arial"/>
          <w:spacing w:val="9"/>
        </w:rPr>
        <w:t xml:space="preserve"> </w:t>
      </w:r>
      <w:r w:rsidRPr="51C34F01">
        <w:rPr>
          <w:rFonts w:ascii="Verdana" w:eastAsia="Arial" w:hAnsi="Verdana" w:cs="Arial"/>
          <w:spacing w:val="13"/>
        </w:rPr>
        <w:t xml:space="preserve">sus </w:t>
      </w:r>
      <w:r w:rsidRPr="51C34F01">
        <w:rPr>
          <w:rFonts w:ascii="Verdana" w:eastAsia="Arial" w:hAnsi="Verdana" w:cs="Arial"/>
        </w:rPr>
        <w:t xml:space="preserve">bienes fiscales, para lo cual, la Entidad Estatal interesada en realizar dicha proceso de enajenación deberá determinar, en primer lugar, si los bienes sobre los cuales requiere realizar la enajenación son muebles o inmuebles, lo que va a incidir en las reglas </w:t>
      </w:r>
      <w:r w:rsidRPr="51C34F01">
        <w:rPr>
          <w:rFonts w:ascii="Verdana" w:eastAsia="Arial" w:hAnsi="Verdana" w:cs="Arial"/>
          <w:spacing w:val="13"/>
        </w:rPr>
        <w:t>qu</w:t>
      </w:r>
      <w:r w:rsidRPr="51C34F01">
        <w:rPr>
          <w:rFonts w:ascii="Verdana" w:eastAsia="Arial" w:hAnsi="Verdana" w:cs="Arial"/>
        </w:rPr>
        <w:t>e deberá aplicar de conformidad con lo dispuesto en el Decreto 1082 de 2015</w:t>
      </w:r>
      <w:r w:rsidRPr="51C34F01">
        <w:rPr>
          <w:rFonts w:ascii="Verdana" w:eastAsia="Arial" w:hAnsi="Verdana" w:cs="Arial"/>
          <w:vertAlign w:val="superscript"/>
        </w:rPr>
        <w:footnoteReference w:id="12"/>
      </w:r>
      <w:r w:rsidRPr="51C34F01">
        <w:rPr>
          <w:rFonts w:ascii="Verdana" w:eastAsia="Arial" w:hAnsi="Verdana" w:cs="Arial"/>
        </w:rPr>
        <w:t>.</w:t>
      </w:r>
      <w:r w:rsidRPr="51C34F01">
        <w:rPr>
          <w:rFonts w:ascii="Verdana" w:eastAsia="Arial" w:hAnsi="Verdana" w:cs="Arial"/>
          <w:vertAlign w:val="superscript"/>
        </w:rPr>
        <w:t>.</w:t>
      </w:r>
    </w:p>
    <w:p w14:paraId="2B91C68D" w14:textId="77777777" w:rsidR="00674FF0" w:rsidRPr="00097627" w:rsidRDefault="00674FF0" w:rsidP="00674FF0">
      <w:pPr>
        <w:widowControl w:val="0"/>
        <w:autoSpaceDE w:val="0"/>
        <w:autoSpaceDN w:val="0"/>
        <w:spacing w:after="120" w:line="276" w:lineRule="auto"/>
        <w:ind w:firstLine="708"/>
        <w:jc w:val="both"/>
        <w:rPr>
          <w:rFonts w:ascii="Verdana" w:eastAsia="Arial" w:hAnsi="Verdana" w:cs="Arial"/>
          <w:lang w:val="es-ES"/>
        </w:rPr>
      </w:pPr>
      <w:r w:rsidRPr="00097627">
        <w:rPr>
          <w:rFonts w:ascii="Verdana" w:eastAsia="Arial" w:hAnsi="Verdana" w:cs="Arial"/>
          <w:lang w:val="es-ES"/>
        </w:rPr>
        <w:t xml:space="preserve">Ahora bien, </w:t>
      </w:r>
      <w:r>
        <w:rPr>
          <w:rFonts w:ascii="Verdana" w:eastAsia="Calibri" w:hAnsi="Verdana" w:cs="Times New Roman"/>
        </w:rPr>
        <w:t>L</w:t>
      </w:r>
      <w:r w:rsidRPr="00097627">
        <w:rPr>
          <w:rFonts w:ascii="Verdana" w:eastAsia="Arial" w:hAnsi="Verdana" w:cs="Arial"/>
          <w:lang w:val="es-ES"/>
        </w:rPr>
        <w:t>os bienes</w:t>
      </w:r>
      <w:r>
        <w:rPr>
          <w:rFonts w:ascii="Verdana" w:eastAsia="Arial" w:hAnsi="Verdana" w:cs="Arial"/>
          <w:lang w:val="es-ES"/>
        </w:rPr>
        <w:t xml:space="preserve"> muebles</w:t>
      </w:r>
      <w:r w:rsidRPr="00097627">
        <w:rPr>
          <w:rFonts w:ascii="Verdana" w:eastAsia="Arial" w:hAnsi="Verdana" w:cs="Arial"/>
          <w:lang w:val="es-ES"/>
        </w:rPr>
        <w:t xml:space="preserve"> que </w:t>
      </w:r>
      <w:r>
        <w:rPr>
          <w:rFonts w:ascii="Verdana" w:eastAsia="Arial" w:hAnsi="Verdana" w:cs="Arial"/>
          <w:lang w:val="es-ES"/>
        </w:rPr>
        <w:t xml:space="preserve">se enajenen </w:t>
      </w:r>
      <w:r w:rsidRPr="00097627">
        <w:rPr>
          <w:rFonts w:ascii="Verdana" w:eastAsia="Arial" w:hAnsi="Verdana" w:cs="Arial"/>
          <w:lang w:val="es-ES"/>
        </w:rPr>
        <w:t>por la Entidad Estatal</w:t>
      </w:r>
      <w:r>
        <w:rPr>
          <w:rFonts w:ascii="Verdana" w:eastAsia="Arial" w:hAnsi="Verdana" w:cs="Arial"/>
          <w:lang w:val="es-ES"/>
        </w:rPr>
        <w:t xml:space="preserve">, que sean dados a </w:t>
      </w:r>
      <w:r w:rsidRPr="00097627">
        <w:rPr>
          <w:rFonts w:ascii="Verdana" w:eastAsia="Arial" w:hAnsi="Verdana" w:cs="Arial"/>
          <w:lang w:val="es-ES"/>
        </w:rPr>
        <w:t>título gratuito a otras Entidades Estatales en virtud de lo consagrado en el</w:t>
      </w:r>
      <w:r w:rsidRPr="00097627">
        <w:rPr>
          <w:rFonts w:ascii="Verdana" w:eastAsia="Arial" w:hAnsi="Verdana" w:cs="Arial"/>
          <w:spacing w:val="13"/>
          <w:lang w:val="es-ES"/>
        </w:rPr>
        <w:t xml:space="preserve"> </w:t>
      </w:r>
      <w:r w:rsidRPr="00097627">
        <w:rPr>
          <w:rFonts w:ascii="Verdana" w:eastAsia="Arial" w:hAnsi="Verdana" w:cs="Arial"/>
          <w:lang w:val="es-ES"/>
        </w:rPr>
        <w:t>artículo</w:t>
      </w:r>
      <w:r w:rsidRPr="00097627">
        <w:rPr>
          <w:rFonts w:ascii="Verdana" w:eastAsia="Arial" w:hAnsi="Verdana" w:cs="Arial"/>
          <w:spacing w:val="16"/>
          <w:lang w:val="es-ES"/>
        </w:rPr>
        <w:t xml:space="preserve"> </w:t>
      </w:r>
      <w:r w:rsidRPr="00097627">
        <w:rPr>
          <w:rFonts w:ascii="Verdana" w:eastAsia="Arial" w:hAnsi="Verdana" w:cs="Arial"/>
          <w:lang w:val="es-ES"/>
        </w:rPr>
        <w:t>2.2.1.2.2.4.3.</w:t>
      </w:r>
      <w:r w:rsidRPr="00097627">
        <w:rPr>
          <w:rFonts w:ascii="Verdana" w:eastAsia="Arial" w:hAnsi="Verdana" w:cs="Arial"/>
          <w:spacing w:val="12"/>
          <w:lang w:val="es-ES"/>
        </w:rPr>
        <w:t xml:space="preserve"> </w:t>
      </w:r>
      <w:r w:rsidRPr="00097627">
        <w:rPr>
          <w:rFonts w:ascii="Verdana" w:eastAsia="Arial" w:hAnsi="Verdana" w:cs="Arial"/>
          <w:lang w:val="es-ES"/>
        </w:rPr>
        <w:t>del Decreto 1082 de 2015, deberá realizar</w:t>
      </w:r>
      <w:r>
        <w:rPr>
          <w:rFonts w:ascii="Verdana" w:eastAsia="Arial" w:hAnsi="Verdana" w:cs="Arial"/>
          <w:lang w:val="es-ES"/>
        </w:rPr>
        <w:t xml:space="preserve"> </w:t>
      </w:r>
      <w:r w:rsidRPr="00097627">
        <w:rPr>
          <w:rFonts w:ascii="Verdana" w:eastAsia="Arial" w:hAnsi="Verdana" w:cs="Arial"/>
          <w:lang w:val="es-ES"/>
        </w:rPr>
        <w:t>un inventario de los bienes muebles que no utilizan y, a continuación, se la habilita para ofrecerlos a título gratuito a las demás Entidades Estatales a través de un acto administrativo que deberá publicar en su página Web.</w:t>
      </w:r>
      <w:r w:rsidRPr="009877B5">
        <w:t xml:space="preserve"> </w:t>
      </w:r>
      <w:r w:rsidRPr="009877B5">
        <w:rPr>
          <w:rFonts w:ascii="Verdana" w:eastAsia="Arial" w:hAnsi="Verdana" w:cs="Arial"/>
          <w:lang w:val="es-ES"/>
        </w:rPr>
        <w:t>El acto administrativo que oferta bienes muebles a título gratuito entre entidades estatales cumple la función de un aviso de convocatoria, porque es el mecanismo mediante el cual la entidad propietaria informa públicamente que dispone de determinado</w:t>
      </w:r>
      <w:r>
        <w:rPr>
          <w:rFonts w:ascii="Verdana" w:eastAsia="Arial" w:hAnsi="Verdana" w:cs="Arial"/>
          <w:lang w:val="es-ES"/>
        </w:rPr>
        <w:t xml:space="preserve">s bienes y que estos pueden solicitarse </w:t>
      </w:r>
      <w:r w:rsidRPr="009877B5">
        <w:rPr>
          <w:rFonts w:ascii="Verdana" w:eastAsia="Arial" w:hAnsi="Verdana" w:cs="Arial"/>
          <w:lang w:val="es-ES"/>
        </w:rPr>
        <w:t>p</w:t>
      </w:r>
      <w:r>
        <w:rPr>
          <w:rFonts w:ascii="Verdana" w:eastAsia="Arial" w:hAnsi="Verdana" w:cs="Arial"/>
          <w:lang w:val="es-ES"/>
        </w:rPr>
        <w:t xml:space="preserve">or otras entidades interesadas. Dicho acto administrativo </w:t>
      </w:r>
      <w:r w:rsidRPr="009877B5">
        <w:rPr>
          <w:rFonts w:ascii="Verdana" w:eastAsia="Arial" w:hAnsi="Verdana" w:cs="Arial"/>
          <w:lang w:val="es-ES"/>
        </w:rPr>
        <w:t>garantiza la transparencia y publicidad del proceso, pues permite que todas las entidades estatales potencialmente beneficiarias tengan conocimiento de la oferta y puedan manifestar su interés en re</w:t>
      </w:r>
      <w:r>
        <w:rPr>
          <w:rFonts w:ascii="Verdana" w:eastAsia="Arial" w:hAnsi="Verdana" w:cs="Arial"/>
          <w:lang w:val="es-ES"/>
        </w:rPr>
        <w:t xml:space="preserve">cibir los bienes. </w:t>
      </w:r>
    </w:p>
    <w:p w14:paraId="127AD86E" w14:textId="77777777" w:rsidR="00674FF0" w:rsidRPr="00097627" w:rsidRDefault="00674FF0" w:rsidP="00674FF0">
      <w:pPr>
        <w:widowControl w:val="0"/>
        <w:autoSpaceDE w:val="0"/>
        <w:autoSpaceDN w:val="0"/>
        <w:spacing w:after="120" w:line="276" w:lineRule="auto"/>
        <w:ind w:firstLine="708"/>
        <w:jc w:val="both"/>
        <w:rPr>
          <w:rFonts w:ascii="Verdana" w:eastAsia="Arial" w:hAnsi="Verdana" w:cs="Arial"/>
          <w:lang w:val="es-ES"/>
        </w:rPr>
      </w:pPr>
      <w:r w:rsidRPr="00097627">
        <w:rPr>
          <w:rFonts w:ascii="Verdana" w:eastAsia="Arial" w:hAnsi="Verdana" w:cs="Arial"/>
          <w:lang w:val="es-ES"/>
        </w:rPr>
        <w:lastRenderedPageBreak/>
        <w:t>Posterior a ello, la norma en mención indica que dentro de los treinta (30) días calendario siguientes a la fecha de publicación del acto administrativo, la Entidad Estatal interesada en adquirir estos bienes a título gratuito debe manifestar su interés, y con ella, debe señalar la necesidad funcional que pretende satisfacer con el bien conjuntamente con las razones que justifican su solicitud.</w:t>
      </w:r>
      <w:r>
        <w:rPr>
          <w:rFonts w:ascii="Verdana" w:eastAsia="Arial" w:hAnsi="Verdana" w:cs="Arial"/>
          <w:lang w:val="es-ES"/>
        </w:rPr>
        <w:t xml:space="preserve"> </w:t>
      </w:r>
      <w:r w:rsidRPr="00097627">
        <w:rPr>
          <w:rFonts w:ascii="Verdana" w:eastAsia="Arial" w:hAnsi="Verdana" w:cs="Arial"/>
          <w:lang w:val="es-ES"/>
        </w:rPr>
        <w:t>Finalmente, la norma señala que, si hay dos o más manifestaciones de interés de Entidades Estatales para el mismo bien, la Entidad Estatal que primero haya manifestado su interés debe tener preferencia, sin que existan más normas complementarias o posteriores que hayan regulado con mayor detalle el procedimiento en mención.</w:t>
      </w:r>
    </w:p>
    <w:bookmarkEnd w:id="1"/>
    <w:p w14:paraId="0DCDB933" w14:textId="77777777" w:rsidR="00674FF0" w:rsidRPr="0083378B" w:rsidRDefault="00674FF0" w:rsidP="00674FF0">
      <w:pPr>
        <w:spacing w:before="120" w:after="120" w:line="276" w:lineRule="auto"/>
        <w:ind w:firstLine="708"/>
        <w:jc w:val="both"/>
        <w:rPr>
          <w:rFonts w:ascii="Verdana" w:eastAsia="Calibri" w:hAnsi="Verdana" w:cs="Arial"/>
          <w:lang w:eastAsia="es-ES_tradnl"/>
        </w:rPr>
      </w:pPr>
      <w:r>
        <w:rPr>
          <w:rFonts w:ascii="Verdana" w:eastAsia="Calibri" w:hAnsi="Verdana" w:cs="Arial"/>
          <w:lang w:val="es-ES" w:eastAsia="es-ES_tradnl"/>
        </w:rPr>
        <w:t>E</w:t>
      </w:r>
      <w:r>
        <w:rPr>
          <w:rFonts w:ascii="Verdana" w:eastAsia="Times New Roman" w:hAnsi="Verdana" w:cs="Arial"/>
          <w:color w:val="000000"/>
          <w:bdr w:val="none" w:sz="0" w:space="0" w:color="auto" w:frame="1"/>
          <w:lang w:val="es-ES" w:eastAsia="es-ES_tradnl"/>
        </w:rPr>
        <w:t xml:space="preserve">n todo proceso de contratación, independiente de la modalidad de selección resulta aplicable </w:t>
      </w:r>
      <w:r w:rsidRPr="0083378B">
        <w:rPr>
          <w:rFonts w:ascii="Verdana" w:eastAsia="Times New Roman" w:hAnsi="Verdana" w:cs="Arial"/>
          <w:color w:val="000000"/>
          <w:bdr w:val="none" w:sz="0" w:space="0" w:color="auto" w:frame="1"/>
          <w:lang w:val="es-ES" w:eastAsia="es-ES_tradnl"/>
        </w:rPr>
        <w:t>l</w:t>
      </w:r>
      <w:r>
        <w:rPr>
          <w:rFonts w:ascii="Verdana" w:eastAsia="Times New Roman" w:hAnsi="Verdana" w:cs="Arial"/>
          <w:bCs/>
          <w:lang w:val="es-ES_tradnl" w:eastAsia="es-ES_tradnl"/>
        </w:rPr>
        <w:t>a planeación contractual como una</w:t>
      </w:r>
      <w:r w:rsidRPr="0083378B">
        <w:rPr>
          <w:rFonts w:ascii="Verdana" w:eastAsia="Times New Roman" w:hAnsi="Verdana" w:cs="Arial"/>
          <w:bCs/>
          <w:lang w:val="es-ES_tradnl" w:eastAsia="es-ES_tradnl"/>
        </w:rPr>
        <w:t xml:space="preserve"> herramienta de gerencia pública, que exige estructurar el proceso contractual dedicando tiempo y esfuerzos para elaborar estudios previos, los cuales deberán ser adecuados a su alcance y complejidad. Lo anterior, con la finalidad de determinar la necesidad que pretende satisfacer la entidad estatal, consultando el tipo de bienes y servicios que ofrece el mercado y sus características, especificaciones, precios, costos, riesgos, garantías, disponibilidad, oferentes, entre otros. Así, una debida planeación debe conducir a una escogencia diligente de la mejor oferta, para beneficiar los intereses y fines públicos inmersos en la contratación de las entidades estatales, buscando siempre la correcta ejecución del contrato</w:t>
      </w:r>
      <w:r w:rsidRPr="0083378B">
        <w:rPr>
          <w:rFonts w:ascii="Verdana" w:eastAsia="Times New Roman" w:hAnsi="Verdana" w:cs="Arial"/>
          <w:vertAlign w:val="superscript"/>
          <w:lang w:eastAsia="es-ES_tradnl"/>
        </w:rPr>
        <w:footnoteReference w:id="13"/>
      </w:r>
      <w:r w:rsidRPr="0083378B">
        <w:rPr>
          <w:rFonts w:ascii="Verdana" w:eastAsia="Times New Roman" w:hAnsi="Verdana" w:cs="Arial"/>
          <w:bCs/>
          <w:lang w:val="es-ES_tradnl" w:eastAsia="es-ES_tradnl"/>
        </w:rPr>
        <w:t>.</w:t>
      </w:r>
      <w:r w:rsidRPr="0083378B">
        <w:rPr>
          <w:rFonts w:ascii="Verdana" w:eastAsia="Calibri" w:hAnsi="Verdana" w:cs="Arial"/>
          <w:lang w:eastAsia="es-CO"/>
        </w:rPr>
        <w:t xml:space="preserve"> </w:t>
      </w:r>
    </w:p>
    <w:p w14:paraId="284686B6" w14:textId="77777777" w:rsidR="00674FF0" w:rsidRPr="0083378B" w:rsidRDefault="00674FF0" w:rsidP="00674FF0">
      <w:pPr>
        <w:spacing w:after="120" w:line="276" w:lineRule="auto"/>
        <w:ind w:firstLine="708"/>
        <w:jc w:val="both"/>
        <w:rPr>
          <w:rFonts w:ascii="Verdana" w:eastAsia="Times New Roman" w:hAnsi="Verdana" w:cs="Arial"/>
          <w:bCs/>
          <w:lang w:val="es-ES" w:eastAsia="es-ES_tradnl"/>
        </w:rPr>
      </w:pPr>
      <w:r w:rsidRPr="0083378B">
        <w:rPr>
          <w:rFonts w:ascii="Verdana" w:eastAsia="Times New Roman" w:hAnsi="Verdana" w:cs="Arial"/>
          <w:bCs/>
          <w:lang w:eastAsia="es-ES_tradnl"/>
        </w:rPr>
        <w:lastRenderedPageBreak/>
        <w:t xml:space="preserve">En armonía con lo anterior, el Estatuto General de Contratación de la Administración Pública contiene disposiciones que demandan de las entidades estatales el deber de planeación en la etapa precontractual. Esto con la finalidad de que los procesos de contratación satisfagan las necesidades de la Administración, cumplan sus fines, logren la continua y eficiente prestación de los servicios públicos y permitan la efectividad de los derechos e intereses de los administrados que </w:t>
      </w:r>
      <w:r w:rsidRPr="0083378B">
        <w:rPr>
          <w:rFonts w:ascii="Verdana" w:eastAsia="Times New Roman" w:hAnsi="Verdana" w:cs="Arial"/>
          <w:bCs/>
          <w:lang w:val="es-ES_tradnl" w:eastAsia="es-ES_tradnl"/>
        </w:rPr>
        <w:t>colaboran</w:t>
      </w:r>
      <w:r w:rsidRPr="0083378B">
        <w:rPr>
          <w:rFonts w:ascii="Verdana" w:eastAsia="Times New Roman" w:hAnsi="Verdana" w:cs="Arial"/>
          <w:bCs/>
          <w:lang w:eastAsia="es-ES_tradnl"/>
        </w:rPr>
        <w:t xml:space="preserve"> en su consecución. En relación con el principio de economía, se tienen las siguientes reglas derivadas de su aplicación, lo cual está previsto en el artículo 25 de la Ley 80 de 1993: </w:t>
      </w:r>
    </w:p>
    <w:p w14:paraId="34AABBE6" w14:textId="77777777" w:rsidR="00674FF0" w:rsidRPr="0083378B" w:rsidRDefault="00674FF0" w:rsidP="00674FF0">
      <w:pPr>
        <w:spacing w:after="0" w:line="276" w:lineRule="auto"/>
        <w:ind w:firstLine="708"/>
        <w:jc w:val="both"/>
        <w:rPr>
          <w:rFonts w:ascii="Verdana" w:eastAsia="Calibri" w:hAnsi="Verdana" w:cs="Arial"/>
          <w:bCs/>
          <w:lang w:val="es-ES"/>
        </w:rPr>
      </w:pPr>
    </w:p>
    <w:p w14:paraId="14F740D9" w14:textId="77777777" w:rsidR="00674FF0" w:rsidRPr="0083378B" w:rsidRDefault="00674FF0" w:rsidP="00674FF0">
      <w:pPr>
        <w:spacing w:after="0" w:line="240" w:lineRule="auto"/>
        <w:ind w:left="709" w:right="709"/>
        <w:jc w:val="both"/>
        <w:rPr>
          <w:rFonts w:ascii="Verdana" w:eastAsia="Calibri" w:hAnsi="Verdana" w:cs="Arial"/>
          <w:sz w:val="21"/>
          <w:szCs w:val="21"/>
          <w:lang w:val="es-MX"/>
        </w:rPr>
      </w:pPr>
      <w:r w:rsidRPr="0083378B">
        <w:rPr>
          <w:rFonts w:ascii="Verdana" w:eastAsia="Calibri" w:hAnsi="Verdana" w:cs="Arial"/>
          <w:sz w:val="21"/>
          <w:szCs w:val="21"/>
          <w:lang w:val="es-MX"/>
        </w:rPr>
        <w:t>7o. La conveniencia o inconveniencia del objeto a contratar y las autorizaciones y aprobaciones para ello, se analizarán o impartirán con antelación al inicio del proceso de selección del contratista o al de la firma del contrato, según el caso.</w:t>
      </w:r>
    </w:p>
    <w:p w14:paraId="6C7F7396" w14:textId="77777777" w:rsidR="00674FF0" w:rsidRPr="0083378B" w:rsidRDefault="00674FF0" w:rsidP="00674FF0">
      <w:pPr>
        <w:spacing w:after="0" w:line="240" w:lineRule="auto"/>
        <w:ind w:left="709" w:right="709"/>
        <w:jc w:val="both"/>
        <w:rPr>
          <w:rFonts w:ascii="Verdana" w:eastAsia="Calibri" w:hAnsi="Verdana" w:cs="Arial"/>
          <w:sz w:val="21"/>
          <w:szCs w:val="21"/>
          <w:lang w:val="es-MX"/>
        </w:rPr>
      </w:pPr>
      <w:r w:rsidRPr="0083378B">
        <w:rPr>
          <w:rFonts w:ascii="Verdana" w:eastAsia="Calibri" w:hAnsi="Verdana" w:cs="Arial"/>
          <w:sz w:val="21"/>
          <w:szCs w:val="21"/>
          <w:lang w:val="es-MX"/>
        </w:rPr>
        <w:t>[…]</w:t>
      </w:r>
    </w:p>
    <w:p w14:paraId="70822884" w14:textId="77777777" w:rsidR="00674FF0" w:rsidRPr="0083378B" w:rsidRDefault="00674FF0" w:rsidP="00674FF0">
      <w:pPr>
        <w:spacing w:after="0" w:line="240" w:lineRule="auto"/>
        <w:ind w:left="709" w:right="709"/>
        <w:jc w:val="both"/>
        <w:rPr>
          <w:rFonts w:ascii="Verdana" w:eastAsia="Calibri" w:hAnsi="Verdana" w:cs="Arial"/>
          <w:sz w:val="21"/>
          <w:szCs w:val="21"/>
          <w:lang w:val="es-MX"/>
        </w:rPr>
      </w:pPr>
    </w:p>
    <w:p w14:paraId="4C5946DD" w14:textId="77777777" w:rsidR="00674FF0" w:rsidRPr="0083378B" w:rsidRDefault="00674FF0" w:rsidP="00674FF0">
      <w:pPr>
        <w:spacing w:after="0" w:line="240" w:lineRule="auto"/>
        <w:ind w:left="709" w:right="709"/>
        <w:jc w:val="both"/>
        <w:rPr>
          <w:rFonts w:ascii="Verdana" w:eastAsia="Calibri" w:hAnsi="Verdana" w:cs="Arial"/>
          <w:sz w:val="21"/>
          <w:szCs w:val="21"/>
          <w:lang w:val="es-MX"/>
        </w:rPr>
      </w:pPr>
      <w:r w:rsidRPr="0083378B">
        <w:rPr>
          <w:rFonts w:ascii="Verdana" w:eastAsia="Calibri" w:hAnsi="Verdana" w:cs="Arial"/>
          <w:sz w:val="21"/>
          <w:szCs w:val="21"/>
          <w:lang w:val="es-MX"/>
        </w:rPr>
        <w:t xml:space="preserve">12. Previo a la apertura de un proceso de selección, o a la firma del contrato en el caso en que la </w:t>
      </w:r>
      <w:r w:rsidRPr="0083378B">
        <w:rPr>
          <w:rFonts w:ascii="Verdana" w:eastAsia="Calibri" w:hAnsi="Verdana" w:cs="Arial"/>
          <w:i/>
          <w:iCs/>
          <w:sz w:val="21"/>
          <w:szCs w:val="21"/>
          <w:lang w:val="es-MX"/>
        </w:rPr>
        <w:t>modalidad de selección sea contratación directa</w:t>
      </w:r>
      <w:r w:rsidRPr="0083378B">
        <w:rPr>
          <w:rFonts w:ascii="Verdana" w:eastAsia="Calibri" w:hAnsi="Verdana" w:cs="Arial"/>
          <w:sz w:val="21"/>
          <w:szCs w:val="21"/>
          <w:lang w:val="es-MX"/>
        </w:rPr>
        <w:t>, deberán elaborarse los estudios, diseños y proyectos requeridos, y los pliegos de condiciones, según corresponda.</w:t>
      </w:r>
    </w:p>
    <w:p w14:paraId="18007051" w14:textId="77777777" w:rsidR="00674FF0" w:rsidRPr="0083378B" w:rsidRDefault="00674FF0" w:rsidP="00674FF0">
      <w:pPr>
        <w:spacing w:after="0" w:line="240" w:lineRule="auto"/>
        <w:ind w:left="709" w:right="709"/>
        <w:jc w:val="both"/>
        <w:rPr>
          <w:rFonts w:ascii="Verdana" w:eastAsia="Times New Roman" w:hAnsi="Verdana" w:cs="Arial"/>
          <w:sz w:val="21"/>
          <w:szCs w:val="21"/>
          <w:lang w:eastAsia="es-ES_tradnl"/>
        </w:rPr>
      </w:pPr>
    </w:p>
    <w:p w14:paraId="63E199B5" w14:textId="77777777" w:rsidR="00674FF0" w:rsidRPr="0083378B" w:rsidRDefault="00674FF0" w:rsidP="00674FF0">
      <w:pPr>
        <w:spacing w:after="0" w:line="240" w:lineRule="auto"/>
        <w:ind w:left="709" w:right="709"/>
        <w:jc w:val="both"/>
        <w:rPr>
          <w:rFonts w:ascii="Verdana" w:eastAsia="Times New Roman" w:hAnsi="Verdana" w:cs="Arial"/>
          <w:sz w:val="21"/>
          <w:szCs w:val="21"/>
          <w:lang w:eastAsia="es-ES_tradnl"/>
        </w:rPr>
      </w:pPr>
      <w:r w:rsidRPr="0083378B">
        <w:rPr>
          <w:rFonts w:ascii="Verdana" w:eastAsia="Times New Roman" w:hAnsi="Verdana" w:cs="Arial"/>
          <w:sz w:val="21"/>
          <w:szCs w:val="21"/>
          <w:lang w:eastAsia="es-ES_tradnl"/>
        </w:rPr>
        <w:t>[…]. (Cursivas propias)</w:t>
      </w:r>
    </w:p>
    <w:p w14:paraId="60D29D21" w14:textId="77777777" w:rsidR="00674FF0" w:rsidRPr="0083378B" w:rsidRDefault="00674FF0" w:rsidP="00674FF0">
      <w:pPr>
        <w:spacing w:after="0" w:line="240" w:lineRule="auto"/>
        <w:ind w:left="709" w:right="709"/>
        <w:jc w:val="both"/>
        <w:rPr>
          <w:rFonts w:ascii="Verdana" w:eastAsia="Times New Roman" w:hAnsi="Verdana" w:cs="Arial"/>
          <w:lang w:eastAsia="es-ES_tradnl"/>
        </w:rPr>
      </w:pPr>
    </w:p>
    <w:p w14:paraId="0AE2D5CE" w14:textId="77777777" w:rsidR="00674FF0" w:rsidRPr="0083378B" w:rsidRDefault="00674FF0" w:rsidP="00674FF0">
      <w:pPr>
        <w:spacing w:after="120" w:line="276" w:lineRule="auto"/>
        <w:ind w:firstLine="709"/>
        <w:jc w:val="both"/>
        <w:rPr>
          <w:rFonts w:ascii="Verdana" w:eastAsia="Calibri" w:hAnsi="Verdana" w:cs="Arial"/>
          <w:lang w:val="es-MX"/>
        </w:rPr>
      </w:pPr>
      <w:r w:rsidRPr="0083378B">
        <w:rPr>
          <w:rFonts w:ascii="Verdana" w:eastAsia="Calibri" w:hAnsi="Verdana" w:cs="Arial"/>
          <w:lang w:val="es-MX"/>
        </w:rPr>
        <w:t xml:space="preserve">De las normas precitadas se resalta que, en virtud del principio de economía, para iniciar un proceso de contratación, </w:t>
      </w:r>
      <w:r w:rsidRPr="0083378B">
        <w:rPr>
          <w:rFonts w:ascii="Verdana" w:eastAsia="Calibri" w:hAnsi="Verdana" w:cs="Arial"/>
          <w:i/>
          <w:iCs/>
          <w:lang w:val="es-MX"/>
        </w:rPr>
        <w:t>inclusive de contratación directa</w:t>
      </w:r>
      <w:r w:rsidRPr="0083378B">
        <w:rPr>
          <w:rFonts w:ascii="Verdana" w:eastAsia="Calibri" w:hAnsi="Verdana" w:cs="Arial"/>
          <w:lang w:val="es-MX"/>
        </w:rPr>
        <w:t xml:space="preserve">, se requieren unos estudios previos.  Con ellos, se estructuran, concretan y viabilizan los aspectos esenciales del futuro contrato, dentro de los cuales se encuentran su objeto y valor estimado, entre otros elementos. </w:t>
      </w:r>
    </w:p>
    <w:p w14:paraId="3B30F902" w14:textId="77777777" w:rsidR="00674FF0" w:rsidRPr="0083378B" w:rsidRDefault="00674FF0" w:rsidP="00674FF0">
      <w:pPr>
        <w:spacing w:after="0" w:line="276" w:lineRule="auto"/>
        <w:ind w:firstLine="708"/>
        <w:jc w:val="both"/>
        <w:rPr>
          <w:rFonts w:ascii="Verdana" w:eastAsia="Calibri" w:hAnsi="Verdana" w:cs="Arial"/>
          <w:lang w:val="es-MX"/>
        </w:rPr>
      </w:pPr>
      <w:r w:rsidRPr="0083378B">
        <w:rPr>
          <w:rFonts w:ascii="Verdana" w:eastAsia="Calibri" w:hAnsi="Verdana" w:cs="Arial"/>
          <w:lang w:val="es-MX"/>
        </w:rPr>
        <w:t xml:space="preserve">Los componentes de los estudios previos que sirven de soporte para elaborar el proyecto de pliego, los pliegos de condiciones y el contrato, están previstos en el artículo 2.2.1.1.2.1.1 del Decreto 1082 de 2015. La norma exige que se determine la necesidad, el objeto a contratar con sus especificaciones y se estime el costo que implica la celebración del contrato de la siguiente manera: </w:t>
      </w:r>
    </w:p>
    <w:p w14:paraId="60CD8BE7" w14:textId="77777777" w:rsidR="00674FF0" w:rsidRPr="0083378B" w:rsidRDefault="00674FF0" w:rsidP="00674FF0">
      <w:pPr>
        <w:spacing w:after="0" w:line="240" w:lineRule="auto"/>
        <w:jc w:val="both"/>
        <w:rPr>
          <w:rFonts w:ascii="Verdana" w:eastAsia="Calibri" w:hAnsi="Verdana" w:cs="Arial"/>
          <w:lang w:val="es-MX"/>
        </w:rPr>
      </w:pPr>
    </w:p>
    <w:p w14:paraId="487D1660" w14:textId="77777777" w:rsidR="00674FF0" w:rsidRPr="0083378B" w:rsidRDefault="00674FF0" w:rsidP="00674FF0">
      <w:pPr>
        <w:spacing w:after="0" w:line="240" w:lineRule="auto"/>
        <w:ind w:left="709" w:right="709"/>
        <w:jc w:val="both"/>
        <w:rPr>
          <w:rFonts w:ascii="Verdana" w:eastAsia="Calibri" w:hAnsi="Verdana" w:cs="Arial"/>
          <w:sz w:val="21"/>
          <w:szCs w:val="21"/>
          <w:lang w:val="es-MX"/>
        </w:rPr>
      </w:pPr>
      <w:r w:rsidRPr="0083378B">
        <w:rPr>
          <w:rFonts w:ascii="Verdana" w:eastAsia="Calibri" w:hAnsi="Verdana" w:cs="Arial"/>
          <w:sz w:val="21"/>
          <w:szCs w:val="21"/>
          <w:lang w:val="es-MX"/>
        </w:rPr>
        <w:lastRenderedPageBreak/>
        <w:t xml:space="preserve">1.    La descripción de la necesidad que la Entidad Estatal pretende satisfacer con el Proceso de Contratación. </w:t>
      </w:r>
    </w:p>
    <w:p w14:paraId="01D04B94" w14:textId="77777777" w:rsidR="00674FF0" w:rsidRPr="0083378B" w:rsidRDefault="00674FF0" w:rsidP="00674FF0">
      <w:pPr>
        <w:spacing w:after="0" w:line="240" w:lineRule="auto"/>
        <w:ind w:left="709" w:right="709"/>
        <w:jc w:val="both"/>
        <w:rPr>
          <w:rFonts w:ascii="Verdana" w:eastAsia="Calibri" w:hAnsi="Verdana" w:cs="Arial"/>
          <w:sz w:val="21"/>
          <w:szCs w:val="21"/>
          <w:lang w:val="es-MX"/>
        </w:rPr>
      </w:pPr>
    </w:p>
    <w:p w14:paraId="2EF0130E" w14:textId="77777777" w:rsidR="00674FF0" w:rsidRPr="0083378B" w:rsidRDefault="00674FF0" w:rsidP="00674FF0">
      <w:pPr>
        <w:spacing w:after="0" w:line="240" w:lineRule="auto"/>
        <w:ind w:left="709" w:right="709"/>
        <w:jc w:val="both"/>
        <w:rPr>
          <w:rFonts w:ascii="Verdana" w:eastAsia="Calibri" w:hAnsi="Verdana" w:cs="Arial"/>
          <w:sz w:val="21"/>
          <w:szCs w:val="21"/>
          <w:lang w:val="es-MX"/>
        </w:rPr>
      </w:pPr>
      <w:r w:rsidRPr="0083378B">
        <w:rPr>
          <w:rFonts w:ascii="Verdana" w:eastAsia="Calibri" w:hAnsi="Verdana" w:cs="Arial"/>
          <w:sz w:val="21"/>
          <w:szCs w:val="21"/>
          <w:lang w:val="es-MX"/>
        </w:rPr>
        <w:t>2. El objeto a contratar, con sus especificaciones, las autorizaciones, permisos y licencias requeridos para su ejecución, y cuando el contrato incluye diseño y construcción, los documentos técnicos para el desarrollo del proyecto.</w:t>
      </w:r>
    </w:p>
    <w:p w14:paraId="4B17D2F5" w14:textId="77777777" w:rsidR="00674FF0" w:rsidRPr="0083378B" w:rsidRDefault="00674FF0" w:rsidP="00674FF0">
      <w:pPr>
        <w:spacing w:after="0" w:line="240" w:lineRule="auto"/>
        <w:jc w:val="both"/>
        <w:rPr>
          <w:rFonts w:ascii="Verdana" w:eastAsia="Times New Roman" w:hAnsi="Verdana" w:cs="Arial"/>
          <w:bCs/>
          <w:sz w:val="21"/>
          <w:szCs w:val="21"/>
          <w:lang w:val="es-ES_tradnl" w:eastAsia="es-ES_tradnl"/>
        </w:rPr>
      </w:pPr>
      <w:r w:rsidRPr="0083378B">
        <w:rPr>
          <w:rFonts w:ascii="Verdana" w:eastAsia="Times New Roman" w:hAnsi="Verdana" w:cs="Arial"/>
          <w:bCs/>
          <w:sz w:val="21"/>
          <w:szCs w:val="21"/>
          <w:lang w:val="es-ES_tradnl" w:eastAsia="es-ES_tradnl"/>
        </w:rPr>
        <w:tab/>
        <w:t>[…]</w:t>
      </w:r>
    </w:p>
    <w:p w14:paraId="6C04EDCC" w14:textId="77777777" w:rsidR="00674FF0" w:rsidRPr="0083378B" w:rsidRDefault="00674FF0" w:rsidP="00674FF0">
      <w:pPr>
        <w:spacing w:after="0" w:line="276" w:lineRule="auto"/>
        <w:jc w:val="both"/>
        <w:rPr>
          <w:rFonts w:ascii="Verdana" w:eastAsia="Times New Roman" w:hAnsi="Verdana" w:cs="Arial"/>
          <w:bCs/>
          <w:lang w:val="es-ES_tradnl" w:eastAsia="es-ES_tradnl"/>
        </w:rPr>
      </w:pPr>
    </w:p>
    <w:p w14:paraId="1423A16D" w14:textId="77777777" w:rsidR="00674FF0" w:rsidRPr="00035DF5" w:rsidRDefault="00674FF0" w:rsidP="00674FF0">
      <w:pPr>
        <w:spacing w:after="0" w:line="276" w:lineRule="auto"/>
        <w:ind w:firstLine="709"/>
        <w:jc w:val="both"/>
        <w:rPr>
          <w:rFonts w:ascii="Verdana" w:eastAsia="Times New Roman" w:hAnsi="Verdana" w:cs="Arial"/>
          <w:bCs/>
          <w:lang w:val="es-ES_tradnl" w:eastAsia="es-ES_tradnl"/>
        </w:rPr>
      </w:pPr>
      <w:r>
        <w:rPr>
          <w:rFonts w:ascii="Verdana" w:eastAsia="Times New Roman" w:hAnsi="Verdana" w:cs="Arial"/>
          <w:bCs/>
          <w:lang w:val="es-ES_tradnl" w:eastAsia="es-ES_tradnl"/>
        </w:rPr>
        <w:t xml:space="preserve">Se evidencia que en todo proceso de contratación es necesario </w:t>
      </w:r>
      <w:r>
        <w:rPr>
          <w:rFonts w:ascii="Verdana" w:eastAsia="Times New Roman" w:hAnsi="Verdana" w:cs="Arial"/>
          <w:color w:val="000000"/>
          <w:bdr w:val="none" w:sz="0" w:space="0" w:color="auto" w:frame="1"/>
          <w:lang w:val="es-ES_tradnl" w:eastAsia="es-ES_tradnl"/>
        </w:rPr>
        <w:t>e</w:t>
      </w:r>
      <w:r w:rsidRPr="009721AA">
        <w:rPr>
          <w:rFonts w:ascii="Verdana" w:eastAsia="Calibri" w:hAnsi="Verdana" w:cs="Arial"/>
          <w:lang w:val="es-ES_tradnl" w:eastAsia="es-ES_tradnl"/>
        </w:rPr>
        <w:t xml:space="preserve">laborar un estudio previo para la enajenación de bienes muebles a título gratuito entre </w:t>
      </w:r>
      <w:r>
        <w:rPr>
          <w:rFonts w:ascii="Verdana" w:eastAsia="Calibri" w:hAnsi="Verdana" w:cs="Arial"/>
          <w:lang w:val="es-ES_tradnl" w:eastAsia="es-ES_tradnl"/>
        </w:rPr>
        <w:t xml:space="preserve">entidades estatales </w:t>
      </w:r>
      <w:r w:rsidRPr="009721AA">
        <w:rPr>
          <w:rFonts w:ascii="Verdana" w:eastAsia="Calibri" w:hAnsi="Verdana" w:cs="Arial"/>
          <w:lang w:val="es-ES_tradnl" w:eastAsia="es-ES_tradnl"/>
        </w:rPr>
        <w:t>porque garantiza la transparencia y la legalidad del proceso. Este documento permite justificar la necesidad de la transferencia, verificar que los bienes cumplen con las condiciones de uso y que no representan un detrimento patrimonial para la entidad que los entrega. Además, el estudio previo asegura que la decisión esté soportada en criterios técnicos y jurídicos, evitando posibles cuestionamientos sobre la pertinenci</w:t>
      </w:r>
      <w:r>
        <w:rPr>
          <w:rFonts w:ascii="Verdana" w:eastAsia="Calibri" w:hAnsi="Verdana" w:cs="Arial"/>
          <w:lang w:val="es-ES_tradnl" w:eastAsia="es-ES_tradnl"/>
        </w:rPr>
        <w:t>a o conveniencia de la gestión del procedimiento de contratación y de la celebración del contrato</w:t>
      </w:r>
      <w:r w:rsidRPr="009721AA">
        <w:rPr>
          <w:rFonts w:ascii="Verdana" w:eastAsia="Calibri" w:hAnsi="Verdana" w:cs="Arial"/>
          <w:lang w:val="es-ES_tradnl" w:eastAsia="es-ES_tradnl"/>
        </w:rPr>
        <w:t>.</w:t>
      </w:r>
    </w:p>
    <w:p w14:paraId="35F47EE2" w14:textId="77777777" w:rsidR="00674FF0" w:rsidRPr="009721AA" w:rsidRDefault="00674FF0" w:rsidP="00674FF0">
      <w:pPr>
        <w:spacing w:after="0" w:line="276" w:lineRule="auto"/>
        <w:ind w:firstLine="709"/>
        <w:jc w:val="both"/>
        <w:rPr>
          <w:rFonts w:ascii="Verdana" w:eastAsia="Times New Roman" w:hAnsi="Verdana" w:cs="Arial"/>
          <w:bCs/>
          <w:lang w:val="es-ES_tradnl" w:eastAsia="es-ES_tradnl"/>
        </w:rPr>
      </w:pPr>
    </w:p>
    <w:p w14:paraId="7FB464FC" w14:textId="77777777" w:rsidR="00674FF0" w:rsidRDefault="00674FF0" w:rsidP="00674FF0">
      <w:pPr>
        <w:spacing w:before="120" w:after="120" w:line="276" w:lineRule="auto"/>
        <w:jc w:val="both"/>
        <w:rPr>
          <w:rFonts w:ascii="Verdana" w:eastAsia="Times New Roman" w:hAnsi="Verdana" w:cs="Arial"/>
          <w:lang w:val="es-ES" w:eastAsia="es-ES"/>
          <w14:ligatures w14:val="standardContextual"/>
        </w:rPr>
      </w:pPr>
      <w:r>
        <w:rPr>
          <w:rFonts w:ascii="Verdana" w:eastAsia="Calibri" w:hAnsi="Verdana" w:cs="Arial"/>
          <w:lang w:eastAsia="es-ES_tradnl"/>
        </w:rPr>
        <w:t>iii.</w:t>
      </w:r>
      <w:r w:rsidRPr="009721AA">
        <w:rPr>
          <w:rFonts w:ascii="Verdana" w:eastAsia="Times New Roman" w:hAnsi="Verdana" w:cs="Arial"/>
          <w:lang w:val="es-ES" w:eastAsia="es-ES"/>
          <w14:ligatures w14:val="standardContextual"/>
        </w:rPr>
        <w:t xml:space="preserve"> </w:t>
      </w:r>
      <w:r w:rsidRPr="1BEC6B70">
        <w:rPr>
          <w:rFonts w:ascii="Verdana" w:eastAsia="Times New Roman" w:hAnsi="Verdana" w:cs="Arial"/>
          <w:lang w:val="es-ES" w:eastAsia="es-ES"/>
          <w14:ligatures w14:val="standardContextual"/>
        </w:rPr>
        <w:t xml:space="preserve">Uno de los postulados más importantes de un Estado social y democrático de derecho es el principio de </w:t>
      </w:r>
      <w:r w:rsidRPr="1BEC6B70">
        <w:rPr>
          <w:rFonts w:ascii="Verdana" w:eastAsia="Times New Roman" w:hAnsi="Verdana" w:cs="Arial"/>
          <w:i/>
          <w:iCs/>
          <w:lang w:val="es-ES" w:eastAsia="es-ES"/>
          <w14:ligatures w14:val="standardContextual"/>
        </w:rPr>
        <w:t>publicidad</w:t>
      </w:r>
      <w:r w:rsidRPr="1BEC6B70">
        <w:rPr>
          <w:rFonts w:ascii="Verdana" w:eastAsia="Times New Roman" w:hAnsi="Verdana" w:cs="Arial"/>
          <w:lang w:val="es-ES" w:eastAsia="es-ES"/>
          <w14:ligatures w14:val="standardContextual"/>
        </w:rPr>
        <w:t>,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w:t>
      </w:r>
      <w:r w:rsidRPr="1BEC6B70">
        <w:rPr>
          <w:rFonts w:ascii="Verdana" w:eastAsia="Times New Roman" w:hAnsi="Verdana" w:cs="Arial"/>
          <w:vertAlign w:val="superscript"/>
          <w:lang w:val="es-ES" w:eastAsia="es-ES"/>
          <w14:ligatures w14:val="standardContextual"/>
        </w:rPr>
        <w:footnoteReference w:id="14"/>
      </w:r>
      <w:r w:rsidRPr="1BEC6B70">
        <w:rPr>
          <w:rFonts w:ascii="Verdana" w:eastAsia="Times New Roman" w:hAnsi="Verdana" w:cs="Arial"/>
          <w:lang w:val="es-ES" w:eastAsia="es-ES"/>
          <w14:ligatures w14:val="standardContextual"/>
        </w:rPr>
        <w:t xml:space="preserve">.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pregonan la publicidad de las actuaciones de los poderes públicos. </w:t>
      </w:r>
    </w:p>
    <w:p w14:paraId="4693234A" w14:textId="77777777" w:rsidR="00674FF0" w:rsidRPr="002A3450" w:rsidRDefault="00674FF0" w:rsidP="00674FF0">
      <w:pPr>
        <w:spacing w:before="120" w:after="120" w:line="276" w:lineRule="auto"/>
        <w:ind w:firstLine="708"/>
        <w:jc w:val="both"/>
        <w:rPr>
          <w:rFonts w:ascii="Verdana" w:eastAsia="Times New Roman" w:hAnsi="Verdana" w:cs="Arial"/>
          <w:lang w:val="es-ES" w:eastAsia="es-ES"/>
          <w14:ligatures w14:val="standardContextual"/>
        </w:rPr>
      </w:pPr>
      <w:r w:rsidRPr="1BEC6B70">
        <w:rPr>
          <w:rFonts w:ascii="Verdana" w:eastAsia="Times New Roman" w:hAnsi="Verdana" w:cs="Arial"/>
          <w:lang w:val="es-ES" w:eastAsia="es-ES"/>
          <w14:ligatures w14:val="standardContextual"/>
        </w:rPr>
        <w:t>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w:t>
      </w:r>
      <w:r>
        <w:rPr>
          <w:rFonts w:ascii="Verdana" w:eastAsia="Times New Roman" w:hAnsi="Verdana" w:cs="Arial"/>
          <w:lang w:val="es-ES" w:eastAsia="es-ES"/>
          <w14:ligatures w14:val="standardContextual"/>
        </w:rPr>
        <w:t>,</w:t>
      </w:r>
      <w:r w:rsidRPr="1BEC6B70">
        <w:rPr>
          <w:rFonts w:ascii="Verdana" w:eastAsia="Times New Roman" w:hAnsi="Verdana" w:cs="Arial"/>
          <w:lang w:val="es-ES" w:eastAsia="es-ES"/>
          <w14:ligatures w14:val="standardContextual"/>
        </w:rPr>
        <w:t xml:space="preserve"> y el 74, que consagra la garantía de acceso a los documentos </w:t>
      </w:r>
      <w:r w:rsidRPr="1BEC6B70">
        <w:rPr>
          <w:rFonts w:ascii="Verdana" w:eastAsia="Times New Roman" w:hAnsi="Verdana" w:cs="Arial"/>
          <w:lang w:val="es-ES" w:eastAsia="es-ES"/>
          <w14:ligatures w14:val="standardContextual"/>
        </w:rPr>
        <w:lastRenderedPageBreak/>
        <w:t xml:space="preserve">públicos que no gocen de reserva –y esta, además, es excepcional, pues solo procede si existe causal constitucional o legal expresa–. </w:t>
      </w:r>
    </w:p>
    <w:p w14:paraId="15BD9E95" w14:textId="77777777" w:rsidR="00674FF0" w:rsidRDefault="00674FF0" w:rsidP="00674FF0">
      <w:pPr>
        <w:spacing w:before="120" w:after="120" w:line="276" w:lineRule="auto"/>
        <w:ind w:firstLine="709"/>
        <w:jc w:val="both"/>
        <w:rPr>
          <w:rFonts w:ascii="Verdana" w:eastAsia="Times New Roman" w:hAnsi="Verdana" w:cs="Arial"/>
          <w:lang w:val="es-ES_tradnl" w:eastAsia="es-ES_tradnl"/>
          <w14:ligatures w14:val="standardContextual"/>
        </w:rPr>
      </w:pPr>
      <w:r w:rsidRPr="005817C0">
        <w:rPr>
          <w:rFonts w:ascii="Verdana" w:eastAsia="Times New Roman" w:hAnsi="Verdana" w:cs="Arial"/>
          <w:lang w:val="es-ES_tradnl" w:eastAsia="es-ES_tradnl"/>
          <w14:ligatures w14:val="standardContextual"/>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r>
        <w:rPr>
          <w:rFonts w:ascii="Verdana" w:eastAsia="Times New Roman" w:hAnsi="Verdana" w:cs="Arial"/>
          <w:lang w:val="es-ES_tradnl" w:eastAsia="es-ES_tradnl"/>
          <w14:ligatures w14:val="standardContextual"/>
        </w:rPr>
        <w:t>”</w:t>
      </w:r>
      <w:r w:rsidRPr="005817C0">
        <w:rPr>
          <w:rFonts w:ascii="Verdana" w:eastAsia="Times New Roman" w:hAnsi="Verdana" w:cs="Arial"/>
          <w:vertAlign w:val="superscript"/>
          <w:lang w:val="es-ES_tradnl" w:eastAsia="es-ES_tradnl"/>
          <w14:ligatures w14:val="standardContextual"/>
        </w:rPr>
        <w:footnoteReference w:id="15"/>
      </w:r>
      <w:r w:rsidRPr="005817C0">
        <w:rPr>
          <w:rFonts w:ascii="Verdana" w:eastAsia="Times New Roman" w:hAnsi="Verdana" w:cs="Arial"/>
          <w:lang w:val="es-ES_tradnl" w:eastAsia="es-ES_tradnl"/>
          <w14:ligatures w14:val="standardContextual"/>
        </w:rPr>
        <w:t>.</w:t>
      </w:r>
    </w:p>
    <w:p w14:paraId="267985A9" w14:textId="77777777" w:rsidR="00674FF0" w:rsidRDefault="00674FF0" w:rsidP="00674FF0">
      <w:pPr>
        <w:spacing w:before="120" w:after="120" w:line="276" w:lineRule="auto"/>
        <w:ind w:firstLine="709"/>
        <w:jc w:val="both"/>
        <w:rPr>
          <w:rFonts w:ascii="Verdana" w:eastAsia="Times New Roman" w:hAnsi="Verdana" w:cs="Arial"/>
          <w:lang w:val="es-ES" w:eastAsia="es-ES"/>
          <w14:ligatures w14:val="standardContextual"/>
        </w:rPr>
      </w:pPr>
      <w:r w:rsidRPr="51C34F01">
        <w:rPr>
          <w:rFonts w:ascii="Verdana" w:eastAsia="Times New Roman" w:hAnsi="Verdana" w:cs="Arial"/>
          <w:lang w:val="es-ES" w:eastAsia="es-ES"/>
          <w14:ligatures w14:val="standardContextual"/>
        </w:rPr>
        <w:t>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51C34F01">
        <w:rPr>
          <w:rFonts w:ascii="Verdana" w:eastAsia="Times New Roman" w:hAnsi="Verdana" w:cs="Arial"/>
          <w:vertAlign w:val="superscript"/>
          <w:lang w:val="es-ES" w:eastAsia="es-ES"/>
          <w14:ligatures w14:val="standardContextual"/>
        </w:rPr>
        <w:footnoteReference w:id="16"/>
      </w:r>
      <w:r w:rsidRPr="51C34F01">
        <w:rPr>
          <w:rFonts w:ascii="Verdana" w:eastAsia="Times New Roman" w:hAnsi="Verdana" w:cs="Arial"/>
          <w:lang w:val="es-ES" w:eastAsia="es-ES"/>
          <w14:ligatures w14:val="standardContextual"/>
        </w:rPr>
        <w:t>. El principio de transparencia en la información alude al deber de los sujetos de proporcionar y facilitar el acceso a la misma en los términos más amplios posibles, y a través de los medios y procedimientos legales.</w:t>
      </w:r>
    </w:p>
    <w:p w14:paraId="1F095B78" w14:textId="77777777" w:rsidR="00674FF0" w:rsidRPr="002A3450" w:rsidRDefault="00674FF0" w:rsidP="00674FF0">
      <w:pPr>
        <w:spacing w:before="120" w:after="120" w:line="276" w:lineRule="auto"/>
        <w:ind w:firstLine="709"/>
        <w:jc w:val="both"/>
        <w:rPr>
          <w:rFonts w:ascii="Verdana" w:eastAsia="Times New Roman" w:hAnsi="Verdana" w:cs="Arial"/>
          <w:lang w:val="es-ES_tradnl" w:eastAsia="es-ES_tradnl"/>
          <w14:ligatures w14:val="standardContextual"/>
        </w:rPr>
      </w:pPr>
      <w:r w:rsidRPr="002A3450">
        <w:rPr>
          <w:rFonts w:ascii="Verdana" w:eastAsia="Times New Roman" w:hAnsi="Verdana" w:cs="Arial"/>
          <w:lang w:val="es-ES_tradnl" w:eastAsia="es-ES_tradnl"/>
          <w14:ligatures w14:val="standardContextual"/>
        </w:rPr>
        <w:t xml:space="preserve"> La Ley Estatutaria citada establece, en el literal e) del artículo 9, que los sujetos obligados, que son todas las entidades públicas</w:t>
      </w:r>
      <w:r w:rsidRPr="002A3450">
        <w:rPr>
          <w:rFonts w:ascii="Verdana" w:eastAsia="Times New Roman" w:hAnsi="Verdana" w:cs="Arial"/>
          <w:vertAlign w:val="superscript"/>
          <w:lang w:val="es-ES_tradnl" w:eastAsia="es-ES_tradnl"/>
          <w14:ligatures w14:val="standardContextual"/>
        </w:rPr>
        <w:footnoteReference w:id="17"/>
      </w:r>
      <w:r w:rsidRPr="002A3450">
        <w:rPr>
          <w:rFonts w:ascii="Verdana" w:eastAsia="Times New Roman" w:hAnsi="Verdana" w:cs="Arial"/>
          <w:lang w:val="es-ES_tradnl" w:eastAsia="es-ES_tradnl"/>
          <w14:ligatures w14:val="standardContextual"/>
        </w:rPr>
        <w:t xml:space="preserve">, deben publicar la </w:t>
      </w:r>
      <w:r w:rsidRPr="002A3450">
        <w:rPr>
          <w:rFonts w:ascii="Verdana" w:eastAsia="Times New Roman" w:hAnsi="Verdana" w:cs="Arial"/>
          <w:lang w:val="es-ES_tradnl" w:eastAsia="es-ES_tradnl"/>
          <w14:ligatures w14:val="standardContextual"/>
        </w:rPr>
        <w:lastRenderedPageBreak/>
        <w:t>información relativa a su contratación. Esta obligación fue desarrollada por el Decreto Único Reglamentario 1081 de 2015</w:t>
      </w:r>
      <w:r w:rsidRPr="002A3450">
        <w:rPr>
          <w:rFonts w:ascii="Verdana" w:eastAsia="Times New Roman" w:hAnsi="Verdana" w:cs="Arial"/>
          <w:vertAlign w:val="superscript"/>
          <w:lang w:val="es-ES_tradnl" w:eastAsia="es-ES_tradnl"/>
          <w14:ligatures w14:val="standardContextual"/>
        </w:rPr>
        <w:footnoteReference w:id="18"/>
      </w:r>
      <w:r w:rsidRPr="002A3450">
        <w:rPr>
          <w:rFonts w:ascii="Verdana" w:eastAsia="Times New Roman" w:hAnsi="Verdana" w:cs="Arial"/>
          <w:lang w:val="es-ES_tradnl" w:eastAsia="es-ES_tradnl"/>
          <w14:ligatures w14:val="standardContextual"/>
        </w:rPr>
        <w:t>, el cual dispuso que la publicación de la información contractual de los sujetos obligados, que contratan con cargo a recursos públicos, debe hacerse en el SECOP.</w:t>
      </w:r>
    </w:p>
    <w:p w14:paraId="4506D17A" w14:textId="77777777" w:rsidR="00674FF0" w:rsidRDefault="00674FF0" w:rsidP="00674FF0">
      <w:pPr>
        <w:spacing w:before="120" w:after="120" w:line="276" w:lineRule="auto"/>
        <w:ind w:firstLine="709"/>
        <w:jc w:val="both"/>
        <w:rPr>
          <w:rFonts w:ascii="Verdana" w:eastAsia="Times New Roman" w:hAnsi="Verdana" w:cs="Arial"/>
          <w:lang w:val="es-ES_tradnl" w:eastAsia="es-ES_tradnl"/>
          <w14:ligatures w14:val="standardContextual"/>
        </w:rPr>
      </w:pPr>
      <w:r w:rsidRPr="00E806EA">
        <w:rPr>
          <w:rFonts w:ascii="Verdana" w:eastAsia="Times New Roman" w:hAnsi="Verdana" w:cs="Arial"/>
          <w:lang w:val="es-ES_tradnl" w:eastAsia="es-ES_tradnl"/>
          <w14:ligatures w14:val="standardContextual"/>
        </w:rPr>
        <w:t xml:space="preserve">Asimismo, de acuerdo con el literal g) del artículo 11 de </w:t>
      </w:r>
      <w:r>
        <w:rPr>
          <w:rFonts w:ascii="Verdana" w:eastAsia="Times New Roman" w:hAnsi="Verdana" w:cs="Arial"/>
          <w:lang w:val="es-ES_tradnl" w:eastAsia="es-ES_tradnl"/>
          <w14:ligatures w14:val="standardContextual"/>
        </w:rPr>
        <w:t>la L</w:t>
      </w:r>
      <w:r w:rsidRPr="00E806EA">
        <w:rPr>
          <w:rFonts w:ascii="Verdana" w:eastAsia="Times New Roman" w:hAnsi="Verdana" w:cs="Arial"/>
          <w:lang w:val="es-ES_tradnl" w:eastAsia="es-ES_tradnl"/>
          <w14:ligatures w14:val="standardContextual"/>
        </w:rPr>
        <w:t>ey</w:t>
      </w:r>
      <w:r>
        <w:rPr>
          <w:rFonts w:ascii="Verdana" w:eastAsia="Times New Roman" w:hAnsi="Verdana" w:cs="Arial"/>
          <w:lang w:val="es-ES_tradnl" w:eastAsia="es-ES_tradnl"/>
          <w14:ligatures w14:val="standardContextual"/>
        </w:rPr>
        <w:t xml:space="preserve"> 1712 de 2014</w:t>
      </w:r>
      <w:r w:rsidRPr="00E806EA">
        <w:rPr>
          <w:rFonts w:ascii="Verdana" w:eastAsia="Times New Roman" w:hAnsi="Verdana" w:cs="Arial"/>
          <w:lang w:val="es-ES_tradnl" w:eastAsia="es-ES_tradnl"/>
          <w14:ligatures w14:val="standardContextual"/>
        </w:rPr>
        <w:t xml:space="preserve">, todos los destinatarios de la </w:t>
      </w:r>
      <w:r>
        <w:rPr>
          <w:rFonts w:ascii="Verdana" w:eastAsia="Times New Roman" w:hAnsi="Verdana" w:cs="Arial"/>
          <w:lang w:val="es-ES_tradnl" w:eastAsia="es-ES_tradnl"/>
          <w14:ligatures w14:val="standardContextual"/>
        </w:rPr>
        <w:t xml:space="preserve">Ley Estatutaria de Transparencia y Acceso a la Información Pública </w:t>
      </w:r>
      <w:r w:rsidRPr="00E806EA">
        <w:rPr>
          <w:rFonts w:ascii="Verdana" w:eastAsia="Times New Roman" w:hAnsi="Verdana" w:cs="Arial"/>
          <w:lang w:val="es-ES_tradnl" w:eastAsia="es-ES_tradnl"/>
          <w14:ligatures w14:val="standardContextual"/>
        </w:rPr>
        <w:t xml:space="preserve">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319F08B7" w14:textId="77777777" w:rsidR="00674FF0" w:rsidRDefault="00674FF0" w:rsidP="00674FF0">
      <w:pPr>
        <w:spacing w:before="120" w:after="120" w:line="276" w:lineRule="auto"/>
        <w:ind w:firstLine="709"/>
        <w:jc w:val="both"/>
        <w:rPr>
          <w:rFonts w:ascii="Verdana" w:eastAsia="Times New Roman" w:hAnsi="Verdana" w:cs="Arial"/>
          <w:lang w:val="es-ES_tradnl" w:eastAsia="es-ES_tradnl"/>
          <w14:ligatures w14:val="standardContextual"/>
        </w:rPr>
      </w:pPr>
      <w:r w:rsidRPr="00E806EA">
        <w:rPr>
          <w:rFonts w:ascii="Verdana" w:eastAsia="Times New Roman" w:hAnsi="Verdana" w:cs="Arial"/>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B300BE">
        <w:rPr>
          <w:rFonts w:ascii="Verdana" w:eastAsia="Times New Roman" w:hAnsi="Verdana" w:cs="Arial"/>
          <w:vertAlign w:val="superscript"/>
          <w:lang w:val="es-ES_tradnl" w:eastAsia="es-ES_tradnl"/>
          <w14:ligatures w14:val="standardContextual"/>
        </w:rPr>
        <w:footnoteReference w:id="19"/>
      </w:r>
      <w:r w:rsidRPr="00E806EA">
        <w:rPr>
          <w:rFonts w:ascii="Verdana" w:eastAsia="Times New Roman" w:hAnsi="Verdana" w:cs="Arial"/>
          <w:lang w:val="es-ES_tradnl" w:eastAsia="es-ES_tradnl"/>
          <w14:ligatures w14:val="standardContextual"/>
        </w:rPr>
        <w:t>. 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3D1E34B0" w14:textId="77777777" w:rsidR="00674FF0" w:rsidRDefault="00674FF0" w:rsidP="00674FF0">
      <w:pPr>
        <w:tabs>
          <w:tab w:val="left" w:pos="709"/>
        </w:tabs>
        <w:spacing w:before="120" w:after="120" w:line="276" w:lineRule="auto"/>
        <w:ind w:firstLine="709"/>
        <w:jc w:val="both"/>
        <w:rPr>
          <w:rFonts w:ascii="Verdana" w:hAnsi="Verdana" w:cs="Arial"/>
          <w:shd w:val="clear" w:color="auto" w:fill="FFFFFF"/>
        </w:rPr>
      </w:pPr>
      <w:r w:rsidRPr="00052904">
        <w:rPr>
          <w:rFonts w:ascii="Verdana" w:hAnsi="Verdana" w:cs="Arial"/>
          <w:shd w:val="clear" w:color="auto" w:fill="FFFFFF"/>
        </w:rPr>
        <w:t xml:space="preserve">La expresión </w:t>
      </w:r>
      <w:r w:rsidRPr="00052904">
        <w:rPr>
          <w:rFonts w:ascii="Verdana" w:hAnsi="Verdana" w:cs="Arial"/>
          <w:i/>
          <w:iCs/>
          <w:shd w:val="clear" w:color="auto" w:fill="FFFFFF"/>
        </w:rPr>
        <w:t xml:space="preserve">Documentos del Proceso </w:t>
      </w:r>
      <w:r w:rsidRPr="00052904">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052904">
        <w:rPr>
          <w:rFonts w:ascii="Verdana" w:hAnsi="Verdana" w:cs="Arial"/>
          <w:i/>
          <w:iCs/>
          <w:shd w:val="clear" w:color="auto" w:fill="FFFFFF"/>
        </w:rPr>
        <w:t>y cualquier otro documento expedido por la Entidad Estatal durante el Proceso de Contratación</w:t>
      </w:r>
      <w:r w:rsidRPr="00052904">
        <w:rPr>
          <w:rFonts w:ascii="Verdana" w:hAnsi="Verdana" w:cs="Arial"/>
          <w:shd w:val="clear" w:color="auto" w:fill="FFFFFF"/>
        </w:rPr>
        <w:t>”. [Énfasis fuera de texto]</w:t>
      </w:r>
    </w:p>
    <w:p w14:paraId="4AD82678" w14:textId="77777777" w:rsidR="00674FF0" w:rsidRDefault="00674FF0" w:rsidP="00674FF0">
      <w:pPr>
        <w:tabs>
          <w:tab w:val="left" w:pos="709"/>
        </w:tabs>
        <w:spacing w:before="120" w:after="120" w:line="276" w:lineRule="auto"/>
        <w:ind w:firstLine="709"/>
        <w:jc w:val="both"/>
        <w:rPr>
          <w:rFonts w:ascii="Verdana" w:hAnsi="Verdana" w:cs="Arial"/>
          <w:shd w:val="clear" w:color="auto" w:fill="FFFFFF"/>
        </w:rPr>
      </w:pPr>
      <w:r w:rsidRPr="00EF0BDA">
        <w:rPr>
          <w:rFonts w:ascii="Verdana" w:hAnsi="Verdana" w:cs="Arial"/>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w:t>
      </w:r>
      <w:r w:rsidRPr="00EF0BDA">
        <w:rPr>
          <w:rFonts w:ascii="Verdana" w:hAnsi="Verdana" w:cs="Arial"/>
          <w:shd w:val="clear" w:color="auto" w:fill="FFFFFF"/>
        </w:rPr>
        <w:lastRenderedPageBreak/>
        <w:t xml:space="preserve">2.2.1.1.1.3.1 </w:t>
      </w:r>
      <w:proofErr w:type="spellStart"/>
      <w:r w:rsidRPr="00EF0BDA">
        <w:rPr>
          <w:rFonts w:ascii="Verdana" w:hAnsi="Verdana" w:cs="Arial"/>
          <w:i/>
          <w:iCs/>
          <w:shd w:val="clear" w:color="auto" w:fill="FFFFFF"/>
        </w:rPr>
        <w:t>Ibidem</w:t>
      </w:r>
      <w:proofErr w:type="spellEnd"/>
      <w:r w:rsidRPr="00EF0BDA">
        <w:rPr>
          <w:rFonts w:ascii="Verdana" w:hAnsi="Verdana" w:cs="Arial"/>
          <w:shd w:val="clear" w:color="auto" w:fill="FFFFFF"/>
        </w:rPr>
        <w:t xml:space="preserve"> recoge en la noción de Documentos del Proceso “cualquier otro documento expedido por la Entidad Estatal durante el Proceso de Contratación”. </w:t>
      </w:r>
    </w:p>
    <w:p w14:paraId="61489DF6" w14:textId="77777777" w:rsidR="00674FF0" w:rsidRDefault="00674FF0" w:rsidP="00674FF0">
      <w:pPr>
        <w:tabs>
          <w:tab w:val="left" w:pos="709"/>
        </w:tabs>
        <w:spacing w:before="120" w:after="120" w:line="276" w:lineRule="auto"/>
        <w:ind w:firstLine="709"/>
        <w:jc w:val="both"/>
        <w:rPr>
          <w:rFonts w:ascii="Verdana" w:hAnsi="Verdana" w:cs="Arial"/>
          <w:shd w:val="clear" w:color="auto" w:fill="FFFFFF"/>
        </w:rPr>
      </w:pPr>
      <w:r w:rsidRPr="00EF0BDA">
        <w:rPr>
          <w:rFonts w:ascii="Verdana" w:hAnsi="Verdana" w:cs="Arial"/>
          <w:shd w:val="clear" w:color="auto" w:fill="FFFFFF"/>
        </w:rPr>
        <w:t xml:space="preserve">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w:t>
      </w:r>
      <w:r>
        <w:rPr>
          <w:rFonts w:ascii="Verdana" w:hAnsi="Verdana" w:cs="Arial"/>
          <w:shd w:val="clear" w:color="auto" w:fill="FFFFFF"/>
        </w:rPr>
        <w:t xml:space="preserve">se refiere </w:t>
      </w:r>
      <w:r w:rsidRPr="00EF0BDA">
        <w:rPr>
          <w:rFonts w:ascii="Verdana" w:hAnsi="Verdana" w:cs="Arial"/>
          <w:shd w:val="clear" w:color="auto" w:fill="FFFFFF"/>
        </w:rPr>
        <w:t>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39E0D470" w14:textId="77777777" w:rsidR="00674FF0" w:rsidRDefault="00674FF0" w:rsidP="00674FF0">
      <w:pPr>
        <w:tabs>
          <w:tab w:val="left" w:pos="709"/>
        </w:tabs>
        <w:spacing w:before="120" w:after="120" w:line="276" w:lineRule="auto"/>
        <w:ind w:firstLine="709"/>
        <w:jc w:val="both"/>
        <w:rPr>
          <w:rFonts w:ascii="Verdana" w:hAnsi="Verdana" w:cs="Arial"/>
          <w:shd w:val="clear" w:color="auto" w:fill="FFFFFF"/>
        </w:rPr>
      </w:pPr>
      <w:r>
        <w:rPr>
          <w:rFonts w:ascii="Verdana" w:hAnsi="Verdana" w:cs="Arial"/>
          <w:shd w:val="clear" w:color="auto" w:fill="FFFFFF"/>
        </w:rPr>
        <w:t xml:space="preserve">La </w:t>
      </w:r>
      <w:r w:rsidRPr="00F14C13">
        <w:rPr>
          <w:rFonts w:ascii="Verdana" w:hAnsi="Verdana" w:cs="Arial"/>
          <w:shd w:val="clear" w:color="auto" w:fill="FFFFFF"/>
        </w:rPr>
        <w:t>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w:t>
      </w:r>
      <w:r>
        <w:rPr>
          <w:rFonts w:ascii="Verdana" w:hAnsi="Verdana" w:cs="Arial"/>
          <w:shd w:val="clear" w:color="auto" w:fill="FFFFFF"/>
        </w:rPr>
        <w:t xml:space="preserve"> </w:t>
      </w:r>
      <w:r w:rsidRPr="00F14C13">
        <w:rPr>
          <w:rFonts w:ascii="Verdana" w:hAnsi="Verdana" w:cs="Arial"/>
          <w:shd w:val="clear" w:color="auto" w:fill="FFFFFF"/>
        </w:rPr>
        <w:t>de ejecu</w:t>
      </w:r>
      <w:r>
        <w:rPr>
          <w:rFonts w:ascii="Verdana" w:hAnsi="Verdana" w:cs="Arial"/>
          <w:shd w:val="clear" w:color="auto" w:fill="FFFFFF"/>
        </w:rPr>
        <w:t xml:space="preserve">ción y </w:t>
      </w:r>
      <w:proofErr w:type="spellStart"/>
      <w:r>
        <w:rPr>
          <w:rFonts w:ascii="Verdana" w:hAnsi="Verdana" w:cs="Arial"/>
          <w:shd w:val="clear" w:color="auto" w:fill="FFFFFF"/>
        </w:rPr>
        <w:t>postcontractual</w:t>
      </w:r>
      <w:proofErr w:type="spellEnd"/>
      <w:r>
        <w:rPr>
          <w:rFonts w:ascii="Verdana" w:hAnsi="Verdana" w:cs="Arial"/>
          <w:shd w:val="clear" w:color="auto" w:fill="FFFFFF"/>
        </w:rPr>
        <w:t xml:space="preserve"> deberán publicarse</w:t>
      </w:r>
      <w:r w:rsidRPr="00F14C13">
        <w:rPr>
          <w:rFonts w:ascii="Verdana" w:hAnsi="Verdana" w:cs="Arial"/>
          <w:shd w:val="clear" w:color="auto" w:fill="FFFFFF"/>
        </w:rPr>
        <w:t xml:space="preserve"> en SECOP dentro de los tres (3) días siguientes a su expedición, para cumplir el deber de publicidad regulado por el artículo 2.2.1.1.1.7.1. del Decreto 1082 de 2015.</w:t>
      </w:r>
    </w:p>
    <w:p w14:paraId="0142A003" w14:textId="77777777" w:rsidR="00674FF0" w:rsidRPr="007D65AA" w:rsidRDefault="00674FF0" w:rsidP="00674FF0">
      <w:pPr>
        <w:tabs>
          <w:tab w:val="left" w:pos="709"/>
        </w:tabs>
        <w:spacing w:before="120" w:after="120" w:line="276" w:lineRule="auto"/>
        <w:ind w:firstLine="709"/>
        <w:jc w:val="both"/>
        <w:rPr>
          <w:rFonts w:ascii="Verdana" w:hAnsi="Verdana" w:cs="Arial"/>
          <w:shd w:val="clear" w:color="auto" w:fill="FFFFFF"/>
        </w:rPr>
      </w:pPr>
      <w:r w:rsidRPr="007D65AA">
        <w:rPr>
          <w:rFonts w:ascii="Verdana" w:hAnsi="Verdana" w:cs="Arial"/>
          <w:shd w:val="clear" w:color="auto" w:fill="FFFFFF"/>
        </w:rPr>
        <w:t>Con el propósito de garantizar el cumplimiento del mencionado deber de publicidad, se le asignó a la Agencia Nacional de Contratación Pública - Colombia Compra Eficiente, la función de administrar el SECOP</w:t>
      </w:r>
      <w:r w:rsidRPr="007D65AA">
        <w:rPr>
          <w:rFonts w:ascii="Verdana" w:hAnsi="Verdana" w:cs="Arial"/>
          <w:shd w:val="clear" w:color="auto" w:fill="FFFFFF"/>
          <w:vertAlign w:val="superscript"/>
        </w:rPr>
        <w:footnoteReference w:id="20"/>
      </w:r>
      <w:r w:rsidRPr="007D65AA">
        <w:rPr>
          <w:rFonts w:ascii="Verdana" w:hAnsi="Verdana" w:cs="Arial"/>
          <w:shd w:val="clear" w:color="auto" w:fill="FFFFFF"/>
        </w:rPr>
        <w:t>.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740145F7" w14:textId="77777777" w:rsidR="00674FF0" w:rsidRPr="007D65AA" w:rsidRDefault="00674FF0" w:rsidP="00674FF0">
      <w:pPr>
        <w:tabs>
          <w:tab w:val="left" w:pos="709"/>
        </w:tabs>
        <w:spacing w:before="120" w:after="120" w:line="276" w:lineRule="auto"/>
        <w:ind w:firstLine="709"/>
        <w:jc w:val="both"/>
        <w:rPr>
          <w:rFonts w:ascii="Verdana" w:hAnsi="Verdana" w:cs="Arial"/>
          <w:shd w:val="clear" w:color="auto" w:fill="FFFFFF"/>
        </w:rPr>
      </w:pPr>
      <w:r w:rsidRPr="007D65AA">
        <w:rPr>
          <w:rFonts w:ascii="Verdana" w:hAnsi="Verdana" w:cs="Arial"/>
          <w:shd w:val="clear" w:color="auto" w:fill="FFFFFF"/>
        </w:rPr>
        <w:lastRenderedPageBreak/>
        <w:t>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6FE5FB61" w14:textId="77777777" w:rsidR="00674FF0" w:rsidRDefault="00674FF0" w:rsidP="00674FF0">
      <w:pPr>
        <w:spacing w:after="120" w:line="276" w:lineRule="auto"/>
        <w:ind w:firstLine="709"/>
        <w:jc w:val="both"/>
        <w:rPr>
          <w:rFonts w:ascii="Verdana" w:eastAsia="Calibri" w:hAnsi="Verdana" w:cs="Arial"/>
          <w:lang w:val="es-ES"/>
        </w:rPr>
      </w:pPr>
      <w:r w:rsidRPr="19E8E9D4">
        <w:rPr>
          <w:rFonts w:ascii="Verdana" w:eastAsia="Calibri" w:hAnsi="Verdana" w:cs="Arial"/>
          <w:lang w:val="es-ES"/>
        </w:rPr>
        <w:t xml:space="preserve">Sin embargo, pese a que los documentos que deben publicarse en el SECOP II corresponden a los mismos que deben publicarse en el SECOP I, esto es, todos los expedidos con ocasión el proceso de contratación con excepción de los expresamente excluidos, la naturaleza transaccional del SECOP II implica que los procesos contractuales no sólo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w:t>
      </w:r>
    </w:p>
    <w:p w14:paraId="64E9BE22" w14:textId="77777777" w:rsidR="00674FF0" w:rsidRPr="003C545C" w:rsidRDefault="00674FF0" w:rsidP="00674FF0">
      <w:pPr>
        <w:tabs>
          <w:tab w:val="left" w:pos="709"/>
        </w:tabs>
        <w:spacing w:before="120" w:after="120" w:line="276" w:lineRule="auto"/>
        <w:ind w:firstLine="709"/>
        <w:jc w:val="both"/>
        <w:rPr>
          <w:rStyle w:val="eop"/>
          <w:rFonts w:ascii="Verdana" w:hAnsi="Verdana" w:cs="Arial"/>
          <w:shd w:val="clear" w:color="auto" w:fill="FFFFFF"/>
        </w:rPr>
      </w:pPr>
      <w:r>
        <w:rPr>
          <w:rFonts w:ascii="Verdana" w:hAnsi="Verdana" w:cs="Arial"/>
          <w:shd w:val="clear" w:color="auto" w:fill="FFFFFF"/>
        </w:rPr>
        <w:t>Conforme a lo anterior</w:t>
      </w:r>
      <w:r w:rsidRPr="003C545C">
        <w:rPr>
          <w:rFonts w:ascii="Verdana" w:hAnsi="Verdana" w:cs="Arial"/>
          <w:shd w:val="clear" w:color="auto" w:fill="FFFFFF"/>
        </w:rPr>
        <w:t xml:space="preserve">, </w:t>
      </w:r>
      <w:r>
        <w:rPr>
          <w:rFonts w:ascii="Verdana" w:hAnsi="Verdana" w:cs="Arial"/>
          <w:shd w:val="clear" w:color="auto" w:fill="FFFFFF"/>
        </w:rPr>
        <w:t xml:space="preserve">es clara </w:t>
      </w:r>
      <w:r w:rsidRPr="003C545C">
        <w:rPr>
          <w:rFonts w:ascii="Verdana" w:hAnsi="Verdana" w:cs="Arial"/>
          <w:shd w:val="clear" w:color="auto" w:fill="FFFFFF"/>
        </w:rPr>
        <w:t xml:space="preserve">la obligatoriedad de publicar la información </w:t>
      </w:r>
      <w:r>
        <w:rPr>
          <w:rFonts w:ascii="Verdana" w:hAnsi="Verdana" w:cs="Arial"/>
          <w:shd w:val="clear" w:color="auto" w:fill="FFFFFF"/>
        </w:rPr>
        <w:t xml:space="preserve">de la actividad </w:t>
      </w:r>
      <w:r w:rsidRPr="003C545C">
        <w:rPr>
          <w:rFonts w:ascii="Verdana" w:hAnsi="Verdana" w:cs="Arial"/>
          <w:shd w:val="clear" w:color="auto" w:fill="FFFFFF"/>
        </w:rPr>
        <w:t>contractual</w:t>
      </w:r>
      <w:r>
        <w:rPr>
          <w:rFonts w:ascii="Verdana" w:hAnsi="Verdana" w:cs="Arial"/>
          <w:shd w:val="clear" w:color="auto" w:fill="FFFFFF"/>
        </w:rPr>
        <w:t xml:space="preserve"> que se realiza con cargo a recursos públicos</w:t>
      </w:r>
      <w:r w:rsidRPr="003C545C">
        <w:rPr>
          <w:rFonts w:ascii="Verdana" w:hAnsi="Verdana" w:cs="Arial"/>
          <w:shd w:val="clear" w:color="auto" w:fill="FFFFFF"/>
        </w:rPr>
        <w:t xml:space="preserve"> en el SECOP, incluidas aquellas con regímenes contractuales especiales. Esta obligación incluye todos los documentos generados durante las fases precontractual, contractual y </w:t>
      </w:r>
      <w:proofErr w:type="spellStart"/>
      <w:r w:rsidRPr="003C545C">
        <w:rPr>
          <w:rFonts w:ascii="Verdana" w:hAnsi="Verdana" w:cs="Arial"/>
          <w:shd w:val="clear" w:color="auto" w:fill="FFFFFF"/>
        </w:rPr>
        <w:t>postcontractual</w:t>
      </w:r>
      <w:proofErr w:type="spellEnd"/>
      <w:r w:rsidRPr="003C545C">
        <w:rPr>
          <w:rFonts w:ascii="Verdana" w:hAnsi="Verdana" w:cs="Arial"/>
          <w:shd w:val="clear" w:color="auto" w:fill="FFFFFF"/>
        </w:rPr>
        <w:t>, como contratos, actos administrativos e información generada con ocasión al proceso de contratación. Esto tiene como objetivo garantizar la transparencia, el acceso público a la información y el control social sobre la contratación pública, permitiendo que la ciudadanía tenga acceso a los documentos en un sistema unificado y oficial.</w:t>
      </w:r>
    </w:p>
    <w:p w14:paraId="76300EF7" w14:textId="77777777" w:rsidR="00674FF0" w:rsidRDefault="00674FF0" w:rsidP="00674FF0">
      <w:pPr>
        <w:spacing w:after="120" w:line="276" w:lineRule="auto"/>
        <w:ind w:firstLine="709"/>
        <w:jc w:val="both"/>
        <w:rPr>
          <w:rFonts w:ascii="Verdana" w:eastAsia="Calibri" w:hAnsi="Verdana" w:cs="Arial"/>
          <w:lang w:eastAsia="es-ES_tradnl"/>
        </w:rPr>
      </w:pPr>
      <w:r>
        <w:rPr>
          <w:rFonts w:ascii="Verdana" w:eastAsia="Calibri" w:hAnsi="Verdana" w:cs="Arial"/>
          <w:lang w:eastAsia="es-ES_tradnl"/>
        </w:rPr>
        <w:t xml:space="preserve">De igual modo, la Agencia Nacional de Contratación Pública –Colombia Compra Eficiente en sus diferentes circulares sobre la obligatoriedad de publicar en SECOP II, ha manifestado que </w:t>
      </w:r>
      <w:r w:rsidRPr="00095E97">
        <w:rPr>
          <w:rFonts w:ascii="Verdana" w:eastAsia="Calibri" w:hAnsi="Verdana" w:cs="Arial"/>
          <w:lang w:eastAsia="es-ES_tradnl"/>
        </w:rPr>
        <w:t xml:space="preserve">en cumplimiento de las funciones conferidas </w:t>
      </w:r>
      <w:r w:rsidRPr="00095E97">
        <w:rPr>
          <w:rFonts w:ascii="Verdana" w:eastAsia="Calibri" w:hAnsi="Verdana" w:cs="Arial"/>
          <w:lang w:eastAsia="es-ES_tradnl"/>
        </w:rPr>
        <w:lastRenderedPageBreak/>
        <w:t>por los numerales 2, 5 y 8 del artículo 3 del Decreto Ley 4170 de 2011</w:t>
      </w:r>
      <w:r>
        <w:rPr>
          <w:rStyle w:val="Refdenotaalpie"/>
          <w:rFonts w:ascii="Verdana" w:eastAsia="Calibri" w:hAnsi="Verdana" w:cs="Arial"/>
          <w:lang w:eastAsia="es-ES_tradnl"/>
        </w:rPr>
        <w:footnoteReference w:id="21"/>
      </w:r>
      <w:r w:rsidRPr="00095E97">
        <w:rPr>
          <w:rFonts w:ascii="Verdana" w:eastAsia="Calibri" w:hAnsi="Verdana" w:cs="Arial"/>
          <w:lang w:eastAsia="es-ES_tradnl"/>
        </w:rPr>
        <w:t xml:space="preserve">, actuando como ente rector del Sistema de Compra Pública y administrador del Sistema Electrónico para </w:t>
      </w:r>
      <w:r>
        <w:rPr>
          <w:rFonts w:ascii="Verdana" w:eastAsia="Calibri" w:hAnsi="Verdana" w:cs="Arial"/>
          <w:lang w:eastAsia="es-ES_tradnl"/>
        </w:rPr>
        <w:t>la Contratación Pública – SECOP</w:t>
      </w:r>
      <w:r w:rsidRPr="00095E97">
        <w:rPr>
          <w:rFonts w:ascii="Verdana" w:eastAsia="Calibri" w:hAnsi="Verdana" w:cs="Arial"/>
          <w:lang w:eastAsia="es-ES_tradnl"/>
        </w:rPr>
        <w:t>, es competente para desarrollar e impulsar políticas públicas, programas, herramientas y normas orientadas a la organización y articulación de los partícipes en los procesos de compras y contratación pública, así como para promover las mejores prácticas en la gest</w:t>
      </w:r>
      <w:r>
        <w:rPr>
          <w:rFonts w:ascii="Verdana" w:eastAsia="Calibri" w:hAnsi="Verdana" w:cs="Arial"/>
          <w:lang w:eastAsia="es-ES_tradnl"/>
        </w:rPr>
        <w:t xml:space="preserve">ión contractual del Estado, a </w:t>
      </w:r>
      <w:r w:rsidRPr="00095E97">
        <w:rPr>
          <w:rFonts w:ascii="Verdana" w:eastAsia="Calibri" w:hAnsi="Verdana" w:cs="Arial"/>
          <w:lang w:eastAsia="es-ES_tradnl"/>
        </w:rPr>
        <w:t>fin de lograr una mayor eficiencia, transparencia y optimización de los recursos públicos.</w:t>
      </w:r>
      <w:r>
        <w:rPr>
          <w:rFonts w:ascii="Verdana" w:eastAsia="Calibri" w:hAnsi="Verdana" w:cs="Arial"/>
          <w:lang w:eastAsia="es-ES_tradnl"/>
        </w:rPr>
        <w:t xml:space="preserve"> </w:t>
      </w:r>
    </w:p>
    <w:p w14:paraId="2CBB1A29" w14:textId="77777777" w:rsidR="00674FF0" w:rsidRDefault="00674FF0" w:rsidP="00674FF0">
      <w:pPr>
        <w:spacing w:after="120" w:line="276" w:lineRule="auto"/>
        <w:ind w:firstLine="709"/>
        <w:jc w:val="both"/>
        <w:rPr>
          <w:rFonts w:ascii="Verdana" w:eastAsia="Calibri" w:hAnsi="Verdana" w:cs="Arial"/>
          <w:lang w:eastAsia="es-ES_tradnl"/>
        </w:rPr>
      </w:pPr>
      <w:r w:rsidRPr="00C05FE1">
        <w:rPr>
          <w:rFonts w:ascii="Verdana" w:eastAsia="Calibri" w:hAnsi="Verdana" w:cs="Arial"/>
          <w:lang w:eastAsia="es-ES_tradnl"/>
        </w:rPr>
        <w:t>En tal sentido, la Circular Externa 003 de 2024 dispone reglas sobre la obligatoriedad de SECOP II para la vigencia 2024 y primer semestre de 2025</w:t>
      </w:r>
      <w:r>
        <w:rPr>
          <w:rFonts w:ascii="Verdana" w:eastAsia="Calibri" w:hAnsi="Verdana" w:cs="Arial"/>
          <w:lang w:eastAsia="es-ES_tradnl"/>
        </w:rPr>
        <w:t xml:space="preserve"> para </w:t>
      </w:r>
      <w:r w:rsidRPr="00A81666">
        <w:rPr>
          <w:rFonts w:ascii="Verdana" w:hAnsi="Verdana" w:cs="Arial"/>
          <w:shd w:val="clear" w:color="auto" w:fill="FFFFFF"/>
        </w:rPr>
        <w:t>todas las Entidades Estatales, incluidas aquellas con regímenes contractuales especiales, la publicación de documentos relacionados con su actividad contractual en dicha plataforma</w:t>
      </w:r>
      <w:r>
        <w:rPr>
          <w:rFonts w:ascii="Verdana" w:hAnsi="Verdana" w:cs="Arial"/>
          <w:shd w:val="clear" w:color="auto" w:fill="FFFFFF"/>
        </w:rPr>
        <w:t>. Así mismo, dicha circular establece, entre otras cosas, lo siguiente</w:t>
      </w:r>
      <w:r w:rsidRPr="00C05FE1">
        <w:rPr>
          <w:rFonts w:ascii="Verdana" w:eastAsia="Calibri" w:hAnsi="Verdana" w:cs="Arial"/>
          <w:lang w:eastAsia="es-ES_tradnl"/>
        </w:rPr>
        <w:t xml:space="preserve">: “Están exceptuados de la medida las asociaciones público–privadas-APP- de que trata la Ley 1508 de 2012 y demás normas complementarias, los contratos donde existan más de dos partes, los concursos de arquitectura y </w:t>
      </w:r>
      <w:r w:rsidRPr="00482B83">
        <w:rPr>
          <w:rFonts w:ascii="Verdana" w:eastAsia="Calibri" w:hAnsi="Verdana" w:cs="Arial"/>
          <w:i/>
          <w:lang w:eastAsia="es-ES_tradnl"/>
        </w:rPr>
        <w:t>la enajenación de bienes a título gratuito</w:t>
      </w:r>
      <w:r w:rsidRPr="00C05FE1">
        <w:rPr>
          <w:rFonts w:ascii="Verdana" w:eastAsia="Calibri" w:hAnsi="Verdana" w:cs="Arial"/>
          <w:lang w:eastAsia="es-ES_tradnl"/>
        </w:rPr>
        <w:t>, los cuales deberán pu</w:t>
      </w:r>
      <w:r>
        <w:rPr>
          <w:rFonts w:ascii="Verdana" w:eastAsia="Calibri" w:hAnsi="Verdana" w:cs="Arial"/>
          <w:lang w:eastAsia="es-ES_tradnl"/>
        </w:rPr>
        <w:t xml:space="preserve">blicarse a través del SECOP I” (énfasis fuera de texto). </w:t>
      </w:r>
    </w:p>
    <w:p w14:paraId="20E75743" w14:textId="77777777" w:rsidR="00674FF0" w:rsidRDefault="00674FF0" w:rsidP="00674FF0">
      <w:pPr>
        <w:spacing w:after="120" w:line="276" w:lineRule="auto"/>
        <w:ind w:firstLine="709"/>
        <w:jc w:val="both"/>
        <w:rPr>
          <w:rFonts w:ascii="Verdana" w:eastAsia="Calibri" w:hAnsi="Verdana" w:cs="Arial"/>
          <w:lang w:val="es-MX"/>
        </w:rPr>
      </w:pPr>
      <w:r w:rsidRPr="00C05FE1">
        <w:rPr>
          <w:rFonts w:ascii="Verdana" w:eastAsia="Calibri" w:hAnsi="Verdana" w:cs="Arial"/>
          <w:lang w:eastAsia="es-ES_tradnl"/>
        </w:rPr>
        <w:t xml:space="preserve">Es decir, se establece en dicha circular que los contratos de Asociaciones Público-Privadas, los contratos donde existan más de dos partes, los concursos de arquitectura y la enajenación de bienes a título gratuito, los cuales deberán </w:t>
      </w:r>
      <w:r>
        <w:rPr>
          <w:rFonts w:ascii="Verdana" w:eastAsia="Calibri" w:hAnsi="Verdana" w:cs="Arial"/>
          <w:lang w:eastAsia="es-ES_tradnl"/>
        </w:rPr>
        <w:t xml:space="preserve">publicarse </w:t>
      </w:r>
      <w:r w:rsidRPr="00C05FE1">
        <w:rPr>
          <w:rFonts w:ascii="Verdana" w:eastAsia="Calibri" w:hAnsi="Verdana" w:cs="Arial"/>
          <w:lang w:eastAsia="es-ES_tradnl"/>
        </w:rPr>
        <w:t>por SECOP I, cumpliendo los mandatos legales</w:t>
      </w:r>
      <w:r>
        <w:rPr>
          <w:rFonts w:ascii="Verdana" w:eastAsia="Calibri" w:hAnsi="Verdana" w:cs="Arial"/>
          <w:lang w:eastAsia="es-ES_tradnl"/>
        </w:rPr>
        <w:t xml:space="preserve"> y reglamentarios. </w:t>
      </w:r>
      <w:r w:rsidRPr="00F91268">
        <w:rPr>
          <w:rFonts w:ascii="Verdana" w:eastAsia="Calibri" w:hAnsi="Verdana" w:cs="Arial"/>
          <w:lang w:val="es-ES" w:eastAsia="es-ES_tradnl"/>
        </w:rPr>
        <w:t xml:space="preserve">en virtud </w:t>
      </w:r>
      <w:r>
        <w:rPr>
          <w:rFonts w:ascii="Verdana" w:eastAsia="Calibri" w:hAnsi="Verdana" w:cs="Arial"/>
          <w:lang w:val="es-ES" w:eastAsia="es-ES_tradnl"/>
        </w:rPr>
        <w:t>del principio de transparencia</w:t>
      </w:r>
      <w:r w:rsidRPr="00F91268">
        <w:rPr>
          <w:rFonts w:ascii="Verdana" w:eastAsia="Calibri" w:hAnsi="Verdana" w:cs="Arial"/>
          <w:lang w:val="es-ES" w:eastAsia="es-ES_tradnl"/>
        </w:rPr>
        <w:t>, así como por el principio de máxima publicidad establecido en el artículo 2 de la Ley 1712 de 2014, el contenido del expediente en el que reposa la actuación es información pública, independientemente de si se trata de documentos que deban ser publicados en SECOP</w:t>
      </w:r>
      <w:r>
        <w:rPr>
          <w:rFonts w:ascii="Verdana" w:eastAsia="Calibri" w:hAnsi="Verdana" w:cs="Arial"/>
          <w:lang w:val="es-ES" w:eastAsia="es-ES_tradnl"/>
        </w:rPr>
        <w:t>, ya sea en SECOP I o en SECOP II</w:t>
      </w:r>
      <w:r w:rsidRPr="00F91268">
        <w:rPr>
          <w:rFonts w:ascii="Verdana" w:eastAsia="Calibri" w:hAnsi="Verdana" w:cs="Arial"/>
          <w:lang w:val="es-ES" w:eastAsia="es-ES_tradnl"/>
        </w:rPr>
        <w:t>.</w:t>
      </w:r>
      <w:r w:rsidRPr="00F5391F">
        <w:rPr>
          <w:rFonts w:ascii="Verdana" w:eastAsia="Calibri" w:hAnsi="Verdana" w:cs="Arial"/>
          <w:lang w:val="es-MX"/>
        </w:rPr>
        <w:t xml:space="preserve"> </w:t>
      </w:r>
      <w:r w:rsidRPr="00477AF2">
        <w:rPr>
          <w:rFonts w:ascii="Verdana" w:eastAsia="Calibri" w:hAnsi="Verdana" w:cs="Arial"/>
          <w:lang w:val="es-MX"/>
        </w:rPr>
        <w:t xml:space="preserve">En razón a dicho interés, el legislador mediante el artículo 3 de la Ley 1150 de 2007 y la normativa de la transparencia </w:t>
      </w:r>
      <w:r w:rsidRPr="00477AF2">
        <w:rPr>
          <w:rFonts w:ascii="Verdana" w:eastAsia="Calibri" w:hAnsi="Verdana" w:cs="Arial"/>
          <w:lang w:val="es-MX"/>
        </w:rPr>
        <w:lastRenderedPageBreak/>
        <w:t>y el acceso a la información pública, materializa los principios de publicidad y transparencia en el ámbito de la contratación estatal, estableciendo el SECOP como medio de publicidad principal de las actuaciones contractuales públicas.</w:t>
      </w:r>
    </w:p>
    <w:p w14:paraId="660B59F0" w14:textId="77777777" w:rsidR="00674FF0" w:rsidRPr="00F91268" w:rsidRDefault="00674FF0" w:rsidP="00674FF0">
      <w:pPr>
        <w:spacing w:after="120" w:line="276" w:lineRule="auto"/>
        <w:ind w:firstLine="708"/>
        <w:jc w:val="both"/>
        <w:rPr>
          <w:rFonts w:ascii="Verdana" w:eastAsia="Calibri" w:hAnsi="Verdana" w:cs="Arial"/>
          <w:lang w:val="es-ES" w:eastAsia="es-ES_tradnl"/>
        </w:rPr>
      </w:pPr>
      <w:r w:rsidRPr="00F91268">
        <w:rPr>
          <w:rFonts w:ascii="Verdana" w:eastAsia="Calibri" w:hAnsi="Verdana" w:cs="Arial"/>
          <w:lang w:val="es-ES" w:eastAsia="es-ES_tradnl"/>
        </w:rPr>
        <w:t>Por esta razón, los documentos que conforman el expediente pueden ser objeto de solicitudes de copias, en ejercicio del derecho de petición, en cualquier momento del proceso de selección, en la medida en que las normas señaladas no imponen ningún condicionamiento, así que podrán solicitarlas cualquier persona, dentro de lo que cabe el control social de la contratación pública, cuestión que podría interesar a cualquier ciudadano</w:t>
      </w:r>
      <w:r w:rsidRPr="00F91268">
        <w:rPr>
          <w:rFonts w:ascii="Verdana" w:eastAsia="Calibri" w:hAnsi="Verdana" w:cs="Arial"/>
          <w:vertAlign w:val="superscript"/>
          <w:lang w:val="es-ES" w:eastAsia="es-ES_tradnl"/>
        </w:rPr>
        <w:footnoteReference w:id="22"/>
      </w:r>
      <w:r w:rsidRPr="00F91268">
        <w:rPr>
          <w:rFonts w:ascii="Verdana" w:eastAsia="Calibri" w:hAnsi="Verdana" w:cs="Arial"/>
          <w:lang w:val="es-ES" w:eastAsia="es-ES_tradnl"/>
        </w:rPr>
        <w:t>. Esta posibilidad solo se encuentra limitada respecto de la documentación que tenga la calidad de reservada</w:t>
      </w:r>
      <w:r w:rsidRPr="00F91268">
        <w:rPr>
          <w:rFonts w:ascii="Verdana" w:eastAsia="Calibri" w:hAnsi="Verdana" w:cs="Arial"/>
          <w:vertAlign w:val="superscript"/>
          <w:lang w:val="es-ES" w:eastAsia="es-ES_tradnl"/>
        </w:rPr>
        <w:footnoteReference w:id="23"/>
      </w:r>
      <w:r w:rsidRPr="00F91268">
        <w:rPr>
          <w:rFonts w:ascii="Verdana" w:eastAsia="Calibri" w:hAnsi="Verdana" w:cs="Arial"/>
          <w:lang w:val="es-ES" w:eastAsia="es-ES_tradnl"/>
        </w:rPr>
        <w:t>, que deberá someterse al tratamiento establecido en el artículo 36 del CPACA, en lo relativo a la formación de cuadernos separados</w:t>
      </w:r>
      <w:r w:rsidRPr="00F91268">
        <w:rPr>
          <w:rFonts w:ascii="Verdana" w:eastAsia="Calibri" w:hAnsi="Verdana" w:cs="Arial"/>
          <w:vertAlign w:val="superscript"/>
          <w:lang w:val="es-ES" w:eastAsia="es-ES_tradnl"/>
        </w:rPr>
        <w:footnoteReference w:id="24"/>
      </w:r>
      <w:r w:rsidRPr="00F91268">
        <w:rPr>
          <w:rFonts w:ascii="Verdana" w:eastAsia="Calibri" w:hAnsi="Verdana" w:cs="Arial"/>
          <w:lang w:val="es-ES" w:eastAsia="es-ES_tradnl"/>
        </w:rPr>
        <w:t>.</w:t>
      </w:r>
    </w:p>
    <w:p w14:paraId="5C8639A8" w14:textId="77777777" w:rsidR="00674FF0" w:rsidRPr="00F91268" w:rsidRDefault="00674FF0" w:rsidP="00674FF0">
      <w:pPr>
        <w:spacing w:after="120" w:line="276" w:lineRule="auto"/>
        <w:ind w:firstLine="709"/>
        <w:jc w:val="both"/>
        <w:rPr>
          <w:rFonts w:ascii="Verdana" w:eastAsia="Calibri" w:hAnsi="Verdana" w:cs="Arial"/>
          <w:lang w:val="es-MX" w:eastAsia="es-ES_tradnl"/>
        </w:rPr>
      </w:pPr>
      <w:r w:rsidRPr="00F91268">
        <w:rPr>
          <w:rFonts w:ascii="Verdana" w:eastAsia="Calibri" w:hAnsi="Verdana" w:cs="Arial"/>
          <w:lang w:val="es-MX" w:eastAsia="es-ES_tradnl"/>
        </w:rPr>
        <w:t>Debe precisarse que la calidad de contrato estatal obedece a un criterio eminentemente orgánico</w:t>
      </w:r>
      <w:r w:rsidRPr="00F91268">
        <w:rPr>
          <w:rFonts w:ascii="Verdana" w:eastAsia="Calibri" w:hAnsi="Verdana" w:cs="Arial"/>
          <w:vertAlign w:val="superscript"/>
          <w:lang w:val="es-MX" w:eastAsia="es-ES_tradnl"/>
        </w:rPr>
        <w:footnoteReference w:id="25"/>
      </w:r>
      <w:r w:rsidRPr="00F91268">
        <w:rPr>
          <w:rFonts w:ascii="Verdana" w:eastAsia="Calibri" w:hAnsi="Verdana" w:cs="Arial"/>
          <w:lang w:val="es-MX" w:eastAsia="es-ES_tradnl"/>
        </w:rPr>
        <w:t xml:space="preserve">, por lo que son todos aquellos celebrados por alguna </w:t>
      </w:r>
      <w:r w:rsidRPr="00F91268">
        <w:rPr>
          <w:rFonts w:ascii="Verdana" w:eastAsia="Calibri" w:hAnsi="Verdana" w:cs="Arial"/>
          <w:lang w:val="es-MX" w:eastAsia="es-ES_tradnl"/>
        </w:rPr>
        <w:lastRenderedPageBreak/>
        <w:t>de entidad estatal, de las cuales, las enlistadas en el artículo 2 de la Ley 80 de 1993</w:t>
      </w:r>
      <w:r>
        <w:rPr>
          <w:rFonts w:ascii="Verdana" w:eastAsia="Calibri" w:hAnsi="Verdana" w:cs="Arial"/>
          <w:lang w:val="es-MX" w:eastAsia="es-ES_tradnl"/>
        </w:rPr>
        <w:t xml:space="preserve"> deben publicar en SECOP. Así mismo, el artículo 13 de la Ley 1150 de 2007 modificado </w:t>
      </w:r>
      <w:r w:rsidRPr="000754E3">
        <w:rPr>
          <w:rFonts w:ascii="Verdana" w:eastAsia="Calibri" w:hAnsi="Verdana" w:cs="Arial"/>
          <w:lang w:eastAsia="es-ES_tradnl"/>
        </w:rPr>
        <w:t>el artículo 53 de la Ley 2195 de 2022</w:t>
      </w:r>
      <w:r>
        <w:rPr>
          <w:rStyle w:val="Refdenotaalpie"/>
          <w:rFonts w:ascii="Verdana" w:eastAsia="Calibri" w:hAnsi="Verdana" w:cs="Arial"/>
          <w:lang w:eastAsia="es-ES_tradnl"/>
        </w:rPr>
        <w:footnoteReference w:id="26"/>
      </w:r>
      <w:r>
        <w:rPr>
          <w:rFonts w:ascii="Verdana" w:eastAsia="Calibri" w:hAnsi="Verdana" w:cs="Arial"/>
          <w:lang w:eastAsia="es-ES_tradnl"/>
        </w:rPr>
        <w:t>, alude a la obligación de las entidades de régimen especial de p</w:t>
      </w:r>
      <w:proofErr w:type="spellStart"/>
      <w:r>
        <w:rPr>
          <w:rFonts w:ascii="Verdana" w:eastAsia="Calibri" w:hAnsi="Verdana" w:cs="Arial"/>
          <w:lang w:val="es-MX" w:eastAsia="es-ES_tradnl"/>
        </w:rPr>
        <w:t>ublicar</w:t>
      </w:r>
      <w:proofErr w:type="spellEnd"/>
      <w:r>
        <w:rPr>
          <w:rFonts w:ascii="Verdana" w:eastAsia="Calibri" w:hAnsi="Verdana" w:cs="Arial"/>
          <w:lang w:val="es-MX" w:eastAsia="es-ES_tradnl"/>
        </w:rPr>
        <w:t xml:space="preserve"> la información en SECOP II o la plataforma transaccional que haga sus veces</w:t>
      </w:r>
      <w:r w:rsidRPr="00F91268">
        <w:rPr>
          <w:rFonts w:ascii="Verdana" w:eastAsia="Calibri" w:hAnsi="Verdana" w:cs="Arial"/>
          <w:lang w:val="es-MX" w:eastAsia="es-ES_tradnl"/>
        </w:rPr>
        <w:t xml:space="preserve">. </w:t>
      </w:r>
    </w:p>
    <w:p w14:paraId="245ECA55" w14:textId="77777777" w:rsidR="00674FF0" w:rsidRDefault="00674FF0" w:rsidP="00674FF0">
      <w:pPr>
        <w:spacing w:after="120" w:line="276" w:lineRule="auto"/>
        <w:ind w:firstLine="708"/>
        <w:jc w:val="both"/>
        <w:rPr>
          <w:rFonts w:ascii="Verdana" w:eastAsia="Calibri" w:hAnsi="Verdana" w:cs="Arial"/>
          <w:lang w:eastAsia="es-ES_tradnl"/>
        </w:rPr>
      </w:pPr>
      <w:r w:rsidRPr="00BF0437">
        <w:rPr>
          <w:rFonts w:ascii="Verdana" w:eastAsia="Calibri" w:hAnsi="Verdana" w:cs="Arial"/>
          <w:lang w:eastAsia="es-ES_tradnl"/>
        </w:rPr>
        <w:t xml:space="preserve">Así las cosas, existe un deber de publicar los contratos </w:t>
      </w:r>
      <w:r>
        <w:rPr>
          <w:rFonts w:ascii="Verdana" w:eastAsia="Calibri" w:hAnsi="Verdana" w:cs="Arial"/>
          <w:lang w:eastAsia="es-ES_tradnl"/>
        </w:rPr>
        <w:t xml:space="preserve">para la </w:t>
      </w:r>
      <w:r w:rsidRPr="00BF0437">
        <w:rPr>
          <w:rFonts w:ascii="Verdana" w:eastAsia="Calibri" w:hAnsi="Verdana" w:cs="Arial"/>
          <w:lang w:eastAsia="es-ES_tradnl"/>
        </w:rPr>
        <w:t>enajenación de bienes a título gratuito, en SECOP, que en el caso particular dispuesto en la Circular Externa 03 de 2024 será en SECOP I, con fundamento en todo caso de la normativa legal y reglamentaria ya precitada sobre el deber de publicidad de la información y transparencia, y teniendo en cuenta las directrices y lineamientos dispuestos por la Agencia Nacional de Contratación Pública –Colombia Compra Eficiente, como administrador de la plataforma y ente rector en contratación y compra pública.</w:t>
      </w:r>
    </w:p>
    <w:p w14:paraId="6384F2B9" w14:textId="77777777" w:rsidR="00674FF0" w:rsidRPr="005B7638" w:rsidRDefault="00674FF0" w:rsidP="00674FF0">
      <w:pPr>
        <w:spacing w:after="0" w:line="276" w:lineRule="auto"/>
        <w:jc w:val="both"/>
        <w:rPr>
          <w:rFonts w:ascii="Verdana" w:eastAsia="Calibri" w:hAnsi="Verdana" w:cs="Arial"/>
          <w:lang w:eastAsia="es-ES_tradnl"/>
        </w:rPr>
      </w:pPr>
    </w:p>
    <w:p w14:paraId="7E6086DC" w14:textId="77777777" w:rsidR="00674FF0" w:rsidRPr="00B16AC6" w:rsidRDefault="00674FF0" w:rsidP="00674FF0">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iv.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la enajenación de bines muebles entre entidades públicas a título gratuito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8229617" w14:textId="77777777" w:rsidR="00674FF0" w:rsidRPr="00B17041" w:rsidRDefault="00674FF0" w:rsidP="00674FF0">
      <w:pPr>
        <w:spacing w:after="0" w:line="276" w:lineRule="auto"/>
        <w:ind w:firstLine="709"/>
        <w:jc w:val="both"/>
        <w:rPr>
          <w:rFonts w:ascii="Verdana" w:hAnsi="Verdana" w:cs="Arial"/>
          <w:lang w:val="es-ES" w:eastAsia="es-ES"/>
        </w:rPr>
      </w:pPr>
      <w:r w:rsidRPr="00B17041">
        <w:rPr>
          <w:rFonts w:ascii="Verdana" w:hAnsi="Verdana" w:cs="Arial"/>
          <w:lang w:val="es-ES" w:eastAsia="es-ES"/>
        </w:rPr>
        <w:lastRenderedPageBreak/>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1E4C70C" w14:textId="77777777" w:rsidR="00674FF0" w:rsidRPr="00CD0DCD" w:rsidRDefault="00674FF0" w:rsidP="00674FF0">
      <w:pPr>
        <w:spacing w:after="0" w:line="276" w:lineRule="auto"/>
        <w:jc w:val="both"/>
        <w:rPr>
          <w:rFonts w:ascii="Verdana" w:eastAsia="Calibri" w:hAnsi="Verdana" w:cs="Arial"/>
          <w:lang w:val="es-ES" w:eastAsia="es-MX"/>
        </w:rPr>
      </w:pPr>
    </w:p>
    <w:p w14:paraId="00B4F746" w14:textId="77777777" w:rsidR="00674FF0" w:rsidRPr="00B57A1B" w:rsidRDefault="00674FF0" w:rsidP="00674FF0">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 xml:space="preserve">Referencias normativas, jurisprudenciales y otras fuentes </w:t>
      </w:r>
    </w:p>
    <w:p w14:paraId="397ED8B9" w14:textId="77777777" w:rsidR="00674FF0" w:rsidRPr="00B57A1B" w:rsidRDefault="00674FF0" w:rsidP="00674FF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74FF0" w:rsidRPr="00B57A1B" w14:paraId="478A4296" w14:textId="77777777" w:rsidTr="00167CF4">
        <w:trPr>
          <w:trHeight w:val="487"/>
          <w:jc w:val="center"/>
        </w:trPr>
        <w:tc>
          <w:tcPr>
            <w:tcW w:w="8647" w:type="dxa"/>
          </w:tcPr>
          <w:p w14:paraId="524D1610" w14:textId="77777777" w:rsidR="00674FF0" w:rsidRPr="00A52377" w:rsidRDefault="00674FF0" w:rsidP="00674FF0">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sidRPr="00A52377">
              <w:rPr>
                <w:rFonts w:ascii="Verdana" w:eastAsia="Arial MT" w:hAnsi="Verdana" w:cs="Arial"/>
                <w:lang w:eastAsia="es-ES" w:bidi="es-ES"/>
              </w:rPr>
              <w:t>Constitución Política, artículos 74 y 209.</w:t>
            </w:r>
          </w:p>
          <w:p w14:paraId="7254357B" w14:textId="77777777" w:rsidR="00674FF0" w:rsidRDefault="00674FF0" w:rsidP="00674FF0">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Pr>
                <w:rFonts w:ascii="Verdana" w:eastAsia="Arial MT" w:hAnsi="Verdana" w:cs="Arial"/>
                <w:lang w:eastAsia="es-ES" w:bidi="es-ES"/>
              </w:rPr>
              <w:t xml:space="preserve">Código Civil, artículos 665 y 749. </w:t>
            </w:r>
          </w:p>
          <w:p w14:paraId="2394AF70" w14:textId="77777777" w:rsidR="00674FF0" w:rsidRDefault="00674FF0" w:rsidP="00674FF0">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Pr>
                <w:rFonts w:ascii="Verdana" w:eastAsia="Arial MT" w:hAnsi="Verdana" w:cs="Arial"/>
                <w:lang w:eastAsia="es-ES" w:bidi="es-ES"/>
              </w:rPr>
              <w:t xml:space="preserve">Ley 80 de 1993, artículos 2, 25 y 32. </w:t>
            </w:r>
          </w:p>
          <w:p w14:paraId="1A1B29FD" w14:textId="77777777" w:rsidR="00674FF0" w:rsidRPr="00A52377" w:rsidRDefault="00674FF0" w:rsidP="00674FF0">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Pr>
                <w:rFonts w:ascii="Verdana" w:eastAsia="Arial MT" w:hAnsi="Verdana" w:cs="Arial"/>
                <w:lang w:eastAsia="es-ES" w:bidi="es-ES"/>
              </w:rPr>
              <w:t xml:space="preserve">Ley 1150 de 2007, artículos 3 y 13. </w:t>
            </w:r>
          </w:p>
          <w:p w14:paraId="1F26A1A2" w14:textId="77777777" w:rsidR="00674FF0" w:rsidRDefault="00674FF0" w:rsidP="00674FF0">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sidRPr="00A52377">
              <w:rPr>
                <w:rFonts w:ascii="Verdana" w:eastAsia="Arial MT" w:hAnsi="Verdana" w:cs="Arial"/>
                <w:lang w:eastAsia="es-ES" w:bidi="es-ES"/>
              </w:rPr>
              <w:t xml:space="preserve">Decreto Ley 4170 de 2011, artículo 3° numerales 2, 5 y 8. </w:t>
            </w:r>
          </w:p>
          <w:p w14:paraId="28138BB6" w14:textId="77777777" w:rsidR="00674FF0" w:rsidRPr="00A52377" w:rsidRDefault="00674FF0" w:rsidP="00674FF0">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Pr>
                <w:rFonts w:ascii="Verdana" w:eastAsia="Arial MT" w:hAnsi="Verdana" w:cs="Arial"/>
                <w:lang w:eastAsia="es-ES" w:bidi="es-ES"/>
              </w:rPr>
              <w:t xml:space="preserve">Ley 1437 de 2011, artículos 24 y 36. </w:t>
            </w:r>
          </w:p>
          <w:p w14:paraId="10E38004" w14:textId="77777777" w:rsidR="00674FF0" w:rsidRPr="00A52377" w:rsidRDefault="00674FF0" w:rsidP="00674FF0">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sidRPr="00A52377">
              <w:rPr>
                <w:rFonts w:ascii="Verdana" w:eastAsia="Arial MT" w:hAnsi="Verdana" w:cs="Arial"/>
                <w:lang w:eastAsia="es-ES" w:bidi="es-ES"/>
              </w:rPr>
              <w:t>Ley 1712 de 2014.</w:t>
            </w:r>
          </w:p>
          <w:p w14:paraId="02B2C417" w14:textId="77777777" w:rsidR="00674FF0" w:rsidRPr="00A52377" w:rsidRDefault="00674FF0" w:rsidP="00674FF0">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sidRPr="00A52377">
              <w:rPr>
                <w:rFonts w:ascii="Verdana" w:eastAsia="Arial MT" w:hAnsi="Verdana" w:cs="Arial"/>
                <w:lang w:eastAsia="es-ES" w:bidi="es-ES"/>
              </w:rPr>
              <w:t>Decreto 1081 de 2015, artículo 2.1.1.2.1.7.</w:t>
            </w:r>
          </w:p>
          <w:p w14:paraId="1F196765" w14:textId="77777777" w:rsidR="00674FF0" w:rsidRPr="00AC78D9" w:rsidRDefault="00674FF0" w:rsidP="00674FF0">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sidRPr="00A52377">
              <w:rPr>
                <w:rFonts w:ascii="Verdana" w:eastAsia="Arial MT" w:hAnsi="Verdana" w:cs="Arial"/>
                <w:lang w:eastAsia="es-ES" w:bidi="es-ES"/>
              </w:rPr>
              <w:t>Decreto 1082 de 2015, artículos 2.2.1.1.1.7.1, 2.2.1.1.1.3.1., 2.2.2.1.8.3., 2.2.2.1.5.11., 2.2.2.1.12.7.</w:t>
            </w:r>
            <w:r>
              <w:rPr>
                <w:rFonts w:ascii="Verdana" w:eastAsia="Arial MT" w:hAnsi="Verdana" w:cs="Arial"/>
                <w:lang w:eastAsia="es-ES" w:bidi="es-ES"/>
              </w:rPr>
              <w:t xml:space="preserve">, </w:t>
            </w:r>
            <w:r w:rsidRPr="00AC78D9">
              <w:rPr>
                <w:rFonts w:ascii="Verdana" w:eastAsia="Arial MT" w:hAnsi="Verdana" w:cs="Arial"/>
                <w:lang w:val="es-CO" w:eastAsia="es-ES" w:bidi="es-ES"/>
              </w:rPr>
              <w:t>2.2.1.2.2.1.1.</w:t>
            </w:r>
            <w:r>
              <w:rPr>
                <w:rFonts w:ascii="Verdana" w:eastAsia="Arial MT" w:hAnsi="Verdana" w:cs="Arial"/>
                <w:lang w:val="es-CO" w:eastAsia="es-ES" w:bidi="es-ES"/>
              </w:rPr>
              <w:t xml:space="preserve">, </w:t>
            </w:r>
            <w:r w:rsidRPr="00AC78D9">
              <w:rPr>
                <w:rFonts w:ascii="Verdana" w:eastAsia="Arial MT" w:hAnsi="Verdana" w:cs="Arial"/>
                <w:lang w:val="es-MX" w:eastAsia="es-ES" w:bidi="es-ES"/>
              </w:rPr>
              <w:t xml:space="preserve">2.2.1.1.2.1.1, </w:t>
            </w:r>
            <w:r w:rsidRPr="00AC78D9">
              <w:rPr>
                <w:rFonts w:ascii="Verdana" w:eastAsia="Arial MT" w:hAnsi="Verdana" w:cs="Arial"/>
                <w:lang w:eastAsia="es-ES" w:bidi="es-ES"/>
              </w:rPr>
              <w:t>2.2.1.2.2.4.3.</w:t>
            </w:r>
          </w:p>
          <w:p w14:paraId="2CA05AA6" w14:textId="77777777" w:rsidR="00674FF0" w:rsidRPr="00AC78D9" w:rsidRDefault="00674FF0" w:rsidP="00674FF0">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sidRPr="00A52377">
              <w:rPr>
                <w:rFonts w:ascii="Verdana" w:eastAsia="Arial MT" w:hAnsi="Verdana" w:cs="Arial"/>
                <w:lang w:eastAsia="es-ES" w:bidi="es-ES"/>
              </w:rPr>
              <w:t>Circular Externa 03 de 2024 de la Agencia Nacional de Contratación Púb</w:t>
            </w:r>
            <w:r>
              <w:rPr>
                <w:rFonts w:ascii="Verdana" w:eastAsia="Arial MT" w:hAnsi="Verdana" w:cs="Arial"/>
                <w:lang w:eastAsia="es-ES" w:bidi="es-ES"/>
              </w:rPr>
              <w:t>lica –Colombia Compra Eficiente.</w:t>
            </w:r>
          </w:p>
          <w:p w14:paraId="1EC24B54" w14:textId="77777777" w:rsidR="00674FF0" w:rsidRPr="00AC78D9" w:rsidRDefault="00674FF0" w:rsidP="00674FF0">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AC78D9">
              <w:rPr>
                <w:rFonts w:ascii="Verdana" w:eastAsia="Arial MT" w:hAnsi="Verdana" w:cs="Arial"/>
                <w:lang w:eastAsia="es-ES" w:bidi="es-ES"/>
              </w:rPr>
              <w:t xml:space="preserve">Consejo de Estado. Sección Cuarta. Sentencia del 6 de febrero de 2006. C.P. María Inés Ortiz Barbosa. </w:t>
            </w:r>
            <w:proofErr w:type="spellStart"/>
            <w:r w:rsidRPr="00AC78D9">
              <w:rPr>
                <w:rFonts w:ascii="Verdana" w:eastAsia="Arial MT" w:hAnsi="Verdana" w:cs="Arial"/>
                <w:lang w:eastAsia="es-ES" w:bidi="es-ES"/>
              </w:rPr>
              <w:t>Exp</w:t>
            </w:r>
            <w:proofErr w:type="spellEnd"/>
            <w:r w:rsidRPr="00AC78D9">
              <w:rPr>
                <w:rFonts w:ascii="Verdana" w:eastAsia="Arial MT" w:hAnsi="Verdana" w:cs="Arial"/>
                <w:lang w:eastAsia="es-ES" w:bidi="es-ES"/>
              </w:rPr>
              <w:t>. 14.123.</w:t>
            </w:r>
          </w:p>
          <w:p w14:paraId="1ED091C3" w14:textId="77777777" w:rsidR="00674FF0" w:rsidRPr="00AC78D9" w:rsidRDefault="00674FF0" w:rsidP="00674FF0">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AC78D9">
              <w:rPr>
                <w:rFonts w:ascii="Verdana" w:eastAsia="Arial MT" w:hAnsi="Verdana" w:cs="Arial"/>
                <w:lang w:eastAsia="es-ES" w:bidi="es-ES"/>
              </w:rPr>
              <w:t>Consejo de Estado. Sección Tercera</w:t>
            </w:r>
            <w:r>
              <w:rPr>
                <w:rFonts w:ascii="Verdana" w:eastAsia="Arial MT" w:hAnsi="Verdana" w:cs="Arial"/>
                <w:lang w:eastAsia="es-ES" w:bidi="es-ES"/>
              </w:rPr>
              <w:t>, Subsección B.</w:t>
            </w:r>
            <w:r w:rsidRPr="00AC78D9">
              <w:rPr>
                <w:rFonts w:ascii="Verdana" w:eastAsia="Arial MT" w:hAnsi="Verdana" w:cs="Arial"/>
                <w:lang w:eastAsia="es-ES" w:bidi="es-ES"/>
              </w:rPr>
              <w:t xml:space="preserve"> Sentencia del 30 de abril de 2012. C.P. Ruth Stella Correa Palacio. </w:t>
            </w:r>
            <w:proofErr w:type="spellStart"/>
            <w:r w:rsidRPr="00AC78D9">
              <w:rPr>
                <w:rFonts w:ascii="Verdana" w:eastAsia="Arial MT" w:hAnsi="Verdana" w:cs="Arial"/>
                <w:lang w:eastAsia="es-ES" w:bidi="es-ES"/>
              </w:rPr>
              <w:t>Exp</w:t>
            </w:r>
            <w:proofErr w:type="spellEnd"/>
            <w:r w:rsidRPr="00AC78D9">
              <w:rPr>
                <w:rFonts w:ascii="Verdana" w:eastAsia="Arial MT" w:hAnsi="Verdana" w:cs="Arial"/>
                <w:lang w:eastAsia="es-ES" w:bidi="es-ES"/>
              </w:rPr>
              <w:t>. 21.699.</w:t>
            </w:r>
          </w:p>
          <w:p w14:paraId="42749AD0" w14:textId="77777777" w:rsidR="00674FF0" w:rsidRPr="00AC78D9" w:rsidRDefault="00674FF0" w:rsidP="00674FF0">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AC78D9">
              <w:rPr>
                <w:rFonts w:ascii="Verdana" w:eastAsia="Arial MT" w:hAnsi="Verdana" w:cs="Arial"/>
                <w:lang w:eastAsia="es-ES" w:bidi="es-ES"/>
              </w:rPr>
              <w:t>Consejo de Estado, Sección Tercera,</w:t>
            </w:r>
            <w:r>
              <w:rPr>
                <w:rFonts w:ascii="Verdana" w:eastAsia="Arial MT" w:hAnsi="Verdana" w:cs="Arial"/>
                <w:lang w:eastAsia="es-ES" w:bidi="es-ES"/>
              </w:rPr>
              <w:t xml:space="preserve"> Subsección A.</w:t>
            </w:r>
            <w:r w:rsidRPr="00AC78D9">
              <w:rPr>
                <w:rFonts w:ascii="Verdana" w:eastAsia="Arial MT" w:hAnsi="Verdana" w:cs="Arial"/>
                <w:lang w:eastAsia="es-ES" w:bidi="es-ES"/>
              </w:rPr>
              <w:t xml:space="preserve"> Sentencia del 25 </w:t>
            </w:r>
            <w:r w:rsidRPr="00AC78D9">
              <w:rPr>
                <w:rFonts w:ascii="Verdana" w:eastAsia="Arial MT" w:hAnsi="Verdana" w:cs="Arial"/>
                <w:lang w:eastAsia="es-ES" w:bidi="es-ES"/>
              </w:rPr>
              <w:lastRenderedPageBreak/>
              <w:t>de mayo de 2016. C.P. Hernán Andrade Rincón.</w:t>
            </w:r>
          </w:p>
          <w:p w14:paraId="0E640784" w14:textId="77777777" w:rsidR="00674FF0" w:rsidRPr="00AC78D9" w:rsidRDefault="00674FF0" w:rsidP="00674FF0">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AC78D9">
              <w:rPr>
                <w:rFonts w:ascii="Verdana" w:eastAsia="Arial MT" w:hAnsi="Verdana" w:cs="Arial"/>
                <w:lang w:eastAsia="es-ES" w:bidi="es-ES"/>
              </w:rPr>
              <w:t>Con</w:t>
            </w:r>
            <w:r>
              <w:rPr>
                <w:rFonts w:ascii="Verdana" w:eastAsia="Arial MT" w:hAnsi="Verdana" w:cs="Arial"/>
                <w:lang w:eastAsia="es-ES" w:bidi="es-ES"/>
              </w:rPr>
              <w:t>sejo de Estado. Sección Tercera, Subsección A.</w:t>
            </w:r>
            <w:r w:rsidRPr="00AC78D9">
              <w:rPr>
                <w:rFonts w:ascii="Verdana" w:eastAsia="Arial MT" w:hAnsi="Verdana" w:cs="Arial"/>
                <w:lang w:eastAsia="es-ES" w:bidi="es-ES"/>
              </w:rPr>
              <w:t xml:space="preserve"> Sentencia del 19 de julio de 2018, Expediente 36.711. C.P. Carlos Alberto Zambrano Barrera.</w:t>
            </w:r>
          </w:p>
          <w:p w14:paraId="2E810049" w14:textId="77777777" w:rsidR="00674FF0" w:rsidRPr="00AC78D9" w:rsidRDefault="00674FF0" w:rsidP="00674FF0">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094937">
              <w:rPr>
                <w:rFonts w:ascii="Verdana" w:eastAsia="Arial MT" w:hAnsi="Verdana" w:cs="Arial"/>
                <w:lang w:val="pt-BR" w:eastAsia="es-ES" w:bidi="es-ES"/>
              </w:rPr>
              <w:t xml:space="preserve">Corte Constitucional. Sentencia C-183 de 2003.  </w:t>
            </w:r>
            <w:r w:rsidRPr="00AC78D9">
              <w:rPr>
                <w:rFonts w:ascii="Verdana" w:eastAsia="Arial MT" w:hAnsi="Verdana" w:cs="Arial"/>
                <w:lang w:eastAsia="es-ES" w:bidi="es-ES"/>
              </w:rPr>
              <w:t xml:space="preserve">M.P. Alfredo Beltrán Sierra. </w:t>
            </w:r>
          </w:p>
          <w:p w14:paraId="25F4C63D" w14:textId="77777777" w:rsidR="00674FF0" w:rsidRPr="00094937" w:rsidRDefault="00674FF0" w:rsidP="00674FF0">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val="pt-BR" w:eastAsia="es-ES" w:bidi="es-ES"/>
              </w:rPr>
            </w:pPr>
            <w:r w:rsidRPr="00094937">
              <w:rPr>
                <w:rFonts w:ascii="Verdana" w:eastAsia="Arial MT" w:hAnsi="Verdana" w:cs="Arial"/>
                <w:lang w:val="pt-BR" w:eastAsia="es-ES" w:bidi="es-ES"/>
              </w:rPr>
              <w:t xml:space="preserve">Corte Constitucional. Sentencia C-300 de 2012 M.P. Jorge </w:t>
            </w:r>
            <w:proofErr w:type="spellStart"/>
            <w:r w:rsidRPr="00094937">
              <w:rPr>
                <w:rFonts w:ascii="Verdana" w:eastAsia="Arial MT" w:hAnsi="Verdana" w:cs="Arial"/>
                <w:lang w:val="pt-BR" w:eastAsia="es-ES" w:bidi="es-ES"/>
              </w:rPr>
              <w:t>Ignacio</w:t>
            </w:r>
            <w:proofErr w:type="spellEnd"/>
            <w:r w:rsidRPr="00094937">
              <w:rPr>
                <w:rFonts w:ascii="Verdana" w:eastAsia="Arial MT" w:hAnsi="Verdana" w:cs="Arial"/>
                <w:lang w:val="pt-BR" w:eastAsia="es-ES" w:bidi="es-ES"/>
              </w:rPr>
              <w:t xml:space="preserve"> </w:t>
            </w:r>
            <w:proofErr w:type="spellStart"/>
            <w:r w:rsidRPr="00094937">
              <w:rPr>
                <w:rFonts w:ascii="Verdana" w:eastAsia="Arial MT" w:hAnsi="Verdana" w:cs="Arial"/>
                <w:lang w:val="pt-BR" w:eastAsia="es-ES" w:bidi="es-ES"/>
              </w:rPr>
              <w:t>Pretel</w:t>
            </w:r>
            <w:proofErr w:type="spellEnd"/>
            <w:r w:rsidRPr="00094937">
              <w:rPr>
                <w:rFonts w:ascii="Verdana" w:eastAsia="Arial MT" w:hAnsi="Verdana" w:cs="Arial"/>
                <w:lang w:val="pt-BR" w:eastAsia="es-ES" w:bidi="es-ES"/>
              </w:rPr>
              <w:t xml:space="preserve"> </w:t>
            </w:r>
            <w:proofErr w:type="spellStart"/>
            <w:r w:rsidRPr="00094937">
              <w:rPr>
                <w:rFonts w:ascii="Verdana" w:eastAsia="Arial MT" w:hAnsi="Verdana" w:cs="Arial"/>
                <w:lang w:val="pt-BR" w:eastAsia="es-ES" w:bidi="es-ES"/>
              </w:rPr>
              <w:t>Chaljub</w:t>
            </w:r>
            <w:proofErr w:type="spellEnd"/>
            <w:r w:rsidRPr="00094937">
              <w:rPr>
                <w:rFonts w:ascii="Verdana" w:eastAsia="Arial MT" w:hAnsi="Verdana" w:cs="Arial"/>
                <w:lang w:val="pt-BR" w:eastAsia="es-ES" w:bidi="es-ES"/>
              </w:rPr>
              <w:t xml:space="preserve">, </w:t>
            </w:r>
          </w:p>
          <w:p w14:paraId="3A65E435" w14:textId="77777777" w:rsidR="00674FF0" w:rsidRPr="00AC78D9" w:rsidRDefault="00674FF0" w:rsidP="00674FF0">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AC78D9">
              <w:rPr>
                <w:rFonts w:ascii="Verdana" w:eastAsia="Arial MT" w:hAnsi="Verdana" w:cs="Arial"/>
                <w:lang w:eastAsia="es-ES" w:bidi="es-ES"/>
              </w:rPr>
              <w:t xml:space="preserve">BOBBIO, Norberto. Democracia y secreto. México: Fondo de Cultura Económica, 2013. </w:t>
            </w:r>
          </w:p>
          <w:p w14:paraId="71F09B1E" w14:textId="77777777" w:rsidR="00674FF0" w:rsidRDefault="00674FF0" w:rsidP="00674FF0">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AC78D9">
              <w:rPr>
                <w:rFonts w:ascii="Verdana" w:eastAsia="Arial MT" w:hAnsi="Verdana" w:cs="Arial"/>
                <w:lang w:eastAsia="es-ES" w:bidi="es-ES"/>
              </w:rPr>
              <w:t xml:space="preserve">MATALLANA CAMACHO Ernesto. Manual de Contratación de la Administración Pública. Reforma a la Ley 80 de 1993. Universidad Externado de Colombia, Cuarta edición, 2015. </w:t>
            </w:r>
          </w:p>
          <w:p w14:paraId="367BD43F" w14:textId="77777777" w:rsidR="00674FF0" w:rsidRPr="00AC78D9" w:rsidRDefault="00674FF0" w:rsidP="00674FF0">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AC78D9">
              <w:rPr>
                <w:rFonts w:ascii="Verdana" w:eastAsia="Arial MT" w:hAnsi="Verdana" w:cs="Arial"/>
                <w:lang w:val="es-CO" w:eastAsia="es-ES" w:bidi="es-ES"/>
              </w:rPr>
              <w:t>VELÁSQUEZ, Hernán Darío. Estudio sobre obligaciones. Bogotá: Temis, 2010</w:t>
            </w:r>
            <w:r w:rsidRPr="00AC78D9">
              <w:rPr>
                <w:rFonts w:ascii="Verdana" w:eastAsia="Arial MT" w:hAnsi="Verdana" w:cs="Arial"/>
                <w:lang w:eastAsia="es-ES" w:bidi="es-ES"/>
              </w:rPr>
              <w:t xml:space="preserve">  </w:t>
            </w:r>
          </w:p>
        </w:tc>
      </w:tr>
    </w:tbl>
    <w:p w14:paraId="33C2ACA0" w14:textId="7948F676" w:rsidR="00674FF0" w:rsidRPr="00B57A1B" w:rsidRDefault="00674FF0" w:rsidP="00674FF0">
      <w:pPr>
        <w:widowControl w:val="0"/>
        <w:autoSpaceDE w:val="0"/>
        <w:autoSpaceDN w:val="0"/>
        <w:spacing w:after="0" w:line="276" w:lineRule="auto"/>
        <w:jc w:val="both"/>
        <w:rPr>
          <w:rFonts w:ascii="Verdana" w:hAnsi="Verdana" w:cs="Arial"/>
        </w:rPr>
      </w:pPr>
    </w:p>
    <w:p w14:paraId="4E655462" w14:textId="77777777" w:rsidR="00674FF0" w:rsidRPr="00B57A1B" w:rsidRDefault="00674FF0" w:rsidP="00674FF0">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206320C6" w14:textId="77777777" w:rsidR="00674FF0" w:rsidRPr="00B57A1B" w:rsidRDefault="00674FF0" w:rsidP="00674FF0">
      <w:pPr>
        <w:widowControl w:val="0"/>
        <w:autoSpaceDE w:val="0"/>
        <w:autoSpaceDN w:val="0"/>
        <w:spacing w:after="0" w:line="276" w:lineRule="auto"/>
        <w:jc w:val="both"/>
        <w:rPr>
          <w:rFonts w:ascii="Verdana" w:hAnsi="Verdana" w:cs="Arial"/>
        </w:rPr>
      </w:pPr>
    </w:p>
    <w:p w14:paraId="15ED185C" w14:textId="77777777" w:rsidR="00674FF0" w:rsidRPr="00530A1F" w:rsidRDefault="00674FF0" w:rsidP="00674FF0">
      <w:pPr>
        <w:widowControl w:val="0"/>
        <w:autoSpaceDE w:val="0"/>
        <w:autoSpaceDN w:val="0"/>
        <w:spacing w:after="0" w:line="276" w:lineRule="auto"/>
        <w:jc w:val="both"/>
        <w:rPr>
          <w:rFonts w:ascii="Verdana" w:hAnsi="Verdana" w:cs="Arial"/>
          <w:bCs/>
          <w:shd w:val="clear" w:color="auto" w:fill="FFFFFF"/>
        </w:rPr>
      </w:pPr>
      <w:r w:rsidRPr="00392E13">
        <w:rPr>
          <w:rFonts w:ascii="Verdana" w:hAnsi="Verdana" w:cs="Arial"/>
          <w:bCs/>
          <w:shd w:val="clear" w:color="auto" w:fill="FFFFFF"/>
        </w:rPr>
        <w:t>La Agencia Nacional de Contratación Públi</w:t>
      </w:r>
      <w:r>
        <w:rPr>
          <w:rFonts w:ascii="Verdana" w:hAnsi="Verdana" w:cs="Arial"/>
          <w:bCs/>
          <w:shd w:val="clear" w:color="auto" w:fill="FFFFFF"/>
        </w:rPr>
        <w:t xml:space="preserve">ca – Colombia Compra Eficiente, en referencia a la enajenación de bienes muebles a título gratuito se han expedido los conceptos con Radicado </w:t>
      </w:r>
      <w:r w:rsidRPr="00530A1F">
        <w:rPr>
          <w:rFonts w:ascii="Verdana" w:hAnsi="Verdana" w:cs="Arial"/>
          <w:bCs/>
          <w:shd w:val="clear" w:color="auto" w:fill="FFFFFF"/>
          <w:lang w:val="es-ES_tradnl"/>
        </w:rPr>
        <w:t xml:space="preserve">No. 2201913000007905 del 23 de octubre de 2019, 2201913000008259 del 6 de noviembre de 2019, C-186 del 17 de marzo de 2020, </w:t>
      </w:r>
      <w:r w:rsidRPr="00530A1F">
        <w:rPr>
          <w:rFonts w:ascii="Verdana" w:hAnsi="Verdana" w:cs="Arial"/>
          <w:bCs/>
          <w:shd w:val="clear" w:color="auto" w:fill="FFFFFF"/>
        </w:rPr>
        <w:t>C-6</w:t>
      </w:r>
      <w:r>
        <w:rPr>
          <w:rFonts w:ascii="Verdana" w:hAnsi="Verdana" w:cs="Arial"/>
          <w:bCs/>
          <w:shd w:val="clear" w:color="auto" w:fill="FFFFFF"/>
        </w:rPr>
        <w:t xml:space="preserve">61 del 17 de noviembre de 2020, </w:t>
      </w:r>
      <w:r w:rsidRPr="00530A1F">
        <w:rPr>
          <w:rFonts w:ascii="Verdana" w:hAnsi="Verdana" w:cs="Arial"/>
          <w:bCs/>
          <w:shd w:val="clear" w:color="auto" w:fill="FFFFFF"/>
        </w:rPr>
        <w:t>C-397 del 18 de julio de 2022</w:t>
      </w:r>
      <w:r>
        <w:rPr>
          <w:rFonts w:ascii="Verdana" w:hAnsi="Verdana" w:cs="Arial"/>
          <w:bCs/>
          <w:shd w:val="clear" w:color="auto" w:fill="FFFFFF"/>
        </w:rPr>
        <w:t xml:space="preserve">, C-704 del 26 de octubre de 2022, C- 825 del 5 de agosto de 2025, entre otros. En torno al deber de publicidad </w:t>
      </w:r>
      <w:r w:rsidRPr="00392E13">
        <w:rPr>
          <w:rFonts w:ascii="Verdana" w:hAnsi="Verdana" w:cs="Arial"/>
          <w:bCs/>
          <w:shd w:val="clear" w:color="auto" w:fill="FFFFFF"/>
        </w:rPr>
        <w:t xml:space="preserve">en los conceptos </w:t>
      </w:r>
      <w:r w:rsidRPr="00392E13">
        <w:rPr>
          <w:rFonts w:ascii="Verdana" w:hAnsi="Verdana" w:cs="Arial"/>
          <w:bCs/>
          <w:shd w:val="clear" w:color="auto" w:fill="FFFFFF"/>
          <w:lang w:val="es-ES_tradnl"/>
        </w:rPr>
        <w:t>CU-367 del 23 de julio de 2020, reiterado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y C-804 de 2024</w:t>
      </w:r>
      <w:r w:rsidRPr="00392E13">
        <w:rPr>
          <w:rFonts w:ascii="Verdana" w:hAnsi="Verdana" w:cs="Arial"/>
          <w:bCs/>
          <w:shd w:val="clear" w:color="auto" w:fill="FFFFFF"/>
        </w:rPr>
        <w:t>, C-185 del 2</w:t>
      </w:r>
      <w:r>
        <w:rPr>
          <w:rFonts w:ascii="Verdana" w:hAnsi="Verdana" w:cs="Arial"/>
          <w:bCs/>
          <w:shd w:val="clear" w:color="auto" w:fill="FFFFFF"/>
        </w:rPr>
        <w:t>4 de marzo de 2025, C-487 del 30 de mayo de 2025, 1177 del 1 de octubre de 2025, entre otros.</w:t>
      </w:r>
      <w:r>
        <w:rPr>
          <w:rFonts w:ascii="Verdana" w:hAnsi="Verdana" w:cs="Arial"/>
          <w:shd w:val="clear" w:color="auto" w:fill="FFFFFF"/>
        </w:rPr>
        <w:t xml:space="preserve"> </w:t>
      </w:r>
      <w:r w:rsidRPr="00185EE9">
        <w:rPr>
          <w:rFonts w:ascii="Verdana" w:eastAsia="Calibri" w:hAnsi="Verdana" w:cs="Times New Roman"/>
        </w:rPr>
        <w:t xml:space="preserve">Estos y otros conceptos se encuentran disponibles para consulta en el Sistema de </w:t>
      </w:r>
      <w:r w:rsidRPr="00185EE9">
        <w:rPr>
          <w:rFonts w:ascii="Verdana" w:eastAsia="Calibri" w:hAnsi="Verdana" w:cs="Times New Roman"/>
        </w:rPr>
        <w:lastRenderedPageBreak/>
        <w:t>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3CC3F63" w14:textId="77777777" w:rsidR="00674FF0" w:rsidRPr="00185EE9" w:rsidRDefault="008A0720" w:rsidP="00674FF0">
      <w:pPr>
        <w:spacing w:after="0" w:line="256" w:lineRule="auto"/>
        <w:jc w:val="both"/>
        <w:rPr>
          <w:rFonts w:ascii="Verdana" w:eastAsia="Calibri" w:hAnsi="Verdana" w:cs="Times New Roman"/>
        </w:rPr>
      </w:pPr>
      <w:hyperlink r:id="rId13" w:history="1">
        <w:r w:rsidR="00674FF0" w:rsidRPr="00F14AAD">
          <w:rPr>
            <w:rStyle w:val="Hipervnculo"/>
            <w:rFonts w:ascii="Verdana" w:eastAsia="Calibri" w:hAnsi="Verdana" w:cs="Times New Roman"/>
            <w:lang w:val="es-ES"/>
          </w:rPr>
          <w:t>https://relatoria.colombiacompra.gov.co/busqueda/conceptos</w:t>
        </w:r>
      </w:hyperlink>
      <w:r w:rsidR="00674FF0" w:rsidRPr="00185EE9">
        <w:rPr>
          <w:rFonts w:ascii="Verdana" w:eastAsia="Calibri" w:hAnsi="Verdana" w:cs="Times New Roman"/>
        </w:rPr>
        <w:t xml:space="preserve">. </w:t>
      </w:r>
    </w:p>
    <w:p w14:paraId="0DA89B20" w14:textId="77777777" w:rsidR="00674FF0" w:rsidRPr="00B57A1B" w:rsidRDefault="00674FF0" w:rsidP="00674FF0">
      <w:pPr>
        <w:spacing w:after="0"/>
        <w:jc w:val="both"/>
        <w:rPr>
          <w:rFonts w:ascii="Verdana" w:hAnsi="Verdana"/>
        </w:rPr>
      </w:pPr>
    </w:p>
    <w:p w14:paraId="1853CC28" w14:textId="77777777" w:rsidR="00674FF0" w:rsidRPr="00B57A1B" w:rsidRDefault="00674FF0" w:rsidP="00674FF0">
      <w:pPr>
        <w:spacing w:after="0" w:line="256" w:lineRule="auto"/>
        <w:jc w:val="both"/>
        <w:rPr>
          <w:rFonts w:ascii="Verdana" w:eastAsia="Calibri" w:hAnsi="Verdana" w:cs="Times New Roman"/>
        </w:rPr>
      </w:pPr>
      <w:r w:rsidRPr="00B57A1B">
        <w:rPr>
          <w:rFonts w:ascii="Verdana" w:eastAsia="Calibri" w:hAnsi="Verdana" w:cs="Times New Roman"/>
        </w:rPr>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se </w:t>
      </w:r>
      <w:proofErr w:type="spellStart"/>
      <w:r w:rsidRPr="00B57A1B">
        <w:rPr>
          <w:rFonts w:ascii="Verdana" w:eastAsia="Calibri" w:hAnsi="Verdana" w:cs="Times New Roman"/>
        </w:rPr>
        <w:t>expedide</w:t>
      </w:r>
      <w:proofErr w:type="spellEnd"/>
      <w:r w:rsidRPr="00B57A1B">
        <w:rPr>
          <w:rFonts w:ascii="Verdana" w:eastAsia="Calibri" w:hAnsi="Verdana" w:cs="Times New Roman"/>
        </w:rPr>
        <w:t xml:space="preserv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57A1B">
        <w:rPr>
          <w:rFonts w:ascii="Verdana" w:eastAsia="Calibri" w:hAnsi="Verdana" w:cs="Times New Roman"/>
        </w:rPr>
        <w:t>Wayúu</w:t>
      </w:r>
      <w:proofErr w:type="spellEnd"/>
      <w:r w:rsidRPr="00B57A1B">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61CBD07A" w14:textId="77777777" w:rsidR="00674FF0" w:rsidRPr="00B57A1B" w:rsidRDefault="00674FF0" w:rsidP="00674FF0">
      <w:pPr>
        <w:spacing w:after="0" w:line="240" w:lineRule="auto"/>
        <w:jc w:val="both"/>
        <w:rPr>
          <w:rFonts w:ascii="Verdana" w:hAnsi="Verdana"/>
        </w:rPr>
      </w:pPr>
    </w:p>
    <w:p w14:paraId="6309D021" w14:textId="77777777" w:rsidR="00674FF0" w:rsidRPr="00B57A1B" w:rsidRDefault="00674FF0" w:rsidP="00674FF0">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A826CD7" w14:textId="77777777" w:rsidR="00674FF0" w:rsidRPr="00B57A1B" w:rsidRDefault="00674FF0" w:rsidP="00674FF0">
      <w:pPr>
        <w:spacing w:after="0" w:line="256" w:lineRule="auto"/>
        <w:jc w:val="both"/>
        <w:rPr>
          <w:rFonts w:ascii="Verdana" w:eastAsia="Calibri" w:hAnsi="Verdana" w:cs="Times New Roman"/>
        </w:rPr>
      </w:pPr>
    </w:p>
    <w:p w14:paraId="4DE56705" w14:textId="799D9ECE" w:rsidR="008B7171" w:rsidRPr="00B57A1B" w:rsidRDefault="00674FF0" w:rsidP="00674FF0">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5104886F" w14:textId="7517D7FE" w:rsidR="008B7171" w:rsidRPr="008B7171" w:rsidRDefault="00345791" w:rsidP="00345791">
      <w:pPr>
        <w:spacing w:after="0" w:line="256" w:lineRule="auto"/>
        <w:jc w:val="center"/>
        <w:rPr>
          <w:noProof/>
          <w:lang w:val="en-US"/>
        </w:rPr>
      </w:pPr>
      <w:r w:rsidRPr="002C3AD6">
        <w:rPr>
          <w:rFonts w:ascii="Century Gothic" w:hAnsi="Century Gothic"/>
          <w:noProof/>
          <w:lang w:val="en-US"/>
        </w:rPr>
        <w:drawing>
          <wp:inline distT="0" distB="0" distL="0" distR="0" wp14:anchorId="58072584" wp14:editId="25371D5C">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312722" cy="1229722"/>
                    </a:xfrm>
                    <a:prstGeom prst="rect">
                      <a:avLst/>
                    </a:prstGeom>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674FF0" w:rsidRPr="00B57A1B" w14:paraId="3A6B4B1F" w14:textId="77777777" w:rsidTr="00167CF4">
        <w:trPr>
          <w:trHeight w:val="409"/>
        </w:trPr>
        <w:tc>
          <w:tcPr>
            <w:tcW w:w="817" w:type="dxa"/>
            <w:tcBorders>
              <w:top w:val="nil"/>
              <w:left w:val="nil"/>
              <w:bottom w:val="nil"/>
              <w:right w:val="nil"/>
            </w:tcBorders>
            <w:vAlign w:val="center"/>
            <w:hideMark/>
          </w:tcPr>
          <w:p w14:paraId="4CD28B8A" w14:textId="77777777" w:rsidR="00674FF0" w:rsidRPr="00B57A1B" w:rsidRDefault="00674FF0" w:rsidP="00167CF4">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443FFC2F" w14:textId="77777777" w:rsidR="00674FF0" w:rsidRPr="00B57A1B" w:rsidRDefault="00674FF0" w:rsidP="00167CF4">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65BA62C0" w14:textId="77777777" w:rsidR="00674FF0" w:rsidRPr="00B57A1B" w:rsidRDefault="00674FF0" w:rsidP="00167CF4">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674FF0" w:rsidRPr="00B57A1B" w14:paraId="2B6EF052" w14:textId="77777777" w:rsidTr="00167CF4">
        <w:trPr>
          <w:trHeight w:val="409"/>
        </w:trPr>
        <w:tc>
          <w:tcPr>
            <w:tcW w:w="817" w:type="dxa"/>
            <w:tcBorders>
              <w:top w:val="nil"/>
              <w:left w:val="nil"/>
              <w:bottom w:val="nil"/>
              <w:right w:val="nil"/>
            </w:tcBorders>
            <w:vAlign w:val="center"/>
            <w:hideMark/>
          </w:tcPr>
          <w:p w14:paraId="412DC944" w14:textId="77777777" w:rsidR="00674FF0" w:rsidRPr="00B57A1B" w:rsidRDefault="00674FF0" w:rsidP="00167CF4">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48F09DA" w14:textId="77777777" w:rsidR="00674FF0" w:rsidRPr="00B57A1B" w:rsidRDefault="00674FF0" w:rsidP="00167CF4">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4E79A2FF" w14:textId="77777777" w:rsidR="00674FF0" w:rsidRPr="00B57A1B" w:rsidRDefault="00674FF0" w:rsidP="00167CF4">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674FF0" w:rsidRPr="00B57A1B" w14:paraId="377A7115" w14:textId="77777777" w:rsidTr="00167CF4">
        <w:trPr>
          <w:trHeight w:val="389"/>
        </w:trPr>
        <w:tc>
          <w:tcPr>
            <w:tcW w:w="817" w:type="dxa"/>
            <w:tcBorders>
              <w:top w:val="nil"/>
              <w:left w:val="nil"/>
              <w:bottom w:val="nil"/>
              <w:right w:val="nil"/>
            </w:tcBorders>
            <w:vAlign w:val="center"/>
            <w:hideMark/>
          </w:tcPr>
          <w:p w14:paraId="5A0651E7" w14:textId="5119193B" w:rsidR="00674FF0" w:rsidRPr="00B57A1B" w:rsidRDefault="00674FF0" w:rsidP="00167CF4">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F80FC23" w14:textId="77777777" w:rsidR="00674FF0" w:rsidRPr="00B57A1B" w:rsidRDefault="00674FF0" w:rsidP="00167CF4">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 xml:space="preserve">Carolina Quintero </w:t>
            </w:r>
            <w:proofErr w:type="spellStart"/>
            <w:r w:rsidRPr="00B57A1B">
              <w:rPr>
                <w:rFonts w:ascii="Verdana" w:eastAsia="Calibri" w:hAnsi="Verdana" w:cs="Times New Roman"/>
                <w:sz w:val="16"/>
                <w:szCs w:val="16"/>
              </w:rPr>
              <w:t>Gacharná</w:t>
            </w:r>
            <w:proofErr w:type="spellEnd"/>
          </w:p>
          <w:p w14:paraId="52558FCC" w14:textId="77777777" w:rsidR="00674FF0" w:rsidRPr="00B57A1B" w:rsidRDefault="00674FF0" w:rsidP="00167CF4">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bookmarkEnd w:id="0"/>
    </w:tbl>
    <w:p w14:paraId="0F293BF4" w14:textId="010BE5DC" w:rsidR="00127233" w:rsidRPr="00674FF0" w:rsidRDefault="00127233" w:rsidP="00674FF0"/>
    <w:sectPr w:rsidR="00127233" w:rsidRPr="00674FF0"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10BB04" w14:textId="77777777" w:rsidR="008A0720" w:rsidRDefault="008A0720" w:rsidP="004A1847">
      <w:pPr>
        <w:spacing w:after="0" w:line="240" w:lineRule="auto"/>
      </w:pPr>
      <w:r>
        <w:separator/>
      </w:r>
    </w:p>
  </w:endnote>
  <w:endnote w:type="continuationSeparator" w:id="0">
    <w:p w14:paraId="1AF417CB" w14:textId="77777777" w:rsidR="008A0720" w:rsidRDefault="008A072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altName w:val="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AC78D9" w:rsidRDefault="00AC78D9">
    <w:pPr>
      <w:pStyle w:val="Piedepgina"/>
    </w:pPr>
  </w:p>
  <w:p w14:paraId="594D6D9F" w14:textId="1B6DE8FB" w:rsidR="00AC78D9" w:rsidRPr="00174B77" w:rsidRDefault="00AC78D9"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345791" w:rsidRPr="00345791">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AC78D9" w:rsidRDefault="00AC78D9"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AC78D9" w:rsidRPr="00E41027" w:rsidRDefault="00AC78D9"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AC78D9" w:rsidRDefault="00AC78D9"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18EEBC" w14:textId="77777777" w:rsidR="008A0720" w:rsidRDefault="008A0720" w:rsidP="004A1847">
      <w:pPr>
        <w:spacing w:after="0" w:line="240" w:lineRule="auto"/>
      </w:pPr>
      <w:r>
        <w:separator/>
      </w:r>
    </w:p>
  </w:footnote>
  <w:footnote w:type="continuationSeparator" w:id="0">
    <w:p w14:paraId="0E31197E" w14:textId="77777777" w:rsidR="008A0720" w:rsidRDefault="008A0720" w:rsidP="004A1847">
      <w:pPr>
        <w:spacing w:after="0" w:line="240" w:lineRule="auto"/>
      </w:pPr>
      <w:r>
        <w:continuationSeparator/>
      </w:r>
    </w:p>
  </w:footnote>
  <w:footnote w:id="1">
    <w:p w14:paraId="0B5E0F41" w14:textId="77777777" w:rsidR="00674FF0" w:rsidRPr="008B7171" w:rsidRDefault="00674FF0" w:rsidP="00674FF0">
      <w:pPr>
        <w:pStyle w:val="Textonotapie"/>
        <w:ind w:firstLine="709"/>
        <w:jc w:val="both"/>
        <w:rPr>
          <w:rFonts w:ascii="Verdana" w:hAnsi="Verdana" w:cs="Arial"/>
          <w:color w:val="000000" w:themeColor="text1"/>
          <w:sz w:val="15"/>
          <w:szCs w:val="15"/>
        </w:rPr>
      </w:pPr>
      <w:r w:rsidRPr="008B7171">
        <w:rPr>
          <w:rStyle w:val="Refdenotaalpie"/>
          <w:rFonts w:ascii="Verdana" w:hAnsi="Verdana" w:cs="Arial"/>
          <w:color w:val="000000" w:themeColor="text1"/>
          <w:sz w:val="15"/>
          <w:szCs w:val="15"/>
        </w:rPr>
        <w:footnoteRef/>
      </w:r>
      <w:r w:rsidRPr="008B7171">
        <w:rPr>
          <w:rFonts w:ascii="Verdana" w:hAnsi="Verdana" w:cs="Arial"/>
          <w:color w:val="000000" w:themeColor="text1"/>
          <w:sz w:val="15"/>
          <w:szCs w:val="15"/>
        </w:rPr>
        <w:t xml:space="preserve"> En los términos del artículo 665 del Código Civil: “Derecho real es el que tenemos sobre una cosa sin </w:t>
      </w:r>
      <w:proofErr w:type="spellStart"/>
      <w:r w:rsidRPr="008B7171">
        <w:rPr>
          <w:rFonts w:ascii="Verdana" w:hAnsi="Verdana" w:cs="Arial"/>
          <w:color w:val="000000" w:themeColor="text1"/>
          <w:sz w:val="15"/>
          <w:szCs w:val="15"/>
        </w:rPr>
        <w:t>especto</w:t>
      </w:r>
      <w:proofErr w:type="spellEnd"/>
      <w:r w:rsidRPr="008B7171">
        <w:rPr>
          <w:rFonts w:ascii="Verdana" w:hAnsi="Verdana" w:cs="Arial"/>
          <w:color w:val="000000" w:themeColor="text1"/>
          <w:sz w:val="15"/>
          <w:szCs w:val="15"/>
        </w:rPr>
        <w:t xml:space="preserve"> a determinada persona.</w:t>
      </w:r>
    </w:p>
    <w:p w14:paraId="327BF938" w14:textId="77777777" w:rsidR="00674FF0" w:rsidRPr="008B7171" w:rsidRDefault="00674FF0" w:rsidP="00674FF0">
      <w:pPr>
        <w:pStyle w:val="Textonotapie"/>
        <w:ind w:firstLine="709"/>
        <w:jc w:val="both"/>
        <w:rPr>
          <w:rFonts w:ascii="Verdana" w:hAnsi="Verdana" w:cs="Arial"/>
          <w:color w:val="000000" w:themeColor="text1"/>
          <w:sz w:val="15"/>
          <w:szCs w:val="15"/>
        </w:rPr>
      </w:pPr>
      <w:r w:rsidRPr="008B7171">
        <w:rPr>
          <w:rFonts w:ascii="Verdana" w:hAnsi="Verdana" w:cs="Arial"/>
          <w:color w:val="000000" w:themeColor="text1"/>
          <w:sz w:val="15"/>
          <w:szCs w:val="15"/>
        </w:rPr>
        <w:t>Son derechos reales el de dominio, el de herencia, los de usufructo, uso o habitación, los de servidumbres activas, el de prenda y el de hipoteca. De estos derechos nacen las acciones reales”.</w:t>
      </w:r>
    </w:p>
    <w:p w14:paraId="5914B38E" w14:textId="77777777" w:rsidR="00674FF0" w:rsidRPr="008B7171" w:rsidRDefault="00674FF0" w:rsidP="00674FF0">
      <w:pPr>
        <w:pStyle w:val="Textonotapie"/>
        <w:ind w:firstLine="709"/>
        <w:jc w:val="both"/>
        <w:rPr>
          <w:rFonts w:ascii="Verdana" w:hAnsi="Verdana" w:cs="Arial"/>
          <w:color w:val="000000" w:themeColor="text1"/>
          <w:sz w:val="15"/>
          <w:szCs w:val="15"/>
        </w:rPr>
      </w:pPr>
    </w:p>
  </w:footnote>
  <w:footnote w:id="2">
    <w:p w14:paraId="0A39431A" w14:textId="77777777" w:rsidR="00674FF0" w:rsidRPr="008B7171" w:rsidRDefault="00674FF0" w:rsidP="00674FF0">
      <w:pPr>
        <w:pStyle w:val="Textonotapie"/>
        <w:ind w:firstLine="709"/>
        <w:jc w:val="both"/>
        <w:rPr>
          <w:rFonts w:ascii="Verdana" w:hAnsi="Verdana" w:cs="Arial"/>
          <w:color w:val="000000" w:themeColor="text1"/>
          <w:sz w:val="15"/>
          <w:szCs w:val="15"/>
        </w:rPr>
      </w:pPr>
      <w:r w:rsidRPr="008B7171">
        <w:rPr>
          <w:rStyle w:val="Refdenotaalpie"/>
          <w:rFonts w:ascii="Verdana" w:hAnsi="Verdana" w:cs="Arial"/>
          <w:color w:val="000000" w:themeColor="text1"/>
          <w:sz w:val="15"/>
          <w:szCs w:val="15"/>
        </w:rPr>
        <w:footnoteRef/>
      </w:r>
      <w:r w:rsidRPr="008B7171">
        <w:rPr>
          <w:rFonts w:ascii="Verdana" w:hAnsi="Verdana" w:cs="Arial"/>
          <w:color w:val="000000" w:themeColor="text1"/>
          <w:sz w:val="15"/>
          <w:szCs w:val="15"/>
        </w:rPr>
        <w:t xml:space="preserve"> Según el Diccionario del español jurídico, enajenar es «Disponer de un bien o derecho transmitiendo su titularidad». En sitio web: https://dej.rae.es/lema/enajenar. Por su parte, la jurisprudencia ha definido la enajenación del siguiente modo: “En términos jurídicos ’enajenación’ significa ’La transmisión de la propiedad de una cosa, a cambio de otra (como en la compraventa y en la permuta) o gratuitamente (como en la donación y el préstamo sin interés).</w:t>
      </w:r>
    </w:p>
    <w:p w14:paraId="51D0013B" w14:textId="77777777" w:rsidR="00674FF0" w:rsidRPr="008B7171" w:rsidRDefault="00674FF0" w:rsidP="00674FF0">
      <w:pPr>
        <w:spacing w:after="0" w:line="240" w:lineRule="auto"/>
        <w:ind w:firstLine="709"/>
        <w:jc w:val="both"/>
        <w:rPr>
          <w:rFonts w:ascii="Verdana" w:hAnsi="Verdana" w:cs="Arial"/>
          <w:color w:val="000000" w:themeColor="text1"/>
          <w:sz w:val="15"/>
          <w:szCs w:val="15"/>
        </w:rPr>
      </w:pPr>
      <w:r w:rsidRPr="008B7171">
        <w:rPr>
          <w:rFonts w:ascii="Verdana" w:hAnsi="Verdana" w:cs="Arial"/>
          <w:color w:val="000000" w:themeColor="text1"/>
          <w:sz w:val="15"/>
          <w:szCs w:val="15"/>
        </w:rPr>
        <w:t xml:space="preserve">Igualmente, para la doctrina la palabra enajenación en su sentido natural indica la transmisión de cualquier derecho patrimonial de una cabeza a otra, por lo que constituye una adquisición derivada por acto entre vivos del contenido total o parcial de un derecho” (Consejo de Estado. Sección Cuarta. Sentencia del 6 de febrero de 2006. C.P. María Inés Ortiz Barbosa. </w:t>
      </w:r>
      <w:proofErr w:type="spellStart"/>
      <w:r w:rsidRPr="008B7171">
        <w:rPr>
          <w:rFonts w:ascii="Verdana" w:hAnsi="Verdana" w:cs="Arial"/>
          <w:color w:val="000000" w:themeColor="text1"/>
          <w:sz w:val="15"/>
          <w:szCs w:val="15"/>
        </w:rPr>
        <w:t>Exp</w:t>
      </w:r>
      <w:proofErr w:type="spellEnd"/>
      <w:r w:rsidRPr="008B7171">
        <w:rPr>
          <w:rFonts w:ascii="Verdana" w:hAnsi="Verdana" w:cs="Arial"/>
          <w:color w:val="000000" w:themeColor="text1"/>
          <w:sz w:val="15"/>
          <w:szCs w:val="15"/>
        </w:rPr>
        <w:t>. 14.123).</w:t>
      </w:r>
    </w:p>
  </w:footnote>
  <w:footnote w:id="3">
    <w:p w14:paraId="33CC0488" w14:textId="77777777" w:rsidR="00674FF0" w:rsidRPr="008B7171" w:rsidRDefault="00674FF0" w:rsidP="00674FF0">
      <w:pPr>
        <w:pStyle w:val="Textonotapie"/>
        <w:ind w:firstLine="709"/>
        <w:jc w:val="both"/>
        <w:rPr>
          <w:rFonts w:ascii="Verdana" w:hAnsi="Verdana" w:cs="Arial"/>
          <w:color w:val="000000" w:themeColor="text1"/>
          <w:sz w:val="15"/>
          <w:szCs w:val="15"/>
        </w:rPr>
      </w:pPr>
      <w:r w:rsidRPr="008B7171">
        <w:rPr>
          <w:rStyle w:val="Refdenotaalpie"/>
          <w:rFonts w:ascii="Verdana" w:hAnsi="Verdana" w:cs="Arial"/>
          <w:color w:val="000000" w:themeColor="text1"/>
          <w:sz w:val="15"/>
          <w:szCs w:val="15"/>
        </w:rPr>
        <w:footnoteRef/>
      </w:r>
      <w:r w:rsidRPr="008B7171">
        <w:rPr>
          <w:rFonts w:ascii="Verdana" w:hAnsi="Verdana" w:cs="Arial"/>
          <w:color w:val="000000" w:themeColor="text1"/>
          <w:sz w:val="15"/>
          <w:szCs w:val="15"/>
        </w:rPr>
        <w:t xml:space="preserve"> VELÁSQUEZ, Hernán Darío. Estudio sobre obligaciones. Bogotá: Temis, 2010. p. 10.</w:t>
      </w:r>
    </w:p>
  </w:footnote>
  <w:footnote w:id="4">
    <w:p w14:paraId="34D6B5EA" w14:textId="77777777" w:rsidR="00674FF0" w:rsidRPr="008B7171" w:rsidRDefault="00674FF0" w:rsidP="00674FF0">
      <w:pPr>
        <w:pStyle w:val="Textonotapie"/>
        <w:ind w:firstLine="709"/>
        <w:jc w:val="both"/>
        <w:rPr>
          <w:rFonts w:ascii="Verdana" w:hAnsi="Verdana" w:cs="Arial"/>
          <w:color w:val="000000" w:themeColor="text1"/>
          <w:sz w:val="15"/>
          <w:szCs w:val="15"/>
        </w:rPr>
      </w:pPr>
      <w:r w:rsidRPr="008B7171">
        <w:rPr>
          <w:rStyle w:val="Refdenotaalpie"/>
          <w:rFonts w:ascii="Verdana" w:hAnsi="Verdana" w:cs="Arial"/>
          <w:color w:val="000000" w:themeColor="text1"/>
          <w:sz w:val="15"/>
          <w:szCs w:val="15"/>
        </w:rPr>
        <w:footnoteRef/>
      </w:r>
      <w:r w:rsidRPr="008B7171">
        <w:rPr>
          <w:rFonts w:ascii="Verdana" w:hAnsi="Verdana" w:cs="Arial"/>
          <w:color w:val="000000" w:themeColor="text1"/>
          <w:sz w:val="15"/>
          <w:szCs w:val="15"/>
        </w:rPr>
        <w:t xml:space="preserve"> “Los modos de adquirir el dominio son la ocupación, la accesión, la tradición, la sucesión por causa de muerte y la prescripción”.</w:t>
      </w:r>
    </w:p>
  </w:footnote>
  <w:footnote w:id="5">
    <w:p w14:paraId="2C0DAA0D" w14:textId="77777777" w:rsidR="00674FF0" w:rsidRPr="008B7171" w:rsidRDefault="00674FF0" w:rsidP="00674FF0">
      <w:pPr>
        <w:spacing w:after="0" w:line="240" w:lineRule="auto"/>
        <w:ind w:firstLine="709"/>
        <w:jc w:val="both"/>
        <w:rPr>
          <w:rFonts w:ascii="Verdana" w:hAnsi="Verdana" w:cs="Arial"/>
          <w:color w:val="000000" w:themeColor="text1"/>
          <w:sz w:val="15"/>
          <w:szCs w:val="15"/>
          <w:lang w:val="es-ES"/>
        </w:rPr>
      </w:pPr>
      <w:r w:rsidRPr="008B7171">
        <w:rPr>
          <w:rStyle w:val="Refdenotaalpie"/>
          <w:rFonts w:ascii="Verdana" w:hAnsi="Verdana" w:cs="Arial"/>
          <w:color w:val="000000" w:themeColor="text1"/>
          <w:sz w:val="15"/>
          <w:szCs w:val="15"/>
        </w:rPr>
        <w:footnoteRef/>
      </w:r>
      <w:r w:rsidRPr="008B7171">
        <w:rPr>
          <w:rFonts w:ascii="Verdana" w:hAnsi="Verdana" w:cs="Arial"/>
          <w:color w:val="000000" w:themeColor="text1"/>
          <w:sz w:val="15"/>
          <w:szCs w:val="15"/>
        </w:rPr>
        <w:t xml:space="preserve"> </w:t>
      </w:r>
      <w:r w:rsidRPr="008B7171">
        <w:rPr>
          <w:rFonts w:ascii="Verdana" w:hAnsi="Verdana" w:cs="Arial"/>
          <w:color w:val="000000" w:themeColor="text1"/>
          <w:sz w:val="15"/>
          <w:szCs w:val="15"/>
          <w:lang w:val="es-ES"/>
        </w:rPr>
        <w:t>Según el artículo 749 del Código Civil “Si la ley exige solemnidades especiales para la enajenación, no se transfiere el dominio sin ellas”.</w:t>
      </w:r>
    </w:p>
  </w:footnote>
  <w:footnote w:id="6">
    <w:p w14:paraId="2341789C" w14:textId="77777777" w:rsidR="00674FF0" w:rsidRPr="008B7171" w:rsidRDefault="00674FF0" w:rsidP="00674FF0">
      <w:pPr>
        <w:pStyle w:val="Textonotapie"/>
        <w:ind w:firstLine="708"/>
        <w:jc w:val="both"/>
        <w:rPr>
          <w:rFonts w:ascii="Verdana" w:hAnsi="Verdana" w:cs="Arial"/>
          <w:sz w:val="15"/>
          <w:szCs w:val="15"/>
          <w:lang w:val="es-ES"/>
        </w:rPr>
      </w:pPr>
      <w:r w:rsidRPr="008B7171">
        <w:rPr>
          <w:rStyle w:val="Refdenotaalpie"/>
          <w:rFonts w:ascii="Verdana" w:hAnsi="Verdana" w:cs="Arial"/>
          <w:sz w:val="15"/>
          <w:szCs w:val="15"/>
        </w:rPr>
        <w:footnoteRef/>
      </w:r>
      <w:r w:rsidRPr="008B7171">
        <w:rPr>
          <w:rFonts w:ascii="Verdana" w:hAnsi="Verdana" w:cs="Arial"/>
          <w:sz w:val="15"/>
          <w:szCs w:val="15"/>
        </w:rPr>
        <w:t xml:space="preserve"> Consejo de Estado, Sección Tercera, Subsección A. Sentencia del 25 de mayo de 2016. C.P. Hernán Andrade Rincón.</w:t>
      </w:r>
    </w:p>
  </w:footnote>
  <w:footnote w:id="7">
    <w:p w14:paraId="21BCC1E1" w14:textId="77777777" w:rsidR="00674FF0" w:rsidRPr="008B7171" w:rsidRDefault="00674FF0" w:rsidP="00674FF0">
      <w:pPr>
        <w:spacing w:after="0" w:line="240" w:lineRule="auto"/>
        <w:ind w:firstLine="708"/>
        <w:jc w:val="both"/>
        <w:rPr>
          <w:rFonts w:ascii="Verdana" w:hAnsi="Verdana" w:cs="Arial"/>
          <w:color w:val="000000" w:themeColor="text1"/>
          <w:sz w:val="15"/>
          <w:szCs w:val="15"/>
        </w:rPr>
      </w:pPr>
      <w:r w:rsidRPr="008B7171">
        <w:rPr>
          <w:rStyle w:val="Refdenotaalpie"/>
          <w:rFonts w:ascii="Verdana" w:hAnsi="Verdana" w:cs="Arial"/>
          <w:sz w:val="15"/>
          <w:szCs w:val="15"/>
        </w:rPr>
        <w:footnoteRef/>
      </w:r>
      <w:r w:rsidRPr="008B7171">
        <w:rPr>
          <w:rFonts w:ascii="Verdana" w:hAnsi="Verdana" w:cs="Arial"/>
          <w:sz w:val="15"/>
          <w:szCs w:val="15"/>
        </w:rPr>
        <w:t xml:space="preserve"> </w:t>
      </w:r>
      <w:r w:rsidRPr="008B7171">
        <w:rPr>
          <w:rFonts w:ascii="Verdana" w:hAnsi="Verdana" w:cs="Arial"/>
          <w:color w:val="000000" w:themeColor="text1"/>
          <w:sz w:val="15"/>
          <w:szCs w:val="15"/>
        </w:rPr>
        <w:t xml:space="preserve">Corte Constitucional. Sentencia C-183 de 2003. Sala Plena. M.P. Alfredo Beltrán Sierra. </w:t>
      </w:r>
    </w:p>
  </w:footnote>
  <w:footnote w:id="8">
    <w:p w14:paraId="616699F8" w14:textId="77777777" w:rsidR="00674FF0" w:rsidRPr="008B7171" w:rsidRDefault="00674FF0" w:rsidP="00674FF0">
      <w:pPr>
        <w:pStyle w:val="Textonotapie"/>
        <w:ind w:firstLine="708"/>
        <w:jc w:val="both"/>
        <w:rPr>
          <w:rFonts w:ascii="Verdana" w:hAnsi="Verdana" w:cs="Arial"/>
          <w:sz w:val="15"/>
          <w:szCs w:val="15"/>
          <w:lang w:val="es-ES"/>
        </w:rPr>
      </w:pPr>
      <w:r w:rsidRPr="008B7171">
        <w:rPr>
          <w:rStyle w:val="Refdenotaalpie"/>
          <w:rFonts w:ascii="Verdana" w:hAnsi="Verdana" w:cs="Arial"/>
          <w:sz w:val="15"/>
          <w:szCs w:val="15"/>
        </w:rPr>
        <w:footnoteRef/>
      </w:r>
      <w:r w:rsidRPr="008B7171">
        <w:rPr>
          <w:rFonts w:ascii="Verdana" w:hAnsi="Verdana" w:cs="Arial"/>
          <w:sz w:val="15"/>
          <w:szCs w:val="15"/>
        </w:rPr>
        <w:t xml:space="preserve"> </w:t>
      </w:r>
      <w:r w:rsidRPr="008B7171">
        <w:rPr>
          <w:rFonts w:ascii="Verdana" w:hAnsi="Verdana" w:cs="Arial"/>
          <w:sz w:val="15"/>
          <w:szCs w:val="15"/>
          <w:lang w:val="es-ES"/>
        </w:rPr>
        <w:t>Ibídem</w:t>
      </w:r>
    </w:p>
  </w:footnote>
  <w:footnote w:id="9">
    <w:p w14:paraId="382DB901" w14:textId="77777777" w:rsidR="00674FF0" w:rsidRPr="008B7171" w:rsidRDefault="00674FF0" w:rsidP="00674FF0">
      <w:pPr>
        <w:pStyle w:val="Textonotapie"/>
        <w:ind w:firstLine="708"/>
        <w:jc w:val="both"/>
        <w:rPr>
          <w:rFonts w:ascii="Verdana" w:hAnsi="Verdana" w:cs="Arial"/>
          <w:color w:val="000000" w:themeColor="text1"/>
          <w:sz w:val="15"/>
          <w:szCs w:val="15"/>
        </w:rPr>
      </w:pPr>
      <w:r w:rsidRPr="008B7171">
        <w:rPr>
          <w:rStyle w:val="Refdenotaalpie"/>
          <w:rFonts w:ascii="Verdana" w:hAnsi="Verdana" w:cs="Arial"/>
          <w:color w:val="000000" w:themeColor="text1"/>
          <w:sz w:val="15"/>
          <w:szCs w:val="15"/>
        </w:rPr>
        <w:footnoteRef/>
      </w:r>
      <w:r w:rsidRPr="008B7171">
        <w:rPr>
          <w:rFonts w:ascii="Verdana" w:hAnsi="Verdana" w:cs="Arial"/>
          <w:color w:val="000000" w:themeColor="text1"/>
          <w:sz w:val="15"/>
          <w:szCs w:val="15"/>
        </w:rPr>
        <w:t xml:space="preserve"> Consejo de Estado. Sección Tercera, Subsección B. Sentencia del 30 de abril de 2012. C.P. Ruth Stella Correa Palacio. </w:t>
      </w:r>
      <w:proofErr w:type="spellStart"/>
      <w:r w:rsidRPr="008B7171">
        <w:rPr>
          <w:rFonts w:ascii="Verdana" w:hAnsi="Verdana" w:cs="Arial"/>
          <w:color w:val="000000" w:themeColor="text1"/>
          <w:sz w:val="15"/>
          <w:szCs w:val="15"/>
        </w:rPr>
        <w:t>Exp</w:t>
      </w:r>
      <w:proofErr w:type="spellEnd"/>
      <w:r w:rsidRPr="008B7171">
        <w:rPr>
          <w:rFonts w:ascii="Verdana" w:hAnsi="Verdana" w:cs="Arial"/>
          <w:color w:val="000000" w:themeColor="text1"/>
          <w:sz w:val="15"/>
          <w:szCs w:val="15"/>
        </w:rPr>
        <w:t>. 21.699.</w:t>
      </w:r>
    </w:p>
  </w:footnote>
  <w:footnote w:id="10">
    <w:p w14:paraId="4D1F2325" w14:textId="77777777" w:rsidR="00674FF0" w:rsidRPr="008B7171" w:rsidRDefault="00674FF0" w:rsidP="00674FF0">
      <w:pPr>
        <w:spacing w:after="0" w:line="240" w:lineRule="auto"/>
        <w:ind w:firstLine="708"/>
        <w:jc w:val="both"/>
        <w:rPr>
          <w:rFonts w:ascii="Verdana" w:hAnsi="Verdana" w:cs="Arial"/>
          <w:color w:val="000000" w:themeColor="text1"/>
          <w:sz w:val="15"/>
          <w:szCs w:val="15"/>
        </w:rPr>
      </w:pPr>
      <w:r w:rsidRPr="008B7171">
        <w:rPr>
          <w:rStyle w:val="Refdenotaalpie"/>
          <w:rFonts w:ascii="Verdana" w:hAnsi="Verdana" w:cs="Arial"/>
          <w:color w:val="000000" w:themeColor="text1"/>
          <w:sz w:val="15"/>
          <w:szCs w:val="15"/>
        </w:rPr>
        <w:footnoteRef/>
      </w:r>
      <w:r w:rsidRPr="008B7171">
        <w:rPr>
          <w:rFonts w:ascii="Verdana" w:hAnsi="Verdana" w:cs="Arial"/>
          <w:color w:val="000000" w:themeColor="text1"/>
          <w:sz w:val="15"/>
          <w:szCs w:val="15"/>
        </w:rPr>
        <w:t xml:space="preserve"> Consejo de Estado. Sección Tercera, Subsección A. Sentencia del 19 de julio de 2018, C.P. Carlos Alberto Zambrano Barrera. </w:t>
      </w:r>
      <w:proofErr w:type="spellStart"/>
      <w:r w:rsidRPr="008B7171">
        <w:rPr>
          <w:rFonts w:ascii="Verdana" w:hAnsi="Verdana" w:cs="Arial"/>
          <w:color w:val="000000" w:themeColor="text1"/>
          <w:sz w:val="15"/>
          <w:szCs w:val="15"/>
        </w:rPr>
        <w:t>Exp</w:t>
      </w:r>
      <w:proofErr w:type="spellEnd"/>
      <w:r w:rsidRPr="008B7171">
        <w:rPr>
          <w:rFonts w:ascii="Verdana" w:hAnsi="Verdana" w:cs="Arial"/>
          <w:color w:val="000000" w:themeColor="text1"/>
          <w:sz w:val="15"/>
          <w:szCs w:val="15"/>
        </w:rPr>
        <w:t>. 36.711.</w:t>
      </w:r>
    </w:p>
  </w:footnote>
  <w:footnote w:id="11">
    <w:p w14:paraId="3E941CBB" w14:textId="77777777" w:rsidR="00674FF0" w:rsidRPr="008B7171" w:rsidRDefault="00674FF0" w:rsidP="00674FF0">
      <w:pPr>
        <w:spacing w:after="0" w:line="240" w:lineRule="auto"/>
        <w:ind w:firstLine="708"/>
        <w:jc w:val="both"/>
        <w:rPr>
          <w:rFonts w:ascii="Verdana" w:hAnsi="Verdana" w:cs="Arial"/>
          <w:color w:val="000000" w:themeColor="text1"/>
          <w:sz w:val="15"/>
          <w:szCs w:val="15"/>
        </w:rPr>
      </w:pPr>
      <w:r w:rsidRPr="008B7171">
        <w:rPr>
          <w:rStyle w:val="Refdenotaalpie"/>
          <w:rFonts w:ascii="Verdana" w:hAnsi="Verdana" w:cs="Arial"/>
          <w:color w:val="000000" w:themeColor="text1"/>
          <w:sz w:val="15"/>
          <w:szCs w:val="15"/>
        </w:rPr>
        <w:footnoteRef/>
      </w:r>
      <w:r w:rsidRPr="008B7171">
        <w:rPr>
          <w:rFonts w:ascii="Verdana" w:hAnsi="Verdana" w:cs="Arial"/>
          <w:color w:val="000000" w:themeColor="text1"/>
          <w:sz w:val="15"/>
          <w:szCs w:val="15"/>
        </w:rPr>
        <w:t xml:space="preserve"> Corte Constitucional. Sentencia C-183 de 2003.  M.P. Alfredo Beltrán Sierra. </w:t>
      </w:r>
    </w:p>
  </w:footnote>
  <w:footnote w:id="12">
    <w:p w14:paraId="531F070D" w14:textId="77777777" w:rsidR="00674FF0" w:rsidRPr="008B7171" w:rsidRDefault="00674FF0" w:rsidP="00674FF0">
      <w:pPr>
        <w:spacing w:after="0" w:line="240" w:lineRule="auto"/>
        <w:ind w:firstLine="707"/>
        <w:jc w:val="both"/>
        <w:rPr>
          <w:rFonts w:ascii="Verdana" w:hAnsi="Verdana" w:cs="Arial"/>
          <w:sz w:val="15"/>
          <w:szCs w:val="15"/>
        </w:rPr>
      </w:pPr>
      <w:r w:rsidRPr="008B7171">
        <w:rPr>
          <w:rStyle w:val="Refdenotaalpie"/>
          <w:rFonts w:ascii="Verdana" w:hAnsi="Verdana" w:cs="Arial"/>
          <w:sz w:val="15"/>
          <w:szCs w:val="15"/>
        </w:rPr>
        <w:footnoteRef/>
      </w:r>
      <w:r w:rsidRPr="008B7171">
        <w:rPr>
          <w:rFonts w:ascii="Verdana" w:hAnsi="Verdana" w:cs="Arial"/>
          <w:sz w:val="15"/>
          <w:szCs w:val="15"/>
        </w:rPr>
        <w:t xml:space="preserve"> Decreto 1082 de 2015: «Artículo 2.2.1.2.2.1.1. Aplicación. La selección abreviada es la modalidad para la enajenación de bienes del Estado, la cual se rige por las disposiciones contenidas en el presente capítulo, salvo por las normas aplicables a la enajenación de los bienes a cargo del Fondo para la Rehabilitación, Inversión Social y Lucha contra el Crimen Organizado y la enajenación de que tratan la Ley 226 de 1995, el Decreto-Ley 254 de 2000 y la Ley 1105 de 2006».</w:t>
      </w:r>
    </w:p>
    <w:p w14:paraId="685E64BF" w14:textId="77777777" w:rsidR="00674FF0" w:rsidRPr="008B7171" w:rsidRDefault="00674FF0" w:rsidP="00674FF0">
      <w:pPr>
        <w:pStyle w:val="Textonotapie"/>
        <w:jc w:val="both"/>
        <w:rPr>
          <w:rFonts w:ascii="Verdana" w:hAnsi="Verdana" w:cs="Arial"/>
          <w:sz w:val="15"/>
          <w:szCs w:val="15"/>
        </w:rPr>
      </w:pPr>
    </w:p>
  </w:footnote>
  <w:footnote w:id="13">
    <w:p w14:paraId="084BEA3A" w14:textId="77777777" w:rsidR="00674FF0" w:rsidRPr="008B7171" w:rsidRDefault="00674FF0" w:rsidP="00674FF0">
      <w:pPr>
        <w:pStyle w:val="Textoindependiente"/>
        <w:spacing w:after="0" w:line="240" w:lineRule="auto"/>
        <w:ind w:firstLine="707"/>
        <w:jc w:val="both"/>
        <w:rPr>
          <w:rFonts w:ascii="Verdana" w:hAnsi="Verdana"/>
          <w:sz w:val="15"/>
          <w:szCs w:val="15"/>
        </w:rPr>
      </w:pPr>
      <w:r w:rsidRPr="008B7171">
        <w:rPr>
          <w:rStyle w:val="Refdenotaalpie"/>
          <w:rFonts w:ascii="Verdana" w:hAnsi="Verdana"/>
          <w:sz w:val="15"/>
          <w:szCs w:val="15"/>
        </w:rPr>
        <w:footnoteRef/>
      </w:r>
      <w:r w:rsidRPr="008B7171">
        <w:rPr>
          <w:rFonts w:ascii="Verdana" w:hAnsi="Verdana"/>
          <w:sz w:val="15"/>
          <w:szCs w:val="15"/>
        </w:rPr>
        <w:t xml:space="preserve"> La Corte Constitucional, en Sentencia C-300 de 2012 M.P. Jorge Ignacio </w:t>
      </w:r>
      <w:proofErr w:type="spellStart"/>
      <w:r w:rsidRPr="008B7171">
        <w:rPr>
          <w:rFonts w:ascii="Verdana" w:hAnsi="Verdana"/>
          <w:sz w:val="15"/>
          <w:szCs w:val="15"/>
        </w:rPr>
        <w:t>Pretel</w:t>
      </w:r>
      <w:proofErr w:type="spellEnd"/>
      <w:r w:rsidRPr="008B7171">
        <w:rPr>
          <w:rFonts w:ascii="Verdana" w:hAnsi="Verdana"/>
          <w:sz w:val="15"/>
          <w:szCs w:val="15"/>
        </w:rPr>
        <w:t xml:space="preserve"> </w:t>
      </w:r>
      <w:proofErr w:type="spellStart"/>
      <w:r w:rsidRPr="008B7171">
        <w:rPr>
          <w:rFonts w:ascii="Verdana" w:hAnsi="Verdana"/>
          <w:sz w:val="15"/>
          <w:szCs w:val="15"/>
        </w:rPr>
        <w:t>Chaljub</w:t>
      </w:r>
      <w:proofErr w:type="spellEnd"/>
      <w:r w:rsidRPr="008B7171">
        <w:rPr>
          <w:rFonts w:ascii="Verdana" w:hAnsi="Verdana"/>
          <w:sz w:val="15"/>
          <w:szCs w:val="15"/>
        </w:rPr>
        <w:t xml:space="preserve">, consideró al respecto: “El principio de planeación hace referencia al deber de la entidad contratante de realizar estudios previos adecuados (estudios de </w:t>
      </w:r>
      <w:proofErr w:type="spellStart"/>
      <w:r w:rsidRPr="008B7171">
        <w:rPr>
          <w:rFonts w:ascii="Verdana" w:hAnsi="Verdana"/>
          <w:sz w:val="15"/>
          <w:szCs w:val="15"/>
        </w:rPr>
        <w:t>prefactibilidad</w:t>
      </w:r>
      <w:proofErr w:type="spellEnd"/>
      <w:r w:rsidRPr="008B7171">
        <w:rPr>
          <w:rFonts w:ascii="Verdana" w:hAnsi="Verdana"/>
          <w:sz w:val="15"/>
          <w:szCs w:val="15"/>
        </w:rPr>
        <w:t>, factibilidad, ingeniería, suelos, etc.), con el fin de precisar el objeto del contrato, las obligaciones mutuas de las partes, la distribución de los riesgos y el precio, estructurar debidamente su financiación y permitir a los interesados diseñar sus ofertas y buscar diferentes fuentes de recursos.</w:t>
      </w:r>
    </w:p>
    <w:p w14:paraId="636569B1" w14:textId="77777777" w:rsidR="00674FF0" w:rsidRPr="008B7171" w:rsidRDefault="00674FF0" w:rsidP="00674FF0">
      <w:pPr>
        <w:pStyle w:val="Textoindependiente"/>
        <w:spacing w:after="0" w:line="240" w:lineRule="auto"/>
        <w:ind w:firstLine="608"/>
        <w:jc w:val="both"/>
        <w:rPr>
          <w:rFonts w:ascii="Verdana" w:hAnsi="Verdana"/>
          <w:sz w:val="15"/>
          <w:szCs w:val="15"/>
        </w:rPr>
      </w:pPr>
      <w:r w:rsidRPr="008B7171">
        <w:rPr>
          <w:rFonts w:ascii="Verdana" w:hAnsi="Verdana"/>
          <w:sz w:val="15"/>
          <w:szCs w:val="15"/>
        </w:rPr>
        <w:t>Este principio está entonces directamente relacionado con los de economía, eficacia, racionalidad de la intervención estatal y libre concurrencia. De un lado, se relaciona con los principios de economía y eficacia (artículo 209 superior) y racionalidad de la intervención estatal (artículo 334 superior), pues los estudios previos no son solamente necesarios para la adecuada ejecución del contrato -en términos de calidad y tiempo, sino también para evitar mayores costos a la administración fruto de modificaciones sobrevinientes imputables a la entidad y que redunden en una obligación de restablecer el equilibrio económico del contrato sin posibilidad de negociación de los precios. Ciertamente, los estudios previos determinan el retorno que pueden esperar los inversionistas, el cual, si no es obtenido por causas imputables al Estado en el marco del esquema de distribución de riesgos, puede llevar a condenas judiciales o a la necesidad de renegociaciones a favor del contratista.</w:t>
      </w:r>
    </w:p>
    <w:p w14:paraId="44949519" w14:textId="77777777" w:rsidR="00674FF0" w:rsidRPr="008B7171" w:rsidRDefault="00674FF0" w:rsidP="00674FF0">
      <w:pPr>
        <w:pStyle w:val="Textoindependiente"/>
        <w:spacing w:after="0" w:line="240" w:lineRule="auto"/>
        <w:ind w:firstLine="608"/>
        <w:jc w:val="both"/>
        <w:rPr>
          <w:rFonts w:ascii="Verdana" w:hAnsi="Verdana"/>
          <w:sz w:val="15"/>
          <w:szCs w:val="15"/>
        </w:rPr>
      </w:pPr>
      <w:r w:rsidRPr="008B7171">
        <w:rPr>
          <w:rFonts w:ascii="Verdana" w:hAnsi="Verdana"/>
          <w:sz w:val="15"/>
          <w:szCs w:val="15"/>
        </w:rPr>
        <w:t xml:space="preserve">De otro lado, se relaciona con el principio de libre concurrencia –manifestación de los principios constitucionales de libre competencia e igualdad, ya que permite que cualquier interesado con posibilidad de presentar una buena oferta según la información disponible, pueda participar en el respectivo proceso de selección; si la información fruto de la etapa precontractual es lejana a la realidad del negocio, posibles oferentes se abstendrán de presentar propuestas, en perjuicio de la libre competencia, y de la posibilidad de la entidad de acceder a ofertas más favorables. En este punto, vale la pena recordar </w:t>
      </w:r>
      <w:proofErr w:type="gramStart"/>
      <w:r w:rsidRPr="008B7171">
        <w:rPr>
          <w:rFonts w:ascii="Verdana" w:hAnsi="Verdana"/>
          <w:sz w:val="15"/>
          <w:szCs w:val="15"/>
        </w:rPr>
        <w:t>que</w:t>
      </w:r>
      <w:proofErr w:type="gramEnd"/>
      <w:r w:rsidRPr="008B7171">
        <w:rPr>
          <w:rFonts w:ascii="Verdana" w:hAnsi="Verdana"/>
          <w:sz w:val="15"/>
          <w:szCs w:val="15"/>
        </w:rPr>
        <w:t xml:space="preserve"> en los contratos de concesión, usualmente el concesionario acude a la financiación de terceros (por medio de créditos, venta de títulos, etc.), razón por la cual es indispensable contar con una imagen lo más cercana a la realidad de las dimensiones del negocio, con el fin de que los inversionistas lleven a cabo el respectivo análisis costo-beneficio y tomen decisiones sobre si participan o no en el proyecto. Sin esta información, las decisiones de financiación no podrán basarse en una previsión real de cómo obtener la mayor cantidad de servicios por el dinero invertido, elemento determinante de las decisiones de participación”.</w:t>
      </w:r>
    </w:p>
    <w:p w14:paraId="1328CC35" w14:textId="77777777" w:rsidR="00674FF0" w:rsidRPr="008B7171" w:rsidRDefault="00674FF0" w:rsidP="00674FF0">
      <w:pPr>
        <w:pStyle w:val="Textonotapie"/>
        <w:jc w:val="both"/>
        <w:rPr>
          <w:rFonts w:ascii="Arial" w:hAnsi="Arial" w:cs="Arial"/>
          <w:sz w:val="15"/>
          <w:szCs w:val="15"/>
        </w:rPr>
      </w:pPr>
    </w:p>
  </w:footnote>
  <w:footnote w:id="14">
    <w:p w14:paraId="1F2EC4DA" w14:textId="77777777" w:rsidR="00674FF0" w:rsidRPr="008B7171" w:rsidRDefault="00674FF0" w:rsidP="00674FF0">
      <w:pPr>
        <w:pStyle w:val="Textonotapie"/>
        <w:ind w:firstLine="709"/>
        <w:jc w:val="both"/>
        <w:rPr>
          <w:rFonts w:ascii="Verdana" w:hAnsi="Verdana" w:cs="Arial"/>
          <w:sz w:val="15"/>
          <w:szCs w:val="15"/>
          <w:lang w:val="es-ES"/>
        </w:rPr>
      </w:pPr>
      <w:r w:rsidRPr="008B7171">
        <w:rPr>
          <w:rStyle w:val="Refdenotaalpie"/>
          <w:rFonts w:ascii="Verdana" w:hAnsi="Verdana" w:cs="Arial"/>
          <w:sz w:val="15"/>
          <w:szCs w:val="15"/>
        </w:rPr>
        <w:footnoteRef/>
      </w:r>
      <w:r w:rsidRPr="008B7171">
        <w:rPr>
          <w:rFonts w:ascii="Verdana" w:hAnsi="Verdana" w:cs="Arial"/>
          <w:sz w:val="15"/>
          <w:szCs w:val="15"/>
        </w:rPr>
        <w:t xml:space="preserve"> </w:t>
      </w:r>
      <w:r w:rsidRPr="008B7171">
        <w:rPr>
          <w:rFonts w:ascii="Verdana" w:hAnsi="Verdana" w:cs="Arial"/>
          <w:sz w:val="15"/>
          <w:szCs w:val="15"/>
          <w:lang w:val="es-ES"/>
        </w:rPr>
        <w:t>BOBBIO, Norberto. Democracia y secreto. México: Fondo de Cultura Económica, 2013. p. 27.</w:t>
      </w:r>
    </w:p>
  </w:footnote>
  <w:footnote w:id="15">
    <w:p w14:paraId="6042B07E" w14:textId="77777777" w:rsidR="00674FF0" w:rsidRPr="008B7171" w:rsidRDefault="00674FF0" w:rsidP="00674FF0">
      <w:pPr>
        <w:pStyle w:val="Textonotapie"/>
        <w:ind w:firstLine="709"/>
        <w:jc w:val="both"/>
        <w:rPr>
          <w:rFonts w:ascii="Verdana" w:hAnsi="Verdana" w:cs="Arial"/>
          <w:color w:val="000000" w:themeColor="text1"/>
          <w:sz w:val="15"/>
          <w:szCs w:val="15"/>
        </w:rPr>
      </w:pPr>
      <w:r w:rsidRPr="008B7171">
        <w:rPr>
          <w:rStyle w:val="Refdenotaalpie"/>
          <w:rFonts w:ascii="Verdana" w:hAnsi="Verdana" w:cs="Arial"/>
          <w:color w:val="000000" w:themeColor="text1"/>
          <w:sz w:val="15"/>
          <w:szCs w:val="15"/>
        </w:rPr>
        <w:footnoteRef/>
      </w:r>
      <w:r w:rsidRPr="008B7171">
        <w:rPr>
          <w:rFonts w:ascii="Verdana" w:hAnsi="Verdana" w:cs="Arial"/>
          <w:color w:val="000000" w:themeColor="text1"/>
          <w:sz w:val="15"/>
          <w:szCs w:val="15"/>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7979AEAE" w14:textId="77777777" w:rsidR="00674FF0" w:rsidRPr="008B7171" w:rsidRDefault="00674FF0" w:rsidP="00674FF0">
      <w:pPr>
        <w:pStyle w:val="Textonotapie"/>
        <w:ind w:firstLine="709"/>
        <w:jc w:val="both"/>
        <w:rPr>
          <w:rFonts w:ascii="Verdana" w:hAnsi="Verdana" w:cs="Arial"/>
          <w:color w:val="000000" w:themeColor="text1"/>
          <w:sz w:val="15"/>
          <w:szCs w:val="15"/>
        </w:rPr>
      </w:pPr>
      <w:r w:rsidRPr="008B7171">
        <w:rPr>
          <w:rFonts w:ascii="Verdana" w:hAnsi="Verdana" w:cs="Arial"/>
          <w:color w:val="000000" w:themeColor="text1"/>
          <w:sz w:val="15"/>
          <w:szCs w:val="15"/>
        </w:rPr>
        <w:t>Lo anterior, sin perjuicio de las publicaciones previstas en el numeral 3 del artículo 30 de la Ley 80 de 1993.</w:t>
      </w:r>
    </w:p>
    <w:p w14:paraId="4C2F5267" w14:textId="77777777" w:rsidR="00674FF0" w:rsidRPr="008B7171" w:rsidRDefault="00674FF0" w:rsidP="00674FF0">
      <w:pPr>
        <w:pStyle w:val="Textonotapie"/>
        <w:ind w:firstLine="709"/>
        <w:jc w:val="both"/>
        <w:rPr>
          <w:rFonts w:ascii="Verdana" w:hAnsi="Verdana" w:cs="Arial"/>
          <w:color w:val="000000" w:themeColor="text1"/>
          <w:sz w:val="15"/>
          <w:szCs w:val="15"/>
        </w:rPr>
      </w:pPr>
      <w:r w:rsidRPr="008B7171">
        <w:rPr>
          <w:rFonts w:ascii="Verdana" w:hAnsi="Verdana" w:cs="Arial"/>
          <w:color w:val="000000" w:themeColor="text1"/>
          <w:sz w:val="15"/>
          <w:szCs w:val="15"/>
        </w:rPr>
        <w:t xml:space="preserve">Con el fin de materializar los objetivos a que se refiere el inciso anterior, el Gobierno Nacional desarrollará el Sistema Electrónico para la Contratación Pública, </w:t>
      </w:r>
      <w:proofErr w:type="spellStart"/>
      <w:r w:rsidRPr="008B7171">
        <w:rPr>
          <w:rFonts w:ascii="Verdana" w:hAnsi="Verdana" w:cs="Arial"/>
          <w:color w:val="000000" w:themeColor="text1"/>
          <w:sz w:val="15"/>
          <w:szCs w:val="15"/>
        </w:rPr>
        <w:t>Secop</w:t>
      </w:r>
      <w:proofErr w:type="spellEnd"/>
      <w:r w:rsidRPr="008B7171">
        <w:rPr>
          <w:rFonts w:ascii="Verdana" w:hAnsi="Verdana" w:cs="Arial"/>
          <w:color w:val="000000" w:themeColor="text1"/>
          <w:sz w:val="15"/>
          <w:szCs w:val="15"/>
        </w:rPr>
        <w:t xml:space="preserve">, el cual: </w:t>
      </w:r>
    </w:p>
    <w:p w14:paraId="4E7929BC" w14:textId="77777777" w:rsidR="00674FF0" w:rsidRPr="008B7171" w:rsidRDefault="00674FF0" w:rsidP="00674FF0">
      <w:pPr>
        <w:pStyle w:val="Textonotapie"/>
        <w:ind w:firstLine="709"/>
        <w:jc w:val="both"/>
        <w:rPr>
          <w:rFonts w:ascii="Verdana" w:hAnsi="Verdana" w:cs="Arial"/>
          <w:color w:val="000000" w:themeColor="text1"/>
          <w:sz w:val="15"/>
          <w:szCs w:val="15"/>
        </w:rPr>
      </w:pPr>
      <w:r w:rsidRPr="008B7171">
        <w:rPr>
          <w:rFonts w:ascii="Verdana" w:hAnsi="Verdana" w:cs="Arial"/>
          <w:color w:val="000000" w:themeColor="text1"/>
          <w:sz w:val="15"/>
          <w:szCs w:val="15"/>
        </w:rPr>
        <w:t>[…]</w:t>
      </w:r>
    </w:p>
    <w:p w14:paraId="1942F5DA" w14:textId="77777777" w:rsidR="00674FF0" w:rsidRPr="008B7171" w:rsidRDefault="00674FF0" w:rsidP="00674FF0">
      <w:pPr>
        <w:pStyle w:val="Textonotapie"/>
        <w:ind w:firstLine="709"/>
        <w:jc w:val="both"/>
        <w:rPr>
          <w:rFonts w:ascii="Verdana" w:hAnsi="Verdana" w:cs="Arial"/>
          <w:color w:val="000000" w:themeColor="text1"/>
          <w:sz w:val="15"/>
          <w:szCs w:val="15"/>
        </w:rPr>
      </w:pPr>
      <w:r w:rsidRPr="008B7171">
        <w:rPr>
          <w:rFonts w:ascii="Verdana" w:hAnsi="Verdana" w:cs="Arial"/>
          <w:color w:val="000000" w:themeColor="text1"/>
          <w:sz w:val="15"/>
          <w:szCs w:val="15"/>
        </w:rPr>
        <w:t xml:space="preserve">c) Contará con la información oficial de la contratación realizada con dineros públicos, para lo cual establecerá los patrones a que haya lugar y se encargará de su difusión a través de canales electrónico”. </w:t>
      </w:r>
    </w:p>
    <w:p w14:paraId="38DE7CE5" w14:textId="77777777" w:rsidR="00674FF0" w:rsidRPr="008B7171" w:rsidRDefault="00674FF0" w:rsidP="00674FF0">
      <w:pPr>
        <w:pStyle w:val="Textonotapie"/>
        <w:ind w:firstLine="709"/>
        <w:jc w:val="both"/>
        <w:rPr>
          <w:rFonts w:ascii="Verdana" w:hAnsi="Verdana" w:cs="Arial"/>
          <w:color w:val="000000" w:themeColor="text1"/>
          <w:sz w:val="15"/>
          <w:szCs w:val="15"/>
          <w:lang w:val="es-CO"/>
        </w:rPr>
      </w:pPr>
    </w:p>
  </w:footnote>
  <w:footnote w:id="16">
    <w:p w14:paraId="4A6A28B8" w14:textId="77777777" w:rsidR="00674FF0" w:rsidRPr="008B7171" w:rsidRDefault="00674FF0" w:rsidP="00674FF0">
      <w:pPr>
        <w:pStyle w:val="Textonotapie"/>
        <w:ind w:firstLine="709"/>
        <w:jc w:val="both"/>
        <w:rPr>
          <w:rFonts w:ascii="Verdana" w:hAnsi="Verdana" w:cs="Arial"/>
          <w:color w:val="000000" w:themeColor="text1"/>
          <w:sz w:val="15"/>
          <w:szCs w:val="15"/>
        </w:rPr>
      </w:pPr>
      <w:r w:rsidRPr="008B7171">
        <w:rPr>
          <w:rStyle w:val="Refdenotaalpie"/>
          <w:rFonts w:ascii="Verdana" w:hAnsi="Verdana" w:cs="Arial"/>
          <w:color w:val="000000" w:themeColor="text1"/>
          <w:sz w:val="15"/>
          <w:szCs w:val="15"/>
        </w:rPr>
        <w:footnoteRef/>
      </w:r>
      <w:r w:rsidRPr="008B7171">
        <w:rPr>
          <w:rFonts w:ascii="Verdana" w:hAnsi="Verdana" w:cs="Arial"/>
          <w:color w:val="000000" w:themeColor="text1"/>
          <w:sz w:val="15"/>
          <w:szCs w:val="15"/>
        </w:rPr>
        <w:t xml:space="preserve"> Ley 1712 de 2014: “Artículo 2. Toda información en posesión, bajo control o custodia de un sujeto obligado es pública y no podrá ser reservada o limitada sino por disposición constitucional o legal, de conformidad con la presente ley”.</w:t>
      </w:r>
    </w:p>
  </w:footnote>
  <w:footnote w:id="17">
    <w:p w14:paraId="65A8F847" w14:textId="77777777" w:rsidR="00674FF0" w:rsidRPr="008B7171" w:rsidRDefault="00674FF0" w:rsidP="00674FF0">
      <w:pPr>
        <w:pStyle w:val="Textonotapie"/>
        <w:ind w:firstLine="709"/>
        <w:jc w:val="both"/>
        <w:rPr>
          <w:rFonts w:ascii="Verdana" w:hAnsi="Verdana" w:cs="Arial"/>
          <w:color w:val="000000" w:themeColor="text1"/>
          <w:sz w:val="15"/>
          <w:szCs w:val="15"/>
        </w:rPr>
      </w:pPr>
      <w:r w:rsidRPr="008B7171">
        <w:rPr>
          <w:rStyle w:val="Refdenotaalpie"/>
          <w:rFonts w:ascii="Verdana" w:hAnsi="Verdana" w:cs="Arial"/>
          <w:color w:val="000000" w:themeColor="text1"/>
          <w:sz w:val="15"/>
          <w:szCs w:val="15"/>
        </w:rPr>
        <w:footnoteRef/>
      </w:r>
      <w:r w:rsidRPr="008B7171">
        <w:rPr>
          <w:rFonts w:ascii="Verdana" w:hAnsi="Verdana" w:cs="Arial"/>
          <w:color w:val="000000" w:themeColor="text1"/>
          <w:sz w:val="15"/>
          <w:szCs w:val="15"/>
        </w:rPr>
        <w:t xml:space="preserve"> Ley 1712 de 2014: “Artículo 5. Ámbito de aplicación. Las disposiciones de esta ley serán aplicables a las siguientes personas en calidad de sujetos obligados: </w:t>
      </w:r>
    </w:p>
    <w:p w14:paraId="1E49A90A" w14:textId="77777777" w:rsidR="00674FF0" w:rsidRPr="008B7171" w:rsidRDefault="00674FF0" w:rsidP="00674FF0">
      <w:pPr>
        <w:pStyle w:val="Textonotapie"/>
        <w:ind w:firstLine="709"/>
        <w:jc w:val="both"/>
        <w:rPr>
          <w:rFonts w:ascii="Verdana" w:hAnsi="Verdana" w:cs="Arial"/>
          <w:color w:val="000000" w:themeColor="text1"/>
          <w:sz w:val="15"/>
          <w:szCs w:val="15"/>
        </w:rPr>
      </w:pPr>
      <w:r w:rsidRPr="008B7171">
        <w:rPr>
          <w:rFonts w:ascii="Verdana" w:hAnsi="Verdana" w:cs="Arial"/>
          <w:color w:val="000000" w:themeColor="text1"/>
          <w:sz w:val="15"/>
          <w:szCs w:val="15"/>
        </w:rPr>
        <w:t>a) Toda entidad pública, incluyendo las pertenecientes a todas las Ramas del Poder Público, en todos los niveles de la estructura estatal, central o descentralizada por servicios o territorialmente, en los órdenes nacional, departamental, municipal y distrital” […].</w:t>
      </w:r>
    </w:p>
  </w:footnote>
  <w:footnote w:id="18">
    <w:p w14:paraId="0AE6B808" w14:textId="77777777" w:rsidR="00674FF0" w:rsidRPr="008B7171" w:rsidRDefault="00674FF0" w:rsidP="00674FF0">
      <w:pPr>
        <w:pStyle w:val="Textonotapie"/>
        <w:ind w:firstLine="709"/>
        <w:jc w:val="both"/>
        <w:rPr>
          <w:rFonts w:ascii="Verdana" w:eastAsia="Times New Roman" w:hAnsi="Verdana" w:cs="Arial"/>
          <w:color w:val="000000" w:themeColor="text1"/>
          <w:sz w:val="15"/>
          <w:szCs w:val="15"/>
          <w:lang w:val="es-ES" w:eastAsia="es-ES"/>
        </w:rPr>
      </w:pPr>
      <w:r w:rsidRPr="008B7171">
        <w:rPr>
          <w:rFonts w:ascii="Verdana" w:eastAsia="Times New Roman" w:hAnsi="Verdana" w:cs="Arial"/>
          <w:color w:val="000000" w:themeColor="text1"/>
          <w:sz w:val="15"/>
          <w:szCs w:val="15"/>
          <w:vertAlign w:val="superscript"/>
          <w:lang w:val="es-ES" w:eastAsia="es-ES"/>
        </w:rPr>
        <w:footnoteRef/>
      </w:r>
      <w:r w:rsidRPr="008B7171">
        <w:rPr>
          <w:rFonts w:ascii="Verdana" w:eastAsia="Times New Roman" w:hAnsi="Verdana" w:cs="Arial"/>
          <w:color w:val="000000" w:themeColor="text1"/>
          <w:sz w:val="15"/>
          <w:szCs w:val="15"/>
          <w:vertAlign w:val="superscript"/>
          <w:lang w:val="es-ES" w:eastAsia="es-ES"/>
        </w:rPr>
        <w:t xml:space="preserve"> </w:t>
      </w:r>
      <w:r w:rsidRPr="008B7171">
        <w:rPr>
          <w:rFonts w:ascii="Verdana" w:eastAsia="Times New Roman" w:hAnsi="Verdana" w:cs="Arial"/>
          <w:color w:val="000000" w:themeColor="text1"/>
          <w:sz w:val="15"/>
          <w:szCs w:val="15"/>
          <w:lang w:val="es-ES" w:eastAsia="es-ES"/>
        </w:rPr>
        <w:t xml:space="preserve"> “</w:t>
      </w:r>
      <w:r w:rsidRPr="008B7171">
        <w:rPr>
          <w:rFonts w:ascii="Verdana" w:hAnsi="Verdana" w:cs="Arial"/>
          <w:color w:val="000000" w:themeColor="text1"/>
          <w:sz w:val="15"/>
          <w:szCs w:val="15"/>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502EC4C0" w14:textId="77777777" w:rsidR="00674FF0" w:rsidRPr="008B7171" w:rsidRDefault="00674FF0" w:rsidP="00674FF0">
      <w:pPr>
        <w:pStyle w:val="Textonotapie"/>
        <w:ind w:firstLine="709"/>
        <w:jc w:val="both"/>
        <w:rPr>
          <w:rFonts w:ascii="Verdana" w:eastAsia="Times New Roman" w:hAnsi="Verdana" w:cs="Arial"/>
          <w:color w:val="000000" w:themeColor="text1"/>
          <w:sz w:val="15"/>
          <w:szCs w:val="15"/>
          <w:lang w:val="es-ES" w:eastAsia="es-ES"/>
        </w:rPr>
      </w:pPr>
      <w:r w:rsidRPr="008B7171">
        <w:rPr>
          <w:rFonts w:ascii="Verdana" w:hAnsi="Verdana" w:cs="Arial"/>
          <w:color w:val="000000" w:themeColor="text1"/>
          <w:sz w:val="15"/>
          <w:szCs w:val="15"/>
        </w:rPr>
        <w:t>[…].</w:t>
      </w:r>
    </w:p>
    <w:p w14:paraId="2D3EDC48" w14:textId="77777777" w:rsidR="00674FF0" w:rsidRPr="008B7171" w:rsidRDefault="00674FF0" w:rsidP="00674FF0">
      <w:pPr>
        <w:pStyle w:val="Textonotapie"/>
        <w:ind w:firstLine="709"/>
        <w:jc w:val="both"/>
        <w:rPr>
          <w:rFonts w:ascii="Verdana" w:eastAsia="Times New Roman" w:hAnsi="Verdana" w:cs="Arial"/>
          <w:color w:val="000000" w:themeColor="text1"/>
          <w:sz w:val="15"/>
          <w:szCs w:val="15"/>
          <w:lang w:val="es-ES" w:eastAsia="es-ES"/>
        </w:rPr>
      </w:pPr>
      <w:r w:rsidRPr="008B7171">
        <w:rPr>
          <w:rFonts w:ascii="Verdana" w:eastAsia="Times New Roman" w:hAnsi="Verdana" w:cs="Arial"/>
          <w:color w:val="000000" w:themeColor="text1"/>
          <w:sz w:val="15"/>
          <w:szCs w:val="15"/>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19">
    <w:p w14:paraId="5F958A86" w14:textId="77777777" w:rsidR="00674FF0" w:rsidRPr="008B7171" w:rsidRDefault="00674FF0" w:rsidP="00674FF0">
      <w:pPr>
        <w:pStyle w:val="Textonotapie"/>
        <w:ind w:firstLine="709"/>
        <w:jc w:val="both"/>
        <w:rPr>
          <w:rFonts w:ascii="Verdana" w:hAnsi="Verdana" w:cs="Arial"/>
          <w:color w:val="000000"/>
          <w:sz w:val="15"/>
          <w:szCs w:val="15"/>
          <w:lang w:val="es-ES"/>
        </w:rPr>
      </w:pPr>
      <w:r w:rsidRPr="008B7171">
        <w:rPr>
          <w:rStyle w:val="Refdenotaalpie"/>
          <w:rFonts w:ascii="Verdana" w:hAnsi="Verdana" w:cs="Arial"/>
          <w:color w:val="000000"/>
          <w:sz w:val="15"/>
          <w:szCs w:val="15"/>
        </w:rPr>
        <w:footnoteRef/>
      </w:r>
      <w:r w:rsidRPr="008B7171">
        <w:rPr>
          <w:rFonts w:ascii="Verdana" w:hAnsi="Verdana" w:cs="Arial"/>
          <w:color w:val="000000"/>
          <w:sz w:val="15"/>
          <w:szCs w:val="15"/>
        </w:rPr>
        <w:t xml:space="preserve"> C</w:t>
      </w:r>
      <w:proofErr w:type="spellStart"/>
      <w:r w:rsidRPr="008B7171">
        <w:rPr>
          <w:rFonts w:ascii="Verdana" w:eastAsia="Times New Roman" w:hAnsi="Verdana" w:cs="Arial"/>
          <w:color w:val="000000"/>
          <w:sz w:val="15"/>
          <w:szCs w:val="15"/>
          <w:lang w:val="es-ES" w:eastAsia="es-ES"/>
        </w:rPr>
        <w:t>orte</w:t>
      </w:r>
      <w:proofErr w:type="spellEnd"/>
      <w:r w:rsidRPr="008B7171">
        <w:rPr>
          <w:rFonts w:ascii="Verdana" w:eastAsia="Times New Roman" w:hAnsi="Verdana" w:cs="Arial"/>
          <w:color w:val="000000"/>
          <w:sz w:val="15"/>
          <w:szCs w:val="15"/>
          <w:lang w:val="es-ES" w:eastAsia="es-ES"/>
        </w:rPr>
        <w:t xml:space="preserve"> Constitucional. Sentencia C‒274 de 9 de mayo de 2013. M.P. Mar</w:t>
      </w:r>
      <w:r w:rsidRPr="008B7171">
        <w:rPr>
          <w:rFonts w:ascii="Verdana" w:eastAsia="Times New Roman" w:hAnsi="Verdana" w:cs="Century Gothic"/>
          <w:color w:val="000000"/>
          <w:sz w:val="15"/>
          <w:szCs w:val="15"/>
          <w:lang w:val="es-ES" w:eastAsia="es-ES"/>
        </w:rPr>
        <w:t>í</w:t>
      </w:r>
      <w:r w:rsidRPr="008B7171">
        <w:rPr>
          <w:rFonts w:ascii="Verdana" w:eastAsia="Times New Roman" w:hAnsi="Verdana" w:cs="Arial"/>
          <w:color w:val="000000"/>
          <w:sz w:val="15"/>
          <w:szCs w:val="15"/>
          <w:lang w:val="es-ES" w:eastAsia="es-ES"/>
        </w:rPr>
        <w:t xml:space="preserve">a Victoria Calle Correa. </w:t>
      </w:r>
    </w:p>
  </w:footnote>
  <w:footnote w:id="20">
    <w:p w14:paraId="06F024C1" w14:textId="77777777" w:rsidR="00674FF0" w:rsidRPr="008B7171" w:rsidRDefault="00674FF0" w:rsidP="00674FF0">
      <w:pPr>
        <w:pStyle w:val="Textonotapie"/>
        <w:ind w:firstLine="708"/>
        <w:jc w:val="both"/>
        <w:rPr>
          <w:rFonts w:ascii="Verdana" w:hAnsi="Verdana" w:cs="Arial"/>
          <w:color w:val="000000"/>
          <w:sz w:val="15"/>
          <w:szCs w:val="15"/>
        </w:rPr>
      </w:pPr>
      <w:r w:rsidRPr="008B7171">
        <w:rPr>
          <w:rStyle w:val="Refdenotaalpie"/>
          <w:rFonts w:ascii="Verdana" w:hAnsi="Verdana" w:cs="Arial"/>
          <w:color w:val="000000"/>
          <w:sz w:val="15"/>
          <w:szCs w:val="15"/>
        </w:rPr>
        <w:footnoteRef/>
      </w:r>
      <w:r w:rsidRPr="008B7171">
        <w:rPr>
          <w:rFonts w:ascii="Verdana" w:hAnsi="Verdana" w:cs="Arial"/>
          <w:color w:val="000000"/>
          <w:sz w:val="15"/>
          <w:szCs w:val="15"/>
        </w:rPr>
        <w:t xml:space="preserve"> Decreto 4170 de 2011: “Artículo 3. Funciones: La Agencia Nacional de Contratación Pública –Colombia Compra Eficiente– ejercerá las siguientes funciones: [...]</w:t>
      </w:r>
    </w:p>
    <w:p w14:paraId="45BEAD12" w14:textId="77777777" w:rsidR="00674FF0" w:rsidRPr="008B7171" w:rsidRDefault="00674FF0" w:rsidP="00674FF0">
      <w:pPr>
        <w:pStyle w:val="Textonotapie"/>
        <w:ind w:firstLine="708"/>
        <w:jc w:val="both"/>
        <w:rPr>
          <w:rFonts w:ascii="Verdana" w:hAnsi="Verdana" w:cs="Arial"/>
          <w:color w:val="000000"/>
          <w:sz w:val="15"/>
          <w:szCs w:val="15"/>
        </w:rPr>
      </w:pPr>
      <w:r w:rsidRPr="008B7171">
        <w:rPr>
          <w:rFonts w:ascii="Verdana" w:hAnsi="Verdana" w:cs="Arial"/>
          <w:color w:val="000000"/>
          <w:sz w:val="15"/>
          <w:szCs w:val="15"/>
        </w:rPr>
        <w:t>8.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 w:id="21">
    <w:p w14:paraId="3F0264C7" w14:textId="77777777" w:rsidR="00674FF0" w:rsidRPr="008B7171" w:rsidRDefault="00674FF0" w:rsidP="00674FF0">
      <w:pPr>
        <w:pStyle w:val="Textonotapie"/>
        <w:ind w:firstLine="708"/>
        <w:jc w:val="both"/>
        <w:rPr>
          <w:rFonts w:ascii="Verdana" w:hAnsi="Verdana"/>
          <w:sz w:val="15"/>
          <w:szCs w:val="15"/>
          <w:lang w:val="es-CO"/>
        </w:rPr>
      </w:pPr>
      <w:r w:rsidRPr="008B7171">
        <w:rPr>
          <w:rStyle w:val="Refdenotaalpie"/>
          <w:rFonts w:ascii="Verdana" w:hAnsi="Verdana"/>
          <w:sz w:val="15"/>
          <w:szCs w:val="15"/>
        </w:rPr>
        <w:footnoteRef/>
      </w:r>
      <w:r w:rsidRPr="008B7171">
        <w:rPr>
          <w:rFonts w:ascii="Verdana" w:hAnsi="Verdana"/>
          <w:sz w:val="15"/>
          <w:szCs w:val="15"/>
        </w:rPr>
        <w:t xml:space="preserve"> </w:t>
      </w:r>
      <w:r w:rsidRPr="008B7171">
        <w:rPr>
          <w:rFonts w:ascii="Verdana" w:hAnsi="Verdana"/>
          <w:bCs/>
          <w:sz w:val="15"/>
          <w:szCs w:val="15"/>
          <w:lang w:val="es-CO"/>
        </w:rPr>
        <w:t>Artículo 3°.</w:t>
      </w:r>
      <w:r w:rsidRPr="008B7171">
        <w:rPr>
          <w:rFonts w:ascii="Verdana" w:hAnsi="Verdana"/>
          <w:i/>
          <w:iCs/>
          <w:sz w:val="15"/>
          <w:szCs w:val="15"/>
          <w:lang w:val="es-CO"/>
        </w:rPr>
        <w:t> Funciones.</w:t>
      </w:r>
      <w:r w:rsidRPr="008B7171">
        <w:rPr>
          <w:rFonts w:ascii="Verdana" w:hAnsi="Verdana"/>
          <w:sz w:val="15"/>
          <w:szCs w:val="15"/>
          <w:lang w:val="es-CO"/>
        </w:rPr>
        <w:t> La Agencia Nacional de Contratación Pública -Colombia Compra Eficiente- ejercerá las siguientes funciones: […]</w:t>
      </w:r>
    </w:p>
    <w:p w14:paraId="59E10CF2" w14:textId="77777777" w:rsidR="00674FF0" w:rsidRPr="008B7171" w:rsidRDefault="00674FF0" w:rsidP="00674FF0">
      <w:pPr>
        <w:pStyle w:val="Textonotapie"/>
        <w:ind w:firstLine="708"/>
        <w:jc w:val="both"/>
        <w:rPr>
          <w:rFonts w:ascii="Verdana" w:hAnsi="Verdana"/>
          <w:sz w:val="15"/>
          <w:szCs w:val="15"/>
          <w:lang w:val="es-CO"/>
        </w:rPr>
      </w:pPr>
      <w:r w:rsidRPr="008B7171">
        <w:rPr>
          <w:rFonts w:ascii="Verdana" w:hAnsi="Verdana"/>
          <w:sz w:val="15"/>
          <w:szCs w:val="15"/>
          <w:lang w:val="es-CO"/>
        </w:rPr>
        <w:t>2.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w:t>
      </w:r>
    </w:p>
    <w:p w14:paraId="29BA73E9" w14:textId="77777777" w:rsidR="00674FF0" w:rsidRPr="008B7171" w:rsidRDefault="00674FF0" w:rsidP="00674FF0">
      <w:pPr>
        <w:pStyle w:val="Textonotapie"/>
        <w:ind w:firstLine="708"/>
        <w:jc w:val="both"/>
        <w:rPr>
          <w:rFonts w:ascii="Verdana" w:hAnsi="Verdana"/>
          <w:sz w:val="15"/>
          <w:szCs w:val="15"/>
          <w:lang w:val="es-CO"/>
        </w:rPr>
      </w:pPr>
      <w:r w:rsidRPr="008B7171">
        <w:rPr>
          <w:rFonts w:ascii="Verdana" w:hAnsi="Verdana"/>
          <w:sz w:val="15"/>
          <w:szCs w:val="15"/>
          <w:lang w:val="es-CO"/>
        </w:rPr>
        <w:t>[…] 5. Absolver consultas sobre la aplicación de normas de carácter general y expedir circulares externas en materia de compras y contratación pública.</w:t>
      </w:r>
    </w:p>
    <w:p w14:paraId="70FD7CDF" w14:textId="77777777" w:rsidR="00674FF0" w:rsidRPr="008B7171" w:rsidRDefault="00674FF0" w:rsidP="00674FF0">
      <w:pPr>
        <w:pStyle w:val="Textonotapie"/>
        <w:ind w:firstLine="708"/>
        <w:jc w:val="both"/>
        <w:rPr>
          <w:rFonts w:ascii="Verdana" w:hAnsi="Verdana"/>
          <w:sz w:val="15"/>
          <w:szCs w:val="15"/>
          <w:lang w:val="es-CO"/>
        </w:rPr>
      </w:pPr>
      <w:r w:rsidRPr="008B7171">
        <w:rPr>
          <w:rFonts w:ascii="Verdana" w:hAnsi="Verdana"/>
          <w:sz w:val="15"/>
          <w:szCs w:val="15"/>
          <w:lang w:val="es-CO"/>
        </w:rPr>
        <w:t>[…] 8. Desarrollar y administrar el Sistema Electrónico para la Contratación Pública (SECOP) o el que haga sus veces, y gestionar nuevos desarrollos tecnológicos en los asuntos de su competencia, teniendo en cuenta los parámetros fijados por el Consejo Directivo. </w:t>
      </w:r>
    </w:p>
    <w:p w14:paraId="47AC5EF0" w14:textId="77777777" w:rsidR="00674FF0" w:rsidRPr="008B7171" w:rsidRDefault="00674FF0" w:rsidP="00674FF0">
      <w:pPr>
        <w:pStyle w:val="Textonotapie"/>
        <w:rPr>
          <w:sz w:val="15"/>
          <w:szCs w:val="15"/>
          <w:lang w:val="es-CO"/>
        </w:rPr>
      </w:pPr>
    </w:p>
  </w:footnote>
  <w:footnote w:id="22">
    <w:p w14:paraId="3AC2F4A1" w14:textId="77777777" w:rsidR="00674FF0" w:rsidRPr="008B7171" w:rsidRDefault="00674FF0" w:rsidP="00674FF0">
      <w:pPr>
        <w:pStyle w:val="Textonotapie"/>
        <w:ind w:firstLine="708"/>
        <w:jc w:val="both"/>
        <w:rPr>
          <w:rFonts w:ascii="Verdana" w:hAnsi="Verdana" w:cs="Arial"/>
          <w:sz w:val="15"/>
          <w:szCs w:val="15"/>
        </w:rPr>
      </w:pPr>
      <w:r w:rsidRPr="008B7171">
        <w:rPr>
          <w:rStyle w:val="Refdenotaalpie"/>
          <w:rFonts w:ascii="Verdana" w:hAnsi="Verdana" w:cs="Arial"/>
          <w:sz w:val="15"/>
          <w:szCs w:val="15"/>
        </w:rPr>
        <w:footnoteRef/>
      </w:r>
      <w:r w:rsidRPr="008B7171">
        <w:rPr>
          <w:rFonts w:ascii="Verdana" w:hAnsi="Verdana" w:cs="Arial"/>
          <w:sz w:val="15"/>
          <w:szCs w:val="15"/>
        </w:rPr>
        <w:t xml:space="preserve"> MATALLANA CAMACHO Ernesto. Manual de Contratación de la Administración Pública. Reforma a la Ley 80 de 1993. Universidad Externado de Colombia, Cuarta edición, 2015, </w:t>
      </w:r>
      <w:proofErr w:type="spellStart"/>
      <w:r w:rsidRPr="008B7171">
        <w:rPr>
          <w:rFonts w:ascii="Verdana" w:hAnsi="Verdana" w:cs="Arial"/>
          <w:sz w:val="15"/>
          <w:szCs w:val="15"/>
        </w:rPr>
        <w:t>pp</w:t>
      </w:r>
      <w:proofErr w:type="spellEnd"/>
      <w:r w:rsidRPr="008B7171">
        <w:rPr>
          <w:rFonts w:ascii="Verdana" w:hAnsi="Verdana" w:cs="Arial"/>
          <w:sz w:val="15"/>
          <w:szCs w:val="15"/>
        </w:rPr>
        <w:t xml:space="preserve"> 139.</w:t>
      </w:r>
    </w:p>
  </w:footnote>
  <w:footnote w:id="23">
    <w:p w14:paraId="642F9D5A" w14:textId="77777777" w:rsidR="00674FF0" w:rsidRPr="008B7171" w:rsidRDefault="00674FF0" w:rsidP="00674FF0">
      <w:pPr>
        <w:pStyle w:val="Textonotapie"/>
        <w:ind w:firstLine="708"/>
        <w:jc w:val="both"/>
        <w:rPr>
          <w:rFonts w:ascii="Verdana" w:hAnsi="Verdana" w:cs="Arial"/>
          <w:sz w:val="15"/>
          <w:szCs w:val="15"/>
        </w:rPr>
      </w:pPr>
      <w:r w:rsidRPr="008B7171">
        <w:rPr>
          <w:rStyle w:val="Refdenotaalpie"/>
          <w:rFonts w:ascii="Verdana" w:hAnsi="Verdana" w:cs="Arial"/>
          <w:sz w:val="15"/>
          <w:szCs w:val="15"/>
        </w:rPr>
        <w:footnoteRef/>
      </w:r>
      <w:r w:rsidRPr="008B7171">
        <w:rPr>
          <w:rFonts w:ascii="Verdana" w:hAnsi="Verdana" w:cs="Arial"/>
          <w:sz w:val="15"/>
          <w:szCs w:val="15"/>
        </w:rPr>
        <w:t xml:space="preserve"> Ley 1437 de 2011 “Artículo 24. Informaciones y documentos reservados. Solo tendrán carácter reservado las informaciones y documentos expresamente sometidos a reserva por la Constitución Política o la ley, y en especial:  </w:t>
      </w:r>
    </w:p>
    <w:p w14:paraId="11B46FDF" w14:textId="77777777" w:rsidR="00674FF0" w:rsidRPr="008B7171" w:rsidRDefault="00674FF0" w:rsidP="00674FF0">
      <w:pPr>
        <w:pStyle w:val="Textonotapie"/>
        <w:ind w:firstLine="708"/>
        <w:jc w:val="both"/>
        <w:rPr>
          <w:rFonts w:ascii="Verdana" w:hAnsi="Verdana" w:cs="Arial"/>
          <w:sz w:val="15"/>
          <w:szCs w:val="15"/>
        </w:rPr>
      </w:pPr>
      <w:r w:rsidRPr="008B7171">
        <w:rPr>
          <w:rFonts w:ascii="Verdana" w:hAnsi="Verdana" w:cs="Arial"/>
          <w:sz w:val="15"/>
          <w:szCs w:val="15"/>
        </w:rPr>
        <w:t xml:space="preserve">1. Los relacionados con la defensa o seguridad nacionales.  </w:t>
      </w:r>
    </w:p>
    <w:p w14:paraId="5234803F" w14:textId="77777777" w:rsidR="00674FF0" w:rsidRPr="008B7171" w:rsidRDefault="00674FF0" w:rsidP="00674FF0">
      <w:pPr>
        <w:pStyle w:val="Textonotapie"/>
        <w:ind w:firstLine="708"/>
        <w:jc w:val="both"/>
        <w:rPr>
          <w:rFonts w:ascii="Verdana" w:hAnsi="Verdana" w:cs="Arial"/>
          <w:sz w:val="15"/>
          <w:szCs w:val="15"/>
        </w:rPr>
      </w:pPr>
      <w:r w:rsidRPr="008B7171">
        <w:rPr>
          <w:rFonts w:ascii="Verdana" w:hAnsi="Verdana" w:cs="Arial"/>
          <w:sz w:val="15"/>
          <w:szCs w:val="15"/>
        </w:rPr>
        <w:t xml:space="preserve">2. Las instrucciones en materia diplomática o sobre negociaciones reservadas.  </w:t>
      </w:r>
    </w:p>
    <w:p w14:paraId="4328E09B" w14:textId="77777777" w:rsidR="00674FF0" w:rsidRPr="008B7171" w:rsidRDefault="00674FF0" w:rsidP="00674FF0">
      <w:pPr>
        <w:pStyle w:val="Textonotapie"/>
        <w:ind w:firstLine="708"/>
        <w:jc w:val="both"/>
        <w:rPr>
          <w:rFonts w:ascii="Verdana" w:hAnsi="Verdana" w:cs="Arial"/>
          <w:sz w:val="15"/>
          <w:szCs w:val="15"/>
        </w:rPr>
      </w:pPr>
      <w:r w:rsidRPr="008B7171">
        <w:rPr>
          <w:rFonts w:ascii="Verdana" w:hAnsi="Verdana" w:cs="Arial"/>
          <w:sz w:val="15"/>
          <w:szCs w:val="15"/>
        </w:rPr>
        <w:t xml:space="preserve">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123D6D7B" w14:textId="77777777" w:rsidR="00674FF0" w:rsidRPr="008B7171" w:rsidRDefault="00674FF0" w:rsidP="00674FF0">
      <w:pPr>
        <w:pStyle w:val="Textonotapie"/>
        <w:ind w:firstLine="708"/>
        <w:jc w:val="both"/>
        <w:rPr>
          <w:rFonts w:ascii="Verdana" w:hAnsi="Verdana" w:cs="Arial"/>
          <w:sz w:val="15"/>
          <w:szCs w:val="15"/>
        </w:rPr>
      </w:pPr>
      <w:r w:rsidRPr="008B7171">
        <w:rPr>
          <w:rFonts w:ascii="Verdana" w:hAnsi="Verdana" w:cs="Arial"/>
          <w:sz w:val="15"/>
          <w:szCs w:val="15"/>
        </w:rPr>
        <w:t xml:space="preserve">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599DD2FC" w14:textId="77777777" w:rsidR="00674FF0" w:rsidRPr="008B7171" w:rsidRDefault="00674FF0" w:rsidP="00674FF0">
      <w:pPr>
        <w:pStyle w:val="Textonotapie"/>
        <w:ind w:firstLine="708"/>
        <w:jc w:val="both"/>
        <w:rPr>
          <w:rFonts w:ascii="Verdana" w:hAnsi="Verdana" w:cs="Arial"/>
          <w:sz w:val="15"/>
          <w:szCs w:val="15"/>
        </w:rPr>
      </w:pPr>
      <w:r w:rsidRPr="008B7171">
        <w:rPr>
          <w:rFonts w:ascii="Verdana" w:hAnsi="Verdana" w:cs="Arial"/>
          <w:sz w:val="15"/>
          <w:szCs w:val="15"/>
        </w:rPr>
        <w:t xml:space="preserve">5. Los datos referentes a la información financiera y comercial, en los términos de la Ley Estatutaria 1266 de 2008.  </w:t>
      </w:r>
    </w:p>
    <w:p w14:paraId="16B3FC72" w14:textId="77777777" w:rsidR="00674FF0" w:rsidRPr="008B7171" w:rsidRDefault="00674FF0" w:rsidP="00674FF0">
      <w:pPr>
        <w:pStyle w:val="Textonotapie"/>
        <w:ind w:firstLine="708"/>
        <w:jc w:val="both"/>
        <w:rPr>
          <w:rFonts w:ascii="Verdana" w:hAnsi="Verdana" w:cs="Arial"/>
          <w:sz w:val="15"/>
          <w:szCs w:val="15"/>
        </w:rPr>
      </w:pPr>
      <w:r w:rsidRPr="008B7171">
        <w:rPr>
          <w:rFonts w:ascii="Verdana" w:hAnsi="Verdana" w:cs="Arial"/>
          <w:sz w:val="15"/>
          <w:szCs w:val="15"/>
        </w:rPr>
        <w:t xml:space="preserve">6. Los protegidos por el secreto comercial o industrial, así como los planes estratégicos de las empresas públicas de servicios públicos.  </w:t>
      </w:r>
    </w:p>
    <w:p w14:paraId="11E84E4D" w14:textId="77777777" w:rsidR="00674FF0" w:rsidRPr="008B7171" w:rsidRDefault="00674FF0" w:rsidP="00674FF0">
      <w:pPr>
        <w:pStyle w:val="Textonotapie"/>
        <w:ind w:firstLine="708"/>
        <w:jc w:val="both"/>
        <w:rPr>
          <w:rFonts w:ascii="Verdana" w:hAnsi="Verdana" w:cs="Arial"/>
          <w:sz w:val="15"/>
          <w:szCs w:val="15"/>
        </w:rPr>
      </w:pPr>
      <w:r w:rsidRPr="008B7171">
        <w:rPr>
          <w:rFonts w:ascii="Verdana" w:hAnsi="Verdana" w:cs="Arial"/>
          <w:sz w:val="15"/>
          <w:szCs w:val="15"/>
        </w:rPr>
        <w:t xml:space="preserve">7. Los amparados por el secreto profesional.  </w:t>
      </w:r>
    </w:p>
    <w:p w14:paraId="18108BE2" w14:textId="77777777" w:rsidR="00674FF0" w:rsidRPr="008B7171" w:rsidRDefault="00674FF0" w:rsidP="00674FF0">
      <w:pPr>
        <w:pStyle w:val="Textonotapie"/>
        <w:ind w:firstLine="708"/>
        <w:jc w:val="both"/>
        <w:rPr>
          <w:rFonts w:ascii="Verdana" w:hAnsi="Verdana" w:cs="Arial"/>
          <w:sz w:val="15"/>
          <w:szCs w:val="15"/>
        </w:rPr>
      </w:pPr>
      <w:r w:rsidRPr="008B7171">
        <w:rPr>
          <w:rFonts w:ascii="Verdana" w:hAnsi="Verdana" w:cs="Arial"/>
          <w:sz w:val="15"/>
          <w:szCs w:val="15"/>
        </w:rPr>
        <w:t xml:space="preserve">8. Los datos genéticos humanos.  </w:t>
      </w:r>
    </w:p>
    <w:p w14:paraId="4DD32183" w14:textId="77777777" w:rsidR="00674FF0" w:rsidRPr="008B7171" w:rsidRDefault="00674FF0" w:rsidP="00674FF0">
      <w:pPr>
        <w:pStyle w:val="Textonotapie"/>
        <w:ind w:firstLine="708"/>
        <w:jc w:val="both"/>
        <w:rPr>
          <w:rFonts w:ascii="Verdana" w:hAnsi="Verdana" w:cs="Arial"/>
          <w:sz w:val="15"/>
          <w:szCs w:val="15"/>
        </w:rPr>
      </w:pPr>
      <w:r w:rsidRPr="008B7171">
        <w:rPr>
          <w:rFonts w:ascii="Verdana" w:hAnsi="Verdana" w:cs="Arial"/>
          <w:sz w:val="15"/>
          <w:szCs w:val="15"/>
        </w:rPr>
        <w:t xml:space="preserve">Parágrafo. Para efecto de la solicitud de información de carácter reservado, enunciada en los numerales 3, 5, 6 y 7 solo podrá ser solicitada por el titular de la información, por sus apoderados o por personas autorizadas con facultad expresa para acceder a esa información”.  </w:t>
      </w:r>
    </w:p>
  </w:footnote>
  <w:footnote w:id="24">
    <w:p w14:paraId="37B97236" w14:textId="77777777" w:rsidR="00674FF0" w:rsidRPr="008B7171" w:rsidRDefault="00674FF0" w:rsidP="00674FF0">
      <w:pPr>
        <w:pStyle w:val="Textonotapie"/>
        <w:ind w:firstLine="708"/>
        <w:jc w:val="both"/>
        <w:rPr>
          <w:rFonts w:ascii="Verdana" w:eastAsia="Calibri" w:hAnsi="Verdana" w:cs="Arial"/>
          <w:sz w:val="15"/>
          <w:szCs w:val="15"/>
        </w:rPr>
      </w:pPr>
      <w:r w:rsidRPr="008B7171">
        <w:rPr>
          <w:rStyle w:val="Refdenotaalpie"/>
          <w:rFonts w:ascii="Verdana" w:hAnsi="Verdana" w:cs="Arial"/>
          <w:sz w:val="15"/>
          <w:szCs w:val="15"/>
        </w:rPr>
        <w:footnoteRef/>
      </w:r>
      <w:r w:rsidRPr="008B7171">
        <w:rPr>
          <w:rFonts w:ascii="Verdana" w:hAnsi="Verdana" w:cs="Arial"/>
          <w:sz w:val="15"/>
          <w:szCs w:val="15"/>
        </w:rPr>
        <w:t xml:space="preserve"> Resultan relevantes las consideraciones expuestas en el concepto C- 322 del 16 de junio de 2020 –radicado No. 2202013000005088–, sobre la aplicación del artículo 36 del CPACA en torno al manejo de información reservada en cuadernos separados: “</w:t>
      </w:r>
      <w:r w:rsidRPr="008B7171">
        <w:rPr>
          <w:rFonts w:ascii="Verdana" w:eastAsia="Calibri" w:hAnsi="Verdana" w:cs="Arial"/>
          <w:sz w:val="15"/>
          <w:szCs w:val="15"/>
        </w:rPr>
        <w:t>tratándose de información sometida a reserva, considera esta Agencia que el tratamiento que corresponde a esta información es el procedente a partir de lo dispuesto en el artículo 36 del CPACA sobre la formación y examen de expedientes, en el que se establece que los documentos sometidos a reserva deberán insertarse en un cuaderno separado del expediente principal, el cual no podrá ser consultado por la ciudadanía o interesados en general. El manejo de estos documentos conforme lo indica esta norma, permite guardar la reserva a la que están sometidos dichos documentos en el marco de procesos de contratación, sin que se vean lesionados los intereses de los titulares de la información o contrariadas las normas del régimen de protección de datos personales”.</w:t>
      </w:r>
    </w:p>
  </w:footnote>
  <w:footnote w:id="25">
    <w:p w14:paraId="605F505D" w14:textId="77777777" w:rsidR="00674FF0" w:rsidRPr="008B7171" w:rsidRDefault="00674FF0" w:rsidP="00674FF0">
      <w:pPr>
        <w:pStyle w:val="Textonotapie"/>
        <w:ind w:firstLine="708"/>
        <w:jc w:val="both"/>
        <w:rPr>
          <w:rFonts w:ascii="Verdana" w:hAnsi="Verdana" w:cs="Arial"/>
          <w:color w:val="000000"/>
          <w:sz w:val="15"/>
          <w:szCs w:val="15"/>
        </w:rPr>
      </w:pPr>
      <w:r w:rsidRPr="008B7171">
        <w:rPr>
          <w:rStyle w:val="Refdenotaalpie"/>
          <w:rFonts w:ascii="Verdana" w:hAnsi="Verdana" w:cs="Arial"/>
          <w:sz w:val="15"/>
          <w:szCs w:val="15"/>
        </w:rPr>
        <w:footnoteRef/>
      </w:r>
      <w:r w:rsidRPr="008B7171">
        <w:rPr>
          <w:rFonts w:ascii="Verdana" w:hAnsi="Verdana" w:cs="Arial"/>
          <w:sz w:val="15"/>
          <w:szCs w:val="15"/>
        </w:rPr>
        <w:t xml:space="preserve"> Ley 80 de 1993</w:t>
      </w:r>
      <w:r w:rsidRPr="008B7171">
        <w:rPr>
          <w:rFonts w:ascii="Verdana" w:hAnsi="Verdana" w:cs="Arial"/>
          <w:b/>
          <w:sz w:val="15"/>
          <w:szCs w:val="15"/>
        </w:rPr>
        <w:t xml:space="preserve"> “</w:t>
      </w:r>
      <w:r w:rsidRPr="008B7171">
        <w:rPr>
          <w:rStyle w:val="Textoennegrita"/>
          <w:rFonts w:ascii="Verdana" w:hAnsi="Verdana" w:cs="Arial"/>
          <w:b w:val="0"/>
          <w:color w:val="000000"/>
          <w:sz w:val="15"/>
          <w:szCs w:val="15"/>
        </w:rPr>
        <w:t>Articulo 32. De los contratos estatales. </w:t>
      </w:r>
      <w:r w:rsidRPr="008B7171">
        <w:rPr>
          <w:rFonts w:ascii="Verdana" w:hAnsi="Verdana" w:cs="Arial"/>
          <w:color w:val="000000"/>
          <w:sz w:val="15"/>
          <w:szCs w:val="15"/>
        </w:rPr>
        <w:t>Son contratos estatales todos los actos jurídicos generadores de obligaciones que celebren las entidades a que se refiere el presente</w:t>
      </w:r>
      <w:r w:rsidRPr="008B7171">
        <w:rPr>
          <w:rFonts w:ascii="Verdana" w:hAnsi="Verdana" w:cs="Arial"/>
          <w:b/>
          <w:color w:val="000000"/>
          <w:sz w:val="15"/>
          <w:szCs w:val="15"/>
        </w:rPr>
        <w:t xml:space="preserve"> </w:t>
      </w:r>
      <w:r w:rsidRPr="008B7171">
        <w:rPr>
          <w:rFonts w:ascii="Verdana" w:hAnsi="Verdana" w:cs="Arial"/>
          <w:color w:val="000000"/>
          <w:sz w:val="15"/>
          <w:szCs w:val="15"/>
        </w:rPr>
        <w:t>estatuto, previstos en el derecho privado o en disposiciones especiales, o derivados del ejercicio de la autonomía de la voluntad […]”.</w:t>
      </w:r>
    </w:p>
  </w:footnote>
  <w:footnote w:id="26">
    <w:p w14:paraId="439AFC51" w14:textId="77777777" w:rsidR="00674FF0" w:rsidRPr="008B7171" w:rsidRDefault="00674FF0" w:rsidP="00674FF0">
      <w:pPr>
        <w:pStyle w:val="NormalWeb"/>
        <w:spacing w:before="0" w:beforeAutospacing="0" w:after="0" w:afterAutospacing="0"/>
        <w:ind w:firstLine="708"/>
        <w:jc w:val="both"/>
        <w:rPr>
          <w:rFonts w:ascii="Verdana" w:hAnsi="Verdana" w:cs="Arial"/>
          <w:color w:val="000000"/>
          <w:sz w:val="15"/>
          <w:szCs w:val="15"/>
        </w:rPr>
      </w:pPr>
      <w:r w:rsidRPr="008B7171">
        <w:rPr>
          <w:rStyle w:val="Refdenotaalpie"/>
          <w:rFonts w:ascii="Verdana" w:hAnsi="Verdana"/>
          <w:b/>
          <w:sz w:val="15"/>
          <w:szCs w:val="15"/>
        </w:rPr>
        <w:footnoteRef/>
      </w:r>
      <w:r w:rsidRPr="008B7171">
        <w:rPr>
          <w:rFonts w:ascii="Verdana" w:hAnsi="Verdana"/>
          <w:b/>
          <w:sz w:val="15"/>
          <w:szCs w:val="15"/>
        </w:rPr>
        <w:t xml:space="preserve"> </w:t>
      </w:r>
      <w:r w:rsidRPr="008B7171">
        <w:rPr>
          <w:rStyle w:val="Textoennegrita"/>
          <w:rFonts w:ascii="Verdana" w:hAnsi="Verdana" w:cs="Arial"/>
          <w:b w:val="0"/>
          <w:color w:val="000000"/>
          <w:sz w:val="15"/>
          <w:szCs w:val="15"/>
        </w:rPr>
        <w:t>Artículo 13. Principios generales de la actividad contractual para entidades no sometidas al Estatuto General de Contratación de la Administración Pública.</w:t>
      </w:r>
      <w:r w:rsidRPr="008B7171">
        <w:rPr>
          <w:rFonts w:ascii="Verdana" w:hAnsi="Verdana" w:cs="Arial"/>
          <w:color w:val="000000"/>
          <w:sz w:val="15"/>
          <w:szCs w:val="15"/>
        </w:rPr>
        <w:t xml:space="preserv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 </w:t>
      </w:r>
    </w:p>
    <w:p w14:paraId="2BCE84EC" w14:textId="77777777" w:rsidR="00674FF0" w:rsidRPr="008B7171" w:rsidRDefault="00674FF0" w:rsidP="00674FF0">
      <w:pPr>
        <w:pStyle w:val="NormalWeb"/>
        <w:spacing w:before="0" w:beforeAutospacing="0" w:after="0" w:afterAutospacing="0"/>
        <w:ind w:firstLine="708"/>
        <w:jc w:val="both"/>
        <w:rPr>
          <w:rFonts w:ascii="Verdana" w:hAnsi="Verdana" w:cs="Arial"/>
          <w:color w:val="000000"/>
          <w:sz w:val="15"/>
          <w:szCs w:val="15"/>
        </w:rPr>
      </w:pPr>
      <w:r w:rsidRPr="008B7171">
        <w:rPr>
          <w:rFonts w:ascii="Verdana" w:hAnsi="Verdana" w:cs="Arial"/>
          <w:color w:val="000000"/>
          <w:sz w:val="15"/>
          <w:szCs w:val="15"/>
        </w:rPr>
        <w:t>En desarrollo de los anteriores principios, deberán publicar los documentos relacionados con su actividad contractual en el Sistema Ele</w:t>
      </w:r>
      <w:bookmarkStart w:id="2" w:name="_GoBack"/>
      <w:bookmarkEnd w:id="2"/>
      <w:r w:rsidRPr="008B7171">
        <w:rPr>
          <w:rFonts w:ascii="Verdana" w:hAnsi="Verdana" w:cs="Arial"/>
          <w:color w:val="000000"/>
          <w:sz w:val="15"/>
          <w:szCs w:val="15"/>
        </w:rPr>
        <w:t xml:space="preserv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w:t>
      </w:r>
      <w:proofErr w:type="spellStart"/>
      <w:r w:rsidRPr="008B7171">
        <w:rPr>
          <w:rFonts w:ascii="Verdana" w:hAnsi="Verdana" w:cs="Arial"/>
          <w:color w:val="000000"/>
          <w:sz w:val="15"/>
          <w:szCs w:val="15"/>
        </w:rPr>
        <w:t>postcontractual</w:t>
      </w:r>
      <w:proofErr w:type="spellEnd"/>
      <w:r w:rsidRPr="008B7171">
        <w:rPr>
          <w:rFonts w:ascii="Verdana" w:hAnsi="Verdana" w:cs="Arial"/>
          <w:color w:val="000000"/>
          <w:sz w:val="15"/>
          <w:szCs w:val="15"/>
        </w:rPr>
        <w:t>.  </w:t>
      </w:r>
    </w:p>
    <w:p w14:paraId="2CCE0EE1" w14:textId="77777777" w:rsidR="00674FF0" w:rsidRPr="008B7171" w:rsidRDefault="00674FF0" w:rsidP="00674FF0">
      <w:pPr>
        <w:pStyle w:val="NormalWeb"/>
        <w:spacing w:before="0" w:beforeAutospacing="0" w:after="0" w:afterAutospacing="0"/>
        <w:ind w:firstLine="708"/>
        <w:jc w:val="both"/>
        <w:rPr>
          <w:rFonts w:ascii="Verdana" w:hAnsi="Verdana" w:cs="Arial"/>
          <w:color w:val="000000"/>
          <w:sz w:val="15"/>
          <w:szCs w:val="15"/>
        </w:rPr>
      </w:pPr>
      <w:r w:rsidRPr="008B7171">
        <w:rPr>
          <w:rFonts w:ascii="Verdana" w:hAnsi="Verdana" w:cs="Arial"/>
          <w:color w:val="000000"/>
          <w:sz w:val="15"/>
          <w:szCs w:val="15"/>
        </w:rPr>
        <w:t>A partir de la entrada en vigencia de la presente Ley, se establecerá un periodo de transición de seis (6) meses, para que las entidades den cumplimiento efectivo a lo aquí establecido. </w:t>
      </w:r>
    </w:p>
    <w:p w14:paraId="781D899A" w14:textId="77777777" w:rsidR="00674FF0" w:rsidRPr="008B7171" w:rsidRDefault="00674FF0" w:rsidP="00674FF0">
      <w:pPr>
        <w:pStyle w:val="Textonotapie"/>
        <w:rPr>
          <w:rFonts w:ascii="Verdana" w:hAnsi="Verdana"/>
          <w:sz w:val="15"/>
          <w:szCs w:val="15"/>
          <w:lang w:val="es-CO"/>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AC78D9" w:rsidRDefault="00AC78D9"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AC78D9" w:rsidRDefault="00AC78D9">
    <w:pPr>
      <w:pStyle w:val="Encabezado"/>
    </w:pPr>
  </w:p>
  <w:p w14:paraId="5E18350A" w14:textId="705F7B76" w:rsidR="00AC78D9" w:rsidRPr="004A305D" w:rsidRDefault="00AC78D9" w:rsidP="00B01B1A">
    <w:pPr>
      <w:spacing w:after="0" w:line="120" w:lineRule="auto"/>
      <w:rPr>
        <w:rFonts w:ascii="Century Gothic" w:eastAsia="Geo" w:hAnsi="Century Gothic" w:cs="Geo"/>
        <w:sz w:val="16"/>
        <w:szCs w:val="16"/>
        <w:lang w:eastAsia="es-CO"/>
      </w:rPr>
    </w:pPr>
  </w:p>
  <w:p w14:paraId="211B7F5D" w14:textId="77777777" w:rsidR="00AC78D9" w:rsidRDefault="00AC78D9" w:rsidP="00844AE9">
    <w:pPr>
      <w:spacing w:after="0" w:line="240" w:lineRule="auto"/>
      <w:rPr>
        <w:rFonts w:ascii="Verdana" w:hAnsi="Verdana"/>
        <w:sz w:val="24"/>
        <w:szCs w:val="24"/>
      </w:rPr>
    </w:pPr>
  </w:p>
  <w:p w14:paraId="5A0054B1" w14:textId="77777777" w:rsidR="00AC78D9" w:rsidRPr="00C925AC" w:rsidRDefault="00AC78D9" w:rsidP="00844AE9">
    <w:pPr>
      <w:spacing w:after="0" w:line="240" w:lineRule="auto"/>
      <w:rPr>
        <w:rFonts w:ascii="Verdana" w:hAnsi="Verdana"/>
        <w:sz w:val="24"/>
        <w:szCs w:val="24"/>
      </w:rPr>
    </w:pPr>
  </w:p>
  <w:p w14:paraId="1FD1C243" w14:textId="37C5500A" w:rsidR="00AC78D9" w:rsidRPr="00C925AC" w:rsidRDefault="00AC78D9"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1" type="#_x0000_t75" style="width:11.45pt;height:11.4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11866AC"/>
    <w:multiLevelType w:val="hybridMultilevel"/>
    <w:tmpl w:val="3E5CC99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756A231F"/>
    <w:multiLevelType w:val="hybridMultilevel"/>
    <w:tmpl w:val="42E8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3"/>
  </w:num>
  <w:num w:numId="7">
    <w:abstractNumId w:val="5"/>
  </w:num>
  <w:num w:numId="8">
    <w:abstractNumId w:val="12"/>
  </w:num>
  <w:num w:numId="9">
    <w:abstractNumId w:val="7"/>
  </w:num>
  <w:num w:numId="10">
    <w:abstractNumId w:val="11"/>
  </w:num>
  <w:num w:numId="11">
    <w:abstractNumId w:val="8"/>
  </w:num>
  <w:num w:numId="12">
    <w:abstractNumId w:val="0"/>
  </w:num>
  <w:num w:numId="13">
    <w:abstractNumId w:val="2"/>
  </w:num>
  <w:num w:numId="14">
    <w:abstractNumId w:val="14"/>
  </w:num>
  <w:num w:numId="15">
    <w:abstractNumId w:val="10"/>
  </w:num>
  <w:num w:numId="16">
    <w:abstractNumId w:val="3"/>
  </w:num>
  <w:num w:numId="17">
    <w:abstractNumId w:val="9"/>
  </w:num>
  <w:num w:numId="18">
    <w:abstractNumId w:val="15"/>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3830"/>
    <w:rsid w:val="00016F78"/>
    <w:rsid w:val="00035DF5"/>
    <w:rsid w:val="00046945"/>
    <w:rsid w:val="00061B2A"/>
    <w:rsid w:val="00082362"/>
    <w:rsid w:val="00097627"/>
    <w:rsid w:val="000A683E"/>
    <w:rsid w:val="000B19B9"/>
    <w:rsid w:val="000B2F1D"/>
    <w:rsid w:val="000D0334"/>
    <w:rsid w:val="000D5DA7"/>
    <w:rsid w:val="000F6486"/>
    <w:rsid w:val="00116940"/>
    <w:rsid w:val="00125105"/>
    <w:rsid w:val="00126B92"/>
    <w:rsid w:val="00127233"/>
    <w:rsid w:val="001357B2"/>
    <w:rsid w:val="00136941"/>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B1EF4"/>
    <w:rsid w:val="002B72B5"/>
    <w:rsid w:val="002B730F"/>
    <w:rsid w:val="002C7A84"/>
    <w:rsid w:val="002E2BF8"/>
    <w:rsid w:val="002E4FD9"/>
    <w:rsid w:val="002E6104"/>
    <w:rsid w:val="002F4390"/>
    <w:rsid w:val="002F4750"/>
    <w:rsid w:val="0030657A"/>
    <w:rsid w:val="00322A85"/>
    <w:rsid w:val="00324168"/>
    <w:rsid w:val="00330834"/>
    <w:rsid w:val="00331E14"/>
    <w:rsid w:val="003448F4"/>
    <w:rsid w:val="00345791"/>
    <w:rsid w:val="003504CF"/>
    <w:rsid w:val="0037015E"/>
    <w:rsid w:val="00374F5E"/>
    <w:rsid w:val="00377E3E"/>
    <w:rsid w:val="00397E8F"/>
    <w:rsid w:val="003A779E"/>
    <w:rsid w:val="003D0F4D"/>
    <w:rsid w:val="003D5B0D"/>
    <w:rsid w:val="003D6FB6"/>
    <w:rsid w:val="003E0499"/>
    <w:rsid w:val="003E1AFE"/>
    <w:rsid w:val="003E348A"/>
    <w:rsid w:val="003E4F80"/>
    <w:rsid w:val="003E6439"/>
    <w:rsid w:val="003F3941"/>
    <w:rsid w:val="00406575"/>
    <w:rsid w:val="00414C74"/>
    <w:rsid w:val="0042722E"/>
    <w:rsid w:val="00441434"/>
    <w:rsid w:val="004427A2"/>
    <w:rsid w:val="0044528D"/>
    <w:rsid w:val="00466E39"/>
    <w:rsid w:val="00482B83"/>
    <w:rsid w:val="004A1847"/>
    <w:rsid w:val="004A305D"/>
    <w:rsid w:val="004B4E88"/>
    <w:rsid w:val="004C33E4"/>
    <w:rsid w:val="004D62C6"/>
    <w:rsid w:val="004F21C4"/>
    <w:rsid w:val="004F685F"/>
    <w:rsid w:val="00500525"/>
    <w:rsid w:val="00503FCD"/>
    <w:rsid w:val="00530A1F"/>
    <w:rsid w:val="005566E8"/>
    <w:rsid w:val="00574867"/>
    <w:rsid w:val="00591460"/>
    <w:rsid w:val="005A65E0"/>
    <w:rsid w:val="005B7638"/>
    <w:rsid w:val="005C3777"/>
    <w:rsid w:val="005C5CDC"/>
    <w:rsid w:val="005D476C"/>
    <w:rsid w:val="006200BF"/>
    <w:rsid w:val="006219F8"/>
    <w:rsid w:val="006302F7"/>
    <w:rsid w:val="0063475B"/>
    <w:rsid w:val="006420BD"/>
    <w:rsid w:val="00646B9F"/>
    <w:rsid w:val="00665D70"/>
    <w:rsid w:val="006745D3"/>
    <w:rsid w:val="00674FF0"/>
    <w:rsid w:val="006827DE"/>
    <w:rsid w:val="006900D9"/>
    <w:rsid w:val="0069331C"/>
    <w:rsid w:val="00694B36"/>
    <w:rsid w:val="00706C16"/>
    <w:rsid w:val="007340C3"/>
    <w:rsid w:val="00745363"/>
    <w:rsid w:val="0075235A"/>
    <w:rsid w:val="00756841"/>
    <w:rsid w:val="0076175D"/>
    <w:rsid w:val="007649AB"/>
    <w:rsid w:val="00771D0C"/>
    <w:rsid w:val="007833AC"/>
    <w:rsid w:val="007A1830"/>
    <w:rsid w:val="007B268C"/>
    <w:rsid w:val="007B7171"/>
    <w:rsid w:val="007C0C0F"/>
    <w:rsid w:val="007C3DC2"/>
    <w:rsid w:val="007D5B3F"/>
    <w:rsid w:val="007E5497"/>
    <w:rsid w:val="00806F5F"/>
    <w:rsid w:val="00820278"/>
    <w:rsid w:val="008258C9"/>
    <w:rsid w:val="0083378B"/>
    <w:rsid w:val="00844AE9"/>
    <w:rsid w:val="00867F95"/>
    <w:rsid w:val="008750DC"/>
    <w:rsid w:val="008843B6"/>
    <w:rsid w:val="00891928"/>
    <w:rsid w:val="008A0720"/>
    <w:rsid w:val="008A446D"/>
    <w:rsid w:val="008B1BD7"/>
    <w:rsid w:val="008B25F1"/>
    <w:rsid w:val="008B7171"/>
    <w:rsid w:val="008B76C7"/>
    <w:rsid w:val="008D180B"/>
    <w:rsid w:val="008F0EA7"/>
    <w:rsid w:val="008F3DCB"/>
    <w:rsid w:val="00923EEF"/>
    <w:rsid w:val="009419F9"/>
    <w:rsid w:val="0095685E"/>
    <w:rsid w:val="00957C34"/>
    <w:rsid w:val="00961B09"/>
    <w:rsid w:val="00965334"/>
    <w:rsid w:val="0097093E"/>
    <w:rsid w:val="009721AA"/>
    <w:rsid w:val="0098174A"/>
    <w:rsid w:val="009877B5"/>
    <w:rsid w:val="009A0DFA"/>
    <w:rsid w:val="009A3571"/>
    <w:rsid w:val="009A74B4"/>
    <w:rsid w:val="009B2D26"/>
    <w:rsid w:val="009B4089"/>
    <w:rsid w:val="009C71FA"/>
    <w:rsid w:val="009C72E7"/>
    <w:rsid w:val="009C7F7E"/>
    <w:rsid w:val="009D3058"/>
    <w:rsid w:val="009F3A13"/>
    <w:rsid w:val="00A122D3"/>
    <w:rsid w:val="00A14468"/>
    <w:rsid w:val="00A17F13"/>
    <w:rsid w:val="00A20739"/>
    <w:rsid w:val="00A23AF9"/>
    <w:rsid w:val="00A33C78"/>
    <w:rsid w:val="00A52377"/>
    <w:rsid w:val="00A77865"/>
    <w:rsid w:val="00AB0ADB"/>
    <w:rsid w:val="00AC78D9"/>
    <w:rsid w:val="00B00C0E"/>
    <w:rsid w:val="00B01B1A"/>
    <w:rsid w:val="00B16B6B"/>
    <w:rsid w:val="00B44A47"/>
    <w:rsid w:val="00B63408"/>
    <w:rsid w:val="00B66EBC"/>
    <w:rsid w:val="00B72CD3"/>
    <w:rsid w:val="00B72FFF"/>
    <w:rsid w:val="00BC3D36"/>
    <w:rsid w:val="00BD54A6"/>
    <w:rsid w:val="00BD7F72"/>
    <w:rsid w:val="00BF7425"/>
    <w:rsid w:val="00C04FB3"/>
    <w:rsid w:val="00C11D8B"/>
    <w:rsid w:val="00C330EB"/>
    <w:rsid w:val="00C50D69"/>
    <w:rsid w:val="00C5365C"/>
    <w:rsid w:val="00C754BE"/>
    <w:rsid w:val="00C76B1C"/>
    <w:rsid w:val="00C925AC"/>
    <w:rsid w:val="00CB6357"/>
    <w:rsid w:val="00CC1B26"/>
    <w:rsid w:val="00D361FD"/>
    <w:rsid w:val="00D423A2"/>
    <w:rsid w:val="00D44E26"/>
    <w:rsid w:val="00D520D8"/>
    <w:rsid w:val="00D532F2"/>
    <w:rsid w:val="00D62B39"/>
    <w:rsid w:val="00D63AC2"/>
    <w:rsid w:val="00D7383B"/>
    <w:rsid w:val="00D7788A"/>
    <w:rsid w:val="00D77ED5"/>
    <w:rsid w:val="00D85536"/>
    <w:rsid w:val="00DA231B"/>
    <w:rsid w:val="00DB442D"/>
    <w:rsid w:val="00DC39FC"/>
    <w:rsid w:val="00DF2A39"/>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2550"/>
    <w:rsid w:val="00EC38A7"/>
    <w:rsid w:val="00EE1AA8"/>
    <w:rsid w:val="00F11799"/>
    <w:rsid w:val="00F23FEA"/>
    <w:rsid w:val="00F27984"/>
    <w:rsid w:val="00F27B7B"/>
    <w:rsid w:val="00F31EDC"/>
    <w:rsid w:val="00F462B3"/>
    <w:rsid w:val="00F54E0C"/>
    <w:rsid w:val="00F5664F"/>
    <w:rsid w:val="00F666C4"/>
    <w:rsid w:val="00F76AFC"/>
    <w:rsid w:val="00F8569A"/>
    <w:rsid w:val="00F93BFD"/>
    <w:rsid w:val="00FA47C0"/>
    <w:rsid w:val="00FB5DD1"/>
    <w:rsid w:val="00FC2B5D"/>
    <w:rsid w:val="00FD0452"/>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4FF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504CF"/>
    <w:rPr>
      <w:rFonts w:ascii="Geomanist Light" w:hAnsi="Geomanist Light"/>
      <w:lang w:val="es-ES"/>
    </w:rPr>
  </w:style>
  <w:style w:type="character" w:styleId="Textoennegrita">
    <w:name w:val="Strong"/>
    <w:basedOn w:val="Fuentedeprrafopredeter"/>
    <w:uiPriority w:val="22"/>
    <w:qFormat/>
    <w:rsid w:val="003E348A"/>
    <w:rPr>
      <w:b/>
      <w:bCs/>
    </w:rPr>
  </w:style>
  <w:style w:type="character" w:customStyle="1" w:styleId="NormalWebCar">
    <w:name w:val="Normal (Web) Car"/>
    <w:link w:val="NormalWeb"/>
    <w:uiPriority w:val="99"/>
    <w:locked/>
    <w:rsid w:val="003E348A"/>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semiHidden/>
    <w:unhideWhenUsed/>
    <w:rsid w:val="0083378B"/>
    <w:pPr>
      <w:spacing w:after="120"/>
    </w:pPr>
  </w:style>
  <w:style w:type="character" w:customStyle="1" w:styleId="TextoindependienteCar">
    <w:name w:val="Texto independiente Car"/>
    <w:basedOn w:val="Fuentedeprrafopredeter"/>
    <w:link w:val="Textoindependiente"/>
    <w:uiPriority w:val="99"/>
    <w:semiHidden/>
    <w:rsid w:val="008337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bogahdc@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0A90831E-1553-4CE7-BCDD-7202FD2BFA98}"/>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4.xml><?xml version="1.0" encoding="utf-8"?>
<ds:datastoreItem xmlns:ds="http://schemas.openxmlformats.org/officeDocument/2006/customXml" ds:itemID="{67F58B49-EF70-41F8-925E-E36E52E1C9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25</Pages>
  <Words>7922</Words>
  <Characters>45156</Characters>
  <Application>Microsoft Office Word</Application>
  <DocSecurity>0</DocSecurity>
  <Lines>376</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8</cp:revision>
  <cp:lastPrinted>2023-01-10T21:18:00Z</cp:lastPrinted>
  <dcterms:created xsi:type="dcterms:W3CDTF">2025-12-13T22:11:00Z</dcterms:created>
  <dcterms:modified xsi:type="dcterms:W3CDTF">2025-12-16T13:45:00Z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