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C5ABB" w14:textId="77777777" w:rsidR="00852AAA" w:rsidRPr="00AF649C" w:rsidRDefault="00852AAA" w:rsidP="00852AAA">
      <w:pPr>
        <w:spacing w:after="0"/>
        <w:rPr>
          <w:rFonts w:ascii="Verdana" w:hAnsi="Verdana"/>
        </w:rPr>
      </w:pPr>
      <w:bookmarkStart w:id="0" w:name="_Hlk143780582"/>
      <w:r w:rsidRPr="00DB2AC7">
        <w:rPr>
          <w:rFonts w:ascii="Verdana" w:hAnsi="Verdana" w:cs="Arial"/>
          <w:b/>
          <w:lang w:val="es-ES" w:eastAsia="es-ES"/>
        </w:rPr>
        <w:t xml:space="preserve">ENAJENACIÓN – Bienes inmuebles – Bienes muebles </w:t>
      </w:r>
    </w:p>
    <w:p w14:paraId="267169B0" w14:textId="77777777" w:rsidR="00852AAA" w:rsidRDefault="00852AAA" w:rsidP="00852AAA">
      <w:pPr>
        <w:spacing w:after="0"/>
        <w:rPr>
          <w:rFonts w:ascii="Verdana" w:hAnsi="Verdana" w:cs="Arial"/>
          <w:b/>
          <w:lang w:val="es-ES" w:eastAsia="es-ES"/>
        </w:rPr>
      </w:pPr>
    </w:p>
    <w:p w14:paraId="67F04FCA" w14:textId="77777777" w:rsidR="00852AAA" w:rsidRDefault="00852AAA" w:rsidP="00852AAA">
      <w:pPr>
        <w:spacing w:after="0" w:line="240" w:lineRule="auto"/>
        <w:jc w:val="both"/>
        <w:rPr>
          <w:rFonts w:ascii="Verdana" w:hAnsi="Verdana" w:cs="Arial"/>
          <w:iCs/>
          <w:sz w:val="20"/>
          <w:lang w:eastAsia="es-ES"/>
        </w:rPr>
      </w:pPr>
      <w:r w:rsidRPr="00DB2AC7">
        <w:rPr>
          <w:rFonts w:ascii="Verdana" w:hAnsi="Verdana" w:cs="Arial"/>
          <w:sz w:val="20"/>
          <w:lang w:val="es-ES" w:eastAsia="es-ES"/>
        </w:rPr>
        <w:t xml:space="preserve">La enajenación se define como la transferencia del derecho real </w:t>
      </w:r>
      <w:r>
        <w:rPr>
          <w:rFonts w:ascii="Verdana" w:hAnsi="Verdana" w:cs="Arial"/>
          <w:sz w:val="20"/>
          <w:lang w:val="es-ES" w:eastAsia="es-ES"/>
        </w:rPr>
        <w:t>sobre un bien</w:t>
      </w:r>
      <w:r w:rsidRPr="00DB2AC7">
        <w:rPr>
          <w:rFonts w:ascii="Verdana" w:hAnsi="Verdana" w:cs="Arial"/>
          <w:sz w:val="20"/>
          <w:lang w:val="es-ES" w:eastAsia="es-ES"/>
        </w:rPr>
        <w:t>. Como indica la doctrina, “Dar –en sentido restringido–, traditar, enajenar, disponer, son conceptos sinónimos en el Código Civil. Cuando se da, se enajena. Cuando se tradita, se enajena, cuando se enajena, se da o se tradita. Y, finalmente, cuando ocurre cualquiera de tales fenómenos, se dispone”. Lo más usual es que la enajenación se lleve a cabo respecto del derecho de propiedad; y en tal caso, se efectúa mediante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“De las cosas que no están en el comercio”, ii) “De los derechos o privilegios que no pueden transferirse a otra persona” y iii) “De las cosas embargadas por decreto judicial, a menos que el juez lo autorice o el acreedor consienta en ello”. Por otro lado, e</w:t>
      </w:r>
      <w:r w:rsidRPr="00DB2AC7">
        <w:rPr>
          <w:rFonts w:ascii="Verdana" w:hAnsi="Verdana" w:cs="Arial"/>
          <w:sz w:val="20"/>
          <w:lang w:eastAsia="es-ES"/>
        </w:rPr>
        <w:t xml:space="preserve">l artículo 674 del Código Civil define los bienes de dominio público como aquellos que </w:t>
      </w:r>
      <w:r w:rsidRPr="00DB2AC7">
        <w:rPr>
          <w:rFonts w:ascii="Verdana" w:hAnsi="Verdana" w:cs="Arial"/>
          <w:iCs/>
          <w:sz w:val="20"/>
          <w:lang w:eastAsia="es-ES"/>
        </w:rPr>
        <w:t>“[…] pertenece a todos los habitantes de un Territorio, como el de calles, plazas, puentes y caminos, se llaman bienes de la Unión o de uso o bienes públicos del Territorio”.</w:t>
      </w:r>
    </w:p>
    <w:p w14:paraId="0931F238" w14:textId="77777777" w:rsidR="00852AAA" w:rsidRPr="00DB2AC7" w:rsidRDefault="00852AAA" w:rsidP="00852AAA">
      <w:pPr>
        <w:spacing w:after="0" w:line="240" w:lineRule="auto"/>
        <w:jc w:val="both"/>
        <w:rPr>
          <w:rFonts w:ascii="Verdana" w:hAnsi="Verdana" w:cs="Arial"/>
          <w:sz w:val="20"/>
          <w:lang w:val="es-ES" w:eastAsia="es-ES"/>
        </w:rPr>
      </w:pPr>
    </w:p>
    <w:p w14:paraId="5C260F28" w14:textId="77777777" w:rsidR="00852AAA" w:rsidRPr="001A6B9A" w:rsidRDefault="00852AAA" w:rsidP="00852AAA">
      <w:pPr>
        <w:spacing w:line="276" w:lineRule="auto"/>
        <w:jc w:val="both"/>
        <w:rPr>
          <w:rFonts w:ascii="Verdana" w:eastAsia="Calibri" w:hAnsi="Verdana" w:cs="Arial"/>
          <w:b/>
          <w:bCs/>
          <w:lang w:val="es-ES_tradnl" w:eastAsia="es-ES"/>
        </w:rPr>
      </w:pPr>
      <w:r w:rsidRPr="001A6B9A">
        <w:rPr>
          <w:rFonts w:ascii="Verdana" w:eastAsia="Calibri" w:hAnsi="Verdana" w:cs="Arial"/>
          <w:b/>
          <w:bCs/>
          <w:lang w:val="es-ES_tradnl" w:eastAsia="es-ES"/>
        </w:rPr>
        <w:t xml:space="preserve">ENAJENACIÓN DE BIENES – Modalidad de contratación </w:t>
      </w:r>
    </w:p>
    <w:p w14:paraId="3B204FF1" w14:textId="77777777" w:rsidR="00852AAA" w:rsidRPr="001A6B9A" w:rsidRDefault="00852AAA" w:rsidP="00852AAA">
      <w:pPr>
        <w:spacing w:after="120" w:line="240" w:lineRule="auto"/>
        <w:jc w:val="both"/>
        <w:rPr>
          <w:rFonts w:ascii="Verdana" w:eastAsia="Calibri" w:hAnsi="Verdana" w:cs="Arial"/>
          <w:b/>
          <w:bCs/>
          <w:sz w:val="20"/>
          <w:szCs w:val="20"/>
          <w:lang w:val="es-ES_tradnl" w:eastAsia="es-ES"/>
        </w:rPr>
      </w:pPr>
      <w:r w:rsidRPr="001A6B9A">
        <w:rPr>
          <w:rFonts w:ascii="Verdana" w:eastAsia="Calibri" w:hAnsi="Verdana" w:cs="Arial"/>
          <w:sz w:val="20"/>
          <w:szCs w:val="20"/>
        </w:rPr>
        <w:t xml:space="preserve">En relación con la modalidad de selección </w:t>
      </w:r>
      <w:r w:rsidRPr="001A6B9A">
        <w:rPr>
          <w:rFonts w:ascii="Verdana" w:eastAsia="Arial" w:hAnsi="Verdana" w:cs="Arial"/>
          <w:sz w:val="20"/>
          <w:szCs w:val="20"/>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1A6B9A">
        <w:rPr>
          <w:rFonts w:ascii="Verdana" w:eastAsia="Arial" w:hAnsi="Verdana" w:cs="Arial"/>
          <w:sz w:val="20"/>
          <w:szCs w:val="20"/>
        </w:rPr>
        <w:t xml:space="preserve">se podrán utilizar instrumentos de subasta y en general de todos aquellos mecanismos autorizados por el derecho privado, siempre y cuando en desarrollo del proceso de enajenación se garantice la transparencia, la eficiencia y la selección objetiva. </w:t>
      </w:r>
      <w:r w:rsidRPr="001A6B9A">
        <w:rPr>
          <w:rFonts w:ascii="Verdana" w:eastAsia="Arial" w:hAnsi="Verdana" w:cs="Arial"/>
          <w:sz w:val="20"/>
          <w:szCs w:val="20"/>
          <w:lang w:val="es-ES"/>
        </w:rPr>
        <w:t xml:space="preserve">Adicionalmente, establece que </w:t>
      </w:r>
      <w:r w:rsidRPr="001A6B9A">
        <w:rPr>
          <w:rFonts w:ascii="Verdana" w:eastAsia="Arial" w:hAnsi="Verdana" w:cs="Arial"/>
          <w:sz w:val="20"/>
          <w:szCs w:val="20"/>
        </w:rPr>
        <w:t>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61A7A54B" w14:textId="77777777" w:rsidR="00852AAA" w:rsidRPr="001A6B9A" w:rsidRDefault="00852AAA" w:rsidP="00852AAA">
      <w:pPr>
        <w:spacing w:line="276" w:lineRule="auto"/>
        <w:jc w:val="both"/>
        <w:rPr>
          <w:rFonts w:ascii="Verdana" w:eastAsia="Calibri" w:hAnsi="Verdana" w:cs="Arial"/>
          <w:b/>
          <w:bCs/>
          <w:lang w:val="es-ES_tradnl" w:eastAsia="es-ES"/>
        </w:rPr>
      </w:pPr>
      <w:r w:rsidRPr="001A6B9A">
        <w:rPr>
          <w:rFonts w:ascii="Verdana" w:eastAsia="Calibri" w:hAnsi="Verdana" w:cs="Arial"/>
          <w:b/>
          <w:bCs/>
          <w:lang w:val="es-ES_tradnl" w:eastAsia="es-ES"/>
        </w:rPr>
        <w:t xml:space="preserve">MECANISMOS DE ENAJENACIÓN – Decreto 1082 de 2015 </w:t>
      </w:r>
    </w:p>
    <w:p w14:paraId="777D18CB" w14:textId="77777777" w:rsidR="00852AAA" w:rsidRPr="00F27E3B" w:rsidRDefault="00852AAA" w:rsidP="00852AAA">
      <w:pPr>
        <w:spacing w:after="0" w:line="240" w:lineRule="auto"/>
        <w:jc w:val="both"/>
        <w:rPr>
          <w:rFonts w:ascii="Verdana" w:hAnsi="Verdana" w:cs="Times New Roman"/>
          <w:sz w:val="20"/>
          <w:szCs w:val="20"/>
          <w:shd w:val="clear" w:color="auto" w:fill="FFFFFF"/>
          <w:lang w:val="es-MX"/>
        </w:rPr>
      </w:pPr>
      <w:r w:rsidRPr="001A6B9A">
        <w:rPr>
          <w:rFonts w:ascii="Verdana" w:eastAsia="Arial" w:hAnsi="Verdana" w:cs="Arial"/>
          <w:sz w:val="20"/>
          <w:szCs w:val="20"/>
          <w:lang w:val="es-ES"/>
        </w:rPr>
        <w:t xml:space="preserve">La subsección 2 de la sección 2 del capítulo II del Decreto 1082 de 2015 establece 3 mecanismos de enajenación de los bienes del Estado: i) la enajenación directa por sobre cerrado, que se llevará a cabo mediante el procedimiento allí contemplado, ii) la enajenación directa a través de subasta pública, para lo cual la entidad deberá </w:t>
      </w:r>
      <w:r w:rsidRPr="001A6B9A">
        <w:rPr>
          <w:rFonts w:ascii="Verdana" w:eastAsia="Arial" w:hAnsi="Verdana" w:cs="Arial"/>
          <w:sz w:val="20"/>
          <w:szCs w:val="20"/>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iii) la enajenación a través de intermediarios idóneos, en cuyo caso </w:t>
      </w:r>
      <w:r w:rsidRPr="00F27E3B">
        <w:rPr>
          <w:rFonts w:ascii="Verdana" w:hAnsi="Verdana"/>
          <w:sz w:val="20"/>
          <w:szCs w:val="20"/>
          <w:shd w:val="clear" w:color="auto" w:fill="FFFFFF"/>
          <w:lang w:val="es-MX"/>
        </w:rPr>
        <w:t xml:space="preserve">la venta debe realizarse a través de subasta </w:t>
      </w:r>
      <w:r w:rsidRPr="00F27E3B">
        <w:rPr>
          <w:rFonts w:ascii="Verdana" w:hAnsi="Verdana"/>
          <w:sz w:val="20"/>
          <w:szCs w:val="20"/>
          <w:shd w:val="clear" w:color="auto" w:fill="FFFFFF"/>
          <w:lang w:val="es-MX"/>
        </w:rPr>
        <w:lastRenderedPageBreak/>
        <w:t xml:space="preserve">pública, o mediante el mecanismo de derecho privado que se convenga con el intermediario. </w:t>
      </w:r>
    </w:p>
    <w:p w14:paraId="69951EEC" w14:textId="77777777" w:rsidR="00852AAA" w:rsidRDefault="00852AAA" w:rsidP="0008597B">
      <w:pPr>
        <w:spacing w:after="0"/>
        <w:rPr>
          <w:rFonts w:ascii="Verdana" w:hAnsi="Verdana"/>
        </w:rPr>
      </w:pPr>
    </w:p>
    <w:p w14:paraId="075290CE" w14:textId="77777777" w:rsidR="00852AAA" w:rsidRDefault="00852AAA" w:rsidP="0008597B">
      <w:pPr>
        <w:spacing w:after="0"/>
        <w:rPr>
          <w:rFonts w:ascii="Verdana" w:hAnsi="Verdana"/>
        </w:rPr>
      </w:pPr>
    </w:p>
    <w:p w14:paraId="161504BA" w14:textId="77777777" w:rsidR="00852AAA" w:rsidRDefault="00852AAA" w:rsidP="0008597B">
      <w:pPr>
        <w:spacing w:after="0"/>
        <w:rPr>
          <w:rFonts w:ascii="Verdana" w:hAnsi="Verdana"/>
        </w:rPr>
      </w:pPr>
    </w:p>
    <w:p w14:paraId="58DADD72" w14:textId="77777777" w:rsidR="00852AAA" w:rsidRDefault="00852AAA" w:rsidP="0008597B">
      <w:pPr>
        <w:spacing w:after="0"/>
        <w:rPr>
          <w:rFonts w:ascii="Verdana" w:hAnsi="Verdana"/>
        </w:rPr>
      </w:pPr>
    </w:p>
    <w:p w14:paraId="26F7532B" w14:textId="77777777" w:rsidR="00852AAA" w:rsidRDefault="00852AAA" w:rsidP="0008597B">
      <w:pPr>
        <w:spacing w:after="0"/>
        <w:rPr>
          <w:rFonts w:ascii="Verdana" w:hAnsi="Verdana"/>
        </w:rPr>
      </w:pPr>
    </w:p>
    <w:p w14:paraId="69FC5E95" w14:textId="77777777" w:rsidR="00852AAA" w:rsidRDefault="00852AAA" w:rsidP="0008597B">
      <w:pPr>
        <w:spacing w:after="0"/>
        <w:rPr>
          <w:rFonts w:ascii="Verdana" w:hAnsi="Verdana"/>
        </w:rPr>
      </w:pPr>
    </w:p>
    <w:p w14:paraId="5DE1F858" w14:textId="77777777" w:rsidR="00852AAA" w:rsidRDefault="00852AAA" w:rsidP="0008597B">
      <w:pPr>
        <w:spacing w:after="0"/>
        <w:rPr>
          <w:rFonts w:ascii="Verdana" w:hAnsi="Verdana"/>
        </w:rPr>
      </w:pPr>
    </w:p>
    <w:p w14:paraId="67D061F3" w14:textId="77777777" w:rsidR="00852AAA" w:rsidRDefault="00852AAA" w:rsidP="0008597B">
      <w:pPr>
        <w:spacing w:after="0"/>
        <w:rPr>
          <w:rFonts w:ascii="Verdana" w:hAnsi="Verdana"/>
        </w:rPr>
      </w:pPr>
    </w:p>
    <w:p w14:paraId="084A8AEA" w14:textId="77777777" w:rsidR="00852AAA" w:rsidRDefault="00852AAA" w:rsidP="0008597B">
      <w:pPr>
        <w:spacing w:after="0"/>
        <w:rPr>
          <w:rFonts w:ascii="Verdana" w:hAnsi="Verdana"/>
        </w:rPr>
      </w:pPr>
    </w:p>
    <w:p w14:paraId="141F2788" w14:textId="77777777" w:rsidR="00852AAA" w:rsidRDefault="00852AAA" w:rsidP="0008597B">
      <w:pPr>
        <w:spacing w:after="0"/>
        <w:rPr>
          <w:rFonts w:ascii="Verdana" w:hAnsi="Verdana"/>
        </w:rPr>
      </w:pPr>
    </w:p>
    <w:p w14:paraId="449990B4" w14:textId="77777777" w:rsidR="00852AAA" w:rsidRDefault="00852AAA" w:rsidP="0008597B">
      <w:pPr>
        <w:spacing w:after="0"/>
        <w:rPr>
          <w:rFonts w:ascii="Verdana" w:hAnsi="Verdana"/>
        </w:rPr>
      </w:pPr>
    </w:p>
    <w:p w14:paraId="0F4E0E43" w14:textId="77777777" w:rsidR="00852AAA" w:rsidRDefault="00852AAA" w:rsidP="0008597B">
      <w:pPr>
        <w:spacing w:after="0"/>
        <w:rPr>
          <w:rFonts w:ascii="Verdana" w:hAnsi="Verdana"/>
        </w:rPr>
      </w:pPr>
    </w:p>
    <w:p w14:paraId="6A0D3FBB" w14:textId="77777777" w:rsidR="00852AAA" w:rsidRDefault="00852AAA" w:rsidP="0008597B">
      <w:pPr>
        <w:spacing w:after="0"/>
        <w:rPr>
          <w:rFonts w:ascii="Verdana" w:hAnsi="Verdana"/>
        </w:rPr>
      </w:pPr>
    </w:p>
    <w:p w14:paraId="1C92F7B8" w14:textId="77777777" w:rsidR="00852AAA" w:rsidRDefault="00852AAA" w:rsidP="0008597B">
      <w:pPr>
        <w:spacing w:after="0"/>
        <w:rPr>
          <w:rFonts w:ascii="Verdana" w:hAnsi="Verdana"/>
        </w:rPr>
      </w:pPr>
    </w:p>
    <w:p w14:paraId="2B6A7DA3" w14:textId="77777777" w:rsidR="00852AAA" w:rsidRDefault="00852AAA" w:rsidP="0008597B">
      <w:pPr>
        <w:spacing w:after="0"/>
        <w:rPr>
          <w:rFonts w:ascii="Verdana" w:hAnsi="Verdana"/>
        </w:rPr>
      </w:pPr>
    </w:p>
    <w:p w14:paraId="73ECCA17" w14:textId="77777777" w:rsidR="00852AAA" w:rsidRDefault="00852AAA" w:rsidP="0008597B">
      <w:pPr>
        <w:spacing w:after="0"/>
        <w:rPr>
          <w:rFonts w:ascii="Verdana" w:hAnsi="Verdana"/>
        </w:rPr>
      </w:pPr>
    </w:p>
    <w:p w14:paraId="6914F1BC" w14:textId="77777777" w:rsidR="00852AAA" w:rsidRDefault="00852AAA" w:rsidP="0008597B">
      <w:pPr>
        <w:spacing w:after="0"/>
        <w:rPr>
          <w:rFonts w:ascii="Verdana" w:hAnsi="Verdana"/>
        </w:rPr>
      </w:pPr>
    </w:p>
    <w:p w14:paraId="5899FC19" w14:textId="77777777" w:rsidR="00852AAA" w:rsidRDefault="00852AAA" w:rsidP="0008597B">
      <w:pPr>
        <w:spacing w:after="0"/>
        <w:rPr>
          <w:rFonts w:ascii="Verdana" w:hAnsi="Verdana"/>
        </w:rPr>
      </w:pPr>
    </w:p>
    <w:p w14:paraId="2C948E12" w14:textId="77777777" w:rsidR="00852AAA" w:rsidRDefault="00852AAA" w:rsidP="0008597B">
      <w:pPr>
        <w:spacing w:after="0"/>
        <w:rPr>
          <w:rFonts w:ascii="Verdana" w:hAnsi="Verdana"/>
        </w:rPr>
      </w:pPr>
    </w:p>
    <w:p w14:paraId="59C705AA" w14:textId="77777777" w:rsidR="00852AAA" w:rsidRDefault="00852AAA" w:rsidP="0008597B">
      <w:pPr>
        <w:spacing w:after="0"/>
        <w:rPr>
          <w:rFonts w:ascii="Verdana" w:hAnsi="Verdana"/>
        </w:rPr>
      </w:pPr>
    </w:p>
    <w:p w14:paraId="5221930D" w14:textId="77777777" w:rsidR="00852AAA" w:rsidRDefault="00852AAA" w:rsidP="0008597B">
      <w:pPr>
        <w:spacing w:after="0"/>
        <w:rPr>
          <w:rFonts w:ascii="Verdana" w:hAnsi="Verdana"/>
        </w:rPr>
      </w:pPr>
    </w:p>
    <w:p w14:paraId="160F7D15" w14:textId="77777777" w:rsidR="00852AAA" w:rsidRDefault="00852AAA" w:rsidP="0008597B">
      <w:pPr>
        <w:spacing w:after="0"/>
        <w:rPr>
          <w:rFonts w:ascii="Verdana" w:hAnsi="Verdana"/>
        </w:rPr>
      </w:pPr>
    </w:p>
    <w:p w14:paraId="4D332639" w14:textId="77777777" w:rsidR="00852AAA" w:rsidRDefault="00852AAA" w:rsidP="0008597B">
      <w:pPr>
        <w:spacing w:after="0"/>
        <w:rPr>
          <w:rFonts w:ascii="Verdana" w:hAnsi="Verdana"/>
        </w:rPr>
      </w:pPr>
    </w:p>
    <w:p w14:paraId="5A4EE703" w14:textId="77777777" w:rsidR="00852AAA" w:rsidRDefault="00852AAA" w:rsidP="0008597B">
      <w:pPr>
        <w:spacing w:after="0"/>
        <w:rPr>
          <w:rFonts w:ascii="Verdana" w:hAnsi="Verdana"/>
        </w:rPr>
      </w:pPr>
    </w:p>
    <w:p w14:paraId="6A5B30AA" w14:textId="77777777" w:rsidR="00852AAA" w:rsidRDefault="00852AAA" w:rsidP="0008597B">
      <w:pPr>
        <w:spacing w:after="0"/>
        <w:rPr>
          <w:rFonts w:ascii="Verdana" w:hAnsi="Verdana"/>
        </w:rPr>
      </w:pPr>
    </w:p>
    <w:p w14:paraId="4FF6ED63" w14:textId="77777777" w:rsidR="00852AAA" w:rsidRDefault="00852AAA" w:rsidP="0008597B">
      <w:pPr>
        <w:spacing w:after="0"/>
        <w:rPr>
          <w:rFonts w:ascii="Verdana" w:hAnsi="Verdana"/>
        </w:rPr>
      </w:pPr>
    </w:p>
    <w:p w14:paraId="794C95A9" w14:textId="77777777" w:rsidR="00852AAA" w:rsidRDefault="00852AAA" w:rsidP="0008597B">
      <w:pPr>
        <w:spacing w:after="0"/>
        <w:rPr>
          <w:rFonts w:ascii="Verdana" w:hAnsi="Verdana"/>
        </w:rPr>
      </w:pPr>
    </w:p>
    <w:p w14:paraId="185BFC2A" w14:textId="77777777" w:rsidR="00852AAA" w:rsidRDefault="00852AAA" w:rsidP="0008597B">
      <w:pPr>
        <w:spacing w:after="0"/>
        <w:rPr>
          <w:rFonts w:ascii="Verdana" w:hAnsi="Verdana"/>
        </w:rPr>
      </w:pPr>
    </w:p>
    <w:p w14:paraId="4EDA4D8C" w14:textId="77777777" w:rsidR="00852AAA" w:rsidRDefault="00852AAA" w:rsidP="0008597B">
      <w:pPr>
        <w:spacing w:after="0"/>
        <w:rPr>
          <w:rFonts w:ascii="Verdana" w:hAnsi="Verdana"/>
        </w:rPr>
      </w:pPr>
    </w:p>
    <w:p w14:paraId="04B2EBFC" w14:textId="77777777" w:rsidR="00852AAA" w:rsidRDefault="00852AAA" w:rsidP="0008597B">
      <w:pPr>
        <w:spacing w:after="0"/>
        <w:rPr>
          <w:rFonts w:ascii="Verdana" w:hAnsi="Verdana"/>
        </w:rPr>
      </w:pPr>
    </w:p>
    <w:p w14:paraId="189603E1" w14:textId="77777777" w:rsidR="00852AAA" w:rsidRDefault="00852AAA" w:rsidP="0008597B">
      <w:pPr>
        <w:spacing w:after="0"/>
        <w:rPr>
          <w:rFonts w:ascii="Verdana" w:hAnsi="Verdana"/>
        </w:rPr>
      </w:pPr>
    </w:p>
    <w:p w14:paraId="2A26A5E7" w14:textId="77777777" w:rsidR="00852AAA" w:rsidRDefault="00852AAA" w:rsidP="0008597B">
      <w:pPr>
        <w:spacing w:after="0"/>
        <w:rPr>
          <w:rFonts w:ascii="Verdana" w:hAnsi="Verdana"/>
        </w:rPr>
      </w:pPr>
    </w:p>
    <w:p w14:paraId="417FD48E" w14:textId="77777777" w:rsidR="00852AAA" w:rsidRDefault="00852AAA" w:rsidP="0008597B">
      <w:pPr>
        <w:spacing w:after="0"/>
        <w:rPr>
          <w:rFonts w:ascii="Verdana" w:hAnsi="Verdana"/>
        </w:rPr>
      </w:pPr>
    </w:p>
    <w:p w14:paraId="5886FF4C" w14:textId="3B436479" w:rsidR="0008597B" w:rsidRDefault="00C15139" w:rsidP="0008597B">
      <w:pPr>
        <w:spacing w:after="0"/>
        <w:rPr>
          <w:rFonts w:ascii="Verdana" w:eastAsia="Calibri" w:hAnsi="Verdana" w:cs="Arial"/>
          <w:lang w:val="es-ES" w:eastAsia="es-ES"/>
        </w:rPr>
      </w:pPr>
      <w:r w:rsidRPr="0024624F">
        <w:rPr>
          <w:rFonts w:ascii="Verdana" w:hAnsi="Verdana"/>
        </w:rPr>
        <w:lastRenderedPageBreak/>
        <w:t xml:space="preserve">Bogotá D.C., </w:t>
      </w:r>
      <w:r w:rsidR="008534AC">
        <w:rPr>
          <w:rFonts w:ascii="Verdana" w:hAnsi="Verdana"/>
        </w:rPr>
        <w:t>9 de diciembre de 2025</w:t>
      </w:r>
      <w:r w:rsidRPr="000E2B93">
        <w:rPr>
          <w:rFonts w:ascii="Verdana" w:hAnsi="Verdana"/>
        </w:rPr>
        <w:tab/>
      </w:r>
      <w:r w:rsidRPr="000E2B93">
        <w:rPr>
          <w:rFonts w:ascii="Verdana" w:hAnsi="Verdana"/>
        </w:rPr>
        <w:br/>
      </w:r>
      <w:r w:rsidR="00D37937" w:rsidRPr="000E2B93">
        <w:rPr>
          <w:rFonts w:ascii="Verdana" w:hAnsi="Verdana"/>
        </w:rPr>
        <w:tab/>
      </w:r>
      <w:r w:rsidR="00D37937" w:rsidRPr="000E2B93">
        <w:rPr>
          <w:rFonts w:ascii="Verdana" w:hAnsi="Verdana"/>
        </w:rPr>
        <w:br/>
      </w:r>
    </w:p>
    <w:p w14:paraId="73027436" w14:textId="23724D53" w:rsidR="008534AC" w:rsidRDefault="000C7894" w:rsidP="0008597B">
      <w:pPr>
        <w:spacing w:after="0"/>
        <w:rPr>
          <w:rFonts w:ascii="Verdana" w:eastAsia="Calibri" w:hAnsi="Verdana" w:cs="Arial"/>
          <w:lang w:val="es-ES" w:eastAsia="es-ES"/>
        </w:rPr>
      </w:pPr>
      <w:r w:rsidRPr="008534AC">
        <w:rPr>
          <w:rFonts w:ascii="Verdana" w:eastAsia="Calibri" w:hAnsi="Verdana" w:cs="Arial"/>
          <w:noProof/>
          <w:lang w:val="es-ES" w:eastAsia="es-ES"/>
        </w:rPr>
        <w:drawing>
          <wp:anchor distT="0" distB="0" distL="114300" distR="114300" simplePos="0" relativeHeight="251658240" behindDoc="1" locked="0" layoutInCell="1" allowOverlap="1" wp14:anchorId="6BE13755" wp14:editId="29CFFC7A">
            <wp:simplePos x="0" y="0"/>
            <wp:positionH relativeFrom="margin">
              <wp:posOffset>2943860</wp:posOffset>
            </wp:positionH>
            <wp:positionV relativeFrom="paragraph">
              <wp:posOffset>8255</wp:posOffset>
            </wp:positionV>
            <wp:extent cx="2654935" cy="897890"/>
            <wp:effectExtent l="0" t="0" r="0" b="0"/>
            <wp:wrapSquare wrapText="bothSides"/>
            <wp:docPr id="11536381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38139" name=""/>
                    <pic:cNvPicPr/>
                  </pic:nvPicPr>
                  <pic:blipFill>
                    <a:blip r:embed="rId10">
                      <a:extLst>
                        <a:ext uri="{28A0092B-C50C-407E-A947-70E740481C1C}">
                          <a14:useLocalDpi xmlns:a14="http://schemas.microsoft.com/office/drawing/2010/main" val="0"/>
                        </a:ext>
                      </a:extLst>
                    </a:blip>
                    <a:stretch>
                      <a:fillRect/>
                    </a:stretch>
                  </pic:blipFill>
                  <pic:spPr>
                    <a:xfrm>
                      <a:off x="0" y="0"/>
                      <a:ext cx="2654935" cy="897890"/>
                    </a:xfrm>
                    <a:prstGeom prst="rect">
                      <a:avLst/>
                    </a:prstGeom>
                  </pic:spPr>
                </pic:pic>
              </a:graphicData>
            </a:graphic>
            <wp14:sizeRelH relativeFrom="margin">
              <wp14:pctWidth>0</wp14:pctWidth>
            </wp14:sizeRelH>
            <wp14:sizeRelV relativeFrom="margin">
              <wp14:pctHeight>0</wp14:pctHeight>
            </wp14:sizeRelV>
          </wp:anchor>
        </w:drawing>
      </w:r>
    </w:p>
    <w:p w14:paraId="7CF5F1C9" w14:textId="446FCF2E" w:rsidR="00D37937" w:rsidRPr="0008597B" w:rsidRDefault="00D37937" w:rsidP="0008597B">
      <w:pPr>
        <w:spacing w:after="0"/>
        <w:rPr>
          <w:rFonts w:ascii="Verdana" w:eastAsia="Calibri" w:hAnsi="Verdana" w:cs="Arial"/>
        </w:rPr>
      </w:pPr>
      <w:r w:rsidRPr="001A6B9A">
        <w:rPr>
          <w:rFonts w:ascii="Verdana" w:eastAsia="Calibri" w:hAnsi="Verdana" w:cs="Arial"/>
          <w:lang w:val="es-ES" w:eastAsia="es-ES"/>
        </w:rPr>
        <w:t>Señora</w:t>
      </w:r>
      <w:r w:rsidR="008534AC" w:rsidRPr="008534AC">
        <w:rPr>
          <w:noProof/>
        </w:rPr>
        <w:t xml:space="preserve"> </w:t>
      </w:r>
    </w:p>
    <w:p w14:paraId="0249B1D8" w14:textId="77777777" w:rsidR="00D37937" w:rsidRPr="00F647B5" w:rsidRDefault="00D37937" w:rsidP="00D37937">
      <w:pPr>
        <w:spacing w:after="0" w:line="240" w:lineRule="auto"/>
        <w:rPr>
          <w:rFonts w:ascii="Verdana" w:eastAsia="Calibri" w:hAnsi="Verdana" w:cs="Arial"/>
          <w:b/>
          <w:bCs/>
          <w:lang w:val="it-IT" w:eastAsia="es-ES"/>
        </w:rPr>
      </w:pPr>
      <w:r w:rsidRPr="001A6B9A">
        <w:rPr>
          <w:rFonts w:ascii="Verdana" w:eastAsia="Calibri" w:hAnsi="Verdana" w:cs="Arial"/>
          <w:b/>
          <w:bCs/>
          <w:lang w:val="it-IT" w:eastAsia="es-ES"/>
        </w:rPr>
        <w:t>Fridcy Alexandra Faura P</w:t>
      </w:r>
      <w:r>
        <w:rPr>
          <w:rFonts w:ascii="Verdana" w:eastAsia="Calibri" w:hAnsi="Verdana" w:cs="Arial"/>
          <w:b/>
          <w:bCs/>
          <w:lang w:val="it-IT" w:eastAsia="es-ES"/>
        </w:rPr>
        <w:t>é</w:t>
      </w:r>
      <w:r w:rsidRPr="001A6B9A">
        <w:rPr>
          <w:rFonts w:ascii="Verdana" w:eastAsia="Calibri" w:hAnsi="Verdana" w:cs="Arial"/>
          <w:b/>
          <w:bCs/>
          <w:lang w:val="it-IT" w:eastAsia="es-ES"/>
        </w:rPr>
        <w:t>rez</w:t>
      </w:r>
    </w:p>
    <w:p w14:paraId="60386ED4" w14:textId="77777777" w:rsidR="00D37937" w:rsidRPr="001A6B9A" w:rsidRDefault="00D37937" w:rsidP="00D37937">
      <w:pPr>
        <w:spacing w:after="0" w:line="240" w:lineRule="auto"/>
        <w:rPr>
          <w:rFonts w:ascii="Verdana" w:eastAsia="Calibri" w:hAnsi="Verdana" w:cs="Times New Roman"/>
          <w:lang w:val="it-IT"/>
        </w:rPr>
      </w:pPr>
      <w:r w:rsidRPr="00F27E3B">
        <w:rPr>
          <w:rFonts w:ascii="Verdana" w:hAnsi="Verdana"/>
          <w:lang w:val="it-IT"/>
        </w:rPr>
        <w:t>ffaura@cnsc.gov.co</w:t>
      </w:r>
    </w:p>
    <w:p w14:paraId="7000A02B" w14:textId="77777777" w:rsidR="00D37937" w:rsidRPr="00F27E3B" w:rsidRDefault="00D37937" w:rsidP="00D37937">
      <w:pPr>
        <w:spacing w:after="0" w:line="240" w:lineRule="auto"/>
        <w:rPr>
          <w:rFonts w:ascii="Verdana" w:eastAsia="Calibri" w:hAnsi="Verdana" w:cs="Arial"/>
          <w:b/>
          <w:bCs/>
          <w:lang w:val="es-ES_tradnl" w:eastAsia="es-ES_tradnl"/>
        </w:rPr>
      </w:pPr>
      <w:r w:rsidRPr="001A6B9A">
        <w:rPr>
          <w:rFonts w:ascii="Verdana" w:eastAsia="Calibri" w:hAnsi="Verdana" w:cs="Arial"/>
          <w:lang w:val="es-ES" w:eastAsia="es-ES"/>
        </w:rPr>
        <w:t>Bogotá, D.C</w:t>
      </w:r>
    </w:p>
    <w:p w14:paraId="630D8AB4" w14:textId="77777777" w:rsidR="00D37937" w:rsidRPr="00F27E3B" w:rsidRDefault="00D37937" w:rsidP="00D37937">
      <w:pPr>
        <w:spacing w:after="0" w:line="240" w:lineRule="auto"/>
        <w:rPr>
          <w:rFonts w:ascii="Verdana" w:eastAsia="Calibri" w:hAnsi="Verdana" w:cs="Arial"/>
          <w:b/>
          <w:bCs/>
          <w:lang w:val="es-ES_tradnl" w:eastAsia="es-ES_tradnl"/>
        </w:rPr>
      </w:pPr>
    </w:p>
    <w:p w14:paraId="198F099D" w14:textId="77777777" w:rsidR="00D37937" w:rsidRPr="00F27E3B" w:rsidRDefault="00D37937" w:rsidP="00D37937">
      <w:pPr>
        <w:spacing w:after="0" w:line="240" w:lineRule="auto"/>
        <w:rPr>
          <w:rFonts w:ascii="Verdana" w:eastAsia="Calibri" w:hAnsi="Verdana" w:cs="Arial"/>
          <w:b/>
          <w:bCs/>
          <w:lang w:val="es-ES_tradnl" w:eastAsia="es-ES_tradnl"/>
        </w:rPr>
      </w:pPr>
    </w:p>
    <w:tbl>
      <w:tblPr>
        <w:tblStyle w:val="Tablaconcuadrcula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37937" w:rsidRPr="001A6B9A" w14:paraId="188D672E" w14:textId="77777777">
        <w:trPr>
          <w:trHeight w:val="208"/>
        </w:trPr>
        <w:tc>
          <w:tcPr>
            <w:tcW w:w="2689" w:type="dxa"/>
          </w:tcPr>
          <w:p w14:paraId="1F7086EE" w14:textId="77777777" w:rsidR="00D37937" w:rsidRPr="00F27E3B" w:rsidRDefault="00D37937">
            <w:pPr>
              <w:jc w:val="both"/>
              <w:rPr>
                <w:rFonts w:ascii="Verdana" w:hAnsi="Verdana" w:cs="Arial"/>
                <w:b/>
                <w:bCs/>
                <w:lang w:val="es-ES_tradnl" w:eastAsia="es-ES_tradnl"/>
              </w:rPr>
            </w:pPr>
          </w:p>
        </w:tc>
        <w:tc>
          <w:tcPr>
            <w:tcW w:w="6100" w:type="dxa"/>
            <w:hideMark/>
          </w:tcPr>
          <w:p w14:paraId="3AF52976" w14:textId="77777777" w:rsidR="00D37937" w:rsidRPr="001A6B9A" w:rsidRDefault="00D37937">
            <w:pPr>
              <w:jc w:val="both"/>
              <w:rPr>
                <w:rFonts w:ascii="Verdana" w:hAnsi="Verdana" w:cs="Arial"/>
                <w:b/>
                <w:bCs/>
                <w:lang w:eastAsia="es-ES"/>
              </w:rPr>
            </w:pPr>
            <w:r w:rsidRPr="001A6B9A">
              <w:rPr>
                <w:rFonts w:ascii="Verdana" w:hAnsi="Verdana" w:cs="Arial"/>
                <w:b/>
                <w:bCs/>
                <w:lang w:eastAsia="es-ES"/>
              </w:rPr>
              <w:t>Concepto C – 1632 de 2025</w:t>
            </w:r>
          </w:p>
          <w:p w14:paraId="11E95DB7" w14:textId="77777777" w:rsidR="0008597B" w:rsidRDefault="0008597B" w:rsidP="00175FA7">
            <w:pPr>
              <w:jc w:val="both"/>
              <w:rPr>
                <w:rFonts w:ascii="Verdana" w:hAnsi="Verdana" w:cs="Arial"/>
                <w:b/>
                <w:bCs/>
                <w:lang w:eastAsia="es-ES"/>
              </w:rPr>
            </w:pPr>
          </w:p>
          <w:p w14:paraId="2D1ECFB3" w14:textId="77777777" w:rsidR="0008597B" w:rsidRPr="001A6B9A" w:rsidRDefault="0008597B" w:rsidP="00175FA7">
            <w:pPr>
              <w:jc w:val="both"/>
              <w:rPr>
                <w:rFonts w:ascii="Verdana" w:hAnsi="Verdana" w:cs="Arial"/>
                <w:b/>
                <w:bCs/>
                <w:lang w:eastAsia="es-ES"/>
              </w:rPr>
            </w:pPr>
          </w:p>
          <w:p w14:paraId="6A4454E7" w14:textId="77777777" w:rsidR="00D37937" w:rsidRPr="001A6B9A" w:rsidRDefault="00D37937">
            <w:pPr>
              <w:jc w:val="both"/>
              <w:rPr>
                <w:rFonts w:ascii="Verdana" w:hAnsi="Verdana" w:cs="Arial"/>
                <w:b/>
                <w:bCs/>
                <w:lang w:eastAsia="es-ES"/>
              </w:rPr>
            </w:pPr>
          </w:p>
          <w:p w14:paraId="5A7A153B" w14:textId="77777777" w:rsidR="00D37937" w:rsidRPr="001A6B9A" w:rsidRDefault="00D37937">
            <w:pPr>
              <w:jc w:val="both"/>
              <w:rPr>
                <w:rFonts w:ascii="Verdana" w:hAnsi="Verdana" w:cs="Arial"/>
                <w:b/>
                <w:bCs/>
                <w:lang w:eastAsia="es-ES"/>
              </w:rPr>
            </w:pPr>
          </w:p>
        </w:tc>
      </w:tr>
      <w:tr w:rsidR="00D37937" w:rsidRPr="001A6B9A" w14:paraId="3CD95BCC" w14:textId="77777777">
        <w:trPr>
          <w:trHeight w:val="884"/>
        </w:trPr>
        <w:tc>
          <w:tcPr>
            <w:tcW w:w="2689" w:type="dxa"/>
            <w:hideMark/>
          </w:tcPr>
          <w:p w14:paraId="03BC1506" w14:textId="77777777" w:rsidR="00D37937" w:rsidRPr="00F27E3B" w:rsidRDefault="00D37937">
            <w:pPr>
              <w:jc w:val="both"/>
              <w:rPr>
                <w:rFonts w:ascii="Verdana" w:hAnsi="Verdana" w:cs="Arial"/>
                <w:lang w:val="es-ES_tradnl" w:eastAsia="es-ES_tradnl"/>
              </w:rPr>
            </w:pPr>
            <w:r w:rsidRPr="00F27E3B">
              <w:rPr>
                <w:rFonts w:ascii="Verdana" w:hAnsi="Verdana" w:cs="Arial"/>
                <w:b/>
                <w:lang w:val="es-ES_tradnl" w:eastAsia="es-ES_tradnl"/>
              </w:rPr>
              <w:t>Temas:</w:t>
            </w:r>
            <w:r w:rsidRPr="00F27E3B">
              <w:rPr>
                <w:rFonts w:ascii="Verdana" w:hAnsi="Verdana" w:cs="Arial"/>
                <w:lang w:val="es-ES_tradnl" w:eastAsia="es-ES_tradnl"/>
              </w:rPr>
              <w:t xml:space="preserve">                   </w:t>
            </w:r>
          </w:p>
        </w:tc>
        <w:tc>
          <w:tcPr>
            <w:tcW w:w="6100" w:type="dxa"/>
          </w:tcPr>
          <w:p w14:paraId="617F3B54" w14:textId="77777777" w:rsidR="00D37937" w:rsidRPr="001A6B9A" w:rsidRDefault="00D37937" w:rsidP="00224C1C">
            <w:pPr>
              <w:spacing w:line="276" w:lineRule="auto"/>
              <w:jc w:val="both"/>
              <w:rPr>
                <w:rFonts w:ascii="Verdana" w:hAnsi="Verdana" w:cs="Arial"/>
                <w:lang w:val="es-ES_tradnl" w:eastAsia="es-ES"/>
              </w:rPr>
            </w:pPr>
            <w:r w:rsidRPr="00AF649C">
              <w:rPr>
                <w:rFonts w:ascii="Verdana" w:hAnsi="Verdana" w:cs="Arial"/>
                <w:lang w:val="es-ES_tradnl" w:eastAsia="es-ES"/>
              </w:rPr>
              <w:t xml:space="preserve">ENAJENACIÓN – Bienes inmuebles – Bienes muebles </w:t>
            </w:r>
            <w:r w:rsidRPr="001A6B9A">
              <w:rPr>
                <w:rFonts w:ascii="Verdana" w:hAnsi="Verdana" w:cs="Arial"/>
                <w:lang w:val="es-ES_tradnl" w:eastAsia="es-ES"/>
              </w:rPr>
              <w:t>ENAJENACIÓN DE BIENES – Modalidad de contratación / MECANISMOS DE ENAJENACIÓN – Decreto 1082 de 2015 / ENAJENACIÓN DE BIENES – Modalidad de selección</w:t>
            </w:r>
          </w:p>
          <w:p w14:paraId="6913EF89" w14:textId="77777777" w:rsidR="00D37937" w:rsidRPr="001A6B9A" w:rsidRDefault="00D37937">
            <w:pPr>
              <w:jc w:val="both"/>
              <w:rPr>
                <w:rFonts w:ascii="Verdana" w:hAnsi="Verdana" w:cs="Arial"/>
                <w:lang w:eastAsia="es-ES"/>
              </w:rPr>
            </w:pPr>
          </w:p>
        </w:tc>
      </w:tr>
      <w:tr w:rsidR="00D37937" w:rsidRPr="001A6B9A" w14:paraId="2100FCB2" w14:textId="77777777">
        <w:tc>
          <w:tcPr>
            <w:tcW w:w="2689" w:type="dxa"/>
            <w:hideMark/>
          </w:tcPr>
          <w:p w14:paraId="79A372B4" w14:textId="77777777" w:rsidR="00D37937" w:rsidRPr="001A6B9A" w:rsidRDefault="00D37937">
            <w:pPr>
              <w:jc w:val="both"/>
              <w:rPr>
                <w:rFonts w:ascii="Verdana" w:hAnsi="Verdana" w:cs="Arial"/>
                <w:b/>
                <w:lang w:val="es-ES_tradnl" w:eastAsia="es-ES_tradnl"/>
              </w:rPr>
            </w:pPr>
            <w:r w:rsidRPr="001A6B9A">
              <w:rPr>
                <w:rFonts w:ascii="Verdana" w:hAnsi="Verdana" w:cs="Arial"/>
                <w:b/>
                <w:lang w:val="es-ES_tradnl" w:eastAsia="es-ES_tradnl"/>
              </w:rPr>
              <w:t>Radicación:</w:t>
            </w:r>
            <w:r w:rsidRPr="001A6B9A">
              <w:rPr>
                <w:rFonts w:ascii="Verdana" w:hAnsi="Verdana" w:cs="Arial"/>
                <w:lang w:val="es-ES_tradnl" w:eastAsia="es-ES_tradnl"/>
              </w:rPr>
              <w:t xml:space="preserve">               </w:t>
            </w:r>
          </w:p>
        </w:tc>
        <w:tc>
          <w:tcPr>
            <w:tcW w:w="6100" w:type="dxa"/>
            <w:hideMark/>
          </w:tcPr>
          <w:p w14:paraId="0E745C2E" w14:textId="729E0ABA" w:rsidR="00D37937" w:rsidRPr="001A6B9A" w:rsidRDefault="00D37937">
            <w:pPr>
              <w:jc w:val="both"/>
              <w:rPr>
                <w:rFonts w:ascii="Verdana" w:hAnsi="Verdana" w:cs="Arial"/>
                <w:lang w:eastAsia="es-ES_tradnl"/>
              </w:rPr>
            </w:pPr>
            <w:r w:rsidRPr="001A6B9A">
              <w:rPr>
                <w:rFonts w:ascii="Verdana" w:hAnsi="Verdana" w:cs="Arial"/>
                <w:lang w:val="es-ES_tradnl" w:eastAsia="es-ES_tradnl"/>
              </w:rPr>
              <w:t>Respuesta a la consulta con radicado No. 1_2025_11_05_012451</w:t>
            </w:r>
          </w:p>
        </w:tc>
      </w:tr>
    </w:tbl>
    <w:p w14:paraId="3DEB040B" w14:textId="77777777" w:rsidR="00D37937" w:rsidRPr="00F27E3B" w:rsidRDefault="00D37937" w:rsidP="00D37937">
      <w:pPr>
        <w:spacing w:after="0" w:line="240" w:lineRule="auto"/>
        <w:jc w:val="both"/>
        <w:rPr>
          <w:rFonts w:ascii="Verdana" w:eastAsia="Calibri" w:hAnsi="Verdana" w:cs="Arial"/>
          <w:lang w:val="es-ES_tradnl" w:eastAsia="es-ES_tradnl"/>
        </w:rPr>
      </w:pPr>
    </w:p>
    <w:p w14:paraId="7C06E97E" w14:textId="77777777" w:rsidR="00D37937" w:rsidRPr="00F27E3B" w:rsidRDefault="00D37937" w:rsidP="00D37937">
      <w:pPr>
        <w:spacing w:after="0" w:line="240" w:lineRule="auto"/>
        <w:jc w:val="both"/>
        <w:rPr>
          <w:rFonts w:ascii="Verdana" w:eastAsia="Calibri" w:hAnsi="Verdana" w:cs="Arial"/>
          <w:lang w:val="es-ES_tradnl" w:eastAsia="es-ES_tradnl"/>
        </w:rPr>
      </w:pPr>
    </w:p>
    <w:p w14:paraId="30387C43" w14:textId="77777777" w:rsidR="00D37937" w:rsidRPr="001A6B9A" w:rsidRDefault="00D37937" w:rsidP="00D37937">
      <w:pPr>
        <w:spacing w:after="0" w:line="276" w:lineRule="auto"/>
        <w:jc w:val="both"/>
        <w:rPr>
          <w:rFonts w:ascii="Verdana" w:eastAsia="Calibri" w:hAnsi="Verdana" w:cs="Arial"/>
          <w:lang w:val="es-ES" w:eastAsia="es-ES"/>
        </w:rPr>
      </w:pPr>
      <w:r w:rsidRPr="001A6B9A">
        <w:rPr>
          <w:rFonts w:ascii="Verdana" w:eastAsia="Calibri" w:hAnsi="Verdana" w:cs="Arial"/>
          <w:lang w:val="es-ES" w:eastAsia="es-ES"/>
        </w:rPr>
        <w:t xml:space="preserve">Estimada señora Faura: </w:t>
      </w:r>
    </w:p>
    <w:p w14:paraId="0203E8FD" w14:textId="77777777" w:rsidR="00D37937" w:rsidRPr="00F27E3B" w:rsidRDefault="00D37937" w:rsidP="00D37937">
      <w:pPr>
        <w:tabs>
          <w:tab w:val="left" w:pos="3768"/>
        </w:tabs>
        <w:spacing w:after="0" w:line="276" w:lineRule="auto"/>
        <w:jc w:val="both"/>
        <w:rPr>
          <w:rFonts w:ascii="Verdana" w:eastAsia="Calibri" w:hAnsi="Verdana" w:cs="Arial"/>
          <w:lang w:val="es-ES" w:eastAsia="es-ES"/>
        </w:rPr>
      </w:pPr>
      <w:r w:rsidRPr="00F27E3B">
        <w:rPr>
          <w:rFonts w:ascii="Verdana" w:eastAsia="Calibri" w:hAnsi="Verdana" w:cs="Arial"/>
          <w:lang w:val="es-ES" w:eastAsia="es-ES"/>
        </w:rPr>
        <w:tab/>
      </w:r>
    </w:p>
    <w:p w14:paraId="6B0DF2CC" w14:textId="77777777" w:rsidR="00D37937" w:rsidRPr="00F27E3B" w:rsidRDefault="00D37937" w:rsidP="00D37937">
      <w:pPr>
        <w:spacing w:after="0" w:line="276" w:lineRule="auto"/>
        <w:jc w:val="both"/>
        <w:rPr>
          <w:rFonts w:ascii="Verdana" w:eastAsia="Calibri" w:hAnsi="Verdana" w:cs="Arial"/>
          <w:lang w:val="es-ES" w:eastAsia="es-ES"/>
        </w:rPr>
      </w:pPr>
      <w:r w:rsidRPr="00F27E3B">
        <w:rPr>
          <w:rFonts w:ascii="Verdana" w:eastAsia="Calibri" w:hAnsi="Verdana" w:cs="Arial"/>
          <w:lang w:val="es-ES" w:eastAsia="es-ES"/>
        </w:rPr>
        <w:t xml:space="preserve">En ejercicio de la competencia otorgada por los artículos 3, numeral 5º, y 11, numeral 8º, del Decreto Ley 4170 de 2011, y de conformidad con las modalidades del derecho de petición contempladas en la Ley 1755 de 2015, así como lo establecido en la resolución N° 469 del 2025 expedida por esta Agencia, damos respuesta a su solicitud de consulta radicada en esta entidad el </w:t>
      </w:r>
      <w:r w:rsidRPr="001A6B9A">
        <w:rPr>
          <w:rFonts w:ascii="Verdana" w:eastAsia="Calibri" w:hAnsi="Verdana" w:cs="Arial"/>
          <w:lang w:val="es-ES" w:eastAsia="es-ES"/>
        </w:rPr>
        <w:t xml:space="preserve">5 de noviembre de 2025, en la cual pregunta sobre lo siguiente: </w:t>
      </w:r>
    </w:p>
    <w:p w14:paraId="1128617E" w14:textId="77777777" w:rsidR="00D37937" w:rsidRPr="001A6B9A" w:rsidRDefault="00D37937" w:rsidP="00D37937">
      <w:pPr>
        <w:tabs>
          <w:tab w:val="left" w:pos="142"/>
          <w:tab w:val="left" w:pos="284"/>
        </w:tabs>
        <w:spacing w:after="0" w:line="276" w:lineRule="auto"/>
        <w:contextualSpacing/>
        <w:jc w:val="both"/>
        <w:rPr>
          <w:rFonts w:ascii="Verdana" w:eastAsia="Century Gothic" w:hAnsi="Verdana" w:cs="Century Gothic"/>
          <w:b/>
          <w:bCs/>
          <w:lang w:val="es-ES"/>
        </w:rPr>
      </w:pPr>
    </w:p>
    <w:p w14:paraId="5530E009" w14:textId="4DFCF7AD" w:rsidR="00D37937" w:rsidRPr="001A6B9A" w:rsidRDefault="00D37937" w:rsidP="00D37937">
      <w:pPr>
        <w:spacing w:after="0" w:line="240" w:lineRule="auto"/>
        <w:ind w:left="709" w:right="709"/>
        <w:contextualSpacing/>
        <w:jc w:val="both"/>
        <w:rPr>
          <w:rFonts w:ascii="Verdana" w:eastAsia="Century Gothic" w:hAnsi="Verdana" w:cs="Century Gothic"/>
          <w:i/>
          <w:iCs/>
          <w:sz w:val="21"/>
          <w:szCs w:val="21"/>
        </w:rPr>
      </w:pPr>
      <w:r w:rsidRPr="001A6B9A">
        <w:rPr>
          <w:rFonts w:ascii="Verdana" w:eastAsia="Century Gothic" w:hAnsi="Verdana" w:cs="Century Gothic"/>
          <w:i/>
          <w:iCs/>
          <w:sz w:val="21"/>
          <w:szCs w:val="21"/>
        </w:rPr>
        <w:t xml:space="preserve">“En caso de que la Comisión Nacional del Servicio Civil de de baja un vehículo por obsolescencia, debe dar aplicación prevalente al ARTÍCULO 2.2.1.2.2.4.3. Enajenación de bienes muebles a título gratuito entre Entidades Estatales o al ARTÍCULO 2.2.1.2.2.4.2. Precio </w:t>
      </w:r>
      <w:r w:rsidRPr="001A6B9A">
        <w:rPr>
          <w:rFonts w:ascii="Verdana" w:eastAsia="Century Gothic" w:hAnsi="Verdana" w:cs="Century Gothic"/>
          <w:i/>
          <w:iCs/>
          <w:sz w:val="21"/>
          <w:szCs w:val="21"/>
        </w:rPr>
        <w:lastRenderedPageBreak/>
        <w:t>mínimo de venta de bienes muebles sujetos a registro. Es decir que prima?, la enajenación gratuita entre entidades públicas o la venta por ser un bien mueble sujeto a registro?”.</w:t>
      </w:r>
      <w:r w:rsidR="0008597B">
        <w:rPr>
          <w:rFonts w:ascii="Verdana" w:eastAsia="Century Gothic" w:hAnsi="Verdana" w:cs="Century Gothic"/>
          <w:i/>
          <w:iCs/>
          <w:sz w:val="21"/>
          <w:szCs w:val="21"/>
        </w:rPr>
        <w:t xml:space="preserve"> </w:t>
      </w:r>
      <w:r>
        <w:rPr>
          <w:rFonts w:ascii="Verdana" w:eastAsia="Century Gothic" w:hAnsi="Verdana" w:cs="Century Gothic"/>
          <w:i/>
          <w:iCs/>
          <w:sz w:val="21"/>
          <w:szCs w:val="21"/>
        </w:rPr>
        <w:t>(SIC)</w:t>
      </w:r>
    </w:p>
    <w:p w14:paraId="4F0F9B20" w14:textId="77777777" w:rsidR="00D37937" w:rsidRPr="001A6B9A" w:rsidRDefault="00D37937" w:rsidP="00D37937">
      <w:pPr>
        <w:spacing w:after="0" w:line="240" w:lineRule="auto"/>
        <w:ind w:left="709" w:right="709"/>
        <w:contextualSpacing/>
        <w:jc w:val="both"/>
        <w:rPr>
          <w:rFonts w:ascii="Verdana" w:eastAsia="Century Gothic" w:hAnsi="Verdana" w:cs="Century Gothic"/>
          <w:i/>
          <w:iCs/>
          <w:sz w:val="21"/>
          <w:szCs w:val="21"/>
        </w:rPr>
      </w:pPr>
    </w:p>
    <w:p w14:paraId="24BEFD02" w14:textId="77777777" w:rsidR="00D37937" w:rsidRPr="00F27E3B" w:rsidRDefault="00D37937" w:rsidP="00D37937">
      <w:pPr>
        <w:spacing w:after="120" w:line="276" w:lineRule="auto"/>
        <w:ind w:firstLine="709"/>
        <w:jc w:val="both"/>
        <w:rPr>
          <w:rFonts w:ascii="Verdana" w:eastAsia="Calibri" w:hAnsi="Verdana" w:cs="Arial"/>
          <w:lang w:val="es-ES" w:eastAsia="es-ES"/>
        </w:rPr>
      </w:pPr>
      <w:r w:rsidRPr="00F27E3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27E3B">
        <w:rPr>
          <w:rFonts w:ascii="Verdana" w:eastAsia="Calibri" w:hAnsi="Verdana" w:cs="Arial"/>
          <w:szCs w:val="24"/>
          <w:lang w:val="es-ES_tradnl" w:eastAsia="es-ES_tradnl"/>
        </w:rPr>
        <w:tab/>
      </w:r>
    </w:p>
    <w:p w14:paraId="4DFCFC29" w14:textId="77777777" w:rsidR="00D37937" w:rsidRPr="00F27E3B" w:rsidRDefault="00D37937" w:rsidP="00D37937">
      <w:pPr>
        <w:spacing w:after="0" w:line="276" w:lineRule="auto"/>
        <w:ind w:firstLine="709"/>
        <w:jc w:val="both"/>
        <w:rPr>
          <w:rFonts w:ascii="Verdana" w:eastAsia="Calibri" w:hAnsi="Verdana" w:cs="Arial"/>
          <w:lang w:val="es-ES" w:eastAsia="es-ES"/>
        </w:rPr>
      </w:pPr>
      <w:r w:rsidRPr="00F27E3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 problemas jurídicos de su consulta. </w:t>
      </w:r>
    </w:p>
    <w:p w14:paraId="7D6280D7" w14:textId="77777777" w:rsidR="00D37937" w:rsidRPr="00F27E3B" w:rsidRDefault="00D37937" w:rsidP="00D37937">
      <w:pPr>
        <w:spacing w:after="0" w:line="276" w:lineRule="auto"/>
        <w:ind w:firstLine="709"/>
        <w:jc w:val="both"/>
        <w:rPr>
          <w:rFonts w:ascii="Verdana" w:eastAsia="Calibri" w:hAnsi="Verdana" w:cs="Arial"/>
          <w:lang w:val="es-ES" w:eastAsia="es-ES"/>
        </w:rPr>
      </w:pPr>
    </w:p>
    <w:p w14:paraId="46F5B10A" w14:textId="77777777" w:rsidR="00D37937" w:rsidRPr="001A6B9A" w:rsidRDefault="00D37937" w:rsidP="00D37937">
      <w:pPr>
        <w:tabs>
          <w:tab w:val="left" w:pos="142"/>
          <w:tab w:val="left" w:pos="284"/>
        </w:tabs>
        <w:spacing w:after="0" w:line="276" w:lineRule="auto"/>
        <w:contextualSpacing/>
        <w:jc w:val="both"/>
        <w:rPr>
          <w:rFonts w:ascii="Verdana" w:eastAsia="Century Gothic" w:hAnsi="Verdana" w:cs="Century Gothic"/>
          <w:b/>
          <w:bCs/>
          <w:lang w:val="es-ES"/>
        </w:rPr>
      </w:pPr>
      <w:r w:rsidRPr="001A6B9A">
        <w:rPr>
          <w:rFonts w:ascii="Verdana" w:eastAsia="Century Gothic" w:hAnsi="Verdana" w:cs="Century Gothic"/>
          <w:b/>
          <w:bCs/>
          <w:lang w:val="es-ES"/>
        </w:rPr>
        <w:t>1. Problemas planteados:</w:t>
      </w:r>
    </w:p>
    <w:p w14:paraId="5A95AD10" w14:textId="77777777" w:rsidR="00D37937" w:rsidRPr="001A6B9A" w:rsidRDefault="00D37937" w:rsidP="00D37937">
      <w:pPr>
        <w:tabs>
          <w:tab w:val="left" w:pos="426"/>
        </w:tabs>
        <w:spacing w:after="0" w:line="276" w:lineRule="auto"/>
        <w:jc w:val="both"/>
        <w:rPr>
          <w:rFonts w:ascii="Verdana" w:eastAsia="Century Gothic" w:hAnsi="Verdana" w:cs="Century Gothic"/>
          <w:lang w:val="es-ES"/>
        </w:rPr>
      </w:pPr>
    </w:p>
    <w:p w14:paraId="3B1D3640" w14:textId="744B0F6A" w:rsidR="00D37937" w:rsidRPr="001A6B9A" w:rsidRDefault="00D37937" w:rsidP="00D37937">
      <w:pPr>
        <w:spacing w:after="0" w:line="276" w:lineRule="auto"/>
        <w:jc w:val="both"/>
        <w:rPr>
          <w:rFonts w:ascii="Verdana" w:eastAsia="Century Gothic" w:hAnsi="Verdana" w:cs="Century Gothic"/>
        </w:rPr>
      </w:pPr>
      <w:r w:rsidRPr="001A6B9A">
        <w:rPr>
          <w:rFonts w:ascii="Verdana" w:eastAsia="Century Gothic" w:hAnsi="Verdana" w:cs="Century Gothic"/>
        </w:rPr>
        <w:t>De acuerdo con el contenido de su solicitud, esta Agencia resolverá los siguientes problemas jurídicos:</w:t>
      </w:r>
      <w:r w:rsidRPr="001A6B9A" w:rsidDel="00B13FA5">
        <w:rPr>
          <w:rFonts w:ascii="Verdana" w:eastAsia="Century Gothic" w:hAnsi="Verdana" w:cs="Century Gothic"/>
        </w:rPr>
        <w:t xml:space="preserve"> </w:t>
      </w:r>
      <w:r w:rsidRPr="001A6B9A">
        <w:rPr>
          <w:rFonts w:ascii="Verdana" w:eastAsia="Century Gothic" w:hAnsi="Verdana" w:cs="Century Gothic"/>
        </w:rPr>
        <w:t>¿</w:t>
      </w:r>
      <w:r w:rsidR="00B13FA5">
        <w:rPr>
          <w:rFonts w:ascii="Verdana" w:eastAsia="Century Gothic" w:hAnsi="Verdana" w:cs="Century Gothic"/>
        </w:rPr>
        <w:t>Cual es la modalidad pre</w:t>
      </w:r>
      <w:r w:rsidR="00552A32">
        <w:rPr>
          <w:rFonts w:ascii="Verdana" w:eastAsia="Century Gothic" w:hAnsi="Verdana" w:cs="Century Gothic"/>
        </w:rPr>
        <w:t xml:space="preserve">valente </w:t>
      </w:r>
      <w:r w:rsidRPr="001A6B9A">
        <w:rPr>
          <w:rFonts w:ascii="Verdana" w:eastAsia="Century Gothic" w:hAnsi="Verdana" w:cs="Century Gothic"/>
        </w:rPr>
        <w:t>para la enajenación de bienes fiscales</w:t>
      </w:r>
      <w:r w:rsidRPr="001A6B9A">
        <w:rPr>
          <w:rFonts w:ascii="Verdana" w:eastAsia="Century Gothic" w:hAnsi="Verdana" w:cs="Century Gothic"/>
          <w:sz w:val="21"/>
          <w:szCs w:val="21"/>
        </w:rPr>
        <w:t xml:space="preserve">? </w:t>
      </w:r>
    </w:p>
    <w:p w14:paraId="6AB6FD41" w14:textId="77777777" w:rsidR="00D37937" w:rsidRPr="00F27E3B" w:rsidRDefault="00D37937" w:rsidP="00D37937">
      <w:pPr>
        <w:spacing w:after="0" w:line="276" w:lineRule="auto"/>
        <w:jc w:val="both"/>
        <w:rPr>
          <w:rFonts w:ascii="Verdana" w:eastAsia="Calibri" w:hAnsi="Verdana" w:cs="Arial"/>
        </w:rPr>
      </w:pPr>
    </w:p>
    <w:p w14:paraId="091E95CF" w14:textId="77777777" w:rsidR="00D37937" w:rsidRPr="001A6B9A" w:rsidRDefault="00D37937" w:rsidP="00D37937">
      <w:pPr>
        <w:tabs>
          <w:tab w:val="left" w:pos="142"/>
          <w:tab w:val="left" w:pos="284"/>
        </w:tabs>
        <w:spacing w:after="0" w:line="276" w:lineRule="auto"/>
        <w:contextualSpacing/>
        <w:jc w:val="both"/>
        <w:rPr>
          <w:rFonts w:ascii="Verdana" w:eastAsia="Century Gothic" w:hAnsi="Verdana" w:cs="Century Gothic"/>
          <w:b/>
          <w:bCs/>
          <w:lang w:val="es-ES"/>
        </w:rPr>
      </w:pPr>
      <w:r w:rsidRPr="001A6B9A">
        <w:rPr>
          <w:rFonts w:ascii="Verdana" w:eastAsia="Century Gothic" w:hAnsi="Verdana" w:cs="Century Gothic"/>
          <w:b/>
          <w:bCs/>
          <w:lang w:val="es-ES"/>
        </w:rPr>
        <w:t>2. Respuestas:</w:t>
      </w:r>
    </w:p>
    <w:p w14:paraId="7565EEF4" w14:textId="77777777" w:rsidR="00D37937" w:rsidRPr="001A6B9A" w:rsidRDefault="00D37937" w:rsidP="00D37937">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37937" w:rsidRPr="001A6B9A" w14:paraId="50201144" w14:textId="77777777">
        <w:trPr>
          <w:jc w:val="center"/>
        </w:trPr>
        <w:tc>
          <w:tcPr>
            <w:tcW w:w="8828" w:type="dxa"/>
            <w:tcBorders>
              <w:top w:val="dotted" w:sz="4" w:space="0" w:color="auto"/>
              <w:left w:val="dotted" w:sz="4" w:space="0" w:color="auto"/>
              <w:bottom w:val="dotted" w:sz="4" w:space="0" w:color="auto"/>
              <w:right w:val="dotted" w:sz="4" w:space="0" w:color="auto"/>
            </w:tcBorders>
            <w:hideMark/>
          </w:tcPr>
          <w:p w14:paraId="628CEECA" w14:textId="77777777" w:rsidR="00D37937" w:rsidRPr="001A6B9A" w:rsidRDefault="00D37937" w:rsidP="00D010D1">
            <w:pPr>
              <w:spacing w:after="120" w:line="276" w:lineRule="auto"/>
              <w:jc w:val="both"/>
              <w:rPr>
                <w:rFonts w:ascii="Verdana" w:eastAsia="Arial" w:hAnsi="Verdana" w:cs="Arial"/>
              </w:rPr>
            </w:pPr>
            <w:bookmarkStart w:id="1" w:name="_Hlk171694685"/>
            <w:r w:rsidRPr="001A6B9A">
              <w:rPr>
                <w:rFonts w:ascii="Verdana" w:hAnsi="Verdana" w:cs="Arial"/>
                <w:lang w:val="es-MX"/>
              </w:rPr>
              <w:t xml:space="preserve">En relación con la modalidad de selección, </w:t>
            </w:r>
            <w:r w:rsidRPr="001A6B9A">
              <w:rPr>
                <w:rFonts w:ascii="Verdana" w:eastAsia="Arial" w:hAnsi="Verdana" w:cs="Arial"/>
                <w:lang w:val="es-ES"/>
              </w:rPr>
              <w:t xml:space="preserve">el literal e) del numeral 2 del artículo 2 de la Ley 1150 de 2007 dispone que la enajenación de bienes del Estado, con excepción de aquellos a que se refiere la Ley 226 de 1995, se realiza a </w:t>
            </w:r>
            <w:r w:rsidRPr="001A6B9A">
              <w:rPr>
                <w:rFonts w:ascii="Verdana" w:eastAsia="Arial" w:hAnsi="Verdana" w:cs="Arial"/>
                <w:lang w:val="es-ES"/>
              </w:rPr>
              <w:lastRenderedPageBreak/>
              <w:t xml:space="preserve">través de la modalidad de selección abreviada, para lo cual </w:t>
            </w:r>
            <w:r w:rsidRPr="001A6B9A">
              <w:rPr>
                <w:rFonts w:ascii="Verdana" w:eastAsia="Arial" w:hAnsi="Verdana" w:cs="Arial"/>
              </w:rPr>
              <w:t>se podrán utilizar instrumentos de subasta y en general de todos aquellos mecanismos autorizados por el derecho privado, siempre y cuando en desarrollo del proceso de enajenación se garantice la transparencia, la eficiencia y la selección objetiva.</w:t>
            </w:r>
          </w:p>
          <w:p w14:paraId="53B1A7CE" w14:textId="77777777" w:rsidR="00D37937" w:rsidRPr="001A6B9A" w:rsidRDefault="00D37937">
            <w:pPr>
              <w:spacing w:after="120" w:line="276" w:lineRule="auto"/>
              <w:ind w:firstLine="720"/>
              <w:jc w:val="both"/>
              <w:rPr>
                <w:rFonts w:ascii="Verdana" w:eastAsia="Arial" w:hAnsi="Verdana" w:cs="Arial"/>
              </w:rPr>
            </w:pPr>
            <w:r w:rsidRPr="001A6B9A">
              <w:rPr>
                <w:rFonts w:ascii="Verdana" w:eastAsia="Arial" w:hAnsi="Verdana" w:cs="Arial"/>
              </w:rPr>
              <w:t xml:space="preserve"> </w:t>
            </w:r>
            <w:r w:rsidRPr="001A6B9A">
              <w:rPr>
                <w:rFonts w:ascii="Verdana" w:eastAsia="Arial" w:hAnsi="Verdana" w:cs="Arial"/>
                <w:lang w:val="es-ES"/>
              </w:rPr>
              <w:t xml:space="preserve">Adicionalmente, establece que </w:t>
            </w:r>
            <w:r w:rsidRPr="001A6B9A">
              <w:rPr>
                <w:rFonts w:ascii="Verdana" w:eastAsia="Arial" w:hAnsi="Verdana" w:cs="Arial"/>
              </w:rPr>
              <w:t>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617F5D4E" w14:textId="77777777" w:rsidR="00D37937" w:rsidRPr="00F27E3B" w:rsidRDefault="00D37937">
            <w:pPr>
              <w:spacing w:after="120" w:line="276" w:lineRule="auto"/>
              <w:ind w:firstLine="720"/>
              <w:jc w:val="both"/>
              <w:rPr>
                <w:rFonts w:ascii="Verdana" w:eastAsia="Arial" w:hAnsi="Verdana" w:cs="Arial"/>
              </w:rPr>
            </w:pPr>
            <w:r w:rsidRPr="001A6B9A">
              <w:rPr>
                <w:rFonts w:ascii="Verdana" w:eastAsia="Arial" w:hAnsi="Verdana" w:cs="Arial"/>
                <w:lang w:val="es-ES"/>
              </w:rPr>
              <w:t>En virtud de lo anterior, la subsección 1 de la sección 2 del capítulo II del Decreto 1082 de 2015 dispuso en los artículos 2.2.1.2.2.1.1. y siguientes, las reglas generales que deben aplicar las Entidades Estatales para la enajenación de los bienes el Estado señalando que “</w:t>
            </w:r>
            <w:r w:rsidRPr="001A6B9A">
              <w:rPr>
                <w:rFonts w:ascii="Verdana" w:eastAsia="Arial" w:hAnsi="Verdana" w:cs="Arial"/>
              </w:rPr>
              <w:t>La selección abreviada es la modalidad para la enajenación de bienes del Estado, la cual se rige por las disposiciones contenidas en el presente capítulo, salvo por las normas aplicables a la enajenación de los bienes a cargo del Fondo para la Reha</w:t>
            </w:r>
            <w:r w:rsidRPr="00F27E3B">
              <w:rPr>
                <w:rFonts w:ascii="Verdana" w:eastAsia="Arial" w:hAnsi="Verdana" w:cs="Arial"/>
              </w:rPr>
              <w:t>bilitación, Inversión Social y Lucha contra el Crimen Organizado y la enajenación de que tratan la Ley </w:t>
            </w:r>
            <w:hyperlink r:id="rId11" w:anchor="0" w:tooltip="vinculo" w:history="1">
              <w:r w:rsidRPr="00F27E3B">
                <w:rPr>
                  <w:rFonts w:ascii="Verdana" w:eastAsia="Arial" w:hAnsi="Verdana" w:cs="Arial"/>
                  <w:u w:val="single"/>
                </w:rPr>
                <w:t>226</w:t>
              </w:r>
            </w:hyperlink>
            <w:r w:rsidRPr="00F27E3B">
              <w:rPr>
                <w:rFonts w:ascii="Verdana" w:eastAsia="Arial" w:hAnsi="Verdana" w:cs="Arial"/>
              </w:rPr>
              <w:t> de 1995, el Decreto-Ley </w:t>
            </w:r>
            <w:hyperlink r:id="rId12" w:anchor="0" w:tooltip="vinculo" w:history="1">
              <w:r w:rsidRPr="00F27E3B">
                <w:rPr>
                  <w:rFonts w:ascii="Verdana" w:eastAsia="Arial" w:hAnsi="Verdana" w:cs="Arial"/>
                  <w:u w:val="single"/>
                </w:rPr>
                <w:t>254</w:t>
              </w:r>
            </w:hyperlink>
            <w:r w:rsidRPr="00F27E3B">
              <w:rPr>
                <w:rFonts w:ascii="Verdana" w:eastAsia="Arial" w:hAnsi="Verdana" w:cs="Arial"/>
              </w:rPr>
              <w:t> de 2000 y la Ley </w:t>
            </w:r>
            <w:hyperlink r:id="rId13" w:anchor="0" w:tooltip="vinculo" w:history="1">
              <w:r w:rsidRPr="00F27E3B">
                <w:rPr>
                  <w:rFonts w:ascii="Verdana" w:eastAsia="Arial" w:hAnsi="Verdana" w:cs="Arial"/>
                  <w:u w:val="single"/>
                </w:rPr>
                <w:t>1105</w:t>
              </w:r>
            </w:hyperlink>
            <w:r w:rsidRPr="00F27E3B">
              <w:rPr>
                <w:rFonts w:ascii="Verdana" w:eastAsia="Arial" w:hAnsi="Verdana" w:cs="Arial"/>
              </w:rPr>
              <w:t xml:space="preserve"> de 2006”. </w:t>
            </w:r>
          </w:p>
          <w:p w14:paraId="6E2B6082" w14:textId="77777777" w:rsidR="00D37937" w:rsidRPr="00F27E3B" w:rsidRDefault="00D37937">
            <w:pPr>
              <w:spacing w:after="120" w:line="276" w:lineRule="auto"/>
              <w:ind w:firstLine="720"/>
              <w:jc w:val="both"/>
              <w:rPr>
                <w:rFonts w:ascii="Verdana" w:hAnsi="Verdana"/>
                <w:shd w:val="clear" w:color="auto" w:fill="FFFFFF"/>
                <w:lang w:val="es-MX"/>
              </w:rPr>
            </w:pPr>
            <w:r w:rsidRPr="001A6B9A">
              <w:rPr>
                <w:rFonts w:ascii="Verdana" w:eastAsia="Arial" w:hAnsi="Verdana" w:cs="Arial"/>
                <w:lang w:val="es-ES"/>
              </w:rPr>
              <w:t xml:space="preserve">Por su parte, la subsección 2 de la sección 2 del capítulo II del Decreto 1082 de 2015 establece 3 mecanismos de enajenación de los bienes del Estado: i) la enajenación directa por sobre cerrado, que se llevará a cabo mediante el procedimiento allí contemplado, ii) la enajenación directa a través de subasta pública, para lo cual la entidad deberá </w:t>
            </w:r>
            <w:r w:rsidRPr="001A6B9A">
              <w:rPr>
                <w:rFonts w:ascii="Verdana" w:eastAsia="Arial" w:hAnsi="Verdana" w:cs="Arial"/>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iii) la enajenación a través de intermediarios idóneos, en cuyo caso </w:t>
            </w:r>
            <w:r w:rsidRPr="00F27E3B">
              <w:rPr>
                <w:rFonts w:ascii="Verdana" w:hAnsi="Verdana"/>
                <w:shd w:val="clear" w:color="auto" w:fill="FFFFFF"/>
                <w:lang w:val="es-MX"/>
              </w:rPr>
              <w:t xml:space="preserve">la venta debe realizarse a través de subasta pública, o mediante el mecanismo de derecho privado que se convenga con el intermediario. </w:t>
            </w:r>
          </w:p>
          <w:p w14:paraId="11226001" w14:textId="77777777" w:rsidR="00D37937" w:rsidRPr="00F27E3B" w:rsidRDefault="00D37937">
            <w:pPr>
              <w:spacing w:after="120" w:line="276" w:lineRule="auto"/>
              <w:ind w:firstLine="709"/>
              <w:jc w:val="both"/>
              <w:rPr>
                <w:rFonts w:ascii="Verdana" w:hAnsi="Verdana"/>
                <w:shd w:val="clear" w:color="auto" w:fill="FFFFFF"/>
              </w:rPr>
            </w:pPr>
            <w:r w:rsidRPr="00F27E3B">
              <w:rPr>
                <w:rFonts w:ascii="Verdana" w:hAnsi="Verdana"/>
                <w:shd w:val="clear" w:color="auto" w:fill="FFFFFF"/>
              </w:rPr>
              <w:lastRenderedPageBreak/>
              <w:t>Por otro lado, la subsección 4 establece las reglas aplicables a la enajenación de los bienes muebles que comprenden la determinación de un precio mínimo de venta de bienes sujetos a registro y lo</w:t>
            </w:r>
            <w:r>
              <w:rPr>
                <w:rFonts w:ascii="Verdana" w:hAnsi="Verdana"/>
                <w:shd w:val="clear" w:color="auto" w:fill="FFFFFF"/>
              </w:rPr>
              <w:t>s</w:t>
            </w:r>
            <w:r w:rsidRPr="00F27E3B">
              <w:rPr>
                <w:rFonts w:ascii="Verdana" w:hAnsi="Verdana"/>
                <w:shd w:val="clear" w:color="auto" w:fill="FFFFFF"/>
              </w:rPr>
              <w:t xml:space="preserve"> que no se encuentra</w:t>
            </w:r>
            <w:r>
              <w:rPr>
                <w:rFonts w:ascii="Verdana" w:hAnsi="Verdana"/>
                <w:shd w:val="clear" w:color="auto" w:fill="FFFFFF"/>
              </w:rPr>
              <w:t>n</w:t>
            </w:r>
            <w:r w:rsidRPr="00F27E3B">
              <w:rPr>
                <w:rFonts w:ascii="Verdana" w:hAnsi="Verdana"/>
                <w:shd w:val="clear" w:color="auto" w:fill="FFFFFF"/>
              </w:rPr>
              <w:t xml:space="preserve"> sujetos. Asimismo, señala las reglas sobre la enajenación de bienes muebles a título gratuito entre entidades estatales y la enajenación de otros bienes como cartera, cuentas por cobrar y fideicomisos de cartera.</w:t>
            </w:r>
            <w:r w:rsidRPr="00557C83">
              <w:rPr>
                <w:rFonts w:ascii="Verdana" w:hAnsi="Verdana"/>
                <w:shd w:val="clear" w:color="auto" w:fill="FFFFFF"/>
              </w:rPr>
              <w:t xml:space="preserve"> </w:t>
            </w:r>
            <w:r w:rsidRPr="00F27E3B">
              <w:rPr>
                <w:rFonts w:ascii="Verdana" w:hAnsi="Verdana"/>
                <w:shd w:val="clear" w:color="auto" w:fill="FFFFFF"/>
              </w:rPr>
              <w:t>En ese sentido, el Decreto 1082 de 2015 reglamenta los mecanismos que pueden emplear las entidades públicas para disponer de sus bienes, ya sean muebles o inmuebles</w:t>
            </w:r>
            <w:r>
              <w:rPr>
                <w:rFonts w:ascii="Verdana" w:hAnsi="Verdana"/>
                <w:shd w:val="clear" w:color="auto" w:fill="FFFFFF"/>
              </w:rPr>
              <w:t>.</w:t>
            </w:r>
          </w:p>
          <w:p w14:paraId="6EC9B4BE" w14:textId="77777777" w:rsidR="00D37937" w:rsidRPr="00F27E3B" w:rsidRDefault="00D37937">
            <w:pPr>
              <w:spacing w:after="120" w:line="276" w:lineRule="auto"/>
              <w:ind w:firstLine="709"/>
              <w:jc w:val="both"/>
              <w:rPr>
                <w:rFonts w:ascii="Verdana" w:hAnsi="Verdana"/>
                <w:shd w:val="clear" w:color="auto" w:fill="FFFFFF"/>
              </w:rPr>
            </w:pPr>
            <w:r>
              <w:rPr>
                <w:rFonts w:ascii="Verdana" w:hAnsi="Verdana"/>
                <w:shd w:val="clear" w:color="auto" w:fill="FFFFFF"/>
              </w:rPr>
              <w:t>Cabe señalar que, a</w:t>
            </w:r>
            <w:r w:rsidRPr="00F80D45">
              <w:rPr>
                <w:rFonts w:ascii="Verdana" w:hAnsi="Verdana"/>
                <w:shd w:val="clear" w:color="auto" w:fill="FFFFFF"/>
              </w:rPr>
              <w:t>demás de las normas sobre el procedimiento de enajenación de bienes que establece el Decreto 1082 de 2015, las entidades públicas como responsables de la protección y administración de los bienes, generalmente cuentan con un manual de administración de los bienes muebles e inmuebles de la entidad, el cual establece los lineamientos y procedimientos que deben cumplir para dar de baja los bienes que lo requieran, así como el destino que se les debe dar –enajenación, destrucción, y otros–, el cual se recomienda tener en cuenta.</w:t>
            </w:r>
          </w:p>
          <w:p w14:paraId="4B27C792" w14:textId="73215EFA" w:rsidR="00D37937" w:rsidRPr="00F27E3B" w:rsidRDefault="00D37937">
            <w:pPr>
              <w:spacing w:after="120" w:line="276" w:lineRule="auto"/>
              <w:ind w:firstLine="709"/>
              <w:jc w:val="both"/>
              <w:rPr>
                <w:rFonts w:ascii="Verdana" w:hAnsi="Verdana"/>
                <w:shd w:val="clear" w:color="auto" w:fill="FFFFFF"/>
              </w:rPr>
            </w:pPr>
            <w:r w:rsidRPr="000B1568">
              <w:rPr>
                <w:rFonts w:ascii="Verdana" w:hAnsi="Verdana"/>
                <w:shd w:val="clear" w:color="auto" w:fill="FFFFFF"/>
              </w:rPr>
              <w:t xml:space="preserve">Finalmente, la decisión de optar por la enajenación a título gratuito entre entidades estatales, prevista en el artículo 2.2.1.2.2.4.3 del Decreto 1082 de 2015, o por la venta con precio mínimo, conforme al artículo 2.2.1.2.2.4.2 </w:t>
            </w:r>
            <w:r w:rsidRPr="00D010D1">
              <w:rPr>
                <w:rFonts w:ascii="Verdana" w:hAnsi="Verdana"/>
                <w:i/>
                <w:shd w:val="clear" w:color="auto" w:fill="FFFFFF"/>
              </w:rPr>
              <w:t>ibídem</w:t>
            </w:r>
            <w:r w:rsidRPr="000B1568">
              <w:rPr>
                <w:rFonts w:ascii="Verdana" w:hAnsi="Verdana"/>
                <w:shd w:val="clear" w:color="auto" w:fill="FFFFFF"/>
              </w:rPr>
              <w:t>, constituye una facultad discrecional de la entidad. No obstante, dicha decisión debe estar debidamente sustentada en los documentos previos del proceso, con base en un análisis técnico y jurídico que permita identificar la alternativa más adecuada</w:t>
            </w:r>
            <w:r w:rsidR="008B0331">
              <w:rPr>
                <w:rFonts w:ascii="Verdana" w:hAnsi="Verdana"/>
                <w:shd w:val="clear" w:color="auto" w:fill="FFFFFF"/>
              </w:rPr>
              <w:t>, justificando los presupuestos jurídicos para la aplicación del mecanismo de enajenación</w:t>
            </w:r>
            <w:r w:rsidRPr="000B1568">
              <w:rPr>
                <w:rFonts w:ascii="Verdana" w:hAnsi="Verdana"/>
                <w:shd w:val="clear" w:color="auto" w:fill="FFFFFF"/>
              </w:rPr>
              <w:t>. Para ello, deben considerarse aspectos como las necesidades institucionales, las ventajas de cada mecanismo, la naturaleza y estado de conservación del bien, su utilidad, el marco normativo aplicable y cualquier otro criterio relevante para la toma de decisiones.</w:t>
            </w:r>
          </w:p>
        </w:tc>
      </w:tr>
    </w:tbl>
    <w:p w14:paraId="794346C0" w14:textId="77777777" w:rsidR="00D37937" w:rsidRPr="001A6B9A" w:rsidRDefault="00D37937" w:rsidP="00D37937">
      <w:pPr>
        <w:tabs>
          <w:tab w:val="left" w:pos="142"/>
          <w:tab w:val="left" w:pos="284"/>
        </w:tabs>
        <w:spacing w:after="0" w:line="276" w:lineRule="auto"/>
        <w:jc w:val="both"/>
        <w:rPr>
          <w:rFonts w:ascii="Verdana" w:eastAsia="Century Gothic" w:hAnsi="Verdana" w:cs="Century Gothic"/>
          <w:b/>
          <w:bCs/>
          <w:lang w:val="es-ES"/>
        </w:rPr>
      </w:pPr>
    </w:p>
    <w:bookmarkEnd w:id="1"/>
    <w:p w14:paraId="24FE26EB" w14:textId="77777777" w:rsidR="00D37937" w:rsidRPr="001A6B9A" w:rsidRDefault="00D37937" w:rsidP="00D37937">
      <w:pPr>
        <w:tabs>
          <w:tab w:val="left" w:pos="142"/>
          <w:tab w:val="left" w:pos="284"/>
        </w:tabs>
        <w:spacing w:after="0" w:line="276" w:lineRule="auto"/>
        <w:jc w:val="both"/>
        <w:rPr>
          <w:rFonts w:ascii="Verdana" w:eastAsia="Century Gothic" w:hAnsi="Verdana" w:cs="Century Gothic"/>
          <w:b/>
          <w:bCs/>
          <w:lang w:val="es-ES"/>
        </w:rPr>
      </w:pPr>
      <w:r w:rsidRPr="001A6B9A">
        <w:rPr>
          <w:rFonts w:ascii="Verdana" w:eastAsia="Century Gothic" w:hAnsi="Verdana" w:cs="Century Gothic"/>
          <w:b/>
          <w:bCs/>
          <w:lang w:val="es-ES"/>
        </w:rPr>
        <w:t>3. Razones de las respuestas:</w:t>
      </w:r>
    </w:p>
    <w:p w14:paraId="4527BFE4" w14:textId="77777777" w:rsidR="00D37937" w:rsidRPr="00F27E3B" w:rsidRDefault="00D37937" w:rsidP="00D37937">
      <w:pPr>
        <w:spacing w:after="0" w:line="276" w:lineRule="auto"/>
        <w:jc w:val="both"/>
        <w:rPr>
          <w:rFonts w:ascii="Verdana" w:eastAsia="Calibri" w:hAnsi="Verdana" w:cs="Arial"/>
          <w:lang w:val="es-ES"/>
        </w:rPr>
      </w:pPr>
    </w:p>
    <w:p w14:paraId="1A3EC5FA" w14:textId="1DE2386F" w:rsidR="00D37937" w:rsidRPr="001A6B9A" w:rsidRDefault="00D37937" w:rsidP="00257063">
      <w:pPr>
        <w:spacing w:after="120" w:line="240" w:lineRule="auto"/>
        <w:jc w:val="both"/>
        <w:rPr>
          <w:rFonts w:ascii="Verdana" w:eastAsia="Calibri" w:hAnsi="Verdana" w:cs="Arial"/>
          <w:lang w:val="es-ES"/>
        </w:rPr>
      </w:pPr>
      <w:r w:rsidRPr="001A6B9A">
        <w:rPr>
          <w:rFonts w:ascii="Verdana" w:eastAsia="Calibri" w:hAnsi="Verdana" w:cs="Arial"/>
          <w:lang w:val="es-ES"/>
        </w:rPr>
        <w:t>Lo anterior se sustenta en las siguientes consideraciones:</w:t>
      </w:r>
      <w:r w:rsidR="00A85FD5">
        <w:rPr>
          <w:rFonts w:ascii="Verdana" w:eastAsia="Calibri" w:hAnsi="Verdana" w:cs="Arial"/>
          <w:lang w:val="es-ES"/>
        </w:rPr>
        <w:t xml:space="preserve"> </w:t>
      </w:r>
    </w:p>
    <w:p w14:paraId="753DD2E5" w14:textId="77777777" w:rsidR="00D37937" w:rsidRPr="00F27E3B" w:rsidRDefault="00D37937" w:rsidP="00257063">
      <w:pPr>
        <w:spacing w:after="120" w:line="240" w:lineRule="auto"/>
        <w:jc w:val="both"/>
        <w:rPr>
          <w:rFonts w:ascii="Verdana" w:eastAsia="Calibri" w:hAnsi="Verdana" w:cs="Arial"/>
        </w:rPr>
      </w:pPr>
      <w:r w:rsidRPr="00F27E3B">
        <w:rPr>
          <w:rFonts w:ascii="Verdana" w:eastAsia="Calibri" w:hAnsi="Verdana" w:cs="Arial"/>
        </w:rPr>
        <w:lastRenderedPageBreak/>
        <w:t xml:space="preserve">La </w:t>
      </w:r>
      <w:r w:rsidRPr="00F27E3B">
        <w:rPr>
          <w:rFonts w:ascii="Verdana" w:eastAsia="Calibri" w:hAnsi="Verdana" w:cs="Arial"/>
          <w:lang w:val="es-ES"/>
        </w:rPr>
        <w:t>enajenación</w:t>
      </w:r>
      <w:r w:rsidRPr="00F27E3B">
        <w:rPr>
          <w:rFonts w:ascii="Verdana" w:eastAsia="Calibri" w:hAnsi="Verdana" w:cs="Arial"/>
        </w:rPr>
        <w:t xml:space="preserve"> se define como la transferencia del derecho real</w:t>
      </w:r>
      <w:r w:rsidRPr="00F27E3B">
        <w:rPr>
          <w:rFonts w:ascii="Verdana" w:eastAsia="Calibri" w:hAnsi="Verdana" w:cs="Arial"/>
          <w:vertAlign w:val="superscript"/>
        </w:rPr>
        <w:footnoteReference w:id="1"/>
      </w:r>
      <w:r w:rsidRPr="00F27E3B">
        <w:rPr>
          <w:rFonts w:ascii="Verdana" w:eastAsia="Calibri" w:hAnsi="Verdana" w:cs="Arial"/>
        </w:rPr>
        <w:t xml:space="preserve"> sobre un bien</w:t>
      </w:r>
      <w:r w:rsidRPr="00F27E3B">
        <w:rPr>
          <w:rFonts w:ascii="Verdana" w:eastAsia="Calibri" w:hAnsi="Verdana" w:cs="Arial"/>
          <w:vertAlign w:val="superscript"/>
        </w:rPr>
        <w:footnoteReference w:id="2"/>
      </w:r>
      <w:r w:rsidRPr="00F27E3B">
        <w:rPr>
          <w:rFonts w:ascii="Verdana" w:eastAsia="Calibri" w:hAnsi="Verdana" w:cs="Arial"/>
        </w:rPr>
        <w:t>. Según la doctrina, “</w:t>
      </w:r>
      <w:r w:rsidRPr="00F27E3B">
        <w:rPr>
          <w:rFonts w:ascii="Verdana" w:eastAsia="Calibri" w:hAnsi="Verdana" w:cs="Arial"/>
          <w:i/>
          <w:iCs/>
        </w:rPr>
        <w:t>Dar –en sentido restringido–, traditar, enajenar, disponer, son conceptos sinónimos en el Código Civil. Cuando se da, se enajena. Cuando se tradita, se enajena, Cuando se enajena, se da o se tradita. Y, finalmente, cuando ocurre cualquiera de tales fenómenos, se dispone”</w:t>
      </w:r>
      <w:r w:rsidRPr="00F27E3B">
        <w:rPr>
          <w:rFonts w:ascii="Verdana" w:eastAsia="Calibri" w:hAnsi="Verdana" w:cs="Arial"/>
          <w:i/>
          <w:iCs/>
          <w:vertAlign w:val="superscript"/>
        </w:rPr>
        <w:footnoteReference w:id="3"/>
      </w:r>
      <w:r w:rsidRPr="00F27E3B">
        <w:rPr>
          <w:rFonts w:ascii="Verdana" w:eastAsia="Calibri" w:hAnsi="Verdana" w:cs="Arial"/>
          <w:i/>
          <w:iCs/>
        </w:rPr>
        <w:t>.</w:t>
      </w:r>
      <w:r w:rsidRPr="00F27E3B">
        <w:rPr>
          <w:rFonts w:ascii="Verdana" w:eastAsia="Calibri" w:hAnsi="Verdana" w:cs="Arial"/>
        </w:rPr>
        <w:t xml:space="preserve"> Lo más usual es que la enajenación se lleve a cabo respecto del derecho de propiedad</w:t>
      </w:r>
      <w:r w:rsidRPr="00F27E3B">
        <w:rPr>
          <w:rFonts w:ascii="Verdana" w:eastAsia="Calibri" w:hAnsi="Verdana" w:cs="Arial"/>
          <w:vertAlign w:val="superscript"/>
        </w:rPr>
        <w:footnoteReference w:id="4"/>
      </w:r>
      <w:r w:rsidRPr="00F27E3B">
        <w:rPr>
          <w:rFonts w:ascii="Verdana" w:eastAsia="Calibri" w:hAnsi="Verdana" w:cs="Arial"/>
        </w:rPr>
        <w:t xml:space="preserve"> y, en tal caso, se efectúa a través de los modos señalados en el artículo 673 del Código Civil</w:t>
      </w:r>
      <w:r w:rsidRPr="00F27E3B">
        <w:rPr>
          <w:rFonts w:ascii="Verdana" w:eastAsia="Calibri" w:hAnsi="Verdana" w:cs="Arial"/>
          <w:vertAlign w:val="superscript"/>
        </w:rPr>
        <w:footnoteReference w:id="5"/>
      </w:r>
      <w:r w:rsidRPr="00F27E3B">
        <w:rPr>
          <w:rFonts w:ascii="Verdana" w:eastAsia="Calibri" w:hAnsi="Verdana" w:cs="Arial"/>
        </w:rPr>
        <w:t>, pudiendo recaer tanto sobre los bienes muebles, como inmuebles, aunque frente a estos la ley exige solemnidades especiales</w:t>
      </w:r>
      <w:r w:rsidRPr="00F27E3B">
        <w:rPr>
          <w:rFonts w:ascii="Verdana" w:eastAsia="Calibri" w:hAnsi="Verdana" w:cs="Arial"/>
          <w:vertAlign w:val="superscript"/>
        </w:rPr>
        <w:footnoteReference w:id="6"/>
      </w:r>
      <w:r w:rsidRPr="00F27E3B">
        <w:rPr>
          <w:rFonts w:ascii="Verdana" w:eastAsia="Calibri" w:hAnsi="Verdana" w:cs="Arial"/>
        </w:rPr>
        <w:t xml:space="preserve">. </w:t>
      </w:r>
    </w:p>
    <w:p w14:paraId="5FD09B8B" w14:textId="77777777" w:rsidR="00D37937" w:rsidRDefault="00D37937" w:rsidP="00D37937">
      <w:pPr>
        <w:spacing w:after="120" w:line="276" w:lineRule="auto"/>
        <w:ind w:firstLine="709"/>
        <w:jc w:val="both"/>
        <w:rPr>
          <w:rFonts w:ascii="Verdana" w:eastAsia="Calibri" w:hAnsi="Verdana" w:cs="Arial"/>
        </w:rPr>
      </w:pPr>
      <w:r w:rsidRPr="00F27E3B">
        <w:rPr>
          <w:rFonts w:ascii="Verdana" w:eastAsia="Calibri" w:hAnsi="Verdana" w:cs="Arial"/>
        </w:rPr>
        <w:t>Entretanto, el artículo 1521 del Código Civil dispone que se presenta objeto ilícito en la enajenación: i) “De las cosas que no están en el comercio”, ii) “De los derechos o privilegios que no pueden transferirse a otra persona” y iii) “De las cosas embargadas por decreto judicial, a menos que el juez lo autorice o el acreedor consienta en ello”.</w:t>
      </w:r>
    </w:p>
    <w:p w14:paraId="774BD7B1" w14:textId="77777777" w:rsidR="00B93695" w:rsidRDefault="00D37937" w:rsidP="00D37937">
      <w:pPr>
        <w:spacing w:after="120" w:line="276" w:lineRule="auto"/>
        <w:ind w:firstLine="709"/>
        <w:jc w:val="both"/>
        <w:rPr>
          <w:rFonts w:ascii="Verdana" w:eastAsia="Calibri" w:hAnsi="Verdana" w:cs="Arial"/>
          <w:lang w:val="es-ES"/>
        </w:rPr>
      </w:pPr>
      <w:r w:rsidRPr="00F27E3B">
        <w:rPr>
          <w:rFonts w:ascii="Verdana" w:eastAsia="Calibri" w:hAnsi="Verdana" w:cs="Arial"/>
        </w:rPr>
        <w:t>Respecto del tipo de bienes que pueden ser objeto de enajenación es importante resaltar, en primer lugar, que e</w:t>
      </w:r>
      <w:r w:rsidRPr="00F27E3B">
        <w:rPr>
          <w:rFonts w:ascii="Verdana" w:eastAsia="Calibri" w:hAnsi="Verdana" w:cs="Arial"/>
          <w:lang w:val="es-ES"/>
        </w:rPr>
        <w:t xml:space="preserve">l artículo 654 del Código Civil clasifica las cosas corporales en muebles e inmuebles. El artículo 655 define los bienes muebles como los que </w:t>
      </w:r>
      <w:r w:rsidRPr="00F27E3B">
        <w:rPr>
          <w:rFonts w:ascii="Verdana" w:eastAsia="Calibri" w:hAnsi="Verdana" w:cs="Arial"/>
          <w:i/>
          <w:iCs/>
          <w:lang w:val="es-ES"/>
        </w:rPr>
        <w:t>“pueden transportarse de un lugar a otro, sea moviéndose ellas a sí mismas como los animales</w:t>
      </w:r>
      <w:r w:rsidRPr="00F27E3B">
        <w:rPr>
          <w:rFonts w:ascii="Verdana" w:eastAsia="Calibri" w:hAnsi="Verdana" w:cs="Arial"/>
          <w:lang w:val="es-ES"/>
        </w:rPr>
        <w:t xml:space="preserve"> (</w:t>
      </w:r>
      <w:r w:rsidRPr="00F27E3B">
        <w:rPr>
          <w:rFonts w:ascii="Verdana" w:eastAsia="Calibri" w:hAnsi="Verdana" w:cs="Arial"/>
          <w:i/>
          <w:iCs/>
          <w:lang w:val="es-ES"/>
        </w:rPr>
        <w:t>que por eso se llaman semovientes), sea que sólo se muevan por una fuerza externa, como las cosas inanimadas”</w:t>
      </w:r>
      <w:r w:rsidRPr="00F27E3B">
        <w:rPr>
          <w:rFonts w:ascii="Verdana" w:eastAsia="Calibri" w:hAnsi="Verdana" w:cs="Arial"/>
          <w:lang w:val="es-ES"/>
        </w:rPr>
        <w:t xml:space="preserve">, mientras que el artículo 656 define los inmuebles así: </w:t>
      </w:r>
      <w:r w:rsidRPr="00F27E3B">
        <w:rPr>
          <w:rFonts w:ascii="Verdana" w:eastAsia="Calibri" w:hAnsi="Verdana" w:cs="Arial"/>
          <w:i/>
          <w:iCs/>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Pr="00F27E3B">
        <w:rPr>
          <w:rFonts w:ascii="Verdana" w:eastAsia="Calibri" w:hAnsi="Verdana" w:cs="Arial"/>
          <w:lang w:val="es-ES"/>
        </w:rPr>
        <w:t xml:space="preserve"> No </w:t>
      </w:r>
    </w:p>
    <w:p w14:paraId="60EC032E" w14:textId="410BA87F" w:rsidR="00D37937" w:rsidRPr="00F27E3B" w:rsidRDefault="00D37937" w:rsidP="00B93695">
      <w:pPr>
        <w:spacing w:after="120" w:line="276" w:lineRule="auto"/>
        <w:jc w:val="both"/>
        <w:rPr>
          <w:rFonts w:ascii="Verdana" w:eastAsia="Calibri" w:hAnsi="Verdana" w:cs="Arial"/>
          <w:lang w:val="es-ES"/>
        </w:rPr>
      </w:pPr>
      <w:r w:rsidRPr="00F27E3B">
        <w:rPr>
          <w:rFonts w:ascii="Verdana" w:eastAsia="Calibri" w:hAnsi="Verdana" w:cs="Arial"/>
          <w:lang w:val="es-ES"/>
        </w:rPr>
        <w:lastRenderedPageBreak/>
        <w:t xml:space="preserve">obstante, esta definición se refiere a los inmuebles por naturaleza, pues el Código también considera inmuebles a las cosas que en principio eran muebles, pero que por su destinación o adhesión mutan su categoría. </w:t>
      </w:r>
    </w:p>
    <w:p w14:paraId="5942D3D3" w14:textId="77777777" w:rsidR="00D37937" w:rsidRPr="001A6B9A" w:rsidRDefault="00D37937" w:rsidP="00D37937">
      <w:pPr>
        <w:spacing w:after="120" w:line="276" w:lineRule="auto"/>
        <w:ind w:firstLine="709"/>
        <w:jc w:val="both"/>
        <w:rPr>
          <w:rFonts w:ascii="Verdana" w:hAnsi="Verdana" w:cs="Arial"/>
          <w:i/>
          <w:iCs/>
          <w:lang w:val="es-MX"/>
        </w:rPr>
      </w:pPr>
      <w:r w:rsidRPr="001A6B9A">
        <w:rPr>
          <w:rFonts w:ascii="Verdana" w:hAnsi="Verdana" w:cs="Arial"/>
          <w:lang w:val="es-ES"/>
        </w:rPr>
        <w:t>Por otro lado, e</w:t>
      </w:r>
      <w:r w:rsidRPr="001A6B9A">
        <w:rPr>
          <w:rFonts w:ascii="Verdana" w:hAnsi="Verdana" w:cs="Arial"/>
          <w:lang w:val="es-MX"/>
        </w:rPr>
        <w:t xml:space="preserve">l artículo 674 del Código Civil define los bienes de dominio público como aquellos que </w:t>
      </w:r>
      <w:r w:rsidRPr="001A6B9A">
        <w:rPr>
          <w:rFonts w:ascii="Verdana" w:hAnsi="Verdana" w:cs="Arial"/>
          <w:i/>
          <w:iCs/>
          <w:lang w:val="es-MX"/>
        </w:rPr>
        <w:t>“(…) pertenece a todos los habitantes de un Territorio, como el de calles, plazas, puentes y caminos, se llaman bienes de la Unión o de uso público o bienes públicos del Territorio”.</w:t>
      </w:r>
    </w:p>
    <w:p w14:paraId="73C536DE" w14:textId="77777777" w:rsidR="00D37937" w:rsidRPr="001A6B9A" w:rsidRDefault="00D37937" w:rsidP="00D37937">
      <w:pPr>
        <w:spacing w:after="120" w:line="276" w:lineRule="auto"/>
        <w:ind w:firstLine="709"/>
        <w:jc w:val="both"/>
        <w:rPr>
          <w:rFonts w:ascii="Verdana" w:hAnsi="Verdana" w:cs="Arial"/>
          <w:lang w:val="es-MX"/>
        </w:rPr>
      </w:pPr>
      <w:r w:rsidRPr="001A6B9A">
        <w:rPr>
          <w:rFonts w:ascii="Verdana" w:hAnsi="Verdana" w:cs="Arial"/>
          <w:lang w:val="es-MX"/>
        </w:rPr>
        <w:t>Los bienes de dominio público, de acuerdo con la sentencia C- 183 de 2003 de la Corte Constitucional, son “</w:t>
      </w:r>
      <w:r w:rsidRPr="001A6B9A">
        <w:rPr>
          <w:rFonts w:ascii="Verdana" w:hAnsi="Verdana" w:cs="Arial"/>
          <w:i/>
          <w:iCs/>
          <w:lang w:val="es-MX"/>
        </w:rPr>
        <w:t>el conjunto de bienes que la administración afecta al uso directo de la comunidad o que lo utiliza para servir a la sociedad”</w:t>
      </w:r>
      <w:r w:rsidRPr="001A6B9A">
        <w:rPr>
          <w:rFonts w:ascii="Verdana" w:hAnsi="Verdana" w:cs="Arial"/>
          <w:lang w:val="es-MX"/>
        </w:rPr>
        <w:t>. Dentro de esta categoría se encuentran los bienes fiscales y los bienes de uso público.</w:t>
      </w:r>
      <w:r w:rsidRPr="001A6B9A">
        <w:rPr>
          <w:rFonts w:ascii="Verdana" w:hAnsi="Verdana" w:cs="Arial"/>
          <w:vertAlign w:val="superscript"/>
          <w:lang w:val="es-MX"/>
        </w:rPr>
        <w:footnoteReference w:id="7"/>
      </w:r>
      <w:r w:rsidRPr="001A6B9A">
        <w:rPr>
          <w:rFonts w:ascii="Verdana" w:hAnsi="Verdana" w:cs="Arial"/>
          <w:lang w:val="es-MX"/>
        </w:rPr>
        <w:t xml:space="preserve"> Los bienes fiscales, de acuerdo con el Alto Tribunal Constitucional</w:t>
      </w:r>
      <w:r w:rsidRPr="001A6B9A">
        <w:rPr>
          <w:rFonts w:ascii="Verdana" w:hAnsi="Verdana" w:cs="Arial"/>
          <w:vertAlign w:val="superscript"/>
          <w:lang w:val="es-MX"/>
        </w:rPr>
        <w:footnoteReference w:id="8"/>
      </w:r>
      <w:r w:rsidRPr="001A6B9A">
        <w:rPr>
          <w:rFonts w:ascii="Verdana" w:hAnsi="Verdana" w:cs="Arial"/>
          <w:lang w:val="es-MX"/>
        </w:rPr>
        <w:t xml:space="preserve">, están destinados a la prestación de servicios públicos que la Administración utiliza de forma inmediata, como los edificios donde funcionan las oficinas públicas. </w:t>
      </w:r>
    </w:p>
    <w:p w14:paraId="6FD6CE18" w14:textId="77777777" w:rsidR="00D37937" w:rsidRPr="001A6B9A" w:rsidRDefault="00D37937" w:rsidP="00D37937">
      <w:pPr>
        <w:spacing w:after="120" w:line="276" w:lineRule="auto"/>
        <w:ind w:firstLine="709"/>
        <w:jc w:val="both"/>
        <w:rPr>
          <w:rFonts w:ascii="Verdana" w:hAnsi="Verdana" w:cs="Arial"/>
          <w:lang w:val="es-MX"/>
        </w:rPr>
      </w:pPr>
      <w:r w:rsidRPr="001A6B9A">
        <w:rPr>
          <w:rFonts w:ascii="Verdana" w:hAnsi="Verdana" w:cs="Arial"/>
          <w:lang w:val="es-MX"/>
        </w:rPr>
        <w:t xml:space="preserve">A su vez, el Consejo de Estado, define los bienes fiscales como </w:t>
      </w:r>
      <w:r w:rsidRPr="001A6B9A">
        <w:rPr>
          <w:rFonts w:ascii="Verdana" w:hAnsi="Verdana" w:cs="Arial"/>
          <w:i/>
          <w:iCs/>
          <w:lang w:val="es-MX"/>
        </w:rPr>
        <w:t xml:space="preserve">“aquellos que pertenecen  </w:t>
      </w:r>
      <w:r w:rsidRPr="00F27E3B">
        <w:rPr>
          <w:rFonts w:ascii="Verdana" w:hAnsi="Verdana" w:cs="Arial"/>
          <w:i/>
          <w:iCs/>
          <w:lang w:val="es-MX"/>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F27E3B">
        <w:rPr>
          <w:rFonts w:ascii="Verdana" w:hAnsi="Verdana" w:cs="Arial"/>
          <w:i/>
          <w:iCs/>
          <w:spacing w:val="-27"/>
          <w:lang w:val="es-MX"/>
        </w:rPr>
        <w:t xml:space="preserve"> </w:t>
      </w:r>
      <w:r w:rsidRPr="00F27E3B">
        <w:rPr>
          <w:rFonts w:ascii="Verdana" w:hAnsi="Verdana" w:cs="Arial"/>
          <w:i/>
          <w:iCs/>
          <w:lang w:val="es-MX"/>
        </w:rPr>
        <w:t>propiedad”</w:t>
      </w:r>
      <w:r w:rsidRPr="001A6B9A">
        <w:rPr>
          <w:rFonts w:ascii="Verdana" w:hAnsi="Verdana" w:cs="Arial"/>
          <w:i/>
          <w:iCs/>
          <w:vertAlign w:val="superscript"/>
          <w:lang w:val="es-MX"/>
        </w:rPr>
        <w:footnoteReference w:id="9"/>
      </w:r>
      <w:r w:rsidRPr="001A6B9A">
        <w:rPr>
          <w:rFonts w:ascii="Verdana" w:hAnsi="Verdana" w:cs="Arial"/>
          <w:vertAlign w:val="superscript"/>
          <w:lang w:val="es-MX"/>
        </w:rPr>
        <w:t>.</w:t>
      </w:r>
      <w:r w:rsidRPr="00F27E3B">
        <w:rPr>
          <w:rFonts w:ascii="Verdana" w:hAnsi="Verdana" w:cs="Arial"/>
          <w:lang w:val="es-MX"/>
        </w:rPr>
        <w:t xml:space="preserve"> </w:t>
      </w:r>
      <w:r w:rsidRPr="001A6B9A">
        <w:rPr>
          <w:rFonts w:ascii="Verdana" w:hAnsi="Verdana" w:cs="Arial"/>
          <w:lang w:val="es-MX"/>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1A6B9A">
        <w:rPr>
          <w:rFonts w:ascii="Verdana" w:hAnsi="Verdana" w:cs="Arial"/>
          <w:spacing w:val="-3"/>
          <w:lang w:val="es-MX"/>
        </w:rPr>
        <w:t xml:space="preserve"> </w:t>
      </w:r>
      <w:r w:rsidRPr="001A6B9A">
        <w:rPr>
          <w:rFonts w:ascii="Verdana" w:hAnsi="Verdana" w:cs="Arial"/>
          <w:lang w:val="es-MX"/>
        </w:rPr>
        <w:t>otros.</w:t>
      </w:r>
      <w:r w:rsidRPr="001A6B9A">
        <w:rPr>
          <w:rFonts w:ascii="Verdana" w:hAnsi="Verdana" w:cs="Arial"/>
          <w:vertAlign w:val="superscript"/>
          <w:lang w:val="es-MX"/>
        </w:rPr>
        <w:t xml:space="preserve"> </w:t>
      </w:r>
    </w:p>
    <w:p w14:paraId="1EAD5AD8" w14:textId="77777777" w:rsidR="00D37937" w:rsidRPr="001A6B9A" w:rsidRDefault="00D37937" w:rsidP="00D37937">
      <w:pPr>
        <w:spacing w:after="120" w:line="276" w:lineRule="auto"/>
        <w:ind w:firstLine="709"/>
        <w:jc w:val="both"/>
        <w:rPr>
          <w:rFonts w:ascii="Verdana" w:hAnsi="Verdana" w:cs="Arial"/>
          <w:lang w:val="es-MX"/>
        </w:rPr>
      </w:pPr>
      <w:r w:rsidRPr="001A6B9A">
        <w:rPr>
          <w:rFonts w:ascii="Verdana" w:hAnsi="Verdana" w:cs="Arial"/>
          <w:lang w:val="es-MX"/>
        </w:rPr>
        <w:t xml:space="preserve">Acerca de los bienes de uso público, el Consejo de Estado los define como </w:t>
      </w:r>
      <w:r w:rsidRPr="001A6B9A">
        <w:rPr>
          <w:rFonts w:ascii="Verdana" w:hAnsi="Verdana" w:cs="Arial"/>
          <w:i/>
          <w:iCs/>
          <w:lang w:val="es-MX"/>
        </w:rPr>
        <w:t xml:space="preserve">“aquellos cuya titularidad pertenece al Estado y se hallan destinados al uso, goce </w:t>
      </w:r>
      <w:r w:rsidRPr="001A6B9A">
        <w:rPr>
          <w:rFonts w:ascii="Verdana" w:hAnsi="Verdana" w:cs="Arial"/>
          <w:i/>
          <w:iCs/>
          <w:lang w:val="es-MX"/>
        </w:rPr>
        <w:lastRenderedPageBreak/>
        <w:t>y disfrute de todos los habitantes del territorio, están sometidos al régimen de derecho público y sobre ellos el Estado ejerce derechos de administración y de policía, con miras a garantizar y proteger su uso y goce común, por motivos de interés general”</w:t>
      </w:r>
      <w:r w:rsidRPr="00F27E3B">
        <w:rPr>
          <w:rFonts w:ascii="Verdana" w:hAnsi="Verdana" w:cs="Arial"/>
          <w:vertAlign w:val="superscript"/>
          <w:lang w:val="es-MX"/>
        </w:rPr>
        <w:footnoteReference w:id="10"/>
      </w:r>
      <w:r w:rsidRPr="001A6B9A">
        <w:rPr>
          <w:rFonts w:ascii="Verdana" w:hAnsi="Verdana" w:cs="Arial"/>
          <w:i/>
          <w:iCs/>
          <w:lang w:val="es-MX"/>
        </w:rPr>
        <w:t>.</w:t>
      </w:r>
      <w:r w:rsidRPr="001A6B9A">
        <w:rPr>
          <w:rFonts w:ascii="Verdana" w:hAnsi="Verdana" w:cs="Arial"/>
          <w:lang w:val="es-MX"/>
        </w:rPr>
        <w:t xml:space="preserve"> Por lo tanto, como estos bienes están destinados al uso de los habitantes de un territorio, el Estado no puede disponer de ellos por encontrarse fuera del comercio</w:t>
      </w:r>
      <w:r w:rsidRPr="001A6B9A">
        <w:rPr>
          <w:rFonts w:ascii="Verdana" w:hAnsi="Verdana" w:cs="Arial"/>
          <w:vertAlign w:val="superscript"/>
          <w:lang w:val="es-MX"/>
        </w:rPr>
        <w:footnoteReference w:id="11"/>
      </w:r>
      <w:r w:rsidRPr="001A6B9A">
        <w:rPr>
          <w:rFonts w:ascii="Verdana" w:hAnsi="Verdana" w:cs="Arial"/>
          <w:lang w:val="es-MX"/>
        </w:rPr>
        <w:t>.</w:t>
      </w:r>
      <w:r w:rsidRPr="001A6B9A">
        <w:rPr>
          <w:rFonts w:ascii="Verdana" w:hAnsi="Verdana" w:cs="Arial"/>
          <w:vertAlign w:val="superscript"/>
          <w:lang w:val="es-MX"/>
        </w:rPr>
        <w:t xml:space="preserve"> </w:t>
      </w:r>
      <w:r w:rsidRPr="001A6B9A">
        <w:rPr>
          <w:rFonts w:ascii="Verdana" w:hAnsi="Verdana" w:cs="Arial"/>
          <w:lang w:val="es-MX"/>
        </w:rPr>
        <w:t>Así, los bienes sobre los cuales puede recaer el acto de enajenación son los bienes fiscales muebles o inmuebles y no los bienes de uso público.</w:t>
      </w:r>
    </w:p>
    <w:p w14:paraId="7B82C823" w14:textId="77777777" w:rsidR="00D37937" w:rsidRPr="001A6B9A" w:rsidRDefault="00D37937" w:rsidP="00D37937">
      <w:pPr>
        <w:spacing w:after="120" w:line="276" w:lineRule="auto"/>
        <w:ind w:firstLine="709"/>
        <w:jc w:val="both"/>
        <w:rPr>
          <w:rFonts w:ascii="Verdana" w:eastAsia="Arial" w:hAnsi="Verdana" w:cs="Arial"/>
        </w:rPr>
      </w:pPr>
      <w:r w:rsidRPr="001A6B9A">
        <w:rPr>
          <w:rFonts w:ascii="Verdana" w:hAnsi="Verdana" w:cs="Arial"/>
          <w:lang w:val="es-MX"/>
        </w:rPr>
        <w:t xml:space="preserve">Ahora bien, </w:t>
      </w:r>
      <w:bookmarkStart w:id="2" w:name="_Hlk186536766"/>
      <w:r w:rsidRPr="001A6B9A">
        <w:rPr>
          <w:rFonts w:ascii="Verdana" w:hAnsi="Verdana" w:cs="Arial"/>
          <w:lang w:val="es-MX"/>
        </w:rPr>
        <w:t xml:space="preserve">en relación con la modalidad de selección </w:t>
      </w:r>
      <w:r w:rsidRPr="001A6B9A">
        <w:rPr>
          <w:rFonts w:ascii="Verdana" w:eastAsia="Arial" w:hAnsi="Verdana" w:cs="Arial"/>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1A6B9A">
        <w:rPr>
          <w:rFonts w:ascii="Verdana" w:eastAsia="Arial" w:hAnsi="Verdana" w:cs="Arial"/>
        </w:rPr>
        <w:t>se podrán utilizar instrumentos de subasta y en general de todos aquellos mecanismos autorizados por el derecho privado, siempre y cuando en desarrollo del proceso de enajenación se garantice la transparencia, la eficiencia y la selección objetiva</w:t>
      </w:r>
      <w:r w:rsidRPr="001A6B9A">
        <w:rPr>
          <w:rFonts w:ascii="Verdana" w:eastAsia="Arial" w:hAnsi="Verdana" w:cs="Arial"/>
          <w:vertAlign w:val="superscript"/>
        </w:rPr>
        <w:footnoteReference w:id="12"/>
      </w:r>
      <w:r w:rsidRPr="001A6B9A">
        <w:rPr>
          <w:rFonts w:ascii="Verdana" w:eastAsia="Arial" w:hAnsi="Verdana" w:cs="Arial"/>
        </w:rPr>
        <w:t xml:space="preserve">. </w:t>
      </w:r>
      <w:r w:rsidRPr="001A6B9A">
        <w:rPr>
          <w:rFonts w:ascii="Verdana" w:eastAsia="Arial" w:hAnsi="Verdana" w:cs="Arial"/>
          <w:lang w:val="es-ES"/>
        </w:rPr>
        <w:t xml:space="preserve">Adicionalmente, establece que </w:t>
      </w:r>
      <w:r w:rsidRPr="001A6B9A">
        <w:rPr>
          <w:rFonts w:ascii="Verdana" w:eastAsia="Arial" w:hAnsi="Verdana" w:cs="Arial"/>
        </w:rPr>
        <w:t>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bookmarkEnd w:id="2"/>
      <w:r w:rsidRPr="001A6B9A">
        <w:rPr>
          <w:rFonts w:ascii="Verdana" w:eastAsia="Arial" w:hAnsi="Verdana" w:cs="Arial"/>
        </w:rPr>
        <w:t>.</w:t>
      </w:r>
    </w:p>
    <w:p w14:paraId="6344E558" w14:textId="77777777" w:rsidR="00D37937" w:rsidRPr="001A6B9A" w:rsidRDefault="00D37937" w:rsidP="00D37937">
      <w:pPr>
        <w:spacing w:after="120" w:line="276" w:lineRule="auto"/>
        <w:ind w:firstLine="709"/>
        <w:jc w:val="both"/>
        <w:rPr>
          <w:rFonts w:ascii="Verdana" w:eastAsia="Arial" w:hAnsi="Verdana" w:cs="Arial"/>
        </w:rPr>
      </w:pPr>
      <w:r w:rsidRPr="001A6B9A">
        <w:rPr>
          <w:rFonts w:ascii="Verdana" w:eastAsia="Arial" w:hAnsi="Verdana" w:cs="Arial"/>
          <w:lang w:val="es-ES"/>
        </w:rPr>
        <w:lastRenderedPageBreak/>
        <w:t>En virtud de lo anterior,</w:t>
      </w:r>
      <w:bookmarkStart w:id="3" w:name="_Hlk186265498"/>
      <w:r w:rsidRPr="001A6B9A">
        <w:rPr>
          <w:rFonts w:ascii="Verdana" w:eastAsia="Arial" w:hAnsi="Verdana" w:cs="Arial"/>
          <w:lang w:val="es-ES"/>
        </w:rPr>
        <w:t xml:space="preserve"> la subsección 1 de la sección 2 </w:t>
      </w:r>
      <w:bookmarkStart w:id="4" w:name="_Hlk186316048"/>
      <w:r w:rsidRPr="001A6B9A">
        <w:rPr>
          <w:rFonts w:ascii="Verdana" w:eastAsia="Arial" w:hAnsi="Verdana" w:cs="Arial"/>
          <w:lang w:val="es-ES"/>
        </w:rPr>
        <w:t>del capítulo II del Decreto 1082 de 2015</w:t>
      </w:r>
      <w:bookmarkEnd w:id="4"/>
      <w:r w:rsidRPr="001A6B9A">
        <w:rPr>
          <w:rFonts w:ascii="Verdana" w:eastAsia="Arial" w:hAnsi="Verdana" w:cs="Arial"/>
          <w:lang w:val="es-ES"/>
        </w:rPr>
        <w:t xml:space="preserve"> </w:t>
      </w:r>
      <w:bookmarkEnd w:id="3"/>
      <w:r w:rsidRPr="001A6B9A">
        <w:rPr>
          <w:rFonts w:ascii="Verdana" w:eastAsia="Arial" w:hAnsi="Verdana" w:cs="Arial"/>
          <w:lang w:val="es-ES"/>
        </w:rPr>
        <w:t>dispuso en los artículos 2.2.1.2.2.1.1. y siguientes, las reglas generales que deben aplicar las Entidades Estatales para la enajenación de los bienes el Estado señalando que “</w:t>
      </w:r>
      <w:r w:rsidRPr="001A6B9A">
        <w:rPr>
          <w:rFonts w:ascii="Verdana" w:eastAsia="Arial" w:hAnsi="Verdana" w:cs="Arial"/>
        </w:rPr>
        <w:t>La selección abreviada es la modalidad para la enajenación de bienes del Estado, la cual se rige por las disposiciones contenidas en el presente capítulo, salvo por las normas aplicables a la enajenación de los bienes a cargo del Fondo para la Reha</w:t>
      </w:r>
      <w:r w:rsidRPr="00F27E3B">
        <w:rPr>
          <w:rFonts w:ascii="Verdana" w:eastAsia="Arial" w:hAnsi="Verdana" w:cs="Arial"/>
        </w:rPr>
        <w:t>bilitación, Inversión Social y Lucha contra el Crimen Organizado y la enajenación de que tratan la Ley </w:t>
      </w:r>
      <w:hyperlink r:id="rId14" w:anchor="0" w:tooltip="vinculo" w:history="1">
        <w:r w:rsidRPr="00F27E3B">
          <w:rPr>
            <w:rFonts w:ascii="Verdana" w:eastAsia="Arial" w:hAnsi="Verdana" w:cs="Arial"/>
            <w:u w:val="single"/>
          </w:rPr>
          <w:t>226</w:t>
        </w:r>
      </w:hyperlink>
      <w:r w:rsidRPr="00F27E3B">
        <w:rPr>
          <w:rFonts w:ascii="Verdana" w:eastAsia="Arial" w:hAnsi="Verdana" w:cs="Arial"/>
        </w:rPr>
        <w:t> de 1995, el Decreto-Ley </w:t>
      </w:r>
      <w:hyperlink r:id="rId15" w:anchor="0" w:tooltip="vinculo" w:history="1">
        <w:r w:rsidRPr="00F27E3B">
          <w:rPr>
            <w:rFonts w:ascii="Verdana" w:eastAsia="Arial" w:hAnsi="Verdana" w:cs="Arial"/>
            <w:u w:val="single"/>
          </w:rPr>
          <w:t>254</w:t>
        </w:r>
      </w:hyperlink>
      <w:r w:rsidRPr="00F27E3B">
        <w:rPr>
          <w:rFonts w:ascii="Verdana" w:eastAsia="Arial" w:hAnsi="Verdana" w:cs="Arial"/>
        </w:rPr>
        <w:t> de 2000 y la Ley </w:t>
      </w:r>
      <w:hyperlink r:id="rId16" w:anchor="0" w:tooltip="vinculo" w:history="1">
        <w:r w:rsidRPr="00F27E3B">
          <w:rPr>
            <w:rFonts w:ascii="Verdana" w:eastAsia="Arial" w:hAnsi="Verdana" w:cs="Arial"/>
            <w:u w:val="single"/>
          </w:rPr>
          <w:t>1105</w:t>
        </w:r>
      </w:hyperlink>
      <w:r w:rsidRPr="00F27E3B">
        <w:rPr>
          <w:rFonts w:ascii="Verdana" w:eastAsia="Arial" w:hAnsi="Verdana" w:cs="Arial"/>
        </w:rPr>
        <w:t xml:space="preserve"> de 2006”. </w:t>
      </w:r>
    </w:p>
    <w:p w14:paraId="651F39E8" w14:textId="77777777" w:rsidR="00D37937" w:rsidRPr="00F27E3B" w:rsidRDefault="00D37937" w:rsidP="00D37937">
      <w:pPr>
        <w:spacing w:after="120" w:line="276" w:lineRule="auto"/>
        <w:ind w:firstLine="709"/>
        <w:jc w:val="both"/>
        <w:rPr>
          <w:rFonts w:ascii="Verdana" w:eastAsia="Arial" w:hAnsi="Verdana" w:cs="Arial"/>
        </w:rPr>
      </w:pPr>
      <w:r w:rsidRPr="001A6B9A">
        <w:rPr>
          <w:rFonts w:ascii="Verdana" w:eastAsia="Arial" w:hAnsi="Verdana" w:cs="Arial"/>
        </w:rPr>
        <w:t xml:space="preserve">Al respecto, el artículo </w:t>
      </w:r>
      <w:bookmarkStart w:id="5" w:name="_Hlk186315464"/>
      <w:r w:rsidRPr="001A6B9A">
        <w:rPr>
          <w:rFonts w:ascii="Verdana" w:eastAsia="Arial" w:hAnsi="Verdana" w:cs="Arial"/>
        </w:rPr>
        <w:t>2.2.1.2.2.1.3</w:t>
      </w:r>
      <w:r w:rsidRPr="001A6B9A">
        <w:rPr>
          <w:rFonts w:ascii="Verdana" w:eastAsia="Arial" w:hAnsi="Verdana" w:cs="Arial"/>
          <w:lang w:val="es-ES"/>
        </w:rPr>
        <w:t xml:space="preserve"> del Decreto 1082 de 2015 </w:t>
      </w:r>
      <w:bookmarkEnd w:id="5"/>
      <w:r w:rsidRPr="001A6B9A">
        <w:rPr>
          <w:rFonts w:ascii="Verdana" w:eastAsia="Arial" w:hAnsi="Verdana" w:cs="Arial"/>
          <w:lang w:val="es-ES"/>
        </w:rPr>
        <w:t xml:space="preserve">estableció una regla particular según la cual </w:t>
      </w:r>
      <w:r w:rsidRPr="001A6B9A">
        <w:rPr>
          <w:rFonts w:ascii="Verdana" w:eastAsia="Arial" w:hAnsi="Verdana" w:cs="Arial"/>
        </w:rPr>
        <w:t xml:space="preserve">la enajenación de bienes de las </w:t>
      </w:r>
      <w:r w:rsidRPr="00F27E3B">
        <w:rPr>
          <w:rFonts w:ascii="Verdana" w:eastAsia="Arial" w:hAnsi="Verdana" w:cs="Arial"/>
        </w:rPr>
        <w:t>entidades estatales del orden nacional a la Central de Inversiones CISA S. A., de que trata el artículo </w:t>
      </w:r>
      <w:hyperlink r:id="rId17" w:anchor="238" w:tooltip="vinculo" w:history="1">
        <w:r w:rsidRPr="00F27E3B">
          <w:rPr>
            <w:rFonts w:ascii="Verdana" w:eastAsia="Arial" w:hAnsi="Verdana" w:cs="Arial"/>
            <w:u w:val="single"/>
          </w:rPr>
          <w:t>238</w:t>
        </w:r>
      </w:hyperlink>
      <w:r w:rsidRPr="00F27E3B">
        <w:rPr>
          <w:rFonts w:ascii="Verdana" w:eastAsia="Arial" w:hAnsi="Verdana" w:cs="Arial"/>
        </w:rPr>
        <w:t> de la Ley 1450 de 2011 y el Decreto </w:t>
      </w:r>
      <w:hyperlink r:id="rId18" w:anchor="0" w:tooltip="vinculo" w:history="1">
        <w:r w:rsidRPr="00F27E3B">
          <w:rPr>
            <w:rFonts w:ascii="Verdana" w:eastAsia="Arial" w:hAnsi="Verdana" w:cs="Arial"/>
            <w:u w:val="single"/>
          </w:rPr>
          <w:t>047</w:t>
        </w:r>
      </w:hyperlink>
      <w:r w:rsidRPr="00F27E3B">
        <w:rPr>
          <w:rFonts w:ascii="Verdana" w:eastAsia="Arial" w:hAnsi="Verdana" w:cs="Arial"/>
        </w:rPr>
        <w:t> de 2014 y las normas que los modifiquen, adicionen o sustituyan, debe hacerse de conformidad con las reglas establecidas en tales normas.</w:t>
      </w:r>
      <w:r w:rsidRPr="00F27E3B">
        <w:rPr>
          <w:rFonts w:ascii="Verdana" w:eastAsia="Arial" w:hAnsi="Verdana" w:cs="Arial"/>
          <w:lang w:val="es-ES"/>
        </w:rPr>
        <w:t xml:space="preserve"> </w:t>
      </w:r>
      <w:bookmarkStart w:id="6" w:name="2.2.1.2.2.1.4"/>
      <w:bookmarkEnd w:id="6"/>
      <w:r w:rsidRPr="00F27E3B">
        <w:rPr>
          <w:rFonts w:ascii="Verdana" w:eastAsia="Arial" w:hAnsi="Verdana" w:cs="Arial"/>
          <w:lang w:val="es-ES"/>
        </w:rPr>
        <w:t xml:space="preserve">A su vez, </w:t>
      </w:r>
      <w:r w:rsidRPr="00F27E3B">
        <w:rPr>
          <w:rFonts w:ascii="Verdana" w:eastAsia="Arial" w:hAnsi="Verdana" w:cs="Arial"/>
        </w:rPr>
        <w:t xml:space="preserve">el artículo 2.2.1.2.2.1.4 </w:t>
      </w:r>
      <w:r w:rsidRPr="00F27E3B">
        <w:rPr>
          <w:rFonts w:ascii="Verdana" w:eastAsia="Arial" w:hAnsi="Verdana" w:cs="Arial"/>
          <w:i/>
          <w:iCs/>
        </w:rPr>
        <w:t>ibidem</w:t>
      </w:r>
      <w:r w:rsidRPr="00F27E3B">
        <w:rPr>
          <w:rFonts w:ascii="Verdana" w:eastAsia="Arial" w:hAnsi="Verdana" w:cs="Arial"/>
        </w:rPr>
        <w:t xml:space="preserve"> determinó que cuando</w:t>
      </w:r>
      <w:r w:rsidRPr="00F27E3B">
        <w:rPr>
          <w:rFonts w:ascii="Verdana" w:hAnsi="Verdana"/>
          <w:shd w:val="clear" w:color="auto" w:fill="FFFFFF"/>
        </w:rPr>
        <w:t xml:space="preserve"> </w:t>
      </w:r>
      <w:r w:rsidRPr="00F27E3B">
        <w:rPr>
          <w:rFonts w:ascii="Verdana" w:eastAsia="Arial" w:hAnsi="Verdana" w:cs="Arial"/>
        </w:rPr>
        <w:t>las Entidades Estatales no están obligadas a cumplir con la transferencia a CISA S.A. pueden realizar directamente la enajenación, o contratar para ello promotores, bancas de inversión, martillos, comisionistas de bolsas de bienes y productos, o cualquier otro intermediario idóneo, según corresponda al tipo de bien a enajenar.</w:t>
      </w:r>
      <w:r w:rsidRPr="00F27E3B">
        <w:rPr>
          <w:rFonts w:ascii="Verdana" w:hAnsi="Verdana"/>
          <w:b/>
          <w:bCs/>
          <w:sz w:val="25"/>
          <w:szCs w:val="25"/>
          <w:shd w:val="clear" w:color="auto" w:fill="FFFFFF"/>
          <w:lang w:val="es-MX"/>
        </w:rPr>
        <w:t xml:space="preserve"> </w:t>
      </w:r>
    </w:p>
    <w:p w14:paraId="79FD6A6B" w14:textId="77777777" w:rsidR="00D37937" w:rsidRPr="001A6B9A" w:rsidRDefault="00D37937" w:rsidP="00D37937">
      <w:pPr>
        <w:spacing w:after="120" w:line="276" w:lineRule="auto"/>
        <w:ind w:firstLine="709"/>
        <w:jc w:val="both"/>
        <w:rPr>
          <w:rFonts w:ascii="Verdana" w:eastAsia="Arial" w:hAnsi="Verdana" w:cs="Arial"/>
          <w:lang w:val="es-ES"/>
        </w:rPr>
      </w:pPr>
      <w:r w:rsidRPr="00F27E3B">
        <w:rPr>
          <w:rFonts w:ascii="Verdana" w:eastAsia="Arial" w:hAnsi="Verdana" w:cs="Arial"/>
        </w:rPr>
        <w:t xml:space="preserve">En este sentido, para la enajenación de los bienes del Estado las entidades del orden nacional deben realizar una revisión para determinar si les resulta aplicable el supuesto de transferencia de bienes a CISA S.A. y en caso de que no se cumpla dicho supuesto, podrán proceder con la enajenación de los bienes, ya sea de manera directa o mediante intermediario, el cual deberán escoger mediante selección abreviada conforme con lo dispone el artículo </w:t>
      </w:r>
      <w:bookmarkStart w:id="7" w:name="2.2.1.2.2.1.5"/>
      <w:bookmarkEnd w:id="7"/>
      <w:r w:rsidRPr="00F27E3B">
        <w:rPr>
          <w:rFonts w:ascii="Verdana" w:hAnsi="Verdana"/>
          <w:shd w:val="clear" w:color="auto" w:fill="FFFFFF"/>
          <w:lang w:val="es-MX"/>
        </w:rPr>
        <w:t>2.2.1.2.2.1.5. Vale aclarar que debido a que el</w:t>
      </w:r>
      <w:r w:rsidRPr="00F27E3B">
        <w:rPr>
          <w:rFonts w:ascii="Verdana" w:hAnsi="Verdana"/>
          <w:b/>
          <w:bCs/>
          <w:shd w:val="clear" w:color="auto" w:fill="FFFFFF"/>
          <w:lang w:val="es-MX"/>
        </w:rPr>
        <w:t xml:space="preserve"> </w:t>
      </w:r>
      <w:r w:rsidRPr="001A6B9A">
        <w:rPr>
          <w:rFonts w:ascii="Verdana" w:eastAsia="Arial" w:hAnsi="Verdana" w:cs="Arial"/>
        </w:rPr>
        <w:t>2.2.1.2.2.1.3</w:t>
      </w:r>
      <w:r w:rsidRPr="001A6B9A">
        <w:rPr>
          <w:rFonts w:ascii="Verdana" w:eastAsia="Arial" w:hAnsi="Verdana" w:cs="Arial"/>
          <w:lang w:val="es-ES"/>
        </w:rPr>
        <w:t xml:space="preserve"> del Decreto 1082 de 2015 se refiere a las entidades del orden nacional, dicho supuesto no sería aplicable tratándose de entidades territoriales. </w:t>
      </w:r>
    </w:p>
    <w:p w14:paraId="09E895B8" w14:textId="77777777" w:rsidR="00D37937" w:rsidRPr="00F27E3B" w:rsidRDefault="00D37937" w:rsidP="00D37937">
      <w:pPr>
        <w:spacing w:after="120" w:line="276" w:lineRule="auto"/>
        <w:ind w:firstLine="709"/>
        <w:jc w:val="both"/>
        <w:rPr>
          <w:rFonts w:ascii="Verdana" w:eastAsia="Calibri" w:hAnsi="Verdana" w:cs="Times New Roman"/>
          <w:shd w:val="clear" w:color="auto" w:fill="FFFFFF"/>
          <w:lang w:val="es-MX"/>
        </w:rPr>
      </w:pPr>
      <w:r w:rsidRPr="001A6B9A">
        <w:rPr>
          <w:rFonts w:ascii="Verdana" w:eastAsia="Arial" w:hAnsi="Verdana" w:cs="Arial"/>
          <w:lang w:val="es-ES"/>
        </w:rPr>
        <w:t xml:space="preserve">Por su parte, </w:t>
      </w:r>
      <w:bookmarkStart w:id="8" w:name="_Hlk186536804"/>
      <w:r w:rsidRPr="001A6B9A">
        <w:rPr>
          <w:rFonts w:ascii="Verdana" w:eastAsia="Arial" w:hAnsi="Verdana" w:cs="Arial"/>
          <w:lang w:val="es-ES"/>
        </w:rPr>
        <w:t xml:space="preserve">la subsección 2 </w:t>
      </w:r>
      <w:bookmarkStart w:id="9" w:name="_Hlk186385112"/>
      <w:r w:rsidRPr="001A6B9A">
        <w:rPr>
          <w:rFonts w:ascii="Verdana" w:eastAsia="Arial" w:hAnsi="Verdana" w:cs="Arial"/>
          <w:lang w:val="es-ES"/>
        </w:rPr>
        <w:t>de la sección 2 del capítulo II del Decreto 1082 de 2015</w:t>
      </w:r>
      <w:bookmarkEnd w:id="9"/>
      <w:r w:rsidRPr="001A6B9A">
        <w:rPr>
          <w:rFonts w:ascii="Verdana" w:eastAsia="Arial" w:hAnsi="Verdana" w:cs="Arial"/>
          <w:lang w:val="es-ES"/>
        </w:rPr>
        <w:t xml:space="preserve"> establece 3 mecanismos de enajenación de los bienes del Estado: i) la enajenación directa por sobre cerrado, que se llevará a cabo mediante el procedimiento allí contemplado, ii) la enajenación directa a través de subasta </w:t>
      </w:r>
      <w:r w:rsidRPr="001A6B9A">
        <w:rPr>
          <w:rFonts w:ascii="Verdana" w:eastAsia="Arial" w:hAnsi="Verdana" w:cs="Arial"/>
          <w:lang w:val="es-ES"/>
        </w:rPr>
        <w:lastRenderedPageBreak/>
        <w:t xml:space="preserve">pública, para lo cual la entidad deberá </w:t>
      </w:r>
      <w:r w:rsidRPr="001A6B9A">
        <w:rPr>
          <w:rFonts w:ascii="Verdana" w:eastAsia="Arial" w:hAnsi="Verdana" w:cs="Arial"/>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iii) la enajenación a través de intermediarios idóneos, en cuyo caso </w:t>
      </w:r>
      <w:r w:rsidRPr="00F27E3B">
        <w:rPr>
          <w:rFonts w:ascii="Verdana" w:hAnsi="Verdana"/>
          <w:shd w:val="clear" w:color="auto" w:fill="FFFFFF"/>
          <w:lang w:val="es-MX"/>
        </w:rPr>
        <w:t xml:space="preserve">la venta debe realizarse a través de subasta pública, o mediante el mecanismo de derecho privado que se convenga con el intermediario. </w:t>
      </w:r>
    </w:p>
    <w:bookmarkEnd w:id="8"/>
    <w:p w14:paraId="3AC45749" w14:textId="77777777" w:rsidR="00D37937" w:rsidRPr="00F27E3B" w:rsidRDefault="00D37937" w:rsidP="00D37937">
      <w:pPr>
        <w:spacing w:after="120" w:line="276" w:lineRule="auto"/>
        <w:ind w:firstLine="709"/>
        <w:jc w:val="both"/>
        <w:rPr>
          <w:rFonts w:ascii="Verdana" w:hAnsi="Verdana"/>
          <w:shd w:val="clear" w:color="auto" w:fill="FFFFFF"/>
        </w:rPr>
      </w:pPr>
      <w:r w:rsidRPr="00F27E3B">
        <w:rPr>
          <w:rFonts w:ascii="Verdana" w:hAnsi="Verdana"/>
          <w:shd w:val="clear" w:color="auto" w:fill="FFFFFF"/>
          <w:lang w:val="es-MX"/>
        </w:rPr>
        <w:t>Ahora bien, las reglas que deben tener en cuenta las Entidades Estatales varían dependiendo si los bienes sobre los cuales requiere realizar la enajenación son muebles o inmuebles. De esta manera, la subsección 3</w:t>
      </w:r>
      <w:r w:rsidRPr="001A6B9A">
        <w:rPr>
          <w:rFonts w:ascii="Verdana" w:eastAsia="Arial" w:hAnsi="Verdana" w:cs="Arial"/>
          <w:lang w:val="es-ES"/>
        </w:rPr>
        <w:t xml:space="preserve"> de la sección 2 del capítulo II del Decreto 1082 de 2015</w:t>
      </w:r>
      <w:r w:rsidRPr="00F27E3B">
        <w:rPr>
          <w:rFonts w:ascii="Verdana" w:hAnsi="Verdana"/>
          <w:shd w:val="clear" w:color="auto" w:fill="FFFFFF"/>
          <w:lang w:val="es-ES"/>
        </w:rPr>
        <w:t xml:space="preserve"> </w:t>
      </w:r>
      <w:r w:rsidRPr="00F27E3B">
        <w:rPr>
          <w:rFonts w:ascii="Verdana" w:hAnsi="Verdana"/>
          <w:shd w:val="clear" w:color="auto" w:fill="FFFFFF"/>
          <w:lang w:val="es-MX"/>
        </w:rPr>
        <w:t>se refiere a los bienes inmuebles y establece varios aspectos que se deberán realizar en estos casos: i)</w:t>
      </w:r>
      <w:r w:rsidRPr="00F27E3B">
        <w:rPr>
          <w:rFonts w:ascii="Verdana" w:hAnsi="Verdana"/>
          <w:i/>
          <w:iCs/>
          <w:shd w:val="clear" w:color="auto" w:fill="FFFFFF"/>
          <w:lang w:val="es-MX"/>
        </w:rPr>
        <w:t xml:space="preserve"> avaluar el bien objeto de enajenación, el cual puede</w:t>
      </w:r>
      <w:r w:rsidRPr="00F27E3B">
        <w:rPr>
          <w:rFonts w:ascii="Verdana" w:hAnsi="Verdana"/>
          <w:sz w:val="25"/>
          <w:szCs w:val="25"/>
          <w:shd w:val="clear" w:color="auto" w:fill="FFFFFF"/>
        </w:rPr>
        <w:t xml:space="preserve"> </w:t>
      </w:r>
      <w:r w:rsidRPr="00F27E3B">
        <w:rPr>
          <w:rFonts w:ascii="Verdana" w:hAnsi="Verdana"/>
          <w:shd w:val="clear" w:color="auto" w:fill="FFFFFF"/>
        </w:rPr>
        <w:t>estar a cargo del Instituto Geográfico Agustín Codazzi o de una persona especializada inscrita en el Registro Nacional de Avaluadores que lleva la Superintendencia de Industria y Comercio</w:t>
      </w:r>
      <w:r w:rsidRPr="00F27E3B">
        <w:rPr>
          <w:rFonts w:ascii="Verdana" w:hAnsi="Verdana"/>
          <w:shd w:val="clear" w:color="auto" w:fill="FFFFFF"/>
          <w:lang w:val="es-MX"/>
        </w:rPr>
        <w:t xml:space="preserve">; ii) </w:t>
      </w:r>
      <w:r w:rsidRPr="00F27E3B">
        <w:rPr>
          <w:rFonts w:ascii="Verdana" w:hAnsi="Verdana"/>
          <w:i/>
          <w:iCs/>
          <w:shd w:val="clear" w:color="auto" w:fill="FFFFFF"/>
          <w:lang w:val="es-MX"/>
        </w:rPr>
        <w:t xml:space="preserve">establecer el precio mínimo de venta con base en las variables señaladas en el artículo </w:t>
      </w:r>
      <w:r w:rsidRPr="00F27E3B">
        <w:rPr>
          <w:rFonts w:ascii="Verdana" w:hAnsi="Verdana"/>
          <w:shd w:val="clear" w:color="auto" w:fill="FFFFFF"/>
        </w:rPr>
        <w:t>2.2.1.2.2.3.2 del Decreto 1082 de 2015; iii) la escritura pública debe otorgarse en la notaría de reparto correspondiente, dentro de los cuarenta y cinco (45) días calendario siguientes a la fecha en la cual el adjudicatario acredite el pago total del precio de venta; iv) Los derechos notariales, los gastos de fotocopias, autenticaciones y los impuestos de venta y registro se liquidarán y pagarán de conformidad con las normas legales vigentes sobre la materia, y v)  se debe entregar el inmueble dentro de los treinta (30) días calendario siguientes a la fecha del registro, previa presentación del certificado de tradición y libertad en el que conste la inscripción de la escritura pública de venta del inmueble.</w:t>
      </w:r>
    </w:p>
    <w:p w14:paraId="19556224" w14:textId="77777777" w:rsidR="00D37937" w:rsidRDefault="00D37937" w:rsidP="00D37937">
      <w:pPr>
        <w:spacing w:after="120" w:line="276" w:lineRule="auto"/>
        <w:ind w:firstLine="709"/>
        <w:jc w:val="both"/>
        <w:rPr>
          <w:rFonts w:ascii="Verdana" w:eastAsia="Calibri" w:hAnsi="Verdana" w:cs="Times New Roman"/>
          <w:shd w:val="clear" w:color="auto" w:fill="FFFFFF"/>
        </w:rPr>
      </w:pPr>
      <w:r w:rsidRPr="00F27E3B">
        <w:rPr>
          <w:rFonts w:ascii="Verdana" w:hAnsi="Verdana"/>
          <w:shd w:val="clear" w:color="auto" w:fill="FFFFFF"/>
        </w:rPr>
        <w:t>Por otro lado, la subsección 4 establece las reglas aplicables a la enajenación de los bienes muebles que comprenden la determinación de un precio mínimo de venta de bienes sujetos a registro y lo que no se encuentra sujetos. Asimismo, señala las reglas sobre la enajenación de bienes muebles a título gratuito entre entidades estatales y la enajenación de otros bienes como cartera, cuentas por cobrar y fideicomisos de cartera.</w:t>
      </w:r>
      <w:r w:rsidRPr="00557C83">
        <w:rPr>
          <w:rFonts w:ascii="Verdana" w:eastAsia="Calibri" w:hAnsi="Verdana" w:cs="Times New Roman"/>
          <w:shd w:val="clear" w:color="auto" w:fill="FFFFFF"/>
        </w:rPr>
        <w:t xml:space="preserve"> </w:t>
      </w:r>
      <w:r w:rsidRPr="00F27E3B">
        <w:rPr>
          <w:rFonts w:ascii="Verdana" w:eastAsia="Calibri" w:hAnsi="Verdana" w:cs="Times New Roman"/>
          <w:shd w:val="clear" w:color="auto" w:fill="FFFFFF"/>
        </w:rPr>
        <w:t xml:space="preserve">En ese sentido, el Decreto </w:t>
      </w:r>
      <w:r w:rsidRPr="00F27E3B">
        <w:rPr>
          <w:rFonts w:ascii="Verdana" w:eastAsia="Calibri" w:hAnsi="Verdana" w:cs="Times New Roman"/>
          <w:shd w:val="clear" w:color="auto" w:fill="FFFFFF"/>
        </w:rPr>
        <w:lastRenderedPageBreak/>
        <w:t>1082 de 2015 reglamenta los mecanismos que pueden emplear las entidades públicas para disponer de sus bienes, ya sean muebles o inmuebles</w:t>
      </w:r>
      <w:r>
        <w:rPr>
          <w:rFonts w:ascii="Verdana" w:eastAsia="Calibri" w:hAnsi="Verdana" w:cs="Times New Roman"/>
          <w:shd w:val="clear" w:color="auto" w:fill="FFFFFF"/>
        </w:rPr>
        <w:t>.</w:t>
      </w:r>
    </w:p>
    <w:p w14:paraId="7BA2B1A7" w14:textId="77777777" w:rsidR="00D37937" w:rsidRPr="005302B3" w:rsidRDefault="00D37937" w:rsidP="00D37937">
      <w:pPr>
        <w:spacing w:after="120" w:line="276" w:lineRule="auto"/>
        <w:ind w:firstLine="709"/>
        <w:jc w:val="both"/>
        <w:rPr>
          <w:rFonts w:ascii="Verdana" w:eastAsia="Calibri" w:hAnsi="Verdana" w:cs="Times New Roman"/>
          <w:shd w:val="clear" w:color="auto" w:fill="FFFFFF"/>
        </w:rPr>
      </w:pPr>
      <w:r w:rsidRPr="005302B3">
        <w:rPr>
          <w:rFonts w:ascii="Verdana" w:eastAsia="Calibri" w:hAnsi="Verdana" w:cs="Times New Roman"/>
          <w:shd w:val="clear" w:color="auto" w:fill="FFFFFF"/>
        </w:rPr>
        <w:t>Cabe señalar que, además de las normas sobre el procedimiento de enajenación de bienes que establece el Decreto 1082 de 2015, las entidades públicas como responsables de la protección y administración de los bienes, generalmente cuentan con un manual de administración de los bienes muebles e inmuebles de la entidad, el cual establece los lineamientos y procedimientos que deben cumplir para dar de baja los bienes que lo requieran, así como el destino que se les debe dar –enajenación, destrucción, y otros–, el cual se recomienda tener en cuenta.</w:t>
      </w:r>
    </w:p>
    <w:p w14:paraId="2B8644D0" w14:textId="5C13975D" w:rsidR="00D37937" w:rsidRDefault="00D37937" w:rsidP="0008597B">
      <w:pPr>
        <w:spacing w:after="120" w:line="276" w:lineRule="auto"/>
        <w:ind w:firstLine="709"/>
        <w:jc w:val="both"/>
        <w:rPr>
          <w:rFonts w:ascii="Verdana" w:eastAsia="Calibri" w:hAnsi="Verdana" w:cs="Times New Roman"/>
          <w:shd w:val="clear" w:color="auto" w:fill="FFFFFF"/>
        </w:rPr>
      </w:pPr>
      <w:r w:rsidRPr="005302B3">
        <w:rPr>
          <w:rFonts w:ascii="Verdana" w:eastAsia="Calibri" w:hAnsi="Verdana" w:cs="Times New Roman"/>
          <w:shd w:val="clear" w:color="auto" w:fill="FFFFFF"/>
        </w:rPr>
        <w:t xml:space="preserve">Finalmente, la decisión de optar por la enajenación a título gratuito entre entidades estatales, prevista en el artículo 2.2.1.2.2.4.3 del Decreto 1082 de 2015, o por la venta con precio mínimo, conforme al artículo 2.2.1.2.2.4.2 </w:t>
      </w:r>
      <w:r w:rsidRPr="00D010D1">
        <w:rPr>
          <w:rFonts w:ascii="Verdana" w:eastAsia="Calibri" w:hAnsi="Verdana" w:cs="Times New Roman"/>
          <w:i/>
          <w:shd w:val="clear" w:color="auto" w:fill="FFFFFF"/>
        </w:rPr>
        <w:t>ibídem</w:t>
      </w:r>
      <w:r w:rsidRPr="005302B3">
        <w:rPr>
          <w:rFonts w:ascii="Verdana" w:eastAsia="Calibri" w:hAnsi="Verdana" w:cs="Times New Roman"/>
          <w:shd w:val="clear" w:color="auto" w:fill="FFFFFF"/>
        </w:rPr>
        <w:t>, constituye una facultad discrecional de la entidad. No obstante, dicha decisión debe estar debidamente sustentada en los documentos previos del proceso, con base en un análisis técnico y jurídico que permita identificar la alternativa más adecuada</w:t>
      </w:r>
      <w:r w:rsidR="008B0331">
        <w:rPr>
          <w:rFonts w:ascii="Verdana" w:eastAsia="Calibri" w:hAnsi="Verdana" w:cs="Times New Roman"/>
          <w:shd w:val="clear" w:color="auto" w:fill="FFFFFF"/>
        </w:rPr>
        <w:t xml:space="preserve">, </w:t>
      </w:r>
      <w:r w:rsidR="008B0331">
        <w:rPr>
          <w:rFonts w:ascii="Verdana" w:hAnsi="Verdana"/>
          <w:shd w:val="clear" w:color="auto" w:fill="FFFFFF"/>
        </w:rPr>
        <w:t>justificando los presupuestos jurídicos para la aplicación del mecanismo de enajenación</w:t>
      </w:r>
      <w:r w:rsidRPr="005302B3">
        <w:rPr>
          <w:rFonts w:ascii="Verdana" w:eastAsia="Calibri" w:hAnsi="Verdana" w:cs="Times New Roman"/>
          <w:shd w:val="clear" w:color="auto" w:fill="FFFFFF"/>
        </w:rPr>
        <w:t>. Para ello, deben considerarse aspectos como las necesidades institucionales, las ventajas de cada mecanismo, la naturaleza y estado de conservación del bien, su utilidad, el marco normativo aplicable y cualquier otro criterio relevante para la toma de decisiones.</w:t>
      </w:r>
    </w:p>
    <w:p w14:paraId="590A9DD4" w14:textId="77777777" w:rsidR="00D37937" w:rsidRPr="00F27E3B" w:rsidRDefault="00D37937" w:rsidP="00D37937">
      <w:pPr>
        <w:spacing w:after="120" w:line="276" w:lineRule="auto"/>
        <w:ind w:firstLine="709"/>
        <w:jc w:val="both"/>
        <w:rPr>
          <w:rFonts w:ascii="Verdana" w:eastAsia="Calibri" w:hAnsi="Verdana" w:cs="Times New Roman"/>
          <w:shd w:val="clear" w:color="auto" w:fill="FFFFFF"/>
        </w:rPr>
      </w:pPr>
      <w:r w:rsidRPr="00F27E3B">
        <w:rPr>
          <w:rFonts w:ascii="Verdana" w:eastAsia="Calibri" w:hAnsi="Verdana" w:cs="Times New Roman"/>
          <w:shd w:val="clear" w:color="auto" w:fill="FFFFFF"/>
        </w:rPr>
        <w:t xml:space="preserve">En todo caso, la entidad pública definirá en cada caso concreto 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ni </w:t>
      </w:r>
      <w:r w:rsidRPr="00524031">
        <w:rPr>
          <w:rFonts w:ascii="Verdana" w:eastAsia="Calibri" w:hAnsi="Verdana" w:cs="Times New Roman"/>
          <w:shd w:val="clear" w:color="auto" w:fill="FFFFFF"/>
        </w:rPr>
        <w:t>recomendar la adopción de una u otra alternativa</w:t>
      </w:r>
      <w:r w:rsidRPr="00F27E3B">
        <w:rPr>
          <w:rFonts w:ascii="Verdana" w:eastAsia="Calibri" w:hAnsi="Verdana" w:cs="Times New Roman"/>
          <w:shd w:val="clear" w:color="auto" w:fill="FFFFFF"/>
        </w:rPr>
        <w:t>, sino que brinda elementos de carácter general para que los partícipes del sistema de contratación pública adopten la decisión que corresponda, que sea acorde con el principio de juridicidad, sin que sea atribución de esta Agencia validar su gestión contractual.</w:t>
      </w:r>
    </w:p>
    <w:p w14:paraId="2A7E3C20" w14:textId="77777777" w:rsidR="00135409" w:rsidRDefault="00D37937" w:rsidP="00D37937">
      <w:pPr>
        <w:spacing w:after="120" w:line="276" w:lineRule="auto"/>
        <w:ind w:firstLine="709"/>
        <w:jc w:val="both"/>
        <w:rPr>
          <w:rFonts w:ascii="Verdana" w:eastAsia="Calibri" w:hAnsi="Verdana" w:cs="Arial"/>
          <w:lang w:val="es-ES"/>
        </w:rPr>
      </w:pPr>
      <w:r w:rsidRPr="001A6B9A">
        <w:rPr>
          <w:rFonts w:ascii="Verdana" w:eastAsia="Calibri" w:hAnsi="Verdana" w:cs="Arial"/>
          <w:lang w:val="es-ES"/>
        </w:rPr>
        <w:t>Finalmente, se precisa que debido a que la enajenación de bienes de entidades estatales se realiza por medio de la modalidad de selección abreviada,</w:t>
      </w:r>
    </w:p>
    <w:p w14:paraId="0755A5AF" w14:textId="47D56A0C" w:rsidR="00D37937" w:rsidRPr="00F27E3B" w:rsidRDefault="00D37937" w:rsidP="00135409">
      <w:pPr>
        <w:spacing w:after="120" w:line="276" w:lineRule="auto"/>
        <w:jc w:val="both"/>
        <w:rPr>
          <w:rFonts w:ascii="Verdana" w:eastAsia="Calibri" w:hAnsi="Verdana" w:cs="Times New Roman"/>
          <w:lang w:val="es-ES"/>
        </w:rPr>
      </w:pPr>
      <w:r w:rsidRPr="001A6B9A">
        <w:rPr>
          <w:rFonts w:ascii="Verdana" w:eastAsia="Calibri" w:hAnsi="Verdana" w:cs="Arial"/>
          <w:lang w:val="es-ES"/>
        </w:rPr>
        <w:lastRenderedPageBreak/>
        <w:t>en el SECOP II se deberá publicar el procedimiento en esta sección de acuerdo con el mecanismo de enajenación determinado por la entidad y según los lineamientos señados en las Guías para el uso del SECOP II expedidas por la ANCP – CCE.</w:t>
      </w:r>
    </w:p>
    <w:p w14:paraId="7BC1F1FA" w14:textId="77777777" w:rsidR="00D37937" w:rsidRPr="001A6B9A" w:rsidRDefault="00D37937" w:rsidP="00D37937">
      <w:pPr>
        <w:spacing w:after="0" w:line="276" w:lineRule="auto"/>
        <w:jc w:val="both"/>
        <w:rPr>
          <w:rFonts w:ascii="Verdana" w:eastAsia="Calibri" w:hAnsi="Verdana" w:cs="Arial"/>
          <w:lang w:val="es-ES"/>
        </w:rPr>
      </w:pPr>
    </w:p>
    <w:p w14:paraId="5A6D07FE" w14:textId="77777777" w:rsidR="00D37937" w:rsidRPr="001A6B9A" w:rsidRDefault="00D37937" w:rsidP="00D37937">
      <w:pPr>
        <w:tabs>
          <w:tab w:val="left" w:pos="142"/>
          <w:tab w:val="left" w:pos="284"/>
        </w:tabs>
        <w:spacing w:after="0" w:line="276" w:lineRule="auto"/>
        <w:contextualSpacing/>
        <w:jc w:val="both"/>
        <w:rPr>
          <w:rFonts w:ascii="Verdana" w:eastAsia="Century Gothic" w:hAnsi="Verdana" w:cs="Century Gothic"/>
          <w:b/>
          <w:bCs/>
          <w:lang w:val="es-ES"/>
        </w:rPr>
      </w:pPr>
      <w:r w:rsidRPr="001A6B9A">
        <w:rPr>
          <w:rFonts w:ascii="Verdana" w:eastAsia="Century Gothic" w:hAnsi="Verdana" w:cs="Century Gothic"/>
          <w:b/>
          <w:bCs/>
          <w:lang w:val="es-ES"/>
        </w:rPr>
        <w:t>4. Referencias normativas y jurisprudenciales:</w:t>
      </w:r>
    </w:p>
    <w:p w14:paraId="23D88500" w14:textId="77777777" w:rsidR="00D37937" w:rsidRPr="001A6B9A" w:rsidRDefault="00D37937" w:rsidP="00D37937">
      <w:pPr>
        <w:widowControl w:val="0"/>
        <w:autoSpaceDE w:val="0"/>
        <w:autoSpaceDN w:val="0"/>
        <w:spacing w:after="0" w:line="276" w:lineRule="auto"/>
        <w:jc w:val="both"/>
        <w:rPr>
          <w:rFonts w:ascii="Verdana" w:eastAsia="Calibri" w:hAnsi="Verdana" w:cs="Arial"/>
        </w:rPr>
      </w:pPr>
    </w:p>
    <w:tbl>
      <w:tblPr>
        <w:tblStyle w:val="Tablaconcuadrcula1"/>
        <w:tblW w:w="8640" w:type="dxa"/>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37937" w:rsidRPr="001A6B9A" w14:paraId="6C5E28D2" w14:textId="77777777">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44730FCA" w14:textId="77777777" w:rsidR="00D37937" w:rsidRPr="001A6B9A" w:rsidRDefault="00D37937">
            <w:pPr>
              <w:widowControl w:val="0"/>
              <w:numPr>
                <w:ilvl w:val="0"/>
                <w:numId w:val="16"/>
              </w:numPr>
              <w:autoSpaceDE w:val="0"/>
              <w:autoSpaceDN w:val="0"/>
              <w:spacing w:line="276" w:lineRule="auto"/>
              <w:jc w:val="both"/>
              <w:rPr>
                <w:rFonts w:ascii="Verdana" w:hAnsi="Verdana" w:cs="Arial"/>
                <w:lang w:val="es-MX"/>
              </w:rPr>
            </w:pPr>
            <w:r w:rsidRPr="001A6B9A">
              <w:rPr>
                <w:rFonts w:ascii="Verdana" w:hAnsi="Verdana" w:cs="Arial"/>
                <w:lang w:val="es-MX"/>
              </w:rPr>
              <w:t xml:space="preserve">Ley 1150 de 2007. </w:t>
            </w:r>
            <w:r w:rsidRPr="001A6B9A">
              <w:rPr>
                <w:rFonts w:ascii="Verdana" w:eastAsia="Arial" w:hAnsi="Verdana" w:cs="Arial"/>
              </w:rPr>
              <w:t xml:space="preserve">literal e) del numeral 2 del artículo 2 </w:t>
            </w:r>
          </w:p>
          <w:p w14:paraId="0D319A78" w14:textId="77777777" w:rsidR="00D37937" w:rsidRPr="001A6B9A" w:rsidRDefault="00D37937">
            <w:pPr>
              <w:widowControl w:val="0"/>
              <w:numPr>
                <w:ilvl w:val="0"/>
                <w:numId w:val="16"/>
              </w:numPr>
              <w:autoSpaceDE w:val="0"/>
              <w:autoSpaceDN w:val="0"/>
              <w:spacing w:line="276" w:lineRule="auto"/>
              <w:jc w:val="both"/>
              <w:rPr>
                <w:rFonts w:ascii="Verdana" w:hAnsi="Verdana" w:cs="Arial"/>
                <w:lang w:val="es-MX"/>
              </w:rPr>
            </w:pPr>
            <w:r w:rsidRPr="001A6B9A">
              <w:rPr>
                <w:rFonts w:ascii="Verdana" w:eastAsia="Arial" w:hAnsi="Verdana" w:cs="Arial"/>
              </w:rPr>
              <w:t>Decreto 1082 de 2015. Artículos 2.2.1.2.2.1.1 y S.S.</w:t>
            </w:r>
          </w:p>
          <w:p w14:paraId="42FF9827" w14:textId="77777777" w:rsidR="00D37937" w:rsidRPr="001A6B9A" w:rsidRDefault="00D37937">
            <w:pPr>
              <w:widowControl w:val="0"/>
              <w:numPr>
                <w:ilvl w:val="0"/>
                <w:numId w:val="16"/>
              </w:numPr>
              <w:autoSpaceDE w:val="0"/>
              <w:autoSpaceDN w:val="0"/>
              <w:spacing w:line="276" w:lineRule="auto"/>
              <w:jc w:val="both"/>
              <w:rPr>
                <w:rFonts w:ascii="Verdana" w:hAnsi="Verdana" w:cs="Arial"/>
                <w:lang w:val="es-MX"/>
              </w:rPr>
            </w:pPr>
            <w:r w:rsidRPr="001A6B9A">
              <w:rPr>
                <w:rFonts w:ascii="Verdana" w:hAnsi="Verdana" w:cs="Arial"/>
                <w:lang w:val="es-MX"/>
              </w:rPr>
              <w:t xml:space="preserve">Consejo de Estado. Sala de lo Contencioso Administrativo. Sección Tercera. Sentencia del 30 de abril de 2012. Expediente 21.699. C.P. Ruth Stella Correa Palacio. </w:t>
            </w:r>
          </w:p>
          <w:p w14:paraId="627CF099" w14:textId="77777777" w:rsidR="00D37937" w:rsidRPr="001A6B9A" w:rsidRDefault="00D37937">
            <w:pPr>
              <w:widowControl w:val="0"/>
              <w:numPr>
                <w:ilvl w:val="0"/>
                <w:numId w:val="16"/>
              </w:numPr>
              <w:autoSpaceDE w:val="0"/>
              <w:autoSpaceDN w:val="0"/>
              <w:spacing w:line="276" w:lineRule="auto"/>
              <w:jc w:val="both"/>
              <w:rPr>
                <w:rFonts w:ascii="Verdana" w:hAnsi="Verdana" w:cs="Arial"/>
                <w:lang w:val="es-MX"/>
              </w:rPr>
            </w:pPr>
            <w:r w:rsidRPr="001A6B9A">
              <w:rPr>
                <w:rFonts w:ascii="Verdana" w:hAnsi="Verdana" w:cs="Arial"/>
                <w:lang w:val="es-MX"/>
              </w:rPr>
              <w:t>Consejo de Estado.  Sala de lo Contencioso Administrativo. Sección Tercera. Sentencia del 19 de julio de 2018, Expediente 36.711. C.P. Carlos Alberto Zambrano Barrera.</w:t>
            </w:r>
          </w:p>
          <w:p w14:paraId="6E271504" w14:textId="77777777" w:rsidR="00D37937" w:rsidRPr="001A6B9A" w:rsidRDefault="00D37937">
            <w:pPr>
              <w:widowControl w:val="0"/>
              <w:numPr>
                <w:ilvl w:val="0"/>
                <w:numId w:val="16"/>
              </w:numPr>
              <w:autoSpaceDE w:val="0"/>
              <w:autoSpaceDN w:val="0"/>
              <w:spacing w:line="276" w:lineRule="auto"/>
              <w:jc w:val="both"/>
              <w:rPr>
                <w:rFonts w:ascii="Verdana" w:hAnsi="Verdana" w:cs="Arial"/>
                <w:sz w:val="24"/>
                <w:lang w:val="es-MX"/>
              </w:rPr>
            </w:pPr>
            <w:r w:rsidRPr="001A6B9A">
              <w:rPr>
                <w:rFonts w:ascii="Verdana" w:hAnsi="Verdana" w:cs="Arial"/>
                <w:lang w:val="es-MX"/>
              </w:rPr>
              <w:t>Corte Constitucional. Sala Plena. M.P. Alfredo Beltrán Sierra. Sentencia C-183 de 2003. Expediente D-4244</w:t>
            </w:r>
          </w:p>
        </w:tc>
      </w:tr>
    </w:tbl>
    <w:p w14:paraId="7350EF8E" w14:textId="77777777" w:rsidR="00D37937" w:rsidRPr="001A6B9A" w:rsidRDefault="00D37937" w:rsidP="00D37937">
      <w:pPr>
        <w:widowControl w:val="0"/>
        <w:autoSpaceDE w:val="0"/>
        <w:autoSpaceDN w:val="0"/>
        <w:spacing w:after="0" w:line="276" w:lineRule="auto"/>
        <w:jc w:val="both"/>
        <w:rPr>
          <w:rFonts w:ascii="Verdana" w:eastAsia="Calibri" w:hAnsi="Verdana" w:cs="Arial"/>
        </w:rPr>
      </w:pPr>
    </w:p>
    <w:p w14:paraId="030310C0" w14:textId="77777777" w:rsidR="00D37937" w:rsidRPr="001A6B9A" w:rsidRDefault="00D37937" w:rsidP="00D37937">
      <w:pPr>
        <w:tabs>
          <w:tab w:val="left" w:pos="142"/>
          <w:tab w:val="left" w:pos="284"/>
        </w:tabs>
        <w:spacing w:line="276" w:lineRule="auto"/>
        <w:jc w:val="both"/>
        <w:rPr>
          <w:rFonts w:ascii="Verdana" w:eastAsia="Century Gothic" w:hAnsi="Verdana" w:cs="Century Gothic"/>
          <w:b/>
          <w:bCs/>
          <w:lang w:val="es-ES"/>
        </w:rPr>
      </w:pPr>
      <w:r w:rsidRPr="001A6B9A">
        <w:rPr>
          <w:rFonts w:ascii="Verdana" w:eastAsia="Century Gothic" w:hAnsi="Verdana" w:cs="Century Gothic"/>
          <w:b/>
          <w:bCs/>
          <w:lang w:val="es-ES"/>
        </w:rPr>
        <w:t>5. Doctrina de la Agencia Nacional de Contratación Pública:</w:t>
      </w:r>
    </w:p>
    <w:p w14:paraId="27A65A76" w14:textId="77777777" w:rsidR="00D37937" w:rsidRPr="00F27E3B" w:rsidRDefault="00D37937" w:rsidP="00D37937">
      <w:pPr>
        <w:widowControl w:val="0"/>
        <w:autoSpaceDE w:val="0"/>
        <w:autoSpaceDN w:val="0"/>
        <w:spacing w:after="0" w:line="276" w:lineRule="auto"/>
        <w:jc w:val="both"/>
        <w:rPr>
          <w:rFonts w:ascii="Verdana" w:eastAsia="Calibri" w:hAnsi="Verdana" w:cs="Arial"/>
          <w:shd w:val="clear" w:color="auto" w:fill="FFFFFF"/>
        </w:rPr>
      </w:pPr>
      <w:r w:rsidRPr="001A6B9A">
        <w:rPr>
          <w:rFonts w:ascii="Verdana" w:eastAsia="Calibri" w:hAnsi="Verdana" w:cs="Times New Roman"/>
        </w:rPr>
        <w:t>La Agencia Nacional de Contratación Pública – Colombia Compra Eficiente, analizó la enajenación de bienes del Estado en los siguientes conceptos: 2201913000007905 del 23 de octubre de 2019, 2201913000008259 del 6 de noviembre de 2019, C-186 del 17 de marzo de 2020, C-661 del 17 de noviembre de 2020, C-704 de 2022, C-309 del 22 de agosto 2024, C-985 del 30 de diciembre de 2024, C-361 del 2 de mayo de 2025, C-634 del 21 de mayo de 2025, C</w:t>
      </w:r>
      <w:r>
        <w:rPr>
          <w:rFonts w:ascii="Verdana" w:eastAsia="Calibri" w:hAnsi="Verdana" w:cs="Times New Roman"/>
        </w:rPr>
        <w:t>-</w:t>
      </w:r>
      <w:r w:rsidRPr="001A6B9A">
        <w:rPr>
          <w:rFonts w:ascii="Verdana" w:eastAsia="Calibri" w:hAnsi="Verdana" w:cs="Times New Roman"/>
        </w:rPr>
        <w:t>1122 del 15 de septiembre de 2025 entre otros. Estos y otros conceptos se encuentran disponibles para consulta en el Sistema de relatoría de la Agencia, al cual se puede acceder a través del siguiente enlace:</w:t>
      </w:r>
      <w:r w:rsidRPr="001A6B9A">
        <w:rPr>
          <w:rFonts w:ascii="Verdana" w:eastAsia="Calibri" w:hAnsi="Verdana" w:cs="Arial"/>
          <w:shd w:val="clear" w:color="auto" w:fill="FFFFFF"/>
          <w:lang w:val="es-ES"/>
        </w:rPr>
        <w:t xml:space="preserve"> </w:t>
      </w:r>
      <w:hyperlink r:id="rId19" w:history="1">
        <w:r w:rsidRPr="00F27E3B">
          <w:rPr>
            <w:rFonts w:ascii="Verdana" w:eastAsia="Calibri" w:hAnsi="Verdana" w:cs="Arial"/>
            <w:u w:val="single"/>
            <w:shd w:val="clear" w:color="auto" w:fill="FFFFFF"/>
            <w:lang w:val="es-ES"/>
          </w:rPr>
          <w:t>https://relatoria.colombiacompra.gov.co/busqueda/conceptos</w:t>
        </w:r>
      </w:hyperlink>
      <w:r w:rsidRPr="00F27E3B">
        <w:rPr>
          <w:rFonts w:ascii="Verdana" w:eastAsia="Calibri" w:hAnsi="Verdana" w:cs="Arial"/>
          <w:shd w:val="clear" w:color="auto" w:fill="FFFFFF"/>
        </w:rPr>
        <w:t> </w:t>
      </w:r>
    </w:p>
    <w:p w14:paraId="33E92A00" w14:textId="77777777" w:rsidR="00D37937" w:rsidRPr="00F27E3B" w:rsidRDefault="00D37937" w:rsidP="00D37937">
      <w:pPr>
        <w:widowControl w:val="0"/>
        <w:autoSpaceDE w:val="0"/>
        <w:autoSpaceDN w:val="0"/>
        <w:spacing w:after="0" w:line="276" w:lineRule="auto"/>
        <w:jc w:val="both"/>
        <w:rPr>
          <w:rFonts w:ascii="Verdana" w:eastAsia="Calibri" w:hAnsi="Verdana" w:cs="Arial"/>
          <w:shd w:val="clear" w:color="auto" w:fill="FFFFFF"/>
        </w:rPr>
      </w:pPr>
    </w:p>
    <w:p w14:paraId="12FD1745" w14:textId="77777777" w:rsidR="00D37937" w:rsidRPr="00E3533A" w:rsidRDefault="00D37937" w:rsidP="00D37937">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w:t>
      </w:r>
      <w:r w:rsidRPr="00E3533A">
        <w:rPr>
          <w:rFonts w:ascii="Verdana" w:eastAsia="Calibri" w:hAnsi="Verdana" w:cs="Times New Roman"/>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27280AB" w14:textId="77777777" w:rsidR="00D37937" w:rsidRDefault="00D37937" w:rsidP="00D37937">
      <w:pPr>
        <w:widowControl w:val="0"/>
        <w:autoSpaceDE w:val="0"/>
        <w:autoSpaceDN w:val="0"/>
        <w:spacing w:after="0" w:line="276" w:lineRule="auto"/>
        <w:jc w:val="both"/>
        <w:rPr>
          <w:rFonts w:ascii="Verdana" w:hAnsi="Verdana" w:cs="Arial"/>
        </w:rPr>
      </w:pPr>
    </w:p>
    <w:p w14:paraId="4DBEE85A" w14:textId="77777777" w:rsidR="00D37937" w:rsidRPr="00116940" w:rsidRDefault="00D37937" w:rsidP="00D3793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FE4A26F" w14:textId="77777777" w:rsidR="00D37937" w:rsidRPr="00116940" w:rsidRDefault="00D37937" w:rsidP="00D37937">
      <w:pPr>
        <w:spacing w:after="0"/>
        <w:jc w:val="both"/>
        <w:rPr>
          <w:rFonts w:ascii="Verdana" w:hAnsi="Verdana"/>
        </w:rPr>
      </w:pPr>
    </w:p>
    <w:p w14:paraId="713838B7" w14:textId="77777777" w:rsidR="00D37937" w:rsidRPr="00116940" w:rsidRDefault="00D37937" w:rsidP="00D3793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4E4ADC2" w14:textId="77777777" w:rsidR="00D37937" w:rsidRPr="00116940" w:rsidRDefault="00D37937" w:rsidP="00D3793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3EAA6E6" w14:textId="77777777" w:rsidR="00D37937" w:rsidRPr="00116940" w:rsidRDefault="00D37937" w:rsidP="00D3793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0">
        <w:r w:rsidRPr="00116940">
          <w:rPr>
            <w:rStyle w:val="Hipervnculo"/>
            <w:rFonts w:ascii="Verdana" w:eastAsia="Verdana" w:hAnsi="Verdana" w:cs="Verdana"/>
            <w:lang w:val="es-MX"/>
          </w:rPr>
          <w:t>ventanilladeradicacion@colombiacompra.gov.co</w:t>
        </w:r>
      </w:hyperlink>
    </w:p>
    <w:p w14:paraId="7C117A9A" w14:textId="77777777" w:rsidR="00D37937" w:rsidRPr="00116940" w:rsidRDefault="00D37937" w:rsidP="00D3793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1">
        <w:r w:rsidRPr="00116940">
          <w:rPr>
            <w:rStyle w:val="Hipervnculo"/>
            <w:rFonts w:ascii="Verdana" w:eastAsia="Verdana" w:hAnsi="Verdana" w:cs="Verdana"/>
            <w:lang w:val="es-MX"/>
          </w:rPr>
          <w:t>https://www.colombiacompra.gov.co/pqrsd/informacion-importante-antes-de-formular-una-pqrsd</w:t>
        </w:r>
      </w:hyperlink>
    </w:p>
    <w:p w14:paraId="459956DD" w14:textId="77777777" w:rsidR="00D37937" w:rsidRPr="00116940" w:rsidRDefault="00D37937" w:rsidP="00D37937">
      <w:pPr>
        <w:spacing w:after="0" w:line="240" w:lineRule="auto"/>
        <w:ind w:left="720"/>
        <w:jc w:val="both"/>
        <w:rPr>
          <w:rFonts w:ascii="Verdana" w:hAnsi="Verdana"/>
        </w:rPr>
      </w:pPr>
    </w:p>
    <w:p w14:paraId="26A62BF0" w14:textId="77777777" w:rsidR="00D37937" w:rsidRPr="00116940" w:rsidRDefault="00D37937" w:rsidP="00D37937">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2"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FF04CE2" w14:textId="77777777" w:rsidR="00D37937" w:rsidRPr="00116940" w:rsidRDefault="00D37937" w:rsidP="00D37937">
      <w:pPr>
        <w:spacing w:after="0" w:line="240" w:lineRule="auto"/>
        <w:rPr>
          <w:rFonts w:ascii="Verdana" w:hAnsi="Verdana"/>
        </w:rPr>
      </w:pPr>
    </w:p>
    <w:p w14:paraId="50C26ADE" w14:textId="77777777" w:rsidR="00D37937" w:rsidRPr="00116940" w:rsidRDefault="00D37937" w:rsidP="00D3793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D8AAEA6" w14:textId="77777777" w:rsidR="00D37937" w:rsidRPr="00116940" w:rsidRDefault="00D37937" w:rsidP="00D37937">
      <w:pPr>
        <w:spacing w:after="0" w:line="240" w:lineRule="auto"/>
        <w:jc w:val="both"/>
        <w:rPr>
          <w:rFonts w:ascii="Verdana" w:hAnsi="Verdana"/>
        </w:rPr>
      </w:pPr>
    </w:p>
    <w:p w14:paraId="5C5AF4A3" w14:textId="77777777" w:rsidR="00D37937" w:rsidRPr="00116940" w:rsidRDefault="00D37937" w:rsidP="00D3793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868055B" w14:textId="77777777" w:rsidR="00D37937" w:rsidRPr="00116940" w:rsidRDefault="00D37937" w:rsidP="00D37937">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39A23C5D" w14:textId="77777777" w:rsidR="00D37937" w:rsidRDefault="00D37937" w:rsidP="00D37937">
      <w:pPr>
        <w:spacing w:after="0" w:line="240" w:lineRule="auto"/>
        <w:jc w:val="both"/>
        <w:rPr>
          <w:rStyle w:val="Hipervnculo"/>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D7FEE6D" w14:textId="77777777" w:rsidR="004E3715" w:rsidRPr="00116940" w:rsidRDefault="004E3715" w:rsidP="00D37937">
      <w:pPr>
        <w:spacing w:after="0" w:line="240" w:lineRule="auto"/>
        <w:jc w:val="both"/>
        <w:rPr>
          <w:rFonts w:ascii="Verdana" w:hAnsi="Verdana"/>
        </w:rPr>
      </w:pPr>
    </w:p>
    <w:p w14:paraId="1FF2A07E" w14:textId="77777777" w:rsidR="00D37937" w:rsidRPr="00116940" w:rsidRDefault="00D37937" w:rsidP="00D37937">
      <w:pPr>
        <w:spacing w:after="0" w:line="240" w:lineRule="auto"/>
        <w:jc w:val="both"/>
        <w:rPr>
          <w:rFonts w:ascii="Verdana" w:hAnsi="Verdana"/>
        </w:rPr>
      </w:pPr>
    </w:p>
    <w:p w14:paraId="3A03BA0C" w14:textId="77777777" w:rsidR="00D37937" w:rsidRDefault="00D37937" w:rsidP="00D3793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C0521A5" w14:textId="77777777" w:rsidR="00D37937" w:rsidRPr="00593A5F" w:rsidRDefault="00D37937" w:rsidP="00D37937">
      <w:pPr>
        <w:widowControl w:val="0"/>
        <w:autoSpaceDE w:val="0"/>
        <w:autoSpaceDN w:val="0"/>
        <w:spacing w:after="0" w:line="276" w:lineRule="auto"/>
        <w:jc w:val="both"/>
        <w:rPr>
          <w:rFonts w:ascii="Verdana" w:hAnsi="Verdana" w:cs="Arial"/>
          <w:lang w:val="es-ES_tradnl"/>
        </w:rPr>
      </w:pPr>
    </w:p>
    <w:p w14:paraId="2BE89521" w14:textId="19C75C15" w:rsidR="00D37937" w:rsidRPr="00F27E3B" w:rsidRDefault="0006786A" w:rsidP="00D37937">
      <w:pPr>
        <w:spacing w:line="276" w:lineRule="auto"/>
        <w:jc w:val="center"/>
        <w:rPr>
          <w:rFonts w:ascii="Verdana" w:hAnsi="Verdana" w:cs="Arial"/>
          <w:lang w:val="es-ES_tradnl" w:eastAsia="es-CO"/>
        </w:rPr>
      </w:pPr>
      <w:r w:rsidRPr="002C3AD6">
        <w:rPr>
          <w:rFonts w:ascii="Century Gothic" w:hAnsi="Century Gothic"/>
          <w:noProof/>
        </w:rPr>
        <w:drawing>
          <wp:inline distT="0" distB="0" distL="0" distR="0" wp14:anchorId="102444A9" wp14:editId="5A6AAF4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772426" cy="1400370"/>
                    </a:xfrm>
                    <a:prstGeom prst="rect">
                      <a:avLst/>
                    </a:prstGeom>
                  </pic:spPr>
                </pic:pic>
              </a:graphicData>
            </a:graphic>
          </wp:inline>
        </w:drawing>
      </w:r>
    </w:p>
    <w:p w14:paraId="14ADD2D5" w14:textId="77777777" w:rsidR="00D37937" w:rsidRPr="00F27E3B" w:rsidRDefault="00D37937" w:rsidP="00D37937">
      <w:pPr>
        <w:spacing w:line="276" w:lineRule="auto"/>
        <w:jc w:val="center"/>
        <w:rPr>
          <w:rFonts w:ascii="Verdana" w:hAnsi="Verdana" w:cs="Arial"/>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37937" w:rsidRPr="001A6B9A" w14:paraId="651DC679" w14:textId="77777777" w:rsidTr="77E5A2FA">
        <w:trPr>
          <w:trHeight w:val="315"/>
        </w:trPr>
        <w:tc>
          <w:tcPr>
            <w:tcW w:w="893" w:type="dxa"/>
            <w:vAlign w:val="center"/>
            <w:hideMark/>
          </w:tcPr>
          <w:p w14:paraId="6B7DDF90" w14:textId="77777777" w:rsidR="00D37937" w:rsidRPr="001A6B9A" w:rsidRDefault="00D37937">
            <w:pPr>
              <w:spacing w:after="255"/>
              <w:contextualSpacing/>
              <w:rPr>
                <w:rFonts w:ascii="Verdana" w:hAnsi="Verdana" w:cs="Arial"/>
                <w:sz w:val="16"/>
                <w:szCs w:val="16"/>
                <w:lang w:val="es-ES" w:eastAsia="es-ES"/>
              </w:rPr>
            </w:pPr>
            <w:r w:rsidRPr="001A6B9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F67B44" w14:textId="77777777" w:rsidR="00D37937" w:rsidRPr="001A6B9A" w:rsidRDefault="00D37937" w:rsidP="77E5A2FA">
            <w:pPr>
              <w:spacing w:after="255"/>
              <w:contextualSpacing/>
              <w:rPr>
                <w:rStyle w:val="normaltextrun"/>
                <w:rFonts w:ascii="Verdana" w:eastAsia="Times New Roman" w:hAnsi="Verdana" w:cs="Arial"/>
                <w:sz w:val="16"/>
                <w:szCs w:val="16"/>
                <w:lang w:val="es-ES" w:eastAsia="es-CO"/>
              </w:rPr>
            </w:pPr>
            <w:r w:rsidRPr="77E5A2FA">
              <w:rPr>
                <w:rStyle w:val="normaltextrun"/>
                <w:rFonts w:ascii="Verdana" w:eastAsia="Times New Roman" w:hAnsi="Verdana" w:cs="Arial"/>
                <w:sz w:val="16"/>
                <w:szCs w:val="16"/>
                <w:lang w:val="es-ES" w:eastAsia="es-CO"/>
              </w:rPr>
              <w:t>María Joshira Nieto Manzano</w:t>
            </w:r>
          </w:p>
          <w:p w14:paraId="48E3C588" w14:textId="77777777" w:rsidR="00D37937" w:rsidRPr="001A6B9A" w:rsidRDefault="00D37937">
            <w:pPr>
              <w:spacing w:after="255"/>
              <w:contextualSpacing/>
              <w:rPr>
                <w:rFonts w:eastAsia="Arial" w:cs="Arial"/>
              </w:rPr>
            </w:pPr>
            <w:r w:rsidRPr="001A6B9A">
              <w:rPr>
                <w:rStyle w:val="normaltextrun"/>
                <w:rFonts w:ascii="Verdana" w:hAnsi="Verdana"/>
                <w:sz w:val="16"/>
                <w:szCs w:val="16"/>
              </w:rPr>
              <w:t>Contratista de la Subdirección de Gestión Contractual</w:t>
            </w:r>
          </w:p>
        </w:tc>
      </w:tr>
      <w:tr w:rsidR="00D37937" w:rsidRPr="001A6B9A" w14:paraId="3BD49FB8" w14:textId="77777777" w:rsidTr="77E5A2FA">
        <w:trPr>
          <w:trHeight w:val="330"/>
        </w:trPr>
        <w:tc>
          <w:tcPr>
            <w:tcW w:w="893" w:type="dxa"/>
            <w:vAlign w:val="center"/>
            <w:hideMark/>
          </w:tcPr>
          <w:p w14:paraId="42540884" w14:textId="77777777" w:rsidR="00D37937" w:rsidRPr="001A6B9A" w:rsidRDefault="00D37937">
            <w:pPr>
              <w:spacing w:after="255"/>
              <w:contextualSpacing/>
              <w:rPr>
                <w:rFonts w:ascii="Verdana" w:hAnsi="Verdana" w:cs="Arial"/>
                <w:sz w:val="16"/>
                <w:szCs w:val="16"/>
                <w:lang w:val="es-ES" w:eastAsia="es-ES"/>
              </w:rPr>
            </w:pPr>
            <w:r w:rsidRPr="001A6B9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D793C2" w14:textId="77777777" w:rsidR="00D37937" w:rsidRPr="001A6B9A" w:rsidRDefault="00D37937">
            <w:pPr>
              <w:pStyle w:val="paragraph"/>
              <w:spacing w:after="0" w:afterAutospacing="0"/>
              <w:textAlignment w:val="baseline"/>
              <w:rPr>
                <w:rStyle w:val="normaltextrun"/>
                <w:lang w:val="es-ES_tradnl"/>
              </w:rPr>
            </w:pPr>
            <w:r w:rsidRPr="001A6B9A">
              <w:rPr>
                <w:rStyle w:val="normaltextrun"/>
                <w:rFonts w:ascii="Verdana" w:hAnsi="Verdana" w:cs="Arial"/>
                <w:sz w:val="16"/>
                <w:szCs w:val="16"/>
                <w:lang w:val="es-ES_tradnl"/>
              </w:rPr>
              <w:t>Alejandro Sarmiento Cantillo</w:t>
            </w:r>
          </w:p>
          <w:p w14:paraId="654C5137" w14:textId="77777777" w:rsidR="00D37937" w:rsidRPr="001A6B9A" w:rsidRDefault="00D37937">
            <w:pPr>
              <w:pStyle w:val="paragraph"/>
              <w:spacing w:before="0" w:beforeAutospacing="0" w:after="0" w:afterAutospacing="0"/>
              <w:contextualSpacing/>
              <w:textAlignment w:val="baseline"/>
              <w:rPr>
                <w:rFonts w:cs="Segoe UI"/>
              </w:rPr>
            </w:pPr>
            <w:r w:rsidRPr="001A6B9A">
              <w:rPr>
                <w:rStyle w:val="normaltextrun"/>
                <w:rFonts w:ascii="Verdana" w:hAnsi="Verdana" w:cs="Arial"/>
                <w:sz w:val="16"/>
                <w:szCs w:val="16"/>
                <w:lang w:val="es-ES_tradnl"/>
              </w:rPr>
              <w:t>Gestor T1 ‒ 15 de la Subdirección de Gestión Contractual</w:t>
            </w:r>
          </w:p>
        </w:tc>
      </w:tr>
      <w:tr w:rsidR="00D37937" w:rsidRPr="001A6B9A" w14:paraId="7913419C" w14:textId="77777777" w:rsidTr="77E5A2FA">
        <w:trPr>
          <w:trHeight w:val="300"/>
        </w:trPr>
        <w:tc>
          <w:tcPr>
            <w:tcW w:w="893" w:type="dxa"/>
            <w:vAlign w:val="center"/>
            <w:hideMark/>
          </w:tcPr>
          <w:p w14:paraId="67002F88" w14:textId="77777777" w:rsidR="00D37937" w:rsidRPr="001A6B9A" w:rsidRDefault="00D37937">
            <w:pPr>
              <w:spacing w:after="255"/>
              <w:contextualSpacing/>
              <w:rPr>
                <w:rFonts w:ascii="Verdana" w:hAnsi="Verdana" w:cs="Arial"/>
                <w:sz w:val="16"/>
                <w:szCs w:val="16"/>
                <w:lang w:val="es-ES" w:eastAsia="es-ES"/>
              </w:rPr>
            </w:pPr>
            <w:r w:rsidRPr="001A6B9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2C5E82" w14:textId="77777777" w:rsidR="00D37937" w:rsidRPr="001A6B9A" w:rsidRDefault="00D37937">
            <w:pPr>
              <w:spacing w:after="255"/>
              <w:contextualSpacing/>
              <w:rPr>
                <w:rFonts w:ascii="Verdana" w:eastAsia="Calibri" w:hAnsi="Verdana" w:cs="Arial"/>
                <w:sz w:val="16"/>
                <w:szCs w:val="16"/>
                <w:lang w:val="pt-BR" w:eastAsia="es-ES"/>
              </w:rPr>
            </w:pPr>
            <w:r w:rsidRPr="001A6B9A">
              <w:rPr>
                <w:rFonts w:ascii="Verdana" w:eastAsia="Calibri" w:hAnsi="Verdana" w:cs="Arial"/>
                <w:sz w:val="16"/>
                <w:szCs w:val="16"/>
                <w:lang w:val="pt-BR" w:eastAsia="es-ES"/>
              </w:rPr>
              <w:t>Carolina Quintero Gacharná</w:t>
            </w:r>
          </w:p>
          <w:p w14:paraId="7A325C7E" w14:textId="77777777" w:rsidR="00D37937" w:rsidRPr="001A6B9A" w:rsidRDefault="00D37937">
            <w:pPr>
              <w:spacing w:after="255"/>
              <w:contextualSpacing/>
              <w:rPr>
                <w:rFonts w:ascii="Verdana" w:eastAsia="Calibri" w:hAnsi="Verdana" w:cs="Arial"/>
                <w:sz w:val="16"/>
                <w:szCs w:val="16"/>
                <w:lang w:val="pt-BR" w:eastAsia="es-ES"/>
              </w:rPr>
            </w:pPr>
            <w:r w:rsidRPr="001A6B9A">
              <w:rPr>
                <w:rFonts w:ascii="Verdana" w:eastAsia="Calibri" w:hAnsi="Verdana" w:cs="Arial"/>
                <w:sz w:val="16"/>
                <w:szCs w:val="16"/>
                <w:lang w:eastAsia="es-ES"/>
              </w:rPr>
              <w:t>Subdirectora</w:t>
            </w:r>
            <w:r w:rsidRPr="001A6B9A">
              <w:rPr>
                <w:rFonts w:ascii="Verdana" w:eastAsia="Calibri" w:hAnsi="Verdana" w:cs="Arial"/>
                <w:sz w:val="16"/>
                <w:szCs w:val="16"/>
                <w:lang w:val="pt-BR" w:eastAsia="es-ES"/>
              </w:rPr>
              <w:t xml:space="preserve"> de Gestión Contractual ANCP – CCE</w:t>
            </w:r>
          </w:p>
        </w:tc>
      </w:tr>
      <w:bookmarkEnd w:id="0"/>
    </w:tbl>
    <w:p w14:paraId="54B310E5" w14:textId="77777777" w:rsidR="00D37937" w:rsidRDefault="00D37937" w:rsidP="00C21DDB">
      <w:pPr>
        <w:spacing w:after="0"/>
        <w:rPr>
          <w:rFonts w:ascii="Verdana" w:eastAsia="Calibri" w:hAnsi="Verdana" w:cs="Arial"/>
        </w:rPr>
      </w:pPr>
    </w:p>
    <w:sectPr w:rsidR="00D37937" w:rsidSect="003E2048">
      <w:headerReference w:type="default" r:id="rId24"/>
      <w:footerReference w:type="default" r:id="rId25"/>
      <w:pgSz w:w="12240" w:h="15840" w:code="1"/>
      <w:pgMar w:top="1417" w:right="1701" w:bottom="1417" w:left="1701" w:header="709" w:footer="12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DA18D" w14:textId="77777777" w:rsidR="00E934C4" w:rsidRDefault="00E934C4" w:rsidP="004A1847">
      <w:pPr>
        <w:spacing w:after="0" w:line="240" w:lineRule="auto"/>
      </w:pPr>
      <w:r>
        <w:separator/>
      </w:r>
    </w:p>
  </w:endnote>
  <w:endnote w:type="continuationSeparator" w:id="0">
    <w:p w14:paraId="13184FF3" w14:textId="77777777" w:rsidR="00E934C4" w:rsidRDefault="00E934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27753" w14:textId="77777777" w:rsidR="00E934C4" w:rsidRDefault="00E934C4" w:rsidP="004A1847">
      <w:pPr>
        <w:spacing w:after="0" w:line="240" w:lineRule="auto"/>
      </w:pPr>
      <w:r>
        <w:separator/>
      </w:r>
    </w:p>
  </w:footnote>
  <w:footnote w:type="continuationSeparator" w:id="0">
    <w:p w14:paraId="0EF7356F" w14:textId="77777777" w:rsidR="00E934C4" w:rsidRDefault="00E934C4" w:rsidP="004A1847">
      <w:pPr>
        <w:spacing w:after="0" w:line="240" w:lineRule="auto"/>
      </w:pPr>
      <w:r>
        <w:continuationSeparator/>
      </w:r>
    </w:p>
  </w:footnote>
  <w:footnote w:id="1">
    <w:p w14:paraId="2311DB39" w14:textId="77777777" w:rsidR="00D37937" w:rsidRPr="008042CE" w:rsidRDefault="00D37937" w:rsidP="008B0331">
      <w:pPr>
        <w:pStyle w:val="Textonotapie"/>
        <w:ind w:firstLine="709"/>
        <w:jc w:val="both"/>
        <w:rPr>
          <w:rFonts w:ascii="Verdana" w:eastAsia="Calibri" w:hAnsi="Verdana" w:cs="Arial"/>
          <w:color w:val="000000" w:themeColor="text1"/>
          <w:sz w:val="12"/>
          <w:szCs w:val="12"/>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En los términos del artículo 665 del Código Civil: “Derecho real es el que tenemos sobre una cosa sin especto a determinada persona.</w:t>
      </w:r>
    </w:p>
    <w:p w14:paraId="7F13DE1D" w14:textId="77777777" w:rsidR="00D37937" w:rsidRPr="008042CE" w:rsidRDefault="00D37937" w:rsidP="008B0331">
      <w:pPr>
        <w:pStyle w:val="Textonotapie"/>
        <w:ind w:firstLine="709"/>
        <w:jc w:val="both"/>
        <w:rPr>
          <w:rFonts w:ascii="Verdana" w:hAnsi="Verdana" w:cs="Arial"/>
          <w:color w:val="000000" w:themeColor="text1"/>
          <w:sz w:val="12"/>
          <w:szCs w:val="12"/>
        </w:rPr>
      </w:pPr>
      <w:r w:rsidRPr="008042CE">
        <w:rPr>
          <w:rFonts w:ascii="Verdana" w:hAnsi="Verdana" w:cs="Arial"/>
          <w:color w:val="000000" w:themeColor="text1"/>
          <w:sz w:val="12"/>
          <w:szCs w:val="12"/>
        </w:rPr>
        <w:t>Son derechos reales el de dominio, el de herencia, los de usufructo, uso o habitación, los de servidumbres activas, el de prenda y el de hipoteca. De estos derechos nacen las acciones reales”.</w:t>
      </w:r>
    </w:p>
    <w:p w14:paraId="383CF885" w14:textId="77777777" w:rsidR="00D37937" w:rsidRPr="008042CE" w:rsidRDefault="00D37937" w:rsidP="008B0331">
      <w:pPr>
        <w:pStyle w:val="Textonotapie"/>
        <w:ind w:firstLine="709"/>
        <w:jc w:val="both"/>
        <w:rPr>
          <w:rFonts w:ascii="Verdana" w:hAnsi="Verdana" w:cs="Arial"/>
          <w:color w:val="000000" w:themeColor="text1"/>
          <w:sz w:val="12"/>
          <w:szCs w:val="12"/>
        </w:rPr>
      </w:pPr>
    </w:p>
  </w:footnote>
  <w:footnote w:id="2">
    <w:p w14:paraId="1616D512" w14:textId="77777777" w:rsidR="00D37937" w:rsidRPr="008042CE" w:rsidRDefault="00D37937" w:rsidP="008B0331">
      <w:pPr>
        <w:pStyle w:val="Textonotapie"/>
        <w:ind w:firstLine="709"/>
        <w:jc w:val="both"/>
        <w:rPr>
          <w:rFonts w:ascii="Verdana" w:hAnsi="Verdana" w:cs="Arial"/>
          <w:color w:val="000000" w:themeColor="text1"/>
          <w:sz w:val="12"/>
          <w:szCs w:val="12"/>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04F8C359" w14:textId="77777777" w:rsidR="00D37937" w:rsidRPr="008042CE" w:rsidRDefault="00D37937" w:rsidP="00D010D1">
      <w:pPr>
        <w:spacing w:after="0"/>
        <w:ind w:firstLine="709"/>
        <w:jc w:val="both"/>
        <w:rPr>
          <w:rFonts w:ascii="Verdana" w:hAnsi="Verdana" w:cs="Arial"/>
          <w:color w:val="000000" w:themeColor="text1"/>
          <w:sz w:val="12"/>
          <w:szCs w:val="12"/>
        </w:rPr>
      </w:pPr>
      <w:r w:rsidRPr="008042CE">
        <w:rPr>
          <w:rFonts w:ascii="Verdana" w:hAnsi="Verdana" w:cs="Arial"/>
          <w:color w:val="000000" w:themeColor="text1"/>
          <w:sz w:val="12"/>
          <w:szCs w:val="12"/>
        </w:rPr>
        <w:t>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Consejera Ponente: María Inés Ortiz Barbosa. Expediente: 14.123).</w:t>
      </w:r>
    </w:p>
  </w:footnote>
  <w:footnote w:id="3">
    <w:p w14:paraId="566ADC76" w14:textId="77777777" w:rsidR="00D37937" w:rsidRPr="008042CE" w:rsidRDefault="00D37937" w:rsidP="008B0331">
      <w:pPr>
        <w:pStyle w:val="Textonotapie"/>
        <w:ind w:firstLine="709"/>
        <w:jc w:val="both"/>
        <w:rPr>
          <w:rFonts w:ascii="Verdana" w:hAnsi="Verdana" w:cs="Arial"/>
          <w:color w:val="000000" w:themeColor="text1"/>
          <w:sz w:val="12"/>
          <w:szCs w:val="12"/>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VELÁSQUEZ, Hernán Darío. Estudio sobre obligaciones. Bogotá: Temis, 2010. p. 10.</w:t>
      </w:r>
    </w:p>
    <w:p w14:paraId="5C987E5F" w14:textId="77777777" w:rsidR="00D37937" w:rsidRPr="008042CE" w:rsidRDefault="00D37937" w:rsidP="008B0331">
      <w:pPr>
        <w:pStyle w:val="Textonotapie"/>
        <w:ind w:firstLine="709"/>
        <w:jc w:val="both"/>
        <w:rPr>
          <w:rFonts w:ascii="Verdana" w:hAnsi="Verdana" w:cs="Arial"/>
          <w:color w:val="000000" w:themeColor="text1"/>
          <w:sz w:val="12"/>
          <w:szCs w:val="12"/>
        </w:rPr>
      </w:pPr>
    </w:p>
  </w:footnote>
  <w:footnote w:id="4">
    <w:p w14:paraId="6134E4BE" w14:textId="77777777" w:rsidR="00D37937" w:rsidRPr="008042CE" w:rsidRDefault="00D37937" w:rsidP="008B0331">
      <w:pPr>
        <w:pStyle w:val="Textonotapie"/>
        <w:ind w:firstLine="709"/>
        <w:jc w:val="both"/>
        <w:rPr>
          <w:rFonts w:ascii="Verdana" w:hAnsi="Verdana" w:cs="Arial"/>
          <w:color w:val="000000" w:themeColor="text1"/>
          <w:sz w:val="12"/>
          <w:szCs w:val="12"/>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Así, para Dávila, «enajenar es comprensivo de un acto traslaticio de dominio” (DÁVILA, Op.cit., p. 475).</w:t>
      </w:r>
    </w:p>
    <w:p w14:paraId="45382BE2" w14:textId="77777777" w:rsidR="00D37937" w:rsidRPr="008042CE" w:rsidRDefault="00D37937" w:rsidP="008B0331">
      <w:pPr>
        <w:pStyle w:val="Textonotapie"/>
        <w:ind w:firstLine="709"/>
        <w:jc w:val="both"/>
        <w:rPr>
          <w:rFonts w:ascii="Verdana" w:hAnsi="Verdana" w:cs="Arial"/>
          <w:color w:val="000000" w:themeColor="text1"/>
          <w:sz w:val="12"/>
          <w:szCs w:val="12"/>
        </w:rPr>
      </w:pPr>
    </w:p>
  </w:footnote>
  <w:footnote w:id="5">
    <w:p w14:paraId="16F8554C" w14:textId="77777777" w:rsidR="00D37937" w:rsidRPr="008042CE" w:rsidRDefault="00D37937" w:rsidP="008B0331">
      <w:pPr>
        <w:pStyle w:val="Textonotapie"/>
        <w:ind w:firstLine="709"/>
        <w:jc w:val="both"/>
        <w:rPr>
          <w:rFonts w:ascii="Verdana" w:hAnsi="Verdana" w:cs="Arial"/>
          <w:color w:val="000000" w:themeColor="text1"/>
          <w:sz w:val="12"/>
          <w:szCs w:val="12"/>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“Los modos de adquirir el dominio son la ocupación, la accesión, la tradición, la sucesión por causa de muerte y la prescripción”.</w:t>
      </w:r>
    </w:p>
    <w:p w14:paraId="4FECF011" w14:textId="77777777" w:rsidR="00D37937" w:rsidRPr="008042CE" w:rsidRDefault="00D37937" w:rsidP="008B0331">
      <w:pPr>
        <w:pStyle w:val="Textonotapie"/>
        <w:ind w:firstLine="709"/>
        <w:jc w:val="both"/>
        <w:rPr>
          <w:rFonts w:ascii="Verdana" w:hAnsi="Verdana" w:cs="Arial"/>
          <w:color w:val="000000" w:themeColor="text1"/>
          <w:sz w:val="12"/>
          <w:szCs w:val="12"/>
        </w:rPr>
      </w:pPr>
    </w:p>
  </w:footnote>
  <w:footnote w:id="6">
    <w:p w14:paraId="4FC2A380" w14:textId="77777777" w:rsidR="00D37937" w:rsidRDefault="00D37937" w:rsidP="00D010D1">
      <w:pPr>
        <w:spacing w:after="0"/>
        <w:ind w:firstLine="709"/>
        <w:jc w:val="both"/>
        <w:rPr>
          <w:rFonts w:ascii="Verdana" w:hAnsi="Verdana" w:cs="Arial"/>
          <w:color w:val="000000" w:themeColor="text1"/>
          <w:sz w:val="16"/>
          <w:szCs w:val="16"/>
          <w:lang w:val="es-ES"/>
        </w:rPr>
      </w:pPr>
      <w:r w:rsidRPr="008042CE">
        <w:rPr>
          <w:rStyle w:val="Refdenotaalpie"/>
          <w:rFonts w:ascii="Verdana" w:hAnsi="Verdana" w:cs="Arial"/>
          <w:color w:val="000000" w:themeColor="text1"/>
          <w:sz w:val="12"/>
          <w:szCs w:val="12"/>
        </w:rPr>
        <w:footnoteRef/>
      </w:r>
      <w:r w:rsidRPr="008042CE">
        <w:rPr>
          <w:rFonts w:ascii="Verdana" w:hAnsi="Verdana" w:cs="Arial"/>
          <w:color w:val="000000" w:themeColor="text1"/>
          <w:sz w:val="12"/>
          <w:szCs w:val="12"/>
        </w:rPr>
        <w:t xml:space="preserve"> </w:t>
      </w:r>
      <w:r w:rsidRPr="008042CE">
        <w:rPr>
          <w:rFonts w:ascii="Verdana" w:hAnsi="Verdana" w:cs="Arial"/>
          <w:color w:val="000000" w:themeColor="text1"/>
          <w:sz w:val="12"/>
          <w:szCs w:val="12"/>
          <w:lang w:val="es-ES"/>
        </w:rPr>
        <w:t>Según el artículo 749 del Código Civil «Si la ley exige solemnidades especiales para la enajenación, no se transfiere el dominio sin ellas”.</w:t>
      </w:r>
    </w:p>
  </w:footnote>
  <w:footnote w:id="7">
    <w:p w14:paraId="790751D8" w14:textId="77777777" w:rsidR="00D37937" w:rsidRPr="004446D2" w:rsidRDefault="00D37937" w:rsidP="00D010D1">
      <w:pPr>
        <w:spacing w:after="0"/>
        <w:ind w:firstLine="708"/>
        <w:jc w:val="both"/>
        <w:rPr>
          <w:rFonts w:ascii="Verdana" w:hAnsi="Verdana" w:cs="Arial"/>
          <w:color w:val="000000" w:themeColor="text1"/>
          <w:sz w:val="12"/>
          <w:szCs w:val="12"/>
        </w:rPr>
      </w:pPr>
      <w:r w:rsidRPr="004446D2">
        <w:rPr>
          <w:rStyle w:val="Refdenotaalpie"/>
          <w:rFonts w:ascii="Verdana" w:hAnsi="Verdana" w:cs="Arial"/>
          <w:sz w:val="12"/>
          <w:szCs w:val="12"/>
        </w:rPr>
        <w:footnoteRef/>
      </w:r>
      <w:r w:rsidRPr="004446D2">
        <w:rPr>
          <w:rFonts w:ascii="Verdana" w:hAnsi="Verdana" w:cs="Arial"/>
          <w:sz w:val="12"/>
          <w:szCs w:val="12"/>
        </w:rPr>
        <w:t xml:space="preserve"> </w:t>
      </w:r>
      <w:r w:rsidRPr="004446D2">
        <w:rPr>
          <w:rFonts w:ascii="Verdana" w:hAnsi="Verdana" w:cs="Arial"/>
          <w:color w:val="000000" w:themeColor="text1"/>
          <w:sz w:val="12"/>
          <w:szCs w:val="12"/>
        </w:rPr>
        <w:t>Corte Constitucional. Sala Plena. M.P. Alfredo Beltrán Sierra. Sentencia C-183 de 2003. Expediente D-4244.</w:t>
      </w:r>
    </w:p>
  </w:footnote>
  <w:footnote w:id="8">
    <w:p w14:paraId="28DBBE56" w14:textId="77777777" w:rsidR="00D37937" w:rsidRPr="004446D2" w:rsidRDefault="00D37937" w:rsidP="008B0331">
      <w:pPr>
        <w:pStyle w:val="Textonotapie"/>
        <w:ind w:firstLine="709"/>
        <w:jc w:val="both"/>
        <w:rPr>
          <w:rFonts w:ascii="Verdana" w:hAnsi="Verdana" w:cs="Arial"/>
          <w:sz w:val="12"/>
          <w:szCs w:val="12"/>
          <w:lang w:val="es-ES"/>
        </w:rPr>
      </w:pPr>
      <w:r w:rsidRPr="004446D2">
        <w:rPr>
          <w:rStyle w:val="Refdenotaalpie"/>
          <w:rFonts w:ascii="Verdana" w:hAnsi="Verdana" w:cs="Arial"/>
          <w:sz w:val="12"/>
          <w:szCs w:val="12"/>
        </w:rPr>
        <w:footnoteRef/>
      </w:r>
      <w:r w:rsidRPr="004446D2">
        <w:rPr>
          <w:rFonts w:ascii="Verdana" w:hAnsi="Verdana" w:cs="Arial"/>
          <w:sz w:val="12"/>
          <w:szCs w:val="12"/>
        </w:rPr>
        <w:t xml:space="preserve"> </w:t>
      </w:r>
      <w:r w:rsidRPr="004446D2">
        <w:rPr>
          <w:rFonts w:ascii="Verdana" w:hAnsi="Verdana" w:cs="Arial"/>
          <w:sz w:val="12"/>
          <w:szCs w:val="12"/>
          <w:lang w:val="es-ES"/>
        </w:rPr>
        <w:t>Ibídem</w:t>
      </w:r>
    </w:p>
  </w:footnote>
  <w:footnote w:id="9">
    <w:p w14:paraId="5426B241" w14:textId="77777777" w:rsidR="00D37937" w:rsidRDefault="00D37937" w:rsidP="008B0331">
      <w:pPr>
        <w:pStyle w:val="Textonotapie"/>
        <w:ind w:firstLine="708"/>
        <w:jc w:val="both"/>
        <w:rPr>
          <w:rFonts w:ascii="Verdana" w:hAnsi="Verdana" w:cs="Arial"/>
          <w:color w:val="000000" w:themeColor="text1"/>
          <w:sz w:val="16"/>
          <w:szCs w:val="16"/>
        </w:rPr>
      </w:pPr>
      <w:r w:rsidRPr="004446D2">
        <w:rPr>
          <w:rStyle w:val="Refdenotaalpie"/>
          <w:rFonts w:ascii="Verdana" w:hAnsi="Verdana" w:cs="Arial"/>
          <w:color w:val="000000" w:themeColor="text1"/>
          <w:sz w:val="12"/>
          <w:szCs w:val="12"/>
        </w:rPr>
        <w:footnoteRef/>
      </w:r>
      <w:r w:rsidRPr="004446D2">
        <w:rPr>
          <w:rFonts w:ascii="Verdana" w:hAnsi="Verdana" w:cs="Arial"/>
          <w:color w:val="000000" w:themeColor="text1"/>
          <w:sz w:val="12"/>
          <w:szCs w:val="12"/>
        </w:rPr>
        <w:t xml:space="preserve"> Consejo de Estado. Sala de lo Contencioso Administrativo. Sección Tercera. Sentencia del 30 de abril de 2012. Expediente 21.699. C.P. Ruth Stella Correa Palacio.</w:t>
      </w:r>
      <w:r>
        <w:rPr>
          <w:rFonts w:ascii="Verdana" w:hAnsi="Verdana" w:cs="Arial"/>
          <w:color w:val="000000" w:themeColor="text1"/>
          <w:sz w:val="16"/>
          <w:szCs w:val="16"/>
        </w:rPr>
        <w:t xml:space="preserve"> </w:t>
      </w:r>
    </w:p>
  </w:footnote>
  <w:footnote w:id="10">
    <w:p w14:paraId="3DAE5AA4" w14:textId="77777777" w:rsidR="00D37937" w:rsidRPr="004446D2" w:rsidRDefault="00D37937" w:rsidP="00D010D1">
      <w:pPr>
        <w:spacing w:after="0"/>
        <w:ind w:firstLine="708"/>
        <w:jc w:val="both"/>
        <w:rPr>
          <w:rFonts w:ascii="Verdana" w:hAnsi="Verdana" w:cs="Arial"/>
          <w:color w:val="000000" w:themeColor="text1"/>
          <w:sz w:val="12"/>
          <w:szCs w:val="12"/>
        </w:rPr>
      </w:pPr>
      <w:r w:rsidRPr="004446D2">
        <w:rPr>
          <w:rStyle w:val="Refdenotaalpie"/>
          <w:rFonts w:ascii="Verdana" w:hAnsi="Verdana" w:cs="Arial"/>
          <w:color w:val="000000" w:themeColor="text1"/>
          <w:sz w:val="12"/>
          <w:szCs w:val="12"/>
        </w:rPr>
        <w:footnoteRef/>
      </w:r>
      <w:r w:rsidRPr="004446D2">
        <w:rPr>
          <w:rFonts w:ascii="Verdana" w:hAnsi="Verdana" w:cs="Arial"/>
          <w:color w:val="000000" w:themeColor="text1"/>
          <w:sz w:val="12"/>
          <w:szCs w:val="12"/>
        </w:rPr>
        <w:t xml:space="preserve"> Consejo de Estado.  Sala de lo Contencioso Administrativo. Sección Tercera. Sentencia del 19 de julio de 2018, Expediente 36.711. C.P. Carlos Alberto Zambrano Barrera.</w:t>
      </w:r>
    </w:p>
  </w:footnote>
  <w:footnote w:id="11">
    <w:p w14:paraId="64D82569" w14:textId="1DFCADFB" w:rsidR="00D37937" w:rsidRPr="004446D2" w:rsidRDefault="00D37937" w:rsidP="00D010D1">
      <w:pPr>
        <w:spacing w:after="0"/>
        <w:ind w:firstLine="708"/>
        <w:jc w:val="both"/>
        <w:rPr>
          <w:rFonts w:ascii="Verdana" w:hAnsi="Verdana" w:cs="Arial"/>
          <w:sz w:val="12"/>
          <w:szCs w:val="12"/>
        </w:rPr>
      </w:pPr>
      <w:r w:rsidRPr="004446D2">
        <w:rPr>
          <w:rStyle w:val="Refdenotaalpie"/>
          <w:rFonts w:ascii="Verdana" w:hAnsi="Verdana" w:cs="Arial"/>
          <w:color w:val="000000" w:themeColor="text1"/>
          <w:sz w:val="12"/>
          <w:szCs w:val="12"/>
        </w:rPr>
        <w:footnoteRef/>
      </w:r>
      <w:r w:rsidRPr="004446D2">
        <w:rPr>
          <w:rFonts w:ascii="Verdana" w:hAnsi="Verdana" w:cs="Arial"/>
          <w:color w:val="000000" w:themeColor="text1"/>
          <w:sz w:val="12"/>
          <w:szCs w:val="12"/>
        </w:rPr>
        <w:t xml:space="preserve"> Corte Constitucional. Sala Plena. M.P. Alfredo Beltrán Sierra. Sentencia C-183 de 2003. Expediente D-4244</w:t>
      </w:r>
      <w:r w:rsidR="008B0331" w:rsidRPr="004446D2">
        <w:rPr>
          <w:rFonts w:ascii="Verdana" w:hAnsi="Verdana" w:cs="Arial"/>
          <w:color w:val="000000" w:themeColor="text1"/>
          <w:sz w:val="12"/>
          <w:szCs w:val="12"/>
        </w:rPr>
        <w:t>.</w:t>
      </w:r>
    </w:p>
  </w:footnote>
  <w:footnote w:id="12">
    <w:p w14:paraId="53201332" w14:textId="77777777" w:rsidR="00D37937" w:rsidRPr="004446D2" w:rsidRDefault="00D37937" w:rsidP="008B0331">
      <w:pPr>
        <w:pStyle w:val="Textonotapie"/>
        <w:ind w:firstLine="709"/>
        <w:rPr>
          <w:rFonts w:ascii="Verdana" w:hAnsi="Verdana" w:cs="Times New Roman"/>
          <w:sz w:val="12"/>
          <w:szCs w:val="12"/>
          <w:lang w:val="es-CO"/>
        </w:rPr>
      </w:pPr>
      <w:r w:rsidRPr="004446D2">
        <w:rPr>
          <w:rStyle w:val="Refdenotaalpie"/>
          <w:rFonts w:ascii="Verdana" w:hAnsi="Verdana"/>
          <w:sz w:val="12"/>
          <w:szCs w:val="12"/>
        </w:rPr>
        <w:footnoteRef/>
      </w:r>
      <w:r w:rsidRPr="004446D2">
        <w:rPr>
          <w:rFonts w:ascii="Verdana" w:hAnsi="Verdana"/>
          <w:sz w:val="12"/>
          <w:szCs w:val="12"/>
        </w:rPr>
        <w:t xml:space="preserve"> e) La enajenación de bienes del Estado, con excepción de aquellos a que se refiere la Ley 226 de 1995.</w:t>
      </w:r>
    </w:p>
    <w:p w14:paraId="17FB80EA"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p>
    <w:p w14:paraId="16328795"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En todo caso, 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1EC2D009"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La enajenación de los bienes que formen parte del Fondo para la Rehabilitación, Inversión Social y Lucha contra el Crimen Organizado, Frisco, se hará por la Dirección Nacional de Estupefacientes, observando los principios del artículo 209 de la Constitución Política y la reglamentación que expida el Gobierno Nacional, teniendo en cuenta las recomendaciones que para el efecto imparta el Consejo Nacional de Estupefacientes.</w:t>
      </w:r>
    </w:p>
    <w:p w14:paraId="2FD619F5"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El Reglamento deberá determinar la forma de selección, a través de invitación pública de los profesionales inmobiliarios, que actuarán como promotores de las ventas, que a su vez, a efecto de avalúos de los bienes, se servirán de avaluadores debidamente inscritos en el Registro Nacional de Avaluadores y quienes responderán por sus actos solidariamente con los promotores.</w:t>
      </w:r>
    </w:p>
    <w:p w14:paraId="1AB90833"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Las reglas y procedimientos que deberán atender la administración y los promotores y la publicidad del proceso deberán garantizar la libre concurrencia y oportunidad de quienes participen en el mismo.</w:t>
      </w:r>
    </w:p>
    <w:p w14:paraId="07289B96" w14:textId="77777777" w:rsidR="00D37937" w:rsidRPr="004446D2" w:rsidRDefault="00D37937" w:rsidP="008B0331">
      <w:pPr>
        <w:pStyle w:val="Textonotapie"/>
        <w:ind w:firstLine="709"/>
        <w:jc w:val="both"/>
        <w:rPr>
          <w:rFonts w:ascii="Verdana" w:hAnsi="Verdana"/>
          <w:sz w:val="12"/>
          <w:szCs w:val="12"/>
        </w:rPr>
      </w:pPr>
      <w:r w:rsidRPr="004446D2">
        <w:rPr>
          <w:rFonts w:ascii="Verdana" w:hAnsi="Verdana"/>
          <w:sz w:val="12"/>
          <w:szCs w:val="12"/>
        </w:rPr>
        <w:t>Los bienes serán enajenados a través de venta directa en sobre cerrado o en pública subasta. La adjudicación para la venta directa deberá hacerse en audiencia pública, en donde se conozcan las ofertas iniciales y se efectúe un segundo ofrecimiento, frente al cual se adjudicará el bien a quien oferte el mejor precio. En la subasta pública, de acuerdo con el reglamento definido para su realización, el bien será adjudicado al mejor postor.</w:t>
      </w:r>
    </w:p>
    <w:p w14:paraId="7003303A" w14:textId="35888C83" w:rsidR="00D37937" w:rsidRDefault="00D37937" w:rsidP="008B0331">
      <w:pPr>
        <w:pStyle w:val="Textonotapie"/>
        <w:ind w:firstLine="709"/>
        <w:jc w:val="both"/>
        <w:rPr>
          <w:rFonts w:ascii="Verdana" w:hAnsi="Verdana"/>
          <w:sz w:val="16"/>
          <w:szCs w:val="16"/>
          <w:lang w:val="es-CO"/>
        </w:rPr>
      </w:pPr>
      <w:r w:rsidRPr="004446D2">
        <w:rPr>
          <w:rFonts w:ascii="Verdana" w:hAnsi="Verdana"/>
          <w:sz w:val="12"/>
          <w:szCs w:val="12"/>
        </w:rPr>
        <w:t>La venta implica la publicación previa de los bienes en un diario de amplia circulación nacional, con la determinación del precio base. El interesado en adquirir bienes deberá consignar al menos el 20% del valor base de venta para participar en la oferta</w:t>
      </w:r>
      <w:r w:rsidR="0008597B">
        <w:rPr>
          <w:rFonts w:ascii="Verdana" w:hAnsi="Verdana"/>
          <w:sz w:val="12"/>
          <w:szCs w:val="1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44251903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599892871" name="Imagen 599892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1"/>
  </w:num>
  <w:num w:numId="7" w16cid:durableId="1946422806">
    <w:abstractNumId w:val="4"/>
  </w:num>
  <w:num w:numId="8" w16cid:durableId="152644682">
    <w:abstractNumId w:val="10"/>
  </w:num>
  <w:num w:numId="9" w16cid:durableId="1317221377">
    <w:abstractNumId w:val="6"/>
  </w:num>
  <w:num w:numId="10" w16cid:durableId="1471245386">
    <w:abstractNumId w:val="9"/>
  </w:num>
  <w:num w:numId="11" w16cid:durableId="289172385">
    <w:abstractNumId w:val="7"/>
  </w:num>
  <w:num w:numId="12" w16cid:durableId="1470781324">
    <w:abstractNumId w:val="0"/>
  </w:num>
  <w:num w:numId="13" w16cid:durableId="1512908409">
    <w:abstractNumId w:val="2"/>
  </w:num>
  <w:num w:numId="14" w16cid:durableId="895897244">
    <w:abstractNumId w:val="12"/>
  </w:num>
  <w:num w:numId="15" w16cid:durableId="390349800">
    <w:abstractNumId w:val="8"/>
  </w:num>
  <w:num w:numId="16" w16cid:durableId="14606110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F9E"/>
    <w:rsid w:val="00042459"/>
    <w:rsid w:val="00046945"/>
    <w:rsid w:val="00061B2A"/>
    <w:rsid w:val="0006786A"/>
    <w:rsid w:val="00082362"/>
    <w:rsid w:val="0008597B"/>
    <w:rsid w:val="000A683E"/>
    <w:rsid w:val="000B19B9"/>
    <w:rsid w:val="000C2929"/>
    <w:rsid w:val="000C7894"/>
    <w:rsid w:val="000D0334"/>
    <w:rsid w:val="000D5DA7"/>
    <w:rsid w:val="000F6486"/>
    <w:rsid w:val="001168C1"/>
    <w:rsid w:val="00116940"/>
    <w:rsid w:val="00125105"/>
    <w:rsid w:val="00127233"/>
    <w:rsid w:val="00135409"/>
    <w:rsid w:val="00150249"/>
    <w:rsid w:val="0015699B"/>
    <w:rsid w:val="00175C5A"/>
    <w:rsid w:val="00175FA7"/>
    <w:rsid w:val="001A33BF"/>
    <w:rsid w:val="001B71AA"/>
    <w:rsid w:val="001E4177"/>
    <w:rsid w:val="001F0B24"/>
    <w:rsid w:val="001F7DC6"/>
    <w:rsid w:val="0022400B"/>
    <w:rsid w:val="00224C1C"/>
    <w:rsid w:val="002421BB"/>
    <w:rsid w:val="00257063"/>
    <w:rsid w:val="0025796E"/>
    <w:rsid w:val="002707A2"/>
    <w:rsid w:val="002951A0"/>
    <w:rsid w:val="002962BC"/>
    <w:rsid w:val="002A093D"/>
    <w:rsid w:val="002A0DD0"/>
    <w:rsid w:val="002A49AC"/>
    <w:rsid w:val="002A64FD"/>
    <w:rsid w:val="002C7A84"/>
    <w:rsid w:val="002D301B"/>
    <w:rsid w:val="002E2BF8"/>
    <w:rsid w:val="002E4FD9"/>
    <w:rsid w:val="0030657A"/>
    <w:rsid w:val="00322A85"/>
    <w:rsid w:val="00324168"/>
    <w:rsid w:val="0032651A"/>
    <w:rsid w:val="00330834"/>
    <w:rsid w:val="003448F4"/>
    <w:rsid w:val="003676BD"/>
    <w:rsid w:val="00374F5E"/>
    <w:rsid w:val="00377E3E"/>
    <w:rsid w:val="0038377E"/>
    <w:rsid w:val="003A779E"/>
    <w:rsid w:val="003B7D59"/>
    <w:rsid w:val="003C308F"/>
    <w:rsid w:val="003D0F4D"/>
    <w:rsid w:val="003D5B0D"/>
    <w:rsid w:val="003E0499"/>
    <w:rsid w:val="003E2048"/>
    <w:rsid w:val="003E4F80"/>
    <w:rsid w:val="003E6439"/>
    <w:rsid w:val="003F3941"/>
    <w:rsid w:val="00406575"/>
    <w:rsid w:val="00414C74"/>
    <w:rsid w:val="00417B5B"/>
    <w:rsid w:val="00422006"/>
    <w:rsid w:val="0042722E"/>
    <w:rsid w:val="004446D2"/>
    <w:rsid w:val="0044528D"/>
    <w:rsid w:val="00466E39"/>
    <w:rsid w:val="004A1847"/>
    <w:rsid w:val="004A305D"/>
    <w:rsid w:val="004A7C62"/>
    <w:rsid w:val="004D4894"/>
    <w:rsid w:val="004E3715"/>
    <w:rsid w:val="004F21C4"/>
    <w:rsid w:val="004F685F"/>
    <w:rsid w:val="00552A32"/>
    <w:rsid w:val="005566E8"/>
    <w:rsid w:val="00557C83"/>
    <w:rsid w:val="00574867"/>
    <w:rsid w:val="00591460"/>
    <w:rsid w:val="005A65E0"/>
    <w:rsid w:val="005C3777"/>
    <w:rsid w:val="005C5CDC"/>
    <w:rsid w:val="005D476C"/>
    <w:rsid w:val="00605659"/>
    <w:rsid w:val="00605A71"/>
    <w:rsid w:val="006200BF"/>
    <w:rsid w:val="006219F8"/>
    <w:rsid w:val="006302F7"/>
    <w:rsid w:val="00630506"/>
    <w:rsid w:val="006335D1"/>
    <w:rsid w:val="00646B9F"/>
    <w:rsid w:val="00665D70"/>
    <w:rsid w:val="006900D9"/>
    <w:rsid w:val="00693DDF"/>
    <w:rsid w:val="006C7AC4"/>
    <w:rsid w:val="00706C16"/>
    <w:rsid w:val="00710BF3"/>
    <w:rsid w:val="007340C3"/>
    <w:rsid w:val="0075235A"/>
    <w:rsid w:val="007536C4"/>
    <w:rsid w:val="00756841"/>
    <w:rsid w:val="007649AB"/>
    <w:rsid w:val="00771D0C"/>
    <w:rsid w:val="007833AC"/>
    <w:rsid w:val="007B268C"/>
    <w:rsid w:val="007B7171"/>
    <w:rsid w:val="007C0C0F"/>
    <w:rsid w:val="007C3DC2"/>
    <w:rsid w:val="007E5497"/>
    <w:rsid w:val="007F0C26"/>
    <w:rsid w:val="00803025"/>
    <w:rsid w:val="008042CE"/>
    <w:rsid w:val="00806F5F"/>
    <w:rsid w:val="00820278"/>
    <w:rsid w:val="008258C9"/>
    <w:rsid w:val="00844AE9"/>
    <w:rsid w:val="00852AAA"/>
    <w:rsid w:val="008534AC"/>
    <w:rsid w:val="00867F95"/>
    <w:rsid w:val="008732A5"/>
    <w:rsid w:val="008843B6"/>
    <w:rsid w:val="00891928"/>
    <w:rsid w:val="008A446D"/>
    <w:rsid w:val="008B0331"/>
    <w:rsid w:val="008B18B3"/>
    <w:rsid w:val="008B25F1"/>
    <w:rsid w:val="008B7509"/>
    <w:rsid w:val="008D180B"/>
    <w:rsid w:val="008F0EA7"/>
    <w:rsid w:val="00910A4B"/>
    <w:rsid w:val="009148F3"/>
    <w:rsid w:val="00923EEF"/>
    <w:rsid w:val="009419F9"/>
    <w:rsid w:val="0095297B"/>
    <w:rsid w:val="0095685E"/>
    <w:rsid w:val="00961B09"/>
    <w:rsid w:val="00965334"/>
    <w:rsid w:val="0097093E"/>
    <w:rsid w:val="0098735D"/>
    <w:rsid w:val="009951E7"/>
    <w:rsid w:val="009A0DFA"/>
    <w:rsid w:val="009A1C6F"/>
    <w:rsid w:val="009B2D26"/>
    <w:rsid w:val="009B7BBA"/>
    <w:rsid w:val="009C141D"/>
    <w:rsid w:val="009C71FA"/>
    <w:rsid w:val="009C72E7"/>
    <w:rsid w:val="009C7F7E"/>
    <w:rsid w:val="009D3058"/>
    <w:rsid w:val="009F3A13"/>
    <w:rsid w:val="00A122D3"/>
    <w:rsid w:val="00A14468"/>
    <w:rsid w:val="00A17F13"/>
    <w:rsid w:val="00A20739"/>
    <w:rsid w:val="00A23AF9"/>
    <w:rsid w:val="00A33C78"/>
    <w:rsid w:val="00A751A1"/>
    <w:rsid w:val="00A85FD5"/>
    <w:rsid w:val="00AB0ADB"/>
    <w:rsid w:val="00AD539A"/>
    <w:rsid w:val="00AF649C"/>
    <w:rsid w:val="00AF6574"/>
    <w:rsid w:val="00B00C0E"/>
    <w:rsid w:val="00B01B1A"/>
    <w:rsid w:val="00B0381D"/>
    <w:rsid w:val="00B13FA5"/>
    <w:rsid w:val="00B1649D"/>
    <w:rsid w:val="00B33BCA"/>
    <w:rsid w:val="00B44A47"/>
    <w:rsid w:val="00B466E6"/>
    <w:rsid w:val="00B72CD3"/>
    <w:rsid w:val="00B72FFF"/>
    <w:rsid w:val="00B93695"/>
    <w:rsid w:val="00BC3D36"/>
    <w:rsid w:val="00BD54A6"/>
    <w:rsid w:val="00BD7F72"/>
    <w:rsid w:val="00BF7425"/>
    <w:rsid w:val="00C04FB3"/>
    <w:rsid w:val="00C11D8B"/>
    <w:rsid w:val="00C15139"/>
    <w:rsid w:val="00C17EE6"/>
    <w:rsid w:val="00C21DDB"/>
    <w:rsid w:val="00C330EB"/>
    <w:rsid w:val="00C50D69"/>
    <w:rsid w:val="00C5365C"/>
    <w:rsid w:val="00C754BE"/>
    <w:rsid w:val="00C76B1C"/>
    <w:rsid w:val="00C925AC"/>
    <w:rsid w:val="00CB6357"/>
    <w:rsid w:val="00CC1B26"/>
    <w:rsid w:val="00CF577F"/>
    <w:rsid w:val="00CF7285"/>
    <w:rsid w:val="00D010D1"/>
    <w:rsid w:val="00D2642B"/>
    <w:rsid w:val="00D35D65"/>
    <w:rsid w:val="00D361FD"/>
    <w:rsid w:val="00D37937"/>
    <w:rsid w:val="00D4076D"/>
    <w:rsid w:val="00D423A2"/>
    <w:rsid w:val="00D44E26"/>
    <w:rsid w:val="00D46135"/>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6FC1"/>
    <w:rsid w:val="00E8772A"/>
    <w:rsid w:val="00E90F6B"/>
    <w:rsid w:val="00E92C27"/>
    <w:rsid w:val="00E934C4"/>
    <w:rsid w:val="00EA0E3D"/>
    <w:rsid w:val="00EC38A7"/>
    <w:rsid w:val="00EE1AA8"/>
    <w:rsid w:val="00F23FEA"/>
    <w:rsid w:val="00F31EDC"/>
    <w:rsid w:val="00F326BF"/>
    <w:rsid w:val="00F462B3"/>
    <w:rsid w:val="00F5664F"/>
    <w:rsid w:val="00F666C4"/>
    <w:rsid w:val="00F71BCB"/>
    <w:rsid w:val="00F76AFC"/>
    <w:rsid w:val="00FA47C0"/>
    <w:rsid w:val="00FB5DD1"/>
    <w:rsid w:val="00FC2B5D"/>
    <w:rsid w:val="00FD0386"/>
    <w:rsid w:val="00FE7B21"/>
    <w:rsid w:val="00FF1449"/>
    <w:rsid w:val="00FF7963"/>
    <w:rsid w:val="09908A09"/>
    <w:rsid w:val="13CFC91B"/>
    <w:rsid w:val="19A2EC2C"/>
    <w:rsid w:val="2859CA1B"/>
    <w:rsid w:val="32A4F9CF"/>
    <w:rsid w:val="356CEDFD"/>
    <w:rsid w:val="69614A15"/>
    <w:rsid w:val="77E5A2FA"/>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307A411-3081-4D45-B7DB-EACB568F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10A4B"/>
    <w:pPr>
      <w:spacing w:line="240" w:lineRule="exact"/>
    </w:pPr>
    <w:rPr>
      <w:vertAlign w:val="superscript"/>
    </w:rPr>
  </w:style>
  <w:style w:type="table" w:customStyle="1" w:styleId="Tablaconcuadrcula1">
    <w:name w:val="Tabla con cuadrícula1"/>
    <w:basedOn w:val="Tablanormal"/>
    <w:next w:val="Tablaconcuadrcula"/>
    <w:uiPriority w:val="39"/>
    <w:qFormat/>
    <w:rsid w:val="00910A4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10A4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2431" TargetMode="External"/><Relationship Id="rId18" Type="http://schemas.openxmlformats.org/officeDocument/2006/relationships/hyperlink" Target="https://www.funcionpublica.gov.co/eva/gestornormativo/norma.php?i=56408"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6050" TargetMode="External"/><Relationship Id="rId17" Type="http://schemas.openxmlformats.org/officeDocument/2006/relationships/hyperlink" Target="https://www.funcionpublica.gov.co/eva/gestornormativo/norma.php?i=4310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funcionpublica.gov.co/eva/gestornormativo/norma.php?i=22431"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317"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funcionpublica.gov.co/eva/gestornormativo/norma.php?i=6050" TargetMode="External"/><Relationship Id="rId23"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hyperlink" Target="https://relatoria.colombiacompra.gov.co/busqueda/concept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317"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380AB00-1D3E-4E68-AD37-53FA2E484A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15</Pages>
  <Words>4645</Words>
  <Characters>24341</Characters>
  <Application>Microsoft Office Word</Application>
  <DocSecurity>0</DocSecurity>
  <Lines>507</Lines>
  <Paragraphs>102</Paragraphs>
  <ScaleCrop>false</ScaleCrop>
  <Company/>
  <LinksUpToDate>false</LinksUpToDate>
  <CharactersWithSpaces>28884</CharactersWithSpaces>
  <SharedDoc>false</SharedDoc>
  <HLinks>
    <vt:vector size="72" baseType="variant">
      <vt:variant>
        <vt:i4>4456513</vt:i4>
      </vt:variant>
      <vt:variant>
        <vt:i4>33</vt:i4>
      </vt:variant>
      <vt:variant>
        <vt:i4>0</vt:i4>
      </vt:variant>
      <vt:variant>
        <vt:i4>5</vt:i4>
      </vt:variant>
      <vt:variant>
        <vt:lpwstr>https://forms.office.com/r/pPHyWVs2SZ</vt:lpwstr>
      </vt:variant>
      <vt:variant>
        <vt:lpwstr/>
      </vt:variant>
      <vt:variant>
        <vt:i4>3407926</vt:i4>
      </vt:variant>
      <vt:variant>
        <vt:i4>30</vt:i4>
      </vt:variant>
      <vt:variant>
        <vt:i4>0</vt:i4>
      </vt:variant>
      <vt:variant>
        <vt:i4>5</vt:i4>
      </vt:variant>
      <vt:variant>
        <vt:lpwstr>https://www.colombiacompra.gov.co/pqrsd/informacion-importante-antes-de-formular-una-pqrsd</vt:lpwstr>
      </vt:variant>
      <vt:variant>
        <vt:lpwstr/>
      </vt:variant>
      <vt:variant>
        <vt:i4>4980779</vt:i4>
      </vt:variant>
      <vt:variant>
        <vt:i4>27</vt:i4>
      </vt:variant>
      <vt:variant>
        <vt:i4>0</vt:i4>
      </vt:variant>
      <vt:variant>
        <vt:i4>5</vt:i4>
      </vt:variant>
      <vt:variant>
        <vt:lpwstr>mailto:ventanilladeradicacion@colombiacompra.gov.co</vt:lpwstr>
      </vt:variant>
      <vt:variant>
        <vt:lpwstr/>
      </vt:variant>
      <vt:variant>
        <vt:i4>7471218</vt:i4>
      </vt:variant>
      <vt:variant>
        <vt:i4>24</vt:i4>
      </vt:variant>
      <vt:variant>
        <vt:i4>0</vt:i4>
      </vt:variant>
      <vt:variant>
        <vt:i4>5</vt:i4>
      </vt:variant>
      <vt:variant>
        <vt:lpwstr>https://relatoria.colombiacompra.gov.co/busqueda/conceptos</vt:lpwstr>
      </vt:variant>
      <vt:variant>
        <vt:lpwstr/>
      </vt:variant>
      <vt:variant>
        <vt:i4>2293780</vt:i4>
      </vt:variant>
      <vt:variant>
        <vt:i4>21</vt:i4>
      </vt:variant>
      <vt:variant>
        <vt:i4>0</vt:i4>
      </vt:variant>
      <vt:variant>
        <vt:i4>5</vt:i4>
      </vt:variant>
      <vt:variant>
        <vt:lpwstr>https://www.funcionpublica.gov.co/eva/gestornormativo/norma.php?i=56408</vt:lpwstr>
      </vt:variant>
      <vt:variant>
        <vt:lpwstr>0</vt:lpwstr>
      </vt:variant>
      <vt:variant>
        <vt:i4>1376274</vt:i4>
      </vt:variant>
      <vt:variant>
        <vt:i4>18</vt:i4>
      </vt:variant>
      <vt:variant>
        <vt:i4>0</vt:i4>
      </vt:variant>
      <vt:variant>
        <vt:i4>5</vt:i4>
      </vt:variant>
      <vt:variant>
        <vt:lpwstr>https://www.funcionpublica.gov.co/eva/gestornormativo/norma.php?i=43101</vt:lpwstr>
      </vt:variant>
      <vt:variant>
        <vt:lpwstr>238</vt:lpwstr>
      </vt:variant>
      <vt:variant>
        <vt:i4>2359315</vt:i4>
      </vt:variant>
      <vt:variant>
        <vt:i4>15</vt:i4>
      </vt:variant>
      <vt:variant>
        <vt:i4>0</vt:i4>
      </vt:variant>
      <vt:variant>
        <vt:i4>5</vt:i4>
      </vt:variant>
      <vt:variant>
        <vt:lpwstr>https://www.funcionpublica.gov.co/eva/gestornormativo/norma.php?i=22431</vt:lpwstr>
      </vt:variant>
      <vt:variant>
        <vt:lpwstr>0</vt:lpwstr>
      </vt:variant>
      <vt:variant>
        <vt:i4>2424854</vt:i4>
      </vt:variant>
      <vt:variant>
        <vt:i4>12</vt:i4>
      </vt:variant>
      <vt:variant>
        <vt:i4>0</vt:i4>
      </vt:variant>
      <vt:variant>
        <vt:i4>5</vt:i4>
      </vt:variant>
      <vt:variant>
        <vt:lpwstr>https://www.funcionpublica.gov.co/eva/gestornormativo/norma.php?i=6050</vt:lpwstr>
      </vt:variant>
      <vt:variant>
        <vt:lpwstr>0</vt:lpwstr>
      </vt:variant>
      <vt:variant>
        <vt:i4>1310758</vt:i4>
      </vt:variant>
      <vt:variant>
        <vt:i4>9</vt:i4>
      </vt:variant>
      <vt:variant>
        <vt:i4>0</vt:i4>
      </vt:variant>
      <vt:variant>
        <vt:i4>5</vt:i4>
      </vt:variant>
      <vt:variant>
        <vt:lpwstr>https://www.funcionpublica.gov.co/eva/gestornormativo/norma.php?i=317</vt:lpwstr>
      </vt:variant>
      <vt:variant>
        <vt:lpwstr>0</vt:lpwstr>
      </vt:variant>
      <vt:variant>
        <vt:i4>2359315</vt:i4>
      </vt:variant>
      <vt:variant>
        <vt:i4>6</vt:i4>
      </vt:variant>
      <vt:variant>
        <vt:i4>0</vt:i4>
      </vt:variant>
      <vt:variant>
        <vt:i4>5</vt:i4>
      </vt:variant>
      <vt:variant>
        <vt:lpwstr>https://www.funcionpublica.gov.co/eva/gestornormativo/norma.php?i=22431</vt:lpwstr>
      </vt:variant>
      <vt:variant>
        <vt:lpwstr>0</vt:lpwstr>
      </vt:variant>
      <vt:variant>
        <vt:i4>2424854</vt:i4>
      </vt:variant>
      <vt:variant>
        <vt:i4>3</vt:i4>
      </vt:variant>
      <vt:variant>
        <vt:i4>0</vt:i4>
      </vt:variant>
      <vt:variant>
        <vt:i4>5</vt:i4>
      </vt:variant>
      <vt:variant>
        <vt:lpwstr>https://www.funcionpublica.gov.co/eva/gestornormativo/norma.php?i=6050</vt:lpwstr>
      </vt:variant>
      <vt:variant>
        <vt:lpwstr>0</vt:lpwstr>
      </vt:variant>
      <vt:variant>
        <vt:i4>1310758</vt:i4>
      </vt:variant>
      <vt:variant>
        <vt:i4>0</vt:i4>
      </vt:variant>
      <vt:variant>
        <vt:i4>0</vt:i4>
      </vt:variant>
      <vt:variant>
        <vt:i4>5</vt:i4>
      </vt:variant>
      <vt:variant>
        <vt:lpwstr>https://www.funcionpublica.gov.co/eva/gestornormativo/norma.php?i=317</vt:lpwstr>
      </vt:variant>
      <vt:variant>
        <vt:lpwstr>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83</cp:revision>
  <cp:lastPrinted>2023-01-11T00:18:00Z</cp:lastPrinted>
  <dcterms:created xsi:type="dcterms:W3CDTF">2025-08-19T15:43:00Z</dcterms:created>
  <dcterms:modified xsi:type="dcterms:W3CDTF">2025-12-19T23:17:00Z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