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EE9AF" w14:textId="77777777" w:rsidR="00404EF2" w:rsidRDefault="00404EF2" w:rsidP="00404EF2">
      <w:pPr>
        <w:contextualSpacing/>
        <w:jc w:val="both"/>
        <w:rPr>
          <w:rFonts w:ascii="Verdana" w:eastAsia="Calibri" w:hAnsi="Verdana" w:cs="Arial"/>
          <w:b/>
          <w:bCs/>
          <w:color w:val="000000" w:themeColor="text1"/>
          <w:szCs w:val="24"/>
          <w:lang w:val="es-ES" w:eastAsia="es-ES_tradnl"/>
        </w:rPr>
      </w:pPr>
      <w:bookmarkStart w:id="0" w:name="_Hlk143780582"/>
      <w:bookmarkStart w:id="1" w:name="_Hlk214366482"/>
      <w:r w:rsidRPr="00404EF2">
        <w:rPr>
          <w:rFonts w:ascii="Verdana" w:eastAsia="Calibri" w:hAnsi="Verdana" w:cs="Arial"/>
          <w:b/>
          <w:bCs/>
          <w:color w:val="000000" w:themeColor="text1"/>
          <w:szCs w:val="24"/>
          <w:lang w:val="es-ES" w:eastAsia="es-ES_tradnl"/>
        </w:rPr>
        <w:t xml:space="preserve">ANTICIPO – Regulación normativa </w:t>
      </w:r>
    </w:p>
    <w:p w14:paraId="5A326428" w14:textId="77777777" w:rsidR="00404EF2" w:rsidRPr="005545BA" w:rsidRDefault="00404EF2" w:rsidP="005545BA">
      <w:pPr>
        <w:spacing w:after="0" w:line="240" w:lineRule="auto"/>
        <w:contextualSpacing/>
        <w:jc w:val="both"/>
        <w:rPr>
          <w:rFonts w:ascii="Verdana" w:eastAsia="Calibri" w:hAnsi="Verdana" w:cs="Arial"/>
          <w:b/>
          <w:bCs/>
          <w:color w:val="000000" w:themeColor="text1"/>
          <w:sz w:val="20"/>
          <w:szCs w:val="20"/>
          <w:lang w:val="es-ES" w:eastAsia="es-ES_tradnl"/>
        </w:rPr>
      </w:pPr>
    </w:p>
    <w:p w14:paraId="7EEF7953" w14:textId="77777777" w:rsidR="005545BA" w:rsidRDefault="005545BA" w:rsidP="005545BA">
      <w:pPr>
        <w:tabs>
          <w:tab w:val="left" w:pos="0"/>
        </w:tabs>
        <w:spacing w:after="0" w:line="240" w:lineRule="auto"/>
        <w:jc w:val="both"/>
        <w:rPr>
          <w:rFonts w:ascii="Verdana" w:hAnsi="Verdana" w:cs="Arial"/>
          <w:color w:val="000000" w:themeColor="text1"/>
          <w:sz w:val="20"/>
          <w:szCs w:val="20"/>
        </w:rPr>
      </w:pPr>
      <w:r w:rsidRPr="005545BA">
        <w:rPr>
          <w:rFonts w:ascii="Verdana" w:eastAsia="Calibri" w:hAnsi="Verdana" w:cs="Arial"/>
          <w:color w:val="000000"/>
          <w:sz w:val="20"/>
          <w:szCs w:val="20"/>
          <w:lang w:eastAsia="en-GB"/>
        </w:rPr>
        <w:t>En materia de contratación pública, la figura del anticipo está prevista en dos (2) normas: el</w:t>
      </w:r>
      <w:r w:rsidRPr="005545BA">
        <w:rPr>
          <w:rFonts w:ascii="Verdana" w:hAnsi="Verdana" w:cs="Arial"/>
          <w:color w:val="000000" w:themeColor="text1"/>
          <w:sz w:val="20"/>
          <w:szCs w:val="20"/>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En los contratos que celebren las entidades estatales se podrá pactar el pago anticipado y la entrega de anticipos, pero su monto no podrá exceder del cincuenta por ciento (50%) del valor del respectivo contrato</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 xml:space="preserve">. </w:t>
      </w:r>
    </w:p>
    <w:p w14:paraId="78671963" w14:textId="77777777" w:rsidR="005545BA" w:rsidRDefault="005545BA" w:rsidP="005545BA">
      <w:pPr>
        <w:tabs>
          <w:tab w:val="left" w:pos="0"/>
        </w:tabs>
        <w:spacing w:after="0" w:line="240" w:lineRule="auto"/>
        <w:jc w:val="both"/>
        <w:rPr>
          <w:rFonts w:ascii="Verdana" w:hAnsi="Verdana" w:cs="Arial"/>
          <w:color w:val="000000" w:themeColor="text1"/>
          <w:sz w:val="20"/>
          <w:szCs w:val="20"/>
        </w:rPr>
      </w:pPr>
    </w:p>
    <w:p w14:paraId="606E00C4" w14:textId="440E6C8C" w:rsidR="005545BA" w:rsidRPr="005545BA" w:rsidRDefault="005545BA" w:rsidP="005545BA">
      <w:pPr>
        <w:tabs>
          <w:tab w:val="left" w:pos="0"/>
        </w:tabs>
        <w:spacing w:after="0" w:line="240" w:lineRule="auto"/>
        <w:jc w:val="both"/>
        <w:rPr>
          <w:rFonts w:ascii="Verdana" w:hAnsi="Verdana" w:cs="Arial"/>
          <w:color w:val="000000" w:themeColor="text1"/>
          <w:sz w:val="20"/>
          <w:szCs w:val="20"/>
        </w:rPr>
      </w:pPr>
      <w:r w:rsidRPr="005545BA">
        <w:rPr>
          <w:rFonts w:ascii="Verdana" w:hAnsi="Verdana" w:cs="Arial"/>
          <w:color w:val="000000" w:themeColor="text1"/>
          <w:sz w:val="20"/>
          <w:szCs w:val="20"/>
        </w:rPr>
        <w:t xml:space="preserve">Por su parte, </w:t>
      </w:r>
      <w:r w:rsidRPr="005545BA">
        <w:rPr>
          <w:rFonts w:ascii="Verdana" w:hAnsi="Verdana" w:cs="Arial"/>
          <w:color w:val="000000" w:themeColor="text1"/>
          <w:sz w:val="20"/>
          <w:szCs w:val="20"/>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326D28">
        <w:rPr>
          <w:rFonts w:ascii="Verdana" w:hAnsi="Verdana" w:cs="Arial"/>
          <w:color w:val="000000" w:themeColor="text1"/>
          <w:lang w:val="es-ES"/>
        </w:rPr>
        <w:t>.</w:t>
      </w:r>
    </w:p>
    <w:p w14:paraId="4308F40B" w14:textId="77777777" w:rsidR="00404EF2" w:rsidRPr="005545BA" w:rsidRDefault="00404EF2" w:rsidP="00404EF2">
      <w:pPr>
        <w:spacing w:after="0" w:line="240" w:lineRule="auto"/>
        <w:contextualSpacing/>
        <w:jc w:val="both"/>
        <w:rPr>
          <w:rFonts w:ascii="Verdana" w:eastAsia="Calibri" w:hAnsi="Verdana" w:cs="Arial"/>
          <w:b/>
          <w:bCs/>
          <w:color w:val="000000" w:themeColor="text1"/>
          <w:szCs w:val="24"/>
          <w:lang w:eastAsia="es-ES_tradnl"/>
        </w:rPr>
      </w:pPr>
    </w:p>
    <w:p w14:paraId="6C5E3883" w14:textId="1D64E745" w:rsidR="00404EF2" w:rsidRPr="00404EF2" w:rsidRDefault="00404EF2" w:rsidP="00404EF2">
      <w:pPr>
        <w:spacing w:after="0" w:line="240" w:lineRule="auto"/>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ANTICIPO – Definición jurisprudencial </w:t>
      </w:r>
    </w:p>
    <w:p w14:paraId="7802C5A3" w14:textId="77777777" w:rsidR="00404EF2" w:rsidRPr="00404EF2" w:rsidRDefault="00404EF2" w:rsidP="00404EF2">
      <w:pPr>
        <w:spacing w:after="0" w:line="240" w:lineRule="auto"/>
        <w:contextualSpacing/>
        <w:jc w:val="both"/>
        <w:rPr>
          <w:rFonts w:ascii="Verdana" w:eastAsia="Calibri" w:hAnsi="Verdana" w:cs="Arial"/>
          <w:color w:val="000000" w:themeColor="text1"/>
          <w:sz w:val="20"/>
          <w:szCs w:val="20"/>
          <w:lang w:val="es-ES" w:eastAsia="es-ES_tradnl"/>
        </w:rPr>
      </w:pPr>
    </w:p>
    <w:p w14:paraId="0377E12C" w14:textId="2DE4A6D7" w:rsidR="00404EF2" w:rsidRPr="00404EF2" w:rsidRDefault="00404EF2" w:rsidP="00404EF2">
      <w:pPr>
        <w:tabs>
          <w:tab w:val="left" w:pos="0"/>
        </w:tabs>
        <w:spacing w:after="0" w:line="240" w:lineRule="auto"/>
        <w:jc w:val="both"/>
        <w:rPr>
          <w:rFonts w:ascii="Verdana" w:eastAsia="Calibri" w:hAnsi="Verdana" w:cs="Arial"/>
          <w:sz w:val="20"/>
          <w:szCs w:val="20"/>
          <w:vertAlign w:val="superscript"/>
        </w:rPr>
      </w:pPr>
      <w:r w:rsidRPr="00404EF2">
        <w:rPr>
          <w:rFonts w:ascii="Verdana" w:eastAsia="Calibri" w:hAnsi="Verdana" w:cs="Arial"/>
          <w:sz w:val="20"/>
          <w:szCs w:val="20"/>
        </w:rPr>
        <w:t xml:space="preserve">[…] el Consejo de Estado ha precisado su naturaleza jurídica fijando parámetros para su aplicación. Dicha Corporación se ha referido  al anticipo como </w:t>
      </w:r>
      <w:r w:rsidRPr="00404EF2">
        <w:rPr>
          <w:rFonts w:ascii="Verdana" w:eastAsia="Calibri" w:hAnsi="Verdana" w:cs="Arial"/>
          <w:color w:val="000000" w:themeColor="text1"/>
          <w:sz w:val="20"/>
          <w:szCs w:val="20"/>
          <w:lang w:val="es-ES"/>
        </w:rPr>
        <w:t>“</w:t>
      </w:r>
      <w:r w:rsidRPr="00404EF2">
        <w:rPr>
          <w:rFonts w:ascii="Verdana" w:eastAsia="Calibri" w:hAnsi="Verdana" w:cs="Arial"/>
          <w:sz w:val="20"/>
          <w:szCs w:val="20"/>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404EF2">
        <w:rPr>
          <w:rFonts w:ascii="Verdana" w:eastAsia="Calibri" w:hAnsi="Verdana" w:cs="Arial"/>
          <w:color w:val="000000" w:themeColor="text1"/>
          <w:sz w:val="20"/>
          <w:szCs w:val="20"/>
          <w:lang w:val="es-ES"/>
        </w:rPr>
        <w:t>”.</w:t>
      </w:r>
    </w:p>
    <w:p w14:paraId="15BCB4FC" w14:textId="77777777" w:rsidR="00404EF2" w:rsidRPr="00404EF2" w:rsidRDefault="00404EF2" w:rsidP="00404EF2">
      <w:pPr>
        <w:contextualSpacing/>
        <w:jc w:val="both"/>
        <w:rPr>
          <w:rFonts w:ascii="Verdana" w:eastAsia="Calibri" w:hAnsi="Verdana" w:cs="Arial"/>
          <w:color w:val="000000" w:themeColor="text1"/>
          <w:szCs w:val="24"/>
          <w:lang w:eastAsia="es-ES_tradnl"/>
        </w:rPr>
      </w:pPr>
    </w:p>
    <w:p w14:paraId="5D9BCF38" w14:textId="0A45BDD7" w:rsidR="00404EF2" w:rsidRPr="00404EF2" w:rsidRDefault="00404EF2" w:rsidP="00404EF2">
      <w:pPr>
        <w:spacing w:after="0" w:line="240" w:lineRule="auto"/>
        <w:contextualSpacing/>
        <w:jc w:val="both"/>
        <w:rPr>
          <w:rFonts w:ascii="Verdana" w:eastAsia="Calibri" w:hAnsi="Verdana" w:cs="Arial"/>
          <w:color w:val="000000" w:themeColor="text1"/>
          <w:sz w:val="20"/>
          <w:szCs w:val="20"/>
          <w:lang w:val="es-ES" w:eastAsia="es-ES_tradnl"/>
        </w:rPr>
      </w:pPr>
      <w:r w:rsidRPr="00404EF2">
        <w:rPr>
          <w:rFonts w:ascii="Verdana" w:eastAsia="Calibri" w:hAnsi="Verdana" w:cs="Arial"/>
          <w:color w:val="000000" w:themeColor="text1"/>
          <w:sz w:val="20"/>
          <w:szCs w:val="20"/>
          <w:lang w:val="es-ES" w:eastAsia="es-ES_tradnl"/>
        </w:rPr>
        <w:t xml:space="preserve">[…] </w:t>
      </w:r>
    </w:p>
    <w:p w14:paraId="368C9F32" w14:textId="77777777" w:rsidR="00404EF2" w:rsidRPr="00404EF2" w:rsidRDefault="00404EF2" w:rsidP="00404EF2">
      <w:pPr>
        <w:spacing w:after="0" w:line="240" w:lineRule="auto"/>
        <w:contextualSpacing/>
        <w:jc w:val="both"/>
        <w:rPr>
          <w:rFonts w:ascii="Verdana" w:eastAsia="Calibri" w:hAnsi="Verdana" w:cs="Arial"/>
          <w:color w:val="000000" w:themeColor="text1"/>
          <w:sz w:val="20"/>
          <w:szCs w:val="20"/>
          <w:lang w:val="es-ES" w:eastAsia="es-ES_tradnl"/>
        </w:rPr>
      </w:pPr>
    </w:p>
    <w:p w14:paraId="66CA8B99" w14:textId="7EB0790E" w:rsidR="00404EF2" w:rsidRPr="00404EF2" w:rsidRDefault="00404EF2" w:rsidP="00404EF2">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r w:rsidRPr="00404EF2">
        <w:rPr>
          <w:rFonts w:ascii="Verdana" w:eastAsia="Calibri" w:hAnsi="Verdana" w:cs="Arial"/>
          <w:color w:val="000000" w:themeColor="text1"/>
          <w:sz w:val="20"/>
          <w:szCs w:val="20"/>
        </w:rPr>
        <w:t xml:space="preserve">el anticipo es </w:t>
      </w:r>
      <w:r w:rsidRPr="00404EF2">
        <w:rPr>
          <w:rFonts w:ascii="Verdana" w:eastAsia="Calibri" w:hAnsi="Verdana" w:cs="Arial"/>
          <w:sz w:val="20"/>
          <w:szCs w:val="20"/>
        </w:rPr>
        <w:t xml:space="preserve">aquella suma de dinero entregada al contratista con la finalidad de apalancarlo financieramente para solventar los costos iniciales de la ejecución del contrato. Este dinero debe amortizarse </w:t>
      </w:r>
      <w:proofErr w:type="gramStart"/>
      <w:r w:rsidRPr="00404EF2">
        <w:rPr>
          <w:rFonts w:ascii="Verdana" w:eastAsia="Calibri" w:hAnsi="Verdana" w:cs="Arial"/>
          <w:sz w:val="20"/>
          <w:szCs w:val="20"/>
        </w:rPr>
        <w:t>de acuerdo al</w:t>
      </w:r>
      <w:proofErr w:type="gramEnd"/>
      <w:r w:rsidRPr="00404EF2">
        <w:rPr>
          <w:rFonts w:ascii="Verdana" w:eastAsia="Calibri" w:hAnsi="Verdana" w:cs="Arial"/>
          <w:sz w:val="20"/>
          <w:szCs w:val="20"/>
        </w:rPr>
        <w:t xml:space="preserve"> avance en la ejecución de la obra o del servicio. De esta forma, los recursos entregados a título de anticipo son del erario, razón por la que debe garantizarse su buen manejo y correcta inversión.</w:t>
      </w:r>
    </w:p>
    <w:p w14:paraId="3E553B23" w14:textId="77777777" w:rsidR="00404EF2" w:rsidRPr="00404EF2" w:rsidRDefault="00404EF2" w:rsidP="00404EF2">
      <w:pPr>
        <w:spacing w:after="0" w:line="240" w:lineRule="auto"/>
        <w:contextualSpacing/>
        <w:jc w:val="both"/>
        <w:rPr>
          <w:rFonts w:ascii="Verdana" w:eastAsia="Calibri" w:hAnsi="Verdana" w:cs="Arial"/>
          <w:b/>
          <w:bCs/>
          <w:color w:val="000000" w:themeColor="text1"/>
          <w:szCs w:val="24"/>
          <w:lang w:eastAsia="es-ES_tradnl"/>
        </w:rPr>
      </w:pPr>
    </w:p>
    <w:p w14:paraId="38326B84" w14:textId="28282BB2" w:rsidR="00404EF2" w:rsidRDefault="00404EF2" w:rsidP="00404EF2">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ANTICIPO – Autonomía de la voluntad – Derechos y obligaciones recíprocos </w:t>
      </w:r>
    </w:p>
    <w:p w14:paraId="187AF0A1" w14:textId="77777777" w:rsidR="00472818" w:rsidRDefault="00472818" w:rsidP="00404EF2">
      <w:pPr>
        <w:contextualSpacing/>
        <w:jc w:val="both"/>
        <w:rPr>
          <w:rFonts w:ascii="Verdana" w:eastAsia="Calibri" w:hAnsi="Verdana" w:cs="Arial"/>
          <w:b/>
          <w:bCs/>
          <w:color w:val="000000" w:themeColor="text1"/>
          <w:szCs w:val="24"/>
          <w:lang w:val="es-ES" w:eastAsia="es-ES_tradnl"/>
        </w:rPr>
      </w:pPr>
    </w:p>
    <w:p w14:paraId="799DF7C8" w14:textId="0D3CC8CE" w:rsidR="00472818" w:rsidRDefault="00472818" w:rsidP="00404EF2">
      <w:pPr>
        <w:contextualSpacing/>
        <w:jc w:val="both"/>
        <w:rPr>
          <w:rFonts w:ascii="Verdana" w:eastAsia="Calibri" w:hAnsi="Verdana" w:cs="Arial"/>
          <w:color w:val="000000" w:themeColor="text1"/>
          <w:sz w:val="20"/>
          <w:szCs w:val="20"/>
        </w:rPr>
      </w:pPr>
      <w:r w:rsidRPr="00472818">
        <w:rPr>
          <w:rFonts w:ascii="Verdana" w:eastAsia="Calibri" w:hAnsi="Verdana" w:cs="Arial"/>
          <w:color w:val="000000" w:themeColor="text1"/>
          <w:sz w:val="20"/>
          <w:szCs w:val="20"/>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w:t>
      </w:r>
      <w:r w:rsidRPr="00472818">
        <w:rPr>
          <w:rFonts w:ascii="Verdana" w:eastAsia="Calibri" w:hAnsi="Verdana" w:cs="Arial"/>
          <w:color w:val="000000" w:themeColor="text1"/>
          <w:sz w:val="20"/>
          <w:szCs w:val="20"/>
        </w:rPr>
        <w:lastRenderedPageBreak/>
        <w:t>tiene la obligación de entregar el valor pactado como anticipo y el derecho a que los recursos sean empleados en la forma estipulada. Por otro lado, el contratista tiene derecho a recibir dicho anticipo y la obligación de destinarlo a la ejecución del contrato.</w:t>
      </w:r>
    </w:p>
    <w:p w14:paraId="763C7DE4" w14:textId="77777777" w:rsidR="00472818" w:rsidRDefault="00472818" w:rsidP="00404EF2">
      <w:pPr>
        <w:contextualSpacing/>
        <w:jc w:val="both"/>
        <w:rPr>
          <w:rFonts w:ascii="Verdana" w:eastAsia="Calibri" w:hAnsi="Verdana" w:cs="Arial"/>
          <w:color w:val="000000" w:themeColor="text1"/>
          <w:sz w:val="20"/>
          <w:szCs w:val="20"/>
        </w:rPr>
      </w:pPr>
    </w:p>
    <w:p w14:paraId="3AA7BC1B" w14:textId="24801A31" w:rsidR="00472818" w:rsidRDefault="00472818" w:rsidP="00404EF2">
      <w:pPr>
        <w:contextualSpacing/>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p>
    <w:p w14:paraId="11066D95" w14:textId="77777777" w:rsidR="00472818" w:rsidRDefault="00472818" w:rsidP="00404EF2">
      <w:pPr>
        <w:contextualSpacing/>
        <w:jc w:val="both"/>
        <w:rPr>
          <w:rFonts w:ascii="Verdana" w:eastAsia="Calibri" w:hAnsi="Verdana" w:cs="Arial"/>
          <w:color w:val="000000" w:themeColor="text1"/>
          <w:sz w:val="20"/>
          <w:szCs w:val="20"/>
        </w:rPr>
      </w:pPr>
    </w:p>
    <w:p w14:paraId="53C92824" w14:textId="77777777" w:rsidR="00472818" w:rsidRPr="00472818" w:rsidRDefault="00472818" w:rsidP="00472818">
      <w:pPr>
        <w:tabs>
          <w:tab w:val="left" w:pos="0"/>
        </w:tabs>
        <w:spacing w:after="0" w:line="240" w:lineRule="auto"/>
        <w:jc w:val="both"/>
        <w:rPr>
          <w:rFonts w:ascii="Verdana" w:eastAsia="Calibri" w:hAnsi="Verdana" w:cs="Arial"/>
          <w:sz w:val="20"/>
          <w:szCs w:val="20"/>
          <w:lang w:val="es-MX"/>
        </w:rPr>
      </w:pPr>
      <w:r w:rsidRPr="00472818">
        <w:rPr>
          <w:rFonts w:ascii="Verdana" w:eastAsia="Calibri" w:hAnsi="Verdana" w:cs="Arial"/>
          <w:sz w:val="20"/>
          <w:szCs w:val="20"/>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1B9F92A3" w14:textId="77777777" w:rsidR="00472818" w:rsidRPr="00472818" w:rsidRDefault="00472818" w:rsidP="00404EF2">
      <w:pPr>
        <w:contextualSpacing/>
        <w:jc w:val="both"/>
        <w:rPr>
          <w:rFonts w:ascii="Verdana" w:eastAsia="Calibri" w:hAnsi="Verdana" w:cs="Arial"/>
          <w:color w:val="000000" w:themeColor="text1"/>
          <w:sz w:val="20"/>
          <w:szCs w:val="20"/>
          <w:lang w:val="es-MX"/>
        </w:rPr>
      </w:pPr>
    </w:p>
    <w:p w14:paraId="6FBEDECC" w14:textId="77777777" w:rsidR="00404EF2" w:rsidRDefault="00404EF2" w:rsidP="00404EF2">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HERRAMIENTAS DE CONTROL Y SEGUIMIENTO –Garantía Única de Cumplimiento </w:t>
      </w:r>
    </w:p>
    <w:p w14:paraId="0F789BE1" w14:textId="77777777" w:rsidR="00D96008" w:rsidRDefault="00D96008" w:rsidP="00404EF2">
      <w:pPr>
        <w:contextualSpacing/>
        <w:jc w:val="both"/>
        <w:rPr>
          <w:rFonts w:ascii="Verdana" w:eastAsia="Calibri" w:hAnsi="Verdana" w:cs="Arial"/>
          <w:b/>
          <w:bCs/>
          <w:color w:val="000000" w:themeColor="text1"/>
          <w:szCs w:val="24"/>
          <w:lang w:val="es-ES" w:eastAsia="es-ES_tradnl"/>
        </w:rPr>
      </w:pPr>
    </w:p>
    <w:p w14:paraId="3EDCA06D" w14:textId="77777777" w:rsidR="00D96008" w:rsidRPr="00D96008" w:rsidRDefault="00D96008" w:rsidP="00D96008">
      <w:pPr>
        <w:spacing w:after="0" w:line="240" w:lineRule="auto"/>
        <w:jc w:val="both"/>
        <w:rPr>
          <w:rFonts w:ascii="Verdana" w:eastAsia="Calibri" w:hAnsi="Verdana" w:cs="Arial"/>
          <w:sz w:val="20"/>
          <w:szCs w:val="20"/>
        </w:rPr>
      </w:pPr>
      <w:r w:rsidRPr="00D96008">
        <w:rPr>
          <w:rFonts w:ascii="Verdana" w:hAnsi="Verdana" w:cs="Arial"/>
          <w:color w:val="000000" w:themeColor="text1"/>
          <w:sz w:val="20"/>
          <w:szCs w:val="20"/>
        </w:rPr>
        <w:t>Del análisis realizado se desprende</w:t>
      </w:r>
      <w:r w:rsidRPr="00D96008">
        <w:rPr>
          <w:rFonts w:ascii="Verdana" w:hAnsi="Verdana" w:cs="Arial"/>
          <w:color w:val="000000" w:themeColor="text1"/>
          <w:sz w:val="20"/>
          <w:szCs w:val="20"/>
          <w:lang w:val="es-ES"/>
        </w:rPr>
        <w:t xml:space="preserve"> que los recursos entregados al contratista en calidad de anticipo son recursos públicos. Por tanto, corresponde a la entidad </w:t>
      </w:r>
      <w:r w:rsidRPr="00D96008">
        <w:rPr>
          <w:rFonts w:ascii="Verdana" w:eastAsia="Calibri" w:hAnsi="Verdana" w:cs="Arial"/>
          <w:sz w:val="20"/>
          <w:szCs w:val="20"/>
        </w:rPr>
        <w:t xml:space="preserve">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 (3) circunstancias que deben ser objeto de cobertura: i) la no inversión del anticipo; </w:t>
      </w:r>
      <w:proofErr w:type="spellStart"/>
      <w:r w:rsidRPr="00D96008">
        <w:rPr>
          <w:rFonts w:ascii="Verdana" w:eastAsia="Calibri" w:hAnsi="Verdana" w:cs="Arial"/>
          <w:sz w:val="20"/>
          <w:szCs w:val="20"/>
        </w:rPr>
        <w:t>ii</w:t>
      </w:r>
      <w:proofErr w:type="spellEnd"/>
      <w:r w:rsidRPr="00D96008">
        <w:rPr>
          <w:rFonts w:ascii="Verdana" w:eastAsia="Calibri" w:hAnsi="Verdana" w:cs="Arial"/>
          <w:sz w:val="20"/>
          <w:szCs w:val="20"/>
        </w:rPr>
        <w:t xml:space="preserve">) el uso indebido del anticipo; y </w:t>
      </w:r>
      <w:proofErr w:type="spellStart"/>
      <w:r w:rsidRPr="00D96008">
        <w:rPr>
          <w:rFonts w:ascii="Verdana" w:eastAsia="Calibri" w:hAnsi="Verdana" w:cs="Arial"/>
          <w:sz w:val="20"/>
          <w:szCs w:val="20"/>
        </w:rPr>
        <w:t>iii</w:t>
      </w:r>
      <w:proofErr w:type="spellEnd"/>
      <w:r w:rsidRPr="00D96008">
        <w:rPr>
          <w:rFonts w:ascii="Verdana" w:eastAsia="Calibri" w:hAnsi="Verdana" w:cs="Arial"/>
          <w:sz w:val="20"/>
          <w:szCs w:val="20"/>
        </w:rPr>
        <w:t xml:space="preserve">) la apropiación indebida de los recursos recibidos en calidad de anticipo. </w:t>
      </w:r>
    </w:p>
    <w:p w14:paraId="3561B13B" w14:textId="77777777" w:rsidR="00D96008" w:rsidRPr="00D96008" w:rsidRDefault="00D96008" w:rsidP="00D96008">
      <w:pPr>
        <w:spacing w:after="0" w:line="240" w:lineRule="auto"/>
        <w:contextualSpacing/>
        <w:jc w:val="both"/>
        <w:rPr>
          <w:rFonts w:ascii="Verdana" w:eastAsia="Calibri" w:hAnsi="Verdana" w:cs="Arial"/>
          <w:b/>
          <w:bCs/>
          <w:color w:val="000000" w:themeColor="text1"/>
          <w:sz w:val="20"/>
          <w:szCs w:val="20"/>
          <w:lang w:eastAsia="es-ES_tradnl"/>
        </w:rPr>
      </w:pPr>
    </w:p>
    <w:p w14:paraId="4D7858AB" w14:textId="1CEE6872" w:rsidR="00404EF2" w:rsidRPr="00404EF2" w:rsidRDefault="00404EF2" w:rsidP="00404EF2">
      <w:pPr>
        <w:spacing w:after="0" w:line="240" w:lineRule="auto"/>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CONSTITUCIÓN DE FIDUCIA O PATRIMONIO AUTÓNOMO IRREVOCABLE – Artículo 91 ley 1474 de 2011 </w:t>
      </w:r>
    </w:p>
    <w:p w14:paraId="36CA1CE9" w14:textId="77777777" w:rsidR="00404EF2" w:rsidRDefault="00404EF2" w:rsidP="00404EF2">
      <w:pPr>
        <w:contextualSpacing/>
        <w:jc w:val="both"/>
        <w:rPr>
          <w:rFonts w:ascii="Verdana" w:eastAsia="Calibri" w:hAnsi="Verdana" w:cs="Arial"/>
          <w:b/>
          <w:bCs/>
          <w:color w:val="000000" w:themeColor="text1"/>
          <w:szCs w:val="24"/>
          <w:lang w:val="es-ES" w:eastAsia="es-ES_tradnl"/>
        </w:rPr>
      </w:pPr>
    </w:p>
    <w:p w14:paraId="00F7BF20" w14:textId="404E6D66" w:rsidR="00D96008" w:rsidRDefault="00D96008" w:rsidP="003E0F21">
      <w:pPr>
        <w:spacing w:after="0" w:line="240" w:lineRule="auto"/>
        <w:contextualSpacing/>
        <w:jc w:val="both"/>
        <w:rPr>
          <w:rFonts w:ascii="Verdana" w:eastAsia="Calibri" w:hAnsi="Verdana" w:cs="Arial"/>
          <w:sz w:val="20"/>
          <w:szCs w:val="20"/>
        </w:rPr>
      </w:pPr>
      <w:r w:rsidRPr="00D96008">
        <w:rPr>
          <w:rFonts w:ascii="Verdana" w:eastAsia="Calibri" w:hAnsi="Verdana" w:cs="Arial"/>
          <w:sz w:val="20"/>
          <w:szCs w:val="20"/>
        </w:rPr>
        <w:t xml:space="preserve">Adicionalmente, conforme al citado artículo 91 de la Ley 1474 de 2011, existen algunos contratos respecto de los cuales la ley obliga al contratista de constituir una fiducia mercantil para el manejo de los recursos entregados a título de anticipo. </w:t>
      </w:r>
      <w:r w:rsidRPr="00D96008">
        <w:rPr>
          <w:rFonts w:ascii="Verdana" w:eastAsia="Calibri" w:hAnsi="Verdana" w:cs="Arial"/>
          <w:bCs/>
          <w:color w:val="000000" w:themeColor="text1"/>
          <w:sz w:val="20"/>
          <w:szCs w:val="20"/>
          <w:lang w:val="es-ES_tradnl"/>
        </w:rPr>
        <w:t>Esta norma dispone que: “</w:t>
      </w:r>
      <w:r w:rsidRPr="00D96008">
        <w:rPr>
          <w:rFonts w:ascii="Verdana" w:eastAsia="Calibri" w:hAnsi="Verdana" w:cs="Arial"/>
          <w:sz w:val="20"/>
          <w:szCs w:val="20"/>
        </w:rPr>
        <w:t>En los contratos de obra, concesión, salud, o los que se realicen por licitación pública</w:t>
      </w:r>
      <w:r w:rsidRPr="00D96008">
        <w:rPr>
          <w:rFonts w:ascii="Verdana" w:eastAsia="Calibri" w:hAnsi="Verdana" w:cs="Arial"/>
          <w:i/>
          <w:iCs/>
          <w:sz w:val="20"/>
          <w:szCs w:val="20"/>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D96008">
        <w:rPr>
          <w:rFonts w:ascii="Verdana" w:eastAsia="Calibri" w:hAnsi="Verdana" w:cs="Arial"/>
          <w:sz w:val="20"/>
          <w:szCs w:val="20"/>
        </w:rPr>
        <w:t>. El costo de la comisión fiduciaria será cubierto directamente por el contratista”</w:t>
      </w:r>
      <w:r>
        <w:rPr>
          <w:rFonts w:ascii="Verdana" w:eastAsia="Calibri" w:hAnsi="Verdana" w:cs="Arial"/>
          <w:sz w:val="20"/>
          <w:szCs w:val="20"/>
        </w:rPr>
        <w:t>.</w:t>
      </w:r>
    </w:p>
    <w:p w14:paraId="5EBDF045" w14:textId="77777777" w:rsidR="003E0F21" w:rsidRDefault="003E0F21" w:rsidP="00404EF2">
      <w:pPr>
        <w:contextualSpacing/>
        <w:jc w:val="both"/>
        <w:rPr>
          <w:rFonts w:ascii="Verdana" w:eastAsia="Calibri" w:hAnsi="Verdana" w:cs="Arial"/>
          <w:sz w:val="20"/>
          <w:szCs w:val="20"/>
        </w:rPr>
      </w:pPr>
    </w:p>
    <w:p w14:paraId="7394C244" w14:textId="695EFB59" w:rsidR="003E0F21" w:rsidRP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bCs/>
          <w:color w:val="000000" w:themeColor="text1"/>
          <w:sz w:val="20"/>
          <w:szCs w:val="20"/>
          <w:lang w:val="es-ES_tradnl"/>
        </w:rPr>
        <w:t xml:space="preserve">En concordancia,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w:t>
      </w:r>
      <w:r w:rsidRPr="003E0F21">
        <w:rPr>
          <w:rFonts w:ascii="Verdana" w:eastAsia="Calibri" w:hAnsi="Verdana" w:cs="Arial"/>
          <w:bCs/>
          <w:color w:val="000000" w:themeColor="text1"/>
          <w:sz w:val="20"/>
          <w:szCs w:val="20"/>
          <w:lang w:val="es-ES_tradnl"/>
        </w:rPr>
        <w:lastRenderedPageBreak/>
        <w:t xml:space="preserve">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 </w:t>
      </w:r>
    </w:p>
    <w:p w14:paraId="777082F4" w14:textId="77777777" w:rsidR="003E0F21" w:rsidRDefault="003E0F21" w:rsidP="003E0F21">
      <w:pPr>
        <w:spacing w:after="0" w:line="240" w:lineRule="auto"/>
        <w:jc w:val="both"/>
        <w:rPr>
          <w:rFonts w:ascii="Verdana" w:eastAsia="Calibri" w:hAnsi="Verdana" w:cs="Arial"/>
          <w:color w:val="000000" w:themeColor="text1"/>
          <w:sz w:val="20"/>
          <w:szCs w:val="20"/>
          <w:lang w:val="es-ES"/>
        </w:rPr>
      </w:pPr>
    </w:p>
    <w:p w14:paraId="1291847F" w14:textId="3F0A039B" w:rsidR="003E0F21" w:rsidRDefault="003E0F21" w:rsidP="003E0F21">
      <w:pPr>
        <w:jc w:val="both"/>
        <w:rPr>
          <w:rFonts w:ascii="Verdana" w:eastAsia="Calibri" w:hAnsi="Verdana" w:cs="Arial"/>
          <w:color w:val="000000" w:themeColor="text1"/>
          <w:sz w:val="20"/>
          <w:szCs w:val="20"/>
          <w:lang w:val="es-ES"/>
        </w:rPr>
      </w:pPr>
      <w:r w:rsidRPr="003E0F21">
        <w:rPr>
          <w:rFonts w:ascii="Verdana" w:eastAsia="Calibri" w:hAnsi="Verdana" w:cs="Arial"/>
          <w:color w:val="000000" w:themeColor="text1"/>
          <w:sz w:val="20"/>
          <w:szCs w:val="20"/>
          <w:lang w:val="es-ES"/>
        </w:rPr>
        <w:t xml:space="preserve">Lo anterior surge como una medida para fortalecer los mecanismos de prevención, investigación y sanción de actos de corrupción y la efectividad del control de la gestión pública, en atención a la problemática identificada sobre el incumplimiento de los contratistas de destinar los anticipos en la ejecución del contrato.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44FD2E04"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 xml:space="preserve">El artículo 91 de la Ley 1474 de 2011 determina el ámbito de aplicación, al enumerar los casos en los cuales es deber del contratista constituir un patrimonio autónomo o una fiducia para administrar los recursos del anticipo. Para tales efectos, se establecen los siguientes contratos: i) obra, </w:t>
      </w:r>
      <w:proofErr w:type="spellStart"/>
      <w:r w:rsidRPr="003E0F21">
        <w:rPr>
          <w:rFonts w:ascii="Verdana" w:eastAsia="Calibri" w:hAnsi="Verdana" w:cs="Arial"/>
          <w:sz w:val="20"/>
          <w:szCs w:val="20"/>
        </w:rPr>
        <w:t>ii</w:t>
      </w:r>
      <w:proofErr w:type="spellEnd"/>
      <w:r w:rsidRPr="003E0F21">
        <w:rPr>
          <w:rFonts w:ascii="Verdana" w:eastAsia="Calibri" w:hAnsi="Verdana" w:cs="Arial"/>
          <w:sz w:val="20"/>
          <w:szCs w:val="20"/>
        </w:rPr>
        <w:t xml:space="preserve">) concesión, </w:t>
      </w:r>
      <w:proofErr w:type="spellStart"/>
      <w:r w:rsidRPr="003E0F21">
        <w:rPr>
          <w:rFonts w:ascii="Verdana" w:eastAsia="Calibri" w:hAnsi="Verdana" w:cs="Arial"/>
          <w:sz w:val="20"/>
          <w:szCs w:val="20"/>
        </w:rPr>
        <w:t>iii</w:t>
      </w:r>
      <w:proofErr w:type="spellEnd"/>
      <w:r w:rsidRPr="003E0F21">
        <w:rPr>
          <w:rFonts w:ascii="Verdana" w:eastAsia="Calibri" w:hAnsi="Verdana" w:cs="Arial"/>
          <w:sz w:val="20"/>
          <w:szCs w:val="20"/>
        </w:rPr>
        <w:t xml:space="preserve">) salud y </w:t>
      </w:r>
      <w:proofErr w:type="spellStart"/>
      <w:r w:rsidRPr="003E0F21">
        <w:rPr>
          <w:rFonts w:ascii="Verdana" w:eastAsia="Calibri" w:hAnsi="Verdana" w:cs="Arial"/>
          <w:sz w:val="20"/>
          <w:szCs w:val="20"/>
        </w:rPr>
        <w:t>iv</w:t>
      </w:r>
      <w:proofErr w:type="spellEnd"/>
      <w:r w:rsidRPr="003E0F21">
        <w:rPr>
          <w:rFonts w:ascii="Verdana" w:eastAsia="Calibri" w:hAnsi="Verdana" w:cs="Arial"/>
          <w:sz w:val="20"/>
          <w:szCs w:val="20"/>
        </w:rPr>
        <w:t xml:space="preserve">) los contratos derivados de un proceso de licitación pública. En ese orden, aunque la norma menciona la modalidad de selección como un criterio principal que determine su ámbito de aplicación, la expresión </w:t>
      </w:r>
      <w:r w:rsidRPr="003E0F21">
        <w:rPr>
          <w:rFonts w:ascii="Verdana" w:eastAsia="Calibri" w:hAnsi="Verdana" w:cs="Arial"/>
          <w:color w:val="000000" w:themeColor="text1"/>
          <w:sz w:val="20"/>
          <w:szCs w:val="20"/>
          <w:lang w:val="es-ES"/>
        </w:rPr>
        <w:t>“</w:t>
      </w:r>
      <w:r w:rsidRPr="003E0F21">
        <w:rPr>
          <w:rFonts w:ascii="Verdana" w:eastAsia="Calibri" w:hAnsi="Verdana" w:cs="Arial"/>
          <w:sz w:val="20"/>
          <w:szCs w:val="20"/>
        </w:rPr>
        <w:t>o los que se realicen por licitación pública</w:t>
      </w:r>
      <w:r w:rsidRPr="003E0F21">
        <w:rPr>
          <w:rFonts w:ascii="Verdana" w:eastAsia="Calibri" w:hAnsi="Verdana" w:cs="Arial"/>
          <w:color w:val="000000" w:themeColor="text1"/>
          <w:sz w:val="20"/>
          <w:szCs w:val="20"/>
          <w:lang w:val="es-ES"/>
        </w:rPr>
        <w:t xml:space="preserve">”, indica que, además de los objetos mencionados, también para estos contratos aplica el supuesto de hecho. </w:t>
      </w:r>
    </w:p>
    <w:p w14:paraId="56AC29D4" w14:textId="77777777" w:rsidR="003E0F21" w:rsidRDefault="003E0F21" w:rsidP="003E0F21">
      <w:pPr>
        <w:spacing w:after="0" w:line="240" w:lineRule="auto"/>
        <w:jc w:val="both"/>
        <w:rPr>
          <w:rFonts w:ascii="Verdana" w:eastAsia="Calibri" w:hAnsi="Verdana" w:cs="Arial"/>
          <w:sz w:val="20"/>
          <w:szCs w:val="20"/>
        </w:rPr>
      </w:pPr>
    </w:p>
    <w:p w14:paraId="4BBFD0B6"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 entidad estatal de exigir la garantía de buen manejo y correcta inversión.</w:t>
      </w:r>
    </w:p>
    <w:p w14:paraId="32108C9E" w14:textId="77777777" w:rsidR="003E0F21" w:rsidRDefault="003E0F21" w:rsidP="003E0F21">
      <w:pPr>
        <w:spacing w:after="0" w:line="240" w:lineRule="auto"/>
        <w:jc w:val="both"/>
        <w:rPr>
          <w:rFonts w:ascii="Verdana" w:eastAsia="Calibri" w:hAnsi="Verdana" w:cs="Arial"/>
          <w:sz w:val="20"/>
          <w:szCs w:val="20"/>
        </w:rPr>
      </w:pPr>
    </w:p>
    <w:p w14:paraId="32ACC633" w14:textId="18B6A625" w:rsidR="003E0F21" w:rsidRP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 xml:space="preserve">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 como se explicó </w:t>
      </w:r>
      <w:r w:rsidRPr="003E0F21">
        <w:rPr>
          <w:rFonts w:ascii="Verdana" w:eastAsia="Calibri" w:hAnsi="Verdana" w:cs="Arial"/>
          <w:i/>
          <w:iCs/>
          <w:sz w:val="20"/>
          <w:szCs w:val="20"/>
        </w:rPr>
        <w:t>ut supra</w:t>
      </w:r>
      <w:r w:rsidRPr="003E0F21">
        <w:rPr>
          <w:rFonts w:ascii="Verdana" w:eastAsia="Calibri" w:hAnsi="Verdana" w:cs="Arial"/>
          <w:sz w:val="20"/>
          <w:szCs w:val="20"/>
        </w:rPr>
        <w:t>.</w:t>
      </w:r>
    </w:p>
    <w:p w14:paraId="6ECF49CA" w14:textId="77777777" w:rsidR="003E0F21" w:rsidRPr="003E0F21" w:rsidRDefault="003E0F21" w:rsidP="003E0F21">
      <w:pPr>
        <w:spacing w:after="0" w:line="240" w:lineRule="auto"/>
        <w:jc w:val="both"/>
        <w:rPr>
          <w:rFonts w:ascii="Verdana" w:eastAsia="Calibri" w:hAnsi="Verdana" w:cs="Arial"/>
          <w:b/>
          <w:bCs/>
          <w:color w:val="000000" w:themeColor="text1"/>
          <w:sz w:val="20"/>
          <w:szCs w:val="20"/>
          <w:lang w:eastAsia="es-ES_tradnl"/>
        </w:rPr>
      </w:pPr>
    </w:p>
    <w:p w14:paraId="514C15ED" w14:textId="77777777" w:rsidR="00404EF2" w:rsidRPr="00404EF2" w:rsidRDefault="00404EF2" w:rsidP="00404EF2">
      <w:pPr>
        <w:spacing w:after="0" w:line="240" w:lineRule="auto"/>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PAGO ANTICIPADO - Definición </w:t>
      </w:r>
    </w:p>
    <w:p w14:paraId="5729B3B3" w14:textId="77777777" w:rsidR="00404EF2" w:rsidRDefault="00404EF2" w:rsidP="00404EF2">
      <w:pPr>
        <w:contextualSpacing/>
        <w:jc w:val="both"/>
        <w:rPr>
          <w:rFonts w:ascii="Verdana" w:eastAsia="Calibri" w:hAnsi="Verdana" w:cs="Arial"/>
          <w:b/>
          <w:bCs/>
          <w:color w:val="000000" w:themeColor="text1"/>
          <w:szCs w:val="24"/>
          <w:lang w:val="es-ES" w:eastAsia="es-ES_tradnl"/>
        </w:rPr>
      </w:pPr>
    </w:p>
    <w:p w14:paraId="795E889A" w14:textId="29349297" w:rsidR="003E0F21" w:rsidRP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Por su parte, la institución jurídica del pago anticipado se concibe como la retribución parcial que el contratista recibe en los contratos estatales. Al respecto, la doctrina expresa:</w:t>
      </w:r>
      <w:r w:rsidRPr="003E0F21">
        <w:rPr>
          <w:rFonts w:ascii="ArialMT" w:hAnsi="ArialMT" w:cs="ArialMT"/>
          <w:sz w:val="20"/>
          <w:szCs w:val="20"/>
        </w:rPr>
        <w:t xml:space="preserve"> </w:t>
      </w:r>
      <w:r w:rsidRPr="003E0F21">
        <w:rPr>
          <w:rFonts w:ascii="Verdana" w:eastAsia="Calibri" w:hAnsi="Verdana" w:cs="Arial"/>
          <w:sz w:val="20"/>
          <w:szCs w:val="20"/>
        </w:rPr>
        <w:t xml:space="preserve">“El pago anticipado sí hace parte del precio y su entrega comporta la extinción parcial de la obligación de remuneración a cargo de la entidad solo que de manera </w:t>
      </w:r>
      <w:r w:rsidRPr="003E0F21">
        <w:rPr>
          <w:rFonts w:ascii="Verdana" w:eastAsia="Calibri" w:hAnsi="Verdana" w:cs="Arial"/>
          <w:sz w:val="20"/>
          <w:szCs w:val="20"/>
        </w:rPr>
        <w:lastRenderedPageBreak/>
        <w:t xml:space="preserve">adelantada a la realización del contrato o como primer contado”.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12EBC12D" w14:textId="77777777" w:rsidR="003E0F21" w:rsidRPr="003E0F21" w:rsidRDefault="003E0F21" w:rsidP="00404EF2">
      <w:pPr>
        <w:contextualSpacing/>
        <w:jc w:val="both"/>
        <w:rPr>
          <w:rFonts w:ascii="Verdana" w:eastAsia="Calibri" w:hAnsi="Verdana" w:cs="Arial"/>
          <w:b/>
          <w:bCs/>
          <w:color w:val="000000" w:themeColor="text1"/>
          <w:szCs w:val="24"/>
          <w:lang w:eastAsia="es-ES_tradnl"/>
        </w:rPr>
      </w:pPr>
    </w:p>
    <w:p w14:paraId="578BE9A1" w14:textId="6EF20EAB" w:rsidR="00404EF2" w:rsidRDefault="00404EF2" w:rsidP="00404EF2">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PLAN DE INVERSIÓN – Anticipo</w:t>
      </w:r>
    </w:p>
    <w:p w14:paraId="5D532875" w14:textId="77777777" w:rsidR="003E0F21" w:rsidRDefault="003E0F21" w:rsidP="00404EF2">
      <w:pPr>
        <w:contextualSpacing/>
        <w:jc w:val="both"/>
        <w:rPr>
          <w:rFonts w:ascii="Verdana" w:eastAsia="Calibri" w:hAnsi="Verdana" w:cs="Arial"/>
          <w:b/>
          <w:bCs/>
          <w:color w:val="000000" w:themeColor="text1"/>
          <w:szCs w:val="24"/>
          <w:lang w:val="es-ES" w:eastAsia="es-ES_tradnl"/>
        </w:rPr>
      </w:pPr>
    </w:p>
    <w:p w14:paraId="0D63B267"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En atención a la relevancia jurídica que reviste el anticipo por tratarse de recursos públicos, la entidad contratante está en la obligación de ejercer un control permanente sobre su destinación y ejecución. En ese sentido, le corresponde acudir a los mecanismos previstos en la ley o en el clausulado contractual para garantizar su adecuada administración y exigir que su utilización se ajuste a los fines contractuales establecidos.</w:t>
      </w:r>
    </w:p>
    <w:p w14:paraId="0B07D72E" w14:textId="77777777" w:rsidR="003E0F21" w:rsidRDefault="003E0F21" w:rsidP="003E0F21">
      <w:pPr>
        <w:spacing w:after="0" w:line="240" w:lineRule="auto"/>
        <w:jc w:val="both"/>
        <w:rPr>
          <w:rFonts w:ascii="Verdana" w:eastAsia="Calibri" w:hAnsi="Verdana" w:cs="Arial"/>
          <w:sz w:val="20"/>
          <w:szCs w:val="20"/>
        </w:rPr>
      </w:pPr>
    </w:p>
    <w:p w14:paraId="155C8F49"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A propósito, una 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44C3FD92" w14:textId="77777777" w:rsidR="003E0F21" w:rsidRDefault="003E0F21" w:rsidP="003E0F21">
      <w:pPr>
        <w:spacing w:after="0" w:line="240" w:lineRule="auto"/>
        <w:jc w:val="both"/>
        <w:rPr>
          <w:rFonts w:ascii="Verdana" w:eastAsia="Calibri" w:hAnsi="Verdana" w:cs="Arial"/>
          <w:sz w:val="20"/>
          <w:szCs w:val="20"/>
        </w:rPr>
      </w:pPr>
    </w:p>
    <w:p w14:paraId="429A2F1D"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Ahora bien, la exigencia del plan de inversión del anticipo no constituye una obligación legal expresa, sino que su solicitud suele ser promovida por la supervisión o interventoría del contrato como una medida de control adicional contenida en el contrato. No obstante, cuando dicha exigencia no ha sido incorporada de manera expresa en el clausulado contractual, se considera que la entidad estaría limitada frente a la posibilidad de adelantar una eventual declaratoria de incumplimiento o de imponer medidas sancionatorias derivadas del incumplimiento del plan, en tanto este no forma parte del alcance obligacional del contrato.</w:t>
      </w:r>
    </w:p>
    <w:p w14:paraId="311D67CE" w14:textId="77777777" w:rsidR="003E0F21" w:rsidRDefault="003E0F21" w:rsidP="003E0F21">
      <w:pPr>
        <w:spacing w:after="0" w:line="240" w:lineRule="auto"/>
        <w:jc w:val="both"/>
        <w:rPr>
          <w:rFonts w:ascii="Verdana" w:eastAsia="Calibri" w:hAnsi="Verdana" w:cs="Arial"/>
          <w:sz w:val="20"/>
          <w:szCs w:val="20"/>
        </w:rPr>
      </w:pPr>
    </w:p>
    <w:p w14:paraId="6A6610F1" w14:textId="77777777" w:rsid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Por ello, resulta jurídicamente recomendable que la obligación de presentar el plan de inversión del anticipo se incorpore expresamente en el contrato y se establezca su carácter vinculante, precisando que el plan hará parte integral del mismo. De esta manera, ante un eventual incumplimiento de lo estipulado en dicho plan, se configuraría una infracción contractual susceptible de ser tramitada conforme al procedimiento previsto en el artículo 86 de la Ley 1474 de 2011, habilitando la imposición de medidas como la aplicación de multas, la declaratoria de incumplimiento, la efectividad de la cláusula penal pecuniaria y la ejecución de las garantías contractuales, todo ello como parte del régimen sancionatorio que busca salvaguardar los recursos públicos y los fines de la contratación estatal.</w:t>
      </w:r>
    </w:p>
    <w:p w14:paraId="151A7226" w14:textId="77777777" w:rsidR="003E0F21" w:rsidRDefault="003E0F21" w:rsidP="003E0F21">
      <w:pPr>
        <w:spacing w:after="0" w:line="240" w:lineRule="auto"/>
        <w:jc w:val="both"/>
        <w:rPr>
          <w:rFonts w:ascii="Verdana" w:eastAsia="Calibri" w:hAnsi="Verdana" w:cs="Arial"/>
          <w:sz w:val="20"/>
          <w:szCs w:val="20"/>
        </w:rPr>
      </w:pPr>
    </w:p>
    <w:p w14:paraId="12540A4A" w14:textId="68A4CB5C" w:rsidR="003E0F21" w:rsidRPr="003E0F21" w:rsidRDefault="003E0F21" w:rsidP="003E0F21">
      <w:pPr>
        <w:spacing w:after="0" w:line="240" w:lineRule="auto"/>
        <w:jc w:val="both"/>
        <w:rPr>
          <w:rFonts w:ascii="Verdana" w:eastAsia="Calibri" w:hAnsi="Verdana" w:cs="Arial"/>
          <w:sz w:val="20"/>
          <w:szCs w:val="20"/>
        </w:rPr>
      </w:pPr>
      <w:r w:rsidRPr="003E0F21">
        <w:rPr>
          <w:rFonts w:ascii="Verdana" w:eastAsia="Calibri" w:hAnsi="Verdana" w:cs="Arial"/>
          <w:sz w:val="20"/>
          <w:szCs w:val="20"/>
        </w:rPr>
        <w:t xml:space="preserve">Adicionalmente, otra de las herramientas con las que cuenta la entidad estatal para el adecuado ejercicio de su deber de seguimiento y control sobre los recursos entregados a título de anticipo es la incorporación, en el clausulado contractual, de la obligación del </w:t>
      </w:r>
      <w:r w:rsidRPr="003E0F21">
        <w:rPr>
          <w:rFonts w:ascii="Verdana" w:eastAsia="Calibri" w:hAnsi="Verdana" w:cs="Arial"/>
          <w:sz w:val="20"/>
          <w:szCs w:val="20"/>
        </w:rPr>
        <w:lastRenderedPageBreak/>
        <w:t>contratista de constituir la garantía única de cumplimiento, incluyendo expresamente el amparo de buen manejo y correcta inversión del anticipo. A diferencia del plan de inversión, esta medida no tiene un carácter preventivo, sino correctivo y su exigencia encuentra fundamento directo en disposiciones legales imperativas, por lo que no se trata de una estipulación facultativa o prescindible cuando se ha pactado el otorgamiento de un anticipo.</w:t>
      </w:r>
    </w:p>
    <w:p w14:paraId="7B1A5CC8" w14:textId="77777777" w:rsidR="003E0F21" w:rsidRPr="003E0F21" w:rsidRDefault="003E0F21" w:rsidP="00404EF2">
      <w:pPr>
        <w:spacing w:after="0" w:line="240" w:lineRule="auto"/>
        <w:contextualSpacing/>
        <w:jc w:val="both"/>
        <w:rPr>
          <w:rFonts w:ascii="Verdana" w:eastAsia="Calibri" w:hAnsi="Verdana" w:cs="Arial"/>
          <w:b/>
          <w:bCs/>
          <w:color w:val="000000" w:themeColor="text1"/>
          <w:szCs w:val="24"/>
          <w:lang w:eastAsia="es-ES_tradnl"/>
        </w:rPr>
      </w:pPr>
    </w:p>
    <w:p w14:paraId="6C5F7077" w14:textId="77777777" w:rsidR="00404EF2" w:rsidRPr="00404EF2" w:rsidRDefault="00404EF2" w:rsidP="002B120D">
      <w:pPr>
        <w:spacing w:after="0" w:line="240" w:lineRule="auto"/>
        <w:jc w:val="both"/>
        <w:rPr>
          <w:rFonts w:ascii="Verdana" w:eastAsia="Calibri" w:hAnsi="Verdana" w:cs="Arial"/>
          <w:lang w:val="es-ES" w:eastAsia="es-ES"/>
        </w:rPr>
      </w:pPr>
    </w:p>
    <w:p w14:paraId="2423955E" w14:textId="77777777" w:rsidR="00404EF2" w:rsidRDefault="00404EF2" w:rsidP="002B120D">
      <w:pPr>
        <w:spacing w:after="0" w:line="240" w:lineRule="auto"/>
        <w:jc w:val="both"/>
        <w:rPr>
          <w:rFonts w:ascii="Verdana" w:eastAsia="Calibri" w:hAnsi="Verdana" w:cs="Arial"/>
          <w:lang w:eastAsia="es-ES"/>
        </w:rPr>
      </w:pPr>
    </w:p>
    <w:p w14:paraId="5363DB4D" w14:textId="77777777" w:rsidR="003E0F21" w:rsidRDefault="003E0F21" w:rsidP="002B120D">
      <w:pPr>
        <w:spacing w:after="0" w:line="240" w:lineRule="auto"/>
        <w:jc w:val="both"/>
        <w:rPr>
          <w:rFonts w:ascii="Verdana" w:eastAsia="Calibri" w:hAnsi="Verdana" w:cs="Arial"/>
          <w:lang w:eastAsia="es-ES"/>
        </w:rPr>
      </w:pPr>
    </w:p>
    <w:p w14:paraId="2779D6A0" w14:textId="77777777" w:rsidR="003E0F21" w:rsidRDefault="003E0F21" w:rsidP="002B120D">
      <w:pPr>
        <w:spacing w:after="0" w:line="240" w:lineRule="auto"/>
        <w:jc w:val="both"/>
        <w:rPr>
          <w:rFonts w:ascii="Verdana" w:eastAsia="Calibri" w:hAnsi="Verdana" w:cs="Arial"/>
          <w:lang w:eastAsia="es-ES"/>
        </w:rPr>
      </w:pPr>
    </w:p>
    <w:p w14:paraId="093B3189" w14:textId="77777777" w:rsidR="003E0F21" w:rsidRDefault="003E0F21" w:rsidP="002B120D">
      <w:pPr>
        <w:spacing w:after="0" w:line="240" w:lineRule="auto"/>
        <w:jc w:val="both"/>
        <w:rPr>
          <w:rFonts w:ascii="Verdana" w:eastAsia="Calibri" w:hAnsi="Verdana" w:cs="Arial"/>
          <w:lang w:eastAsia="es-ES"/>
        </w:rPr>
      </w:pPr>
    </w:p>
    <w:p w14:paraId="41B47F1C" w14:textId="77777777" w:rsidR="00404EF2" w:rsidRDefault="00404EF2" w:rsidP="002B120D">
      <w:pPr>
        <w:spacing w:after="0" w:line="240" w:lineRule="auto"/>
        <w:jc w:val="both"/>
        <w:rPr>
          <w:rFonts w:ascii="Verdana" w:eastAsia="Calibri" w:hAnsi="Verdana" w:cs="Arial"/>
          <w:lang w:eastAsia="es-ES"/>
        </w:rPr>
      </w:pPr>
    </w:p>
    <w:p w14:paraId="6289CBE2" w14:textId="77777777" w:rsidR="005545BA" w:rsidRDefault="005545BA" w:rsidP="002B120D">
      <w:pPr>
        <w:spacing w:after="0" w:line="240" w:lineRule="auto"/>
        <w:jc w:val="both"/>
        <w:rPr>
          <w:rFonts w:ascii="Verdana" w:eastAsia="Calibri" w:hAnsi="Verdana" w:cs="Arial"/>
          <w:lang w:eastAsia="es-ES"/>
        </w:rPr>
      </w:pPr>
    </w:p>
    <w:p w14:paraId="797F606B" w14:textId="77777777" w:rsidR="005545BA" w:rsidRDefault="005545BA" w:rsidP="002B120D">
      <w:pPr>
        <w:spacing w:after="0" w:line="240" w:lineRule="auto"/>
        <w:jc w:val="both"/>
        <w:rPr>
          <w:rFonts w:ascii="Verdana" w:eastAsia="Calibri" w:hAnsi="Verdana" w:cs="Arial"/>
          <w:lang w:eastAsia="es-ES"/>
        </w:rPr>
      </w:pPr>
    </w:p>
    <w:p w14:paraId="4F1CDA61" w14:textId="77777777" w:rsidR="005545BA" w:rsidRDefault="005545BA" w:rsidP="002B120D">
      <w:pPr>
        <w:spacing w:after="0" w:line="240" w:lineRule="auto"/>
        <w:jc w:val="both"/>
        <w:rPr>
          <w:rFonts w:ascii="Verdana" w:eastAsia="Calibri" w:hAnsi="Verdana" w:cs="Arial"/>
          <w:lang w:eastAsia="es-ES"/>
        </w:rPr>
      </w:pPr>
    </w:p>
    <w:p w14:paraId="186FEDDC" w14:textId="77777777" w:rsidR="005545BA" w:rsidRDefault="005545BA" w:rsidP="002B120D">
      <w:pPr>
        <w:spacing w:after="0" w:line="240" w:lineRule="auto"/>
        <w:jc w:val="both"/>
        <w:rPr>
          <w:rFonts w:ascii="Verdana" w:eastAsia="Calibri" w:hAnsi="Verdana" w:cs="Arial"/>
          <w:lang w:eastAsia="es-ES"/>
        </w:rPr>
      </w:pPr>
    </w:p>
    <w:p w14:paraId="67092D8F" w14:textId="77777777" w:rsidR="005545BA" w:rsidRDefault="005545BA" w:rsidP="002B120D">
      <w:pPr>
        <w:spacing w:after="0" w:line="240" w:lineRule="auto"/>
        <w:jc w:val="both"/>
        <w:rPr>
          <w:rFonts w:ascii="Verdana" w:eastAsia="Calibri" w:hAnsi="Verdana" w:cs="Arial"/>
          <w:lang w:eastAsia="es-ES"/>
        </w:rPr>
      </w:pPr>
    </w:p>
    <w:p w14:paraId="5275936B" w14:textId="77777777" w:rsidR="005545BA" w:rsidRDefault="005545BA" w:rsidP="002B120D">
      <w:pPr>
        <w:spacing w:after="0" w:line="240" w:lineRule="auto"/>
        <w:jc w:val="both"/>
        <w:rPr>
          <w:rFonts w:ascii="Verdana" w:eastAsia="Calibri" w:hAnsi="Verdana" w:cs="Arial"/>
          <w:lang w:eastAsia="es-ES"/>
        </w:rPr>
      </w:pPr>
    </w:p>
    <w:p w14:paraId="75ED0997" w14:textId="77777777" w:rsidR="005545BA" w:rsidRDefault="005545BA" w:rsidP="002B120D">
      <w:pPr>
        <w:spacing w:after="0" w:line="240" w:lineRule="auto"/>
        <w:jc w:val="both"/>
        <w:rPr>
          <w:rFonts w:ascii="Verdana" w:eastAsia="Calibri" w:hAnsi="Verdana" w:cs="Arial"/>
          <w:lang w:eastAsia="es-ES"/>
        </w:rPr>
      </w:pPr>
    </w:p>
    <w:p w14:paraId="0C7CD83C" w14:textId="77777777" w:rsidR="005545BA" w:rsidRDefault="005545BA" w:rsidP="002B120D">
      <w:pPr>
        <w:spacing w:after="0" w:line="240" w:lineRule="auto"/>
        <w:jc w:val="both"/>
        <w:rPr>
          <w:rFonts w:ascii="Verdana" w:eastAsia="Calibri" w:hAnsi="Verdana" w:cs="Arial"/>
          <w:lang w:eastAsia="es-ES"/>
        </w:rPr>
      </w:pPr>
    </w:p>
    <w:p w14:paraId="4C37CE8A" w14:textId="77777777" w:rsidR="005545BA" w:rsidRDefault="005545BA" w:rsidP="002B120D">
      <w:pPr>
        <w:spacing w:after="0" w:line="240" w:lineRule="auto"/>
        <w:jc w:val="both"/>
        <w:rPr>
          <w:rFonts w:ascii="Verdana" w:eastAsia="Calibri" w:hAnsi="Verdana" w:cs="Arial"/>
          <w:lang w:eastAsia="es-ES"/>
        </w:rPr>
      </w:pPr>
    </w:p>
    <w:p w14:paraId="2F7032B0" w14:textId="77777777" w:rsidR="005545BA" w:rsidRDefault="005545BA" w:rsidP="002B120D">
      <w:pPr>
        <w:spacing w:after="0" w:line="240" w:lineRule="auto"/>
        <w:jc w:val="both"/>
        <w:rPr>
          <w:rFonts w:ascii="Verdana" w:eastAsia="Calibri" w:hAnsi="Verdana" w:cs="Arial"/>
          <w:lang w:eastAsia="es-ES"/>
        </w:rPr>
      </w:pPr>
    </w:p>
    <w:p w14:paraId="2B12CFCA" w14:textId="77777777" w:rsidR="005545BA" w:rsidRDefault="005545BA" w:rsidP="002B120D">
      <w:pPr>
        <w:spacing w:after="0" w:line="240" w:lineRule="auto"/>
        <w:jc w:val="both"/>
        <w:rPr>
          <w:rFonts w:ascii="Verdana" w:eastAsia="Calibri" w:hAnsi="Verdana" w:cs="Arial"/>
          <w:lang w:eastAsia="es-ES"/>
        </w:rPr>
      </w:pPr>
    </w:p>
    <w:p w14:paraId="01D515B7" w14:textId="77777777" w:rsidR="005545BA" w:rsidRDefault="005545BA" w:rsidP="002B120D">
      <w:pPr>
        <w:spacing w:after="0" w:line="240" w:lineRule="auto"/>
        <w:jc w:val="both"/>
        <w:rPr>
          <w:rFonts w:ascii="Verdana" w:eastAsia="Calibri" w:hAnsi="Verdana" w:cs="Arial"/>
          <w:lang w:eastAsia="es-ES"/>
        </w:rPr>
      </w:pPr>
    </w:p>
    <w:p w14:paraId="5AEDB480" w14:textId="77777777" w:rsidR="005545BA" w:rsidRDefault="005545BA" w:rsidP="002B120D">
      <w:pPr>
        <w:spacing w:after="0" w:line="240" w:lineRule="auto"/>
        <w:jc w:val="both"/>
        <w:rPr>
          <w:rFonts w:ascii="Verdana" w:eastAsia="Calibri" w:hAnsi="Verdana" w:cs="Arial"/>
          <w:lang w:eastAsia="es-ES"/>
        </w:rPr>
      </w:pPr>
    </w:p>
    <w:p w14:paraId="6A38C050" w14:textId="77777777" w:rsidR="005545BA" w:rsidRDefault="005545BA" w:rsidP="002B120D">
      <w:pPr>
        <w:spacing w:after="0" w:line="240" w:lineRule="auto"/>
        <w:jc w:val="both"/>
        <w:rPr>
          <w:rFonts w:ascii="Verdana" w:eastAsia="Calibri" w:hAnsi="Verdana" w:cs="Arial"/>
          <w:lang w:eastAsia="es-ES"/>
        </w:rPr>
      </w:pPr>
    </w:p>
    <w:p w14:paraId="31365759" w14:textId="77777777" w:rsidR="005545BA" w:rsidRDefault="005545BA" w:rsidP="002B120D">
      <w:pPr>
        <w:spacing w:after="0" w:line="240" w:lineRule="auto"/>
        <w:jc w:val="both"/>
        <w:rPr>
          <w:rFonts w:ascii="Verdana" w:eastAsia="Calibri" w:hAnsi="Verdana" w:cs="Arial"/>
          <w:lang w:eastAsia="es-ES"/>
        </w:rPr>
      </w:pPr>
    </w:p>
    <w:p w14:paraId="7ECD88FC" w14:textId="77777777" w:rsidR="005545BA" w:rsidRDefault="005545BA" w:rsidP="002B120D">
      <w:pPr>
        <w:spacing w:after="0" w:line="240" w:lineRule="auto"/>
        <w:jc w:val="both"/>
        <w:rPr>
          <w:rFonts w:ascii="Verdana" w:eastAsia="Calibri" w:hAnsi="Verdana" w:cs="Arial"/>
          <w:lang w:eastAsia="es-ES"/>
        </w:rPr>
      </w:pPr>
    </w:p>
    <w:p w14:paraId="496E40D8" w14:textId="77777777" w:rsidR="005545BA" w:rsidRDefault="005545BA" w:rsidP="002B120D">
      <w:pPr>
        <w:spacing w:after="0" w:line="240" w:lineRule="auto"/>
        <w:jc w:val="both"/>
        <w:rPr>
          <w:rFonts w:ascii="Verdana" w:eastAsia="Calibri" w:hAnsi="Verdana" w:cs="Arial"/>
          <w:lang w:eastAsia="es-ES"/>
        </w:rPr>
      </w:pPr>
    </w:p>
    <w:p w14:paraId="7C4A7004" w14:textId="77777777" w:rsidR="005545BA" w:rsidRDefault="005545BA" w:rsidP="002B120D">
      <w:pPr>
        <w:spacing w:after="0" w:line="240" w:lineRule="auto"/>
        <w:jc w:val="both"/>
        <w:rPr>
          <w:rFonts w:ascii="Verdana" w:eastAsia="Calibri" w:hAnsi="Verdana" w:cs="Arial"/>
          <w:lang w:eastAsia="es-ES"/>
        </w:rPr>
      </w:pPr>
    </w:p>
    <w:p w14:paraId="0EDA649D" w14:textId="77777777" w:rsidR="005545BA" w:rsidRDefault="005545BA" w:rsidP="002B120D">
      <w:pPr>
        <w:spacing w:after="0" w:line="240" w:lineRule="auto"/>
        <w:jc w:val="both"/>
        <w:rPr>
          <w:rFonts w:ascii="Verdana" w:eastAsia="Calibri" w:hAnsi="Verdana" w:cs="Arial"/>
          <w:lang w:eastAsia="es-ES"/>
        </w:rPr>
      </w:pPr>
    </w:p>
    <w:p w14:paraId="57B3BA76" w14:textId="77777777" w:rsidR="005545BA" w:rsidRDefault="005545BA" w:rsidP="002B120D">
      <w:pPr>
        <w:spacing w:after="0" w:line="240" w:lineRule="auto"/>
        <w:jc w:val="both"/>
        <w:rPr>
          <w:rFonts w:ascii="Verdana" w:eastAsia="Calibri" w:hAnsi="Verdana" w:cs="Arial"/>
          <w:lang w:eastAsia="es-ES"/>
        </w:rPr>
      </w:pPr>
    </w:p>
    <w:p w14:paraId="51769110" w14:textId="77777777" w:rsidR="005545BA" w:rsidRDefault="005545BA" w:rsidP="002B120D">
      <w:pPr>
        <w:spacing w:after="0" w:line="240" w:lineRule="auto"/>
        <w:jc w:val="both"/>
        <w:rPr>
          <w:rFonts w:ascii="Verdana" w:eastAsia="Calibri" w:hAnsi="Verdana" w:cs="Arial"/>
          <w:lang w:eastAsia="es-ES"/>
        </w:rPr>
      </w:pPr>
    </w:p>
    <w:p w14:paraId="5FA7A5ED" w14:textId="77777777" w:rsidR="005545BA" w:rsidRDefault="005545BA" w:rsidP="002B120D">
      <w:pPr>
        <w:spacing w:after="0" w:line="240" w:lineRule="auto"/>
        <w:jc w:val="both"/>
        <w:rPr>
          <w:rFonts w:ascii="Verdana" w:eastAsia="Calibri" w:hAnsi="Verdana" w:cs="Arial"/>
          <w:lang w:eastAsia="es-ES"/>
        </w:rPr>
      </w:pPr>
    </w:p>
    <w:p w14:paraId="2771B74A" w14:textId="77777777" w:rsidR="005545BA" w:rsidRDefault="005545BA" w:rsidP="002B120D">
      <w:pPr>
        <w:spacing w:after="0" w:line="240" w:lineRule="auto"/>
        <w:jc w:val="both"/>
        <w:rPr>
          <w:rFonts w:ascii="Verdana" w:eastAsia="Calibri" w:hAnsi="Verdana" w:cs="Arial"/>
          <w:lang w:eastAsia="es-ES"/>
        </w:rPr>
      </w:pPr>
    </w:p>
    <w:p w14:paraId="70CB2455" w14:textId="77777777" w:rsidR="005545BA" w:rsidRDefault="005545BA" w:rsidP="002B120D">
      <w:pPr>
        <w:spacing w:after="0" w:line="240" w:lineRule="auto"/>
        <w:jc w:val="both"/>
        <w:rPr>
          <w:rFonts w:ascii="Verdana" w:eastAsia="Calibri" w:hAnsi="Verdana" w:cs="Arial"/>
          <w:lang w:eastAsia="es-ES"/>
        </w:rPr>
      </w:pPr>
    </w:p>
    <w:p w14:paraId="27EA42A4" w14:textId="77777777" w:rsidR="005545BA" w:rsidRDefault="005545BA" w:rsidP="002B120D">
      <w:pPr>
        <w:spacing w:after="0" w:line="240" w:lineRule="auto"/>
        <w:jc w:val="both"/>
        <w:rPr>
          <w:rFonts w:ascii="Verdana" w:eastAsia="Calibri" w:hAnsi="Verdana" w:cs="Arial"/>
          <w:lang w:eastAsia="es-ES"/>
        </w:rPr>
      </w:pPr>
    </w:p>
    <w:p w14:paraId="098ED375" w14:textId="77777777" w:rsidR="005545BA" w:rsidRDefault="005545BA" w:rsidP="002B120D">
      <w:pPr>
        <w:spacing w:after="0" w:line="240" w:lineRule="auto"/>
        <w:jc w:val="both"/>
        <w:rPr>
          <w:rFonts w:ascii="Verdana" w:eastAsia="Calibri" w:hAnsi="Verdana" w:cs="Arial"/>
          <w:lang w:eastAsia="es-ES"/>
        </w:rPr>
      </w:pPr>
    </w:p>
    <w:p w14:paraId="528FA0B5" w14:textId="77777777" w:rsidR="005545BA" w:rsidRDefault="005545BA" w:rsidP="002B120D">
      <w:pPr>
        <w:spacing w:after="0" w:line="240" w:lineRule="auto"/>
        <w:jc w:val="both"/>
        <w:rPr>
          <w:rFonts w:ascii="Verdana" w:eastAsia="Calibri" w:hAnsi="Verdana" w:cs="Arial"/>
          <w:lang w:eastAsia="es-ES"/>
        </w:rPr>
      </w:pPr>
    </w:p>
    <w:p w14:paraId="24C87F47" w14:textId="77777777" w:rsidR="005545BA" w:rsidRDefault="005545BA" w:rsidP="002B120D">
      <w:pPr>
        <w:spacing w:after="0" w:line="240" w:lineRule="auto"/>
        <w:jc w:val="both"/>
        <w:rPr>
          <w:rFonts w:ascii="Verdana" w:eastAsia="Calibri" w:hAnsi="Verdana" w:cs="Arial"/>
          <w:lang w:eastAsia="es-ES"/>
        </w:rPr>
      </w:pPr>
    </w:p>
    <w:p w14:paraId="168FC25B" w14:textId="77777777" w:rsidR="005545BA" w:rsidRDefault="005545BA" w:rsidP="002B120D">
      <w:pPr>
        <w:spacing w:after="0" w:line="240" w:lineRule="auto"/>
        <w:jc w:val="both"/>
        <w:rPr>
          <w:rFonts w:ascii="Verdana" w:eastAsia="Calibri" w:hAnsi="Verdana" w:cs="Arial"/>
          <w:lang w:eastAsia="es-ES"/>
        </w:rPr>
      </w:pPr>
    </w:p>
    <w:p w14:paraId="12B4E9ED" w14:textId="6336873E" w:rsidR="00404EF2" w:rsidRDefault="00B27FB2" w:rsidP="002B120D">
      <w:pPr>
        <w:spacing w:after="0" w:line="240" w:lineRule="auto"/>
        <w:jc w:val="both"/>
        <w:rPr>
          <w:rFonts w:ascii="Verdana" w:eastAsia="Calibri" w:hAnsi="Verdana" w:cs="Arial"/>
          <w:lang w:eastAsia="es-ES"/>
        </w:rPr>
      </w:pPr>
      <w:r w:rsidRPr="00404EF2">
        <w:rPr>
          <w:rFonts w:ascii="Verdana" w:eastAsia="Calibri" w:hAnsi="Verdana" w:cs="Arial"/>
          <w:b/>
          <w:bCs/>
          <w:noProof/>
          <w:lang w:eastAsia="es-ES"/>
        </w:rPr>
        <w:lastRenderedPageBreak/>
        <w:drawing>
          <wp:anchor distT="0" distB="0" distL="114300" distR="114300" simplePos="0" relativeHeight="251658240" behindDoc="1" locked="0" layoutInCell="1" allowOverlap="1" wp14:anchorId="11EEB402" wp14:editId="242FB0A9">
            <wp:simplePos x="0" y="0"/>
            <wp:positionH relativeFrom="column">
              <wp:posOffset>3190570</wp:posOffset>
            </wp:positionH>
            <wp:positionV relativeFrom="paragraph">
              <wp:posOffset>5080</wp:posOffset>
            </wp:positionV>
            <wp:extent cx="2735392" cy="790575"/>
            <wp:effectExtent l="0" t="0" r="8255" b="0"/>
            <wp:wrapNone/>
            <wp:docPr id="8010539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053912" name=""/>
                    <pic:cNvPicPr/>
                  </pic:nvPicPr>
                  <pic:blipFill>
                    <a:blip r:embed="rId11">
                      <a:extLst>
                        <a:ext uri="{28A0092B-C50C-407E-A947-70E740481C1C}">
                          <a14:useLocalDpi xmlns:a14="http://schemas.microsoft.com/office/drawing/2010/main" val="0"/>
                        </a:ext>
                      </a:extLst>
                    </a:blip>
                    <a:stretch>
                      <a:fillRect/>
                    </a:stretch>
                  </pic:blipFill>
                  <pic:spPr>
                    <a:xfrm>
                      <a:off x="0" y="0"/>
                      <a:ext cx="2756137" cy="796571"/>
                    </a:xfrm>
                    <a:prstGeom prst="rect">
                      <a:avLst/>
                    </a:prstGeom>
                  </pic:spPr>
                </pic:pic>
              </a:graphicData>
            </a:graphic>
            <wp14:sizeRelH relativeFrom="page">
              <wp14:pctWidth>0</wp14:pctWidth>
            </wp14:sizeRelH>
            <wp14:sizeRelV relativeFrom="page">
              <wp14:pctHeight>0</wp14:pctHeight>
            </wp14:sizeRelV>
          </wp:anchor>
        </w:drawing>
      </w:r>
      <w:r>
        <w:rPr>
          <w:rFonts w:ascii="Verdana" w:eastAsia="Calibri" w:hAnsi="Verdana" w:cs="Arial"/>
          <w:lang w:eastAsia="es-ES"/>
        </w:rPr>
        <w:t>Bogotá, D.C., 16 de diciembre de 2025</w:t>
      </w:r>
    </w:p>
    <w:p w14:paraId="327D4287" w14:textId="047B75F8" w:rsidR="00B27FB2" w:rsidRDefault="00B27FB2" w:rsidP="002B120D">
      <w:pPr>
        <w:spacing w:after="0" w:line="240" w:lineRule="auto"/>
        <w:jc w:val="both"/>
        <w:rPr>
          <w:rFonts w:ascii="Verdana" w:eastAsia="Calibri" w:hAnsi="Verdana" w:cs="Arial"/>
          <w:lang w:eastAsia="es-ES"/>
        </w:rPr>
      </w:pPr>
    </w:p>
    <w:p w14:paraId="18CFD7C9" w14:textId="5C069501" w:rsidR="002B120D" w:rsidRDefault="002B120D" w:rsidP="002B120D">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a</w:t>
      </w:r>
    </w:p>
    <w:p w14:paraId="78960325" w14:textId="3D9394DB" w:rsidR="002B120D" w:rsidRDefault="002B120D" w:rsidP="002B120D">
      <w:pPr>
        <w:spacing w:after="0" w:line="240" w:lineRule="auto"/>
        <w:jc w:val="both"/>
        <w:rPr>
          <w:rFonts w:ascii="Verdana" w:eastAsia="Calibri" w:hAnsi="Verdana" w:cs="Arial"/>
          <w:b/>
          <w:bCs/>
          <w:lang w:eastAsia="es-ES"/>
        </w:rPr>
      </w:pPr>
      <w:r w:rsidRPr="000579AE">
        <w:rPr>
          <w:rFonts w:ascii="Verdana" w:eastAsia="Calibri" w:hAnsi="Verdana" w:cs="Arial"/>
          <w:b/>
          <w:bCs/>
          <w:lang w:eastAsia="es-ES"/>
        </w:rPr>
        <w:t>Jenny Vanessa Aguilar Palacios</w:t>
      </w:r>
    </w:p>
    <w:p w14:paraId="5B4DA88B" w14:textId="75A8AE60" w:rsidR="00404EF2" w:rsidRPr="000579AE" w:rsidRDefault="00404EF2" w:rsidP="00404EF2">
      <w:pPr>
        <w:spacing w:after="0" w:line="240" w:lineRule="auto"/>
        <w:jc w:val="right"/>
        <w:rPr>
          <w:rFonts w:ascii="Verdana" w:eastAsia="Calibri" w:hAnsi="Verdana" w:cs="Arial"/>
          <w:b/>
          <w:bCs/>
          <w:lang w:eastAsia="es-ES"/>
        </w:rPr>
      </w:pPr>
    </w:p>
    <w:p w14:paraId="2E03AD6F" w14:textId="77777777" w:rsidR="002B120D" w:rsidRPr="000579AE" w:rsidRDefault="002B120D" w:rsidP="002B120D">
      <w:pPr>
        <w:spacing w:after="0" w:line="240" w:lineRule="auto"/>
        <w:jc w:val="both"/>
        <w:rPr>
          <w:rFonts w:ascii="Verdana" w:hAnsi="Verdana"/>
        </w:rPr>
      </w:pPr>
      <w:hyperlink r:id="rId12" w:history="1">
        <w:r w:rsidRPr="000579AE">
          <w:rPr>
            <w:rStyle w:val="Hipervnculo"/>
            <w:rFonts w:ascii="Verdana" w:hAnsi="Verdana"/>
          </w:rPr>
          <w:t>jennyvanessaguilarpalacios@gmail.com</w:t>
        </w:r>
      </w:hyperlink>
    </w:p>
    <w:p w14:paraId="5E215310" w14:textId="77777777" w:rsidR="002B120D" w:rsidRPr="00791871" w:rsidRDefault="002B120D" w:rsidP="002B120D">
      <w:pPr>
        <w:spacing w:after="0" w:line="240" w:lineRule="auto"/>
        <w:jc w:val="both"/>
        <w:rPr>
          <w:rFonts w:ascii="Verdana" w:hAnsi="Verdana"/>
        </w:rPr>
      </w:pPr>
      <w:r>
        <w:rPr>
          <w:rFonts w:ascii="Verdana" w:hAnsi="Verdana"/>
        </w:rPr>
        <w:t xml:space="preserve">Quibdó – Chocó </w:t>
      </w:r>
    </w:p>
    <w:p w14:paraId="3F7C818D" w14:textId="77777777" w:rsidR="002B120D" w:rsidRPr="00791871" w:rsidRDefault="002B120D" w:rsidP="002B120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B120D" w:rsidRPr="005644FE" w14:paraId="1E1F5382" w14:textId="77777777" w:rsidTr="001E45F8">
        <w:trPr>
          <w:trHeight w:val="162"/>
        </w:trPr>
        <w:tc>
          <w:tcPr>
            <w:tcW w:w="3119" w:type="dxa"/>
          </w:tcPr>
          <w:p w14:paraId="2682D7EA" w14:textId="77777777" w:rsidR="002B120D" w:rsidRPr="00791871" w:rsidRDefault="002B120D" w:rsidP="001E45F8">
            <w:pPr>
              <w:jc w:val="both"/>
              <w:rPr>
                <w:rFonts w:ascii="Verdana" w:eastAsia="Calibri" w:hAnsi="Verdana" w:cs="Arial"/>
                <w:b/>
                <w:bCs/>
                <w:color w:val="7030A0"/>
                <w:lang w:eastAsia="es-ES_tradnl"/>
              </w:rPr>
            </w:pPr>
          </w:p>
        </w:tc>
        <w:tc>
          <w:tcPr>
            <w:tcW w:w="5670" w:type="dxa"/>
          </w:tcPr>
          <w:p w14:paraId="04A1EFBF" w14:textId="77777777" w:rsidR="002B120D" w:rsidRPr="005644FE" w:rsidRDefault="002B120D" w:rsidP="001E45F8">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 xml:space="preserve">634 </w:t>
            </w:r>
            <w:r w:rsidRPr="005644FE">
              <w:rPr>
                <w:rFonts w:ascii="Verdana" w:eastAsia="Calibri" w:hAnsi="Verdana" w:cs="Arial"/>
                <w:b/>
                <w:bCs/>
                <w:lang w:eastAsia="es-ES"/>
              </w:rPr>
              <w:t>de 2025</w:t>
            </w:r>
          </w:p>
          <w:p w14:paraId="53772DA7" w14:textId="77777777" w:rsidR="002B120D" w:rsidRPr="005644FE" w:rsidRDefault="002B120D" w:rsidP="001E45F8">
            <w:pPr>
              <w:jc w:val="both"/>
              <w:rPr>
                <w:rFonts w:ascii="Verdana" w:eastAsia="Calibri" w:hAnsi="Verdana" w:cs="Arial"/>
                <w:b/>
                <w:bCs/>
                <w:color w:val="7030A0"/>
                <w:lang w:eastAsia="es-ES"/>
              </w:rPr>
            </w:pPr>
          </w:p>
        </w:tc>
      </w:tr>
      <w:tr w:rsidR="002B120D" w:rsidRPr="005644FE" w14:paraId="65397CF2" w14:textId="77777777" w:rsidTr="001E45F8">
        <w:trPr>
          <w:trHeight w:val="884"/>
        </w:trPr>
        <w:tc>
          <w:tcPr>
            <w:tcW w:w="3119" w:type="dxa"/>
          </w:tcPr>
          <w:p w14:paraId="32D37506" w14:textId="77777777" w:rsidR="002B120D" w:rsidRPr="005644FE" w:rsidRDefault="002B120D" w:rsidP="001E45F8">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53D3600" w14:textId="6E3884DF" w:rsidR="002B120D" w:rsidRDefault="002B120D" w:rsidP="001E45F8">
            <w:pPr>
              <w:contextualSpacing/>
              <w:jc w:val="both"/>
              <w:rPr>
                <w:rFonts w:ascii="Verdana" w:eastAsia="Calibri" w:hAnsi="Verdana" w:cs="Arial"/>
                <w:color w:val="000000" w:themeColor="text1"/>
                <w:szCs w:val="24"/>
                <w:lang w:val="es-ES" w:eastAsia="es-ES_tradnl"/>
              </w:rPr>
            </w:pPr>
            <w:r w:rsidRPr="00805CA9">
              <w:rPr>
                <w:rFonts w:ascii="Verdana" w:eastAsia="Calibri" w:hAnsi="Verdana" w:cs="Arial"/>
                <w:color w:val="000000" w:themeColor="text1"/>
                <w:szCs w:val="24"/>
                <w:lang w:val="es-ES" w:eastAsia="es-ES_tradnl"/>
              </w:rPr>
              <w:t>ANTICIPO – Regulación normativa / ANTICIPO – Definición jurisprudencial / ANTICIPO – Autonomía de la voluntad – Derechos y obligaciones recíprocos / HERRAMIENTAS DE CONTROL Y SEGUIMIENTO –Garantía Única de Cumplimiento / CONSTITUCIÓN DE FIDUCIA O PATRIMONIO AUTÓNOMO IRREVOCABLE – Artículo 91 ley 1474 de 2011</w:t>
            </w:r>
            <w:r>
              <w:rPr>
                <w:rFonts w:ascii="Verdana" w:eastAsia="Calibri" w:hAnsi="Verdana" w:cs="Arial"/>
                <w:color w:val="000000" w:themeColor="text1"/>
                <w:szCs w:val="24"/>
                <w:lang w:val="es-ES" w:eastAsia="es-ES_tradnl"/>
              </w:rPr>
              <w:t xml:space="preserve"> /PAGO ANTICIPADO -</w:t>
            </w:r>
            <w:r w:rsidR="00D40FE5">
              <w:rPr>
                <w:rFonts w:ascii="Verdana" w:eastAsia="Calibri" w:hAnsi="Verdana" w:cs="Arial"/>
                <w:color w:val="000000" w:themeColor="text1"/>
                <w:szCs w:val="24"/>
                <w:lang w:val="es-ES" w:eastAsia="es-ES_tradnl"/>
              </w:rPr>
              <w:t xml:space="preserve"> </w:t>
            </w:r>
            <w:r>
              <w:rPr>
                <w:rFonts w:ascii="Verdana" w:eastAsia="Calibri" w:hAnsi="Verdana" w:cs="Arial"/>
                <w:color w:val="000000" w:themeColor="text1"/>
                <w:szCs w:val="24"/>
                <w:lang w:val="es-ES" w:eastAsia="es-ES_tradnl"/>
              </w:rPr>
              <w:t>Definición / PLAN DE INVERSIÓN – Anticipo</w:t>
            </w:r>
          </w:p>
          <w:p w14:paraId="484DA180" w14:textId="77777777" w:rsidR="002B120D" w:rsidRPr="00F04657" w:rsidRDefault="002B120D" w:rsidP="001E45F8">
            <w:pPr>
              <w:contextualSpacing/>
              <w:jc w:val="both"/>
              <w:rPr>
                <w:rFonts w:ascii="Verdana" w:eastAsia="Calibri" w:hAnsi="Verdana" w:cs="Arial"/>
                <w:color w:val="000000" w:themeColor="text1"/>
                <w:szCs w:val="24"/>
                <w:lang w:val="es-ES" w:eastAsia="es-ES_tradnl"/>
              </w:rPr>
            </w:pPr>
          </w:p>
        </w:tc>
      </w:tr>
      <w:tr w:rsidR="002B120D" w:rsidRPr="005644FE" w14:paraId="49CAB797" w14:textId="77777777" w:rsidTr="001E45F8">
        <w:tc>
          <w:tcPr>
            <w:tcW w:w="3119" w:type="dxa"/>
          </w:tcPr>
          <w:p w14:paraId="697B3AC2" w14:textId="77777777" w:rsidR="002B120D" w:rsidRPr="005644FE" w:rsidRDefault="002B120D" w:rsidP="001E45F8">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378A256E" w14:textId="77777777" w:rsidR="002B120D" w:rsidRPr="00F04657" w:rsidRDefault="002B120D" w:rsidP="001E45F8">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1E76D6">
              <w:rPr>
                <w:rFonts w:ascii="Verdana" w:hAnsi="Verdana" w:cs="Calibri"/>
                <w:color w:val="000000"/>
              </w:rPr>
              <w:t>1_2025_11_05_012474</w:t>
            </w:r>
          </w:p>
        </w:tc>
      </w:tr>
    </w:tbl>
    <w:p w14:paraId="00F1F267" w14:textId="77777777" w:rsidR="002B120D" w:rsidRPr="005644FE" w:rsidRDefault="002B120D" w:rsidP="002B120D">
      <w:pPr>
        <w:spacing w:after="0" w:line="276" w:lineRule="auto"/>
        <w:jc w:val="both"/>
        <w:rPr>
          <w:rFonts w:ascii="Verdana" w:eastAsia="Calibri" w:hAnsi="Verdana" w:cs="Arial"/>
          <w:lang w:eastAsia="es-ES_tradnl"/>
        </w:rPr>
      </w:pPr>
    </w:p>
    <w:p w14:paraId="5CED0506" w14:textId="77777777" w:rsidR="002B120D" w:rsidRPr="005644FE" w:rsidRDefault="002B120D" w:rsidP="002B120D">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Jenny Vanessa</w:t>
      </w:r>
      <w:r w:rsidRPr="005644FE">
        <w:rPr>
          <w:rFonts w:ascii="Verdana" w:eastAsia="Calibri" w:hAnsi="Verdana" w:cs="Arial"/>
          <w:lang w:eastAsia="es-ES"/>
        </w:rPr>
        <w:t>:</w:t>
      </w:r>
    </w:p>
    <w:p w14:paraId="0BE6AC72" w14:textId="77777777" w:rsidR="002B120D" w:rsidRPr="00E02524" w:rsidRDefault="002B120D" w:rsidP="002B120D">
      <w:pPr>
        <w:spacing w:after="0"/>
        <w:jc w:val="both"/>
        <w:rPr>
          <w:rFonts w:ascii="Verdana" w:hAnsi="Verdana"/>
          <w:lang w:val="es-MX"/>
        </w:rPr>
      </w:pPr>
    </w:p>
    <w:p w14:paraId="2B725A9F" w14:textId="77777777" w:rsidR="002B120D" w:rsidRDefault="002B120D" w:rsidP="002B120D">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5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5D0B4AFE" w14:textId="77777777" w:rsidR="002B120D" w:rsidRDefault="002B120D" w:rsidP="002B120D">
      <w:pPr>
        <w:spacing w:after="0"/>
        <w:jc w:val="both"/>
        <w:rPr>
          <w:rFonts w:ascii="Verdana" w:hAnsi="Verdana"/>
        </w:rPr>
      </w:pPr>
      <w:r w:rsidRPr="00E02524">
        <w:rPr>
          <w:rFonts w:ascii="Verdana" w:hAnsi="Verdana"/>
        </w:rPr>
        <w:t xml:space="preserve">PETICIÓN REALIZADA </w:t>
      </w:r>
    </w:p>
    <w:p w14:paraId="1548EC2F" w14:textId="77777777" w:rsidR="002B120D" w:rsidRPr="008E5B36" w:rsidRDefault="002B120D" w:rsidP="002B120D">
      <w:pPr>
        <w:spacing w:after="0"/>
        <w:jc w:val="both"/>
        <w:rPr>
          <w:rFonts w:ascii="Verdana" w:hAnsi="Verdana"/>
        </w:rPr>
      </w:pPr>
    </w:p>
    <w:p w14:paraId="29998EDB" w14:textId="77777777" w:rsidR="002B120D" w:rsidRPr="00A87E6E" w:rsidRDefault="002B120D" w:rsidP="002B120D">
      <w:pPr>
        <w:spacing w:after="0"/>
        <w:ind w:left="567" w:right="758"/>
        <w:jc w:val="both"/>
        <w:rPr>
          <w:rFonts w:ascii="Verdana" w:hAnsi="Verdana"/>
          <w:sz w:val="20"/>
          <w:szCs w:val="20"/>
        </w:rPr>
      </w:pPr>
      <w:r>
        <w:rPr>
          <w:rFonts w:ascii="Verdana" w:hAnsi="Verdana"/>
          <w:sz w:val="20"/>
          <w:szCs w:val="20"/>
        </w:rPr>
        <w:t xml:space="preserve">“(…) </w:t>
      </w:r>
      <w:r w:rsidRPr="001E76D6">
        <w:rPr>
          <w:rFonts w:ascii="Verdana" w:hAnsi="Verdana"/>
          <w:sz w:val="20"/>
          <w:szCs w:val="20"/>
        </w:rPr>
        <w:t>En los contratos de interventoría, una vez pactado</w:t>
      </w:r>
      <w:r>
        <w:rPr>
          <w:rFonts w:ascii="Verdana" w:hAnsi="Verdana"/>
          <w:sz w:val="20"/>
          <w:szCs w:val="20"/>
        </w:rPr>
        <w:t xml:space="preserve"> (sic)</w:t>
      </w:r>
      <w:r w:rsidRPr="001E76D6">
        <w:rPr>
          <w:rFonts w:ascii="Verdana" w:hAnsi="Verdana"/>
          <w:sz w:val="20"/>
          <w:szCs w:val="20"/>
        </w:rPr>
        <w:t xml:space="preserve"> la forma de pago, ya sea anticipo o </w:t>
      </w:r>
      <w:r>
        <w:rPr>
          <w:rFonts w:ascii="Verdana" w:hAnsi="Verdana"/>
          <w:sz w:val="20"/>
          <w:szCs w:val="20"/>
        </w:rPr>
        <w:t xml:space="preserve">(sic) </w:t>
      </w:r>
      <w:r w:rsidRPr="001E76D6">
        <w:rPr>
          <w:rFonts w:ascii="Verdana" w:hAnsi="Verdana"/>
          <w:sz w:val="20"/>
          <w:szCs w:val="20"/>
        </w:rPr>
        <w:t>anticipada</w:t>
      </w:r>
      <w:r>
        <w:rPr>
          <w:rFonts w:ascii="Verdana" w:hAnsi="Verdana"/>
          <w:sz w:val="20"/>
          <w:szCs w:val="20"/>
        </w:rPr>
        <w:t xml:space="preserve"> (sic)</w:t>
      </w:r>
      <w:r w:rsidRPr="001E76D6">
        <w:rPr>
          <w:rFonts w:ascii="Verdana" w:hAnsi="Verdana"/>
          <w:sz w:val="20"/>
          <w:szCs w:val="20"/>
        </w:rPr>
        <w:t xml:space="preserve">, se le puede exigir al contratista un plan de manejo y correcta inversión de este? </w:t>
      </w:r>
      <w:r w:rsidRPr="008E5B36">
        <w:rPr>
          <w:rFonts w:ascii="Verdana" w:hAnsi="Verdana"/>
          <w:sz w:val="20"/>
          <w:szCs w:val="20"/>
        </w:rPr>
        <w:t>(…)”.</w:t>
      </w:r>
    </w:p>
    <w:p w14:paraId="030A41DA" w14:textId="77777777" w:rsidR="002B120D" w:rsidRDefault="002B120D" w:rsidP="002B120D">
      <w:pPr>
        <w:spacing w:after="0" w:line="240" w:lineRule="auto"/>
        <w:ind w:firstLine="709"/>
        <w:jc w:val="both"/>
        <w:rPr>
          <w:rFonts w:ascii="Verdana" w:eastAsia="Calibri" w:hAnsi="Verdana" w:cs="Arial"/>
          <w:color w:val="000000"/>
          <w:lang w:eastAsia="es-ES"/>
        </w:rPr>
      </w:pPr>
    </w:p>
    <w:p w14:paraId="3B8CF6F3" w14:textId="77777777" w:rsidR="002B120D" w:rsidRPr="005644FE" w:rsidRDefault="002B120D" w:rsidP="002B120D">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41340D8" w14:textId="77777777" w:rsidR="00B822A9" w:rsidRDefault="002B120D" w:rsidP="00B822A9">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w:t>
      </w:r>
      <w:r w:rsidRPr="000B7077">
        <w:rPr>
          <w:rFonts w:ascii="Verdana" w:eastAsia="Calibri" w:hAnsi="Verdana" w:cs="Arial"/>
          <w:color w:val="000000"/>
          <w:lang w:eastAsia="es-ES"/>
        </w:rPr>
        <w:t>señalando algunas consideraciones sobre las normas generales relacionadas a los problemas jurídicos de su consulta.</w:t>
      </w:r>
      <w:r w:rsidRPr="000B7077">
        <w:rPr>
          <w:rFonts w:ascii="Verdana" w:eastAsia="Calibri" w:hAnsi="Verdana" w:cs="Arial"/>
          <w:lang w:eastAsia="es-ES"/>
        </w:rPr>
        <w:t xml:space="preserve"> </w:t>
      </w:r>
    </w:p>
    <w:p w14:paraId="29EAAF4F" w14:textId="76D3BD54" w:rsidR="002B120D" w:rsidRPr="000B7077" w:rsidRDefault="002B120D" w:rsidP="007535B2">
      <w:pPr>
        <w:spacing w:after="0" w:line="276" w:lineRule="auto"/>
        <w:ind w:firstLine="709"/>
        <w:jc w:val="both"/>
        <w:rPr>
          <w:rFonts w:ascii="Verdana" w:eastAsia="Calibri" w:hAnsi="Verdana" w:cs="Arial"/>
          <w:lang w:eastAsia="es-ES"/>
        </w:rPr>
      </w:pPr>
      <w:r w:rsidRPr="000B7077">
        <w:rPr>
          <w:rFonts w:ascii="Verdana" w:eastAsia="Calibri" w:hAnsi="Verdana" w:cs="Arial"/>
          <w:lang w:eastAsia="es-ES"/>
        </w:rPr>
        <w:t xml:space="preserve"> </w:t>
      </w:r>
    </w:p>
    <w:p w14:paraId="2B542AD0" w14:textId="77777777" w:rsidR="002B120D" w:rsidRPr="000B7077" w:rsidRDefault="002B120D" w:rsidP="00B822A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B7077">
        <w:rPr>
          <w:rFonts w:ascii="Verdana" w:eastAsia="Century Gothic" w:hAnsi="Verdana" w:cs="Century Gothic"/>
          <w:b/>
          <w:bCs/>
        </w:rPr>
        <w:t>Problema planteado:</w:t>
      </w:r>
    </w:p>
    <w:p w14:paraId="56FB417B" w14:textId="77777777" w:rsidR="002B120D" w:rsidRPr="00CE2BA9" w:rsidRDefault="002B120D" w:rsidP="007535B2">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rPr>
      </w:pPr>
    </w:p>
    <w:p w14:paraId="000BF650" w14:textId="004613E2" w:rsidR="002B120D" w:rsidRPr="000B7077" w:rsidRDefault="002B120D" w:rsidP="00B822A9">
      <w:pPr>
        <w:spacing w:after="0" w:line="276" w:lineRule="auto"/>
        <w:jc w:val="both"/>
        <w:rPr>
          <w:rFonts w:ascii="Verdana" w:eastAsia="Century Gothic" w:hAnsi="Verdana" w:cs="Century Gothic"/>
        </w:rPr>
      </w:pPr>
      <w:r w:rsidRPr="000B7077">
        <w:rPr>
          <w:rFonts w:ascii="Verdana" w:eastAsia="Calibri" w:hAnsi="Verdana" w:cs="Arial"/>
          <w:color w:val="000000"/>
          <w:lang w:eastAsia="es-ES"/>
        </w:rPr>
        <w:t>De acuerdo con el contenido de su solicitud, esta Agencia resolverá los siguientes problemas jurídicos:</w:t>
      </w:r>
      <w:r w:rsidRPr="000B7077">
        <w:rPr>
          <w:rFonts w:ascii="Verdana" w:eastAsia="Century Gothic" w:hAnsi="Verdana" w:cs="Century Gothic"/>
        </w:rPr>
        <w:t xml:space="preserve"> i) ¿Cuál es el alcance de</w:t>
      </w:r>
      <w:r>
        <w:rPr>
          <w:rFonts w:ascii="Verdana" w:eastAsia="Century Gothic" w:hAnsi="Verdana" w:cs="Century Gothic"/>
        </w:rPr>
        <w:t xml:space="preserve"> </w:t>
      </w:r>
      <w:r w:rsidRPr="000B7077">
        <w:rPr>
          <w:rFonts w:ascii="Verdana" w:eastAsia="Century Gothic" w:hAnsi="Verdana" w:cs="Century Gothic"/>
        </w:rPr>
        <w:t>l</w:t>
      </w:r>
      <w:r>
        <w:rPr>
          <w:rFonts w:ascii="Verdana" w:eastAsia="Century Gothic" w:hAnsi="Verdana" w:cs="Century Gothic"/>
        </w:rPr>
        <w:t>os conceptos de</w:t>
      </w:r>
      <w:r w:rsidRPr="000B7077">
        <w:rPr>
          <w:rFonts w:ascii="Verdana" w:eastAsia="Century Gothic" w:hAnsi="Verdana" w:cs="Century Gothic"/>
        </w:rPr>
        <w:t xml:space="preserve"> anticipo y del pago anticipado?</w:t>
      </w:r>
      <w:r w:rsidR="00B822A9">
        <w:rPr>
          <w:rFonts w:ascii="Verdana" w:eastAsia="Century Gothic" w:hAnsi="Verdana" w:cs="Century Gothic"/>
        </w:rPr>
        <w:t>;</w:t>
      </w:r>
      <w:r w:rsidRPr="000B7077">
        <w:rPr>
          <w:rFonts w:ascii="Verdana" w:eastAsia="Century Gothic" w:hAnsi="Verdana" w:cs="Century Gothic"/>
        </w:rPr>
        <w:t xml:space="preserve"> ii) Al pactarse anticipo en un contrato de interventoría ¿se le puede exigir al contratista interventor un plan de manejo e inversión del anticipo?  </w:t>
      </w:r>
    </w:p>
    <w:p w14:paraId="65F4FA61" w14:textId="77777777" w:rsidR="002B120D" w:rsidRPr="000B7077" w:rsidRDefault="002B120D" w:rsidP="007535B2">
      <w:pPr>
        <w:spacing w:after="0" w:line="276" w:lineRule="auto"/>
        <w:jc w:val="both"/>
        <w:rPr>
          <w:rFonts w:ascii="Verdana" w:eastAsia="Calibri" w:hAnsi="Verdana" w:cs="Arial"/>
          <w:color w:val="000000"/>
          <w:lang w:eastAsia="es-ES"/>
        </w:rPr>
      </w:pPr>
    </w:p>
    <w:p w14:paraId="02365899" w14:textId="77777777" w:rsidR="002B120D" w:rsidRDefault="002B120D" w:rsidP="00B822A9">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79F1A245" w14:textId="77777777" w:rsidR="002B120D" w:rsidRPr="005644FE" w:rsidRDefault="002B120D" w:rsidP="007535B2">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B120D" w:rsidRPr="005644FE" w14:paraId="3123A7A5" w14:textId="77777777" w:rsidTr="001E45F8">
        <w:tc>
          <w:tcPr>
            <w:tcW w:w="8828" w:type="dxa"/>
          </w:tcPr>
          <w:p w14:paraId="45EB3637" w14:textId="77777777" w:rsidR="002B120D" w:rsidRDefault="002B120D" w:rsidP="00B822A9">
            <w:pPr>
              <w:widowControl w:val="0"/>
              <w:autoSpaceDE w:val="0"/>
              <w:autoSpaceDN w:val="0"/>
              <w:spacing w:after="120" w:line="276" w:lineRule="auto"/>
              <w:jc w:val="both"/>
              <w:rPr>
                <w:rFonts w:ascii="Verdana" w:eastAsia="Calibri" w:hAnsi="Verdana" w:cs="Arial"/>
              </w:rPr>
            </w:pPr>
            <w:r>
              <w:rPr>
                <w:rFonts w:ascii="Verdana" w:eastAsia="Calibri" w:hAnsi="Verdana" w:cs="Arial"/>
                <w:color w:val="000000" w:themeColor="text1"/>
              </w:rPr>
              <w:t>i) E</w:t>
            </w:r>
            <w:r w:rsidRPr="00326D28">
              <w:rPr>
                <w:rFonts w:ascii="Verdana" w:eastAsia="Calibri" w:hAnsi="Verdana" w:cs="Arial"/>
                <w:color w:val="000000" w:themeColor="text1"/>
              </w:rPr>
              <w:t xml:space="preserv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al avance en la ejecución</w:t>
            </w:r>
            <w:r>
              <w:rPr>
                <w:rFonts w:ascii="Verdana" w:eastAsia="Calibri" w:hAnsi="Verdana" w:cs="Arial"/>
              </w:rPr>
              <w:t xml:space="preserve"> de la obra o del servicio</w:t>
            </w:r>
            <w:r w:rsidRPr="00326D28">
              <w:rPr>
                <w:rFonts w:ascii="Verdana" w:eastAsia="Calibri" w:hAnsi="Verdana" w:cs="Arial"/>
              </w:rPr>
              <w:t>. De esta forma, los recursos entregados a título de anticipo son del erario, razón por la que debe garantizarse su buen manejo y correcta inversión.</w:t>
            </w:r>
          </w:p>
          <w:p w14:paraId="6B8BC434" w14:textId="0BE12DAD" w:rsidR="002B120D" w:rsidRPr="00326D28" w:rsidRDefault="002B120D">
            <w:pPr>
              <w:tabs>
                <w:tab w:val="left" w:pos="0"/>
              </w:tabs>
              <w:spacing w:after="120" w:line="276" w:lineRule="auto"/>
              <w:ind w:firstLine="709"/>
              <w:jc w:val="both"/>
              <w:rPr>
                <w:rFonts w:ascii="Verdana" w:eastAsia="Calibri" w:hAnsi="Verdana" w:cs="Arial"/>
                <w:lang w:val="es-MX"/>
              </w:rPr>
            </w:pPr>
            <w:r>
              <w:rPr>
                <w:rFonts w:ascii="Verdana" w:eastAsia="Calibri" w:hAnsi="Verdana" w:cs="Arial"/>
              </w:rPr>
              <w:lastRenderedPageBreak/>
              <w:t xml:space="preserve">Según lo establecido en el artículo 40 de la Ley 80 de 1993, </w:t>
            </w:r>
            <w:r w:rsidRPr="00326D28">
              <w:rPr>
                <w:rFonts w:ascii="Verdana" w:eastAsia="Calibri" w:hAnsi="Verdana" w:cs="Arial"/>
              </w:rPr>
              <w:t xml:space="preserve">las entidades podrán </w:t>
            </w:r>
            <w:r>
              <w:rPr>
                <w:rFonts w:ascii="Verdana" w:eastAsia="Calibri" w:hAnsi="Verdana" w:cs="Arial"/>
              </w:rPr>
              <w:t xml:space="preserve">pactar el anticipo y </w:t>
            </w:r>
            <w:r w:rsidRPr="00326D28">
              <w:rPr>
                <w:rFonts w:ascii="Verdana" w:eastAsia="Calibri" w:hAnsi="Verdana" w:cs="Arial"/>
              </w:rPr>
              <w:t xml:space="preserve">determinar las condiciones de entrega, el monto –que no podrá ser superior al </w:t>
            </w:r>
            <w:r w:rsidR="00B822A9">
              <w:rPr>
                <w:rFonts w:ascii="Verdana" w:eastAsia="Calibri" w:hAnsi="Verdana" w:cs="Arial"/>
              </w:rPr>
              <w:t>cincuenta por ciento (</w:t>
            </w:r>
            <w:r w:rsidRPr="00326D28">
              <w:rPr>
                <w:rFonts w:ascii="Verdana" w:eastAsia="Calibri" w:hAnsi="Verdana" w:cs="Arial"/>
              </w:rPr>
              <w:t>50%</w:t>
            </w:r>
            <w:r w:rsidR="00B822A9">
              <w:rPr>
                <w:rFonts w:ascii="Verdana" w:eastAsia="Calibri" w:hAnsi="Verdana" w:cs="Arial"/>
              </w:rPr>
              <w:t>)</w:t>
            </w:r>
            <w:r w:rsidRPr="00326D28">
              <w:rPr>
                <w:rFonts w:ascii="Verdana" w:eastAsia="Calibri" w:hAnsi="Verdana" w:cs="Arial"/>
              </w:rPr>
              <w:t xml:space="preserve"> del valor del contrato–, el plazo de amortización, las condiciones necesarias para su exigibilidad, así como todas las obligaciones para su correcta inversión.</w:t>
            </w:r>
          </w:p>
          <w:p w14:paraId="6BF2F221" w14:textId="77777777" w:rsidR="002B120D" w:rsidRDefault="002B120D" w:rsidP="007535B2">
            <w:pPr>
              <w:tabs>
                <w:tab w:val="left" w:pos="0"/>
              </w:tabs>
              <w:spacing w:after="120" w:line="276" w:lineRule="auto"/>
              <w:ind w:firstLine="709"/>
              <w:jc w:val="both"/>
              <w:rPr>
                <w:rFonts w:ascii="Verdana" w:hAnsi="Verdana" w:cs="Arial"/>
                <w:color w:val="000000" w:themeColor="text1"/>
                <w:lang w:val="es-ES"/>
              </w:rPr>
            </w:pPr>
            <w:r w:rsidRPr="00326D28">
              <w:rPr>
                <w:rFonts w:ascii="Verdana" w:eastAsia="Calibri" w:hAnsi="Verdana" w:cs="Arial"/>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326D28">
              <w:rPr>
                <w:rFonts w:ascii="Verdana" w:hAnsi="Verdana" w:cs="Arial"/>
                <w:color w:val="000000" w:themeColor="text1"/>
                <w:lang w:val="es-ES"/>
              </w:rPr>
              <w:t xml:space="preserve">De hecho, el Estatuto General de Contratación de la Administración Pública dispone como única limitación el valor máximo que puede desembolsar la entidad para pactar el anticipo. </w:t>
            </w:r>
          </w:p>
          <w:p w14:paraId="434BBF73" w14:textId="64D07D03" w:rsidR="002B120D" w:rsidRDefault="002B120D" w:rsidP="007535B2">
            <w:pPr>
              <w:spacing w:after="120" w:line="276" w:lineRule="auto"/>
              <w:ind w:firstLine="709"/>
              <w:jc w:val="both"/>
              <w:rPr>
                <w:rFonts w:ascii="Verdana" w:eastAsia="Calibri" w:hAnsi="Verdana" w:cs="Arial"/>
              </w:rPr>
            </w:pPr>
            <w:r>
              <w:rPr>
                <w:rFonts w:ascii="Verdana" w:hAnsi="Verdana" w:cs="Arial"/>
                <w:color w:val="000000" w:themeColor="text1"/>
                <w:lang w:val="es-ES"/>
              </w:rPr>
              <w:t xml:space="preserve">Por otro lado, teniendo en cuenta que el anticipo son recursos públicos, la entidad deberá adoptar las medidas necesarias y razonables para </w:t>
            </w:r>
            <w:r w:rsidRPr="00326D28">
              <w:rPr>
                <w:rFonts w:ascii="Verdana" w:eastAsia="Calibri" w:hAnsi="Verdana" w:cs="Arial"/>
              </w:rPr>
              <w:t>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ii) el uso indebido del anticipo; y iii) la apropiación indebida de los recursos recibidos en calidad de anticipo. </w:t>
            </w:r>
          </w:p>
          <w:p w14:paraId="2F86B8C1" w14:textId="1B76A9C6" w:rsidR="002B120D" w:rsidRDefault="002B120D" w:rsidP="007535B2">
            <w:pPr>
              <w:spacing w:after="120" w:line="276" w:lineRule="auto"/>
              <w:ind w:firstLine="709"/>
              <w:jc w:val="both"/>
              <w:rPr>
                <w:rFonts w:ascii="Verdana" w:eastAsia="Calibri" w:hAnsi="Verdana" w:cs="Arial"/>
              </w:rPr>
            </w:pPr>
            <w:r>
              <w:rPr>
                <w:rFonts w:ascii="Verdana" w:eastAsia="Calibri" w:hAnsi="Verdana" w:cs="Arial"/>
              </w:rPr>
              <w:t>Además,</w:t>
            </w:r>
            <w:r w:rsidRPr="005F2061">
              <w:rPr>
                <w:rFonts w:ascii="Verdana" w:eastAsia="Calibri" w:hAnsi="Verdana" w:cs="Arial"/>
              </w:rPr>
              <w:t xml:space="preserve"> conforme al citado artículo 91 de la Ley 1474 de 2011, existen algunos contratos respecto de los cuales la ley obliga al contratista de constituir una fiducia mercantil para el manejo de los recursos entregados a título de anticipo.</w:t>
            </w:r>
          </w:p>
          <w:p w14:paraId="5E6A8659" w14:textId="77777777" w:rsidR="002B120D" w:rsidRDefault="002B120D" w:rsidP="001E45F8">
            <w:pPr>
              <w:spacing w:line="276" w:lineRule="auto"/>
              <w:ind w:firstLine="709"/>
              <w:jc w:val="both"/>
              <w:rPr>
                <w:rFonts w:ascii="Verdana" w:eastAsia="Calibri" w:hAnsi="Verdana" w:cs="Arial"/>
              </w:rPr>
            </w:pPr>
            <w:r>
              <w:rPr>
                <w:rFonts w:ascii="Verdana" w:eastAsia="Calibri" w:hAnsi="Verdana" w:cs="Arial"/>
              </w:rPr>
              <w:t xml:space="preserve">Por su parte, </w:t>
            </w:r>
            <w:r w:rsidRPr="00E9090B">
              <w:rPr>
                <w:rFonts w:ascii="Verdana" w:eastAsia="Calibri" w:hAnsi="Verdana" w:cs="Arial"/>
              </w:rPr>
              <w:t xml:space="preserve">la institución jurídica del pago anticipado se concibe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37B0F40D" w14:textId="77777777" w:rsidR="002B120D" w:rsidRDefault="002B120D" w:rsidP="001E45F8">
            <w:pPr>
              <w:spacing w:line="276" w:lineRule="auto"/>
              <w:jc w:val="both"/>
              <w:rPr>
                <w:rFonts w:ascii="Verdana" w:eastAsia="Calibri" w:hAnsi="Verdana" w:cs="Arial"/>
              </w:rPr>
            </w:pPr>
          </w:p>
          <w:p w14:paraId="0ADE417F" w14:textId="7F15C39F" w:rsidR="002B120D" w:rsidRDefault="002B120D" w:rsidP="007535B2">
            <w:pPr>
              <w:spacing w:after="120" w:line="276" w:lineRule="auto"/>
              <w:jc w:val="both"/>
              <w:rPr>
                <w:rFonts w:ascii="Verdana" w:eastAsia="Calibri" w:hAnsi="Verdana" w:cs="Arial"/>
              </w:rPr>
            </w:pPr>
            <w:r>
              <w:rPr>
                <w:rFonts w:ascii="Verdana" w:eastAsia="Calibri" w:hAnsi="Verdana" w:cs="Arial"/>
              </w:rPr>
              <w:t>ii) En atención</w:t>
            </w:r>
            <w:r w:rsidRPr="002E3FFE">
              <w:rPr>
                <w:rFonts w:ascii="Verdana" w:eastAsia="Calibri" w:hAnsi="Verdana" w:cs="Arial"/>
              </w:rPr>
              <w:t xml:space="preserve"> a la relevancia jurídica que reviste el anticipo por tratarse de recursos públicos</w:t>
            </w:r>
            <w:r>
              <w:rPr>
                <w:rFonts w:ascii="Verdana" w:eastAsia="Calibri" w:hAnsi="Verdana" w:cs="Arial"/>
              </w:rPr>
              <w:t xml:space="preserve"> </w:t>
            </w:r>
            <w:r w:rsidRPr="002E3FFE">
              <w:rPr>
                <w:rFonts w:ascii="Verdana" w:eastAsia="Calibri" w:hAnsi="Verdana" w:cs="Arial"/>
              </w:rPr>
              <w:t xml:space="preserve">una de las herramientas con las que cuenta la entidad contratante para ejercer control sobre el uso del anticipo es la inclusión, dentro </w:t>
            </w:r>
            <w:r w:rsidRPr="002E3FFE">
              <w:rPr>
                <w:rFonts w:ascii="Verdana" w:eastAsia="Calibri" w:hAnsi="Verdana" w:cs="Arial"/>
              </w:rPr>
              <w:lastRenderedPageBreak/>
              <w:t>de las estipulaciones contractuales, de la obligación a cargo del contratista de presentar planes de inversión de los recursos entregados</w:t>
            </w:r>
            <w:r>
              <w:rPr>
                <w:rFonts w:ascii="Verdana" w:eastAsia="Calibri" w:hAnsi="Verdana" w:cs="Arial"/>
              </w:rPr>
              <w:t xml:space="preserve">. </w:t>
            </w:r>
          </w:p>
          <w:p w14:paraId="4C130C5E" w14:textId="2330A1FC" w:rsidR="002B120D" w:rsidRDefault="002B120D" w:rsidP="007535B2">
            <w:pPr>
              <w:spacing w:after="120" w:line="276" w:lineRule="auto"/>
              <w:ind w:firstLine="709"/>
              <w:jc w:val="both"/>
              <w:rPr>
                <w:rFonts w:ascii="Verdana" w:eastAsia="Calibri" w:hAnsi="Verdana" w:cs="Arial"/>
              </w:rPr>
            </w:pPr>
            <w:r w:rsidRPr="2168E165">
              <w:rPr>
                <w:rFonts w:ascii="Verdana" w:eastAsia="Calibri" w:hAnsi="Verdana" w:cs="Arial"/>
              </w:rPr>
              <w:t>Por ello, resulta jurídicamente recomendable que la obligación de presentar el plan de inversión del anticipo se incorpore expresamente en el contrato y se establezca su carácter vinculante, precisando que el plan hará parte integral del mismo. De esta manera, ante un eventual incumplimiento de lo estipulado en dicho plan, se configuraría una infracción contractual susceptible de ser tramitada conforme al procedimiento previsto en el artículo 86 de la Ley 1474 de 2011, habilitando la imposición de medidas como la aplicación de multas, la declaratoria de incumplimiento, la efectividad de la cláusula penal pecuniaria y la ejecución de las garantías contractuales</w:t>
            </w:r>
            <w:r>
              <w:rPr>
                <w:rFonts w:ascii="Verdana" w:eastAsia="Calibri" w:hAnsi="Verdana" w:cs="Arial"/>
              </w:rPr>
              <w:t>.</w:t>
            </w:r>
          </w:p>
          <w:p w14:paraId="11CE446C" w14:textId="77777777" w:rsidR="002B120D" w:rsidRPr="00A6316B" w:rsidRDefault="002B120D" w:rsidP="007535B2">
            <w:pPr>
              <w:spacing w:line="276" w:lineRule="auto"/>
              <w:ind w:firstLine="709"/>
              <w:jc w:val="both"/>
              <w:rPr>
                <w:rFonts w:ascii="Verdana" w:eastAsia="Calibri" w:hAnsi="Verdana" w:cs="Arial"/>
              </w:rPr>
            </w:pPr>
            <w:r>
              <w:rPr>
                <w:rFonts w:ascii="Verdana" w:eastAsia="Calibri" w:hAnsi="Verdana" w:cs="Arial"/>
              </w:rPr>
              <w:t>Adicionalmente, otra de las</w:t>
            </w:r>
            <w:r w:rsidRPr="00474EA6">
              <w:rPr>
                <w:rFonts w:ascii="Verdana" w:eastAsia="Calibri" w:hAnsi="Verdana" w:cs="Arial"/>
              </w:rPr>
              <w:t xml:space="preserve"> herramientas con las que cuenta la entidad estatal para el adecuado ejercicio de su deber de seguimiento y control sobre los recursos entregados a título de anticipo es la incorporación, en el clausulado contractual, de la obligación del contratista de constituir la garantía única de cumplimiento, incluyendo expresamente el amparo de buen manejo y correcta inversión del anticipo.</w:t>
            </w:r>
          </w:p>
        </w:tc>
      </w:tr>
    </w:tbl>
    <w:p w14:paraId="3FE33890" w14:textId="77777777" w:rsidR="002B120D" w:rsidRDefault="002B120D" w:rsidP="002B120D">
      <w:pPr>
        <w:tabs>
          <w:tab w:val="left" w:pos="142"/>
          <w:tab w:val="left" w:pos="284"/>
        </w:tabs>
        <w:spacing w:after="0" w:line="276" w:lineRule="auto"/>
        <w:jc w:val="both"/>
        <w:rPr>
          <w:rFonts w:ascii="Verdana" w:eastAsia="Century Gothic" w:hAnsi="Verdana" w:cs="Century Gothic"/>
          <w:b/>
          <w:bCs/>
        </w:rPr>
      </w:pPr>
    </w:p>
    <w:p w14:paraId="0AFDBB11" w14:textId="77777777" w:rsidR="002B120D" w:rsidRPr="005644FE" w:rsidRDefault="002B120D" w:rsidP="002B120D">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2FE2AFB" w14:textId="77777777" w:rsidR="002B120D" w:rsidRPr="005644FE" w:rsidRDefault="002B120D" w:rsidP="002B120D">
      <w:pPr>
        <w:pStyle w:val="Prrafodelista"/>
        <w:tabs>
          <w:tab w:val="left" w:pos="142"/>
          <w:tab w:val="left" w:pos="284"/>
        </w:tabs>
        <w:spacing w:after="0" w:line="240" w:lineRule="auto"/>
        <w:ind w:left="0"/>
        <w:contextualSpacing w:val="0"/>
        <w:jc w:val="both"/>
        <w:rPr>
          <w:rFonts w:ascii="Verdana" w:eastAsia="Calibri" w:hAnsi="Verdana" w:cs="Arial"/>
        </w:rPr>
      </w:pPr>
    </w:p>
    <w:p w14:paraId="2BC3B4AE" w14:textId="77777777" w:rsidR="002B120D" w:rsidRDefault="002B120D" w:rsidP="002B120D">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DF7345B" w14:textId="77777777" w:rsidR="002B120D" w:rsidRDefault="002B120D" w:rsidP="002B120D">
      <w:pPr>
        <w:tabs>
          <w:tab w:val="left" w:pos="142"/>
          <w:tab w:val="left" w:pos="284"/>
        </w:tabs>
        <w:spacing w:after="0" w:line="240" w:lineRule="auto"/>
        <w:jc w:val="both"/>
        <w:rPr>
          <w:rFonts w:ascii="Verdana" w:eastAsia="Calibri" w:hAnsi="Verdana" w:cs="Arial"/>
        </w:rPr>
      </w:pPr>
    </w:p>
    <w:p w14:paraId="5FA042ED" w14:textId="77777777" w:rsidR="002B120D" w:rsidRPr="00326D28" w:rsidRDefault="002B120D" w:rsidP="002B120D">
      <w:pPr>
        <w:tabs>
          <w:tab w:val="left" w:pos="0"/>
        </w:tabs>
        <w:spacing w:after="120" w:line="276" w:lineRule="auto"/>
        <w:jc w:val="both"/>
        <w:rPr>
          <w:rFonts w:ascii="Verdana" w:hAnsi="Verdana" w:cs="Arial"/>
          <w:color w:val="000000" w:themeColor="text1"/>
        </w:rPr>
      </w:pPr>
      <w:r w:rsidRPr="00326D28">
        <w:rPr>
          <w:rFonts w:ascii="Verdana" w:hAnsi="Verdana" w:cs="Arial"/>
          <w:lang w:val="es-ES_tradnl"/>
        </w:rPr>
        <w:t>i</w:t>
      </w:r>
      <w:r>
        <w:rPr>
          <w:rFonts w:ascii="Verdana" w:hAnsi="Verdana" w:cs="Arial"/>
          <w:lang w:val="es-ES_tradnl"/>
        </w:rPr>
        <w:t>)</w:t>
      </w:r>
      <w:r w:rsidRPr="00326D28">
        <w:rPr>
          <w:rFonts w:ascii="Verdana" w:hAnsi="Verdana" w:cs="Arial"/>
          <w:lang w:val="es-ES_tradnl"/>
        </w:rPr>
        <w:t xml:space="preserve"> </w:t>
      </w:r>
      <w:r w:rsidRPr="00326D28">
        <w:rPr>
          <w:rFonts w:ascii="Verdana" w:eastAsia="Calibri" w:hAnsi="Verdana" w:cs="Arial"/>
          <w:color w:val="000000"/>
          <w:lang w:eastAsia="en-GB"/>
        </w:rPr>
        <w:t>En materia de contratación pública, la figura del anticipo está prevista en dos (2) normas: el</w:t>
      </w:r>
      <w:r w:rsidRPr="00326D28">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eastAsia="Calibri" w:hAnsi="Verdana" w:cs="Arial"/>
          <w:color w:val="000000" w:themeColor="text1"/>
          <w:lang w:val="es-ES"/>
        </w:rPr>
        <w:t>“</w:t>
      </w:r>
      <w:r w:rsidRPr="00326D28">
        <w:rPr>
          <w:rFonts w:ascii="Verdana" w:hAnsi="Verdana" w:cs="Arial"/>
          <w:color w:val="000000" w:themeColor="text1"/>
        </w:rPr>
        <w:t>En los contratos que celebren las entidades estatales se podrá pactar el pago anticipado y la entrega de anticipos, pero su monto no podrá exceder del cincuenta por ciento (50%) del valor del respectivo contrato</w:t>
      </w:r>
      <w:r>
        <w:rPr>
          <w:rFonts w:ascii="Verdana" w:eastAsia="Calibri" w:hAnsi="Verdana" w:cs="Arial"/>
          <w:color w:val="000000" w:themeColor="text1"/>
          <w:lang w:val="es-ES"/>
        </w:rPr>
        <w:t>”</w:t>
      </w:r>
      <w:r w:rsidRPr="00326D28">
        <w:rPr>
          <w:rFonts w:ascii="Verdana" w:hAnsi="Verdana" w:cs="Arial"/>
          <w:color w:val="000000" w:themeColor="text1"/>
        </w:rPr>
        <w:t xml:space="preserve">. </w:t>
      </w:r>
    </w:p>
    <w:p w14:paraId="22345CF6" w14:textId="77777777" w:rsidR="002B120D" w:rsidRPr="00326D28" w:rsidRDefault="002B120D" w:rsidP="002B120D">
      <w:pPr>
        <w:tabs>
          <w:tab w:val="left" w:pos="0"/>
        </w:tabs>
        <w:spacing w:after="120" w:line="276" w:lineRule="auto"/>
        <w:ind w:firstLine="709"/>
        <w:jc w:val="both"/>
        <w:rPr>
          <w:rFonts w:ascii="Verdana" w:hAnsi="Verdana" w:cs="Arial"/>
          <w:color w:val="000000" w:themeColor="text1"/>
        </w:rPr>
      </w:pPr>
      <w:r w:rsidRPr="00326D28">
        <w:rPr>
          <w:rFonts w:ascii="Verdana" w:hAnsi="Verdana" w:cs="Arial"/>
          <w:color w:val="000000" w:themeColor="text1"/>
        </w:rPr>
        <w:t xml:space="preserve">Por su parte, </w:t>
      </w:r>
      <w:r w:rsidRPr="00326D28">
        <w:rPr>
          <w:rFonts w:ascii="Verdana" w:hAnsi="Verdana" w:cs="Arial"/>
          <w:color w:val="000000" w:themeColor="text1"/>
          <w:lang w:val="es-ES"/>
        </w:rPr>
        <w:t xml:space="preserve">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w:t>
      </w:r>
      <w:r w:rsidRPr="00326D28">
        <w:rPr>
          <w:rFonts w:ascii="Verdana" w:hAnsi="Verdana" w:cs="Arial"/>
          <w:color w:val="000000" w:themeColor="text1"/>
          <w:lang w:val="es-ES"/>
        </w:rPr>
        <w:lastRenderedPageBreak/>
        <w:t>anterior, para el manejo de los recursos desembolsados bajo el mencionado concepto, con el fin de garantizar que se destinen exclusivamente a la ejecución del contrato.</w:t>
      </w:r>
    </w:p>
    <w:p w14:paraId="4DDEFB32" w14:textId="77777777" w:rsidR="002B120D" w:rsidRPr="00326D28" w:rsidRDefault="002B120D" w:rsidP="002B120D">
      <w:pPr>
        <w:tabs>
          <w:tab w:val="left" w:pos="0"/>
        </w:tabs>
        <w:spacing w:after="120" w:line="276" w:lineRule="auto"/>
        <w:ind w:firstLine="709"/>
        <w:jc w:val="both"/>
        <w:rPr>
          <w:rFonts w:ascii="Verdana" w:eastAsia="Calibri" w:hAnsi="Verdana" w:cs="Arial"/>
          <w:vertAlign w:val="superscript"/>
        </w:rPr>
      </w:pPr>
      <w:r w:rsidRPr="00326D28">
        <w:rPr>
          <w:rFonts w:ascii="Verdana" w:eastAsia="Calibri" w:hAnsi="Verdana" w:cs="Arial"/>
        </w:rPr>
        <w:t>Aunque las normas citadas no definen el anticipo, el Consejo de Estado ha precisado su naturaleza jurídica fijando parámetros para su aplicación</w:t>
      </w:r>
      <w:r w:rsidRPr="00326D28">
        <w:rPr>
          <w:rStyle w:val="Refdenotaalpie"/>
          <w:rFonts w:ascii="Verdana" w:eastAsia="Calibri" w:hAnsi="Verdana" w:cs="Arial"/>
        </w:rPr>
        <w:footnoteReference w:id="1"/>
      </w:r>
      <w:r w:rsidRPr="00326D28">
        <w:rPr>
          <w:rFonts w:ascii="Verdana" w:eastAsia="Calibri" w:hAnsi="Verdana" w:cs="Arial"/>
        </w:rPr>
        <w:t xml:space="preserve">. Dicha Corporación se ha referido  al anticipo como </w:t>
      </w:r>
      <w:r>
        <w:rPr>
          <w:rFonts w:ascii="Verdana" w:eastAsia="Calibri" w:hAnsi="Verdana" w:cs="Arial"/>
          <w:color w:val="000000" w:themeColor="text1"/>
          <w:lang w:val="es-ES"/>
        </w:rPr>
        <w:t>“</w:t>
      </w:r>
      <w:r w:rsidRPr="00326D28">
        <w:rPr>
          <w:rFonts w:ascii="Verdana" w:eastAsia="Calibri" w:hAnsi="Verdana" w:cs="Arial"/>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Pr>
          <w:rFonts w:ascii="Verdana" w:eastAsia="Calibri" w:hAnsi="Verdana" w:cs="Arial"/>
          <w:color w:val="000000" w:themeColor="text1"/>
          <w:lang w:val="es-ES"/>
        </w:rPr>
        <w:t>”</w:t>
      </w:r>
      <w:r w:rsidRPr="00326D28">
        <w:rPr>
          <w:rFonts w:ascii="Verdana" w:eastAsia="Calibri" w:hAnsi="Verdana" w:cs="Arial"/>
          <w:vertAlign w:val="superscript"/>
        </w:rPr>
        <w:footnoteReference w:id="2"/>
      </w:r>
      <w:r w:rsidRPr="00326D28">
        <w:rPr>
          <w:rFonts w:ascii="Verdana" w:eastAsia="Calibri" w:hAnsi="Verdana" w:cs="Arial"/>
          <w:color w:val="000000" w:themeColor="text1"/>
          <w:lang w:val="es-ES"/>
        </w:rPr>
        <w:t>.</w:t>
      </w:r>
    </w:p>
    <w:p w14:paraId="7E577EFB" w14:textId="77777777" w:rsidR="002B120D" w:rsidRPr="00326D28" w:rsidRDefault="002B120D" w:rsidP="002B120D">
      <w:pPr>
        <w:spacing w:after="120" w:line="276" w:lineRule="auto"/>
        <w:ind w:firstLine="708"/>
        <w:jc w:val="both"/>
        <w:rPr>
          <w:rFonts w:ascii="Verdana" w:eastAsia="Calibri" w:hAnsi="Verdana" w:cs="Arial"/>
        </w:rPr>
      </w:pPr>
      <w:r w:rsidRPr="00326D28">
        <w:rPr>
          <w:rFonts w:ascii="Verdana" w:eastAsia="Calibri" w:hAnsi="Verdana" w:cs="Arial"/>
        </w:rPr>
        <w:t xml:space="preserve">Sobre la calidad de recurso público del anticipo, la jurisprudencia ha reiterado que </w:t>
      </w:r>
      <w:r>
        <w:rPr>
          <w:rFonts w:ascii="Verdana" w:eastAsia="Calibri" w:hAnsi="Verdana" w:cs="Arial"/>
          <w:color w:val="000000" w:themeColor="text1"/>
          <w:lang w:val="es-ES"/>
        </w:rPr>
        <w:t>“</w:t>
      </w:r>
      <w:r w:rsidRPr="00326D28">
        <w:rPr>
          <w:rFonts w:ascii="Verdana" w:eastAsia="Calibri"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eastAsia="Calibri" w:hAnsi="Verdana" w:cs="Arial"/>
          <w:color w:val="000000" w:themeColor="text1"/>
          <w:lang w:val="es-ES"/>
        </w:rPr>
        <w:t>”</w:t>
      </w:r>
      <w:r w:rsidRPr="00326D28">
        <w:rPr>
          <w:rStyle w:val="Refdenotaalpie"/>
          <w:rFonts w:ascii="Verdana" w:eastAsia="Calibri" w:hAnsi="Verdana" w:cs="Arial"/>
        </w:rPr>
        <w:footnoteReference w:id="3"/>
      </w:r>
      <w:r w:rsidRPr="00326D28">
        <w:rPr>
          <w:rFonts w:ascii="Verdana" w:eastAsia="Calibri" w:hAnsi="Verdana" w:cs="Arial"/>
        </w:rPr>
        <w:t>. Igualmente, explica que el anticipo, al facilitar al contratista la financiación de los bienes y servicios que se le han encargado, es un factor determinante para impulsar la ejecución del contrato</w:t>
      </w:r>
      <w:r w:rsidRPr="00326D28">
        <w:rPr>
          <w:rStyle w:val="Refdenotaalpie"/>
          <w:rFonts w:ascii="Verdana" w:eastAsia="Calibri" w:hAnsi="Verdana" w:cs="Arial"/>
        </w:rPr>
        <w:footnoteReference w:id="4"/>
      </w:r>
      <w:r w:rsidRPr="00326D28">
        <w:rPr>
          <w:rFonts w:ascii="Verdana" w:eastAsia="Calibri" w:hAnsi="Verdana" w:cs="Arial"/>
        </w:rPr>
        <w:t>. Este también es el entendimiento de la doctrina</w:t>
      </w:r>
      <w:r w:rsidRPr="00326D28">
        <w:rPr>
          <w:rFonts w:ascii="Verdana" w:eastAsia="Calibri" w:hAnsi="Verdana" w:cs="Arial"/>
          <w:color w:val="000000" w:themeColor="text1"/>
        </w:rPr>
        <w:t>,</w:t>
      </w:r>
      <w:r w:rsidRPr="00326D28">
        <w:rPr>
          <w:rFonts w:ascii="Verdana" w:eastAsia="Calibri" w:hAnsi="Verdana" w:cs="Arial"/>
        </w:rPr>
        <w:t xml:space="preserve"> que ha considerado el anticipo como un dinero </w:t>
      </w:r>
      <w:r w:rsidRPr="00326D28">
        <w:rPr>
          <w:rFonts w:ascii="Verdana" w:eastAsia="Calibri" w:hAnsi="Verdana" w:cs="Arial"/>
        </w:rPr>
        <w:lastRenderedPageBreak/>
        <w:t>entregado al contratista que debe cancelarse mediante descuentos parciales, siendo una práctica común que permite impulsar la ejecución del contrato</w:t>
      </w:r>
      <w:r w:rsidRPr="00326D28">
        <w:rPr>
          <w:rStyle w:val="Refdenotaalpie"/>
          <w:rFonts w:ascii="Verdana" w:eastAsia="Calibri" w:hAnsi="Verdana" w:cs="Arial"/>
        </w:rPr>
        <w:footnoteReference w:id="5"/>
      </w:r>
      <w:r w:rsidRPr="00326D28">
        <w:rPr>
          <w:rFonts w:ascii="Verdana" w:eastAsia="Calibri" w:hAnsi="Verdana" w:cs="Arial"/>
        </w:rPr>
        <w:t xml:space="preserve">. </w:t>
      </w:r>
    </w:p>
    <w:p w14:paraId="7DAF70DF" w14:textId="77777777" w:rsidR="002B120D" w:rsidRPr="00326D28" w:rsidRDefault="002B120D" w:rsidP="002B120D">
      <w:pPr>
        <w:spacing w:before="120" w:after="120" w:line="276" w:lineRule="auto"/>
        <w:ind w:firstLine="708"/>
        <w:jc w:val="both"/>
        <w:rPr>
          <w:rFonts w:ascii="Verdana" w:eastAsia="Calibri" w:hAnsi="Verdana" w:cs="Arial"/>
          <w:color w:val="000000" w:themeColor="text1"/>
        </w:rPr>
      </w:pPr>
      <w:r w:rsidRPr="00326D28">
        <w:rPr>
          <w:rFonts w:ascii="Verdana" w:eastAsia="Calibri" w:hAnsi="Verdana" w:cs="Arial"/>
          <w:color w:val="000000" w:themeColor="text1"/>
        </w:rPr>
        <w:t xml:space="preserve">Así, de acuerdo con las consideraciones de la jurisprudencia y la doctrina, 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al avance en la ejecución</w:t>
      </w:r>
      <w:r>
        <w:rPr>
          <w:rFonts w:ascii="Verdana" w:eastAsia="Calibri" w:hAnsi="Verdana" w:cs="Arial"/>
        </w:rPr>
        <w:t xml:space="preserve"> de la obra o del servicio</w:t>
      </w:r>
      <w:r w:rsidRPr="00326D28">
        <w:rPr>
          <w:rFonts w:ascii="Verdana" w:eastAsia="Calibri" w:hAnsi="Verdana" w:cs="Arial"/>
        </w:rPr>
        <w:t>. De esta forma, los recursos entregados a título de anticipo son del erario, razón por la que debe garantizarse su buen manejo y correcta inversión.</w:t>
      </w:r>
    </w:p>
    <w:p w14:paraId="4E8A076F" w14:textId="77777777" w:rsidR="002B120D" w:rsidRPr="00326D28" w:rsidRDefault="002B120D" w:rsidP="002B120D">
      <w:pPr>
        <w:spacing w:before="120" w:after="0" w:line="276" w:lineRule="auto"/>
        <w:ind w:firstLine="709"/>
        <w:jc w:val="both"/>
        <w:rPr>
          <w:rFonts w:ascii="Verdana" w:eastAsia="Calibri" w:hAnsi="Verdana" w:cs="Arial"/>
          <w:color w:val="000000" w:themeColor="text1"/>
        </w:rPr>
      </w:pPr>
      <w:r w:rsidRPr="00326D28">
        <w:rPr>
          <w:rFonts w:ascii="Verdana" w:eastAsia="Calibri"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204C00DF" w14:textId="77777777" w:rsidR="002B120D" w:rsidRPr="00326D28" w:rsidRDefault="002B120D" w:rsidP="002B120D">
      <w:pPr>
        <w:spacing w:after="0" w:line="240" w:lineRule="auto"/>
        <w:ind w:firstLine="709"/>
        <w:jc w:val="both"/>
        <w:rPr>
          <w:rFonts w:ascii="Verdana" w:eastAsia="Calibri" w:hAnsi="Verdana" w:cs="Arial"/>
          <w:lang w:val="es-MX"/>
        </w:rPr>
      </w:pPr>
    </w:p>
    <w:p w14:paraId="1ECA32CC" w14:textId="77777777" w:rsidR="002B120D" w:rsidRPr="00D720BD" w:rsidRDefault="002B120D" w:rsidP="00B822A9">
      <w:pPr>
        <w:spacing w:after="0" w:line="240" w:lineRule="auto"/>
        <w:ind w:left="709" w:right="709"/>
        <w:jc w:val="both"/>
        <w:rPr>
          <w:rFonts w:ascii="Verdana" w:eastAsia="Calibri" w:hAnsi="Verdana" w:cs="Arial"/>
          <w:sz w:val="20"/>
          <w:szCs w:val="20"/>
        </w:rPr>
      </w:pPr>
      <w:r w:rsidRPr="00D720BD">
        <w:rPr>
          <w:rFonts w:ascii="Verdana" w:eastAsia="Calibri" w:hAnsi="Verdana" w:cs="Arial"/>
          <w:sz w:val="20"/>
          <w:szCs w:val="20"/>
        </w:rPr>
        <w:t>“</w:t>
      </w:r>
      <w:r>
        <w:rPr>
          <w:rFonts w:ascii="Verdana" w:eastAsia="Calibri" w:hAnsi="Verdana" w:cs="Arial"/>
          <w:sz w:val="20"/>
          <w:szCs w:val="20"/>
        </w:rPr>
        <w:t xml:space="preserve">(…) </w:t>
      </w:r>
      <w:r w:rsidRPr="00D720BD">
        <w:rPr>
          <w:rFonts w:ascii="Verdana" w:eastAsia="Calibri" w:hAnsi="Verdana" w:cs="Arial"/>
          <w:sz w:val="20"/>
          <w:szCs w:val="20"/>
        </w:rPr>
        <w:t xml:space="preserve">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w:t>
      </w:r>
      <w:proofErr w:type="spellStart"/>
      <w:r w:rsidRPr="00D720BD">
        <w:rPr>
          <w:rFonts w:ascii="Verdana" w:eastAsia="Calibri" w:hAnsi="Verdana" w:cs="Arial"/>
          <w:sz w:val="20"/>
          <w:szCs w:val="20"/>
        </w:rPr>
        <w:t>etc</w:t>
      </w:r>
      <w:proofErr w:type="spellEnd"/>
      <w:r w:rsidRPr="00D720BD">
        <w:rPr>
          <w:rFonts w:ascii="Verdana" w:eastAsia="Calibri" w:hAnsi="Verdana" w:cs="Arial"/>
          <w:sz w:val="20"/>
          <w:szCs w:val="20"/>
        </w:rPr>
        <w:t xml:space="preserve">).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w:t>
      </w:r>
      <w:r w:rsidRPr="00D720BD">
        <w:rPr>
          <w:rFonts w:ascii="Verdana" w:eastAsia="Calibri" w:hAnsi="Verdana" w:cs="Arial"/>
          <w:sz w:val="20"/>
          <w:szCs w:val="20"/>
        </w:rPr>
        <w:lastRenderedPageBreak/>
        <w:t>hacer efectiva la garantía de anticipo, o de cumplimiento, según el Estatuto de Contratación vigente, por parte del contratante,</w:t>
      </w:r>
      <w:r w:rsidRPr="00D720BD">
        <w:rPr>
          <w:rFonts w:ascii="Verdana" w:eastAsia="Calibri" w:hAnsi="Verdana" w:cs="Arial"/>
          <w:b/>
          <w:sz w:val="20"/>
          <w:szCs w:val="20"/>
        </w:rPr>
        <w:t xml:space="preserve"> </w:t>
      </w:r>
      <w:r w:rsidRPr="00D720BD">
        <w:rPr>
          <w:rFonts w:ascii="Verdana" w:eastAsia="Calibri" w:hAnsi="Verdana" w:cs="Arial"/>
          <w:sz w:val="20"/>
          <w:szCs w:val="20"/>
        </w:rPr>
        <w:t>por hechos del contratista que impliquen mal manejo o incorrecta inversión de los dineros de propiedad pública. Las partes contratantes, acuerdan además en el contrato, las condiciones de efectividad, la proporción con el valor del contrato, la oportunidad en que debe entregarse, la vigilancia Estatal sobre las sumas y las amortizaciones”</w:t>
      </w:r>
      <w:r w:rsidRPr="00D720BD">
        <w:rPr>
          <w:rStyle w:val="Refdenotaalpie"/>
          <w:rFonts w:ascii="Verdana" w:eastAsia="Calibri" w:hAnsi="Verdana" w:cs="Arial"/>
          <w:sz w:val="20"/>
          <w:szCs w:val="20"/>
        </w:rPr>
        <w:footnoteReference w:id="6"/>
      </w:r>
      <w:r w:rsidRPr="00D720BD">
        <w:rPr>
          <w:rFonts w:ascii="Verdana" w:eastAsia="Calibri" w:hAnsi="Verdana" w:cs="Arial"/>
          <w:sz w:val="20"/>
          <w:szCs w:val="20"/>
        </w:rPr>
        <w:t>.</w:t>
      </w:r>
    </w:p>
    <w:p w14:paraId="4E0B7009" w14:textId="77777777" w:rsidR="002B120D" w:rsidRPr="00326D28" w:rsidRDefault="002B120D" w:rsidP="002B120D">
      <w:pPr>
        <w:spacing w:after="0" w:line="276" w:lineRule="auto"/>
        <w:ind w:left="567" w:right="709"/>
        <w:jc w:val="both"/>
        <w:rPr>
          <w:rFonts w:ascii="Verdana" w:eastAsia="Calibri" w:hAnsi="Verdana" w:cs="Arial"/>
        </w:rPr>
      </w:pPr>
      <w:r>
        <w:rPr>
          <w:rFonts w:ascii="Verdana" w:eastAsia="Calibri" w:hAnsi="Verdana" w:cs="Arial"/>
          <w:sz w:val="21"/>
          <w:szCs w:val="21"/>
        </w:rPr>
        <w:tab/>
      </w:r>
    </w:p>
    <w:p w14:paraId="27D5DE64" w14:textId="77777777" w:rsidR="002B120D" w:rsidRPr="00326D28" w:rsidRDefault="002B120D" w:rsidP="002B120D">
      <w:pPr>
        <w:tabs>
          <w:tab w:val="left" w:pos="0"/>
        </w:tabs>
        <w:spacing w:after="120" w:line="276" w:lineRule="auto"/>
        <w:ind w:firstLine="709"/>
        <w:jc w:val="both"/>
        <w:rPr>
          <w:rFonts w:ascii="Verdana" w:eastAsia="Calibri" w:hAnsi="Verdana" w:cs="Arial"/>
          <w:lang w:val="es-MX"/>
        </w:rPr>
      </w:pPr>
      <w:r w:rsidRPr="00326D28">
        <w:rPr>
          <w:rFonts w:ascii="Verdana" w:eastAsia="Calibri" w:hAnsi="Verdana" w:cs="Arial"/>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52C162FE" w14:textId="77777777" w:rsidR="002B120D" w:rsidRPr="00326D28" w:rsidRDefault="002B120D" w:rsidP="002B120D">
      <w:pPr>
        <w:tabs>
          <w:tab w:val="left" w:pos="0"/>
        </w:tabs>
        <w:spacing w:before="120" w:after="120" w:line="276" w:lineRule="auto"/>
        <w:ind w:firstLine="709"/>
        <w:jc w:val="both"/>
        <w:rPr>
          <w:rFonts w:ascii="Verdana" w:hAnsi="Verdana" w:cs="Arial"/>
          <w:color w:val="000000" w:themeColor="text1"/>
          <w:lang w:val="es-ES"/>
        </w:rPr>
      </w:pPr>
      <w:r w:rsidRPr="00326D28">
        <w:rPr>
          <w:rFonts w:ascii="Verdana" w:eastAsia="Calibri" w:hAnsi="Verdana" w:cs="Arial"/>
        </w:rPr>
        <w:t xml:space="preserve">Adicionalmente, el parágrafo del artículo 40 de la Ley 80 de 1993 no restringe el tipo de contratos estatales en los cuales es posible el ejercicio de esta facultad. Es decir, no limita la posibilidad de pactar anticipo dependiendo de la tipología contractual o la modalidad de selección del contratista. </w:t>
      </w:r>
      <w:r w:rsidRPr="00326D28">
        <w:rPr>
          <w:rFonts w:ascii="Verdana" w:hAnsi="Verdana" w:cs="Arial"/>
          <w:color w:val="000000" w:themeColor="text1"/>
          <w:lang w:val="es-ES"/>
        </w:rPr>
        <w:t xml:space="preserve">De hecho, el Estatuto General de Contratación de la Administración Pública dispone como única limitación el valor máximo que puede desembolsar la entidad para pactar el anticipo. </w:t>
      </w:r>
    </w:p>
    <w:p w14:paraId="5FFF7ABF" w14:textId="77777777" w:rsidR="002B120D" w:rsidRPr="00805CA9" w:rsidRDefault="002B120D" w:rsidP="002B120D">
      <w:pPr>
        <w:tabs>
          <w:tab w:val="left" w:pos="0"/>
        </w:tabs>
        <w:spacing w:before="120" w:after="120" w:line="276" w:lineRule="auto"/>
        <w:ind w:firstLine="709"/>
        <w:jc w:val="both"/>
        <w:rPr>
          <w:rFonts w:ascii="Verdana" w:hAnsi="Verdana" w:cs="Arial"/>
          <w:color w:val="000000" w:themeColor="text1"/>
        </w:rPr>
      </w:pPr>
      <w:r w:rsidRPr="00326D28">
        <w:rPr>
          <w:rFonts w:ascii="Verdana" w:hAnsi="Verdana" w:cs="Arial"/>
          <w:color w:val="000000" w:themeColor="text1"/>
          <w:lang w:val="es-ES"/>
        </w:rPr>
        <w:t>La entidad y el contratista podrán disponer, en ejercicio de la autonomía de la voluntad, las condiciones que consideren convenientes de acuerdo con las normas civiles, siempre que no contraríen los parámetros normativos y los principios de la actividad contractual. No obstante, se reitera la importancia de analizar y justificar en cada caso la pertinencia y conveniencia de entregar al contratista recursos en calidad de anticipo.</w:t>
      </w:r>
      <w:r>
        <w:rPr>
          <w:rFonts w:ascii="Verdana" w:hAnsi="Verdana" w:cs="Arial"/>
          <w:color w:val="000000" w:themeColor="text1"/>
          <w:lang w:val="es-ES"/>
        </w:rPr>
        <w:t xml:space="preserve"> </w:t>
      </w:r>
    </w:p>
    <w:p w14:paraId="6714CE5F" w14:textId="77777777" w:rsidR="002B120D" w:rsidRDefault="002B120D" w:rsidP="002B120D">
      <w:pPr>
        <w:spacing w:after="0" w:line="276" w:lineRule="auto"/>
        <w:ind w:firstLine="709"/>
        <w:jc w:val="both"/>
        <w:rPr>
          <w:rFonts w:ascii="Verdana" w:eastAsia="Calibri" w:hAnsi="Verdana" w:cs="Arial"/>
        </w:rPr>
      </w:pPr>
      <w:r w:rsidRPr="00326D28">
        <w:rPr>
          <w:rFonts w:ascii="Verdana" w:hAnsi="Verdana" w:cs="Arial"/>
          <w:color w:val="000000" w:themeColor="text1"/>
        </w:rPr>
        <w:t>Del análisis realizado se desprende</w:t>
      </w:r>
      <w:r w:rsidRPr="00326D28">
        <w:rPr>
          <w:rFonts w:ascii="Verdana" w:hAnsi="Verdana" w:cs="Arial"/>
          <w:color w:val="000000" w:themeColor="text1"/>
          <w:lang w:val="es-ES"/>
        </w:rPr>
        <w:t xml:space="preserve"> que los recursos entregados al contratista en calidad de anticipo son recursos públicos. Por tanto, corresponde a la entidad </w:t>
      </w:r>
      <w:r w:rsidRPr="00326D28">
        <w:rPr>
          <w:rFonts w:ascii="Verdana" w:eastAsia="Calibri" w:hAnsi="Verdana" w:cs="Arial"/>
        </w:rPr>
        <w:t xml:space="preserve">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w:t>
      </w:r>
      <w:r w:rsidRPr="00326D28">
        <w:rPr>
          <w:rFonts w:ascii="Verdana" w:eastAsia="Calibri" w:hAnsi="Verdana" w:cs="Arial"/>
        </w:rPr>
        <w:lastRenderedPageBreak/>
        <w:t>1082 de 2015. Este amparo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ii) el uso indebido del anticipo; y iii) la apropiación indebida de los recursos recibidos en calidad de anticipo. </w:t>
      </w:r>
    </w:p>
    <w:p w14:paraId="780972D3" w14:textId="77777777" w:rsidR="007535B2" w:rsidRDefault="002B120D" w:rsidP="007535B2">
      <w:pPr>
        <w:spacing w:after="0" w:line="276" w:lineRule="auto"/>
        <w:ind w:firstLine="709"/>
        <w:jc w:val="both"/>
        <w:rPr>
          <w:rFonts w:ascii="Verdana" w:eastAsia="Calibri" w:hAnsi="Verdana" w:cs="Arial"/>
        </w:rPr>
      </w:pPr>
      <w:r w:rsidRPr="005F2061">
        <w:rPr>
          <w:rFonts w:ascii="Verdana" w:eastAsia="Calibri" w:hAnsi="Verdana" w:cs="Arial"/>
        </w:rPr>
        <w:t>Adicionalmente, conforme al citado artículo 91 de la Ley 1474 de 2011, existen algunos contratos respecto de los cuales la ley obliga al contratista de constituir una fiducia mercantil para el manejo de los recursos entregados a título de anticipo.</w:t>
      </w:r>
      <w:r>
        <w:rPr>
          <w:rFonts w:ascii="Verdana" w:eastAsia="Calibri" w:hAnsi="Verdana" w:cs="Arial"/>
        </w:rPr>
        <w:t xml:space="preserve"> </w:t>
      </w:r>
      <w:r w:rsidRPr="005F2061">
        <w:rPr>
          <w:rFonts w:ascii="Verdana" w:eastAsia="Calibri" w:hAnsi="Verdana" w:cs="Arial"/>
          <w:bCs/>
          <w:color w:val="000000" w:themeColor="text1"/>
          <w:lang w:val="es-ES_tradnl"/>
        </w:rPr>
        <w:t xml:space="preserve">Esta norma dispone que: </w:t>
      </w:r>
      <w:r>
        <w:rPr>
          <w:rFonts w:ascii="Verdana" w:eastAsia="Calibri" w:hAnsi="Verdana" w:cs="Arial"/>
          <w:bCs/>
          <w:color w:val="000000" w:themeColor="text1"/>
          <w:lang w:val="es-ES_tradnl"/>
        </w:rPr>
        <w:t>“</w:t>
      </w:r>
      <w:r w:rsidRPr="005F2061">
        <w:rPr>
          <w:rFonts w:ascii="Verdana" w:eastAsia="Calibri" w:hAnsi="Verdana" w:cs="Arial"/>
        </w:rPr>
        <w:t>En los contratos de obra, concesión, salud, o los que se realicen por licitación pública</w:t>
      </w:r>
      <w:r w:rsidRPr="005F2061">
        <w:rPr>
          <w:rFonts w:ascii="Verdana" w:eastAsia="Calibri" w:hAnsi="Verdana" w:cs="Arial"/>
          <w:i/>
          <w:iCs/>
        </w:rPr>
        <w:t>, el contratista deberá constituir una fiducia o un patrimonio autónomo irrevocable para el manejo de los recursos que reciba a título de anticipo, con el fin de garantizar que dichos recursos se apliquen exclusivamente a la ejecución del contrato correspondiente, salvo que el contrato sea de menor o mínima cuantía</w:t>
      </w:r>
      <w:r w:rsidRPr="005F2061">
        <w:rPr>
          <w:rFonts w:ascii="Verdana" w:eastAsia="Calibri" w:hAnsi="Verdana" w:cs="Arial"/>
        </w:rPr>
        <w:t>. El costo de la comisión fiduciaria será cubierto directamente por el contratista</w:t>
      </w:r>
      <w:r>
        <w:rPr>
          <w:rFonts w:ascii="Verdana" w:eastAsia="Calibri" w:hAnsi="Verdana" w:cs="Arial"/>
        </w:rPr>
        <w:t>”</w:t>
      </w:r>
      <w:r w:rsidRPr="005F2061">
        <w:rPr>
          <w:rFonts w:ascii="Verdana" w:eastAsia="Calibri" w:hAnsi="Verdana" w:cs="Arial"/>
        </w:rPr>
        <w:t xml:space="preserve"> (Énfasis fuera de texto).</w:t>
      </w:r>
    </w:p>
    <w:p w14:paraId="031A8559" w14:textId="77777777" w:rsidR="007535B2" w:rsidRDefault="007535B2" w:rsidP="007535B2">
      <w:pPr>
        <w:spacing w:after="0" w:line="240" w:lineRule="auto"/>
        <w:ind w:firstLine="709"/>
        <w:jc w:val="both"/>
        <w:rPr>
          <w:rFonts w:ascii="Verdana" w:eastAsia="Calibri" w:hAnsi="Verdana" w:cs="Arial"/>
        </w:rPr>
      </w:pPr>
    </w:p>
    <w:p w14:paraId="5BADAC3F" w14:textId="298F8CD5" w:rsidR="002B120D" w:rsidRPr="009A6AAE" w:rsidRDefault="002B120D" w:rsidP="007535B2">
      <w:pPr>
        <w:spacing w:after="0" w:line="276" w:lineRule="auto"/>
        <w:ind w:firstLine="709"/>
        <w:jc w:val="both"/>
        <w:rPr>
          <w:rFonts w:ascii="Verdana" w:eastAsia="Calibri" w:hAnsi="Verdana" w:cs="Arial"/>
        </w:rPr>
      </w:pPr>
      <w:r w:rsidRPr="005F2061">
        <w:rPr>
          <w:rFonts w:ascii="Verdana" w:eastAsia="Calibri" w:hAnsi="Verdana" w:cs="Arial"/>
          <w:bCs/>
          <w:color w:val="000000" w:themeColor="text1"/>
          <w:lang w:val="es-ES_tradnl"/>
        </w:rPr>
        <w:t>En concordancia,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mercantil. Adicionalmente, la norma señala que en el pliego de condiciones la entidad debe establecer los términos y condiciones de la administración del anticipo a través del patrimonio autónomo</w:t>
      </w:r>
      <w:r w:rsidRPr="005F2061">
        <w:rPr>
          <w:rStyle w:val="Refdenotaalpie"/>
          <w:rFonts w:ascii="Verdana" w:eastAsia="Calibri" w:hAnsi="Verdana" w:cs="Arial"/>
          <w:bCs/>
          <w:color w:val="000000" w:themeColor="text1"/>
          <w:lang w:val="es-ES_tradnl"/>
        </w:rPr>
        <w:footnoteReference w:id="7"/>
      </w:r>
      <w:r w:rsidRPr="005F2061">
        <w:rPr>
          <w:rFonts w:ascii="Verdana" w:eastAsia="Calibri" w:hAnsi="Verdana" w:cs="Arial"/>
          <w:bCs/>
          <w:color w:val="000000" w:themeColor="text1"/>
          <w:lang w:val="es-ES_tradnl"/>
        </w:rPr>
        <w:t xml:space="preserve">. </w:t>
      </w:r>
    </w:p>
    <w:p w14:paraId="30B5E4B3" w14:textId="77777777" w:rsidR="002B120D" w:rsidRPr="005F2061" w:rsidRDefault="002B120D" w:rsidP="002B120D">
      <w:pPr>
        <w:spacing w:before="120" w:line="276" w:lineRule="auto"/>
        <w:ind w:firstLine="709"/>
        <w:jc w:val="both"/>
        <w:rPr>
          <w:rFonts w:ascii="Verdana" w:eastAsia="Calibri" w:hAnsi="Verdana" w:cs="Arial"/>
          <w:color w:val="000000" w:themeColor="text1"/>
          <w:lang w:val="es-ES"/>
        </w:rPr>
      </w:pPr>
      <w:r w:rsidRPr="0A0BB7DD">
        <w:rPr>
          <w:rFonts w:ascii="Verdana" w:eastAsia="Calibri" w:hAnsi="Verdana" w:cs="Arial"/>
          <w:color w:val="000000" w:themeColor="text1"/>
          <w:lang w:val="es-ES"/>
        </w:rPr>
        <w:t xml:space="preserve">Lo anterior surge como una medida para fortalecer los mecanismos de prevención, investigación y sanción de actos de corrupción y la efectividad del </w:t>
      </w:r>
      <w:r w:rsidRPr="0A0BB7DD">
        <w:rPr>
          <w:rFonts w:ascii="Verdana" w:eastAsia="Calibri" w:hAnsi="Verdana" w:cs="Arial"/>
          <w:color w:val="000000" w:themeColor="text1"/>
          <w:lang w:val="es-ES"/>
        </w:rPr>
        <w:lastRenderedPageBreak/>
        <w:t>control de la gestión pública, en atención a la problemática identificada sobre el incumplimiento de los contratistas de destinar los anticipos en la ejecución del contrato</w:t>
      </w:r>
      <w:r w:rsidRPr="0A0BB7DD">
        <w:rPr>
          <w:rStyle w:val="Refdenotaalpie"/>
          <w:rFonts w:ascii="Verdana" w:eastAsia="Calibri" w:hAnsi="Verdana" w:cs="Arial"/>
          <w:color w:val="000000" w:themeColor="text1"/>
          <w:lang w:val="es-ES"/>
        </w:rPr>
        <w:footnoteReference w:id="8"/>
      </w:r>
      <w:r w:rsidRPr="0A0BB7DD">
        <w:rPr>
          <w:rFonts w:ascii="Verdana" w:eastAsia="Calibri" w:hAnsi="Verdana" w:cs="Arial"/>
          <w:color w:val="000000" w:themeColor="text1"/>
          <w:lang w:val="es-ES"/>
        </w:rPr>
        <w:t xml:space="preserve">.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4D136B83" w14:textId="77777777" w:rsidR="002B120D" w:rsidRPr="005F2061" w:rsidRDefault="002B120D" w:rsidP="002B120D">
      <w:pPr>
        <w:spacing w:before="120" w:line="276" w:lineRule="auto"/>
        <w:ind w:firstLine="709"/>
        <w:jc w:val="both"/>
        <w:rPr>
          <w:rFonts w:ascii="Verdana" w:eastAsia="Calibri" w:hAnsi="Verdana" w:cs="Arial"/>
          <w:color w:val="000000" w:themeColor="text1"/>
          <w:lang w:val="es-ES"/>
        </w:rPr>
      </w:pPr>
      <w:r w:rsidRPr="005F2061">
        <w:rPr>
          <w:rFonts w:ascii="Verdana" w:eastAsia="Calibri" w:hAnsi="Verdana" w:cs="Arial"/>
          <w:bCs/>
          <w:color w:val="000000" w:themeColor="text1"/>
          <w:lang w:val="es-ES_tradnl"/>
        </w:rPr>
        <w:t>Sobre el particular, la Agencia Nacional de Contratación Pública</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 xml:space="preserve">Colombia Compra Eficiente expidió la </w:t>
      </w:r>
      <w:r>
        <w:rPr>
          <w:rFonts w:ascii="Verdana" w:eastAsia="Calibri" w:hAnsi="Verdana" w:cs="Arial"/>
          <w:color w:val="000000" w:themeColor="text1"/>
          <w:lang w:val="es-ES"/>
        </w:rPr>
        <w:t>“</w:t>
      </w:r>
      <w:r w:rsidRPr="005F2061">
        <w:rPr>
          <w:rFonts w:ascii="Verdana" w:eastAsia="Calibri" w:hAnsi="Verdana" w:cs="Arial"/>
          <w:bCs/>
          <w:color w:val="000000" w:themeColor="text1"/>
          <w:lang w:val="es-ES_tradnl"/>
        </w:rPr>
        <w:t>Guía para el manejo de anticipos mediante contrato de fiducia irrevocable</w:t>
      </w:r>
      <w:r>
        <w:rPr>
          <w:rFonts w:ascii="Verdana" w:eastAsia="Calibri" w:hAnsi="Verdana" w:cs="Arial"/>
          <w:color w:val="000000" w:themeColor="text1"/>
          <w:lang w:val="es-ES"/>
        </w:rPr>
        <w:t>”</w:t>
      </w:r>
      <w:r w:rsidRPr="005F2061">
        <w:rPr>
          <w:rStyle w:val="Refdenotaalpie"/>
          <w:rFonts w:ascii="Verdana" w:eastAsia="Calibri" w:hAnsi="Verdana" w:cs="Arial"/>
          <w:color w:val="000000" w:themeColor="text1"/>
          <w:lang w:val="es-ES"/>
        </w:rPr>
        <w:footnoteReference w:id="9"/>
      </w:r>
      <w:r w:rsidRPr="005F2061">
        <w:rPr>
          <w:rFonts w:ascii="Verdana" w:eastAsia="Calibri" w:hAnsi="Verdana" w:cs="Arial"/>
          <w:bCs/>
          <w:color w:val="000000" w:themeColor="text1"/>
          <w:lang w:val="es-ES_tradnl"/>
        </w:rPr>
        <w:t xml:space="preserve">. En esta se explica que </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w:t>
      </w:r>
      <w:r w:rsidRPr="005F2061">
        <w:rPr>
          <w:rFonts w:ascii="Verdana" w:eastAsia="Calibri" w:hAnsi="Verdana" w:cs="Arial"/>
          <w:bCs/>
          <w:color w:val="000000" w:themeColor="text1"/>
          <w:lang w:val="es-ES"/>
        </w:rPr>
        <w:t>e</w:t>
      </w:r>
      <w:r w:rsidRPr="005F2061">
        <w:rPr>
          <w:rFonts w:ascii="Verdana" w:eastAsia="Calibri" w:hAnsi="Verdana" w:cs="Arial"/>
          <w:bCs/>
          <w:color w:val="000000" w:themeColor="text1"/>
        </w:rPr>
        <w:t>l patrimonio autónomo para manejo de anticipos tiene como finalidad: (i) la correcta y adecuada inversión y administración del anticipo y, (ii) el reintegro de los recursos del anticipo a la Entidad Estatal cuando declara la caducidad, incumplimiento o terminación del contrato estatal o cuando se presenta la nulidad del contrato estatal</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Además, indica que, en los contratos de obra, concesión, salud y los que se realicen por licitación pública, siempre que no sean de menor o mínima cuantía, el contratista debe constituir un contrato de fiducia mercantil irrevocable para el manejo de los recursos que recibe a título de anticipo. Igualmente, expone las condiciones para administrar los recursos del patrimonio autónomo, las obligaciones principales de la fiduciaria, el manejo de los excedentes, entre otros. </w:t>
      </w:r>
    </w:p>
    <w:p w14:paraId="7D105B2D" w14:textId="77777777" w:rsidR="002B120D" w:rsidRPr="005F2061" w:rsidRDefault="002B120D" w:rsidP="002B120D">
      <w:pPr>
        <w:spacing w:before="120" w:line="276" w:lineRule="auto"/>
        <w:ind w:firstLine="709"/>
        <w:jc w:val="both"/>
        <w:rPr>
          <w:rFonts w:ascii="Verdana" w:eastAsia="Calibri" w:hAnsi="Verdana" w:cs="Arial"/>
          <w:lang w:val="es-MX"/>
        </w:rPr>
      </w:pPr>
      <w:r w:rsidRPr="005F2061">
        <w:rPr>
          <w:rFonts w:ascii="Verdana" w:eastAsia="Calibri" w:hAnsi="Verdana" w:cs="Arial"/>
          <w:bCs/>
          <w:color w:val="000000" w:themeColor="text1"/>
          <w:lang w:val="es-ES_tradnl"/>
        </w:rPr>
        <w:t xml:space="preserve">Es evidente entonces que para ciertos tipos de contratos la </w:t>
      </w:r>
      <w:r>
        <w:rPr>
          <w:rFonts w:ascii="Verdana" w:eastAsia="Calibri" w:hAnsi="Verdana" w:cs="Arial"/>
          <w:bCs/>
          <w:color w:val="000000" w:themeColor="text1"/>
          <w:lang w:val="es-ES_tradnl"/>
        </w:rPr>
        <w:t>l</w:t>
      </w:r>
      <w:r w:rsidRPr="005F2061">
        <w:rPr>
          <w:rFonts w:ascii="Verdana" w:eastAsia="Calibri" w:hAnsi="Verdana" w:cs="Arial"/>
          <w:bCs/>
          <w:color w:val="000000" w:themeColor="text1"/>
          <w:lang w:val="es-ES_tradnl"/>
        </w:rPr>
        <w:t xml:space="preserve">ey ha impuesto la obligación al contratista de constituir una fiducia o patrimonio autónomo irrevocable. Esta obligación tiene el propósito de asegurar el buen manejo de los recursos que se entreguen a título de anticipo, así como garantizar que estos sean destinados única y exclusivamente para </w:t>
      </w:r>
      <w:r w:rsidRPr="005F2061">
        <w:rPr>
          <w:rFonts w:ascii="Verdana" w:eastAsia="Calibri" w:hAnsi="Verdana" w:cs="Arial"/>
        </w:rPr>
        <w:t xml:space="preserve">solventar los costos iniciales de la ejecución, de acuerdo con las condiciones pactadas. </w:t>
      </w:r>
    </w:p>
    <w:p w14:paraId="7786BE56" w14:textId="77777777" w:rsidR="002B120D" w:rsidRPr="005F2061" w:rsidRDefault="002B120D" w:rsidP="002B120D">
      <w:pPr>
        <w:spacing w:before="120" w:line="276" w:lineRule="auto"/>
        <w:ind w:firstLine="709"/>
        <w:jc w:val="both"/>
        <w:rPr>
          <w:rFonts w:ascii="Verdana" w:eastAsia="Calibri" w:hAnsi="Verdana" w:cs="Arial"/>
        </w:rPr>
      </w:pPr>
      <w:r w:rsidRPr="005F2061">
        <w:rPr>
          <w:rFonts w:ascii="Verdana" w:eastAsia="Calibri" w:hAnsi="Verdana" w:cs="Arial"/>
        </w:rPr>
        <w:t xml:space="preserve">El artículo 91 de la Ley 1474 de 2011 determina el ámbito de aplicación, al enumerar los casos en los cuales es deber del contratista constituir un </w:t>
      </w:r>
      <w:r w:rsidRPr="005F2061">
        <w:rPr>
          <w:rFonts w:ascii="Verdana" w:eastAsia="Calibri" w:hAnsi="Verdana" w:cs="Arial"/>
        </w:rPr>
        <w:lastRenderedPageBreak/>
        <w:t xml:space="preserve">patrimonio autónomo o una fiducia para administrar los recursos del anticipo. Para tales efectos, se establecen los siguientes contratos: i) obra, ii) concesión, iii) salud y iv) los contratos derivados de un proceso de licitación pública. En ese orden, aunque la norma menciona la modalidad de selección como un criterio principal que determine su ámbito de aplicación, la expresión </w:t>
      </w:r>
      <w:r>
        <w:rPr>
          <w:rFonts w:ascii="Verdana" w:eastAsia="Calibri" w:hAnsi="Verdana" w:cs="Arial"/>
          <w:color w:val="000000" w:themeColor="text1"/>
          <w:lang w:val="es-ES"/>
        </w:rPr>
        <w:t>“</w:t>
      </w:r>
      <w:r w:rsidRPr="005F2061">
        <w:rPr>
          <w:rFonts w:ascii="Verdana" w:eastAsia="Calibri" w:hAnsi="Verdana" w:cs="Arial"/>
        </w:rPr>
        <w:t>o los que se realicen por licitación pública</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indica que, además de los objetos mencionados, también para estos contratos aplica el supuesto de hecho. </w:t>
      </w:r>
    </w:p>
    <w:p w14:paraId="0740E627" w14:textId="77777777" w:rsidR="002B120D" w:rsidRPr="005F2061" w:rsidRDefault="002B120D" w:rsidP="002B120D">
      <w:pPr>
        <w:spacing w:before="120" w:line="276" w:lineRule="auto"/>
        <w:ind w:firstLine="709"/>
        <w:jc w:val="both"/>
        <w:rPr>
          <w:rFonts w:ascii="Verdana" w:eastAsia="Calibri" w:hAnsi="Verdana" w:cs="Arial"/>
        </w:rPr>
      </w:pPr>
      <w:r w:rsidRPr="005F2061">
        <w:rPr>
          <w:rFonts w:ascii="Verdana" w:eastAsia="Calibri" w:hAnsi="Verdana" w:cs="Arial"/>
        </w:rPr>
        <w:t>En tal sentido, respecto a los contratos de obra, concesión y salud, así como en relación con los contratos derivados de licitación pública cualquiera que sea su tipología contractual, el contratista deberá obligatoriamente constituir una fiducia mercantil para el manejo de los recursos que se entreguen en calidad de anticipo. Se aclara que la constitución del patrimonio autónomo para el manejo del anticipo no releva a la entidad estatal de exigir la garantía de buen manejo y correcta inversión.</w:t>
      </w:r>
    </w:p>
    <w:p w14:paraId="5FCA11D9" w14:textId="77777777" w:rsidR="002B120D" w:rsidRDefault="002B120D" w:rsidP="002B120D">
      <w:pPr>
        <w:spacing w:before="120" w:after="0" w:line="276" w:lineRule="auto"/>
        <w:ind w:firstLine="709"/>
        <w:jc w:val="both"/>
        <w:rPr>
          <w:rFonts w:ascii="Verdana" w:eastAsia="Calibri" w:hAnsi="Verdana" w:cs="Arial"/>
        </w:rPr>
      </w:pPr>
      <w:r w:rsidRPr="005F2061">
        <w:rPr>
          <w:rFonts w:ascii="Verdana" w:eastAsia="Calibri" w:hAnsi="Verdana" w:cs="Arial"/>
        </w:rPr>
        <w:t>Es importante precisar que el artículo 91 de la Ley 1474 de 2011 excluye de su ámbito de aplicación a los contratos de obra, concesión y salud, siempre que estos sean adelantados mediante las modalidades de selección abreviada de menor cuantía y mínima cuantía. Sin embargo, cuando hay entrega de anticipo en estas modalidades de selección, la entidad estatal tiene la obligación de adoptar las medidas necesarias y razonables para asegurar el buen manejo y la correcta inversión del anticipo, entre las que se encuentra la constitución de una garantía</w:t>
      </w:r>
      <w:r>
        <w:rPr>
          <w:rFonts w:ascii="Verdana" w:eastAsia="Calibri" w:hAnsi="Verdana" w:cs="Arial"/>
        </w:rPr>
        <w:t xml:space="preserve"> como se explicó </w:t>
      </w:r>
      <w:r w:rsidRPr="00277D9E">
        <w:rPr>
          <w:rFonts w:ascii="Verdana" w:eastAsia="Calibri" w:hAnsi="Verdana" w:cs="Arial"/>
          <w:i/>
          <w:iCs/>
        </w:rPr>
        <w:t>ut supra</w:t>
      </w:r>
      <w:r w:rsidRPr="005F2061">
        <w:rPr>
          <w:rFonts w:ascii="Verdana" w:eastAsia="Calibri" w:hAnsi="Verdana" w:cs="Arial"/>
        </w:rPr>
        <w:t>.</w:t>
      </w:r>
    </w:p>
    <w:p w14:paraId="661BAE10" w14:textId="77777777" w:rsidR="002B120D" w:rsidRDefault="002B120D" w:rsidP="002B120D">
      <w:pPr>
        <w:spacing w:after="0" w:line="240" w:lineRule="auto"/>
        <w:ind w:firstLine="709"/>
        <w:jc w:val="both"/>
        <w:rPr>
          <w:rFonts w:ascii="Verdana" w:eastAsia="Calibri" w:hAnsi="Verdana" w:cs="Arial"/>
        </w:rPr>
      </w:pPr>
    </w:p>
    <w:p w14:paraId="4EF17BCC" w14:textId="43C096B5" w:rsidR="002B120D" w:rsidRDefault="002B120D" w:rsidP="00B822A9">
      <w:pPr>
        <w:spacing w:after="0" w:line="276" w:lineRule="auto"/>
        <w:ind w:firstLine="708"/>
        <w:jc w:val="both"/>
        <w:rPr>
          <w:rFonts w:ascii="Verdana" w:eastAsia="Calibri" w:hAnsi="Verdana" w:cs="Arial"/>
        </w:rPr>
      </w:pPr>
      <w:r>
        <w:rPr>
          <w:rFonts w:ascii="Verdana" w:eastAsia="Calibri" w:hAnsi="Verdana" w:cs="Arial"/>
        </w:rPr>
        <w:t xml:space="preserve">Por su parte, </w:t>
      </w:r>
      <w:r w:rsidRPr="00E9090B">
        <w:rPr>
          <w:rFonts w:ascii="Verdana" w:eastAsia="Calibri" w:hAnsi="Verdana" w:cs="Arial"/>
        </w:rPr>
        <w:t>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10"/>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4E626B61" w14:textId="77777777" w:rsidR="00B822A9" w:rsidRPr="00994C00" w:rsidRDefault="00B822A9" w:rsidP="007535B2">
      <w:pPr>
        <w:spacing w:after="0" w:line="276" w:lineRule="auto"/>
        <w:ind w:firstLine="708"/>
        <w:jc w:val="both"/>
        <w:rPr>
          <w:rFonts w:ascii="Verdana" w:eastAsia="Calibri" w:hAnsi="Verdana" w:cs="Arial"/>
        </w:rPr>
      </w:pPr>
    </w:p>
    <w:p w14:paraId="21270EBD" w14:textId="77777777" w:rsidR="002B120D" w:rsidRDefault="002B120D" w:rsidP="007535B2">
      <w:pPr>
        <w:spacing w:after="120" w:line="276" w:lineRule="auto"/>
        <w:jc w:val="both"/>
        <w:rPr>
          <w:rFonts w:ascii="Verdana" w:eastAsia="Calibri" w:hAnsi="Verdana" w:cs="Arial"/>
        </w:rPr>
      </w:pPr>
      <w:r w:rsidRPr="002E3FFE">
        <w:rPr>
          <w:rFonts w:ascii="Verdana" w:eastAsia="Calibri" w:hAnsi="Verdana" w:cs="Arial"/>
          <w:lang w:val="es-ES"/>
        </w:rPr>
        <w:t xml:space="preserve">ii) </w:t>
      </w:r>
      <w:r>
        <w:rPr>
          <w:rFonts w:ascii="Verdana" w:eastAsia="Calibri" w:hAnsi="Verdana" w:cs="Arial"/>
        </w:rPr>
        <w:t>En atención</w:t>
      </w:r>
      <w:r w:rsidRPr="002E3FFE">
        <w:rPr>
          <w:rFonts w:ascii="Verdana" w:eastAsia="Calibri" w:hAnsi="Verdana" w:cs="Arial"/>
        </w:rPr>
        <w:t xml:space="preserve"> a la relevancia jurídica que reviste el anticipo por tratarse de recursos públicos, la entidad contratante está en la obligación de ejercer un control permanente sobre su destinación y ejecución. En ese sentido, le corresponde acudir a los mecanismos previstos en la ley o en el clausulado contractual para garantizar su adecuada administración y exigir que su utilización se ajuste a los fines contractuales establecidos.</w:t>
      </w:r>
    </w:p>
    <w:p w14:paraId="726D2307" w14:textId="77777777" w:rsidR="002B120D" w:rsidRDefault="002B120D" w:rsidP="002B120D">
      <w:pPr>
        <w:spacing w:before="120" w:after="0" w:line="276" w:lineRule="auto"/>
        <w:ind w:firstLine="709"/>
        <w:jc w:val="both"/>
        <w:rPr>
          <w:rFonts w:ascii="Verdana" w:eastAsia="Calibri" w:hAnsi="Verdana" w:cs="Arial"/>
          <w:lang w:val="es-ES"/>
        </w:rPr>
      </w:pPr>
      <w:r w:rsidRPr="002E3FFE">
        <w:rPr>
          <w:rFonts w:ascii="Verdana" w:eastAsia="Calibri" w:hAnsi="Verdana" w:cs="Arial"/>
        </w:rPr>
        <w:t>A propósito, una 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5FE5B07D" w14:textId="77777777" w:rsidR="002B120D" w:rsidRDefault="002B120D" w:rsidP="002B120D">
      <w:pPr>
        <w:spacing w:before="120" w:after="0" w:line="276" w:lineRule="auto"/>
        <w:ind w:firstLine="709"/>
        <w:jc w:val="both"/>
        <w:rPr>
          <w:rFonts w:ascii="Verdana" w:eastAsia="Calibri" w:hAnsi="Verdana" w:cs="Arial"/>
          <w:lang w:val="es-ES"/>
        </w:rPr>
      </w:pPr>
      <w:r w:rsidRPr="2168E165">
        <w:rPr>
          <w:rFonts w:ascii="Verdana" w:eastAsia="Calibri" w:hAnsi="Verdana" w:cs="Arial"/>
        </w:rPr>
        <w:t>Ahora bien, la exigencia del plan de inversión del anticipo no constituye una obligación legal expresa</w:t>
      </w:r>
      <w:r>
        <w:rPr>
          <w:rFonts w:ascii="Verdana" w:eastAsia="Calibri" w:hAnsi="Verdana" w:cs="Arial"/>
        </w:rPr>
        <w:t xml:space="preserve">, </w:t>
      </w:r>
      <w:r w:rsidRPr="2168E165">
        <w:rPr>
          <w:rFonts w:ascii="Verdana" w:eastAsia="Calibri" w:hAnsi="Verdana" w:cs="Arial"/>
        </w:rPr>
        <w:t>sino que su solicitud suele ser promovida por la supervisión o interventoría del contrato como una medida de control adicional</w:t>
      </w:r>
      <w:r>
        <w:rPr>
          <w:rFonts w:ascii="Verdana" w:eastAsia="Calibri" w:hAnsi="Verdana" w:cs="Arial"/>
        </w:rPr>
        <w:t xml:space="preserve"> contenida en el contrato</w:t>
      </w:r>
      <w:r w:rsidRPr="2168E165">
        <w:rPr>
          <w:rFonts w:ascii="Verdana" w:eastAsia="Calibri" w:hAnsi="Verdana" w:cs="Arial"/>
        </w:rPr>
        <w:t>. No obstante, cuando dicha exigencia no ha sido incorporada de manera expresa en el clausulado contractual, se considera que la entidad estaría limitada frente a la posibilidad de adelantar una eventual declaratoria de incumplimiento o de imponer medidas sancionatorias derivadas del incumplimiento del plan, en tanto este no forma parte del alcance obligacional del contrato.</w:t>
      </w:r>
    </w:p>
    <w:p w14:paraId="09B08973" w14:textId="77777777" w:rsidR="002B120D" w:rsidRDefault="002B120D" w:rsidP="002B120D">
      <w:pPr>
        <w:spacing w:before="120" w:after="0" w:line="276" w:lineRule="auto"/>
        <w:ind w:firstLine="709"/>
        <w:jc w:val="both"/>
        <w:rPr>
          <w:rFonts w:ascii="Verdana" w:eastAsia="Calibri" w:hAnsi="Verdana" w:cs="Arial"/>
        </w:rPr>
      </w:pPr>
      <w:r w:rsidRPr="2168E165">
        <w:rPr>
          <w:rFonts w:ascii="Verdana" w:eastAsia="Calibri" w:hAnsi="Verdana" w:cs="Arial"/>
        </w:rPr>
        <w:t>Por ello, resulta jurídicamente recomendable que la obligación de presentar el plan de inversión del anticipo se incorpore expresamente en el contrato y se establezca su carácter vinculante, precisando que el plan hará parte integral del mismo. De esta manera, ante un eventual incumplimiento de lo estipulado en dicho plan, se configuraría una infracción contractual susceptible de ser tramitada conforme al procedimiento previsto en el artículo 86 de la Ley 1474 de 2011, habilitando la imposición de medidas como la aplicación de multas, la declaratoria de incumplimiento, la efectividad de la cláusula penal pecuniaria y la ejecución de las garantías contractuales, todo ello como parte del régimen sancionatorio que busca salvaguardar los recursos públicos y los fines de la contratación estatal.</w:t>
      </w:r>
    </w:p>
    <w:p w14:paraId="5495B2AE" w14:textId="77777777" w:rsidR="002B120D" w:rsidRPr="00345276" w:rsidRDefault="002B120D" w:rsidP="002B120D">
      <w:pPr>
        <w:spacing w:after="0" w:line="240" w:lineRule="auto"/>
        <w:ind w:firstLine="709"/>
        <w:jc w:val="both"/>
        <w:rPr>
          <w:rFonts w:ascii="Verdana" w:eastAsia="Calibri" w:hAnsi="Verdana" w:cs="Arial"/>
          <w:lang w:val="es-ES"/>
        </w:rPr>
      </w:pPr>
    </w:p>
    <w:p w14:paraId="0DF49601" w14:textId="77777777" w:rsidR="002B120D" w:rsidRPr="00474EA6" w:rsidRDefault="002B120D" w:rsidP="002B120D">
      <w:pPr>
        <w:snapToGrid w:val="0"/>
        <w:spacing w:after="120" w:line="276" w:lineRule="auto"/>
        <w:ind w:firstLine="708"/>
        <w:jc w:val="both"/>
        <w:rPr>
          <w:rFonts w:ascii="Verdana" w:eastAsia="Calibri" w:hAnsi="Verdana" w:cs="Arial"/>
        </w:rPr>
      </w:pPr>
      <w:r>
        <w:rPr>
          <w:rFonts w:ascii="Verdana" w:eastAsia="Calibri" w:hAnsi="Verdana" w:cs="Arial"/>
        </w:rPr>
        <w:lastRenderedPageBreak/>
        <w:t>Adicionalmente, otra de las</w:t>
      </w:r>
      <w:r w:rsidRPr="00474EA6">
        <w:rPr>
          <w:rFonts w:ascii="Verdana" w:eastAsia="Calibri" w:hAnsi="Verdana" w:cs="Arial"/>
        </w:rPr>
        <w:t xml:space="preserve"> herramientas con las que cuenta la entidad estatal para el adecuado ejercicio de su deber de seguimiento y control sobre los recursos entregados a título de anticipo es la incorporación, en el clausulado contractual, de la obligación del contratista de constituir la garantía única de cumplimiento, incluyendo expresamente el amparo de buen manejo y correcta inversión del anticipo. A diferencia del plan de inversión, esta medida no tiene un carácter preventivo, sino correctivo y su exigencia encuentra fundamento directo en disposiciones legales imperativas, por lo que no se trata de una estipulación facultativa o prescindible cuando se ha pactado el otorgamiento de un anticipo.</w:t>
      </w:r>
    </w:p>
    <w:p w14:paraId="7B2B6134" w14:textId="77777777" w:rsidR="002B120D" w:rsidRDefault="002B120D" w:rsidP="002B120D">
      <w:pPr>
        <w:snapToGrid w:val="0"/>
        <w:spacing w:after="120" w:line="276" w:lineRule="auto"/>
        <w:ind w:firstLine="708"/>
        <w:jc w:val="both"/>
        <w:rPr>
          <w:rFonts w:ascii="Verdana" w:eastAsia="Calibri" w:hAnsi="Verdana" w:cs="Arial"/>
        </w:rPr>
      </w:pPr>
      <w:r w:rsidRPr="00474EA6">
        <w:rPr>
          <w:rFonts w:ascii="Verdana" w:eastAsia="Calibri" w:hAnsi="Verdana" w:cs="Arial"/>
        </w:rPr>
        <w:t>En efecto, el artículo 7 de la Ley 1150 de 2007 establece el deber de los contratistas de constituir garantías que respalden el cumplimiento de las obligaciones contractuales asumidas, así como la obligación correlativa de las entidades contratantes de exigirlas. En ese sentido, cuando en el contrato se pacta el desembolso de un anticipo, resulta jurídicamente obligatorio que la garantía única de cumplimiento incluya el correspondiente amparo, como mecanismo de protección de los recursos públicos frente a posibles incumplimientos en el uso y destinación de dichos fondos.</w:t>
      </w:r>
    </w:p>
    <w:p w14:paraId="4A3CF49C" w14:textId="77777777" w:rsidR="002B120D" w:rsidRPr="008F481B" w:rsidRDefault="002B120D" w:rsidP="002B120D">
      <w:pPr>
        <w:snapToGrid w:val="0"/>
        <w:spacing w:after="120" w:line="276" w:lineRule="auto"/>
        <w:ind w:firstLine="708"/>
        <w:jc w:val="both"/>
        <w:rPr>
          <w:rFonts w:ascii="Verdana" w:eastAsia="Calibri" w:hAnsi="Verdana" w:cs="Arial"/>
        </w:rPr>
      </w:pPr>
      <w:r w:rsidRPr="00A822C0">
        <w:rPr>
          <w:rFonts w:ascii="Verdana" w:eastAsia="Calibri" w:hAnsi="Verdana" w:cs="Arial"/>
        </w:rPr>
        <w:t>Del análisis realizado se desprende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deberán constituir la garantía única de cumplimiento e incluir el amparo previsto en el artículo 2.2.1.2.3.1.7 del Decreto 1082 de 2015. Este amparo establece tres circunstancias que deben ser objeto de cobertura: i) la no inversión del anticipo; ii) el uso indebido del anticipo; y iii) la apropiación indebida de los recursos recibidos en calidad de anticipo</w:t>
      </w:r>
      <w:r w:rsidRPr="00A822C0">
        <w:rPr>
          <w:rFonts w:ascii="Verdana" w:hAnsi="Verdana"/>
          <w:vertAlign w:val="superscript"/>
        </w:rPr>
        <w:footnoteReference w:id="11"/>
      </w:r>
      <w:r w:rsidRPr="00A822C0">
        <w:rPr>
          <w:rFonts w:ascii="Verdana" w:eastAsia="Calibri" w:hAnsi="Verdana" w:cs="Arial"/>
        </w:rPr>
        <w:t xml:space="preserve">. </w:t>
      </w:r>
    </w:p>
    <w:p w14:paraId="1F80F418" w14:textId="77777777" w:rsidR="002B120D" w:rsidRPr="00345276" w:rsidRDefault="002B120D" w:rsidP="002B120D">
      <w:pPr>
        <w:spacing w:after="120" w:line="276" w:lineRule="auto"/>
        <w:ind w:firstLine="709"/>
        <w:jc w:val="both"/>
        <w:rPr>
          <w:rFonts w:ascii="Verdana" w:hAnsi="Verdana"/>
        </w:rPr>
      </w:pPr>
      <w:r w:rsidRPr="00345276">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20F404" w14:textId="77777777" w:rsidR="002B120D" w:rsidRPr="00185EE9" w:rsidRDefault="002B120D" w:rsidP="002B120D">
      <w:pPr>
        <w:spacing w:after="0" w:line="276" w:lineRule="auto"/>
        <w:ind w:firstLine="708"/>
        <w:jc w:val="both"/>
        <w:rPr>
          <w:rFonts w:ascii="Verdana" w:eastAsia="Calibri" w:hAnsi="Verdana" w:cs="Arial"/>
          <w:bCs/>
          <w:color w:val="000000" w:themeColor="text1"/>
        </w:rPr>
      </w:pPr>
      <w:r w:rsidRPr="00345276">
        <w:rPr>
          <w:rFonts w:ascii="Verdana" w:eastAsia="Calibri" w:hAnsi="Verdana" w:cs="Arial"/>
          <w:bCs/>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83E193D" w14:textId="77777777" w:rsidR="002B120D" w:rsidRPr="00330029" w:rsidRDefault="002B120D" w:rsidP="002B120D">
      <w:pPr>
        <w:spacing w:after="0" w:line="276" w:lineRule="auto"/>
        <w:jc w:val="both"/>
        <w:rPr>
          <w:rFonts w:ascii="Verdana" w:hAnsi="Verdana"/>
        </w:rPr>
      </w:pPr>
      <w:r>
        <w:rPr>
          <w:rFonts w:ascii="Verdana" w:hAnsi="Verdana"/>
        </w:rPr>
        <w:t xml:space="preserve"> </w:t>
      </w:r>
    </w:p>
    <w:p w14:paraId="00E2F6EC" w14:textId="241FD661" w:rsidR="002B120D" w:rsidRPr="005644FE" w:rsidRDefault="002B120D" w:rsidP="002B120D">
      <w:pPr>
        <w:tabs>
          <w:tab w:val="left" w:pos="142"/>
          <w:tab w:val="left" w:pos="284"/>
          <w:tab w:val="left" w:pos="3828"/>
        </w:tabs>
        <w:spacing w:after="0" w:line="240" w:lineRule="auto"/>
        <w:rPr>
          <w:rFonts w:ascii="Verdana" w:eastAsia="Century Gothic" w:hAnsi="Verdana" w:cs="Century Gothic"/>
          <w:b/>
          <w:bCs/>
        </w:rPr>
      </w:pPr>
      <w:bookmarkStart w:id="2"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B120D" w:rsidRPr="005644FE" w14:paraId="30E4BC8A" w14:textId="77777777" w:rsidTr="001E45F8">
        <w:trPr>
          <w:trHeight w:val="56"/>
          <w:jc w:val="center"/>
        </w:trPr>
        <w:tc>
          <w:tcPr>
            <w:tcW w:w="8647" w:type="dxa"/>
          </w:tcPr>
          <w:p w14:paraId="1E276D57" w14:textId="3C7EA26B" w:rsidR="002B120D" w:rsidRDefault="002B120D" w:rsidP="002B120D">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80 de 1993. Artículo 40</w:t>
            </w:r>
            <w:r w:rsidR="00B822A9">
              <w:rPr>
                <w:rFonts w:ascii="Verdana" w:eastAsia="Aptos" w:hAnsi="Verdana" w:cs="Arial"/>
              </w:rPr>
              <w:t>,</w:t>
            </w:r>
            <w:r>
              <w:rPr>
                <w:rFonts w:ascii="Verdana" w:eastAsia="Aptos" w:hAnsi="Verdana" w:cs="Arial"/>
              </w:rPr>
              <w:t xml:space="preserve"> inciso primero del parágrafo. </w:t>
            </w:r>
          </w:p>
          <w:p w14:paraId="699A5F85" w14:textId="77777777" w:rsidR="002B120D"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color w:val="000000" w:themeColor="text1"/>
              </w:rPr>
              <w:t>Ley 1474 de 2011. Artículo 91.</w:t>
            </w:r>
          </w:p>
          <w:p w14:paraId="624F7081" w14:textId="77777777" w:rsidR="002B120D" w:rsidRPr="00182A51" w:rsidRDefault="002B120D" w:rsidP="002B120D">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Decreto 1082 de 2015. Artículo </w:t>
            </w:r>
            <w:r w:rsidRPr="00326D28">
              <w:rPr>
                <w:rFonts w:ascii="Verdana" w:eastAsia="Calibri" w:hAnsi="Verdana" w:cs="Arial"/>
              </w:rPr>
              <w:t>2.2.1.2.3.1.7</w:t>
            </w:r>
            <w:r>
              <w:rPr>
                <w:rFonts w:ascii="Verdana" w:eastAsia="Calibri" w:hAnsi="Verdana" w:cs="Arial"/>
              </w:rPr>
              <w:t xml:space="preserve">, </w:t>
            </w:r>
            <w:r w:rsidRPr="005F2061">
              <w:rPr>
                <w:rFonts w:ascii="Verdana" w:eastAsia="Calibri" w:hAnsi="Verdana" w:cs="Arial"/>
                <w:bCs/>
                <w:color w:val="000000" w:themeColor="text1"/>
                <w:lang w:val="es-ES_tradnl"/>
              </w:rPr>
              <w:t>2.2.1.1.2.4.1</w:t>
            </w:r>
            <w:r>
              <w:rPr>
                <w:rFonts w:ascii="Verdana" w:eastAsia="Calibri" w:hAnsi="Verdana" w:cs="Arial"/>
                <w:bCs/>
                <w:color w:val="000000" w:themeColor="text1"/>
                <w:lang w:val="es-ES_tradnl"/>
              </w:rPr>
              <w:t>.</w:t>
            </w:r>
          </w:p>
          <w:p w14:paraId="1C9BFEB3" w14:textId="77777777" w:rsidR="002B120D" w:rsidRPr="00182A51"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color w:val="000000" w:themeColor="text1"/>
              </w:rPr>
              <w:lastRenderedPageBreak/>
              <w:t>Consejo de Estado. Sala de lo Contencioso Administrativo. Sección Tercera – Subsección A. Sentencia del 16 de mayo de 2019. Rad. (40102). C.P: María Adriana Marín.</w:t>
            </w:r>
          </w:p>
          <w:p w14:paraId="2786D9D8" w14:textId="77777777" w:rsidR="002B120D" w:rsidRPr="00182A51" w:rsidRDefault="002B120D" w:rsidP="002B120D">
            <w:pPr>
              <w:pStyle w:val="Prrafodelista"/>
              <w:numPr>
                <w:ilvl w:val="0"/>
                <w:numId w:val="17"/>
              </w:numPr>
              <w:spacing w:after="120" w:line="276" w:lineRule="auto"/>
              <w:ind w:left="714" w:hanging="357"/>
              <w:jc w:val="both"/>
              <w:rPr>
                <w:rFonts w:ascii="Verdana" w:hAnsi="Verdana" w:cs="Arial"/>
                <w:color w:val="000000" w:themeColor="text1"/>
              </w:rPr>
            </w:pPr>
            <w:r w:rsidRPr="00182A51">
              <w:rPr>
                <w:rFonts w:ascii="Verdana" w:hAnsi="Verdana" w:cs="Arial"/>
                <w:color w:val="000000" w:themeColor="text1"/>
              </w:rPr>
              <w:t xml:space="preserve">Consejo de Estado. Sala de lo Contencioso Administrativo. Sección Tercera – Subsección C. Sentencia del 2 de octubre del 2020. Rad. 63644. CP. Jaime Enrique Rodríguez Nava. </w:t>
            </w:r>
          </w:p>
          <w:p w14:paraId="7B5FEB83" w14:textId="77777777" w:rsidR="002B120D" w:rsidRPr="00182A51" w:rsidRDefault="002B120D" w:rsidP="002B120D">
            <w:pPr>
              <w:pStyle w:val="Prrafodelista"/>
              <w:numPr>
                <w:ilvl w:val="0"/>
                <w:numId w:val="17"/>
              </w:numPr>
              <w:spacing w:after="120" w:line="276" w:lineRule="auto"/>
              <w:ind w:left="714" w:hanging="357"/>
              <w:jc w:val="both"/>
              <w:rPr>
                <w:rFonts w:ascii="Verdana" w:eastAsia="Aptos" w:hAnsi="Verdana" w:cs="Arial"/>
              </w:rPr>
            </w:pPr>
            <w:r>
              <w:rPr>
                <w:rFonts w:ascii="Verdana" w:hAnsi="Verdana" w:cs="Arial"/>
                <w:color w:val="000000" w:themeColor="text1"/>
              </w:rPr>
              <w:t xml:space="preserve"> </w:t>
            </w:r>
            <w:r w:rsidRPr="00182A51">
              <w:rPr>
                <w:rFonts w:ascii="Verdana" w:hAnsi="Verdana" w:cs="Arial"/>
                <w:color w:val="000000" w:themeColor="text1"/>
              </w:rPr>
              <w:t xml:space="preserve">Consejo de Estado. Sección Tercera. Sentencia de 22 de junio de 2001. </w:t>
            </w:r>
            <w:proofErr w:type="spellStart"/>
            <w:r w:rsidRPr="00182A51">
              <w:rPr>
                <w:rFonts w:ascii="Verdana" w:hAnsi="Verdana" w:cs="Arial"/>
                <w:color w:val="000000" w:themeColor="text1"/>
              </w:rPr>
              <w:t>Exp</w:t>
            </w:r>
            <w:proofErr w:type="spellEnd"/>
            <w:r w:rsidRPr="00182A51">
              <w:rPr>
                <w:rFonts w:ascii="Verdana" w:hAnsi="Verdana" w:cs="Arial"/>
                <w:color w:val="000000" w:themeColor="text1"/>
              </w:rPr>
              <w:t>. 13436, C.P. Ricardo Hoyos Duque</w:t>
            </w:r>
            <w:r>
              <w:rPr>
                <w:rFonts w:ascii="Verdana" w:hAnsi="Verdana" w:cs="Arial"/>
                <w:color w:val="000000" w:themeColor="text1"/>
              </w:rPr>
              <w:t>.</w:t>
            </w:r>
          </w:p>
          <w:p w14:paraId="29DAFBB3" w14:textId="77777777" w:rsidR="002B120D" w:rsidRPr="00182A51"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eastAsia="Aptos" w:hAnsi="Verdana" w:cs="Arial"/>
              </w:rPr>
              <w:t xml:space="preserve">Consejo de Estado. Sala Plena. Sentencia del 8 de agosto de 2001. </w:t>
            </w:r>
            <w:proofErr w:type="spellStart"/>
            <w:r w:rsidRPr="00182A51">
              <w:rPr>
                <w:rFonts w:ascii="Verdana" w:eastAsia="Aptos" w:hAnsi="Verdana" w:cs="Arial"/>
              </w:rPr>
              <w:t>Exp</w:t>
            </w:r>
            <w:proofErr w:type="spellEnd"/>
            <w:r w:rsidRPr="00182A51">
              <w:rPr>
                <w:rFonts w:ascii="Verdana" w:eastAsia="Aptos" w:hAnsi="Verdana" w:cs="Arial"/>
              </w:rPr>
              <w:t>. AC-10966 - AC-11274. Consejero Ponente: Reinaldo Chavarro Buriticá.</w:t>
            </w:r>
          </w:p>
          <w:p w14:paraId="50F6C649" w14:textId="77777777" w:rsidR="002B120D"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eastAsia="Aptos" w:hAnsi="Verdana" w:cs="Arial"/>
              </w:rPr>
              <w:t>EXPÓSITO VÉLEZ, Juan Carlos. Forma y contenido del contrato estatal. Bogotá: Universidad Externado de Colombia, 2013</w:t>
            </w:r>
            <w:r>
              <w:rPr>
                <w:rFonts w:ascii="Verdana" w:eastAsia="Aptos" w:hAnsi="Verdana" w:cs="Arial"/>
              </w:rPr>
              <w:t>.</w:t>
            </w:r>
          </w:p>
          <w:p w14:paraId="2621CA91" w14:textId="77777777" w:rsidR="002B120D"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eastAsia="Aptos" w:hAnsi="Verdana" w:cs="Arial"/>
              </w:rPr>
              <w:t>MATALLANA CAMACHO, Ernesto. Manual de Contratación de la Administración Pública. Reforma de la Ley 80 de 1993. Cuarta edición. Bogotá: Universidad Externado de Colombia, 2015.</w:t>
            </w:r>
          </w:p>
          <w:p w14:paraId="7964F3AA" w14:textId="77777777" w:rsidR="002B120D" w:rsidRPr="00330029" w:rsidRDefault="002B120D" w:rsidP="002B120D">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rPr>
              <w:t xml:space="preserve">La Guía para el manejo de anticipos mediante contrato de fiducia irrevocable puede ser consultada en: </w:t>
            </w:r>
            <w:hyperlink r:id="rId13" w:history="1">
              <w:r w:rsidRPr="00182A51">
                <w:rPr>
                  <w:rStyle w:val="Hipervnculo"/>
                  <w:rFonts w:ascii="Verdana" w:hAnsi="Verdana" w:cs="Arial"/>
                </w:rPr>
                <w:t>https://www.colombiacompra.gov.co/wp-content/uploads/2024/08/2017-Guia-para-el-manejo-de-anticipos-mediante-contrato-de-fiducia-mercantil-irrevocable-G-MACFMI-01.pdf</w:t>
              </w:r>
            </w:hyperlink>
            <w:r w:rsidRPr="00182A51">
              <w:rPr>
                <w:rFonts w:ascii="Verdana" w:hAnsi="Verdana" w:cs="Arial"/>
              </w:rPr>
              <w:t xml:space="preserve">.  </w:t>
            </w:r>
          </w:p>
        </w:tc>
      </w:tr>
    </w:tbl>
    <w:p w14:paraId="5221D6AB" w14:textId="77777777" w:rsidR="002B120D" w:rsidRDefault="002B120D" w:rsidP="002B120D">
      <w:pPr>
        <w:tabs>
          <w:tab w:val="left" w:pos="142"/>
          <w:tab w:val="left" w:pos="284"/>
          <w:tab w:val="left" w:pos="3828"/>
        </w:tabs>
        <w:spacing w:after="0" w:line="276" w:lineRule="auto"/>
        <w:jc w:val="both"/>
        <w:rPr>
          <w:rFonts w:ascii="Verdana" w:eastAsia="Century Gothic" w:hAnsi="Verdana" w:cs="Century Gothic"/>
          <w:b/>
          <w:bCs/>
        </w:rPr>
      </w:pPr>
    </w:p>
    <w:p w14:paraId="77354478" w14:textId="77777777" w:rsidR="002B120D" w:rsidRPr="005644FE" w:rsidRDefault="002B120D" w:rsidP="002B120D">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190B471" w14:textId="77777777" w:rsidR="002B120D" w:rsidRPr="005644FE" w:rsidRDefault="002B120D" w:rsidP="002B120D">
      <w:pPr>
        <w:widowControl w:val="0"/>
        <w:tabs>
          <w:tab w:val="left" w:pos="3828"/>
        </w:tabs>
        <w:autoSpaceDE w:val="0"/>
        <w:autoSpaceDN w:val="0"/>
        <w:spacing w:after="0" w:line="240" w:lineRule="auto"/>
        <w:jc w:val="both"/>
        <w:rPr>
          <w:rFonts w:ascii="Verdana" w:hAnsi="Verdana" w:cs="Arial"/>
          <w:shd w:val="clear" w:color="auto" w:fill="FFFFFF"/>
        </w:rPr>
      </w:pPr>
    </w:p>
    <w:p w14:paraId="37672ED7" w14:textId="77777777" w:rsidR="002B120D" w:rsidRPr="00C27319" w:rsidRDefault="002B120D" w:rsidP="002B120D">
      <w:pPr>
        <w:widowControl w:val="0"/>
        <w:autoSpaceDE w:val="0"/>
        <w:autoSpaceDN w:val="0"/>
        <w:spacing w:after="0" w:line="276" w:lineRule="auto"/>
        <w:jc w:val="both"/>
        <w:rPr>
          <w:rFonts w:ascii="Verdana" w:hAnsi="Verdana" w:cs="Arial"/>
          <w:shd w:val="clear" w:color="auto" w:fill="FFFFFF"/>
          <w:lang w:val="es-ES"/>
        </w:rPr>
      </w:pPr>
      <w:r w:rsidRPr="00B222E1">
        <w:rPr>
          <w:rFonts w:ascii="Verdana" w:eastAsia="Calibri" w:hAnsi="Verdana" w:cs="Arial"/>
        </w:rPr>
        <w:t>Sobre el ámbito de aplicación del anticipo</w:t>
      </w:r>
      <w:r>
        <w:rPr>
          <w:rFonts w:ascii="Verdana" w:eastAsia="Calibri" w:hAnsi="Verdana" w:cs="Arial"/>
        </w:rPr>
        <w:t xml:space="preserve"> y el pago anticipado</w:t>
      </w:r>
      <w:r w:rsidRPr="00B222E1">
        <w:rPr>
          <w:rFonts w:ascii="Verdana" w:eastAsia="Calibri" w:hAnsi="Verdana" w:cs="Arial"/>
        </w:rPr>
        <w:t>, su noción y características</w:t>
      </w:r>
      <w:r>
        <w:rPr>
          <w:rFonts w:ascii="Verdana" w:eastAsia="Calibri" w:hAnsi="Verdana" w:cs="Arial"/>
        </w:rPr>
        <w:t>,</w:t>
      </w:r>
      <w:r w:rsidRPr="00B222E1">
        <w:rPr>
          <w:rFonts w:ascii="Verdana" w:eastAsia="Calibri" w:hAnsi="Verdana" w:cs="Arial"/>
        </w:rPr>
        <w:t xml:space="preserve"> esta Subdirección se pronunció en los conceptos C-485 del 26 de mayo de 2025</w:t>
      </w:r>
      <w:r>
        <w:rPr>
          <w:rFonts w:ascii="Verdana" w:eastAsia="Calibri" w:hAnsi="Verdana" w:cs="Arial"/>
        </w:rPr>
        <w:t xml:space="preserve">, </w:t>
      </w:r>
      <w:r w:rsidRPr="00B222E1">
        <w:rPr>
          <w:rFonts w:ascii="Verdana" w:eastAsia="Calibri" w:hAnsi="Verdana" w:cs="Arial"/>
        </w:rPr>
        <w:t>C-503 del 3 de junio de 2025, C-557 del 17 de junio de 2025</w:t>
      </w:r>
      <w:r>
        <w:rPr>
          <w:rFonts w:ascii="Verdana" w:eastAsia="Calibri" w:hAnsi="Verdana" w:cs="Arial"/>
        </w:rPr>
        <w:t xml:space="preserve">, </w:t>
      </w:r>
      <w:r w:rsidRPr="00B222E1">
        <w:rPr>
          <w:rFonts w:ascii="Verdana" w:eastAsia="Calibri" w:hAnsi="Verdana" w:cs="Arial"/>
        </w:rPr>
        <w:t>C-726 del 18 de julio de 2025,</w:t>
      </w:r>
      <w:r>
        <w:rPr>
          <w:rFonts w:ascii="Verdana" w:eastAsia="Calibri" w:hAnsi="Verdana" w:cs="Arial"/>
        </w:rPr>
        <w:t xml:space="preserve"> </w:t>
      </w:r>
      <w:r>
        <w:rPr>
          <w:rFonts w:ascii="Verdana" w:eastAsia="Calibri" w:hAnsi="Verdana" w:cs="Arial"/>
          <w:lang w:val="es-ES"/>
        </w:rPr>
        <w:t xml:space="preserve">C-766 del </w:t>
      </w:r>
      <w:r w:rsidRPr="00843FED">
        <w:rPr>
          <w:rFonts w:ascii="Verdana" w:eastAsia="Calibri" w:hAnsi="Verdana" w:cs="Arial"/>
          <w:lang w:val="es-ES"/>
        </w:rPr>
        <w:t>24</w:t>
      </w:r>
      <w:r>
        <w:rPr>
          <w:rFonts w:ascii="Verdana" w:eastAsia="Calibri" w:hAnsi="Verdana" w:cs="Arial"/>
          <w:lang w:val="es-ES"/>
        </w:rPr>
        <w:t xml:space="preserve"> de julio de 2025, C-814 del 25 de julio de 2025</w:t>
      </w:r>
      <w:r w:rsidRPr="00B222E1">
        <w:rPr>
          <w:rFonts w:ascii="Verdana" w:eastAsia="Calibri" w:hAnsi="Verdana" w:cs="Arial"/>
        </w:rPr>
        <w:t>, entre otros.</w:t>
      </w:r>
      <w:r w:rsidRPr="00B222E1">
        <w:rPr>
          <w:rStyle w:val="normaltextrun"/>
          <w:rFonts w:ascii="Verdana" w:hAnsi="Verdana" w:cs="Arial"/>
          <w:shd w:val="clear" w:color="auto" w:fill="FFFFFF"/>
          <w:lang w:val="es-ES"/>
        </w:rPr>
        <w:t xml:space="preserve"> </w:t>
      </w:r>
      <w:r w:rsidRPr="00B222E1">
        <w:rPr>
          <w:rFonts w:ascii="Verdana" w:hAnsi="Verdana" w:cs="Arial"/>
        </w:rPr>
        <w:t xml:space="preserve">Estos y otros </w:t>
      </w:r>
      <w:r w:rsidRPr="00B222E1">
        <w:rPr>
          <w:rFonts w:ascii="Verdana" w:hAnsi="Verdana"/>
        </w:rPr>
        <w:t>conceptos se encuentran disponibles para consulta e</w:t>
      </w:r>
      <w:r w:rsidRPr="001715C8">
        <w:rPr>
          <w:rFonts w:ascii="Verdana" w:hAnsi="Verdana"/>
        </w:rPr>
        <w:t>n el Sistema de relatoría de la Agencia, al cual se puede acceder a través del siguiente enlace:</w:t>
      </w:r>
      <w:r w:rsidRPr="001715C8">
        <w:rPr>
          <w:rFonts w:ascii="Verdana" w:hAnsi="Verdana" w:cs="Arial"/>
          <w:shd w:val="clear" w:color="auto" w:fill="FFFFFF"/>
        </w:rPr>
        <w:t xml:space="preserve"> </w:t>
      </w:r>
      <w:hyperlink r:id="rId14" w:history="1">
        <w:r w:rsidRPr="001715C8">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273DE10C" w14:textId="77777777" w:rsidR="002B120D" w:rsidRPr="00116940" w:rsidRDefault="002B120D" w:rsidP="002B120D">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w:t>
      </w:r>
      <w:r w:rsidRPr="00116940">
        <w:rPr>
          <w:rFonts w:ascii="Verdana" w:hAnsi="Verdana"/>
        </w:rPr>
        <w:lastRenderedPageBreak/>
        <w:t xml:space="preserve">requiera en el marco de nuestras funciones a través de nuestros diferentes canales de atención: </w:t>
      </w:r>
    </w:p>
    <w:p w14:paraId="0BEF6154" w14:textId="77777777" w:rsidR="002B120D" w:rsidRPr="00116940" w:rsidRDefault="002B120D" w:rsidP="002B120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975906E" w14:textId="77777777" w:rsidR="002B120D" w:rsidRPr="00116940" w:rsidRDefault="002B120D" w:rsidP="002B120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E32BFA7" w14:textId="77777777" w:rsidR="002B120D" w:rsidRPr="00116940" w:rsidRDefault="002B120D" w:rsidP="002B120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6BEF2E86" w14:textId="77777777" w:rsidR="002B120D" w:rsidRPr="00116940" w:rsidRDefault="002B120D" w:rsidP="002B120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51D8C81C" w14:textId="77777777" w:rsidR="002B120D" w:rsidRPr="00116940" w:rsidRDefault="002B120D" w:rsidP="002B120D">
      <w:pPr>
        <w:spacing w:after="0" w:line="240" w:lineRule="auto"/>
        <w:ind w:left="720"/>
        <w:jc w:val="both"/>
        <w:rPr>
          <w:rFonts w:ascii="Verdana" w:hAnsi="Verdana"/>
        </w:rPr>
      </w:pPr>
    </w:p>
    <w:p w14:paraId="0481B6B6" w14:textId="77777777" w:rsidR="002B120D" w:rsidRPr="00116940" w:rsidRDefault="002B120D" w:rsidP="002B120D">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F4B241A" w14:textId="77777777" w:rsidR="002B120D" w:rsidRPr="00116940" w:rsidRDefault="002B120D" w:rsidP="002B120D">
      <w:pPr>
        <w:spacing w:after="0" w:line="240" w:lineRule="auto"/>
        <w:rPr>
          <w:rFonts w:ascii="Verdana" w:hAnsi="Verdana"/>
        </w:rPr>
      </w:pPr>
    </w:p>
    <w:p w14:paraId="00B4FE4C" w14:textId="77777777" w:rsidR="002B120D" w:rsidRPr="00116940" w:rsidRDefault="002B120D" w:rsidP="002B120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A8C5F09" w14:textId="77777777" w:rsidR="002B120D" w:rsidRPr="00116940" w:rsidRDefault="002B120D" w:rsidP="002B120D">
      <w:pPr>
        <w:spacing w:after="0" w:line="240" w:lineRule="auto"/>
        <w:jc w:val="both"/>
        <w:rPr>
          <w:rFonts w:ascii="Verdana" w:hAnsi="Verdana"/>
        </w:rPr>
      </w:pPr>
    </w:p>
    <w:p w14:paraId="3626A34E" w14:textId="77777777" w:rsidR="002B120D" w:rsidRPr="00116940" w:rsidRDefault="002B120D" w:rsidP="002B120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353ADC6" w14:textId="77777777" w:rsidR="002B120D" w:rsidRPr="00116940" w:rsidRDefault="002B120D" w:rsidP="002B120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C3E2E84" w14:textId="77777777" w:rsidR="002B120D" w:rsidRPr="00116940" w:rsidRDefault="002B120D" w:rsidP="002B120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39D1BF7" w14:textId="77777777" w:rsidR="002B120D" w:rsidRDefault="002B120D" w:rsidP="002B120D">
      <w:pPr>
        <w:spacing w:after="0" w:line="240" w:lineRule="auto"/>
        <w:jc w:val="both"/>
        <w:rPr>
          <w:rFonts w:ascii="Verdana" w:hAnsi="Verdana"/>
          <w:lang w:val="es-MX"/>
        </w:rPr>
      </w:pPr>
    </w:p>
    <w:p w14:paraId="4D46B32A" w14:textId="77777777" w:rsidR="002B120D" w:rsidRPr="00330029" w:rsidRDefault="002B120D" w:rsidP="002B120D">
      <w:pPr>
        <w:spacing w:after="0" w:line="240" w:lineRule="auto"/>
        <w:jc w:val="both"/>
        <w:rPr>
          <w:rFonts w:ascii="Verdana" w:hAnsi="Verdana"/>
          <w:lang w:val="es-MX"/>
        </w:rPr>
      </w:pPr>
      <w:r w:rsidRPr="00E02524">
        <w:rPr>
          <w:rFonts w:ascii="Verdana" w:hAnsi="Verdana"/>
          <w:lang w:val="es-MX"/>
        </w:rPr>
        <w:t>Cordialmente,</w:t>
      </w:r>
    </w:p>
    <w:p w14:paraId="2C542355" w14:textId="1270C824" w:rsidR="002B120D" w:rsidRDefault="00404EF2" w:rsidP="002B120D">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0BBACAA3" wp14:editId="7AA10BFD">
            <wp:extent cx="3397250" cy="1600628"/>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8"/>
                    <a:stretch>
                      <a:fillRect/>
                    </a:stretch>
                  </pic:blipFill>
                  <pic:spPr>
                    <a:xfrm>
                      <a:off x="0" y="0"/>
                      <a:ext cx="3406020" cy="160476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B120D" w:rsidRPr="005644FE" w14:paraId="0EE7EFF0" w14:textId="77777777" w:rsidTr="001E45F8">
        <w:trPr>
          <w:trHeight w:val="315"/>
        </w:trPr>
        <w:tc>
          <w:tcPr>
            <w:tcW w:w="893" w:type="dxa"/>
            <w:vAlign w:val="center"/>
            <w:hideMark/>
          </w:tcPr>
          <w:p w14:paraId="32DC3BE3" w14:textId="77777777" w:rsidR="002B120D" w:rsidRPr="005644FE" w:rsidRDefault="002B120D" w:rsidP="001E45F8">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5F23C4C" w14:textId="77777777" w:rsidR="002B120D" w:rsidRPr="005644FE" w:rsidRDefault="002B120D" w:rsidP="001E45F8">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8FFF85D" w14:textId="77777777" w:rsidR="002B120D" w:rsidRPr="005644FE" w:rsidRDefault="002B120D" w:rsidP="001E45F8">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B120D" w:rsidRPr="005644FE" w14:paraId="1409F207" w14:textId="77777777" w:rsidTr="001E45F8">
        <w:trPr>
          <w:trHeight w:val="330"/>
        </w:trPr>
        <w:tc>
          <w:tcPr>
            <w:tcW w:w="893" w:type="dxa"/>
            <w:vAlign w:val="center"/>
            <w:hideMark/>
          </w:tcPr>
          <w:p w14:paraId="72EC903E" w14:textId="77777777" w:rsidR="002B120D" w:rsidRPr="005644FE" w:rsidRDefault="002B120D" w:rsidP="001E45F8">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866945B" w14:textId="77777777" w:rsidR="002B120D" w:rsidRPr="0004340D" w:rsidRDefault="002B120D" w:rsidP="001E45F8">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12564E63" w14:textId="77777777" w:rsidR="002B120D" w:rsidRPr="005644FE" w:rsidRDefault="002B120D" w:rsidP="001E45F8">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B120D" w:rsidRPr="005644FE" w14:paraId="1FBAD477" w14:textId="77777777" w:rsidTr="001E45F8">
        <w:trPr>
          <w:trHeight w:val="300"/>
        </w:trPr>
        <w:tc>
          <w:tcPr>
            <w:tcW w:w="893" w:type="dxa"/>
            <w:vAlign w:val="center"/>
          </w:tcPr>
          <w:p w14:paraId="5C96A3A6" w14:textId="77777777" w:rsidR="002B120D" w:rsidRPr="005644FE" w:rsidRDefault="002B120D" w:rsidP="001E45F8">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A10FE7C" w14:textId="77777777" w:rsidR="002B120D" w:rsidRPr="005644FE" w:rsidRDefault="002B120D" w:rsidP="001E45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18FF9319" w14:textId="77777777" w:rsidR="002B120D" w:rsidRPr="005644FE" w:rsidRDefault="002B120D" w:rsidP="001E45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4AEB86E9" w:rsidR="00127233" w:rsidRPr="0092579E" w:rsidRDefault="00127233" w:rsidP="0092579E"/>
    <w:sectPr w:rsidR="00127233" w:rsidRPr="0092579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A430D" w14:textId="77777777" w:rsidR="003F3F4A" w:rsidRDefault="003F3F4A" w:rsidP="004A1847">
      <w:pPr>
        <w:spacing w:after="0" w:line="240" w:lineRule="auto"/>
      </w:pPr>
      <w:r>
        <w:separator/>
      </w:r>
    </w:p>
  </w:endnote>
  <w:endnote w:type="continuationSeparator" w:id="0">
    <w:p w14:paraId="6B8DD485" w14:textId="77777777" w:rsidR="003F3F4A" w:rsidRDefault="003F3F4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15F87" w14:textId="77777777" w:rsidR="003F3F4A" w:rsidRDefault="003F3F4A" w:rsidP="004A1847">
      <w:pPr>
        <w:spacing w:after="0" w:line="240" w:lineRule="auto"/>
      </w:pPr>
      <w:r>
        <w:separator/>
      </w:r>
    </w:p>
  </w:footnote>
  <w:footnote w:type="continuationSeparator" w:id="0">
    <w:p w14:paraId="4957B657" w14:textId="77777777" w:rsidR="003F3F4A" w:rsidRDefault="003F3F4A" w:rsidP="004A1847">
      <w:pPr>
        <w:spacing w:after="0" w:line="240" w:lineRule="auto"/>
      </w:pPr>
      <w:r>
        <w:continuationSeparator/>
      </w:r>
    </w:p>
  </w:footnote>
  <w:footnote w:id="1">
    <w:p w14:paraId="5BBD385D" w14:textId="77777777" w:rsidR="002B120D" w:rsidRDefault="002B120D" w:rsidP="002B120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color w:val="000000" w:themeColor="text1"/>
          <w:sz w:val="16"/>
          <w:szCs w:val="16"/>
          <w:lang w:val="es-ES"/>
        </w:rPr>
        <w:t>“</w:t>
      </w:r>
      <w:r w:rsidRPr="00984E13">
        <w:rPr>
          <w:rFonts w:ascii="Verdana" w:hAnsi="Verdana" w:cs="Arial"/>
          <w:sz w:val="16"/>
          <w:szCs w:val="16"/>
        </w:rPr>
        <w:t>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w:t>
      </w:r>
      <w:r w:rsidRPr="00984E13">
        <w:rPr>
          <w:rFonts w:ascii="Verdana" w:hAnsi="Verdana" w:cs="Arial"/>
          <w:sz w:val="16"/>
          <w:szCs w:val="16"/>
        </w:rPr>
        <w:t xml:space="preserve"> Citado en CONSEJO DE ESTADO. Sala de lo Contencioso Administrativo. Sección Tercera – Subsección A. Sentencia del 16 de mayo de 2019. Rad. (40102). C.P: María Adriana Marín [cita No. 35]. </w:t>
      </w:r>
    </w:p>
    <w:p w14:paraId="0528351C" w14:textId="77777777" w:rsidR="002B120D" w:rsidRPr="00984E13" w:rsidRDefault="002B120D" w:rsidP="002B120D">
      <w:pPr>
        <w:pStyle w:val="Textonotapie"/>
        <w:ind w:firstLine="709"/>
        <w:jc w:val="both"/>
        <w:rPr>
          <w:rFonts w:ascii="Verdana" w:hAnsi="Verdana" w:cs="Arial"/>
          <w:sz w:val="16"/>
          <w:szCs w:val="16"/>
        </w:rPr>
      </w:pPr>
    </w:p>
  </w:footnote>
  <w:footnote w:id="2">
    <w:p w14:paraId="728A272B" w14:textId="77777777" w:rsidR="002B120D" w:rsidRDefault="002B120D" w:rsidP="002B120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de lo Contencioso Administrativo. Sección Tercera – Subsección A. Sentencia del 16 de mayo de 2019. Rad. (40102). C.P: María Adriana Marín</w:t>
      </w:r>
      <w:r>
        <w:rPr>
          <w:rFonts w:ascii="Verdana" w:hAnsi="Verdana" w:cs="Arial"/>
          <w:sz w:val="16"/>
          <w:szCs w:val="16"/>
        </w:rPr>
        <w:t>.</w:t>
      </w:r>
    </w:p>
    <w:p w14:paraId="390D9F12" w14:textId="77777777" w:rsidR="002B120D" w:rsidRPr="00984E13" w:rsidRDefault="002B120D" w:rsidP="002B120D">
      <w:pPr>
        <w:pStyle w:val="Textonotapie"/>
        <w:ind w:firstLine="709"/>
        <w:jc w:val="both"/>
        <w:rPr>
          <w:rFonts w:ascii="Verdana" w:hAnsi="Verdana" w:cs="Arial"/>
          <w:sz w:val="16"/>
          <w:szCs w:val="16"/>
        </w:rPr>
      </w:pPr>
    </w:p>
  </w:footnote>
  <w:footnote w:id="3">
    <w:p w14:paraId="5A9C5885" w14:textId="77777777" w:rsidR="002B120D" w:rsidRDefault="002B120D" w:rsidP="002B120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C</w:t>
      </w:r>
      <w:r>
        <w:rPr>
          <w:rFonts w:ascii="Verdana" w:hAnsi="Verdana" w:cs="Arial"/>
          <w:sz w:val="16"/>
          <w:szCs w:val="16"/>
        </w:rPr>
        <w:t xml:space="preserve">onsejo de </w:t>
      </w:r>
      <w:r w:rsidRPr="00984E13">
        <w:rPr>
          <w:rFonts w:ascii="Verdana" w:hAnsi="Verdana" w:cs="Arial"/>
          <w:sz w:val="16"/>
          <w:szCs w:val="16"/>
        </w:rPr>
        <w:t>E</w:t>
      </w:r>
      <w:r>
        <w:rPr>
          <w:rFonts w:ascii="Verdana" w:hAnsi="Verdana" w:cs="Arial"/>
          <w:sz w:val="16"/>
          <w:szCs w:val="16"/>
        </w:rPr>
        <w:t>stado</w:t>
      </w:r>
      <w:r w:rsidRPr="00984E13">
        <w:rPr>
          <w:rFonts w:ascii="Verdana" w:hAnsi="Verdana" w:cs="Arial"/>
          <w:sz w:val="16"/>
          <w:szCs w:val="16"/>
        </w:rPr>
        <w:t xml:space="preserve">. Sala de lo Contencioso Administrativo. Sección Tercera – Subsección C. Sentencia del 2 de octubre del 2020. Rad. 63644. CP. Jaime Enrique Rodríguez Nava. </w:t>
      </w:r>
    </w:p>
    <w:p w14:paraId="3AFCBE22" w14:textId="77777777" w:rsidR="002B120D" w:rsidRPr="00984E13" w:rsidRDefault="002B120D" w:rsidP="002B120D">
      <w:pPr>
        <w:pStyle w:val="Textonotapie"/>
        <w:ind w:firstLine="709"/>
        <w:jc w:val="both"/>
        <w:rPr>
          <w:rFonts w:ascii="Verdana" w:hAnsi="Verdana" w:cs="Arial"/>
          <w:sz w:val="16"/>
          <w:szCs w:val="16"/>
        </w:rPr>
      </w:pPr>
    </w:p>
  </w:footnote>
  <w:footnote w:id="4">
    <w:p w14:paraId="0D16F3B3" w14:textId="77777777" w:rsidR="002B120D" w:rsidRDefault="002B120D" w:rsidP="002B120D">
      <w:pPr>
        <w:pStyle w:val="Textonotapie"/>
        <w:ind w:firstLine="709"/>
        <w:jc w:val="both"/>
        <w:rPr>
          <w:rFonts w:ascii="Verdana" w:hAnsi="Verdana" w:cs="Arial"/>
          <w:color w:val="000000" w:themeColor="text1"/>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000000" w:themeColor="text1"/>
          <w:sz w:val="16"/>
          <w:szCs w:val="16"/>
          <w:lang w:val="es-ES"/>
        </w:rPr>
        <w:t>C</w:t>
      </w:r>
      <w:r>
        <w:rPr>
          <w:rFonts w:ascii="Verdana" w:hAnsi="Verdana" w:cs="Arial"/>
          <w:color w:val="000000" w:themeColor="text1"/>
          <w:sz w:val="16"/>
          <w:szCs w:val="16"/>
          <w:lang w:val="es-ES"/>
        </w:rPr>
        <w:t>onsejo de Estado</w:t>
      </w:r>
      <w:r w:rsidRPr="00984E13">
        <w:rPr>
          <w:rFonts w:ascii="Verdana" w:hAnsi="Verdana" w:cs="Arial"/>
          <w:color w:val="000000" w:themeColor="text1"/>
          <w:sz w:val="16"/>
          <w:szCs w:val="16"/>
          <w:lang w:val="es-ES"/>
        </w:rPr>
        <w:t>. Sección Tercera. Sentencia de 22 de junio de 2001. Exp. 13436, C.P</w:t>
      </w:r>
      <w:r>
        <w:rPr>
          <w:rFonts w:ascii="Verdana" w:hAnsi="Verdana" w:cs="Arial"/>
          <w:color w:val="000000" w:themeColor="text1"/>
          <w:sz w:val="16"/>
          <w:szCs w:val="16"/>
          <w:lang w:val="es-ES"/>
        </w:rPr>
        <w:t>:</w:t>
      </w:r>
      <w:r w:rsidRPr="00984E13">
        <w:rPr>
          <w:rFonts w:ascii="Verdana" w:hAnsi="Verdana" w:cs="Arial"/>
          <w:color w:val="000000" w:themeColor="text1"/>
          <w:sz w:val="16"/>
          <w:szCs w:val="16"/>
          <w:lang w:val="es-ES"/>
        </w:rPr>
        <w:t xml:space="preserve"> Ricardo Hoyos Duque</w:t>
      </w:r>
      <w:r>
        <w:rPr>
          <w:rFonts w:ascii="Verdana" w:hAnsi="Verdana" w:cs="Arial"/>
          <w:color w:val="000000" w:themeColor="text1"/>
          <w:sz w:val="16"/>
          <w:szCs w:val="16"/>
          <w:lang w:val="es-ES"/>
        </w:rPr>
        <w:t>.</w:t>
      </w:r>
    </w:p>
    <w:p w14:paraId="448FC93B" w14:textId="77777777" w:rsidR="002B120D" w:rsidRPr="00984E13" w:rsidRDefault="002B120D" w:rsidP="002B120D">
      <w:pPr>
        <w:pStyle w:val="Textonotapie"/>
        <w:ind w:firstLine="709"/>
        <w:jc w:val="both"/>
        <w:rPr>
          <w:rFonts w:ascii="Verdana" w:hAnsi="Verdana" w:cs="Arial"/>
          <w:color w:val="000000" w:themeColor="text1"/>
          <w:sz w:val="16"/>
          <w:szCs w:val="16"/>
          <w:lang w:val="es-ES"/>
        </w:rPr>
      </w:pPr>
    </w:p>
  </w:footnote>
  <w:footnote w:id="5">
    <w:p w14:paraId="5B27C6E8" w14:textId="77777777" w:rsidR="002B120D" w:rsidRPr="00984E13" w:rsidRDefault="002B120D" w:rsidP="002B120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hAnsi="Verdana" w:cs="Arial"/>
          <w:sz w:val="16"/>
          <w:szCs w:val="16"/>
        </w:rPr>
        <w:t>“</w:t>
      </w:r>
      <w:r w:rsidRPr="00984E13">
        <w:rPr>
          <w:rFonts w:ascii="Verdana" w:hAnsi="Verdana" w:cs="Arial"/>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 xml:space="preserve"> (</w:t>
      </w:r>
      <w:r w:rsidRPr="00984E13">
        <w:rPr>
          <w:rFonts w:ascii="Verdana" w:hAnsi="Verdana" w:cs="Arial"/>
          <w:sz w:val="16"/>
          <w:szCs w:val="16"/>
        </w:rPr>
        <w:t xml:space="preserve">EXPÓSITO VÉLEZ, Juan Carlos. Forma y contenido del contrato estatal. Bogotá: Universidad Externado de Colombia, 2013, p. 165-166). De igual manera, se ha expuesto que </w:t>
      </w:r>
      <w:r>
        <w:rPr>
          <w:rFonts w:ascii="Verdana" w:hAnsi="Verdana" w:cs="Arial"/>
          <w:sz w:val="16"/>
          <w:szCs w:val="16"/>
        </w:rPr>
        <w:t>“</w:t>
      </w:r>
      <w:r w:rsidRPr="00984E13">
        <w:rPr>
          <w:rFonts w:ascii="Verdana" w:hAnsi="Verdana" w:cs="Arial"/>
          <w:sz w:val="16"/>
          <w:szCs w:val="16"/>
        </w:rPr>
        <w:t>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Pr>
          <w:rFonts w:ascii="Verdana" w:eastAsia="Calibri" w:hAnsi="Verdana" w:cs="Arial"/>
          <w:color w:val="000000" w:themeColor="text1"/>
          <w:sz w:val="16"/>
          <w:szCs w:val="16"/>
          <w:lang w:val="es-ES"/>
        </w:rPr>
        <w:t>”</w:t>
      </w:r>
      <w:r w:rsidRPr="00984E13">
        <w:rPr>
          <w:rFonts w:ascii="Verdana" w:hAnsi="Verdana" w:cs="Arial"/>
          <w:sz w:val="16"/>
          <w:szCs w:val="16"/>
        </w:rPr>
        <w:t xml:space="preserve"> (MATALLANA CAMACHO, Ernesto. Manual de Contratación de la Administración Pública. Reforma de la Ley 80 de 1993. Cuarta edición. Bogotá: Universidad Externado de Colombia, 2015. p. 921 y ss).</w:t>
      </w:r>
    </w:p>
  </w:footnote>
  <w:footnote w:id="6">
    <w:p w14:paraId="20069065" w14:textId="77777777" w:rsidR="002B120D" w:rsidRPr="00984E13" w:rsidRDefault="002B120D" w:rsidP="002B120D">
      <w:pPr>
        <w:spacing w:after="0" w:line="240" w:lineRule="auto"/>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Plena. Sentencia del 8 de agosto de 2001. Exp. AC-10966 - AC-11274. Consejero Ponente: Reinaldo Chavarro Buriticá.</w:t>
      </w:r>
    </w:p>
  </w:footnote>
  <w:footnote w:id="7">
    <w:p w14:paraId="36DE2B90" w14:textId="77777777" w:rsidR="002B120D" w:rsidRPr="00984E13" w:rsidRDefault="002B120D" w:rsidP="002B120D">
      <w:pPr>
        <w:pStyle w:val="NormalWeb"/>
        <w:shd w:val="clear" w:color="auto" w:fill="FFFFFF"/>
        <w:spacing w:before="0" w:beforeAutospacing="0" w:after="0" w:afterAutospacing="0"/>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sz w:val="16"/>
          <w:szCs w:val="16"/>
          <w:lang w:val="es-ES"/>
        </w:rPr>
        <w:t>“</w:t>
      </w:r>
      <w:r w:rsidRPr="00984E13">
        <w:rPr>
          <w:rFonts w:ascii="Verdana" w:hAnsi="Verdana" w:cs="Arial"/>
          <w:sz w:val="16"/>
          <w:szCs w:val="16"/>
        </w:rPr>
        <w:t>Artículo 2.2.1.1.2.4.1.</w:t>
      </w:r>
      <w:r w:rsidRPr="00984E13">
        <w:rPr>
          <w:rFonts w:ascii="Verdana" w:hAnsi="Verdana" w:cs="Arial"/>
          <w:i/>
          <w:iCs/>
          <w:sz w:val="16"/>
          <w:szCs w:val="16"/>
        </w:rPr>
        <w:t> </w:t>
      </w:r>
      <w:r w:rsidRPr="00984E13">
        <w:rPr>
          <w:rFonts w:ascii="Verdana" w:hAnsi="Verdana" w:cs="Arial"/>
          <w:sz w:val="16"/>
          <w:szCs w:val="16"/>
        </w:rPr>
        <w:t>Patrimonio autónomo para el manejo de anticipos.</w:t>
      </w:r>
      <w:r w:rsidRPr="00984E13">
        <w:rPr>
          <w:rFonts w:ascii="Verdana" w:hAnsi="Verdana" w:cs="Arial"/>
          <w:i/>
          <w:iCs/>
          <w:sz w:val="16"/>
          <w:szCs w:val="16"/>
        </w:rPr>
        <w:t> </w:t>
      </w:r>
      <w:r w:rsidRPr="00984E13">
        <w:rPr>
          <w:rFonts w:ascii="Verdana" w:hAnsi="Verdana" w:cs="Arial"/>
          <w:sz w:val="16"/>
          <w:szCs w:val="16"/>
        </w:rPr>
        <w:t>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w:t>
      </w:r>
    </w:p>
    <w:p w14:paraId="043A07FC" w14:textId="77777777" w:rsidR="002B120D" w:rsidRPr="00984E13" w:rsidRDefault="002B120D" w:rsidP="002B120D">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Los recursos entregados por la Entidad Estatal a título de anticipo dejan de ser parte del patrimonio de esta para conformar el patrimonio autónomo. En consecuencia, los recursos del patrimonio autónomo y sus rendimientos son autónomos y son manejados de acuerdo con el contrato de fiducia mercantil.</w:t>
      </w:r>
    </w:p>
    <w:p w14:paraId="41510BC3" w14:textId="77777777" w:rsidR="002B120D" w:rsidRPr="00984E13" w:rsidRDefault="002B120D" w:rsidP="002B120D">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En los pliegos de condiciones, la Entidad Estatal debe establecer los términos y condiciones de la administración del anticipo a través del patrimonio autónomo.</w:t>
      </w:r>
    </w:p>
    <w:p w14:paraId="5D3D210A" w14:textId="77777777" w:rsidR="002B120D" w:rsidRPr="00984E13" w:rsidRDefault="002B120D" w:rsidP="002B120D">
      <w:pPr>
        <w:pStyle w:val="NormalWeb"/>
        <w:shd w:val="clear" w:color="auto" w:fill="FFFFFF"/>
        <w:spacing w:before="0" w:beforeAutospacing="0" w:after="0" w:afterAutospacing="0"/>
        <w:ind w:firstLine="709"/>
        <w:jc w:val="both"/>
        <w:rPr>
          <w:rFonts w:ascii="Verdana" w:eastAsia="Calibri" w:hAnsi="Verdana" w:cs="Arial"/>
          <w:sz w:val="16"/>
          <w:szCs w:val="16"/>
          <w:lang w:val="es-ES" w:eastAsia="es-ES_tradnl"/>
        </w:rPr>
      </w:pPr>
      <w:r w:rsidRPr="00984E13">
        <w:rPr>
          <w:rFonts w:ascii="Verdana" w:hAnsi="Verdana" w:cs="Arial"/>
          <w:sz w:val="16"/>
          <w:szCs w:val="16"/>
        </w:rPr>
        <w:t>En este caso, la sociedad fiduciaria debe pagar a los proveedores, con base en las instrucciones que reciba del contratista, las cuales deben haber sido autorizadas por el Supervisor o el Interventor, siempre y cuando tales pagos correspondan a los rubros previstos en el plan de utilización o de inversión del anticipo</w:t>
      </w:r>
      <w:r>
        <w:rPr>
          <w:rFonts w:ascii="Verdana" w:eastAsia="Calibri" w:hAnsi="Verdana" w:cs="Arial"/>
          <w:sz w:val="16"/>
          <w:szCs w:val="16"/>
          <w:lang w:val="es-ES"/>
        </w:rPr>
        <w:t>”</w:t>
      </w:r>
      <w:r w:rsidRPr="00984E13">
        <w:rPr>
          <w:rFonts w:ascii="Verdana" w:eastAsia="Calibri" w:hAnsi="Verdana" w:cs="Arial"/>
          <w:sz w:val="16"/>
          <w:szCs w:val="16"/>
          <w:lang w:val="es-ES"/>
        </w:rPr>
        <w:t>.</w:t>
      </w:r>
    </w:p>
  </w:footnote>
  <w:footnote w:id="8">
    <w:p w14:paraId="0D295760" w14:textId="77777777" w:rsidR="002B120D" w:rsidRDefault="002B120D" w:rsidP="002B120D">
      <w:pPr>
        <w:pStyle w:val="Textonotapie"/>
        <w:ind w:firstLine="709"/>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Sobre el particular, se puede consultar la exposición de motivos de la Ley 1474 de 2011, Gaceta 607 del 2010, disponible en:  </w:t>
      </w:r>
      <w:hyperlink r:id="rId1" w:history="1">
        <w:r w:rsidRPr="00984E13">
          <w:rPr>
            <w:rStyle w:val="Hipervnculo"/>
            <w:rFonts w:ascii="Verdana" w:hAnsi="Verdana" w:cs="Arial"/>
            <w:sz w:val="16"/>
            <w:szCs w:val="16"/>
            <w:lang w:val="es-ES"/>
          </w:rPr>
          <w:t>http://svrpubindc.imprenta.gov.co/senado/index.xhtml;jsessionid=b3ba7213a248bacd37376ffcedca</w:t>
        </w:r>
      </w:hyperlink>
      <w:r w:rsidRPr="00984E13">
        <w:rPr>
          <w:rFonts w:ascii="Verdana" w:hAnsi="Verdana" w:cs="Arial"/>
          <w:sz w:val="16"/>
          <w:szCs w:val="16"/>
          <w:lang w:val="es-ES"/>
        </w:rPr>
        <w:t xml:space="preserve"> </w:t>
      </w:r>
    </w:p>
    <w:p w14:paraId="0609B015" w14:textId="77777777" w:rsidR="002B120D" w:rsidRPr="00984E13" w:rsidRDefault="002B120D" w:rsidP="002B120D">
      <w:pPr>
        <w:pStyle w:val="Textonotapie"/>
        <w:ind w:firstLine="709"/>
        <w:jc w:val="both"/>
        <w:rPr>
          <w:rFonts w:ascii="Verdana" w:hAnsi="Verdana" w:cs="Arial"/>
          <w:sz w:val="16"/>
          <w:szCs w:val="16"/>
          <w:lang w:val="es-ES"/>
        </w:rPr>
      </w:pPr>
    </w:p>
  </w:footnote>
  <w:footnote w:id="9">
    <w:p w14:paraId="3CB4BD91" w14:textId="77777777" w:rsidR="002B120D" w:rsidRPr="00984E13" w:rsidRDefault="002B120D" w:rsidP="002B120D">
      <w:pPr>
        <w:pStyle w:val="Sinespaciado"/>
        <w:ind w:firstLine="708"/>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La Guía para el manejo de anticipos mediante contrato de fiducia irrevocable puede ser consultada en: </w:t>
      </w:r>
      <w:hyperlink r:id="rId2" w:history="1">
        <w:r w:rsidRPr="00984E13">
          <w:rPr>
            <w:rStyle w:val="Hipervnculo"/>
            <w:rFonts w:ascii="Verdana" w:hAnsi="Verdana" w:cs="Arial"/>
            <w:sz w:val="16"/>
            <w:szCs w:val="16"/>
            <w:lang w:val="es-ES"/>
          </w:rPr>
          <w:t>https://www.colombiacompra.gov.co/wp-content/uploads/2024/08/2017-Guia-para-el-manejo-de-anticipos-mediante-contrato-de-fiducia-mercantil-irrevocable-G-MACFMI-01.pdf</w:t>
        </w:r>
      </w:hyperlink>
      <w:r w:rsidRPr="00984E13">
        <w:rPr>
          <w:rFonts w:ascii="Verdana" w:hAnsi="Verdana" w:cs="Arial"/>
          <w:sz w:val="16"/>
          <w:szCs w:val="16"/>
          <w:lang w:val="es-ES"/>
        </w:rPr>
        <w:t xml:space="preserve">.  </w:t>
      </w:r>
    </w:p>
  </w:footnote>
  <w:footnote w:id="10">
    <w:p w14:paraId="7CD93665" w14:textId="77777777" w:rsidR="002B120D" w:rsidRPr="004F3389" w:rsidRDefault="002B120D" w:rsidP="002B120D">
      <w:pPr>
        <w:pStyle w:val="Textonotapie"/>
        <w:ind w:firstLine="708"/>
        <w:jc w:val="both"/>
        <w:rPr>
          <w:rFonts w:ascii="Verdana" w:hAnsi="Verdana"/>
          <w:sz w:val="16"/>
          <w:szCs w:val="16"/>
          <w:lang w:val="es-ES"/>
        </w:rPr>
      </w:pPr>
      <w:r w:rsidRPr="004F3389">
        <w:rPr>
          <w:rStyle w:val="Refdenotaalpie"/>
          <w:rFonts w:ascii="Verdana" w:hAnsi="Verdana"/>
          <w:sz w:val="16"/>
          <w:szCs w:val="16"/>
        </w:rPr>
        <w:footnoteRef/>
      </w:r>
      <w:r w:rsidRPr="004F3389">
        <w:rPr>
          <w:rFonts w:ascii="Verdana" w:hAnsi="Verdana"/>
          <w:sz w:val="16"/>
          <w:szCs w:val="16"/>
        </w:rPr>
        <w:t xml:space="preserve"> DÁVILA VINUEZA, Luis Guillermo. Régimen jurídico de la contratación estatal. Bogotá: Legis, 2016. p. 600.</w:t>
      </w:r>
    </w:p>
  </w:footnote>
  <w:footnote w:id="11">
    <w:p w14:paraId="3408AEE9" w14:textId="77777777" w:rsidR="002B120D" w:rsidRPr="00345276" w:rsidRDefault="002B120D" w:rsidP="002B120D">
      <w:pPr>
        <w:pStyle w:val="Sinespaciado"/>
        <w:ind w:firstLine="708"/>
        <w:jc w:val="both"/>
        <w:rPr>
          <w:rFonts w:ascii="Verdana" w:hAnsi="Verdana" w:cs="Arial"/>
          <w:sz w:val="16"/>
          <w:szCs w:val="16"/>
        </w:rPr>
      </w:pPr>
      <w:r w:rsidRPr="00345276">
        <w:rPr>
          <w:rStyle w:val="Refdenotaalpie"/>
          <w:rFonts w:ascii="Verdana" w:hAnsi="Verdana" w:cs="Arial"/>
          <w:sz w:val="16"/>
          <w:szCs w:val="16"/>
        </w:rPr>
        <w:footnoteRef/>
      </w:r>
      <w:r w:rsidRPr="00345276">
        <w:rPr>
          <w:rFonts w:ascii="Verdana" w:hAnsi="Verdana"/>
          <w:sz w:val="16"/>
          <w:szCs w:val="16"/>
        </w:rPr>
        <w:t xml:space="preserve"> </w:t>
      </w:r>
      <w:r w:rsidRPr="00345276">
        <w:rPr>
          <w:rFonts w:ascii="Verdana" w:hAnsi="Verdana" w:cs="Arial"/>
          <w:sz w:val="16"/>
          <w:szCs w:val="16"/>
        </w:rPr>
        <w:t>ARTÍCULO 2.2.1.2.3.1.7. Garantía de cumplimiento. La garantía de cumplimiento del contrato debe cubrir:</w:t>
      </w:r>
    </w:p>
    <w:p w14:paraId="4C2B01FA"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8F7ABCA"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4086214D"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3. Cumplimiento del contrato. Este amparo cubre a la Entidad Estatal de los perjuicios derivados de:</w:t>
      </w:r>
    </w:p>
    <w:p w14:paraId="74B8544C"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3.1. El incumplimiento total o parcial del contrato, cuando el incumplimiento es imputable al contratista;</w:t>
      </w:r>
    </w:p>
    <w:p w14:paraId="5E86D2D5"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3.2. El cumplimiento tardío o defectuoso del contrato, cuando el incumplimiento es imputable al contratista;</w:t>
      </w:r>
    </w:p>
    <w:p w14:paraId="75530C85"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3.3. Los daños imputables al contratista por entregas parciales de la obra, cuando el contrato no prevé entregas parciales; y</w:t>
      </w:r>
    </w:p>
    <w:p w14:paraId="0E142DAD"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3.4. El pago del valor de las multas y de la cláusula penal pecuniaria.</w:t>
      </w:r>
    </w:p>
    <w:p w14:paraId="3728F3EE"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3922C023"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La Entidad Estatal no debe exigir una garantía para cubrir este Riesgo en los contratos que se ejecuten fuera del territorio nacional con personal contratado bajo un régimen jurídico distinto al colombiano.</w:t>
      </w:r>
    </w:p>
    <w:p w14:paraId="0531CDEB"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5. Estabilidad y calidad de la obra. Este amparo cubre a la Entidad Estatal de los perjuicios ocasionados por cualquier tipo de daño o deterioro, imputable al contratista, sufrido por la obra entregada a satisfacción.</w:t>
      </w:r>
    </w:p>
    <w:p w14:paraId="62B5639F"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6. Calidad del servicio. Este amparo cubre a la Entidad Estatal por los perjuicios derivados de la deficiente calidad del servicio prestado.</w:t>
      </w:r>
    </w:p>
    <w:p w14:paraId="63BBADE4" w14:textId="77777777" w:rsidR="002B120D" w:rsidRPr="00345276" w:rsidRDefault="002B120D" w:rsidP="002B120D">
      <w:pPr>
        <w:pStyle w:val="Sinespaciado"/>
        <w:ind w:firstLine="708"/>
        <w:jc w:val="both"/>
        <w:rPr>
          <w:rFonts w:ascii="Verdana" w:hAnsi="Verdana" w:cs="Arial"/>
          <w:sz w:val="16"/>
          <w:szCs w:val="16"/>
        </w:rPr>
      </w:pPr>
      <w:r w:rsidRPr="00345276">
        <w:rPr>
          <w:rFonts w:ascii="Verdana" w:hAnsi="Verdana" w:cs="Arial"/>
          <w:sz w:val="16"/>
          <w:szCs w:val="16"/>
        </w:rPr>
        <w:t>7. Calidad y correcto funcionamiento de los bienes. Este amparo debe cubrir la calidad y el correcto funcionamiento de los bienes que recibe la Entidad Estatal en cumplimiento de un contrato.</w:t>
      </w:r>
    </w:p>
    <w:p w14:paraId="320AE995" w14:textId="77777777" w:rsidR="002B120D" w:rsidRPr="00B36D28" w:rsidRDefault="002B120D" w:rsidP="002B120D">
      <w:pPr>
        <w:pStyle w:val="Sinespaciado"/>
        <w:ind w:firstLine="708"/>
        <w:jc w:val="both"/>
        <w:rPr>
          <w:rFonts w:ascii="Verdana" w:hAnsi="Verdana" w:cs="Arial"/>
          <w:sz w:val="14"/>
          <w:szCs w:val="14"/>
          <w:lang w:val="es-CO"/>
        </w:rPr>
      </w:pPr>
      <w:r w:rsidRPr="00345276">
        <w:rPr>
          <w:rFonts w:ascii="Verdana" w:hAnsi="Verdana" w:cs="Arial"/>
          <w:sz w:val="16"/>
          <w:szCs w:val="16"/>
        </w:rPr>
        <w:t>8. Los demás incumplimientos de obligaciones que la Entidad Estatal considere deben ser amparados de manera proporcional y acorde a la naturaleza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1968822">
    <w:abstractNumId w:val="6"/>
  </w:num>
  <w:num w:numId="2" w16cid:durableId="818695303">
    <w:abstractNumId w:val="2"/>
  </w:num>
  <w:num w:numId="3" w16cid:durableId="739795369">
    <w:abstractNumId w:val="4"/>
  </w:num>
  <w:num w:numId="4" w16cid:durableId="5769814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25558374">
    <w:abstractNumId w:val="2"/>
  </w:num>
  <w:num w:numId="6" w16cid:durableId="1126964889">
    <w:abstractNumId w:val="13"/>
  </w:num>
  <w:num w:numId="7" w16cid:durableId="288241419">
    <w:abstractNumId w:val="5"/>
  </w:num>
  <w:num w:numId="8" w16cid:durableId="1541698856">
    <w:abstractNumId w:val="12"/>
  </w:num>
  <w:num w:numId="9" w16cid:durableId="396560871">
    <w:abstractNumId w:val="7"/>
  </w:num>
  <w:num w:numId="10" w16cid:durableId="179397245">
    <w:abstractNumId w:val="11"/>
  </w:num>
  <w:num w:numId="11" w16cid:durableId="594246810">
    <w:abstractNumId w:val="8"/>
  </w:num>
  <w:num w:numId="12" w16cid:durableId="481503366">
    <w:abstractNumId w:val="1"/>
  </w:num>
  <w:num w:numId="13" w16cid:durableId="1441097724">
    <w:abstractNumId w:val="3"/>
  </w:num>
  <w:num w:numId="14" w16cid:durableId="1069424659">
    <w:abstractNumId w:val="14"/>
  </w:num>
  <w:num w:numId="15" w16cid:durableId="754480236">
    <w:abstractNumId w:val="10"/>
  </w:num>
  <w:num w:numId="16" w16cid:durableId="1262226161">
    <w:abstractNumId w:val="0"/>
  </w:num>
  <w:num w:numId="17" w16cid:durableId="8136426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24B"/>
    <w:rsid w:val="00082362"/>
    <w:rsid w:val="000A683E"/>
    <w:rsid w:val="000B19B9"/>
    <w:rsid w:val="000D0334"/>
    <w:rsid w:val="000D5DA7"/>
    <w:rsid w:val="000F6486"/>
    <w:rsid w:val="00116940"/>
    <w:rsid w:val="00125105"/>
    <w:rsid w:val="00127233"/>
    <w:rsid w:val="0015699B"/>
    <w:rsid w:val="00176E7F"/>
    <w:rsid w:val="001A33BF"/>
    <w:rsid w:val="001D13C0"/>
    <w:rsid w:val="001E4177"/>
    <w:rsid w:val="001F0B24"/>
    <w:rsid w:val="001F7DC6"/>
    <w:rsid w:val="0022400B"/>
    <w:rsid w:val="002421BB"/>
    <w:rsid w:val="0025796E"/>
    <w:rsid w:val="002707A2"/>
    <w:rsid w:val="002951A0"/>
    <w:rsid w:val="002962BC"/>
    <w:rsid w:val="002A093D"/>
    <w:rsid w:val="002A0DD0"/>
    <w:rsid w:val="002A49AC"/>
    <w:rsid w:val="002A64FD"/>
    <w:rsid w:val="002B120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0F21"/>
    <w:rsid w:val="003E4F80"/>
    <w:rsid w:val="003E6439"/>
    <w:rsid w:val="003F3941"/>
    <w:rsid w:val="003F3F4A"/>
    <w:rsid w:val="00404EF2"/>
    <w:rsid w:val="00406575"/>
    <w:rsid w:val="00414C74"/>
    <w:rsid w:val="0042722E"/>
    <w:rsid w:val="0044528D"/>
    <w:rsid w:val="00466E39"/>
    <w:rsid w:val="00472818"/>
    <w:rsid w:val="004A1847"/>
    <w:rsid w:val="004A305D"/>
    <w:rsid w:val="004F21C4"/>
    <w:rsid w:val="004F685F"/>
    <w:rsid w:val="005545BA"/>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35B2"/>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2579E"/>
    <w:rsid w:val="009419F9"/>
    <w:rsid w:val="0095685E"/>
    <w:rsid w:val="00961B09"/>
    <w:rsid w:val="00965334"/>
    <w:rsid w:val="0097093E"/>
    <w:rsid w:val="00992CB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27FB2"/>
    <w:rsid w:val="00B44A47"/>
    <w:rsid w:val="00B72CD3"/>
    <w:rsid w:val="00B72FFF"/>
    <w:rsid w:val="00B822A9"/>
    <w:rsid w:val="00BC3D36"/>
    <w:rsid w:val="00BD3650"/>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43B6"/>
    <w:rsid w:val="00D361FD"/>
    <w:rsid w:val="00D40FE5"/>
    <w:rsid w:val="00D423A2"/>
    <w:rsid w:val="00D44E26"/>
    <w:rsid w:val="00D520D8"/>
    <w:rsid w:val="00D63AC2"/>
    <w:rsid w:val="00D7383B"/>
    <w:rsid w:val="00D7788A"/>
    <w:rsid w:val="00D96008"/>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08BD"/>
    <w:rsid w:val="00F76AFC"/>
    <w:rsid w:val="00FA47C0"/>
    <w:rsid w:val="00FB5DD1"/>
    <w:rsid w:val="00FC2B5D"/>
    <w:rsid w:val="00FD4011"/>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B120D"/>
    <w:rPr>
      <w:rFonts w:ascii="Geomanist Light" w:hAnsi="Geomanist Light"/>
      <w:lang w:val="es-ES"/>
    </w:rPr>
  </w:style>
  <w:style w:type="paragraph" w:customStyle="1" w:styleId="Appelnotedebasde">
    <w:name w:val="Appel note de bas de..."/>
    <w:basedOn w:val="Normal"/>
    <w:link w:val="Refdenotaalpie"/>
    <w:uiPriority w:val="99"/>
    <w:rsid w:val="002B120D"/>
    <w:pPr>
      <w:spacing w:line="240" w:lineRule="exact"/>
    </w:pPr>
    <w:rPr>
      <w:vertAlign w:val="superscript"/>
    </w:rPr>
  </w:style>
  <w:style w:type="character" w:customStyle="1" w:styleId="NormalWebCar">
    <w:name w:val="Normal (Web) Car"/>
    <w:link w:val="NormalWeb"/>
    <w:uiPriority w:val="99"/>
    <w:locked/>
    <w:rsid w:val="002B120D"/>
    <w:rPr>
      <w:rFonts w:ascii="Times New Roman" w:eastAsia="Times New Roman" w:hAnsi="Times New Roman" w:cs="Times New Roman"/>
      <w:sz w:val="24"/>
      <w:szCs w:val="24"/>
      <w:lang w:eastAsia="es-CO"/>
    </w:rPr>
  </w:style>
  <w:style w:type="paragraph" w:styleId="Sinespaciado">
    <w:name w:val="No Spacing"/>
    <w:aliases w:val="No Indent"/>
    <w:uiPriority w:val="1"/>
    <w:qFormat/>
    <w:rsid w:val="002B120D"/>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2017-Guia-para-el-manejo-de-anticipos-mediante-contrato-de-fiducia-mercantil-irrevocable-G-MACFMI-0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ennyvanessaguilarpalacios@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7-Guia-para-el-manejo-de-anticipos-mediante-contrato-de-fiducia-mercantil-irrevocable-G-MACFMI-01.pdf" TargetMode="External"/><Relationship Id="rId1" Type="http://schemas.openxmlformats.org/officeDocument/2006/relationships/hyperlink" Target="http://svrpubindc.imprenta.gov.co/senado/index.xhtml;jsessionid=b3ba7213a248bacd37376ffced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AE25BC6-AD2A-C143-ADD2-E286CF8A7D39}">
  <ds:schemaRefs>
    <ds:schemaRef ds:uri="http://schemas.openxmlformats.org/officeDocument/2006/bibliography"/>
  </ds:schemaRefs>
</ds:datastoreItem>
</file>

<file path=customXml/itemProps4.xml><?xml version="1.0" encoding="utf-8"?>
<ds:datastoreItem xmlns:ds="http://schemas.openxmlformats.org/officeDocument/2006/customXml" ds:itemID="{F9D21B85-6BD5-4B0F-8989-47FC02DD27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20</Pages>
  <Words>6742</Words>
  <Characters>35599</Characters>
  <Application>Microsoft Office Word</Application>
  <DocSecurity>0</DocSecurity>
  <Lines>1483</Lines>
  <Paragraphs>846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2025-12-16T12:52:00Z</dcterms:created>
  <dcterms:modified xsi:type="dcterms:W3CDTF">2025-12-20T19:22:00Z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