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567996" w14:textId="77777777" w:rsidR="00512C65" w:rsidRPr="00B34929" w:rsidRDefault="00512C65" w:rsidP="00512C65">
      <w:pPr>
        <w:spacing w:after="0" w:line="240" w:lineRule="auto"/>
        <w:jc w:val="both"/>
        <w:rPr>
          <w:rFonts w:ascii="Verdana" w:eastAsia="Calibri" w:hAnsi="Verdana" w:cs="Arial"/>
          <w:b/>
          <w:color w:val="000000" w:themeColor="text1"/>
          <w:lang w:val="es-ES"/>
        </w:rPr>
      </w:pPr>
      <w:bookmarkStart w:id="0" w:name="_Hlk143780582"/>
      <w:r w:rsidRPr="00B34929">
        <w:rPr>
          <w:rFonts w:ascii="Verdana" w:eastAsia="Calibri" w:hAnsi="Verdana" w:cs="Arial"/>
          <w:b/>
          <w:color w:val="000000" w:themeColor="text1"/>
          <w:lang w:val="es-ES"/>
        </w:rPr>
        <w:t>LEY DE GARANTÍAS ELECTORALES – Finalidad - Ley 996 de 2005 – Comicios aplicables</w:t>
      </w:r>
    </w:p>
    <w:p w14:paraId="43833F71" w14:textId="77777777" w:rsidR="00512C65" w:rsidRPr="00B34929" w:rsidRDefault="00512C65" w:rsidP="00512C65">
      <w:pPr>
        <w:spacing w:after="0" w:line="240" w:lineRule="auto"/>
        <w:jc w:val="both"/>
        <w:rPr>
          <w:rFonts w:ascii="Verdana" w:eastAsia="Calibri" w:hAnsi="Verdana" w:cs="Arial"/>
          <w:bCs/>
          <w:color w:val="000000" w:themeColor="text1"/>
          <w:sz w:val="20"/>
          <w:szCs w:val="20"/>
          <w:lang w:val="es-ES"/>
        </w:rPr>
      </w:pPr>
    </w:p>
    <w:p w14:paraId="1D25A4A0" w14:textId="77777777" w:rsidR="00512C65" w:rsidRPr="00B34929" w:rsidRDefault="00512C65" w:rsidP="7DD8E03A">
      <w:pPr>
        <w:spacing w:after="0" w:line="240" w:lineRule="auto"/>
        <w:jc w:val="both"/>
        <w:rPr>
          <w:rFonts w:ascii="Verdana" w:eastAsia="Calibri" w:hAnsi="Verdana" w:cs="Arial"/>
          <w:color w:val="000000" w:themeColor="text1"/>
          <w:sz w:val="20"/>
          <w:szCs w:val="20"/>
          <w:lang w:val="es-ES" w:eastAsia="es-ES"/>
        </w:rPr>
      </w:pPr>
      <w:r w:rsidRPr="7DD8E03A">
        <w:rPr>
          <w:rFonts w:ascii="Verdana" w:eastAsia="Calibri" w:hAnsi="Verdana" w:cs="Arial"/>
          <w:color w:val="000000" w:themeColor="text1"/>
          <w:sz w:val="20"/>
          <w:szCs w:val="20"/>
          <w:lang w:val="es-ES" w:eastAsia="es-ES"/>
        </w:rPr>
        <w:t>[…] 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la cita Ley introduce limitaciones para realizar nombramientos, postulaciones, contrataciones o cualquier otro tipo de actividad que implique destinación de recursos públicos bajo el devenir propio de las entidades estatales.</w:t>
      </w:r>
    </w:p>
    <w:p w14:paraId="4829480B" w14:textId="77777777" w:rsidR="00512C65" w:rsidRPr="00B34929" w:rsidRDefault="00512C65" w:rsidP="00512C65">
      <w:pPr>
        <w:spacing w:after="0" w:line="240" w:lineRule="auto"/>
        <w:jc w:val="both"/>
        <w:rPr>
          <w:rFonts w:ascii="Verdana" w:eastAsia="Calibri" w:hAnsi="Verdana" w:cs="Arial"/>
          <w:color w:val="000000" w:themeColor="text1"/>
          <w:sz w:val="20"/>
          <w:szCs w:val="20"/>
          <w:lang w:val="es-ES_tradnl" w:eastAsia="es-ES_tradnl"/>
        </w:rPr>
      </w:pPr>
      <w:r w:rsidRPr="00B34929">
        <w:rPr>
          <w:rFonts w:ascii="Verdana" w:eastAsia="Calibri" w:hAnsi="Verdana" w:cs="Arial"/>
          <w:color w:val="000000" w:themeColor="text1"/>
          <w:sz w:val="20"/>
          <w:szCs w:val="20"/>
          <w:lang w:val="es-ES_tradnl" w:eastAsia="es-ES_tradnl"/>
        </w:rPr>
        <w:t>[…]</w:t>
      </w:r>
    </w:p>
    <w:p w14:paraId="72BDB77E" w14:textId="77777777" w:rsidR="00512C65" w:rsidRPr="00B34929" w:rsidRDefault="00512C65" w:rsidP="7DD8E03A">
      <w:pPr>
        <w:spacing w:after="0" w:line="240" w:lineRule="auto"/>
        <w:jc w:val="both"/>
        <w:rPr>
          <w:rFonts w:ascii="Verdana" w:eastAsia="Calibri" w:hAnsi="Verdana" w:cs="Arial"/>
          <w:color w:val="000000" w:themeColor="text1"/>
          <w:sz w:val="20"/>
          <w:szCs w:val="20"/>
          <w:lang w:val="es-ES"/>
        </w:rPr>
      </w:pPr>
      <w:r w:rsidRPr="7DD8E03A">
        <w:rPr>
          <w:rFonts w:ascii="Verdana" w:eastAsia="Calibri" w:hAnsi="Verdana" w:cs="Arial"/>
          <w:color w:val="000000" w:themeColor="text1"/>
          <w:sz w:val="20"/>
          <w:szCs w:val="20"/>
          <w:lang w:val="es-ES"/>
        </w:rPr>
        <w:t>[…] 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territorial.</w:t>
      </w:r>
    </w:p>
    <w:p w14:paraId="73355362" w14:textId="77777777" w:rsidR="00512C65" w:rsidRPr="00B34929" w:rsidRDefault="00512C65" w:rsidP="00512C65">
      <w:pPr>
        <w:spacing w:after="0" w:line="240" w:lineRule="auto"/>
        <w:rPr>
          <w:rFonts w:ascii="Verdana" w:eastAsia="Geomanist Light" w:hAnsi="Verdana" w:cs="Arial"/>
          <w:color w:val="000000" w:themeColor="text1"/>
          <w:sz w:val="20"/>
          <w:szCs w:val="20"/>
          <w:lang w:val="es-ES_tradnl"/>
        </w:rPr>
      </w:pPr>
    </w:p>
    <w:p w14:paraId="5FCCC51F" w14:textId="77777777" w:rsidR="00512C65" w:rsidRPr="00B34929" w:rsidRDefault="00512C65" w:rsidP="00512C65">
      <w:pPr>
        <w:spacing w:after="0" w:line="240" w:lineRule="auto"/>
        <w:jc w:val="both"/>
        <w:rPr>
          <w:rFonts w:ascii="Verdana" w:eastAsia="Calibri" w:hAnsi="Verdana" w:cs="Arial"/>
          <w:b/>
          <w:lang w:val="es-ES"/>
        </w:rPr>
      </w:pPr>
      <w:r w:rsidRPr="00B34929">
        <w:rPr>
          <w:rFonts w:ascii="Verdana" w:eastAsia="Calibri" w:hAnsi="Verdana" w:cs="Arial"/>
          <w:b/>
          <w:lang w:val="es-ES"/>
        </w:rPr>
        <w:t>LEY DE GARANTÍAS ELECTORALES – Restricciones contractuales – Comicios aplicables - Destinatarios</w:t>
      </w:r>
    </w:p>
    <w:p w14:paraId="4DB30D1A" w14:textId="77777777" w:rsidR="00512C65" w:rsidRPr="00B34929" w:rsidRDefault="00512C65" w:rsidP="00512C65">
      <w:pPr>
        <w:spacing w:after="0" w:line="240" w:lineRule="auto"/>
        <w:jc w:val="both"/>
        <w:rPr>
          <w:rFonts w:ascii="Verdana" w:eastAsia="Calibri" w:hAnsi="Verdana" w:cs="Arial"/>
          <w:b/>
          <w:sz w:val="20"/>
          <w:szCs w:val="20"/>
          <w:lang w:val="es-ES"/>
        </w:rPr>
      </w:pPr>
    </w:p>
    <w:p w14:paraId="690A8C4A" w14:textId="77777777" w:rsidR="00512C65" w:rsidRPr="00B34929" w:rsidRDefault="00512C65" w:rsidP="00512C65">
      <w:pPr>
        <w:spacing w:after="0"/>
        <w:jc w:val="both"/>
        <w:rPr>
          <w:rFonts w:ascii="Verdana" w:eastAsia="Calibri" w:hAnsi="Verdana" w:cs="Arial"/>
          <w:bCs/>
          <w:sz w:val="20"/>
          <w:szCs w:val="20"/>
          <w:lang w:val="es-ES"/>
        </w:rPr>
      </w:pPr>
      <w:r w:rsidRPr="00B34929">
        <w:rPr>
          <w:rFonts w:ascii="Verdana" w:eastAsia="Calibri" w:hAnsi="Verdana" w:cs="Arial"/>
          <w:bCs/>
          <w:sz w:val="20"/>
          <w:szCs w:val="20"/>
          <w:lang w:val="es-ES"/>
        </w:rPr>
        <w:t>[…] el artículo 33 de la Ley 966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  .</w:t>
      </w:r>
    </w:p>
    <w:p w14:paraId="54B4D7A9" w14:textId="77777777" w:rsidR="00512C65" w:rsidRPr="00B34929" w:rsidRDefault="00512C65" w:rsidP="00512C65">
      <w:pPr>
        <w:spacing w:after="0"/>
        <w:jc w:val="both"/>
        <w:rPr>
          <w:rFonts w:ascii="Verdana" w:eastAsia="Calibri" w:hAnsi="Verdana" w:cs="Arial"/>
          <w:bCs/>
          <w:sz w:val="20"/>
          <w:szCs w:val="20"/>
          <w:lang w:val="es-ES"/>
        </w:rPr>
      </w:pPr>
    </w:p>
    <w:p w14:paraId="38C25400" w14:textId="77777777" w:rsidR="00512C65" w:rsidRPr="00B34929" w:rsidRDefault="00512C65" w:rsidP="00512C65">
      <w:pPr>
        <w:spacing w:after="0"/>
        <w:jc w:val="both"/>
      </w:pPr>
      <w:r w:rsidRPr="00B34929">
        <w:rPr>
          <w:rFonts w:ascii="Verdana" w:eastAsia="Calibri" w:hAnsi="Verdana" w:cs="Arial"/>
          <w:bCs/>
          <w:sz w:val="20"/>
          <w:szCs w:val="20"/>
          <w:lang w:val="es-ES"/>
        </w:rPr>
        <w:t>[…], el parágrafo del artículo 38 de la precitada Ley prevé una restricción aplicable respecto de cualquier tipo de contienda electoral,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 de sus juntas directivas, en o para reuniones de carácter proselitista”.</w:t>
      </w:r>
    </w:p>
    <w:p w14:paraId="121D432B" w14:textId="77777777" w:rsidR="00512C65" w:rsidRDefault="00512C65" w:rsidP="00512C65">
      <w:pPr>
        <w:spacing w:after="0" w:line="240" w:lineRule="auto"/>
        <w:rPr>
          <w:rFonts w:ascii="Verdana" w:eastAsia="Aptos" w:hAnsi="Verdana" w:cs="Times New Roman"/>
          <w:sz w:val="20"/>
          <w:szCs w:val="20"/>
        </w:rPr>
      </w:pPr>
    </w:p>
    <w:p w14:paraId="07A680D2" w14:textId="77777777" w:rsidR="00512C65" w:rsidRDefault="00512C65" w:rsidP="00512C65">
      <w:pPr>
        <w:spacing w:after="0" w:line="240" w:lineRule="auto"/>
        <w:rPr>
          <w:rFonts w:ascii="Verdana" w:eastAsia="Aptos" w:hAnsi="Verdana" w:cs="Times New Roman"/>
          <w:sz w:val="20"/>
          <w:szCs w:val="20"/>
        </w:rPr>
      </w:pPr>
    </w:p>
    <w:p w14:paraId="78321467" w14:textId="04A185DA" w:rsidR="00320614" w:rsidRDefault="00320614" w:rsidP="00320614">
      <w:pPr>
        <w:pStyle w:val="Textoindependiente"/>
        <w:spacing w:before="168"/>
      </w:pPr>
      <w:r>
        <w:lastRenderedPageBreak/>
        <w:t>Bogotá</w:t>
      </w:r>
      <w:r>
        <w:rPr>
          <w:spacing w:val="-6"/>
        </w:rPr>
        <w:t xml:space="preserve"> </w:t>
      </w:r>
      <w:r>
        <w:t xml:space="preserve">D.C., </w:t>
      </w:r>
      <w:r w:rsidR="000E18B3">
        <w:t xml:space="preserve">17 de diciembre </w:t>
      </w:r>
      <w:r w:rsidR="00743616">
        <w:t>de</w:t>
      </w:r>
      <w:r>
        <w:rPr>
          <w:spacing w:val="-5"/>
        </w:rPr>
        <w:t xml:space="preserve"> </w:t>
      </w:r>
      <w:r w:rsidR="00743616">
        <w:rPr>
          <w:spacing w:val="-5"/>
        </w:rPr>
        <w:t>2025</w:t>
      </w:r>
    </w:p>
    <w:p w14:paraId="34459ECB" w14:textId="77777777" w:rsidR="00320614" w:rsidRDefault="00320614" w:rsidP="00320614">
      <w:pPr>
        <w:pStyle w:val="Textoindependiente"/>
        <w:spacing w:before="16"/>
      </w:pPr>
    </w:p>
    <w:p w14:paraId="37744737" w14:textId="34C2427F" w:rsidR="00A95D08" w:rsidRDefault="000E18B3" w:rsidP="000E18B3">
      <w:pPr>
        <w:spacing w:after="0" w:line="240" w:lineRule="auto"/>
        <w:jc w:val="right"/>
        <w:rPr>
          <w:rFonts w:ascii="Verdana" w:eastAsia="Calibri" w:hAnsi="Verdana" w:cs="Arial"/>
          <w:color w:val="000000"/>
          <w:lang w:val="es-ES"/>
        </w:rPr>
      </w:pPr>
      <w:r>
        <w:rPr>
          <w:rFonts w:ascii="Verdana" w:eastAsia="Calibri" w:hAnsi="Verdana" w:cs="Arial"/>
          <w:noProof/>
          <w:color w:val="000000"/>
          <w:lang w:val="es-ES"/>
        </w:rPr>
        <w:drawing>
          <wp:inline distT="0" distB="0" distL="0" distR="0" wp14:anchorId="349D40F0" wp14:editId="7B277BB8">
            <wp:extent cx="2486025" cy="819150"/>
            <wp:effectExtent l="0" t="0" r="9525" b="0"/>
            <wp:docPr id="176554150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86025" cy="819150"/>
                    </a:xfrm>
                    <a:prstGeom prst="rect">
                      <a:avLst/>
                    </a:prstGeom>
                    <a:noFill/>
                    <a:ln>
                      <a:noFill/>
                    </a:ln>
                  </pic:spPr>
                </pic:pic>
              </a:graphicData>
            </a:graphic>
          </wp:inline>
        </w:drawing>
      </w:r>
    </w:p>
    <w:p w14:paraId="67CE57E5" w14:textId="77777777" w:rsidR="000E18B3" w:rsidRDefault="000E18B3" w:rsidP="00A95D08">
      <w:pPr>
        <w:spacing w:after="0" w:line="240" w:lineRule="auto"/>
        <w:jc w:val="both"/>
        <w:rPr>
          <w:rFonts w:ascii="Verdana" w:eastAsia="Calibri" w:hAnsi="Verdana" w:cs="Arial"/>
          <w:color w:val="000000"/>
          <w:lang w:val="es-ES"/>
        </w:rPr>
      </w:pPr>
    </w:p>
    <w:p w14:paraId="414AB378" w14:textId="77777777" w:rsidR="000E18B3" w:rsidRPr="00AD2F15" w:rsidRDefault="000E18B3" w:rsidP="00A95D08">
      <w:pPr>
        <w:spacing w:after="0" w:line="240" w:lineRule="auto"/>
        <w:jc w:val="both"/>
        <w:rPr>
          <w:rFonts w:ascii="Verdana" w:eastAsia="Calibri" w:hAnsi="Verdana" w:cs="Arial"/>
          <w:color w:val="000000"/>
          <w:lang w:val="es-ES"/>
        </w:rPr>
      </w:pPr>
    </w:p>
    <w:p w14:paraId="02DCCC1F" w14:textId="007C7E01" w:rsidR="00A95D08" w:rsidRPr="00512C65" w:rsidRDefault="00A95D08" w:rsidP="00A95D08">
      <w:pPr>
        <w:spacing w:after="0" w:line="240" w:lineRule="auto"/>
        <w:jc w:val="both"/>
        <w:rPr>
          <w:rFonts w:ascii="Verdana" w:eastAsia="Calibri" w:hAnsi="Verdana" w:cs="Arial"/>
          <w:lang w:eastAsia="es-ES"/>
        </w:rPr>
      </w:pPr>
      <w:r w:rsidRPr="00512C65">
        <w:rPr>
          <w:rFonts w:ascii="Verdana" w:eastAsia="Calibri" w:hAnsi="Verdana" w:cs="Arial"/>
          <w:lang w:eastAsia="es-ES"/>
        </w:rPr>
        <w:t>Señor</w:t>
      </w:r>
      <w:r w:rsidR="008B0DBF">
        <w:rPr>
          <w:rFonts w:ascii="Verdana" w:eastAsia="Calibri" w:hAnsi="Verdana" w:cs="Arial"/>
          <w:lang w:eastAsia="es-ES"/>
        </w:rPr>
        <w:t>a</w:t>
      </w:r>
    </w:p>
    <w:p w14:paraId="6D3D6EC9" w14:textId="77777777" w:rsidR="00743616" w:rsidRDefault="00743616" w:rsidP="00A95D08">
      <w:pPr>
        <w:spacing w:after="0" w:line="240" w:lineRule="auto"/>
        <w:rPr>
          <w:rFonts w:ascii="Verdana" w:eastAsia="Calibri" w:hAnsi="Verdana" w:cs="Arial"/>
          <w:b/>
          <w:bCs/>
          <w:lang w:eastAsia="es-ES"/>
        </w:rPr>
      </w:pPr>
      <w:r w:rsidRPr="00743616">
        <w:rPr>
          <w:rFonts w:ascii="Verdana" w:eastAsia="Calibri" w:hAnsi="Verdana" w:cs="Arial"/>
          <w:b/>
          <w:bCs/>
          <w:lang w:eastAsia="es-ES"/>
        </w:rPr>
        <w:t>YEIMY JANETH RAMIREZ MEJIA</w:t>
      </w:r>
    </w:p>
    <w:p w14:paraId="40C45620" w14:textId="1EB9EDC8" w:rsidR="00743616" w:rsidRDefault="00743616" w:rsidP="00A95D08">
      <w:pPr>
        <w:spacing w:after="0" w:line="240" w:lineRule="auto"/>
        <w:rPr>
          <w:rFonts w:ascii="Verdana" w:eastAsia="Calibri" w:hAnsi="Verdana" w:cs="Arial"/>
          <w:u w:val="single"/>
          <w:lang w:eastAsia="es-ES"/>
        </w:rPr>
      </w:pPr>
      <w:hyperlink r:id="rId11" w:history="1">
        <w:r w:rsidRPr="004A1F01">
          <w:rPr>
            <w:rStyle w:val="Hipervnculo"/>
            <w:rFonts w:ascii="Verdana" w:eastAsia="Calibri" w:hAnsi="Verdana" w:cs="Arial"/>
            <w:lang w:eastAsia="es-ES"/>
          </w:rPr>
          <w:t>yjrm1979@gmail.com</w:t>
        </w:r>
      </w:hyperlink>
    </w:p>
    <w:p w14:paraId="5974E331" w14:textId="214ED2A6" w:rsidR="00A95D08" w:rsidRPr="00AD2F15" w:rsidRDefault="00743616" w:rsidP="00A95D08">
      <w:pPr>
        <w:spacing w:after="0" w:line="240" w:lineRule="auto"/>
        <w:rPr>
          <w:rFonts w:ascii="Verdana" w:eastAsia="Calibri" w:hAnsi="Verdana" w:cs="Arial"/>
          <w:b/>
          <w:bCs/>
          <w:lang w:val="es-ES" w:eastAsia="es-ES"/>
        </w:rPr>
      </w:pPr>
      <w:r>
        <w:rPr>
          <w:rFonts w:ascii="Verdana" w:eastAsia="Calibri" w:hAnsi="Verdana" w:cs="Arial"/>
          <w:lang w:val="es-ES" w:eastAsia="es-ES"/>
        </w:rPr>
        <w:t>Bogotá D.C.</w:t>
      </w:r>
    </w:p>
    <w:p w14:paraId="743CA9D6" w14:textId="77777777" w:rsidR="00A95D08" w:rsidRPr="00AD2F15" w:rsidRDefault="00A95D08" w:rsidP="00A95D08">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A95D08" w:rsidRPr="00AD2F15" w14:paraId="630DAA0C" w14:textId="77777777" w:rsidTr="008F21B7">
        <w:trPr>
          <w:trHeight w:val="884"/>
        </w:trPr>
        <w:tc>
          <w:tcPr>
            <w:tcW w:w="2689" w:type="dxa"/>
          </w:tcPr>
          <w:p w14:paraId="564C6B2E" w14:textId="77777777" w:rsidR="00A95D08" w:rsidRPr="00AD2F15" w:rsidRDefault="00A95D08" w:rsidP="008F21B7">
            <w:pPr>
              <w:jc w:val="both"/>
              <w:rPr>
                <w:rFonts w:ascii="Verdana" w:eastAsia="Calibri" w:hAnsi="Verdana" w:cs="Arial"/>
                <w:b/>
                <w:bCs/>
                <w:color w:val="7030A0"/>
                <w:lang w:val="es-ES_tradnl" w:eastAsia="es-ES_tradnl"/>
              </w:rPr>
            </w:pPr>
          </w:p>
        </w:tc>
        <w:tc>
          <w:tcPr>
            <w:tcW w:w="6100" w:type="dxa"/>
          </w:tcPr>
          <w:p w14:paraId="4CB8A7E4" w14:textId="7C483993" w:rsidR="00A95D08" w:rsidRPr="00AD2F15" w:rsidRDefault="00A95D08" w:rsidP="008F21B7">
            <w:pPr>
              <w:jc w:val="both"/>
              <w:rPr>
                <w:rFonts w:ascii="Verdana" w:eastAsia="Calibri" w:hAnsi="Verdana" w:cs="Arial"/>
                <w:b/>
                <w:bCs/>
                <w:color w:val="7030A0"/>
                <w:lang w:val="es-ES" w:eastAsia="es-ES"/>
              </w:rPr>
            </w:pPr>
            <w:r w:rsidRPr="00AD2F15">
              <w:rPr>
                <w:rFonts w:ascii="Verdana" w:eastAsia="Calibri" w:hAnsi="Verdana" w:cs="Arial"/>
                <w:b/>
                <w:bCs/>
                <w:lang w:val="es-ES" w:eastAsia="es-ES"/>
              </w:rPr>
              <w:t xml:space="preserve">Concepto C </w:t>
            </w:r>
            <w:r w:rsidR="000E1020">
              <w:rPr>
                <w:rFonts w:ascii="Verdana" w:eastAsia="Calibri" w:hAnsi="Verdana" w:cs="Arial"/>
                <w:b/>
                <w:bCs/>
                <w:lang w:val="es-ES" w:eastAsia="es-ES"/>
              </w:rPr>
              <w:t>–</w:t>
            </w:r>
            <w:r w:rsidRPr="00AD2F15">
              <w:rPr>
                <w:rFonts w:ascii="Verdana" w:eastAsia="Calibri" w:hAnsi="Verdana" w:cs="Arial"/>
                <w:b/>
                <w:bCs/>
                <w:lang w:val="es-ES" w:eastAsia="es-ES"/>
              </w:rPr>
              <w:t xml:space="preserve"> </w:t>
            </w:r>
            <w:r w:rsidR="00743616">
              <w:rPr>
                <w:rFonts w:ascii="Verdana" w:eastAsia="Calibri" w:hAnsi="Verdana" w:cs="Arial"/>
                <w:b/>
                <w:bCs/>
                <w:lang w:val="es-ES" w:eastAsia="es-ES"/>
              </w:rPr>
              <w:t>1638</w:t>
            </w:r>
          </w:p>
        </w:tc>
      </w:tr>
      <w:tr w:rsidR="00A95D08" w:rsidRPr="00AD2F15" w14:paraId="61EF6DA0" w14:textId="77777777" w:rsidTr="008F21B7">
        <w:trPr>
          <w:trHeight w:val="884"/>
        </w:trPr>
        <w:tc>
          <w:tcPr>
            <w:tcW w:w="2689" w:type="dxa"/>
          </w:tcPr>
          <w:p w14:paraId="1E416E7F" w14:textId="77777777" w:rsidR="00A95D08" w:rsidRPr="00AD2F15" w:rsidRDefault="00A95D08" w:rsidP="008F21B7">
            <w:pPr>
              <w:jc w:val="both"/>
              <w:rPr>
                <w:rFonts w:ascii="Verdana" w:eastAsia="Calibri" w:hAnsi="Verdana" w:cs="Arial"/>
                <w:color w:val="000000" w:themeColor="text1"/>
                <w:lang w:val="es-ES_tradnl" w:eastAsia="es-ES_tradnl"/>
              </w:rPr>
            </w:pPr>
            <w:r w:rsidRPr="00AD2F15">
              <w:rPr>
                <w:rFonts w:ascii="Verdana" w:eastAsia="Calibri" w:hAnsi="Verdana" w:cs="Arial"/>
                <w:b/>
                <w:color w:val="000000" w:themeColor="text1"/>
                <w:lang w:val="es-ES_tradnl" w:eastAsia="es-ES_tradnl"/>
              </w:rPr>
              <w:t>Temas:</w:t>
            </w:r>
            <w:r w:rsidRPr="00AD2F15">
              <w:rPr>
                <w:rFonts w:ascii="Verdana" w:eastAsia="Calibri" w:hAnsi="Verdana" w:cs="Arial"/>
                <w:color w:val="000000" w:themeColor="text1"/>
                <w:lang w:val="es-ES_tradnl" w:eastAsia="es-ES_tradnl"/>
              </w:rPr>
              <w:t xml:space="preserve">                   </w:t>
            </w:r>
          </w:p>
        </w:tc>
        <w:tc>
          <w:tcPr>
            <w:tcW w:w="6100" w:type="dxa"/>
          </w:tcPr>
          <w:p w14:paraId="4F38B356" w14:textId="77777777" w:rsidR="00A95D08" w:rsidRPr="00AD2F15" w:rsidRDefault="00A95D08" w:rsidP="008F21B7">
            <w:pPr>
              <w:spacing w:line="276" w:lineRule="auto"/>
              <w:jc w:val="both"/>
              <w:rPr>
                <w:rFonts w:ascii="Verdana" w:eastAsia="Calibri" w:hAnsi="Verdana" w:cs="Arial"/>
                <w:color w:val="000000" w:themeColor="text1"/>
                <w:lang w:val="es-ES" w:eastAsia="es-ES"/>
              </w:rPr>
            </w:pPr>
            <w:r w:rsidRPr="00AD2F15">
              <w:rPr>
                <w:rFonts w:ascii="Verdana" w:eastAsia="Calibri" w:hAnsi="Verdana" w:cs="Arial"/>
                <w:color w:val="000000" w:themeColor="text1"/>
                <w:lang w:val="es-ES" w:eastAsia="es-ES"/>
              </w:rPr>
              <w:t>LEY DE GARANTÍAS ELECTORALES – Finalidad - Ley 996 de 2005 – Comicios aplicables / LEY DE GARANTÍAS ELECTORALES – Restricciones contractuales – Comicios aplicables – Destinatarios</w:t>
            </w:r>
          </w:p>
          <w:p w14:paraId="4D44C2BB" w14:textId="77777777" w:rsidR="00A95D08" w:rsidRPr="00AD2F15" w:rsidRDefault="00A95D08" w:rsidP="008F21B7">
            <w:pPr>
              <w:spacing w:line="276" w:lineRule="auto"/>
              <w:jc w:val="both"/>
              <w:rPr>
                <w:rFonts w:ascii="Verdana" w:eastAsia="Calibri" w:hAnsi="Verdana" w:cs="Arial"/>
                <w:color w:val="000000" w:themeColor="text1"/>
                <w:lang w:val="es-ES" w:eastAsia="es-ES"/>
              </w:rPr>
            </w:pPr>
          </w:p>
        </w:tc>
      </w:tr>
      <w:tr w:rsidR="00A95D08" w:rsidRPr="00AD2F15" w14:paraId="6E2DB233" w14:textId="77777777" w:rsidTr="008F21B7">
        <w:trPr>
          <w:trHeight w:val="617"/>
        </w:trPr>
        <w:tc>
          <w:tcPr>
            <w:tcW w:w="2689" w:type="dxa"/>
          </w:tcPr>
          <w:p w14:paraId="394D9055" w14:textId="77777777" w:rsidR="00A95D08" w:rsidRPr="00AD2F15" w:rsidRDefault="00A95D08" w:rsidP="008F21B7">
            <w:pPr>
              <w:jc w:val="both"/>
              <w:rPr>
                <w:rFonts w:ascii="Verdana" w:eastAsia="Calibri" w:hAnsi="Verdana" w:cs="Arial"/>
                <w:b/>
                <w:color w:val="000000" w:themeColor="text1"/>
                <w:lang w:val="es-ES_tradnl" w:eastAsia="es-ES_tradnl"/>
              </w:rPr>
            </w:pPr>
            <w:r w:rsidRPr="00AD2F15">
              <w:rPr>
                <w:rFonts w:ascii="Verdana" w:eastAsia="Calibri" w:hAnsi="Verdana" w:cs="Arial"/>
                <w:b/>
                <w:color w:val="000000" w:themeColor="text1"/>
                <w:lang w:val="es-ES_tradnl" w:eastAsia="es-ES_tradnl"/>
              </w:rPr>
              <w:t>radicación:</w:t>
            </w:r>
            <w:r w:rsidRPr="00AD2F15">
              <w:rPr>
                <w:rFonts w:ascii="Verdana" w:eastAsia="Calibri" w:hAnsi="Verdana" w:cs="Arial"/>
                <w:color w:val="000000" w:themeColor="text1"/>
                <w:lang w:val="es-ES_tradnl" w:eastAsia="es-ES_tradnl"/>
              </w:rPr>
              <w:t xml:space="preserve">               </w:t>
            </w:r>
          </w:p>
        </w:tc>
        <w:tc>
          <w:tcPr>
            <w:tcW w:w="6100" w:type="dxa"/>
          </w:tcPr>
          <w:p w14:paraId="6FA6D45C" w14:textId="7D5A4309" w:rsidR="00A95D08" w:rsidRPr="00AD2F15" w:rsidRDefault="00B86AD7" w:rsidP="008F21B7">
            <w:pPr>
              <w:jc w:val="both"/>
              <w:rPr>
                <w:rFonts w:ascii="Verdana" w:eastAsia="Calibri" w:hAnsi="Verdana" w:cs="Arial"/>
                <w:color w:val="000000" w:themeColor="text1"/>
                <w:lang w:val="es-ES_tradnl" w:eastAsia="es-ES_tradnl"/>
              </w:rPr>
            </w:pPr>
            <w:r>
              <w:rPr>
                <w:rFonts w:ascii="Verdana" w:eastAsia="Calibri" w:hAnsi="Verdana" w:cs="Arial"/>
                <w:color w:val="000000" w:themeColor="text1"/>
                <w:lang w:val="es-ES_tradnl" w:eastAsia="es-ES_tradnl"/>
              </w:rPr>
              <w:t>R</w:t>
            </w:r>
            <w:r w:rsidR="00A95D08" w:rsidRPr="00AD2F15">
              <w:rPr>
                <w:rFonts w:ascii="Verdana" w:eastAsia="Calibri" w:hAnsi="Verdana" w:cs="Arial"/>
                <w:color w:val="000000" w:themeColor="text1"/>
                <w:lang w:val="es-ES_tradnl" w:eastAsia="es-ES_tradnl"/>
              </w:rPr>
              <w:t xml:space="preserve">espuesta a consulta con radicado no. </w:t>
            </w:r>
            <w:r w:rsidR="00743616" w:rsidRPr="00743616">
              <w:rPr>
                <w:rFonts w:ascii="Verdana" w:hAnsi="Verdana" w:cs="Segoe UI"/>
                <w:color w:val="000000" w:themeColor="text1"/>
                <w:shd w:val="clear" w:color="auto" w:fill="FFFFFF"/>
              </w:rPr>
              <w:t>1_2025_11_06_012497</w:t>
            </w:r>
          </w:p>
        </w:tc>
      </w:tr>
    </w:tbl>
    <w:p w14:paraId="6A1A3434" w14:textId="77777777" w:rsidR="00A95D08" w:rsidRPr="00AD2F15" w:rsidRDefault="00A95D08" w:rsidP="00A95D08">
      <w:pPr>
        <w:spacing w:after="0" w:line="240" w:lineRule="auto"/>
        <w:jc w:val="both"/>
        <w:rPr>
          <w:rFonts w:ascii="Verdana" w:eastAsia="Calibri" w:hAnsi="Verdana" w:cs="Arial"/>
          <w:color w:val="000000"/>
          <w:lang w:val="es-ES_tradnl" w:eastAsia="es-ES_tradnl"/>
        </w:rPr>
      </w:pPr>
    </w:p>
    <w:p w14:paraId="0A519B77" w14:textId="77777777" w:rsidR="00A95D08" w:rsidRPr="00AD2F15" w:rsidRDefault="00A95D08" w:rsidP="00A95D08">
      <w:pPr>
        <w:spacing w:after="0" w:line="240" w:lineRule="auto"/>
        <w:jc w:val="both"/>
        <w:rPr>
          <w:rFonts w:ascii="Verdana" w:eastAsia="Calibri" w:hAnsi="Verdana" w:cs="Arial"/>
          <w:color w:val="000000"/>
          <w:lang w:val="es-ES_tradnl" w:eastAsia="es-ES_tradnl"/>
        </w:rPr>
      </w:pPr>
    </w:p>
    <w:p w14:paraId="77C5DF45" w14:textId="2C34CBD5" w:rsidR="00A95D08" w:rsidRPr="00AD2F15" w:rsidRDefault="00A95D08" w:rsidP="00A95D08">
      <w:pPr>
        <w:spacing w:after="0" w:line="276" w:lineRule="auto"/>
        <w:jc w:val="both"/>
        <w:rPr>
          <w:rFonts w:ascii="Verdana" w:eastAsia="Calibri" w:hAnsi="Verdana" w:cs="Arial"/>
          <w:color w:val="000000" w:themeColor="text1"/>
          <w:lang w:val="es-ES" w:eastAsia="es-ES"/>
        </w:rPr>
      </w:pPr>
      <w:r w:rsidRPr="00AD2F15">
        <w:rPr>
          <w:rFonts w:ascii="Verdana" w:eastAsia="Calibri" w:hAnsi="Verdana" w:cs="Arial"/>
          <w:color w:val="000000" w:themeColor="text1"/>
          <w:lang w:val="es-ES" w:eastAsia="es-ES"/>
        </w:rPr>
        <w:t>Estimad</w:t>
      </w:r>
      <w:r w:rsidR="008B0DBF">
        <w:rPr>
          <w:rFonts w:ascii="Verdana" w:eastAsia="Calibri" w:hAnsi="Verdana" w:cs="Arial"/>
          <w:color w:val="000000" w:themeColor="text1"/>
          <w:lang w:val="es-ES" w:eastAsia="es-ES"/>
        </w:rPr>
        <w:t>a</w:t>
      </w:r>
      <w:r w:rsidRPr="00AD2F15">
        <w:rPr>
          <w:rFonts w:ascii="Verdana" w:eastAsia="Calibri" w:hAnsi="Verdana" w:cs="Arial"/>
          <w:color w:val="000000" w:themeColor="text1"/>
          <w:lang w:val="es-ES" w:eastAsia="es-ES"/>
        </w:rPr>
        <w:t xml:space="preserve"> señor</w:t>
      </w:r>
      <w:r w:rsidR="008B0DBF">
        <w:rPr>
          <w:rFonts w:ascii="Verdana" w:eastAsia="Calibri" w:hAnsi="Verdana" w:cs="Arial"/>
          <w:color w:val="000000" w:themeColor="text1"/>
          <w:lang w:val="es-ES" w:eastAsia="es-ES"/>
        </w:rPr>
        <w:t>a</w:t>
      </w:r>
      <w:r w:rsidRPr="00AD2F15">
        <w:rPr>
          <w:rFonts w:ascii="Verdana" w:eastAsia="Calibri" w:hAnsi="Verdana" w:cs="Arial"/>
          <w:color w:val="000000" w:themeColor="text1"/>
          <w:lang w:val="es-ES" w:eastAsia="es-ES"/>
        </w:rPr>
        <w:t xml:space="preserve"> </w:t>
      </w:r>
      <w:r w:rsidR="00743616" w:rsidRPr="00AD2F15">
        <w:rPr>
          <w:rFonts w:ascii="Verdana" w:eastAsia="Calibri" w:hAnsi="Verdana" w:cs="Arial"/>
          <w:color w:val="000000" w:themeColor="text1"/>
          <w:lang w:val="es-ES" w:eastAsia="es-ES"/>
        </w:rPr>
        <w:t>R</w:t>
      </w:r>
      <w:r w:rsidR="00743616">
        <w:rPr>
          <w:rFonts w:ascii="Verdana" w:eastAsia="Calibri" w:hAnsi="Verdana" w:cs="Arial"/>
          <w:color w:val="000000" w:themeColor="text1"/>
          <w:lang w:val="es-ES" w:eastAsia="es-ES"/>
        </w:rPr>
        <w:t>amírez</w:t>
      </w:r>
      <w:r w:rsidRPr="00AD2F15">
        <w:rPr>
          <w:rFonts w:ascii="Verdana" w:eastAsia="Calibri" w:hAnsi="Verdana" w:cs="Arial"/>
          <w:color w:val="000000" w:themeColor="text1"/>
          <w:lang w:val="es-ES" w:eastAsia="es-ES"/>
        </w:rPr>
        <w:t xml:space="preserve">: </w:t>
      </w:r>
    </w:p>
    <w:p w14:paraId="7D135F5C" w14:textId="77777777" w:rsidR="00A95D08" w:rsidRPr="00AD2F15" w:rsidRDefault="00A95D08" w:rsidP="00A95D08">
      <w:pPr>
        <w:tabs>
          <w:tab w:val="left" w:pos="3768"/>
        </w:tabs>
        <w:spacing w:after="0" w:line="276" w:lineRule="auto"/>
        <w:jc w:val="both"/>
        <w:rPr>
          <w:rFonts w:ascii="Verdana" w:eastAsia="Calibri" w:hAnsi="Verdana" w:cs="Arial"/>
          <w:color w:val="000000" w:themeColor="text1"/>
          <w:lang w:val="es-ES" w:eastAsia="es-ES"/>
        </w:rPr>
      </w:pPr>
      <w:r w:rsidRPr="00AD2F15">
        <w:rPr>
          <w:rFonts w:ascii="Verdana" w:eastAsia="Calibri" w:hAnsi="Verdana" w:cs="Arial"/>
          <w:color w:val="000000" w:themeColor="text1"/>
          <w:lang w:val="es-ES" w:eastAsia="es-ES"/>
        </w:rPr>
        <w:tab/>
      </w:r>
    </w:p>
    <w:p w14:paraId="6B3E5204" w14:textId="77777777" w:rsidR="00A95D08" w:rsidRPr="00AD2F15" w:rsidRDefault="00A95D08" w:rsidP="00A95D08">
      <w:pPr>
        <w:spacing w:after="0" w:line="276" w:lineRule="auto"/>
        <w:jc w:val="both"/>
        <w:rPr>
          <w:rFonts w:ascii="Verdana" w:eastAsia="Calibri" w:hAnsi="Verdana" w:cs="Arial"/>
          <w:color w:val="7030A0"/>
          <w:lang w:val="es-ES" w:eastAsia="es-ES"/>
        </w:rPr>
      </w:pPr>
      <w:r w:rsidRPr="00AD2F15">
        <w:rPr>
          <w:rFonts w:ascii="Verdana" w:eastAsia="Calibri" w:hAnsi="Verdana" w:cs="Arial"/>
          <w:color w:val="000000" w:themeColor="text1"/>
          <w:lang w:val="es-ES" w:eastAsia="es-ES"/>
        </w:rPr>
        <w:t>En ejercicio de la competencia otorgada por los artículos 3, numeral 5º, y 11, numeral 8º, del Decreto Ley 4170 de 2011,</w:t>
      </w:r>
      <w:r w:rsidRPr="00AD2F15">
        <w:rPr>
          <w:rFonts w:ascii="Verdana" w:eastAsia="Arial MT" w:hAnsi="Verdana" w:cs="Arial MT"/>
          <w:color w:val="000000" w:themeColor="text1"/>
          <w:lang w:val="es-ES" w:eastAsia="es-ES"/>
        </w:rPr>
        <w:t xml:space="preserve"> </w:t>
      </w:r>
      <w:r w:rsidRPr="00AD2F15">
        <w:rPr>
          <w:rFonts w:ascii="Verdana" w:hAnsi="Verdana" w:cs="Arial"/>
          <w:color w:val="000000" w:themeColor="text1"/>
        </w:rPr>
        <w:t xml:space="preserve">así como lo establecido en el artículo 4 de la Resolución 1707 de 2018 expedida por esta Entidad, </w:t>
      </w:r>
      <w:r w:rsidRPr="00AD2F15">
        <w:rPr>
          <w:rFonts w:ascii="Verdana" w:eastAsia="Calibri" w:hAnsi="Verdana" w:cs="Arial"/>
          <w:color w:val="000000" w:themeColor="text1"/>
          <w:lang w:val="es-ES" w:eastAsia="es-ES"/>
        </w:rPr>
        <w:t xml:space="preserve">la Agencia Nacional de Contratación Pública – Colombia Compra Eficiente– responde su solicitud de consulta de fecha ocho de julio de 2025, en la cual manifiesta lo siguiente: </w:t>
      </w:r>
    </w:p>
    <w:p w14:paraId="694CE1F8" w14:textId="0670A186" w:rsidR="00A95D08" w:rsidRPr="00B86AD7" w:rsidRDefault="00A95D08" w:rsidP="00743616">
      <w:pPr>
        <w:pStyle w:val="query-text-line"/>
        <w:ind w:left="709" w:right="709"/>
        <w:jc w:val="both"/>
        <w:rPr>
          <w:rFonts w:ascii="Verdana" w:hAnsi="Verdana"/>
          <w:sz w:val="20"/>
          <w:szCs w:val="20"/>
        </w:rPr>
      </w:pPr>
      <w:bookmarkStart w:id="1" w:name="_Hlk95313578"/>
      <w:r w:rsidRPr="00B86AD7">
        <w:rPr>
          <w:rFonts w:ascii="Verdana" w:eastAsia="Century Gothic" w:hAnsi="Verdana" w:cs="Century Gothic"/>
          <w:color w:val="7030A0"/>
          <w:sz w:val="20"/>
          <w:szCs w:val="20"/>
          <w:lang w:val="es-ES"/>
        </w:rPr>
        <w:t>“</w:t>
      </w:r>
      <w:bookmarkEnd w:id="1"/>
      <w:r w:rsidR="00743616" w:rsidRPr="00B86AD7">
        <w:rPr>
          <w:rFonts w:ascii="Verdana" w:hAnsi="Verdana"/>
          <w:sz w:val="20"/>
          <w:szCs w:val="20"/>
        </w:rPr>
        <w:t>En atención a la ley de garantías y CIRCULAR EXTERNA No. 006 de 2025 se indica que no puede realizarse celebración de contratos de prestación de servicio, ni contratación directa por parte de la entidad públicas. Mi pregunta es: ¿si soy empresa privada y celebro contratos de prestación de servicios medico ocupacionales y SG SST, esta contratación puede celebrarse?</w:t>
      </w:r>
      <w:r w:rsidRPr="00B86AD7">
        <w:rPr>
          <w:rFonts w:ascii="Verdana" w:hAnsi="Verdana"/>
          <w:sz w:val="20"/>
          <w:szCs w:val="20"/>
        </w:rPr>
        <w:t>”</w:t>
      </w:r>
    </w:p>
    <w:p w14:paraId="01BE5DF8" w14:textId="77777777" w:rsidR="00A95D08" w:rsidRPr="00AD2F15" w:rsidRDefault="00A95D08" w:rsidP="00A95D08">
      <w:pPr>
        <w:spacing w:after="120" w:line="276" w:lineRule="auto"/>
        <w:ind w:firstLine="709"/>
        <w:jc w:val="both"/>
        <w:rPr>
          <w:rFonts w:ascii="Verdana" w:eastAsia="Calibri" w:hAnsi="Verdana" w:cs="Arial"/>
          <w:color w:val="000000"/>
          <w:lang w:val="es-ES_tradnl" w:eastAsia="es-ES_tradnl"/>
        </w:rPr>
      </w:pPr>
      <w:r w:rsidRPr="00AD2F15">
        <w:rPr>
          <w:rFonts w:ascii="Verdana" w:eastAsia="Calibri" w:hAnsi="Verdana" w:cs="Arial"/>
          <w:color w:val="000000"/>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AD2F15">
        <w:rPr>
          <w:rFonts w:ascii="Verdana" w:eastAsia="Calibri" w:hAnsi="Verdana" w:cs="Arial"/>
          <w:color w:val="000000"/>
          <w:lang w:val="es-ES_tradnl" w:eastAsia="es-ES_tradnl"/>
        </w:rPr>
        <w:tab/>
      </w:r>
    </w:p>
    <w:p w14:paraId="7F27A943" w14:textId="77777777" w:rsidR="00A95D08" w:rsidRPr="00AD2F15" w:rsidRDefault="00A95D08" w:rsidP="00A95D08">
      <w:pPr>
        <w:spacing w:after="0" w:line="276" w:lineRule="auto"/>
        <w:ind w:firstLine="709"/>
        <w:jc w:val="both"/>
        <w:rPr>
          <w:rFonts w:ascii="Verdana" w:eastAsia="Calibri" w:hAnsi="Verdana" w:cs="Arial"/>
          <w:color w:val="000000"/>
          <w:lang w:val="es-ES" w:eastAsia="es-ES"/>
        </w:rPr>
      </w:pPr>
      <w:r w:rsidRPr="00AD2F15">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w:t>
      </w:r>
      <w:r w:rsidRPr="00AD2F15">
        <w:rPr>
          <w:rFonts w:ascii="Verdana" w:eastAsia="Calibri" w:hAnsi="Verdana" w:cs="Arial"/>
          <w:color w:val="7030A0"/>
          <w:lang w:val="es-ES" w:eastAsia="es-ES"/>
        </w:rPr>
        <w:t xml:space="preserve"> </w:t>
      </w:r>
      <w:r w:rsidRPr="00AD2F15">
        <w:rPr>
          <w:rFonts w:ascii="Verdana" w:eastAsia="Calibri" w:hAnsi="Verdana" w:cs="Arial"/>
          <w:color w:val="000000"/>
          <w:lang w:val="es-ES" w:eastAsia="es-ES"/>
        </w:rPr>
        <w:t>problema</w:t>
      </w:r>
      <w:r w:rsidRPr="00AD2F15">
        <w:rPr>
          <w:rFonts w:ascii="Verdana" w:eastAsia="Calibri" w:hAnsi="Verdana" w:cs="Arial"/>
          <w:color w:val="7030A0"/>
          <w:lang w:val="es-ES" w:eastAsia="es-ES"/>
        </w:rPr>
        <w:t xml:space="preserve"> </w:t>
      </w:r>
      <w:r w:rsidRPr="00AD2F15">
        <w:rPr>
          <w:rFonts w:ascii="Verdana" w:eastAsia="Calibri" w:hAnsi="Verdana" w:cs="Arial"/>
          <w:color w:val="000000"/>
          <w:lang w:val="es-ES" w:eastAsia="es-ES"/>
        </w:rPr>
        <w:t>jurídico</w:t>
      </w:r>
      <w:r w:rsidRPr="00AD2F15">
        <w:rPr>
          <w:rFonts w:ascii="Verdana" w:eastAsia="Calibri" w:hAnsi="Verdana" w:cs="Arial"/>
          <w:color w:val="7030A0"/>
          <w:lang w:val="es-ES" w:eastAsia="es-ES"/>
        </w:rPr>
        <w:t xml:space="preserve"> </w:t>
      </w:r>
      <w:r w:rsidRPr="00AD2F15">
        <w:rPr>
          <w:rFonts w:ascii="Verdana" w:eastAsia="Calibri" w:hAnsi="Verdana" w:cs="Arial"/>
          <w:color w:val="000000"/>
          <w:lang w:val="es-ES" w:eastAsia="es-ES"/>
        </w:rPr>
        <w:t xml:space="preserve">de su consulta. </w:t>
      </w:r>
    </w:p>
    <w:p w14:paraId="2F957C0F" w14:textId="77777777" w:rsidR="00A95D08" w:rsidRPr="00AD2F15" w:rsidRDefault="00A95D08" w:rsidP="00A95D08">
      <w:pPr>
        <w:spacing w:after="0" w:line="276" w:lineRule="auto"/>
        <w:ind w:firstLine="709"/>
        <w:jc w:val="both"/>
        <w:rPr>
          <w:rFonts w:ascii="Verdana" w:eastAsia="Calibri" w:hAnsi="Verdana" w:cs="Arial"/>
          <w:color w:val="000000"/>
          <w:lang w:val="es-ES" w:eastAsia="es-ES"/>
        </w:rPr>
      </w:pPr>
    </w:p>
    <w:p w14:paraId="14C51A80" w14:textId="77777777" w:rsidR="00A95D08" w:rsidRPr="00AD2F15" w:rsidRDefault="00A95D08" w:rsidP="00A95D08">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AD2F15">
        <w:rPr>
          <w:rFonts w:ascii="Verdana" w:eastAsia="Century Gothic" w:hAnsi="Verdana" w:cs="Century Gothic"/>
          <w:b/>
          <w:bCs/>
        </w:rPr>
        <w:t>Problema planteado:</w:t>
      </w:r>
    </w:p>
    <w:p w14:paraId="68966C2D" w14:textId="77777777" w:rsidR="00A95D08" w:rsidRPr="00AD2F15" w:rsidRDefault="00A95D08" w:rsidP="00A95D08">
      <w:pPr>
        <w:tabs>
          <w:tab w:val="left" w:pos="426"/>
        </w:tabs>
        <w:spacing w:after="0" w:line="276" w:lineRule="auto"/>
        <w:jc w:val="both"/>
        <w:rPr>
          <w:rFonts w:ascii="Verdana" w:eastAsia="Century Gothic" w:hAnsi="Verdana" w:cs="Century Gothic"/>
          <w:lang w:val="es-ES"/>
        </w:rPr>
      </w:pPr>
    </w:p>
    <w:p w14:paraId="6DC0E5B8" w14:textId="29389130" w:rsidR="00A95D08" w:rsidRPr="00AD2F15" w:rsidRDefault="00A95D08" w:rsidP="00A95D08">
      <w:pPr>
        <w:spacing w:after="0" w:line="276" w:lineRule="auto"/>
        <w:jc w:val="both"/>
        <w:rPr>
          <w:rFonts w:ascii="Verdana" w:eastAsia="Century Gothic" w:hAnsi="Verdana" w:cs="Century Gothic"/>
        </w:rPr>
      </w:pPr>
      <w:r w:rsidRPr="00AD2F15">
        <w:rPr>
          <w:rFonts w:ascii="Verdana" w:eastAsia="Century Gothic" w:hAnsi="Verdana" w:cs="Century Gothic"/>
        </w:rPr>
        <w:t xml:space="preserve">De acuerdo con el contenido de su solicitud, esta Agencia resolverá el siguiente problema jurídico: </w:t>
      </w:r>
      <w:bookmarkStart w:id="2" w:name="OLE_LINK1"/>
      <w:r w:rsidRPr="00AD2F15">
        <w:rPr>
          <w:rFonts w:ascii="Verdana" w:eastAsia="Century Gothic" w:hAnsi="Verdana" w:cs="Century Gothic"/>
        </w:rPr>
        <w:t xml:space="preserve">De acuerdo con lo establecido en la Ley de Garantías Electorales -Ley 996 de 2005-, </w:t>
      </w:r>
      <w:r w:rsidR="00600687" w:rsidRPr="00AD2F15">
        <w:rPr>
          <w:rFonts w:ascii="Verdana" w:eastAsia="Century Gothic" w:hAnsi="Verdana" w:cs="Century Gothic"/>
        </w:rPr>
        <w:t>¿</w:t>
      </w:r>
      <w:r w:rsidR="00600687" w:rsidRPr="00600687">
        <w:rPr>
          <w:rFonts w:ascii="Verdana" w:eastAsia="Century Gothic" w:hAnsi="Verdana" w:cs="Century Gothic"/>
        </w:rPr>
        <w:t xml:space="preserve">La prohibición de celebrar contratos de </w:t>
      </w:r>
      <w:r w:rsidR="00600687">
        <w:rPr>
          <w:rFonts w:ascii="Verdana" w:eastAsia="Century Gothic" w:hAnsi="Verdana" w:cs="Century Gothic"/>
        </w:rPr>
        <w:t xml:space="preserve">bajo la modalidad de </w:t>
      </w:r>
      <w:r w:rsidR="00600687" w:rsidRPr="00600687">
        <w:rPr>
          <w:rFonts w:ascii="Verdana" w:eastAsia="Century Gothic" w:hAnsi="Verdana" w:cs="Century Gothic"/>
        </w:rPr>
        <w:t>contratación directa, establecida en la Ley de Garantías y reiterada en la Circular Externa No</w:t>
      </w:r>
      <w:r w:rsidR="00600687">
        <w:rPr>
          <w:rFonts w:ascii="Verdana" w:eastAsia="Century Gothic" w:hAnsi="Verdana" w:cs="Century Gothic"/>
        </w:rPr>
        <w:t xml:space="preserve"> </w:t>
      </w:r>
      <w:r w:rsidR="00600687" w:rsidRPr="00600687">
        <w:rPr>
          <w:rFonts w:ascii="Verdana" w:eastAsia="Century Gothic" w:hAnsi="Verdana" w:cs="Century Gothic"/>
        </w:rPr>
        <w:t>006 de 2025, resulta aplicable a las empresas privadas que celebren contratos de prestación de servicios</w:t>
      </w:r>
      <w:r w:rsidR="00600687">
        <w:rPr>
          <w:rFonts w:ascii="Verdana" w:eastAsia="Century Gothic" w:hAnsi="Verdana" w:cs="Century Gothic"/>
        </w:rPr>
        <w:t xml:space="preserve"> con entidades públicas</w:t>
      </w:r>
      <w:r w:rsidRPr="00AD2F15">
        <w:rPr>
          <w:rFonts w:ascii="Verdana" w:eastAsia="Century Gothic" w:hAnsi="Verdana" w:cs="Century Gothic"/>
        </w:rPr>
        <w:t xml:space="preserve">? </w:t>
      </w:r>
    </w:p>
    <w:bookmarkEnd w:id="2"/>
    <w:p w14:paraId="6B0F60F9" w14:textId="77777777" w:rsidR="00A95D08" w:rsidRPr="00AD2F15" w:rsidRDefault="00A95D08" w:rsidP="00A95D08">
      <w:pPr>
        <w:spacing w:after="0" w:line="276" w:lineRule="auto"/>
        <w:jc w:val="both"/>
        <w:rPr>
          <w:rFonts w:ascii="Verdana" w:eastAsia="Calibri" w:hAnsi="Verdana" w:cs="Arial"/>
          <w:color w:val="7030A0"/>
          <w:lang w:val="es-ES"/>
        </w:rPr>
      </w:pPr>
    </w:p>
    <w:p w14:paraId="48082FFC" w14:textId="77777777" w:rsidR="00A95D08" w:rsidRPr="00AD2F15" w:rsidRDefault="00A95D08" w:rsidP="00A95D0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AD2F15">
        <w:rPr>
          <w:rFonts w:ascii="Verdana" w:eastAsia="Century Gothic" w:hAnsi="Verdana" w:cs="Century Gothic"/>
          <w:b/>
          <w:bCs/>
        </w:rPr>
        <w:t>Respuesta:</w:t>
      </w:r>
    </w:p>
    <w:p w14:paraId="7D25B63A" w14:textId="77777777" w:rsidR="00A95D08" w:rsidRPr="00AD2F15" w:rsidRDefault="00A95D08" w:rsidP="00A95D08">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95D08" w:rsidRPr="00AD2F15" w14:paraId="00F2C34F" w14:textId="77777777" w:rsidTr="008F21B7">
        <w:tc>
          <w:tcPr>
            <w:tcW w:w="8828" w:type="dxa"/>
          </w:tcPr>
          <w:p w14:paraId="72F268B7" w14:textId="0120F7C2" w:rsidR="005A18CA" w:rsidRPr="00AD2F15" w:rsidRDefault="00A95D08" w:rsidP="00E75F10">
            <w:pPr>
              <w:spacing w:after="120" w:line="276" w:lineRule="auto"/>
              <w:jc w:val="both"/>
              <w:rPr>
                <w:rFonts w:ascii="Verdana" w:eastAsia="Verdana" w:hAnsi="Verdana" w:cs="Verdana"/>
                <w:color w:val="000000" w:themeColor="text1"/>
              </w:rPr>
            </w:pPr>
            <w:r w:rsidRPr="00AD2F15">
              <w:rPr>
                <w:rFonts w:ascii="Verdana" w:eastAsia="Times New Roman" w:hAnsi="Verdana" w:cs="Arial"/>
              </w:rPr>
              <w:t xml:space="preserve"> </w:t>
            </w:r>
            <w:r w:rsidR="7A8FABAF" w:rsidRPr="32DC2C46">
              <w:rPr>
                <w:rFonts w:ascii="Verdana" w:eastAsia="Verdana" w:hAnsi="Verdana" w:cs="Verdana"/>
                <w:color w:val="000000" w:themeColor="text1"/>
                <w:lang w:val="es-ES"/>
              </w:rPr>
              <w:t>Sobre el particular debe precisarse que, l</w:t>
            </w:r>
            <w:r w:rsidR="7A8FABAF" w:rsidRPr="32DC2C46">
              <w:rPr>
                <w:rFonts w:ascii="Verdana" w:eastAsia="Verdana" w:hAnsi="Verdana" w:cs="Verdana"/>
                <w:color w:val="000000" w:themeColor="text1"/>
                <w:lang w:val="es"/>
              </w:rPr>
              <w:t xml:space="preserve">a Ley 996 de 2005 establece dos (2) tipos de restricciones en materia de contratación, las cuales coinciden parcialmente. En primer lugar, en su artículo 33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w:t>
            </w:r>
            <w:r w:rsidR="7A8FABAF" w:rsidRPr="32DC2C46">
              <w:rPr>
                <w:rFonts w:ascii="Verdana" w:eastAsia="Verdana" w:hAnsi="Verdana" w:cs="Verdana"/>
                <w:color w:val="000000" w:themeColor="text1"/>
                <w:lang w:val="es"/>
              </w:rPr>
              <w:lastRenderedPageBreak/>
              <w:t>infraestructura energética y de comunicaciones, en caso de que hayan sido objeto de atentados, acciones terroristas, desastres naturales o casos de fuerza mayor, y los que deban realizar las entidades sanitarias y hospitalarias”. Y en segundo lugar,  el parágrafo del artículo 38 de la precitada Ley prevé una restricción aplicable respecto de cualquier tipo de contienda electoral,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 de sus juntas directivas, en o para reuniones de carácter proselitista</w:t>
            </w:r>
            <w:r w:rsidR="005A18CA">
              <w:rPr>
                <w:rFonts w:ascii="Verdana" w:eastAsia="Verdana" w:hAnsi="Verdana" w:cs="Verdana"/>
                <w:color w:val="000000" w:themeColor="text1"/>
              </w:rPr>
              <w:t>.</w:t>
            </w:r>
          </w:p>
          <w:p w14:paraId="0DF66514" w14:textId="5DFC2B59" w:rsidR="00A95D08" w:rsidRDefault="005A18CA" w:rsidP="00C83BB8">
            <w:pPr>
              <w:spacing w:after="120" w:line="276" w:lineRule="auto"/>
              <w:jc w:val="both"/>
              <w:rPr>
                <w:rFonts w:ascii="Verdana" w:eastAsia="Verdana" w:hAnsi="Verdana" w:cs="Verdana"/>
                <w:color w:val="000000" w:themeColor="text1"/>
                <w:lang w:val="es-ES"/>
              </w:rPr>
            </w:pPr>
            <w:r>
              <w:rPr>
                <w:rFonts w:ascii="Verdana" w:eastAsia="Verdana" w:hAnsi="Verdana" w:cs="Verdana"/>
                <w:color w:val="000000" w:themeColor="text1"/>
              </w:rPr>
              <w:t xml:space="preserve">         </w:t>
            </w:r>
            <w:r w:rsidR="7A8FABAF" w:rsidRPr="32DC2C46">
              <w:rPr>
                <w:rFonts w:ascii="Verdana" w:eastAsia="Verdana" w:hAnsi="Verdana" w:cs="Verdana"/>
                <w:color w:val="000000" w:themeColor="text1"/>
                <w:lang w:val="es-ES"/>
              </w:rPr>
              <w:t>Ambas restricciones no son excluyentes, lo que permite concluir que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p w14:paraId="220EBE9B" w14:textId="3B11F1C2" w:rsidR="00600687" w:rsidRDefault="00600687" w:rsidP="00C83BB8">
            <w:pPr>
              <w:spacing w:after="120" w:line="276" w:lineRule="auto"/>
              <w:jc w:val="both"/>
              <w:rPr>
                <w:rFonts w:ascii="Verdana" w:eastAsia="Verdana" w:hAnsi="Verdana" w:cs="Verdana"/>
                <w:color w:val="000000" w:themeColor="text1"/>
                <w:lang w:val="es-ES" w:eastAsia="es-MX"/>
              </w:rPr>
            </w:pPr>
            <w:r>
              <w:rPr>
                <w:rFonts w:ascii="Verdana" w:eastAsia="Verdana" w:hAnsi="Verdana" w:cs="Verdana"/>
                <w:color w:val="000000" w:themeColor="text1"/>
                <w:lang w:val="es-ES" w:eastAsia="es-MX"/>
              </w:rPr>
              <w:t xml:space="preserve">           Ahora bien, en atención al problema jurídico planeado </w:t>
            </w:r>
            <w:r w:rsidRPr="00600687">
              <w:rPr>
                <w:rFonts w:ascii="Verdana" w:eastAsia="Verdana" w:hAnsi="Verdana" w:cs="Verdana"/>
                <w:color w:val="000000" w:themeColor="text1"/>
                <w:lang w:val="es-ES" w:eastAsia="es-MX"/>
              </w:rPr>
              <w:t>La prohibición de contratación directa establecida en la Ley de Garantías y la Circular 006 de 2025 se dirige exclusivamente a las entidades públicas y no a las empresas privadas en su calidad de contratistas; sin embargo, estas últimas se ven afectadas indirectamente ya que el Estado tiene prohibido utilizar dicha modalidad para vincularlas durante el periodo electoral. En consecuencia, una empresa privada no podrá suscribir nuevos contratos de prestación de servicios o apoyo a la gestión de forma directa con entes territoriales o nacionales según el calendario electoral, a menos que el contrato sea el resultado de un proceso competitivo</w:t>
            </w:r>
            <w:r>
              <w:rPr>
                <w:rFonts w:ascii="Verdana" w:eastAsia="Verdana" w:hAnsi="Verdana" w:cs="Verdana"/>
                <w:color w:val="000000" w:themeColor="text1"/>
                <w:lang w:val="es-ES" w:eastAsia="es-MX"/>
              </w:rPr>
              <w:t xml:space="preserve"> </w:t>
            </w:r>
            <w:r w:rsidRPr="00600687">
              <w:rPr>
                <w:rFonts w:ascii="Verdana" w:eastAsia="Verdana" w:hAnsi="Verdana" w:cs="Verdana"/>
                <w:color w:val="000000" w:themeColor="text1"/>
                <w:lang w:val="es-ES" w:eastAsia="es-MX"/>
              </w:rPr>
              <w:t>o se trate de una de las excepciones legales por urgencia o seguridad.</w:t>
            </w:r>
          </w:p>
          <w:p w14:paraId="4090755A" w14:textId="77777777" w:rsidR="00A95D08" w:rsidRPr="00A40362" w:rsidRDefault="00A95D08" w:rsidP="008F21B7">
            <w:pPr>
              <w:spacing w:after="120" w:line="276" w:lineRule="auto"/>
              <w:ind w:firstLine="708"/>
              <w:jc w:val="both"/>
              <w:rPr>
                <w:rFonts w:ascii="Verdana" w:eastAsia="Times New Roman" w:hAnsi="Verdana" w:cs="Times New Roman"/>
                <w:lang w:eastAsia="es-MX"/>
              </w:rPr>
            </w:pPr>
            <w:r>
              <w:rPr>
                <w:rFonts w:ascii="Verdana" w:eastAsia="Calibri" w:hAnsi="Verdana" w:cs="Arial"/>
              </w:rPr>
              <w:t xml:space="preserve">Finalmente, </w:t>
            </w:r>
            <w:r w:rsidRPr="006B795B">
              <w:rPr>
                <w:rFonts w:ascii="Verdana" w:eastAsia="Calibri" w:hAnsi="Verdana" w:cs="Arial"/>
              </w:rPr>
              <w:t xml:space="preserve">debe advertirse que, el análisis requerido para resolver problemas específicos en torno a la </w:t>
            </w:r>
            <w:r>
              <w:rPr>
                <w:rFonts w:ascii="Verdana" w:eastAsia="Calibri" w:hAnsi="Verdana" w:cs="Arial"/>
              </w:rPr>
              <w:t xml:space="preserve">aplicación de las restricciones contractuales contenidas en la Ley 996 de 2005, </w:t>
            </w:r>
            <w:r w:rsidRPr="006B795B">
              <w:rPr>
                <w:rFonts w:ascii="Verdana" w:eastAsia="Calibri" w:hAnsi="Verdana" w:cs="Arial"/>
              </w:rPr>
              <w:t xml:space="preserve">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w:t>
            </w:r>
            <w:r w:rsidRPr="006B795B">
              <w:rPr>
                <w:rFonts w:ascii="Verdana" w:eastAsia="Calibri" w:hAnsi="Verdana" w:cs="Arial"/>
              </w:rPr>
              <w:lastRenderedPageBreak/>
              <w:t>particulares corresponde a los interesados de adoptar la decisión y, en caso de conflicto, a las autoridades judiciales, fiscales y disciplinarias.</w:t>
            </w:r>
          </w:p>
        </w:tc>
      </w:tr>
    </w:tbl>
    <w:p w14:paraId="7C3B575B" w14:textId="77777777" w:rsidR="00A95D08" w:rsidRPr="00AD2F15" w:rsidRDefault="00A95D08" w:rsidP="00A95D08">
      <w:pPr>
        <w:tabs>
          <w:tab w:val="left" w:pos="142"/>
          <w:tab w:val="left" w:pos="284"/>
        </w:tabs>
        <w:spacing w:after="0" w:line="276" w:lineRule="auto"/>
        <w:jc w:val="both"/>
        <w:rPr>
          <w:rFonts w:ascii="Verdana" w:eastAsia="Century Gothic" w:hAnsi="Verdana" w:cs="Century Gothic"/>
          <w:b/>
          <w:bCs/>
          <w:lang w:val="es-ES"/>
        </w:rPr>
      </w:pPr>
    </w:p>
    <w:p w14:paraId="0B933DF7" w14:textId="77777777" w:rsidR="00A95D08" w:rsidRPr="00AD2F15" w:rsidRDefault="00A95D08" w:rsidP="00A95D0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AD2F15">
        <w:rPr>
          <w:rFonts w:ascii="Verdana" w:eastAsia="Century Gothic" w:hAnsi="Verdana" w:cs="Century Gothic"/>
          <w:b/>
          <w:bCs/>
        </w:rPr>
        <w:t>Razones de la respuesta:</w:t>
      </w:r>
    </w:p>
    <w:p w14:paraId="2ABCEDFF" w14:textId="77777777" w:rsidR="00A95D08" w:rsidRPr="00AD2F15" w:rsidRDefault="00A95D08" w:rsidP="00A95D08">
      <w:pPr>
        <w:spacing w:after="0" w:line="276" w:lineRule="auto"/>
        <w:jc w:val="both"/>
        <w:rPr>
          <w:rFonts w:ascii="Verdana" w:eastAsia="Calibri" w:hAnsi="Verdana" w:cs="Arial"/>
          <w:color w:val="7030A0"/>
          <w:lang w:val="es-ES"/>
        </w:rPr>
      </w:pPr>
    </w:p>
    <w:p w14:paraId="2D030B22" w14:textId="77777777" w:rsidR="00A95D08" w:rsidRPr="00AD2F15" w:rsidRDefault="00A95D08" w:rsidP="00A95D08">
      <w:pPr>
        <w:spacing w:after="0" w:line="276" w:lineRule="auto"/>
        <w:jc w:val="both"/>
        <w:rPr>
          <w:rFonts w:ascii="Verdana" w:eastAsia="Calibri" w:hAnsi="Verdana" w:cs="Arial"/>
          <w:lang w:val="es-ES"/>
        </w:rPr>
      </w:pPr>
      <w:r w:rsidRPr="00AD2F15">
        <w:rPr>
          <w:rFonts w:ascii="Verdana" w:eastAsia="Calibri" w:hAnsi="Verdana" w:cs="Arial"/>
          <w:lang w:val="es-ES"/>
        </w:rPr>
        <w:t xml:space="preserve">Lo anterior se sustenta en las siguientes consideraciones: </w:t>
      </w:r>
    </w:p>
    <w:p w14:paraId="68CED35E" w14:textId="77777777" w:rsidR="00A95D08" w:rsidRPr="00AD2F15" w:rsidRDefault="00A95D08" w:rsidP="00A95D08">
      <w:pPr>
        <w:spacing w:after="0" w:line="276" w:lineRule="auto"/>
        <w:jc w:val="both"/>
        <w:rPr>
          <w:rFonts w:ascii="Verdana" w:eastAsia="Calibri" w:hAnsi="Verdana" w:cs="Arial"/>
          <w:lang w:val="es-ES"/>
        </w:rPr>
      </w:pPr>
    </w:p>
    <w:p w14:paraId="618FA9F1" w14:textId="77777777" w:rsidR="00A95D08" w:rsidRPr="00AD2F15" w:rsidRDefault="00A95D08" w:rsidP="00A95D08">
      <w:pPr>
        <w:tabs>
          <w:tab w:val="left" w:pos="709"/>
        </w:tabs>
        <w:spacing w:after="0" w:line="276" w:lineRule="auto"/>
        <w:jc w:val="both"/>
        <w:rPr>
          <w:rFonts w:ascii="Verdana" w:eastAsia="Calibri" w:hAnsi="Verdana" w:cs="Arial"/>
          <w:lang w:val="es-ES"/>
        </w:rPr>
      </w:pPr>
      <w:r w:rsidRPr="00AD2F15">
        <w:rPr>
          <w:rFonts w:ascii="Verdana" w:eastAsia="Calibri" w:hAnsi="Verdana" w:cs="Arial"/>
          <w:color w:val="000000"/>
          <w:lang w:val="es-ES_tradnl"/>
        </w:rPr>
        <w:t xml:space="preserve">El </w:t>
      </w:r>
      <w:r w:rsidRPr="00AD2F15">
        <w:rPr>
          <w:rFonts w:ascii="Verdana" w:eastAsia="Calibri" w:hAnsi="Verdana" w:cs="Arial"/>
          <w:lang w:val="es-ES"/>
        </w:rPr>
        <w:t>ordenamiento jurídico colombiano contempló previsiones claras para evitar la obtención de beneficios personales en asuntos propios de la administración pública. Por ejemplo, el artículo 17 de la Constitución Política establece una prohibición contractual para los servidores públicos y, en cuanto a aspectos políticos, consagra restricciones a ciertos empleados del Estado, incluso en época no electoral</w:t>
      </w:r>
      <w:r w:rsidRPr="00AD2F15">
        <w:rPr>
          <w:rFonts w:ascii="Verdana" w:eastAsia="Calibri" w:hAnsi="Verdana" w:cs="Arial"/>
          <w:bCs/>
          <w:vertAlign w:val="superscript"/>
        </w:rPr>
        <w:footnoteReference w:id="1"/>
      </w:r>
      <w:r w:rsidRPr="00AD2F15">
        <w:rPr>
          <w:rFonts w:ascii="Verdana" w:eastAsia="Calibri" w:hAnsi="Verdana" w:cs="Arial"/>
          <w:bCs/>
        </w:rPr>
        <w:t>.</w:t>
      </w:r>
    </w:p>
    <w:p w14:paraId="5F7778DC" w14:textId="77777777" w:rsidR="00A95D08" w:rsidRPr="00AD2F15" w:rsidRDefault="00A95D08" w:rsidP="00A95D08">
      <w:pPr>
        <w:tabs>
          <w:tab w:val="left" w:pos="709"/>
        </w:tabs>
        <w:spacing w:before="120" w:after="120" w:line="276" w:lineRule="auto"/>
        <w:jc w:val="both"/>
        <w:rPr>
          <w:rFonts w:ascii="Verdana" w:eastAsia="Calibri" w:hAnsi="Verdana" w:cs="Arial"/>
          <w:lang w:val="es-ES"/>
        </w:rPr>
      </w:pPr>
      <w:r w:rsidRPr="00AD2F15">
        <w:rPr>
          <w:rFonts w:ascii="Verdana" w:eastAsia="Calibri" w:hAnsi="Verdana" w:cs="Arial"/>
          <w:lang w:val="es-ES"/>
        </w:rPr>
        <w:tab/>
        <w:t>En el mismo sentido, 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AD2F15">
        <w:rPr>
          <w:rFonts w:ascii="Verdana" w:eastAsia="Times New Roman" w:hAnsi="Verdana" w:cs="Arial"/>
          <w:bCs/>
          <w:vertAlign w:val="superscript"/>
          <w:lang w:val="es-MX" w:eastAsia="es-CO"/>
        </w:rPr>
        <w:footnoteReference w:id="2"/>
      </w:r>
      <w:r w:rsidRPr="00AD2F15">
        <w:rPr>
          <w:rFonts w:ascii="Verdana" w:eastAsia="Calibri" w:hAnsi="Verdana" w:cs="Arial"/>
          <w:lang w:val="es-ES"/>
        </w:rPr>
        <w:t>. En esta medida, la cita Ley introduce limitaciones para realizar nombramientos, postulaciones, contrataciones o cualquier otro tipo de actividad que implique destinación de recursos públicos bajo el devenir propio de las entidades estatales.</w:t>
      </w:r>
    </w:p>
    <w:p w14:paraId="056488DC" w14:textId="77777777" w:rsidR="00A95D08" w:rsidRPr="00AD2F15" w:rsidRDefault="00A95D08" w:rsidP="00A95D08">
      <w:pPr>
        <w:tabs>
          <w:tab w:val="left" w:pos="709"/>
        </w:tabs>
        <w:spacing w:after="0" w:line="276" w:lineRule="auto"/>
        <w:jc w:val="both"/>
        <w:rPr>
          <w:rFonts w:ascii="Verdana" w:eastAsia="Calibri" w:hAnsi="Verdana" w:cs="Arial"/>
          <w:lang w:val="es-ES"/>
        </w:rPr>
      </w:pPr>
      <w:r w:rsidRPr="00AD2F15">
        <w:rPr>
          <w:rFonts w:ascii="Verdana" w:eastAsia="Calibri" w:hAnsi="Verdana" w:cs="Arial"/>
          <w:lang w:val="es-ES"/>
        </w:rPr>
        <w:lastRenderedPageBreak/>
        <w:tab/>
        <w:t xml:space="preserve">En armonía con lo anterior, la Corte Constitucional ha abordado la definición de la Ley de Garantías Electorales y ha explicado que esta tiene como propósito: </w:t>
      </w:r>
    </w:p>
    <w:p w14:paraId="7CE319D7" w14:textId="77777777" w:rsidR="00A95D08" w:rsidRPr="00AD2F15" w:rsidRDefault="00A95D08" w:rsidP="00A95D08">
      <w:pPr>
        <w:spacing w:after="0" w:line="240" w:lineRule="auto"/>
        <w:ind w:left="709" w:right="709"/>
        <w:jc w:val="both"/>
        <w:rPr>
          <w:rFonts w:ascii="Verdana" w:eastAsia="Times New Roman" w:hAnsi="Verdana" w:cs="Arial"/>
          <w:lang w:val="es-ES" w:eastAsia="es-CO"/>
        </w:rPr>
      </w:pPr>
    </w:p>
    <w:p w14:paraId="2F63369B" w14:textId="77777777" w:rsidR="00A95D08" w:rsidRPr="00AD2F15" w:rsidRDefault="00A95D08" w:rsidP="00A95D08">
      <w:pPr>
        <w:spacing w:after="0" w:line="240" w:lineRule="auto"/>
        <w:ind w:left="709" w:right="709"/>
        <w:jc w:val="both"/>
        <w:rPr>
          <w:rFonts w:ascii="Verdana" w:eastAsia="Times New Roman" w:hAnsi="Verdana" w:cs="Arial"/>
          <w:bCs/>
          <w:lang w:val="es-MX" w:eastAsia="es-CO"/>
        </w:rPr>
      </w:pPr>
      <w:r w:rsidRPr="00AD2F15">
        <w:rPr>
          <w:rFonts w:ascii="Verdana" w:eastAsia="Times New Roman" w:hAnsi="Verdana" w:cs="Arial"/>
          <w:lang w:val="es-ES" w:eastAsia="es-CO"/>
        </w:rPr>
        <w:t xml:space="preserve">“[…] </w:t>
      </w:r>
      <w:r w:rsidRPr="00AD2F15">
        <w:rPr>
          <w:rFonts w:ascii="Verdana" w:eastAsia="Times New Roman" w:hAnsi="Verdana" w:cs="Arial"/>
          <w:bCs/>
          <w:lang w:val="es-MX" w:eastAsia="es-CO"/>
        </w:rPr>
        <w:t>la definición de reglas claras que permitan acceder a los canales de expresión democrática de manera efectiva e igualitaria. El objetivo de una ley de garantías es definir esas reglas.</w:t>
      </w:r>
    </w:p>
    <w:p w14:paraId="0C32A88F" w14:textId="77777777" w:rsidR="00A95D08" w:rsidRPr="00AD2F15" w:rsidRDefault="00A95D08" w:rsidP="00A95D08">
      <w:pPr>
        <w:spacing w:after="0" w:line="240" w:lineRule="auto"/>
        <w:ind w:left="709" w:right="709"/>
        <w:jc w:val="both"/>
        <w:rPr>
          <w:rFonts w:ascii="Verdana" w:eastAsia="Times New Roman" w:hAnsi="Verdana" w:cs="Arial"/>
          <w:bCs/>
          <w:lang w:val="es-MX" w:eastAsia="es-CO"/>
        </w:rPr>
      </w:pPr>
      <w:r w:rsidRPr="00AD2F15">
        <w:rPr>
          <w:rFonts w:ascii="Verdana" w:eastAsia="Times New Roman" w:hAnsi="Verdana" w:cs="Arial"/>
          <w:bCs/>
          <w:lang w:val="es-MX" w:eastAsia="es-CO"/>
        </w:rPr>
        <w:t xml:space="preserve">[…] </w:t>
      </w:r>
    </w:p>
    <w:p w14:paraId="0E793E09" w14:textId="77777777" w:rsidR="00A95D08" w:rsidRPr="00AD2F15" w:rsidRDefault="00A95D08" w:rsidP="00A95D08">
      <w:pPr>
        <w:spacing w:after="0" w:line="240" w:lineRule="auto"/>
        <w:ind w:left="709" w:right="709"/>
        <w:jc w:val="both"/>
        <w:rPr>
          <w:rFonts w:ascii="Verdana" w:eastAsia="Times New Roman" w:hAnsi="Verdana" w:cs="Arial"/>
          <w:bCs/>
          <w:lang w:val="es-MX" w:eastAsia="es-CO"/>
        </w:rPr>
      </w:pPr>
      <w:r w:rsidRPr="00AD2F15">
        <w:rPr>
          <w:rFonts w:ascii="Verdana" w:eastAsia="Times New Roman" w:hAnsi="Verdana" w:cs="Arial"/>
          <w:bCs/>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AD2F15">
        <w:rPr>
          <w:rFonts w:ascii="Verdana" w:eastAsia="Calibri" w:hAnsi="Verdana" w:cs="Arial"/>
          <w:vertAlign w:val="superscript"/>
          <w:lang w:val="es-MX"/>
        </w:rPr>
        <w:footnoteReference w:id="3"/>
      </w:r>
      <w:r w:rsidRPr="00AD2F15">
        <w:rPr>
          <w:rFonts w:ascii="Verdana" w:eastAsia="Times New Roman" w:hAnsi="Verdana" w:cs="Arial"/>
          <w:bCs/>
          <w:lang w:val="es-MX" w:eastAsia="es-CO"/>
        </w:rPr>
        <w:t>”.</w:t>
      </w:r>
    </w:p>
    <w:p w14:paraId="5C4D88B4" w14:textId="77777777" w:rsidR="00A95D08" w:rsidRPr="00AD2F15" w:rsidRDefault="00A95D08" w:rsidP="00A95D08">
      <w:pPr>
        <w:tabs>
          <w:tab w:val="left" w:pos="709"/>
        </w:tabs>
        <w:spacing w:after="0" w:line="276" w:lineRule="auto"/>
        <w:jc w:val="both"/>
        <w:rPr>
          <w:rFonts w:ascii="Verdana" w:eastAsia="Calibri" w:hAnsi="Verdana" w:cs="Arial"/>
          <w:lang w:val="es-ES"/>
        </w:rPr>
      </w:pPr>
    </w:p>
    <w:p w14:paraId="25824C64" w14:textId="77777777" w:rsidR="00A95D08" w:rsidRPr="00AD2F15" w:rsidRDefault="00A95D08" w:rsidP="00A95D08">
      <w:pPr>
        <w:tabs>
          <w:tab w:val="left" w:pos="709"/>
        </w:tabs>
        <w:spacing w:after="0" w:line="276" w:lineRule="auto"/>
        <w:jc w:val="both"/>
        <w:rPr>
          <w:rFonts w:ascii="Verdana" w:eastAsia="Calibri" w:hAnsi="Verdana" w:cs="Arial"/>
          <w:lang w:val="es-ES"/>
        </w:rPr>
      </w:pPr>
      <w:r w:rsidRPr="00AD2F15">
        <w:rPr>
          <w:rFonts w:ascii="Verdana" w:eastAsia="Calibri" w:hAnsi="Verdana" w:cs="Arial"/>
          <w:lang w:val="es-ES"/>
        </w:rPr>
        <w:tab/>
        <w:t xml:space="preserve">En ese contexto, la Ley de Garantías Electorales establece el marco jurídico para el desarrollo de las elecciones, procurando condiciones de igualdad y transparencia para los aspirantes y, paralelamente, incluyendo restricciones en el actuar de los servidores públicos, con las cuales se procura evitar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 En efecto, </w:t>
      </w:r>
      <w:r w:rsidRPr="00AD2F15">
        <w:rPr>
          <w:rFonts w:ascii="Verdana" w:eastAsia="Calibri" w:hAnsi="Verdana" w:cs="Arial"/>
          <w:lang w:val="es-ES"/>
        </w:rPr>
        <w:lastRenderedPageBreak/>
        <w:t xml:space="preserve">la Sala de Consulta y Servicio Civil del Consejo de Estado al analizar la referida Ley, precisó lo siguiente: </w:t>
      </w:r>
    </w:p>
    <w:p w14:paraId="12B95A7E" w14:textId="77777777" w:rsidR="00A95D08" w:rsidRPr="00AD2F15" w:rsidRDefault="00A95D08" w:rsidP="00A95D08">
      <w:pPr>
        <w:tabs>
          <w:tab w:val="left" w:pos="709"/>
        </w:tabs>
        <w:spacing w:after="0" w:line="276" w:lineRule="auto"/>
        <w:jc w:val="both"/>
        <w:rPr>
          <w:rFonts w:ascii="Verdana" w:eastAsia="Calibri" w:hAnsi="Verdana" w:cs="Arial"/>
          <w:lang w:val="es-ES"/>
        </w:rPr>
      </w:pPr>
    </w:p>
    <w:p w14:paraId="6BD15628" w14:textId="77777777" w:rsidR="00A95D08" w:rsidRPr="00AD2F15" w:rsidRDefault="00A95D08" w:rsidP="00A95D08">
      <w:pPr>
        <w:spacing w:after="0" w:line="240" w:lineRule="auto"/>
        <w:ind w:left="709" w:right="709"/>
        <w:jc w:val="both"/>
        <w:rPr>
          <w:rFonts w:ascii="Verdana" w:eastAsia="Times New Roman" w:hAnsi="Verdana" w:cs="Arial"/>
          <w:bCs/>
          <w:lang w:val="es-MX" w:eastAsia="es-CO"/>
        </w:rPr>
      </w:pPr>
      <w:r w:rsidRPr="00AD2F15">
        <w:rPr>
          <w:rFonts w:ascii="Verdana" w:eastAsia="Calibri" w:hAnsi="Verdana" w:cs="Arial"/>
          <w:lang w:val="es-ES"/>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dispositivos que integran un régimen jurídico imperativo y de orden público, razón por la cual no son disponibles ni pueden ser derogadas, modificadas, ampliadas o adicionadas por acuerdo o convenio o acto unilateral. La jurisprudencia de la Cortes Constitucional</w:t>
      </w:r>
      <w:r w:rsidRPr="00AD2F15">
        <w:rPr>
          <w:rFonts w:ascii="Verdana" w:eastAsia="Times New Roman" w:hAnsi="Verdana" w:cs="Arial"/>
          <w:bCs/>
          <w:vertAlign w:val="superscript"/>
          <w:lang w:val="es-MX" w:eastAsia="es-CO"/>
        </w:rPr>
        <w:footnoteReference w:id="4"/>
      </w:r>
      <w:r w:rsidRPr="00AD2F15">
        <w:rPr>
          <w:rFonts w:ascii="Verdana" w:eastAsia="Times New Roman" w:hAnsi="Verdana" w:cs="Arial"/>
          <w:bCs/>
          <w:lang w:val="es-MX" w:eastAsia="es-CO"/>
        </w:rPr>
        <w:t>  y del Consejo de Estado</w:t>
      </w:r>
      <w:r w:rsidRPr="00AD2F15">
        <w:rPr>
          <w:rFonts w:ascii="Verdana" w:eastAsia="Times New Roman" w:hAnsi="Verdana" w:cs="Arial"/>
          <w:bCs/>
          <w:vertAlign w:val="superscript"/>
          <w:lang w:val="es-MX" w:eastAsia="es-CO"/>
        </w:rPr>
        <w:footnoteReference w:id="5"/>
      </w:r>
      <w:r w:rsidRPr="00AD2F15">
        <w:rPr>
          <w:rFonts w:ascii="Verdana" w:eastAsia="Times New Roman" w:hAnsi="Verdana" w:cs="Arial"/>
          <w:bCs/>
          <w:lang w:val="es-MX" w:eastAsia="es-CO"/>
        </w:rPr>
        <w:t>, coinciden en que las normas que establecen prohibiciones deben estar de manera explícita en la Constitución o en la ley y no podrán se excesivas ni desproporcionadas. No pueden interpretarse extensivamente sino siempre en forma restrictiva o estricta; es decir, en la aplicación de las normas prohibitivas, el intérprete solamente habrá de tener en cuenta lo que en ellas expresamente se menciona y, por tanto, no les es permitido ampliar el natural y obvio alcance de los supuestos que contemplan, pues como entrañan una limitación -así fuere justificada- a la libertad de actuar o capacidad de obrar, sobrepasar sus precisos términos comporta el desconocimiento de la voluntad del legislado”</w:t>
      </w:r>
      <w:r w:rsidRPr="00AD2F15">
        <w:rPr>
          <w:rFonts w:ascii="Verdana" w:eastAsia="Times New Roman" w:hAnsi="Verdana" w:cs="Arial"/>
          <w:bCs/>
          <w:vertAlign w:val="superscript"/>
          <w:lang w:val="es-MX" w:eastAsia="es-CO"/>
        </w:rPr>
        <w:footnoteReference w:id="6"/>
      </w:r>
      <w:r w:rsidRPr="00AD2F15">
        <w:rPr>
          <w:rFonts w:ascii="Verdana" w:eastAsia="Times New Roman" w:hAnsi="Verdana" w:cs="Arial"/>
          <w:bCs/>
          <w:lang w:val="es-MX" w:eastAsia="es-CO"/>
        </w:rPr>
        <w:t>.</w:t>
      </w:r>
    </w:p>
    <w:p w14:paraId="58E33A2F" w14:textId="77777777" w:rsidR="00A95D08" w:rsidRPr="00AD2F15" w:rsidRDefault="00A95D08" w:rsidP="00A95D08">
      <w:pPr>
        <w:tabs>
          <w:tab w:val="left" w:pos="709"/>
        </w:tabs>
        <w:spacing w:after="0" w:line="240" w:lineRule="auto"/>
        <w:ind w:left="709" w:right="709"/>
        <w:jc w:val="both"/>
        <w:rPr>
          <w:rFonts w:ascii="Verdana" w:eastAsia="Times New Roman" w:hAnsi="Verdana" w:cs="Arial"/>
          <w:bCs/>
          <w:lang w:val="es-MX" w:eastAsia="es-CO"/>
        </w:rPr>
      </w:pPr>
    </w:p>
    <w:p w14:paraId="203C0E71" w14:textId="77777777" w:rsidR="00A95D08" w:rsidRPr="00AD2F15" w:rsidRDefault="00A95D08" w:rsidP="00A95D08">
      <w:pPr>
        <w:tabs>
          <w:tab w:val="left" w:pos="709"/>
        </w:tabs>
        <w:spacing w:after="0" w:line="276" w:lineRule="auto"/>
        <w:jc w:val="both"/>
        <w:rPr>
          <w:rFonts w:ascii="Verdana" w:eastAsia="Calibri" w:hAnsi="Verdana" w:cs="Arial"/>
          <w:lang w:val="es-ES"/>
        </w:rPr>
      </w:pPr>
      <w:r w:rsidRPr="00AD2F15">
        <w:rPr>
          <w:rFonts w:ascii="Verdana" w:eastAsia="Calibri" w:hAnsi="Verdana" w:cs="Arial"/>
          <w:lang w:val="es-ES"/>
        </w:rPr>
        <w:tab/>
        <w:t xml:space="preserve">De conformidad con lo anterior, 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w:t>
      </w:r>
      <w:r w:rsidRPr="00AD2F15">
        <w:rPr>
          <w:rFonts w:ascii="Verdana" w:eastAsia="Calibri" w:hAnsi="Verdana" w:cs="Arial"/>
          <w:lang w:val="es-ES"/>
        </w:rPr>
        <w:lastRenderedPageBreak/>
        <w:t>electoral, se alteren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territorial.</w:t>
      </w:r>
    </w:p>
    <w:p w14:paraId="3B02D812" w14:textId="77777777" w:rsidR="00A95D08" w:rsidRPr="00AD2F15" w:rsidRDefault="00A95D08" w:rsidP="00A95D08">
      <w:pPr>
        <w:tabs>
          <w:tab w:val="left" w:pos="709"/>
        </w:tabs>
        <w:spacing w:before="120" w:after="120" w:line="276" w:lineRule="auto"/>
        <w:jc w:val="both"/>
        <w:rPr>
          <w:rFonts w:ascii="Verdana" w:eastAsia="Calibri" w:hAnsi="Verdana" w:cs="Arial"/>
          <w:lang w:val="es-ES"/>
        </w:rPr>
      </w:pPr>
      <w:r w:rsidRPr="00AD2F15">
        <w:rPr>
          <w:rFonts w:ascii="Verdana" w:eastAsia="Calibri" w:hAnsi="Verdana" w:cs="Arial"/>
          <w:lang w:val="es-ES"/>
        </w:rPr>
        <w:tab/>
        <w:t>De una parte, el artículo 33 de la Ley 966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AD2F15">
        <w:rPr>
          <w:rFonts w:ascii="Verdana" w:eastAsia="Calibri" w:hAnsi="Verdana" w:cs="Arial"/>
          <w:bCs/>
          <w:vertAlign w:val="superscript"/>
        </w:rPr>
        <w:t xml:space="preserve"> </w:t>
      </w:r>
      <w:r w:rsidRPr="00AD2F15">
        <w:rPr>
          <w:rFonts w:ascii="Verdana" w:eastAsia="Calibri" w:hAnsi="Verdana" w:cs="Arial"/>
          <w:bCs/>
          <w:vertAlign w:val="superscript"/>
        </w:rPr>
        <w:footnoteReference w:id="7"/>
      </w:r>
      <w:r w:rsidRPr="00AD2F15">
        <w:rPr>
          <w:rFonts w:ascii="Verdana" w:eastAsia="Calibri" w:hAnsi="Verdana" w:cs="Arial"/>
          <w:bCs/>
        </w:rPr>
        <w:t>.</w:t>
      </w:r>
    </w:p>
    <w:p w14:paraId="77280E44" w14:textId="77777777" w:rsidR="00A95D08" w:rsidRPr="00AD2F15" w:rsidRDefault="00A95D08" w:rsidP="00A95D08">
      <w:pPr>
        <w:tabs>
          <w:tab w:val="left" w:pos="709"/>
        </w:tabs>
        <w:spacing w:after="0" w:line="276" w:lineRule="auto"/>
        <w:jc w:val="both"/>
        <w:rPr>
          <w:rFonts w:ascii="Verdana" w:eastAsia="Calibri" w:hAnsi="Verdana" w:cs="Arial"/>
          <w:lang w:val="es-ES"/>
        </w:rPr>
      </w:pPr>
      <w:r w:rsidRPr="00AD2F15">
        <w:rPr>
          <w:rFonts w:ascii="Verdana" w:eastAsia="Calibri" w:hAnsi="Verdana" w:cs="Arial"/>
          <w:lang w:val="es-ES"/>
        </w:rPr>
        <w:tab/>
        <w:t>Por otro lado, el parágrafo del artículo 38 de la precitada Ley prevé una restricción aplicable respecto de cualquier tipo de contienda electoral,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 de sus juntas directivas, en o para reuniones de carácter proselitista”</w:t>
      </w:r>
      <w:r w:rsidRPr="00AD2F15">
        <w:rPr>
          <w:rFonts w:ascii="Verdana" w:eastAsia="Calibri" w:hAnsi="Verdana" w:cs="Arial"/>
          <w:bCs/>
          <w:vertAlign w:val="superscript"/>
        </w:rPr>
        <w:footnoteReference w:id="8"/>
      </w:r>
      <w:r w:rsidRPr="00AD2F15">
        <w:rPr>
          <w:rFonts w:ascii="Verdana" w:eastAsia="Calibri" w:hAnsi="Verdana" w:cs="Arial"/>
          <w:lang w:val="es-MX"/>
        </w:rPr>
        <w:t xml:space="preserve">. </w:t>
      </w:r>
      <w:r w:rsidRPr="00AD2F15">
        <w:rPr>
          <w:rFonts w:ascii="Verdana" w:eastAsia="Calibri" w:hAnsi="Verdana" w:cs="Arial"/>
          <w:lang w:val="es-MX"/>
        </w:rPr>
        <w:lastRenderedPageBreak/>
        <w:t>La Sala de Consulta y Servicio Civil del Consejo de Estado ha aclarado la distinción en la aplicación de las prohibiciones de la Ley 996 de 2005, dependiendo del tipo de elección que se trate. Al respecto, considera que:</w:t>
      </w:r>
    </w:p>
    <w:p w14:paraId="56B83DD7" w14:textId="77777777" w:rsidR="00A95D08" w:rsidRPr="00AD2F15" w:rsidRDefault="00A95D08" w:rsidP="00A95D08">
      <w:pPr>
        <w:tabs>
          <w:tab w:val="left" w:pos="709"/>
        </w:tabs>
        <w:spacing w:after="0" w:line="276" w:lineRule="auto"/>
        <w:jc w:val="both"/>
        <w:rPr>
          <w:rFonts w:ascii="Verdana" w:eastAsia="Calibri" w:hAnsi="Verdana" w:cs="Arial"/>
          <w:lang w:val="es-ES"/>
        </w:rPr>
      </w:pPr>
    </w:p>
    <w:p w14:paraId="75293399" w14:textId="77777777" w:rsidR="00A95D08" w:rsidRPr="00AD2F15" w:rsidRDefault="00A95D08" w:rsidP="00A95D08">
      <w:pPr>
        <w:tabs>
          <w:tab w:val="left" w:pos="709"/>
        </w:tabs>
        <w:spacing w:after="0" w:line="240" w:lineRule="auto"/>
        <w:ind w:left="709" w:right="709"/>
        <w:jc w:val="both"/>
        <w:rPr>
          <w:rFonts w:ascii="Verdana" w:eastAsia="Calibri" w:hAnsi="Verdana" w:cs="Arial"/>
          <w:lang w:val="es-ES"/>
        </w:rPr>
      </w:pPr>
      <w:r w:rsidRPr="00AD2F15">
        <w:rPr>
          <w:rFonts w:ascii="Verdana" w:eastAsia="Calibri" w:hAnsi="Verdana" w:cs="Arial"/>
          <w:lang w:val="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de cualquier cargo de elección popular a que se refiere la ley -incluido el de Presidente de la República-; de manera que dichas restricciones no se excluyen sino que se integran parcialmente, lo que permite concluir que </w:t>
      </w:r>
      <w:r w:rsidRPr="00AD2F15">
        <w:rPr>
          <w:rFonts w:ascii="Verdana" w:eastAsia="Calibri" w:hAnsi="Verdana" w:cs="Arial"/>
          <w:i/>
          <w:iCs/>
          <w:u w:val="single"/>
          <w:lang w:val="es-ES"/>
        </w:rPr>
        <w:t>en periodo preelectoral para elección de Presidente de la República, a todos los entes del Estado, incluidos los territoriales, se aplican las restricciones de los artículos 32 y 33 con sus excepciones, así como las del parágrafo del artículo 38</w:t>
      </w:r>
      <w:r w:rsidRPr="00AD2F15">
        <w:rPr>
          <w:rFonts w:ascii="Verdana" w:eastAsia="Calibri" w:hAnsi="Verdana" w:cs="Arial"/>
          <w:lang w:val="es-ES"/>
        </w:rPr>
        <w:t xml:space="preserve">. En cambio, </w:t>
      </w:r>
      <w:r w:rsidRPr="00AD2F15">
        <w:rPr>
          <w:rFonts w:ascii="Verdana" w:eastAsia="Calibri" w:hAnsi="Verdana" w:cs="Arial"/>
          <w:i/>
          <w:iCs/>
          <w:u w:val="single"/>
          <w:lang w:val="es-ES"/>
        </w:rPr>
        <w:t>para las elecciones en general, excluyendo las correspondientes a Presidente de la República, a las autoridades territoriales allí mencionadas sólo se aplican las restricciones contenidas en el parágrafo del artículo 38</w:t>
      </w:r>
      <w:r w:rsidRPr="00AD2F15">
        <w:rPr>
          <w:rFonts w:ascii="Verdana" w:eastAsia="Calibri" w:hAnsi="Verdana" w:cs="Arial"/>
          <w:lang w:val="es-ES"/>
        </w:rPr>
        <w:t>”</w:t>
      </w:r>
      <w:r w:rsidRPr="00AD2F15">
        <w:rPr>
          <w:rFonts w:ascii="Verdana" w:eastAsia="Arial" w:hAnsi="Verdana" w:cs="Arial"/>
          <w:vertAlign w:val="superscript"/>
          <w:lang w:val="es-ES" w:eastAsia="es-ES" w:bidi="es-ES"/>
        </w:rPr>
        <w:footnoteReference w:id="9"/>
      </w:r>
      <w:r w:rsidRPr="00AD2F15">
        <w:rPr>
          <w:rFonts w:ascii="Verdana" w:eastAsia="Calibri" w:hAnsi="Verdana" w:cs="Arial"/>
          <w:lang w:val="es-ES"/>
        </w:rPr>
        <w:t xml:space="preserve"> [Énfasis fuera de texto]</w:t>
      </w:r>
    </w:p>
    <w:p w14:paraId="48AD7442" w14:textId="77777777" w:rsidR="00A95D08" w:rsidRPr="00AD2F15" w:rsidRDefault="00A95D08" w:rsidP="00A95D08">
      <w:pPr>
        <w:spacing w:after="0" w:line="276" w:lineRule="auto"/>
        <w:jc w:val="both"/>
        <w:rPr>
          <w:rFonts w:ascii="Verdana" w:eastAsia="Arial" w:hAnsi="Verdana" w:cs="Arial"/>
          <w:lang w:val="es"/>
        </w:rPr>
      </w:pPr>
    </w:p>
    <w:p w14:paraId="4151F599" w14:textId="77777777" w:rsidR="00A95D08" w:rsidRPr="00AD2F15" w:rsidRDefault="00A95D08" w:rsidP="00A95D08">
      <w:pPr>
        <w:spacing w:after="0" w:line="276" w:lineRule="auto"/>
        <w:ind w:firstLine="708"/>
        <w:jc w:val="both"/>
        <w:rPr>
          <w:rFonts w:ascii="Verdana" w:eastAsia="Arial" w:hAnsi="Verdana" w:cs="Arial"/>
          <w:lang w:val="es"/>
        </w:rPr>
      </w:pPr>
      <w:r w:rsidRPr="00AD2F15">
        <w:rPr>
          <w:rFonts w:ascii="Verdana" w:eastAsia="Calibri" w:hAnsi="Verdana" w:cs="Arial"/>
          <w:lang w:val="es-ES"/>
        </w:rPr>
        <w:t>En este sentido, l</w:t>
      </w:r>
      <w:r w:rsidRPr="00AD2F15">
        <w:rPr>
          <w:rFonts w:ascii="Verdana" w:eastAsia="Arial" w:hAnsi="Verdana" w:cs="Arial"/>
          <w:lang w:val="es"/>
        </w:rPr>
        <w:t xml:space="preserve">a Ley 996 de 2005 establece dos (2) tipos de restricciones en materia de contratación, las cuales coinciden parcialmente. </w:t>
      </w:r>
      <w:r w:rsidRPr="00AD2F15">
        <w:rPr>
          <w:rFonts w:ascii="Verdana" w:eastAsia="Arial" w:hAnsi="Verdana" w:cs="Arial"/>
          <w:i/>
          <w:iCs/>
          <w:lang w:val="es"/>
        </w:rPr>
        <w:t>En primer lugar</w:t>
      </w:r>
      <w:r w:rsidRPr="00AD2F15">
        <w:rPr>
          <w:rFonts w:ascii="Verdana" w:eastAsia="Arial" w:hAnsi="Verdana" w:cs="Arial"/>
          <w:lang w:val="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AD2F15">
        <w:rPr>
          <w:rFonts w:ascii="Verdana" w:eastAsia="Arial" w:hAnsi="Verdana" w:cs="Arial"/>
          <w:i/>
          <w:iCs/>
          <w:lang w:val="es"/>
        </w:rPr>
        <w:t>En segundo lugar</w:t>
      </w:r>
      <w:r w:rsidRPr="00AD2F15">
        <w:rPr>
          <w:rFonts w:ascii="Verdana" w:eastAsia="Arial" w:hAnsi="Verdana" w:cs="Arial"/>
          <w:lang w:val="es"/>
        </w:rPr>
        <w:t xml:space="preserve">, también se encuentra la prohibición del </w:t>
      </w:r>
      <w:r w:rsidRPr="00AD2F15">
        <w:rPr>
          <w:rFonts w:ascii="Verdana" w:eastAsia="Arial" w:hAnsi="Verdana" w:cs="Arial"/>
          <w:lang w:val="es"/>
        </w:rPr>
        <w:lastRenderedPageBreak/>
        <w:t>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0047BE76" w14:textId="77777777" w:rsidR="00A95D08" w:rsidRPr="00AD2F15" w:rsidRDefault="00A95D08" w:rsidP="00A95D08">
      <w:pPr>
        <w:spacing w:before="120" w:after="120" w:line="276" w:lineRule="auto"/>
        <w:ind w:firstLine="709"/>
        <w:jc w:val="both"/>
        <w:rPr>
          <w:rFonts w:ascii="Verdana" w:eastAsia="Arial" w:hAnsi="Verdana" w:cs="Arial"/>
          <w:lang w:val="es-ES"/>
        </w:rPr>
      </w:pPr>
      <w:r w:rsidRPr="789BBF88">
        <w:rPr>
          <w:rFonts w:ascii="Verdana" w:eastAsia="Arial" w:hAnsi="Verdana" w:cs="Arial"/>
          <w:lang w:val="es-ES"/>
        </w:rPr>
        <w:t>Ambas restricciones no son excluyentes, lo que permite concluir que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p w14:paraId="5B625A1B" w14:textId="77777777" w:rsidR="00A95D08" w:rsidRPr="00AD2F15" w:rsidRDefault="00A95D08" w:rsidP="00A95D08">
      <w:pPr>
        <w:spacing w:before="120" w:after="120" w:line="276" w:lineRule="auto"/>
        <w:jc w:val="both"/>
        <w:rPr>
          <w:rFonts w:ascii="Verdana" w:eastAsia="Times New Roman" w:hAnsi="Verdana" w:cs="Arial"/>
          <w:bCs/>
          <w:lang w:val="es-MX" w:eastAsia="es-CO"/>
        </w:rPr>
      </w:pPr>
      <w:r w:rsidRPr="00AD2F15">
        <w:rPr>
          <w:rFonts w:ascii="Verdana" w:eastAsia="Times New Roman" w:hAnsi="Verdana" w:cs="Arial"/>
          <w:lang w:val="es-MX"/>
        </w:rPr>
        <w:t xml:space="preserve">El ámbito material de la prohibición contenida en </w:t>
      </w:r>
      <w:r w:rsidRPr="00AD2F15">
        <w:rPr>
          <w:rFonts w:ascii="Verdana" w:eastAsia="Arial" w:hAnsi="Verdana" w:cs="Arial"/>
          <w:lang w:val="es-ES" w:eastAsia="es-ES" w:bidi="es-ES"/>
        </w:rPr>
        <w:t>e</w:t>
      </w:r>
      <w:r w:rsidRPr="00AD2F15">
        <w:rPr>
          <w:rFonts w:ascii="Verdana" w:eastAsia="Calibri" w:hAnsi="Verdana" w:cs="Arial"/>
        </w:rPr>
        <w:t xml:space="preserve">l </w:t>
      </w:r>
      <w:r w:rsidRPr="00AD2F15">
        <w:rPr>
          <w:rFonts w:ascii="Verdana" w:eastAsia="Times New Roman" w:hAnsi="Verdana" w:cs="Arial"/>
          <w:lang w:val="es-MX"/>
        </w:rPr>
        <w:t xml:space="preserve">artículo 33 de la Ley 996 de 2005 está delimitado por la expresión </w:t>
      </w:r>
      <w:r w:rsidRPr="00AD2F15">
        <w:rPr>
          <w:rFonts w:ascii="Verdana" w:eastAsia="Calibri" w:hAnsi="Verdana" w:cs="Arial"/>
          <w:bCs/>
          <w:lang w:val="es-MX"/>
        </w:rPr>
        <w:t>“</w:t>
      </w:r>
      <w:r w:rsidRPr="00AD2F15">
        <w:rPr>
          <w:rFonts w:ascii="Verdana" w:eastAsia="Times New Roman" w:hAnsi="Verdana" w:cs="Arial"/>
          <w:lang w:val="es-MX"/>
        </w:rPr>
        <w:t>queda prohibida la contratación directa</w:t>
      </w:r>
      <w:r w:rsidRPr="00AD2F15">
        <w:rPr>
          <w:rFonts w:ascii="Verdana" w:eastAsia="Calibri" w:hAnsi="Verdana" w:cs="Arial"/>
          <w:lang w:val="es-MX"/>
        </w:rPr>
        <w:t>”</w:t>
      </w:r>
      <w:r w:rsidRPr="00AD2F15">
        <w:rPr>
          <w:rFonts w:ascii="Verdana" w:eastAsia="Times New Roman" w:hAnsi="Verdana" w:cs="Arial"/>
          <w:lang w:val="es-MX"/>
        </w:rPr>
        <w:t xml:space="preserve">. </w:t>
      </w:r>
      <w:r w:rsidRPr="00AD2F15">
        <w:rPr>
          <w:rFonts w:ascii="Verdana" w:eastAsia="Times New Roman" w:hAnsi="Verdana" w:cs="Arial"/>
          <w:lang w:val="es-MX" w:eastAsia="es-CO"/>
        </w:rPr>
        <w:t xml:space="preserve">A propósito de </w:t>
      </w:r>
      <w:r w:rsidRPr="00AD2F15">
        <w:rPr>
          <w:rFonts w:ascii="Verdana" w:eastAsia="Times New Roman" w:hAnsi="Verdana" w:cs="Arial"/>
          <w:lang w:eastAsia="es-CO"/>
        </w:rPr>
        <w:t>esta restricción de la Ley de Garantías Electorales, la Sala de Consulta y Servicio Civil del Consejo de Estado ha considerado que:</w:t>
      </w:r>
    </w:p>
    <w:p w14:paraId="6727A236" w14:textId="77777777" w:rsidR="00A95D08" w:rsidRPr="00AD2F15" w:rsidRDefault="00A95D08" w:rsidP="00A95D08">
      <w:pPr>
        <w:spacing w:after="0" w:line="276" w:lineRule="auto"/>
        <w:ind w:left="708" w:right="709"/>
        <w:jc w:val="both"/>
        <w:rPr>
          <w:rFonts w:ascii="Verdana" w:eastAsia="Calibri" w:hAnsi="Verdana" w:cs="Arial"/>
          <w:lang w:val="es-MX"/>
        </w:rPr>
      </w:pPr>
    </w:p>
    <w:p w14:paraId="7686E920" w14:textId="77777777" w:rsidR="00A95D08" w:rsidRPr="00AD2F15" w:rsidRDefault="00A95D08" w:rsidP="00A95D08">
      <w:pPr>
        <w:spacing w:after="0" w:line="240" w:lineRule="auto"/>
        <w:ind w:left="709" w:right="709"/>
        <w:jc w:val="both"/>
        <w:rPr>
          <w:rFonts w:ascii="Verdana" w:eastAsia="Calibri" w:hAnsi="Verdana" w:cs="Arial"/>
          <w:lang w:val="es-MX"/>
        </w:rPr>
      </w:pPr>
      <w:r w:rsidRPr="00AD2F15">
        <w:rPr>
          <w:rFonts w:ascii="Verdana" w:eastAsia="Calibri" w:hAnsi="Verdana" w:cs="Arial"/>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AD2F15">
        <w:rPr>
          <w:rFonts w:ascii="Verdana" w:eastAsia="Times New Roman" w:hAnsi="Verdana" w:cs="Arial"/>
          <w:vertAlign w:val="superscript"/>
          <w:lang w:eastAsia="es-CO"/>
        </w:rPr>
        <w:footnoteReference w:id="10"/>
      </w:r>
      <w:r w:rsidRPr="00AD2F15">
        <w:rPr>
          <w:rFonts w:ascii="Verdana" w:eastAsia="Calibri" w:hAnsi="Verdana" w:cs="Arial"/>
          <w:lang w:val="es-MX"/>
        </w:rPr>
        <w:t>.</w:t>
      </w:r>
    </w:p>
    <w:p w14:paraId="30AA65F7" w14:textId="77777777" w:rsidR="00A95D08" w:rsidRPr="00AD2F15" w:rsidRDefault="00A95D08" w:rsidP="00A95D08">
      <w:pPr>
        <w:spacing w:after="0" w:line="240" w:lineRule="auto"/>
        <w:ind w:left="709" w:right="709"/>
        <w:jc w:val="both"/>
        <w:rPr>
          <w:rFonts w:ascii="Verdana" w:eastAsia="Calibri" w:hAnsi="Verdana" w:cs="Arial"/>
          <w:lang w:val="es-MX"/>
        </w:rPr>
      </w:pPr>
    </w:p>
    <w:p w14:paraId="14167971" w14:textId="77777777" w:rsidR="00A95D08" w:rsidRPr="00AD2F15" w:rsidRDefault="00A95D08" w:rsidP="00A95D08">
      <w:pPr>
        <w:spacing w:after="0" w:line="240" w:lineRule="auto"/>
        <w:ind w:left="709" w:right="709"/>
        <w:jc w:val="both"/>
        <w:rPr>
          <w:rFonts w:ascii="Verdana" w:eastAsia="Calibri" w:hAnsi="Verdana" w:cs="Arial"/>
          <w:lang w:val="es-MX"/>
        </w:rPr>
      </w:pPr>
      <w:r w:rsidRPr="00AD2F15">
        <w:rPr>
          <w:rFonts w:ascii="Verdana" w:eastAsia="Calibri" w:hAnsi="Verdana" w:cs="Arial"/>
          <w:lang w:val="es-MX"/>
        </w:rPr>
        <w:t>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AD2F15">
        <w:rPr>
          <w:rFonts w:ascii="Verdana" w:eastAsia="Times New Roman" w:hAnsi="Verdana" w:cs="Arial"/>
          <w:vertAlign w:val="superscript"/>
          <w:lang w:val="es-MX"/>
        </w:rPr>
        <w:footnoteReference w:id="11"/>
      </w:r>
      <w:r w:rsidRPr="00AD2F15">
        <w:rPr>
          <w:rFonts w:ascii="Verdana" w:eastAsia="Times New Roman" w:hAnsi="Verdana" w:cs="Arial"/>
          <w:vertAlign w:val="superscript"/>
          <w:lang w:val="es-MX"/>
        </w:rPr>
        <w:t>.</w:t>
      </w:r>
      <w:r w:rsidRPr="00AD2F15">
        <w:rPr>
          <w:rFonts w:ascii="Verdana" w:eastAsia="Calibri" w:hAnsi="Verdana" w:cs="Arial"/>
          <w:lang w:val="es-MX"/>
        </w:rPr>
        <w:t xml:space="preserve"> Por tanto, no son materia de la prohibición las demás modalidades de selección previstas en la ley 1150 de 2007, siendo estas, la licitación </w:t>
      </w:r>
      <w:r w:rsidRPr="00AD2F15">
        <w:rPr>
          <w:rFonts w:ascii="Verdana" w:eastAsia="Calibri" w:hAnsi="Verdana" w:cs="Arial"/>
          <w:lang w:val="es-MX"/>
        </w:rPr>
        <w:lastRenderedPageBreak/>
        <w:t>pública, el concurso de méritos y la selección abreviada, razón por la cual en ese periodo preelectoral de que trata la disposición pueden las entidades públicas seguir contratando bajo estos sistemas. [...]</w:t>
      </w:r>
      <w:r w:rsidRPr="00AD2F15">
        <w:rPr>
          <w:rFonts w:ascii="Verdana" w:eastAsia="Times New Roman" w:hAnsi="Verdana" w:cs="Arial"/>
          <w:vertAlign w:val="superscript"/>
          <w:lang w:eastAsia="es-CO"/>
        </w:rPr>
        <w:footnoteReference w:id="12"/>
      </w:r>
      <w:r w:rsidRPr="00AD2F15">
        <w:rPr>
          <w:rFonts w:ascii="Verdana" w:eastAsia="Calibri" w:hAnsi="Verdana" w:cs="Arial"/>
          <w:lang w:val="es-MX"/>
        </w:rPr>
        <w:t xml:space="preserve"> .</w:t>
      </w:r>
    </w:p>
    <w:p w14:paraId="3D3DAD2E" w14:textId="77777777" w:rsidR="00A95D08" w:rsidRPr="00AD2F15" w:rsidRDefault="00A95D08" w:rsidP="00A95D08">
      <w:pPr>
        <w:shd w:val="clear" w:color="auto" w:fill="FFFFFF" w:themeFill="background1"/>
        <w:spacing w:after="0" w:line="276" w:lineRule="auto"/>
        <w:ind w:firstLine="709"/>
        <w:jc w:val="both"/>
        <w:rPr>
          <w:rFonts w:ascii="Verdana" w:eastAsia="Times New Roman" w:hAnsi="Verdana" w:cs="Arial"/>
          <w:lang w:eastAsia="x-none"/>
        </w:rPr>
      </w:pPr>
    </w:p>
    <w:p w14:paraId="0229A258" w14:textId="77777777" w:rsidR="00A95D08" w:rsidRPr="00AD2F15" w:rsidRDefault="00A95D08" w:rsidP="00A95D08">
      <w:pPr>
        <w:spacing w:after="120" w:line="276" w:lineRule="auto"/>
        <w:ind w:firstLine="708"/>
        <w:jc w:val="both"/>
        <w:rPr>
          <w:rFonts w:ascii="Verdana" w:eastAsia="Times New Roman" w:hAnsi="Verdana" w:cs="Arial"/>
          <w:bCs/>
          <w:lang w:eastAsia="x-none"/>
        </w:rPr>
      </w:pPr>
      <w:r w:rsidRPr="00AD2F15">
        <w:rPr>
          <w:rFonts w:ascii="Verdana" w:eastAsia="Times New Roman" w:hAnsi="Verdana" w:cs="Arial"/>
          <w:lang w:eastAsia="x-none"/>
        </w:rPr>
        <w:t xml:space="preserve">De acuerdo con el citado concepto, la prohibición del artículo 33 de la Ley de Garantías Electorales se refiere a </w:t>
      </w:r>
      <w:r w:rsidRPr="00AD2F15">
        <w:rPr>
          <w:rFonts w:ascii="Verdana" w:eastAsia="Times New Roman" w:hAnsi="Verdana" w:cs="Arial"/>
          <w:lang w:eastAsia="en-GB"/>
        </w:rPr>
        <w:t>“</w:t>
      </w:r>
      <w:r w:rsidRPr="00AD2F15">
        <w:rPr>
          <w:rFonts w:ascii="Verdana" w:eastAsia="Times New Roman" w:hAnsi="Verdana" w:cs="Arial"/>
          <w:lang w:eastAsia="x-none"/>
        </w:rPr>
        <w:t>cualquier sistema que no implique convocatoria pública y posibilidad de pluralidad de oferentes</w:t>
      </w:r>
      <w:r w:rsidRPr="00AD2F15">
        <w:rPr>
          <w:rFonts w:ascii="Verdana" w:eastAsia="Times New Roman" w:hAnsi="Verdana" w:cs="Arial"/>
          <w:lang w:eastAsia="en-GB"/>
        </w:rPr>
        <w:t>”</w:t>
      </w:r>
      <w:r w:rsidRPr="00AD2F15">
        <w:rPr>
          <w:rFonts w:ascii="Verdana" w:eastAsia="Times New Roman" w:hAnsi="Verdana" w:cs="Arial"/>
          <w:lang w:eastAsia="x-none"/>
        </w:rPr>
        <w:t xml:space="preserve">, por lo que excluye las demás modalidades de contratación previstas en la Ley 1150 de 2007, es decir, la licitación pública, la selección abreviada, el concurso de méritos </w:t>
      </w:r>
      <w:r w:rsidRPr="00AD2F15">
        <w:rPr>
          <w:rFonts w:ascii="Verdana" w:eastAsia="Times New Roman" w:hAnsi="Verdana" w:cs="Arial"/>
          <w:lang w:val="es-ES"/>
        </w:rPr>
        <w:t>y la mínima cuantía</w:t>
      </w:r>
      <w:r w:rsidRPr="00AD2F15" w:rsidDel="00A85D9F">
        <w:rPr>
          <w:rFonts w:ascii="Verdana" w:eastAsia="Times New Roman" w:hAnsi="Verdana" w:cs="Arial"/>
          <w:lang w:eastAsia="x-none"/>
        </w:rPr>
        <w:t xml:space="preserve"> </w:t>
      </w:r>
      <w:r w:rsidRPr="00AD2F15">
        <w:rPr>
          <w:rFonts w:ascii="Verdana" w:eastAsia="Times New Roman" w:hAnsi="Verdana" w:cs="Arial"/>
        </w:rPr>
        <w:t xml:space="preserve">u otros previstos en normas especiales. </w:t>
      </w:r>
      <w:r w:rsidRPr="00AD2F15">
        <w:rPr>
          <w:rFonts w:ascii="Verdana" w:eastAsia="Times New Roman" w:hAnsi="Verdana" w:cs="Arial"/>
          <w:lang w:eastAsia="x-none"/>
        </w:rPr>
        <w:t>Esta posición es congruente con la expedición de la Ley 1150 de 2007 que, entre otras reformas, introdujo la selección abreviada, rediseñó el concurso de méritos</w:t>
      </w:r>
      <w:r w:rsidRPr="00AD2F15">
        <w:rPr>
          <w:rFonts w:ascii="Verdana" w:eastAsia="Times New Roman" w:hAnsi="Verdana" w:cs="Arial"/>
          <w:vertAlign w:val="superscript"/>
          <w:lang w:val="en-GB" w:eastAsia="x-none"/>
        </w:rPr>
        <w:footnoteReference w:id="13"/>
      </w:r>
      <w:r w:rsidRPr="00AD2F15">
        <w:rPr>
          <w:rFonts w:ascii="Verdana" w:eastAsia="Times New Roman" w:hAnsi="Verdana" w:cs="Arial"/>
          <w:lang w:eastAsia="x-none"/>
        </w:rPr>
        <w:t xml:space="preserve"> y sistematizó las causales de contratación directa</w:t>
      </w:r>
      <w:r w:rsidRPr="00AD2F15">
        <w:rPr>
          <w:rFonts w:ascii="Verdana" w:eastAsia="Times New Roman" w:hAnsi="Verdana" w:cs="Arial"/>
          <w:vertAlign w:val="superscript"/>
          <w:lang w:val="en-GB" w:eastAsia="x-none"/>
        </w:rPr>
        <w:footnoteReference w:id="14"/>
      </w:r>
      <w:r w:rsidRPr="00AD2F15">
        <w:rPr>
          <w:rFonts w:ascii="Verdana" w:eastAsia="Times New Roman" w:hAnsi="Verdana" w:cs="Arial"/>
          <w:lang w:eastAsia="x-none"/>
        </w:rPr>
        <w:t xml:space="preserve">, </w:t>
      </w:r>
      <w:r w:rsidRPr="00AD2F15">
        <w:rPr>
          <w:rFonts w:ascii="Verdana" w:eastAsia="Calibri" w:hAnsi="Verdana" w:cs="Arial"/>
          <w:lang w:eastAsia="x-none"/>
        </w:rPr>
        <w:t>además lo es con la posterior creación de la modalidad de mínima cuantía establecida actualmente en el numeral 5 del artículo 2 de la Ley 1150 de 2007, de acuerdo con las modificaciones realizadas por leyes posteriores.</w:t>
      </w:r>
    </w:p>
    <w:p w14:paraId="1245BB46" w14:textId="77777777" w:rsidR="00A95D08" w:rsidRPr="00AD2F15" w:rsidRDefault="00A95D08" w:rsidP="00A95D08">
      <w:pPr>
        <w:spacing w:after="120" w:line="276" w:lineRule="auto"/>
        <w:ind w:firstLine="708"/>
        <w:jc w:val="both"/>
        <w:rPr>
          <w:rFonts w:ascii="Verdana" w:eastAsia="Times New Roman" w:hAnsi="Verdana" w:cs="Arial"/>
          <w:lang w:val="es-MX"/>
        </w:rPr>
      </w:pPr>
      <w:r w:rsidRPr="00AD2F15">
        <w:rPr>
          <w:rFonts w:ascii="Verdana" w:eastAsia="Times New Roman" w:hAnsi="Verdana" w:cs="Arial"/>
          <w:lang w:eastAsia="x-none"/>
        </w:rPr>
        <w:t xml:space="preserve">De esta forma, con fundamento en la evolución de la normativa sobre la contratación pública, se ha depurado la noción de </w:t>
      </w:r>
      <w:r w:rsidRPr="00AD2F15">
        <w:rPr>
          <w:rFonts w:ascii="Verdana" w:eastAsia="Times New Roman" w:hAnsi="Verdana" w:cs="Arial"/>
          <w:lang w:eastAsia="en-GB"/>
        </w:rPr>
        <w:t>“</w:t>
      </w:r>
      <w:r w:rsidRPr="00AD2F15">
        <w:rPr>
          <w:rFonts w:ascii="Verdana" w:eastAsia="Times New Roman" w:hAnsi="Verdana" w:cs="Arial"/>
          <w:lang w:eastAsia="x-none"/>
        </w:rPr>
        <w:t>contratación directa</w:t>
      </w:r>
      <w:r w:rsidRPr="00AD2F15">
        <w:rPr>
          <w:rFonts w:ascii="Verdana" w:eastAsia="Times New Roman" w:hAnsi="Verdana" w:cs="Arial"/>
          <w:lang w:eastAsia="en-GB"/>
        </w:rPr>
        <w:t>”</w:t>
      </w:r>
      <w:r w:rsidRPr="00AD2F15">
        <w:rPr>
          <w:rFonts w:ascii="Verdana" w:eastAsia="Times New Roman" w:hAnsi="Verdana" w:cs="Arial"/>
          <w:lang w:eastAsia="x-none"/>
        </w:rPr>
        <w:t>,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AD2F15">
        <w:rPr>
          <w:rFonts w:ascii="Verdana" w:eastAsia="Times New Roman" w:hAnsi="Verdana" w:cs="Arial"/>
          <w:vertAlign w:val="superscript"/>
          <w:lang w:val="en-GB" w:eastAsia="x-none"/>
        </w:rPr>
        <w:footnoteReference w:id="15"/>
      </w:r>
      <w:r w:rsidRPr="00AD2F15">
        <w:rPr>
          <w:rFonts w:ascii="Verdana" w:eastAsia="Times New Roman" w:hAnsi="Verdana" w:cs="Arial"/>
          <w:lang w:eastAsia="x-none"/>
        </w:rPr>
        <w:t>, han establecido sistemas de contratación que implican convocatoria pública y participación de varios oferentes</w:t>
      </w:r>
      <w:r w:rsidRPr="00AD2F15">
        <w:rPr>
          <w:rFonts w:ascii="Verdana" w:eastAsia="Times New Roman" w:hAnsi="Verdana" w:cs="Arial"/>
          <w:lang w:eastAsia="en-GB"/>
        </w:rPr>
        <w:t>”</w:t>
      </w:r>
      <w:r w:rsidRPr="00AD2F15">
        <w:rPr>
          <w:rFonts w:ascii="Verdana" w:eastAsia="Times New Roman" w:hAnsi="Verdana" w:cs="Arial"/>
          <w:lang w:eastAsia="x-none"/>
        </w:rPr>
        <w:t xml:space="preserve">. </w:t>
      </w:r>
    </w:p>
    <w:p w14:paraId="182E33D7" w14:textId="77777777" w:rsidR="00A95D08" w:rsidRPr="00AD2F15" w:rsidRDefault="00A95D08" w:rsidP="00A95D08">
      <w:pPr>
        <w:spacing w:after="120" w:line="276" w:lineRule="auto"/>
        <w:ind w:firstLine="708"/>
        <w:jc w:val="both"/>
        <w:rPr>
          <w:rFonts w:ascii="Verdana" w:eastAsia="Times New Roman" w:hAnsi="Verdana" w:cs="Arial"/>
          <w:bCs/>
          <w:lang w:val="es-MX" w:eastAsia="es-CO"/>
        </w:rPr>
      </w:pPr>
      <w:r w:rsidRPr="00AD2F15">
        <w:rPr>
          <w:rFonts w:ascii="Verdana" w:eastAsia="Times New Roman" w:hAnsi="Verdana" w:cs="Arial"/>
          <w:lang w:val="es-MX"/>
        </w:rPr>
        <w:t>E</w:t>
      </w:r>
      <w:r w:rsidRPr="00AD2F15">
        <w:rPr>
          <w:rFonts w:ascii="Verdana" w:eastAsia="Times New Roman" w:hAnsi="Verdana" w:cs="Arial"/>
          <w:lang w:eastAsia="x-none"/>
        </w:rPr>
        <w:t xml:space="preserve">n efecto, vale la pena mencionar que, en algunos sistemas de contratación, utilizados por entidades públicas con regímenes especiales, o </w:t>
      </w:r>
      <w:r w:rsidRPr="00AD2F15">
        <w:rPr>
          <w:rFonts w:ascii="Verdana" w:eastAsia="Times New Roman" w:hAnsi="Verdana" w:cs="Arial"/>
          <w:lang w:eastAsia="x-none"/>
        </w:rPr>
        <w:lastRenderedPageBreak/>
        <w:t>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r w:rsidRPr="00AD2F15">
        <w:rPr>
          <w:rFonts w:ascii="Verdana" w:eastAsia="Times New Roman" w:hAnsi="Verdana" w:cs="Arial"/>
          <w:vertAlign w:val="superscript"/>
          <w:lang w:eastAsia="x-none"/>
        </w:rPr>
        <w:footnoteReference w:id="16"/>
      </w:r>
      <w:r w:rsidRPr="00AD2F15">
        <w:rPr>
          <w:rFonts w:ascii="Verdana" w:eastAsia="Times New Roman" w:hAnsi="Verdana" w:cs="Arial"/>
          <w:lang w:eastAsia="x-none"/>
        </w:rPr>
        <w:t xml:space="preserve">. </w:t>
      </w:r>
    </w:p>
    <w:p w14:paraId="3F878D8E" w14:textId="77777777" w:rsidR="00A95D08" w:rsidRPr="00AD2F15" w:rsidRDefault="00A95D08" w:rsidP="00A95D08">
      <w:pPr>
        <w:spacing w:after="120" w:line="276" w:lineRule="auto"/>
        <w:ind w:firstLine="708"/>
        <w:jc w:val="both"/>
        <w:rPr>
          <w:rFonts w:ascii="Verdana" w:eastAsia="Times New Roman" w:hAnsi="Verdana" w:cs="Arial"/>
          <w:bCs/>
          <w:lang w:val="es-MX" w:eastAsia="es-CO"/>
        </w:rPr>
      </w:pPr>
      <w:r w:rsidRPr="00AD2F15">
        <w:rPr>
          <w:rFonts w:ascii="Verdana" w:eastAsia="Times New Roman" w:hAnsi="Verdana" w:cs="Arial"/>
          <w:bCs/>
          <w:lang w:val="es-MX" w:eastAsia="es-CO"/>
        </w:rPr>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4E4E613E" w14:textId="77777777" w:rsidR="00A95D08" w:rsidRPr="00AD2F15" w:rsidRDefault="00A95D08" w:rsidP="00A95D08">
      <w:pPr>
        <w:spacing w:after="120" w:line="276" w:lineRule="auto"/>
        <w:ind w:firstLine="708"/>
        <w:jc w:val="both"/>
        <w:rPr>
          <w:rFonts w:ascii="Verdana" w:eastAsia="Times New Roman" w:hAnsi="Verdana" w:cs="Arial"/>
          <w:lang w:val="es-MX"/>
        </w:rPr>
      </w:pPr>
      <w:r w:rsidRPr="00AD2F15">
        <w:rPr>
          <w:rFonts w:ascii="Verdana" w:eastAsia="Times New Roman" w:hAnsi="Verdana" w:cs="Arial"/>
          <w:lang w:val="es-MX"/>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AD2F15">
        <w:rPr>
          <w:rFonts w:ascii="Verdana" w:eastAsia="Times New Roman" w:hAnsi="Verdana" w:cs="Arial"/>
          <w:vertAlign w:val="superscript"/>
          <w:lang w:eastAsia="x-none"/>
        </w:rPr>
        <w:footnoteReference w:id="17"/>
      </w:r>
      <w:r w:rsidRPr="00AD2F15">
        <w:rPr>
          <w:rFonts w:ascii="Verdana" w:eastAsia="Times New Roman" w:hAnsi="Verdana" w:cs="Arial"/>
          <w:lang w:val="es-MX"/>
        </w:rPr>
        <w:t xml:space="preserve">. Tal como la modalidad del comtrato de prestación de servicios. </w:t>
      </w:r>
      <w:r w:rsidRPr="00AD2F15">
        <w:rPr>
          <w:rFonts w:ascii="Verdana" w:eastAsia="Times New Roman" w:hAnsi="Verdana" w:cs="Arial"/>
          <w:vertAlign w:val="superscript"/>
          <w:lang w:eastAsia="x-none"/>
        </w:rPr>
        <w:t xml:space="preserve"> </w:t>
      </w:r>
    </w:p>
    <w:p w14:paraId="4AC0C653" w14:textId="16D746C6" w:rsidR="00A552EB" w:rsidRPr="00AD2F15" w:rsidRDefault="00A95D08" w:rsidP="00A95D08">
      <w:pPr>
        <w:spacing w:after="120" w:line="276" w:lineRule="auto"/>
        <w:ind w:firstLine="708"/>
        <w:jc w:val="both"/>
        <w:rPr>
          <w:rFonts w:ascii="Verdana" w:eastAsia="Times New Roman" w:hAnsi="Verdana" w:cs="Arial"/>
        </w:rPr>
      </w:pPr>
      <w:r w:rsidRPr="00AD2F15">
        <w:rPr>
          <w:rFonts w:ascii="Verdana" w:eastAsia="Times New Roman" w:hAnsi="Verdana" w:cs="Arial"/>
          <w:lang w:val="es-MX"/>
        </w:rPr>
        <w:t>De lo anterior se desprende que la restricción aplica, sin perjuicio de las excepciones establecidas en la misma ley, para celebrar cualquier contrato de forma directa, esto es, sin que exista un proceso abierto y competitivo.</w:t>
      </w:r>
      <w:r w:rsidRPr="00AD2F15">
        <w:rPr>
          <w:rFonts w:ascii="Verdana" w:eastAsia="Times New Roman" w:hAnsi="Verdana" w:cs="Arial"/>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617B605D" w14:textId="23EA0A46" w:rsidR="00A552EB" w:rsidRDefault="094FF46E" w:rsidP="00A552EB">
      <w:pPr>
        <w:spacing w:after="120" w:line="276" w:lineRule="auto"/>
        <w:ind w:firstLine="708"/>
        <w:jc w:val="both"/>
        <w:rPr>
          <w:rFonts w:ascii="Verdana" w:eastAsia="Verdana" w:hAnsi="Verdana" w:cs="Verdana"/>
          <w:color w:val="000000" w:themeColor="text1"/>
        </w:rPr>
      </w:pPr>
      <w:r w:rsidRPr="32DC2C46">
        <w:rPr>
          <w:rFonts w:ascii="Verdana" w:eastAsia="Verdana" w:hAnsi="Verdana" w:cs="Verdana"/>
          <w:color w:val="000000" w:themeColor="text1"/>
          <w:lang w:val="es-ES"/>
        </w:rPr>
        <w:t>Sobre el particular debe precisarse que, l</w:t>
      </w:r>
      <w:r w:rsidRPr="32DC2C46">
        <w:rPr>
          <w:rFonts w:ascii="Verdana" w:eastAsia="Verdana" w:hAnsi="Verdana" w:cs="Verdana"/>
          <w:color w:val="000000" w:themeColor="text1"/>
          <w:lang w:val="es"/>
        </w:rPr>
        <w:t xml:space="preserve">a Ley 996 de 2005 establece dos (2) tipos de restricciones en materia de contratación, las cuales coinciden </w:t>
      </w:r>
      <w:r w:rsidRPr="32DC2C46">
        <w:rPr>
          <w:rFonts w:ascii="Verdana" w:eastAsia="Verdana" w:hAnsi="Verdana" w:cs="Verdana"/>
          <w:color w:val="000000" w:themeColor="text1"/>
          <w:lang w:val="es"/>
        </w:rPr>
        <w:lastRenderedPageBreak/>
        <w:t>parcialmente. En primer lugar, en su artículo 33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 Y en segundo lugar,  el parágrafo del artículo 38 de la precitada Ley prevé una restricción aplicable respecto de cualquier tipo de contienda electoral,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 de sus juntas directivas, en o para reuniones de carácter proselitista”.</w:t>
      </w:r>
    </w:p>
    <w:p w14:paraId="6451AA2E" w14:textId="3582B01F" w:rsidR="00A95D08" w:rsidRDefault="00A552EB" w:rsidP="00A552EB">
      <w:pPr>
        <w:spacing w:line="276" w:lineRule="auto"/>
        <w:jc w:val="both"/>
        <w:rPr>
          <w:rFonts w:ascii="Verdana" w:eastAsia="Verdana" w:hAnsi="Verdana" w:cs="Verdana"/>
          <w:color w:val="000000" w:themeColor="text1"/>
          <w:lang w:val="es-ES"/>
        </w:rPr>
      </w:pPr>
      <w:r>
        <w:rPr>
          <w:rFonts w:ascii="Verdana" w:eastAsia="Verdana" w:hAnsi="Verdana" w:cs="Verdana"/>
          <w:color w:val="000000" w:themeColor="text1"/>
          <w:lang w:val="es-ES"/>
        </w:rPr>
        <w:t xml:space="preserve">         </w:t>
      </w:r>
      <w:r w:rsidR="094FF46E" w:rsidRPr="32DC2C46">
        <w:rPr>
          <w:rFonts w:ascii="Verdana" w:eastAsia="Verdana" w:hAnsi="Verdana" w:cs="Verdana"/>
          <w:color w:val="000000" w:themeColor="text1"/>
          <w:lang w:val="es-ES"/>
        </w:rPr>
        <w:t>Ambas restricciones no son excluyentes, lo que permite concluir que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p w14:paraId="35CCA15F" w14:textId="00171320" w:rsidR="00600687" w:rsidRDefault="00600687" w:rsidP="00A552EB">
      <w:pPr>
        <w:spacing w:line="276" w:lineRule="auto"/>
        <w:jc w:val="both"/>
        <w:rPr>
          <w:rFonts w:ascii="Verdana" w:eastAsia="Times New Roman" w:hAnsi="Verdana" w:cs="Times New Roman"/>
          <w:lang w:eastAsia="es-MX"/>
        </w:rPr>
      </w:pPr>
      <w:r>
        <w:rPr>
          <w:rFonts w:ascii="Verdana" w:eastAsia="Verdana" w:hAnsi="Verdana" w:cs="Verdana"/>
          <w:color w:val="000000" w:themeColor="text1"/>
          <w:lang w:val="es-ES" w:eastAsia="es-MX"/>
        </w:rPr>
        <w:t xml:space="preserve">         Ahora bien, en atención al problema jurídico planeado </w:t>
      </w:r>
      <w:r w:rsidRPr="00600687">
        <w:rPr>
          <w:rFonts w:ascii="Verdana" w:eastAsia="Verdana" w:hAnsi="Verdana" w:cs="Verdana"/>
          <w:color w:val="000000" w:themeColor="text1"/>
          <w:lang w:val="es-ES" w:eastAsia="es-MX"/>
        </w:rPr>
        <w:t>La prohibición de contratación directa establecida en la Ley de Garantías y la Circular 006 de 2025 se dirige exclusivamente a las entidades públicas y no a las empresas privadas en su calidad de contratistas; sin embargo, estas últimas se ven afectadas indirectamente ya que el Estado tiene prohibido utilizar dicha modalidad para vincularlas durante el periodo electoral. En consecuencia, una empresa privada no podrá suscribir nuevos contratos de prestación de servicios o apoyo a la gestión de forma directa con entes territoriales o nacionales según el calendario electoral, a menos que el contrato sea el resultado de un proceso competitivo</w:t>
      </w:r>
      <w:r>
        <w:rPr>
          <w:rFonts w:ascii="Verdana" w:eastAsia="Verdana" w:hAnsi="Verdana" w:cs="Verdana"/>
          <w:color w:val="000000" w:themeColor="text1"/>
          <w:lang w:val="es-ES" w:eastAsia="es-MX"/>
        </w:rPr>
        <w:t xml:space="preserve"> </w:t>
      </w:r>
      <w:r w:rsidRPr="00600687">
        <w:rPr>
          <w:rFonts w:ascii="Verdana" w:eastAsia="Verdana" w:hAnsi="Verdana" w:cs="Verdana"/>
          <w:color w:val="000000" w:themeColor="text1"/>
          <w:lang w:val="es-ES" w:eastAsia="es-MX"/>
        </w:rPr>
        <w:t>o se trate de una de las excepciones legales por urgencia o seguridad</w:t>
      </w:r>
      <w:r w:rsidR="008B0DBF">
        <w:rPr>
          <w:rFonts w:ascii="Verdana" w:eastAsia="Verdana" w:hAnsi="Verdana" w:cs="Verdana"/>
          <w:color w:val="000000" w:themeColor="text1"/>
          <w:lang w:val="es-ES" w:eastAsia="es-MX"/>
        </w:rPr>
        <w:t>.</w:t>
      </w:r>
    </w:p>
    <w:p w14:paraId="2BFA8B57" w14:textId="77777777" w:rsidR="00A95D08" w:rsidRPr="00E732EC" w:rsidRDefault="00A95D08" w:rsidP="00A95D08">
      <w:pPr>
        <w:spacing w:after="120" w:line="276" w:lineRule="auto"/>
        <w:ind w:firstLine="708"/>
        <w:jc w:val="both"/>
        <w:rPr>
          <w:rFonts w:ascii="Verdana" w:eastAsia="Times New Roman" w:hAnsi="Verdana" w:cs="Times New Roman"/>
          <w:lang w:eastAsia="es-MX"/>
        </w:rPr>
      </w:pPr>
      <w:r>
        <w:rPr>
          <w:rFonts w:ascii="Verdana" w:eastAsia="Calibri" w:hAnsi="Verdana" w:cs="Arial"/>
        </w:rPr>
        <w:t xml:space="preserve">Finalmente, </w:t>
      </w:r>
      <w:r w:rsidRPr="006B795B">
        <w:rPr>
          <w:rFonts w:ascii="Verdana" w:eastAsia="Calibri" w:hAnsi="Verdana" w:cs="Arial"/>
        </w:rPr>
        <w:t xml:space="preserve">debe advertirse que, el análisis requerido para resolver problemas específicos en torno a la </w:t>
      </w:r>
      <w:r>
        <w:rPr>
          <w:rFonts w:ascii="Verdana" w:eastAsia="Calibri" w:hAnsi="Verdana" w:cs="Arial"/>
        </w:rPr>
        <w:t xml:space="preserve">aplicación de las restricciones contractuales </w:t>
      </w:r>
      <w:r>
        <w:rPr>
          <w:rFonts w:ascii="Verdana" w:eastAsia="Calibri" w:hAnsi="Verdana" w:cs="Arial"/>
        </w:rPr>
        <w:lastRenderedPageBreak/>
        <w:t xml:space="preserve">contenidas en la Ley 996 de 2005, </w:t>
      </w:r>
      <w:r w:rsidRPr="006B795B">
        <w:rPr>
          <w:rFonts w:ascii="Verdana" w:eastAsia="Calibri" w:hAnsi="Verdana" w:cs="Arial"/>
        </w:rPr>
        <w:t>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w:t>
      </w:r>
    </w:p>
    <w:p w14:paraId="45C06046" w14:textId="77777777" w:rsidR="00A95D08" w:rsidRPr="00AD2F15" w:rsidRDefault="00A95D08" w:rsidP="00A95D0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AD2F15">
        <w:rPr>
          <w:rFonts w:ascii="Verdana" w:eastAsia="Century Gothic" w:hAnsi="Verdana" w:cs="Century Gothic"/>
          <w:b/>
          <w:bCs/>
        </w:rPr>
        <w:t>Referencias normativas, jurisprudenciales y otras fuentes:</w:t>
      </w:r>
    </w:p>
    <w:p w14:paraId="003A24D7" w14:textId="77777777" w:rsidR="00A95D08" w:rsidRPr="00AD2F15" w:rsidRDefault="00A95D08" w:rsidP="00A95D08">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95D08" w:rsidRPr="00AD2F15" w14:paraId="265C149D" w14:textId="77777777" w:rsidTr="008F21B7">
        <w:trPr>
          <w:trHeight w:val="870"/>
        </w:trPr>
        <w:tc>
          <w:tcPr>
            <w:tcW w:w="8647" w:type="dxa"/>
          </w:tcPr>
          <w:p w14:paraId="51A4038D" w14:textId="77777777" w:rsidR="00A95D08" w:rsidRPr="00D87F14" w:rsidRDefault="00A95D08" w:rsidP="00A95D08">
            <w:pPr>
              <w:widowControl w:val="0"/>
              <w:numPr>
                <w:ilvl w:val="0"/>
                <w:numId w:val="17"/>
              </w:numPr>
              <w:autoSpaceDE w:val="0"/>
              <w:autoSpaceDN w:val="0"/>
              <w:spacing w:after="120" w:line="276" w:lineRule="auto"/>
              <w:contextualSpacing/>
              <w:jc w:val="both"/>
              <w:rPr>
                <w:rFonts w:ascii="Verdana" w:eastAsia="Calibri" w:hAnsi="Verdana" w:cs="Arial"/>
                <w:lang w:val="es-ES"/>
              </w:rPr>
            </w:pPr>
            <w:r w:rsidRPr="00D87F14">
              <w:rPr>
                <w:rFonts w:ascii="Verdana" w:eastAsia="Calibri" w:hAnsi="Verdana" w:cs="Arial"/>
                <w:lang w:val="es-ES"/>
              </w:rPr>
              <w:t>Constitución Política: Artículo 127.</w:t>
            </w:r>
          </w:p>
          <w:p w14:paraId="1C2921F3" w14:textId="77777777" w:rsidR="00A95D08" w:rsidRPr="00D87F14" w:rsidRDefault="00A95D08" w:rsidP="00A95D08">
            <w:pPr>
              <w:widowControl w:val="0"/>
              <w:numPr>
                <w:ilvl w:val="0"/>
                <w:numId w:val="17"/>
              </w:numPr>
              <w:autoSpaceDE w:val="0"/>
              <w:autoSpaceDN w:val="0"/>
              <w:spacing w:after="120" w:line="276" w:lineRule="auto"/>
              <w:contextualSpacing/>
              <w:jc w:val="both"/>
              <w:rPr>
                <w:rFonts w:ascii="Verdana" w:eastAsia="Calibri" w:hAnsi="Verdana" w:cs="Arial"/>
                <w:lang w:val="es-ES"/>
              </w:rPr>
            </w:pPr>
            <w:r w:rsidRPr="00D87F14">
              <w:rPr>
                <w:rFonts w:ascii="Verdana" w:eastAsia="Calibri" w:hAnsi="Verdana" w:cs="Arial"/>
                <w:lang w:val="es-ES"/>
              </w:rPr>
              <w:t xml:space="preserve">Ley 80 de 1993, artículos 39, 41. </w:t>
            </w:r>
          </w:p>
          <w:p w14:paraId="71083473" w14:textId="77777777" w:rsidR="00A95D08" w:rsidRPr="00D87F14" w:rsidRDefault="00A95D08" w:rsidP="00A95D08">
            <w:pPr>
              <w:widowControl w:val="0"/>
              <w:numPr>
                <w:ilvl w:val="0"/>
                <w:numId w:val="17"/>
              </w:numPr>
              <w:autoSpaceDE w:val="0"/>
              <w:autoSpaceDN w:val="0"/>
              <w:spacing w:after="120" w:line="276" w:lineRule="auto"/>
              <w:contextualSpacing/>
              <w:jc w:val="both"/>
              <w:rPr>
                <w:rFonts w:ascii="Verdana" w:eastAsia="Calibri" w:hAnsi="Verdana" w:cs="Arial"/>
                <w:lang w:val="es-ES"/>
              </w:rPr>
            </w:pPr>
            <w:r w:rsidRPr="00D87F14">
              <w:rPr>
                <w:rFonts w:ascii="Verdana" w:eastAsia="Calibri" w:hAnsi="Verdana" w:cs="Arial"/>
                <w:lang w:val="es-ES"/>
              </w:rPr>
              <w:t xml:space="preserve">Código Civil, artículo 1501. </w:t>
            </w:r>
          </w:p>
          <w:p w14:paraId="62D1236D" w14:textId="77777777" w:rsidR="00A95D08" w:rsidRPr="00D87F14" w:rsidRDefault="00A95D08" w:rsidP="00A95D08">
            <w:pPr>
              <w:widowControl w:val="0"/>
              <w:numPr>
                <w:ilvl w:val="0"/>
                <w:numId w:val="17"/>
              </w:numPr>
              <w:autoSpaceDE w:val="0"/>
              <w:autoSpaceDN w:val="0"/>
              <w:spacing w:after="120" w:line="276" w:lineRule="auto"/>
              <w:contextualSpacing/>
              <w:jc w:val="both"/>
              <w:rPr>
                <w:rFonts w:ascii="Verdana" w:eastAsia="Calibri" w:hAnsi="Verdana" w:cs="Arial"/>
                <w:lang w:val="es-ES"/>
              </w:rPr>
            </w:pPr>
            <w:r w:rsidRPr="00D87F14">
              <w:rPr>
                <w:rFonts w:ascii="Verdana" w:eastAsia="Calibri" w:hAnsi="Verdana" w:cs="Arial"/>
                <w:lang w:val="es-ES"/>
              </w:rPr>
              <w:t>Ley 996 de 2005: artículos 33 y 38 parágrafo.</w:t>
            </w:r>
          </w:p>
          <w:p w14:paraId="0C48EBFC" w14:textId="77777777" w:rsidR="00A95D08" w:rsidRDefault="00A95D08" w:rsidP="00A95D08">
            <w:pPr>
              <w:widowControl w:val="0"/>
              <w:numPr>
                <w:ilvl w:val="0"/>
                <w:numId w:val="17"/>
              </w:numPr>
              <w:autoSpaceDE w:val="0"/>
              <w:autoSpaceDN w:val="0"/>
              <w:spacing w:after="120" w:line="276" w:lineRule="auto"/>
              <w:contextualSpacing/>
              <w:jc w:val="both"/>
              <w:rPr>
                <w:rFonts w:ascii="Verdana" w:eastAsia="Calibri" w:hAnsi="Verdana" w:cs="Arial"/>
                <w:lang w:val="es-ES"/>
              </w:rPr>
            </w:pPr>
            <w:r w:rsidRPr="00D87F14">
              <w:rPr>
                <w:rFonts w:ascii="Verdana" w:eastAsia="Calibri" w:hAnsi="Verdana" w:cs="Arial"/>
                <w:lang w:val="es-ES"/>
              </w:rPr>
              <w:t xml:space="preserve">Ley 1150 de 2007, Artículo 2, numeral 4. </w:t>
            </w:r>
          </w:p>
          <w:p w14:paraId="6491DECA" w14:textId="77777777" w:rsidR="00A95D08" w:rsidRPr="00D87F14" w:rsidRDefault="00A95D08" w:rsidP="00A95D08">
            <w:pPr>
              <w:widowControl w:val="0"/>
              <w:numPr>
                <w:ilvl w:val="0"/>
                <w:numId w:val="17"/>
              </w:numPr>
              <w:autoSpaceDE w:val="0"/>
              <w:autoSpaceDN w:val="0"/>
              <w:spacing w:after="120" w:line="276" w:lineRule="auto"/>
              <w:contextualSpacing/>
              <w:jc w:val="both"/>
              <w:rPr>
                <w:rFonts w:ascii="Verdana" w:eastAsia="Calibri" w:hAnsi="Verdana" w:cs="Arial"/>
                <w:lang w:val="es-ES"/>
              </w:rPr>
            </w:pPr>
            <w:r w:rsidRPr="00D87F14">
              <w:rPr>
                <w:rFonts w:ascii="Verdana" w:eastAsia="Calibri" w:hAnsi="Verdana" w:cs="Arial"/>
                <w:lang w:val="es-ES"/>
              </w:rPr>
              <w:t xml:space="preserve">Consejo de Estado, Sección Primera. Sentencia de 3 de marzo de 2005, Exp. 2004-00823-01(PI). </w:t>
            </w:r>
          </w:p>
          <w:p w14:paraId="4B1CC6B8" w14:textId="77777777" w:rsidR="00A95D08" w:rsidRPr="00D87F14" w:rsidRDefault="00A95D08" w:rsidP="00A95D08">
            <w:pPr>
              <w:widowControl w:val="0"/>
              <w:numPr>
                <w:ilvl w:val="0"/>
                <w:numId w:val="17"/>
              </w:numPr>
              <w:autoSpaceDE w:val="0"/>
              <w:autoSpaceDN w:val="0"/>
              <w:spacing w:after="120" w:line="276" w:lineRule="auto"/>
              <w:contextualSpacing/>
              <w:jc w:val="both"/>
              <w:rPr>
                <w:rFonts w:ascii="Verdana" w:eastAsia="Calibri" w:hAnsi="Verdana" w:cs="Arial"/>
                <w:lang w:val="es-ES"/>
              </w:rPr>
            </w:pPr>
            <w:r w:rsidRPr="00D87F14">
              <w:rPr>
                <w:rFonts w:ascii="Verdana" w:eastAsia="Calibri" w:hAnsi="Verdana" w:cs="Arial"/>
                <w:lang w:val="es-ES"/>
              </w:rPr>
              <w:t xml:space="preserve">Consejo de Estado, Sala de Consulta y Servicio Civil de fecha 24 de julio de 2013, Rad. 2166, C. P. Álvaro Namén Vargas. </w:t>
            </w:r>
          </w:p>
          <w:p w14:paraId="2A006ACB" w14:textId="77777777" w:rsidR="00A95D08" w:rsidRDefault="00A95D08" w:rsidP="00A95D08">
            <w:pPr>
              <w:widowControl w:val="0"/>
              <w:numPr>
                <w:ilvl w:val="0"/>
                <w:numId w:val="17"/>
              </w:numPr>
              <w:autoSpaceDE w:val="0"/>
              <w:autoSpaceDN w:val="0"/>
              <w:spacing w:line="276" w:lineRule="auto"/>
              <w:contextualSpacing/>
              <w:jc w:val="both"/>
              <w:rPr>
                <w:rFonts w:ascii="Verdana" w:eastAsia="Calibri" w:hAnsi="Verdana" w:cs="Arial"/>
                <w:lang w:val="es-ES"/>
              </w:rPr>
            </w:pPr>
            <w:r w:rsidRPr="00D87F14">
              <w:rPr>
                <w:rFonts w:ascii="Verdana" w:eastAsia="Calibri" w:hAnsi="Verdana" w:cs="Arial"/>
                <w:lang w:val="es-ES"/>
              </w:rPr>
              <w:t>Consejo de Estado. Sala de Consulta y Servicio Civil. Concepto del 17 de febrero de 2015. C.P. William Zambrano Cetina. Radicación No. 11001-03-06-000-2015-00164-00(2269).</w:t>
            </w:r>
          </w:p>
          <w:p w14:paraId="6D0DC170" w14:textId="77777777" w:rsidR="00A95D08" w:rsidRPr="00430FB4" w:rsidRDefault="00A95D08" w:rsidP="00A95D08">
            <w:pPr>
              <w:widowControl w:val="0"/>
              <w:numPr>
                <w:ilvl w:val="0"/>
                <w:numId w:val="17"/>
              </w:numPr>
              <w:autoSpaceDE w:val="0"/>
              <w:autoSpaceDN w:val="0"/>
              <w:spacing w:line="276" w:lineRule="auto"/>
              <w:contextualSpacing/>
              <w:jc w:val="both"/>
              <w:rPr>
                <w:rFonts w:ascii="Verdana" w:eastAsia="Calibri" w:hAnsi="Verdana" w:cs="Arial"/>
                <w:lang w:val="es-ES"/>
              </w:rPr>
            </w:pPr>
            <w:r w:rsidRPr="00430FB4">
              <w:rPr>
                <w:rFonts w:ascii="Verdana" w:eastAsia="Calibri" w:hAnsi="Verdana" w:cs="Arial"/>
                <w:lang w:val="es-ES"/>
              </w:rPr>
              <w:t>Corte Constitucional, Sentencia C- 1153 de 2005, M.P. Marco Gerardo Monroy Cabra</w:t>
            </w:r>
          </w:p>
          <w:p w14:paraId="43C2E1C5" w14:textId="77777777" w:rsidR="00A95D08" w:rsidRPr="00E732EC" w:rsidRDefault="00A95D08" w:rsidP="00A95D08">
            <w:pPr>
              <w:pStyle w:val="Prrafodelista"/>
              <w:widowControl w:val="0"/>
              <w:numPr>
                <w:ilvl w:val="0"/>
                <w:numId w:val="17"/>
              </w:numPr>
              <w:autoSpaceDE w:val="0"/>
              <w:autoSpaceDN w:val="0"/>
              <w:spacing w:after="120" w:line="276" w:lineRule="auto"/>
              <w:jc w:val="both"/>
              <w:rPr>
                <w:rFonts w:ascii="Verdana" w:hAnsi="Verdana" w:cs="Arial"/>
                <w:color w:val="7030A0"/>
              </w:rPr>
            </w:pPr>
            <w:r w:rsidRPr="00430FB4">
              <w:rPr>
                <w:rFonts w:ascii="Verdana" w:eastAsia="Calibri" w:hAnsi="Verdana" w:cs="Arial"/>
              </w:rPr>
              <w:t>Consejo de Estado, Sala de lo Contencioso Administrativo, Sección Tercera. Auto del 4 de octubre de 2024. Radicado No. 70.313. MP: Fredy Ibarra Martínez</w:t>
            </w:r>
          </w:p>
        </w:tc>
      </w:tr>
    </w:tbl>
    <w:p w14:paraId="358FA0E7" w14:textId="77777777" w:rsidR="00A95D08" w:rsidRPr="00AD2F15" w:rsidRDefault="00A95D08" w:rsidP="00A95D08">
      <w:pPr>
        <w:widowControl w:val="0"/>
        <w:autoSpaceDE w:val="0"/>
        <w:autoSpaceDN w:val="0"/>
        <w:spacing w:after="0" w:line="276" w:lineRule="auto"/>
        <w:jc w:val="both"/>
        <w:rPr>
          <w:rFonts w:ascii="Verdana" w:hAnsi="Verdana" w:cs="Arial"/>
        </w:rPr>
      </w:pPr>
    </w:p>
    <w:p w14:paraId="621C9DE6" w14:textId="77777777" w:rsidR="00A95D08" w:rsidRDefault="00A95D08" w:rsidP="00A95D0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AD2F15">
        <w:rPr>
          <w:rFonts w:ascii="Verdana" w:eastAsia="Century Gothic" w:hAnsi="Verdana" w:cs="Century Gothic"/>
          <w:b/>
          <w:bCs/>
        </w:rPr>
        <w:t>Doctrina de la Agencia Nacional de Contratación Pública:</w:t>
      </w:r>
    </w:p>
    <w:p w14:paraId="7EE2748A" w14:textId="77777777" w:rsidR="00A95D08" w:rsidRDefault="00A95D08" w:rsidP="00A95D08">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509DD93A" w14:textId="77777777" w:rsidR="00A95D08" w:rsidRPr="0047490F" w:rsidRDefault="00A95D08" w:rsidP="00A95D08">
      <w:pPr>
        <w:widowControl w:val="0"/>
        <w:autoSpaceDE w:val="0"/>
        <w:autoSpaceDN w:val="0"/>
        <w:spacing w:after="0" w:line="276" w:lineRule="auto"/>
        <w:jc w:val="both"/>
        <w:rPr>
          <w:rFonts w:ascii="Verdana" w:eastAsia="Aptos" w:hAnsi="Verdana" w:cs="Arial"/>
          <w:shd w:val="clear" w:color="auto" w:fill="FFFFFF"/>
          <w:lang w:val="es-ES"/>
        </w:rPr>
      </w:pPr>
      <w:r w:rsidRPr="0047490F">
        <w:rPr>
          <w:rFonts w:ascii="Verdana" w:eastAsia="Aptos" w:hAnsi="Verdana" w:cs="Arial"/>
          <w:shd w:val="clear" w:color="auto" w:fill="FFFFFF"/>
          <w:lang w:val="es-ES"/>
        </w:rPr>
        <w:t xml:space="preserve">Sobre </w:t>
      </w:r>
      <w:r>
        <w:rPr>
          <w:rFonts w:ascii="Verdana" w:eastAsia="Aptos" w:hAnsi="Verdana" w:cs="Arial"/>
          <w:shd w:val="clear" w:color="auto" w:fill="FFFFFF"/>
          <w:lang w:val="es-ES"/>
        </w:rPr>
        <w:t>la</w:t>
      </w:r>
      <w:r w:rsidRPr="00DB1B04">
        <w:rPr>
          <w:rFonts w:ascii="Verdana" w:eastAsia="Aptos" w:hAnsi="Verdana" w:cs="Arial"/>
          <w:shd w:val="clear" w:color="auto" w:fill="FFFFFF"/>
          <w:lang w:val="es-ES"/>
        </w:rPr>
        <w:t xml:space="preserve"> Ley de Garantías Electorales</w:t>
      </w:r>
      <w:r w:rsidRPr="0047490F">
        <w:rPr>
          <w:rFonts w:ascii="Verdana" w:eastAsia="Aptos" w:hAnsi="Verdana" w:cs="Arial"/>
          <w:shd w:val="clear" w:color="auto" w:fill="FFFFFF"/>
          <w:lang w:val="es-ES"/>
        </w:rPr>
        <w:t xml:space="preserve">, esta Subdirección se ha referido en los Conceptos </w:t>
      </w:r>
      <w:r w:rsidRPr="0093515B">
        <w:rPr>
          <w:rFonts w:ascii="Verdana" w:eastAsia="Calibri" w:hAnsi="Verdana" w:cs="Arial"/>
          <w:lang w:val="es-ES_tradnl" w:eastAsia="es-MX"/>
        </w:rPr>
        <w:t xml:space="preserve">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C-180 del 21 de marzo de 2025, C-317 del 25 de abril de 2025, C-510 del 4 de junio de 2025, C -635 del </w:t>
      </w:r>
      <w:r w:rsidRPr="0093515B">
        <w:rPr>
          <w:rFonts w:ascii="Verdana" w:eastAsia="Calibri" w:hAnsi="Verdana" w:cs="Arial"/>
          <w:lang w:val="es-ES_tradnl" w:eastAsia="es-MX"/>
        </w:rPr>
        <w:lastRenderedPageBreak/>
        <w:t>27 de junio de 2025</w:t>
      </w:r>
      <w:r>
        <w:rPr>
          <w:rFonts w:ascii="Verdana" w:eastAsia="Calibri" w:hAnsi="Verdana" w:cs="Arial"/>
          <w:lang w:val="es-ES_tradnl" w:eastAsia="es-MX"/>
        </w:rPr>
        <w:t xml:space="preserve">, </w:t>
      </w:r>
      <w:r w:rsidRPr="0093515B">
        <w:rPr>
          <w:rFonts w:ascii="Verdana" w:eastAsia="Calibri" w:hAnsi="Verdana" w:cs="Arial"/>
          <w:lang w:val="es-ES_tradnl" w:eastAsia="es-MX"/>
        </w:rPr>
        <w:t>C–750 de 17 de julio 2025</w:t>
      </w:r>
      <w:r>
        <w:rPr>
          <w:rFonts w:ascii="Verdana" w:eastAsia="Aptos" w:hAnsi="Verdana" w:cs="Arial"/>
          <w:shd w:val="clear" w:color="auto" w:fill="FFFFFF"/>
          <w:lang w:val="es-ES"/>
        </w:rPr>
        <w:t xml:space="preserve">, C – 940 de 12 de agosto de 2025, </w:t>
      </w:r>
      <w:r w:rsidRPr="0047490F">
        <w:rPr>
          <w:rFonts w:ascii="Verdana" w:eastAsia="Aptos" w:hAnsi="Verdana" w:cs="Arial"/>
          <w:shd w:val="clear" w:color="auto" w:fill="FFFFFF"/>
          <w:lang w:val="es-ES"/>
        </w:rPr>
        <w:t xml:space="preserve">entre otros. 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history="1">
        <w:r w:rsidRPr="0047490F">
          <w:rPr>
            <w:rStyle w:val="Hipervnculo"/>
            <w:rFonts w:ascii="Verdana" w:eastAsia="Aptos" w:hAnsi="Verdana" w:cs="Arial"/>
            <w:shd w:val="clear" w:color="auto" w:fill="FFFFFF"/>
            <w:lang w:val="es-ES"/>
          </w:rPr>
          <w:t>https://relatoria.colombiacompra.gov.co/</w:t>
        </w:r>
      </w:hyperlink>
      <w:r w:rsidRPr="0047490F">
        <w:rPr>
          <w:rFonts w:ascii="Verdana" w:eastAsia="Aptos" w:hAnsi="Verdana" w:cs="Arial"/>
          <w:shd w:val="clear" w:color="auto" w:fill="FFFFFF"/>
          <w:lang w:val="es-ES"/>
        </w:rPr>
        <w:t xml:space="preserve">. </w:t>
      </w:r>
    </w:p>
    <w:p w14:paraId="52A37317" w14:textId="77777777" w:rsidR="00A95D08" w:rsidRPr="0047490F" w:rsidRDefault="00A95D08" w:rsidP="00A95D08">
      <w:pPr>
        <w:widowControl w:val="0"/>
        <w:autoSpaceDE w:val="0"/>
        <w:autoSpaceDN w:val="0"/>
        <w:spacing w:after="0" w:line="276" w:lineRule="auto"/>
        <w:jc w:val="both"/>
        <w:rPr>
          <w:rFonts w:ascii="Verdana" w:eastAsia="Aptos" w:hAnsi="Verdana" w:cs="Arial"/>
          <w:shd w:val="clear" w:color="auto" w:fill="FFFFFF"/>
          <w:lang w:val="es-ES"/>
        </w:rPr>
      </w:pPr>
    </w:p>
    <w:p w14:paraId="63831E35" w14:textId="77777777" w:rsidR="00A95D08" w:rsidRPr="0047490F" w:rsidRDefault="00A95D08" w:rsidP="00A95D08">
      <w:pPr>
        <w:spacing w:after="0" w:line="240" w:lineRule="auto"/>
        <w:jc w:val="both"/>
        <w:rPr>
          <w:rFonts w:ascii="Verdana" w:eastAsia="Aptos" w:hAnsi="Verdana" w:cs="Times New Roman"/>
        </w:rPr>
      </w:pPr>
      <w:r w:rsidRPr="0047490F">
        <w:rPr>
          <w:rFonts w:ascii="Verdana" w:eastAsia="Aptos" w:hAnsi="Verdana" w:cs="Times New Roman"/>
        </w:rPr>
        <w:t xml:space="preserve">Por último, lo invitamos a seguirnos en las redes sociales en las cuales se difunde información institucional: </w:t>
      </w:r>
    </w:p>
    <w:p w14:paraId="382AC3D3" w14:textId="77777777" w:rsidR="00A95D08" w:rsidRPr="0047490F" w:rsidRDefault="00A95D08" w:rsidP="00A95D08">
      <w:pPr>
        <w:spacing w:after="0" w:line="240" w:lineRule="auto"/>
        <w:jc w:val="both"/>
        <w:rPr>
          <w:rFonts w:ascii="Verdana" w:eastAsia="Aptos" w:hAnsi="Verdana" w:cs="Times New Roman"/>
        </w:rPr>
      </w:pPr>
    </w:p>
    <w:p w14:paraId="5BA7570F" w14:textId="77777777" w:rsidR="00A95D08" w:rsidRPr="0047490F" w:rsidRDefault="00A95D08" w:rsidP="00A95D08">
      <w:pPr>
        <w:spacing w:after="0" w:line="240" w:lineRule="auto"/>
        <w:jc w:val="both"/>
        <w:rPr>
          <w:rFonts w:ascii="Verdana" w:eastAsia="Aptos" w:hAnsi="Verdana" w:cs="Times New Roman"/>
        </w:rPr>
      </w:pPr>
      <w:r w:rsidRPr="0047490F">
        <w:rPr>
          <w:rFonts w:ascii="Verdana" w:eastAsia="Aptos" w:hAnsi="Verdana" w:cs="Times New Roman"/>
        </w:rPr>
        <w:t xml:space="preserve">Twitter: </w:t>
      </w:r>
      <w:r w:rsidRPr="0047490F">
        <w:rPr>
          <w:rStyle w:val="Hipervnculo"/>
          <w:rFonts w:ascii="Verdana" w:hAnsi="Verdana" w:cs="Arial"/>
          <w:shd w:val="clear" w:color="auto" w:fill="FFFFFF"/>
          <w:lang w:val="es-ES"/>
        </w:rPr>
        <w:t>@colombiacompra</w:t>
      </w:r>
      <w:r w:rsidRPr="0047490F">
        <w:rPr>
          <w:rFonts w:ascii="Verdana" w:eastAsia="Aptos" w:hAnsi="Verdana" w:cs="Times New Roman"/>
          <w:color w:val="156082"/>
        </w:rPr>
        <w:t xml:space="preserve"> </w:t>
      </w:r>
    </w:p>
    <w:p w14:paraId="3DC3B962" w14:textId="77777777" w:rsidR="00A95D08" w:rsidRPr="0047490F" w:rsidRDefault="00A95D08" w:rsidP="00A95D08">
      <w:pPr>
        <w:spacing w:after="0" w:line="240" w:lineRule="auto"/>
        <w:jc w:val="both"/>
        <w:rPr>
          <w:rFonts w:ascii="Verdana" w:eastAsia="Aptos" w:hAnsi="Verdana" w:cs="Times New Roman"/>
        </w:rPr>
      </w:pPr>
      <w:r w:rsidRPr="0047490F">
        <w:rPr>
          <w:rFonts w:ascii="Verdana" w:eastAsia="Aptos" w:hAnsi="Verdana" w:cs="Times New Roman"/>
        </w:rPr>
        <w:t xml:space="preserve">Facebook: </w:t>
      </w:r>
      <w:r w:rsidRPr="0047490F">
        <w:rPr>
          <w:rStyle w:val="Hipervnculo"/>
          <w:rFonts w:ascii="Verdana" w:hAnsi="Verdana" w:cs="Arial"/>
          <w:shd w:val="clear" w:color="auto" w:fill="FFFFFF"/>
          <w:lang w:val="es-ES"/>
        </w:rPr>
        <w:t>ColombiaCompraEficiente</w:t>
      </w:r>
    </w:p>
    <w:p w14:paraId="18ABC3C3" w14:textId="77777777" w:rsidR="00A95D08" w:rsidRPr="0047490F" w:rsidRDefault="00A95D08" w:rsidP="00A95D08">
      <w:pPr>
        <w:spacing w:after="0" w:line="240" w:lineRule="auto"/>
        <w:jc w:val="both"/>
        <w:rPr>
          <w:rFonts w:ascii="Verdana" w:eastAsia="Aptos" w:hAnsi="Verdana" w:cs="Times New Roman"/>
        </w:rPr>
      </w:pPr>
      <w:r w:rsidRPr="0047490F">
        <w:rPr>
          <w:rFonts w:ascii="Verdana" w:eastAsia="Aptos" w:hAnsi="Verdana" w:cs="Times New Roman"/>
        </w:rPr>
        <w:t xml:space="preserve">LinkedIn: </w:t>
      </w:r>
      <w:r w:rsidRPr="0047490F">
        <w:rPr>
          <w:rStyle w:val="Hipervnculo"/>
          <w:rFonts w:ascii="Verdana" w:hAnsi="Verdana" w:cs="Arial"/>
          <w:shd w:val="clear" w:color="auto" w:fill="FFFFFF"/>
          <w:lang w:val="es-ES"/>
        </w:rPr>
        <w:t>Agencia Nacional de Contratación Pública - Colombia Compra Eficiente</w:t>
      </w:r>
      <w:r w:rsidRPr="0047490F">
        <w:rPr>
          <w:rFonts w:ascii="Verdana" w:eastAsia="Aptos" w:hAnsi="Verdana" w:cs="Times New Roman"/>
          <w:color w:val="156082"/>
        </w:rPr>
        <w:t xml:space="preserve"> </w:t>
      </w:r>
      <w:r w:rsidRPr="0047490F">
        <w:rPr>
          <w:rFonts w:ascii="Verdana" w:eastAsia="Aptos" w:hAnsi="Verdana" w:cs="Times New Roman"/>
        </w:rPr>
        <w:t xml:space="preserve">Instagram: </w:t>
      </w:r>
      <w:r w:rsidRPr="0047490F">
        <w:rPr>
          <w:rStyle w:val="Hipervnculo"/>
          <w:rFonts w:ascii="Verdana" w:hAnsi="Verdana" w:cs="Arial"/>
          <w:shd w:val="clear" w:color="auto" w:fill="FFFFFF"/>
          <w:lang w:val="es-ES"/>
        </w:rPr>
        <w:t>@colombiacompraeficiente_cce</w:t>
      </w:r>
    </w:p>
    <w:p w14:paraId="1081DD8B" w14:textId="77777777" w:rsidR="00A95D08" w:rsidRPr="0047490F" w:rsidRDefault="00A95D08" w:rsidP="00A95D08">
      <w:pPr>
        <w:widowControl w:val="0"/>
        <w:autoSpaceDE w:val="0"/>
        <w:autoSpaceDN w:val="0"/>
        <w:spacing w:after="0" w:line="276" w:lineRule="auto"/>
        <w:jc w:val="both"/>
        <w:rPr>
          <w:rFonts w:ascii="Verdana" w:eastAsia="Aptos" w:hAnsi="Verdana" w:cs="Arial"/>
        </w:rPr>
      </w:pPr>
    </w:p>
    <w:p w14:paraId="611CDED5" w14:textId="77777777" w:rsidR="00A95D08" w:rsidRPr="0047490F" w:rsidRDefault="00A95D08" w:rsidP="00A95D08">
      <w:pPr>
        <w:widowControl w:val="0"/>
        <w:autoSpaceDE w:val="0"/>
        <w:autoSpaceDN w:val="0"/>
        <w:spacing w:after="0" w:line="276" w:lineRule="auto"/>
        <w:jc w:val="both"/>
        <w:rPr>
          <w:rFonts w:ascii="Verdana" w:eastAsia="Aptos" w:hAnsi="Verdana" w:cs="Arial"/>
          <w:lang w:val="es-ES_tradnl"/>
        </w:rPr>
      </w:pPr>
      <w:r w:rsidRPr="0047490F">
        <w:rPr>
          <w:rFonts w:ascii="Verdana" w:eastAsia="Aptos" w:hAnsi="Verdana" w:cs="Arial"/>
        </w:rPr>
        <w:t xml:space="preserve">Este concepto tiene el alcance previsto en el artículo 28 del Código de Procedimiento Administrativo y de lo Contencioso Administrativo </w:t>
      </w:r>
      <w:r w:rsidRPr="0047490F">
        <w:rPr>
          <w:rFonts w:ascii="Verdana" w:eastAsia="Aptos" w:hAnsi="Verdana" w:cs="Arial"/>
          <w:lang w:val="es-ES_tradnl"/>
        </w:rPr>
        <w:t>y las expresiones aquí utilizadas con mayúscula inicial deben ser entendidas con el significado que les otorga el artículo 2.2.1.1.1.3.1. del Decreto 1082 de 2015.</w:t>
      </w:r>
    </w:p>
    <w:p w14:paraId="2B9D7A35" w14:textId="77777777" w:rsidR="00A95D08" w:rsidRPr="0047490F" w:rsidRDefault="00A95D08" w:rsidP="00A95D08">
      <w:pPr>
        <w:widowControl w:val="0"/>
        <w:autoSpaceDE w:val="0"/>
        <w:autoSpaceDN w:val="0"/>
        <w:spacing w:after="0" w:line="276" w:lineRule="auto"/>
        <w:jc w:val="both"/>
        <w:rPr>
          <w:rFonts w:ascii="Verdana" w:eastAsia="Aptos" w:hAnsi="Verdana" w:cs="Arial"/>
        </w:rPr>
      </w:pPr>
    </w:p>
    <w:p w14:paraId="5365FB26" w14:textId="77777777" w:rsidR="00A95D08" w:rsidRPr="0047490F" w:rsidRDefault="00A95D08" w:rsidP="00A95D08">
      <w:pPr>
        <w:spacing w:after="0" w:line="240" w:lineRule="auto"/>
        <w:rPr>
          <w:rFonts w:ascii="Verdana" w:eastAsia="Aptos" w:hAnsi="Verdana" w:cs="Arial"/>
          <w:lang w:eastAsia="es-CO"/>
        </w:rPr>
      </w:pPr>
      <w:r w:rsidRPr="0047490F">
        <w:rPr>
          <w:rFonts w:ascii="Verdana" w:eastAsia="Times New Roman" w:hAnsi="Verdana" w:cs="Arial"/>
          <w:lang w:eastAsia="es-CO"/>
        </w:rPr>
        <w:t>Atentamente,</w:t>
      </w:r>
      <w:r w:rsidRPr="0047490F">
        <w:rPr>
          <w:rFonts w:ascii="Verdana" w:eastAsia="Aptos" w:hAnsi="Verdana" w:cs="Arial"/>
          <w:lang w:eastAsia="es-CO"/>
        </w:rPr>
        <w:t xml:space="preserve"> </w:t>
      </w:r>
    </w:p>
    <w:p w14:paraId="0A60CDFB" w14:textId="77777777" w:rsidR="00A95D08" w:rsidRPr="00AD2F15" w:rsidRDefault="00A95D08" w:rsidP="00A95D08">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3ECABC3F" w14:textId="4C63E56F" w:rsidR="00A95D08" w:rsidRDefault="000E18B3" w:rsidP="00A95D08">
      <w:pPr>
        <w:spacing w:line="276" w:lineRule="auto"/>
        <w:jc w:val="center"/>
        <w:rPr>
          <w:noProof/>
        </w:rPr>
      </w:pPr>
      <w:r>
        <w:rPr>
          <w:noProof/>
        </w:rPr>
        <w:drawing>
          <wp:inline distT="0" distB="0" distL="0" distR="0" wp14:anchorId="3AB6E13C" wp14:editId="0876C1C9">
            <wp:extent cx="3478530" cy="1493273"/>
            <wp:effectExtent l="0" t="0" r="7620" b="0"/>
            <wp:docPr id="1929237576" name="Imagen 2"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9237576" name="Imagen 2" descr="Texto&#10;&#10;El contenido generado por IA puede ser incorrecto."/>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486457" cy="1496676"/>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43616" w:rsidRPr="00593A5F" w14:paraId="5D77BE5B" w14:textId="77777777" w:rsidTr="00833302">
        <w:trPr>
          <w:trHeight w:val="315"/>
        </w:trPr>
        <w:tc>
          <w:tcPr>
            <w:tcW w:w="893" w:type="dxa"/>
            <w:vAlign w:val="center"/>
            <w:hideMark/>
          </w:tcPr>
          <w:p w14:paraId="32DE966B" w14:textId="77777777" w:rsidR="00743616" w:rsidRPr="003751C7" w:rsidRDefault="00743616" w:rsidP="00833302">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03D4BF6" w14:textId="77777777" w:rsidR="00743616" w:rsidRPr="007911EE" w:rsidRDefault="00743616" w:rsidP="00833302">
            <w:pPr>
              <w:contextualSpacing/>
              <w:rPr>
                <w:rFonts w:ascii="Verdana" w:hAnsi="Verdana"/>
                <w:sz w:val="16"/>
                <w:szCs w:val="16"/>
              </w:rPr>
            </w:pPr>
            <w:r>
              <w:rPr>
                <w:rFonts w:ascii="Verdana" w:hAnsi="Verdana"/>
                <w:sz w:val="16"/>
                <w:szCs w:val="16"/>
              </w:rPr>
              <w:t xml:space="preserve">Nicolas Andres Guzman </w:t>
            </w:r>
          </w:p>
          <w:p w14:paraId="6A97D29D" w14:textId="77777777" w:rsidR="00743616" w:rsidRPr="007911EE" w:rsidRDefault="00743616" w:rsidP="00833302">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743616" w:rsidRPr="00593A5F" w14:paraId="1C21AB84" w14:textId="77777777" w:rsidTr="00833302">
        <w:trPr>
          <w:trHeight w:val="330"/>
        </w:trPr>
        <w:tc>
          <w:tcPr>
            <w:tcW w:w="893" w:type="dxa"/>
            <w:vAlign w:val="center"/>
            <w:hideMark/>
          </w:tcPr>
          <w:p w14:paraId="55CE836C" w14:textId="77777777" w:rsidR="00743616" w:rsidRPr="003751C7" w:rsidRDefault="00743616" w:rsidP="00833302">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E94A252" w14:textId="77777777" w:rsidR="00743616" w:rsidRDefault="00743616" w:rsidP="00833302">
            <w:pPr>
              <w:spacing w:line="276" w:lineRule="auto"/>
              <w:contextualSpacing/>
              <w:jc w:val="both"/>
              <w:rPr>
                <w:rFonts w:ascii="Verdana" w:hAnsi="Verdana"/>
                <w:sz w:val="16"/>
                <w:szCs w:val="16"/>
              </w:rPr>
            </w:pPr>
            <w:r w:rsidRPr="00EA41C5">
              <w:rPr>
                <w:rFonts w:ascii="Verdana" w:hAnsi="Verdana"/>
                <w:sz w:val="16"/>
                <w:szCs w:val="16"/>
              </w:rPr>
              <w:t>Juan Carlos González</w:t>
            </w:r>
          </w:p>
          <w:p w14:paraId="572406B1" w14:textId="77777777" w:rsidR="00743616" w:rsidRPr="007911EE" w:rsidRDefault="00743616" w:rsidP="00833302">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743616" w:rsidRPr="00593A5F" w14:paraId="74B39EBB" w14:textId="77777777" w:rsidTr="00833302">
        <w:trPr>
          <w:trHeight w:val="330"/>
        </w:trPr>
        <w:tc>
          <w:tcPr>
            <w:tcW w:w="893" w:type="dxa"/>
            <w:vAlign w:val="center"/>
          </w:tcPr>
          <w:p w14:paraId="52BD9A0E" w14:textId="77777777" w:rsidR="00743616" w:rsidRPr="003751C7" w:rsidRDefault="00743616" w:rsidP="00833302">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ECBE047" w14:textId="77777777" w:rsidR="00743616" w:rsidRDefault="00743616" w:rsidP="00833302">
            <w:pPr>
              <w:spacing w:line="276" w:lineRule="auto"/>
              <w:contextualSpacing/>
              <w:jc w:val="both"/>
              <w:rPr>
                <w:rFonts w:ascii="Verdana" w:hAnsi="Verdana"/>
                <w:sz w:val="16"/>
                <w:szCs w:val="16"/>
              </w:rPr>
            </w:pPr>
            <w:r>
              <w:rPr>
                <w:rFonts w:ascii="Verdana" w:hAnsi="Verdana"/>
                <w:sz w:val="16"/>
                <w:szCs w:val="16"/>
              </w:rPr>
              <w:t xml:space="preserve">Carolina Quintero Gacharná. </w:t>
            </w:r>
          </w:p>
          <w:p w14:paraId="7E67F1C9" w14:textId="77777777" w:rsidR="00743616" w:rsidRDefault="00743616" w:rsidP="00833302">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Gestión Contratual </w:t>
            </w:r>
            <w:r>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p>
        </w:tc>
      </w:tr>
    </w:tbl>
    <w:p w14:paraId="3B8E65E9" w14:textId="77777777" w:rsidR="00743616" w:rsidRDefault="00743616" w:rsidP="00A95D08">
      <w:pPr>
        <w:spacing w:line="276" w:lineRule="auto"/>
        <w:jc w:val="center"/>
        <w:rPr>
          <w:rFonts w:ascii="Verdana" w:hAnsi="Verdana" w:cs="Arial"/>
          <w:color w:val="000000"/>
          <w:lang w:val="es-ES_tradnl" w:eastAsia="es-CO"/>
        </w:rPr>
      </w:pPr>
    </w:p>
    <w:bookmarkEnd w:id="0"/>
    <w:p w14:paraId="4DD0CBAC" w14:textId="77777777" w:rsidR="00743616" w:rsidRDefault="00743616" w:rsidP="00A95D08">
      <w:pPr>
        <w:spacing w:line="276" w:lineRule="auto"/>
        <w:jc w:val="center"/>
        <w:rPr>
          <w:rFonts w:ascii="Verdana" w:hAnsi="Verdana" w:cs="Arial"/>
          <w:color w:val="000000"/>
          <w:lang w:val="es-ES_tradnl" w:eastAsia="es-CO"/>
        </w:rPr>
      </w:pPr>
    </w:p>
    <w:sectPr w:rsidR="00743616"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26C85A" w14:textId="77777777" w:rsidR="00303CAE" w:rsidRDefault="00303CAE" w:rsidP="004A1847">
      <w:pPr>
        <w:spacing w:after="0" w:line="240" w:lineRule="auto"/>
      </w:pPr>
      <w:r>
        <w:separator/>
      </w:r>
    </w:p>
  </w:endnote>
  <w:endnote w:type="continuationSeparator" w:id="0">
    <w:p w14:paraId="7FB11281" w14:textId="77777777" w:rsidR="00303CAE" w:rsidRDefault="00303CAE"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4BF701" w14:textId="77777777" w:rsidR="00303CAE" w:rsidRDefault="00303CAE" w:rsidP="004A1847">
      <w:pPr>
        <w:spacing w:after="0" w:line="240" w:lineRule="auto"/>
      </w:pPr>
      <w:r>
        <w:separator/>
      </w:r>
    </w:p>
  </w:footnote>
  <w:footnote w:type="continuationSeparator" w:id="0">
    <w:p w14:paraId="6CDCEFF9" w14:textId="77777777" w:rsidR="00303CAE" w:rsidRDefault="00303CAE" w:rsidP="004A1847">
      <w:pPr>
        <w:spacing w:after="0" w:line="240" w:lineRule="auto"/>
      </w:pPr>
      <w:r>
        <w:continuationSeparator/>
      </w:r>
    </w:p>
  </w:footnote>
  <w:footnote w:id="1">
    <w:p w14:paraId="7EF8FD26" w14:textId="77777777" w:rsidR="00A95D08" w:rsidRPr="00FE755D" w:rsidRDefault="00A95D08" w:rsidP="00A95D08">
      <w:pPr>
        <w:pStyle w:val="Textonotapie"/>
        <w:ind w:firstLine="709"/>
        <w:jc w:val="both"/>
        <w:rPr>
          <w:rFonts w:ascii="Verdana" w:hAnsi="Verdana" w:cs="Arial"/>
          <w:sz w:val="18"/>
          <w:szCs w:val="18"/>
        </w:rPr>
      </w:pPr>
      <w:r w:rsidRPr="00FE755D">
        <w:rPr>
          <w:rStyle w:val="Refdenotaalpie"/>
          <w:rFonts w:ascii="Verdana" w:hAnsi="Verdana" w:cs="Arial"/>
          <w:sz w:val="18"/>
          <w:szCs w:val="18"/>
        </w:rPr>
        <w:footnoteRef/>
      </w:r>
      <w:r w:rsidRPr="00FE755D">
        <w:rPr>
          <w:rFonts w:ascii="Verdana" w:hAnsi="Verdana" w:cs="Arial"/>
          <w:sz w:val="18"/>
          <w:szCs w:val="18"/>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3114891A" w14:textId="77777777" w:rsidR="00A95D08" w:rsidRPr="00FE755D" w:rsidRDefault="00A95D08" w:rsidP="00A95D08">
      <w:pPr>
        <w:pStyle w:val="Textonotapie"/>
        <w:spacing w:before="120"/>
        <w:ind w:firstLine="709"/>
        <w:jc w:val="both"/>
        <w:rPr>
          <w:rFonts w:ascii="Verdana" w:hAnsi="Verdana" w:cs="Arial"/>
          <w:sz w:val="18"/>
          <w:szCs w:val="18"/>
        </w:rPr>
      </w:pPr>
      <w:r w:rsidRPr="00FE755D">
        <w:rPr>
          <w:rFonts w:ascii="Verdana" w:hAnsi="Verdana" w:cs="Arial"/>
          <w:sz w:val="18"/>
          <w:szCs w:val="18"/>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7BDC6C4E" w14:textId="77777777" w:rsidR="00A95D08" w:rsidRPr="00FE755D" w:rsidRDefault="00A95D08" w:rsidP="00A95D08">
      <w:pPr>
        <w:pStyle w:val="Textonotapie"/>
        <w:ind w:firstLine="709"/>
        <w:jc w:val="both"/>
        <w:rPr>
          <w:rFonts w:ascii="Verdana" w:hAnsi="Verdana" w:cs="Arial"/>
          <w:sz w:val="18"/>
          <w:szCs w:val="18"/>
        </w:rPr>
      </w:pPr>
    </w:p>
  </w:footnote>
  <w:footnote w:id="2">
    <w:p w14:paraId="5233DF93" w14:textId="77777777" w:rsidR="00A95D08" w:rsidRPr="00FE755D" w:rsidRDefault="00A95D08" w:rsidP="00A95D08">
      <w:pPr>
        <w:pStyle w:val="Textonotapie"/>
        <w:ind w:firstLine="709"/>
        <w:jc w:val="both"/>
        <w:rPr>
          <w:rFonts w:ascii="Verdana" w:hAnsi="Verdana" w:cs="Arial"/>
          <w:sz w:val="18"/>
          <w:szCs w:val="18"/>
        </w:rPr>
      </w:pPr>
      <w:r w:rsidRPr="00FE755D">
        <w:rPr>
          <w:rStyle w:val="Refdenotaalpie"/>
          <w:rFonts w:ascii="Verdana" w:hAnsi="Verdana" w:cs="Arial"/>
          <w:sz w:val="18"/>
          <w:szCs w:val="18"/>
        </w:rPr>
        <w:footnoteRef/>
      </w:r>
      <w:r w:rsidRPr="00FE755D">
        <w:rPr>
          <w:rFonts w:ascii="Verdana" w:hAnsi="Verdana" w:cs="Arial"/>
          <w:sz w:val="18"/>
          <w:szCs w:val="18"/>
        </w:rPr>
        <w:t xml:space="preserve"> Gaceta del Congreso de la República No. 71 del 2005.</w:t>
      </w:r>
    </w:p>
    <w:p w14:paraId="2B14F22E" w14:textId="77777777" w:rsidR="00A95D08" w:rsidRPr="00FE755D" w:rsidRDefault="00A95D08" w:rsidP="00A95D08">
      <w:pPr>
        <w:pStyle w:val="Textonotapie"/>
        <w:ind w:firstLine="709"/>
        <w:jc w:val="both"/>
        <w:rPr>
          <w:rFonts w:ascii="Verdana" w:hAnsi="Verdana" w:cs="Arial"/>
          <w:sz w:val="18"/>
          <w:szCs w:val="18"/>
        </w:rPr>
      </w:pPr>
    </w:p>
  </w:footnote>
  <w:footnote w:id="3">
    <w:p w14:paraId="5D9B9824" w14:textId="77777777" w:rsidR="00A95D08" w:rsidRPr="006470DE" w:rsidRDefault="00A95D08" w:rsidP="00A95D08">
      <w:pPr>
        <w:pStyle w:val="Textonotapie"/>
        <w:ind w:firstLine="708"/>
        <w:jc w:val="both"/>
        <w:rPr>
          <w:rFonts w:ascii="Verdana" w:hAnsi="Verdana" w:cs="Arial"/>
          <w:sz w:val="18"/>
          <w:szCs w:val="18"/>
          <w:lang w:val="es-CO"/>
        </w:rPr>
      </w:pPr>
      <w:r w:rsidRPr="00FE755D">
        <w:rPr>
          <w:rStyle w:val="Refdenotaalpie"/>
          <w:rFonts w:ascii="Verdana" w:hAnsi="Verdana" w:cs="Arial"/>
          <w:sz w:val="18"/>
          <w:szCs w:val="18"/>
        </w:rPr>
        <w:footnoteRef/>
      </w:r>
      <w:r w:rsidRPr="00FE755D">
        <w:rPr>
          <w:rFonts w:ascii="Verdana" w:hAnsi="Verdana" w:cs="Arial"/>
          <w:sz w:val="18"/>
          <w:szCs w:val="18"/>
        </w:rPr>
        <w:t xml:space="preserve"> Corte Constitucional, Sentencia C- 1153 de 2005, M.P. Marco Gerardo Monroy Cabra. </w:t>
      </w:r>
      <w:r w:rsidRPr="00FE755D">
        <w:rPr>
          <w:rFonts w:ascii="Verdana" w:eastAsia="Times New Roman" w:hAnsi="Verdana" w:cs="Arial"/>
          <w:bCs/>
          <w:sz w:val="18"/>
          <w:szCs w:val="18"/>
          <w:lang w:eastAsia="es-CO"/>
        </w:rPr>
        <w:t xml:space="preserve">Así mismo, la Sala de Consulta y del Servicio Civil del Consejo de Estado, al referirse a los propósitos de la Ley de Garantías señaló lo siguiente: Los propósitos de la ley 996 de 2005 están encaminados a reducir los espacios de discrecionalidad, impedir la utilización de la burocracia para obtener respaldo de causas o campañas políticas, evitar la inversión de los recursos del erario para estos efectos, impedir que el Presidente en ejercicio, que aspire a ser reelegido, pueda ejercer ventajas frente a los demás candidatos, como también fortalecer la legitimidad y credibilidad del sistema político con garantía del ejercicio de las libertades públicas. El artículo 1º de la ley 996 delimita con claridad la finalidad de la misma y la centra en el establecimiento del marco legal destinado a asegurar, de manera terminante, la transparencia del debate electoral a la Presidencia de la República, mediante la garantía de la igualdad de condiciones para los candidatos. </w:t>
      </w:r>
      <w:r w:rsidRPr="006470DE">
        <w:rPr>
          <w:rFonts w:ascii="Verdana" w:eastAsia="Times New Roman" w:hAnsi="Verdana" w:cs="Arial"/>
          <w:bCs/>
          <w:sz w:val="18"/>
          <w:szCs w:val="18"/>
          <w:lang w:eastAsia="es-CO"/>
        </w:rPr>
        <w:t>(</w:t>
      </w:r>
      <w:r w:rsidRPr="006470DE">
        <w:rPr>
          <w:rStyle w:val="Refdenotaalpie"/>
          <w:rFonts w:ascii="Verdana" w:hAnsi="Verdana" w:cs="Arial"/>
          <w:sz w:val="18"/>
          <w:szCs w:val="18"/>
        </w:rPr>
        <w:t>Consejo de Estado. Sala de Consulta y del Servicio Civil, de fecha 20 de febrero de 2006. Radicado 1724. Concepto del. Magistrado Ponente: Flavio Augusto Rodríguez Arce</w:t>
      </w:r>
      <w:r w:rsidRPr="006470DE">
        <w:rPr>
          <w:rFonts w:ascii="Verdana" w:hAnsi="Verdana" w:cs="Arial"/>
          <w:sz w:val="18"/>
          <w:szCs w:val="18"/>
        </w:rPr>
        <w:t>)</w:t>
      </w:r>
      <w:r w:rsidRPr="006470DE">
        <w:rPr>
          <w:rStyle w:val="Refdenotaalpie"/>
          <w:rFonts w:ascii="Verdana" w:hAnsi="Verdana" w:cs="Arial"/>
          <w:sz w:val="18"/>
          <w:szCs w:val="18"/>
        </w:rPr>
        <w:t>.</w:t>
      </w:r>
    </w:p>
    <w:p w14:paraId="35287738" w14:textId="77777777" w:rsidR="00A95D08" w:rsidRPr="00FE755D" w:rsidRDefault="00A95D08" w:rsidP="00A95D08">
      <w:pPr>
        <w:pStyle w:val="Textonotapie"/>
        <w:ind w:firstLine="709"/>
        <w:jc w:val="both"/>
        <w:rPr>
          <w:rFonts w:ascii="Verdana" w:hAnsi="Verdana" w:cs="Arial"/>
          <w:sz w:val="18"/>
          <w:szCs w:val="18"/>
        </w:rPr>
      </w:pPr>
    </w:p>
  </w:footnote>
  <w:footnote w:id="4">
    <w:p w14:paraId="6C726686" w14:textId="77777777" w:rsidR="00A95D08" w:rsidRPr="00FE755D" w:rsidRDefault="00A95D08" w:rsidP="00A95D08">
      <w:pPr>
        <w:pStyle w:val="Textonotapie"/>
        <w:ind w:firstLine="709"/>
        <w:jc w:val="both"/>
        <w:rPr>
          <w:rFonts w:ascii="Verdana" w:hAnsi="Verdana" w:cs="Arial"/>
          <w:sz w:val="18"/>
          <w:szCs w:val="18"/>
        </w:rPr>
      </w:pPr>
      <w:r w:rsidRPr="00FE755D">
        <w:rPr>
          <w:rStyle w:val="Refdenotaalpie"/>
          <w:rFonts w:ascii="Verdana" w:hAnsi="Verdana" w:cs="Arial"/>
          <w:sz w:val="18"/>
          <w:szCs w:val="18"/>
        </w:rPr>
        <w:footnoteRef/>
      </w:r>
      <w:r w:rsidRPr="00FE755D">
        <w:rPr>
          <w:rFonts w:ascii="Verdana" w:hAnsi="Verdana" w:cs="Arial"/>
          <w:sz w:val="18"/>
          <w:szCs w:val="18"/>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5">
    <w:p w14:paraId="7BD411F2" w14:textId="77777777" w:rsidR="00A95D08" w:rsidRPr="00FE755D" w:rsidRDefault="00A95D08" w:rsidP="00A95D08">
      <w:pPr>
        <w:pStyle w:val="Textonotapie"/>
        <w:ind w:firstLine="709"/>
        <w:jc w:val="both"/>
        <w:rPr>
          <w:rFonts w:ascii="Verdana" w:hAnsi="Verdana" w:cs="Arial"/>
          <w:sz w:val="18"/>
          <w:szCs w:val="18"/>
        </w:rPr>
      </w:pPr>
    </w:p>
    <w:p w14:paraId="11C16714" w14:textId="77777777" w:rsidR="00A95D08" w:rsidRPr="00FE755D" w:rsidRDefault="00A95D08" w:rsidP="00A95D08">
      <w:pPr>
        <w:pStyle w:val="Textonotapie"/>
        <w:ind w:firstLine="709"/>
        <w:jc w:val="both"/>
        <w:rPr>
          <w:rStyle w:val="Refdenotaalpie"/>
          <w:rFonts w:ascii="Verdana" w:hAnsi="Verdana" w:cs="Arial"/>
          <w:sz w:val="18"/>
          <w:szCs w:val="18"/>
        </w:rPr>
      </w:pPr>
      <w:r w:rsidRPr="00FE755D">
        <w:rPr>
          <w:rStyle w:val="Refdenotaalpie"/>
          <w:rFonts w:ascii="Verdana" w:hAnsi="Verdana" w:cs="Arial"/>
          <w:sz w:val="18"/>
          <w:szCs w:val="18"/>
        </w:rPr>
        <w:footnoteRef/>
      </w:r>
      <w:r w:rsidRPr="00FE755D">
        <w:rPr>
          <w:rStyle w:val="Refdenotaalpie"/>
          <w:rFonts w:ascii="Verdana" w:hAnsi="Verdana" w:cs="Arial"/>
          <w:sz w:val="18"/>
          <w:szCs w:val="18"/>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6">
    <w:p w14:paraId="439C2EFA" w14:textId="77777777" w:rsidR="00A95D08" w:rsidRDefault="00A95D08" w:rsidP="00A95D08">
      <w:pPr>
        <w:pStyle w:val="Textonotapie"/>
        <w:ind w:firstLine="709"/>
        <w:jc w:val="both"/>
        <w:rPr>
          <w:rFonts w:ascii="Verdana" w:hAnsi="Verdana" w:cs="Arial"/>
          <w:sz w:val="18"/>
          <w:szCs w:val="18"/>
        </w:rPr>
      </w:pPr>
      <w:r w:rsidRPr="00FE755D">
        <w:rPr>
          <w:rStyle w:val="Refdenotaalpie"/>
          <w:rFonts w:ascii="Verdana" w:hAnsi="Verdana" w:cs="Arial"/>
          <w:sz w:val="18"/>
          <w:szCs w:val="18"/>
        </w:rPr>
        <w:footnoteRef/>
      </w:r>
      <w:r w:rsidRPr="00FE755D">
        <w:rPr>
          <w:rFonts w:ascii="Verdana" w:hAnsi="Verdana" w:cs="Arial"/>
          <w:sz w:val="18"/>
          <w:szCs w:val="18"/>
        </w:rPr>
        <w:t xml:space="preserve"> Consejo de Estado, Sala de Consulta y Servicio Civil de fecha 24 de julio de 2013, radicado 2166, Consejero Ponente: Álvaro Namén Vargas. </w:t>
      </w:r>
    </w:p>
    <w:p w14:paraId="59C2F5F3" w14:textId="77777777" w:rsidR="00A95D08" w:rsidRPr="00FE755D" w:rsidRDefault="00A95D08" w:rsidP="00A95D08">
      <w:pPr>
        <w:pStyle w:val="Textonotapie"/>
        <w:ind w:firstLine="709"/>
        <w:jc w:val="both"/>
        <w:rPr>
          <w:rFonts w:ascii="Verdana" w:hAnsi="Verdana" w:cs="Arial"/>
          <w:sz w:val="18"/>
          <w:szCs w:val="18"/>
        </w:rPr>
      </w:pPr>
    </w:p>
  </w:footnote>
  <w:footnote w:id="7">
    <w:p w14:paraId="27624FE8" w14:textId="77777777" w:rsidR="00A95D08" w:rsidRPr="00FE755D" w:rsidRDefault="00A95D08" w:rsidP="00A95D08">
      <w:pPr>
        <w:spacing w:after="0" w:line="240" w:lineRule="auto"/>
        <w:ind w:firstLine="709"/>
        <w:jc w:val="both"/>
        <w:rPr>
          <w:rFonts w:ascii="Verdana" w:eastAsia="Times New Roman" w:hAnsi="Verdana" w:cs="Arial"/>
          <w:sz w:val="18"/>
          <w:szCs w:val="18"/>
        </w:rPr>
      </w:pPr>
      <w:r w:rsidRPr="00FE755D">
        <w:rPr>
          <w:rStyle w:val="Refdenotaalpie"/>
          <w:rFonts w:ascii="Verdana" w:hAnsi="Verdana" w:cs="Arial"/>
          <w:sz w:val="18"/>
          <w:szCs w:val="18"/>
        </w:rPr>
        <w:footnoteRef/>
      </w:r>
      <w:r w:rsidRPr="00FE755D">
        <w:rPr>
          <w:rFonts w:ascii="Verdana" w:hAnsi="Verdana" w:cs="Arial"/>
          <w:sz w:val="18"/>
          <w:szCs w:val="18"/>
        </w:rPr>
        <w:t xml:space="preserve"> </w:t>
      </w:r>
      <w:bookmarkStart w:id="3" w:name="33"/>
      <w:r w:rsidRPr="00FE755D">
        <w:rPr>
          <w:rFonts w:ascii="Verdana" w:eastAsia="Calibri" w:hAnsi="Verdana" w:cs="Arial"/>
          <w:bCs/>
          <w:color w:val="000000"/>
          <w:sz w:val="18"/>
          <w:szCs w:val="18"/>
        </w:rPr>
        <w:t>“</w:t>
      </w:r>
      <w:r w:rsidRPr="00FE755D">
        <w:rPr>
          <w:rFonts w:ascii="Verdana" w:eastAsia="Times New Roman" w:hAnsi="Verdana" w:cs="Arial"/>
          <w:sz w:val="18"/>
          <w:szCs w:val="18"/>
        </w:rPr>
        <w:t>Artículo 33. Restricciones a la contratación pública.</w:t>
      </w:r>
      <w:bookmarkEnd w:id="3"/>
      <w:r w:rsidRPr="00FE755D">
        <w:rPr>
          <w:rFonts w:ascii="Verdana" w:eastAsia="Times New Roman" w:hAnsi="Verdana" w:cs="Arial"/>
          <w:sz w:val="18"/>
          <w:szCs w:val="18"/>
        </w:rPr>
        <w:t> Durante los cuatro (4) meses anteriores a la elección presidencial y hasta la realización de la elección en la segunda vuelta, si fuere el caso, queda prohibida la contratación directa por parte de todos los entes del Estado.</w:t>
      </w:r>
    </w:p>
    <w:p w14:paraId="01A04EF4" w14:textId="77777777" w:rsidR="00A95D08" w:rsidRPr="00FE755D" w:rsidRDefault="00A95D08" w:rsidP="00A95D08">
      <w:pPr>
        <w:spacing w:before="120" w:after="0" w:line="240" w:lineRule="auto"/>
        <w:ind w:firstLine="709"/>
        <w:jc w:val="both"/>
        <w:rPr>
          <w:rFonts w:ascii="Verdana" w:eastAsia="Times New Roman" w:hAnsi="Verdana" w:cs="Arial"/>
          <w:sz w:val="18"/>
          <w:szCs w:val="18"/>
        </w:rPr>
      </w:pPr>
      <w:r w:rsidRPr="00FE755D">
        <w:rPr>
          <w:rFonts w:ascii="Verdana" w:eastAsia="Times New Roman" w:hAnsi="Verdana" w:cs="Arial"/>
          <w:sz w:val="18"/>
          <w:szCs w:val="18"/>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FE755D">
        <w:rPr>
          <w:rFonts w:ascii="Verdana" w:eastAsia="Calibri" w:hAnsi="Verdana" w:cs="Arial"/>
          <w:bCs/>
          <w:color w:val="000000"/>
          <w:sz w:val="18"/>
          <w:szCs w:val="18"/>
        </w:rPr>
        <w:t>”</w:t>
      </w:r>
      <w:r w:rsidRPr="00FE755D">
        <w:rPr>
          <w:rFonts w:ascii="Verdana" w:eastAsia="Times New Roman" w:hAnsi="Verdana" w:cs="Arial"/>
          <w:sz w:val="18"/>
          <w:szCs w:val="18"/>
        </w:rPr>
        <w:t>.</w:t>
      </w:r>
    </w:p>
  </w:footnote>
  <w:footnote w:id="8">
    <w:p w14:paraId="7E0187AE" w14:textId="77777777" w:rsidR="00A95D08" w:rsidRPr="00FE755D" w:rsidRDefault="00A95D08" w:rsidP="00A95D08">
      <w:pPr>
        <w:pStyle w:val="NormalWeb"/>
        <w:spacing w:before="0" w:beforeAutospacing="0" w:after="0" w:afterAutospacing="0"/>
        <w:ind w:firstLine="709"/>
        <w:rPr>
          <w:rFonts w:ascii="Verdana" w:hAnsi="Verdana" w:cs="Arial"/>
          <w:sz w:val="18"/>
          <w:szCs w:val="18"/>
        </w:rPr>
      </w:pPr>
    </w:p>
    <w:p w14:paraId="1BBF2263" w14:textId="77777777" w:rsidR="00A95D08" w:rsidRPr="00FE755D" w:rsidRDefault="00A95D08" w:rsidP="00A95D08">
      <w:pPr>
        <w:pStyle w:val="NormalWeb"/>
        <w:spacing w:before="0" w:beforeAutospacing="0" w:after="0" w:afterAutospacing="0"/>
        <w:ind w:firstLine="709"/>
        <w:rPr>
          <w:rFonts w:ascii="Verdana" w:hAnsi="Verdana" w:cs="Arial"/>
          <w:sz w:val="18"/>
          <w:szCs w:val="18"/>
          <w:lang w:val="es-MX"/>
        </w:rPr>
      </w:pPr>
      <w:r w:rsidRPr="00FE755D">
        <w:rPr>
          <w:rStyle w:val="Refdenotaalpie"/>
          <w:rFonts w:ascii="Verdana" w:eastAsiaTheme="majorEastAsia" w:hAnsi="Verdana" w:cs="Arial"/>
          <w:sz w:val="18"/>
          <w:szCs w:val="18"/>
        </w:rPr>
        <w:footnoteRef/>
      </w:r>
      <w:r w:rsidRPr="00FE755D">
        <w:rPr>
          <w:rFonts w:ascii="Verdana" w:hAnsi="Verdana" w:cs="Arial"/>
          <w:sz w:val="18"/>
          <w:szCs w:val="18"/>
        </w:rPr>
        <w:t xml:space="preserve"> </w:t>
      </w:r>
      <w:bookmarkStart w:id="4" w:name="38"/>
      <w:r w:rsidRPr="00FE755D">
        <w:rPr>
          <w:rFonts w:ascii="Verdana" w:eastAsia="Calibri" w:hAnsi="Verdana" w:cs="Arial"/>
          <w:bCs/>
          <w:color w:val="000000"/>
          <w:sz w:val="18"/>
          <w:szCs w:val="18"/>
        </w:rPr>
        <w:t>“</w:t>
      </w:r>
      <w:r w:rsidRPr="00FE755D">
        <w:rPr>
          <w:rFonts w:ascii="Verdana" w:hAnsi="Verdana" w:cs="Arial"/>
          <w:sz w:val="18"/>
          <w:szCs w:val="18"/>
          <w:lang w:val="es-MX"/>
        </w:rPr>
        <w:t>Artículo 38. Prohibiciones para los servidores públicos. A los empleados del Estado les está prohibido:</w:t>
      </w:r>
      <w:bookmarkEnd w:id="4"/>
    </w:p>
    <w:p w14:paraId="0E96FEDE" w14:textId="77777777" w:rsidR="00A95D08" w:rsidRPr="00FE755D" w:rsidRDefault="00A95D08" w:rsidP="00A95D08">
      <w:pPr>
        <w:pStyle w:val="NormalWeb"/>
        <w:spacing w:before="0" w:beforeAutospacing="0" w:after="0" w:afterAutospacing="0"/>
        <w:ind w:firstLine="709"/>
        <w:rPr>
          <w:rFonts w:ascii="Verdana" w:hAnsi="Verdana" w:cs="Arial"/>
          <w:sz w:val="18"/>
          <w:szCs w:val="18"/>
          <w:lang w:val="es-MX"/>
        </w:rPr>
      </w:pPr>
      <w:r w:rsidRPr="00FE755D">
        <w:rPr>
          <w:rFonts w:ascii="Verdana" w:hAnsi="Verdana" w:cs="Arial"/>
          <w:sz w:val="18"/>
          <w:szCs w:val="18"/>
          <w:lang w:val="es-MX"/>
        </w:rPr>
        <w:t>[…]</w:t>
      </w:r>
    </w:p>
    <w:p w14:paraId="51BC4863" w14:textId="77777777" w:rsidR="00A95D08" w:rsidRPr="00FE755D" w:rsidRDefault="00A95D08" w:rsidP="00A95D08">
      <w:pPr>
        <w:pStyle w:val="NormalWeb"/>
        <w:spacing w:before="0" w:beforeAutospacing="0" w:after="0" w:afterAutospacing="0"/>
        <w:ind w:firstLine="709"/>
        <w:rPr>
          <w:rFonts w:ascii="Verdana" w:hAnsi="Verdana" w:cs="Arial"/>
          <w:sz w:val="18"/>
          <w:szCs w:val="18"/>
          <w:lang w:val="es-MX"/>
        </w:rPr>
      </w:pPr>
      <w:r w:rsidRPr="00FE755D">
        <w:rPr>
          <w:rStyle w:val="baj"/>
          <w:rFonts w:ascii="Verdana" w:hAnsi="Verdana" w:cs="Arial"/>
          <w:sz w:val="18"/>
          <w:szCs w:val="18"/>
          <w:lang w:val="es-MX"/>
        </w:rPr>
        <w:t>Parágrafo.</w:t>
      </w:r>
      <w:r w:rsidRPr="00FE755D">
        <w:rPr>
          <w:rFonts w:ascii="Verdana" w:hAnsi="Verdana" w:cs="Arial"/>
          <w:sz w:val="18"/>
          <w:szCs w:val="18"/>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FE755D">
        <w:rPr>
          <w:rFonts w:ascii="Verdana" w:eastAsia="Calibri" w:hAnsi="Verdana" w:cs="Arial"/>
          <w:bCs/>
          <w:color w:val="000000"/>
          <w:sz w:val="18"/>
          <w:szCs w:val="18"/>
        </w:rPr>
        <w:t>”</w:t>
      </w:r>
      <w:r w:rsidRPr="00FE755D">
        <w:rPr>
          <w:rFonts w:ascii="Verdana" w:hAnsi="Verdana" w:cs="Arial"/>
          <w:sz w:val="18"/>
          <w:szCs w:val="18"/>
          <w:lang w:val="es-MX"/>
        </w:rPr>
        <w:t>.</w:t>
      </w:r>
    </w:p>
  </w:footnote>
  <w:footnote w:id="9">
    <w:p w14:paraId="3F31F194" w14:textId="77777777" w:rsidR="00A95D08" w:rsidRPr="00FE755D" w:rsidRDefault="00A95D08" w:rsidP="00A95D08">
      <w:pPr>
        <w:spacing w:after="0" w:line="240" w:lineRule="auto"/>
        <w:ind w:firstLine="709"/>
        <w:jc w:val="both"/>
        <w:rPr>
          <w:rFonts w:ascii="Verdana" w:hAnsi="Verdana" w:cs="Arial"/>
          <w:sz w:val="18"/>
          <w:szCs w:val="18"/>
        </w:rPr>
      </w:pPr>
    </w:p>
    <w:p w14:paraId="7A0D9F04" w14:textId="77777777" w:rsidR="00A95D08" w:rsidRPr="00FE755D" w:rsidRDefault="00A95D08" w:rsidP="00A95D08">
      <w:pPr>
        <w:spacing w:after="0" w:line="240" w:lineRule="auto"/>
        <w:ind w:firstLine="709"/>
        <w:jc w:val="both"/>
        <w:rPr>
          <w:rFonts w:ascii="Verdana" w:hAnsi="Verdana" w:cs="Arial"/>
          <w:sz w:val="18"/>
          <w:szCs w:val="18"/>
          <w:lang w:val="es-ES"/>
        </w:rPr>
      </w:pPr>
      <w:r w:rsidRPr="00FE755D">
        <w:rPr>
          <w:rStyle w:val="Refdenotaalpie"/>
          <w:rFonts w:ascii="Verdana" w:hAnsi="Verdana" w:cs="Arial"/>
          <w:sz w:val="18"/>
          <w:szCs w:val="18"/>
        </w:rPr>
        <w:footnoteRef/>
      </w:r>
      <w:r w:rsidRPr="00FE755D">
        <w:rPr>
          <w:rFonts w:ascii="Verdana" w:hAnsi="Verdana" w:cs="Arial"/>
          <w:sz w:val="18"/>
          <w:szCs w:val="18"/>
        </w:rPr>
        <w:t xml:space="preserve"> Consejo de Estado. Sala de Consulta y Servicio Civil. Concepto del 17 de febrero de 2015. C.P. William Zambrano Cetina. Radicación No. 11001-03-06-000-2015-00164-00(2269).</w:t>
      </w:r>
    </w:p>
  </w:footnote>
  <w:footnote w:id="10">
    <w:p w14:paraId="779A5E00" w14:textId="77777777" w:rsidR="00A95D08" w:rsidRPr="008302D6" w:rsidRDefault="00A95D08" w:rsidP="00A95D08">
      <w:pPr>
        <w:pStyle w:val="Textonotapie"/>
        <w:ind w:right="51" w:firstLine="709"/>
        <w:jc w:val="both"/>
        <w:rPr>
          <w:rFonts w:ascii="Verdana" w:hAnsi="Verdana" w:cs="Arial"/>
          <w:sz w:val="16"/>
          <w:szCs w:val="16"/>
        </w:rPr>
      </w:pPr>
      <w:r w:rsidRPr="008302D6">
        <w:rPr>
          <w:rStyle w:val="Refdenotaalpie"/>
          <w:rFonts w:ascii="Verdana" w:hAnsi="Verdana" w:cs="Arial"/>
          <w:sz w:val="16"/>
          <w:szCs w:val="16"/>
        </w:rPr>
        <w:footnoteRef/>
      </w:r>
      <w:r w:rsidRPr="008302D6">
        <w:rPr>
          <w:rFonts w:ascii="Verdana" w:hAnsi="Verdana" w:cs="Arial"/>
          <w:sz w:val="16"/>
          <w:szCs w:val="16"/>
        </w:rPr>
        <w:t xml:space="preserve"> “</w:t>
      </w:r>
      <w:r w:rsidRPr="008302D6">
        <w:rPr>
          <w:rFonts w:ascii="Verdana" w:hAnsi="Verdana" w:cs="Arial"/>
          <w:sz w:val="16"/>
          <w:szCs w:val="16"/>
          <w:lang w:val="es-ES"/>
        </w:rPr>
        <w:t xml:space="preserve">[25] </w:t>
      </w:r>
      <w:r w:rsidRPr="008302D6">
        <w:rPr>
          <w:rFonts w:ascii="Verdana" w:hAnsi="Verdana" w:cs="Arial"/>
          <w:sz w:val="16"/>
          <w:szCs w:val="16"/>
        </w:rPr>
        <w:t>Cfr. Consejo de Estado. Sección Tercera. Sentencia de 3 de diciembre de 2007. Radicados: 24.715, 25.206, 25.409, 24.524, 27.834, 25.410, 26.105, 28.244, 31.447 -acumulados-“.</w:t>
      </w:r>
    </w:p>
  </w:footnote>
  <w:footnote w:id="11">
    <w:p w14:paraId="78152872" w14:textId="77777777" w:rsidR="00A95D08" w:rsidRPr="008302D6" w:rsidRDefault="00A95D08" w:rsidP="00A95D08">
      <w:pPr>
        <w:pStyle w:val="Textonotapie"/>
        <w:ind w:right="51" w:firstLine="709"/>
        <w:jc w:val="both"/>
        <w:rPr>
          <w:rFonts w:ascii="Verdana" w:hAnsi="Verdana" w:cs="Arial"/>
          <w:sz w:val="16"/>
          <w:szCs w:val="16"/>
        </w:rPr>
      </w:pPr>
      <w:r w:rsidRPr="008302D6">
        <w:rPr>
          <w:rStyle w:val="Refdenotaalpie"/>
          <w:rFonts w:ascii="Verdana" w:hAnsi="Verdana" w:cs="Arial"/>
          <w:sz w:val="16"/>
          <w:szCs w:val="16"/>
        </w:rPr>
        <w:footnoteRef/>
      </w:r>
      <w:r w:rsidRPr="008302D6">
        <w:rPr>
          <w:rFonts w:ascii="Verdana" w:hAnsi="Verdana" w:cs="Arial"/>
          <w:sz w:val="16"/>
          <w:szCs w:val="16"/>
        </w:rPr>
        <w:t xml:space="preserve"> “</w:t>
      </w:r>
      <w:r w:rsidRPr="008302D6">
        <w:rPr>
          <w:rFonts w:ascii="Verdana" w:hAnsi="Verdana" w:cs="Arial"/>
          <w:sz w:val="16"/>
          <w:szCs w:val="16"/>
          <w:lang w:val="es-ES"/>
        </w:rPr>
        <w:t xml:space="preserve">[26] </w:t>
      </w:r>
      <w:r w:rsidRPr="008302D6">
        <w:rPr>
          <w:rFonts w:ascii="Verdana" w:hAnsi="Verdana" w:cs="Arial"/>
          <w:sz w:val="16"/>
          <w:szCs w:val="16"/>
        </w:rPr>
        <w:t>Al respecto ver el concepto 1712 de 2 de febrero de 2006. Consejo de Estado Sala de Consulta y Servicio Civil”.</w:t>
      </w:r>
    </w:p>
    <w:p w14:paraId="5EBDA6C2" w14:textId="77777777" w:rsidR="00A95D08" w:rsidRPr="008302D6" w:rsidRDefault="00A95D08" w:rsidP="00A95D08">
      <w:pPr>
        <w:pStyle w:val="Textonotapie"/>
        <w:ind w:right="51" w:firstLine="709"/>
        <w:jc w:val="both"/>
        <w:rPr>
          <w:rFonts w:ascii="Verdana" w:hAnsi="Verdana" w:cs="Arial"/>
          <w:sz w:val="16"/>
          <w:szCs w:val="16"/>
        </w:rPr>
      </w:pPr>
    </w:p>
  </w:footnote>
  <w:footnote w:id="12">
    <w:p w14:paraId="2CB3385E" w14:textId="77777777" w:rsidR="00A95D08" w:rsidRPr="008302D6" w:rsidRDefault="00A95D08" w:rsidP="00A95D08">
      <w:pPr>
        <w:pStyle w:val="Textonotapie"/>
        <w:ind w:firstLine="709"/>
        <w:jc w:val="both"/>
        <w:rPr>
          <w:rFonts w:ascii="Verdana" w:hAnsi="Verdana" w:cs="Arial"/>
          <w:sz w:val="16"/>
          <w:szCs w:val="16"/>
        </w:rPr>
      </w:pPr>
      <w:r w:rsidRPr="008302D6">
        <w:rPr>
          <w:rStyle w:val="Refdenotaalpie"/>
          <w:rFonts w:ascii="Verdana" w:hAnsi="Verdana" w:cs="Arial"/>
          <w:sz w:val="16"/>
          <w:szCs w:val="16"/>
        </w:rPr>
        <w:footnoteRef/>
      </w:r>
      <w:r w:rsidRPr="008302D6">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p w14:paraId="72864A75" w14:textId="77777777" w:rsidR="00A95D08" w:rsidRPr="008302D6" w:rsidRDefault="00A95D08" w:rsidP="00A95D08">
      <w:pPr>
        <w:pStyle w:val="Textonotapie"/>
        <w:ind w:firstLine="709"/>
        <w:jc w:val="both"/>
        <w:rPr>
          <w:rFonts w:ascii="Verdana" w:hAnsi="Verdana" w:cs="Arial"/>
          <w:sz w:val="16"/>
          <w:szCs w:val="16"/>
        </w:rPr>
      </w:pPr>
    </w:p>
  </w:footnote>
  <w:footnote w:id="13">
    <w:p w14:paraId="24E36251" w14:textId="77777777" w:rsidR="00A95D08" w:rsidRPr="008302D6" w:rsidRDefault="00A95D08" w:rsidP="00A95D08">
      <w:pPr>
        <w:pStyle w:val="Textonotapie"/>
        <w:ind w:firstLine="709"/>
        <w:jc w:val="both"/>
        <w:rPr>
          <w:rFonts w:ascii="Verdana" w:hAnsi="Verdana" w:cs="Arial"/>
          <w:sz w:val="16"/>
          <w:szCs w:val="16"/>
          <w:lang w:val="es-ES"/>
        </w:rPr>
      </w:pPr>
      <w:r w:rsidRPr="008302D6">
        <w:rPr>
          <w:rStyle w:val="Refdenotaalpie"/>
          <w:rFonts w:ascii="Verdana" w:hAnsi="Verdana" w:cs="Arial"/>
          <w:sz w:val="16"/>
          <w:szCs w:val="16"/>
        </w:rPr>
        <w:footnoteRef/>
      </w:r>
      <w:r w:rsidRPr="008302D6">
        <w:rPr>
          <w:rFonts w:ascii="Verdana" w:hAnsi="Verdana" w:cs="Arial"/>
          <w:sz w:val="16"/>
          <w:szCs w:val="16"/>
        </w:rPr>
        <w:t xml:space="preserve"> </w:t>
      </w:r>
      <w:r w:rsidRPr="008302D6">
        <w:rPr>
          <w:rFonts w:ascii="Verdana" w:hAnsi="Verdana" w:cs="Arial"/>
          <w:sz w:val="16"/>
          <w:szCs w:val="16"/>
          <w:lang w:val="es-ES"/>
        </w:rPr>
        <w:t xml:space="preserve">Artículo 2. </w:t>
      </w:r>
    </w:p>
    <w:p w14:paraId="423F81FC" w14:textId="77777777" w:rsidR="00A95D08" w:rsidRPr="008302D6" w:rsidRDefault="00A95D08" w:rsidP="00A95D08">
      <w:pPr>
        <w:pStyle w:val="Textonotapie"/>
        <w:ind w:firstLine="709"/>
        <w:jc w:val="both"/>
        <w:rPr>
          <w:rFonts w:ascii="Verdana" w:hAnsi="Verdana" w:cs="Arial"/>
          <w:sz w:val="16"/>
          <w:szCs w:val="16"/>
          <w:lang w:val="es-ES"/>
        </w:rPr>
      </w:pPr>
    </w:p>
  </w:footnote>
  <w:footnote w:id="14">
    <w:p w14:paraId="196A821B" w14:textId="77777777" w:rsidR="00A95D08" w:rsidRPr="008302D6" w:rsidRDefault="00A95D08" w:rsidP="00A95D08">
      <w:pPr>
        <w:pStyle w:val="Textonotapie"/>
        <w:ind w:firstLine="709"/>
        <w:jc w:val="both"/>
        <w:rPr>
          <w:rFonts w:ascii="Verdana" w:hAnsi="Verdana" w:cs="Arial"/>
          <w:sz w:val="16"/>
          <w:szCs w:val="16"/>
          <w:lang w:val="es-ES"/>
        </w:rPr>
      </w:pPr>
      <w:r w:rsidRPr="008302D6">
        <w:rPr>
          <w:rStyle w:val="Refdenotaalpie"/>
          <w:rFonts w:ascii="Verdana" w:hAnsi="Verdana" w:cs="Arial"/>
          <w:sz w:val="16"/>
          <w:szCs w:val="16"/>
        </w:rPr>
        <w:footnoteRef/>
      </w:r>
      <w:r w:rsidRPr="008302D6">
        <w:rPr>
          <w:rFonts w:ascii="Verdana" w:hAnsi="Verdana" w:cs="Arial"/>
          <w:sz w:val="16"/>
          <w:szCs w:val="16"/>
        </w:rPr>
        <w:t xml:space="preserve"> </w:t>
      </w:r>
      <w:r w:rsidRPr="008302D6">
        <w:rPr>
          <w:rFonts w:ascii="Verdana" w:hAnsi="Verdana" w:cs="Arial"/>
          <w:i/>
          <w:sz w:val="16"/>
          <w:szCs w:val="16"/>
          <w:lang w:val="es-ES"/>
        </w:rPr>
        <w:t>Ídem</w:t>
      </w:r>
      <w:r w:rsidRPr="008302D6">
        <w:rPr>
          <w:rFonts w:ascii="Verdana" w:hAnsi="Verdana" w:cs="Arial"/>
          <w:sz w:val="16"/>
          <w:szCs w:val="16"/>
          <w:lang w:val="es-ES"/>
        </w:rPr>
        <w:t>.</w:t>
      </w:r>
    </w:p>
  </w:footnote>
  <w:footnote w:id="15">
    <w:p w14:paraId="260E0C51" w14:textId="77777777" w:rsidR="00A95D08" w:rsidRPr="008302D6" w:rsidRDefault="00A95D08" w:rsidP="00A95D08">
      <w:pPr>
        <w:pStyle w:val="Textonotapie"/>
        <w:ind w:firstLine="709"/>
        <w:jc w:val="both"/>
        <w:rPr>
          <w:rFonts w:ascii="Verdana" w:hAnsi="Verdana" w:cs="Arial"/>
          <w:sz w:val="16"/>
          <w:szCs w:val="16"/>
          <w:lang w:val="es-ES"/>
        </w:rPr>
      </w:pPr>
      <w:r w:rsidRPr="008302D6">
        <w:rPr>
          <w:rStyle w:val="Refdenotaalpie"/>
          <w:rFonts w:ascii="Verdana" w:hAnsi="Verdana" w:cs="Arial"/>
          <w:sz w:val="16"/>
          <w:szCs w:val="16"/>
        </w:rPr>
        <w:footnoteRef/>
      </w:r>
      <w:r w:rsidRPr="008302D6">
        <w:rPr>
          <w:rStyle w:val="Refdenotaalpie"/>
          <w:rFonts w:ascii="Verdana" w:hAnsi="Verdana" w:cs="Arial"/>
          <w:sz w:val="16"/>
          <w:szCs w:val="16"/>
        </w:rPr>
        <w:t xml:space="preserve"> </w:t>
      </w:r>
      <w:r w:rsidRPr="008302D6">
        <w:rPr>
          <w:rFonts w:ascii="Verdana" w:hAnsi="Verdana" w:cs="Arial"/>
          <w:sz w:val="16"/>
          <w:szCs w:val="16"/>
          <w:lang w:val="es-ES"/>
        </w:rPr>
        <w:t xml:space="preserve">“[…] A este respecto, cabe recordar que el artículo 860 del Código de Comercio regula la licitación en el derecho privado”. </w:t>
      </w:r>
    </w:p>
    <w:p w14:paraId="03FB5659" w14:textId="77777777" w:rsidR="00A95D08" w:rsidRPr="008302D6" w:rsidRDefault="00A95D08" w:rsidP="00A95D08">
      <w:pPr>
        <w:pStyle w:val="Textonotapie"/>
        <w:ind w:firstLine="709"/>
        <w:jc w:val="both"/>
        <w:rPr>
          <w:rFonts w:ascii="Verdana" w:hAnsi="Verdana" w:cs="Arial"/>
          <w:sz w:val="16"/>
          <w:szCs w:val="16"/>
          <w:lang w:val="es-ES"/>
        </w:rPr>
      </w:pPr>
    </w:p>
  </w:footnote>
  <w:footnote w:id="16">
    <w:p w14:paraId="5C2C3C6B" w14:textId="77777777" w:rsidR="00A95D08" w:rsidRPr="008302D6" w:rsidRDefault="00A95D08" w:rsidP="00A95D08">
      <w:pPr>
        <w:shd w:val="clear" w:color="auto" w:fill="FFFFFF" w:themeFill="background1"/>
        <w:spacing w:after="0" w:line="240" w:lineRule="auto"/>
        <w:ind w:firstLine="709"/>
        <w:jc w:val="both"/>
        <w:rPr>
          <w:rFonts w:ascii="Verdana" w:hAnsi="Verdana" w:cs="Arial"/>
          <w:sz w:val="16"/>
          <w:szCs w:val="16"/>
          <w:lang w:val="es-ES"/>
        </w:rPr>
      </w:pPr>
      <w:r w:rsidRPr="008302D6">
        <w:rPr>
          <w:rStyle w:val="Refdenotaalpie"/>
          <w:rFonts w:ascii="Verdana" w:hAnsi="Verdana" w:cs="Arial"/>
          <w:sz w:val="16"/>
          <w:szCs w:val="16"/>
        </w:rPr>
        <w:footnoteRef/>
      </w:r>
      <w:r w:rsidRPr="008302D6">
        <w:rPr>
          <w:rStyle w:val="Refdenotaalpie"/>
          <w:rFonts w:ascii="Verdana" w:hAnsi="Verdana" w:cs="Arial"/>
          <w:sz w:val="16"/>
          <w:szCs w:val="16"/>
        </w:rPr>
        <w:t xml:space="preserve"> </w:t>
      </w:r>
      <w:r w:rsidRPr="008302D6">
        <w:rPr>
          <w:rFonts w:ascii="Verdana" w:hAnsi="Verdana" w:cs="Arial"/>
          <w:sz w:val="16"/>
          <w:szCs w:val="16"/>
          <w:lang w:val="es-ES"/>
        </w:rPr>
        <w:t>Consejo de Estado. Sala de Consulta y Servicio Civil, Concepto de 8 de mayo de 2018. Radicación Número: 11001-03-06-000-2018-00095-00(2382). Consejero Ponente: Álvaro Namén Vargas.</w:t>
      </w:r>
    </w:p>
  </w:footnote>
  <w:footnote w:id="17">
    <w:p w14:paraId="2816B588" w14:textId="77777777" w:rsidR="00A95D08" w:rsidRPr="008302D6" w:rsidRDefault="00A95D08" w:rsidP="00A95D08">
      <w:pPr>
        <w:pStyle w:val="Textonotapie"/>
        <w:ind w:firstLine="709"/>
        <w:jc w:val="both"/>
        <w:rPr>
          <w:rFonts w:ascii="Verdana" w:hAnsi="Verdana" w:cs="Arial"/>
          <w:sz w:val="16"/>
          <w:szCs w:val="16"/>
        </w:rPr>
      </w:pPr>
      <w:r w:rsidRPr="008302D6">
        <w:rPr>
          <w:rStyle w:val="Refdenotaalpie"/>
          <w:rFonts w:ascii="Verdana" w:hAnsi="Verdana" w:cs="Arial"/>
          <w:sz w:val="16"/>
          <w:szCs w:val="16"/>
        </w:rPr>
        <w:footnoteRef/>
      </w:r>
      <w:r w:rsidRPr="008302D6">
        <w:rPr>
          <w:rFonts w:ascii="Verdana" w:hAnsi="Verdana" w:cs="Arial"/>
          <w:sz w:val="16"/>
          <w:szCs w:val="16"/>
        </w:rPr>
        <w:t xml:space="preserve"> Consejo de Estado. Sala de Consulta y Servicio Civil. Concepto del 08 de mayo de 2018. Exp. 2.382. C.P. Álvaro Namén Vargas.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30A7"/>
    <w:rsid w:val="00016F78"/>
    <w:rsid w:val="00046945"/>
    <w:rsid w:val="00061B2A"/>
    <w:rsid w:val="00082362"/>
    <w:rsid w:val="000A683E"/>
    <w:rsid w:val="000B19B9"/>
    <w:rsid w:val="000D0334"/>
    <w:rsid w:val="000D64DB"/>
    <w:rsid w:val="000E1020"/>
    <w:rsid w:val="000E18B3"/>
    <w:rsid w:val="000F6486"/>
    <w:rsid w:val="00125105"/>
    <w:rsid w:val="00127233"/>
    <w:rsid w:val="001511A0"/>
    <w:rsid w:val="001E4177"/>
    <w:rsid w:val="001F607D"/>
    <w:rsid w:val="001F7DC6"/>
    <w:rsid w:val="002421BB"/>
    <w:rsid w:val="0025796E"/>
    <w:rsid w:val="002707A2"/>
    <w:rsid w:val="002951A0"/>
    <w:rsid w:val="002962BC"/>
    <w:rsid w:val="002A093D"/>
    <w:rsid w:val="002A0DD0"/>
    <w:rsid w:val="002A49AC"/>
    <w:rsid w:val="002A64FD"/>
    <w:rsid w:val="002C7A84"/>
    <w:rsid w:val="002E4FD9"/>
    <w:rsid w:val="00303CAE"/>
    <w:rsid w:val="00320614"/>
    <w:rsid w:val="00322A85"/>
    <w:rsid w:val="00324168"/>
    <w:rsid w:val="003448F4"/>
    <w:rsid w:val="00356B03"/>
    <w:rsid w:val="00374F5E"/>
    <w:rsid w:val="00377E3E"/>
    <w:rsid w:val="0039156D"/>
    <w:rsid w:val="003A779E"/>
    <w:rsid w:val="003D0F4D"/>
    <w:rsid w:val="003D5B0D"/>
    <w:rsid w:val="003E0499"/>
    <w:rsid w:val="003F3941"/>
    <w:rsid w:val="00406575"/>
    <w:rsid w:val="00414C74"/>
    <w:rsid w:val="0042722E"/>
    <w:rsid w:val="0044528D"/>
    <w:rsid w:val="004936BD"/>
    <w:rsid w:val="004A1847"/>
    <w:rsid w:val="004A305D"/>
    <w:rsid w:val="004F21C4"/>
    <w:rsid w:val="004F685F"/>
    <w:rsid w:val="00512C65"/>
    <w:rsid w:val="005566E8"/>
    <w:rsid w:val="00562A77"/>
    <w:rsid w:val="00574867"/>
    <w:rsid w:val="00591460"/>
    <w:rsid w:val="005A18CA"/>
    <w:rsid w:val="005B3816"/>
    <w:rsid w:val="005C3777"/>
    <w:rsid w:val="005C5CDC"/>
    <w:rsid w:val="005D20DD"/>
    <w:rsid w:val="005D476C"/>
    <w:rsid w:val="005F209B"/>
    <w:rsid w:val="00600687"/>
    <w:rsid w:val="00603617"/>
    <w:rsid w:val="00616E55"/>
    <w:rsid w:val="006219F8"/>
    <w:rsid w:val="00665D70"/>
    <w:rsid w:val="00671F28"/>
    <w:rsid w:val="006900D9"/>
    <w:rsid w:val="00692A8B"/>
    <w:rsid w:val="00706C16"/>
    <w:rsid w:val="00743616"/>
    <w:rsid w:val="00756841"/>
    <w:rsid w:val="007649AB"/>
    <w:rsid w:val="00771D0C"/>
    <w:rsid w:val="007833AC"/>
    <w:rsid w:val="007B268C"/>
    <w:rsid w:val="007B7171"/>
    <w:rsid w:val="007C0C0F"/>
    <w:rsid w:val="007C3DC2"/>
    <w:rsid w:val="007E5497"/>
    <w:rsid w:val="00806F5F"/>
    <w:rsid w:val="00820278"/>
    <w:rsid w:val="008539BF"/>
    <w:rsid w:val="00867F95"/>
    <w:rsid w:val="008843B6"/>
    <w:rsid w:val="00891928"/>
    <w:rsid w:val="008A446D"/>
    <w:rsid w:val="008B0DBF"/>
    <w:rsid w:val="008C2A36"/>
    <w:rsid w:val="008D180B"/>
    <w:rsid w:val="008F0EA7"/>
    <w:rsid w:val="009224D1"/>
    <w:rsid w:val="00923EEF"/>
    <w:rsid w:val="009419F9"/>
    <w:rsid w:val="0095685E"/>
    <w:rsid w:val="00961B09"/>
    <w:rsid w:val="00965334"/>
    <w:rsid w:val="0097093E"/>
    <w:rsid w:val="00986AC5"/>
    <w:rsid w:val="009A0DFA"/>
    <w:rsid w:val="009B2D26"/>
    <w:rsid w:val="009C71FA"/>
    <w:rsid w:val="009C72E7"/>
    <w:rsid w:val="009D3058"/>
    <w:rsid w:val="009F3A13"/>
    <w:rsid w:val="00A122D3"/>
    <w:rsid w:val="00A17F13"/>
    <w:rsid w:val="00A20739"/>
    <w:rsid w:val="00A33C78"/>
    <w:rsid w:val="00A552EB"/>
    <w:rsid w:val="00A62350"/>
    <w:rsid w:val="00A87D1C"/>
    <w:rsid w:val="00A95D08"/>
    <w:rsid w:val="00AB0ADB"/>
    <w:rsid w:val="00B01B1A"/>
    <w:rsid w:val="00B66319"/>
    <w:rsid w:val="00B72CD3"/>
    <w:rsid w:val="00B72FFF"/>
    <w:rsid w:val="00B86AD7"/>
    <w:rsid w:val="00BC3D36"/>
    <w:rsid w:val="00BD7F72"/>
    <w:rsid w:val="00C00355"/>
    <w:rsid w:val="00C04FB3"/>
    <w:rsid w:val="00C330EB"/>
    <w:rsid w:val="00C41061"/>
    <w:rsid w:val="00C455FF"/>
    <w:rsid w:val="00C754BE"/>
    <w:rsid w:val="00C76B1C"/>
    <w:rsid w:val="00C83BB8"/>
    <w:rsid w:val="00CB6357"/>
    <w:rsid w:val="00CC1B26"/>
    <w:rsid w:val="00D20C65"/>
    <w:rsid w:val="00D21709"/>
    <w:rsid w:val="00D423A2"/>
    <w:rsid w:val="00D520D8"/>
    <w:rsid w:val="00D63AC2"/>
    <w:rsid w:val="00D64AB2"/>
    <w:rsid w:val="00D7383B"/>
    <w:rsid w:val="00DA231B"/>
    <w:rsid w:val="00DC39FC"/>
    <w:rsid w:val="00DF5254"/>
    <w:rsid w:val="00E10075"/>
    <w:rsid w:val="00E16408"/>
    <w:rsid w:val="00E20894"/>
    <w:rsid w:val="00E245AB"/>
    <w:rsid w:val="00E2764C"/>
    <w:rsid w:val="00E27F2E"/>
    <w:rsid w:val="00E50AFE"/>
    <w:rsid w:val="00E75C92"/>
    <w:rsid w:val="00E75F10"/>
    <w:rsid w:val="00E771DC"/>
    <w:rsid w:val="00E8772A"/>
    <w:rsid w:val="00E90F6B"/>
    <w:rsid w:val="00E92C27"/>
    <w:rsid w:val="00EA0E3D"/>
    <w:rsid w:val="00EC38A7"/>
    <w:rsid w:val="00ED7384"/>
    <w:rsid w:val="00EE0977"/>
    <w:rsid w:val="00EE1AA8"/>
    <w:rsid w:val="00EF7396"/>
    <w:rsid w:val="00F31EDC"/>
    <w:rsid w:val="00F462B3"/>
    <w:rsid w:val="00F5664F"/>
    <w:rsid w:val="00F666C4"/>
    <w:rsid w:val="00F76AFC"/>
    <w:rsid w:val="00FA47C0"/>
    <w:rsid w:val="00FB1926"/>
    <w:rsid w:val="00FB5DD1"/>
    <w:rsid w:val="00FC2B5D"/>
    <w:rsid w:val="00FD5A36"/>
    <w:rsid w:val="00FF0910"/>
    <w:rsid w:val="00FF1449"/>
    <w:rsid w:val="094FF46E"/>
    <w:rsid w:val="165E9519"/>
    <w:rsid w:val="32DC2C46"/>
    <w:rsid w:val="32F9DBCD"/>
    <w:rsid w:val="382536D9"/>
    <w:rsid w:val="3E49CC11"/>
    <w:rsid w:val="43E45B6E"/>
    <w:rsid w:val="44C7EE7E"/>
    <w:rsid w:val="4ADBF702"/>
    <w:rsid w:val="617AE54A"/>
    <w:rsid w:val="61B8D0CD"/>
    <w:rsid w:val="6905443B"/>
    <w:rsid w:val="6ADDB927"/>
    <w:rsid w:val="6B4B3BA5"/>
    <w:rsid w:val="6B78403D"/>
    <w:rsid w:val="6EFDAB80"/>
    <w:rsid w:val="789BBF88"/>
    <w:rsid w:val="7A8FABAF"/>
    <w:rsid w:val="7B6AA7A6"/>
    <w:rsid w:val="7C183931"/>
    <w:rsid w:val="7DD8E03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A95D08"/>
    <w:pPr>
      <w:spacing w:line="240" w:lineRule="exact"/>
    </w:pPr>
    <w:rPr>
      <w:vertAlign w:val="superscript"/>
    </w:rPr>
  </w:style>
  <w:style w:type="paragraph" w:customStyle="1" w:styleId="TableParagraph">
    <w:name w:val="Table Paragraph"/>
    <w:basedOn w:val="Normal"/>
    <w:uiPriority w:val="1"/>
    <w:qFormat/>
    <w:rsid w:val="00A95D08"/>
    <w:pPr>
      <w:widowControl w:val="0"/>
      <w:autoSpaceDE w:val="0"/>
      <w:autoSpaceDN w:val="0"/>
      <w:spacing w:after="0" w:line="208" w:lineRule="exact"/>
      <w:ind w:left="119"/>
    </w:pPr>
    <w:rPr>
      <w:rFonts w:ascii="Calibri" w:eastAsia="Calibri" w:hAnsi="Calibri" w:cs="Calibri"/>
      <w:lang w:val="es-ES"/>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95D08"/>
    <w:rPr>
      <w:rFonts w:ascii="Geomanist Light" w:hAnsi="Geomanist Light"/>
      <w:lang w:val="es-ES"/>
    </w:rPr>
  </w:style>
  <w:style w:type="paragraph" w:customStyle="1" w:styleId="query-text-line">
    <w:name w:val="query-text-line"/>
    <w:basedOn w:val="Normal"/>
    <w:rsid w:val="00A95D08"/>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NormalWebCar">
    <w:name w:val="Normal (Web) Car"/>
    <w:link w:val="NormalWeb"/>
    <w:uiPriority w:val="99"/>
    <w:locked/>
    <w:rsid w:val="00A95D08"/>
    <w:rPr>
      <w:rFonts w:ascii="Times New Roman" w:eastAsia="Times New Roman" w:hAnsi="Times New Roman" w:cs="Times New Roman"/>
      <w:sz w:val="24"/>
      <w:szCs w:val="24"/>
      <w:lang w:eastAsia="es-CO"/>
    </w:rPr>
  </w:style>
  <w:style w:type="character" w:customStyle="1" w:styleId="baj">
    <w:name w:val="b_aj"/>
    <w:basedOn w:val="Fuentedeprrafopredeter"/>
    <w:rsid w:val="00A95D08"/>
  </w:style>
  <w:style w:type="table" w:customStyle="1" w:styleId="TableNormal1">
    <w:name w:val="Table Normal1"/>
    <w:uiPriority w:val="2"/>
    <w:semiHidden/>
    <w:unhideWhenUsed/>
    <w:qFormat/>
    <w:rsid w:val="00A95D0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extoindependiente">
    <w:name w:val="Body Text"/>
    <w:basedOn w:val="Normal"/>
    <w:link w:val="TextoindependienteCar"/>
    <w:uiPriority w:val="1"/>
    <w:qFormat/>
    <w:rsid w:val="00320614"/>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320614"/>
    <w:rPr>
      <w:rFonts w:ascii="Verdana" w:eastAsia="Verdana" w:hAnsi="Verdana" w:cs="Verdana"/>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jpe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yjrm1979@gmail.com"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41E1D1F9-7B2B-4BA8-B204-5F1BCB772470}"/>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15</Pages>
  <Words>4726</Words>
  <Characters>26088</Characters>
  <Application>Microsoft Office Word</Application>
  <DocSecurity>0</DocSecurity>
  <Lines>501</Lines>
  <Paragraphs>102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30712</CharactersWithSpaces>
  <SharedDoc>false</SharedDoc>
  <HLinks>
    <vt:vector size="6" baseType="variant">
      <vt:variant>
        <vt:i4>1900622</vt:i4>
      </vt:variant>
      <vt:variant>
        <vt:i4>0</vt:i4>
      </vt:variant>
      <vt:variant>
        <vt:i4>0</vt:i4>
      </vt:variant>
      <vt:variant>
        <vt:i4>5</vt:i4>
      </vt:variant>
      <vt:variant>
        <vt:lpwstr>https://relatoria.colombiacompra.gov.co/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Nicolas Andres Guzman Padilla</cp:lastModifiedBy>
  <cp:revision>6</cp:revision>
  <cp:lastPrinted>2023-01-10T21:18:00Z</cp:lastPrinted>
  <dcterms:created xsi:type="dcterms:W3CDTF">2025-12-17T04:01:00Z</dcterms:created>
  <dcterms:modified xsi:type="dcterms:W3CDTF">2025-12-22T02:27:00Z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