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787844" w14:textId="77777777" w:rsidR="005B2CC5" w:rsidRDefault="005B2CC5" w:rsidP="005B2CC5">
      <w:pPr>
        <w:spacing w:after="0"/>
        <w:rPr>
          <w:rFonts w:ascii="Verdana" w:hAnsi="Verdana"/>
          <w:b/>
          <w:bCs/>
        </w:rPr>
      </w:pPr>
      <w:bookmarkStart w:id="0" w:name="_Hlk143780582"/>
      <w:r w:rsidRPr="005B2CC5">
        <w:rPr>
          <w:rFonts w:ascii="Verdana" w:hAnsi="Verdana"/>
          <w:b/>
          <w:bCs/>
        </w:rPr>
        <w:t>SELECCIÓN ABREVIADA – Modalidad de selección – Naturaleza</w:t>
      </w:r>
    </w:p>
    <w:p w14:paraId="5D4D455B" w14:textId="77777777" w:rsidR="005B2CC5" w:rsidRPr="005B2CC5" w:rsidRDefault="005B2CC5" w:rsidP="005B2CC5">
      <w:pPr>
        <w:spacing w:after="0"/>
        <w:jc w:val="both"/>
        <w:rPr>
          <w:rFonts w:ascii="Verdana" w:hAnsi="Verdana"/>
          <w:sz w:val="20"/>
          <w:szCs w:val="20"/>
        </w:rPr>
      </w:pPr>
    </w:p>
    <w:p w14:paraId="02AA85EC" w14:textId="77777777" w:rsidR="005B2CC5" w:rsidRDefault="005B2CC5" w:rsidP="005B2CC5">
      <w:pPr>
        <w:spacing w:after="0"/>
        <w:jc w:val="both"/>
        <w:rPr>
          <w:rFonts w:ascii="Verdana" w:hAnsi="Verdana"/>
          <w:sz w:val="20"/>
          <w:szCs w:val="20"/>
        </w:rPr>
      </w:pPr>
      <w:r w:rsidRPr="005B2CC5">
        <w:rPr>
          <w:rFonts w:ascii="Verdana" w:hAnsi="Verdana"/>
          <w:sz w:val="20"/>
          <w:szCs w:val="20"/>
        </w:rPr>
        <w:t>Respecto de la selección abreviada, el numeral 2° del artículo 2 de Ley 1150 de 2007 la define en los siguientes términos: “2. Selección abreviada. La Selección abreviada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 […]”.</w:t>
      </w:r>
    </w:p>
    <w:p w14:paraId="420BEEF7" w14:textId="77777777" w:rsidR="009D1E9A" w:rsidRPr="005B2CC5" w:rsidRDefault="009D1E9A" w:rsidP="005B2CC5">
      <w:pPr>
        <w:spacing w:after="0"/>
        <w:jc w:val="both"/>
        <w:rPr>
          <w:rFonts w:ascii="Verdana" w:hAnsi="Verdana"/>
          <w:sz w:val="20"/>
          <w:szCs w:val="20"/>
        </w:rPr>
      </w:pPr>
    </w:p>
    <w:p w14:paraId="62E07192" w14:textId="77777777" w:rsidR="005B2CC5" w:rsidRPr="005B2CC5" w:rsidRDefault="005B2CC5" w:rsidP="005B2CC5">
      <w:pPr>
        <w:spacing w:after="0"/>
        <w:jc w:val="both"/>
        <w:rPr>
          <w:rFonts w:ascii="Verdana" w:hAnsi="Verdana"/>
          <w:sz w:val="20"/>
          <w:szCs w:val="20"/>
        </w:rPr>
      </w:pPr>
      <w:r w:rsidRPr="005B2CC5">
        <w:rPr>
          <w:rFonts w:ascii="Verdana" w:hAnsi="Verdana"/>
          <w:sz w:val="20"/>
          <w:szCs w:val="20"/>
        </w:rPr>
        <w:t>Esta norma contempla una modalidad de selección que se caracteriza por tener etapas simplificadas y términos más cortos que la licitación pública, lo cual se justifica por la complejidad de los asuntos que se contratan a través de esta modalidad, que requieren de procedimientos ágiles y eficientes.</w:t>
      </w:r>
    </w:p>
    <w:p w14:paraId="5639201B" w14:textId="77777777" w:rsidR="005B2CC5" w:rsidRDefault="005B2CC5" w:rsidP="006678D3">
      <w:pPr>
        <w:spacing w:after="0"/>
        <w:rPr>
          <w:rFonts w:ascii="Verdana" w:hAnsi="Verdana"/>
        </w:rPr>
      </w:pPr>
    </w:p>
    <w:p w14:paraId="32567C41" w14:textId="1DEE478D" w:rsidR="005B2CC5" w:rsidRDefault="009D1E9A" w:rsidP="006678D3">
      <w:pPr>
        <w:spacing w:after="0"/>
        <w:rPr>
          <w:rFonts w:ascii="Verdana" w:hAnsi="Verdana"/>
          <w:b/>
          <w:bCs/>
        </w:rPr>
      </w:pPr>
      <w:r w:rsidRPr="009D1E9A">
        <w:rPr>
          <w:rFonts w:ascii="Verdana" w:hAnsi="Verdana"/>
          <w:b/>
          <w:bCs/>
        </w:rPr>
        <w:t>SELECCIÓN ABREVIADA MENOR CUANTÍA – Modalidad de selección – Procedencia – Corporaciones de elección popular territoriales</w:t>
      </w:r>
    </w:p>
    <w:p w14:paraId="1C124B03" w14:textId="77777777" w:rsidR="009D1E9A" w:rsidRDefault="009D1E9A" w:rsidP="006678D3">
      <w:pPr>
        <w:spacing w:after="0"/>
        <w:rPr>
          <w:rFonts w:ascii="Verdana" w:hAnsi="Verdana"/>
          <w:b/>
          <w:bCs/>
        </w:rPr>
      </w:pPr>
    </w:p>
    <w:p w14:paraId="12455687" w14:textId="77777777" w:rsidR="009D1E9A" w:rsidRPr="009D1E9A" w:rsidRDefault="009D1E9A" w:rsidP="009D1E9A">
      <w:pPr>
        <w:spacing w:after="0"/>
        <w:jc w:val="both"/>
        <w:rPr>
          <w:rFonts w:ascii="Verdana" w:hAnsi="Verdana"/>
          <w:sz w:val="20"/>
          <w:szCs w:val="20"/>
        </w:rPr>
      </w:pPr>
      <w:r w:rsidRPr="009D1E9A">
        <w:rPr>
          <w:rFonts w:ascii="Verdana" w:hAnsi="Verdana"/>
          <w:sz w:val="20"/>
          <w:szCs w:val="20"/>
        </w:rPr>
        <w:t xml:space="preserve">Respecto al problema jurídico planteado debe señalarse que, los concejos y asambleas tienen capacidad para contratar y autonomía financiera y presupuestal, de acuerdo con el artículo 110 del Decreto 111 de 1996 –Estatuto presupuestal. Por tanto, la cuantía para efectos de los procesos de contratación se determinará según su presupuesto anual. </w:t>
      </w:r>
    </w:p>
    <w:p w14:paraId="3FA6C15E" w14:textId="77777777" w:rsidR="009D1E9A" w:rsidRDefault="009D1E9A" w:rsidP="009D1E9A">
      <w:pPr>
        <w:spacing w:after="0"/>
        <w:jc w:val="both"/>
        <w:rPr>
          <w:rFonts w:ascii="Verdana" w:hAnsi="Verdana"/>
          <w:sz w:val="20"/>
          <w:szCs w:val="20"/>
        </w:rPr>
      </w:pPr>
    </w:p>
    <w:p w14:paraId="09152C13" w14:textId="417BA647" w:rsidR="009D1E9A" w:rsidRPr="009D1E9A" w:rsidRDefault="009D1E9A" w:rsidP="009D1E9A">
      <w:pPr>
        <w:spacing w:after="0"/>
        <w:jc w:val="both"/>
        <w:rPr>
          <w:rFonts w:ascii="Verdana" w:hAnsi="Verdana"/>
          <w:sz w:val="20"/>
          <w:szCs w:val="20"/>
        </w:rPr>
      </w:pPr>
      <w:r w:rsidRPr="009D1E9A">
        <w:rPr>
          <w:rFonts w:ascii="Verdana" w:hAnsi="Verdana"/>
          <w:sz w:val="20"/>
          <w:szCs w:val="20"/>
        </w:rPr>
        <w:t xml:space="preserve">En este punto, debe señalarse que el numeral 2 del artículo 2 de la Ley 1150 de 2007 regula la selección abreviada y particularmente, en el literal b) la causal de contratación de menor cuantía, enlistando los valores que se determinan en función de los presupuestos anuales de las Entidades Públicas expresados en salarios mínimos legales mensuales. </w:t>
      </w:r>
    </w:p>
    <w:p w14:paraId="65B3418A" w14:textId="77777777" w:rsidR="009D1E9A" w:rsidRDefault="009D1E9A" w:rsidP="006678D3">
      <w:pPr>
        <w:spacing w:after="0"/>
        <w:rPr>
          <w:rFonts w:ascii="Verdana" w:hAnsi="Verdana"/>
          <w:b/>
          <w:bCs/>
        </w:rPr>
      </w:pPr>
    </w:p>
    <w:p w14:paraId="2546DB07" w14:textId="77777777" w:rsidR="009D1E9A" w:rsidRDefault="009D1E9A" w:rsidP="006678D3">
      <w:pPr>
        <w:spacing w:after="0"/>
        <w:rPr>
          <w:rFonts w:ascii="Verdana" w:hAnsi="Verdana"/>
          <w:b/>
          <w:bCs/>
        </w:rPr>
      </w:pPr>
    </w:p>
    <w:p w14:paraId="18AD3093" w14:textId="77777777" w:rsidR="00843F89" w:rsidRDefault="00843F89" w:rsidP="006678D3">
      <w:pPr>
        <w:spacing w:after="0"/>
        <w:rPr>
          <w:rFonts w:ascii="Verdana" w:hAnsi="Verdana"/>
          <w:b/>
          <w:bCs/>
        </w:rPr>
      </w:pPr>
    </w:p>
    <w:p w14:paraId="2F61D6E8" w14:textId="77777777" w:rsidR="00843F89" w:rsidRDefault="00843F89" w:rsidP="006678D3">
      <w:pPr>
        <w:spacing w:after="0"/>
        <w:rPr>
          <w:rFonts w:ascii="Verdana" w:hAnsi="Verdana"/>
          <w:b/>
          <w:bCs/>
        </w:rPr>
      </w:pPr>
    </w:p>
    <w:p w14:paraId="22090C52" w14:textId="77777777" w:rsidR="00843F89" w:rsidRDefault="00843F89" w:rsidP="006678D3">
      <w:pPr>
        <w:spacing w:after="0"/>
        <w:rPr>
          <w:rFonts w:ascii="Verdana" w:hAnsi="Verdana"/>
          <w:b/>
          <w:bCs/>
        </w:rPr>
      </w:pPr>
    </w:p>
    <w:p w14:paraId="05C5FF53" w14:textId="77777777" w:rsidR="00843F89" w:rsidRDefault="00843F89" w:rsidP="006678D3">
      <w:pPr>
        <w:spacing w:after="0"/>
        <w:rPr>
          <w:rFonts w:ascii="Verdana" w:hAnsi="Verdana"/>
          <w:b/>
          <w:bCs/>
        </w:rPr>
      </w:pPr>
    </w:p>
    <w:p w14:paraId="253C5FA5" w14:textId="77777777" w:rsidR="00843F89" w:rsidRDefault="00843F89" w:rsidP="006678D3">
      <w:pPr>
        <w:spacing w:after="0"/>
        <w:rPr>
          <w:rFonts w:ascii="Verdana" w:hAnsi="Verdana"/>
          <w:b/>
          <w:bCs/>
        </w:rPr>
      </w:pPr>
    </w:p>
    <w:p w14:paraId="38A3258E" w14:textId="77777777" w:rsidR="00843F89" w:rsidRDefault="00843F89" w:rsidP="006678D3">
      <w:pPr>
        <w:spacing w:after="0"/>
        <w:rPr>
          <w:rFonts w:ascii="Verdana" w:hAnsi="Verdana"/>
          <w:b/>
          <w:bCs/>
        </w:rPr>
      </w:pPr>
    </w:p>
    <w:p w14:paraId="0E591FAF" w14:textId="77777777" w:rsidR="00843F89" w:rsidRDefault="00843F89" w:rsidP="006678D3">
      <w:pPr>
        <w:spacing w:after="0"/>
        <w:rPr>
          <w:rFonts w:ascii="Verdana" w:hAnsi="Verdana"/>
          <w:b/>
          <w:bCs/>
        </w:rPr>
      </w:pPr>
    </w:p>
    <w:p w14:paraId="726ADB4D" w14:textId="77777777" w:rsidR="00843F89" w:rsidRDefault="00843F89" w:rsidP="006678D3">
      <w:pPr>
        <w:spacing w:after="0"/>
        <w:rPr>
          <w:rFonts w:ascii="Verdana" w:hAnsi="Verdana"/>
          <w:b/>
          <w:bCs/>
        </w:rPr>
      </w:pPr>
    </w:p>
    <w:p w14:paraId="7804A920" w14:textId="77777777" w:rsidR="009D1E9A" w:rsidRDefault="009D1E9A" w:rsidP="006678D3">
      <w:pPr>
        <w:spacing w:after="0"/>
        <w:rPr>
          <w:rFonts w:ascii="Verdana" w:hAnsi="Verdana"/>
          <w:b/>
          <w:bCs/>
        </w:rPr>
      </w:pPr>
    </w:p>
    <w:p w14:paraId="565E7BC4" w14:textId="77777777" w:rsidR="009D1E9A" w:rsidRPr="009D1E9A" w:rsidRDefault="009D1E9A" w:rsidP="006678D3">
      <w:pPr>
        <w:spacing w:after="0"/>
        <w:rPr>
          <w:rFonts w:ascii="Verdana" w:hAnsi="Verdana"/>
          <w:b/>
          <w:bCs/>
        </w:rPr>
      </w:pPr>
    </w:p>
    <w:p w14:paraId="2CC0D263" w14:textId="77777777" w:rsidR="005B2CC5" w:rsidRDefault="005B2CC5" w:rsidP="006678D3">
      <w:pPr>
        <w:spacing w:after="0"/>
        <w:rPr>
          <w:rFonts w:ascii="Verdana" w:hAnsi="Verdana"/>
        </w:rPr>
      </w:pPr>
    </w:p>
    <w:p w14:paraId="3BD42ED2" w14:textId="77777777" w:rsidR="005B2CC5" w:rsidRDefault="005B2CC5" w:rsidP="006678D3">
      <w:pPr>
        <w:spacing w:after="0"/>
        <w:rPr>
          <w:rFonts w:ascii="Verdana" w:hAnsi="Verdana"/>
        </w:rPr>
      </w:pPr>
    </w:p>
    <w:p w14:paraId="1F4656A7" w14:textId="7C53F468" w:rsidR="006678D3" w:rsidRDefault="006678D3" w:rsidP="006678D3">
      <w:pPr>
        <w:spacing w:after="0"/>
        <w:rPr>
          <w:rFonts w:ascii="Verdana" w:hAnsi="Verdana"/>
        </w:rPr>
      </w:pPr>
      <w:r w:rsidRPr="00065B81">
        <w:rPr>
          <w:rFonts w:ascii="Verdana" w:hAnsi="Verdana"/>
        </w:rPr>
        <w:lastRenderedPageBreak/>
        <w:t>Bogotá D.C., </w:t>
      </w:r>
      <w:r w:rsidR="008B414A">
        <w:rPr>
          <w:rFonts w:ascii="Verdana" w:hAnsi="Verdana"/>
        </w:rPr>
        <w:t>17 de diciembre de 2025</w:t>
      </w:r>
    </w:p>
    <w:p w14:paraId="3F20228D" w14:textId="166C29BD" w:rsidR="008B414A" w:rsidRPr="00065B81" w:rsidRDefault="008B414A" w:rsidP="008B414A">
      <w:pPr>
        <w:spacing w:after="0"/>
        <w:jc w:val="right"/>
        <w:rPr>
          <w:rFonts w:ascii="Verdana" w:hAnsi="Verdana"/>
        </w:rPr>
      </w:pPr>
      <w:r w:rsidRPr="008B414A">
        <w:rPr>
          <w:rFonts w:ascii="Verdana" w:hAnsi="Verdana"/>
          <w:noProof/>
        </w:rPr>
        <w:drawing>
          <wp:inline distT="0" distB="0" distL="0" distR="0" wp14:anchorId="4E89ECA2" wp14:editId="112571E8">
            <wp:extent cx="3381847" cy="933580"/>
            <wp:effectExtent l="0" t="0" r="9525" b="0"/>
            <wp:docPr id="164819385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193859" name="Imagen 1" descr="Texto&#10;&#10;El contenido generado por IA puede ser incorrecto."/>
                    <pic:cNvPicPr/>
                  </pic:nvPicPr>
                  <pic:blipFill>
                    <a:blip r:embed="rId11"/>
                    <a:stretch>
                      <a:fillRect/>
                    </a:stretch>
                  </pic:blipFill>
                  <pic:spPr>
                    <a:xfrm>
                      <a:off x="0" y="0"/>
                      <a:ext cx="3381847" cy="933580"/>
                    </a:xfrm>
                    <a:prstGeom prst="rect">
                      <a:avLst/>
                    </a:prstGeom>
                  </pic:spPr>
                </pic:pic>
              </a:graphicData>
            </a:graphic>
          </wp:inline>
        </w:drawing>
      </w:r>
    </w:p>
    <w:p w14:paraId="6877028E" w14:textId="77777777" w:rsidR="006678D3" w:rsidRPr="0044528D" w:rsidRDefault="006678D3" w:rsidP="006678D3">
      <w:pPr>
        <w:spacing w:after="0"/>
        <w:rPr>
          <w:rFonts w:ascii="Verdana" w:hAnsi="Verdana"/>
        </w:rPr>
      </w:pPr>
    </w:p>
    <w:p w14:paraId="38AA0323" w14:textId="77777777" w:rsidR="006678D3" w:rsidRPr="008D179B" w:rsidRDefault="006678D3" w:rsidP="006678D3">
      <w:pPr>
        <w:spacing w:after="0" w:line="240" w:lineRule="auto"/>
        <w:jc w:val="both"/>
        <w:rPr>
          <w:rFonts w:ascii="Verdana" w:eastAsia="Calibri" w:hAnsi="Verdana" w:cs="Arial"/>
          <w:lang w:val="es-ES" w:eastAsia="es-ES"/>
        </w:rPr>
      </w:pPr>
      <w:r w:rsidRPr="008D179B">
        <w:rPr>
          <w:rFonts w:ascii="Verdana" w:eastAsia="Calibri" w:hAnsi="Verdana" w:cs="Arial"/>
          <w:lang w:val="es-ES" w:eastAsia="es-ES"/>
        </w:rPr>
        <w:t>Señor</w:t>
      </w:r>
      <w:r>
        <w:rPr>
          <w:rFonts w:ascii="Verdana" w:eastAsia="Calibri" w:hAnsi="Verdana" w:cs="Arial"/>
          <w:lang w:val="es-ES" w:eastAsia="es-ES"/>
        </w:rPr>
        <w:t>a</w:t>
      </w:r>
    </w:p>
    <w:p w14:paraId="6D4731B9" w14:textId="77777777" w:rsidR="006678D3" w:rsidRPr="008D179B" w:rsidRDefault="006678D3" w:rsidP="006678D3">
      <w:pPr>
        <w:spacing w:after="0" w:line="240" w:lineRule="auto"/>
        <w:rPr>
          <w:rFonts w:ascii="Verdana" w:eastAsia="Calibri" w:hAnsi="Verdana" w:cs="Arial"/>
          <w:b/>
          <w:lang w:val="es-ES" w:eastAsia="es-ES"/>
        </w:rPr>
      </w:pPr>
      <w:r>
        <w:rPr>
          <w:rFonts w:ascii="Verdana" w:eastAsia="Calibri" w:hAnsi="Verdana" w:cs="Arial"/>
          <w:b/>
          <w:lang w:val="es-ES" w:eastAsia="es-ES"/>
        </w:rPr>
        <w:t>María Adelaida Sierra Pico</w:t>
      </w:r>
    </w:p>
    <w:p w14:paraId="5F4B8881" w14:textId="77777777" w:rsidR="006678D3" w:rsidRPr="008D179B" w:rsidRDefault="006678D3" w:rsidP="006678D3">
      <w:pPr>
        <w:spacing w:after="0" w:line="240" w:lineRule="auto"/>
        <w:rPr>
          <w:rFonts w:ascii="Verdana" w:hAnsi="Verdana"/>
        </w:rPr>
      </w:pPr>
      <w:hyperlink r:id="rId12" w:history="1">
        <w:r w:rsidRPr="00556763">
          <w:rPr>
            <w:rStyle w:val="Hipervnculo"/>
            <w:rFonts w:ascii="Verdana" w:hAnsi="Verdana"/>
          </w:rPr>
          <w:t>masierrap@gmail.com</w:t>
        </w:r>
      </w:hyperlink>
    </w:p>
    <w:p w14:paraId="6FC0B845" w14:textId="77777777" w:rsidR="006678D3" w:rsidRPr="008D179B" w:rsidRDefault="006678D3" w:rsidP="006678D3">
      <w:pPr>
        <w:spacing w:after="0" w:line="240" w:lineRule="auto"/>
        <w:rPr>
          <w:rFonts w:ascii="Verdana" w:hAnsi="Verdana" w:cs="ArialMT"/>
        </w:rPr>
      </w:pPr>
      <w:r>
        <w:rPr>
          <w:rFonts w:ascii="Verdana" w:eastAsia="Calibri" w:hAnsi="Verdana" w:cs="Arial"/>
          <w:lang w:val="es-ES" w:eastAsia="es-ES"/>
        </w:rPr>
        <w:t>Retiro, Antioquia</w:t>
      </w:r>
    </w:p>
    <w:p w14:paraId="4F6A0F20" w14:textId="77777777" w:rsidR="006678D3" w:rsidRDefault="006678D3" w:rsidP="006678D3">
      <w:pPr>
        <w:spacing w:after="0" w:line="240" w:lineRule="auto"/>
        <w:rPr>
          <w:rFonts w:ascii="Verdana" w:eastAsia="Calibri" w:hAnsi="Verdana" w:cs="Arial"/>
          <w:b/>
          <w:bCs/>
          <w:color w:val="000000"/>
          <w:lang w:val="es-ES_tradnl" w:eastAsia="es-ES_tradnl"/>
        </w:rPr>
      </w:pPr>
    </w:p>
    <w:p w14:paraId="32D3135F" w14:textId="77777777" w:rsidR="006678D3" w:rsidRDefault="006678D3" w:rsidP="006678D3">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678D3" w14:paraId="0D79398A" w14:textId="77777777" w:rsidTr="00BE41CC">
        <w:trPr>
          <w:trHeight w:val="218"/>
        </w:trPr>
        <w:tc>
          <w:tcPr>
            <w:tcW w:w="2689" w:type="dxa"/>
          </w:tcPr>
          <w:p w14:paraId="669AE7B2" w14:textId="77777777" w:rsidR="006678D3" w:rsidRDefault="006678D3" w:rsidP="00BE41CC">
            <w:pPr>
              <w:jc w:val="both"/>
              <w:rPr>
                <w:rFonts w:ascii="Verdana" w:eastAsia="Calibri" w:hAnsi="Verdana" w:cs="Arial"/>
                <w:b/>
                <w:bCs/>
                <w:color w:val="7030A0"/>
                <w:lang w:val="es-ES_tradnl" w:eastAsia="es-ES_tradnl"/>
              </w:rPr>
            </w:pPr>
          </w:p>
        </w:tc>
        <w:tc>
          <w:tcPr>
            <w:tcW w:w="6100" w:type="dxa"/>
            <w:hideMark/>
          </w:tcPr>
          <w:p w14:paraId="5FB77CBE" w14:textId="77777777" w:rsidR="006678D3" w:rsidRDefault="006678D3" w:rsidP="00BE41CC">
            <w:pPr>
              <w:jc w:val="both"/>
              <w:rPr>
                <w:rFonts w:ascii="Verdana" w:eastAsia="Calibri" w:hAnsi="Verdana" w:cs="Arial"/>
                <w:b/>
                <w:bCs/>
                <w:lang w:val="es-ES" w:eastAsia="es-ES"/>
              </w:rPr>
            </w:pPr>
            <w:r>
              <w:rPr>
                <w:rFonts w:ascii="Verdana" w:eastAsia="Calibri" w:hAnsi="Verdana" w:cs="Arial"/>
                <w:b/>
                <w:bCs/>
                <w:lang w:val="es-ES" w:eastAsia="es-ES"/>
              </w:rPr>
              <w:t>Concepto C-1639 de 2025</w:t>
            </w:r>
          </w:p>
          <w:p w14:paraId="1D396024" w14:textId="77777777" w:rsidR="006678D3" w:rsidRDefault="006678D3" w:rsidP="00BE41CC">
            <w:pPr>
              <w:jc w:val="both"/>
              <w:rPr>
                <w:rFonts w:ascii="Verdana" w:eastAsia="Calibri" w:hAnsi="Verdana" w:cs="Arial"/>
                <w:b/>
                <w:bCs/>
                <w:lang w:val="es-ES" w:eastAsia="es-ES"/>
              </w:rPr>
            </w:pPr>
          </w:p>
          <w:p w14:paraId="3D29F3C2" w14:textId="77777777" w:rsidR="006678D3" w:rsidRDefault="006678D3" w:rsidP="00BE41CC">
            <w:pPr>
              <w:jc w:val="both"/>
              <w:rPr>
                <w:rFonts w:ascii="Verdana" w:eastAsia="Calibri" w:hAnsi="Verdana" w:cs="Arial"/>
                <w:b/>
                <w:bCs/>
                <w:lang w:val="es-ES" w:eastAsia="es-ES"/>
              </w:rPr>
            </w:pPr>
          </w:p>
        </w:tc>
      </w:tr>
      <w:tr w:rsidR="006678D3" w14:paraId="34B29E74" w14:textId="77777777" w:rsidTr="00BE41CC">
        <w:trPr>
          <w:trHeight w:val="884"/>
        </w:trPr>
        <w:tc>
          <w:tcPr>
            <w:tcW w:w="2689" w:type="dxa"/>
            <w:hideMark/>
          </w:tcPr>
          <w:p w14:paraId="7EA1115C" w14:textId="77777777" w:rsidR="006678D3" w:rsidRDefault="006678D3" w:rsidP="00BE41CC">
            <w:pPr>
              <w:jc w:val="both"/>
              <w:rPr>
                <w:rFonts w:ascii="Verdana" w:eastAsia="Calibri" w:hAnsi="Verdana" w:cs="Arial"/>
                <w:color w:val="000000"/>
                <w:lang w:val="es-ES_tradnl" w:eastAsia="es-ES_tradnl"/>
              </w:rPr>
            </w:pPr>
            <w:r>
              <w:rPr>
                <w:rFonts w:ascii="Verdana" w:eastAsia="Calibri" w:hAnsi="Verdana" w:cs="Arial"/>
                <w:b/>
                <w:color w:val="000000"/>
                <w:lang w:val="es-ES_tradnl" w:eastAsia="es-ES_tradnl"/>
              </w:rPr>
              <w:t>Temas:</w:t>
            </w:r>
            <w:r>
              <w:rPr>
                <w:rFonts w:ascii="Verdana" w:eastAsia="Calibri" w:hAnsi="Verdana" w:cs="Arial"/>
                <w:color w:val="000000"/>
                <w:lang w:val="es-ES_tradnl" w:eastAsia="es-ES_tradnl"/>
              </w:rPr>
              <w:t xml:space="preserve">                   </w:t>
            </w:r>
          </w:p>
        </w:tc>
        <w:tc>
          <w:tcPr>
            <w:tcW w:w="6100" w:type="dxa"/>
            <w:hideMark/>
          </w:tcPr>
          <w:p w14:paraId="0423F967" w14:textId="77777777" w:rsidR="006678D3" w:rsidRPr="002168A0" w:rsidRDefault="006678D3" w:rsidP="00BE41CC">
            <w:pPr>
              <w:jc w:val="both"/>
              <w:rPr>
                <w:rFonts w:ascii="Verdana" w:hAnsi="Verdana" w:cs="Arial"/>
                <w:lang w:val="es-ES" w:eastAsia="es-ES"/>
              </w:rPr>
            </w:pPr>
            <w:r w:rsidRPr="0049500E">
              <w:rPr>
                <w:rFonts w:ascii="Verdana" w:eastAsia="Times New Roman" w:hAnsi="Verdana" w:cs="Arial"/>
                <w:lang w:val="es-MX" w:eastAsia="es-CO"/>
              </w:rPr>
              <w:t>SELECCIÓN ABREVIADA – Modalidad de selección – Naturaleza </w:t>
            </w:r>
            <w:r w:rsidRPr="0049500E">
              <w:rPr>
                <w:rFonts w:ascii="Verdana" w:eastAsia="Times New Roman" w:hAnsi="Verdana" w:cs="Arial"/>
                <w:lang w:eastAsia="es-CO"/>
              </w:rPr>
              <w:t xml:space="preserve">/ </w:t>
            </w:r>
            <w:r w:rsidRPr="0049500E">
              <w:rPr>
                <w:rFonts w:ascii="Verdana" w:eastAsia="Times New Roman" w:hAnsi="Verdana" w:cs="Arial"/>
                <w:lang w:val="es-MX" w:eastAsia="es-CO"/>
              </w:rPr>
              <w:t>SELECCIÓN ABREVIADA MENOR CUANTÍA – Modalidad de selección – Procedencia</w:t>
            </w:r>
            <w:r>
              <w:rPr>
                <w:rFonts w:ascii="Verdana" w:eastAsia="Times New Roman" w:hAnsi="Verdana" w:cs="Arial"/>
                <w:lang w:val="es-MX" w:eastAsia="es-CO"/>
              </w:rPr>
              <w:t xml:space="preserve"> </w:t>
            </w:r>
            <w:r w:rsidRPr="0049500E">
              <w:rPr>
                <w:rFonts w:ascii="Verdana" w:eastAsia="Times New Roman" w:hAnsi="Verdana" w:cs="Arial"/>
                <w:lang w:val="es-MX" w:eastAsia="es-CO"/>
              </w:rPr>
              <w:t>–</w:t>
            </w:r>
            <w:r>
              <w:rPr>
                <w:rFonts w:ascii="Verdana" w:eastAsia="Times New Roman" w:hAnsi="Verdana" w:cs="Arial"/>
                <w:lang w:val="es-MX" w:eastAsia="es-CO"/>
              </w:rPr>
              <w:t xml:space="preserve"> Corporaciones de elección popular territoriales</w:t>
            </w:r>
          </w:p>
          <w:p w14:paraId="73238502" w14:textId="77777777" w:rsidR="006678D3" w:rsidRDefault="006678D3" w:rsidP="00BE41CC">
            <w:pPr>
              <w:spacing w:line="276" w:lineRule="auto"/>
              <w:jc w:val="both"/>
              <w:rPr>
                <w:rFonts w:ascii="Verdana" w:eastAsia="Calibri" w:hAnsi="Verdana" w:cs="Arial"/>
                <w:lang w:val="es-ES" w:eastAsia="es-ES"/>
              </w:rPr>
            </w:pPr>
          </w:p>
        </w:tc>
      </w:tr>
      <w:tr w:rsidR="006678D3" w14:paraId="2FD94673" w14:textId="77777777" w:rsidTr="00BE41CC">
        <w:tc>
          <w:tcPr>
            <w:tcW w:w="2689" w:type="dxa"/>
            <w:hideMark/>
          </w:tcPr>
          <w:p w14:paraId="4375A461" w14:textId="77777777" w:rsidR="006678D3" w:rsidRDefault="006678D3" w:rsidP="00BE41CC">
            <w:pPr>
              <w:jc w:val="both"/>
              <w:rPr>
                <w:rFonts w:ascii="Verdana" w:eastAsia="Calibri" w:hAnsi="Verdana" w:cs="Arial"/>
                <w:b/>
                <w:color w:val="7030A0"/>
                <w:lang w:val="es-ES_tradnl" w:eastAsia="es-ES_tradnl"/>
              </w:rPr>
            </w:pPr>
            <w:r>
              <w:rPr>
                <w:rFonts w:ascii="Verdana" w:eastAsia="Calibri" w:hAnsi="Verdana" w:cs="Arial"/>
                <w:b/>
                <w:lang w:val="es-ES_tradnl" w:eastAsia="es-ES_tradnl"/>
              </w:rPr>
              <w:t>Radicación:</w:t>
            </w:r>
            <w:r>
              <w:rPr>
                <w:rFonts w:ascii="Verdana" w:eastAsia="Calibri" w:hAnsi="Verdana" w:cs="Arial"/>
                <w:lang w:val="es-ES_tradnl" w:eastAsia="es-ES_tradnl"/>
              </w:rPr>
              <w:t xml:space="preserve">               </w:t>
            </w:r>
          </w:p>
        </w:tc>
        <w:tc>
          <w:tcPr>
            <w:tcW w:w="6100" w:type="dxa"/>
          </w:tcPr>
          <w:p w14:paraId="132FE7B8" w14:textId="77777777" w:rsidR="006678D3" w:rsidRDefault="006678D3" w:rsidP="00BE41CC">
            <w:pPr>
              <w:jc w:val="both"/>
              <w:rPr>
                <w:rFonts w:ascii="Verdana" w:eastAsia="Calibri" w:hAnsi="Verdana" w:cs="Arial"/>
                <w:lang w:val="es-ES_tradnl" w:eastAsia="es-ES_tradnl"/>
              </w:rPr>
            </w:pPr>
            <w:r>
              <w:rPr>
                <w:rFonts w:ascii="Verdana" w:eastAsia="Calibri" w:hAnsi="Verdana" w:cs="Arial"/>
                <w:lang w:val="es-ES_tradnl" w:eastAsia="es-ES_tradnl"/>
              </w:rPr>
              <w:t xml:space="preserve">Respuesta a consulta con radicado No. </w:t>
            </w:r>
            <w:r w:rsidRPr="00F92500">
              <w:rPr>
                <w:rFonts w:ascii="Verdana" w:hAnsi="Verdana" w:cs="Calibri"/>
              </w:rPr>
              <w:t>1_2025_11_06_012543</w:t>
            </w:r>
          </w:p>
        </w:tc>
      </w:tr>
    </w:tbl>
    <w:p w14:paraId="3D7083FE" w14:textId="77777777" w:rsidR="006678D3" w:rsidRDefault="006678D3" w:rsidP="006678D3">
      <w:pPr>
        <w:spacing w:after="0" w:line="240" w:lineRule="auto"/>
        <w:jc w:val="both"/>
        <w:rPr>
          <w:rFonts w:ascii="Verdana" w:eastAsia="Calibri" w:hAnsi="Verdana" w:cs="Arial"/>
          <w:color w:val="000000"/>
          <w:lang w:val="es-ES_tradnl" w:eastAsia="es-ES_tradnl"/>
        </w:rPr>
      </w:pPr>
    </w:p>
    <w:p w14:paraId="2084756D" w14:textId="77777777" w:rsidR="006678D3" w:rsidRDefault="006678D3" w:rsidP="006678D3">
      <w:pPr>
        <w:spacing w:after="0" w:line="240" w:lineRule="auto"/>
        <w:jc w:val="both"/>
        <w:rPr>
          <w:rFonts w:ascii="Verdana" w:eastAsia="Calibri" w:hAnsi="Verdana" w:cs="Arial"/>
          <w:color w:val="000000"/>
          <w:lang w:val="es-ES_tradnl" w:eastAsia="es-ES_tradnl"/>
        </w:rPr>
      </w:pPr>
    </w:p>
    <w:p w14:paraId="14999B63" w14:textId="77777777" w:rsidR="006678D3" w:rsidRDefault="006678D3" w:rsidP="006678D3">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Estimada señora Sierra,</w:t>
      </w:r>
    </w:p>
    <w:p w14:paraId="63EACEB3" w14:textId="77777777" w:rsidR="006678D3" w:rsidRDefault="006678D3" w:rsidP="006678D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2088989" w14:textId="77777777" w:rsidR="006678D3" w:rsidRDefault="006678D3" w:rsidP="006678D3">
      <w:pPr>
        <w:spacing w:after="0" w:line="276" w:lineRule="auto"/>
        <w:ind w:right="49"/>
        <w:jc w:val="both"/>
        <w:rPr>
          <w:rFonts w:ascii="Verdana" w:eastAsia="Calibri" w:hAnsi="Verdana" w:cs="Arial"/>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de fecha 6 de noviembre de 2025, remitida por el Departamento Administrativo de la Función Pública mediante oficio remisorio No. </w:t>
      </w:r>
      <w:r w:rsidRPr="005538B4">
        <w:rPr>
          <w:rFonts w:ascii="Verdana" w:eastAsia="Calibri" w:hAnsi="Verdana" w:cs="Arial"/>
          <w:lang w:val="es-ES" w:eastAsia="es-ES"/>
        </w:rPr>
        <w:t>20252040537031</w:t>
      </w:r>
      <w:r>
        <w:rPr>
          <w:rFonts w:ascii="Verdana" w:eastAsia="Calibri" w:hAnsi="Verdana" w:cs="Arial"/>
          <w:lang w:val="es-ES" w:eastAsia="es-ES"/>
        </w:rPr>
        <w:t xml:space="preserve">, en la cual manifiesta lo siguiente: </w:t>
      </w:r>
    </w:p>
    <w:p w14:paraId="5C9124CF" w14:textId="77777777" w:rsidR="006678D3" w:rsidRDefault="006678D3" w:rsidP="006678D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73E0373" w14:textId="77777777" w:rsidR="006678D3" w:rsidRDefault="006678D3" w:rsidP="006678D3">
      <w:pPr>
        <w:spacing w:after="0" w:line="240" w:lineRule="auto"/>
        <w:ind w:left="709" w:right="709"/>
        <w:jc w:val="both"/>
        <w:rPr>
          <w:rStyle w:val="normaltextrun"/>
          <w:rFonts w:ascii="Verdana" w:hAnsi="Verdana" w:cs="Arial"/>
          <w:sz w:val="20"/>
          <w:szCs w:val="20"/>
          <w:shd w:val="clear" w:color="auto" w:fill="FFFFFF"/>
          <w:lang w:val="es-ES"/>
        </w:rPr>
      </w:pPr>
      <w:r>
        <w:rPr>
          <w:rFonts w:ascii="Verdana" w:eastAsia="Century Gothic" w:hAnsi="Verdana" w:cs="Century Gothic"/>
          <w:sz w:val="20"/>
          <w:szCs w:val="20"/>
          <w:lang w:val="es-ES"/>
        </w:rPr>
        <w:t>“</w:t>
      </w:r>
      <w:r w:rsidRPr="00AB0FB2">
        <w:rPr>
          <w:rFonts w:ascii="Verdana" w:eastAsia="Century Gothic" w:hAnsi="Verdana" w:cs="Century Gothic"/>
          <w:sz w:val="20"/>
          <w:szCs w:val="20"/>
          <w:lang w:val="es-ES"/>
        </w:rPr>
        <w:t>La cuantía para la contratación de los concejos municipales</w:t>
      </w:r>
      <w:r>
        <w:rPr>
          <w:rFonts w:ascii="Verdana" w:eastAsia="Century Gothic" w:hAnsi="Verdana" w:cs="Century Gothic"/>
          <w:sz w:val="20"/>
          <w:szCs w:val="20"/>
          <w:lang w:val="es-ES"/>
        </w:rPr>
        <w:t xml:space="preserve"> </w:t>
      </w:r>
      <w:r w:rsidRPr="00AB0FB2">
        <w:rPr>
          <w:rFonts w:ascii="Verdana" w:eastAsia="Century Gothic" w:hAnsi="Verdana" w:cs="Century Gothic"/>
          <w:sz w:val="20"/>
          <w:szCs w:val="20"/>
          <w:lang w:val="es-ES"/>
        </w:rPr>
        <w:t>y/o distritales y las asambleas</w:t>
      </w:r>
      <w:r>
        <w:rPr>
          <w:rFonts w:ascii="Verdana" w:eastAsia="Century Gothic" w:hAnsi="Verdana" w:cs="Century Gothic"/>
          <w:sz w:val="20"/>
          <w:szCs w:val="20"/>
          <w:lang w:val="es-ES"/>
        </w:rPr>
        <w:t xml:space="preserve"> </w:t>
      </w:r>
      <w:r w:rsidRPr="00AB0FB2">
        <w:rPr>
          <w:rFonts w:ascii="Verdana" w:eastAsia="Century Gothic" w:hAnsi="Verdana" w:cs="Century Gothic"/>
          <w:sz w:val="20"/>
          <w:szCs w:val="20"/>
          <w:lang w:val="es-ES"/>
        </w:rPr>
        <w:t>departamentales y/o distritales, se determina con base al presupuesto de la alcaldía, distrito o</w:t>
      </w:r>
      <w:r>
        <w:rPr>
          <w:rFonts w:ascii="Verdana" w:eastAsia="Century Gothic" w:hAnsi="Verdana" w:cs="Century Gothic"/>
          <w:sz w:val="20"/>
          <w:szCs w:val="20"/>
          <w:lang w:val="es-ES"/>
        </w:rPr>
        <w:t xml:space="preserve"> </w:t>
      </w:r>
      <w:r w:rsidRPr="00AB0FB2">
        <w:rPr>
          <w:rFonts w:ascii="Verdana" w:eastAsia="Century Gothic" w:hAnsi="Verdana" w:cs="Century Gothic"/>
          <w:sz w:val="20"/>
          <w:szCs w:val="20"/>
          <w:lang w:val="es-ES"/>
        </w:rPr>
        <w:t>gobernación, o con base al presupuesto destinado para la corporación</w:t>
      </w:r>
      <w:r w:rsidRPr="003B6BBC">
        <w:rPr>
          <w:rFonts w:ascii="Verdana" w:eastAsia="Century Gothic" w:hAnsi="Verdana" w:cs="Century Gothic"/>
          <w:sz w:val="20"/>
          <w:szCs w:val="20"/>
          <w:lang w:val="es-ES"/>
        </w:rPr>
        <w:t>?</w:t>
      </w:r>
      <w:r>
        <w:rPr>
          <w:rStyle w:val="normaltextrun"/>
          <w:rFonts w:ascii="Verdana" w:hAnsi="Verdana" w:cs="Arial"/>
          <w:sz w:val="20"/>
          <w:szCs w:val="20"/>
          <w:shd w:val="clear" w:color="auto" w:fill="FFFFFF"/>
          <w:lang w:val="es-ES"/>
        </w:rPr>
        <w:t>”</w:t>
      </w:r>
    </w:p>
    <w:p w14:paraId="31171BFC" w14:textId="77777777" w:rsidR="006678D3" w:rsidRDefault="006678D3" w:rsidP="006678D3">
      <w:pPr>
        <w:spacing w:after="0" w:line="240" w:lineRule="auto"/>
        <w:ind w:left="709" w:right="1858"/>
        <w:jc w:val="both"/>
        <w:rPr>
          <w:rStyle w:val="normaltextrun"/>
          <w:rFonts w:ascii="Verdana" w:hAnsi="Verdana" w:cs="Arial"/>
          <w:sz w:val="20"/>
          <w:szCs w:val="20"/>
          <w:shd w:val="clear" w:color="auto" w:fill="FFFFFF"/>
          <w:lang w:val="es-ES"/>
        </w:rPr>
      </w:pPr>
    </w:p>
    <w:p w14:paraId="5E9957C7" w14:textId="77777777" w:rsidR="006678D3" w:rsidRDefault="006678D3" w:rsidP="006678D3">
      <w:pPr>
        <w:spacing w:after="120" w:line="276" w:lineRule="auto"/>
        <w:ind w:right="49"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w:t>
      </w:r>
      <w:r>
        <w:rPr>
          <w:rFonts w:ascii="Verdana" w:eastAsia="Calibri" w:hAnsi="Verdana" w:cs="Arial"/>
          <w:color w:val="000000"/>
          <w:lang w:val="es-ES" w:eastAsia="es-ES"/>
        </w:rPr>
        <w:lastRenderedPageBreak/>
        <w:t xml:space="preserve">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3BC96734" w14:textId="77777777" w:rsidR="006678D3" w:rsidRDefault="006678D3" w:rsidP="006678D3">
      <w:pPr>
        <w:spacing w:after="0" w:line="276" w:lineRule="auto"/>
        <w:ind w:right="49"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3888FDAC" w14:textId="77777777" w:rsidR="006678D3" w:rsidRDefault="006678D3" w:rsidP="006678D3">
      <w:pPr>
        <w:spacing w:after="0" w:line="276" w:lineRule="auto"/>
        <w:ind w:right="49" w:firstLine="709"/>
        <w:jc w:val="both"/>
        <w:rPr>
          <w:rFonts w:ascii="Verdana" w:eastAsia="Calibri" w:hAnsi="Verdana" w:cs="Arial"/>
          <w:color w:val="000000"/>
          <w:lang w:val="es-ES" w:eastAsia="es-ES"/>
        </w:rPr>
      </w:pPr>
    </w:p>
    <w:p w14:paraId="7A7889C5" w14:textId="77777777" w:rsidR="006678D3" w:rsidRDefault="006678D3" w:rsidP="006678D3">
      <w:pPr>
        <w:pStyle w:val="Prrafodelista"/>
        <w:numPr>
          <w:ilvl w:val="0"/>
          <w:numId w:val="16"/>
        </w:numPr>
        <w:tabs>
          <w:tab w:val="left" w:pos="142"/>
          <w:tab w:val="left" w:pos="284"/>
        </w:tabs>
        <w:spacing w:after="0" w:line="276" w:lineRule="auto"/>
        <w:ind w:left="0" w:right="49" w:firstLine="0"/>
        <w:jc w:val="both"/>
        <w:rPr>
          <w:rFonts w:ascii="Verdana" w:eastAsia="Century Gothic" w:hAnsi="Verdana" w:cs="Century Gothic"/>
          <w:b/>
          <w:bCs/>
        </w:rPr>
      </w:pPr>
      <w:r>
        <w:rPr>
          <w:rFonts w:ascii="Verdana" w:eastAsia="Century Gothic" w:hAnsi="Verdana" w:cs="Century Gothic"/>
          <w:b/>
          <w:bCs/>
        </w:rPr>
        <w:t>Problema planteado:</w:t>
      </w:r>
    </w:p>
    <w:p w14:paraId="7D4A460B" w14:textId="77777777" w:rsidR="006678D3" w:rsidRDefault="006678D3" w:rsidP="006678D3">
      <w:pPr>
        <w:tabs>
          <w:tab w:val="left" w:pos="426"/>
        </w:tabs>
        <w:spacing w:after="0" w:line="276" w:lineRule="auto"/>
        <w:ind w:right="49"/>
        <w:jc w:val="both"/>
        <w:rPr>
          <w:rFonts w:ascii="Verdana" w:eastAsia="Century Gothic" w:hAnsi="Verdana" w:cs="Century Gothic"/>
          <w:lang w:val="es-ES"/>
        </w:rPr>
      </w:pPr>
    </w:p>
    <w:p w14:paraId="256E2163" w14:textId="77777777" w:rsidR="006678D3" w:rsidRPr="00FC7531" w:rsidRDefault="006678D3" w:rsidP="006678D3">
      <w:pPr>
        <w:spacing w:after="0" w:line="276" w:lineRule="auto"/>
        <w:ind w:right="49"/>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w:t>
      </w:r>
      <w:r w:rsidRPr="0049500E">
        <w:rPr>
          <w:rFonts w:ascii="Verdana" w:eastAsia="Calibri" w:hAnsi="Verdana" w:cs="Arial"/>
          <w:shd w:val="clear" w:color="auto" w:fill="FFFFFF"/>
          <w:lang w:val="es-MX" w:eastAsia="es-ES_tradnl"/>
        </w:rPr>
        <w:t>¿</w:t>
      </w:r>
      <w:r>
        <w:rPr>
          <w:rFonts w:ascii="Verdana" w:eastAsia="Calibri" w:hAnsi="Verdana" w:cs="Arial"/>
          <w:shd w:val="clear" w:color="auto" w:fill="FFFFFF"/>
          <w:lang w:val="es-MX" w:eastAsia="es-ES_tradnl"/>
        </w:rPr>
        <w:t>Cómo se determina la cuantía de corporaciones de elección popular territoriales como concejos y asambleas</w:t>
      </w:r>
      <w:r w:rsidRPr="0049500E">
        <w:rPr>
          <w:rFonts w:ascii="Verdana" w:eastAsia="Calibri" w:hAnsi="Verdana" w:cs="Arial"/>
          <w:shd w:val="clear" w:color="auto" w:fill="FFFFFF"/>
          <w:lang w:val="es-MX" w:eastAsia="es-ES_tradnl"/>
        </w:rPr>
        <w:t>?</w:t>
      </w:r>
    </w:p>
    <w:p w14:paraId="0D03A384" w14:textId="77777777" w:rsidR="006678D3" w:rsidRDefault="006678D3" w:rsidP="006678D3">
      <w:pPr>
        <w:spacing w:after="0" w:line="276" w:lineRule="auto"/>
        <w:jc w:val="both"/>
        <w:rPr>
          <w:rFonts w:ascii="Verdana" w:eastAsia="Calibri" w:hAnsi="Verdana" w:cs="Arial"/>
          <w:color w:val="7030A0"/>
          <w:lang w:val="es-ES"/>
        </w:rPr>
      </w:pPr>
    </w:p>
    <w:p w14:paraId="5FA4BC8B" w14:textId="77777777" w:rsidR="006678D3" w:rsidRDefault="006678D3" w:rsidP="006678D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Respuesta:</w:t>
      </w:r>
    </w:p>
    <w:p w14:paraId="4DE2062C" w14:textId="77777777" w:rsidR="006678D3" w:rsidRDefault="006678D3" w:rsidP="006678D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678D3" w14:paraId="3E921515" w14:textId="77777777" w:rsidTr="00BE41CC">
        <w:tc>
          <w:tcPr>
            <w:tcW w:w="8828" w:type="dxa"/>
            <w:tcBorders>
              <w:top w:val="dotted" w:sz="4" w:space="0" w:color="auto"/>
              <w:left w:val="dotted" w:sz="4" w:space="0" w:color="auto"/>
              <w:bottom w:val="dotted" w:sz="4" w:space="0" w:color="auto"/>
              <w:right w:val="dotted" w:sz="4" w:space="0" w:color="auto"/>
            </w:tcBorders>
          </w:tcPr>
          <w:p w14:paraId="7313B27A" w14:textId="5ADA8D99" w:rsidR="006678D3" w:rsidRDefault="001F7FC2" w:rsidP="00BE41CC">
            <w:pPr>
              <w:widowControl w:val="0"/>
              <w:autoSpaceDE w:val="0"/>
              <w:autoSpaceDN w:val="0"/>
              <w:spacing w:after="120" w:line="276" w:lineRule="auto"/>
              <w:ind w:right="49"/>
              <w:jc w:val="both"/>
              <w:rPr>
                <w:rFonts w:ascii="Verdana" w:eastAsia="Calibri" w:hAnsi="Verdana" w:cs="Arial"/>
                <w:lang w:val="es-ES"/>
              </w:rPr>
            </w:pPr>
            <w:r>
              <w:rPr>
                <w:rFonts w:ascii="Verdana" w:eastAsia="Calibri" w:hAnsi="Verdana" w:cs="Arial"/>
                <w:lang w:val="es-ES"/>
              </w:rPr>
              <w:t>Respecto al problema jurídico planteado debe señalarse que,</w:t>
            </w:r>
            <w:r w:rsidR="006678D3">
              <w:rPr>
                <w:rFonts w:ascii="Verdana" w:eastAsia="Calibri" w:hAnsi="Verdana" w:cs="Arial"/>
                <w:lang w:val="es-ES"/>
              </w:rPr>
              <w:t xml:space="preserve"> los concejos y asambleas tienen capacidad para contratar y autonomía financiera y presupuestal</w:t>
            </w:r>
            <w:r>
              <w:rPr>
                <w:rFonts w:ascii="Verdana" w:eastAsia="Calibri" w:hAnsi="Verdana" w:cs="Arial"/>
                <w:lang w:val="es-ES"/>
              </w:rPr>
              <w:t>,</w:t>
            </w:r>
            <w:r w:rsidR="006678D3">
              <w:rPr>
                <w:rFonts w:ascii="Verdana" w:eastAsia="Calibri" w:hAnsi="Verdana" w:cs="Arial"/>
                <w:lang w:val="es-ES"/>
              </w:rPr>
              <w:t xml:space="preserve"> de acuerdo con el artículo 110 del Decreto </w:t>
            </w:r>
            <w:r w:rsidR="006678D3" w:rsidRPr="00FE3C27">
              <w:rPr>
                <w:rFonts w:ascii="Verdana" w:eastAsia="Calibri" w:hAnsi="Verdana" w:cs="Arial"/>
                <w:lang w:eastAsia="es-MX"/>
              </w:rPr>
              <w:t>111 de 1996 –Estatuto presupuestal</w:t>
            </w:r>
            <w:r w:rsidR="006678D3">
              <w:rPr>
                <w:rFonts w:ascii="Verdana" w:eastAsia="Calibri" w:hAnsi="Verdana" w:cs="Arial"/>
                <w:lang w:eastAsia="es-MX"/>
              </w:rPr>
              <w:t xml:space="preserve">. Por tanto, la cuantía para efectos de los procesos de contratación se determinará según su presupuesto anual. </w:t>
            </w:r>
          </w:p>
          <w:p w14:paraId="55B2F31F" w14:textId="7A3865CC" w:rsidR="006678D3" w:rsidRDefault="001F7FC2" w:rsidP="00BE41CC">
            <w:pPr>
              <w:spacing w:after="120" w:line="276" w:lineRule="auto"/>
              <w:ind w:firstLine="709"/>
              <w:jc w:val="both"/>
            </w:pPr>
            <w:r>
              <w:rPr>
                <w:rFonts w:ascii="Verdana" w:hAnsi="Verdana" w:cs="Arial"/>
                <w:bCs/>
                <w:lang w:val="es-ES_tradnl"/>
              </w:rPr>
              <w:t>En este punto,</w:t>
            </w:r>
            <w:r w:rsidRPr="00977243">
              <w:rPr>
                <w:rFonts w:ascii="Verdana" w:eastAsia="Calibri" w:hAnsi="Verdana" w:cs="Arial"/>
                <w:lang w:val="es-ES"/>
              </w:rPr>
              <w:t xml:space="preserve"> </w:t>
            </w:r>
            <w:r w:rsidR="006678D3" w:rsidRPr="00977243">
              <w:rPr>
                <w:rFonts w:ascii="Verdana" w:eastAsia="Calibri" w:hAnsi="Verdana" w:cs="Arial"/>
                <w:lang w:val="es-ES"/>
              </w:rPr>
              <w:t xml:space="preserve">debe señalarse que </w:t>
            </w:r>
            <w:r w:rsidR="006678D3" w:rsidRPr="00A77CF7">
              <w:rPr>
                <w:rFonts w:ascii="Verdana" w:eastAsia="Calibri" w:hAnsi="Verdana" w:cs="Arial"/>
                <w:color w:val="000000"/>
                <w:lang w:val="es-ES_tradnl"/>
              </w:rPr>
              <w:t xml:space="preserve">el numeral </w:t>
            </w:r>
            <w:r w:rsidR="006678D3">
              <w:rPr>
                <w:rFonts w:ascii="Verdana" w:eastAsia="Calibri" w:hAnsi="Verdana" w:cs="Arial"/>
                <w:color w:val="000000"/>
                <w:lang w:val="es-ES_tradnl"/>
              </w:rPr>
              <w:t>2</w:t>
            </w:r>
            <w:r w:rsidR="006678D3" w:rsidRPr="00A77CF7">
              <w:rPr>
                <w:rFonts w:ascii="Verdana" w:eastAsia="Calibri" w:hAnsi="Verdana" w:cs="Arial"/>
                <w:color w:val="000000"/>
                <w:lang w:val="es-ES_tradnl"/>
              </w:rPr>
              <w:t xml:space="preserve"> del artículo 2 de la Ley 1150 de 2007</w:t>
            </w:r>
            <w:r w:rsidR="006678D3">
              <w:rPr>
                <w:rFonts w:ascii="Verdana" w:eastAsia="Calibri" w:hAnsi="Verdana" w:cs="Arial"/>
                <w:color w:val="000000"/>
                <w:lang w:val="es-ES_tradnl"/>
              </w:rPr>
              <w:t xml:space="preserve"> regula la </w:t>
            </w:r>
            <w:r w:rsidR="006678D3" w:rsidRPr="00A77CF7">
              <w:rPr>
                <w:rFonts w:ascii="Verdana" w:eastAsia="Calibri" w:hAnsi="Verdana" w:cs="Arial"/>
                <w:color w:val="000000"/>
                <w:lang w:val="es-ES_tradnl"/>
              </w:rPr>
              <w:t>selección abreviada</w:t>
            </w:r>
            <w:r w:rsidR="006678D3">
              <w:rPr>
                <w:rFonts w:ascii="Verdana" w:eastAsia="Calibri" w:hAnsi="Verdana" w:cs="Arial"/>
                <w:color w:val="000000"/>
                <w:lang w:val="es-ES_tradnl"/>
              </w:rPr>
              <w:t xml:space="preserve"> y particularmente, en el literal b)</w:t>
            </w:r>
            <w:r w:rsidR="006678D3" w:rsidRPr="00A77CF7">
              <w:rPr>
                <w:rFonts w:ascii="Verdana" w:eastAsia="Calibri" w:hAnsi="Verdana" w:cs="Arial"/>
                <w:color w:val="000000"/>
                <w:lang w:val="es-ES_tradnl"/>
              </w:rPr>
              <w:t xml:space="preserve"> </w:t>
            </w:r>
            <w:r w:rsidR="006678D3">
              <w:rPr>
                <w:rFonts w:ascii="Verdana" w:eastAsia="Calibri" w:hAnsi="Verdana" w:cs="Arial"/>
                <w:color w:val="000000"/>
                <w:lang w:val="es-ES_tradnl"/>
              </w:rPr>
              <w:t>la</w:t>
            </w:r>
            <w:r w:rsidR="006678D3" w:rsidRPr="00A77CF7">
              <w:rPr>
                <w:rFonts w:ascii="Verdana" w:eastAsia="Calibri" w:hAnsi="Verdana" w:cs="Arial"/>
                <w:color w:val="000000"/>
                <w:lang w:val="es-ES_tradnl"/>
              </w:rPr>
              <w:t xml:space="preserve"> causal de contratación</w:t>
            </w:r>
            <w:r w:rsidR="006678D3">
              <w:rPr>
                <w:rFonts w:ascii="Verdana" w:eastAsia="Calibri" w:hAnsi="Verdana" w:cs="Arial"/>
                <w:color w:val="000000"/>
                <w:lang w:val="es-ES_tradnl"/>
              </w:rPr>
              <w:t xml:space="preserve"> de menor cuantía, enlistando los valores que se </w:t>
            </w:r>
            <w:r w:rsidR="006678D3">
              <w:rPr>
                <w:rFonts w:ascii="Verdana" w:eastAsia="Calibri" w:hAnsi="Verdana" w:cs="Arial"/>
                <w:color w:val="000000"/>
                <w:lang w:val="es-ES_tradnl"/>
              </w:rPr>
              <w:lastRenderedPageBreak/>
              <w:t xml:space="preserve">determinan en función de los </w:t>
            </w:r>
            <w:r w:rsidR="006678D3" w:rsidRPr="0082089D">
              <w:rPr>
                <w:rFonts w:ascii="Verdana" w:eastAsia="Calibri" w:hAnsi="Verdana" w:cs="Arial"/>
                <w:color w:val="000000"/>
                <w:lang w:val="es-ES_tradnl"/>
              </w:rPr>
              <w:t xml:space="preserve">presupuestos anuales de las </w:t>
            </w:r>
            <w:r>
              <w:rPr>
                <w:rFonts w:ascii="Verdana" w:eastAsia="Calibri" w:hAnsi="Verdana" w:cs="Arial"/>
                <w:color w:val="000000"/>
                <w:lang w:val="es-ES_tradnl"/>
              </w:rPr>
              <w:t>E</w:t>
            </w:r>
            <w:r w:rsidR="006678D3" w:rsidRPr="0082089D">
              <w:rPr>
                <w:rFonts w:ascii="Verdana" w:eastAsia="Calibri" w:hAnsi="Verdana" w:cs="Arial"/>
                <w:color w:val="000000"/>
                <w:lang w:val="es-ES_tradnl"/>
              </w:rPr>
              <w:t xml:space="preserve">ntidades </w:t>
            </w:r>
            <w:r>
              <w:rPr>
                <w:rFonts w:ascii="Verdana" w:eastAsia="Calibri" w:hAnsi="Verdana" w:cs="Arial"/>
                <w:color w:val="000000"/>
                <w:lang w:val="es-ES_tradnl"/>
              </w:rPr>
              <w:t>P</w:t>
            </w:r>
            <w:r w:rsidR="006678D3" w:rsidRPr="0082089D">
              <w:rPr>
                <w:rFonts w:ascii="Verdana" w:eastAsia="Calibri" w:hAnsi="Verdana" w:cs="Arial"/>
                <w:color w:val="000000"/>
                <w:lang w:val="es-ES_tradnl"/>
              </w:rPr>
              <w:t>úblicas expresados en salarios mínimos legales mensuales.</w:t>
            </w:r>
            <w:r w:rsidR="006678D3">
              <w:t xml:space="preserve"> </w:t>
            </w:r>
          </w:p>
          <w:p w14:paraId="4D25CF64" w14:textId="77777777" w:rsidR="006678D3" w:rsidRPr="0049500E" w:rsidRDefault="006678D3" w:rsidP="00A566A9">
            <w:pPr>
              <w:spacing w:line="276" w:lineRule="auto"/>
              <w:ind w:firstLine="709"/>
              <w:jc w:val="both"/>
              <w:rPr>
                <w:rFonts w:ascii="Verdana" w:eastAsia="Calibri" w:hAnsi="Verdana" w:cs="Arial"/>
                <w:color w:val="7030A0"/>
              </w:rPr>
            </w:pPr>
            <w:r w:rsidRPr="00082754">
              <w:rPr>
                <w:rFonts w:ascii="Verdana" w:eastAsia="Calibri" w:hAnsi="Verdana" w:cs="Arial"/>
                <w:color w:val="000000"/>
                <w:lang w:val="es-ES_tradnl"/>
              </w:rPr>
              <w:t>Finalmente, es importante advertir que compete a cada Entidad Estatal que considera celebrar un contrato específico definir cómo adelantará el procedimiento correspondiente. 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w:t>
            </w:r>
          </w:p>
        </w:tc>
      </w:tr>
    </w:tbl>
    <w:p w14:paraId="053F93BC" w14:textId="77777777" w:rsidR="006678D3" w:rsidRDefault="006678D3" w:rsidP="001F7FC2">
      <w:pPr>
        <w:tabs>
          <w:tab w:val="left" w:pos="142"/>
          <w:tab w:val="left" w:pos="284"/>
        </w:tabs>
        <w:spacing w:after="0" w:line="276" w:lineRule="auto"/>
        <w:jc w:val="both"/>
        <w:rPr>
          <w:rFonts w:ascii="Verdana" w:eastAsia="Century Gothic" w:hAnsi="Verdana" w:cs="Century Gothic"/>
          <w:b/>
          <w:bCs/>
          <w:lang w:val="es-ES"/>
        </w:rPr>
      </w:pPr>
    </w:p>
    <w:p w14:paraId="73134340" w14:textId="77777777" w:rsidR="006678D3" w:rsidRDefault="006678D3" w:rsidP="00A566A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4507D1AE" w14:textId="77777777" w:rsidR="006678D3" w:rsidRDefault="006678D3">
      <w:pPr>
        <w:spacing w:after="0" w:line="276" w:lineRule="auto"/>
        <w:jc w:val="both"/>
        <w:rPr>
          <w:rFonts w:ascii="Verdana" w:eastAsia="Calibri" w:hAnsi="Verdana" w:cs="Arial"/>
          <w:color w:val="7030A0"/>
          <w:lang w:val="es-ES"/>
        </w:rPr>
      </w:pPr>
    </w:p>
    <w:p w14:paraId="5803DB8C" w14:textId="4A066A4E" w:rsidR="006678D3" w:rsidRDefault="006678D3">
      <w:pPr>
        <w:spacing w:after="0" w:line="276" w:lineRule="auto"/>
        <w:ind w:right="49"/>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7329019B" w14:textId="77777777" w:rsidR="001F7FC2" w:rsidRDefault="001F7FC2" w:rsidP="00A566A9">
      <w:pPr>
        <w:spacing w:after="0" w:line="276" w:lineRule="auto"/>
        <w:ind w:right="49"/>
        <w:jc w:val="both"/>
        <w:rPr>
          <w:rFonts w:ascii="Verdana" w:eastAsia="Calibri" w:hAnsi="Verdana" w:cs="Arial"/>
          <w:lang w:val="es-ES"/>
        </w:rPr>
      </w:pPr>
    </w:p>
    <w:p w14:paraId="270A73CF" w14:textId="77777777" w:rsidR="006678D3" w:rsidRPr="007033D5" w:rsidRDefault="006678D3" w:rsidP="001F7FC2">
      <w:pPr>
        <w:spacing w:after="120" w:line="276" w:lineRule="auto"/>
        <w:jc w:val="both"/>
        <w:rPr>
          <w:rFonts w:ascii="Verdana" w:hAnsi="Verdana" w:cs="Arial"/>
          <w:bCs/>
          <w:lang w:val="es-ES_tradnl"/>
        </w:rPr>
      </w:pPr>
      <w:r w:rsidRPr="007033D5">
        <w:rPr>
          <w:rFonts w:ascii="Verdana" w:hAnsi="Verdana" w:cs="Arial"/>
          <w:bCs/>
          <w:lang w:val="es-ES_tradnl"/>
        </w:rPr>
        <w:t>La contratación pública comprende, entre otros aspectos, la toma de decisiones del gasto que las entidades realizan como ejecución de los recursos públicos asignados para adquirir bienes, obras o servicios que satisfacen sus necesidades, y en esa medida cumplen el interés general, que es la finalidad que la ley les confía a través de las funciones que se les encomiendan. Para las adquisiciones, las entidades estructuran procedimientos de contratación previamente definidos por la ley, consultando las normas que los rigen para determinar la forma que el ordenamiento prevé para adelantarlos. En esta medida, conforme el artículo 29 de la Constitución Política, los procesos de selección son una manifestación de la legalidad de las formas de cada proceso en sede administrativa</w:t>
      </w:r>
      <w:r w:rsidRPr="007033D5">
        <w:rPr>
          <w:rStyle w:val="Refdenotaalpie"/>
          <w:rFonts w:ascii="Verdana" w:hAnsi="Verdana" w:cs="Arial"/>
          <w:bCs/>
          <w:lang w:val="es-ES_tradnl"/>
        </w:rPr>
        <w:footnoteReference w:id="1"/>
      </w:r>
      <w:r w:rsidRPr="007033D5">
        <w:rPr>
          <w:rFonts w:ascii="Verdana" w:hAnsi="Verdana" w:cs="Arial"/>
          <w:bCs/>
          <w:lang w:val="es-ES_tradnl"/>
        </w:rPr>
        <w:t>.</w:t>
      </w:r>
    </w:p>
    <w:p w14:paraId="57099FE5" w14:textId="77777777" w:rsidR="006678D3" w:rsidRPr="007033D5" w:rsidRDefault="006678D3">
      <w:pPr>
        <w:spacing w:after="120" w:line="276" w:lineRule="auto"/>
        <w:ind w:firstLine="709"/>
        <w:jc w:val="both"/>
        <w:rPr>
          <w:rFonts w:ascii="Verdana" w:eastAsia="Calibri" w:hAnsi="Verdana" w:cs="Arial"/>
        </w:rPr>
      </w:pPr>
      <w:r>
        <w:rPr>
          <w:rFonts w:ascii="Verdana" w:hAnsi="Verdana" w:cs="Arial"/>
          <w:lang w:val="es-ES"/>
        </w:rPr>
        <w:lastRenderedPageBreak/>
        <w:t>De conformidad c</w:t>
      </w:r>
      <w:r w:rsidRPr="2D0A47FB">
        <w:rPr>
          <w:rFonts w:ascii="Verdana" w:hAnsi="Verdana" w:cs="Arial"/>
          <w:lang w:val="es-ES"/>
        </w:rPr>
        <w:t xml:space="preserve">on el artículo 2 de la Ley 1150, los procedimientos actualmente regulados son los siguientes: i) licitación pública, </w:t>
      </w:r>
      <w:proofErr w:type="spellStart"/>
      <w:r w:rsidRPr="2D0A47FB">
        <w:rPr>
          <w:rFonts w:ascii="Verdana" w:hAnsi="Verdana" w:cs="Arial"/>
          <w:lang w:val="es-ES"/>
        </w:rPr>
        <w:t>ii</w:t>
      </w:r>
      <w:proofErr w:type="spellEnd"/>
      <w:r w:rsidRPr="2D0A47FB">
        <w:rPr>
          <w:rFonts w:ascii="Verdana" w:hAnsi="Verdana" w:cs="Arial"/>
          <w:lang w:val="es-ES"/>
        </w:rPr>
        <w:t xml:space="preserve">) selección abreviada, </w:t>
      </w:r>
      <w:proofErr w:type="spellStart"/>
      <w:r w:rsidRPr="2D0A47FB">
        <w:rPr>
          <w:rFonts w:ascii="Verdana" w:hAnsi="Verdana" w:cs="Arial"/>
          <w:lang w:val="es-ES"/>
        </w:rPr>
        <w:t>iii</w:t>
      </w:r>
      <w:proofErr w:type="spellEnd"/>
      <w:r w:rsidRPr="2D0A47FB">
        <w:rPr>
          <w:rFonts w:ascii="Verdana" w:hAnsi="Verdana" w:cs="Arial"/>
          <w:lang w:val="es-ES"/>
        </w:rPr>
        <w:t xml:space="preserve">) concurso de méritos, </w:t>
      </w:r>
      <w:proofErr w:type="spellStart"/>
      <w:r w:rsidRPr="2D0A47FB">
        <w:rPr>
          <w:rFonts w:ascii="Verdana" w:hAnsi="Verdana" w:cs="Arial"/>
          <w:lang w:val="es-ES"/>
        </w:rPr>
        <w:t>iv</w:t>
      </w:r>
      <w:proofErr w:type="spellEnd"/>
      <w:r w:rsidRPr="2D0A47FB">
        <w:rPr>
          <w:rFonts w:ascii="Verdana" w:hAnsi="Verdana" w:cs="Arial"/>
          <w:lang w:val="es-ES"/>
        </w:rPr>
        <w:t xml:space="preserve">) mínima cuantía y v) contratación directa. En dichos procedimientos constan </w:t>
      </w:r>
      <w:r w:rsidRPr="2D0A47FB">
        <w:rPr>
          <w:rFonts w:ascii="Verdana" w:eastAsia="Calibri" w:hAnsi="Verdana" w:cs="Arial"/>
        </w:rPr>
        <w:t>las etapas para la adquisición de obras, bienes y servicios, por lo que cada entidad es responsable de estructurar los procedimientos de contratación, siempre que respete el principio de legalidad.</w:t>
      </w:r>
    </w:p>
    <w:p w14:paraId="2747E9E9" w14:textId="77777777" w:rsidR="006678D3" w:rsidRPr="007033D5" w:rsidRDefault="006678D3" w:rsidP="006678D3">
      <w:pPr>
        <w:spacing w:after="120" w:line="276" w:lineRule="auto"/>
        <w:ind w:firstLine="709"/>
        <w:jc w:val="both"/>
        <w:rPr>
          <w:rFonts w:ascii="Verdana" w:eastAsia="Calibri" w:hAnsi="Verdana" w:cs="Arial"/>
        </w:rPr>
      </w:pPr>
      <w:bookmarkStart w:id="1" w:name="_Hlk39596760"/>
      <w:r w:rsidRPr="007033D5">
        <w:rPr>
          <w:rFonts w:ascii="Verdana" w:eastAsia="Calibri" w:hAnsi="Verdana" w:cs="Arial"/>
        </w:rPr>
        <w:t xml:space="preserve">Respecto a la selección abreviada, </w:t>
      </w:r>
      <w:bookmarkStart w:id="2" w:name="_Hlk39070608"/>
      <w:r w:rsidRPr="007033D5">
        <w:rPr>
          <w:rFonts w:ascii="Verdana" w:eastAsia="Calibri" w:hAnsi="Verdana" w:cs="Arial"/>
        </w:rPr>
        <w:t>el numeral 2 del artículo 2 de la Ley 1150 de 2007</w:t>
      </w:r>
      <w:bookmarkEnd w:id="2"/>
      <w:r w:rsidRPr="007033D5">
        <w:rPr>
          <w:rFonts w:ascii="Verdana" w:eastAsia="Calibri" w:hAnsi="Verdana" w:cs="Arial"/>
        </w:rPr>
        <w:t xml:space="preserve"> dispone que “[…]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 regulando cada una de las causales</w:t>
      </w:r>
      <w:r w:rsidRPr="007033D5">
        <w:rPr>
          <w:rStyle w:val="Refdenotaalpie"/>
          <w:rFonts w:ascii="Verdana" w:eastAsia="Calibri" w:hAnsi="Verdana" w:cs="Arial"/>
        </w:rPr>
        <w:footnoteReference w:id="2"/>
      </w:r>
      <w:r w:rsidRPr="007033D5">
        <w:rPr>
          <w:rFonts w:ascii="Verdana" w:eastAsia="Calibri" w:hAnsi="Verdana" w:cs="Arial"/>
        </w:rPr>
        <w:t xml:space="preserve">. </w:t>
      </w:r>
    </w:p>
    <w:p w14:paraId="0CE561B2" w14:textId="59A77C95" w:rsidR="006678D3" w:rsidRDefault="006678D3" w:rsidP="001F7FC2">
      <w:pPr>
        <w:spacing w:after="0" w:line="276" w:lineRule="auto"/>
        <w:ind w:firstLine="709"/>
        <w:jc w:val="both"/>
        <w:rPr>
          <w:rFonts w:ascii="Verdana" w:eastAsia="Calibri" w:hAnsi="Verdana" w:cs="Arial"/>
        </w:rPr>
      </w:pPr>
      <w:bookmarkStart w:id="3" w:name="_Hlk39174727"/>
      <w:r w:rsidRPr="007033D5">
        <w:rPr>
          <w:rFonts w:ascii="Verdana" w:eastAsia="Calibri" w:hAnsi="Verdana" w:cs="Arial"/>
        </w:rPr>
        <w:lastRenderedPageBreak/>
        <w:t>Se trata de un procedimiento que, conforme a la reglamentación que expida el Gobierno Nacional, agiliza la contratación estatal en los eventos en que no se justifica adelantar una licitación pública, pero tampoco limitar la participación de los proponentes como en la contratación directa, de forma tal que es un mecanismo de selección objetiva que asegura una mayor concurrencia de participantes sin sacrificar los principios de eficacia y eficiencia en el proceso de selección</w:t>
      </w:r>
      <w:bookmarkEnd w:id="1"/>
      <w:bookmarkEnd w:id="3"/>
      <w:r w:rsidRPr="007033D5">
        <w:rPr>
          <w:rFonts w:ascii="Verdana" w:eastAsia="Calibri" w:hAnsi="Verdana" w:cs="Arial"/>
        </w:rPr>
        <w:t>. En la exposición de motivos se explica lo siguiente:</w:t>
      </w:r>
    </w:p>
    <w:p w14:paraId="096333C1" w14:textId="77777777" w:rsidR="001F7FC2" w:rsidRPr="007033D5" w:rsidRDefault="001F7FC2" w:rsidP="00A566A9">
      <w:pPr>
        <w:spacing w:after="0" w:line="276" w:lineRule="auto"/>
        <w:ind w:firstLine="709"/>
        <w:jc w:val="both"/>
        <w:rPr>
          <w:rFonts w:ascii="Verdana" w:eastAsia="Calibri" w:hAnsi="Verdana" w:cs="Arial"/>
        </w:rPr>
      </w:pPr>
    </w:p>
    <w:p w14:paraId="56E1992B" w14:textId="77777777" w:rsidR="006678D3" w:rsidRPr="0049500E" w:rsidRDefault="006678D3" w:rsidP="00A566A9">
      <w:pPr>
        <w:spacing w:after="0" w:line="240" w:lineRule="auto"/>
        <w:ind w:left="709" w:right="709"/>
        <w:jc w:val="both"/>
        <w:rPr>
          <w:rFonts w:ascii="Verdana" w:eastAsia="Calibri" w:hAnsi="Verdana" w:cs="Arial"/>
          <w:sz w:val="20"/>
          <w:szCs w:val="20"/>
        </w:rPr>
      </w:pPr>
      <w:r w:rsidRPr="0049500E">
        <w:rPr>
          <w:rFonts w:ascii="Verdana" w:eastAsia="Calibri" w:hAnsi="Verdana" w:cs="Arial"/>
          <w:sz w:val="20"/>
          <w:szCs w:val="20"/>
        </w:rPr>
        <w:t>“– Si bien la Licitación Pública sigue siendo la regla general, la misma pasa a reservarse para los procesos en los que la complejidad del objeto a contratar amerita la larga y cuidadosa ponderación de factores técnicos y económicos de las propuestas […].</w:t>
      </w:r>
    </w:p>
    <w:p w14:paraId="27BDE69B" w14:textId="77777777" w:rsidR="006678D3" w:rsidRPr="0049500E" w:rsidRDefault="006678D3" w:rsidP="00A566A9">
      <w:pPr>
        <w:spacing w:after="0" w:line="240" w:lineRule="auto"/>
        <w:ind w:left="709" w:right="709"/>
        <w:jc w:val="both"/>
        <w:rPr>
          <w:rFonts w:ascii="Verdana" w:eastAsia="Calibri" w:hAnsi="Verdana" w:cs="Arial"/>
          <w:sz w:val="20"/>
          <w:szCs w:val="20"/>
        </w:rPr>
      </w:pPr>
      <w:r w:rsidRPr="0049500E">
        <w:rPr>
          <w:rFonts w:ascii="Verdana" w:eastAsia="Calibri" w:hAnsi="Verdana" w:cs="Arial"/>
          <w:sz w:val="20"/>
          <w:szCs w:val="20"/>
        </w:rPr>
        <w:t>– Se crea la llamada “selección abreviada”, para permitir la existencia de procedimientos de selección que, basados estrictamente en los principios cardinales de la contratación pública, permitan de manera ágil la adopción de decisiones de selección. En el sentido antedicho, las innovaciones del proceso de selección abreviada empiezan por una medida trascendental, para llevar a sólo horas los contratos referidos a la adquisición bienes de “características técnicas uniformes y de común utilización” […].</w:t>
      </w:r>
    </w:p>
    <w:p w14:paraId="3B4495EF" w14:textId="69783FFB" w:rsidR="006678D3" w:rsidRDefault="006678D3" w:rsidP="001F7FC2">
      <w:pPr>
        <w:spacing w:after="0" w:line="240" w:lineRule="auto"/>
        <w:ind w:left="709" w:right="709"/>
        <w:jc w:val="both"/>
        <w:rPr>
          <w:rFonts w:ascii="Verdana" w:eastAsia="Calibri" w:hAnsi="Verdana" w:cs="Arial"/>
          <w:sz w:val="20"/>
          <w:szCs w:val="20"/>
        </w:rPr>
      </w:pPr>
      <w:r w:rsidRPr="0049500E">
        <w:rPr>
          <w:rFonts w:ascii="Verdana" w:eastAsia="Calibri" w:hAnsi="Verdana" w:cs="Arial"/>
          <w:sz w:val="20"/>
          <w:szCs w:val="20"/>
        </w:rPr>
        <w:t>– Adicionalmente en esta categoría se recoge la llamada “menor cuantía” (sólo aplicable en lo sucesivo a bienes o servicios diferentes de los anteriores), así como otros procesos que por su naturaleza o circunstancias deben ser objeto de tratamiento expedido, tales como la defensa y seguridad nacional, entre otras”</w:t>
      </w:r>
      <w:r w:rsidRPr="0049500E">
        <w:rPr>
          <w:rStyle w:val="Refdenotaalpie"/>
          <w:rFonts w:ascii="Verdana" w:eastAsia="Calibri" w:hAnsi="Verdana" w:cs="Arial"/>
          <w:sz w:val="20"/>
          <w:szCs w:val="20"/>
        </w:rPr>
        <w:footnoteReference w:id="3"/>
      </w:r>
      <w:r w:rsidRPr="0049500E">
        <w:rPr>
          <w:rFonts w:ascii="Verdana" w:eastAsia="Calibri" w:hAnsi="Verdana" w:cs="Arial"/>
          <w:sz w:val="20"/>
          <w:szCs w:val="20"/>
        </w:rPr>
        <w:t>.</w:t>
      </w:r>
    </w:p>
    <w:p w14:paraId="453B7C1D" w14:textId="77777777" w:rsidR="001F7FC2" w:rsidRPr="00A566A9" w:rsidRDefault="001F7FC2" w:rsidP="00A566A9">
      <w:pPr>
        <w:spacing w:after="0" w:line="276" w:lineRule="auto"/>
        <w:ind w:left="709" w:right="709"/>
        <w:jc w:val="both"/>
        <w:rPr>
          <w:rFonts w:ascii="Verdana" w:eastAsia="Calibri" w:hAnsi="Verdana" w:cs="Arial"/>
        </w:rPr>
      </w:pPr>
    </w:p>
    <w:p w14:paraId="5138D28E" w14:textId="77777777" w:rsidR="006678D3" w:rsidRPr="007033D5" w:rsidRDefault="006678D3" w:rsidP="006678D3">
      <w:pPr>
        <w:spacing w:after="120" w:line="276" w:lineRule="auto"/>
        <w:ind w:firstLine="709"/>
        <w:jc w:val="both"/>
        <w:rPr>
          <w:rFonts w:ascii="Verdana" w:eastAsia="Calibri" w:hAnsi="Verdana" w:cs="Arial"/>
        </w:rPr>
      </w:pPr>
      <w:r w:rsidRPr="007033D5">
        <w:rPr>
          <w:rFonts w:ascii="Verdana" w:eastAsia="Calibri" w:hAnsi="Verdana" w:cs="Arial"/>
        </w:rPr>
        <w:t xml:space="preserve">De esta manera, la selección abreviada se caracteriza por tener etapas más sencillas y términos relativamente más cortos que los de la licitación pública, lo cual se justifica por las circunstancias, la naturaleza y los objetos que se contratan a través de esta modalidad, los cuales requieren de procedimientos más agiles, sencillos y eficientes. A continuación, el Decreto 1082 de 2015 desarrolla las causales, regulando el pliego de condiciones, el procedimiento, las etapas, entre otros. Según el Consejo de Estado, el propósito del legislador es </w:t>
      </w:r>
      <w:r w:rsidRPr="007033D5">
        <w:rPr>
          <w:rFonts w:ascii="Verdana" w:eastAsia="Calibri" w:hAnsi="Verdana" w:cs="Arial"/>
        </w:rPr>
        <w:lastRenderedPageBreak/>
        <w:t>“[…] proveer de mayor agilidad y eficiencia la contratación de algunos bienes o servicios, en los que es deseable la concurrencia de oferentes, pero no en los términos y condiciones de una licitación pública, sino de manera abreviada o, en términos de la ley, simplificada”</w:t>
      </w:r>
      <w:r w:rsidRPr="007033D5">
        <w:rPr>
          <w:rStyle w:val="Refdenotaalpie"/>
          <w:rFonts w:ascii="Verdana" w:eastAsia="Calibri" w:hAnsi="Verdana" w:cs="Arial"/>
        </w:rPr>
        <w:footnoteReference w:id="4"/>
      </w:r>
      <w:r w:rsidRPr="007033D5">
        <w:rPr>
          <w:rFonts w:ascii="Verdana" w:eastAsia="Calibri" w:hAnsi="Verdana" w:cs="Arial"/>
        </w:rPr>
        <w:t xml:space="preserve">. </w:t>
      </w:r>
    </w:p>
    <w:p w14:paraId="0BF27E89" w14:textId="77777777" w:rsidR="006678D3" w:rsidRPr="0049500E" w:rsidRDefault="006678D3" w:rsidP="006678D3">
      <w:pPr>
        <w:spacing w:after="0" w:line="276" w:lineRule="auto"/>
        <w:ind w:firstLine="708"/>
        <w:contextualSpacing/>
        <w:jc w:val="both"/>
        <w:rPr>
          <w:rFonts w:ascii="Verdana" w:eastAsia="Calibri" w:hAnsi="Verdana" w:cs="Arial"/>
          <w:lang w:val="es-MX" w:eastAsia="es-ES_tradnl"/>
        </w:rPr>
      </w:pPr>
      <w:r w:rsidRPr="007033D5">
        <w:rPr>
          <w:rFonts w:ascii="Verdana" w:eastAsia="Calibri" w:hAnsi="Verdana" w:cs="Arial"/>
          <w:color w:val="000000" w:themeColor="text1"/>
          <w:lang w:val="es-MX"/>
        </w:rPr>
        <w:t xml:space="preserve">Conforme al literal b) del artículo 2.2 de la Ley 1150 de 2007, una de las causales de selección abreviada es la de menor cuantía. </w:t>
      </w:r>
      <w:r w:rsidRPr="0049500E">
        <w:rPr>
          <w:rFonts w:ascii="Verdana" w:eastAsia="Calibri" w:hAnsi="Verdana" w:cs="Arial"/>
          <w:lang w:val="es-MX" w:eastAsia="es-ES_tradnl"/>
        </w:rPr>
        <w:t>Los objetos respecto de los cuales procede el adelantamiento de procesos de selección abreviada están asociados a unas circunstancias diversas y concretas, delimitadas por unas causales expresamente consagradas en el numeral 2 del artículo 2 de la Ley 1150 de 2007. Una de las de mayor relevancia es la referida</w:t>
      </w:r>
      <w:r w:rsidRPr="0049500E">
        <w:rPr>
          <w:rFonts w:ascii="Verdana" w:eastAsia="Calibri" w:hAnsi="Verdana" w:cs="Arial"/>
          <w:b/>
          <w:bCs/>
          <w:lang w:val="es-MX" w:eastAsia="es-ES_tradnl"/>
        </w:rPr>
        <w:t xml:space="preserve"> </w:t>
      </w:r>
      <w:r w:rsidRPr="0049500E">
        <w:rPr>
          <w:rFonts w:ascii="Verdana" w:eastAsia="Calibri" w:hAnsi="Verdana" w:cs="Arial"/>
          <w:lang w:val="es-MX" w:eastAsia="es-ES_tradnl"/>
        </w:rPr>
        <w:t xml:space="preserve">a los negocios que no superan la menor cuantía de la entidad, la cual aplica en función de unos rangos y topes señalados por la propia norma, y medibles respecto del presupuesto anual de la entidad. El numeral 2° del artículo 2 de la Ley 1150 de 2007 regula esta causal de la siguiente forma:  </w:t>
      </w:r>
    </w:p>
    <w:p w14:paraId="70ED054A" w14:textId="77777777" w:rsidR="006678D3" w:rsidRPr="0049500E" w:rsidRDefault="006678D3" w:rsidP="006678D3">
      <w:pPr>
        <w:spacing w:after="0" w:line="240" w:lineRule="auto"/>
        <w:jc w:val="both"/>
        <w:rPr>
          <w:rFonts w:ascii="Verdana" w:eastAsia="Calibri" w:hAnsi="Verdana" w:cs="Arial"/>
          <w:lang w:val="es-MX" w:eastAsia="es-ES_tradnl"/>
        </w:rPr>
      </w:pPr>
    </w:p>
    <w:p w14:paraId="4FF0D893" w14:textId="77777777" w:rsidR="006678D3" w:rsidRPr="0049500E" w:rsidRDefault="006678D3" w:rsidP="001F7FC2">
      <w:pPr>
        <w:spacing w:after="0" w:line="240" w:lineRule="auto"/>
        <w:ind w:left="709" w:right="709"/>
        <w:contextualSpacing/>
        <w:jc w:val="both"/>
        <w:rPr>
          <w:rFonts w:ascii="Verdana" w:eastAsia="Calibri" w:hAnsi="Verdana" w:cs="Arial"/>
          <w:sz w:val="20"/>
          <w:szCs w:val="20"/>
          <w:lang w:val="es-MX" w:eastAsia="es-ES_tradnl"/>
        </w:rPr>
      </w:pPr>
      <w:r w:rsidRPr="0049500E">
        <w:rPr>
          <w:rFonts w:ascii="Verdana" w:eastAsia="Calibri" w:hAnsi="Verdana" w:cs="Arial"/>
          <w:sz w:val="20"/>
          <w:szCs w:val="20"/>
          <w:shd w:val="clear" w:color="auto" w:fill="FFFFFF"/>
          <w:lang w:eastAsia="es-ES_tradnl"/>
        </w:rPr>
        <w:t>“</w:t>
      </w:r>
      <w:r w:rsidRPr="0049500E">
        <w:rPr>
          <w:rFonts w:ascii="Verdana" w:eastAsia="Calibri" w:hAnsi="Verdana" w:cs="Arial"/>
          <w:sz w:val="20"/>
          <w:szCs w:val="20"/>
          <w:lang w:val="es-MX" w:eastAsia="es-ES_tradnl"/>
        </w:rPr>
        <w:t xml:space="preserve">Serán causales de selección abreviada las siguientes: </w:t>
      </w:r>
    </w:p>
    <w:p w14:paraId="65B1606F" w14:textId="77777777" w:rsidR="006678D3" w:rsidRPr="0049500E" w:rsidRDefault="006678D3" w:rsidP="006678D3">
      <w:pPr>
        <w:spacing w:after="0" w:line="240" w:lineRule="auto"/>
        <w:ind w:left="709" w:right="709"/>
        <w:contextualSpacing/>
        <w:jc w:val="both"/>
        <w:rPr>
          <w:rFonts w:ascii="Verdana" w:eastAsia="Calibri" w:hAnsi="Verdana" w:cs="Arial"/>
          <w:sz w:val="20"/>
          <w:szCs w:val="20"/>
          <w:lang w:val="es-MX" w:eastAsia="es-ES_tradnl"/>
        </w:rPr>
      </w:pPr>
    </w:p>
    <w:p w14:paraId="60CD64C7" w14:textId="77777777" w:rsidR="006678D3" w:rsidRPr="0049500E" w:rsidRDefault="006678D3" w:rsidP="006678D3">
      <w:pPr>
        <w:spacing w:after="0" w:line="240" w:lineRule="auto"/>
        <w:ind w:left="709" w:right="709"/>
        <w:contextualSpacing/>
        <w:jc w:val="both"/>
        <w:rPr>
          <w:rFonts w:ascii="Verdana" w:eastAsia="Calibri" w:hAnsi="Verdana" w:cs="Arial"/>
          <w:sz w:val="20"/>
          <w:szCs w:val="20"/>
          <w:lang w:val="es-MX" w:eastAsia="es-ES_tradnl"/>
        </w:rPr>
      </w:pPr>
      <w:r w:rsidRPr="0049500E">
        <w:rPr>
          <w:rFonts w:ascii="Verdana" w:eastAsia="Calibri" w:hAnsi="Verdana" w:cs="Arial"/>
          <w:sz w:val="20"/>
          <w:szCs w:val="20"/>
          <w:lang w:val="es-MX" w:eastAsia="es-ES_tradnl"/>
        </w:rPr>
        <w:t>[….]</w:t>
      </w:r>
    </w:p>
    <w:p w14:paraId="42A01A0F" w14:textId="77777777" w:rsidR="006678D3" w:rsidRPr="0049500E" w:rsidRDefault="006678D3" w:rsidP="006678D3">
      <w:pPr>
        <w:spacing w:after="0" w:line="240" w:lineRule="auto"/>
        <w:ind w:left="709" w:right="709"/>
        <w:contextualSpacing/>
        <w:jc w:val="both"/>
        <w:rPr>
          <w:rFonts w:ascii="Verdana" w:eastAsia="Calibri" w:hAnsi="Verdana" w:cs="Arial"/>
          <w:sz w:val="20"/>
          <w:szCs w:val="20"/>
          <w:lang w:val="es-MX" w:eastAsia="es-ES_tradnl"/>
        </w:rPr>
      </w:pPr>
    </w:p>
    <w:p w14:paraId="13147D48" w14:textId="77777777" w:rsidR="006678D3" w:rsidRPr="0049500E" w:rsidRDefault="006678D3" w:rsidP="006678D3">
      <w:pPr>
        <w:spacing w:after="0" w:line="240" w:lineRule="auto"/>
        <w:ind w:left="709" w:right="709"/>
        <w:contextualSpacing/>
        <w:jc w:val="both"/>
        <w:rPr>
          <w:rFonts w:ascii="Verdana" w:eastAsia="Calibri" w:hAnsi="Verdana" w:cs="Arial"/>
          <w:sz w:val="20"/>
          <w:szCs w:val="20"/>
          <w:lang w:val="es-MX" w:eastAsia="es-ES_tradnl"/>
        </w:rPr>
      </w:pPr>
      <w:r w:rsidRPr="0049500E">
        <w:rPr>
          <w:rFonts w:ascii="Verdana" w:eastAsia="Calibri" w:hAnsi="Verdana" w:cs="Arial"/>
          <w:sz w:val="20"/>
          <w:szCs w:val="20"/>
          <w:lang w:val="es-MX" w:eastAsia="es-ES_tradnl"/>
        </w:rPr>
        <w:t xml:space="preserve">b) La contratación de menor cuantía. Se entenderá por menor cuantía los valores que a continuación se relacionan, determinados en función de los presupuestos anuales de las entidades públicas expresados en salarios mínimos legales mensuales. </w:t>
      </w:r>
    </w:p>
    <w:p w14:paraId="1416DFBE" w14:textId="77777777" w:rsidR="006678D3" w:rsidRPr="0049500E" w:rsidRDefault="006678D3" w:rsidP="006678D3">
      <w:pPr>
        <w:spacing w:after="0" w:line="240" w:lineRule="auto"/>
        <w:ind w:left="709" w:right="709"/>
        <w:contextualSpacing/>
        <w:jc w:val="both"/>
        <w:rPr>
          <w:rFonts w:ascii="Verdana" w:eastAsia="Calibri" w:hAnsi="Verdana" w:cs="Arial"/>
          <w:sz w:val="20"/>
          <w:szCs w:val="20"/>
          <w:lang w:val="es-MX" w:eastAsia="es-ES_tradnl"/>
        </w:rPr>
      </w:pPr>
    </w:p>
    <w:p w14:paraId="4C92326C" w14:textId="77777777" w:rsidR="006678D3" w:rsidRPr="0049500E" w:rsidRDefault="006678D3" w:rsidP="006678D3">
      <w:pPr>
        <w:spacing w:after="0" w:line="240" w:lineRule="auto"/>
        <w:ind w:left="709" w:right="709"/>
        <w:contextualSpacing/>
        <w:jc w:val="both"/>
        <w:rPr>
          <w:rFonts w:ascii="Verdana" w:eastAsia="Calibri" w:hAnsi="Verdana" w:cs="Arial"/>
          <w:sz w:val="20"/>
          <w:szCs w:val="20"/>
          <w:lang w:val="es-MX" w:eastAsia="es-ES_tradnl"/>
        </w:rPr>
      </w:pPr>
      <w:r w:rsidRPr="0049500E">
        <w:rPr>
          <w:rFonts w:ascii="Verdana" w:eastAsia="Calibri" w:hAnsi="Verdana" w:cs="Arial"/>
          <w:sz w:val="20"/>
          <w:szCs w:val="20"/>
          <w:lang w:val="es-MX" w:eastAsia="es-ES_tradnl"/>
        </w:rPr>
        <w:t xml:space="preserve">Para las entidades que tengan un presupuesto anual superior o igual a 1.200.000 salarios mínimos legales mensuales, la menor cuantía será hasta 1.000 salarios mínimos legales mensuales. </w:t>
      </w:r>
    </w:p>
    <w:p w14:paraId="1FA52E21" w14:textId="77777777" w:rsidR="006678D3" w:rsidRPr="00EC37AA" w:rsidRDefault="006678D3" w:rsidP="006678D3">
      <w:pPr>
        <w:spacing w:after="0" w:line="240" w:lineRule="auto"/>
        <w:ind w:left="709" w:right="709"/>
        <w:contextualSpacing/>
        <w:jc w:val="both"/>
        <w:rPr>
          <w:rFonts w:ascii="Verdana" w:eastAsia="Calibri" w:hAnsi="Verdana" w:cs="Arial"/>
          <w:color w:val="000000" w:themeColor="text1"/>
          <w:sz w:val="20"/>
          <w:szCs w:val="20"/>
        </w:rPr>
      </w:pPr>
    </w:p>
    <w:p w14:paraId="1EE77A1D" w14:textId="77777777" w:rsidR="006678D3" w:rsidRPr="00EC37AA" w:rsidRDefault="006678D3" w:rsidP="006678D3">
      <w:pPr>
        <w:spacing w:after="0" w:line="240" w:lineRule="auto"/>
        <w:ind w:left="709" w:right="709"/>
        <w:contextualSpacing/>
        <w:jc w:val="both"/>
        <w:rPr>
          <w:rFonts w:ascii="Verdana" w:eastAsia="Calibri" w:hAnsi="Verdana" w:cs="Arial"/>
          <w:color w:val="000000" w:themeColor="text1"/>
          <w:sz w:val="20"/>
          <w:szCs w:val="20"/>
        </w:rPr>
      </w:pPr>
      <w:r w:rsidRPr="00EC37AA">
        <w:rPr>
          <w:rFonts w:ascii="Verdana" w:eastAsia="Calibri" w:hAnsi="Verdana" w:cs="Arial"/>
          <w:color w:val="000000" w:themeColor="text1"/>
          <w:sz w:val="20"/>
          <w:szCs w:val="20"/>
        </w:rPr>
        <w:t xml:space="preserve">Las que tengan un presupuesto anual superior o igual a 850.000 salarios mínimos legales mensuales e inferiores a 1.200.000 salarios mínimos legales mensuales, la menor cuantía será hasta 850 salarios mínimos legales mensuales. </w:t>
      </w:r>
    </w:p>
    <w:p w14:paraId="31446102" w14:textId="77777777" w:rsidR="006678D3" w:rsidRPr="00EC37AA" w:rsidRDefault="006678D3" w:rsidP="006678D3">
      <w:pPr>
        <w:spacing w:after="0" w:line="240" w:lineRule="auto"/>
        <w:ind w:left="709" w:right="709"/>
        <w:contextualSpacing/>
        <w:jc w:val="both"/>
        <w:rPr>
          <w:rFonts w:ascii="Verdana" w:eastAsia="Calibri" w:hAnsi="Verdana" w:cs="Arial"/>
          <w:color w:val="000000" w:themeColor="text1"/>
          <w:sz w:val="20"/>
          <w:szCs w:val="20"/>
        </w:rPr>
      </w:pPr>
    </w:p>
    <w:p w14:paraId="274A6597" w14:textId="77777777" w:rsidR="006678D3" w:rsidRPr="00EC37AA" w:rsidRDefault="006678D3" w:rsidP="006678D3">
      <w:pPr>
        <w:spacing w:after="0" w:line="240" w:lineRule="auto"/>
        <w:ind w:left="709" w:right="709"/>
        <w:contextualSpacing/>
        <w:jc w:val="both"/>
        <w:rPr>
          <w:rFonts w:ascii="Verdana" w:eastAsia="Calibri" w:hAnsi="Verdana" w:cs="Arial"/>
          <w:color w:val="000000" w:themeColor="text1"/>
          <w:sz w:val="20"/>
          <w:szCs w:val="20"/>
        </w:rPr>
      </w:pPr>
      <w:r w:rsidRPr="00EC37AA">
        <w:rPr>
          <w:rFonts w:ascii="Verdana" w:eastAsia="Calibri" w:hAnsi="Verdana" w:cs="Arial"/>
          <w:color w:val="000000" w:themeColor="text1"/>
          <w:sz w:val="20"/>
          <w:szCs w:val="20"/>
        </w:rPr>
        <w:t xml:space="preserve">Las que tengan un presupuesto anual superior o igual a 400.000 salarios mínimos legales mensuales e inferior a 850.000 salarios mínimos legales mensuales, la menor cuantía será hasta 650 salarios mínimos legales mensuales. </w:t>
      </w:r>
    </w:p>
    <w:p w14:paraId="6C281FDA" w14:textId="77777777" w:rsidR="006678D3" w:rsidRPr="00EC37AA" w:rsidRDefault="006678D3" w:rsidP="006678D3">
      <w:pPr>
        <w:spacing w:after="0" w:line="240" w:lineRule="auto"/>
        <w:ind w:left="709" w:right="709"/>
        <w:contextualSpacing/>
        <w:jc w:val="both"/>
        <w:rPr>
          <w:rFonts w:ascii="Verdana" w:eastAsia="Calibri" w:hAnsi="Verdana" w:cs="Arial"/>
          <w:color w:val="000000" w:themeColor="text1"/>
          <w:sz w:val="20"/>
          <w:szCs w:val="20"/>
        </w:rPr>
      </w:pPr>
    </w:p>
    <w:p w14:paraId="5A5AF1C5" w14:textId="77777777" w:rsidR="006678D3" w:rsidRPr="00EC37AA" w:rsidRDefault="006678D3" w:rsidP="006678D3">
      <w:pPr>
        <w:spacing w:after="0" w:line="240" w:lineRule="auto"/>
        <w:ind w:left="709" w:right="709"/>
        <w:contextualSpacing/>
        <w:jc w:val="both"/>
        <w:rPr>
          <w:rFonts w:ascii="Verdana" w:eastAsia="Calibri" w:hAnsi="Verdana" w:cs="Arial"/>
          <w:color w:val="000000" w:themeColor="text1"/>
          <w:sz w:val="20"/>
          <w:szCs w:val="20"/>
        </w:rPr>
      </w:pPr>
      <w:r w:rsidRPr="00EC37AA">
        <w:rPr>
          <w:rFonts w:ascii="Verdana" w:eastAsia="Calibri" w:hAnsi="Verdana" w:cs="Arial"/>
          <w:color w:val="000000" w:themeColor="text1"/>
          <w:sz w:val="20"/>
          <w:szCs w:val="20"/>
        </w:rPr>
        <w:lastRenderedPageBreak/>
        <w:t xml:space="preserve">Las que tengan un presupuesto anual superior o igual a 120.000 salarios mínimos legales mensuales e inferior a 400.000 salarios mínimos legales mensuales, la menor cuantía será hasta 450 salarios mínimos legales mensuales. </w:t>
      </w:r>
    </w:p>
    <w:p w14:paraId="6DF9EAE8" w14:textId="77777777" w:rsidR="006678D3" w:rsidRPr="00EC37AA" w:rsidRDefault="006678D3" w:rsidP="006678D3">
      <w:pPr>
        <w:spacing w:after="0" w:line="240" w:lineRule="auto"/>
        <w:ind w:left="709" w:right="709"/>
        <w:contextualSpacing/>
        <w:jc w:val="both"/>
        <w:rPr>
          <w:rFonts w:ascii="Verdana" w:eastAsia="Calibri" w:hAnsi="Verdana" w:cs="Arial"/>
          <w:color w:val="000000" w:themeColor="text1"/>
          <w:sz w:val="20"/>
          <w:szCs w:val="20"/>
        </w:rPr>
      </w:pPr>
    </w:p>
    <w:p w14:paraId="27B5A60B" w14:textId="77777777" w:rsidR="006678D3" w:rsidRPr="00EC37AA" w:rsidRDefault="006678D3" w:rsidP="006678D3">
      <w:pPr>
        <w:spacing w:after="0" w:line="240" w:lineRule="auto"/>
        <w:ind w:left="709" w:right="709"/>
        <w:contextualSpacing/>
        <w:jc w:val="both"/>
        <w:rPr>
          <w:rFonts w:ascii="Verdana" w:eastAsia="Calibri" w:hAnsi="Verdana" w:cs="Arial"/>
          <w:color w:val="000000" w:themeColor="text1"/>
          <w:sz w:val="20"/>
          <w:szCs w:val="20"/>
        </w:rPr>
      </w:pPr>
      <w:r w:rsidRPr="00EC37AA">
        <w:rPr>
          <w:rFonts w:ascii="Verdana" w:eastAsia="Calibri" w:hAnsi="Verdana" w:cs="Arial"/>
          <w:color w:val="000000" w:themeColor="text1"/>
          <w:sz w:val="20"/>
          <w:szCs w:val="20"/>
        </w:rPr>
        <w:t>Las que tengan un presupuesto anual inferior a 120.000 salarios mínimos legales mensuales, la menor cuantía será hasta 280 salarios mínimos legales mensuales”.</w:t>
      </w:r>
    </w:p>
    <w:p w14:paraId="7EAFACDD" w14:textId="77777777" w:rsidR="006678D3" w:rsidRPr="0082023C" w:rsidRDefault="006678D3" w:rsidP="006678D3">
      <w:pPr>
        <w:spacing w:after="0" w:line="276" w:lineRule="auto"/>
        <w:ind w:left="709" w:right="680"/>
        <w:jc w:val="both"/>
        <w:rPr>
          <w:rFonts w:ascii="Arial" w:eastAsia="Calibri" w:hAnsi="Arial" w:cs="Arial"/>
          <w:lang w:val="es-MX" w:eastAsia="es-ES_tradnl"/>
        </w:rPr>
      </w:pPr>
    </w:p>
    <w:p w14:paraId="34879552" w14:textId="77777777" w:rsidR="006678D3" w:rsidRPr="0049500E" w:rsidRDefault="006678D3" w:rsidP="006678D3">
      <w:pPr>
        <w:spacing w:after="120" w:line="276" w:lineRule="auto"/>
        <w:ind w:firstLine="709"/>
        <w:jc w:val="both"/>
        <w:rPr>
          <w:rFonts w:ascii="Verdana" w:eastAsia="Calibri" w:hAnsi="Verdana" w:cs="Arial"/>
          <w:shd w:val="clear" w:color="auto" w:fill="FFFFFF"/>
          <w:lang w:eastAsia="es-ES"/>
        </w:rPr>
      </w:pPr>
      <w:r w:rsidRPr="4E641234">
        <w:rPr>
          <w:rFonts w:ascii="Verdana" w:eastAsia="Calibri" w:hAnsi="Verdana" w:cs="Arial"/>
          <w:shd w:val="clear" w:color="auto" w:fill="FFFFFF"/>
          <w:lang w:eastAsia="es-ES"/>
        </w:rPr>
        <w:t>De este modo, se evidencia que la procedencia de la causal de selección abreviada de menor cuantía se encuentra directamente vinculada con el presupuesto anual de cada Entidad Estatal, de manera que los procedimientos de selección cuyo presupuesto oficial no superen el tope de la menor cuantía, se adelantarán bajo la modalidad de selección abreviada, ya que si se supera este tope corresponderá adelantar una licitación pública, siempre y cuando el único factor que pueda o deba tenerse en consideración es el valor estimado del contrato, esto es, sin considerar factores tales como la naturaleza de los productos, su destinación o características</w:t>
      </w:r>
      <w:r>
        <w:rPr>
          <w:rFonts w:ascii="Verdana" w:eastAsia="Calibri" w:hAnsi="Verdana" w:cs="Arial"/>
          <w:shd w:val="clear" w:color="auto" w:fill="FFFFFF"/>
          <w:lang w:eastAsia="es-ES"/>
        </w:rPr>
        <w:t>.</w:t>
      </w:r>
    </w:p>
    <w:p w14:paraId="50782828" w14:textId="77777777" w:rsidR="006678D3" w:rsidRDefault="006678D3" w:rsidP="006678D3">
      <w:pPr>
        <w:spacing w:after="120" w:line="276" w:lineRule="auto"/>
        <w:ind w:firstLine="708"/>
        <w:jc w:val="both"/>
        <w:rPr>
          <w:rFonts w:ascii="Verdana" w:eastAsia="Calibri" w:hAnsi="Verdana" w:cs="Arial"/>
        </w:rPr>
      </w:pPr>
      <w:r>
        <w:rPr>
          <w:rFonts w:ascii="Verdana" w:eastAsia="Calibri" w:hAnsi="Verdana" w:cs="Arial"/>
          <w:lang w:val="es-ES_tradnl"/>
        </w:rPr>
        <w:t>Por otra parte,</w:t>
      </w:r>
      <w:r w:rsidRPr="00E54703">
        <w:rPr>
          <w:rFonts w:ascii="Verdana" w:eastAsia="Calibri" w:hAnsi="Verdana" w:cs="Arial"/>
        </w:rPr>
        <w:t xml:space="preserve"> </w:t>
      </w:r>
      <w:r w:rsidRPr="004B0BDE">
        <w:rPr>
          <w:rFonts w:ascii="Verdana" w:eastAsia="Calibri" w:hAnsi="Verdana" w:cs="Arial"/>
        </w:rPr>
        <w:t>en relación con el problema jurídico planteado se tiene que, el literal b) del artículo 2 de la Ley 80 de 1993 le otorga competencia para contratar a ciertas entidades. La Corte Constitucional declaró exequible esta norma, porque la Carta Política facultó al legislador para establecer la capacidad para contratar de las entidades estatales</w:t>
      </w:r>
      <w:r w:rsidRPr="00764295">
        <w:rPr>
          <w:rFonts w:ascii="Verdana" w:eastAsia="Arial" w:hAnsi="Verdana" w:cs="Arial"/>
          <w:vertAlign w:val="superscript"/>
          <w:lang w:val="es-ES" w:eastAsia="es-ES" w:bidi="es-ES"/>
        </w:rPr>
        <w:footnoteReference w:id="5"/>
      </w:r>
      <w:r w:rsidRPr="00764295">
        <w:rPr>
          <w:rFonts w:ascii="Verdana" w:eastAsia="Arial" w:hAnsi="Verdana" w:cs="Arial"/>
          <w:lang w:val="es-ES" w:eastAsia="es-ES" w:bidi="es-ES"/>
        </w:rPr>
        <w:t>.</w:t>
      </w:r>
      <w:r w:rsidRPr="004B0BDE">
        <w:rPr>
          <w:rFonts w:ascii="Verdana" w:eastAsia="Calibri" w:hAnsi="Verdana" w:cs="Arial"/>
        </w:rPr>
        <w:t xml:space="preserve"> Al respecto, dicha Corporación ha</w:t>
      </w:r>
      <w:r>
        <w:rPr>
          <w:rFonts w:ascii="Verdana" w:eastAsia="Calibri" w:hAnsi="Verdana" w:cs="Arial"/>
        </w:rPr>
        <w:t xml:space="preserve"> </w:t>
      </w:r>
      <w:r w:rsidRPr="002217C0">
        <w:rPr>
          <w:rFonts w:ascii="Verdana" w:eastAsia="Calibri" w:hAnsi="Verdana" w:cs="Arial"/>
        </w:rPr>
        <w:t>explicado que la Ley 80 no asigna personería jurídica a los organismos relacionados en el artículo 2, literal b), solo otorga competencia para contratar, ya que los sujetos del literal citado carecen de tal atributo, aunque pueden contratar</w:t>
      </w:r>
      <w:r>
        <w:rPr>
          <w:rFonts w:ascii="Verdana" w:eastAsia="Calibri" w:hAnsi="Verdana" w:cs="Arial"/>
        </w:rPr>
        <w:t>.</w:t>
      </w:r>
    </w:p>
    <w:p w14:paraId="2CA9574E" w14:textId="40713244" w:rsidR="006678D3" w:rsidRDefault="006678D3" w:rsidP="00A566A9">
      <w:pPr>
        <w:spacing w:after="0" w:line="276" w:lineRule="auto"/>
        <w:ind w:firstLine="708"/>
        <w:jc w:val="both"/>
        <w:rPr>
          <w:rFonts w:ascii="Verdana" w:eastAsia="Calibri" w:hAnsi="Verdana" w:cs="Arial"/>
          <w:lang w:eastAsia="es-MX"/>
        </w:rPr>
      </w:pPr>
      <w:r w:rsidRPr="00FE3C27">
        <w:rPr>
          <w:rFonts w:ascii="Verdana" w:eastAsia="Calibri" w:hAnsi="Verdana" w:cs="Arial"/>
          <w:lang w:eastAsia="es-MX"/>
        </w:rPr>
        <w:t xml:space="preserve">De otro lado, hay que precisar que la enumeración que hizo la norma comentada no es taxativa, pues otras leyes asignan competencia a otras </w:t>
      </w:r>
      <w:r w:rsidR="003E229F">
        <w:rPr>
          <w:rFonts w:ascii="Verdana" w:eastAsia="Calibri" w:hAnsi="Verdana" w:cs="Arial"/>
          <w:lang w:eastAsia="es-MX"/>
        </w:rPr>
        <w:t>E</w:t>
      </w:r>
      <w:r w:rsidRPr="00FE3C27">
        <w:rPr>
          <w:rFonts w:ascii="Verdana" w:eastAsia="Calibri" w:hAnsi="Verdana" w:cs="Arial"/>
          <w:lang w:eastAsia="es-MX"/>
        </w:rPr>
        <w:t xml:space="preserve">ntidades </w:t>
      </w:r>
      <w:r w:rsidR="003E229F">
        <w:rPr>
          <w:rFonts w:ascii="Verdana" w:eastAsia="Calibri" w:hAnsi="Verdana" w:cs="Arial"/>
          <w:lang w:eastAsia="es-MX"/>
        </w:rPr>
        <w:t>P</w:t>
      </w:r>
      <w:r w:rsidRPr="00FE3C27">
        <w:rPr>
          <w:rFonts w:ascii="Verdana" w:eastAsia="Calibri" w:hAnsi="Verdana" w:cs="Arial"/>
          <w:lang w:eastAsia="es-MX"/>
        </w:rPr>
        <w:t>úblicas. De hecho, el artículo 2, literal b) no contempla a las Asambleas Departamentales</w:t>
      </w:r>
      <w:r>
        <w:rPr>
          <w:rFonts w:ascii="Verdana" w:eastAsia="Calibri" w:hAnsi="Verdana" w:cs="Arial"/>
          <w:lang w:eastAsia="es-MX"/>
        </w:rPr>
        <w:t xml:space="preserve"> ni a los Concejos Municipales y Distritales</w:t>
      </w:r>
      <w:r w:rsidRPr="00FE3C27">
        <w:rPr>
          <w:rFonts w:ascii="Verdana" w:eastAsia="Calibri" w:hAnsi="Verdana" w:cs="Arial"/>
          <w:lang w:eastAsia="es-MX"/>
        </w:rPr>
        <w:t xml:space="preserve">. No obstante, la capacidad para celebrar contratos se desprende del artículo 110 del </w:t>
      </w:r>
      <w:r w:rsidRPr="00FE3C27">
        <w:rPr>
          <w:rFonts w:ascii="Verdana" w:eastAsia="Calibri" w:hAnsi="Verdana" w:cs="Arial"/>
          <w:lang w:eastAsia="es-MX"/>
        </w:rPr>
        <w:lastRenderedPageBreak/>
        <w:t>Decreto 111 de 1996 –Estatuto presupuestal</w:t>
      </w:r>
      <w:r w:rsidRPr="00764295">
        <w:rPr>
          <w:rFonts w:ascii="Verdana" w:eastAsia="Arial" w:hAnsi="Verdana" w:cs="Arial"/>
          <w:vertAlign w:val="superscript"/>
          <w:lang w:val="es-ES" w:eastAsia="es-ES" w:bidi="es-ES"/>
        </w:rPr>
        <w:footnoteReference w:id="6"/>
      </w:r>
      <w:r w:rsidRPr="00FE3C27">
        <w:rPr>
          <w:rFonts w:ascii="Verdana" w:eastAsia="Calibri" w:hAnsi="Verdana" w:cs="Arial"/>
          <w:lang w:eastAsia="es-MX"/>
        </w:rPr>
        <w:t>. Esta norma señala que las asambleas</w:t>
      </w:r>
      <w:r>
        <w:rPr>
          <w:rFonts w:ascii="Verdana" w:eastAsia="Calibri" w:hAnsi="Verdana" w:cs="Arial"/>
          <w:lang w:eastAsia="es-MX"/>
        </w:rPr>
        <w:t xml:space="preserve"> y concejos</w:t>
      </w:r>
      <w:r w:rsidRPr="00FE3C27">
        <w:rPr>
          <w:rFonts w:ascii="Verdana" w:eastAsia="Calibri" w:hAnsi="Verdana" w:cs="Arial"/>
          <w:lang w:eastAsia="es-MX"/>
        </w:rPr>
        <w:t xml:space="preserve"> tendrán competencia para contratar, en los mismos términos que otros órganos que cuentan con el atributo de la personalidad, por lo que pueden adelantar procesos de selección y celebrar contratos. De este modo, el artículo 110 se suma y armoniza al artículo 2 de la Ley 80 de 1993, ampliando el listado de entidades públicas que tienen competencia para celebrar contratos.</w:t>
      </w:r>
    </w:p>
    <w:p w14:paraId="77871DD4" w14:textId="77777777" w:rsidR="006678D3" w:rsidRPr="001F7FC2" w:rsidRDefault="006678D3" w:rsidP="001F7FC2">
      <w:pPr>
        <w:widowControl w:val="0"/>
        <w:autoSpaceDE w:val="0"/>
        <w:autoSpaceDN w:val="0"/>
        <w:spacing w:after="0" w:line="276" w:lineRule="auto"/>
        <w:jc w:val="both"/>
        <w:rPr>
          <w:rFonts w:ascii="Verdana" w:hAnsi="Verdana" w:cs="Arial"/>
        </w:rPr>
      </w:pPr>
    </w:p>
    <w:p w14:paraId="15904DB2" w14:textId="77777777" w:rsidR="006678D3" w:rsidRPr="003E229F" w:rsidRDefault="006678D3" w:rsidP="003E229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F7FC2">
        <w:rPr>
          <w:rFonts w:ascii="Verdana" w:eastAsia="Century Gothic" w:hAnsi="Verdana" w:cs="Century Gothic"/>
          <w:b/>
          <w:bCs/>
        </w:rPr>
        <w:t>Referencias normativas, jurisprudenciales y otras fuentes:</w:t>
      </w:r>
    </w:p>
    <w:p w14:paraId="5C016CEB" w14:textId="77777777" w:rsidR="006678D3" w:rsidRPr="001F7FC2" w:rsidRDefault="006678D3">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6678D3" w:rsidRPr="001F7FC2" w14:paraId="7CD3097F" w14:textId="77777777" w:rsidTr="00BE41CC">
        <w:trPr>
          <w:trHeight w:val="870"/>
        </w:trPr>
        <w:tc>
          <w:tcPr>
            <w:tcW w:w="8647" w:type="dxa"/>
            <w:tcBorders>
              <w:top w:val="dotted" w:sz="4" w:space="0" w:color="auto"/>
              <w:left w:val="dotted" w:sz="4" w:space="0" w:color="auto"/>
              <w:bottom w:val="dotted" w:sz="4" w:space="0" w:color="auto"/>
              <w:right w:val="dotted" w:sz="4" w:space="0" w:color="auto"/>
            </w:tcBorders>
            <w:hideMark/>
          </w:tcPr>
          <w:p w14:paraId="3DBC699C" w14:textId="77777777" w:rsidR="006678D3" w:rsidRPr="001F7FC2" w:rsidRDefault="006678D3">
            <w:pPr>
              <w:widowControl w:val="0"/>
              <w:numPr>
                <w:ilvl w:val="0"/>
                <w:numId w:val="17"/>
              </w:numPr>
              <w:autoSpaceDE w:val="0"/>
              <w:autoSpaceDN w:val="0"/>
              <w:spacing w:line="276" w:lineRule="auto"/>
              <w:jc w:val="both"/>
              <w:rPr>
                <w:rFonts w:ascii="Verdana" w:hAnsi="Verdana" w:cs="Arial"/>
                <w:color w:val="000000" w:themeColor="text1"/>
              </w:rPr>
            </w:pPr>
            <w:r w:rsidRPr="001F7FC2">
              <w:rPr>
                <w:rFonts w:ascii="Verdana" w:hAnsi="Verdana" w:cs="Arial"/>
                <w:color w:val="000000" w:themeColor="text1"/>
              </w:rPr>
              <w:t>Ley 80 de 1993. Artículos 23, 24 y 25</w:t>
            </w:r>
          </w:p>
          <w:p w14:paraId="002C5147" w14:textId="77777777" w:rsidR="006678D3" w:rsidRPr="001F7FC2" w:rsidRDefault="006678D3" w:rsidP="00A566A9">
            <w:pPr>
              <w:widowControl w:val="0"/>
              <w:numPr>
                <w:ilvl w:val="0"/>
                <w:numId w:val="17"/>
              </w:numPr>
              <w:autoSpaceDE w:val="0"/>
              <w:autoSpaceDN w:val="0"/>
              <w:spacing w:line="276" w:lineRule="auto"/>
              <w:contextualSpacing/>
              <w:jc w:val="both"/>
              <w:rPr>
                <w:rFonts w:ascii="Verdana" w:eastAsia="Calibri" w:hAnsi="Verdana" w:cs="Arial"/>
                <w:lang w:val="es-ES"/>
              </w:rPr>
            </w:pPr>
            <w:r w:rsidRPr="001F7FC2">
              <w:rPr>
                <w:rFonts w:ascii="Verdana" w:eastAsia="Calibri" w:hAnsi="Verdana" w:cs="Arial"/>
                <w:lang w:val="es-ES"/>
              </w:rPr>
              <w:t>Ley 1150 de 2007. Artículo 5</w:t>
            </w:r>
          </w:p>
          <w:p w14:paraId="3F36CED5" w14:textId="77777777" w:rsidR="006678D3" w:rsidRPr="001F7FC2" w:rsidRDefault="006678D3" w:rsidP="00A566A9">
            <w:pPr>
              <w:widowControl w:val="0"/>
              <w:numPr>
                <w:ilvl w:val="0"/>
                <w:numId w:val="17"/>
              </w:numPr>
              <w:autoSpaceDE w:val="0"/>
              <w:autoSpaceDN w:val="0"/>
              <w:spacing w:line="276" w:lineRule="auto"/>
              <w:contextualSpacing/>
              <w:jc w:val="both"/>
              <w:rPr>
                <w:rFonts w:ascii="Verdana" w:eastAsia="Calibri" w:hAnsi="Verdana" w:cs="Arial"/>
                <w:lang w:val="es-ES"/>
              </w:rPr>
            </w:pPr>
            <w:r w:rsidRPr="001F7FC2">
              <w:rPr>
                <w:rFonts w:ascii="Verdana" w:eastAsia="Arial" w:hAnsi="Verdana" w:cs="Arial"/>
                <w:color w:val="000000" w:themeColor="text1"/>
              </w:rPr>
              <w:t xml:space="preserve">Decreto 1082 de 2015. Artículo 2.2.1.2.4.2.2 </w:t>
            </w:r>
          </w:p>
          <w:p w14:paraId="34A9AA81" w14:textId="77777777" w:rsidR="006678D3" w:rsidRPr="001F7FC2" w:rsidRDefault="006678D3" w:rsidP="00A566A9">
            <w:pPr>
              <w:widowControl w:val="0"/>
              <w:numPr>
                <w:ilvl w:val="0"/>
                <w:numId w:val="17"/>
              </w:numPr>
              <w:autoSpaceDE w:val="0"/>
              <w:autoSpaceDN w:val="0"/>
              <w:spacing w:line="276" w:lineRule="auto"/>
              <w:contextualSpacing/>
              <w:jc w:val="both"/>
              <w:rPr>
                <w:rFonts w:ascii="Verdana" w:eastAsia="Calibri" w:hAnsi="Verdana" w:cs="Arial"/>
                <w:lang w:val="es-ES"/>
              </w:rPr>
            </w:pPr>
            <w:r w:rsidRPr="001F7FC2">
              <w:rPr>
                <w:rFonts w:ascii="Verdana" w:eastAsia="Calibri" w:hAnsi="Verdana" w:cs="Arial"/>
                <w:lang w:eastAsia="es-MX"/>
              </w:rPr>
              <w:t>Decreto 111 de 1996. Artículo 110.</w:t>
            </w:r>
          </w:p>
          <w:p w14:paraId="6BFEF904" w14:textId="77777777" w:rsidR="006678D3" w:rsidRPr="001F7FC2" w:rsidRDefault="006678D3" w:rsidP="001F7FC2">
            <w:pPr>
              <w:widowControl w:val="0"/>
              <w:numPr>
                <w:ilvl w:val="0"/>
                <w:numId w:val="17"/>
              </w:numPr>
              <w:autoSpaceDE w:val="0"/>
              <w:autoSpaceDN w:val="0"/>
              <w:spacing w:line="276" w:lineRule="auto"/>
              <w:contextualSpacing/>
              <w:jc w:val="both"/>
              <w:rPr>
                <w:rFonts w:ascii="Verdana" w:eastAsia="Aptos" w:hAnsi="Verdana" w:cs="Arial"/>
              </w:rPr>
            </w:pPr>
            <w:r w:rsidRPr="001F7FC2">
              <w:rPr>
                <w:rFonts w:ascii="Verdana" w:hAnsi="Verdana"/>
                <w:lang w:val="es-ES"/>
              </w:rPr>
              <w:t xml:space="preserve">CONSEJO DE ESTADO. Sala de lo Contencioso Administrativo. Sección Tercera. Subsección B. Sentencia de 3 de mayo de 2013. </w:t>
            </w:r>
            <w:proofErr w:type="spellStart"/>
            <w:r w:rsidRPr="001F7FC2">
              <w:rPr>
                <w:rFonts w:ascii="Verdana" w:hAnsi="Verdana"/>
                <w:lang w:val="es-ES"/>
              </w:rPr>
              <w:t>Exp</w:t>
            </w:r>
            <w:proofErr w:type="spellEnd"/>
            <w:r w:rsidRPr="001F7FC2">
              <w:rPr>
                <w:rFonts w:ascii="Verdana" w:hAnsi="Verdana"/>
                <w:lang w:val="es-ES"/>
              </w:rPr>
              <w:t xml:space="preserve">. 23734. C.P: </w:t>
            </w:r>
            <w:r w:rsidRPr="001F7FC2">
              <w:rPr>
                <w:rFonts w:ascii="Verdana" w:hAnsi="Verdana" w:cs="Arial"/>
                <w:lang w:val="es-ES"/>
              </w:rPr>
              <w:t>Danilo Rojas Betancourth (E).</w:t>
            </w:r>
          </w:p>
          <w:p w14:paraId="2FA40CB5" w14:textId="77777777" w:rsidR="006678D3" w:rsidRPr="001F7FC2" w:rsidRDefault="006678D3" w:rsidP="003E229F">
            <w:pPr>
              <w:widowControl w:val="0"/>
              <w:numPr>
                <w:ilvl w:val="0"/>
                <w:numId w:val="17"/>
              </w:numPr>
              <w:autoSpaceDE w:val="0"/>
              <w:autoSpaceDN w:val="0"/>
              <w:spacing w:line="276" w:lineRule="auto"/>
              <w:contextualSpacing/>
              <w:jc w:val="both"/>
              <w:rPr>
                <w:rFonts w:ascii="Verdana" w:eastAsia="Aptos" w:hAnsi="Verdana" w:cs="Arial"/>
              </w:rPr>
            </w:pPr>
            <w:r w:rsidRPr="001F7FC2">
              <w:rPr>
                <w:rFonts w:ascii="Verdana" w:eastAsia="Aptos" w:hAnsi="Verdana" w:cs="Arial"/>
              </w:rPr>
              <w:t>CONSEJO DE ESTADO. Sección Tercera. Subsección A. Sentencia del 14 de marzo de 2013. Rad. 24059. C.P. Mauricio Fajardo Gómez.</w:t>
            </w:r>
          </w:p>
          <w:p w14:paraId="43885824" w14:textId="77777777" w:rsidR="006678D3" w:rsidRPr="001F7FC2" w:rsidRDefault="006678D3">
            <w:pPr>
              <w:widowControl w:val="0"/>
              <w:numPr>
                <w:ilvl w:val="0"/>
                <w:numId w:val="17"/>
              </w:numPr>
              <w:autoSpaceDE w:val="0"/>
              <w:autoSpaceDN w:val="0"/>
              <w:spacing w:line="276" w:lineRule="auto"/>
              <w:contextualSpacing/>
              <w:jc w:val="both"/>
              <w:rPr>
                <w:rFonts w:ascii="Verdana" w:eastAsia="Aptos" w:hAnsi="Verdana" w:cs="Arial"/>
              </w:rPr>
            </w:pPr>
            <w:r w:rsidRPr="001F7FC2">
              <w:rPr>
                <w:rFonts w:ascii="Verdana" w:eastAsia="Aptos" w:hAnsi="Verdana" w:cs="Arial"/>
              </w:rPr>
              <w:t xml:space="preserve">CONSEJO DE ESTADO. Sección Tercera. Subsección A. Sentencia del 23 de julio de 2015. </w:t>
            </w:r>
            <w:proofErr w:type="spellStart"/>
            <w:r w:rsidRPr="001F7FC2">
              <w:rPr>
                <w:rFonts w:ascii="Verdana" w:eastAsia="Aptos" w:hAnsi="Verdana" w:cs="Arial"/>
              </w:rPr>
              <w:t>Exp</w:t>
            </w:r>
            <w:proofErr w:type="spellEnd"/>
            <w:r w:rsidRPr="001F7FC2">
              <w:rPr>
                <w:rFonts w:ascii="Verdana" w:eastAsia="Aptos" w:hAnsi="Verdana" w:cs="Arial"/>
              </w:rPr>
              <w:t>. 36.805. C. P. Hernán Andrade Rincón.</w:t>
            </w:r>
          </w:p>
          <w:p w14:paraId="60AA357E" w14:textId="77777777" w:rsidR="006678D3" w:rsidRPr="001F7FC2" w:rsidRDefault="006678D3">
            <w:pPr>
              <w:widowControl w:val="0"/>
              <w:autoSpaceDE w:val="0"/>
              <w:autoSpaceDN w:val="0"/>
              <w:spacing w:line="276" w:lineRule="auto"/>
              <w:ind w:left="720"/>
              <w:contextualSpacing/>
              <w:jc w:val="both"/>
              <w:rPr>
                <w:rFonts w:ascii="Verdana" w:eastAsia="Aptos" w:hAnsi="Verdana" w:cs="Arial"/>
              </w:rPr>
            </w:pPr>
          </w:p>
        </w:tc>
      </w:tr>
    </w:tbl>
    <w:p w14:paraId="47204E76" w14:textId="77777777" w:rsidR="006678D3" w:rsidRPr="001F7FC2" w:rsidRDefault="006678D3" w:rsidP="001F7FC2">
      <w:pPr>
        <w:widowControl w:val="0"/>
        <w:autoSpaceDE w:val="0"/>
        <w:autoSpaceDN w:val="0"/>
        <w:spacing w:after="0" w:line="276" w:lineRule="auto"/>
        <w:jc w:val="both"/>
        <w:rPr>
          <w:rFonts w:ascii="Verdana" w:hAnsi="Verdana" w:cs="Arial"/>
        </w:rPr>
      </w:pPr>
    </w:p>
    <w:p w14:paraId="3D6EF27D" w14:textId="77777777" w:rsidR="006678D3" w:rsidRPr="003E229F" w:rsidRDefault="006678D3" w:rsidP="003E229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F7FC2">
        <w:rPr>
          <w:rFonts w:ascii="Verdana" w:eastAsia="Century Gothic" w:hAnsi="Verdana" w:cs="Century Gothic"/>
          <w:b/>
          <w:bCs/>
        </w:rPr>
        <w:t>Doctrina de la Agencia Nacional de Contratación Pública:</w:t>
      </w:r>
    </w:p>
    <w:p w14:paraId="64597548" w14:textId="77777777" w:rsidR="006678D3" w:rsidRPr="001F7FC2" w:rsidRDefault="006678D3">
      <w:pPr>
        <w:widowControl w:val="0"/>
        <w:autoSpaceDE w:val="0"/>
        <w:autoSpaceDN w:val="0"/>
        <w:spacing w:after="0" w:line="276" w:lineRule="auto"/>
        <w:jc w:val="both"/>
        <w:rPr>
          <w:rFonts w:ascii="Verdana" w:hAnsi="Verdana" w:cs="Arial"/>
        </w:rPr>
      </w:pPr>
    </w:p>
    <w:p w14:paraId="56F53D1F" w14:textId="77777777" w:rsidR="006678D3" w:rsidRPr="00A566A9" w:rsidRDefault="006678D3">
      <w:pPr>
        <w:widowControl w:val="0"/>
        <w:autoSpaceDE w:val="0"/>
        <w:autoSpaceDN w:val="0"/>
        <w:spacing w:after="0" w:line="276" w:lineRule="auto"/>
        <w:jc w:val="both"/>
        <w:rPr>
          <w:rStyle w:val="normaltextrun"/>
          <w:rFonts w:ascii="Verdana" w:hAnsi="Verdana"/>
          <w:color w:val="FF0000"/>
          <w:shd w:val="clear" w:color="auto" w:fill="FFFFFF"/>
          <w:lang w:val="es-ES"/>
        </w:rPr>
      </w:pPr>
      <w:r w:rsidRPr="001F7FC2">
        <w:rPr>
          <w:rFonts w:ascii="Verdana" w:eastAsia="Calibri" w:hAnsi="Verdana" w:cs="Times New Roman"/>
        </w:rPr>
        <w:t xml:space="preserve">Sobre la modalidad de selección abreviada de menor cuantía, esta Subdirección se ha pronunciado en conceptos C-687 del 20 de octubre de 2022, C-313 del 31 </w:t>
      </w:r>
      <w:r w:rsidRPr="001F7FC2">
        <w:rPr>
          <w:rFonts w:ascii="Verdana" w:eastAsia="Calibri" w:hAnsi="Verdana" w:cs="Times New Roman"/>
        </w:rPr>
        <w:lastRenderedPageBreak/>
        <w:t xml:space="preserve">de julio de 2023, C-377 del 8 de agosto de 2024, C- 535 del 24 de septiembre de 2024, C-840 del 11 de diciembre de 2024, C-716 del 15 de julio de 2025, C-803 del 31 de julio 2025 y C-1150 del 26 de agosto de 2025, entre otros. </w:t>
      </w:r>
      <w:r w:rsidRPr="001F7FC2">
        <w:rPr>
          <w:rStyle w:val="normaltextrun"/>
          <w:rFonts w:ascii="Verdana" w:hAnsi="Verdana" w:cs="Arial"/>
          <w:shd w:val="clear" w:color="auto" w:fill="FFFFFF"/>
          <w:lang w:val="es-ES"/>
        </w:rPr>
        <w:t>Es</w:t>
      </w:r>
      <w:r w:rsidRPr="001F7FC2">
        <w:rPr>
          <w:rFonts w:ascii="Verdana" w:hAnsi="Verdana"/>
        </w:rPr>
        <w:t>tos y otros conceptos se encuentran disponibles para consulta en el Sistema de relatoría de la Agencia, al cual se puede acceder a través del siguiente enlace:</w:t>
      </w:r>
      <w:r w:rsidRPr="001F7FC2">
        <w:rPr>
          <w:rStyle w:val="normaltextrun"/>
          <w:rFonts w:ascii="Verdana" w:hAnsi="Verdana" w:cs="Arial"/>
          <w:shd w:val="clear" w:color="auto" w:fill="FFFFFF"/>
          <w:lang w:val="es-ES"/>
        </w:rPr>
        <w:t xml:space="preserve"> </w:t>
      </w:r>
      <w:hyperlink r:id="rId13" w:history="1">
        <w:r w:rsidRPr="001F7FC2">
          <w:rPr>
            <w:rStyle w:val="Hipervnculo"/>
            <w:rFonts w:ascii="Verdana" w:hAnsi="Verdana" w:cs="Arial"/>
            <w:shd w:val="clear" w:color="auto" w:fill="FFFFFF"/>
            <w:lang w:val="es-ES"/>
          </w:rPr>
          <w:t>https://relatoria.colombiacompra.gov.co/busqueda/conceptos</w:t>
        </w:r>
      </w:hyperlink>
    </w:p>
    <w:p w14:paraId="1936B2AB" w14:textId="77777777" w:rsidR="006678D3" w:rsidRPr="001F7FC2" w:rsidRDefault="006678D3">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2710CE1" w14:textId="77777777" w:rsidR="006678D3" w:rsidRPr="00A566A9" w:rsidRDefault="006678D3">
      <w:pPr>
        <w:shd w:val="clear" w:color="auto" w:fill="FFFFFF"/>
        <w:spacing w:after="0" w:line="276" w:lineRule="auto"/>
        <w:jc w:val="both"/>
        <w:textAlignment w:val="baseline"/>
        <w:rPr>
          <w:rFonts w:ascii="Verdana" w:hAnsi="Verdana"/>
          <w:color w:val="467886"/>
          <w:u w:val="single"/>
          <w:bdr w:val="none" w:sz="0" w:space="0" w:color="auto" w:frame="1"/>
        </w:rPr>
      </w:pPr>
      <w:r w:rsidRPr="001F7FC2">
        <w:rPr>
          <w:rFonts w:ascii="Verdana" w:hAnsi="Verdana"/>
          <w:color w:val="000000"/>
          <w:bdr w:val="none" w:sz="0" w:space="0" w:color="auto" w:frame="1"/>
        </w:rPr>
        <w:t>Le contamos que ya se encuentra disponible la </w:t>
      </w:r>
      <w:r w:rsidRPr="001F7FC2">
        <w:rPr>
          <w:rFonts w:ascii="Verdana" w:hAnsi="Verdana"/>
          <w:b/>
          <w:bCs/>
          <w:color w:val="000000"/>
          <w:bdr w:val="none" w:sz="0" w:space="0" w:color="auto" w:frame="1"/>
        </w:rPr>
        <w:t>Guía de lineamientos de transparencia y selección objetiva para el departamento de La Guajira – Objetivo sexto constitucional de la Sentencia T-302 del 2017. </w:t>
      </w:r>
      <w:r w:rsidRPr="001F7FC2">
        <w:rPr>
          <w:rFonts w:ascii="Verdana" w:hAnsi="Verdana"/>
          <w:color w:val="000000"/>
          <w:bdr w:val="none" w:sz="0" w:space="0" w:color="auto" w:frame="1"/>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1F7FC2">
        <w:rPr>
          <w:rFonts w:ascii="Verdana" w:hAnsi="Verdana"/>
          <w:color w:val="000000"/>
          <w:bdr w:val="none" w:sz="0" w:space="0" w:color="auto" w:frame="1"/>
        </w:rPr>
        <w:t>Wayúu</w:t>
      </w:r>
      <w:proofErr w:type="spellEnd"/>
      <w:r w:rsidRPr="001F7FC2">
        <w:rPr>
          <w:rFonts w:ascii="Verdana" w:hAnsi="Verdana"/>
          <w:color w:val="000000"/>
          <w:bdr w:val="none" w:sz="0" w:space="0" w:color="auto" w:frame="1"/>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1F7FC2">
          <w:rPr>
            <w:rStyle w:val="Hipervnculo"/>
            <w:rFonts w:ascii="Verdana" w:hAnsi="Verdana"/>
            <w:color w:val="467886"/>
            <w:bdr w:val="none" w:sz="0" w:space="0" w:color="auto" w:frame="1"/>
          </w:rPr>
          <w:t>Guía de lineamientos de transparencia y selección objetiva para el departamento de La Guajira – Objetivo sexto constitucional de la Sentencia T-302 del 2017</w:t>
        </w:r>
      </w:hyperlink>
      <w:r w:rsidRPr="001F7FC2">
        <w:rPr>
          <w:rFonts w:ascii="Verdana" w:hAnsi="Verdana"/>
          <w:color w:val="467886"/>
          <w:u w:val="single"/>
          <w:bdr w:val="none" w:sz="0" w:space="0" w:color="auto" w:frame="1"/>
        </w:rPr>
        <w:t>"</w:t>
      </w:r>
    </w:p>
    <w:p w14:paraId="26080DE0" w14:textId="77777777" w:rsidR="006678D3" w:rsidRPr="001F7FC2" w:rsidRDefault="006678D3">
      <w:pPr>
        <w:spacing w:after="0" w:line="276" w:lineRule="auto"/>
        <w:jc w:val="both"/>
        <w:rPr>
          <w:rFonts w:ascii="Verdana" w:hAnsi="Verdana"/>
        </w:rPr>
      </w:pPr>
    </w:p>
    <w:p w14:paraId="1E0900B3" w14:textId="77777777" w:rsidR="006678D3" w:rsidRPr="001F7FC2" w:rsidRDefault="006678D3">
      <w:pPr>
        <w:spacing w:after="0" w:line="276" w:lineRule="auto"/>
        <w:jc w:val="both"/>
        <w:rPr>
          <w:rFonts w:ascii="Verdana" w:hAnsi="Verdana"/>
        </w:rPr>
      </w:pPr>
      <w:r w:rsidRPr="001F7FC2">
        <w:rPr>
          <w:rFonts w:ascii="Verdana" w:hAnsi="Verdana"/>
        </w:rPr>
        <w:t xml:space="preserve">Por último, lo invitamos a seguirnos en las redes sociales en las cuales se difunde información institucional: </w:t>
      </w:r>
    </w:p>
    <w:p w14:paraId="5A6CA0F4" w14:textId="77777777" w:rsidR="006678D3" w:rsidRPr="001F7FC2" w:rsidRDefault="006678D3">
      <w:pPr>
        <w:spacing w:after="0" w:line="276" w:lineRule="auto"/>
        <w:jc w:val="both"/>
        <w:rPr>
          <w:rFonts w:ascii="Verdana" w:hAnsi="Verdana"/>
        </w:rPr>
      </w:pPr>
    </w:p>
    <w:p w14:paraId="146786E3" w14:textId="77777777" w:rsidR="006678D3" w:rsidRPr="001F7FC2" w:rsidRDefault="006678D3">
      <w:pPr>
        <w:spacing w:after="0" w:line="276" w:lineRule="auto"/>
        <w:jc w:val="both"/>
        <w:rPr>
          <w:rFonts w:ascii="Verdana" w:hAnsi="Verdana"/>
        </w:rPr>
      </w:pPr>
      <w:r w:rsidRPr="001F7FC2">
        <w:rPr>
          <w:rFonts w:ascii="Verdana" w:hAnsi="Verdana"/>
        </w:rPr>
        <w:t xml:space="preserve">Twitter: </w:t>
      </w:r>
      <w:r w:rsidRPr="001F7FC2">
        <w:rPr>
          <w:rStyle w:val="Hipervnculo"/>
          <w:rFonts w:ascii="Verdana" w:hAnsi="Verdana"/>
          <w:color w:val="4472C4" w:themeColor="accent1"/>
        </w:rPr>
        <w:t>@colombiacompra</w:t>
      </w:r>
      <w:r w:rsidRPr="001F7FC2">
        <w:rPr>
          <w:rFonts w:ascii="Verdana" w:hAnsi="Verdana"/>
          <w:color w:val="4472C4" w:themeColor="accent1"/>
        </w:rPr>
        <w:t xml:space="preserve"> </w:t>
      </w:r>
    </w:p>
    <w:p w14:paraId="62AE6890" w14:textId="77777777" w:rsidR="006678D3" w:rsidRPr="001F7FC2" w:rsidRDefault="006678D3">
      <w:pPr>
        <w:spacing w:after="0" w:line="276" w:lineRule="auto"/>
        <w:jc w:val="both"/>
        <w:rPr>
          <w:rFonts w:ascii="Verdana" w:hAnsi="Verdana"/>
        </w:rPr>
      </w:pPr>
      <w:r w:rsidRPr="001F7FC2">
        <w:rPr>
          <w:rFonts w:ascii="Verdana" w:hAnsi="Verdana"/>
        </w:rPr>
        <w:t xml:space="preserve">Facebook: </w:t>
      </w:r>
      <w:proofErr w:type="spellStart"/>
      <w:r w:rsidRPr="001F7FC2">
        <w:rPr>
          <w:rStyle w:val="Hipervnculo"/>
          <w:rFonts w:ascii="Verdana" w:hAnsi="Verdana"/>
          <w:color w:val="4472C4" w:themeColor="accent1"/>
        </w:rPr>
        <w:t>ColombiaCompraEficiente</w:t>
      </w:r>
      <w:proofErr w:type="spellEnd"/>
    </w:p>
    <w:p w14:paraId="57EE3BB2" w14:textId="77777777" w:rsidR="006678D3" w:rsidRPr="001F7FC2" w:rsidRDefault="006678D3">
      <w:pPr>
        <w:spacing w:after="0" w:line="276" w:lineRule="auto"/>
        <w:jc w:val="both"/>
        <w:rPr>
          <w:rFonts w:ascii="Verdana" w:hAnsi="Verdana"/>
        </w:rPr>
      </w:pPr>
      <w:r w:rsidRPr="001F7FC2">
        <w:rPr>
          <w:rFonts w:ascii="Verdana" w:hAnsi="Verdana"/>
        </w:rPr>
        <w:t xml:space="preserve">LinkedIn: </w:t>
      </w:r>
      <w:r w:rsidRPr="001F7FC2">
        <w:rPr>
          <w:rStyle w:val="Hipervnculo"/>
          <w:rFonts w:ascii="Verdana" w:hAnsi="Verdana"/>
          <w:color w:val="4472C4" w:themeColor="accent1"/>
        </w:rPr>
        <w:t>Agencia Nacional de Contratación Pública - Colombia Compra Eficiente</w:t>
      </w:r>
      <w:r w:rsidRPr="001F7FC2">
        <w:rPr>
          <w:rFonts w:ascii="Verdana" w:hAnsi="Verdana"/>
          <w:color w:val="4472C4" w:themeColor="accent1"/>
        </w:rPr>
        <w:t xml:space="preserve"> </w:t>
      </w:r>
      <w:r w:rsidRPr="001F7FC2">
        <w:rPr>
          <w:rFonts w:ascii="Verdana" w:hAnsi="Verdana"/>
        </w:rPr>
        <w:t xml:space="preserve">Instagram: </w:t>
      </w:r>
      <w:r w:rsidRPr="001F7FC2">
        <w:rPr>
          <w:rStyle w:val="Hipervnculo"/>
          <w:rFonts w:ascii="Verdana" w:hAnsi="Verdana"/>
          <w:color w:val="4472C4" w:themeColor="accent1"/>
        </w:rPr>
        <w:t>@colombiacompraeficiente_cce</w:t>
      </w:r>
    </w:p>
    <w:p w14:paraId="6974FE44" w14:textId="77777777" w:rsidR="006678D3" w:rsidRPr="001F7FC2" w:rsidRDefault="006678D3">
      <w:pPr>
        <w:widowControl w:val="0"/>
        <w:autoSpaceDE w:val="0"/>
        <w:autoSpaceDN w:val="0"/>
        <w:spacing w:after="0" w:line="276" w:lineRule="auto"/>
        <w:jc w:val="both"/>
        <w:rPr>
          <w:rFonts w:ascii="Verdana" w:hAnsi="Verdana" w:cs="Arial"/>
        </w:rPr>
      </w:pPr>
    </w:p>
    <w:p w14:paraId="484B7867" w14:textId="77777777" w:rsidR="006678D3" w:rsidRPr="001F7FC2" w:rsidRDefault="006678D3">
      <w:pPr>
        <w:widowControl w:val="0"/>
        <w:autoSpaceDE w:val="0"/>
        <w:autoSpaceDN w:val="0"/>
        <w:spacing w:after="0" w:line="276" w:lineRule="auto"/>
        <w:jc w:val="both"/>
        <w:rPr>
          <w:rFonts w:ascii="Verdana" w:hAnsi="Verdana" w:cs="Arial"/>
          <w:lang w:val="es-ES_tradnl"/>
        </w:rPr>
      </w:pPr>
      <w:r w:rsidRPr="001F7FC2">
        <w:rPr>
          <w:rFonts w:ascii="Verdana" w:hAnsi="Verdana" w:cs="Arial"/>
        </w:rPr>
        <w:t xml:space="preserve">Este concepto tiene el alcance previsto en el artículo 28 del Código de Procedimiento Administrativo y de lo Contencioso Administrativo </w:t>
      </w:r>
      <w:r w:rsidRPr="001F7FC2">
        <w:rPr>
          <w:rFonts w:ascii="Verdana" w:hAnsi="Verdana" w:cs="Arial"/>
          <w:lang w:val="es-ES_tradnl"/>
        </w:rPr>
        <w:t>y las expresiones aquí utilizadas con mayúscula inicial deben ser entendidas con el significado que les otorga el artículo 2.2.1.1.1.3.1. del Decreto 1082 de 2015.</w:t>
      </w:r>
    </w:p>
    <w:p w14:paraId="1256F15F" w14:textId="77777777" w:rsidR="006678D3" w:rsidRPr="001F7FC2" w:rsidRDefault="006678D3">
      <w:pPr>
        <w:widowControl w:val="0"/>
        <w:autoSpaceDE w:val="0"/>
        <w:autoSpaceDN w:val="0"/>
        <w:spacing w:after="0" w:line="276" w:lineRule="auto"/>
        <w:jc w:val="both"/>
        <w:rPr>
          <w:rFonts w:ascii="Verdana" w:hAnsi="Verdana" w:cs="Arial"/>
        </w:rPr>
      </w:pPr>
    </w:p>
    <w:p w14:paraId="2C7676D8" w14:textId="77777777" w:rsidR="006678D3" w:rsidRPr="001F7FC2" w:rsidRDefault="006678D3">
      <w:pPr>
        <w:spacing w:after="0" w:line="276" w:lineRule="auto"/>
        <w:jc w:val="both"/>
        <w:rPr>
          <w:rFonts w:ascii="Verdana" w:hAnsi="Verdana" w:cs="Arial"/>
          <w:lang w:eastAsia="es-CO"/>
        </w:rPr>
      </w:pPr>
      <w:r w:rsidRPr="001F7FC2">
        <w:rPr>
          <w:rFonts w:ascii="Verdana" w:eastAsia="Times New Roman" w:hAnsi="Verdana" w:cs="Arial"/>
          <w:lang w:eastAsia="es-CO"/>
        </w:rPr>
        <w:t>Atentamente,</w:t>
      </w:r>
      <w:r w:rsidRPr="001F7FC2">
        <w:rPr>
          <w:rFonts w:ascii="Verdana" w:hAnsi="Verdana" w:cs="Arial"/>
          <w:lang w:eastAsia="es-CO"/>
        </w:rPr>
        <w:t xml:space="preserve"> </w:t>
      </w:r>
    </w:p>
    <w:p w14:paraId="57BA1230" w14:textId="78190F03" w:rsidR="006678D3" w:rsidRPr="00EF055B" w:rsidRDefault="008123B8" w:rsidP="006678D3">
      <w:pPr>
        <w:spacing w:line="276" w:lineRule="auto"/>
        <w:jc w:val="center"/>
        <w:rPr>
          <w:noProof/>
          <w:color w:val="000000"/>
        </w:rPr>
      </w:pPr>
      <w:r w:rsidRPr="002C3AD6">
        <w:rPr>
          <w:rFonts w:ascii="Century Gothic" w:hAnsi="Century Gothic"/>
          <w:noProof/>
        </w:rPr>
        <w:lastRenderedPageBreak/>
        <w:drawing>
          <wp:inline distT="0" distB="0" distL="0" distR="0" wp14:anchorId="7461E4CA" wp14:editId="6A931F94">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678D3" w:rsidRPr="00593A5F" w14:paraId="0B0C08E7" w14:textId="77777777" w:rsidTr="00BE41CC">
        <w:trPr>
          <w:trHeight w:val="315"/>
        </w:trPr>
        <w:tc>
          <w:tcPr>
            <w:tcW w:w="893" w:type="dxa"/>
            <w:vAlign w:val="center"/>
            <w:hideMark/>
          </w:tcPr>
          <w:p w14:paraId="18588D7D" w14:textId="77777777" w:rsidR="006678D3" w:rsidRPr="003751C7" w:rsidRDefault="006678D3" w:rsidP="00BE41CC">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838A3EB" w14:textId="77777777" w:rsidR="006678D3" w:rsidRPr="0032172E" w:rsidRDefault="006678D3" w:rsidP="00BE41CC">
            <w:pPr>
              <w:pStyle w:val="paragraph"/>
              <w:spacing w:before="0" w:beforeAutospacing="0" w:after="0" w:afterAutospacing="0"/>
              <w:contextualSpacing/>
              <w:textAlignment w:val="baseline"/>
              <w:rPr>
                <w:rStyle w:val="normaltextrun"/>
                <w:rFonts w:ascii="Verdana" w:hAnsi="Verdana" w:cstheme="minorHAnsi"/>
                <w:sz w:val="16"/>
                <w:szCs w:val="16"/>
              </w:rPr>
            </w:pPr>
            <w:r w:rsidRPr="0032172E">
              <w:rPr>
                <w:rStyle w:val="normaltextrun"/>
                <w:rFonts w:ascii="Verdana" w:hAnsi="Verdana" w:cstheme="minorHAnsi"/>
                <w:sz w:val="16"/>
                <w:szCs w:val="16"/>
              </w:rPr>
              <w:t>Ximena Ríos López</w:t>
            </w:r>
          </w:p>
          <w:p w14:paraId="4FF527FE" w14:textId="77777777" w:rsidR="006678D3" w:rsidRPr="001B59DD" w:rsidRDefault="006678D3" w:rsidP="00BE41CC">
            <w:pPr>
              <w:pStyle w:val="paragraph"/>
              <w:spacing w:before="0" w:beforeAutospacing="0" w:after="0" w:afterAutospacing="0"/>
              <w:contextualSpacing/>
              <w:textAlignment w:val="baseline"/>
              <w:rPr>
                <w:rStyle w:val="normaltextrun"/>
                <w:rFonts w:ascii="Verdana" w:hAnsi="Verdana" w:cstheme="minorHAnsi"/>
                <w:sz w:val="16"/>
                <w:szCs w:val="16"/>
              </w:rPr>
            </w:pPr>
            <w:r w:rsidRPr="0032172E">
              <w:rPr>
                <w:rStyle w:val="normaltextrun"/>
                <w:rFonts w:ascii="Verdana" w:hAnsi="Verdana" w:cstheme="minorHAnsi"/>
                <w:sz w:val="16"/>
                <w:szCs w:val="16"/>
              </w:rPr>
              <w:t>Gestor T1-11</w:t>
            </w:r>
            <w:r w:rsidRPr="00C42FC5">
              <w:rPr>
                <w:rStyle w:val="normaltextrun"/>
                <w:rFonts w:ascii="Verdana" w:hAnsi="Verdana" w:cstheme="minorHAnsi"/>
                <w:sz w:val="16"/>
                <w:szCs w:val="16"/>
              </w:rPr>
              <w:t xml:space="preserve"> Subdirección de Gestión Contractual</w:t>
            </w:r>
          </w:p>
        </w:tc>
      </w:tr>
      <w:tr w:rsidR="006678D3" w:rsidRPr="00593A5F" w14:paraId="3367153A" w14:textId="77777777" w:rsidTr="00BE41CC">
        <w:trPr>
          <w:trHeight w:val="330"/>
        </w:trPr>
        <w:tc>
          <w:tcPr>
            <w:tcW w:w="893" w:type="dxa"/>
            <w:vAlign w:val="center"/>
            <w:hideMark/>
          </w:tcPr>
          <w:p w14:paraId="67BE4049" w14:textId="77777777" w:rsidR="006678D3" w:rsidRPr="003751C7" w:rsidRDefault="006678D3" w:rsidP="00BE41CC">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8B51D78" w14:textId="77777777" w:rsidR="006678D3" w:rsidRDefault="006678D3" w:rsidP="00BE41CC">
            <w:pPr>
              <w:pStyle w:val="paragraph"/>
              <w:spacing w:before="0" w:beforeAutospacing="0" w:after="0" w:afterAutospacing="0"/>
              <w:contextualSpacing/>
              <w:textAlignment w:val="baseline"/>
              <w:rPr>
                <w:rStyle w:val="normaltextrun"/>
                <w:rFonts w:ascii="Verdana" w:hAnsi="Verdana" w:cstheme="minorHAnsi"/>
                <w:sz w:val="16"/>
                <w:szCs w:val="16"/>
              </w:rPr>
            </w:pPr>
            <w:r>
              <w:rPr>
                <w:rStyle w:val="normaltextrun"/>
                <w:rFonts w:ascii="Verdana" w:hAnsi="Verdana" w:cstheme="minorHAnsi"/>
                <w:sz w:val="16"/>
                <w:szCs w:val="16"/>
              </w:rPr>
              <w:t>Diana Saavedra</w:t>
            </w:r>
          </w:p>
          <w:p w14:paraId="27383C1E" w14:textId="77777777" w:rsidR="006678D3" w:rsidRPr="00C42FC5" w:rsidRDefault="006678D3" w:rsidP="00BE41CC">
            <w:pPr>
              <w:pStyle w:val="paragraph"/>
              <w:spacing w:before="0" w:beforeAutospacing="0" w:after="0" w:afterAutospacing="0"/>
              <w:contextualSpacing/>
              <w:textAlignment w:val="baseline"/>
              <w:rPr>
                <w:rStyle w:val="normaltextrun"/>
              </w:rPr>
            </w:pPr>
            <w:r w:rsidRPr="00C42FC5">
              <w:rPr>
                <w:rStyle w:val="normaltextrun"/>
                <w:rFonts w:ascii="Verdana" w:hAnsi="Verdana" w:cstheme="minorHAnsi"/>
                <w:sz w:val="16"/>
                <w:szCs w:val="16"/>
              </w:rPr>
              <w:t>Contratista Subdirección de Gestión Contractual</w:t>
            </w:r>
          </w:p>
        </w:tc>
      </w:tr>
      <w:tr w:rsidR="006678D3" w:rsidRPr="00593A5F" w14:paraId="6963329D" w14:textId="77777777" w:rsidTr="00BE41CC">
        <w:trPr>
          <w:trHeight w:val="300"/>
        </w:trPr>
        <w:tc>
          <w:tcPr>
            <w:tcW w:w="893" w:type="dxa"/>
            <w:vAlign w:val="center"/>
          </w:tcPr>
          <w:p w14:paraId="14A6331B" w14:textId="77777777" w:rsidR="006678D3" w:rsidRPr="003751C7" w:rsidRDefault="006678D3" w:rsidP="00BE41CC">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7034EE7" w14:textId="77777777" w:rsidR="006678D3" w:rsidRPr="000015E6" w:rsidRDefault="006678D3" w:rsidP="00BE41CC">
            <w:pPr>
              <w:contextualSpacing/>
              <w:rPr>
                <w:rFonts w:ascii="Verdana" w:eastAsia="Calibri" w:hAnsi="Verdana" w:cs="Arial"/>
                <w:sz w:val="16"/>
                <w:szCs w:val="16"/>
                <w:lang w:val="pt-BR" w:eastAsia="es-ES"/>
              </w:rPr>
            </w:pPr>
            <w:r w:rsidRPr="000015E6">
              <w:rPr>
                <w:rFonts w:ascii="Verdana" w:eastAsia="Calibri" w:hAnsi="Verdana" w:cs="Arial"/>
                <w:sz w:val="16"/>
                <w:szCs w:val="16"/>
                <w:lang w:val="pt-BR" w:eastAsia="es-ES"/>
              </w:rPr>
              <w:t>Carolina Quintero Ganchará</w:t>
            </w:r>
          </w:p>
          <w:p w14:paraId="64F6C151" w14:textId="77777777" w:rsidR="006678D3" w:rsidRPr="000015E6" w:rsidRDefault="006678D3" w:rsidP="00BE41CC">
            <w:pPr>
              <w:contextualSpacing/>
              <w:rPr>
                <w:rFonts w:ascii="Verdana" w:eastAsia="Calibri" w:hAnsi="Verdana" w:cs="Arial"/>
                <w:sz w:val="16"/>
                <w:szCs w:val="16"/>
                <w:lang w:val="pt-BR" w:eastAsia="es-ES"/>
              </w:rPr>
            </w:pPr>
            <w:r w:rsidRPr="000015E6">
              <w:rPr>
                <w:rFonts w:ascii="Verdana" w:eastAsia="Calibri" w:hAnsi="Verdana" w:cs="Arial"/>
                <w:sz w:val="16"/>
                <w:szCs w:val="16"/>
                <w:lang w:eastAsia="es-ES"/>
              </w:rPr>
              <w:t>Subdirectora</w:t>
            </w:r>
            <w:r w:rsidRPr="000015E6">
              <w:rPr>
                <w:rFonts w:ascii="Verdana" w:eastAsia="Calibri" w:hAnsi="Verdana" w:cs="Arial"/>
                <w:sz w:val="16"/>
                <w:szCs w:val="16"/>
                <w:lang w:val="pt-BR" w:eastAsia="es-ES"/>
              </w:rPr>
              <w:t xml:space="preserve"> de Gestión Contratual ANCP – CCE</w:t>
            </w:r>
          </w:p>
        </w:tc>
      </w:tr>
    </w:tbl>
    <w:p w14:paraId="1D99AA59" w14:textId="77777777" w:rsidR="006678D3" w:rsidRPr="0044528D" w:rsidRDefault="006678D3" w:rsidP="006678D3">
      <w:pPr>
        <w:spacing w:after="0"/>
        <w:rPr>
          <w:rFonts w:ascii="Verdana" w:hAnsi="Verdana"/>
        </w:rPr>
      </w:pPr>
    </w:p>
    <w:p w14:paraId="2B28CEBB" w14:textId="77777777" w:rsidR="006678D3" w:rsidRPr="0044528D" w:rsidRDefault="006678D3" w:rsidP="006678D3">
      <w:pPr>
        <w:spacing w:after="0" w:line="240" w:lineRule="auto"/>
        <w:textAlignment w:val="baseline"/>
        <w:rPr>
          <w:rFonts w:ascii="Verdana" w:eastAsia="Times New Roman" w:hAnsi="Verdana" w:cs="Segoe UI"/>
          <w:b/>
          <w:bCs/>
          <w:color w:val="46589C"/>
          <w:lang w:val="es-ES" w:eastAsia="es-CO"/>
        </w:rPr>
      </w:pPr>
    </w:p>
    <w:p w14:paraId="578FB0D4" w14:textId="77777777" w:rsidR="006678D3" w:rsidRPr="00AD5CFD" w:rsidRDefault="006678D3" w:rsidP="006678D3">
      <w:pPr>
        <w:rPr>
          <w:lang w:val="es-ES"/>
        </w:rPr>
      </w:pPr>
    </w:p>
    <w:p w14:paraId="3E7F8723" w14:textId="77777777" w:rsidR="006678D3" w:rsidRPr="008B6519" w:rsidRDefault="006678D3" w:rsidP="006678D3">
      <w:pPr>
        <w:spacing w:after="0"/>
        <w:jc w:val="both"/>
        <w:rPr>
          <w:rStyle w:val="Hipervnculo"/>
          <w:rFonts w:ascii="Verdana" w:hAnsi="Verdana"/>
          <w:lang w:val="es-ES"/>
        </w:rPr>
      </w:pPr>
    </w:p>
    <w:p w14:paraId="3D70268D" w14:textId="77777777" w:rsidR="006678D3" w:rsidRPr="0044528D" w:rsidRDefault="006678D3" w:rsidP="006678D3">
      <w:pPr>
        <w:spacing w:after="0"/>
        <w:jc w:val="both"/>
        <w:rPr>
          <w:rStyle w:val="Hipervnculo"/>
          <w:rFonts w:ascii="Verdana" w:hAnsi="Verdana"/>
        </w:rPr>
      </w:pPr>
    </w:p>
    <w:p w14:paraId="1283CB16" w14:textId="77777777" w:rsidR="006678D3" w:rsidRPr="0044528D" w:rsidRDefault="006678D3" w:rsidP="006678D3">
      <w:pPr>
        <w:spacing w:after="0"/>
        <w:jc w:val="both"/>
        <w:rPr>
          <w:rStyle w:val="Hipervnculo"/>
          <w:rFonts w:ascii="Verdana" w:hAnsi="Verdana"/>
        </w:rPr>
      </w:pPr>
    </w:p>
    <w:p w14:paraId="6512D8FE" w14:textId="77777777" w:rsidR="006678D3" w:rsidRPr="0044528D" w:rsidRDefault="006678D3" w:rsidP="006678D3">
      <w:pPr>
        <w:spacing w:after="0"/>
        <w:jc w:val="both"/>
        <w:rPr>
          <w:rStyle w:val="Hipervnculo"/>
          <w:rFonts w:ascii="Verdana" w:hAnsi="Verdana"/>
        </w:rPr>
      </w:pPr>
    </w:p>
    <w:p w14:paraId="1F1B657D" w14:textId="77777777" w:rsidR="006678D3" w:rsidRPr="0044528D" w:rsidRDefault="006678D3" w:rsidP="006678D3">
      <w:pPr>
        <w:spacing w:after="0"/>
        <w:jc w:val="both"/>
        <w:rPr>
          <w:rStyle w:val="Hipervnculo"/>
          <w:rFonts w:ascii="Verdana" w:hAnsi="Verdana"/>
        </w:rPr>
      </w:pPr>
    </w:p>
    <w:bookmarkEnd w:id="0"/>
    <w:p w14:paraId="79111E62" w14:textId="77777777" w:rsidR="006678D3" w:rsidRPr="0044528D" w:rsidRDefault="006678D3" w:rsidP="006678D3">
      <w:pPr>
        <w:spacing w:after="0" w:line="240" w:lineRule="auto"/>
        <w:textAlignment w:val="baseline"/>
        <w:rPr>
          <w:rFonts w:ascii="Verdana" w:eastAsia="Times New Roman" w:hAnsi="Verdana" w:cs="Segoe UI"/>
          <w:b/>
          <w:bCs/>
          <w:color w:val="46589C"/>
          <w:lang w:val="es-ES" w:eastAsia="es-CO"/>
        </w:rPr>
      </w:pPr>
    </w:p>
    <w:p w14:paraId="0F293BF4" w14:textId="3B235537" w:rsidR="00127233" w:rsidRPr="006678D3" w:rsidRDefault="00127233" w:rsidP="006678D3">
      <w:pPr>
        <w:rPr>
          <w:lang w:val="es-ES"/>
        </w:rPr>
      </w:pPr>
    </w:p>
    <w:sectPr w:rsidR="00127233" w:rsidRPr="006678D3"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E7684B" w14:textId="77777777" w:rsidR="009A1C6F" w:rsidRDefault="009A1C6F" w:rsidP="004A1847">
      <w:pPr>
        <w:spacing w:after="0" w:line="240" w:lineRule="auto"/>
      </w:pPr>
      <w:r>
        <w:separator/>
      </w:r>
    </w:p>
  </w:endnote>
  <w:endnote w:type="continuationSeparator" w:id="0">
    <w:p w14:paraId="34E3A772" w14:textId="77777777" w:rsidR="009A1C6F" w:rsidRDefault="009A1C6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Klee One"/>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9F836A" w14:textId="77777777" w:rsidR="009A1C6F" w:rsidRDefault="009A1C6F" w:rsidP="004A1847">
      <w:pPr>
        <w:spacing w:after="0" w:line="240" w:lineRule="auto"/>
      </w:pPr>
      <w:r>
        <w:separator/>
      </w:r>
    </w:p>
  </w:footnote>
  <w:footnote w:type="continuationSeparator" w:id="0">
    <w:p w14:paraId="6329C139" w14:textId="77777777" w:rsidR="009A1C6F" w:rsidRDefault="009A1C6F" w:rsidP="004A1847">
      <w:pPr>
        <w:spacing w:after="0" w:line="240" w:lineRule="auto"/>
      </w:pPr>
      <w:r>
        <w:continuationSeparator/>
      </w:r>
    </w:p>
  </w:footnote>
  <w:footnote w:id="1">
    <w:p w14:paraId="3E94AEB8" w14:textId="77777777" w:rsidR="006678D3" w:rsidRPr="0049500E" w:rsidRDefault="006678D3" w:rsidP="006678D3">
      <w:pPr>
        <w:pStyle w:val="Textonotapie"/>
        <w:ind w:firstLine="708"/>
        <w:jc w:val="both"/>
        <w:rPr>
          <w:rFonts w:ascii="Verdana" w:hAnsi="Verdana" w:cs="Arial"/>
          <w:sz w:val="18"/>
          <w:szCs w:val="18"/>
        </w:rPr>
      </w:pPr>
      <w:r w:rsidRPr="0049500E">
        <w:rPr>
          <w:rStyle w:val="Refdenotaalpie"/>
          <w:rFonts w:ascii="Verdana" w:hAnsi="Verdana" w:cs="Arial"/>
          <w:sz w:val="18"/>
          <w:szCs w:val="18"/>
        </w:rPr>
        <w:footnoteRef/>
      </w:r>
      <w:r w:rsidRPr="0049500E">
        <w:rPr>
          <w:rFonts w:ascii="Verdana" w:hAnsi="Verdana" w:cs="Arial"/>
          <w:sz w:val="18"/>
          <w:szCs w:val="18"/>
        </w:rPr>
        <w:t xml:space="preserve"> Al respecto, la jurisprudencia explica que la garantía del debido proceso “[…] tampoco es exclusiva de los procedimientos sancionatorios contractuales, sino de los demás trámites administrativos que se surten al interior de la actividad contractual, que también deben garantizar un procedimiento previo que racionalice las decisiones que se adoptan a través suyo. Los más representativos son los procesos de selección de contratistas, cuyas etapas y requisitos son de estricta observancia, tanto para la administración como para los participantes, en señal de respeto al principio de legalidad como a este derecho que integra el debido proceso” (CONSEJO DE ESTADO. Sección Tercera. Sentencia del 23 de junio de 2010. Rad. 16.367. C.P. Enrique Gil Botero). </w:t>
      </w:r>
    </w:p>
  </w:footnote>
  <w:footnote w:id="2">
    <w:p w14:paraId="68FFAC6C" w14:textId="77777777" w:rsidR="006678D3" w:rsidRPr="00604039" w:rsidRDefault="006678D3" w:rsidP="006678D3">
      <w:pPr>
        <w:pStyle w:val="Textonotapie"/>
        <w:ind w:firstLine="708"/>
        <w:jc w:val="both"/>
        <w:rPr>
          <w:rFonts w:ascii="Verdana" w:hAnsi="Verdana" w:cs="Arial"/>
          <w:sz w:val="16"/>
          <w:szCs w:val="16"/>
        </w:rPr>
      </w:pPr>
      <w:r w:rsidRPr="0049500E">
        <w:rPr>
          <w:rStyle w:val="Refdenotaalpie"/>
          <w:rFonts w:ascii="Verdana" w:hAnsi="Verdana" w:cs="Arial"/>
          <w:sz w:val="18"/>
          <w:szCs w:val="18"/>
        </w:rPr>
        <w:footnoteRef/>
      </w:r>
      <w:r w:rsidRPr="0049500E">
        <w:rPr>
          <w:rFonts w:ascii="Verdana" w:hAnsi="Verdana" w:cs="Arial"/>
          <w:sz w:val="18"/>
          <w:szCs w:val="18"/>
        </w:rPr>
        <w:t xml:space="preserve"> El numeral 2 del artículo 2 de la Ley 1150 de 2007 prescribe: “[…] Serán causales de selección abreviada las siguientes</w:t>
      </w:r>
      <w:r w:rsidRPr="00604039">
        <w:rPr>
          <w:rFonts w:ascii="Verdana" w:hAnsi="Verdana" w:cs="Arial"/>
          <w:sz w:val="16"/>
          <w:szCs w:val="16"/>
        </w:rPr>
        <w:t>:</w:t>
      </w:r>
    </w:p>
    <w:p w14:paraId="3386946F" w14:textId="77777777" w:rsidR="006678D3" w:rsidRPr="007D48B0" w:rsidRDefault="006678D3" w:rsidP="006678D3">
      <w:pPr>
        <w:pStyle w:val="Textonotapie"/>
        <w:ind w:firstLine="708"/>
        <w:jc w:val="both"/>
        <w:rPr>
          <w:rFonts w:ascii="Verdana" w:hAnsi="Verdana" w:cs="Arial"/>
          <w:sz w:val="16"/>
          <w:szCs w:val="16"/>
        </w:rPr>
      </w:pPr>
      <w:r w:rsidRPr="007D48B0">
        <w:rPr>
          <w:rFonts w:ascii="Verdana" w:hAnsi="Verdana" w:cs="Arial"/>
          <w:sz w:val="16"/>
          <w:szCs w:val="16"/>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14:paraId="4CF94110" w14:textId="77777777" w:rsidR="006678D3" w:rsidRPr="007D48B0" w:rsidRDefault="006678D3" w:rsidP="006678D3">
      <w:pPr>
        <w:pStyle w:val="Textonotapie"/>
        <w:ind w:firstLine="708"/>
        <w:jc w:val="both"/>
        <w:rPr>
          <w:rFonts w:ascii="Verdana" w:hAnsi="Verdana" w:cs="Arial"/>
          <w:sz w:val="16"/>
          <w:szCs w:val="16"/>
        </w:rPr>
      </w:pPr>
      <w:r w:rsidRPr="007D48B0">
        <w:rPr>
          <w:rFonts w:ascii="Verdana" w:hAnsi="Verdana" w:cs="Arial"/>
          <w:sz w:val="16"/>
          <w:szCs w:val="16"/>
        </w:rPr>
        <w:t xml:space="preserve">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p>
    <w:p w14:paraId="1141DB62" w14:textId="77777777" w:rsidR="006678D3" w:rsidRPr="007D48B0" w:rsidRDefault="006678D3" w:rsidP="006678D3">
      <w:pPr>
        <w:pStyle w:val="Textonotapie"/>
        <w:ind w:firstLine="708"/>
        <w:jc w:val="both"/>
        <w:rPr>
          <w:rFonts w:ascii="Verdana" w:hAnsi="Verdana" w:cs="Arial"/>
          <w:sz w:val="16"/>
          <w:szCs w:val="16"/>
        </w:rPr>
      </w:pPr>
      <w:r w:rsidRPr="007D48B0">
        <w:rPr>
          <w:rFonts w:ascii="Verdana" w:hAnsi="Verdana" w:cs="Arial"/>
          <w:sz w:val="16"/>
          <w:szCs w:val="16"/>
        </w:rPr>
        <w:t>b) La contratación de menor cuantía. Se entenderá por menor cuantía los valores que a continuación se relacionan, determinados en función de los presupuestos anuales de las entidades públicas expresados en salarios mínimos legales mensuales.</w:t>
      </w:r>
    </w:p>
    <w:p w14:paraId="2689E68A" w14:textId="77777777" w:rsidR="006678D3" w:rsidRPr="007D48B0" w:rsidRDefault="006678D3" w:rsidP="006678D3">
      <w:pPr>
        <w:pStyle w:val="Textonotapie"/>
        <w:ind w:firstLine="708"/>
        <w:jc w:val="both"/>
        <w:rPr>
          <w:rFonts w:ascii="Verdana" w:hAnsi="Verdana" w:cs="Arial"/>
          <w:sz w:val="16"/>
          <w:szCs w:val="16"/>
        </w:rPr>
      </w:pPr>
      <w:r w:rsidRPr="007D48B0">
        <w:rPr>
          <w:rFonts w:ascii="Verdana" w:hAnsi="Verdana" w:cs="Arial"/>
          <w:sz w:val="16"/>
          <w:szCs w:val="16"/>
        </w:rPr>
        <w:t>[…];</w:t>
      </w:r>
    </w:p>
    <w:p w14:paraId="135E0EDB" w14:textId="77777777" w:rsidR="006678D3" w:rsidRPr="007D48B0" w:rsidRDefault="006678D3" w:rsidP="006678D3">
      <w:pPr>
        <w:pStyle w:val="Textonotapie"/>
        <w:ind w:firstLine="708"/>
        <w:jc w:val="both"/>
        <w:rPr>
          <w:rFonts w:ascii="Verdana" w:hAnsi="Verdana" w:cs="Arial"/>
          <w:sz w:val="16"/>
          <w:szCs w:val="16"/>
        </w:rPr>
      </w:pPr>
      <w:r w:rsidRPr="007D48B0">
        <w:rPr>
          <w:rFonts w:ascii="Verdana" w:hAnsi="Verdana" w:cs="Arial"/>
          <w:sz w:val="16"/>
          <w:szCs w:val="16"/>
        </w:rPr>
        <w:t>c) Sin perjuicio de lo dispuesto en la Ley 100 de 1993 y en la Ley 1122 de 2007, la celebración de contratos para la prestación de servicios de salud. El reglamento interno correspondiente fijará las garantías a cargo de los contratistas. Los pagos correspondientes se podrán hacer mediante encargos fiduciarios;</w:t>
      </w:r>
    </w:p>
    <w:p w14:paraId="1A6CAF6B" w14:textId="77777777" w:rsidR="006678D3" w:rsidRPr="007D48B0" w:rsidRDefault="006678D3" w:rsidP="006678D3">
      <w:pPr>
        <w:pStyle w:val="Textonotapie"/>
        <w:ind w:firstLine="708"/>
        <w:jc w:val="both"/>
        <w:rPr>
          <w:rFonts w:ascii="Verdana" w:hAnsi="Verdana" w:cs="Arial"/>
          <w:sz w:val="16"/>
          <w:szCs w:val="16"/>
        </w:rPr>
      </w:pPr>
      <w:r w:rsidRPr="007D48B0">
        <w:rPr>
          <w:rFonts w:ascii="Verdana" w:hAnsi="Verdana" w:cs="Arial"/>
          <w:sz w:val="16"/>
          <w:szCs w:val="16"/>
        </w:rPr>
        <w:t>d) La contratación cuyo proceso de licitación pública haya sido declarado desierto; en cuyo caso la entidad deberá iniciar la selección abreviada dentro de los cuatro meses siguientes a la declaración de desierta del proceso inicial;</w:t>
      </w:r>
    </w:p>
    <w:p w14:paraId="569256C4" w14:textId="77777777" w:rsidR="006678D3" w:rsidRPr="007D48B0" w:rsidRDefault="006678D3" w:rsidP="006678D3">
      <w:pPr>
        <w:pStyle w:val="Textonotapie"/>
        <w:ind w:firstLine="708"/>
        <w:jc w:val="both"/>
        <w:rPr>
          <w:rFonts w:ascii="Verdana" w:hAnsi="Verdana" w:cs="Arial"/>
          <w:sz w:val="16"/>
          <w:szCs w:val="16"/>
        </w:rPr>
      </w:pPr>
      <w:r w:rsidRPr="007D48B0">
        <w:rPr>
          <w:rFonts w:ascii="Verdana" w:hAnsi="Verdana" w:cs="Arial"/>
          <w:sz w:val="16"/>
          <w:szCs w:val="16"/>
        </w:rPr>
        <w:t>e) La enajenación de bienes del Estado, con excepción de aquellos a que se refiere la Ley 226 de 1995.</w:t>
      </w:r>
    </w:p>
    <w:p w14:paraId="47176E33" w14:textId="77777777" w:rsidR="006678D3" w:rsidRPr="007D48B0" w:rsidRDefault="006678D3" w:rsidP="006678D3">
      <w:pPr>
        <w:pStyle w:val="Textonotapie"/>
        <w:ind w:firstLine="708"/>
        <w:jc w:val="both"/>
        <w:rPr>
          <w:rFonts w:ascii="Verdana" w:hAnsi="Verdana" w:cs="Arial"/>
          <w:sz w:val="16"/>
          <w:szCs w:val="16"/>
        </w:rPr>
      </w:pPr>
      <w:r w:rsidRPr="007D48B0">
        <w:rPr>
          <w:rFonts w:ascii="Verdana" w:hAnsi="Verdana" w:cs="Arial"/>
          <w:sz w:val="16"/>
          <w:szCs w:val="16"/>
        </w:rPr>
        <w:t xml:space="preserve">[…]; </w:t>
      </w:r>
    </w:p>
    <w:p w14:paraId="68EB81ED" w14:textId="77777777" w:rsidR="006678D3" w:rsidRPr="007D48B0" w:rsidRDefault="006678D3" w:rsidP="006678D3">
      <w:pPr>
        <w:pStyle w:val="Textonotapie"/>
        <w:ind w:firstLine="708"/>
        <w:jc w:val="both"/>
        <w:rPr>
          <w:rFonts w:ascii="Verdana" w:hAnsi="Verdana" w:cs="Arial"/>
          <w:sz w:val="16"/>
          <w:szCs w:val="16"/>
        </w:rPr>
      </w:pPr>
      <w:r w:rsidRPr="007D48B0">
        <w:rPr>
          <w:rFonts w:ascii="Verdana" w:hAnsi="Verdana" w:cs="Arial"/>
          <w:sz w:val="16"/>
          <w:szCs w:val="16"/>
        </w:rPr>
        <w:t xml:space="preserve">f) Productos de origen o destinación agropecuarios que se ofrezcan en las bolsas de productos legalmente constituidas; </w:t>
      </w:r>
    </w:p>
    <w:p w14:paraId="2DE4546A" w14:textId="77777777" w:rsidR="006678D3" w:rsidRPr="007D48B0" w:rsidRDefault="006678D3" w:rsidP="006678D3">
      <w:pPr>
        <w:pStyle w:val="Textonotapie"/>
        <w:ind w:firstLine="708"/>
        <w:jc w:val="both"/>
        <w:rPr>
          <w:rFonts w:ascii="Verdana" w:hAnsi="Verdana" w:cs="Arial"/>
          <w:sz w:val="16"/>
          <w:szCs w:val="16"/>
        </w:rPr>
      </w:pPr>
      <w:r w:rsidRPr="007D48B0">
        <w:rPr>
          <w:rFonts w:ascii="Verdana" w:hAnsi="Verdana" w:cs="Arial"/>
          <w:sz w:val="16"/>
          <w:szCs w:val="16"/>
        </w:rPr>
        <w:t xml:space="preserve">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w:t>
      </w:r>
    </w:p>
    <w:p w14:paraId="2B872EE4" w14:textId="77777777" w:rsidR="006678D3" w:rsidRPr="007D48B0" w:rsidRDefault="006678D3" w:rsidP="006678D3">
      <w:pPr>
        <w:pStyle w:val="Textonotapie"/>
        <w:ind w:firstLine="708"/>
        <w:jc w:val="both"/>
        <w:rPr>
          <w:rFonts w:ascii="Verdana" w:hAnsi="Verdana" w:cs="Arial"/>
          <w:sz w:val="16"/>
          <w:szCs w:val="16"/>
        </w:rPr>
      </w:pPr>
      <w:r w:rsidRPr="007D48B0">
        <w:rPr>
          <w:rFonts w:ascii="Verdana" w:hAnsi="Verdana" w:cs="Arial"/>
          <w:sz w:val="16"/>
          <w:szCs w:val="16"/>
        </w:rPr>
        <w:t>h) Los contratos de las entidades, a cuyo cargo se encuentre la ejecución de los programas de protección de personas amenazadas, programas de desmovilización y reincorporación a la vida civil de personas y grupos al margen de la ley, incluida la atención de los respectivos grupos familiares, programas de atención a población desplazada por la violencia, programas de protección de derechos humanos de grupos de personas habitantes de la calle, niños y niñas o jóvenes involucrados en grupos juveniles que hayan incurrido en conductas contra el patrimonio económico y sostengan enfrentamientos violentos de diferente tipo, y población en alto grado de vulnerabilidad con reconocido estado de exclusión que requieran capacitación, resocialización y preparación para el trabajo, incluidos los contratos fiduciarios que demanden;</w:t>
      </w:r>
    </w:p>
    <w:p w14:paraId="7C1EA622" w14:textId="77777777" w:rsidR="006678D3" w:rsidRDefault="006678D3" w:rsidP="006678D3">
      <w:pPr>
        <w:pStyle w:val="Textonotapie"/>
        <w:ind w:firstLine="708"/>
        <w:jc w:val="both"/>
        <w:rPr>
          <w:rFonts w:ascii="Verdana" w:hAnsi="Verdana" w:cs="Arial"/>
          <w:sz w:val="16"/>
          <w:szCs w:val="16"/>
        </w:rPr>
      </w:pPr>
      <w:r w:rsidRPr="007D48B0">
        <w:rPr>
          <w:rFonts w:ascii="Verdana" w:hAnsi="Verdana" w:cs="Arial"/>
          <w:sz w:val="16"/>
          <w:szCs w:val="16"/>
        </w:rPr>
        <w:t>i) La contratación de bienes y servicios que se requieran para la defensa y seguridad nacional</w:t>
      </w:r>
      <w:r>
        <w:rPr>
          <w:rFonts w:ascii="Verdana" w:hAnsi="Verdana" w:cs="Arial"/>
          <w:sz w:val="16"/>
          <w:szCs w:val="16"/>
        </w:rPr>
        <w:t>.</w:t>
      </w:r>
    </w:p>
    <w:p w14:paraId="3ED8673B" w14:textId="77777777" w:rsidR="006678D3" w:rsidRPr="007D48B0" w:rsidRDefault="006678D3" w:rsidP="006678D3">
      <w:pPr>
        <w:pStyle w:val="Textonotapie"/>
        <w:ind w:firstLine="708"/>
        <w:jc w:val="both"/>
        <w:rPr>
          <w:rFonts w:ascii="Verdana" w:hAnsi="Verdana" w:cs="Arial"/>
          <w:sz w:val="16"/>
          <w:szCs w:val="16"/>
        </w:rPr>
      </w:pPr>
      <w:r>
        <w:rPr>
          <w:rFonts w:ascii="Verdana" w:hAnsi="Verdana" w:cs="Arial"/>
          <w:sz w:val="16"/>
          <w:szCs w:val="16"/>
        </w:rPr>
        <w:t xml:space="preserve">j) </w:t>
      </w:r>
      <w:r w:rsidRPr="000B48EE">
        <w:rPr>
          <w:rFonts w:ascii="Verdana" w:hAnsi="Verdana" w:cs="Arial"/>
          <w:sz w:val="16"/>
          <w:szCs w:val="16"/>
        </w:rPr>
        <w:t>Los bienes y servicios no uniformes de común utilización por parte de las entidades públicas, para lo cual la Agencia Nacional de Contratación Pública Colombia Compra Eficiente-podrá celebrar acuerdos marco de precios y demás instrumentos de agregación de demanda. Estos acuerdos marco de precios también serán de obligatorio uso de las entidades del Estado a las que se refiere el parágrafo 5° del artículo 2° de la presente ley, modificado por el artículo 41 de la ley 1955 de 2019</w:t>
      </w:r>
      <w:r>
        <w:rPr>
          <w:rFonts w:ascii="Verdana" w:hAnsi="Verdana" w:cs="Arial"/>
          <w:sz w:val="16"/>
          <w:szCs w:val="16"/>
        </w:rPr>
        <w:t>”</w:t>
      </w:r>
      <w:r w:rsidRPr="007D48B0">
        <w:rPr>
          <w:rFonts w:ascii="Verdana" w:hAnsi="Verdana" w:cs="Arial"/>
          <w:sz w:val="16"/>
          <w:szCs w:val="16"/>
        </w:rPr>
        <w:t>.</w:t>
      </w:r>
    </w:p>
  </w:footnote>
  <w:footnote w:id="3">
    <w:p w14:paraId="0EFD0619" w14:textId="77777777" w:rsidR="006678D3" w:rsidRPr="0049500E" w:rsidRDefault="006678D3" w:rsidP="006678D3">
      <w:pPr>
        <w:pStyle w:val="Textonotapie"/>
        <w:ind w:firstLine="708"/>
        <w:jc w:val="both"/>
        <w:rPr>
          <w:rFonts w:ascii="Verdana" w:hAnsi="Verdana" w:cs="Arial"/>
          <w:sz w:val="18"/>
          <w:szCs w:val="18"/>
        </w:rPr>
      </w:pPr>
      <w:r w:rsidRPr="0049500E">
        <w:rPr>
          <w:rStyle w:val="Refdenotaalpie"/>
          <w:rFonts w:ascii="Verdana" w:hAnsi="Verdana" w:cs="Arial"/>
          <w:sz w:val="18"/>
          <w:szCs w:val="18"/>
        </w:rPr>
        <w:footnoteRef/>
      </w:r>
      <w:r w:rsidRPr="0049500E">
        <w:rPr>
          <w:rFonts w:ascii="Verdana" w:hAnsi="Verdana" w:cs="Arial"/>
          <w:sz w:val="18"/>
          <w:szCs w:val="18"/>
        </w:rPr>
        <w:t xml:space="preserve"> CONGRESO DE LA REPÚBLICA. Exposición de motivos de la Ley 1150 de 2007. Gaceta del Congreso No. 458 del 1º de agosto de 2005. p. 8. </w:t>
      </w:r>
    </w:p>
  </w:footnote>
  <w:footnote w:id="4">
    <w:p w14:paraId="1BDFA162" w14:textId="77777777" w:rsidR="006678D3" w:rsidRPr="0049500E" w:rsidRDefault="006678D3" w:rsidP="006678D3">
      <w:pPr>
        <w:pStyle w:val="Textonotapie"/>
        <w:ind w:firstLine="708"/>
        <w:jc w:val="both"/>
        <w:rPr>
          <w:rFonts w:ascii="Verdana" w:hAnsi="Verdana" w:cs="Arial"/>
          <w:sz w:val="18"/>
          <w:szCs w:val="18"/>
        </w:rPr>
      </w:pPr>
      <w:r w:rsidRPr="0049500E">
        <w:rPr>
          <w:rStyle w:val="Refdenotaalpie"/>
          <w:rFonts w:ascii="Verdana" w:hAnsi="Verdana" w:cs="Arial"/>
          <w:sz w:val="18"/>
          <w:szCs w:val="18"/>
        </w:rPr>
        <w:footnoteRef/>
      </w:r>
      <w:r w:rsidRPr="0049500E">
        <w:rPr>
          <w:rFonts w:ascii="Verdana" w:hAnsi="Verdana" w:cs="Arial"/>
          <w:sz w:val="18"/>
          <w:szCs w:val="18"/>
        </w:rPr>
        <w:t xml:space="preserve"> CONSEJO DE ESTADO. Sección Tercera. Subsección A. Sentencia del 23 de julio de 2015. Exp. 36.805. C. P. Hernán Andrade Rincón. </w:t>
      </w:r>
    </w:p>
  </w:footnote>
  <w:footnote w:id="5">
    <w:p w14:paraId="6D3EFE32" w14:textId="77777777" w:rsidR="006678D3" w:rsidRPr="00FA6811" w:rsidRDefault="006678D3" w:rsidP="006678D3">
      <w:pPr>
        <w:pStyle w:val="Textonotapie"/>
        <w:ind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w:t>
      </w:r>
      <w:r w:rsidRPr="004B0BDE">
        <w:rPr>
          <w:rFonts w:ascii="Verdana" w:hAnsi="Verdana" w:cs="Arial"/>
          <w:sz w:val="16"/>
          <w:szCs w:val="16"/>
          <w:lang w:val="es-CO"/>
        </w:rPr>
        <w:t>Incluso, el art. 352 de la CP. reguló el tema: “Además de lo señalado en esta Constitución, la Ley Orgánica del Presupuesto regulará lo correspondiente a la programación, aprobación, modificación, ejecución de los presupuestos de la Nación, de las entidades territoriales y de los entes descentralizados de cualquier</w:t>
      </w:r>
      <w:r>
        <w:rPr>
          <w:rFonts w:ascii="Verdana" w:hAnsi="Verdana" w:cs="Arial"/>
          <w:sz w:val="16"/>
          <w:szCs w:val="16"/>
          <w:lang w:val="es-CO"/>
        </w:rPr>
        <w:t xml:space="preserve"> </w:t>
      </w:r>
      <w:r w:rsidRPr="004B0BDE">
        <w:rPr>
          <w:rFonts w:ascii="Verdana" w:hAnsi="Verdana" w:cs="Arial"/>
          <w:sz w:val="16"/>
          <w:szCs w:val="16"/>
          <w:lang w:val="es-CO"/>
        </w:rPr>
        <w:t>nivel administrativo, y su coordinación con el Plan Nacional de Desarrollo, así como también la capacidad de los organismos y entidades estatales para contratar”.</w:t>
      </w:r>
    </w:p>
  </w:footnote>
  <w:footnote w:id="6">
    <w:p w14:paraId="24AABCF3" w14:textId="77777777" w:rsidR="006678D3" w:rsidRPr="00FA6811" w:rsidRDefault="006678D3" w:rsidP="006678D3">
      <w:pPr>
        <w:pStyle w:val="Textonotapie"/>
        <w:ind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w:t>
      </w:r>
      <w:r w:rsidRPr="00965863">
        <w:rPr>
          <w:rFonts w:ascii="Verdana" w:hAnsi="Verdana" w:cs="Arial"/>
          <w:sz w:val="16"/>
          <w:szCs w:val="16"/>
          <w:lang w:val="es-CO"/>
        </w:rPr>
        <w:t>“Art. 110. Autonomía presupuestal. Los órganos que son una sección en el presupuesto General de la Nación, tendrán la capacidad de contratar y comprometer a nombre de la persona jurídica de la cuál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 En la sección correspondiente a la rama legislativa estas capacidades se ejercerán en la forma arriba indicada y de manera independiente por el Senado y la Cámara de Representantes; igualmente, en la sección correspondiente a la rama judicial serán ejercidas por la Sala Administrativa del Consejo Superior de la Judicatura. 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 En todo caso, el Presidente de la República podrá celebrar contratos a nombre de la Nación (Ley 38/89, artículo 91. Ley 179/94, artículo 51)”.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78850070">
    <w:abstractNumId w:val="7"/>
  </w:num>
  <w:num w:numId="2" w16cid:durableId="588540783">
    <w:abstractNumId w:val="2"/>
  </w:num>
  <w:num w:numId="3" w16cid:durableId="2016371672">
    <w:abstractNumId w:val="5"/>
  </w:num>
  <w:num w:numId="4" w16cid:durableId="202470082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34502758">
    <w:abstractNumId w:val="2"/>
  </w:num>
  <w:num w:numId="6" w16cid:durableId="1669290739">
    <w:abstractNumId w:val="13"/>
  </w:num>
  <w:num w:numId="7" w16cid:durableId="2091461913">
    <w:abstractNumId w:val="6"/>
  </w:num>
  <w:num w:numId="8" w16cid:durableId="2011253351">
    <w:abstractNumId w:val="12"/>
  </w:num>
  <w:num w:numId="9" w16cid:durableId="427237548">
    <w:abstractNumId w:val="8"/>
  </w:num>
  <w:num w:numId="10" w16cid:durableId="1175922361">
    <w:abstractNumId w:val="11"/>
  </w:num>
  <w:num w:numId="11" w16cid:durableId="67505353">
    <w:abstractNumId w:val="9"/>
  </w:num>
  <w:num w:numId="12" w16cid:durableId="1007757619">
    <w:abstractNumId w:val="1"/>
  </w:num>
  <w:num w:numId="13" w16cid:durableId="2000305011">
    <w:abstractNumId w:val="4"/>
  </w:num>
  <w:num w:numId="14" w16cid:durableId="1533224921">
    <w:abstractNumId w:val="14"/>
  </w:num>
  <w:num w:numId="15" w16cid:durableId="1005862593">
    <w:abstractNumId w:val="10"/>
  </w:num>
  <w:num w:numId="16" w16cid:durableId="345833623">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2825416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hdrShapeDefaults>
    <o:shapedefaults v:ext="edit" spidmax="7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2580"/>
    <w:rsid w:val="000A683E"/>
    <w:rsid w:val="000B19B9"/>
    <w:rsid w:val="000D0334"/>
    <w:rsid w:val="000D5DA7"/>
    <w:rsid w:val="000F6486"/>
    <w:rsid w:val="00116940"/>
    <w:rsid w:val="00125105"/>
    <w:rsid w:val="00127233"/>
    <w:rsid w:val="0015699B"/>
    <w:rsid w:val="001A33BF"/>
    <w:rsid w:val="001E4177"/>
    <w:rsid w:val="001F0B24"/>
    <w:rsid w:val="001F7DC6"/>
    <w:rsid w:val="001F7FC2"/>
    <w:rsid w:val="0022400B"/>
    <w:rsid w:val="002421BB"/>
    <w:rsid w:val="00250D51"/>
    <w:rsid w:val="00255861"/>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229F"/>
    <w:rsid w:val="003E4F80"/>
    <w:rsid w:val="003E6439"/>
    <w:rsid w:val="003F3941"/>
    <w:rsid w:val="00406575"/>
    <w:rsid w:val="00414C74"/>
    <w:rsid w:val="0042722E"/>
    <w:rsid w:val="0044528D"/>
    <w:rsid w:val="00466E39"/>
    <w:rsid w:val="004A1847"/>
    <w:rsid w:val="004A305D"/>
    <w:rsid w:val="004F21C4"/>
    <w:rsid w:val="004F685F"/>
    <w:rsid w:val="005566E8"/>
    <w:rsid w:val="00564FEB"/>
    <w:rsid w:val="00574867"/>
    <w:rsid w:val="00591460"/>
    <w:rsid w:val="005A65E0"/>
    <w:rsid w:val="005B2CC5"/>
    <w:rsid w:val="005C3777"/>
    <w:rsid w:val="005C5CDC"/>
    <w:rsid w:val="005D476C"/>
    <w:rsid w:val="006200BF"/>
    <w:rsid w:val="006219F8"/>
    <w:rsid w:val="006302F7"/>
    <w:rsid w:val="00646B9F"/>
    <w:rsid w:val="00665D70"/>
    <w:rsid w:val="006678D3"/>
    <w:rsid w:val="006900D9"/>
    <w:rsid w:val="00706C16"/>
    <w:rsid w:val="007340C3"/>
    <w:rsid w:val="00750CC2"/>
    <w:rsid w:val="0075235A"/>
    <w:rsid w:val="00756841"/>
    <w:rsid w:val="007649AB"/>
    <w:rsid w:val="00771D0C"/>
    <w:rsid w:val="007833AC"/>
    <w:rsid w:val="007B268C"/>
    <w:rsid w:val="007B7171"/>
    <w:rsid w:val="007C0C0F"/>
    <w:rsid w:val="007C3DC2"/>
    <w:rsid w:val="007E5497"/>
    <w:rsid w:val="00806F5F"/>
    <w:rsid w:val="008123B8"/>
    <w:rsid w:val="00820278"/>
    <w:rsid w:val="008258C9"/>
    <w:rsid w:val="00843F89"/>
    <w:rsid w:val="00844AE9"/>
    <w:rsid w:val="00861E35"/>
    <w:rsid w:val="00867F95"/>
    <w:rsid w:val="008843B6"/>
    <w:rsid w:val="00891928"/>
    <w:rsid w:val="008A446D"/>
    <w:rsid w:val="008B25F1"/>
    <w:rsid w:val="008B414A"/>
    <w:rsid w:val="008D180B"/>
    <w:rsid w:val="008F0EA7"/>
    <w:rsid w:val="00923EEF"/>
    <w:rsid w:val="009419F9"/>
    <w:rsid w:val="00952154"/>
    <w:rsid w:val="0095685E"/>
    <w:rsid w:val="00961B09"/>
    <w:rsid w:val="00965334"/>
    <w:rsid w:val="0097093E"/>
    <w:rsid w:val="009A0DFA"/>
    <w:rsid w:val="009A1C6F"/>
    <w:rsid w:val="009B2D26"/>
    <w:rsid w:val="009C71FA"/>
    <w:rsid w:val="009C72E7"/>
    <w:rsid w:val="009C7F7E"/>
    <w:rsid w:val="009D1E9A"/>
    <w:rsid w:val="009D3058"/>
    <w:rsid w:val="009F3A13"/>
    <w:rsid w:val="00A122D3"/>
    <w:rsid w:val="00A14468"/>
    <w:rsid w:val="00A17F13"/>
    <w:rsid w:val="00A20739"/>
    <w:rsid w:val="00A23AF9"/>
    <w:rsid w:val="00A33C78"/>
    <w:rsid w:val="00A566A9"/>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F70E8"/>
    <w:rsid w:val="00D361FD"/>
    <w:rsid w:val="00D423A2"/>
    <w:rsid w:val="00D44E26"/>
    <w:rsid w:val="00D520D8"/>
    <w:rsid w:val="00D63AC2"/>
    <w:rsid w:val="00D67E18"/>
    <w:rsid w:val="00D7383B"/>
    <w:rsid w:val="00D7788A"/>
    <w:rsid w:val="00D82A44"/>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E1668"/>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6678D3"/>
    <w:rPr>
      <w:rFonts w:ascii="Geomanist Light" w:hAnsi="Geomanist Light"/>
      <w:lang w:val="es-ES"/>
    </w:rPr>
  </w:style>
  <w:style w:type="paragraph" w:customStyle="1" w:styleId="Appelnotedebasde">
    <w:name w:val="Appel note de bas de..."/>
    <w:basedOn w:val="Normal"/>
    <w:link w:val="Refdenotaalpie"/>
    <w:uiPriority w:val="99"/>
    <w:rsid w:val="006678D3"/>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asierrap@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catalina.cubides%40colombiacompra.gov.co%7C7cfff6dece924643582c08dd97bfed90%7C7b09041e245149d08cb179d5e3d8c1be%7C0%7C0%7C638833572789617407%7CUnknown%7CTWFpbGZsb3d8eyJFbXB0eU1hcGkiOnRydWUsIlYiOiIwLjAuMDAwMCIsIlAiOiJXaW4zMiIsIkFOIjoiTWFpbCIsIldUIjoyfQ%3D%3D%7C0%7C%7C%7C&amp;sdata=9uKHGs1CT3BZvajf54ettWU83zMQL5yVTuUSLWeSBxw%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E533AC45-CF31-424F-B8CC-3AB0DEF39B2E}"/>
</file>

<file path=customXml/itemProps2.xml><?xml version="1.0" encoding="utf-8"?>
<ds:datastoreItem xmlns:ds="http://schemas.openxmlformats.org/officeDocument/2006/customXml" ds:itemID="{C914CE76-BD7C-9C4C-8712-049ACCEA798E}">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purl.org/dc/dcmitype/"/>
    <ds:schemaRef ds:uri="http://purl.org/dc/terms/"/>
    <ds:schemaRef ds:uri="http://schemas.openxmlformats.org/package/2006/metadata/core-properties"/>
    <ds:schemaRef ds:uri="http://schemas.microsoft.com/office/infopath/2007/PartnerControls"/>
    <ds:schemaRef ds:uri="http://schemas.microsoft.com/office/2006/documentManagement/types"/>
    <ds:schemaRef ds:uri="8ae15d26-076e-464e-81a7-6f76a0fb3917"/>
    <ds:schemaRef ds:uri="1aae7ce2-01f1-44de-ad9f-ef43eb06f92c"/>
    <ds:schemaRef ds:uri="http://schemas.microsoft.com/office/2006/metadata/properties"/>
    <ds:schemaRef ds:uri="http://www.w3.org/XML/1998/namespace"/>
    <ds:schemaRef ds:uri="http://purl.org/dc/elements/1.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5</TotalTime>
  <Pages>11</Pages>
  <Words>2815</Words>
  <Characters>15486</Characters>
  <Application>Microsoft Office Word</Application>
  <DocSecurity>0</DocSecurity>
  <Lines>129</Lines>
  <Paragraphs>36</Paragraphs>
  <ScaleCrop>false</ScaleCrop>
  <Company/>
  <LinksUpToDate>false</LinksUpToDate>
  <CharactersWithSpaces>18265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8</cp:revision>
  <cp:lastPrinted>2023-01-10T21:18:00Z</cp:lastPrinted>
  <dcterms:created xsi:type="dcterms:W3CDTF">2025-12-17T19:33:00Z</dcterms:created>
  <dcterms:modified xsi:type="dcterms:W3CDTF">2025-12-18T19:13:00Z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