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33DCE0" w14:textId="4248FD05" w:rsidR="00720773" w:rsidRPr="00720773" w:rsidRDefault="00720773" w:rsidP="00720773">
      <w:pPr>
        <w:jc w:val="both"/>
        <w:rPr>
          <w:rFonts w:ascii="Verdana" w:eastAsia="Times New Roman" w:hAnsi="Verdana" w:cs="Arial"/>
          <w:b/>
          <w:bCs/>
          <w:sz w:val="21"/>
          <w:szCs w:val="21"/>
          <w:lang w:eastAsia="es-ES_tradnl"/>
        </w:rPr>
      </w:pPr>
      <w:bookmarkStart w:id="0" w:name="_Hlk215673488"/>
      <w:r w:rsidRPr="00720773">
        <w:rPr>
          <w:rFonts w:ascii="Verdana" w:hAnsi="Verdana" w:cs="Arial"/>
          <w:b/>
          <w:bCs/>
          <w:sz w:val="21"/>
          <w:szCs w:val="21"/>
          <w:lang w:val="es-ES" w:eastAsia="es-ES"/>
        </w:rPr>
        <w:t>LEY DE GARANTÍAS ELECTORALES – Finalidad / LEY DE GARANTÍAS ELECTORALES ‒ Restricciones ‒ Contratación ‒ Tipos de elección</w:t>
      </w:r>
    </w:p>
    <w:p w14:paraId="7BACDB9F" w14:textId="56AC46E8" w:rsidR="00720773" w:rsidRPr="00720773" w:rsidRDefault="00720773" w:rsidP="00720773">
      <w:pPr>
        <w:tabs>
          <w:tab w:val="left" w:pos="426"/>
        </w:tabs>
        <w:spacing w:after="120" w:line="276" w:lineRule="auto"/>
        <w:jc w:val="both"/>
        <w:rPr>
          <w:rFonts w:ascii="Verdana" w:eastAsia="Times New Roman" w:hAnsi="Verdana" w:cs="Arial"/>
          <w:sz w:val="21"/>
          <w:szCs w:val="21"/>
          <w:lang w:val="es-ES" w:eastAsia="es-CO"/>
        </w:rPr>
      </w:pPr>
      <w:r w:rsidRPr="00720773">
        <w:rPr>
          <w:rFonts w:ascii="Verdana" w:hAnsi="Verdana" w:cs="Arial"/>
          <w:sz w:val="21"/>
          <w:szCs w:val="21"/>
          <w:lang w:val="es-ES"/>
        </w:rPr>
        <w:t>El ordenamiento jurídico colombiano contempla medidas para evitar la obtención de beneficios personales en asuntos propios de la administración pública</w:t>
      </w:r>
      <w:r w:rsidRPr="00720773">
        <w:rPr>
          <w:rFonts w:ascii="Verdana" w:hAnsi="Verdana" w:cs="Arial"/>
          <w:i/>
          <w:sz w:val="21"/>
          <w:szCs w:val="21"/>
          <w:lang w:val="es-ES"/>
        </w:rPr>
        <w:t xml:space="preserve">. </w:t>
      </w:r>
      <w:r w:rsidRPr="00720773">
        <w:rPr>
          <w:rFonts w:ascii="Verdana" w:hAnsi="Verdana" w:cs="Arial"/>
          <w:sz w:val="21"/>
          <w:szCs w:val="21"/>
          <w:lang w:val="es-ES"/>
        </w:rPr>
        <w:t xml:space="preserve">Por ejemplo, el artículo 127 de la Constitución Política establece una prohibición contractual a los servidores públicos y, en cuanto a aspectos políticos, señala restricciones a ciertos empleados del Estado, incluso en época no electoral. </w:t>
      </w:r>
    </w:p>
    <w:p w14:paraId="68A5F8DC" w14:textId="2A2919E9" w:rsidR="00720773" w:rsidRPr="00720773" w:rsidRDefault="00720773" w:rsidP="00720773">
      <w:pPr>
        <w:jc w:val="both"/>
        <w:rPr>
          <w:rFonts w:ascii="Verdana" w:eastAsia="Times New Roman" w:hAnsi="Verdana" w:cs="Arial"/>
          <w:sz w:val="21"/>
          <w:szCs w:val="21"/>
          <w:lang w:eastAsia="es-ES_tradnl"/>
        </w:rPr>
      </w:pPr>
      <w:r w:rsidRPr="00720773">
        <w:rPr>
          <w:rFonts w:ascii="Verdana" w:eastAsia="Times New Roman" w:hAnsi="Verdana" w:cs="Arial"/>
          <w:sz w:val="21"/>
          <w:szCs w:val="21"/>
          <w:lang w:val="es-ES" w:eastAsia="es-CO"/>
        </w:rPr>
        <w:t>En el mismo sentido, la Ley 996 de 2005, conocida como “Ley de Garantías Electorales”, se suma al andamiaje constitucional y legal que busca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 En esta medida, introduce limitaciones para realizar nombramientos, postulaciones, contrataciones o cualquier otro tipo de actividad que implique destinación de recursos públicos bajo el devenir propio de las Entidades Estatales.</w:t>
      </w:r>
    </w:p>
    <w:p w14:paraId="26BF1019" w14:textId="08C65A4D" w:rsidR="00720773" w:rsidRPr="00720773" w:rsidRDefault="00720773" w:rsidP="00720773">
      <w:pPr>
        <w:jc w:val="both"/>
        <w:rPr>
          <w:rFonts w:ascii="Verdana" w:eastAsia="Times New Roman" w:hAnsi="Verdana" w:cs="Arial"/>
          <w:b/>
          <w:bCs/>
          <w:sz w:val="21"/>
          <w:szCs w:val="21"/>
          <w:lang w:eastAsia="es-ES_tradnl"/>
        </w:rPr>
      </w:pPr>
      <w:r w:rsidRPr="00720773">
        <w:rPr>
          <w:rFonts w:ascii="Verdana" w:hAnsi="Verdana" w:cs="Arial"/>
          <w:b/>
          <w:bCs/>
          <w:sz w:val="21"/>
          <w:szCs w:val="21"/>
          <w:lang w:val="es-ES" w:eastAsia="es-ES"/>
        </w:rPr>
        <w:t>LEY DE GARANTÍAS ELECTORALES ‒ Artículo 33 ‒ Ámbito material / LEY DE GARANTÍAS ELECTORALES ‒ Aplicación ‒ Excepciones ‒ Contratos de prestación de servicios y/o apoyo a la gestión</w:t>
      </w:r>
      <w:r w:rsidRPr="00720773">
        <w:rPr>
          <w:b/>
          <w:bCs/>
          <w:sz w:val="21"/>
          <w:szCs w:val="21"/>
        </w:rPr>
        <w:t xml:space="preserve"> </w:t>
      </w:r>
      <w:r w:rsidRPr="00720773">
        <w:rPr>
          <w:rFonts w:ascii="Verdana" w:hAnsi="Verdana" w:cs="Arial"/>
          <w:b/>
          <w:bCs/>
          <w:sz w:val="21"/>
          <w:szCs w:val="21"/>
          <w:lang w:val="es-ES" w:eastAsia="es-ES"/>
        </w:rPr>
        <w:t>profesionales</w:t>
      </w:r>
    </w:p>
    <w:p w14:paraId="4EB278E7" w14:textId="5C19E287" w:rsidR="00720773" w:rsidRPr="00720773" w:rsidRDefault="00720773" w:rsidP="00720773">
      <w:pPr>
        <w:jc w:val="both"/>
        <w:rPr>
          <w:rFonts w:ascii="Verdana" w:eastAsia="Times New Roman" w:hAnsi="Verdana" w:cs="Arial"/>
          <w:sz w:val="21"/>
          <w:szCs w:val="21"/>
          <w:lang w:eastAsia="es-ES_tradnl"/>
        </w:rPr>
      </w:pPr>
      <w:r w:rsidRPr="00720773">
        <w:rPr>
          <w:rFonts w:ascii="Verdana" w:hAnsi="Verdana" w:cs="Arial"/>
          <w:sz w:val="21"/>
          <w:szCs w:val="21"/>
          <w:lang w:val="es-ES"/>
        </w:rPr>
        <w:t xml:space="preserve">Por un lado, el </w:t>
      </w:r>
      <w:r w:rsidRPr="00720773">
        <w:rPr>
          <w:rFonts w:ascii="Verdana" w:hAnsi="Verdana" w:cs="Arial"/>
          <w:i/>
          <w:iCs/>
          <w:sz w:val="21"/>
          <w:szCs w:val="21"/>
          <w:lang w:val="es-ES"/>
        </w:rPr>
        <w:t xml:space="preserve">artículo 33 </w:t>
      </w:r>
      <w:r w:rsidRPr="00720773">
        <w:rPr>
          <w:rFonts w:ascii="Verdana" w:hAnsi="Verdana" w:cs="Arial"/>
          <w:sz w:val="21"/>
          <w:szCs w:val="21"/>
          <w:lang w:val="es-ES"/>
        </w:rPr>
        <w:t xml:space="preserve">de la Ley 996 de 2005 prohíbe “[…] la contratación directa por parte de </w:t>
      </w:r>
      <w:r w:rsidRPr="00720773">
        <w:rPr>
          <w:rFonts w:ascii="Verdana" w:hAnsi="Verdana" w:cs="Arial"/>
          <w:i/>
          <w:iCs/>
          <w:sz w:val="21"/>
          <w:szCs w:val="21"/>
          <w:lang w:val="es-ES"/>
        </w:rPr>
        <w:t>todos los entes del Estado</w:t>
      </w:r>
      <w:r w:rsidRPr="00720773">
        <w:rPr>
          <w:rFonts w:ascii="Verdana" w:hAnsi="Verdana" w:cs="Arial"/>
          <w:sz w:val="21"/>
          <w:szCs w:val="21"/>
          <w:lang w:val="es-ES"/>
        </w:rPr>
        <w:t xml:space="preserve">” durante los cuatro (4) meses anteriores a las </w:t>
      </w:r>
      <w:r w:rsidRPr="00720773">
        <w:rPr>
          <w:rFonts w:ascii="Verdana" w:hAnsi="Verdana" w:cs="Arial"/>
          <w:i/>
          <w:iCs/>
          <w:sz w:val="21"/>
          <w:szCs w:val="21"/>
          <w:lang w:val="es-ES"/>
        </w:rPr>
        <w:t>elecciones presidenciales</w:t>
      </w:r>
      <w:r w:rsidRPr="00720773">
        <w:rPr>
          <w:rFonts w:ascii="Verdana" w:hAnsi="Verdana" w:cs="Arial"/>
          <w:sz w:val="21"/>
          <w:szCs w:val="21"/>
          <w:lang w:val="es-ES"/>
        </w:rPr>
        <w:t>,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720773">
        <w:rPr>
          <w:rFonts w:ascii="Verdana" w:hAnsi="Verdana" w:cs="Arial"/>
          <w:sz w:val="21"/>
          <w:szCs w:val="21"/>
          <w:lang w:val="es-ES"/>
        </w:rPr>
        <w:t>. […]</w:t>
      </w:r>
    </w:p>
    <w:p w14:paraId="1AB383B2" w14:textId="200351AB" w:rsidR="00720773" w:rsidRPr="00720773" w:rsidRDefault="00720773" w:rsidP="00720773">
      <w:pPr>
        <w:jc w:val="both"/>
        <w:rPr>
          <w:rFonts w:ascii="Verdana" w:hAnsi="Verdana" w:cs="Arial"/>
          <w:color w:val="000000" w:themeColor="text1"/>
          <w:sz w:val="21"/>
          <w:szCs w:val="21"/>
          <w:shd w:val="clear" w:color="auto" w:fill="FFFFFF"/>
          <w:lang w:val="es-ES"/>
        </w:rPr>
      </w:pPr>
      <w:r w:rsidRPr="00720773">
        <w:rPr>
          <w:rFonts w:ascii="Verdana" w:hAnsi="Verdana" w:cs="Arial"/>
          <w:bCs/>
          <w:color w:val="000000" w:themeColor="text1"/>
          <w:sz w:val="21"/>
          <w:szCs w:val="21"/>
          <w:lang w:val="es-ES"/>
        </w:rPr>
        <w:t>Por tanto, las excepciones a la prohibición contenida en el inciso segundo de artículo 33 de la Ley de Garantías Electorales tienen por finalidad garantizar la realización ininterrumpida de ciertas actividades que, dada su importancia en el orden interno, se verían irrazonablemente afectadas por la restricción. De igual forma, la Sala de Consulta y Servicio Civil del Consejo de Estado, en concepto del 2 de septiembre de 2013</w:t>
      </w:r>
      <w:r w:rsidRPr="00720773">
        <w:rPr>
          <w:rFonts w:ascii="Verdana" w:hAnsi="Verdana" w:cs="Arial"/>
          <w:color w:val="000000" w:themeColor="text1"/>
          <w:sz w:val="21"/>
          <w:szCs w:val="21"/>
          <w:lang w:val="es-ES"/>
        </w:rPr>
        <w:t xml:space="preserve">, mencionó las excepciones a la prohibición del artículo 33 de la Ley de Garantías Electorales, resaltando su carácter taxativo, y señalando la independencia de los supuestos, así: “[…] </w:t>
      </w:r>
      <w:r w:rsidRPr="00720773">
        <w:rPr>
          <w:rFonts w:ascii="Verdana" w:hAnsi="Verdana" w:cs="Arial"/>
          <w:i/>
          <w:color w:val="000000" w:themeColor="text1"/>
          <w:sz w:val="21"/>
          <w:szCs w:val="21"/>
          <w:lang w:val="es-ES"/>
        </w:rPr>
        <w:t xml:space="preserve">Las excepciones aplicables a la restricción de contratación pública. </w:t>
      </w:r>
      <w:r w:rsidRPr="00720773">
        <w:rPr>
          <w:rFonts w:ascii="Verdana" w:hAnsi="Verdana" w:cs="Arial"/>
          <w:color w:val="000000" w:themeColor="text1"/>
          <w:sz w:val="21"/>
          <w:szCs w:val="21"/>
          <w:shd w:val="clear" w:color="auto" w:fill="FFFFFF"/>
          <w:lang w:val="es-ES"/>
        </w:rPr>
        <w:t xml:space="preserve">Ahora bien, las únicas excepciones a las disposiciones previstas en la Ley </w:t>
      </w:r>
      <w:r w:rsidRPr="00720773">
        <w:rPr>
          <w:rFonts w:ascii="Verdana" w:hAnsi="Verdana" w:cs="Arial"/>
          <w:color w:val="000000" w:themeColor="text1"/>
          <w:sz w:val="21"/>
          <w:szCs w:val="21"/>
          <w:shd w:val="clear" w:color="auto" w:fill="FFFFFF"/>
          <w:lang w:val="es-ES"/>
        </w:rPr>
        <w:lastRenderedPageBreak/>
        <w:t>de Garantías se encuentran numeradas taxativamente en el último inciso del artículo 33 de la ley 996 de 2005</w:t>
      </w:r>
      <w:r w:rsidRPr="00720773">
        <w:rPr>
          <w:rFonts w:ascii="Verdana" w:hAnsi="Verdana" w:cs="Arial"/>
          <w:color w:val="000000" w:themeColor="text1"/>
          <w:sz w:val="21"/>
          <w:szCs w:val="21"/>
          <w:shd w:val="clear" w:color="auto" w:fill="FFFFFF"/>
          <w:lang w:val="es-ES"/>
        </w:rPr>
        <w:t xml:space="preserve">. </w:t>
      </w:r>
    </w:p>
    <w:p w14:paraId="03E60B6B" w14:textId="77777777" w:rsidR="00720773" w:rsidRPr="00720773" w:rsidRDefault="00720773" w:rsidP="00720773">
      <w:pPr>
        <w:spacing w:line="276" w:lineRule="auto"/>
        <w:jc w:val="both"/>
        <w:rPr>
          <w:rFonts w:ascii="Verdana" w:hAnsi="Verdana" w:cs="Arial"/>
          <w:b/>
          <w:bCs/>
          <w:sz w:val="21"/>
          <w:szCs w:val="21"/>
          <w:lang w:eastAsia="es-ES_tradnl"/>
        </w:rPr>
      </w:pPr>
      <w:r w:rsidRPr="00720773">
        <w:rPr>
          <w:rFonts w:ascii="Verdana" w:hAnsi="Verdana" w:cs="Arial"/>
          <w:b/>
          <w:bCs/>
          <w:sz w:val="21"/>
          <w:szCs w:val="21"/>
          <w:lang w:eastAsia="es-ES_tradnl"/>
        </w:rPr>
        <w:t>CONVENIOS INTERADMINISTRATIVOS – Criterio orgánico / CONTRATOS Y CONVENIOS INTERADMINISTRATIVOS – Circular Externa Única – Autos de suspensión – Consejo de Estado</w:t>
      </w:r>
    </w:p>
    <w:p w14:paraId="553E1F56" w14:textId="77777777" w:rsidR="00720773" w:rsidRPr="00720773" w:rsidRDefault="00720773" w:rsidP="00720773">
      <w:pPr>
        <w:spacing w:after="120" w:line="276" w:lineRule="auto"/>
        <w:jc w:val="both"/>
        <w:rPr>
          <w:rFonts w:ascii="Verdana" w:eastAsia="Arial" w:hAnsi="Verdana" w:cs="Arial"/>
          <w:sz w:val="21"/>
          <w:szCs w:val="21"/>
          <w:lang w:eastAsia="es-ES" w:bidi="es-ES"/>
        </w:rPr>
      </w:pPr>
      <w:r w:rsidRPr="00720773">
        <w:rPr>
          <w:rFonts w:ascii="Verdana" w:eastAsia="Arial" w:hAnsi="Verdana" w:cs="Arial"/>
          <w:sz w:val="21"/>
          <w:szCs w:val="21"/>
          <w:lang w:eastAsia="es-ES" w:bidi="es-ES"/>
        </w:rPr>
        <w:t xml:space="preserve">Adicionalmente, de acuerdo con la reciente postura del Consejo de Estado —particularmente en </w:t>
      </w:r>
      <w:r w:rsidRPr="00720773">
        <w:rPr>
          <w:rFonts w:ascii="Verdana" w:eastAsia="Times New Roman" w:hAnsi="Verdana" w:cs="Arial"/>
          <w:sz w:val="21"/>
          <w:szCs w:val="21"/>
          <w:lang w:eastAsia="es-CO"/>
        </w:rPr>
        <w:t>la sentencia expedida por la Sección Tercera de la Sala de lo Contencioso Administrativo del 17 de octubre de 2025,</w:t>
      </w:r>
      <w:r w:rsidRPr="00720773">
        <w:rPr>
          <w:rFonts w:ascii="Verdana" w:eastAsia="Arial" w:hAnsi="Verdana" w:cs="Arial"/>
          <w:sz w:val="21"/>
          <w:szCs w:val="21"/>
          <w:lang w:eastAsia="es-ES" w:bidi="es-ES"/>
        </w:rPr>
        <w:t xml:space="preserve"> en los autos del 4 de octubre de 2024 y del 6 de noviembre de 2025, mediante los cuales </w:t>
      </w:r>
      <w:r w:rsidRPr="00720773">
        <w:rPr>
          <w:rFonts w:ascii="Verdana" w:eastAsia="Times New Roman" w:hAnsi="Verdana" w:cs="Arial"/>
          <w:sz w:val="21"/>
          <w:szCs w:val="21"/>
          <w:lang w:eastAsia="es-CO"/>
        </w:rPr>
        <w:t>se declaró la nulidad parcial,</w:t>
      </w:r>
      <w:r w:rsidRPr="00720773">
        <w:rPr>
          <w:rFonts w:ascii="Verdana" w:eastAsia="Arial" w:hAnsi="Verdana" w:cs="Arial"/>
          <w:sz w:val="21"/>
          <w:szCs w:val="21"/>
          <w:lang w:eastAsia="es-ES" w:bidi="es-ES"/>
        </w:rPr>
        <w:t xml:space="preserve"> se suspendió parcialmente el numeral 16.2 de la Circular Externa Única de 2022 de Colombia Compra Eficiente y del inciso cuarto del numeral 16.2 de la Circular Externa Única, versión 3 del 27 de diciembre de 2023, respectivamente — la prohibición del parágrafo del artículo 38 no se extiende a los contratos interadministrativos, independientemente de su objeto. En tal sentido, dos entidades públicas pueden suscribir válidamente contratos interadministrativos durante los periodos de restricción electoral, incluidos los cuatro (4) meses previos a las elecciones presidenciales, siempre que la figura no corresponda materialmente a un convenio interadministrativo para la ejecución de recursos públicos, que sí está prohibido para los sujetos territoriales mencionados en la norma.</w:t>
      </w:r>
    </w:p>
    <w:p w14:paraId="2EB22945" w14:textId="77777777" w:rsidR="00720773" w:rsidRDefault="00720773" w:rsidP="00720773">
      <w:pPr>
        <w:jc w:val="both"/>
        <w:rPr>
          <w:rFonts w:ascii="Verdana" w:eastAsia="Times New Roman" w:hAnsi="Verdana" w:cs="Arial"/>
          <w:lang w:eastAsia="es-ES_tradnl"/>
        </w:rPr>
      </w:pPr>
    </w:p>
    <w:p w14:paraId="0EA1B6B9" w14:textId="77777777" w:rsidR="00720773" w:rsidRDefault="00720773" w:rsidP="00E451D1">
      <w:pPr>
        <w:rPr>
          <w:rFonts w:ascii="Verdana" w:eastAsia="Times New Roman" w:hAnsi="Verdana" w:cs="Arial"/>
          <w:lang w:eastAsia="es-ES_tradnl"/>
        </w:rPr>
      </w:pPr>
    </w:p>
    <w:p w14:paraId="264D898E" w14:textId="77777777" w:rsidR="00720773" w:rsidRDefault="00720773" w:rsidP="00E451D1">
      <w:pPr>
        <w:rPr>
          <w:rFonts w:ascii="Verdana" w:eastAsia="Times New Roman" w:hAnsi="Verdana" w:cs="Arial"/>
          <w:lang w:eastAsia="es-ES_tradnl"/>
        </w:rPr>
      </w:pPr>
    </w:p>
    <w:p w14:paraId="0BA8E0BA" w14:textId="77777777" w:rsidR="00720773" w:rsidRDefault="00720773" w:rsidP="00E451D1">
      <w:pPr>
        <w:rPr>
          <w:rFonts w:ascii="Verdana" w:eastAsia="Times New Roman" w:hAnsi="Verdana" w:cs="Arial"/>
          <w:lang w:eastAsia="es-ES_tradnl"/>
        </w:rPr>
      </w:pPr>
    </w:p>
    <w:p w14:paraId="740E9F99" w14:textId="77777777" w:rsidR="00720773" w:rsidRDefault="00720773" w:rsidP="00E451D1">
      <w:pPr>
        <w:rPr>
          <w:rFonts w:ascii="Verdana" w:eastAsia="Times New Roman" w:hAnsi="Verdana" w:cs="Arial"/>
          <w:lang w:eastAsia="es-ES_tradnl"/>
        </w:rPr>
      </w:pPr>
    </w:p>
    <w:p w14:paraId="5541836D" w14:textId="77777777" w:rsidR="00720773" w:rsidRDefault="00720773" w:rsidP="00E451D1">
      <w:pPr>
        <w:rPr>
          <w:rFonts w:ascii="Verdana" w:eastAsia="Times New Roman" w:hAnsi="Verdana" w:cs="Arial"/>
          <w:lang w:eastAsia="es-ES_tradnl"/>
        </w:rPr>
      </w:pPr>
    </w:p>
    <w:p w14:paraId="549F0AF2" w14:textId="77777777" w:rsidR="00720773" w:rsidRDefault="00720773" w:rsidP="00E451D1">
      <w:pPr>
        <w:rPr>
          <w:rFonts w:ascii="Verdana" w:eastAsia="Times New Roman" w:hAnsi="Verdana" w:cs="Arial"/>
          <w:lang w:eastAsia="es-ES_tradnl"/>
        </w:rPr>
      </w:pPr>
    </w:p>
    <w:p w14:paraId="185957BC" w14:textId="77777777" w:rsidR="00720773" w:rsidRDefault="00720773" w:rsidP="00E451D1">
      <w:pPr>
        <w:rPr>
          <w:rFonts w:ascii="Verdana" w:eastAsia="Times New Roman" w:hAnsi="Verdana" w:cs="Arial"/>
          <w:lang w:eastAsia="es-ES_tradnl"/>
        </w:rPr>
      </w:pPr>
    </w:p>
    <w:p w14:paraId="67149FA2" w14:textId="77777777" w:rsidR="00720773" w:rsidRDefault="00720773" w:rsidP="00E451D1">
      <w:pPr>
        <w:rPr>
          <w:rFonts w:ascii="Verdana" w:eastAsia="Times New Roman" w:hAnsi="Verdana" w:cs="Arial"/>
          <w:lang w:eastAsia="es-ES_tradnl"/>
        </w:rPr>
      </w:pPr>
    </w:p>
    <w:p w14:paraId="2E80A680" w14:textId="77777777" w:rsidR="00720773" w:rsidRDefault="00720773" w:rsidP="00E451D1">
      <w:pPr>
        <w:rPr>
          <w:rFonts w:ascii="Verdana" w:eastAsia="Times New Roman" w:hAnsi="Verdana" w:cs="Arial"/>
          <w:lang w:eastAsia="es-ES_tradnl"/>
        </w:rPr>
      </w:pPr>
    </w:p>
    <w:p w14:paraId="0CB40DD8" w14:textId="77777777" w:rsidR="00720773" w:rsidRDefault="00720773" w:rsidP="00E451D1">
      <w:pPr>
        <w:rPr>
          <w:rFonts w:ascii="Verdana" w:eastAsia="Times New Roman" w:hAnsi="Verdana" w:cs="Arial"/>
          <w:lang w:eastAsia="es-ES_tradnl"/>
        </w:rPr>
      </w:pPr>
    </w:p>
    <w:p w14:paraId="4572130F" w14:textId="77777777" w:rsidR="00720773" w:rsidRDefault="00720773" w:rsidP="00E451D1">
      <w:pPr>
        <w:rPr>
          <w:rFonts w:ascii="Verdana" w:eastAsia="Times New Roman" w:hAnsi="Verdana" w:cs="Arial"/>
          <w:lang w:eastAsia="es-ES_tradnl"/>
        </w:rPr>
      </w:pPr>
    </w:p>
    <w:p w14:paraId="507E138A" w14:textId="7283CD90" w:rsidR="00E451D1" w:rsidRPr="00E451D1" w:rsidRDefault="00E451D1" w:rsidP="00E451D1">
      <w:pPr>
        <w:rPr>
          <w:rFonts w:ascii="Verdana" w:eastAsia="Times New Roman" w:hAnsi="Verdana" w:cs="Times New Roman"/>
          <w:lang w:eastAsia="es-ES"/>
        </w:rPr>
      </w:pPr>
      <w:r w:rsidRPr="00093B55">
        <w:rPr>
          <w:rFonts w:ascii="Verdana" w:eastAsia="Times New Roman" w:hAnsi="Verdana" w:cs="Arial"/>
          <w:lang w:eastAsia="es-ES_tradnl"/>
        </w:rPr>
        <w:lastRenderedPageBreak/>
        <w:t>Bogotá D.C., </w:t>
      </w:r>
      <w:r w:rsidR="00720773">
        <w:rPr>
          <w:rFonts w:ascii="Verdana" w:eastAsia="Times New Roman" w:hAnsi="Verdana" w:cs="Arial"/>
          <w:lang w:eastAsia="es-ES_tradnl"/>
        </w:rPr>
        <w:t>15</w:t>
      </w:r>
      <w:r w:rsidRPr="00093B55">
        <w:rPr>
          <w:rFonts w:ascii="Verdana" w:eastAsia="Times New Roman" w:hAnsi="Verdana" w:cs="Arial"/>
          <w:lang w:eastAsia="es-ES_tradnl"/>
        </w:rPr>
        <w:t xml:space="preserve"> de </w:t>
      </w:r>
      <w:r w:rsidR="00720773">
        <w:rPr>
          <w:rFonts w:ascii="Verdana" w:eastAsia="Times New Roman" w:hAnsi="Verdana" w:cs="Arial"/>
          <w:lang w:eastAsia="es-ES_tradnl"/>
        </w:rPr>
        <w:t>diciembre</w:t>
      </w:r>
      <w:r w:rsidRPr="00093B55">
        <w:rPr>
          <w:rFonts w:ascii="Verdana" w:eastAsia="Times New Roman" w:hAnsi="Verdana" w:cs="Arial"/>
          <w:lang w:eastAsia="es-ES_tradnl"/>
        </w:rPr>
        <w:t xml:space="preserve"> de </w:t>
      </w:r>
      <w:r w:rsidR="00720773">
        <w:rPr>
          <w:rFonts w:ascii="Verdana" w:eastAsia="Times New Roman" w:hAnsi="Verdana" w:cs="Arial"/>
          <w:lang w:eastAsia="es-ES_tradnl"/>
        </w:rPr>
        <w:t>2025</w:t>
      </w:r>
      <w:r w:rsidRPr="00093B55">
        <w:rPr>
          <w:rFonts w:ascii="Verdana" w:eastAsia="Times New Roman" w:hAnsi="Verdana" w:cs="Arial"/>
          <w:lang w:eastAsia="es-ES_tradnl"/>
        </w:rPr>
        <w:t> </w:t>
      </w:r>
    </w:p>
    <w:p w14:paraId="024257BA" w14:textId="052C1E6B" w:rsidR="00720773" w:rsidRDefault="00720773" w:rsidP="00720773">
      <w:pPr>
        <w:spacing w:after="0" w:line="240" w:lineRule="auto"/>
        <w:ind w:left="4956"/>
        <w:jc w:val="both"/>
        <w:rPr>
          <w:rFonts w:ascii="Verdana" w:hAnsi="Verdana" w:cs="Arial"/>
          <w:lang w:val="es-ES_tradnl" w:eastAsia="es-ES"/>
        </w:rPr>
      </w:pPr>
      <w:r w:rsidRPr="00720773">
        <w:rPr>
          <w:rFonts w:ascii="Verdana" w:hAnsi="Verdana" w:cs="Arial"/>
          <w:lang w:val="es-ES_tradnl" w:eastAsia="es-ES"/>
        </w:rPr>
        <w:drawing>
          <wp:inline distT="0" distB="0" distL="0" distR="0" wp14:anchorId="08979071" wp14:editId="398D00EA">
            <wp:extent cx="3324689" cy="1009791"/>
            <wp:effectExtent l="0" t="0" r="9525" b="0"/>
            <wp:docPr id="117707844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7078443" name=""/>
                    <pic:cNvPicPr/>
                  </pic:nvPicPr>
                  <pic:blipFill>
                    <a:blip r:embed="rId10"/>
                    <a:stretch>
                      <a:fillRect/>
                    </a:stretch>
                  </pic:blipFill>
                  <pic:spPr>
                    <a:xfrm>
                      <a:off x="0" y="0"/>
                      <a:ext cx="3324689" cy="1009791"/>
                    </a:xfrm>
                    <a:prstGeom prst="rect">
                      <a:avLst/>
                    </a:prstGeom>
                  </pic:spPr>
                </pic:pic>
              </a:graphicData>
            </a:graphic>
          </wp:inline>
        </w:drawing>
      </w:r>
    </w:p>
    <w:p w14:paraId="0FC08740" w14:textId="2D17B9DE" w:rsidR="00E451D1" w:rsidRPr="00BC3A80" w:rsidRDefault="00E451D1" w:rsidP="00E451D1">
      <w:pPr>
        <w:spacing w:after="0" w:line="240" w:lineRule="auto"/>
        <w:jc w:val="both"/>
        <w:rPr>
          <w:rFonts w:ascii="Verdana" w:hAnsi="Verdana" w:cs="Arial"/>
          <w:lang w:val="es-ES_tradnl" w:eastAsia="es-ES"/>
        </w:rPr>
      </w:pPr>
      <w:r w:rsidRPr="00BC3A80">
        <w:rPr>
          <w:rFonts w:ascii="Verdana" w:hAnsi="Verdana" w:cs="Arial"/>
          <w:lang w:val="es-ES_tradnl" w:eastAsia="es-ES"/>
        </w:rPr>
        <w:t>Señor</w:t>
      </w:r>
    </w:p>
    <w:p w14:paraId="68116E3A" w14:textId="77777777" w:rsidR="00E451D1" w:rsidRDefault="00E451D1" w:rsidP="00E451D1">
      <w:pPr>
        <w:spacing w:after="0" w:line="240" w:lineRule="auto"/>
        <w:jc w:val="both"/>
        <w:rPr>
          <w:rFonts w:ascii="Verdana" w:hAnsi="Verdana" w:cs="Arial"/>
          <w:b/>
          <w:bCs/>
          <w:lang w:val="es-ES_tradnl" w:eastAsia="es-ES"/>
        </w:rPr>
      </w:pPr>
      <w:r>
        <w:rPr>
          <w:rFonts w:ascii="Verdana" w:hAnsi="Verdana" w:cs="Arial"/>
          <w:b/>
          <w:bCs/>
          <w:lang w:val="es-ES_tradnl" w:eastAsia="es-ES"/>
        </w:rPr>
        <w:t>Omar Enrique Flórez Escorcia</w:t>
      </w:r>
    </w:p>
    <w:p w14:paraId="7FBE87F3" w14:textId="77777777" w:rsidR="00E451D1" w:rsidRPr="005611A8" w:rsidRDefault="00E451D1" w:rsidP="00E451D1">
      <w:pPr>
        <w:spacing w:after="0" w:line="240" w:lineRule="auto"/>
        <w:jc w:val="both"/>
        <w:rPr>
          <w:rFonts w:ascii="Verdana" w:hAnsi="Verdana" w:cs="Arial"/>
          <w:lang w:val="es-ES_tradnl" w:eastAsia="es-ES"/>
        </w:rPr>
      </w:pPr>
      <w:r>
        <w:rPr>
          <w:rFonts w:ascii="Verdana" w:hAnsi="Verdana" w:cs="Arial"/>
          <w:lang w:val="es-ES_tradnl" w:eastAsia="es-ES"/>
        </w:rPr>
        <w:t>Director Nacional y Representante Legal</w:t>
      </w:r>
    </w:p>
    <w:p w14:paraId="4B727029" w14:textId="77777777" w:rsidR="00E451D1" w:rsidRPr="005611A8" w:rsidRDefault="00E451D1" w:rsidP="00E451D1">
      <w:pPr>
        <w:spacing w:after="0" w:line="240" w:lineRule="auto"/>
        <w:jc w:val="both"/>
        <w:rPr>
          <w:rFonts w:ascii="Verdana" w:hAnsi="Verdana" w:cs="Arial"/>
          <w:lang w:val="es-ES" w:eastAsia="es-ES"/>
        </w:rPr>
      </w:pPr>
      <w:r w:rsidRPr="3FEFEF27">
        <w:rPr>
          <w:rFonts w:ascii="Verdana" w:hAnsi="Verdana" w:cs="Arial"/>
          <w:lang w:val="es-ES" w:eastAsia="es-ES"/>
        </w:rPr>
        <w:t xml:space="preserve">Alianza Pública para el Desarrollo Integral – </w:t>
      </w:r>
      <w:proofErr w:type="spellStart"/>
      <w:r w:rsidRPr="3FEFEF27">
        <w:rPr>
          <w:rFonts w:ascii="Verdana" w:hAnsi="Verdana" w:cs="Arial"/>
          <w:lang w:val="es-ES" w:eastAsia="es-ES"/>
        </w:rPr>
        <w:t>Aldesarrollo</w:t>
      </w:r>
      <w:proofErr w:type="spellEnd"/>
      <w:r w:rsidRPr="3FEFEF27">
        <w:rPr>
          <w:rFonts w:ascii="Verdana" w:hAnsi="Verdana" w:cs="Arial"/>
          <w:lang w:val="es-ES" w:eastAsia="es-ES"/>
        </w:rPr>
        <w:t xml:space="preserve">. </w:t>
      </w:r>
    </w:p>
    <w:p w14:paraId="0045AA8B" w14:textId="77777777" w:rsidR="00E451D1" w:rsidRDefault="00E451D1" w:rsidP="00E451D1">
      <w:pPr>
        <w:spacing w:after="0" w:line="240" w:lineRule="auto"/>
      </w:pPr>
      <w:hyperlink r:id="rId11" w:history="1">
        <w:r w:rsidRPr="00BC59E1">
          <w:rPr>
            <w:rStyle w:val="Hipervnculo"/>
          </w:rPr>
          <w:t>info@aldesarrollo.gov.co</w:t>
        </w:r>
      </w:hyperlink>
      <w:r w:rsidRPr="00BC59E1">
        <w:t xml:space="preserve">; </w:t>
      </w:r>
    </w:p>
    <w:p w14:paraId="0BAC3B37" w14:textId="77777777" w:rsidR="00E451D1" w:rsidRDefault="00E451D1" w:rsidP="00E451D1">
      <w:pPr>
        <w:spacing w:after="0" w:line="240" w:lineRule="auto"/>
      </w:pPr>
      <w:hyperlink r:id="rId12" w:history="1">
        <w:r w:rsidRPr="00365DE7">
          <w:rPr>
            <w:rStyle w:val="Hipervnculo"/>
          </w:rPr>
          <w:t>secretariageneral@aldesarrollo.gov.co</w:t>
        </w:r>
      </w:hyperlink>
      <w:r w:rsidRPr="00BC59E1">
        <w:t xml:space="preserve">; </w:t>
      </w:r>
    </w:p>
    <w:p w14:paraId="6968609B" w14:textId="77777777" w:rsidR="00E451D1" w:rsidRPr="00BC59E1" w:rsidRDefault="00E451D1" w:rsidP="00E451D1">
      <w:pPr>
        <w:spacing w:after="0" w:line="240" w:lineRule="auto"/>
        <w:rPr>
          <w:rFonts w:ascii="Verdana" w:hAnsi="Verdana"/>
        </w:rPr>
      </w:pPr>
      <w:hyperlink r:id="rId13" w:history="1">
        <w:r w:rsidRPr="00365DE7">
          <w:rPr>
            <w:rStyle w:val="Hipervnculo"/>
          </w:rPr>
          <w:t>victor.sandoval@aldesarrollo.gov.co</w:t>
        </w:r>
      </w:hyperlink>
      <w:r>
        <w:t xml:space="preserve">; </w:t>
      </w:r>
    </w:p>
    <w:p w14:paraId="644F084B" w14:textId="77777777" w:rsidR="00E451D1" w:rsidRPr="00BC59E1" w:rsidRDefault="00E451D1" w:rsidP="00E451D1">
      <w:pPr>
        <w:tabs>
          <w:tab w:val="left" w:pos="3708"/>
        </w:tabs>
        <w:spacing w:after="0" w:line="240" w:lineRule="auto"/>
        <w:rPr>
          <w:rFonts w:ascii="Verdana" w:hAnsi="Verdana" w:cs="Arial"/>
          <w:lang w:val="pt-PT" w:eastAsia="es-ES"/>
        </w:rPr>
      </w:pPr>
      <w:r w:rsidRPr="00BC59E1">
        <w:rPr>
          <w:rFonts w:ascii="Verdana" w:hAnsi="Verdana" w:cs="Arial"/>
          <w:lang w:val="pt-PT" w:eastAsia="es-ES"/>
        </w:rPr>
        <w:t>Bogotá, D.C.</w:t>
      </w:r>
      <w:r w:rsidRPr="00BC59E1">
        <w:rPr>
          <w:rFonts w:ascii="Verdana" w:hAnsi="Verdana" w:cs="Arial"/>
          <w:lang w:val="pt-PT" w:eastAsia="es-ES"/>
        </w:rPr>
        <w:tab/>
      </w:r>
    </w:p>
    <w:p w14:paraId="46FE08AD" w14:textId="77777777" w:rsidR="00E451D1" w:rsidRPr="00BC59E1" w:rsidRDefault="00E451D1" w:rsidP="00E451D1">
      <w:pPr>
        <w:spacing w:after="0" w:line="240" w:lineRule="auto"/>
        <w:rPr>
          <w:rFonts w:ascii="Verdana" w:hAnsi="Verdana" w:cs="Arial"/>
          <w:b/>
          <w:bCs/>
          <w:color w:val="000000"/>
          <w:lang w:val="pt-PT" w:eastAsia="es-ES_tradnl"/>
        </w:rPr>
      </w:pPr>
    </w:p>
    <w:p w14:paraId="1A9FB01D" w14:textId="77777777" w:rsidR="00E451D1" w:rsidRPr="00BC59E1" w:rsidRDefault="00E451D1" w:rsidP="00E451D1">
      <w:pPr>
        <w:spacing w:after="0" w:line="240" w:lineRule="auto"/>
        <w:rPr>
          <w:rFonts w:ascii="Verdana" w:hAnsi="Verdana" w:cs="Arial"/>
          <w:b/>
          <w:bCs/>
          <w:color w:val="000000"/>
          <w:lang w:val="pt-PT" w:eastAsia="es-ES_tradnl"/>
        </w:rPr>
      </w:pPr>
    </w:p>
    <w:tbl>
      <w:tblPr>
        <w:tblStyle w:val="Tablaconcuadrcula1"/>
        <w:tblW w:w="8789" w:type="dxa"/>
        <w:tblCellMar>
          <w:left w:w="0" w:type="dxa"/>
          <w:right w:w="0" w:type="dxa"/>
        </w:tblCellMar>
        <w:tblLook w:val="04A0" w:firstRow="1" w:lastRow="0" w:firstColumn="1" w:lastColumn="0" w:noHBand="0" w:noVBand="1"/>
      </w:tblPr>
      <w:tblGrid>
        <w:gridCol w:w="2689"/>
        <w:gridCol w:w="6100"/>
      </w:tblGrid>
      <w:tr w:rsidR="00E451D1" w:rsidRPr="00BC3A80" w14:paraId="47EAB865" w14:textId="77777777" w:rsidTr="003021E1">
        <w:trPr>
          <w:trHeight w:val="102"/>
        </w:trPr>
        <w:tc>
          <w:tcPr>
            <w:tcW w:w="2689" w:type="dxa"/>
          </w:tcPr>
          <w:p w14:paraId="7B340526" w14:textId="77777777" w:rsidR="00E451D1" w:rsidRPr="00BC59E1" w:rsidRDefault="00E451D1" w:rsidP="003021E1">
            <w:pPr>
              <w:jc w:val="both"/>
              <w:rPr>
                <w:rFonts w:ascii="Verdana" w:hAnsi="Verdana" w:cs="Arial"/>
                <w:b/>
                <w:bCs/>
                <w:color w:val="7030A0"/>
                <w:lang w:val="pt-PT" w:eastAsia="es-ES_tradnl"/>
              </w:rPr>
            </w:pPr>
          </w:p>
        </w:tc>
        <w:tc>
          <w:tcPr>
            <w:tcW w:w="6100" w:type="dxa"/>
          </w:tcPr>
          <w:p w14:paraId="15B680FD" w14:textId="77777777" w:rsidR="00E451D1" w:rsidRDefault="00E451D1" w:rsidP="003021E1">
            <w:pPr>
              <w:jc w:val="both"/>
              <w:rPr>
                <w:rFonts w:ascii="Verdana" w:hAnsi="Verdana" w:cs="Arial"/>
                <w:b/>
                <w:bCs/>
                <w:lang w:val="es-ES_tradnl" w:eastAsia="es-ES"/>
              </w:rPr>
            </w:pPr>
            <w:r w:rsidRPr="00BC3A80">
              <w:rPr>
                <w:rFonts w:ascii="Verdana" w:hAnsi="Verdana" w:cs="Arial"/>
                <w:b/>
                <w:bCs/>
                <w:lang w:val="es-ES_tradnl" w:eastAsia="es-ES"/>
              </w:rPr>
              <w:t xml:space="preserve">Concepto </w:t>
            </w:r>
            <w:r w:rsidRPr="00BC59E1">
              <w:rPr>
                <w:rFonts w:ascii="Verdana" w:hAnsi="Verdana" w:cs="Arial"/>
                <w:b/>
                <w:bCs/>
                <w:lang w:val="es-ES_tradnl" w:eastAsia="es-ES"/>
              </w:rPr>
              <w:t>C-1640</w:t>
            </w:r>
            <w:r w:rsidRPr="00BC3A80">
              <w:rPr>
                <w:rFonts w:ascii="Verdana" w:hAnsi="Verdana" w:cs="Arial"/>
                <w:b/>
                <w:bCs/>
                <w:lang w:val="es-ES_tradnl" w:eastAsia="es-ES"/>
              </w:rPr>
              <w:t xml:space="preserve"> de 2025</w:t>
            </w:r>
          </w:p>
          <w:p w14:paraId="157F18E5" w14:textId="77777777" w:rsidR="00E451D1" w:rsidRPr="00BC3A80" w:rsidRDefault="00E451D1" w:rsidP="003021E1">
            <w:pPr>
              <w:jc w:val="both"/>
              <w:rPr>
                <w:rFonts w:ascii="Verdana" w:hAnsi="Verdana" w:cs="Arial"/>
                <w:b/>
                <w:bCs/>
                <w:color w:val="7030A0"/>
                <w:lang w:val="es-ES_tradnl" w:eastAsia="es-ES"/>
              </w:rPr>
            </w:pPr>
          </w:p>
        </w:tc>
      </w:tr>
      <w:tr w:rsidR="00E451D1" w:rsidRPr="00BC3A80" w14:paraId="41F12F45" w14:textId="77777777" w:rsidTr="003021E1">
        <w:trPr>
          <w:trHeight w:val="884"/>
        </w:trPr>
        <w:tc>
          <w:tcPr>
            <w:tcW w:w="2689" w:type="dxa"/>
          </w:tcPr>
          <w:p w14:paraId="12B0E52B" w14:textId="77777777" w:rsidR="00E451D1" w:rsidRPr="00BC3A80" w:rsidRDefault="00E451D1" w:rsidP="003021E1">
            <w:pPr>
              <w:jc w:val="both"/>
              <w:rPr>
                <w:rFonts w:ascii="Verdana" w:hAnsi="Verdana" w:cs="Arial"/>
                <w:color w:val="000000"/>
                <w:lang w:val="es-ES_tradnl" w:eastAsia="es-ES_tradnl"/>
              </w:rPr>
            </w:pPr>
            <w:r w:rsidRPr="00BC3A80">
              <w:rPr>
                <w:rFonts w:ascii="Verdana" w:hAnsi="Verdana" w:cs="Arial"/>
                <w:b/>
                <w:color w:val="000000"/>
                <w:lang w:val="es-ES_tradnl" w:eastAsia="es-ES_tradnl"/>
              </w:rPr>
              <w:t>Temas:</w:t>
            </w:r>
            <w:r w:rsidRPr="00BC3A80">
              <w:rPr>
                <w:rFonts w:ascii="Verdana" w:hAnsi="Verdana" w:cs="Arial"/>
                <w:color w:val="000000"/>
                <w:lang w:val="es-ES_tradnl" w:eastAsia="es-ES_tradnl"/>
              </w:rPr>
              <w:t xml:space="preserve">                   </w:t>
            </w:r>
          </w:p>
        </w:tc>
        <w:tc>
          <w:tcPr>
            <w:tcW w:w="6100" w:type="dxa"/>
          </w:tcPr>
          <w:p w14:paraId="27545A5F" w14:textId="77777777" w:rsidR="00E451D1" w:rsidRPr="00BC3A80" w:rsidRDefault="00E451D1" w:rsidP="003021E1">
            <w:pPr>
              <w:spacing w:line="276" w:lineRule="auto"/>
              <w:jc w:val="both"/>
              <w:rPr>
                <w:rFonts w:ascii="Verdana" w:hAnsi="Verdana" w:cs="Arial"/>
                <w:lang w:eastAsia="es-ES_tradnl"/>
              </w:rPr>
            </w:pPr>
            <w:r w:rsidRPr="00BC3A80">
              <w:rPr>
                <w:rFonts w:ascii="Verdana" w:hAnsi="Verdana" w:cs="Arial"/>
                <w:lang w:val="es-ES" w:eastAsia="es-ES"/>
              </w:rPr>
              <w:t xml:space="preserve">LEY DE GARANTÍAS ELECTORALES – Finalidad / LEY DE GARANTÍAS ELECTORALES ‒ Restricciones ‒ Contratación ‒ Tipos de elección / LEY DE GARANTÍAS ELECTORALES ‒ Artículo 33 ‒ Ámbito material / LEY DE GARANTÍAS ELECTORALES ‒ Aplicación ‒ </w:t>
            </w:r>
            <w:r>
              <w:rPr>
                <w:rFonts w:ascii="Verdana" w:hAnsi="Verdana" w:cs="Arial"/>
                <w:lang w:val="es-ES" w:eastAsia="es-ES"/>
              </w:rPr>
              <w:t>E</w:t>
            </w:r>
            <w:r w:rsidRPr="00BC3A80">
              <w:rPr>
                <w:rFonts w:ascii="Verdana" w:hAnsi="Verdana" w:cs="Arial"/>
                <w:lang w:val="es-ES" w:eastAsia="es-ES"/>
              </w:rPr>
              <w:t xml:space="preserve">xcepciones ‒ Contratos de </w:t>
            </w:r>
            <w:r>
              <w:rPr>
                <w:rFonts w:ascii="Verdana" w:hAnsi="Verdana" w:cs="Arial"/>
                <w:lang w:val="es-ES" w:eastAsia="es-ES"/>
              </w:rPr>
              <w:t>prestación de servicios y/o apoyo a la gestión</w:t>
            </w:r>
            <w:r>
              <w:t xml:space="preserve"> </w:t>
            </w:r>
            <w:r w:rsidRPr="006D4F64">
              <w:rPr>
                <w:rFonts w:ascii="Verdana" w:hAnsi="Verdana" w:cs="Arial"/>
                <w:lang w:val="es-ES" w:eastAsia="es-ES"/>
              </w:rPr>
              <w:t>profesionales</w:t>
            </w:r>
            <w:r>
              <w:rPr>
                <w:rFonts w:ascii="Verdana" w:hAnsi="Verdana" w:cs="Arial"/>
                <w:lang w:val="es-ES" w:eastAsia="es-ES"/>
              </w:rPr>
              <w:t xml:space="preserve"> </w:t>
            </w:r>
            <w:r w:rsidRPr="00BC3A80">
              <w:rPr>
                <w:rFonts w:ascii="Verdana" w:hAnsi="Verdana" w:cs="Arial"/>
                <w:lang w:val="es-ES" w:eastAsia="es-ES"/>
              </w:rPr>
              <w:t xml:space="preserve">/ </w:t>
            </w:r>
            <w:r w:rsidRPr="00BC3A80">
              <w:rPr>
                <w:rFonts w:ascii="Verdana" w:hAnsi="Verdana" w:cs="Arial"/>
                <w:lang w:eastAsia="es-ES_tradnl"/>
              </w:rPr>
              <w:t>CONVENIOS</w:t>
            </w:r>
            <w:r>
              <w:rPr>
                <w:rFonts w:ascii="Verdana" w:hAnsi="Verdana" w:cs="Arial"/>
                <w:lang w:eastAsia="es-ES_tradnl"/>
              </w:rPr>
              <w:t xml:space="preserve"> </w:t>
            </w:r>
            <w:r w:rsidRPr="00BC3A80">
              <w:rPr>
                <w:rFonts w:ascii="Verdana" w:hAnsi="Verdana" w:cs="Arial"/>
                <w:lang w:eastAsia="es-ES_tradnl"/>
              </w:rPr>
              <w:t>INTERADMINISTRATIVOS – Criterio orgánico / CONTRATOS Y CONVENIOS INTERADMINISTRATIVOS – Circular Externa Única – Autos de suspensión – Consejo de Estado</w:t>
            </w:r>
          </w:p>
          <w:p w14:paraId="6A1BA761" w14:textId="77777777" w:rsidR="00E451D1" w:rsidRPr="00BC3A80" w:rsidRDefault="00E451D1" w:rsidP="003021E1">
            <w:pPr>
              <w:spacing w:line="276" w:lineRule="auto"/>
              <w:jc w:val="both"/>
              <w:rPr>
                <w:rFonts w:ascii="Verdana" w:eastAsia="Arial" w:hAnsi="Verdana" w:cs="Arial"/>
                <w:bCs/>
                <w:color w:val="000000" w:themeColor="text1"/>
              </w:rPr>
            </w:pPr>
          </w:p>
        </w:tc>
      </w:tr>
      <w:tr w:rsidR="00E451D1" w:rsidRPr="00BC3A80" w14:paraId="326CEBD1" w14:textId="77777777" w:rsidTr="003021E1">
        <w:tc>
          <w:tcPr>
            <w:tcW w:w="2689" w:type="dxa"/>
          </w:tcPr>
          <w:p w14:paraId="5CAF4DA5" w14:textId="77777777" w:rsidR="00E451D1" w:rsidRPr="00BC3A80" w:rsidRDefault="00E451D1" w:rsidP="003021E1">
            <w:pPr>
              <w:jc w:val="both"/>
              <w:rPr>
                <w:rFonts w:ascii="Verdana" w:hAnsi="Verdana" w:cs="Arial"/>
                <w:b/>
                <w:lang w:val="es-ES_tradnl" w:eastAsia="es-ES_tradnl"/>
              </w:rPr>
            </w:pPr>
            <w:r w:rsidRPr="00BC3A80">
              <w:rPr>
                <w:rFonts w:ascii="Verdana" w:hAnsi="Verdana" w:cs="Arial"/>
                <w:b/>
                <w:lang w:val="es-ES_tradnl" w:eastAsia="es-ES_tradnl"/>
              </w:rPr>
              <w:t>Radicación:</w:t>
            </w:r>
            <w:r w:rsidRPr="00BC3A80">
              <w:rPr>
                <w:rFonts w:ascii="Verdana" w:hAnsi="Verdana" w:cs="Arial"/>
                <w:lang w:val="es-ES_tradnl" w:eastAsia="es-ES_tradnl"/>
              </w:rPr>
              <w:t xml:space="preserve">               </w:t>
            </w:r>
          </w:p>
        </w:tc>
        <w:tc>
          <w:tcPr>
            <w:tcW w:w="6100" w:type="dxa"/>
          </w:tcPr>
          <w:p w14:paraId="4C429C24" w14:textId="0F56F143" w:rsidR="00E451D1" w:rsidRPr="00BC3A80" w:rsidRDefault="00E451D1" w:rsidP="003021E1">
            <w:pPr>
              <w:spacing w:line="276" w:lineRule="auto"/>
              <w:jc w:val="both"/>
              <w:rPr>
                <w:rFonts w:ascii="Verdana" w:hAnsi="Verdana" w:cs="Arial"/>
                <w:lang w:val="es-ES_tradnl" w:eastAsia="es-ES_tradnl"/>
              </w:rPr>
            </w:pPr>
            <w:r w:rsidRPr="00BC3A80">
              <w:rPr>
                <w:rFonts w:ascii="Verdana" w:hAnsi="Verdana" w:cs="Arial"/>
                <w:lang w:val="es-ES_tradnl" w:eastAsia="es-ES_tradnl"/>
              </w:rPr>
              <w:t>Respuesta a la consulta con radicado No.</w:t>
            </w:r>
            <w:r w:rsidR="00214C01">
              <w:rPr>
                <w:rFonts w:ascii="Verdana" w:hAnsi="Verdana" w:cs="Arial"/>
                <w:lang w:val="es-ES_tradnl" w:eastAsia="es-ES_tradnl"/>
              </w:rPr>
              <w:t xml:space="preserve"> </w:t>
            </w:r>
            <w:r w:rsidR="00214C01" w:rsidRPr="00214C01">
              <w:rPr>
                <w:rFonts w:ascii="Verdana" w:hAnsi="Verdana" w:cs="Arial"/>
                <w:lang w:val="es-ES_tradnl" w:eastAsia="es-ES_tradnl"/>
              </w:rPr>
              <w:t>1_2025_11_06_012546</w:t>
            </w:r>
          </w:p>
        </w:tc>
      </w:tr>
    </w:tbl>
    <w:p w14:paraId="179F897E" w14:textId="77777777" w:rsidR="00E451D1" w:rsidRPr="00BC3A80" w:rsidRDefault="00E451D1" w:rsidP="00E451D1">
      <w:pPr>
        <w:spacing w:after="0" w:line="276" w:lineRule="auto"/>
        <w:jc w:val="both"/>
        <w:rPr>
          <w:rFonts w:ascii="Verdana" w:hAnsi="Verdana" w:cs="Arial"/>
          <w:color w:val="000000"/>
          <w:lang w:val="es-ES_tradnl" w:eastAsia="es-ES_tradnl"/>
        </w:rPr>
      </w:pPr>
    </w:p>
    <w:p w14:paraId="5E6A7512" w14:textId="77777777" w:rsidR="00E451D1" w:rsidRPr="00BC3A80" w:rsidRDefault="00E451D1" w:rsidP="00E451D1">
      <w:pPr>
        <w:spacing w:after="0" w:line="276" w:lineRule="auto"/>
        <w:jc w:val="both"/>
        <w:rPr>
          <w:rFonts w:ascii="Verdana" w:hAnsi="Verdana" w:cs="Arial"/>
          <w:color w:val="000000"/>
          <w:lang w:val="es-ES_tradnl" w:eastAsia="es-ES_tradnl"/>
        </w:rPr>
      </w:pPr>
    </w:p>
    <w:p w14:paraId="351A2CA0" w14:textId="77777777" w:rsidR="00E451D1" w:rsidRPr="00BC3A80" w:rsidRDefault="00E451D1" w:rsidP="00E451D1">
      <w:pPr>
        <w:spacing w:after="0" w:line="276" w:lineRule="auto"/>
        <w:jc w:val="both"/>
        <w:rPr>
          <w:rFonts w:ascii="Verdana" w:hAnsi="Verdana" w:cs="Arial"/>
          <w:lang w:val="es-ES" w:eastAsia="es-ES"/>
        </w:rPr>
      </w:pPr>
      <w:r w:rsidRPr="3FEFEF27">
        <w:rPr>
          <w:rFonts w:ascii="Verdana" w:hAnsi="Verdana" w:cs="Arial"/>
          <w:lang w:val="es-ES" w:eastAsia="es-ES"/>
        </w:rPr>
        <w:t xml:space="preserve">Estimado señor </w:t>
      </w:r>
      <w:proofErr w:type="spellStart"/>
      <w:r w:rsidRPr="3FEFEF27">
        <w:rPr>
          <w:rFonts w:ascii="Verdana" w:hAnsi="Verdana" w:cs="Arial"/>
          <w:lang w:val="es-ES" w:eastAsia="es-ES"/>
        </w:rPr>
        <w:t>Florez</w:t>
      </w:r>
      <w:proofErr w:type="spellEnd"/>
      <w:r w:rsidRPr="3FEFEF27">
        <w:rPr>
          <w:rFonts w:ascii="Verdana" w:hAnsi="Verdana" w:cs="Arial"/>
          <w:lang w:val="es-ES" w:eastAsia="es-ES"/>
        </w:rPr>
        <w:t xml:space="preserve">: </w:t>
      </w:r>
    </w:p>
    <w:p w14:paraId="482EBDFB" w14:textId="77777777" w:rsidR="00E451D1" w:rsidRPr="00BC3A80" w:rsidRDefault="00E451D1" w:rsidP="00E451D1">
      <w:pPr>
        <w:tabs>
          <w:tab w:val="left" w:pos="3768"/>
        </w:tabs>
        <w:spacing w:after="0" w:line="276" w:lineRule="auto"/>
        <w:jc w:val="both"/>
        <w:rPr>
          <w:rFonts w:ascii="Verdana" w:hAnsi="Verdana" w:cs="Arial"/>
          <w:color w:val="000000" w:themeColor="text1"/>
          <w:lang w:val="es-ES_tradnl" w:eastAsia="es-ES"/>
        </w:rPr>
      </w:pPr>
      <w:r w:rsidRPr="00BC3A80">
        <w:rPr>
          <w:rFonts w:ascii="Verdana" w:hAnsi="Verdana" w:cs="Arial"/>
          <w:color w:val="000000" w:themeColor="text1"/>
          <w:lang w:val="es-ES_tradnl" w:eastAsia="es-ES"/>
        </w:rPr>
        <w:tab/>
      </w:r>
    </w:p>
    <w:p w14:paraId="443B2771" w14:textId="77777777" w:rsidR="00E451D1" w:rsidRPr="00BC3A80" w:rsidRDefault="00E451D1" w:rsidP="00E451D1">
      <w:pPr>
        <w:spacing w:after="0" w:line="276" w:lineRule="auto"/>
        <w:jc w:val="both"/>
        <w:rPr>
          <w:rFonts w:ascii="Verdana" w:hAnsi="Verdana" w:cs="Arial"/>
          <w:color w:val="7030A0"/>
          <w:lang w:val="es-ES_tradnl" w:eastAsia="es-ES"/>
        </w:rPr>
      </w:pPr>
      <w:r w:rsidRPr="00BC3A80">
        <w:rPr>
          <w:rFonts w:ascii="Verdana" w:hAnsi="Verdana" w:cs="Arial"/>
          <w:color w:val="000000" w:themeColor="text1"/>
          <w:lang w:val="es-ES_tradnl" w:eastAsia="es-ES"/>
        </w:rPr>
        <w:lastRenderedPageBreak/>
        <w:t>En ejercicio de la competencia otorgada por los artículos 3, numeral 5º, y 11, numeral 8º, del Decreto Ley 4170 de 2011,</w:t>
      </w:r>
      <w:r w:rsidRPr="00BC3A80">
        <w:rPr>
          <w:rFonts w:ascii="Verdana" w:eastAsia="Arial MT" w:hAnsi="Verdana" w:cs="Arial MT"/>
          <w:lang w:val="es-ES_tradnl" w:eastAsia="es-ES"/>
        </w:rPr>
        <w:t xml:space="preserve"> </w:t>
      </w:r>
      <w:r w:rsidRPr="00BC3A80">
        <w:rPr>
          <w:rFonts w:ascii="Verdana" w:hAnsi="Verdana" w:cs="Arial"/>
          <w:lang w:val="es-ES_tradnl"/>
        </w:rPr>
        <w:t>así como lo establecido en</w:t>
      </w:r>
      <w:r w:rsidRPr="00BC3A80">
        <w:rPr>
          <w:rFonts w:ascii="Verdana" w:hAnsi="Verdana" w:cs="Arial"/>
        </w:rPr>
        <w:t xml:space="preserve"> la Resolución 469 de 2025 expedida por esta Entidad</w:t>
      </w:r>
      <w:r w:rsidRPr="00BC3A80">
        <w:rPr>
          <w:rFonts w:ascii="Verdana" w:hAnsi="Verdana" w:cs="Arial"/>
          <w:lang w:val="es-ES_tradnl"/>
        </w:rPr>
        <w:t xml:space="preserve">, </w:t>
      </w:r>
      <w:r w:rsidRPr="00BC3A80">
        <w:rPr>
          <w:rFonts w:ascii="Verdana" w:hAnsi="Verdana" w:cs="Arial"/>
          <w:color w:val="000000" w:themeColor="text1"/>
          <w:lang w:val="es-ES_tradnl" w:eastAsia="es-ES"/>
        </w:rPr>
        <w:t>la Agencia Nacional de Contratación Pública – Colombia Compra Eficiente responde su solicitud de consulta</w:t>
      </w:r>
      <w:r>
        <w:rPr>
          <w:rFonts w:ascii="Verdana" w:hAnsi="Verdana" w:cs="Arial"/>
          <w:color w:val="000000" w:themeColor="text1"/>
          <w:lang w:val="es-ES_tradnl" w:eastAsia="es-ES"/>
        </w:rPr>
        <w:t xml:space="preserve"> de fecha 06 de noviembre de 2025</w:t>
      </w:r>
      <w:r>
        <w:rPr>
          <w:rFonts w:ascii="Verdana" w:hAnsi="Verdana" w:cs="Arial"/>
          <w:lang w:val="es-ES_tradnl" w:eastAsia="es-ES"/>
        </w:rPr>
        <w:t>,</w:t>
      </w:r>
      <w:r w:rsidRPr="00BC3A80">
        <w:rPr>
          <w:rFonts w:ascii="Verdana" w:hAnsi="Verdana" w:cs="Arial"/>
          <w:lang w:val="es-ES_tradnl" w:eastAsia="es-ES"/>
        </w:rPr>
        <w:t xml:space="preserve"> respecto de la aplicación de la Ley de Garantías Electorales en la contratación </w:t>
      </w:r>
      <w:r>
        <w:rPr>
          <w:rFonts w:ascii="Verdana" w:hAnsi="Verdana" w:cs="Arial"/>
          <w:lang w:val="es-ES_tradnl" w:eastAsia="es-ES"/>
        </w:rPr>
        <w:t>directa y la celebración de convenios y contratos, donde</w:t>
      </w:r>
      <w:r w:rsidRPr="00BC3A80">
        <w:rPr>
          <w:rFonts w:ascii="Verdana" w:hAnsi="Verdana" w:cs="Arial"/>
          <w:lang w:val="es-ES_tradnl" w:eastAsia="es-ES"/>
        </w:rPr>
        <w:t xml:space="preserve"> manifiesta lo siguiente: </w:t>
      </w:r>
    </w:p>
    <w:p w14:paraId="2C64EB0D" w14:textId="77777777" w:rsidR="00E451D1" w:rsidRPr="00BC3A80" w:rsidRDefault="00E451D1" w:rsidP="00E451D1">
      <w:pPr>
        <w:tabs>
          <w:tab w:val="left" w:pos="142"/>
          <w:tab w:val="left" w:pos="284"/>
        </w:tabs>
        <w:spacing w:after="0" w:line="276" w:lineRule="auto"/>
        <w:jc w:val="both"/>
        <w:rPr>
          <w:rFonts w:ascii="Verdana" w:eastAsia="Century Gothic" w:hAnsi="Verdana" w:cs="Century Gothic"/>
          <w:b/>
          <w:bCs/>
          <w:lang w:val="es-ES_tradnl"/>
        </w:rPr>
      </w:pPr>
    </w:p>
    <w:p w14:paraId="369A12C3" w14:textId="77777777" w:rsidR="00E451D1" w:rsidRPr="00BC59E1" w:rsidRDefault="00E451D1" w:rsidP="00E451D1">
      <w:pPr>
        <w:spacing w:after="0" w:line="240" w:lineRule="auto"/>
        <w:ind w:left="709" w:right="709"/>
        <w:jc w:val="both"/>
        <w:rPr>
          <w:rFonts w:ascii="Verdana" w:eastAsia="Century Gothic" w:hAnsi="Verdana" w:cs="Century Gothic"/>
          <w:sz w:val="20"/>
          <w:szCs w:val="20"/>
        </w:rPr>
      </w:pPr>
      <w:bookmarkStart w:id="1" w:name="_Hlk95313578"/>
      <w:r w:rsidRPr="00BC3A80">
        <w:rPr>
          <w:rFonts w:ascii="Verdana" w:eastAsia="Century Gothic" w:hAnsi="Verdana" w:cs="Century Gothic"/>
          <w:sz w:val="20"/>
          <w:szCs w:val="20"/>
          <w:lang w:val="es-ES"/>
        </w:rPr>
        <w:t>“</w:t>
      </w:r>
      <w:bookmarkEnd w:id="1"/>
      <w:r>
        <w:rPr>
          <w:rFonts w:ascii="Verdana" w:eastAsia="Century Gothic" w:hAnsi="Verdana" w:cs="Century Gothic"/>
          <w:sz w:val="20"/>
          <w:szCs w:val="20"/>
          <w:lang w:val="es-ES"/>
        </w:rPr>
        <w:t xml:space="preserve">[…] </w:t>
      </w:r>
    </w:p>
    <w:p w14:paraId="4FCE8FCA" w14:textId="77777777" w:rsidR="00E451D1" w:rsidRPr="00BC59E1" w:rsidRDefault="00E451D1" w:rsidP="00E451D1">
      <w:pPr>
        <w:spacing w:after="0" w:line="240" w:lineRule="auto"/>
        <w:ind w:left="709" w:right="709"/>
        <w:jc w:val="both"/>
        <w:rPr>
          <w:rFonts w:ascii="Verdana" w:eastAsia="Century Gothic" w:hAnsi="Verdana" w:cs="Century Gothic"/>
          <w:sz w:val="20"/>
          <w:szCs w:val="20"/>
        </w:rPr>
      </w:pPr>
    </w:p>
    <w:p w14:paraId="426F2721" w14:textId="77777777" w:rsidR="00E451D1" w:rsidRPr="00BC59E1" w:rsidRDefault="00E451D1" w:rsidP="00E451D1">
      <w:pPr>
        <w:spacing w:after="0" w:line="240" w:lineRule="auto"/>
        <w:ind w:left="709" w:right="709"/>
        <w:jc w:val="both"/>
        <w:rPr>
          <w:rFonts w:ascii="Verdana" w:eastAsia="Century Gothic" w:hAnsi="Verdana" w:cs="Century Gothic"/>
          <w:sz w:val="20"/>
          <w:szCs w:val="20"/>
        </w:rPr>
      </w:pPr>
      <w:r w:rsidRPr="00BC59E1">
        <w:rPr>
          <w:rFonts w:ascii="Verdana" w:eastAsia="Century Gothic" w:hAnsi="Verdana" w:cs="Century Gothic"/>
          <w:sz w:val="20"/>
          <w:szCs w:val="20"/>
        </w:rPr>
        <w:t xml:space="preserve">Teniendo en cuenta la naturaleza jurídica de ALDESARROLLO, ¿a cuál régimen de aplicación de la Ley de Garantías debe sujetarse la entidad: el correspondiente al orden nacional o al orden territorial? </w:t>
      </w:r>
    </w:p>
    <w:p w14:paraId="3D3CE24C" w14:textId="77777777" w:rsidR="00E451D1" w:rsidRDefault="00E451D1" w:rsidP="00E451D1">
      <w:pPr>
        <w:spacing w:after="0" w:line="240" w:lineRule="auto"/>
        <w:ind w:left="709" w:right="709"/>
        <w:jc w:val="both"/>
        <w:rPr>
          <w:rFonts w:ascii="Verdana" w:eastAsia="Century Gothic" w:hAnsi="Verdana" w:cs="Century Gothic"/>
          <w:sz w:val="20"/>
          <w:szCs w:val="20"/>
        </w:rPr>
      </w:pPr>
    </w:p>
    <w:p w14:paraId="63C2581F" w14:textId="77777777" w:rsidR="00E451D1" w:rsidRDefault="00E451D1" w:rsidP="00E451D1">
      <w:pPr>
        <w:spacing w:after="0" w:line="240" w:lineRule="auto"/>
        <w:ind w:left="709" w:right="709"/>
        <w:jc w:val="both"/>
        <w:rPr>
          <w:rFonts w:ascii="Verdana" w:eastAsia="Century Gothic" w:hAnsi="Verdana" w:cs="Century Gothic"/>
          <w:sz w:val="20"/>
          <w:szCs w:val="20"/>
        </w:rPr>
      </w:pPr>
      <w:r w:rsidRPr="00BC59E1">
        <w:rPr>
          <w:rFonts w:ascii="Verdana" w:eastAsia="Century Gothic" w:hAnsi="Verdana" w:cs="Century Gothic"/>
          <w:sz w:val="20"/>
          <w:szCs w:val="20"/>
        </w:rPr>
        <w:t xml:space="preserve">¿A partir de qué momento y hasta cuándo rige la restricción para la celebración de contratos y convenios interadministrativos en nuestro caso? </w:t>
      </w:r>
    </w:p>
    <w:p w14:paraId="31BB8749" w14:textId="77777777" w:rsidR="00E451D1" w:rsidRDefault="00E451D1" w:rsidP="00E451D1">
      <w:pPr>
        <w:spacing w:after="0" w:line="240" w:lineRule="auto"/>
        <w:ind w:left="709" w:right="709"/>
        <w:jc w:val="both"/>
        <w:rPr>
          <w:rFonts w:ascii="Verdana" w:eastAsia="Century Gothic" w:hAnsi="Verdana" w:cs="Century Gothic"/>
          <w:sz w:val="20"/>
          <w:szCs w:val="20"/>
        </w:rPr>
      </w:pPr>
    </w:p>
    <w:p w14:paraId="0241D630" w14:textId="77777777" w:rsidR="00E451D1" w:rsidRDefault="00E451D1" w:rsidP="00E451D1">
      <w:pPr>
        <w:spacing w:after="0" w:line="240" w:lineRule="auto"/>
        <w:ind w:left="709" w:right="709"/>
        <w:jc w:val="both"/>
        <w:rPr>
          <w:rFonts w:ascii="Verdana" w:eastAsia="Century Gothic" w:hAnsi="Verdana" w:cs="Century Gothic"/>
          <w:sz w:val="20"/>
          <w:szCs w:val="20"/>
        </w:rPr>
      </w:pPr>
      <w:r w:rsidRPr="00BC59E1">
        <w:rPr>
          <w:rFonts w:ascii="Verdana" w:eastAsia="Century Gothic" w:hAnsi="Verdana" w:cs="Century Gothic"/>
          <w:sz w:val="20"/>
          <w:szCs w:val="20"/>
        </w:rPr>
        <w:t xml:space="preserve">¿Está ALDESARROLLO sometida a las limitaciones del artículo 38 de la Ley 996 de 2005 respecto de la celebración directa de convenios o contratos, aun cuando su naturaleza académica y descentralizada le confiere autonomía universitaria? </w:t>
      </w:r>
    </w:p>
    <w:p w14:paraId="32C29AAC" w14:textId="77777777" w:rsidR="00E451D1" w:rsidRDefault="00E451D1" w:rsidP="00E451D1">
      <w:pPr>
        <w:spacing w:after="0" w:line="240" w:lineRule="auto"/>
        <w:ind w:left="709" w:right="709"/>
        <w:jc w:val="both"/>
        <w:rPr>
          <w:rFonts w:ascii="Verdana" w:eastAsia="Century Gothic" w:hAnsi="Verdana" w:cs="Century Gothic"/>
          <w:sz w:val="20"/>
          <w:szCs w:val="20"/>
        </w:rPr>
      </w:pPr>
    </w:p>
    <w:p w14:paraId="6EB48AE8" w14:textId="77777777" w:rsidR="00E451D1" w:rsidRDefault="00E451D1" w:rsidP="00E451D1">
      <w:pPr>
        <w:spacing w:after="0" w:line="240" w:lineRule="auto"/>
        <w:ind w:left="709" w:right="709"/>
        <w:jc w:val="both"/>
        <w:rPr>
          <w:rFonts w:ascii="Verdana" w:eastAsia="Century Gothic" w:hAnsi="Verdana" w:cs="Century Gothic"/>
          <w:sz w:val="20"/>
          <w:szCs w:val="20"/>
        </w:rPr>
      </w:pPr>
      <w:r w:rsidRPr="00BC59E1">
        <w:rPr>
          <w:rFonts w:ascii="Verdana" w:eastAsia="Century Gothic" w:hAnsi="Verdana" w:cs="Century Gothic"/>
          <w:sz w:val="20"/>
          <w:szCs w:val="20"/>
        </w:rPr>
        <w:t xml:space="preserve">¿Podría considerarse que los convenios / contratos interadministrativos celebrados en ejecución de proyectos de ciencia, tecnología e innovación se encuentran exceptuados de la restricción por su finalidad misional y no proselitista? </w:t>
      </w:r>
    </w:p>
    <w:p w14:paraId="1F41CFA2" w14:textId="77777777" w:rsidR="00E451D1" w:rsidRDefault="00E451D1" w:rsidP="00E451D1">
      <w:pPr>
        <w:spacing w:after="0" w:line="240" w:lineRule="auto"/>
        <w:ind w:left="709" w:right="709"/>
        <w:jc w:val="both"/>
        <w:rPr>
          <w:rFonts w:ascii="Verdana" w:eastAsia="Century Gothic" w:hAnsi="Verdana" w:cs="Century Gothic"/>
          <w:sz w:val="20"/>
          <w:szCs w:val="20"/>
        </w:rPr>
      </w:pPr>
    </w:p>
    <w:p w14:paraId="3AC73C50" w14:textId="77777777" w:rsidR="00E451D1" w:rsidRDefault="00E451D1" w:rsidP="00E451D1">
      <w:pPr>
        <w:spacing w:after="0" w:line="240" w:lineRule="auto"/>
        <w:ind w:left="709" w:right="709"/>
        <w:jc w:val="both"/>
        <w:rPr>
          <w:rFonts w:ascii="Verdana" w:eastAsia="Century Gothic" w:hAnsi="Verdana" w:cs="Century Gothic"/>
          <w:sz w:val="20"/>
          <w:szCs w:val="20"/>
        </w:rPr>
      </w:pPr>
      <w:r w:rsidRPr="00BC59E1">
        <w:rPr>
          <w:rFonts w:ascii="Verdana" w:eastAsia="Century Gothic" w:hAnsi="Verdana" w:cs="Century Gothic"/>
          <w:sz w:val="20"/>
          <w:szCs w:val="20"/>
        </w:rPr>
        <w:t xml:space="preserve">¿Cómo debe registrarse o justificar en el SECOP o en los sistemas de contratación el tipo de vínculo contractual que ALDESARROLLO puede celebrar durante la vigencia de la Ley de Garantías? </w:t>
      </w:r>
    </w:p>
    <w:p w14:paraId="0861A753" w14:textId="77777777" w:rsidR="00E451D1" w:rsidRDefault="00E451D1" w:rsidP="00E451D1">
      <w:pPr>
        <w:spacing w:after="0" w:line="240" w:lineRule="auto"/>
        <w:ind w:left="709" w:right="709"/>
        <w:jc w:val="both"/>
        <w:rPr>
          <w:rFonts w:ascii="Verdana" w:eastAsia="Century Gothic" w:hAnsi="Verdana" w:cs="Century Gothic"/>
          <w:sz w:val="20"/>
          <w:szCs w:val="20"/>
        </w:rPr>
      </w:pPr>
    </w:p>
    <w:p w14:paraId="255CE1F6" w14:textId="77777777" w:rsidR="00E451D1" w:rsidRPr="00BC59E1" w:rsidRDefault="00E451D1" w:rsidP="00E451D1">
      <w:pPr>
        <w:spacing w:after="0" w:line="240" w:lineRule="auto"/>
        <w:ind w:left="709" w:right="709"/>
        <w:jc w:val="both"/>
        <w:rPr>
          <w:rFonts w:ascii="Verdana" w:eastAsia="Century Gothic" w:hAnsi="Verdana" w:cs="Century Gothic"/>
          <w:sz w:val="20"/>
          <w:szCs w:val="20"/>
        </w:rPr>
      </w:pPr>
      <w:r w:rsidRPr="00BC59E1">
        <w:rPr>
          <w:rFonts w:ascii="Verdana" w:eastAsia="Century Gothic" w:hAnsi="Verdana" w:cs="Century Gothic"/>
          <w:sz w:val="20"/>
          <w:szCs w:val="20"/>
        </w:rPr>
        <w:t xml:space="preserve">¿Qué tipo de documentación o soporte se recomienda conservar para efectos de control preventivo por los entes de vigilancia? </w:t>
      </w:r>
    </w:p>
    <w:p w14:paraId="775566CA" w14:textId="77777777" w:rsidR="00E451D1" w:rsidRPr="00BC59E1" w:rsidRDefault="00E451D1" w:rsidP="00E451D1">
      <w:pPr>
        <w:spacing w:after="0" w:line="240" w:lineRule="auto"/>
        <w:ind w:left="709" w:right="709"/>
        <w:jc w:val="both"/>
        <w:rPr>
          <w:rFonts w:ascii="Verdana" w:eastAsia="Century Gothic" w:hAnsi="Verdana" w:cs="Century Gothic"/>
          <w:sz w:val="20"/>
          <w:szCs w:val="20"/>
        </w:rPr>
      </w:pPr>
    </w:p>
    <w:p w14:paraId="22555E14" w14:textId="77777777" w:rsidR="00E451D1" w:rsidRPr="00BC59E1" w:rsidRDefault="00E451D1" w:rsidP="00E451D1">
      <w:pPr>
        <w:spacing w:after="0" w:line="240" w:lineRule="auto"/>
        <w:ind w:left="709" w:right="709"/>
        <w:jc w:val="both"/>
        <w:rPr>
          <w:rFonts w:ascii="Verdana" w:eastAsia="Century Gothic" w:hAnsi="Verdana" w:cs="Century Gothic"/>
          <w:sz w:val="20"/>
          <w:szCs w:val="20"/>
        </w:rPr>
      </w:pPr>
      <w:r>
        <w:rPr>
          <w:rFonts w:ascii="Verdana" w:eastAsia="Century Gothic" w:hAnsi="Verdana" w:cs="Century Gothic"/>
          <w:sz w:val="20"/>
          <w:szCs w:val="20"/>
        </w:rPr>
        <w:t>[…]</w:t>
      </w:r>
    </w:p>
    <w:p w14:paraId="4006E122" w14:textId="77777777" w:rsidR="00E451D1" w:rsidRPr="00BC3A80" w:rsidRDefault="00E451D1" w:rsidP="00E451D1">
      <w:pPr>
        <w:tabs>
          <w:tab w:val="left" w:pos="142"/>
          <w:tab w:val="left" w:pos="284"/>
        </w:tabs>
        <w:spacing w:after="0" w:line="276" w:lineRule="auto"/>
        <w:contextualSpacing/>
        <w:jc w:val="both"/>
        <w:rPr>
          <w:rFonts w:ascii="Verdana" w:eastAsia="Century Gothic" w:hAnsi="Verdana" w:cs="Century Gothic"/>
          <w:b/>
          <w:bCs/>
          <w:lang w:val="es-ES_tradnl"/>
        </w:rPr>
      </w:pPr>
    </w:p>
    <w:p w14:paraId="62F7B435" w14:textId="77777777" w:rsidR="00E451D1" w:rsidRPr="00BC3A80" w:rsidRDefault="00E451D1" w:rsidP="00E451D1">
      <w:pPr>
        <w:spacing w:after="120" w:line="276" w:lineRule="auto"/>
        <w:ind w:firstLine="709"/>
        <w:jc w:val="both"/>
        <w:rPr>
          <w:rFonts w:ascii="Verdana" w:hAnsi="Verdana" w:cs="Arial"/>
          <w:color w:val="000000"/>
          <w:lang w:val="es-ES" w:eastAsia="es-ES"/>
        </w:rPr>
      </w:pPr>
      <w:r w:rsidRPr="00BC3A80">
        <w:rPr>
          <w:rFonts w:ascii="Verdana" w:hAnsi="Verdana" w:cs="Arial"/>
          <w:color w:val="000000" w:themeColor="text1"/>
          <w:lang w:val="es-ES" w:eastAsia="es-ES"/>
        </w:rPr>
        <w:t xml:space="preserve">De manera preliminar, resulta necesario acotar que esta entidad sólo tiene competencia para responder consultas sobre la aplicación de normas de carácter general en materia de compras y contratación pública. En ese sentido, resolver casos particulares desborda las atribuciones asignadas por el legislador extraordinario, que no concibió a </w:t>
      </w:r>
      <w:r>
        <w:rPr>
          <w:rFonts w:ascii="Verdana" w:hAnsi="Verdana" w:cs="Arial"/>
          <w:color w:val="000000" w:themeColor="text1"/>
          <w:lang w:val="es-ES" w:eastAsia="es-ES"/>
        </w:rPr>
        <w:t xml:space="preserve">la Agencia Nacional de Contratación Pública – </w:t>
      </w:r>
      <w:r w:rsidRPr="00BC3A80">
        <w:rPr>
          <w:rFonts w:ascii="Verdana" w:hAnsi="Verdana" w:cs="Arial"/>
          <w:color w:val="000000" w:themeColor="text1"/>
          <w:lang w:val="es-ES" w:eastAsia="es-ES"/>
        </w:rPr>
        <w:lastRenderedPageBreak/>
        <w:t xml:space="preserve">Colombia Compra Eficiente como una autoridad para solucionar problemas jurídicos concretos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BC3A80">
        <w:tab/>
      </w:r>
    </w:p>
    <w:p w14:paraId="53C953CF" w14:textId="77777777" w:rsidR="00E451D1" w:rsidRPr="00BC3A80" w:rsidRDefault="00E451D1" w:rsidP="00E451D1">
      <w:pPr>
        <w:spacing w:after="0" w:line="276" w:lineRule="auto"/>
        <w:ind w:firstLine="709"/>
        <w:jc w:val="both"/>
        <w:rPr>
          <w:rFonts w:ascii="Verdana" w:hAnsi="Verdana" w:cs="Arial"/>
          <w:color w:val="000000"/>
          <w:lang w:val="es-ES_tradnl" w:eastAsia="es-ES"/>
        </w:rPr>
      </w:pPr>
      <w:r w:rsidRPr="00BC3A80">
        <w:rPr>
          <w:rFonts w:ascii="Verdana" w:hAnsi="Verdana" w:cs="Arial"/>
          <w:color w:val="000000"/>
          <w:lang w:val="es-ES_tradnl" w:eastAsia="es-ES"/>
        </w:rPr>
        <w:t>Conforme lo expuesto, en aras de satisfacer el derecho fundamental de petición se resolverá su consulta dentro de los límites de la referida competencia consultiva, esto es, haciendo abstracción de las circunstancias específicas que la haya motivado, pero haciendo unas consideraciones sobre las normas generales relacionadas con el</w:t>
      </w:r>
      <w:r w:rsidRPr="00BC3A80">
        <w:rPr>
          <w:rFonts w:ascii="Verdana" w:hAnsi="Verdana" w:cs="Arial"/>
          <w:color w:val="7030A0"/>
          <w:lang w:val="es-ES_tradnl" w:eastAsia="es-ES"/>
        </w:rPr>
        <w:t xml:space="preserve"> </w:t>
      </w:r>
      <w:r w:rsidRPr="00BC3A80">
        <w:rPr>
          <w:rFonts w:ascii="Verdana" w:hAnsi="Verdana" w:cs="Arial"/>
          <w:color w:val="000000"/>
          <w:lang w:val="es-ES_tradnl" w:eastAsia="es-ES"/>
        </w:rPr>
        <w:t>problema</w:t>
      </w:r>
      <w:r w:rsidRPr="00BC3A80">
        <w:rPr>
          <w:rFonts w:ascii="Verdana" w:hAnsi="Verdana" w:cs="Arial"/>
          <w:color w:val="7030A0"/>
          <w:lang w:val="es-ES_tradnl" w:eastAsia="es-ES"/>
        </w:rPr>
        <w:t xml:space="preserve"> </w:t>
      </w:r>
      <w:r w:rsidRPr="00BC3A80">
        <w:rPr>
          <w:rFonts w:ascii="Verdana" w:hAnsi="Verdana" w:cs="Arial"/>
          <w:color w:val="000000"/>
          <w:lang w:val="es-ES_tradnl" w:eastAsia="es-ES"/>
        </w:rPr>
        <w:t>jurídico</w:t>
      </w:r>
      <w:r w:rsidRPr="00BC3A80">
        <w:rPr>
          <w:rFonts w:ascii="Verdana" w:hAnsi="Verdana" w:cs="Arial"/>
          <w:color w:val="7030A0"/>
          <w:lang w:val="es-ES_tradnl" w:eastAsia="es-ES"/>
        </w:rPr>
        <w:t xml:space="preserve"> </w:t>
      </w:r>
      <w:r w:rsidRPr="00BC3A80">
        <w:rPr>
          <w:rFonts w:ascii="Verdana" w:hAnsi="Verdana" w:cs="Arial"/>
          <w:color w:val="000000"/>
          <w:lang w:val="es-ES_tradnl" w:eastAsia="es-ES"/>
        </w:rPr>
        <w:t xml:space="preserve">de su consulta. </w:t>
      </w:r>
      <w:r w:rsidRPr="00BC3A80">
        <w:rPr>
          <w:rFonts w:ascii="Verdana" w:hAnsi="Verdana" w:cs="Arial"/>
          <w:lang w:val="es-ES_tradnl" w:eastAsia="es-ES"/>
        </w:rPr>
        <w:t xml:space="preserve"> </w:t>
      </w:r>
    </w:p>
    <w:p w14:paraId="6DA0FE05" w14:textId="77777777" w:rsidR="00E451D1" w:rsidRPr="00BC3A80" w:rsidRDefault="00E451D1" w:rsidP="00E451D1">
      <w:pPr>
        <w:spacing w:after="0" w:line="276" w:lineRule="auto"/>
        <w:ind w:firstLine="708"/>
        <w:jc w:val="both"/>
        <w:rPr>
          <w:rFonts w:ascii="Verdana" w:hAnsi="Verdana" w:cs="Arial"/>
          <w:lang w:val="es-ES_tradnl" w:eastAsia="es-ES"/>
        </w:rPr>
      </w:pPr>
    </w:p>
    <w:p w14:paraId="543DED24" w14:textId="77777777" w:rsidR="00E451D1" w:rsidRPr="00BC3A80" w:rsidRDefault="00E451D1" w:rsidP="00E451D1">
      <w:pPr>
        <w:numPr>
          <w:ilvl w:val="0"/>
          <w:numId w:val="16"/>
        </w:numPr>
        <w:tabs>
          <w:tab w:val="left" w:pos="142"/>
          <w:tab w:val="left" w:pos="284"/>
        </w:tabs>
        <w:spacing w:after="0" w:line="276" w:lineRule="auto"/>
        <w:jc w:val="both"/>
        <w:rPr>
          <w:rFonts w:ascii="Verdana" w:eastAsia="Century Gothic" w:hAnsi="Verdana" w:cs="Century Gothic"/>
          <w:b/>
          <w:bCs/>
          <w:lang w:val="es-ES_tradnl"/>
        </w:rPr>
      </w:pPr>
      <w:r w:rsidRPr="00BC3A80">
        <w:rPr>
          <w:rFonts w:ascii="Verdana" w:eastAsia="Century Gothic" w:hAnsi="Verdana" w:cs="Century Gothic"/>
          <w:b/>
          <w:bCs/>
          <w:lang w:val="es-ES_tradnl"/>
        </w:rPr>
        <w:t>Problema planteado:</w:t>
      </w:r>
    </w:p>
    <w:p w14:paraId="66BF6A7F" w14:textId="77777777" w:rsidR="00E451D1" w:rsidRPr="00BC3A80" w:rsidRDefault="00E451D1" w:rsidP="00E451D1">
      <w:pPr>
        <w:tabs>
          <w:tab w:val="left" w:pos="426"/>
        </w:tabs>
        <w:spacing w:after="0" w:line="276" w:lineRule="auto"/>
        <w:jc w:val="both"/>
        <w:rPr>
          <w:rFonts w:ascii="Verdana" w:eastAsia="Century Gothic" w:hAnsi="Verdana" w:cs="Century Gothic"/>
          <w:lang w:val="es-ES_tradnl"/>
        </w:rPr>
      </w:pPr>
    </w:p>
    <w:p w14:paraId="586583F8" w14:textId="77777777" w:rsidR="00E451D1" w:rsidRPr="00BC3A80" w:rsidRDefault="00E451D1" w:rsidP="00E451D1">
      <w:pPr>
        <w:spacing w:after="0" w:line="276" w:lineRule="auto"/>
        <w:jc w:val="both"/>
        <w:rPr>
          <w:rFonts w:ascii="Verdana" w:eastAsia="Century Gothic" w:hAnsi="Verdana" w:cs="Century Gothic"/>
          <w:lang w:val="es-ES_tradnl"/>
        </w:rPr>
      </w:pPr>
      <w:r w:rsidRPr="00BC3A80">
        <w:rPr>
          <w:rFonts w:ascii="Verdana" w:eastAsia="Century Gothic" w:hAnsi="Verdana" w:cs="Century Gothic"/>
          <w:lang w:val="es-ES_tradnl"/>
        </w:rPr>
        <w:t>De acuerdo con el contenido de su solicitud, esta Agencia resolverá el siguiente problema jurídico: ¿</w:t>
      </w:r>
      <w:r w:rsidRPr="000C4FDF">
        <w:rPr>
          <w:rFonts w:ascii="Verdana" w:eastAsia="Century Gothic" w:hAnsi="Verdana" w:cs="Century Gothic"/>
        </w:rPr>
        <w:t xml:space="preserve">Deben las restricciones previstas </w:t>
      </w:r>
      <w:r w:rsidRPr="00BC3A80">
        <w:rPr>
          <w:rFonts w:ascii="Verdana" w:eastAsia="Century Gothic" w:hAnsi="Verdana" w:cs="Century Gothic"/>
          <w:lang w:val="es-ES_tradnl"/>
        </w:rPr>
        <w:t xml:space="preserve">en los artículos 33 y el parágrafo del artículo 38 de la </w:t>
      </w:r>
      <w:r w:rsidRPr="00BC3A80">
        <w:rPr>
          <w:rFonts w:ascii="Verdana" w:hAnsi="Verdana"/>
          <w:iCs/>
        </w:rPr>
        <w:t>Ley 996 de 2005 –Ley de Garantías Electorales–</w:t>
      </w:r>
      <w:r>
        <w:rPr>
          <w:rFonts w:ascii="Verdana" w:hAnsi="Verdana"/>
          <w:iCs/>
        </w:rPr>
        <w:t xml:space="preserve"> </w:t>
      </w:r>
      <w:r w:rsidRPr="009C5A48">
        <w:rPr>
          <w:rFonts w:ascii="Verdana" w:hAnsi="Verdana"/>
          <w:iCs/>
        </w:rPr>
        <w:t xml:space="preserve">aplicarse a la </w:t>
      </w:r>
      <w:r>
        <w:rPr>
          <w:rFonts w:ascii="Verdana" w:hAnsi="Verdana"/>
          <w:iCs/>
        </w:rPr>
        <w:t xml:space="preserve">Alianza Pública para el Desarrollo Integral </w:t>
      </w:r>
      <w:proofErr w:type="spellStart"/>
      <w:r>
        <w:rPr>
          <w:rFonts w:ascii="Verdana" w:hAnsi="Verdana"/>
          <w:iCs/>
        </w:rPr>
        <w:t>Aldesarrollo</w:t>
      </w:r>
      <w:proofErr w:type="spellEnd"/>
      <w:r w:rsidRPr="00E2353B">
        <w:rPr>
          <w:rFonts w:ascii="Verdana" w:hAnsi="Verdana"/>
          <w:iCs/>
        </w:rPr>
        <w:t>—</w:t>
      </w:r>
      <w:r w:rsidRPr="009C5A48">
        <w:rPr>
          <w:rFonts w:ascii="Verdana" w:hAnsi="Verdana"/>
          <w:iCs/>
        </w:rPr>
        <w:t xml:space="preserve">, en su calidad de entidad descentralizada </w:t>
      </w:r>
      <w:r>
        <w:rPr>
          <w:rFonts w:ascii="Verdana" w:hAnsi="Verdana"/>
          <w:iCs/>
        </w:rPr>
        <w:t xml:space="preserve">del orden nacional con autonomía universitaria, </w:t>
      </w:r>
      <w:r w:rsidRPr="009C5A48">
        <w:rPr>
          <w:rFonts w:ascii="Verdana" w:hAnsi="Verdana"/>
          <w:iCs/>
        </w:rPr>
        <w:t xml:space="preserve">para (i) la celebración de contratos o convenios </w:t>
      </w:r>
      <w:r>
        <w:rPr>
          <w:rFonts w:ascii="Verdana" w:hAnsi="Verdana"/>
          <w:iCs/>
        </w:rPr>
        <w:t>interadministrativos?</w:t>
      </w:r>
    </w:p>
    <w:p w14:paraId="4984A845" w14:textId="77777777" w:rsidR="00E451D1" w:rsidRPr="00BC3A80" w:rsidRDefault="00E451D1" w:rsidP="00E451D1">
      <w:pPr>
        <w:spacing w:after="0" w:line="276" w:lineRule="auto"/>
        <w:jc w:val="both"/>
        <w:rPr>
          <w:rFonts w:ascii="Verdana" w:hAnsi="Verdana" w:cs="Arial"/>
          <w:color w:val="7030A0"/>
          <w:lang w:val="es-ES_tradnl"/>
        </w:rPr>
      </w:pPr>
    </w:p>
    <w:p w14:paraId="01383D7B" w14:textId="77777777" w:rsidR="00E451D1" w:rsidRPr="00BC3A80" w:rsidRDefault="00E451D1" w:rsidP="00E451D1">
      <w:pPr>
        <w:numPr>
          <w:ilvl w:val="0"/>
          <w:numId w:val="16"/>
        </w:numPr>
        <w:tabs>
          <w:tab w:val="left" w:pos="142"/>
          <w:tab w:val="left" w:pos="284"/>
        </w:tabs>
        <w:spacing w:after="0" w:line="276" w:lineRule="auto"/>
        <w:jc w:val="both"/>
        <w:rPr>
          <w:rFonts w:ascii="Verdana" w:eastAsia="Century Gothic" w:hAnsi="Verdana" w:cs="Century Gothic"/>
          <w:b/>
          <w:bCs/>
          <w:lang w:val="es-ES_tradnl"/>
        </w:rPr>
      </w:pPr>
      <w:r w:rsidRPr="00BC3A80">
        <w:rPr>
          <w:rFonts w:ascii="Verdana" w:eastAsia="Century Gothic" w:hAnsi="Verdana" w:cs="Century Gothic"/>
          <w:b/>
          <w:bCs/>
          <w:lang w:val="es-ES_tradnl"/>
        </w:rPr>
        <w:t>Respuesta:</w:t>
      </w:r>
    </w:p>
    <w:p w14:paraId="659B4610" w14:textId="77777777" w:rsidR="00E451D1" w:rsidRPr="00BC3A80" w:rsidRDefault="00E451D1" w:rsidP="00E451D1">
      <w:pPr>
        <w:tabs>
          <w:tab w:val="left" w:pos="142"/>
          <w:tab w:val="left" w:pos="284"/>
        </w:tabs>
        <w:spacing w:after="0" w:line="276" w:lineRule="auto"/>
        <w:jc w:val="both"/>
        <w:rPr>
          <w:rFonts w:ascii="Verdana" w:eastAsia="Century Gothic" w:hAnsi="Verdana" w:cs="Century Gothic"/>
          <w:b/>
          <w:bCs/>
          <w:lang w:val="es-ES_tradnl"/>
        </w:rPr>
      </w:pPr>
    </w:p>
    <w:tbl>
      <w:tblPr>
        <w:tblStyle w:val="Tablaconcuadrcula1"/>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E451D1" w:rsidRPr="00BC3A80" w14:paraId="0B1A6E98" w14:textId="77777777" w:rsidTr="003021E1">
        <w:trPr>
          <w:jc w:val="center"/>
        </w:trPr>
        <w:tc>
          <w:tcPr>
            <w:tcW w:w="8828" w:type="dxa"/>
          </w:tcPr>
          <w:p w14:paraId="10DBBE5D" w14:textId="77777777" w:rsidR="00E451D1" w:rsidRPr="002E4D19" w:rsidRDefault="00E451D1" w:rsidP="003021E1">
            <w:pPr>
              <w:spacing w:after="120" w:line="276" w:lineRule="auto"/>
              <w:jc w:val="both"/>
              <w:rPr>
                <w:rFonts w:ascii="Verdana" w:eastAsia="Arial" w:hAnsi="Verdana" w:cs="Arial"/>
                <w:lang w:eastAsia="es-ES" w:bidi="es-ES"/>
              </w:rPr>
            </w:pPr>
            <w:r w:rsidRPr="002E4D19">
              <w:rPr>
                <w:rFonts w:ascii="Verdana" w:eastAsia="Arial" w:hAnsi="Verdana" w:cs="Arial"/>
                <w:lang w:eastAsia="es-ES" w:bidi="es-ES"/>
              </w:rPr>
              <w:t xml:space="preserve">Con fundamento en el análisis normativo efectuado, se concluye que las restricciones previstas en los artículos 33 y el parágrafo del artículo 38 de la Ley 996 de 2005 tienen alcances, sujetos destinatarios y objetos contractuales diferenciados, lo que exige examinar su aplicabilidad a la </w:t>
            </w:r>
            <w:r>
              <w:rPr>
                <w:rFonts w:ascii="Verdana" w:eastAsia="Arial" w:hAnsi="Verdana" w:cs="Arial"/>
                <w:lang w:eastAsia="es-ES" w:bidi="es-ES"/>
              </w:rPr>
              <w:t xml:space="preserve">Alianza Pública para el Desarrollo Integral - </w:t>
            </w:r>
            <w:proofErr w:type="spellStart"/>
            <w:r>
              <w:rPr>
                <w:rFonts w:ascii="Verdana" w:eastAsia="Arial" w:hAnsi="Verdana" w:cs="Arial"/>
                <w:lang w:eastAsia="es-ES" w:bidi="es-ES"/>
              </w:rPr>
              <w:t>Aldesarrollo</w:t>
            </w:r>
            <w:proofErr w:type="spellEnd"/>
            <w:r w:rsidRPr="002E4D19">
              <w:rPr>
                <w:rFonts w:ascii="Verdana" w:eastAsia="Arial" w:hAnsi="Verdana" w:cs="Arial"/>
                <w:lang w:eastAsia="es-ES" w:bidi="es-ES"/>
              </w:rPr>
              <w:t>— de manera separada.</w:t>
            </w:r>
          </w:p>
          <w:p w14:paraId="5922BFF7" w14:textId="77777777" w:rsidR="00E451D1" w:rsidRPr="002E4D19" w:rsidRDefault="00E451D1" w:rsidP="003021E1">
            <w:pPr>
              <w:spacing w:after="120" w:line="276" w:lineRule="auto"/>
              <w:ind w:firstLine="709"/>
              <w:jc w:val="both"/>
              <w:rPr>
                <w:rFonts w:ascii="Verdana" w:eastAsia="Arial" w:hAnsi="Verdana" w:cs="Arial"/>
                <w:lang w:eastAsia="es-ES" w:bidi="es-ES"/>
              </w:rPr>
            </w:pPr>
            <w:r w:rsidRPr="002E4D19">
              <w:rPr>
                <w:rFonts w:ascii="Verdana" w:eastAsia="Arial" w:hAnsi="Verdana" w:cs="Arial"/>
                <w:lang w:eastAsia="es-ES" w:bidi="es-ES"/>
              </w:rPr>
              <w:t xml:space="preserve">En cuanto a la prohibición del artículo 33, dirigida a evitar la celebración de contratación directa durante los cuatro (4) meses previos a las elecciones presidenciales, se trata de una limitación de carácter general aplicable a </w:t>
            </w:r>
            <w:r w:rsidRPr="00064355">
              <w:rPr>
                <w:rFonts w:ascii="Verdana" w:eastAsia="Arial" w:hAnsi="Verdana" w:cs="Arial"/>
                <w:i/>
                <w:lang w:eastAsia="es-ES" w:bidi="es-ES"/>
              </w:rPr>
              <w:t>todos los entes estatales</w:t>
            </w:r>
            <w:r w:rsidRPr="002E4D19">
              <w:rPr>
                <w:rFonts w:ascii="Verdana" w:eastAsia="Arial" w:hAnsi="Verdana" w:cs="Arial"/>
                <w:lang w:eastAsia="es-ES" w:bidi="es-ES"/>
              </w:rPr>
              <w:t xml:space="preserve">, incluidas aquellas entidades descentralizadas </w:t>
            </w:r>
            <w:r>
              <w:rPr>
                <w:rFonts w:ascii="Verdana" w:eastAsia="Arial" w:hAnsi="Verdana" w:cs="Arial"/>
                <w:lang w:eastAsia="es-ES" w:bidi="es-ES"/>
              </w:rPr>
              <w:t xml:space="preserve">indirectas </w:t>
            </w:r>
            <w:r w:rsidRPr="002E4D19">
              <w:rPr>
                <w:rFonts w:ascii="Verdana" w:eastAsia="Arial" w:hAnsi="Verdana" w:cs="Arial"/>
                <w:lang w:eastAsia="es-ES" w:bidi="es-ES"/>
              </w:rPr>
              <w:lastRenderedPageBreak/>
              <w:t>del orden nacional</w:t>
            </w:r>
            <w:r>
              <w:rPr>
                <w:rFonts w:ascii="Verdana" w:eastAsia="Arial" w:hAnsi="Verdana" w:cs="Arial"/>
                <w:lang w:eastAsia="es-ES" w:bidi="es-ES"/>
              </w:rPr>
              <w:t xml:space="preserve"> con autonomía universitaria dada su naturaleza.</w:t>
            </w:r>
            <w:r w:rsidRPr="002E4D19">
              <w:rPr>
                <w:rFonts w:ascii="Verdana" w:eastAsia="Arial" w:hAnsi="Verdana" w:cs="Arial"/>
                <w:lang w:eastAsia="es-ES" w:bidi="es-ES"/>
              </w:rPr>
              <w:t xml:space="preserve"> Al contrastar el catálogo taxativo de excepciones del inciso segundo del artículo 33, se advierte que </w:t>
            </w:r>
            <w:proofErr w:type="gramStart"/>
            <w:r w:rsidRPr="002E4D19">
              <w:rPr>
                <w:rFonts w:ascii="Verdana" w:eastAsia="Arial" w:hAnsi="Verdana" w:cs="Arial"/>
                <w:lang w:eastAsia="es-ES" w:bidi="es-ES"/>
              </w:rPr>
              <w:t xml:space="preserve">los </w:t>
            </w:r>
            <w:r>
              <w:rPr>
                <w:rFonts w:ascii="Verdana" w:eastAsia="Arial" w:hAnsi="Verdana" w:cs="Arial"/>
                <w:lang w:eastAsia="es-ES" w:bidi="es-ES"/>
              </w:rPr>
              <w:t xml:space="preserve"> contratos</w:t>
            </w:r>
            <w:proofErr w:type="gramEnd"/>
            <w:r>
              <w:rPr>
                <w:rFonts w:ascii="Verdana" w:eastAsia="Arial" w:hAnsi="Verdana" w:cs="Arial"/>
                <w:lang w:eastAsia="es-ES" w:bidi="es-ES"/>
              </w:rPr>
              <w:t xml:space="preserve"> y/o convenios interadministrativos</w:t>
            </w:r>
            <w:r w:rsidRPr="002E4D19">
              <w:rPr>
                <w:rFonts w:ascii="Verdana" w:eastAsia="Arial" w:hAnsi="Verdana" w:cs="Arial"/>
                <w:lang w:eastAsia="es-ES" w:bidi="es-ES"/>
              </w:rPr>
              <w:t xml:space="preserve">—que, conforme </w:t>
            </w:r>
            <w:r>
              <w:rPr>
                <w:rFonts w:ascii="Verdana" w:eastAsia="Arial" w:hAnsi="Verdana" w:cs="Arial"/>
                <w:lang w:eastAsia="es-ES" w:bidi="es-ES"/>
              </w:rPr>
              <w:t>a la Ley 1150 de 2007</w:t>
            </w:r>
            <w:r w:rsidRPr="002E4D19">
              <w:rPr>
                <w:rFonts w:ascii="Verdana" w:eastAsia="Arial" w:hAnsi="Verdana" w:cs="Arial"/>
                <w:lang w:eastAsia="es-ES" w:bidi="es-ES"/>
              </w:rPr>
              <w:t>, se celebran mediante contratación directa— no encuadran en ninguno de los supuestos exceptuados por el legislador. En consecuencia, tales contratos sí se encuentran sometidos a la prohibición general del artículo 33 y, por tanto, no pueden celebrarse durante el periodo preelectoral presidencial, salvo que excepcionalmente su objeto corresponda estrictamente a alguno de los supuestos exceptivos, cuya interpretación —como lo ha sostenido reiteradamente el Consejo de Estado— debe ser restrictiva.</w:t>
            </w:r>
          </w:p>
          <w:p w14:paraId="252B39D4" w14:textId="77777777" w:rsidR="00E451D1" w:rsidRPr="002E4D19" w:rsidRDefault="00E451D1" w:rsidP="003021E1">
            <w:pPr>
              <w:spacing w:after="120" w:line="276" w:lineRule="auto"/>
              <w:ind w:firstLine="709"/>
              <w:jc w:val="both"/>
              <w:rPr>
                <w:rFonts w:ascii="Verdana" w:eastAsia="Arial" w:hAnsi="Verdana" w:cs="Arial"/>
                <w:lang w:eastAsia="es-ES" w:bidi="es-ES"/>
              </w:rPr>
            </w:pPr>
            <w:r w:rsidRPr="002E4D19">
              <w:rPr>
                <w:rFonts w:ascii="Verdana" w:eastAsia="Arial" w:hAnsi="Verdana" w:cs="Arial"/>
                <w:lang w:eastAsia="es-ES" w:bidi="es-ES"/>
              </w:rPr>
              <w:t xml:space="preserve">En relación con la prohibición prevista en el parágrafo del artículo 38, esta se dirige exclusivamente a los gobernadores, alcaldes, secretarios, gerentes y directores de entidades descentralizadas del orden municipal, departamental o distrital, es decir, a entidades del orden territorial, y recae únicamente sobre los convenios interadministrativos destinados a la ejecución de recursos públicos. Dado que </w:t>
            </w:r>
            <w:proofErr w:type="spellStart"/>
            <w:r>
              <w:rPr>
                <w:rFonts w:ascii="Verdana" w:eastAsia="Arial" w:hAnsi="Verdana" w:cs="Arial"/>
                <w:lang w:eastAsia="es-ES" w:bidi="es-ES"/>
              </w:rPr>
              <w:t>Aldesarrollo</w:t>
            </w:r>
            <w:proofErr w:type="spellEnd"/>
            <w:r w:rsidRPr="002E4D19">
              <w:rPr>
                <w:rFonts w:ascii="Verdana" w:eastAsia="Arial" w:hAnsi="Verdana" w:cs="Arial"/>
                <w:lang w:eastAsia="es-ES" w:bidi="es-ES"/>
              </w:rPr>
              <w:t xml:space="preserve"> es una entidad descentralizada indirecta </w:t>
            </w:r>
            <w:r w:rsidRPr="004444FE">
              <w:rPr>
                <w:rFonts w:ascii="Verdana" w:eastAsia="Arial" w:hAnsi="Verdana" w:cs="Arial"/>
                <w:b/>
                <w:bCs/>
                <w:u w:val="single"/>
                <w:lang w:eastAsia="es-ES" w:bidi="es-ES"/>
              </w:rPr>
              <w:t>del orden nacional</w:t>
            </w:r>
            <w:r w:rsidRPr="002E4D19">
              <w:rPr>
                <w:rFonts w:ascii="Verdana" w:eastAsia="Arial" w:hAnsi="Verdana" w:cs="Arial"/>
                <w:lang w:eastAsia="es-ES" w:bidi="es-ES"/>
              </w:rPr>
              <w:t xml:space="preserve">, </w:t>
            </w:r>
            <w:r>
              <w:rPr>
                <w:rFonts w:ascii="Verdana" w:eastAsia="Arial" w:hAnsi="Verdana" w:cs="Arial"/>
                <w:lang w:eastAsia="es-ES" w:bidi="es-ES"/>
              </w:rPr>
              <w:t>de naturaleza pública, sin ánimo de grupo con personería jurídica propia y autonomía administrativo</w:t>
            </w:r>
            <w:r w:rsidRPr="002E4D19">
              <w:rPr>
                <w:rFonts w:ascii="Verdana" w:eastAsia="Arial" w:hAnsi="Verdana" w:cs="Arial"/>
                <w:lang w:eastAsia="es-ES" w:bidi="es-ES"/>
              </w:rPr>
              <w:t>, no se encuentra comprendida dentro del ámbito subjetivo de aplicación del parágrafo del artículo 38, por lo que dicha restricción no le resulta aplicable.</w:t>
            </w:r>
            <w:r>
              <w:rPr>
                <w:rFonts w:ascii="Verdana" w:eastAsia="Arial" w:hAnsi="Verdana" w:cs="Arial"/>
                <w:lang w:eastAsia="es-ES" w:bidi="es-ES"/>
              </w:rPr>
              <w:t xml:space="preserve"> No obstante, deberá analizarse cada caso, para determinar que el otro extremo del negocio jurídico no sea una de las personas a las que les aplica la restricción. </w:t>
            </w:r>
          </w:p>
          <w:p w14:paraId="06563E5B" w14:textId="77777777" w:rsidR="00E451D1" w:rsidRPr="002E4D19" w:rsidRDefault="00E451D1" w:rsidP="003021E1">
            <w:pPr>
              <w:spacing w:after="120" w:line="276" w:lineRule="auto"/>
              <w:ind w:firstLine="709"/>
              <w:jc w:val="both"/>
              <w:rPr>
                <w:rFonts w:ascii="Verdana" w:eastAsia="Arial" w:hAnsi="Verdana" w:cs="Arial"/>
                <w:lang w:eastAsia="es-ES" w:bidi="es-ES"/>
              </w:rPr>
            </w:pPr>
            <w:r w:rsidRPr="002E4D19">
              <w:rPr>
                <w:rFonts w:ascii="Verdana" w:eastAsia="Arial" w:hAnsi="Verdana" w:cs="Arial"/>
                <w:lang w:eastAsia="es-ES" w:bidi="es-ES"/>
              </w:rPr>
              <w:t xml:space="preserve">Adicionalmente, de acuerdo con la reciente postura del Consejo de Estado —particularmente en </w:t>
            </w:r>
            <w:r w:rsidRPr="31E4E861">
              <w:rPr>
                <w:rFonts w:ascii="Verdana" w:eastAsia="Times New Roman" w:hAnsi="Verdana" w:cs="Arial"/>
                <w:lang w:eastAsia="es-CO"/>
              </w:rPr>
              <w:t>la sentencia expedida por la Sección Tercera de la Sala de lo Contencioso Administrativo del 17 de octubre de 2025</w:t>
            </w:r>
            <w:r>
              <w:rPr>
                <w:rFonts w:ascii="Verdana" w:eastAsia="Times New Roman" w:hAnsi="Verdana" w:cs="Arial"/>
                <w:lang w:eastAsia="es-CO"/>
              </w:rPr>
              <w:t>,</w:t>
            </w:r>
            <w:r w:rsidRPr="002E4D19">
              <w:rPr>
                <w:rFonts w:ascii="Verdana" w:eastAsia="Arial" w:hAnsi="Verdana" w:cs="Arial"/>
                <w:lang w:eastAsia="es-ES" w:bidi="es-ES"/>
              </w:rPr>
              <w:t xml:space="preserve"> en los autos del 4 de octubre de 2024 y del 6 de noviembre de 2025, mediante los cuales </w:t>
            </w:r>
            <w:r w:rsidRPr="31E4E861">
              <w:rPr>
                <w:rFonts w:ascii="Verdana" w:eastAsia="Times New Roman" w:hAnsi="Verdana" w:cs="Arial"/>
                <w:lang w:eastAsia="es-CO"/>
              </w:rPr>
              <w:t>se declaró la nulidad parcial</w:t>
            </w:r>
            <w:r>
              <w:rPr>
                <w:rFonts w:ascii="Verdana" w:eastAsia="Times New Roman" w:hAnsi="Verdana" w:cs="Arial"/>
                <w:lang w:eastAsia="es-CO"/>
              </w:rPr>
              <w:t>,</w:t>
            </w:r>
            <w:r w:rsidRPr="002E4D19">
              <w:rPr>
                <w:rFonts w:ascii="Verdana" w:eastAsia="Arial" w:hAnsi="Verdana" w:cs="Arial"/>
                <w:lang w:eastAsia="es-ES" w:bidi="es-ES"/>
              </w:rPr>
              <w:t xml:space="preserve"> se suspendió parcialmente el numeral 16.2 de la Circular Externa Única de 2022 de Colombia Compra Eficiente</w:t>
            </w:r>
            <w:r>
              <w:rPr>
                <w:rFonts w:ascii="Verdana" w:eastAsia="Arial" w:hAnsi="Verdana" w:cs="Arial"/>
                <w:lang w:eastAsia="es-ES" w:bidi="es-ES"/>
              </w:rPr>
              <w:t xml:space="preserve"> </w:t>
            </w:r>
            <w:r w:rsidRPr="31E4E861">
              <w:rPr>
                <w:rFonts w:ascii="Verdana" w:eastAsia="Arial" w:hAnsi="Verdana" w:cs="Arial"/>
                <w:lang w:eastAsia="es-ES" w:bidi="es-ES"/>
              </w:rPr>
              <w:t>y del inciso cuarto del numeral 16.2 de la Circular Externa Única, versión 3 del 27 de diciembre de 2023</w:t>
            </w:r>
            <w:r>
              <w:rPr>
                <w:rFonts w:ascii="Verdana" w:eastAsia="Arial" w:hAnsi="Verdana" w:cs="Arial"/>
                <w:lang w:eastAsia="es-ES" w:bidi="es-ES"/>
              </w:rPr>
              <w:t xml:space="preserve">, respectivamente </w:t>
            </w:r>
            <w:r w:rsidRPr="002E4D19">
              <w:rPr>
                <w:rFonts w:ascii="Verdana" w:eastAsia="Arial" w:hAnsi="Verdana" w:cs="Arial"/>
                <w:lang w:eastAsia="es-ES" w:bidi="es-ES"/>
              </w:rPr>
              <w:t xml:space="preserve">— la prohibición del parágrafo del artículo 38 no se extiende a los contratos interadministrativos, independientemente de su objeto. En tal sentido, dos entidades públicas pueden suscribir válidamente contratos interadministrativos durante los periodos de restricción electoral, incluidos los cuatro </w:t>
            </w:r>
            <w:r>
              <w:rPr>
                <w:rFonts w:ascii="Verdana" w:eastAsia="Arial" w:hAnsi="Verdana" w:cs="Arial"/>
                <w:lang w:eastAsia="es-ES" w:bidi="es-ES"/>
              </w:rPr>
              <w:t xml:space="preserve">(4) </w:t>
            </w:r>
            <w:r w:rsidRPr="002E4D19">
              <w:rPr>
                <w:rFonts w:ascii="Verdana" w:eastAsia="Arial" w:hAnsi="Verdana" w:cs="Arial"/>
                <w:lang w:eastAsia="es-ES" w:bidi="es-ES"/>
              </w:rPr>
              <w:t xml:space="preserve">meses previos a las elecciones presidenciales, siempre </w:t>
            </w:r>
            <w:r w:rsidRPr="002E4D19">
              <w:rPr>
                <w:rFonts w:ascii="Verdana" w:eastAsia="Arial" w:hAnsi="Verdana" w:cs="Arial"/>
                <w:lang w:eastAsia="es-ES" w:bidi="es-ES"/>
              </w:rPr>
              <w:lastRenderedPageBreak/>
              <w:t>que la figura no corresponda materialmente a un convenio interadministrativo para la ejecución de recursos públicos, que sí está prohibido para los sujetos territoriales mencionados en la norma.</w:t>
            </w:r>
          </w:p>
          <w:p w14:paraId="35A2CF59" w14:textId="77777777" w:rsidR="00E451D1" w:rsidRDefault="00E451D1" w:rsidP="003021E1">
            <w:pPr>
              <w:spacing w:after="120" w:line="276" w:lineRule="auto"/>
              <w:jc w:val="both"/>
              <w:rPr>
                <w:rFonts w:ascii="Verdana" w:eastAsia="Arial" w:hAnsi="Verdana" w:cs="Arial"/>
                <w:lang w:eastAsia="es-ES" w:bidi="es-ES"/>
              </w:rPr>
            </w:pPr>
            <w:r w:rsidRPr="002E4D19">
              <w:rPr>
                <w:rFonts w:ascii="Verdana" w:eastAsia="Arial" w:hAnsi="Verdana" w:cs="Arial"/>
                <w:lang w:eastAsia="es-ES" w:bidi="es-ES"/>
              </w:rPr>
              <w:t xml:space="preserve">De esta manera, aunque </w:t>
            </w:r>
            <w:r>
              <w:rPr>
                <w:rFonts w:ascii="Verdana" w:eastAsia="Arial" w:hAnsi="Verdana" w:cs="Arial"/>
                <w:lang w:eastAsia="es-ES" w:bidi="es-ES"/>
              </w:rPr>
              <w:t>ALDESARROLLO</w:t>
            </w:r>
            <w:r w:rsidRPr="002E4D19">
              <w:rPr>
                <w:rFonts w:ascii="Verdana" w:eastAsia="Arial" w:hAnsi="Verdana" w:cs="Arial"/>
                <w:lang w:eastAsia="es-ES" w:bidi="es-ES"/>
              </w:rPr>
              <w:t xml:space="preserve"> no es sujeto obligado por el artículo 38, cuando proyecte suscribir un instrumento con una entidad territorial incluida en dicha disposición, deberá verificar si la naturaleza del instrumento jurídico corresponde a un convenio interadministrativo para la ejecución de recursos públicos. Si ello es así, la restricción se activa respecto de la entidad territorial obligada, lo que condiciona la viabilidad del convenio. Por el contrario, si el instrumento corresponde a un contrato interadministrativo, la prohibición del artículo 38 no resulta aplicable, conforme a la interpretación vigente del Consejo de Estado.</w:t>
            </w:r>
          </w:p>
          <w:p w14:paraId="41F95C34" w14:textId="77777777" w:rsidR="00E451D1" w:rsidRDefault="00E451D1" w:rsidP="003021E1">
            <w:pPr>
              <w:spacing w:after="120" w:line="276" w:lineRule="auto"/>
              <w:jc w:val="both"/>
              <w:rPr>
                <w:rFonts w:ascii="Verdana" w:eastAsia="Arial" w:hAnsi="Verdana" w:cs="Arial"/>
                <w:lang w:eastAsia="es-ES" w:bidi="es-ES"/>
              </w:rPr>
            </w:pPr>
            <w:r>
              <w:rPr>
                <w:rFonts w:ascii="Verdana" w:eastAsia="Arial" w:hAnsi="Verdana" w:cs="Arial"/>
                <w:lang w:eastAsia="es-ES" w:bidi="es-ES"/>
              </w:rPr>
              <w:t>En torno a su interrogante, sobre la naturaleza jurídica del negocio a celebrar, d</w:t>
            </w:r>
            <w:r w:rsidRPr="00DB16CF">
              <w:rPr>
                <w:rFonts w:ascii="Verdana" w:eastAsia="Arial" w:hAnsi="Verdana" w:cs="Arial"/>
                <w:lang w:eastAsia="es-ES" w:bidi="es-ES"/>
              </w:rPr>
              <w:t>ado el carácter estrictamente taxativo de las restricciones previstas en la Ley 996 de 2005, su interpretación debe ser necesariamente restrictiva, de modo que no resulta admisible incorporar hipótesis, supuestos o extensiones no contemplados expresamente por el legislador. En consecuencia, durante la vigencia del periodo de prohibición, se entiende proscrita la celebración de nuevos negocios jurídicos sujetos a dicha modalidad, sin posibilidad de habilitar excepciones adicionales a las previstas de manera explícita en la norma</w:t>
            </w:r>
            <w:r>
              <w:rPr>
                <w:rFonts w:ascii="Verdana" w:eastAsia="Arial" w:hAnsi="Verdana" w:cs="Arial"/>
                <w:lang w:eastAsia="es-ES" w:bidi="es-ES"/>
              </w:rPr>
              <w:t xml:space="preserve">. </w:t>
            </w:r>
          </w:p>
          <w:p w14:paraId="16530CB0" w14:textId="77777777" w:rsidR="00E451D1" w:rsidRPr="00BC3A80" w:rsidRDefault="00E451D1" w:rsidP="003021E1">
            <w:pPr>
              <w:spacing w:after="120" w:line="276" w:lineRule="auto"/>
              <w:ind w:firstLine="709"/>
              <w:jc w:val="both"/>
              <w:rPr>
                <w:rFonts w:ascii="Verdana" w:eastAsia="Arial" w:hAnsi="Verdana" w:cs="Arial"/>
                <w:color w:val="000000" w:themeColor="text1"/>
              </w:rPr>
            </w:pPr>
            <w:r w:rsidRPr="00BC3A80">
              <w:rPr>
                <w:rFonts w:ascii="Verdana" w:eastAsia="Arial" w:hAnsi="Verdana" w:cs="Arial"/>
                <w:bCs/>
                <w:color w:val="000000" w:themeColor="text1"/>
              </w:rPr>
              <w:t xml:space="preserve">En todo caso, vale anotar que es responsabilidad del respectivo ente del Estado examinar en cada caso la naturaleza de las actividades que adelanta y justificar si las mismas se enmarcan en alguna de las excepciones, de manera que pueda realizar la contratación directa durante el periodo de la prohibición. Igualmente, le corresponde a cada entidad </w:t>
            </w:r>
            <w:r w:rsidRPr="00BC3A80">
              <w:rPr>
                <w:rFonts w:ascii="Verdana" w:eastAsia="Arial" w:hAnsi="Verdana" w:cs="Arial"/>
                <w:color w:val="000000" w:themeColor="text1"/>
              </w:rPr>
              <w:t>establecer si el instrumento jurídico que se pretende suscribir tiene la naturaleza de contrato o de convenio interadministrativo para la ejecución de recursos públicos. En este último supuesto, resulta aplicable la prohibición contenida en el parágrafo del artículo 38 de la Ley de Garantías Electorales, conforme se explicó.</w:t>
            </w:r>
          </w:p>
        </w:tc>
      </w:tr>
    </w:tbl>
    <w:p w14:paraId="1011689B" w14:textId="77777777" w:rsidR="00E451D1" w:rsidRPr="00BC3A80" w:rsidRDefault="00E451D1" w:rsidP="00E451D1">
      <w:pPr>
        <w:tabs>
          <w:tab w:val="left" w:pos="142"/>
          <w:tab w:val="left" w:pos="284"/>
        </w:tabs>
        <w:spacing w:after="0" w:line="276" w:lineRule="auto"/>
        <w:jc w:val="both"/>
        <w:rPr>
          <w:rFonts w:ascii="Verdana" w:eastAsia="Century Gothic" w:hAnsi="Verdana" w:cs="Century Gothic"/>
          <w:b/>
          <w:bCs/>
          <w:lang w:val="es-ES_tradnl"/>
        </w:rPr>
      </w:pPr>
    </w:p>
    <w:p w14:paraId="06E6BC4F" w14:textId="77777777" w:rsidR="00E451D1" w:rsidRPr="00BC3A80" w:rsidRDefault="00E451D1" w:rsidP="00E451D1">
      <w:pPr>
        <w:numPr>
          <w:ilvl w:val="0"/>
          <w:numId w:val="16"/>
        </w:numPr>
        <w:tabs>
          <w:tab w:val="left" w:pos="142"/>
          <w:tab w:val="left" w:pos="284"/>
        </w:tabs>
        <w:spacing w:after="0" w:line="276" w:lineRule="auto"/>
        <w:jc w:val="both"/>
        <w:rPr>
          <w:rFonts w:ascii="Verdana" w:eastAsia="Century Gothic" w:hAnsi="Verdana" w:cs="Century Gothic"/>
          <w:b/>
          <w:bCs/>
          <w:lang w:val="es-ES_tradnl"/>
        </w:rPr>
      </w:pPr>
      <w:r w:rsidRPr="00BC3A80">
        <w:rPr>
          <w:rFonts w:ascii="Verdana" w:eastAsia="Century Gothic" w:hAnsi="Verdana" w:cs="Century Gothic"/>
          <w:b/>
          <w:bCs/>
          <w:lang w:val="es-ES_tradnl"/>
        </w:rPr>
        <w:t>Razones de la respuesta:</w:t>
      </w:r>
    </w:p>
    <w:p w14:paraId="5CD2C670" w14:textId="77777777" w:rsidR="00E451D1" w:rsidRPr="00BC3A80" w:rsidRDefault="00E451D1" w:rsidP="00E451D1">
      <w:pPr>
        <w:spacing w:after="0" w:line="276" w:lineRule="auto"/>
        <w:jc w:val="both"/>
        <w:rPr>
          <w:rFonts w:ascii="Verdana" w:hAnsi="Verdana" w:cs="Arial"/>
          <w:color w:val="7030A0"/>
          <w:lang w:val="es-ES_tradnl"/>
        </w:rPr>
      </w:pPr>
    </w:p>
    <w:p w14:paraId="1D13A92E" w14:textId="77777777" w:rsidR="00E451D1" w:rsidRPr="00BC3A80" w:rsidRDefault="00E451D1" w:rsidP="00E451D1">
      <w:pPr>
        <w:spacing w:after="0" w:line="276" w:lineRule="auto"/>
        <w:jc w:val="both"/>
        <w:rPr>
          <w:rFonts w:ascii="Verdana" w:hAnsi="Verdana" w:cs="Arial"/>
          <w:lang w:val="es-ES_tradnl"/>
        </w:rPr>
      </w:pPr>
      <w:r w:rsidRPr="00BC3A80">
        <w:rPr>
          <w:rFonts w:ascii="Verdana" w:hAnsi="Verdana" w:cs="Arial"/>
          <w:lang w:val="es-ES_tradnl"/>
        </w:rPr>
        <w:t>Lo anterior se sustenta en las siguientes consideraciones:</w:t>
      </w:r>
    </w:p>
    <w:p w14:paraId="164E122B" w14:textId="77777777" w:rsidR="00E451D1" w:rsidRPr="00BC3A80" w:rsidRDefault="00E451D1" w:rsidP="00E451D1">
      <w:pPr>
        <w:spacing w:after="0" w:line="276" w:lineRule="auto"/>
        <w:ind w:firstLine="709"/>
        <w:jc w:val="both"/>
        <w:rPr>
          <w:rFonts w:ascii="Verdana" w:hAnsi="Verdana" w:cs="Arial"/>
          <w:color w:val="000000" w:themeColor="text1"/>
        </w:rPr>
      </w:pPr>
    </w:p>
    <w:p w14:paraId="4C1BC7E6" w14:textId="77777777" w:rsidR="00E451D1" w:rsidRPr="00BC3A80" w:rsidRDefault="00E451D1" w:rsidP="00E451D1">
      <w:pPr>
        <w:tabs>
          <w:tab w:val="left" w:pos="426"/>
        </w:tabs>
        <w:spacing w:after="120" w:line="276" w:lineRule="auto"/>
        <w:jc w:val="both"/>
        <w:rPr>
          <w:rFonts w:ascii="Verdana" w:eastAsia="Times New Roman" w:hAnsi="Verdana" w:cs="Arial"/>
          <w:lang w:val="es-ES" w:eastAsia="es-CO"/>
        </w:rPr>
      </w:pPr>
      <w:r w:rsidRPr="00BC3A80">
        <w:rPr>
          <w:rFonts w:ascii="Verdana" w:hAnsi="Verdana" w:cs="Arial"/>
          <w:lang w:val="es-ES"/>
        </w:rPr>
        <w:lastRenderedPageBreak/>
        <w:t>El ordenamiento jurídico colombiano contempla medidas para evitar la obtención de beneficios personales en asuntos propios de la administración pública</w:t>
      </w:r>
      <w:r w:rsidRPr="00BC3A80">
        <w:rPr>
          <w:rFonts w:ascii="Verdana" w:hAnsi="Verdana" w:cs="Arial"/>
          <w:i/>
          <w:lang w:val="es-ES"/>
        </w:rPr>
        <w:t xml:space="preserve">. </w:t>
      </w:r>
      <w:r w:rsidRPr="00BC3A80">
        <w:rPr>
          <w:rFonts w:ascii="Verdana" w:hAnsi="Verdana" w:cs="Arial"/>
          <w:lang w:val="es-ES"/>
        </w:rPr>
        <w:t>Por ejemplo, el artículo 127 de la Constitución Política establece una prohibición contractual a los servidores públicos y, en cuanto a aspectos políticos, señala restricciones a ciertos empleados del Estado, incluso en época no electoral</w:t>
      </w:r>
      <w:r w:rsidRPr="00BC3A80">
        <w:rPr>
          <w:rFonts w:ascii="Verdana" w:hAnsi="Verdana"/>
          <w:vertAlign w:val="superscript"/>
          <w:lang w:val="es-ES"/>
        </w:rPr>
        <w:footnoteReference w:id="1"/>
      </w:r>
      <w:r w:rsidRPr="00BC3A80">
        <w:rPr>
          <w:rFonts w:ascii="Verdana" w:hAnsi="Verdana" w:cs="Arial"/>
          <w:lang w:val="es-ES"/>
        </w:rPr>
        <w:t xml:space="preserve">. </w:t>
      </w:r>
    </w:p>
    <w:p w14:paraId="60D098F2" w14:textId="77777777" w:rsidR="00E451D1" w:rsidRPr="00BC3A80" w:rsidRDefault="00E451D1" w:rsidP="00E451D1">
      <w:pPr>
        <w:tabs>
          <w:tab w:val="left" w:pos="426"/>
        </w:tabs>
        <w:spacing w:after="120" w:line="276" w:lineRule="auto"/>
        <w:ind w:firstLine="709"/>
        <w:jc w:val="both"/>
        <w:rPr>
          <w:rFonts w:ascii="Verdana" w:hAnsi="Verdana" w:cs="Arial"/>
          <w:lang w:val="es-ES"/>
        </w:rPr>
      </w:pPr>
      <w:r w:rsidRPr="00BC3A80">
        <w:rPr>
          <w:rFonts w:ascii="Verdana" w:eastAsia="Times New Roman" w:hAnsi="Verdana" w:cs="Arial"/>
          <w:lang w:val="es-ES" w:eastAsia="es-CO"/>
        </w:rPr>
        <w:t>En el mismo sentido, la Ley 996 de 2005, conocida como “Ley de Garantías Electorales”, se suma al andamiaje constitucional y legal que busca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w:t>
      </w:r>
      <w:r w:rsidRPr="00BC3A80">
        <w:rPr>
          <w:rFonts w:ascii="Verdana" w:eastAsia="Times New Roman" w:hAnsi="Verdana" w:cs="Arial"/>
          <w:vertAlign w:val="superscript"/>
          <w:lang w:val="es-ES" w:eastAsia="es-CO"/>
        </w:rPr>
        <w:footnoteReference w:id="2"/>
      </w:r>
      <w:r w:rsidRPr="00BC3A80">
        <w:rPr>
          <w:rFonts w:ascii="Verdana" w:eastAsia="Times New Roman" w:hAnsi="Verdana" w:cs="Arial"/>
          <w:lang w:val="es-ES" w:eastAsia="es-CO"/>
        </w:rPr>
        <w:t>. En esta medida, introduce limitaciones para realizar nombramientos, postulaciones, contrataciones o cualquier otro tipo de actividad que implique destinación de recursos públicos bajo el devenir propio de las Entidades Estatales.</w:t>
      </w:r>
      <w:r w:rsidRPr="00BC3A80">
        <w:rPr>
          <w:rFonts w:ascii="Verdana" w:hAnsi="Verdana" w:cs="Arial"/>
          <w:lang w:val="es-ES"/>
        </w:rPr>
        <w:t xml:space="preserve"> </w:t>
      </w:r>
    </w:p>
    <w:p w14:paraId="3D886650" w14:textId="77777777" w:rsidR="00E451D1" w:rsidRPr="00BC3A80" w:rsidRDefault="00E451D1" w:rsidP="00E451D1">
      <w:pPr>
        <w:tabs>
          <w:tab w:val="left" w:pos="426"/>
        </w:tabs>
        <w:spacing w:after="0" w:line="276" w:lineRule="auto"/>
        <w:ind w:firstLine="709"/>
        <w:jc w:val="both"/>
        <w:rPr>
          <w:rFonts w:ascii="Verdana" w:hAnsi="Verdana" w:cs="Arial"/>
          <w:lang w:val="es-ES"/>
        </w:rPr>
      </w:pPr>
      <w:r w:rsidRPr="00BC3A80">
        <w:rPr>
          <w:rFonts w:ascii="Verdana" w:eastAsia="Times New Roman" w:hAnsi="Verdana" w:cs="Arial"/>
          <w:lang w:val="es-ES" w:eastAsia="es-CO"/>
        </w:rPr>
        <w:t>En armonía con lo anterior, la Corte Constitucional ha abordado la definición de la Ley de Garantías Electorales. De esta manera, explica que tiene como propósito:</w:t>
      </w:r>
    </w:p>
    <w:p w14:paraId="34C9E235" w14:textId="77777777" w:rsidR="00E451D1" w:rsidRPr="00BC3A80" w:rsidRDefault="00E451D1" w:rsidP="00E451D1">
      <w:pPr>
        <w:spacing w:after="0" w:line="276" w:lineRule="auto"/>
        <w:ind w:right="709"/>
        <w:jc w:val="both"/>
        <w:rPr>
          <w:rFonts w:ascii="Verdana" w:eastAsia="Times New Roman" w:hAnsi="Verdana" w:cs="Arial"/>
          <w:lang w:val="es-ES" w:eastAsia="es-CO"/>
        </w:rPr>
      </w:pPr>
    </w:p>
    <w:p w14:paraId="3FF7C83F" w14:textId="77777777" w:rsidR="00E451D1" w:rsidRPr="00BC3A80" w:rsidRDefault="00E451D1" w:rsidP="00E451D1">
      <w:pPr>
        <w:spacing w:after="0" w:line="240" w:lineRule="auto"/>
        <w:ind w:left="709" w:right="709"/>
        <w:contextualSpacing/>
        <w:jc w:val="both"/>
        <w:rPr>
          <w:rFonts w:ascii="Verdana" w:eastAsia="Times New Roman" w:hAnsi="Verdana" w:cs="Arial"/>
          <w:sz w:val="20"/>
          <w:szCs w:val="20"/>
          <w:lang w:val="es-ES" w:eastAsia="es-CO"/>
        </w:rPr>
      </w:pPr>
      <w:r w:rsidRPr="00BC3A80">
        <w:rPr>
          <w:rFonts w:ascii="Verdana" w:eastAsia="Times New Roman" w:hAnsi="Verdana" w:cs="Arial"/>
          <w:sz w:val="20"/>
          <w:szCs w:val="20"/>
          <w:lang w:val="es-ES" w:eastAsia="es-CO"/>
        </w:rPr>
        <w:t>“[…] la definición de reglas claras que permitan acceder a los canales de expresión democrática de manera efectiva e igualitaria. El objetivo de una ley de garantías es definir esas reglas.</w:t>
      </w:r>
    </w:p>
    <w:p w14:paraId="1FC9ED2F" w14:textId="77777777" w:rsidR="00E451D1" w:rsidRDefault="00E451D1" w:rsidP="00E451D1">
      <w:pPr>
        <w:spacing w:after="0" w:line="240" w:lineRule="auto"/>
        <w:ind w:left="709" w:right="709"/>
        <w:contextualSpacing/>
        <w:jc w:val="both"/>
        <w:rPr>
          <w:rFonts w:ascii="Verdana" w:eastAsia="Times New Roman" w:hAnsi="Verdana" w:cs="Arial"/>
          <w:sz w:val="20"/>
          <w:szCs w:val="20"/>
          <w:lang w:val="es-ES" w:eastAsia="es-CO"/>
        </w:rPr>
      </w:pPr>
    </w:p>
    <w:p w14:paraId="209CE4D1" w14:textId="77777777" w:rsidR="00E451D1" w:rsidRPr="00BC3A80" w:rsidRDefault="00E451D1" w:rsidP="00E451D1">
      <w:pPr>
        <w:spacing w:after="0" w:line="240" w:lineRule="auto"/>
        <w:ind w:left="709" w:right="709"/>
        <w:contextualSpacing/>
        <w:jc w:val="both"/>
        <w:rPr>
          <w:rFonts w:ascii="Verdana" w:eastAsia="Times New Roman" w:hAnsi="Verdana" w:cs="Arial"/>
          <w:sz w:val="20"/>
          <w:szCs w:val="20"/>
          <w:lang w:val="es-ES" w:eastAsia="es-CO"/>
        </w:rPr>
      </w:pPr>
      <w:r w:rsidRPr="00BC3A80">
        <w:rPr>
          <w:rFonts w:ascii="Verdana" w:eastAsia="Times New Roman" w:hAnsi="Verdana" w:cs="Arial"/>
          <w:sz w:val="20"/>
          <w:szCs w:val="20"/>
          <w:lang w:val="es-ES" w:eastAsia="es-CO"/>
        </w:rPr>
        <w:t xml:space="preserve">[…] </w:t>
      </w:r>
    </w:p>
    <w:p w14:paraId="3E02D701" w14:textId="77777777" w:rsidR="00E451D1" w:rsidRDefault="00E451D1" w:rsidP="00E451D1">
      <w:pPr>
        <w:spacing w:after="0" w:line="240" w:lineRule="auto"/>
        <w:ind w:left="709" w:right="709"/>
        <w:contextualSpacing/>
        <w:jc w:val="both"/>
        <w:rPr>
          <w:rFonts w:ascii="Verdana" w:eastAsia="Times New Roman" w:hAnsi="Verdana" w:cs="Arial"/>
          <w:sz w:val="20"/>
          <w:szCs w:val="20"/>
          <w:lang w:val="es-ES" w:eastAsia="es-CO"/>
        </w:rPr>
      </w:pPr>
    </w:p>
    <w:p w14:paraId="0DFF1A3B" w14:textId="77777777" w:rsidR="00E451D1" w:rsidRPr="00BC3A80" w:rsidRDefault="00E451D1" w:rsidP="00E451D1">
      <w:pPr>
        <w:spacing w:after="0" w:line="240" w:lineRule="auto"/>
        <w:ind w:left="709" w:right="709"/>
        <w:contextualSpacing/>
        <w:jc w:val="both"/>
        <w:rPr>
          <w:rFonts w:ascii="Verdana" w:eastAsia="Times New Roman" w:hAnsi="Verdana" w:cs="Arial"/>
          <w:sz w:val="20"/>
          <w:szCs w:val="20"/>
          <w:lang w:val="es-ES" w:eastAsia="es-CO"/>
        </w:rPr>
      </w:pPr>
      <w:r w:rsidRPr="00BC3A80">
        <w:rPr>
          <w:rFonts w:ascii="Verdana" w:eastAsia="Times New Roman" w:hAnsi="Verdana" w:cs="Arial"/>
          <w:sz w:val="20"/>
          <w:szCs w:val="20"/>
          <w:lang w:val="es-ES" w:eastAsia="es-CO"/>
        </w:rPr>
        <w:t xml:space="preserve">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w:t>
      </w:r>
      <w:r w:rsidRPr="00BC3A80">
        <w:rPr>
          <w:rFonts w:ascii="Verdana" w:eastAsia="Times New Roman" w:hAnsi="Verdana" w:cs="Arial"/>
          <w:sz w:val="20"/>
          <w:szCs w:val="20"/>
          <w:lang w:val="es-ES" w:eastAsia="es-CO"/>
        </w:rPr>
        <w:lastRenderedPageBreak/>
        <w:t>las ideas y las propuestas las que definan el ascenso al poder, y no el músculo económico de los que se lo disputan”.</w:t>
      </w:r>
      <w:r w:rsidRPr="00BC3A80">
        <w:rPr>
          <w:rFonts w:ascii="Verdana" w:hAnsi="Verdana" w:cs="Arial"/>
          <w:sz w:val="20"/>
          <w:szCs w:val="20"/>
          <w:vertAlign w:val="superscript"/>
          <w:lang w:val="es-ES"/>
        </w:rPr>
        <w:footnoteReference w:id="3"/>
      </w:r>
    </w:p>
    <w:p w14:paraId="0E9E0D3F" w14:textId="77777777" w:rsidR="00E451D1" w:rsidRPr="00BC3A80" w:rsidRDefault="00E451D1" w:rsidP="00E451D1">
      <w:pPr>
        <w:spacing w:after="0" w:line="276" w:lineRule="auto"/>
        <w:ind w:firstLine="709"/>
        <w:jc w:val="both"/>
        <w:rPr>
          <w:rFonts w:ascii="Verdana" w:eastAsia="Times New Roman" w:hAnsi="Verdana" w:cs="Arial"/>
          <w:lang w:val="es-ES" w:eastAsia="es-CO"/>
        </w:rPr>
      </w:pPr>
    </w:p>
    <w:p w14:paraId="606EEC1F" w14:textId="77777777" w:rsidR="00E451D1" w:rsidRPr="00BC3A80" w:rsidRDefault="00E451D1" w:rsidP="00E451D1">
      <w:pPr>
        <w:spacing w:after="0" w:line="276" w:lineRule="auto"/>
        <w:ind w:firstLine="709"/>
        <w:jc w:val="both"/>
        <w:rPr>
          <w:rFonts w:ascii="Verdana" w:eastAsia="Times New Roman" w:hAnsi="Verdana" w:cs="Arial"/>
          <w:lang w:val="es-ES" w:eastAsia="es-CO"/>
        </w:rPr>
      </w:pPr>
      <w:r w:rsidRPr="00BC3A80">
        <w:rPr>
          <w:rFonts w:ascii="Verdana" w:eastAsia="Times New Roman" w:hAnsi="Verdana" w:cs="Arial"/>
          <w:lang w:val="es-ES" w:eastAsia="es-CO"/>
        </w:rPr>
        <w:t>En este contexto, la Ley de Garantías Electorales establece el marco jurídico para el desarrollo de las elecciones, procurando condiciones de igualdad y transparencia para los aspirantes. Paralelamente, incluye restricciones en las actuaciones de los servidores públicos, evitando interferencias en la contienda electoral, así como la posible desviación de recursos públicos en aspiraciones electorales. Por ello, varias disposiciones de la Ley 996 de 2005, al contener normas prohibitivas, deben interpretarse restrictivamente. En efecto, la Sala de Consulta y Servicio Civil del Consejo de Estado, precisó:</w:t>
      </w:r>
    </w:p>
    <w:p w14:paraId="1A6550FB" w14:textId="77777777" w:rsidR="00E451D1" w:rsidRPr="00BC3A80" w:rsidRDefault="00E451D1" w:rsidP="00E451D1">
      <w:pPr>
        <w:spacing w:after="0" w:line="276" w:lineRule="auto"/>
        <w:ind w:firstLine="709"/>
        <w:jc w:val="both"/>
        <w:rPr>
          <w:rFonts w:ascii="Verdana" w:eastAsia="Times New Roman" w:hAnsi="Verdana" w:cs="Arial"/>
          <w:lang w:val="es-ES" w:eastAsia="es-CO"/>
        </w:rPr>
      </w:pPr>
    </w:p>
    <w:p w14:paraId="3BE0805B" w14:textId="77777777" w:rsidR="00E451D1" w:rsidRPr="00BC3A80" w:rsidRDefault="00E451D1" w:rsidP="00E451D1">
      <w:pPr>
        <w:spacing w:after="0" w:line="240" w:lineRule="auto"/>
        <w:ind w:left="709" w:right="709"/>
        <w:jc w:val="both"/>
        <w:rPr>
          <w:rFonts w:ascii="Verdana" w:eastAsia="Times New Roman" w:hAnsi="Verdana" w:cs="Arial"/>
          <w:sz w:val="20"/>
          <w:szCs w:val="20"/>
          <w:lang w:val="es-ES" w:eastAsia="es-CO"/>
        </w:rPr>
      </w:pPr>
      <w:r w:rsidRPr="00BC3A80">
        <w:rPr>
          <w:rFonts w:ascii="Verdana" w:eastAsia="Times New Roman" w:hAnsi="Verdana" w:cs="Arial"/>
          <w:sz w:val="20"/>
          <w:szCs w:val="20"/>
          <w:lang w:val="es-ES" w:eastAsia="es-CO"/>
        </w:rPr>
        <w:t xml:space="preserve">“No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w:t>
      </w:r>
      <w:proofErr w:type="spellStart"/>
      <w:r w:rsidRPr="00BC3A80">
        <w:rPr>
          <w:rFonts w:ascii="Verdana" w:eastAsia="Times New Roman" w:hAnsi="Verdana" w:cs="Arial"/>
          <w:sz w:val="20"/>
          <w:szCs w:val="20"/>
          <w:lang w:val="es-ES" w:eastAsia="es-CO"/>
        </w:rPr>
        <w:t>legis</w:t>
      </w:r>
      <w:proofErr w:type="spellEnd"/>
      <w:r w:rsidRPr="00BC3A80">
        <w:rPr>
          <w:rFonts w:ascii="Verdana" w:eastAsia="Times New Roman" w:hAnsi="Verdana" w:cs="Arial"/>
          <w:sz w:val="20"/>
          <w:szCs w:val="20"/>
          <w:lang w:val="es-ES" w:eastAsia="es-CO"/>
        </w:rPr>
        <w:t xml:space="preserve">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2EA8EE5D" w14:textId="77777777" w:rsidR="00E451D1" w:rsidRPr="00BC3A80" w:rsidRDefault="00E451D1" w:rsidP="00E451D1">
      <w:pPr>
        <w:spacing w:after="0" w:line="240" w:lineRule="auto"/>
        <w:ind w:right="709"/>
        <w:jc w:val="both"/>
        <w:rPr>
          <w:rFonts w:ascii="Verdana" w:eastAsia="Times New Roman" w:hAnsi="Verdana" w:cs="Arial"/>
          <w:lang w:val="es-ES" w:eastAsia="es-CO"/>
        </w:rPr>
      </w:pPr>
    </w:p>
    <w:p w14:paraId="21CD2E51" w14:textId="77777777" w:rsidR="00E451D1" w:rsidRPr="00BC3A80" w:rsidRDefault="00E451D1" w:rsidP="00E451D1">
      <w:pPr>
        <w:spacing w:after="0" w:line="240" w:lineRule="auto"/>
        <w:ind w:left="709" w:right="709"/>
        <w:jc w:val="both"/>
        <w:rPr>
          <w:rFonts w:ascii="Verdana" w:eastAsia="Times New Roman" w:hAnsi="Verdana" w:cs="Arial"/>
          <w:sz w:val="20"/>
          <w:szCs w:val="20"/>
          <w:lang w:val="es-ES" w:eastAsia="es-CO"/>
        </w:rPr>
      </w:pPr>
      <w:r w:rsidRPr="00BC3A80">
        <w:rPr>
          <w:rFonts w:ascii="Verdana" w:eastAsia="Times New Roman" w:hAnsi="Verdana" w:cs="Arial"/>
          <w:sz w:val="20"/>
          <w:szCs w:val="20"/>
          <w:lang w:val="es-ES" w:eastAsia="es-CO"/>
        </w:rPr>
        <w:t>La jurisprudencia de la Corte Constitucional</w:t>
      </w:r>
      <w:r w:rsidRPr="00BC3A80">
        <w:rPr>
          <w:rFonts w:ascii="Verdana" w:eastAsia="Times New Roman" w:hAnsi="Verdana" w:cs="Arial"/>
          <w:sz w:val="20"/>
          <w:szCs w:val="20"/>
          <w:vertAlign w:val="superscript"/>
          <w:lang w:val="es-ES" w:eastAsia="es-CO"/>
        </w:rPr>
        <w:footnoteReference w:id="4"/>
      </w:r>
      <w:r w:rsidRPr="00BC3A80">
        <w:rPr>
          <w:rFonts w:ascii="Verdana" w:eastAsia="Times New Roman" w:hAnsi="Verdana" w:cs="Arial"/>
          <w:sz w:val="20"/>
          <w:szCs w:val="20"/>
          <w:lang w:val="es-ES" w:eastAsia="es-CO"/>
        </w:rPr>
        <w:t> y del Consejo de Estado</w:t>
      </w:r>
      <w:r w:rsidRPr="00BC3A80">
        <w:rPr>
          <w:rFonts w:ascii="Verdana" w:eastAsia="Times New Roman" w:hAnsi="Verdana" w:cs="Arial"/>
          <w:sz w:val="20"/>
          <w:szCs w:val="20"/>
          <w:vertAlign w:val="superscript"/>
          <w:lang w:val="es-ES" w:eastAsia="es-CO"/>
        </w:rPr>
        <w:footnoteReference w:id="5"/>
      </w:r>
      <w:r w:rsidRPr="00BC3A80">
        <w:rPr>
          <w:rFonts w:ascii="Verdana" w:eastAsia="Times New Roman" w:hAnsi="Verdana" w:cs="Arial"/>
          <w:sz w:val="20"/>
          <w:szCs w:val="20"/>
          <w:lang w:val="es-ES" w:eastAsia="es-CO"/>
        </w:rPr>
        <w:t>,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sidRPr="00BC3A80">
        <w:rPr>
          <w:rFonts w:ascii="Verdana" w:eastAsia="Times New Roman" w:hAnsi="Verdana" w:cs="Arial"/>
          <w:sz w:val="20"/>
          <w:szCs w:val="20"/>
          <w:vertAlign w:val="superscript"/>
          <w:lang w:val="es-ES" w:eastAsia="es-CO"/>
        </w:rPr>
        <w:footnoteReference w:id="6"/>
      </w:r>
      <w:r w:rsidRPr="00BC3A80">
        <w:rPr>
          <w:rFonts w:ascii="Verdana" w:eastAsia="Times New Roman" w:hAnsi="Verdana" w:cs="Arial"/>
          <w:sz w:val="20"/>
          <w:szCs w:val="20"/>
          <w:lang w:val="es-ES" w:eastAsia="es-CO"/>
        </w:rPr>
        <w:t>.</w:t>
      </w:r>
    </w:p>
    <w:p w14:paraId="5776ACAC" w14:textId="77777777" w:rsidR="00E451D1" w:rsidRPr="00BC3A80" w:rsidRDefault="00E451D1" w:rsidP="00E451D1">
      <w:pPr>
        <w:spacing w:after="0" w:line="276" w:lineRule="auto"/>
        <w:jc w:val="both"/>
        <w:rPr>
          <w:rFonts w:ascii="Verdana" w:hAnsi="Verdana" w:cs="Arial"/>
          <w:bCs/>
          <w:lang w:val="es-ES"/>
        </w:rPr>
      </w:pPr>
    </w:p>
    <w:p w14:paraId="7ECB14C1" w14:textId="77777777" w:rsidR="00E451D1" w:rsidRPr="00BC3A80" w:rsidRDefault="00E451D1" w:rsidP="00E451D1">
      <w:pPr>
        <w:spacing w:after="0" w:line="276" w:lineRule="auto"/>
        <w:ind w:firstLine="709"/>
        <w:jc w:val="both"/>
        <w:rPr>
          <w:rFonts w:ascii="Verdana" w:eastAsia="Arial" w:hAnsi="Verdana" w:cs="Arial"/>
          <w:lang w:val="es-ES" w:eastAsia="es-ES" w:bidi="es-ES"/>
        </w:rPr>
      </w:pPr>
      <w:r w:rsidRPr="00BC3A80">
        <w:rPr>
          <w:rFonts w:ascii="Verdana" w:eastAsia="Times New Roman" w:hAnsi="Verdana" w:cs="Arial"/>
          <w:lang w:val="es-ES" w:eastAsia="es-CO"/>
        </w:rPr>
        <w:t>De</w:t>
      </w:r>
      <w:r w:rsidRPr="00BC3A80">
        <w:rPr>
          <w:rFonts w:ascii="Verdana" w:eastAsia="Arial" w:hAnsi="Verdana" w:cs="Arial"/>
          <w:lang w:val="es-ES" w:eastAsia="es-ES" w:bidi="es-ES"/>
        </w:rPr>
        <w:t xml:space="preserve"> conformidad con lo anterior, la Ley de Garantías Electorales estableció una serie de regulaciones y prohibiciones dirigidas a los servidores públicos. Con la finalidad de preservar la igualdad entre los candidatos en las elecciones, aumentó las garantías en materia de contratación, de forma que no exista siquiera sospecha de que, por ese medio, en los periodos previos a la contienda electoral, se alteren las condiciones de igualdad entre los candidatos. </w:t>
      </w:r>
    </w:p>
    <w:p w14:paraId="4FE81AE3" w14:textId="77777777" w:rsidR="00E451D1" w:rsidRPr="00BC3A80" w:rsidRDefault="00E451D1" w:rsidP="00E451D1">
      <w:pPr>
        <w:spacing w:after="0" w:line="276" w:lineRule="auto"/>
        <w:ind w:firstLine="709"/>
        <w:jc w:val="both"/>
        <w:rPr>
          <w:rFonts w:ascii="Verdana" w:eastAsia="Arial" w:hAnsi="Verdana" w:cs="Arial"/>
          <w:lang w:val="es-ES" w:eastAsia="es-ES" w:bidi="es-ES"/>
        </w:rPr>
      </w:pPr>
    </w:p>
    <w:p w14:paraId="165C4A2A" w14:textId="77777777" w:rsidR="00E451D1" w:rsidRPr="00BC3A80" w:rsidRDefault="00E451D1" w:rsidP="00E451D1">
      <w:pPr>
        <w:spacing w:after="120" w:line="276" w:lineRule="auto"/>
        <w:jc w:val="both"/>
        <w:rPr>
          <w:rFonts w:ascii="Verdana" w:eastAsia="Arial" w:hAnsi="Verdana" w:cs="Arial"/>
          <w:lang w:val="es-ES" w:eastAsia="es-ES" w:bidi="es-ES"/>
        </w:rPr>
      </w:pPr>
      <w:proofErr w:type="spellStart"/>
      <w:r w:rsidRPr="00BC3A80">
        <w:rPr>
          <w:rFonts w:ascii="Verdana" w:eastAsia="Arial" w:hAnsi="Verdana" w:cs="Arial"/>
          <w:lang w:val="es-ES" w:eastAsia="es-ES" w:bidi="es-ES"/>
        </w:rPr>
        <w:t>ii</w:t>
      </w:r>
      <w:proofErr w:type="spellEnd"/>
      <w:r w:rsidRPr="00BC3A80">
        <w:rPr>
          <w:rFonts w:ascii="Verdana" w:eastAsia="Arial" w:hAnsi="Verdana" w:cs="Arial"/>
          <w:lang w:val="es-ES" w:eastAsia="es-ES" w:bidi="es-ES"/>
        </w:rPr>
        <w:t xml:space="preserve">. Las restricciones consagradas en la Ley de Garantías </w:t>
      </w:r>
      <w:r>
        <w:rPr>
          <w:rFonts w:ascii="Verdana" w:eastAsia="Arial" w:hAnsi="Verdana" w:cs="Arial"/>
          <w:lang w:val="es-ES" w:eastAsia="es-ES" w:bidi="es-ES"/>
        </w:rPr>
        <w:t xml:space="preserve">Electorales </w:t>
      </w:r>
      <w:r w:rsidRPr="00BC3A80">
        <w:rPr>
          <w:rFonts w:ascii="Verdana" w:eastAsia="Arial" w:hAnsi="Verdana" w:cs="Arial"/>
          <w:lang w:val="es-ES" w:eastAsia="es-ES" w:bidi="es-ES"/>
        </w:rPr>
        <w:t>se dirigen a dos (2) tipos de campañas electorales diferenciadas: las presidenciales y las que se adelanten para la elección de los demás cargos de elección popular, tanto a nivel nacional como territorial.</w:t>
      </w:r>
    </w:p>
    <w:p w14:paraId="6D95DC9C" w14:textId="77777777" w:rsidR="00E451D1" w:rsidRPr="00BC3A80" w:rsidRDefault="00E451D1" w:rsidP="00E451D1">
      <w:pPr>
        <w:spacing w:after="120" w:line="276" w:lineRule="auto"/>
        <w:ind w:firstLine="708"/>
        <w:jc w:val="both"/>
        <w:rPr>
          <w:rFonts w:ascii="Verdana" w:hAnsi="Verdana" w:cs="Arial"/>
          <w:lang w:val="es-ES"/>
        </w:rPr>
      </w:pPr>
      <w:r w:rsidRPr="00BC3A80">
        <w:rPr>
          <w:rFonts w:ascii="Verdana" w:hAnsi="Verdana" w:cs="Arial"/>
          <w:lang w:val="es-ES"/>
        </w:rPr>
        <w:t xml:space="preserve">Por un lado, el </w:t>
      </w:r>
      <w:r w:rsidRPr="00BC3A80">
        <w:rPr>
          <w:rFonts w:ascii="Verdana" w:hAnsi="Verdana" w:cs="Arial"/>
          <w:i/>
          <w:iCs/>
          <w:lang w:val="es-ES"/>
        </w:rPr>
        <w:t xml:space="preserve">artículo 33 </w:t>
      </w:r>
      <w:r w:rsidRPr="00BC3A80">
        <w:rPr>
          <w:rFonts w:ascii="Verdana" w:hAnsi="Verdana" w:cs="Arial"/>
          <w:lang w:val="es-ES"/>
        </w:rPr>
        <w:t xml:space="preserve">de la Ley 996 de 2005 prohíbe “[…] la contratación directa por parte de </w:t>
      </w:r>
      <w:r w:rsidRPr="00BC3A80">
        <w:rPr>
          <w:rFonts w:ascii="Verdana" w:hAnsi="Verdana" w:cs="Arial"/>
          <w:i/>
          <w:iCs/>
          <w:lang w:val="es-ES"/>
        </w:rPr>
        <w:t>todos los entes del Estado</w:t>
      </w:r>
      <w:r w:rsidRPr="00BC3A80">
        <w:rPr>
          <w:rFonts w:ascii="Verdana" w:hAnsi="Verdana" w:cs="Arial"/>
          <w:lang w:val="es-ES"/>
        </w:rPr>
        <w:t xml:space="preserve">” durante los cuatro (4) meses anteriores a las </w:t>
      </w:r>
      <w:r w:rsidRPr="00BC3A80">
        <w:rPr>
          <w:rFonts w:ascii="Verdana" w:hAnsi="Verdana" w:cs="Arial"/>
          <w:i/>
          <w:iCs/>
          <w:lang w:val="es-ES"/>
        </w:rPr>
        <w:t>elecciones presidenciales</w:t>
      </w:r>
      <w:r w:rsidRPr="00BC3A80">
        <w:rPr>
          <w:rFonts w:ascii="Verdana" w:hAnsi="Verdana" w:cs="Arial"/>
          <w:lang w:val="es-ES"/>
        </w:rPr>
        <w:t>,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BC3A80">
        <w:rPr>
          <w:rFonts w:ascii="Verdana" w:hAnsi="Verdana" w:cs="Arial"/>
          <w:vertAlign w:val="superscript"/>
          <w:lang w:val="es-ES"/>
        </w:rPr>
        <w:footnoteReference w:id="7"/>
      </w:r>
      <w:r w:rsidRPr="00BC3A80">
        <w:rPr>
          <w:rFonts w:ascii="Verdana" w:hAnsi="Verdana" w:cs="Arial"/>
          <w:lang w:val="es-ES"/>
        </w:rPr>
        <w:t>.</w:t>
      </w:r>
    </w:p>
    <w:p w14:paraId="293D4515" w14:textId="77777777" w:rsidR="00E451D1" w:rsidRPr="00BC3A80" w:rsidRDefault="00E451D1" w:rsidP="00E451D1">
      <w:pPr>
        <w:widowControl w:val="0"/>
        <w:autoSpaceDE w:val="0"/>
        <w:autoSpaceDN w:val="0"/>
        <w:spacing w:after="120" w:line="276" w:lineRule="auto"/>
        <w:ind w:right="113" w:firstLine="709"/>
        <w:jc w:val="both"/>
        <w:rPr>
          <w:rFonts w:ascii="Verdana" w:eastAsia="Arial" w:hAnsi="Verdana" w:cs="Arial"/>
          <w:lang w:val="es-ES" w:eastAsia="es-ES" w:bidi="es-ES"/>
        </w:rPr>
      </w:pPr>
      <w:r w:rsidRPr="00BC3A80">
        <w:rPr>
          <w:rFonts w:ascii="Verdana" w:hAnsi="Verdana" w:cs="Arial"/>
          <w:lang w:val="es-ES"/>
        </w:rPr>
        <w:t xml:space="preserve">Por otro lado, </w:t>
      </w:r>
      <w:r w:rsidRPr="00BC3A80">
        <w:rPr>
          <w:rFonts w:ascii="Verdana" w:hAnsi="Verdana" w:cs="Arial"/>
          <w:i/>
          <w:iCs/>
          <w:lang w:val="es-ES"/>
        </w:rPr>
        <w:t xml:space="preserve">el parágrafo del artículo 38 </w:t>
      </w:r>
      <w:r w:rsidRPr="00BC3A80">
        <w:rPr>
          <w:rFonts w:ascii="Verdana" w:hAnsi="Verdana" w:cs="Arial"/>
          <w:lang w:val="es-ES"/>
        </w:rPr>
        <w:t xml:space="preserve">de la Ley 996 de 2005 prevé una restricción, aplicable respecto de </w:t>
      </w:r>
      <w:r w:rsidRPr="00BC3A80">
        <w:rPr>
          <w:rFonts w:ascii="Verdana" w:hAnsi="Verdana" w:cs="Arial"/>
          <w:i/>
          <w:iCs/>
          <w:lang w:val="es-ES"/>
        </w:rPr>
        <w:t>cualquier tipo de contienda electoral</w:t>
      </w:r>
      <w:r w:rsidRPr="00BC3A80">
        <w:rPr>
          <w:rFonts w:ascii="Verdana" w:hAnsi="Verdana" w:cs="Arial"/>
          <w:lang w:val="es-ES"/>
        </w:rPr>
        <w:t xml:space="preserve">, que prohíbe a los gobernadores, alcaldes municipales o distritales, secretarios, gerentes y directores de entidades descentralizadas del orden municipal, departamental o distrital “[…] celebrar convenios interadministrativos para la ejecución de recursos públicos, ni participar, promover y destinar recursos públicos de las entidades a su cargo, como tampoco de las que participen como miembros de sus juntas directivas, en o para reuniones de carácter </w:t>
      </w:r>
      <w:r w:rsidRPr="00BC3A80">
        <w:rPr>
          <w:rFonts w:ascii="Verdana" w:hAnsi="Verdana" w:cs="Arial"/>
          <w:lang w:val="es-ES"/>
        </w:rPr>
        <w:lastRenderedPageBreak/>
        <w:t>proselitista”</w:t>
      </w:r>
      <w:r w:rsidRPr="00BC3A80">
        <w:rPr>
          <w:rFonts w:ascii="Verdana" w:hAnsi="Verdana" w:cs="Arial"/>
          <w:vertAlign w:val="superscript"/>
          <w:lang w:val="es-ES"/>
        </w:rPr>
        <w:footnoteReference w:id="8"/>
      </w:r>
      <w:r w:rsidRPr="00BC3A80">
        <w:rPr>
          <w:rFonts w:ascii="Verdana" w:hAnsi="Verdana" w:cs="Arial"/>
          <w:lang w:val="es-ES"/>
        </w:rPr>
        <w:t>.</w:t>
      </w:r>
      <w:r w:rsidRPr="00BC3A80">
        <w:rPr>
          <w:rFonts w:ascii="Verdana" w:eastAsia="Arial" w:hAnsi="Verdana" w:cs="Arial"/>
          <w:lang w:val="es-ES" w:eastAsia="es-ES" w:bidi="es-ES"/>
        </w:rPr>
        <w:t xml:space="preserve"> </w:t>
      </w:r>
    </w:p>
    <w:p w14:paraId="2E900C93" w14:textId="77777777" w:rsidR="00E451D1" w:rsidRPr="00BC3A80" w:rsidRDefault="00E451D1" w:rsidP="00E451D1">
      <w:pPr>
        <w:widowControl w:val="0"/>
        <w:autoSpaceDE w:val="0"/>
        <w:autoSpaceDN w:val="0"/>
        <w:spacing w:after="0" w:line="276" w:lineRule="auto"/>
        <w:ind w:right="113" w:firstLine="708"/>
        <w:contextualSpacing/>
        <w:jc w:val="both"/>
        <w:rPr>
          <w:rFonts w:ascii="Verdana" w:eastAsia="Arial" w:hAnsi="Verdana" w:cs="Arial"/>
          <w:lang w:val="es-ES" w:eastAsia="es-ES" w:bidi="es-ES"/>
        </w:rPr>
      </w:pPr>
      <w:r w:rsidRPr="00BC3A80">
        <w:rPr>
          <w:rFonts w:ascii="Verdana" w:eastAsia="Arial" w:hAnsi="Verdana" w:cs="Arial"/>
          <w:lang w:val="es-ES" w:eastAsia="es-ES" w:bidi="es-ES"/>
        </w:rPr>
        <w:t>La Sala de Consulta y Servicio Civil del Consejo de Estado ha aclarado la distinción en la aplicación de las prohibiciones de la Ley 996 de 2005, dependiendo del tipo de elección que se trate. Al respecto, señala:</w:t>
      </w:r>
    </w:p>
    <w:p w14:paraId="673F23FD" w14:textId="77777777" w:rsidR="00E451D1" w:rsidRPr="00BC3A80" w:rsidRDefault="00E451D1" w:rsidP="00E451D1">
      <w:pPr>
        <w:widowControl w:val="0"/>
        <w:autoSpaceDE w:val="0"/>
        <w:autoSpaceDN w:val="0"/>
        <w:spacing w:after="0" w:line="240" w:lineRule="auto"/>
        <w:ind w:left="805" w:right="812"/>
        <w:contextualSpacing/>
        <w:jc w:val="both"/>
        <w:rPr>
          <w:rFonts w:ascii="Verdana" w:eastAsia="Arial" w:hAnsi="Verdana" w:cs="Arial"/>
          <w:lang w:val="es-ES" w:eastAsia="es-ES" w:bidi="es-ES"/>
        </w:rPr>
      </w:pPr>
    </w:p>
    <w:p w14:paraId="7C5490C6" w14:textId="77777777" w:rsidR="00E451D1" w:rsidRPr="00BC3A80" w:rsidRDefault="00E451D1" w:rsidP="00E451D1">
      <w:pPr>
        <w:widowControl w:val="0"/>
        <w:autoSpaceDE w:val="0"/>
        <w:autoSpaceDN w:val="0"/>
        <w:spacing w:after="0" w:line="240" w:lineRule="auto"/>
        <w:ind w:left="709" w:right="709"/>
        <w:jc w:val="both"/>
        <w:rPr>
          <w:rFonts w:ascii="Verdana" w:eastAsia="Arial" w:hAnsi="Verdana" w:cs="Arial"/>
          <w:sz w:val="20"/>
          <w:szCs w:val="20"/>
          <w:lang w:val="es-ES" w:eastAsia="es-ES" w:bidi="es-ES"/>
        </w:rPr>
      </w:pPr>
      <w:r w:rsidRPr="00BC3A80">
        <w:rPr>
          <w:rFonts w:ascii="Verdana" w:eastAsia="Arial" w:hAnsi="Verdana" w:cs="Arial"/>
          <w:sz w:val="20"/>
          <w:szCs w:val="20"/>
          <w:lang w:val="es-ES" w:eastAsia="es-ES" w:bidi="es-ES"/>
        </w:rPr>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se integran parcialmente, lo que permite concluir que en periodo preelectoral para elección de Presidente de la República, a todos los entes del Estado, incluidos los territoriales, se aplican las restricciones de los artículos 32 y 33 con sus excepciones, así como las del parágrafo del artículo 38. En cambio, para elecciones en general, excluyendo las correspondientes a </w:t>
      </w:r>
      <w:proofErr w:type="gramStart"/>
      <w:r w:rsidRPr="00BC3A80">
        <w:rPr>
          <w:rFonts w:ascii="Verdana" w:eastAsia="Arial" w:hAnsi="Verdana" w:cs="Arial"/>
          <w:sz w:val="20"/>
          <w:szCs w:val="20"/>
          <w:lang w:val="es-ES" w:eastAsia="es-ES" w:bidi="es-ES"/>
        </w:rPr>
        <w:t>Presidente</w:t>
      </w:r>
      <w:proofErr w:type="gramEnd"/>
      <w:r w:rsidRPr="00BC3A80">
        <w:rPr>
          <w:rFonts w:ascii="Verdana" w:eastAsia="Arial" w:hAnsi="Verdana" w:cs="Arial"/>
          <w:sz w:val="20"/>
          <w:szCs w:val="20"/>
          <w:lang w:val="es-ES" w:eastAsia="es-ES" w:bidi="es-ES"/>
        </w:rPr>
        <w:t xml:space="preserve"> de la República, a las autoridades territoriales allí mencionadas sólo se aplican las restricciones contenidas en el parágrafo del artículo 38</w:t>
      </w:r>
      <w:r w:rsidRPr="00BC3A80">
        <w:rPr>
          <w:rFonts w:ascii="Verdana" w:eastAsia="Arial" w:hAnsi="Verdana" w:cs="Arial"/>
          <w:sz w:val="20"/>
          <w:szCs w:val="20"/>
          <w:vertAlign w:val="superscript"/>
          <w:lang w:val="es-ES" w:eastAsia="es-ES" w:bidi="es-ES"/>
        </w:rPr>
        <w:footnoteReference w:id="9"/>
      </w:r>
      <w:r w:rsidRPr="00BC3A80">
        <w:rPr>
          <w:rFonts w:ascii="Verdana" w:eastAsia="Arial" w:hAnsi="Verdana" w:cs="Arial"/>
          <w:sz w:val="20"/>
          <w:szCs w:val="20"/>
          <w:lang w:val="es-ES" w:eastAsia="es-ES" w:bidi="es-ES"/>
        </w:rPr>
        <w:t>”.</w:t>
      </w:r>
    </w:p>
    <w:p w14:paraId="53430366" w14:textId="77777777" w:rsidR="00E451D1" w:rsidRPr="00BC3A80" w:rsidRDefault="00E451D1" w:rsidP="00E451D1">
      <w:pPr>
        <w:widowControl w:val="0"/>
        <w:autoSpaceDE w:val="0"/>
        <w:autoSpaceDN w:val="0"/>
        <w:spacing w:after="0" w:line="276" w:lineRule="auto"/>
        <w:contextualSpacing/>
        <w:rPr>
          <w:rFonts w:ascii="Verdana" w:eastAsia="Arial" w:hAnsi="Verdana" w:cs="Arial"/>
          <w:lang w:val="es-ES" w:eastAsia="es-ES" w:bidi="es-ES"/>
        </w:rPr>
      </w:pPr>
    </w:p>
    <w:p w14:paraId="4CE6497A" w14:textId="77777777" w:rsidR="00E451D1" w:rsidRPr="00BC3A80" w:rsidRDefault="00E451D1" w:rsidP="00E451D1">
      <w:pPr>
        <w:spacing w:after="120" w:line="276" w:lineRule="auto"/>
        <w:ind w:firstLine="709"/>
        <w:jc w:val="both"/>
        <w:rPr>
          <w:rFonts w:ascii="Verdana" w:eastAsia="Arial" w:hAnsi="Verdana" w:cs="Arial"/>
          <w:lang w:val="es-ES" w:eastAsia="es-ES" w:bidi="es-ES"/>
        </w:rPr>
      </w:pPr>
      <w:r w:rsidRPr="00BC3A80">
        <w:rPr>
          <w:rFonts w:ascii="Verdana" w:eastAsia="Arial" w:hAnsi="Verdana" w:cs="Arial"/>
          <w:lang w:val="es-ES" w:eastAsia="es-ES" w:bidi="es-ES"/>
        </w:rPr>
        <w:t xml:space="preserve">De conformidad con lo anterior, la Ley 996 de 2005 establece dos (2) tipos de restricciones en materia de contratación, las cuales coinciden parcialmente. </w:t>
      </w:r>
      <w:r w:rsidRPr="00BC3A80">
        <w:rPr>
          <w:rFonts w:ascii="Verdana" w:eastAsia="Arial" w:hAnsi="Verdana" w:cs="Arial"/>
          <w:i/>
          <w:lang w:val="es-ES" w:eastAsia="es-ES" w:bidi="es-ES"/>
        </w:rPr>
        <w:t>En primer lugar</w:t>
      </w:r>
      <w:r w:rsidRPr="00BC3A80">
        <w:rPr>
          <w:rFonts w:ascii="Verdana" w:eastAsia="Arial" w:hAnsi="Verdana" w:cs="Arial"/>
          <w:lang w:val="es-ES" w:eastAsia="es-ES" w:bidi="es-ES"/>
        </w:rPr>
        <w:t xml:space="preserve">, la del artículo 33 que aplica 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(3) semanas más tarde, en la que sólo participarán los dos candidatos que hubieren obtenido las votaciones </w:t>
      </w:r>
      <w:r w:rsidRPr="00BC3A80">
        <w:rPr>
          <w:rFonts w:ascii="Verdana" w:eastAsia="Arial" w:hAnsi="Verdana" w:cs="Arial"/>
          <w:lang w:val="es-ES" w:eastAsia="es-ES" w:bidi="es-ES"/>
        </w:rPr>
        <w:lastRenderedPageBreak/>
        <w:t xml:space="preserve">más altas, de conformidad con el artículo 190 de la Constitución Política. Para estos efectos, la restricción se extenderá hasta la fecha en la que se realice la segunda vuelta. </w:t>
      </w:r>
      <w:r w:rsidRPr="00BC3A80">
        <w:rPr>
          <w:rFonts w:ascii="Verdana" w:eastAsia="Arial" w:hAnsi="Verdana" w:cs="Arial"/>
          <w:i/>
          <w:lang w:val="es-ES" w:eastAsia="es-ES" w:bidi="es-ES"/>
        </w:rPr>
        <w:t>En segundo lugar</w:t>
      </w:r>
      <w:r w:rsidRPr="00BC3A80">
        <w:rPr>
          <w:rFonts w:ascii="Verdana" w:eastAsia="Arial" w:hAnsi="Verdana" w:cs="Arial"/>
          <w:lang w:val="es-ES" w:eastAsia="es-ES" w:bidi="es-ES"/>
        </w:rPr>
        <w:t>,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r>
        <w:rPr>
          <w:rFonts w:ascii="Verdana" w:eastAsia="Arial" w:hAnsi="Verdana" w:cs="Arial"/>
          <w:lang w:val="es-ES" w:eastAsia="es-ES" w:bidi="es-ES"/>
        </w:rPr>
        <w:t xml:space="preserve"> para los sujetos señalados en la disposición</w:t>
      </w:r>
      <w:r w:rsidRPr="00BC3A80">
        <w:rPr>
          <w:rFonts w:ascii="Verdana" w:eastAsia="Arial" w:hAnsi="Verdana" w:cs="Arial"/>
          <w:lang w:val="es-ES" w:eastAsia="es-ES" w:bidi="es-ES"/>
        </w:rPr>
        <w:t>.</w:t>
      </w:r>
    </w:p>
    <w:p w14:paraId="399DBCF7" w14:textId="77777777" w:rsidR="00E451D1" w:rsidRPr="00BC3A80" w:rsidRDefault="00E451D1" w:rsidP="00E451D1">
      <w:pPr>
        <w:spacing w:after="120" w:line="276" w:lineRule="auto"/>
        <w:ind w:firstLine="709"/>
        <w:jc w:val="both"/>
        <w:rPr>
          <w:rFonts w:ascii="Verdana" w:eastAsia="Arial" w:hAnsi="Verdana" w:cs="Arial"/>
          <w:lang w:val="es-ES" w:eastAsia="es-ES" w:bidi="es-ES"/>
        </w:rPr>
      </w:pPr>
      <w:r w:rsidRPr="00BC3A80">
        <w:rPr>
          <w:rFonts w:ascii="Verdana" w:eastAsia="Arial" w:hAnsi="Verdana" w:cs="Arial"/>
          <w:lang w:val="es-ES" w:eastAsia="es-ES" w:bidi="es-ES"/>
        </w:rPr>
        <w:t xml:space="preserve">Ambas restricciones no son excluyentes, lo que permite concluir que, en el período preelectoral para elección de </w:t>
      </w:r>
      <w:proofErr w:type="gramStart"/>
      <w:r w:rsidRPr="00BC3A80">
        <w:rPr>
          <w:rFonts w:ascii="Verdana" w:eastAsia="Arial" w:hAnsi="Verdana" w:cs="Arial"/>
          <w:lang w:val="es-ES" w:eastAsia="es-ES" w:bidi="es-ES"/>
        </w:rPr>
        <w:t>Presidente</w:t>
      </w:r>
      <w:proofErr w:type="gramEnd"/>
      <w:r w:rsidRPr="00BC3A80">
        <w:rPr>
          <w:rFonts w:ascii="Verdana" w:eastAsia="Arial" w:hAnsi="Verdana" w:cs="Arial"/>
          <w:lang w:val="es-ES" w:eastAsia="es-ES" w:bidi="es-ES"/>
        </w:rPr>
        <w:t xml:space="preserve"> de la República, aplican las restricciones del artículo 33 con sus excepciones, así como las del parágrafo del artículo 38, a todos los entes del Estado. En cambio, tratándose de elecciones en general, excluyendo las correspondientes al </w:t>
      </w:r>
      <w:proofErr w:type="gramStart"/>
      <w:r w:rsidRPr="00BC3A80">
        <w:rPr>
          <w:rFonts w:ascii="Verdana" w:eastAsia="Arial" w:hAnsi="Verdana" w:cs="Arial"/>
          <w:lang w:val="es-ES" w:eastAsia="es-ES" w:bidi="es-ES"/>
        </w:rPr>
        <w:t>Presidente</w:t>
      </w:r>
      <w:proofErr w:type="gramEnd"/>
      <w:r w:rsidRPr="00BC3A80">
        <w:rPr>
          <w:rFonts w:ascii="Verdana" w:eastAsia="Arial" w:hAnsi="Verdana" w:cs="Arial"/>
          <w:lang w:val="es-ES" w:eastAsia="es-ES" w:bidi="es-ES"/>
        </w:rPr>
        <w:t xml:space="preserve"> de la República, las autoridades allí mencionadas sólo deben aplicar las restricciones contenidas en el parágrafo del artículo 38.</w:t>
      </w:r>
    </w:p>
    <w:p w14:paraId="73671BEE" w14:textId="77777777" w:rsidR="00E451D1" w:rsidRPr="00BC3A80" w:rsidRDefault="00E451D1" w:rsidP="00E451D1">
      <w:pPr>
        <w:spacing w:after="0" w:line="276" w:lineRule="auto"/>
        <w:ind w:firstLine="709"/>
        <w:jc w:val="both"/>
        <w:rPr>
          <w:rFonts w:ascii="Verdana" w:eastAsia="Arial" w:hAnsi="Verdana" w:cs="Arial"/>
          <w:lang w:val="es-ES" w:eastAsia="es-ES" w:bidi="es-ES"/>
        </w:rPr>
      </w:pPr>
      <w:r w:rsidRPr="00BC3A80">
        <w:rPr>
          <w:rFonts w:ascii="Verdana" w:eastAsia="Arial" w:hAnsi="Verdana" w:cs="Arial"/>
          <w:lang w:val="es-ES" w:eastAsia="es-ES" w:bidi="es-ES"/>
        </w:rPr>
        <w:t xml:space="preserve">La Corte Constitucional, en la Sentencia C-1153 del 11 de noviembre de 2005, señaló que, para que la garantía sea plena, era necesario que la prohibición se aplicara para el </w:t>
      </w:r>
      <w:proofErr w:type="gramStart"/>
      <w:r w:rsidRPr="00BC3A80">
        <w:rPr>
          <w:rFonts w:ascii="Verdana" w:eastAsia="Arial" w:hAnsi="Verdana" w:cs="Arial"/>
          <w:lang w:val="es-ES" w:eastAsia="es-ES" w:bidi="es-ES"/>
        </w:rPr>
        <w:t>Presidente</w:t>
      </w:r>
      <w:proofErr w:type="gramEnd"/>
      <w:r w:rsidRPr="00BC3A80">
        <w:rPr>
          <w:rFonts w:ascii="Verdana" w:eastAsia="Arial" w:hAnsi="Verdana" w:cs="Arial"/>
          <w:lang w:val="es-ES" w:eastAsia="es-ES" w:bidi="es-ES"/>
        </w:rPr>
        <w:t xml:space="preserve"> o el </w:t>
      </w:r>
      <w:proofErr w:type="gramStart"/>
      <w:r w:rsidRPr="00BC3A80">
        <w:rPr>
          <w:rFonts w:ascii="Verdana" w:eastAsia="Arial" w:hAnsi="Verdana" w:cs="Arial"/>
          <w:lang w:val="es-ES" w:eastAsia="es-ES" w:bidi="es-ES"/>
        </w:rPr>
        <w:t>Vicepresidente</w:t>
      </w:r>
      <w:proofErr w:type="gramEnd"/>
      <w:r w:rsidRPr="00BC3A80">
        <w:rPr>
          <w:rFonts w:ascii="Verdana" w:eastAsia="Arial" w:hAnsi="Verdana" w:cs="Arial"/>
          <w:lang w:val="es-ES" w:eastAsia="es-ES" w:bidi="es-ES"/>
        </w:rPr>
        <w:t xml:space="preserve"> desde que éstos –estando en ejercicio de su cargo– manifiesten el interés de ser candidato presidencial, lo cual debe ocurrir seis (6) meses antes de la elección en primera vuelta, de acuerdo con el artículo 9 de la Ley 996 de 2005. Sin embargo, el condicionamiento impuesto por la Corte Constitucional, relacionado con el momento en que estas restricciones empiezan a regir para el </w:t>
      </w:r>
      <w:proofErr w:type="gramStart"/>
      <w:r w:rsidRPr="00BC3A80">
        <w:rPr>
          <w:rFonts w:ascii="Verdana" w:eastAsia="Arial" w:hAnsi="Verdana" w:cs="Arial"/>
          <w:lang w:val="es-ES" w:eastAsia="es-ES" w:bidi="es-ES"/>
        </w:rPr>
        <w:t>Presidente</w:t>
      </w:r>
      <w:proofErr w:type="gramEnd"/>
      <w:r w:rsidRPr="00BC3A80">
        <w:rPr>
          <w:rFonts w:ascii="Verdana" w:eastAsia="Arial" w:hAnsi="Verdana" w:cs="Arial"/>
          <w:lang w:val="es-ES" w:eastAsia="es-ES" w:bidi="es-ES"/>
        </w:rPr>
        <w:t xml:space="preserve"> y el </w:t>
      </w:r>
      <w:proofErr w:type="gramStart"/>
      <w:r w:rsidRPr="00BC3A80">
        <w:rPr>
          <w:rFonts w:ascii="Verdana" w:eastAsia="Arial" w:hAnsi="Verdana" w:cs="Arial"/>
          <w:lang w:val="es-ES" w:eastAsia="es-ES" w:bidi="es-ES"/>
        </w:rPr>
        <w:t>Vicepresidente</w:t>
      </w:r>
      <w:proofErr w:type="gramEnd"/>
      <w:r w:rsidRPr="00BC3A80">
        <w:rPr>
          <w:rFonts w:ascii="Verdana" w:eastAsia="Arial" w:hAnsi="Verdana" w:cs="Arial"/>
          <w:lang w:val="es-ES" w:eastAsia="es-ES" w:bidi="es-ES"/>
        </w:rPr>
        <w:t xml:space="preserve"> de la República, ha perdido vigencia ante la prohibición de la reelección presidencial, restablecida por el Acto Legislativo 2 de 2015. Esto, excepto para el </w:t>
      </w:r>
      <w:proofErr w:type="gramStart"/>
      <w:r w:rsidRPr="00BC3A80">
        <w:rPr>
          <w:rFonts w:ascii="Verdana" w:eastAsia="Arial" w:hAnsi="Verdana" w:cs="Arial"/>
          <w:lang w:val="es-ES" w:eastAsia="es-ES" w:bidi="es-ES"/>
        </w:rPr>
        <w:t>Vicepresidente</w:t>
      </w:r>
      <w:proofErr w:type="gramEnd"/>
      <w:r w:rsidRPr="00BC3A80">
        <w:rPr>
          <w:rFonts w:ascii="Verdana" w:eastAsia="Arial" w:hAnsi="Verdana" w:cs="Arial"/>
          <w:lang w:val="es-ES" w:eastAsia="es-ES" w:bidi="es-ES"/>
        </w:rPr>
        <w:t xml:space="preserve"> que no haya ejercido la presidencia o que la haya ejercido por un tiempo inferior a tres (3) meses durante el respectivo cuatrienio, en forma continua o discontinua, conforme al artículo 197 de la Constitución Política. </w:t>
      </w:r>
    </w:p>
    <w:p w14:paraId="55A76F3F" w14:textId="77777777" w:rsidR="00E451D1" w:rsidRPr="00BC3A80" w:rsidRDefault="00E451D1" w:rsidP="00E451D1">
      <w:pPr>
        <w:spacing w:after="0" w:line="276" w:lineRule="auto"/>
        <w:ind w:firstLine="709"/>
        <w:jc w:val="both"/>
        <w:rPr>
          <w:rFonts w:ascii="Verdana" w:eastAsia="Arial" w:hAnsi="Verdana" w:cs="Arial"/>
          <w:lang w:val="es-ES" w:eastAsia="es-ES" w:bidi="es-ES"/>
        </w:rPr>
      </w:pPr>
    </w:p>
    <w:p w14:paraId="1363B269" w14:textId="77777777" w:rsidR="00E451D1" w:rsidRPr="00BC3A80" w:rsidRDefault="00E451D1" w:rsidP="00E451D1">
      <w:pPr>
        <w:spacing w:after="0" w:line="276" w:lineRule="auto"/>
        <w:jc w:val="both"/>
        <w:rPr>
          <w:rFonts w:ascii="Verdana" w:eastAsia="Times New Roman" w:hAnsi="Verdana" w:cs="Arial"/>
          <w:lang w:val="es-ES" w:eastAsia="es-CO"/>
        </w:rPr>
      </w:pPr>
      <w:r w:rsidRPr="00BC3A80">
        <w:rPr>
          <w:rFonts w:ascii="Verdana" w:hAnsi="Verdana" w:cs="Arial"/>
          <w:lang w:val="es-ES" w:eastAsia="es-ES" w:bidi="es-ES"/>
        </w:rPr>
        <w:t xml:space="preserve">Para responder al problema jurídico planteado es necesario, en primer lugar, precisar el alcance de la prohibición </w:t>
      </w:r>
      <w:r w:rsidRPr="00BC3A80">
        <w:rPr>
          <w:rFonts w:ascii="Verdana" w:eastAsia="Arial" w:hAnsi="Verdana" w:cs="Arial"/>
          <w:lang w:val="es-ES" w:eastAsia="es-ES" w:bidi="es-ES"/>
        </w:rPr>
        <w:t>establecida en e</w:t>
      </w:r>
      <w:r w:rsidRPr="00BC3A80">
        <w:rPr>
          <w:rFonts w:ascii="Verdana" w:hAnsi="Verdana" w:cs="Arial"/>
          <w:lang w:val="es-ES"/>
        </w:rPr>
        <w:t xml:space="preserve">l </w:t>
      </w:r>
      <w:r w:rsidRPr="00BC3A80">
        <w:rPr>
          <w:rFonts w:ascii="Verdana" w:eastAsia="Times New Roman" w:hAnsi="Verdana" w:cs="Arial"/>
          <w:lang w:val="es-ES"/>
        </w:rPr>
        <w:t xml:space="preserve">artículo 33 de la Ley 996 de 2005 y sus excepciones. El </w:t>
      </w:r>
      <w:r w:rsidRPr="00BC3A80">
        <w:rPr>
          <w:rFonts w:ascii="Verdana" w:eastAsia="Times New Roman" w:hAnsi="Verdana" w:cs="Arial"/>
          <w:i/>
          <w:iCs/>
          <w:lang w:val="es-ES"/>
        </w:rPr>
        <w:t>ámbito material</w:t>
      </w:r>
      <w:r w:rsidRPr="00BC3A80">
        <w:rPr>
          <w:rFonts w:ascii="Verdana" w:eastAsia="Times New Roman" w:hAnsi="Verdana" w:cs="Arial"/>
          <w:lang w:val="es-ES"/>
        </w:rPr>
        <w:t xml:space="preserve"> de esta prohibición está delimitado por la expresión </w:t>
      </w:r>
      <w:r w:rsidRPr="00BC3A80">
        <w:rPr>
          <w:rFonts w:ascii="Verdana" w:hAnsi="Verdana" w:cs="Arial"/>
          <w:bCs/>
          <w:lang w:val="es-ES"/>
        </w:rPr>
        <w:t>“</w:t>
      </w:r>
      <w:r w:rsidRPr="00BC3A80">
        <w:rPr>
          <w:rFonts w:ascii="Verdana" w:eastAsia="Times New Roman" w:hAnsi="Verdana" w:cs="Arial"/>
          <w:lang w:val="es-ES"/>
        </w:rPr>
        <w:t>queda prohibida la contratación directa</w:t>
      </w:r>
      <w:r w:rsidRPr="00BC3A80">
        <w:rPr>
          <w:rFonts w:ascii="Verdana" w:hAnsi="Verdana" w:cs="Arial"/>
          <w:lang w:val="es-ES"/>
        </w:rPr>
        <w:t>”</w:t>
      </w:r>
      <w:r w:rsidRPr="00BC3A80">
        <w:rPr>
          <w:rFonts w:ascii="Verdana" w:eastAsia="Times New Roman" w:hAnsi="Verdana" w:cs="Arial"/>
          <w:lang w:val="es-ES"/>
        </w:rPr>
        <w:t xml:space="preserve">. </w:t>
      </w:r>
      <w:r w:rsidRPr="00BC3A80">
        <w:rPr>
          <w:rFonts w:ascii="Verdana" w:eastAsia="Times New Roman" w:hAnsi="Verdana" w:cs="Arial"/>
          <w:lang w:val="es-ES" w:eastAsia="es-CO"/>
        </w:rPr>
        <w:t xml:space="preserve">A </w:t>
      </w:r>
      <w:r w:rsidRPr="00BC3A80">
        <w:rPr>
          <w:rFonts w:ascii="Verdana" w:eastAsia="Times New Roman" w:hAnsi="Verdana" w:cs="Arial"/>
          <w:lang w:val="es-ES" w:eastAsia="es-CO"/>
        </w:rPr>
        <w:lastRenderedPageBreak/>
        <w:t>propósito de esta restricción de la Ley de Garantías Electorales, la Sala de Consulta y Servicio Civil del Consejo de Estado ha considerado que:</w:t>
      </w:r>
    </w:p>
    <w:p w14:paraId="72C0168C" w14:textId="77777777" w:rsidR="00E451D1" w:rsidRPr="00BC3A80" w:rsidRDefault="00E451D1" w:rsidP="00E451D1">
      <w:pPr>
        <w:spacing w:after="0" w:line="276" w:lineRule="auto"/>
        <w:jc w:val="both"/>
        <w:rPr>
          <w:rFonts w:ascii="Verdana" w:eastAsia="Arial" w:hAnsi="Verdana" w:cs="Arial"/>
          <w:lang w:val="es-ES" w:eastAsia="es-ES" w:bidi="es-ES"/>
        </w:rPr>
      </w:pPr>
    </w:p>
    <w:p w14:paraId="4E2DDFBC" w14:textId="77777777" w:rsidR="00E451D1" w:rsidRPr="00BC3A80" w:rsidRDefault="00E451D1" w:rsidP="00E451D1">
      <w:pPr>
        <w:spacing w:after="0" w:line="240" w:lineRule="auto"/>
        <w:ind w:left="709" w:right="709"/>
        <w:jc w:val="both"/>
        <w:rPr>
          <w:rFonts w:ascii="Verdana" w:hAnsi="Verdana" w:cs="Arial"/>
          <w:sz w:val="20"/>
          <w:szCs w:val="20"/>
          <w:lang w:val="es-ES"/>
        </w:rPr>
      </w:pPr>
      <w:r w:rsidRPr="00BC3A80">
        <w:rPr>
          <w:rFonts w:ascii="Verdana" w:hAnsi="Verdana" w:cs="Arial"/>
          <w:sz w:val="20"/>
          <w:szCs w:val="20"/>
          <w:lang w:val="es-ES"/>
        </w:rPr>
        <w:t>“[…] Esta Sala ha entendido que para los efectos de la ley de garantías, y dada su finalidad, el enunciado ´contratación directa´ es sinónimo de cualquier sistema que no implique convocatoria pública y posibilidad de pluralidad de oferentes, y que, además, no necesariamente hace referencia al procedimiento especial regulado por la ley de contratación estatal, sino a cualquier otro que prescinda de un proceso de licitación pública o concurso</w:t>
      </w:r>
      <w:r w:rsidRPr="00BC3A80">
        <w:rPr>
          <w:rFonts w:ascii="Verdana" w:eastAsia="Times New Roman" w:hAnsi="Verdana" w:cs="Arial"/>
          <w:sz w:val="20"/>
          <w:szCs w:val="20"/>
          <w:vertAlign w:val="superscript"/>
          <w:lang w:val="es-ES"/>
        </w:rPr>
        <w:footnoteReference w:id="10"/>
      </w:r>
      <w:r w:rsidRPr="00BC3A80">
        <w:rPr>
          <w:rFonts w:ascii="Verdana" w:eastAsia="Times New Roman" w:hAnsi="Verdana" w:cs="Arial"/>
          <w:sz w:val="20"/>
          <w:szCs w:val="20"/>
          <w:vertAlign w:val="superscript"/>
          <w:lang w:val="es-ES"/>
        </w:rPr>
        <w:t>.</w:t>
      </w:r>
      <w:r w:rsidRPr="00BC3A80">
        <w:rPr>
          <w:rFonts w:ascii="Verdana" w:hAnsi="Verdana" w:cs="Arial"/>
          <w:sz w:val="20"/>
          <w:szCs w:val="20"/>
          <w:lang w:val="es-ES"/>
        </w:rPr>
        <w:t xml:space="preserve"> Por tanto, no son materia de la prohibición las demás modalidades de selección previstas en la ley 1150 de 2007, siendo estas, la licitación pública, el concurso de méritos y la selección abreviada, razón por la cual en ese periodo preelectoral de que trata la disposición pueden las entidades públicas seguir contratando bajo estos sistemas. [...]</w:t>
      </w:r>
      <w:r w:rsidRPr="00BC3A80">
        <w:rPr>
          <w:rFonts w:ascii="Verdana" w:eastAsia="Times New Roman" w:hAnsi="Verdana" w:cs="Arial"/>
          <w:sz w:val="20"/>
          <w:szCs w:val="20"/>
          <w:vertAlign w:val="superscript"/>
          <w:lang w:val="es-ES" w:eastAsia="es-CO"/>
        </w:rPr>
        <w:footnoteReference w:id="11"/>
      </w:r>
      <w:r w:rsidRPr="00BC3A80">
        <w:rPr>
          <w:rFonts w:ascii="Verdana" w:hAnsi="Verdana" w:cs="Arial"/>
          <w:sz w:val="20"/>
          <w:szCs w:val="20"/>
          <w:lang w:val="es-ES"/>
        </w:rPr>
        <w:t xml:space="preserve"> .</w:t>
      </w:r>
    </w:p>
    <w:p w14:paraId="50ED1845" w14:textId="77777777" w:rsidR="00E451D1" w:rsidRPr="00BC3A80" w:rsidRDefault="00E451D1" w:rsidP="00E451D1">
      <w:pPr>
        <w:shd w:val="clear" w:color="auto" w:fill="FFFFFF" w:themeFill="background1"/>
        <w:spacing w:after="0" w:line="276" w:lineRule="auto"/>
        <w:ind w:firstLine="709"/>
        <w:jc w:val="both"/>
        <w:rPr>
          <w:rFonts w:ascii="Verdana" w:eastAsia="Times New Roman" w:hAnsi="Verdana" w:cs="Arial"/>
          <w:lang w:val="es-ES" w:eastAsia="x-none"/>
        </w:rPr>
      </w:pPr>
    </w:p>
    <w:p w14:paraId="32C8FB44" w14:textId="77777777" w:rsidR="00E451D1" w:rsidRPr="00BC3A80" w:rsidRDefault="00E451D1" w:rsidP="00E451D1">
      <w:pPr>
        <w:spacing w:after="120" w:line="276" w:lineRule="auto"/>
        <w:ind w:firstLine="708"/>
        <w:jc w:val="both"/>
        <w:rPr>
          <w:rFonts w:ascii="Verdana" w:eastAsia="Times New Roman" w:hAnsi="Verdana" w:cs="Arial"/>
          <w:bCs/>
          <w:lang w:val="es-ES" w:eastAsia="x-none"/>
        </w:rPr>
      </w:pPr>
      <w:r w:rsidRPr="00BC3A80">
        <w:rPr>
          <w:rFonts w:ascii="Verdana" w:eastAsia="Times New Roman" w:hAnsi="Verdana" w:cs="Arial"/>
          <w:lang w:val="es-ES" w:eastAsia="x-none"/>
        </w:rPr>
        <w:t xml:space="preserve">De acuerdo con este concepto, la prohibición del artículo 33 de la Ley de Garantías Electorales se refiere a </w:t>
      </w:r>
      <w:r w:rsidRPr="00BC3A80">
        <w:rPr>
          <w:rFonts w:ascii="Verdana" w:eastAsia="Times New Roman" w:hAnsi="Verdana" w:cs="Arial"/>
          <w:sz w:val="19"/>
          <w:szCs w:val="19"/>
          <w:lang w:val="es-ES" w:eastAsia="en-GB"/>
        </w:rPr>
        <w:t>“</w:t>
      </w:r>
      <w:r w:rsidRPr="00BC3A80">
        <w:rPr>
          <w:rFonts w:ascii="Verdana" w:eastAsia="Times New Roman" w:hAnsi="Verdana" w:cs="Arial"/>
          <w:lang w:val="es-ES" w:eastAsia="x-none"/>
        </w:rPr>
        <w:t>cualquier sistema que no implique convocatoria pública y posibilidad de pluralidad de oferentes</w:t>
      </w:r>
      <w:r w:rsidRPr="00BC3A80">
        <w:rPr>
          <w:rFonts w:ascii="Verdana" w:eastAsia="Times New Roman" w:hAnsi="Verdana" w:cs="Arial"/>
          <w:lang w:val="es-ES" w:eastAsia="en-GB"/>
        </w:rPr>
        <w:t>”</w:t>
      </w:r>
      <w:r w:rsidRPr="00BC3A80">
        <w:rPr>
          <w:rFonts w:ascii="Verdana" w:eastAsia="Times New Roman" w:hAnsi="Verdana" w:cs="Arial"/>
          <w:lang w:val="es-ES" w:eastAsia="x-none"/>
        </w:rPr>
        <w:t xml:space="preserve">, por lo que excluye las demás modalidades de contratación previstas en la Ley 1150 de 2007, es decir, la licitación pública, la selección abreviada, el concurso de méritos </w:t>
      </w:r>
      <w:r w:rsidRPr="00BC3A80">
        <w:rPr>
          <w:rFonts w:ascii="Verdana" w:eastAsia="Times New Roman" w:hAnsi="Verdana" w:cs="Arial"/>
          <w:lang w:val="es-ES"/>
        </w:rPr>
        <w:t>y la mínima cuantía</w:t>
      </w:r>
      <w:r w:rsidRPr="00BC3A80" w:rsidDel="00A85D9F">
        <w:rPr>
          <w:rFonts w:ascii="Verdana" w:eastAsia="Times New Roman" w:hAnsi="Verdana" w:cs="Arial"/>
          <w:lang w:val="es-ES" w:eastAsia="x-none"/>
        </w:rPr>
        <w:t xml:space="preserve"> </w:t>
      </w:r>
      <w:r w:rsidRPr="00BC3A80">
        <w:rPr>
          <w:rFonts w:ascii="Verdana" w:eastAsia="Times New Roman" w:hAnsi="Verdana" w:cs="Arial"/>
          <w:lang w:val="es-ES"/>
        </w:rPr>
        <w:t xml:space="preserve">u otros previstos en normas especiales. </w:t>
      </w:r>
      <w:r w:rsidRPr="00BC3A80">
        <w:rPr>
          <w:rFonts w:ascii="Verdana" w:eastAsia="Times New Roman" w:hAnsi="Verdana" w:cs="Arial"/>
          <w:lang w:val="es-ES" w:eastAsia="x-none"/>
        </w:rPr>
        <w:t>Esta posición es congruente con la expedición de la Ley 1150 de 2007 que, entre otras reformas, introdujo la selección abreviada, rediseñó el concurso de méritos</w:t>
      </w:r>
      <w:r w:rsidRPr="00BC3A80">
        <w:rPr>
          <w:rFonts w:ascii="Verdana" w:eastAsia="Times New Roman" w:hAnsi="Verdana" w:cs="Arial"/>
          <w:vertAlign w:val="superscript"/>
          <w:lang w:val="es-ES" w:eastAsia="x-none"/>
        </w:rPr>
        <w:footnoteReference w:id="12"/>
      </w:r>
      <w:r w:rsidRPr="00BC3A80">
        <w:rPr>
          <w:rFonts w:ascii="Verdana" w:eastAsia="Times New Roman" w:hAnsi="Verdana" w:cs="Arial"/>
          <w:lang w:val="es-ES" w:eastAsia="x-none"/>
        </w:rPr>
        <w:t xml:space="preserve"> y sistematizó las causales de contratación directa</w:t>
      </w:r>
      <w:r w:rsidRPr="00BC3A80">
        <w:rPr>
          <w:rFonts w:ascii="Verdana" w:eastAsia="Times New Roman" w:hAnsi="Verdana" w:cs="Arial"/>
          <w:vertAlign w:val="superscript"/>
          <w:lang w:val="es-ES" w:eastAsia="x-none"/>
        </w:rPr>
        <w:footnoteReference w:id="13"/>
      </w:r>
      <w:r w:rsidRPr="00BC3A80">
        <w:rPr>
          <w:rFonts w:ascii="Verdana" w:eastAsia="Times New Roman" w:hAnsi="Verdana" w:cs="Arial"/>
          <w:lang w:val="es-ES" w:eastAsia="x-none"/>
        </w:rPr>
        <w:t xml:space="preserve">, </w:t>
      </w:r>
      <w:r w:rsidRPr="00BC3A80">
        <w:rPr>
          <w:rFonts w:ascii="Verdana" w:hAnsi="Verdana" w:cs="Arial"/>
          <w:lang w:val="es-ES" w:eastAsia="x-none"/>
        </w:rPr>
        <w:t>además lo es con la posterior creación de la modalidad de mínima cuantía establecida actualmente en el numeral 5 del artículo 2 de la Ley 1150 de 2007, de acuerdo con las modificaciones realizadas por leyes posteriores.</w:t>
      </w:r>
    </w:p>
    <w:p w14:paraId="635C1E44" w14:textId="77777777" w:rsidR="00E451D1" w:rsidRPr="00BC3A80" w:rsidRDefault="00E451D1" w:rsidP="00E451D1">
      <w:pPr>
        <w:spacing w:after="120" w:line="276" w:lineRule="auto"/>
        <w:ind w:firstLine="708"/>
        <w:jc w:val="both"/>
        <w:rPr>
          <w:rFonts w:ascii="Verdana" w:eastAsia="Times New Roman" w:hAnsi="Verdana" w:cs="Arial"/>
          <w:bCs/>
          <w:lang w:val="es-ES" w:eastAsia="es-CO"/>
        </w:rPr>
      </w:pPr>
      <w:r w:rsidRPr="00BC3A80">
        <w:rPr>
          <w:rFonts w:ascii="Verdana" w:eastAsia="Times New Roman" w:hAnsi="Verdana" w:cs="Arial"/>
          <w:bCs/>
          <w:lang w:val="es-ES" w:eastAsia="es-CO"/>
        </w:rPr>
        <w:t>Como se advierte de lo anterior, el Consejo de Estado realiza una interpretación amplia de la contratación directa, para efectos de aplicar las restricciones establecidas en la Ley de Garantías Electorales, al señalar que no solo aplica frente a las entidades sometidas al Estatuto general de Contratación de la Administración Pública</w:t>
      </w:r>
      <w:r w:rsidRPr="00BC3A80">
        <w:rPr>
          <w:rFonts w:ascii="Verdana" w:eastAsia="Times New Roman" w:hAnsi="Verdana" w:cs="Arial"/>
          <w:bCs/>
          <w:i/>
          <w:iCs/>
          <w:lang w:val="es-ES" w:eastAsia="es-CO"/>
        </w:rPr>
        <w:t xml:space="preserve">, sino también frente a las entidades que tengan un </w:t>
      </w:r>
      <w:r w:rsidRPr="00BC3A80">
        <w:rPr>
          <w:rFonts w:ascii="Verdana" w:eastAsia="Times New Roman" w:hAnsi="Verdana" w:cs="Arial"/>
          <w:bCs/>
          <w:i/>
          <w:iCs/>
          <w:lang w:val="es-ES" w:eastAsia="es-CO"/>
        </w:rPr>
        <w:lastRenderedPageBreak/>
        <w:t>régimen especial de contratación</w:t>
      </w:r>
      <w:r w:rsidRPr="00BC3A80">
        <w:rPr>
          <w:rFonts w:ascii="Verdana" w:eastAsia="Times New Roman" w:hAnsi="Verdana" w:cs="Arial"/>
          <w:bCs/>
          <w:lang w:val="es-ES" w:eastAsia="es-CO"/>
        </w:rPr>
        <w:t xml:space="preserve">. No obstante, también se observa que luego de la expedición de Ley 1150 de 2007, el Consejo de Estado comenzó a delimitar con mayor precisión el término de “contratación directa”. </w:t>
      </w:r>
      <w:r w:rsidRPr="00BC3A80">
        <w:rPr>
          <w:rFonts w:ascii="Verdana" w:eastAsia="Times New Roman" w:hAnsi="Verdana" w:cs="Arial"/>
          <w:lang w:val="es-ES"/>
        </w:rPr>
        <w:t xml:space="preserve">Así, para la prohibición o restricción temporal contenida en su artículo 33, “contratación directa” es </w:t>
      </w:r>
      <w:r w:rsidRPr="00BC3A80">
        <w:rPr>
          <w:rFonts w:ascii="Verdana" w:eastAsia="Times New Roman" w:hAnsi="Verdana" w:cs="Arial"/>
          <w:i/>
          <w:iCs/>
          <w:lang w:val="es-ES"/>
        </w:rPr>
        <w:t>cualquier</w:t>
      </w:r>
      <w:r w:rsidRPr="00BC3A80">
        <w:rPr>
          <w:rFonts w:ascii="Verdana" w:eastAsia="Times New Roman" w:hAnsi="Verdana" w:cs="Arial"/>
          <w:lang w:val="es-ES"/>
        </w:rPr>
        <w:t xml:space="preserve"> sistema de selección o procedimiento de contratación utilizado por las entidades estatales que no incluya la convocatoria pública en alguna de sus etapas, ni permita la participación de una pluralidad de oferentes</w:t>
      </w:r>
      <w:r w:rsidRPr="00BC3A80">
        <w:rPr>
          <w:rFonts w:ascii="Verdana" w:eastAsia="Times New Roman" w:hAnsi="Verdana" w:cs="Arial"/>
          <w:vertAlign w:val="superscript"/>
          <w:lang w:val="es-ES" w:eastAsia="x-none"/>
        </w:rPr>
        <w:footnoteReference w:id="14"/>
      </w:r>
      <w:r w:rsidRPr="00BC3A80">
        <w:rPr>
          <w:rFonts w:ascii="Verdana" w:eastAsia="Times New Roman" w:hAnsi="Verdana" w:cs="Arial"/>
          <w:lang w:val="es-ES"/>
        </w:rPr>
        <w:t>.</w:t>
      </w:r>
      <w:r w:rsidRPr="00BC3A80">
        <w:rPr>
          <w:rFonts w:ascii="Verdana" w:eastAsia="Times New Roman" w:hAnsi="Verdana" w:cs="Arial"/>
          <w:vertAlign w:val="superscript"/>
          <w:lang w:val="es-ES" w:eastAsia="x-none"/>
        </w:rPr>
        <w:t xml:space="preserve"> </w:t>
      </w:r>
    </w:p>
    <w:p w14:paraId="60020A3E" w14:textId="77777777" w:rsidR="00E451D1" w:rsidRPr="00BC3A80" w:rsidRDefault="00E451D1" w:rsidP="00E451D1">
      <w:pPr>
        <w:spacing w:after="120" w:line="276" w:lineRule="auto"/>
        <w:ind w:firstLine="708"/>
        <w:jc w:val="both"/>
        <w:rPr>
          <w:rFonts w:ascii="Verdana" w:eastAsia="Times New Roman" w:hAnsi="Verdana" w:cs="Arial"/>
          <w:lang w:val="es-ES"/>
        </w:rPr>
      </w:pPr>
      <w:r w:rsidRPr="00BC3A80">
        <w:rPr>
          <w:rFonts w:ascii="Verdana" w:eastAsia="Times New Roman" w:hAnsi="Verdana" w:cs="Arial"/>
          <w:lang w:val="es-ES"/>
        </w:rPr>
        <w:t xml:space="preserve">De lo anterior se desprende que la restricción aplica, sin perjuicio de las excepciones establecidas en la misma ley, para celebrar </w:t>
      </w:r>
      <w:r w:rsidRPr="00BC3A80">
        <w:rPr>
          <w:rFonts w:ascii="Verdana" w:eastAsia="Times New Roman" w:hAnsi="Verdana" w:cs="Arial"/>
          <w:i/>
          <w:iCs/>
          <w:lang w:val="es-ES"/>
        </w:rPr>
        <w:t>cualquier contrato o convenio de forma directa</w:t>
      </w:r>
      <w:r w:rsidRPr="00BC3A80">
        <w:rPr>
          <w:rFonts w:ascii="Verdana" w:eastAsia="Times New Roman" w:hAnsi="Verdana" w:cs="Arial"/>
          <w:lang w:val="es-ES"/>
        </w:rPr>
        <w:t>, esto es, sin que exista un proceso abierto y competitivo. Por tanto, no son materia de la prohibición las demás modalidades de selección previstas en la Ley 1150 de 2007, es decir, la licitación pública, el concurso de méritos, la selección abreviada y la mínima cuantía, razón por la cual en ese período preelectoral de que trata la disposición las entidades públicas pueden seguir contratando bajo estos sistemas.</w:t>
      </w:r>
    </w:p>
    <w:p w14:paraId="494FC9CF" w14:textId="77777777" w:rsidR="00E451D1" w:rsidRDefault="00E451D1" w:rsidP="00E451D1">
      <w:pPr>
        <w:spacing w:after="0" w:line="276" w:lineRule="auto"/>
        <w:ind w:firstLine="708"/>
        <w:jc w:val="both"/>
        <w:rPr>
          <w:rFonts w:ascii="Verdana" w:eastAsia="Times New Roman" w:hAnsi="Verdana" w:cs="Arial"/>
          <w:lang w:val="es-ES"/>
        </w:rPr>
      </w:pPr>
      <w:r w:rsidRPr="00BC3A80">
        <w:rPr>
          <w:rFonts w:ascii="Verdana" w:eastAsia="Times New Roman" w:hAnsi="Verdana" w:cs="Arial"/>
          <w:bCs/>
          <w:lang w:val="es-ES" w:eastAsia="es-CO"/>
        </w:rPr>
        <w:t xml:space="preserve">Con respecto a los </w:t>
      </w:r>
      <w:r w:rsidRPr="00BC3A80">
        <w:rPr>
          <w:rFonts w:ascii="Verdana" w:eastAsia="Times New Roman" w:hAnsi="Verdana" w:cs="Arial"/>
          <w:bCs/>
          <w:i/>
          <w:iCs/>
          <w:lang w:val="es-ES" w:eastAsia="es-CO"/>
        </w:rPr>
        <w:t>sujetos</w:t>
      </w:r>
      <w:r w:rsidRPr="00BC3A80">
        <w:rPr>
          <w:rFonts w:ascii="Verdana" w:eastAsia="Times New Roman" w:hAnsi="Verdana" w:cs="Arial"/>
          <w:bCs/>
          <w:lang w:val="es-ES" w:eastAsia="es-CO"/>
        </w:rPr>
        <w:t xml:space="preserve"> que se encuentran enmarcados en la prohibición del artículo 33, </w:t>
      </w:r>
      <w:r w:rsidRPr="00BC3A80">
        <w:rPr>
          <w:rFonts w:ascii="Verdana" w:eastAsia="Times New Roman" w:hAnsi="Verdana" w:cs="Arial"/>
          <w:lang w:val="es-ES"/>
        </w:rPr>
        <w:t>la Ley 996 de 2005 señala expresamente que son “</w:t>
      </w:r>
      <w:r w:rsidRPr="00BC3A80">
        <w:rPr>
          <w:rFonts w:ascii="Verdana" w:eastAsia="Times New Roman" w:hAnsi="Verdana" w:cs="Arial"/>
          <w:i/>
          <w:iCs/>
          <w:u w:val="single"/>
          <w:lang w:val="es-ES"/>
        </w:rPr>
        <w:t>todos</w:t>
      </w:r>
      <w:r w:rsidRPr="00BC3A80">
        <w:rPr>
          <w:rFonts w:ascii="Verdana" w:eastAsia="Times New Roman" w:hAnsi="Verdana" w:cs="Arial"/>
          <w:i/>
          <w:iCs/>
          <w:lang w:val="es-ES"/>
        </w:rPr>
        <w:t xml:space="preserve"> los entes del Estado</w:t>
      </w:r>
      <w:r w:rsidRPr="00BC3A80">
        <w:rPr>
          <w:rFonts w:ascii="Verdana" w:eastAsia="Times New Roman" w:hAnsi="Verdana" w:cs="Arial"/>
          <w:lang w:val="es-ES"/>
        </w:rPr>
        <w:t>” [énfasis propio]. Al respecto la Sala De Consulta y Servicio Civil del Consejo de Estado señaló lo siguiente:</w:t>
      </w:r>
    </w:p>
    <w:p w14:paraId="14FDE983" w14:textId="77777777" w:rsidR="00E451D1" w:rsidRPr="00BC3A80" w:rsidRDefault="00E451D1" w:rsidP="00E451D1">
      <w:pPr>
        <w:spacing w:after="0" w:line="276" w:lineRule="auto"/>
        <w:ind w:firstLine="708"/>
        <w:jc w:val="both"/>
        <w:rPr>
          <w:rFonts w:ascii="Verdana" w:eastAsia="Times New Roman" w:hAnsi="Verdana" w:cs="Arial"/>
          <w:lang w:val="es-ES"/>
        </w:rPr>
      </w:pPr>
    </w:p>
    <w:p w14:paraId="6BF3FBDD" w14:textId="77777777" w:rsidR="00E451D1" w:rsidRPr="00BC3A80" w:rsidRDefault="00E451D1" w:rsidP="00E451D1">
      <w:pPr>
        <w:spacing w:after="0" w:line="240" w:lineRule="auto"/>
        <w:ind w:left="709" w:right="709"/>
        <w:jc w:val="both"/>
        <w:rPr>
          <w:rFonts w:ascii="Verdana" w:eastAsia="Times New Roman" w:hAnsi="Verdana" w:cs="Arial"/>
          <w:bCs/>
          <w:sz w:val="20"/>
          <w:szCs w:val="20"/>
          <w:lang w:val="es-ES" w:eastAsia="es-CO"/>
        </w:rPr>
      </w:pPr>
      <w:r w:rsidRPr="00BC3A80">
        <w:rPr>
          <w:rFonts w:ascii="Verdana" w:eastAsia="Times New Roman" w:hAnsi="Verdana" w:cs="Arial"/>
          <w:bCs/>
          <w:sz w:val="20"/>
          <w:szCs w:val="20"/>
          <w:lang w:val="es-ES" w:eastAsia="es-CO"/>
        </w:rPr>
        <w:t>“El vocablo "todos" que utilizó el legislador, comprende, en consecuencia, sin distinción del "régimen jurídico, forma de organización o naturaleza, su pertenencia a una u otra rama del poder público o su autonomía, a la totalidad de los entes del Estado. Es decir, la prohibición cobija a cualquier ente público que eventualmente pueda a través de la contratación directa romper el equilibrio entre los partidos y los candidatos a las elecciones presidenciales […]”</w:t>
      </w:r>
      <w:r w:rsidRPr="00BC3A80">
        <w:rPr>
          <w:rFonts w:ascii="Verdana" w:eastAsia="Times New Roman" w:hAnsi="Verdana" w:cs="Arial"/>
          <w:bCs/>
          <w:sz w:val="20"/>
          <w:szCs w:val="20"/>
          <w:vertAlign w:val="superscript"/>
          <w:lang w:val="es-ES" w:eastAsia="es-CO"/>
        </w:rPr>
        <w:footnoteReference w:id="15"/>
      </w:r>
      <w:r w:rsidRPr="00BC3A80">
        <w:rPr>
          <w:rFonts w:ascii="Verdana" w:eastAsia="Times New Roman" w:hAnsi="Verdana" w:cs="Arial"/>
          <w:bCs/>
          <w:sz w:val="20"/>
          <w:szCs w:val="20"/>
          <w:lang w:val="es-ES" w:eastAsia="es-CO"/>
        </w:rPr>
        <w:t>.</w:t>
      </w:r>
    </w:p>
    <w:p w14:paraId="0A122CBF" w14:textId="77777777" w:rsidR="00E451D1" w:rsidRPr="00BC3A80" w:rsidRDefault="00E451D1" w:rsidP="00E451D1">
      <w:pPr>
        <w:spacing w:after="0" w:line="240" w:lineRule="auto"/>
        <w:ind w:left="709" w:right="709"/>
        <w:jc w:val="both"/>
        <w:rPr>
          <w:rFonts w:ascii="Verdana" w:eastAsia="Times New Roman" w:hAnsi="Verdana" w:cs="Arial"/>
          <w:bCs/>
          <w:lang w:val="es-ES" w:eastAsia="es-CO"/>
        </w:rPr>
      </w:pPr>
    </w:p>
    <w:p w14:paraId="764B5EBF" w14:textId="77777777" w:rsidR="00E451D1" w:rsidRPr="00BC3A80" w:rsidRDefault="00E451D1" w:rsidP="00E451D1">
      <w:pPr>
        <w:spacing w:after="120" w:line="276" w:lineRule="auto"/>
        <w:ind w:firstLine="708"/>
        <w:jc w:val="both"/>
        <w:rPr>
          <w:rFonts w:ascii="Verdana" w:hAnsi="Verdana" w:cs="Arial"/>
          <w:bCs/>
          <w:sz w:val="20"/>
          <w:szCs w:val="20"/>
          <w:lang w:val="es-ES" w:eastAsia="es-CO"/>
        </w:rPr>
      </w:pPr>
      <w:r w:rsidRPr="00BC3A80">
        <w:rPr>
          <w:rFonts w:ascii="Verdana" w:hAnsi="Verdana" w:cs="Arial"/>
          <w:bCs/>
          <w:lang w:val="es-ES" w:eastAsia="x-none"/>
        </w:rPr>
        <w:t>En consecuencia, el artículo 33 de la Ley 996 de 2005 señala expresamente que los destinatarios de la prohibición son “todos los entes del Estado”, expresión que contempla a los diferentes organismos o entidades autorizadas por la ley para suscribir contratos.</w:t>
      </w:r>
      <w:r w:rsidRPr="00BC3A80">
        <w:rPr>
          <w:rFonts w:ascii="Verdana" w:hAnsi="Verdana"/>
          <w:lang w:val="es-ES"/>
        </w:rPr>
        <w:t xml:space="preserve"> </w:t>
      </w:r>
      <w:r w:rsidRPr="00BC3A80">
        <w:rPr>
          <w:rFonts w:ascii="Verdana" w:hAnsi="Verdana" w:cs="Arial"/>
          <w:bCs/>
          <w:lang w:val="es-ES" w:eastAsia="x-none"/>
        </w:rPr>
        <w:t xml:space="preserve">En efecto, tal como lo ha sostenido el Consejo de Estado, el vocablo “todos” utilizado por el legislador </w:t>
      </w:r>
      <w:r w:rsidRPr="00BC3A80">
        <w:rPr>
          <w:rFonts w:ascii="Verdana" w:hAnsi="Verdana" w:cs="Arial"/>
          <w:bCs/>
          <w:lang w:val="es-ES" w:eastAsia="x-none"/>
        </w:rPr>
        <w:lastRenderedPageBreak/>
        <w:t>comprende</w:t>
      </w:r>
      <w:r w:rsidRPr="00BC3A80">
        <w:rPr>
          <w:rFonts w:ascii="Verdana" w:hAnsi="Verdana"/>
          <w:lang w:val="es-ES"/>
        </w:rPr>
        <w:t xml:space="preserve"> </w:t>
      </w:r>
      <w:r w:rsidRPr="00BC3A80">
        <w:rPr>
          <w:rFonts w:ascii="Verdana" w:hAnsi="Verdana" w:cs="Arial"/>
          <w:bCs/>
          <w:lang w:val="es-ES" w:eastAsia="x-none"/>
        </w:rPr>
        <w:t>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w:t>
      </w:r>
      <w:r w:rsidRPr="00BC3A80">
        <w:rPr>
          <w:rFonts w:ascii="Verdana" w:hAnsi="Verdana" w:cs="Arial"/>
          <w:bCs/>
          <w:sz w:val="20"/>
          <w:szCs w:val="20"/>
          <w:vertAlign w:val="superscript"/>
          <w:lang w:val="es-ES" w:eastAsia="x-none"/>
        </w:rPr>
        <w:footnoteReference w:id="16"/>
      </w:r>
      <w:r w:rsidRPr="00BC3A80">
        <w:rPr>
          <w:rFonts w:ascii="Verdana" w:hAnsi="Verdana" w:cs="Arial"/>
          <w:bCs/>
          <w:sz w:val="20"/>
          <w:szCs w:val="20"/>
          <w:lang w:val="es-ES" w:eastAsia="x-none"/>
        </w:rPr>
        <w:t>.</w:t>
      </w:r>
      <w:r w:rsidRPr="00BC3A80">
        <w:rPr>
          <w:rFonts w:ascii="Verdana" w:hAnsi="Verdana" w:cs="Arial"/>
          <w:bCs/>
          <w:sz w:val="20"/>
          <w:szCs w:val="20"/>
          <w:lang w:val="es-ES" w:eastAsia="es-CO"/>
        </w:rPr>
        <w:t>”</w:t>
      </w:r>
    </w:p>
    <w:p w14:paraId="447EAA8A" w14:textId="77777777" w:rsidR="00E451D1" w:rsidRPr="00BC3A80" w:rsidRDefault="00E451D1" w:rsidP="00E451D1">
      <w:pPr>
        <w:spacing w:after="120" w:line="276" w:lineRule="auto"/>
        <w:ind w:firstLine="709"/>
        <w:jc w:val="both"/>
        <w:rPr>
          <w:rFonts w:ascii="Verdana" w:eastAsia="Arial" w:hAnsi="Verdana" w:cs="Arial"/>
          <w:bCs/>
          <w:color w:val="000000" w:themeColor="text1"/>
          <w:lang w:val="es-ES"/>
        </w:rPr>
      </w:pPr>
      <w:r w:rsidRPr="00BC3A80">
        <w:rPr>
          <w:rFonts w:ascii="Verdana" w:eastAsia="Arial" w:hAnsi="Verdana" w:cs="Arial"/>
          <w:color w:val="000000" w:themeColor="text1"/>
          <w:lang w:val="es-ES"/>
        </w:rPr>
        <w:t xml:space="preserve">Por lo tanto, la restricción del artículo 33 prevista en la Ley 996 de 2005, teniendo en cuenta la finalidad de la ley de garantías electorales, cobija a cualquier ente público que pueda a través de la contratación directa romper el equilibrio entre los partidos y los candidatos en las elecciones presidenciales. Tampoco existe un supuesto de exoneración a la prohibición por tener un régimen especial de los actos o contratos, pues, la posibilidad de que los entes del Estado utilicen la contratación con fines políticos, esto es, con la intención de influir a los electores y alterar la voluntad popular en las contiendas electorales, se puede presentar tanto en la contratación regulada por la Ley 80 de 1993 como en la regida por el derecho privado o </w:t>
      </w:r>
      <w:r w:rsidRPr="0099520E">
        <w:rPr>
          <w:rFonts w:ascii="Verdana" w:eastAsia="Arial" w:hAnsi="Verdana" w:cs="Arial"/>
          <w:color w:val="000000" w:themeColor="text1"/>
          <w:lang w:val="es-ES"/>
        </w:rPr>
        <w:t>normas especiales.</w:t>
      </w:r>
    </w:p>
    <w:p w14:paraId="4A61525D" w14:textId="77777777" w:rsidR="00E451D1" w:rsidRPr="00CD77EE" w:rsidRDefault="00E451D1" w:rsidP="00E451D1">
      <w:pPr>
        <w:spacing w:after="120" w:line="276" w:lineRule="auto"/>
        <w:ind w:firstLine="709"/>
        <w:jc w:val="both"/>
        <w:rPr>
          <w:rFonts w:ascii="Verdana" w:hAnsi="Verdana" w:cs="Arial"/>
          <w:bCs/>
          <w:color w:val="000000" w:themeColor="text1"/>
          <w:lang w:val="es-ES"/>
        </w:rPr>
      </w:pPr>
      <w:r w:rsidRPr="00CD77EE">
        <w:rPr>
          <w:rFonts w:ascii="Verdana" w:eastAsia="Arial" w:hAnsi="Verdana" w:cs="Arial"/>
          <w:bCs/>
          <w:color w:val="000000" w:themeColor="text1"/>
          <w:lang w:val="es-ES"/>
        </w:rPr>
        <w:t xml:space="preserve">En este punto, debe tenerse en cuenta que, en principio, todos los entes del Estado están cobijados por la prohibición para contratar directamente establecida en el artículo 33 de la Ley de Garantías Electorales. Sin embargo, es importante reiterar que </w:t>
      </w:r>
      <w:r w:rsidRPr="00CD77EE">
        <w:rPr>
          <w:rFonts w:ascii="Verdana" w:hAnsi="Verdana" w:cs="Arial"/>
          <w:bCs/>
          <w:color w:val="000000" w:themeColor="text1"/>
          <w:lang w:val="es-ES"/>
        </w:rPr>
        <w:t>el segundo inciso de la misma disposición consagró las excepciones aplicables a la prohibición de contratación directa establecida en el mismo artículo. Como se indicó, las excepciones a la prohibición del artículo 33 de la norma mencionada son las siguientes:</w:t>
      </w:r>
    </w:p>
    <w:p w14:paraId="12A198A6" w14:textId="77777777" w:rsidR="00E451D1" w:rsidRPr="00CD77EE" w:rsidRDefault="00E451D1" w:rsidP="00E451D1">
      <w:pPr>
        <w:tabs>
          <w:tab w:val="left" w:pos="709"/>
        </w:tabs>
        <w:spacing w:before="120" w:line="276" w:lineRule="auto"/>
        <w:jc w:val="both"/>
        <w:rPr>
          <w:rFonts w:ascii="Verdana" w:hAnsi="Verdana" w:cs="Arial"/>
          <w:bCs/>
          <w:color w:val="000000" w:themeColor="text1"/>
          <w:lang w:val="es-ES"/>
        </w:rPr>
      </w:pPr>
      <w:r w:rsidRPr="00CD77EE">
        <w:rPr>
          <w:rFonts w:ascii="Verdana" w:hAnsi="Verdana" w:cs="Arial"/>
          <w:bCs/>
          <w:color w:val="000000" w:themeColor="text1"/>
          <w:lang w:val="es-ES"/>
        </w:rPr>
        <w:tab/>
        <w:t>1) La contratación referente a la defensa y seguridad del Estado;</w:t>
      </w:r>
    </w:p>
    <w:p w14:paraId="5C69CA21" w14:textId="77777777" w:rsidR="00E451D1" w:rsidRPr="00CD77EE" w:rsidRDefault="00E451D1" w:rsidP="00E451D1">
      <w:pPr>
        <w:tabs>
          <w:tab w:val="left" w:pos="709"/>
        </w:tabs>
        <w:spacing w:before="120" w:line="276" w:lineRule="auto"/>
        <w:jc w:val="both"/>
        <w:rPr>
          <w:rFonts w:ascii="Verdana" w:hAnsi="Verdana" w:cs="Arial"/>
          <w:bCs/>
          <w:color w:val="000000" w:themeColor="text1"/>
          <w:lang w:val="es-ES"/>
        </w:rPr>
      </w:pPr>
      <w:r w:rsidRPr="00CD77EE">
        <w:rPr>
          <w:rFonts w:ascii="Verdana" w:hAnsi="Verdana" w:cs="Arial"/>
          <w:bCs/>
          <w:color w:val="000000" w:themeColor="text1"/>
          <w:lang w:val="es-ES"/>
        </w:rPr>
        <w:tab/>
        <w:t>2) Los contratos de crédito público;</w:t>
      </w:r>
    </w:p>
    <w:p w14:paraId="617C4C2C" w14:textId="77777777" w:rsidR="00E451D1" w:rsidRPr="00CD77EE" w:rsidRDefault="00E451D1" w:rsidP="00E451D1">
      <w:pPr>
        <w:tabs>
          <w:tab w:val="left" w:pos="709"/>
        </w:tabs>
        <w:spacing w:before="120" w:line="276" w:lineRule="auto"/>
        <w:jc w:val="both"/>
        <w:rPr>
          <w:rFonts w:ascii="Verdana" w:hAnsi="Verdana" w:cs="Arial"/>
          <w:bCs/>
          <w:color w:val="000000" w:themeColor="text1"/>
          <w:lang w:val="es-ES"/>
        </w:rPr>
      </w:pPr>
      <w:r w:rsidRPr="00CD77EE">
        <w:rPr>
          <w:rFonts w:ascii="Verdana" w:hAnsi="Verdana" w:cs="Arial"/>
          <w:bCs/>
          <w:color w:val="000000" w:themeColor="text1"/>
          <w:lang w:val="es-ES"/>
        </w:rPr>
        <w:tab/>
        <w:t xml:space="preserve">3) Los contratos requeridos para cubrir las emergencias educativas, sanitarias y desastres; </w:t>
      </w:r>
    </w:p>
    <w:p w14:paraId="78831B4F" w14:textId="77777777" w:rsidR="00E451D1" w:rsidRPr="00CD77EE" w:rsidRDefault="00E451D1" w:rsidP="00E451D1">
      <w:pPr>
        <w:tabs>
          <w:tab w:val="left" w:pos="709"/>
        </w:tabs>
        <w:spacing w:before="120" w:line="276" w:lineRule="auto"/>
        <w:jc w:val="both"/>
        <w:rPr>
          <w:rFonts w:ascii="Verdana" w:hAnsi="Verdana" w:cs="Arial"/>
          <w:bCs/>
          <w:color w:val="000000" w:themeColor="text1"/>
          <w:lang w:val="es-ES"/>
        </w:rPr>
      </w:pPr>
      <w:r w:rsidRPr="00CD77EE">
        <w:rPr>
          <w:rFonts w:ascii="Verdana" w:hAnsi="Verdana" w:cs="Arial"/>
          <w:bCs/>
          <w:color w:val="000000" w:themeColor="text1"/>
          <w:lang w:val="es-ES"/>
        </w:rPr>
        <w:tab/>
        <w:t xml:space="preserve">4) La contratación para la reconstrucción de vías, puentes, carreteras, infraestructura energética y de comunicaciones, en caso de que hayan sido </w:t>
      </w:r>
      <w:r w:rsidRPr="00CD77EE">
        <w:rPr>
          <w:rFonts w:ascii="Verdana" w:hAnsi="Verdana" w:cs="Arial"/>
          <w:bCs/>
          <w:color w:val="000000" w:themeColor="text1"/>
          <w:lang w:val="es-ES"/>
        </w:rPr>
        <w:lastRenderedPageBreak/>
        <w:t>objeto de atentados, acciones terroristas, desastres naturales o casos de fuerza mayor y;</w:t>
      </w:r>
    </w:p>
    <w:p w14:paraId="58BB920B" w14:textId="77777777" w:rsidR="00E451D1" w:rsidRPr="00CD77EE" w:rsidRDefault="00E451D1" w:rsidP="00E451D1">
      <w:pPr>
        <w:tabs>
          <w:tab w:val="left" w:pos="709"/>
        </w:tabs>
        <w:spacing w:before="120" w:line="276" w:lineRule="auto"/>
        <w:jc w:val="both"/>
        <w:rPr>
          <w:rFonts w:ascii="Verdana" w:hAnsi="Verdana" w:cs="Arial"/>
          <w:bCs/>
          <w:color w:val="000000" w:themeColor="text1"/>
          <w:lang w:val="es-ES"/>
        </w:rPr>
      </w:pPr>
      <w:r w:rsidRPr="00CD77EE">
        <w:rPr>
          <w:rFonts w:ascii="Verdana" w:hAnsi="Verdana" w:cs="Arial"/>
          <w:bCs/>
          <w:color w:val="000000" w:themeColor="text1"/>
          <w:lang w:val="es-ES"/>
        </w:rPr>
        <w:tab/>
        <w:t xml:space="preserve">5) La contratación que deban realizar las entidades sanitarias y hospitalarias. </w:t>
      </w:r>
    </w:p>
    <w:p w14:paraId="2EDEA303" w14:textId="77777777" w:rsidR="00E451D1" w:rsidRPr="00407C12" w:rsidRDefault="00E451D1" w:rsidP="00E451D1">
      <w:pPr>
        <w:tabs>
          <w:tab w:val="left" w:pos="426"/>
        </w:tabs>
        <w:spacing w:before="120" w:after="0" w:line="276" w:lineRule="auto"/>
        <w:ind w:firstLine="709"/>
        <w:jc w:val="both"/>
        <w:rPr>
          <w:rFonts w:ascii="Verdana" w:hAnsi="Verdana" w:cs="Arial"/>
          <w:bCs/>
          <w:color w:val="000000" w:themeColor="text1"/>
          <w:lang w:val="es-ES"/>
        </w:rPr>
      </w:pPr>
      <w:r w:rsidRPr="00407C12">
        <w:rPr>
          <w:rFonts w:ascii="Verdana" w:hAnsi="Verdana" w:cs="Arial"/>
          <w:bCs/>
          <w:color w:val="000000" w:themeColor="text1"/>
          <w:lang w:val="es-ES"/>
        </w:rPr>
        <w:t xml:space="preserve">La Sala de Consulta y Servicio Civil del Consejo de Estado, en concepto del 4 de febrero de 2010, se pronunció frente a las razones por las que el legislador consagró excepciones al artículo 33 de la Ley de Garantías Electorales en los siguientes términos: </w:t>
      </w:r>
    </w:p>
    <w:p w14:paraId="2E207CF6" w14:textId="77777777" w:rsidR="00E451D1" w:rsidRPr="00407C12" w:rsidRDefault="00E451D1" w:rsidP="00E451D1">
      <w:pPr>
        <w:tabs>
          <w:tab w:val="left" w:pos="426"/>
        </w:tabs>
        <w:spacing w:after="0" w:line="240" w:lineRule="auto"/>
        <w:ind w:firstLine="709"/>
        <w:jc w:val="both"/>
        <w:rPr>
          <w:rFonts w:ascii="Verdana" w:hAnsi="Verdana" w:cs="Arial"/>
          <w:bCs/>
          <w:color w:val="000000" w:themeColor="text1"/>
          <w:lang w:val="es-ES"/>
        </w:rPr>
      </w:pPr>
    </w:p>
    <w:p w14:paraId="2F66BF29" w14:textId="77777777" w:rsidR="00E451D1" w:rsidRPr="00407C12" w:rsidRDefault="00E451D1" w:rsidP="00E451D1">
      <w:pPr>
        <w:shd w:val="clear" w:color="auto" w:fill="FFFFFF"/>
        <w:spacing w:after="0" w:line="240" w:lineRule="auto"/>
        <w:ind w:left="709" w:right="709"/>
        <w:jc w:val="both"/>
        <w:rPr>
          <w:rFonts w:ascii="Verdana" w:hAnsi="Verdana" w:cs="Arial"/>
          <w:color w:val="000000" w:themeColor="text1"/>
          <w:sz w:val="20"/>
          <w:szCs w:val="20"/>
          <w:lang w:val="es-ES" w:eastAsia="es-CO"/>
        </w:rPr>
      </w:pPr>
      <w:r w:rsidRPr="00407C12">
        <w:rPr>
          <w:rFonts w:ascii="Verdana" w:hAnsi="Verdana" w:cs="Arial"/>
          <w:color w:val="000000" w:themeColor="text1"/>
          <w:sz w:val="20"/>
          <w:szCs w:val="20"/>
          <w:lang w:val="es-ES" w:eastAsia="es-CO"/>
        </w:rPr>
        <w:t>“[…] Las excepciones establecidas en los artículos 32 y 33 en comento, guardan relación, exclusivamente, con algunos servicios públicos que por su naturaleza no admiten postergaciones en la atención de sus necesidades de personal, bienes y servicios [...]</w:t>
      </w:r>
      <w:r w:rsidRPr="00407C12">
        <w:rPr>
          <w:rFonts w:ascii="Verdana" w:hAnsi="Verdana" w:cs="Arial"/>
          <w:color w:val="000000" w:themeColor="text1"/>
          <w:sz w:val="20"/>
          <w:szCs w:val="20"/>
          <w:vertAlign w:val="superscript"/>
          <w:lang w:val="es-ES" w:eastAsia="es-CO"/>
        </w:rPr>
        <w:footnoteReference w:id="17"/>
      </w:r>
      <w:r w:rsidRPr="00407C12">
        <w:rPr>
          <w:rFonts w:ascii="Verdana" w:hAnsi="Verdana" w:cs="Arial"/>
          <w:color w:val="000000" w:themeColor="text1"/>
          <w:sz w:val="20"/>
          <w:szCs w:val="20"/>
          <w:lang w:val="es-ES" w:eastAsia="es-CO"/>
        </w:rPr>
        <w:t xml:space="preserve">”. </w:t>
      </w:r>
    </w:p>
    <w:p w14:paraId="13C060EA" w14:textId="77777777" w:rsidR="00E451D1" w:rsidRPr="00DF0C0C" w:rsidRDefault="00E451D1" w:rsidP="00E451D1">
      <w:pPr>
        <w:shd w:val="clear" w:color="auto" w:fill="FFFFFF"/>
        <w:spacing w:after="0" w:line="240" w:lineRule="auto"/>
        <w:ind w:left="709" w:right="709"/>
        <w:jc w:val="both"/>
        <w:rPr>
          <w:rFonts w:ascii="Verdana" w:hAnsi="Verdana" w:cs="Arial"/>
          <w:color w:val="000000" w:themeColor="text1"/>
          <w:sz w:val="20"/>
          <w:szCs w:val="20"/>
          <w:highlight w:val="cyan"/>
          <w:lang w:val="es-ES" w:eastAsia="es-CO"/>
        </w:rPr>
      </w:pPr>
    </w:p>
    <w:p w14:paraId="56529C64" w14:textId="77777777" w:rsidR="00E451D1" w:rsidRPr="00DF0C0C" w:rsidRDefault="00E451D1" w:rsidP="00E451D1">
      <w:pPr>
        <w:tabs>
          <w:tab w:val="left" w:pos="426"/>
          <w:tab w:val="left" w:pos="3402"/>
        </w:tabs>
        <w:spacing w:after="120" w:line="276" w:lineRule="auto"/>
        <w:ind w:firstLine="709"/>
        <w:jc w:val="both"/>
        <w:rPr>
          <w:rFonts w:ascii="Verdana" w:hAnsi="Verdana" w:cs="Arial"/>
          <w:color w:val="000000" w:themeColor="text1"/>
          <w:highlight w:val="cyan"/>
          <w:shd w:val="clear" w:color="auto" w:fill="FFFFFF"/>
          <w:lang w:val="es-ES"/>
        </w:rPr>
      </w:pPr>
      <w:r w:rsidRPr="00DD40AB">
        <w:rPr>
          <w:rFonts w:ascii="Verdana" w:hAnsi="Verdana" w:cs="Arial"/>
          <w:bCs/>
          <w:color w:val="000000" w:themeColor="text1"/>
          <w:lang w:val="es-ES"/>
        </w:rPr>
        <w:t xml:space="preserve">Por tanto, las excepciones a la prohibición contenida en el inciso segundo de artículo 33 de la </w:t>
      </w:r>
      <w:r>
        <w:rPr>
          <w:rFonts w:ascii="Verdana" w:hAnsi="Verdana" w:cs="Arial"/>
          <w:bCs/>
          <w:color w:val="000000" w:themeColor="text1"/>
          <w:lang w:val="es-ES"/>
        </w:rPr>
        <w:t>L</w:t>
      </w:r>
      <w:r w:rsidRPr="00DD40AB">
        <w:rPr>
          <w:rFonts w:ascii="Verdana" w:hAnsi="Verdana" w:cs="Arial"/>
          <w:bCs/>
          <w:color w:val="000000" w:themeColor="text1"/>
          <w:lang w:val="es-ES"/>
        </w:rPr>
        <w:t xml:space="preserve">ey de </w:t>
      </w:r>
      <w:r>
        <w:rPr>
          <w:rFonts w:ascii="Verdana" w:hAnsi="Verdana" w:cs="Arial"/>
          <w:bCs/>
          <w:color w:val="000000" w:themeColor="text1"/>
          <w:lang w:val="es-ES"/>
        </w:rPr>
        <w:t>G</w:t>
      </w:r>
      <w:r w:rsidRPr="00DD40AB">
        <w:rPr>
          <w:rFonts w:ascii="Verdana" w:hAnsi="Verdana" w:cs="Arial"/>
          <w:bCs/>
          <w:color w:val="000000" w:themeColor="text1"/>
          <w:lang w:val="es-ES"/>
        </w:rPr>
        <w:t xml:space="preserve">arantías </w:t>
      </w:r>
      <w:r>
        <w:rPr>
          <w:rFonts w:ascii="Verdana" w:hAnsi="Verdana" w:cs="Arial"/>
          <w:bCs/>
          <w:color w:val="000000" w:themeColor="text1"/>
          <w:lang w:val="es-ES"/>
        </w:rPr>
        <w:t>E</w:t>
      </w:r>
      <w:r w:rsidRPr="00DD40AB">
        <w:rPr>
          <w:rFonts w:ascii="Verdana" w:hAnsi="Verdana" w:cs="Arial"/>
          <w:bCs/>
          <w:color w:val="000000" w:themeColor="text1"/>
          <w:lang w:val="es-ES"/>
        </w:rPr>
        <w:t>lectorales tienen por finalidad garantizar la realización ininterrumpida de ciertas actividades que, dada su importancia en el orden interno, se verían irrazonablemente afectadas por la restricción. De igual forma, la Sala de Consulta y Servicio Civil del Consejo de Estado, en concepto del 2 de septiembre de 2013</w:t>
      </w:r>
      <w:r w:rsidRPr="00DD40AB">
        <w:rPr>
          <w:rFonts w:ascii="Verdana" w:hAnsi="Verdana" w:cs="Arial"/>
          <w:color w:val="000000" w:themeColor="text1"/>
          <w:lang w:val="es-ES"/>
        </w:rPr>
        <w:t xml:space="preserve">, mencionó las excepciones a la prohibición del artículo 33 de la Ley de Garantías Electorales, resaltando su carácter taxativo, y señalando la independencia de los supuestos, así: “[…] </w:t>
      </w:r>
      <w:r w:rsidRPr="00DD40AB">
        <w:rPr>
          <w:rFonts w:ascii="Verdana" w:hAnsi="Verdana" w:cs="Arial"/>
          <w:i/>
          <w:color w:val="000000" w:themeColor="text1"/>
          <w:lang w:val="es-ES"/>
        </w:rPr>
        <w:t xml:space="preserve">Las excepciones aplicables a la restricción de contratación pública. </w:t>
      </w:r>
      <w:r w:rsidRPr="00DD40AB">
        <w:rPr>
          <w:rFonts w:ascii="Verdana" w:hAnsi="Verdana" w:cs="Arial"/>
          <w:color w:val="000000" w:themeColor="text1"/>
          <w:shd w:val="clear" w:color="auto" w:fill="FFFFFF"/>
          <w:lang w:val="es-ES"/>
        </w:rPr>
        <w:t>Ahora bien, las únicas excepciones a las disposiciones previstas en la Ley de Garantías se encuentran numeradas taxativamente en el último inciso del artículo 33 de la ley 996 de 2005 […]”</w:t>
      </w:r>
      <w:r w:rsidRPr="00DD40AB">
        <w:rPr>
          <w:rFonts w:ascii="Verdana" w:hAnsi="Verdana" w:cs="Arial"/>
          <w:color w:val="000000" w:themeColor="text1"/>
          <w:shd w:val="clear" w:color="auto" w:fill="FFFFFF"/>
          <w:vertAlign w:val="superscript"/>
          <w:lang w:val="es-ES"/>
        </w:rPr>
        <w:footnoteReference w:id="18"/>
      </w:r>
      <w:r w:rsidRPr="00DD40AB">
        <w:rPr>
          <w:rFonts w:ascii="Verdana" w:hAnsi="Verdana" w:cs="Arial"/>
          <w:color w:val="000000" w:themeColor="text1"/>
          <w:shd w:val="clear" w:color="auto" w:fill="FFFFFF"/>
          <w:lang w:val="es-ES"/>
        </w:rPr>
        <w:t>.</w:t>
      </w:r>
    </w:p>
    <w:p w14:paraId="3A4688B0" w14:textId="77777777" w:rsidR="00E451D1" w:rsidRPr="009E6635" w:rsidRDefault="00E451D1" w:rsidP="00E451D1">
      <w:pPr>
        <w:tabs>
          <w:tab w:val="left" w:pos="426"/>
        </w:tabs>
        <w:spacing w:after="120" w:line="276" w:lineRule="auto"/>
        <w:ind w:firstLine="709"/>
        <w:jc w:val="both"/>
        <w:rPr>
          <w:rFonts w:ascii="Verdana" w:hAnsi="Verdana" w:cs="Arial"/>
          <w:bCs/>
          <w:color w:val="000000" w:themeColor="text1"/>
          <w:lang w:val="es-ES"/>
        </w:rPr>
      </w:pPr>
      <w:r w:rsidRPr="009E6635">
        <w:rPr>
          <w:rFonts w:ascii="Verdana" w:hAnsi="Verdana" w:cs="Arial"/>
          <w:bCs/>
          <w:color w:val="000000" w:themeColor="text1"/>
          <w:lang w:val="es-ES"/>
        </w:rPr>
        <w:t xml:space="preserve">Lo anterior implica que las excepciones al artículo 33 en comento deben interpretarse y aplicarse de manera </w:t>
      </w:r>
      <w:r w:rsidRPr="009E6635">
        <w:rPr>
          <w:rFonts w:ascii="Verdana" w:hAnsi="Verdana" w:cs="Arial"/>
          <w:bCs/>
          <w:i/>
          <w:iCs/>
          <w:color w:val="000000" w:themeColor="text1"/>
          <w:lang w:val="es-ES"/>
        </w:rPr>
        <w:t>estricta</w:t>
      </w:r>
      <w:r w:rsidRPr="009E6635">
        <w:rPr>
          <w:rFonts w:ascii="Verdana" w:hAnsi="Verdana" w:cs="Arial"/>
          <w:bCs/>
          <w:color w:val="000000" w:themeColor="text1"/>
          <w:lang w:val="es-ES"/>
        </w:rPr>
        <w:t>. En otras palabras, no es factible hacer interpretaciones extensivas</w:t>
      </w:r>
      <w:r w:rsidRPr="009E6635">
        <w:rPr>
          <w:rFonts w:ascii="Verdana" w:hAnsi="Verdana" w:cs="Arial"/>
          <w:bCs/>
          <w:i/>
          <w:iCs/>
          <w:color w:val="000000" w:themeColor="text1"/>
          <w:lang w:val="es-ES"/>
        </w:rPr>
        <w:t xml:space="preserve"> </w:t>
      </w:r>
      <w:r w:rsidRPr="009E6635">
        <w:rPr>
          <w:rFonts w:ascii="Verdana" w:hAnsi="Verdana" w:cs="Arial"/>
          <w:bCs/>
          <w:color w:val="000000" w:themeColor="text1"/>
          <w:lang w:val="es-ES"/>
        </w:rPr>
        <w:t xml:space="preserve">para incluir otros supuestos de hecho similares a las circunstancias previstas en dicho artículo, pues el carácter taxativo implica que solo en los eventos consagrados expresamente en la norma permiten que ciertas entidades estatales se vean exceptuadas de la prohibición. </w:t>
      </w:r>
    </w:p>
    <w:p w14:paraId="3EF6920B" w14:textId="77777777" w:rsidR="00E451D1" w:rsidRPr="00BC3A80" w:rsidRDefault="00E451D1" w:rsidP="00E451D1">
      <w:pPr>
        <w:spacing w:after="120" w:line="276" w:lineRule="auto"/>
        <w:ind w:firstLine="709"/>
        <w:jc w:val="both"/>
        <w:rPr>
          <w:rFonts w:ascii="Verdana" w:hAnsi="Verdana" w:cs="Arial"/>
          <w:lang w:val="es-ES"/>
        </w:rPr>
      </w:pPr>
      <w:r w:rsidRPr="009E6635">
        <w:rPr>
          <w:rFonts w:ascii="Verdana" w:hAnsi="Verdana" w:cs="Arial"/>
          <w:bCs/>
          <w:color w:val="000000" w:themeColor="text1"/>
          <w:lang w:val="es-ES"/>
        </w:rPr>
        <w:lastRenderedPageBreak/>
        <w:t xml:space="preserve">Particularmente, </w:t>
      </w:r>
      <w:r w:rsidRPr="004F51CF">
        <w:rPr>
          <w:rFonts w:ascii="Verdana" w:hAnsi="Verdana" w:cs="Arial"/>
          <w:bCs/>
          <w:color w:val="000000" w:themeColor="text1"/>
        </w:rPr>
        <w:t>al confrontar el catálogo de excepciones con</w:t>
      </w:r>
      <w:r>
        <w:rPr>
          <w:rFonts w:ascii="Verdana" w:hAnsi="Verdana" w:cs="Arial"/>
          <w:bCs/>
          <w:color w:val="000000" w:themeColor="text1"/>
        </w:rPr>
        <w:t xml:space="preserve"> </w:t>
      </w:r>
      <w:r>
        <w:rPr>
          <w:rFonts w:ascii="Verdana" w:hAnsi="Verdana" w:cs="Arial"/>
          <w:bCs/>
          <w:color w:val="000000" w:themeColor="text1"/>
          <w:lang w:val="es-ES"/>
        </w:rPr>
        <w:t>los</w:t>
      </w:r>
      <w:r w:rsidRPr="009E6635">
        <w:rPr>
          <w:rFonts w:ascii="Verdana" w:hAnsi="Verdana" w:cs="Arial"/>
          <w:bCs/>
          <w:color w:val="000000" w:themeColor="text1"/>
          <w:lang w:val="es-ES"/>
        </w:rPr>
        <w:t xml:space="preserve"> contratos </w:t>
      </w:r>
      <w:r>
        <w:rPr>
          <w:rFonts w:ascii="Verdana" w:hAnsi="Verdana" w:cs="Arial"/>
          <w:bCs/>
          <w:color w:val="000000" w:themeColor="text1"/>
        </w:rPr>
        <w:t>directos</w:t>
      </w:r>
      <w:r w:rsidRPr="00BA1157">
        <w:rPr>
          <w:rFonts w:ascii="Verdana" w:hAnsi="Verdana" w:cs="Arial"/>
          <w:bCs/>
          <w:color w:val="000000" w:themeColor="text1"/>
        </w:rPr>
        <w:t xml:space="preserve"> —particularmente los contratos de prestación de servicios profesionales y/o de apoyo a la gestión—</w:t>
      </w:r>
      <w:r>
        <w:rPr>
          <w:rFonts w:ascii="Verdana" w:hAnsi="Verdana" w:cs="Arial"/>
          <w:bCs/>
          <w:color w:val="000000" w:themeColor="text1"/>
        </w:rPr>
        <w:t xml:space="preserve"> a los que se hace referencia en la presente solicitud, </w:t>
      </w:r>
      <w:r w:rsidRPr="00093CA0">
        <w:rPr>
          <w:rFonts w:ascii="Verdana" w:hAnsi="Verdana" w:cs="Arial"/>
          <w:bCs/>
          <w:color w:val="000000" w:themeColor="text1"/>
        </w:rPr>
        <w:t>se advierte que dichos contratos no encuadran en ninguno de los supuestos exceptuados por el inciso segundo del artículo 33 de la Ley 996 de 2005. Por lo tanto, al no estar expresamente excluidos del ámbito de la prohibición, tales contratos se encuentran comprendidos en la restricción general a la contratación directa durante los cuatro (4) meses previos a las elecciones, lo que implica que su celebración en ese periodo resulta jurídicamente improcedente.</w:t>
      </w:r>
    </w:p>
    <w:p w14:paraId="144D7C20" w14:textId="77777777" w:rsidR="00E451D1" w:rsidRPr="00BC3A80" w:rsidRDefault="00E451D1" w:rsidP="00E451D1">
      <w:pPr>
        <w:spacing w:after="120" w:line="276" w:lineRule="auto"/>
        <w:jc w:val="both"/>
        <w:rPr>
          <w:rFonts w:ascii="Verdana" w:eastAsia="Times New Roman" w:hAnsi="Verdana" w:cs="Arial"/>
          <w:lang w:val="es-MX" w:eastAsia="x-none"/>
        </w:rPr>
      </w:pPr>
      <w:r w:rsidRPr="00BC3A80">
        <w:rPr>
          <w:rFonts w:ascii="Verdana" w:hAnsi="Verdana" w:cs="Arial"/>
          <w:lang w:val="es-ES"/>
        </w:rPr>
        <w:t xml:space="preserve"> Ahora bien, respecto del alcance del parágrafo </w:t>
      </w:r>
      <w:r w:rsidRPr="00BC3A80">
        <w:rPr>
          <w:rFonts w:ascii="Verdana" w:hAnsi="Verdana" w:cs="Arial"/>
        </w:rPr>
        <w:t xml:space="preserve">del artículo 38 de la Ley 996 de 2005, es preciso reiterar que esta prohibición dispone que: “[l]os Gobernadores, </w:t>
      </w:r>
      <w:proofErr w:type="gramStart"/>
      <w:r w:rsidRPr="00BC3A80">
        <w:rPr>
          <w:rFonts w:ascii="Verdana" w:hAnsi="Verdana" w:cs="Arial"/>
        </w:rPr>
        <w:t>Alcaldes</w:t>
      </w:r>
      <w:proofErr w:type="gramEnd"/>
      <w:r w:rsidRPr="00BC3A80">
        <w:rPr>
          <w:rFonts w:ascii="Verdana" w:hAnsi="Verdana" w:cs="Arial"/>
        </w:rPr>
        <w:t xml:space="preserve"> Municipales y/o Distritales, </w:t>
      </w:r>
      <w:proofErr w:type="gramStart"/>
      <w:r w:rsidRPr="00BC3A80">
        <w:rPr>
          <w:rFonts w:ascii="Verdana" w:hAnsi="Verdana" w:cs="Arial"/>
        </w:rPr>
        <w:t>Secretarios</w:t>
      </w:r>
      <w:proofErr w:type="gramEnd"/>
      <w:r w:rsidRPr="00BC3A80">
        <w:rPr>
          <w:rFonts w:ascii="Verdana" w:hAnsi="Verdana" w:cs="Arial"/>
        </w:rPr>
        <w:t xml:space="preserve">, Gerentes y directores de Entidades Descentralizadas del orden Municipal, Departamental o Distrital, dentro de los cuatro (4) meses anteriores a las elecciones, no podrán celebrar </w:t>
      </w:r>
      <w:r w:rsidRPr="00BC3A80">
        <w:rPr>
          <w:rFonts w:ascii="Verdana" w:hAnsi="Verdana" w:cs="Arial"/>
          <w:i/>
          <w:iCs/>
        </w:rPr>
        <w:t>convenios interadministrativos</w:t>
      </w:r>
      <w:r w:rsidRPr="00BC3A80">
        <w:rPr>
          <w:rFonts w:ascii="Verdana" w:hAnsi="Verdana" w:cs="Arial"/>
        </w:rPr>
        <w:t xml:space="preserve"> </w:t>
      </w:r>
      <w:r w:rsidRPr="00BC3A80">
        <w:rPr>
          <w:rFonts w:ascii="Verdana" w:hAnsi="Verdana" w:cs="Arial"/>
          <w:i/>
          <w:iCs/>
        </w:rPr>
        <w:t>para la ejecución de recursos públicos</w:t>
      </w:r>
      <w:r w:rsidRPr="00BC3A80">
        <w:rPr>
          <w:rFonts w:ascii="Verdana" w:hAnsi="Verdana" w:cs="Arial"/>
        </w:rPr>
        <w:t>”.</w:t>
      </w:r>
      <w:r w:rsidRPr="00BC3A80">
        <w:rPr>
          <w:rFonts w:ascii="Verdana" w:eastAsia="Times New Roman" w:hAnsi="Verdana" w:cs="Arial"/>
          <w:lang w:val="es-MX" w:eastAsia="x-none"/>
        </w:rPr>
        <w:t xml:space="preserve"> [Énfasis fuera del texto original]</w:t>
      </w:r>
    </w:p>
    <w:p w14:paraId="7B9FA014" w14:textId="77777777" w:rsidR="00E451D1" w:rsidRPr="00BC3A80" w:rsidRDefault="00E451D1" w:rsidP="00E451D1">
      <w:pPr>
        <w:spacing w:after="120" w:line="276" w:lineRule="auto"/>
        <w:ind w:firstLine="709"/>
        <w:jc w:val="both"/>
        <w:rPr>
          <w:rFonts w:ascii="Verdana" w:hAnsi="Verdana" w:cs="Arial"/>
          <w:lang w:eastAsia="es-ES"/>
        </w:rPr>
      </w:pPr>
      <w:r w:rsidRPr="00BC3A80">
        <w:rPr>
          <w:rFonts w:ascii="Verdana" w:eastAsia="Times New Roman" w:hAnsi="Verdana" w:cs="Arial"/>
          <w:lang w:val="es-ES" w:eastAsia="es-ES_tradnl"/>
        </w:rPr>
        <w:t xml:space="preserve">Para tales efectos, debe precisarse que </w:t>
      </w:r>
      <w:r w:rsidRPr="00BC3A80">
        <w:rPr>
          <w:rFonts w:ascii="Verdana" w:eastAsia="Times New Roman" w:hAnsi="Verdana" w:cs="Arial"/>
          <w:color w:val="000000" w:themeColor="text1"/>
          <w:lang w:val="es-ES" w:eastAsia="es-CO"/>
        </w:rPr>
        <w:t xml:space="preserve">los contratos o convenios interadministrativos están determinados por un criterio orgánico, pues es necesario que los extremos de la relación contractual sean entidades públicas, </w:t>
      </w:r>
      <w:r w:rsidRPr="00BC3A80">
        <w:rPr>
          <w:rFonts w:ascii="Verdana" w:hAnsi="Verdana" w:cs="Arial"/>
          <w:lang w:eastAsia="es-ES"/>
        </w:rPr>
        <w:t>independientemente de las normas que regulan la relación contractual. En este sentido, los convenios interadministrativos solo pueden ser celebrados entre entidades públicas, pues a éstas corresponde la realización de los fines y tareas que el legislador les ha asignado</w:t>
      </w:r>
      <w:r w:rsidRPr="00BC3A80">
        <w:rPr>
          <w:rFonts w:ascii="Verdana" w:hAnsi="Verdana" w:cs="Arial"/>
          <w:vertAlign w:val="superscript"/>
          <w:lang w:eastAsia="es-ES"/>
        </w:rPr>
        <w:footnoteReference w:id="19"/>
      </w:r>
      <w:r w:rsidRPr="00BC3A80">
        <w:rPr>
          <w:rFonts w:ascii="Verdana" w:hAnsi="Verdana" w:cs="Arial"/>
          <w:lang w:eastAsia="es-ES"/>
        </w:rPr>
        <w:t>.</w:t>
      </w:r>
    </w:p>
    <w:p w14:paraId="35CD11E8" w14:textId="77777777" w:rsidR="00E451D1" w:rsidRPr="00BC3A80" w:rsidRDefault="00E451D1" w:rsidP="00E451D1">
      <w:pPr>
        <w:spacing w:after="120" w:line="276" w:lineRule="auto"/>
        <w:ind w:firstLine="709"/>
        <w:jc w:val="both"/>
        <w:rPr>
          <w:rFonts w:ascii="Verdana" w:hAnsi="Verdana" w:cs="Arial"/>
          <w:color w:val="000000" w:themeColor="text1"/>
          <w:lang w:val="es-ES_tradnl"/>
        </w:rPr>
      </w:pPr>
      <w:r w:rsidRPr="00BC3A80">
        <w:rPr>
          <w:rFonts w:ascii="Verdana" w:hAnsi="Verdana" w:cs="Arial"/>
          <w:color w:val="000000" w:themeColor="text1"/>
          <w:lang w:val="es-ES_tradnl"/>
        </w:rPr>
        <w:t>Si bien los contratos o convenios interadministrativos están previstos en la Ley 80 de 1993, en la Ley 1150 de 2007 y en el Decreto 1082 de 2015, no quiere decir que solo puedan celebrarse entre Entidades Estatales que apliquen el régimen de contratación allí previsto. En efecto, una Entidad Estatal de la Ley 80 de 1993 – como es el caso de un municipio – bien puede celebrar esta clase de convenios con una Entidad Estatal de régimen especial y no por ello dejará de ser un contrato o convenio interadministrativo.</w:t>
      </w:r>
    </w:p>
    <w:p w14:paraId="1734C7D4" w14:textId="77777777" w:rsidR="00E451D1" w:rsidRPr="00BC3A80" w:rsidRDefault="00E451D1" w:rsidP="00E451D1">
      <w:pPr>
        <w:spacing w:before="120" w:after="0" w:line="276" w:lineRule="auto"/>
        <w:ind w:firstLine="708"/>
        <w:jc w:val="both"/>
        <w:rPr>
          <w:rFonts w:ascii="Verdana" w:hAnsi="Verdana" w:cs="Arial"/>
          <w:lang w:val="es-ES_tradnl"/>
        </w:rPr>
      </w:pPr>
      <w:r w:rsidRPr="00BC3A80">
        <w:rPr>
          <w:rFonts w:ascii="Verdana" w:hAnsi="Verdana" w:cs="Arial"/>
          <w:lang w:val="es-ES_tradnl"/>
        </w:rPr>
        <w:lastRenderedPageBreak/>
        <w:t>Un contrato o convenio interadministrativo no está determinado por la modalidad de selección utilizada para celebrarlo. La Ley 1150 de 2007 establece que pueden celebrarse directamente, siempre que las obligaciones derivadas del mismo tengan relación directa con el objeto de la entidad ejecutora, señalado en la ley o en sus reglamentos, a menos que, según las excepciones previstas en dicha Ley, deba adelantarse un procedimiento susceptible de pluralidad de oferentes</w:t>
      </w:r>
      <w:r w:rsidRPr="00BC3A80">
        <w:rPr>
          <w:rFonts w:ascii="Verdana" w:hAnsi="Verdana" w:cs="Arial"/>
          <w:vertAlign w:val="superscript"/>
          <w:lang w:val="es-ES_tradnl"/>
        </w:rPr>
        <w:footnoteReference w:id="20"/>
      </w:r>
      <w:r w:rsidRPr="00BC3A80">
        <w:rPr>
          <w:rFonts w:ascii="Verdana" w:hAnsi="Verdana" w:cs="Arial"/>
          <w:lang w:val="es-ES_tradnl"/>
        </w:rPr>
        <w:t>. Nótese que, en este caso, lo que cambia es la modalidad de selección y no la naturaleza de contrato interadministrativo.</w:t>
      </w:r>
    </w:p>
    <w:p w14:paraId="5EE2BB9F" w14:textId="77777777" w:rsidR="00E451D1" w:rsidRPr="00BC3A80" w:rsidRDefault="00E451D1" w:rsidP="00E451D1">
      <w:pPr>
        <w:spacing w:before="120" w:after="0" w:line="276" w:lineRule="auto"/>
        <w:ind w:firstLine="708"/>
        <w:jc w:val="both"/>
        <w:rPr>
          <w:rFonts w:ascii="Verdana" w:hAnsi="Verdana" w:cs="Arial"/>
          <w:lang w:val="es-ES_tradnl"/>
        </w:rPr>
      </w:pPr>
      <w:r w:rsidRPr="00BC3A80">
        <w:rPr>
          <w:rFonts w:ascii="Verdana" w:hAnsi="Verdana" w:cs="Arial"/>
          <w:lang w:val="es-ES_tradnl"/>
        </w:rPr>
        <w:t>Además, es necesario tener en cuenta que para que un contrato o convenio interadministrativo exista debe cumplir con los siguientes elementos: acuerdo sobre el objeto y la contraprestación y que conste por escrito</w:t>
      </w:r>
      <w:r w:rsidRPr="00BC3A80">
        <w:rPr>
          <w:rFonts w:ascii="Verdana" w:hAnsi="Verdana" w:cs="Arial"/>
          <w:vertAlign w:val="superscript"/>
          <w:lang w:val="es-ES_tradnl"/>
        </w:rPr>
        <w:footnoteReference w:id="21"/>
      </w:r>
      <w:r w:rsidRPr="00BC3A80">
        <w:rPr>
          <w:rFonts w:ascii="Verdana" w:hAnsi="Verdana" w:cs="Arial"/>
          <w:lang w:val="es-ES_tradnl"/>
        </w:rPr>
        <w:t>. Entonces, si ambas partes son entidades estatales, pueden celebrar convenios interadministrativos, porque las disposiciones que regulan esta tipología hacen referencia a la calidad de los sujetos que intervienen en la contratación, que deben ser entidades estatales o de derecho público.</w:t>
      </w:r>
    </w:p>
    <w:p w14:paraId="3B44B806" w14:textId="77777777" w:rsidR="00E451D1" w:rsidRPr="00BC3A80" w:rsidRDefault="00E451D1" w:rsidP="00E451D1">
      <w:pPr>
        <w:spacing w:before="120" w:after="0" w:line="276" w:lineRule="auto"/>
        <w:ind w:firstLine="708"/>
        <w:jc w:val="both"/>
        <w:rPr>
          <w:rFonts w:ascii="Verdana" w:hAnsi="Verdana"/>
          <w:sz w:val="24"/>
          <w:szCs w:val="24"/>
          <w:lang w:eastAsia="es-CO"/>
        </w:rPr>
      </w:pPr>
      <w:r w:rsidRPr="00BC3A80">
        <w:rPr>
          <w:rFonts w:ascii="Verdana" w:hAnsi="Verdana" w:cs="Arial"/>
          <w:lang w:val="es-ES_tradnl"/>
        </w:rPr>
        <w:t>Sobre este aspecto, se resalta que la Corte Constitucional señaló en la Sentencia C–671 de 2015 que “Lo que hace interadministrativo a un contrato o convenio no es el procedimiento de selección aplicable, sino la calidad de los sujetos contratantes, esto es que las dos partes de la relación jurídica contractual formen parte de la administración pública”. Así las cosas, atendiendo a la literalidad de las normas enunciadas, no cabe una interpretación diferente</w:t>
      </w:r>
      <w:r w:rsidRPr="00BC3A80">
        <w:rPr>
          <w:rFonts w:ascii="Verdana" w:hAnsi="Verdana" w:cs="Arial"/>
          <w:vertAlign w:val="superscript"/>
          <w:lang w:val="es-ES_tradnl"/>
        </w:rPr>
        <w:footnoteReference w:id="22"/>
      </w:r>
      <w:r w:rsidRPr="00BC3A80">
        <w:rPr>
          <w:rFonts w:ascii="Verdana" w:hAnsi="Verdana" w:cs="Arial"/>
          <w:lang w:val="es-ES_tradnl"/>
        </w:rPr>
        <w:t>, pues, de acuerdo con lo anotado, esta clase de acuerdos de voluntades se definen por un criterio orgánico, por lo que uno de sus elementos esenciales es que en los extremos de la relación jurídico negocial concurran personas de derecho público</w:t>
      </w:r>
      <w:r w:rsidRPr="00BC3A80">
        <w:rPr>
          <w:rFonts w:ascii="Verdana" w:hAnsi="Verdana"/>
          <w:sz w:val="24"/>
          <w:szCs w:val="24"/>
          <w:lang w:eastAsia="es-CO"/>
        </w:rPr>
        <w:t>.</w:t>
      </w:r>
    </w:p>
    <w:p w14:paraId="5654A248" w14:textId="77777777" w:rsidR="00E451D1" w:rsidRPr="00BC3A80" w:rsidRDefault="00E451D1" w:rsidP="00E451D1">
      <w:pPr>
        <w:spacing w:before="120" w:after="0" w:line="276" w:lineRule="auto"/>
        <w:ind w:firstLine="708"/>
        <w:jc w:val="both"/>
        <w:rPr>
          <w:rFonts w:ascii="Verdana" w:eastAsia="Times New Roman" w:hAnsi="Verdana" w:cs="Arial"/>
          <w:lang w:val="es-MX" w:eastAsia="es-CO"/>
        </w:rPr>
      </w:pPr>
      <w:r w:rsidRPr="00BC3A80">
        <w:rPr>
          <w:rFonts w:ascii="Verdana" w:eastAsia="Arial" w:hAnsi="Verdana" w:cs="Arial"/>
          <w:lang w:val="es-MX" w:eastAsia="es-ES" w:bidi="es-ES"/>
        </w:rPr>
        <w:lastRenderedPageBreak/>
        <w:t>De esta manera, s</w:t>
      </w:r>
      <w:proofErr w:type="spellStart"/>
      <w:r w:rsidRPr="00BC3A80">
        <w:rPr>
          <w:rFonts w:ascii="Verdana" w:eastAsia="Times New Roman" w:hAnsi="Verdana" w:cs="Arial"/>
          <w:lang w:eastAsia="es-CO"/>
        </w:rPr>
        <w:t>e</w:t>
      </w:r>
      <w:proofErr w:type="spellEnd"/>
      <w:r w:rsidRPr="00BC3A80">
        <w:rPr>
          <w:rFonts w:ascii="Verdana" w:eastAsia="Times New Roman" w:hAnsi="Verdana" w:cs="Arial"/>
          <w:lang w:eastAsia="es-CO"/>
        </w:rPr>
        <w:t xml:space="preserve"> observa entonces que </w:t>
      </w:r>
      <w:r w:rsidRPr="00BC3A80">
        <w:rPr>
          <w:rFonts w:ascii="Verdana" w:eastAsia="Times New Roman" w:hAnsi="Verdana" w:cs="Arial"/>
          <w:lang w:val="es-MX" w:eastAsia="es-CO"/>
        </w:rPr>
        <w:t xml:space="preserve">el parágrafo del artículo 38 de la Ley 996 de 2005 prohíbe a los </w:t>
      </w:r>
      <w:proofErr w:type="gramStart"/>
      <w:r w:rsidRPr="00BC3A80">
        <w:rPr>
          <w:rFonts w:ascii="Verdana" w:eastAsia="Times New Roman" w:hAnsi="Verdana" w:cs="Arial"/>
          <w:lang w:val="es-MX" w:eastAsia="es-CO"/>
        </w:rPr>
        <w:t>Alcaldes</w:t>
      </w:r>
      <w:proofErr w:type="gramEnd"/>
      <w:r w:rsidRPr="00BC3A80">
        <w:rPr>
          <w:rFonts w:ascii="Verdana" w:eastAsia="Times New Roman" w:hAnsi="Verdana" w:cs="Arial"/>
          <w:lang w:val="es-MX" w:eastAsia="es-CO"/>
        </w:rPr>
        <w:t xml:space="preserve">, Gobernadores, </w:t>
      </w:r>
      <w:proofErr w:type="gramStart"/>
      <w:r w:rsidRPr="00BC3A80">
        <w:rPr>
          <w:rFonts w:ascii="Verdana" w:eastAsia="Times New Roman" w:hAnsi="Verdana" w:cs="Arial"/>
          <w:lang w:val="es-MX" w:eastAsia="es-CO"/>
        </w:rPr>
        <w:t>Secretarios</w:t>
      </w:r>
      <w:proofErr w:type="gramEnd"/>
      <w:r w:rsidRPr="00BC3A80">
        <w:rPr>
          <w:rFonts w:ascii="Verdana" w:eastAsia="Times New Roman" w:hAnsi="Verdana" w:cs="Arial"/>
          <w:lang w:val="es-MX" w:eastAsia="es-CO"/>
        </w:rPr>
        <w:t xml:space="preserve">, Gerentes y </w:t>
      </w:r>
      <w:proofErr w:type="gramStart"/>
      <w:r w:rsidRPr="00BC3A80">
        <w:rPr>
          <w:rFonts w:ascii="Verdana" w:eastAsia="Times New Roman" w:hAnsi="Verdana" w:cs="Arial"/>
          <w:lang w:val="es-MX" w:eastAsia="es-CO"/>
        </w:rPr>
        <w:t>Directores</w:t>
      </w:r>
      <w:proofErr w:type="gramEnd"/>
      <w:r w:rsidRPr="00BC3A80">
        <w:rPr>
          <w:rFonts w:ascii="Verdana" w:eastAsia="Times New Roman" w:hAnsi="Verdana" w:cs="Arial"/>
          <w:lang w:val="es-MX" w:eastAsia="es-CO"/>
        </w:rPr>
        <w:t xml:space="preserve"> de las entidades del orden municipal, departamental o distrital celebrar </w:t>
      </w:r>
      <w:r w:rsidRPr="00BC3A80">
        <w:rPr>
          <w:rFonts w:ascii="Verdana" w:eastAsia="Times New Roman" w:hAnsi="Verdana" w:cs="Arial"/>
          <w:i/>
          <w:iCs/>
          <w:lang w:val="es-MX" w:eastAsia="es-CO"/>
        </w:rPr>
        <w:t>convenios interadministrativos</w:t>
      </w:r>
      <w:r w:rsidRPr="00BC3A80">
        <w:rPr>
          <w:rFonts w:ascii="Verdana" w:eastAsia="Times New Roman" w:hAnsi="Verdana" w:cs="Arial"/>
          <w:lang w:val="es-MX" w:eastAsia="es-CO"/>
        </w:rPr>
        <w:t xml:space="preserve"> para la ejecución de recursos públicos. En este sentido, si una o ambas partes de la relación contractual es una entidad de aquellas descritas en el parágrafo </w:t>
      </w:r>
      <w:r w:rsidRPr="00BC3A80">
        <w:rPr>
          <w:rFonts w:ascii="Verdana" w:eastAsia="Times New Roman" w:hAnsi="Verdana" w:cs="Arial"/>
          <w:i/>
          <w:lang w:val="es-MX" w:eastAsia="es-CO"/>
        </w:rPr>
        <w:t>ibidem</w:t>
      </w:r>
      <w:r w:rsidRPr="00BC3A80">
        <w:rPr>
          <w:rFonts w:ascii="Verdana" w:eastAsia="Times New Roman" w:hAnsi="Verdana" w:cs="Arial"/>
          <w:lang w:val="es-MX" w:eastAsia="es-CO"/>
        </w:rPr>
        <w:t xml:space="preserve">, no podrá celebrar tales </w:t>
      </w:r>
      <w:r w:rsidRPr="00BC3A80">
        <w:rPr>
          <w:rFonts w:ascii="Verdana" w:eastAsia="Times New Roman" w:hAnsi="Verdana" w:cs="Arial"/>
          <w:i/>
          <w:iCs/>
          <w:lang w:val="es-MX" w:eastAsia="es-CO"/>
        </w:rPr>
        <w:t>convenios</w:t>
      </w:r>
      <w:r w:rsidRPr="00BC3A80">
        <w:rPr>
          <w:rFonts w:ascii="Verdana" w:eastAsia="Times New Roman" w:hAnsi="Verdana" w:cs="Arial"/>
          <w:lang w:val="es-MX" w:eastAsia="es-CO"/>
        </w:rPr>
        <w:t xml:space="preserve"> durante la aplicación de la Ley de Garantías Electorales, toda vez que la citada disposición hace referencia a dicha tipología contractual sin que el legislador hubiere contemplado un efecto extensivo a otra tipología. </w:t>
      </w:r>
    </w:p>
    <w:p w14:paraId="07E297C6" w14:textId="77777777" w:rsidR="00E451D1" w:rsidRPr="00BC3A80" w:rsidRDefault="00E451D1" w:rsidP="00E451D1">
      <w:pPr>
        <w:spacing w:before="120" w:after="0" w:line="276" w:lineRule="auto"/>
        <w:ind w:firstLine="708"/>
        <w:jc w:val="both"/>
        <w:rPr>
          <w:rFonts w:ascii="Verdana" w:eastAsia="Times New Roman" w:hAnsi="Verdana" w:cs="Arial"/>
          <w:lang w:eastAsia="es-CO"/>
        </w:rPr>
      </w:pPr>
      <w:r w:rsidRPr="00BC3A80">
        <w:rPr>
          <w:rFonts w:ascii="Verdana" w:eastAsia="Times New Roman" w:hAnsi="Verdana" w:cs="Arial"/>
          <w:lang w:val="es-MX" w:eastAsia="es-CO"/>
        </w:rPr>
        <w:t xml:space="preserve">Respecto del alcance de esta prohibición la Circular Externa No. 006 de 2025 expedida por la ANCP -CCE, en los literales </w:t>
      </w:r>
      <w:proofErr w:type="spellStart"/>
      <w:r w:rsidRPr="00BC3A80">
        <w:rPr>
          <w:rFonts w:ascii="Verdana" w:eastAsia="Times New Roman" w:hAnsi="Verdana" w:cs="Arial"/>
          <w:lang w:val="es-MX" w:eastAsia="es-CO"/>
        </w:rPr>
        <w:t>ii</w:t>
      </w:r>
      <w:proofErr w:type="spellEnd"/>
      <w:r w:rsidRPr="00BC3A80">
        <w:rPr>
          <w:rFonts w:ascii="Verdana" w:eastAsia="Times New Roman" w:hAnsi="Verdana" w:cs="Arial"/>
          <w:lang w:val="es-MX" w:eastAsia="es-CO"/>
        </w:rPr>
        <w:t xml:space="preserve">) y </w:t>
      </w:r>
      <w:proofErr w:type="spellStart"/>
      <w:r w:rsidRPr="00BC3A80">
        <w:rPr>
          <w:rFonts w:ascii="Verdana" w:eastAsia="Times New Roman" w:hAnsi="Verdana" w:cs="Arial"/>
          <w:lang w:val="es-MX" w:eastAsia="es-CO"/>
        </w:rPr>
        <w:t>iv</w:t>
      </w:r>
      <w:proofErr w:type="spellEnd"/>
      <w:r w:rsidRPr="00BC3A80">
        <w:rPr>
          <w:rFonts w:ascii="Verdana" w:eastAsia="Times New Roman" w:hAnsi="Verdana" w:cs="Arial"/>
          <w:lang w:val="es-MX" w:eastAsia="es-CO"/>
        </w:rPr>
        <w:t>) del numeral 2</w:t>
      </w:r>
      <w:r w:rsidRPr="00BC3A80">
        <w:rPr>
          <w:rFonts w:ascii="Verdana" w:eastAsia="Times New Roman" w:hAnsi="Verdana" w:cs="Arial"/>
          <w:lang w:eastAsia="es-CO"/>
        </w:rPr>
        <w:t>,</w:t>
      </w:r>
      <w:r w:rsidRPr="00BC3A80">
        <w:rPr>
          <w:rFonts w:ascii="Verdana" w:eastAsia="Times New Roman" w:hAnsi="Verdana" w:cs="Arial"/>
          <w:lang w:val="es-MX" w:eastAsia="es-CO"/>
        </w:rPr>
        <w:t xml:space="preserve"> indica que el </w:t>
      </w:r>
      <w:r w:rsidRPr="00BC3A80">
        <w:rPr>
          <w:rFonts w:ascii="Verdana" w:eastAsia="Times New Roman" w:hAnsi="Verdana" w:cs="Arial"/>
          <w:lang w:eastAsia="es-CO"/>
        </w:rPr>
        <w:t xml:space="preserve">parágrafo del artículo 38 de la Ley 996 de 2005 cobija expresamente a los </w:t>
      </w:r>
      <w:r w:rsidRPr="00BC3A80">
        <w:rPr>
          <w:rFonts w:ascii="Verdana" w:eastAsia="Times New Roman" w:hAnsi="Verdana" w:cs="Arial"/>
          <w:i/>
          <w:iCs/>
          <w:lang w:eastAsia="es-CO"/>
        </w:rPr>
        <w:t>convenios interadministrativos</w:t>
      </w:r>
      <w:r w:rsidRPr="00BC3A80">
        <w:rPr>
          <w:rFonts w:ascii="Verdana" w:eastAsia="Times New Roman" w:hAnsi="Verdana" w:cs="Arial"/>
          <w:lang w:eastAsia="es-CO"/>
        </w:rPr>
        <w:t xml:space="preserve"> en los que se contemple la ejecución de recursos públicos. Además, precisa que el parágrafo referido no estableció ningún supuesto que exceptúe la aplicación de esta prohibición, por lo que la restricción referida a la celebración de convenios interadministrativos aplicará a los sujetos allí señalados, </w:t>
      </w:r>
      <w:r w:rsidRPr="00BC3A80">
        <w:rPr>
          <w:rFonts w:ascii="Verdana" w:eastAsia="Times New Roman" w:hAnsi="Verdana" w:cs="Arial"/>
          <w:i/>
          <w:iCs/>
          <w:lang w:eastAsia="es-CO"/>
        </w:rPr>
        <w:t>“aunque se configure alguno de los supuestos de excepción que señaló el inciso final del artículo 33”.</w:t>
      </w:r>
      <w:r w:rsidRPr="00BC3A80">
        <w:rPr>
          <w:rFonts w:ascii="Verdana" w:eastAsia="Times New Roman" w:hAnsi="Verdana" w:cs="Arial"/>
          <w:lang w:eastAsia="es-CO"/>
        </w:rPr>
        <w:t xml:space="preserve"> </w:t>
      </w:r>
    </w:p>
    <w:p w14:paraId="1AE544D3" w14:textId="77777777" w:rsidR="00E451D1" w:rsidRPr="00BC3A80" w:rsidRDefault="00E451D1" w:rsidP="00E451D1">
      <w:pPr>
        <w:spacing w:before="120" w:after="0" w:line="276" w:lineRule="auto"/>
        <w:ind w:firstLine="708"/>
        <w:jc w:val="both"/>
        <w:rPr>
          <w:rFonts w:ascii="Verdana" w:eastAsia="Times New Roman" w:hAnsi="Verdana" w:cs="Arial"/>
          <w:lang w:eastAsia="es-CO"/>
        </w:rPr>
      </w:pPr>
      <w:r w:rsidRPr="00BC3A80">
        <w:rPr>
          <w:rFonts w:ascii="Verdana" w:eastAsia="Times New Roman" w:hAnsi="Verdana" w:cs="Arial"/>
          <w:lang w:eastAsia="es-CO"/>
        </w:rPr>
        <w:t xml:space="preserve">Sin embargo, es importante tener en cuenta que el ámbito de aplicación de la restricción prevista en el parágrafo del artículo 38 de la Ley 996 de 2005 solo se extiende a los </w:t>
      </w:r>
      <w:r w:rsidRPr="00BC3A80">
        <w:rPr>
          <w:rFonts w:ascii="Verdana" w:eastAsia="Times New Roman" w:hAnsi="Verdana" w:cs="Arial"/>
          <w:i/>
          <w:iCs/>
          <w:lang w:eastAsia="es-CO"/>
        </w:rPr>
        <w:t>convenios interadministrativos</w:t>
      </w:r>
      <w:r w:rsidRPr="00BC3A80">
        <w:rPr>
          <w:rFonts w:ascii="Verdana" w:eastAsia="Times New Roman" w:hAnsi="Verdana" w:cs="Arial"/>
          <w:lang w:eastAsia="es-CO"/>
        </w:rPr>
        <w:t xml:space="preserve"> en los que se contemple la </w:t>
      </w:r>
      <w:r w:rsidRPr="00BC3A80">
        <w:rPr>
          <w:rFonts w:ascii="Verdana" w:eastAsia="Times New Roman" w:hAnsi="Verdana" w:cs="Arial"/>
          <w:i/>
          <w:iCs/>
          <w:lang w:eastAsia="es-CO"/>
        </w:rPr>
        <w:t>ejecución de recursos públicos</w:t>
      </w:r>
      <w:r w:rsidRPr="00BC3A80">
        <w:rPr>
          <w:rFonts w:ascii="Verdana" w:eastAsia="Times New Roman" w:hAnsi="Verdana" w:cs="Arial"/>
          <w:lang w:eastAsia="es-CO"/>
        </w:rPr>
        <w:t xml:space="preserve">. Esto significa que la prohibición no resulta aplicable a </w:t>
      </w:r>
      <w:r w:rsidRPr="00BC3A80">
        <w:rPr>
          <w:rFonts w:ascii="Verdana" w:eastAsia="Times New Roman" w:hAnsi="Verdana" w:cs="Arial"/>
          <w:i/>
          <w:iCs/>
          <w:lang w:eastAsia="es-CO"/>
        </w:rPr>
        <w:t>convenios interadministrativos a título gratuito,</w:t>
      </w:r>
      <w:r w:rsidRPr="00BC3A80">
        <w:rPr>
          <w:rFonts w:ascii="Verdana" w:eastAsia="Times New Roman" w:hAnsi="Verdana" w:cs="Arial"/>
          <w:lang w:eastAsia="es-CO"/>
        </w:rPr>
        <w:t xml:space="preserve"> los cuales pueden celebrarse válidamente durante la vigencia de la mencionada restricción. </w:t>
      </w:r>
    </w:p>
    <w:p w14:paraId="688E077A" w14:textId="77777777" w:rsidR="00E451D1" w:rsidRPr="00BC3A80" w:rsidRDefault="00E451D1" w:rsidP="00E451D1">
      <w:pPr>
        <w:spacing w:before="120" w:after="0" w:line="276" w:lineRule="auto"/>
        <w:ind w:firstLine="708"/>
        <w:jc w:val="both"/>
        <w:rPr>
          <w:rFonts w:ascii="Verdana" w:eastAsia="Times New Roman" w:hAnsi="Verdana" w:cs="Arial"/>
          <w:lang w:eastAsia="es-CO"/>
        </w:rPr>
      </w:pPr>
      <w:r w:rsidRPr="00BC3A80">
        <w:rPr>
          <w:rFonts w:ascii="Verdana" w:eastAsia="Times New Roman" w:hAnsi="Verdana" w:cs="Arial"/>
          <w:lang w:eastAsia="es-CO"/>
        </w:rPr>
        <w:t xml:space="preserve">De esta manera, conforme a lo dispuesto en la Circular referida, si se suscriben </w:t>
      </w:r>
      <w:r w:rsidRPr="00BC3A80">
        <w:rPr>
          <w:rFonts w:ascii="Verdana" w:eastAsia="Times New Roman" w:hAnsi="Verdana" w:cs="Arial"/>
          <w:i/>
          <w:iCs/>
          <w:lang w:eastAsia="es-CO"/>
        </w:rPr>
        <w:t>convenios interadministrativos para la ejecución de recursos públicos</w:t>
      </w:r>
      <w:r w:rsidRPr="00BC3A80">
        <w:rPr>
          <w:rFonts w:ascii="Verdana" w:eastAsia="Times New Roman" w:hAnsi="Verdana" w:cs="Arial"/>
          <w:lang w:eastAsia="es-CO"/>
        </w:rPr>
        <w:t xml:space="preserve"> por los alcaldes, gobernadores, secretarios, gerentes y directores de las entidades del orden municipal, departamental o distrital, aplicará la prohibición del parágrafo del artículo 38 </w:t>
      </w:r>
      <w:r w:rsidRPr="00BC3A80">
        <w:rPr>
          <w:rFonts w:ascii="Verdana" w:eastAsia="Times New Roman" w:hAnsi="Verdana" w:cs="Arial"/>
          <w:i/>
          <w:iCs/>
          <w:lang w:eastAsia="es-CO"/>
        </w:rPr>
        <w:t>ibidem</w:t>
      </w:r>
      <w:r w:rsidRPr="00BC3A80">
        <w:rPr>
          <w:rFonts w:ascii="Verdana" w:eastAsia="Times New Roman" w:hAnsi="Verdana" w:cs="Arial"/>
          <w:lang w:eastAsia="es-CO"/>
        </w:rPr>
        <w:t>, independientemente de que se configure alguno de los supuestos de excepción que señaló el inciso final del artículo 33, es decir, que se trate de:</w:t>
      </w:r>
      <w:r w:rsidRPr="00BC3A80">
        <w:rPr>
          <w:rFonts w:ascii="Verdana" w:hAnsi="Verdana" w:cs="Arial"/>
          <w:bCs/>
          <w:lang w:val="es-MX" w:eastAsia="x-none"/>
        </w:rPr>
        <w:t xml:space="preserve"> i) la defensa y seguridad del Estado; </w:t>
      </w:r>
      <w:proofErr w:type="spellStart"/>
      <w:r w:rsidRPr="00BC3A80">
        <w:rPr>
          <w:rFonts w:ascii="Verdana" w:hAnsi="Verdana" w:cs="Arial"/>
          <w:bCs/>
          <w:lang w:val="es-MX" w:eastAsia="x-none"/>
        </w:rPr>
        <w:t>ii</w:t>
      </w:r>
      <w:proofErr w:type="spellEnd"/>
      <w:r w:rsidRPr="00BC3A80">
        <w:rPr>
          <w:rFonts w:ascii="Verdana" w:hAnsi="Verdana" w:cs="Arial"/>
          <w:bCs/>
          <w:lang w:val="es-MX" w:eastAsia="x-none"/>
        </w:rPr>
        <w:t xml:space="preserve">) los contratos de crédito público; </w:t>
      </w:r>
      <w:proofErr w:type="spellStart"/>
      <w:r w:rsidRPr="00BC3A80">
        <w:rPr>
          <w:rFonts w:ascii="Verdana" w:hAnsi="Verdana" w:cs="Arial"/>
          <w:bCs/>
          <w:lang w:val="es-MX" w:eastAsia="x-none"/>
        </w:rPr>
        <w:t>iii</w:t>
      </w:r>
      <w:proofErr w:type="spellEnd"/>
      <w:r w:rsidRPr="00BC3A80">
        <w:rPr>
          <w:rFonts w:ascii="Verdana" w:hAnsi="Verdana" w:cs="Arial"/>
          <w:bCs/>
          <w:lang w:val="es-MX" w:eastAsia="x-none"/>
        </w:rPr>
        <w:t xml:space="preserve">) los requeridos para cubrir las emergencias educativas, sanitarias y desastres; </w:t>
      </w:r>
      <w:proofErr w:type="spellStart"/>
      <w:r w:rsidRPr="00BC3A80">
        <w:rPr>
          <w:rFonts w:ascii="Verdana" w:hAnsi="Verdana" w:cs="Arial"/>
          <w:bCs/>
          <w:lang w:val="es-MX" w:eastAsia="x-none"/>
        </w:rPr>
        <w:t>iv</w:t>
      </w:r>
      <w:proofErr w:type="spellEnd"/>
      <w:r w:rsidRPr="00BC3A80">
        <w:rPr>
          <w:rFonts w:ascii="Verdana" w:hAnsi="Verdana" w:cs="Arial"/>
          <w:bCs/>
          <w:lang w:val="es-MX" w:eastAsia="x-none"/>
        </w:rPr>
        <w:t xml:space="preserve">) los utilizados para la reconstrucción de vías, puentes, carreteras, infraestructura energética y de comunicaciones, en caso de que hayan sido objeto de atentados, acciones terroristas, desastres naturales o casos </w:t>
      </w:r>
      <w:r w:rsidRPr="00BC3A80">
        <w:rPr>
          <w:rFonts w:ascii="Verdana" w:hAnsi="Verdana" w:cs="Arial"/>
          <w:bCs/>
          <w:lang w:val="es-MX" w:eastAsia="x-none"/>
        </w:rPr>
        <w:lastRenderedPageBreak/>
        <w:t>de fuerza mayor; y, v) los que deban realizar las entidades sanitarias y hospitalarias.</w:t>
      </w:r>
      <w:r w:rsidRPr="00BC3A80">
        <w:rPr>
          <w:rFonts w:ascii="Verdana" w:hAnsi="Verdana" w:cs="Arial"/>
          <w:bCs/>
          <w:lang w:val="es-MX" w:eastAsia="es-CO"/>
        </w:rPr>
        <w:t xml:space="preserve"> </w:t>
      </w:r>
      <w:r w:rsidRPr="00BC3A80">
        <w:rPr>
          <w:rFonts w:ascii="Verdana" w:eastAsia="Times New Roman" w:hAnsi="Verdana" w:cs="Arial"/>
          <w:lang w:eastAsia="es-CO"/>
        </w:rPr>
        <w:t xml:space="preserve">  </w:t>
      </w:r>
    </w:p>
    <w:p w14:paraId="2BC1AF55" w14:textId="77777777" w:rsidR="00E451D1" w:rsidRPr="00BC3A80" w:rsidRDefault="00E451D1" w:rsidP="00E451D1">
      <w:pPr>
        <w:spacing w:before="120" w:after="0" w:line="276" w:lineRule="auto"/>
        <w:ind w:firstLine="708"/>
        <w:jc w:val="both"/>
        <w:rPr>
          <w:rFonts w:ascii="Verdana" w:eastAsia="Times New Roman" w:hAnsi="Verdana" w:cs="Arial"/>
          <w:lang w:eastAsia="es-CO"/>
        </w:rPr>
      </w:pPr>
      <w:r w:rsidRPr="00BC3A80">
        <w:rPr>
          <w:rFonts w:ascii="Verdana" w:eastAsia="Times New Roman" w:hAnsi="Verdana" w:cs="Arial"/>
          <w:lang w:eastAsia="es-CO"/>
        </w:rPr>
        <w:t xml:space="preserve">En este punto, vale la pena destacar que, </w:t>
      </w:r>
      <w:r w:rsidRPr="00BC3A80">
        <w:rPr>
          <w:rFonts w:ascii="Verdana" w:eastAsia="Arial" w:hAnsi="Verdana" w:cs="Arial"/>
          <w:lang w:val="es-MX" w:eastAsia="es-ES" w:bidi="es-ES"/>
        </w:rPr>
        <w:t xml:space="preserve">mediante auto de 4 de octubre del 2024, el Consejo de Estado, Subsección C de la Sección Tercera, decretó medida de suspensión provisional parcial del </w:t>
      </w:r>
      <w:r w:rsidRPr="00BC3A80">
        <w:rPr>
          <w:rFonts w:ascii="Verdana" w:hAnsi="Verdana" w:cs="Arial"/>
        </w:rPr>
        <w:t>numeral 16.2 de la Circular Externa Única de 2022 expedida por la Agencia Nacional de Contratación Pública -Colombia Compra Eficiente-, concretamente, respecto de los siguientes apartes normativos</w:t>
      </w:r>
      <w:r w:rsidRPr="00BC3A80">
        <w:rPr>
          <w:rFonts w:ascii="Verdana" w:hAnsi="Verdana" w:cs="Arial"/>
          <w:vertAlign w:val="superscript"/>
        </w:rPr>
        <w:footnoteReference w:id="23"/>
      </w:r>
      <w:r w:rsidRPr="00BC3A80">
        <w:rPr>
          <w:rFonts w:ascii="Verdana" w:hAnsi="Verdana" w:cs="Arial"/>
        </w:rPr>
        <w:t>:</w:t>
      </w:r>
      <w:r w:rsidRPr="00BC3A80">
        <w:rPr>
          <w:rFonts w:cs="Arial"/>
        </w:rPr>
        <w:t xml:space="preserve"> </w:t>
      </w:r>
    </w:p>
    <w:p w14:paraId="40702BD1" w14:textId="77777777" w:rsidR="00E451D1" w:rsidRPr="00BC3A80" w:rsidRDefault="00E451D1" w:rsidP="00E451D1">
      <w:pPr>
        <w:spacing w:after="0" w:line="276" w:lineRule="auto"/>
        <w:ind w:firstLine="709"/>
        <w:jc w:val="both"/>
        <w:rPr>
          <w:rFonts w:cs="Arial"/>
        </w:rPr>
      </w:pPr>
    </w:p>
    <w:p w14:paraId="2A4DC5E5" w14:textId="77777777" w:rsidR="00E451D1" w:rsidRPr="00BC3A80" w:rsidRDefault="00E451D1" w:rsidP="00E451D1">
      <w:pPr>
        <w:spacing w:after="0" w:line="240" w:lineRule="auto"/>
        <w:ind w:left="709" w:right="709"/>
        <w:jc w:val="both"/>
        <w:rPr>
          <w:rFonts w:ascii="Verdana" w:hAnsi="Verdana" w:cs="Arial"/>
          <w:sz w:val="20"/>
          <w:szCs w:val="20"/>
        </w:rPr>
      </w:pPr>
      <w:r w:rsidRPr="00BC3A80">
        <w:rPr>
          <w:rFonts w:ascii="Verdana" w:hAnsi="Verdana" w:cs="Arial"/>
          <w:sz w:val="20"/>
          <w:szCs w:val="20"/>
          <w:lang w:val="es-MX"/>
        </w:rPr>
        <w:t>i)</w:t>
      </w:r>
      <w:r w:rsidRPr="00BC3A80">
        <w:rPr>
          <w:rFonts w:ascii="Verdana" w:hAnsi="Verdana" w:cs="Arial"/>
          <w:sz w:val="20"/>
          <w:szCs w:val="20"/>
        </w:rPr>
        <w:t xml:space="preserve"> el inciso segundo 2 que dispone: “Esta restricción es aplicable tanto a los convenios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 y, </w:t>
      </w:r>
    </w:p>
    <w:p w14:paraId="04ADBB49" w14:textId="77777777" w:rsidR="00E451D1" w:rsidRPr="00BC3A80" w:rsidRDefault="00E451D1" w:rsidP="00E451D1">
      <w:pPr>
        <w:spacing w:after="0" w:line="240" w:lineRule="auto"/>
        <w:ind w:left="709" w:right="709"/>
        <w:jc w:val="both"/>
        <w:rPr>
          <w:rFonts w:ascii="Verdana" w:hAnsi="Verdana" w:cs="Arial"/>
          <w:sz w:val="20"/>
          <w:szCs w:val="20"/>
        </w:rPr>
      </w:pPr>
    </w:p>
    <w:p w14:paraId="17F691E0" w14:textId="77777777" w:rsidR="00E451D1" w:rsidRPr="00BC3A80" w:rsidRDefault="00E451D1" w:rsidP="00E451D1">
      <w:pPr>
        <w:spacing w:after="0" w:line="240" w:lineRule="auto"/>
        <w:ind w:left="709" w:right="709"/>
        <w:jc w:val="both"/>
        <w:rPr>
          <w:rFonts w:ascii="Verdana" w:hAnsi="Verdana" w:cs="Arial"/>
          <w:sz w:val="20"/>
          <w:szCs w:val="20"/>
        </w:rPr>
      </w:pPr>
      <w:proofErr w:type="spellStart"/>
      <w:r w:rsidRPr="00BC3A80">
        <w:rPr>
          <w:rFonts w:ascii="Verdana" w:hAnsi="Verdana" w:cs="Arial"/>
          <w:sz w:val="20"/>
          <w:szCs w:val="20"/>
        </w:rPr>
        <w:t>ii</w:t>
      </w:r>
      <w:proofErr w:type="spellEnd"/>
      <w:r w:rsidRPr="00BC3A80">
        <w:rPr>
          <w:rFonts w:ascii="Verdana" w:hAnsi="Verdana" w:cs="Arial"/>
          <w:sz w:val="20"/>
          <w:szCs w:val="20"/>
        </w:rPr>
        <w:t xml:space="preserve">) la expresión y el siguiente párrafo contenidos en el inciso cuarto “contratos” y “En este sentido, la prohibición que establece el parágrafo del artículo 38 de la Ley de Garantías consiste en evitar que los recursos del Estado se ejecuten para lograr apoyos indebidos mediante la suscripción de contratos y/o convenios, que, para efectos de la Ley de Garantías, tienen la misma connotación y propósito”. </w:t>
      </w:r>
    </w:p>
    <w:p w14:paraId="6946F43F" w14:textId="77777777" w:rsidR="00E451D1" w:rsidRPr="00BC3A80" w:rsidRDefault="00E451D1" w:rsidP="00E451D1">
      <w:pPr>
        <w:spacing w:after="0" w:line="276" w:lineRule="auto"/>
        <w:ind w:left="709" w:right="709"/>
        <w:jc w:val="both"/>
        <w:rPr>
          <w:rFonts w:ascii="Verdana" w:hAnsi="Verdana" w:cs="Arial"/>
        </w:rPr>
      </w:pPr>
    </w:p>
    <w:p w14:paraId="621505BA" w14:textId="77777777" w:rsidR="00E451D1" w:rsidRPr="00BC3A80" w:rsidRDefault="00E451D1" w:rsidP="00E451D1">
      <w:pPr>
        <w:spacing w:after="120" w:line="276" w:lineRule="auto"/>
        <w:ind w:firstLine="709"/>
        <w:jc w:val="both"/>
        <w:rPr>
          <w:rFonts w:ascii="Verdana" w:eastAsia="Arial" w:hAnsi="Verdana" w:cs="Arial"/>
          <w:i/>
          <w:iCs/>
          <w:lang w:eastAsia="es-ES" w:bidi="es-ES"/>
        </w:rPr>
      </w:pPr>
      <w:r w:rsidRPr="00BC3A80">
        <w:rPr>
          <w:rFonts w:ascii="Verdana" w:eastAsia="Arial" w:hAnsi="Verdana" w:cs="Arial"/>
          <w:lang w:val="es-MX" w:eastAsia="es-ES" w:bidi="es-ES"/>
        </w:rPr>
        <w:t xml:space="preserve">De conformidad con los argumentos de dicha providencia, se parte de la distinción entre los conceptos </w:t>
      </w:r>
      <w:r w:rsidRPr="00BC3A80">
        <w:rPr>
          <w:rFonts w:ascii="Verdana" w:eastAsia="Arial" w:hAnsi="Verdana" w:cs="Arial"/>
          <w:lang w:eastAsia="es-ES" w:bidi="es-ES"/>
        </w:rPr>
        <w:t>de “convenio” y “contrato” interadministrativos, para diferenciarlos en su naturaleza, contenido y alcance, lo cual ha servido de fundamento para que tanto la Sección Tercera como también la Sala de Consulta y Servicio Civil de esa Corporación hayan realzado la distinción entre uno y otro negocio jurídico.</w:t>
      </w:r>
      <w:r w:rsidRPr="00BC3A80">
        <w:rPr>
          <w:rFonts w:ascii="Times New Roman" w:hAnsi="Times New Roman"/>
          <w:sz w:val="24"/>
          <w:szCs w:val="24"/>
          <w:lang w:eastAsia="es-CO"/>
        </w:rPr>
        <w:t xml:space="preserve"> </w:t>
      </w:r>
      <w:r w:rsidRPr="00BC3A80">
        <w:rPr>
          <w:rFonts w:ascii="Verdana" w:eastAsia="Arial" w:hAnsi="Verdana" w:cs="Arial"/>
          <w:lang w:eastAsia="es-ES" w:bidi="es-ES"/>
        </w:rPr>
        <w:t xml:space="preserve">En este sentido, en relación con el parágrafo del artículo 38 de la Ley 996 de 2005 concluyó que </w:t>
      </w:r>
      <w:r w:rsidRPr="00BC3A80">
        <w:rPr>
          <w:rFonts w:ascii="Verdana" w:eastAsia="Arial" w:hAnsi="Verdana" w:cs="Arial"/>
          <w:i/>
          <w:iCs/>
          <w:lang w:eastAsia="es-ES" w:bidi="es-ES"/>
        </w:rPr>
        <w:t xml:space="preserve">“si el legislador no diferenció al establecer la prohibición o la restricción, mal haría el reglamento en aplicar un efecto expansivo o extensivo para incluir una categoría no cobijada con la limitación, (…)”. </w:t>
      </w:r>
      <w:r w:rsidRPr="00BC3A80">
        <w:rPr>
          <w:rFonts w:ascii="Verdana" w:eastAsia="Arial" w:hAnsi="Verdana" w:cs="Arial"/>
          <w:lang w:eastAsia="es-ES" w:bidi="es-ES"/>
        </w:rPr>
        <w:t xml:space="preserve">Por tal motivo, para efectos de decretar la medida de suspensión provisional de los apartes señalados del numeral 16.2 de la Circular Externa Única, argumentó que </w:t>
      </w:r>
      <w:r w:rsidRPr="00BC3A80">
        <w:rPr>
          <w:rFonts w:ascii="Verdana" w:eastAsia="Arial" w:hAnsi="Verdana" w:cs="Arial"/>
          <w:i/>
          <w:iCs/>
          <w:lang w:eastAsia="es-ES" w:bidi="es-ES"/>
        </w:rPr>
        <w:t xml:space="preserve">“con independencia del propósito loable o plausible de la </w:t>
      </w:r>
      <w:r w:rsidRPr="00BC3A80">
        <w:rPr>
          <w:rFonts w:ascii="Verdana" w:eastAsia="Arial" w:hAnsi="Verdana" w:cs="Arial"/>
          <w:i/>
          <w:iCs/>
          <w:lang w:eastAsia="es-ES" w:bidi="es-ES"/>
        </w:rPr>
        <w:lastRenderedPageBreak/>
        <w:t xml:space="preserve">disposición ya que, procura que no se usen los recursos estatales para incidir o afectar la contienda electoral, no cabe duda de que la entidad demandada incorporó en la prohibición una categoría que no quedó comprendida expresa e inequívocamente en la ley. </w:t>
      </w:r>
    </w:p>
    <w:p w14:paraId="5B899F8A" w14:textId="77777777" w:rsidR="00E451D1" w:rsidRPr="00BC3A80" w:rsidRDefault="00E451D1" w:rsidP="00E451D1">
      <w:pPr>
        <w:spacing w:after="120" w:line="276" w:lineRule="auto"/>
        <w:ind w:firstLine="709"/>
        <w:jc w:val="both"/>
        <w:rPr>
          <w:rFonts w:ascii="Verdana" w:eastAsia="Arial" w:hAnsi="Verdana" w:cs="Arial"/>
          <w:lang w:eastAsia="es-ES" w:bidi="es-ES"/>
        </w:rPr>
      </w:pPr>
      <w:r w:rsidRPr="00BC3A80">
        <w:rPr>
          <w:rFonts w:ascii="Verdana" w:eastAsia="Arial" w:hAnsi="Verdana" w:cs="Arial"/>
          <w:lang w:eastAsia="es-ES" w:bidi="es-ES"/>
        </w:rPr>
        <w:t>De igual manera, mediante auto del 6 de noviembre de 2025, el Consejo de Estado, Subsección A de la Sección Tercera, decretó</w:t>
      </w:r>
      <w:r w:rsidRPr="00BC3A80">
        <w:rPr>
          <w:rFonts w:ascii="Verdana" w:eastAsia="Arial" w:hAnsi="Verdana" w:cs="Arial"/>
          <w:b/>
          <w:bCs/>
          <w:lang w:eastAsia="es-ES" w:bidi="es-ES"/>
        </w:rPr>
        <w:t xml:space="preserve"> </w:t>
      </w:r>
      <w:r w:rsidRPr="00BC3A80">
        <w:rPr>
          <w:rFonts w:ascii="Verdana" w:eastAsia="Arial" w:hAnsi="Verdana" w:cs="Arial"/>
          <w:lang w:eastAsia="es-ES" w:bidi="es-ES"/>
        </w:rPr>
        <w:t>la suspensión provisional de los apartes cuestionados del inciso segundo y del inciso cuarto del numeral 16.2 de la Circular Externa Única, versión 3 del 27 de diciembre de 2023, expedida por la Agencia Nacional de Contratación Pública – Colombia Compra Eficiente relacionados con los contratos interadministrativos</w:t>
      </w:r>
      <w:r w:rsidRPr="00BC3A80">
        <w:rPr>
          <w:rFonts w:ascii="Verdana" w:eastAsia="Arial" w:hAnsi="Verdana" w:cs="Arial"/>
          <w:vertAlign w:val="superscript"/>
          <w:lang w:eastAsia="es-ES" w:bidi="es-ES"/>
        </w:rPr>
        <w:footnoteReference w:id="24"/>
      </w:r>
      <w:r w:rsidRPr="00BC3A80">
        <w:rPr>
          <w:rFonts w:ascii="Verdana" w:eastAsia="Arial" w:hAnsi="Verdana" w:cs="Arial"/>
          <w:lang w:eastAsia="es-ES" w:bidi="es-ES"/>
        </w:rPr>
        <w:t xml:space="preserve">. Para tales efectos, el alto tribunal resaltó la interpretación restrictiva de las normas que contienen prohibiciones, como la del parágrafo del artículo 38 de la Ley 996 de 2005, por manera que se excluye la analogía </w:t>
      </w:r>
      <w:proofErr w:type="spellStart"/>
      <w:r w:rsidRPr="00BC3A80">
        <w:rPr>
          <w:rFonts w:ascii="Verdana" w:eastAsia="Arial" w:hAnsi="Verdana" w:cs="Arial"/>
          <w:lang w:eastAsia="es-ES" w:bidi="es-ES"/>
        </w:rPr>
        <w:t>legis</w:t>
      </w:r>
      <w:proofErr w:type="spellEnd"/>
      <w:r w:rsidRPr="00BC3A80">
        <w:rPr>
          <w:rFonts w:ascii="Verdana" w:eastAsia="Arial" w:hAnsi="Verdana" w:cs="Arial"/>
          <w:lang w:eastAsia="es-ES" w:bidi="es-ES"/>
        </w:rPr>
        <w:t xml:space="preserve"> o iuris y la interpretación extensiva y reiteró los argumentos sobre la diferencia entre contratos y convenios interadministrativos. </w:t>
      </w:r>
    </w:p>
    <w:p w14:paraId="49BA4B59" w14:textId="77777777" w:rsidR="00E451D1" w:rsidRDefault="00E451D1" w:rsidP="00E451D1">
      <w:pPr>
        <w:spacing w:after="120" w:line="276" w:lineRule="auto"/>
        <w:ind w:firstLine="709"/>
        <w:jc w:val="both"/>
        <w:rPr>
          <w:rFonts w:ascii="Verdana" w:eastAsia="Times New Roman" w:hAnsi="Verdana" w:cs="Times New Roman"/>
          <w:lang w:eastAsia="es-ES"/>
        </w:rPr>
      </w:pPr>
      <w:r w:rsidRPr="31E4E861">
        <w:rPr>
          <w:rFonts w:ascii="Verdana" w:eastAsia="Arial" w:hAnsi="Verdana" w:cs="Arial"/>
          <w:lang w:eastAsia="es-ES" w:bidi="es-ES"/>
        </w:rPr>
        <w:t xml:space="preserve">Finalmente, mediante sentencia del 17 de octubre de 2025, emitida por la Sala de lo Contencioso Administrativo del Consejo de Estado, dentro del expediente </w:t>
      </w:r>
      <w:r w:rsidRPr="31E4E861">
        <w:rPr>
          <w:rFonts w:ascii="Verdana" w:eastAsia="Times New Roman" w:hAnsi="Verdana" w:cs="Times New Roman"/>
          <w:lang w:eastAsia="es-ES"/>
        </w:rPr>
        <w:t>11001-03-26-000-2023-00139-00, se declaró la nulidad parcial del numeral 16.2 de la Circular Externa Única de 2022 expedida por la Agencia Nacional de Contratación Pública - Colombia Compra Eficiente que indicaba: “Esta restricción es aplicable tanto a los convenios como a los contratos interadministrativos</w:t>
      </w:r>
      <w:r>
        <w:rPr>
          <w:rFonts w:ascii="Verdana" w:eastAsia="Times New Roman" w:hAnsi="Verdana" w:cs="Times New Roman"/>
          <w:lang w:eastAsia="es-ES"/>
        </w:rPr>
        <w:t xml:space="preserve"> [</w:t>
      </w:r>
      <w:r w:rsidRPr="31E4E861">
        <w:rPr>
          <w:rFonts w:ascii="Verdana" w:eastAsia="Times New Roman" w:hAnsi="Verdana" w:cs="Times New Roman"/>
          <w:lang w:eastAsia="es-ES"/>
        </w:rPr>
        <w:t>…</w:t>
      </w:r>
      <w:r>
        <w:rPr>
          <w:rFonts w:ascii="Verdana" w:eastAsia="Times New Roman" w:hAnsi="Verdana" w:cs="Times New Roman"/>
          <w:lang w:eastAsia="es-ES"/>
        </w:rPr>
        <w:t>]</w:t>
      </w:r>
      <w:r w:rsidRPr="31E4E861">
        <w:rPr>
          <w:rFonts w:ascii="Verdana" w:eastAsia="Times New Roman" w:hAnsi="Verdana" w:cs="Times New Roman"/>
          <w:lang w:eastAsia="es-ES"/>
        </w:rPr>
        <w:t xml:space="preserve">”. </w:t>
      </w:r>
    </w:p>
    <w:p w14:paraId="0AE9637C" w14:textId="77777777" w:rsidR="00E451D1" w:rsidRDefault="00E451D1" w:rsidP="00E451D1">
      <w:pPr>
        <w:spacing w:after="120" w:line="276" w:lineRule="auto"/>
        <w:ind w:firstLine="709"/>
        <w:jc w:val="both"/>
        <w:rPr>
          <w:rFonts w:ascii="Verdana" w:eastAsia="Times New Roman" w:hAnsi="Verdana" w:cs="Times New Roman"/>
          <w:lang w:eastAsia="es-ES"/>
        </w:rPr>
      </w:pPr>
      <w:r w:rsidRPr="2035D652">
        <w:rPr>
          <w:rFonts w:ascii="Verdana" w:eastAsia="Times New Roman" w:hAnsi="Verdana" w:cs="Times New Roman"/>
          <w:lang w:eastAsia="es-ES"/>
        </w:rPr>
        <w:t xml:space="preserve">La anterior decisión se adoptó al considerar que la Agencia excedió su competencia material al incluir contratos en una restricción que la Ley de Garantías Electorales solo previó para convenios, cuando no es posible aplicar </w:t>
      </w:r>
      <w:r w:rsidRPr="2035D652">
        <w:rPr>
          <w:rFonts w:ascii="Verdana" w:eastAsia="Times New Roman" w:hAnsi="Verdana" w:cs="Times New Roman"/>
          <w:lang w:eastAsia="es-ES"/>
        </w:rPr>
        <w:lastRenderedPageBreak/>
        <w:t>por analogía o extensión una norma que establece prohibiciones</w:t>
      </w:r>
      <w:r w:rsidRPr="2035D652">
        <w:rPr>
          <w:rStyle w:val="Refdenotaalpie"/>
          <w:rFonts w:ascii="Verdana" w:hAnsi="Verdana"/>
          <w:lang w:eastAsia="es-ES"/>
        </w:rPr>
        <w:footnoteReference w:id="25"/>
      </w:r>
      <w:r w:rsidRPr="2035D652">
        <w:rPr>
          <w:rFonts w:ascii="Verdana" w:eastAsia="Times New Roman" w:hAnsi="Verdana" w:cs="Times New Roman"/>
          <w:lang w:eastAsia="es-ES"/>
        </w:rPr>
        <w:t xml:space="preserve">. Sobre el particular, la Sala concluyó que contratos y convenios interadministrativos son figuras distintas en naturaleza, objeto y efectos, pues mientras los contratos implican obligaciones patrimoniales y contraprestación, los convenios se basan en cooperación sin ánimo económico. Por ello, la restricción legal no podía aplicarse extensivamente a los contratos. </w:t>
      </w:r>
    </w:p>
    <w:p w14:paraId="369A50D5" w14:textId="77777777" w:rsidR="00E451D1" w:rsidRPr="00670659" w:rsidRDefault="00E451D1" w:rsidP="00E451D1">
      <w:pPr>
        <w:spacing w:after="120" w:line="276" w:lineRule="auto"/>
        <w:ind w:firstLine="709"/>
        <w:jc w:val="both"/>
        <w:rPr>
          <w:rFonts w:ascii="Verdana" w:eastAsia="Times New Roman" w:hAnsi="Verdana" w:cs="Times New Roman"/>
          <w:lang w:eastAsia="es-ES"/>
        </w:rPr>
      </w:pPr>
      <w:r w:rsidRPr="2035D652">
        <w:rPr>
          <w:rFonts w:ascii="Verdana" w:eastAsia="Times New Roman" w:hAnsi="Verdana" w:cs="Times New Roman"/>
          <w:lang w:eastAsia="es-ES"/>
        </w:rPr>
        <w:t xml:space="preserve">A juicio de la Sala, aunque el propósito de la Circular Externa era legítimo —evitar el uso indebido de recursos en época electoral—, el numeral 16.2. desconoció el alcance literal del artículo 38 de la Ley 996 de 2005 y los límites de la potestad reglamentaria, lo que configuró un vicio de contenido. </w:t>
      </w:r>
    </w:p>
    <w:p w14:paraId="591BCB7A" w14:textId="77777777" w:rsidR="00E451D1" w:rsidRPr="00BC3A80" w:rsidRDefault="00E451D1" w:rsidP="00E451D1">
      <w:pPr>
        <w:spacing w:after="120" w:line="276" w:lineRule="auto"/>
        <w:ind w:firstLine="709"/>
        <w:jc w:val="both"/>
        <w:rPr>
          <w:rFonts w:ascii="Verdana" w:eastAsia="Times New Roman" w:hAnsi="Verdana" w:cs="Arial"/>
          <w:lang w:eastAsia="es-CO"/>
        </w:rPr>
      </w:pPr>
      <w:r w:rsidRPr="00667CD6">
        <w:rPr>
          <w:rFonts w:ascii="Verdana" w:eastAsia="Times New Roman" w:hAnsi="Verdana" w:cs="Arial"/>
          <w:lang w:eastAsia="es-CO"/>
        </w:rPr>
        <w:t>Así las cosas, a la luz de lo expuesto por el Consejo de Estado</w:t>
      </w:r>
      <w:r>
        <w:rPr>
          <w:rFonts w:ascii="Verdana" w:eastAsia="Times New Roman" w:hAnsi="Verdana" w:cs="Arial"/>
          <w:lang w:eastAsia="es-CO"/>
        </w:rPr>
        <w:t xml:space="preserve">, </w:t>
      </w:r>
      <w:r w:rsidRPr="2035D652">
        <w:rPr>
          <w:rFonts w:ascii="Verdana" w:eastAsia="Times New Roman" w:hAnsi="Verdana" w:cs="Arial"/>
          <w:lang w:eastAsia="es-CO"/>
        </w:rPr>
        <w:t>en la sentencia expedida por la Sección Tercera de la Sala de lo Contencioso Administrativo del 17 de octubre de 2025</w:t>
      </w:r>
      <w:r>
        <w:rPr>
          <w:rFonts w:ascii="Verdana" w:eastAsia="Times New Roman" w:hAnsi="Verdana" w:cs="Arial"/>
          <w:lang w:eastAsia="es-CO"/>
        </w:rPr>
        <w:t>,</w:t>
      </w:r>
      <w:r w:rsidRPr="00667CD6">
        <w:rPr>
          <w:rFonts w:ascii="Verdana" w:eastAsia="Times New Roman" w:hAnsi="Verdana" w:cs="Arial"/>
          <w:lang w:eastAsia="es-CO"/>
        </w:rPr>
        <w:t xml:space="preserve"> en los autos del 4 de octubre de 2024 y 6 de noviembre de 2025, no resultaría aplicable la prohibición del parágrafo del artículo 38 de la Ley de Garantías Electorales a los </w:t>
      </w:r>
      <w:r w:rsidRPr="00667CD6">
        <w:rPr>
          <w:rFonts w:ascii="Verdana" w:eastAsia="Times New Roman" w:hAnsi="Verdana" w:cs="Arial"/>
          <w:i/>
          <w:iCs/>
          <w:lang w:eastAsia="es-CO"/>
        </w:rPr>
        <w:t>contratos interadministrativos</w:t>
      </w:r>
      <w:r>
        <w:rPr>
          <w:rFonts w:ascii="Verdana" w:eastAsia="Times New Roman" w:hAnsi="Verdana" w:cs="Arial"/>
          <w:lang w:eastAsia="es-CO"/>
        </w:rPr>
        <w:t>, esta prohibición solo aplicaría a los convenios interadministrativos que impliquen la ejecución de recursos públicos</w:t>
      </w:r>
      <w:r>
        <w:rPr>
          <w:rStyle w:val="Refdenotaalpie"/>
          <w:rFonts w:ascii="Verdana" w:hAnsi="Verdana" w:cs="Arial"/>
        </w:rPr>
        <w:footnoteReference w:id="26"/>
      </w:r>
      <w:r>
        <w:rPr>
          <w:rFonts w:ascii="Verdana" w:eastAsia="Times New Roman" w:hAnsi="Verdana" w:cs="Arial"/>
          <w:lang w:eastAsia="es-CO"/>
        </w:rPr>
        <w:t>.</w:t>
      </w:r>
    </w:p>
    <w:p w14:paraId="1A59E7D5" w14:textId="77777777" w:rsidR="00E451D1" w:rsidRPr="00BC3A80" w:rsidRDefault="00E451D1" w:rsidP="00E451D1">
      <w:pPr>
        <w:spacing w:after="120" w:line="276" w:lineRule="auto"/>
        <w:ind w:firstLine="709"/>
        <w:jc w:val="both"/>
        <w:rPr>
          <w:rFonts w:ascii="Verdana" w:eastAsia="Times New Roman" w:hAnsi="Verdana" w:cs="Arial"/>
          <w:lang w:eastAsia="es-CO"/>
        </w:rPr>
      </w:pPr>
      <w:r w:rsidRPr="00BC3A80">
        <w:rPr>
          <w:rFonts w:ascii="Verdana" w:eastAsia="Times New Roman" w:hAnsi="Verdana" w:cs="Arial"/>
          <w:lang w:eastAsia="es-CO"/>
        </w:rPr>
        <w:t xml:space="preserve">Por su parte, conforme a lo señalado por el Consejo de Estado, cuando dos entidades públicas celebren un </w:t>
      </w:r>
      <w:r w:rsidRPr="00BC3A80">
        <w:rPr>
          <w:rFonts w:ascii="Verdana" w:eastAsia="Times New Roman" w:hAnsi="Verdana" w:cs="Arial"/>
          <w:i/>
          <w:iCs/>
          <w:lang w:eastAsia="es-CO"/>
        </w:rPr>
        <w:t>contrato interadministrativo,</w:t>
      </w:r>
      <w:r w:rsidRPr="00BC3A80">
        <w:rPr>
          <w:rFonts w:ascii="Verdana" w:eastAsia="Times New Roman" w:hAnsi="Verdana" w:cs="Arial"/>
          <w:lang w:eastAsia="es-CO"/>
        </w:rPr>
        <w:t xml:space="preserve"> independientemente del objeto, dicho contrato puede suscribirse durante el periodo preelectoral. Por consiguiente y de acuerdo con la referida posición del Consejo de Estado, si el contrato involucra a alguno de los sujetos mencionados en el parágrafo del artículo 38 de la Ley de Garantías Electorales y se constituye como un contrato interadministrativo no le resulta aplicable la limitación prevista en el parágrafo del artículo 38. </w:t>
      </w:r>
    </w:p>
    <w:p w14:paraId="061F880F" w14:textId="77777777" w:rsidR="00E451D1" w:rsidRPr="00BC3A80" w:rsidRDefault="00E451D1" w:rsidP="00E451D1">
      <w:pPr>
        <w:spacing w:after="120" w:line="276" w:lineRule="auto"/>
        <w:ind w:firstLine="709"/>
        <w:jc w:val="both"/>
        <w:rPr>
          <w:rFonts w:ascii="Verdana" w:eastAsia="Arial" w:hAnsi="Verdana" w:cs="Arial"/>
          <w:lang w:val="es-ES" w:eastAsia="es-ES" w:bidi="es-ES"/>
        </w:rPr>
      </w:pPr>
      <w:r w:rsidRPr="00BC3A80">
        <w:rPr>
          <w:rFonts w:ascii="Verdana" w:eastAsia="Times New Roman" w:hAnsi="Verdana" w:cs="Arial"/>
          <w:lang w:val="es-ES" w:eastAsia="es-CO" w:bidi="es-ES"/>
        </w:rPr>
        <w:lastRenderedPageBreak/>
        <w:t>En todo caso</w:t>
      </w:r>
      <w:r w:rsidRPr="00BC3A80">
        <w:rPr>
          <w:rFonts w:ascii="Verdana" w:eastAsia="Arial" w:hAnsi="Verdana" w:cs="Arial"/>
          <w:lang w:val="es-ES" w:eastAsia="es-ES" w:bidi="es-ES"/>
        </w:rPr>
        <w:t>, es importante resaltar que la Sala de Consulta y Servicio Civil del Consejo de Estado se ha pronunciado en el sentido de que no se les aplica la restricción contemplada en el artículo 38 de la Ley de Garantías a los convenios interadministrativos que deben celebrarse en virtud de un fallo judicial. Esto en la medida que la obligatoriedad y la fuerza vinculante de las sentencias ejecutoriadas proferidas por los funcionarios investidos del poder judicial emanan de la autonomía conferida a estos por la Constitución y del derecho que tienen los ciudadanos al acceso y oportuna administración de justicia</w:t>
      </w:r>
      <w:r w:rsidRPr="00BC3A80">
        <w:rPr>
          <w:rFonts w:ascii="Verdana" w:eastAsia="Arial" w:hAnsi="Verdana" w:cs="Arial"/>
          <w:vertAlign w:val="superscript"/>
          <w:lang w:val="es-ES" w:eastAsia="es-ES" w:bidi="es-ES"/>
        </w:rPr>
        <w:footnoteReference w:id="27"/>
      </w:r>
      <w:r w:rsidRPr="00BC3A80">
        <w:rPr>
          <w:rFonts w:ascii="Verdana" w:eastAsia="Arial" w:hAnsi="Verdana" w:cs="Arial"/>
          <w:lang w:val="es-ES" w:eastAsia="es-ES" w:bidi="es-ES"/>
        </w:rPr>
        <w:t>.</w:t>
      </w:r>
    </w:p>
    <w:p w14:paraId="02B36B57" w14:textId="238FE282" w:rsidR="00E451D1" w:rsidRPr="00BC3A80" w:rsidRDefault="00E451D1" w:rsidP="00E451D1">
      <w:pPr>
        <w:spacing w:after="120" w:line="276" w:lineRule="auto"/>
        <w:ind w:firstLine="709"/>
        <w:jc w:val="both"/>
        <w:rPr>
          <w:rFonts w:ascii="Verdana" w:eastAsia="Arial" w:hAnsi="Verdana" w:cs="Arial"/>
          <w:bCs/>
          <w:color w:val="000000" w:themeColor="text1"/>
          <w:lang w:val="es-ES"/>
        </w:rPr>
      </w:pPr>
      <w:r w:rsidRPr="00BC3A80">
        <w:rPr>
          <w:rFonts w:ascii="Verdana" w:eastAsia="Arial" w:hAnsi="Verdana" w:cs="Arial"/>
          <w:lang w:val="es-ES" w:eastAsia="es-ES" w:bidi="es-ES"/>
        </w:rPr>
        <w:t xml:space="preserve">En síntesis, por virtud de las excepciones establecidas en el </w:t>
      </w:r>
      <w:r w:rsidRPr="00BC3A80">
        <w:rPr>
          <w:rFonts w:ascii="Verdana" w:hAnsi="Verdana" w:cs="Arial"/>
          <w:bCs/>
          <w:color w:val="000000" w:themeColor="text1"/>
          <w:lang w:val="es-ES"/>
        </w:rPr>
        <w:t xml:space="preserve">segundo inciso del </w:t>
      </w:r>
      <w:r w:rsidRPr="00BC3A80">
        <w:rPr>
          <w:rFonts w:ascii="Verdana" w:eastAsia="Arial" w:hAnsi="Verdana" w:cs="Arial"/>
          <w:lang w:val="es-ES" w:eastAsia="es-ES" w:bidi="es-ES"/>
        </w:rPr>
        <w:t>artículo 33</w:t>
      </w:r>
      <w:r w:rsidRPr="00BC3A80">
        <w:rPr>
          <w:rFonts w:ascii="Verdana" w:eastAsia="Arial" w:hAnsi="Verdana" w:cs="Arial"/>
          <w:bCs/>
          <w:color w:val="000000" w:themeColor="text1"/>
          <w:lang w:val="es-ES"/>
        </w:rPr>
        <w:t xml:space="preserve"> de la Ley de Garantías Electorales, los entes del Estado </w:t>
      </w:r>
      <w:r>
        <w:rPr>
          <w:rFonts w:ascii="Verdana" w:eastAsia="Arial" w:hAnsi="Verdana" w:cs="Arial"/>
          <w:bCs/>
          <w:color w:val="000000" w:themeColor="text1"/>
          <w:lang w:val="es-ES"/>
        </w:rPr>
        <w:t xml:space="preserve">no </w:t>
      </w:r>
      <w:r w:rsidRPr="00BC3A80">
        <w:rPr>
          <w:rFonts w:ascii="Verdana" w:eastAsia="Arial" w:hAnsi="Verdana" w:cs="Arial"/>
          <w:bCs/>
          <w:color w:val="000000" w:themeColor="text1"/>
          <w:lang w:val="es-ES"/>
        </w:rPr>
        <w:t xml:space="preserve">podrán contratar directamente </w:t>
      </w:r>
      <w:r>
        <w:rPr>
          <w:rFonts w:ascii="Verdana" w:eastAsia="Arial" w:hAnsi="Verdana" w:cs="Arial"/>
          <w:bCs/>
          <w:color w:val="000000" w:themeColor="text1"/>
          <w:lang w:val="es-ES"/>
        </w:rPr>
        <w:t>la prestación de servicios de servicios profesionales y/o de apoyo a la gestión</w:t>
      </w:r>
      <w:r w:rsidRPr="00BC3A80">
        <w:rPr>
          <w:rFonts w:ascii="Verdana" w:eastAsia="Arial" w:hAnsi="Verdana" w:cs="Arial"/>
          <w:bCs/>
          <w:color w:val="000000" w:themeColor="text1"/>
          <w:lang w:val="es-ES"/>
        </w:rPr>
        <w:t xml:space="preserve">, </w:t>
      </w:r>
      <w:r w:rsidRPr="00BC3A80">
        <w:rPr>
          <w:rFonts w:ascii="Verdana" w:eastAsia="Arial" w:hAnsi="Verdana" w:cs="Arial"/>
          <w:bCs/>
          <w:color w:val="000000" w:themeColor="text1"/>
        </w:rPr>
        <w:t>durante los cuatro (4) meses anteriores a las elecciones presidenciales</w:t>
      </w:r>
      <w:r w:rsidRPr="00BC3A80">
        <w:rPr>
          <w:rFonts w:ascii="Verdana" w:eastAsia="Arial" w:hAnsi="Verdana" w:cs="Arial"/>
          <w:bCs/>
          <w:color w:val="000000" w:themeColor="text1"/>
          <w:lang w:val="es-ES"/>
        </w:rPr>
        <w:t xml:space="preserve">. Asimismo, si estos contratos se proyectan como contratos interadministrativos, de acuerdo </w:t>
      </w:r>
      <w:r>
        <w:rPr>
          <w:rFonts w:ascii="Verdana" w:eastAsia="Arial" w:hAnsi="Verdana" w:cs="Arial"/>
          <w:bCs/>
          <w:color w:val="000000" w:themeColor="text1"/>
          <w:lang w:val="es-ES"/>
        </w:rPr>
        <w:t>con</w:t>
      </w:r>
      <w:r w:rsidRPr="00BC3A80">
        <w:rPr>
          <w:rFonts w:ascii="Verdana" w:eastAsia="Arial" w:hAnsi="Verdana" w:cs="Arial"/>
          <w:bCs/>
          <w:color w:val="000000" w:themeColor="text1"/>
          <w:lang w:val="es-ES"/>
        </w:rPr>
        <w:t xml:space="preserve"> la postura del Consejo de Estado, tampoco les resultaría aplicable la restricción contenida en el parágrafo del artículo 38, por lo que podrían contratar dentro de </w:t>
      </w:r>
      <w:r w:rsidRPr="00BC3A80">
        <w:rPr>
          <w:rFonts w:ascii="Verdana" w:eastAsia="Arial" w:hAnsi="Verdana" w:cs="Arial"/>
          <w:bCs/>
          <w:color w:val="000000" w:themeColor="text1"/>
        </w:rPr>
        <w:t xml:space="preserve">los cuatro meses anteriores a las elecciones </w:t>
      </w:r>
      <w:r w:rsidR="000163AF">
        <w:rPr>
          <w:rFonts w:ascii="Verdana" w:eastAsia="Arial" w:hAnsi="Verdana" w:cs="Arial"/>
          <w:bCs/>
          <w:color w:val="000000" w:themeColor="text1"/>
        </w:rPr>
        <w:t>a las que se refiere dicha norma</w:t>
      </w:r>
      <w:r w:rsidR="00A90CF1">
        <w:rPr>
          <w:rFonts w:ascii="Verdana" w:eastAsia="Arial" w:hAnsi="Verdana" w:cs="Arial"/>
          <w:bCs/>
          <w:color w:val="000000" w:themeColor="text1"/>
        </w:rPr>
        <w:t>.</w:t>
      </w:r>
    </w:p>
    <w:p w14:paraId="38298B73" w14:textId="77777777" w:rsidR="00E451D1" w:rsidRPr="00BC3A80" w:rsidRDefault="00E451D1" w:rsidP="00E451D1">
      <w:pPr>
        <w:spacing w:after="120" w:line="276" w:lineRule="auto"/>
        <w:ind w:firstLine="709"/>
        <w:jc w:val="both"/>
        <w:rPr>
          <w:rFonts w:ascii="Verdana" w:eastAsia="Arial" w:hAnsi="Verdana" w:cs="Arial"/>
          <w:color w:val="000000" w:themeColor="text1"/>
        </w:rPr>
      </w:pPr>
      <w:r w:rsidRPr="00BC3A80">
        <w:rPr>
          <w:rFonts w:ascii="Verdana" w:eastAsia="Arial" w:hAnsi="Verdana" w:cs="Arial"/>
          <w:bCs/>
          <w:color w:val="000000" w:themeColor="text1"/>
        </w:rPr>
        <w:t xml:space="preserve"> Vale anotar que es responsabilidad del respectivo ente del Estado examinar en cada caso la naturaleza de las actividades que adelanta y justificar si las mismas se enmarcan en alguna de las excepciones, de manera que pueda realizar la contratación directa durante el periodo de la prohibición. Igualmente, le corresponde a cada entidad </w:t>
      </w:r>
      <w:r w:rsidRPr="00BC3A80">
        <w:rPr>
          <w:rFonts w:ascii="Verdana" w:eastAsia="Arial" w:hAnsi="Verdana" w:cs="Arial"/>
          <w:color w:val="000000" w:themeColor="text1"/>
        </w:rPr>
        <w:t>establecer si el instrumento jurídico que se pretende suscribir tiene la naturaleza de contrato o de convenio interadministrativo para la ejecución de recursos públicos. En este último supuesto, resulta aplicable la prohibición contenida en el parágrafo del artículo 38 de la Ley de Garantías Electorales.</w:t>
      </w:r>
    </w:p>
    <w:p w14:paraId="2CD78004" w14:textId="77777777" w:rsidR="00E451D1" w:rsidRPr="00BC3A80" w:rsidRDefault="00E451D1" w:rsidP="00E451D1">
      <w:pPr>
        <w:spacing w:after="120" w:line="276" w:lineRule="auto"/>
        <w:jc w:val="both"/>
        <w:rPr>
          <w:rFonts w:ascii="Verdana" w:hAnsi="Verdana" w:cs="Arial"/>
          <w:bCs/>
          <w:color w:val="000000" w:themeColor="text1"/>
        </w:rPr>
      </w:pPr>
      <w:r w:rsidRPr="00BC3A80">
        <w:rPr>
          <w:rFonts w:ascii="Verdana" w:hAnsi="Verdana" w:cs="Arial"/>
          <w:bCs/>
          <w:color w:val="000000" w:themeColor="text1"/>
        </w:rPr>
        <w:t xml:space="preserve">Al margen de la explicación precedente, debe advertirse que el análisis requerido para resolver problemas específicos en torno a la gestión contractual de las entidades públicas debe ser realizado por quienes tengan interés en ello, de acuerdo con lo explicado en la aclaración preliminar del presente oficio. De esta manera, las afirmaciones aquí realizadas no pueden ser interpretadas como juicios de valor sobre circunstancias concretas relacionadas con los hechos que </w:t>
      </w:r>
      <w:r w:rsidRPr="00BC3A80">
        <w:rPr>
          <w:rFonts w:ascii="Verdana" w:hAnsi="Verdana" w:cs="Arial"/>
          <w:bCs/>
          <w:color w:val="000000" w:themeColor="text1"/>
        </w:rPr>
        <w:lastRenderedPageBreak/>
        <w:t>motivan la consulta. Por lo anterior, previo concepto de sus asesores, la solución de situaciones particulares corresponde a los interesados adoptar la decisión correspondiente y, en caso de conflicto, a las autoridades judiciales, fiscales y disciplinarias.</w:t>
      </w:r>
    </w:p>
    <w:p w14:paraId="6256DDA3" w14:textId="77777777" w:rsidR="00E451D1" w:rsidRPr="00BC3A80" w:rsidRDefault="00E451D1" w:rsidP="00E451D1">
      <w:pPr>
        <w:spacing w:after="0" w:line="276" w:lineRule="auto"/>
        <w:ind w:firstLine="708"/>
        <w:jc w:val="both"/>
        <w:rPr>
          <w:rFonts w:ascii="Verdana" w:hAnsi="Verdana" w:cs="Arial"/>
          <w:bCs/>
          <w:color w:val="000000" w:themeColor="text1"/>
        </w:rPr>
      </w:pPr>
      <w:r w:rsidRPr="00BC3A80">
        <w:rPr>
          <w:rFonts w:ascii="Verdana" w:hAnsi="Verdana" w:cs="Arial"/>
          <w:bCs/>
          <w:color w:val="000000" w:themeColor="text1"/>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p>
    <w:p w14:paraId="39819B4B" w14:textId="77777777" w:rsidR="00E451D1" w:rsidRPr="00BC3A80" w:rsidRDefault="00E451D1" w:rsidP="00E451D1">
      <w:pPr>
        <w:spacing w:after="0" w:line="276" w:lineRule="auto"/>
        <w:ind w:firstLine="708"/>
        <w:jc w:val="both"/>
        <w:rPr>
          <w:rFonts w:ascii="Verdana" w:hAnsi="Verdana" w:cs="Arial"/>
          <w:bCs/>
          <w:color w:val="000000" w:themeColor="text1"/>
        </w:rPr>
      </w:pPr>
    </w:p>
    <w:p w14:paraId="3C2F675C" w14:textId="77777777" w:rsidR="00E451D1" w:rsidRPr="00BC3A80" w:rsidRDefault="00E451D1" w:rsidP="00E451D1">
      <w:pPr>
        <w:numPr>
          <w:ilvl w:val="0"/>
          <w:numId w:val="16"/>
        </w:numPr>
        <w:tabs>
          <w:tab w:val="left" w:pos="142"/>
          <w:tab w:val="left" w:pos="284"/>
        </w:tabs>
        <w:spacing w:after="0" w:line="276" w:lineRule="auto"/>
        <w:jc w:val="both"/>
        <w:rPr>
          <w:rFonts w:ascii="Verdana" w:eastAsia="Century Gothic" w:hAnsi="Verdana" w:cs="Century Gothic"/>
          <w:b/>
          <w:bCs/>
          <w:lang w:val="es-ES_tradnl"/>
        </w:rPr>
      </w:pPr>
      <w:r w:rsidRPr="00BC3A80">
        <w:rPr>
          <w:rFonts w:ascii="Verdana" w:eastAsia="Century Gothic" w:hAnsi="Verdana" w:cs="Century Gothic"/>
          <w:b/>
          <w:bCs/>
          <w:lang w:val="es-ES_tradnl"/>
        </w:rPr>
        <w:t>Referencias normativas:</w:t>
      </w:r>
    </w:p>
    <w:p w14:paraId="019D0978" w14:textId="77777777" w:rsidR="00E451D1" w:rsidRPr="00BC3A80" w:rsidRDefault="00E451D1" w:rsidP="00E451D1">
      <w:pPr>
        <w:widowControl w:val="0"/>
        <w:autoSpaceDE w:val="0"/>
        <w:autoSpaceDN w:val="0"/>
        <w:spacing w:after="0" w:line="276" w:lineRule="auto"/>
        <w:jc w:val="both"/>
        <w:rPr>
          <w:rFonts w:ascii="Verdana" w:hAnsi="Verdana" w:cs="Arial"/>
          <w:lang w:val="es-ES_tradnl"/>
        </w:rPr>
      </w:pPr>
    </w:p>
    <w:tbl>
      <w:tblPr>
        <w:tblStyle w:val="Tablaconcuadrcula1"/>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E451D1" w:rsidRPr="00BC3A80" w14:paraId="651896D6" w14:textId="77777777" w:rsidTr="003021E1">
        <w:trPr>
          <w:trHeight w:val="491"/>
          <w:jc w:val="center"/>
        </w:trPr>
        <w:tc>
          <w:tcPr>
            <w:tcW w:w="8647" w:type="dxa"/>
          </w:tcPr>
          <w:p w14:paraId="0080FA4B" w14:textId="77777777" w:rsidR="00E451D1" w:rsidRPr="00BC3A80" w:rsidRDefault="00E451D1" w:rsidP="00E451D1">
            <w:pPr>
              <w:widowControl w:val="0"/>
              <w:numPr>
                <w:ilvl w:val="0"/>
                <w:numId w:val="17"/>
              </w:numPr>
              <w:autoSpaceDE w:val="0"/>
              <w:autoSpaceDN w:val="0"/>
              <w:spacing w:before="120" w:after="120"/>
              <w:jc w:val="both"/>
              <w:rPr>
                <w:rFonts w:ascii="Verdana" w:eastAsia="Arial MT" w:hAnsi="Verdana" w:cs="Arial"/>
                <w:lang w:val="es-ES" w:eastAsia="es-ES" w:bidi="es-ES"/>
              </w:rPr>
            </w:pPr>
            <w:r w:rsidRPr="00BC3A80">
              <w:rPr>
                <w:rFonts w:ascii="Verdana" w:eastAsia="Arial MT" w:hAnsi="Verdana" w:cs="Arial"/>
                <w:lang w:val="es-ES" w:eastAsia="es-ES" w:bidi="es-ES"/>
              </w:rPr>
              <w:t>Constitución Política, artículo 127.</w:t>
            </w:r>
          </w:p>
          <w:p w14:paraId="6F0EBD7A" w14:textId="77777777" w:rsidR="00E451D1" w:rsidRPr="00BC3A80" w:rsidRDefault="00E451D1" w:rsidP="00E451D1">
            <w:pPr>
              <w:widowControl w:val="0"/>
              <w:numPr>
                <w:ilvl w:val="0"/>
                <w:numId w:val="17"/>
              </w:numPr>
              <w:autoSpaceDE w:val="0"/>
              <w:autoSpaceDN w:val="0"/>
              <w:spacing w:after="120"/>
              <w:jc w:val="both"/>
              <w:rPr>
                <w:rFonts w:ascii="Verdana" w:eastAsia="Arial MT" w:hAnsi="Verdana" w:cs="Arial"/>
                <w:lang w:val="es-ES" w:eastAsia="es-ES" w:bidi="es-ES"/>
              </w:rPr>
            </w:pPr>
            <w:r w:rsidRPr="00BC3A80">
              <w:rPr>
                <w:rFonts w:ascii="Verdana" w:eastAsia="Arial MT" w:hAnsi="Verdana" w:cs="Arial"/>
                <w:bCs/>
                <w:lang w:val="es-ES" w:eastAsia="es-ES" w:bidi="es-ES"/>
              </w:rPr>
              <w:t>Ley 996 de 2005, artículos 33 y 38.</w:t>
            </w:r>
          </w:p>
          <w:p w14:paraId="2387D96F" w14:textId="77777777" w:rsidR="00E451D1" w:rsidRPr="00BC3A80" w:rsidRDefault="00E451D1" w:rsidP="00E451D1">
            <w:pPr>
              <w:widowControl w:val="0"/>
              <w:numPr>
                <w:ilvl w:val="0"/>
                <w:numId w:val="17"/>
              </w:numPr>
              <w:autoSpaceDE w:val="0"/>
              <w:autoSpaceDN w:val="0"/>
              <w:spacing w:after="120"/>
              <w:jc w:val="both"/>
              <w:rPr>
                <w:rFonts w:ascii="Verdana" w:eastAsia="Arial MT" w:hAnsi="Verdana" w:cs="Arial"/>
                <w:lang w:val="es-ES" w:eastAsia="es-ES" w:bidi="es-ES"/>
              </w:rPr>
            </w:pPr>
            <w:r w:rsidRPr="00BC3A80">
              <w:rPr>
                <w:rFonts w:ascii="Verdana" w:hAnsi="Verdana" w:cs="Arial"/>
                <w:bCs/>
                <w:color w:val="000000" w:themeColor="text1"/>
                <w:lang w:val="es-ES"/>
              </w:rPr>
              <w:t>Decreto 1068 de 2015, artículo 2.2.1.1.1.</w:t>
            </w:r>
          </w:p>
          <w:p w14:paraId="2DAD360A" w14:textId="77777777" w:rsidR="00E451D1" w:rsidRPr="00BC3A80" w:rsidRDefault="00E451D1" w:rsidP="00E451D1">
            <w:pPr>
              <w:widowControl w:val="0"/>
              <w:numPr>
                <w:ilvl w:val="0"/>
                <w:numId w:val="17"/>
              </w:numPr>
              <w:autoSpaceDE w:val="0"/>
              <w:autoSpaceDN w:val="0"/>
              <w:spacing w:after="120"/>
              <w:jc w:val="both"/>
              <w:rPr>
                <w:rFonts w:ascii="Verdana" w:hAnsi="Verdana" w:cs="Arial"/>
                <w:lang w:val="es-ES"/>
              </w:rPr>
            </w:pPr>
            <w:r w:rsidRPr="00BC3A80">
              <w:rPr>
                <w:rFonts w:ascii="Verdana" w:hAnsi="Verdana" w:cs="Arial"/>
                <w:lang w:val="es-ES"/>
              </w:rPr>
              <w:t xml:space="preserve">Consejo de Estado, Sección Primera. Sentencia de 3 de marzo de 2005, </w:t>
            </w:r>
            <w:proofErr w:type="spellStart"/>
            <w:r w:rsidRPr="00BC3A80">
              <w:rPr>
                <w:rFonts w:ascii="Verdana" w:hAnsi="Verdana" w:cs="Arial"/>
                <w:lang w:val="es-ES"/>
              </w:rPr>
              <w:t>Exp</w:t>
            </w:r>
            <w:proofErr w:type="spellEnd"/>
            <w:r w:rsidRPr="00BC3A80">
              <w:rPr>
                <w:rFonts w:ascii="Verdana" w:hAnsi="Verdana" w:cs="Arial"/>
                <w:lang w:val="es-ES"/>
              </w:rPr>
              <w:t xml:space="preserve">. 2004-00823-01(PI). </w:t>
            </w:r>
          </w:p>
          <w:p w14:paraId="68FEF8BE" w14:textId="77777777" w:rsidR="00E451D1" w:rsidRPr="00BC3A80" w:rsidRDefault="00E451D1" w:rsidP="00E451D1">
            <w:pPr>
              <w:widowControl w:val="0"/>
              <w:numPr>
                <w:ilvl w:val="0"/>
                <w:numId w:val="17"/>
              </w:numPr>
              <w:autoSpaceDE w:val="0"/>
              <w:autoSpaceDN w:val="0"/>
              <w:spacing w:after="120"/>
              <w:jc w:val="both"/>
              <w:rPr>
                <w:rFonts w:ascii="Verdana" w:hAnsi="Verdana" w:cs="Arial"/>
                <w:lang w:val="es-ES"/>
              </w:rPr>
            </w:pPr>
            <w:r w:rsidRPr="00BC3A80">
              <w:rPr>
                <w:rFonts w:ascii="Verdana" w:hAnsi="Verdana" w:cs="Arial"/>
                <w:lang w:val="es-ES"/>
              </w:rPr>
              <w:t xml:space="preserve">Consejo de Estado, Sala de Consulta y Servicio Civil, Concepto de fecha 24 de julio de 2013, Rad. 2166, C. P. Álvaro </w:t>
            </w:r>
            <w:proofErr w:type="spellStart"/>
            <w:r w:rsidRPr="00BC3A80">
              <w:rPr>
                <w:rFonts w:ascii="Verdana" w:hAnsi="Verdana" w:cs="Arial"/>
                <w:lang w:val="es-ES"/>
              </w:rPr>
              <w:t>Namén</w:t>
            </w:r>
            <w:proofErr w:type="spellEnd"/>
            <w:r w:rsidRPr="00BC3A80">
              <w:rPr>
                <w:rFonts w:ascii="Verdana" w:hAnsi="Verdana" w:cs="Arial"/>
                <w:lang w:val="es-ES"/>
              </w:rPr>
              <w:t xml:space="preserve"> Vargas. </w:t>
            </w:r>
          </w:p>
          <w:p w14:paraId="18998C6F" w14:textId="77777777" w:rsidR="00E451D1" w:rsidRPr="00BC3A80" w:rsidRDefault="00E451D1" w:rsidP="00E451D1">
            <w:pPr>
              <w:numPr>
                <w:ilvl w:val="0"/>
                <w:numId w:val="17"/>
              </w:numPr>
              <w:spacing w:before="120" w:after="120" w:line="276" w:lineRule="auto"/>
              <w:jc w:val="both"/>
              <w:rPr>
                <w:rFonts w:ascii="Verdana" w:hAnsi="Verdana" w:cs="Arial"/>
                <w:lang w:val="es-ES"/>
              </w:rPr>
            </w:pPr>
            <w:r w:rsidRPr="00BC3A80">
              <w:rPr>
                <w:rFonts w:ascii="Verdana" w:hAnsi="Verdana" w:cs="Arial"/>
              </w:rPr>
              <w:t>Consejo de Estado. Sala de Consulta y Servicio Civil. Concepto del 15 de noviembre de 2007. Expediente número 1863. Consejero Ponente: Luis Fernando Álvarez Jaramillo</w:t>
            </w:r>
          </w:p>
          <w:p w14:paraId="55AD3805" w14:textId="77777777" w:rsidR="00E451D1" w:rsidRPr="00BC3A80" w:rsidRDefault="00E451D1" w:rsidP="00E451D1">
            <w:pPr>
              <w:numPr>
                <w:ilvl w:val="0"/>
                <w:numId w:val="17"/>
              </w:numPr>
              <w:spacing w:before="120" w:after="120" w:line="276" w:lineRule="auto"/>
              <w:jc w:val="both"/>
              <w:rPr>
                <w:rFonts w:ascii="Verdana" w:hAnsi="Verdana" w:cs="Arial"/>
                <w:lang w:val="es-ES"/>
              </w:rPr>
            </w:pPr>
            <w:r w:rsidRPr="00BC3A80">
              <w:rPr>
                <w:rFonts w:ascii="Verdana" w:hAnsi="Verdana" w:cs="Arial"/>
                <w:lang w:val="es-ES"/>
              </w:rPr>
              <w:t>Consejo de Estado. Sala de Consulta y Servicio Civil. Concepto del 17 de febrero de 2015. C.P. William Zambrano Cetina. Radicación No. 11001-03-06-000-2015-00164-00(2269).</w:t>
            </w:r>
          </w:p>
          <w:p w14:paraId="714AEC68" w14:textId="77777777" w:rsidR="00E451D1" w:rsidRPr="00BC3A80" w:rsidRDefault="00E451D1" w:rsidP="00E451D1">
            <w:pPr>
              <w:numPr>
                <w:ilvl w:val="0"/>
                <w:numId w:val="17"/>
              </w:numPr>
              <w:spacing w:before="120" w:after="120" w:line="276" w:lineRule="auto"/>
              <w:jc w:val="both"/>
              <w:rPr>
                <w:rFonts w:ascii="Verdana" w:hAnsi="Verdana" w:cs="Arial"/>
                <w:lang w:val="es-ES"/>
              </w:rPr>
            </w:pPr>
            <w:r w:rsidRPr="00BC3A80">
              <w:rPr>
                <w:rFonts w:ascii="Verdana" w:hAnsi="Verdana" w:cs="Arial"/>
                <w:lang w:val="es-ES"/>
              </w:rPr>
              <w:t xml:space="preserve">Consejo de Estado, Sala de Consulta y Servicio Civil, Concepto de fecha 8 de mayo de 2018, No. 2382. C. P. Álvaro </w:t>
            </w:r>
            <w:proofErr w:type="spellStart"/>
            <w:r w:rsidRPr="00BC3A80">
              <w:rPr>
                <w:rFonts w:ascii="Verdana" w:hAnsi="Verdana" w:cs="Arial"/>
                <w:lang w:val="es-ES"/>
              </w:rPr>
              <w:t>Namén</w:t>
            </w:r>
            <w:proofErr w:type="spellEnd"/>
            <w:r w:rsidRPr="00BC3A80">
              <w:rPr>
                <w:rFonts w:ascii="Verdana" w:hAnsi="Verdana" w:cs="Arial"/>
                <w:lang w:val="es-ES"/>
              </w:rPr>
              <w:t xml:space="preserve"> Vargas.</w:t>
            </w:r>
          </w:p>
          <w:p w14:paraId="625C54C1" w14:textId="77777777" w:rsidR="00E451D1" w:rsidRPr="00BC3A80" w:rsidRDefault="00E451D1" w:rsidP="00E451D1">
            <w:pPr>
              <w:numPr>
                <w:ilvl w:val="0"/>
                <w:numId w:val="17"/>
              </w:numPr>
              <w:spacing w:before="120" w:after="120" w:line="276" w:lineRule="auto"/>
              <w:jc w:val="both"/>
              <w:rPr>
                <w:rFonts w:ascii="Verdana" w:hAnsi="Verdana" w:cs="Arial"/>
                <w:lang w:val="es-ES"/>
              </w:rPr>
            </w:pPr>
            <w:r w:rsidRPr="00BC3A80">
              <w:rPr>
                <w:rFonts w:ascii="Verdana" w:hAnsi="Verdana" w:cs="Arial"/>
              </w:rPr>
              <w:t xml:space="preserve">Consejo de Estado. Sala de Consulta y Servicio Civil. Concepto del 2 de septiembre de 2013 Radicado No: 2168. CP: </w:t>
            </w:r>
            <w:proofErr w:type="spellStart"/>
            <w:r w:rsidRPr="00BC3A80">
              <w:rPr>
                <w:rFonts w:ascii="Verdana" w:hAnsi="Verdana" w:cs="Arial"/>
              </w:rPr>
              <w:t>Alvaro</w:t>
            </w:r>
            <w:proofErr w:type="spellEnd"/>
            <w:r w:rsidRPr="00BC3A80">
              <w:rPr>
                <w:rFonts w:ascii="Verdana" w:hAnsi="Verdana" w:cs="Arial"/>
              </w:rPr>
              <w:t xml:space="preserve"> </w:t>
            </w:r>
            <w:proofErr w:type="spellStart"/>
            <w:r w:rsidRPr="00BC3A80">
              <w:rPr>
                <w:rFonts w:ascii="Verdana" w:hAnsi="Verdana" w:cs="Arial"/>
              </w:rPr>
              <w:t>Namén</w:t>
            </w:r>
            <w:proofErr w:type="spellEnd"/>
            <w:r w:rsidRPr="00BC3A80">
              <w:rPr>
                <w:rFonts w:ascii="Verdana" w:hAnsi="Verdana" w:cs="Arial"/>
              </w:rPr>
              <w:t xml:space="preserve"> Vargas.</w:t>
            </w:r>
          </w:p>
          <w:p w14:paraId="0B2C5D70" w14:textId="77777777" w:rsidR="00E451D1" w:rsidRPr="003346AD" w:rsidRDefault="00E451D1" w:rsidP="00E451D1">
            <w:pPr>
              <w:widowControl w:val="0"/>
              <w:numPr>
                <w:ilvl w:val="0"/>
                <w:numId w:val="17"/>
              </w:numPr>
              <w:autoSpaceDE w:val="0"/>
              <w:autoSpaceDN w:val="0"/>
              <w:spacing w:after="120" w:line="276" w:lineRule="auto"/>
              <w:jc w:val="both"/>
              <w:rPr>
                <w:rFonts w:ascii="Verdana" w:hAnsi="Verdana" w:cs="Arial"/>
                <w:lang w:val="es-ES"/>
              </w:rPr>
            </w:pPr>
            <w:r w:rsidRPr="00E42998">
              <w:rPr>
                <w:rFonts w:ascii="Verdana" w:hAnsi="Verdana" w:cs="Arial"/>
              </w:rPr>
              <w:lastRenderedPageBreak/>
              <w:t xml:space="preserve">Consejo de Estado, Sección Tercera. Auto del 4 de octubre de 2024. </w:t>
            </w:r>
            <w:r w:rsidRPr="00BC3A80">
              <w:rPr>
                <w:rFonts w:ascii="Verdana" w:hAnsi="Verdana" w:cs="Arial"/>
                <w:lang w:val="pt-BR"/>
              </w:rPr>
              <w:t>Exp. 70.313. C.P: Fredy Ibarra Martínez.</w:t>
            </w:r>
          </w:p>
          <w:p w14:paraId="400945B0" w14:textId="77777777" w:rsidR="00E451D1" w:rsidRPr="00C71E4F" w:rsidRDefault="00E451D1" w:rsidP="00E451D1">
            <w:pPr>
              <w:widowControl w:val="0"/>
              <w:numPr>
                <w:ilvl w:val="0"/>
                <w:numId w:val="17"/>
              </w:numPr>
              <w:autoSpaceDE w:val="0"/>
              <w:autoSpaceDN w:val="0"/>
              <w:spacing w:after="120" w:line="276" w:lineRule="auto"/>
              <w:jc w:val="both"/>
              <w:rPr>
                <w:rFonts w:ascii="Verdana" w:hAnsi="Verdana" w:cs="Arial"/>
                <w:lang w:val="es-ES"/>
              </w:rPr>
            </w:pPr>
            <w:r w:rsidRPr="00670659">
              <w:rPr>
                <w:rFonts w:ascii="Verdana" w:eastAsia="Times New Roman" w:hAnsi="Verdana" w:cs="Times New Roman"/>
                <w:lang w:eastAsia="es-ES_tradnl"/>
              </w:rPr>
              <w:t xml:space="preserve">Consejo de Estado. Sala de lo Contencioso Administrativo. Sección Tercera. Subsección B. 17 de octubre de 2025. Magistrado Ponente: Fredy Ibarra Martínez.  </w:t>
            </w:r>
          </w:p>
          <w:p w14:paraId="3EC34D06" w14:textId="77777777" w:rsidR="00E451D1" w:rsidRPr="00BC3A80" w:rsidRDefault="00E451D1" w:rsidP="00E451D1">
            <w:pPr>
              <w:widowControl w:val="0"/>
              <w:numPr>
                <w:ilvl w:val="0"/>
                <w:numId w:val="17"/>
              </w:numPr>
              <w:autoSpaceDE w:val="0"/>
              <w:autoSpaceDN w:val="0"/>
              <w:spacing w:after="120" w:line="276" w:lineRule="auto"/>
              <w:jc w:val="both"/>
              <w:rPr>
                <w:rFonts w:ascii="Verdana" w:hAnsi="Verdana" w:cs="Arial"/>
                <w:lang w:val="es-ES"/>
              </w:rPr>
            </w:pPr>
            <w:r w:rsidRPr="00BC3A80">
              <w:rPr>
                <w:rFonts w:ascii="Verdana" w:hAnsi="Verdana" w:cs="Arial"/>
                <w:lang w:val="pt-BR"/>
              </w:rPr>
              <w:t>Corte Constitucional. Sentencia C-671 de 2015. M.P. Alberto Rojas Ríos</w:t>
            </w:r>
          </w:p>
          <w:p w14:paraId="656EC215" w14:textId="77777777" w:rsidR="00E451D1" w:rsidRPr="00BC3A80" w:rsidRDefault="00E451D1" w:rsidP="00E451D1">
            <w:pPr>
              <w:widowControl w:val="0"/>
              <w:numPr>
                <w:ilvl w:val="0"/>
                <w:numId w:val="17"/>
              </w:numPr>
              <w:autoSpaceDE w:val="0"/>
              <w:autoSpaceDN w:val="0"/>
              <w:spacing w:after="120" w:line="276" w:lineRule="auto"/>
              <w:jc w:val="both"/>
              <w:rPr>
                <w:rFonts w:ascii="Verdana" w:hAnsi="Verdana" w:cs="Arial"/>
                <w:lang w:val="es-ES"/>
              </w:rPr>
            </w:pPr>
            <w:r w:rsidRPr="00BC3A80">
              <w:rPr>
                <w:rFonts w:ascii="Verdana" w:hAnsi="Verdana" w:cs="Arial"/>
              </w:rPr>
              <w:t xml:space="preserve">Circular Externa No. 006 de 2025 </w:t>
            </w:r>
            <w:hyperlink r:id="rId14" w:history="1">
              <w:r w:rsidRPr="00BC3A80">
                <w:rPr>
                  <w:rFonts w:ascii="Verdana" w:hAnsi="Verdana" w:cs="Arial"/>
                  <w:color w:val="0000FF"/>
                  <w:u w:val="single"/>
                </w:rPr>
                <w:t>https://www.colombiacompra.gov.co/archivos/circular/circular-externa-006-de-2025</w:t>
              </w:r>
            </w:hyperlink>
            <w:r w:rsidRPr="00BC3A80">
              <w:rPr>
                <w:rFonts w:ascii="Verdana" w:hAnsi="Verdana" w:cs="Arial"/>
              </w:rPr>
              <w:t xml:space="preserve"> </w:t>
            </w:r>
          </w:p>
        </w:tc>
      </w:tr>
    </w:tbl>
    <w:p w14:paraId="7B5F8F91" w14:textId="77777777" w:rsidR="00E451D1" w:rsidRPr="00BC3A80" w:rsidRDefault="00E451D1" w:rsidP="00E451D1">
      <w:pPr>
        <w:widowControl w:val="0"/>
        <w:autoSpaceDE w:val="0"/>
        <w:autoSpaceDN w:val="0"/>
        <w:spacing w:after="0" w:line="276" w:lineRule="auto"/>
        <w:jc w:val="both"/>
        <w:rPr>
          <w:rFonts w:ascii="Verdana" w:hAnsi="Verdana" w:cs="Arial"/>
          <w:lang w:val="es-ES_tradnl"/>
        </w:rPr>
      </w:pPr>
    </w:p>
    <w:p w14:paraId="1C13A93C" w14:textId="77777777" w:rsidR="00E451D1" w:rsidRPr="00BC3A80" w:rsidRDefault="00E451D1" w:rsidP="00E451D1">
      <w:pPr>
        <w:numPr>
          <w:ilvl w:val="0"/>
          <w:numId w:val="16"/>
        </w:numPr>
        <w:tabs>
          <w:tab w:val="left" w:pos="142"/>
          <w:tab w:val="left" w:pos="284"/>
        </w:tabs>
        <w:spacing w:after="0" w:line="276" w:lineRule="auto"/>
        <w:jc w:val="both"/>
        <w:rPr>
          <w:rFonts w:ascii="Verdana" w:eastAsia="Century Gothic" w:hAnsi="Verdana" w:cs="Century Gothic"/>
          <w:b/>
          <w:bCs/>
          <w:lang w:val="es-ES_tradnl"/>
        </w:rPr>
      </w:pPr>
      <w:r w:rsidRPr="00BC3A80">
        <w:rPr>
          <w:rFonts w:ascii="Verdana" w:eastAsia="Century Gothic" w:hAnsi="Verdana" w:cs="Century Gothic"/>
          <w:b/>
          <w:bCs/>
          <w:lang w:val="es-ES_tradnl"/>
        </w:rPr>
        <w:t>Doctrina de la Agencia Nacional de Contratación Pública:</w:t>
      </w:r>
    </w:p>
    <w:p w14:paraId="39502A81" w14:textId="77777777" w:rsidR="00E451D1" w:rsidRPr="00BC3A80" w:rsidRDefault="00E451D1" w:rsidP="00E451D1">
      <w:pPr>
        <w:widowControl w:val="0"/>
        <w:autoSpaceDE w:val="0"/>
        <w:autoSpaceDN w:val="0"/>
        <w:spacing w:after="0" w:line="276" w:lineRule="auto"/>
        <w:jc w:val="both"/>
        <w:rPr>
          <w:rFonts w:ascii="Verdana" w:hAnsi="Verdana" w:cs="Arial"/>
          <w:lang w:val="es-ES_tradnl"/>
        </w:rPr>
      </w:pPr>
    </w:p>
    <w:p w14:paraId="537B6A2F" w14:textId="77777777" w:rsidR="00E451D1" w:rsidRPr="00BC3A80" w:rsidRDefault="00E451D1" w:rsidP="00E451D1">
      <w:pPr>
        <w:widowControl w:val="0"/>
        <w:autoSpaceDE w:val="0"/>
        <w:autoSpaceDN w:val="0"/>
        <w:spacing w:after="0" w:line="276" w:lineRule="auto"/>
        <w:jc w:val="both"/>
        <w:rPr>
          <w:rFonts w:ascii="Verdana" w:hAnsi="Verdana" w:cs="Arial"/>
          <w:color w:val="FF0000"/>
          <w:shd w:val="clear" w:color="auto" w:fill="FFFFFF"/>
          <w:lang w:val="es-ES_tradnl"/>
        </w:rPr>
      </w:pPr>
      <w:r w:rsidRPr="00BC3A80">
        <w:rPr>
          <w:rFonts w:ascii="Verdana" w:hAnsi="Verdana" w:cs="Arial"/>
          <w:shd w:val="clear" w:color="auto" w:fill="FFFFFF"/>
        </w:rPr>
        <w:t>Esta Subdirección se ha pronunciado sobre la finalidad y propósito de la Ley de Garantías Electorales en los Conceptos C-227 del 24 de mayo de 2021, C-396 del 13 de agosto de 2021, C-439 del 27 de agosto de 2021, C-481 del 9 de septiembre de 2021, C-528 del 27 de septiembre de 2021, C-550 del 5 de octubre de 2021, C-523 del 10 de octubre de 2021, C-606 del 28 de octubre de 2021, C-614 del 2 de noviembre de 2021, C-634 del 11 de noviembre de 2021, C-636 del 16 de noviembre de 2021, C-681 del 7 de diciembre de 2021, C-686 del 21 de diciembre de 2021, C-054 del 22 de marzo de 2022, C-179 del 8 de abril de 2022, C-161 del 17 de mayo de 2022, C- 180 del 21 de marzo de 2025, C-696 del 11 de julio de 2025, C-708 del 15 de julio de 2025, C-1186 del 17 de septiembre de 2025, C-1350 del 1˚ de octubre de 2025</w:t>
      </w:r>
      <w:r>
        <w:rPr>
          <w:rFonts w:ascii="Verdana" w:hAnsi="Verdana" w:cs="Arial"/>
          <w:shd w:val="clear" w:color="auto" w:fill="FFFFFF"/>
        </w:rPr>
        <w:t>,</w:t>
      </w:r>
      <w:r w:rsidRPr="00BC3A80">
        <w:rPr>
          <w:rFonts w:ascii="Verdana" w:hAnsi="Verdana" w:cs="Arial"/>
          <w:shd w:val="clear" w:color="auto" w:fill="FFFFFF"/>
        </w:rPr>
        <w:t xml:space="preserve"> C-1430 del 12 de noviembre de 2025</w:t>
      </w:r>
      <w:r>
        <w:rPr>
          <w:rFonts w:ascii="Verdana" w:hAnsi="Verdana" w:cs="Arial"/>
          <w:shd w:val="clear" w:color="auto" w:fill="FFFFFF"/>
        </w:rPr>
        <w:t xml:space="preserve"> y C-1568 del 14 de noviembre de 2025, entre otros</w:t>
      </w:r>
      <w:r w:rsidRPr="00BC3A80">
        <w:rPr>
          <w:rFonts w:ascii="Verdana" w:hAnsi="Verdana" w:cs="Arial"/>
          <w:shd w:val="clear" w:color="auto" w:fill="FFFFFF"/>
        </w:rPr>
        <w:t xml:space="preserve">. </w:t>
      </w:r>
      <w:r w:rsidRPr="00BC3A80">
        <w:rPr>
          <w:rFonts w:ascii="Verdana" w:hAnsi="Verdana" w:cs="Arial"/>
          <w:shd w:val="clear" w:color="auto" w:fill="FFFFFF"/>
          <w:lang w:val="es-ES_tradnl"/>
        </w:rPr>
        <w:t xml:space="preserve">Estos conceptos se encuentran disponibles para consulta en el Sistema de relatoría de la Agencia, al cual puede accederse a través del siguiente enlace: </w:t>
      </w:r>
      <w:hyperlink r:id="rId15" w:history="1">
        <w:r w:rsidRPr="00BC3A80">
          <w:rPr>
            <w:rFonts w:ascii="Verdana" w:hAnsi="Verdana" w:cs="Arial"/>
            <w:color w:val="0000FF"/>
            <w:u w:val="single"/>
            <w:shd w:val="clear" w:color="auto" w:fill="FFFFFF"/>
            <w:lang w:val="es-ES_tradnl"/>
          </w:rPr>
          <w:t>https://relatoria.colombiacompra.gov.co/busqueda/conceptos</w:t>
        </w:r>
      </w:hyperlink>
      <w:r w:rsidRPr="00BC3A80">
        <w:rPr>
          <w:rFonts w:ascii="Verdana" w:hAnsi="Verdana" w:cs="Arial"/>
          <w:shd w:val="clear" w:color="auto" w:fill="FFFFFF"/>
          <w:lang w:val="es-ES_tradnl"/>
        </w:rPr>
        <w:t xml:space="preserve">. </w:t>
      </w:r>
      <w:r w:rsidRPr="00BC3A80">
        <w:rPr>
          <w:rFonts w:ascii="Verdana" w:hAnsi="Verdana" w:cs="Arial"/>
          <w:color w:val="FF0000"/>
          <w:shd w:val="clear" w:color="auto" w:fill="FFFFFF"/>
          <w:lang w:val="es-ES_tradnl"/>
        </w:rPr>
        <w:t xml:space="preserve"> </w:t>
      </w:r>
    </w:p>
    <w:p w14:paraId="40A56650" w14:textId="77777777" w:rsidR="00E451D1" w:rsidRPr="00BC3A80" w:rsidRDefault="00E451D1" w:rsidP="00E451D1">
      <w:pPr>
        <w:widowControl w:val="0"/>
        <w:autoSpaceDE w:val="0"/>
        <w:autoSpaceDN w:val="0"/>
        <w:spacing w:after="0" w:line="276" w:lineRule="auto"/>
        <w:jc w:val="both"/>
        <w:rPr>
          <w:rFonts w:ascii="Verdana" w:hAnsi="Verdana" w:cs="Arial"/>
          <w:color w:val="FF0000"/>
          <w:shd w:val="clear" w:color="auto" w:fill="FFFFFF"/>
          <w:lang w:val="es-ES_tradnl"/>
        </w:rPr>
      </w:pPr>
    </w:p>
    <w:p w14:paraId="2452F1B7" w14:textId="77777777" w:rsidR="00E451D1" w:rsidRPr="00BC3A80" w:rsidRDefault="00E451D1" w:rsidP="00E451D1">
      <w:pPr>
        <w:shd w:val="clear" w:color="auto" w:fill="FFFFFF"/>
        <w:spacing w:after="0" w:line="276" w:lineRule="auto"/>
        <w:jc w:val="both"/>
        <w:rPr>
          <w:rFonts w:ascii="Verdana" w:hAnsi="Verdana"/>
          <w:color w:val="467886"/>
          <w:u w:val="single"/>
        </w:rPr>
      </w:pPr>
      <w:r w:rsidRPr="00BC3A80">
        <w:rPr>
          <w:rFonts w:ascii="Verdana" w:hAnsi="Verdana"/>
          <w:color w:val="000000"/>
        </w:rPr>
        <w:t>Te informamos que ya se encuentra disponible la </w:t>
      </w:r>
      <w:r w:rsidRPr="00BC3A80">
        <w:rPr>
          <w:rFonts w:ascii="Verdana" w:hAnsi="Verdana"/>
          <w:b/>
          <w:bCs/>
          <w:color w:val="000000"/>
        </w:rPr>
        <w:t>Guía de lineamientos de transparencia y selección objetiva para el departamento de La Guajira – Objetivo sexto constitucional de la Sentencia T-302 del 2017. </w:t>
      </w:r>
      <w:r w:rsidRPr="00BC3A80">
        <w:rPr>
          <w:rFonts w:ascii="Verdana" w:hAnsi="Verdana"/>
          <w:color w:val="000000"/>
        </w:rPr>
        <w:t xml:space="preserve">Esta Guía se expedide en el marco del cumplimiento de la orden proferida por la Honorable Corte Constitucional en la Sentencia T-302 del 2017. Con su implementación se busca contribuir a la superación del Estado de Cosas Inconstitucional declarado </w:t>
      </w:r>
      <w:r w:rsidRPr="00BC3A80">
        <w:rPr>
          <w:rFonts w:ascii="Verdana" w:hAnsi="Verdana"/>
          <w:color w:val="000000"/>
        </w:rPr>
        <w:lastRenderedPageBreak/>
        <w:t xml:space="preserve">por la situación de vulneración masiva y recurrente de los derechos fundamentales de los niños y de las niñas del Pueblo </w:t>
      </w:r>
      <w:proofErr w:type="spellStart"/>
      <w:r w:rsidRPr="00BC3A80">
        <w:rPr>
          <w:rFonts w:ascii="Verdana" w:hAnsi="Verdana"/>
          <w:color w:val="000000"/>
        </w:rPr>
        <w:t>Wayúu</w:t>
      </w:r>
      <w:proofErr w:type="spellEnd"/>
      <w:r w:rsidRPr="00BC3A80">
        <w:rPr>
          <w:rFonts w:ascii="Verdana" w:hAnsi="Verdana"/>
          <w:color w:val="000000"/>
        </w:rPr>
        <w:t>. Puede consultar la guía en el siguiente enlace: </w:t>
      </w:r>
      <w:hyperlink r:id="rId16" w:tgtFrame="_blank" w:tooltip="Dirección URL original: https://www.colombiacompra.gov.co/wp-content/uploads/2025/05/GUIA-DE-LINEAMIENTOS-DE-TRANSPARENCIA-Y-SELECCION-OBJETIVA-1.0.pdf. Haga clic o pulse si confía en este vínculo." w:history="1">
        <w:r w:rsidRPr="00BC3A80">
          <w:rPr>
            <w:rFonts w:ascii="Verdana" w:hAnsi="Verdana"/>
            <w:color w:val="0000FF"/>
            <w:u w:val="single"/>
          </w:rPr>
          <w:t>Guía de lineamientos de transparencia y selección objetiva para el departamento de La Guajira – Objetivo sexto constitucional de la Sentencia T-302 del 2017</w:t>
        </w:r>
      </w:hyperlink>
      <w:r w:rsidRPr="00BC3A80">
        <w:rPr>
          <w:rFonts w:ascii="Verdana" w:hAnsi="Verdana"/>
          <w:color w:val="000000"/>
          <w:u w:val="single"/>
        </w:rPr>
        <w:t>.</w:t>
      </w:r>
    </w:p>
    <w:p w14:paraId="1D0FCD7A" w14:textId="77777777" w:rsidR="00E451D1" w:rsidRPr="00BC3A80" w:rsidRDefault="00E451D1" w:rsidP="00E451D1">
      <w:pPr>
        <w:widowControl w:val="0"/>
        <w:autoSpaceDE w:val="0"/>
        <w:autoSpaceDN w:val="0"/>
        <w:spacing w:after="0" w:line="276" w:lineRule="auto"/>
        <w:jc w:val="both"/>
        <w:rPr>
          <w:rFonts w:ascii="Verdana" w:hAnsi="Verdana" w:cs="Arial"/>
          <w:color w:val="000000" w:themeColor="text1"/>
          <w:shd w:val="clear" w:color="auto" w:fill="FFFFFF"/>
          <w:lang w:val="es-ES_tradnl"/>
        </w:rPr>
      </w:pPr>
      <w:r w:rsidRPr="00BC3A80">
        <w:rPr>
          <w:rFonts w:ascii="Verdana" w:hAnsi="Verdana" w:cs="Arial"/>
          <w:color w:val="000000" w:themeColor="text1"/>
          <w:shd w:val="clear" w:color="auto" w:fill="FFFFFF"/>
          <w:lang w:val="es-ES_tradnl"/>
        </w:rPr>
        <w:t xml:space="preserve"> </w:t>
      </w:r>
    </w:p>
    <w:p w14:paraId="024A8C8D" w14:textId="77777777" w:rsidR="00E451D1" w:rsidRPr="00BC3A80" w:rsidRDefault="00E451D1" w:rsidP="00E451D1">
      <w:pPr>
        <w:spacing w:after="0" w:line="276" w:lineRule="auto"/>
        <w:jc w:val="both"/>
        <w:rPr>
          <w:rFonts w:ascii="Verdana" w:hAnsi="Verdana"/>
        </w:rPr>
      </w:pPr>
      <w:r w:rsidRPr="00BC3A80">
        <w:rPr>
          <w:rFonts w:ascii="Verdana" w:hAnsi="Verdana"/>
        </w:rPr>
        <w:t xml:space="preserve">Aprovechamos la oportunidad de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00FEBECA" w14:textId="77777777" w:rsidR="00E451D1" w:rsidRPr="00BC3A80" w:rsidRDefault="00E451D1" w:rsidP="00E451D1">
      <w:pPr>
        <w:spacing w:after="0" w:line="276" w:lineRule="auto"/>
        <w:jc w:val="both"/>
        <w:rPr>
          <w:rFonts w:ascii="Verdana" w:hAnsi="Verdana"/>
        </w:rPr>
      </w:pPr>
    </w:p>
    <w:p w14:paraId="47E9FC63" w14:textId="77777777" w:rsidR="00E451D1" w:rsidRPr="00BC3A80" w:rsidRDefault="00E451D1" w:rsidP="00E451D1">
      <w:pPr>
        <w:numPr>
          <w:ilvl w:val="0"/>
          <w:numId w:val="15"/>
        </w:numPr>
        <w:spacing w:after="0" w:line="276" w:lineRule="auto"/>
        <w:contextualSpacing/>
        <w:jc w:val="both"/>
        <w:rPr>
          <w:rFonts w:ascii="Verdana" w:eastAsia="Verdana" w:hAnsi="Verdana" w:cs="Verdana"/>
          <w:color w:val="4472C4" w:themeColor="accent1"/>
          <w:u w:val="single"/>
          <w:lang w:val="es-MX"/>
        </w:rPr>
      </w:pPr>
      <w:r w:rsidRPr="00BC3A80">
        <w:rPr>
          <w:rFonts w:ascii="Verdana" w:eastAsia="Verdana" w:hAnsi="Verdana" w:cs="Verdana"/>
          <w:lang w:val="es-MX"/>
        </w:rPr>
        <w:t xml:space="preserve">Línea nacional gratuita o servicio a la ciudadanía (Mesa de servicio): </w:t>
      </w:r>
      <w:r w:rsidRPr="00BC3A80">
        <w:rPr>
          <w:rFonts w:ascii="Verdana" w:hAnsi="Verdana"/>
          <w:color w:val="0000FF"/>
          <w:u w:val="single"/>
          <w:lang w:val="es-ES"/>
        </w:rPr>
        <w:t>01800 0520808</w:t>
      </w:r>
    </w:p>
    <w:p w14:paraId="76844ADB" w14:textId="77777777" w:rsidR="00E451D1" w:rsidRPr="00BC3A80" w:rsidRDefault="00E451D1" w:rsidP="00E451D1">
      <w:pPr>
        <w:numPr>
          <w:ilvl w:val="0"/>
          <w:numId w:val="15"/>
        </w:numPr>
        <w:spacing w:after="0" w:line="276" w:lineRule="auto"/>
        <w:contextualSpacing/>
        <w:rPr>
          <w:rFonts w:ascii="Verdana" w:eastAsia="Verdana" w:hAnsi="Verdana" w:cs="Verdana"/>
          <w:color w:val="4472C4" w:themeColor="accent1"/>
          <w:u w:val="single"/>
          <w:lang w:val="es-MX"/>
        </w:rPr>
      </w:pPr>
      <w:r w:rsidRPr="00BC3A80">
        <w:rPr>
          <w:rFonts w:ascii="Verdana" w:eastAsia="Verdana" w:hAnsi="Verdana" w:cs="Verdana"/>
          <w:lang w:val="es-MX"/>
        </w:rPr>
        <w:t>Línea en Bogotá (Mesa de servicio</w:t>
      </w:r>
      <w:proofErr w:type="gramStart"/>
      <w:r w:rsidRPr="00BC3A80">
        <w:rPr>
          <w:rFonts w:ascii="Verdana" w:eastAsia="Verdana" w:hAnsi="Verdana" w:cs="Verdana"/>
          <w:lang w:val="es-MX"/>
        </w:rPr>
        <w:t>):</w:t>
      </w:r>
      <w:r w:rsidRPr="00BC3A80">
        <w:rPr>
          <w:rFonts w:ascii="Verdana" w:hAnsi="Verdana"/>
          <w:color w:val="0000FF"/>
          <w:u w:val="single"/>
          <w:lang w:val="es-ES"/>
        </w:rPr>
        <w:t>+</w:t>
      </w:r>
      <w:proofErr w:type="gramEnd"/>
      <w:r w:rsidRPr="00BC3A80">
        <w:rPr>
          <w:rFonts w:ascii="Verdana" w:hAnsi="Verdana"/>
          <w:color w:val="0000FF"/>
          <w:u w:val="single"/>
          <w:lang w:val="es-ES"/>
        </w:rPr>
        <w:t>57 601 7456788</w:t>
      </w:r>
    </w:p>
    <w:p w14:paraId="4C38AC0B" w14:textId="77777777" w:rsidR="00E451D1" w:rsidRPr="00BC3A80" w:rsidRDefault="00E451D1" w:rsidP="00E451D1">
      <w:pPr>
        <w:numPr>
          <w:ilvl w:val="0"/>
          <w:numId w:val="15"/>
        </w:numPr>
        <w:spacing w:after="0" w:line="276" w:lineRule="auto"/>
        <w:contextualSpacing/>
        <w:rPr>
          <w:rFonts w:ascii="Verdana" w:eastAsia="Verdana" w:hAnsi="Verdana" w:cs="Verdana"/>
          <w:color w:val="0000FF"/>
          <w:u w:val="single"/>
          <w:lang w:val="es-MX"/>
        </w:rPr>
      </w:pPr>
      <w:r w:rsidRPr="00BC3A80">
        <w:rPr>
          <w:rFonts w:ascii="Verdana" w:eastAsia="Verdana" w:hAnsi="Verdana" w:cs="Verdana"/>
          <w:lang w:val="es-MX"/>
        </w:rPr>
        <w:t xml:space="preserve">Correo de radicación de correspondencia: </w:t>
      </w:r>
      <w:hyperlink r:id="rId17" w:history="1">
        <w:r w:rsidRPr="00BC3A80">
          <w:rPr>
            <w:rFonts w:ascii="Verdana" w:eastAsia="Verdana" w:hAnsi="Verdana" w:cs="Verdana"/>
            <w:color w:val="0000FF"/>
            <w:u w:val="single"/>
            <w:lang w:val="es-MX"/>
          </w:rPr>
          <w:t>ventanilladeradicacion@colombiacompra.gov.co</w:t>
        </w:r>
      </w:hyperlink>
    </w:p>
    <w:p w14:paraId="352CFED5" w14:textId="77777777" w:rsidR="00E451D1" w:rsidRPr="00BC3A80" w:rsidRDefault="00E451D1" w:rsidP="00E451D1">
      <w:pPr>
        <w:numPr>
          <w:ilvl w:val="0"/>
          <w:numId w:val="15"/>
        </w:numPr>
        <w:spacing w:after="0" w:line="276" w:lineRule="auto"/>
        <w:contextualSpacing/>
        <w:rPr>
          <w:rFonts w:ascii="Verdana" w:eastAsia="Verdana" w:hAnsi="Verdana" w:cs="Verdana"/>
          <w:color w:val="0000FF"/>
          <w:u w:val="single"/>
          <w:lang w:val="es-MX"/>
        </w:rPr>
      </w:pPr>
      <w:r w:rsidRPr="00BC3A80">
        <w:rPr>
          <w:rFonts w:ascii="Verdana" w:eastAsia="Verdana" w:hAnsi="Verdana" w:cs="Verdana"/>
          <w:lang w:val="es-ES"/>
        </w:rPr>
        <w:t xml:space="preserve">Formulario web para PQRSD: </w:t>
      </w:r>
      <w:hyperlink r:id="rId18" w:history="1">
        <w:r w:rsidRPr="00BC3A80">
          <w:rPr>
            <w:rFonts w:ascii="Verdana" w:eastAsia="Verdana" w:hAnsi="Verdana" w:cs="Verdana"/>
            <w:color w:val="0000FF"/>
            <w:u w:val="single"/>
            <w:lang w:val="es-MX"/>
          </w:rPr>
          <w:t>https://www.colombiacompra.gov.co/pqrsd/informacion-importante-antes-de-formular-una-pqrsd</w:t>
        </w:r>
      </w:hyperlink>
    </w:p>
    <w:p w14:paraId="1A390D3E" w14:textId="77777777" w:rsidR="00E451D1" w:rsidRPr="00BC3A80" w:rsidRDefault="00E451D1" w:rsidP="00E451D1">
      <w:pPr>
        <w:spacing w:after="0" w:line="276" w:lineRule="auto"/>
        <w:ind w:left="720"/>
        <w:jc w:val="both"/>
        <w:rPr>
          <w:rFonts w:ascii="Verdana" w:hAnsi="Verdana"/>
        </w:rPr>
      </w:pPr>
    </w:p>
    <w:p w14:paraId="19BDD187" w14:textId="77777777" w:rsidR="00E451D1" w:rsidRPr="00BC3A80" w:rsidRDefault="00E451D1" w:rsidP="00E451D1">
      <w:pPr>
        <w:spacing w:after="0" w:line="276" w:lineRule="auto"/>
        <w:rPr>
          <w:rFonts w:ascii="Verdana" w:hAnsi="Verdana"/>
        </w:rPr>
      </w:pPr>
      <w:r w:rsidRPr="00BC3A80">
        <w:rPr>
          <w:rFonts w:ascii="Verdana" w:hAnsi="Verdana"/>
        </w:rPr>
        <w:t xml:space="preserve">Evalúa el servicio que ofrece la Agencia por el canal de atención de PQRSD en el siguiente </w:t>
      </w:r>
      <w:proofErr w:type="gramStart"/>
      <w:r w:rsidRPr="00BC3A80">
        <w:rPr>
          <w:rFonts w:ascii="Verdana" w:hAnsi="Verdana"/>
        </w:rPr>
        <w:t>enlace :</w:t>
      </w:r>
      <w:proofErr w:type="gramEnd"/>
      <w:hyperlink r:id="rId19" w:tgtFrame="_blank" w:tooltip="https://forms.office.com/r/pphywvs2sz" w:history="1">
        <w:r w:rsidRPr="00BC3A80">
          <w:rPr>
            <w:rFonts w:ascii="Verdana" w:hAnsi="Verdana"/>
            <w:color w:val="0000FF"/>
            <w:u w:val="single"/>
          </w:rPr>
          <w:t>https://forms.office.com/r/pPHyWVs2SZ</w:t>
        </w:r>
      </w:hyperlink>
      <w:r w:rsidRPr="00BC3A80">
        <w:rPr>
          <w:rFonts w:ascii="Verdana" w:hAnsi="Verdana"/>
        </w:rPr>
        <w:t xml:space="preserve"> .¡Ayúdanos a mejorar porque el compromiso es de todos!</w:t>
      </w:r>
    </w:p>
    <w:p w14:paraId="221BDEE5" w14:textId="77777777" w:rsidR="00E451D1" w:rsidRPr="00BC3A80" w:rsidRDefault="00E451D1" w:rsidP="00E451D1">
      <w:pPr>
        <w:spacing w:after="0" w:line="276" w:lineRule="auto"/>
        <w:rPr>
          <w:rFonts w:ascii="Verdana" w:hAnsi="Verdana"/>
        </w:rPr>
      </w:pPr>
    </w:p>
    <w:p w14:paraId="2242A92C" w14:textId="77777777" w:rsidR="00E451D1" w:rsidRPr="00BC3A80" w:rsidRDefault="00E451D1" w:rsidP="00E451D1">
      <w:pPr>
        <w:spacing w:after="0" w:line="276" w:lineRule="auto"/>
        <w:jc w:val="both"/>
        <w:rPr>
          <w:rFonts w:ascii="Verdana" w:hAnsi="Verdana"/>
        </w:rPr>
      </w:pPr>
      <w:r w:rsidRPr="00BC3A80">
        <w:rPr>
          <w:rFonts w:ascii="Verdana" w:hAnsi="Verdana"/>
        </w:rPr>
        <w:t xml:space="preserve">Por último, lo invitamos a seguirnos en las redes sociales en las cuales se difunde información institucional: </w:t>
      </w:r>
    </w:p>
    <w:p w14:paraId="7260B660" w14:textId="77777777" w:rsidR="00E451D1" w:rsidRPr="00BC3A80" w:rsidRDefault="00E451D1" w:rsidP="00E451D1">
      <w:pPr>
        <w:spacing w:after="0" w:line="276" w:lineRule="auto"/>
        <w:jc w:val="both"/>
        <w:rPr>
          <w:rFonts w:ascii="Verdana" w:hAnsi="Verdana"/>
        </w:rPr>
      </w:pPr>
    </w:p>
    <w:p w14:paraId="03418654" w14:textId="77777777" w:rsidR="00E451D1" w:rsidRPr="00BC3A80" w:rsidRDefault="00E451D1" w:rsidP="00E451D1">
      <w:pPr>
        <w:spacing w:after="0" w:line="276" w:lineRule="auto"/>
        <w:jc w:val="both"/>
        <w:rPr>
          <w:rFonts w:ascii="Verdana" w:hAnsi="Verdana"/>
        </w:rPr>
      </w:pPr>
      <w:r w:rsidRPr="00BC3A80">
        <w:rPr>
          <w:rFonts w:ascii="Verdana" w:hAnsi="Verdana"/>
        </w:rPr>
        <w:t xml:space="preserve">Twitter: </w:t>
      </w:r>
      <w:r w:rsidRPr="00BC3A80">
        <w:rPr>
          <w:rFonts w:ascii="Verdana" w:hAnsi="Verdana"/>
          <w:color w:val="0000FF"/>
          <w:u w:val="single"/>
        </w:rPr>
        <w:t>@colombiacompra</w:t>
      </w:r>
      <w:r w:rsidRPr="00BC3A80">
        <w:rPr>
          <w:rFonts w:ascii="Verdana" w:hAnsi="Verdana"/>
        </w:rPr>
        <w:t xml:space="preserve"> </w:t>
      </w:r>
    </w:p>
    <w:p w14:paraId="03CAE4F7" w14:textId="77777777" w:rsidR="00E451D1" w:rsidRPr="00BC3A80" w:rsidRDefault="00E451D1" w:rsidP="00E451D1">
      <w:pPr>
        <w:spacing w:after="0" w:line="276" w:lineRule="auto"/>
        <w:jc w:val="both"/>
        <w:rPr>
          <w:rFonts w:ascii="Verdana" w:hAnsi="Verdana"/>
        </w:rPr>
      </w:pPr>
      <w:r w:rsidRPr="00BC3A80">
        <w:rPr>
          <w:rFonts w:ascii="Verdana" w:hAnsi="Verdana"/>
        </w:rPr>
        <w:t xml:space="preserve">Facebook: </w:t>
      </w:r>
      <w:proofErr w:type="spellStart"/>
      <w:r w:rsidRPr="00BC3A80">
        <w:rPr>
          <w:rFonts w:ascii="Verdana" w:hAnsi="Verdana"/>
          <w:color w:val="0000FF"/>
          <w:u w:val="single"/>
        </w:rPr>
        <w:t>ColombiaCompraEficiente</w:t>
      </w:r>
      <w:proofErr w:type="spellEnd"/>
    </w:p>
    <w:p w14:paraId="19BE7DCD" w14:textId="77777777" w:rsidR="00E451D1" w:rsidRPr="00BC3A80" w:rsidRDefault="00E451D1" w:rsidP="00E451D1">
      <w:pPr>
        <w:spacing w:after="0" w:line="276" w:lineRule="auto"/>
        <w:jc w:val="both"/>
        <w:rPr>
          <w:rFonts w:ascii="Verdana" w:hAnsi="Verdana"/>
        </w:rPr>
      </w:pPr>
      <w:r w:rsidRPr="00BC3A80">
        <w:rPr>
          <w:rFonts w:ascii="Verdana" w:hAnsi="Verdana"/>
        </w:rPr>
        <w:t xml:space="preserve">LinkedIn: </w:t>
      </w:r>
      <w:r w:rsidRPr="00BC3A80">
        <w:rPr>
          <w:rFonts w:ascii="Verdana" w:hAnsi="Verdana"/>
          <w:color w:val="0000FF"/>
          <w:u w:val="single"/>
        </w:rPr>
        <w:t>Agencia Nacional de Contratación Pública - Colombia Compra Eficiente</w:t>
      </w:r>
      <w:r w:rsidRPr="00BC3A80">
        <w:rPr>
          <w:rFonts w:ascii="Verdana" w:hAnsi="Verdana"/>
        </w:rPr>
        <w:t xml:space="preserve"> Instagram: </w:t>
      </w:r>
      <w:r w:rsidRPr="00BC3A80">
        <w:rPr>
          <w:rFonts w:ascii="Verdana" w:hAnsi="Verdana"/>
          <w:color w:val="0000FF"/>
          <w:u w:val="single"/>
        </w:rPr>
        <w:t>@colombiacompraeficiente_cce</w:t>
      </w:r>
    </w:p>
    <w:p w14:paraId="3BECD012" w14:textId="77777777" w:rsidR="00E451D1" w:rsidRPr="00BC3A80" w:rsidRDefault="00E451D1" w:rsidP="00E451D1">
      <w:pPr>
        <w:widowControl w:val="0"/>
        <w:autoSpaceDE w:val="0"/>
        <w:autoSpaceDN w:val="0"/>
        <w:spacing w:after="120" w:line="276" w:lineRule="auto"/>
        <w:jc w:val="both"/>
        <w:rPr>
          <w:rFonts w:ascii="Verdana" w:hAnsi="Verdana" w:cs="Arial"/>
          <w:color w:val="FF0000"/>
          <w:shd w:val="clear" w:color="auto" w:fill="FFFFFF"/>
          <w:lang w:val="es-ES_tradnl"/>
        </w:rPr>
      </w:pPr>
      <w:r w:rsidRPr="00BC3A80">
        <w:rPr>
          <w:rFonts w:ascii="Verdana" w:hAnsi="Verdana" w:cs="Arial"/>
          <w:color w:val="FF0000"/>
          <w:shd w:val="clear" w:color="auto" w:fill="FFFFFF"/>
          <w:lang w:val="es-ES_tradnl"/>
        </w:rPr>
        <w:t xml:space="preserve">        </w:t>
      </w:r>
    </w:p>
    <w:p w14:paraId="06F70C62" w14:textId="77777777" w:rsidR="00E451D1" w:rsidRPr="00BC3A80" w:rsidRDefault="00E451D1" w:rsidP="00E451D1">
      <w:pPr>
        <w:widowControl w:val="0"/>
        <w:autoSpaceDE w:val="0"/>
        <w:autoSpaceDN w:val="0"/>
        <w:spacing w:after="0" w:line="276" w:lineRule="auto"/>
        <w:jc w:val="both"/>
        <w:rPr>
          <w:rFonts w:ascii="Verdana" w:hAnsi="Verdana" w:cs="Arial"/>
          <w:lang w:val="es-ES_tradnl"/>
        </w:rPr>
      </w:pPr>
      <w:r w:rsidRPr="00BC3A80">
        <w:rPr>
          <w:rFonts w:ascii="Verdana" w:hAnsi="Verdana" w:cs="Arial"/>
          <w:lang w:val="es-ES_tradnl"/>
        </w:rPr>
        <w:t xml:space="preserve">Este concepto tiene el alcance previsto en el artículo 28 del Código de Procedimiento Administrativo y de lo Contencioso Administrativo y las expresiones aquí utilizadas con mayúscula inicial deben ser entendidas con el </w:t>
      </w:r>
      <w:r w:rsidRPr="00BC3A80">
        <w:rPr>
          <w:rFonts w:ascii="Verdana" w:hAnsi="Verdana" w:cs="Arial"/>
          <w:lang w:val="es-ES_tradnl"/>
        </w:rPr>
        <w:lastRenderedPageBreak/>
        <w:t xml:space="preserve">significado que les otorga el artículo 2.2.1.1.1.3.1. del Decreto 1082 de 2015. </w:t>
      </w:r>
    </w:p>
    <w:p w14:paraId="4EA2D27C" w14:textId="77777777" w:rsidR="00E451D1" w:rsidRPr="00BC3A80" w:rsidRDefault="00E451D1" w:rsidP="00E451D1">
      <w:pPr>
        <w:widowControl w:val="0"/>
        <w:autoSpaceDE w:val="0"/>
        <w:autoSpaceDN w:val="0"/>
        <w:spacing w:after="0" w:line="276" w:lineRule="auto"/>
        <w:jc w:val="both"/>
        <w:rPr>
          <w:rFonts w:ascii="Verdana" w:hAnsi="Verdana" w:cs="Arial"/>
          <w:lang w:val="es-ES_tradnl"/>
        </w:rPr>
      </w:pPr>
    </w:p>
    <w:p w14:paraId="5771B271" w14:textId="77777777" w:rsidR="00E451D1" w:rsidRDefault="00E451D1" w:rsidP="00E451D1">
      <w:pPr>
        <w:spacing w:after="0" w:line="276" w:lineRule="auto"/>
        <w:rPr>
          <w:rFonts w:ascii="Verdana" w:eastAsia="Times New Roman" w:hAnsi="Verdana" w:cs="Arial"/>
          <w:lang w:eastAsia="es-ES_tradnl"/>
        </w:rPr>
      </w:pPr>
      <w:r w:rsidRPr="00BC3A80">
        <w:rPr>
          <w:rFonts w:ascii="Verdana" w:eastAsia="Times New Roman" w:hAnsi="Verdana" w:cs="Arial"/>
          <w:lang w:val="es-ES_tradnl" w:eastAsia="es-CO"/>
        </w:rPr>
        <w:t>Atentamente,</w:t>
      </w:r>
      <w:r w:rsidRPr="00BC3A80">
        <w:rPr>
          <w:rFonts w:ascii="Verdana" w:hAnsi="Verdana" w:cs="Arial"/>
          <w:lang w:val="es-ES_tradnl" w:eastAsia="es-CO"/>
        </w:rPr>
        <w:t xml:space="preserve"> </w:t>
      </w:r>
      <w:bookmarkEnd w:id="0"/>
    </w:p>
    <w:p w14:paraId="3FD77942" w14:textId="77777777" w:rsidR="00E451D1" w:rsidRPr="00116940" w:rsidRDefault="00E451D1" w:rsidP="00E451D1">
      <w:pPr>
        <w:spacing w:after="0" w:line="240" w:lineRule="auto"/>
        <w:jc w:val="both"/>
        <w:rPr>
          <w:rFonts w:ascii="Verdana" w:hAnsi="Verdana"/>
        </w:rPr>
      </w:pPr>
    </w:p>
    <w:p w14:paraId="4853BB82" w14:textId="4BB2E035" w:rsidR="00E451D1" w:rsidRDefault="00720773" w:rsidP="00E451D1">
      <w:pPr>
        <w:spacing w:after="0" w:line="240" w:lineRule="auto"/>
        <w:jc w:val="center"/>
      </w:pPr>
      <w:r w:rsidRPr="002C3AD6">
        <w:rPr>
          <w:rFonts w:ascii="Century Gothic" w:hAnsi="Century Gothic"/>
          <w:noProof/>
        </w:rPr>
        <w:drawing>
          <wp:inline distT="0" distB="0" distL="0" distR="0" wp14:anchorId="28503BCE" wp14:editId="29130C8D">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20"/>
                    <a:stretch>
                      <a:fillRect/>
                    </a:stretch>
                  </pic:blipFill>
                  <pic:spPr>
                    <a:xfrm>
                      <a:off x="0" y="0"/>
                      <a:ext cx="3772426" cy="1400370"/>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E451D1" w:rsidRPr="00E3533A" w14:paraId="351CF922" w14:textId="77777777" w:rsidTr="003021E1">
        <w:trPr>
          <w:trHeight w:val="315"/>
        </w:trPr>
        <w:tc>
          <w:tcPr>
            <w:tcW w:w="893" w:type="dxa"/>
            <w:vAlign w:val="center"/>
            <w:hideMark/>
          </w:tcPr>
          <w:p w14:paraId="4F4D3E98" w14:textId="77777777" w:rsidR="00E451D1" w:rsidRPr="00E3533A" w:rsidRDefault="00E451D1" w:rsidP="003021E1">
            <w:pPr>
              <w:contextualSpacing/>
              <w:rPr>
                <w:rFonts w:ascii="Verdana" w:hAnsi="Verdana" w:cs="Arial"/>
                <w:sz w:val="16"/>
                <w:szCs w:val="16"/>
                <w:lang w:eastAsia="es-ES"/>
              </w:rPr>
            </w:pPr>
            <w:r w:rsidRPr="00E3533A">
              <w:rPr>
                <w:rFonts w:ascii="Verdana" w:hAnsi="Verdana" w:cs="Arial"/>
                <w:sz w:val="16"/>
                <w:szCs w:val="16"/>
                <w:lang w:eastAsia="es-ES"/>
              </w:rPr>
              <w:t>Elaboró:</w:t>
            </w:r>
          </w:p>
        </w:tc>
        <w:tc>
          <w:tcPr>
            <w:tcW w:w="5628" w:type="dxa"/>
            <w:tcBorders>
              <w:top w:val="nil"/>
              <w:left w:val="nil"/>
              <w:bottom w:val="dotted" w:sz="4" w:space="0" w:color="7F7F7F" w:themeColor="text1" w:themeTint="80"/>
              <w:right w:val="nil"/>
            </w:tcBorders>
            <w:vAlign w:val="center"/>
            <w:hideMark/>
          </w:tcPr>
          <w:p w14:paraId="61673B49" w14:textId="77777777" w:rsidR="00E451D1" w:rsidRPr="00E3533A" w:rsidRDefault="00E451D1" w:rsidP="003021E1">
            <w:pPr>
              <w:spacing w:line="256" w:lineRule="auto"/>
              <w:rPr>
                <w:rFonts w:ascii="Verdana" w:eastAsia="Calibri" w:hAnsi="Verdana" w:cs="Times New Roman"/>
                <w:sz w:val="16"/>
                <w:szCs w:val="16"/>
              </w:rPr>
            </w:pPr>
            <w:r>
              <w:rPr>
                <w:rFonts w:ascii="Verdana" w:eastAsia="Calibri" w:hAnsi="Verdana" w:cs="Times New Roman"/>
                <w:sz w:val="16"/>
                <w:szCs w:val="16"/>
              </w:rPr>
              <w:t>Richard Andrés Montenegro Siefken</w:t>
            </w:r>
          </w:p>
          <w:p w14:paraId="505A5934" w14:textId="77777777" w:rsidR="00E451D1" w:rsidRPr="00E3533A" w:rsidRDefault="00E451D1" w:rsidP="003021E1">
            <w:pPr>
              <w:contextualSpacing/>
              <w:rPr>
                <w:rFonts w:ascii="Verdana" w:eastAsia="Arial" w:hAnsi="Verdana" w:cs="Arial"/>
                <w:sz w:val="16"/>
                <w:szCs w:val="16"/>
              </w:rPr>
            </w:pPr>
            <w:r>
              <w:rPr>
                <w:rFonts w:ascii="Verdana" w:eastAsia="Calibri" w:hAnsi="Verdana" w:cs="Times New Roman"/>
                <w:sz w:val="16"/>
                <w:szCs w:val="16"/>
              </w:rPr>
              <w:t>Contratista</w:t>
            </w:r>
            <w:r w:rsidRPr="00E3533A">
              <w:rPr>
                <w:rFonts w:ascii="Verdana" w:eastAsia="Calibri" w:hAnsi="Verdana" w:cs="Times New Roman"/>
                <w:sz w:val="16"/>
                <w:szCs w:val="16"/>
              </w:rPr>
              <w:t xml:space="preserve"> de la Subdirección de Gestión Contractual</w:t>
            </w:r>
          </w:p>
        </w:tc>
      </w:tr>
      <w:tr w:rsidR="00E451D1" w:rsidRPr="00E3533A" w14:paraId="0D4FB26B" w14:textId="77777777" w:rsidTr="003021E1">
        <w:trPr>
          <w:trHeight w:val="330"/>
        </w:trPr>
        <w:tc>
          <w:tcPr>
            <w:tcW w:w="893" w:type="dxa"/>
            <w:vAlign w:val="center"/>
            <w:hideMark/>
          </w:tcPr>
          <w:p w14:paraId="338E4DA4" w14:textId="77777777" w:rsidR="00E451D1" w:rsidRPr="00E3533A" w:rsidRDefault="00E451D1" w:rsidP="003021E1">
            <w:pPr>
              <w:contextualSpacing/>
              <w:rPr>
                <w:rFonts w:ascii="Verdana" w:hAnsi="Verdana" w:cs="Arial"/>
                <w:sz w:val="16"/>
                <w:szCs w:val="16"/>
                <w:lang w:eastAsia="es-ES"/>
              </w:rPr>
            </w:pPr>
            <w:r w:rsidRPr="00E3533A">
              <w:rPr>
                <w:rFonts w:ascii="Verdana" w:hAnsi="Verdana" w:cs="Arial"/>
                <w:sz w:val="16"/>
                <w:szCs w:val="16"/>
                <w:lang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75456092" w14:textId="77777777" w:rsidR="00E451D1" w:rsidRPr="002B5C7D" w:rsidRDefault="00E451D1" w:rsidP="003021E1">
            <w:pPr>
              <w:spacing w:line="256" w:lineRule="auto"/>
              <w:rPr>
                <w:rFonts w:ascii="Verdana" w:eastAsia="Calibri" w:hAnsi="Verdana" w:cs="Times New Roman"/>
                <w:sz w:val="16"/>
                <w:szCs w:val="16"/>
              </w:rPr>
            </w:pPr>
            <w:r>
              <w:rPr>
                <w:rFonts w:ascii="Verdana" w:eastAsia="Calibri" w:hAnsi="Verdana" w:cs="Times New Roman"/>
                <w:sz w:val="16"/>
                <w:szCs w:val="16"/>
              </w:rPr>
              <w:t>Juan Carlos González Vásquez</w:t>
            </w:r>
          </w:p>
          <w:p w14:paraId="0196B2A2" w14:textId="77777777" w:rsidR="00E451D1" w:rsidRPr="00E3533A" w:rsidRDefault="00E451D1" w:rsidP="003021E1">
            <w:pPr>
              <w:pStyle w:val="paragraph"/>
              <w:spacing w:before="0" w:beforeAutospacing="0" w:after="0" w:afterAutospacing="0"/>
              <w:contextualSpacing/>
              <w:textAlignment w:val="baseline"/>
              <w:rPr>
                <w:rFonts w:ascii="Verdana" w:hAnsi="Verdana" w:cs="Segoe UI"/>
                <w:sz w:val="16"/>
                <w:szCs w:val="16"/>
              </w:rPr>
            </w:pPr>
            <w:r w:rsidRPr="00E3533A">
              <w:rPr>
                <w:rFonts w:ascii="Verdana" w:eastAsia="Calibri" w:hAnsi="Verdana"/>
                <w:sz w:val="16"/>
                <w:szCs w:val="16"/>
              </w:rPr>
              <w:t>Contratista de la Subdirección de Gestión Contractual </w:t>
            </w:r>
          </w:p>
        </w:tc>
      </w:tr>
      <w:tr w:rsidR="00E451D1" w:rsidRPr="00E3533A" w14:paraId="1B4F5ACD" w14:textId="77777777" w:rsidTr="003021E1">
        <w:trPr>
          <w:trHeight w:val="300"/>
        </w:trPr>
        <w:tc>
          <w:tcPr>
            <w:tcW w:w="893" w:type="dxa"/>
            <w:vAlign w:val="center"/>
          </w:tcPr>
          <w:p w14:paraId="457C63E0" w14:textId="77777777" w:rsidR="00E451D1" w:rsidRPr="00E3533A" w:rsidRDefault="00E451D1" w:rsidP="003021E1">
            <w:pPr>
              <w:contextualSpacing/>
              <w:rPr>
                <w:rFonts w:ascii="Verdana" w:hAnsi="Verdana" w:cs="Arial"/>
                <w:sz w:val="16"/>
                <w:szCs w:val="16"/>
                <w:lang w:eastAsia="es-ES"/>
              </w:rPr>
            </w:pPr>
            <w:r w:rsidRPr="00E3533A">
              <w:rPr>
                <w:rFonts w:ascii="Verdana" w:hAnsi="Verdana" w:cs="Arial"/>
                <w:sz w:val="16"/>
                <w:szCs w:val="16"/>
                <w:lang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501065C6" w14:textId="77777777" w:rsidR="00E451D1" w:rsidRPr="00E3533A" w:rsidRDefault="00E451D1" w:rsidP="003021E1">
            <w:pPr>
              <w:contextualSpacing/>
              <w:rPr>
                <w:rFonts w:ascii="Verdana" w:eastAsia="Calibri" w:hAnsi="Verdana" w:cs="Arial"/>
                <w:sz w:val="16"/>
                <w:szCs w:val="16"/>
                <w:lang w:eastAsia="es-ES"/>
              </w:rPr>
            </w:pPr>
            <w:r>
              <w:rPr>
                <w:rFonts w:ascii="Verdana" w:eastAsia="Calibri" w:hAnsi="Verdana" w:cs="Arial"/>
                <w:sz w:val="16"/>
                <w:szCs w:val="16"/>
                <w:lang w:eastAsia="es-ES"/>
              </w:rPr>
              <w:t xml:space="preserve">Carolina Quintero </w:t>
            </w:r>
            <w:proofErr w:type="spellStart"/>
            <w:r>
              <w:rPr>
                <w:rFonts w:ascii="Verdana" w:eastAsia="Calibri" w:hAnsi="Verdana" w:cs="Arial"/>
                <w:sz w:val="16"/>
                <w:szCs w:val="16"/>
                <w:lang w:eastAsia="es-ES"/>
              </w:rPr>
              <w:t>Gacharná</w:t>
            </w:r>
            <w:proofErr w:type="spellEnd"/>
          </w:p>
          <w:p w14:paraId="201D338D" w14:textId="77777777" w:rsidR="00E451D1" w:rsidRPr="00E3533A" w:rsidRDefault="00E451D1" w:rsidP="003021E1">
            <w:pPr>
              <w:contextualSpacing/>
              <w:rPr>
                <w:rFonts w:ascii="Verdana" w:eastAsia="Calibri" w:hAnsi="Verdana" w:cs="Arial"/>
                <w:sz w:val="16"/>
                <w:szCs w:val="16"/>
                <w:lang w:eastAsia="es-ES"/>
              </w:rPr>
            </w:pPr>
            <w:r w:rsidRPr="00E3533A">
              <w:rPr>
                <w:rFonts w:ascii="Verdana" w:eastAsia="Calibri" w:hAnsi="Verdana" w:cs="Arial"/>
                <w:sz w:val="16"/>
                <w:szCs w:val="16"/>
                <w:lang w:eastAsia="es-ES"/>
              </w:rPr>
              <w:t>Subdirectora de Gestión Contractual ANCP – CCE</w:t>
            </w:r>
          </w:p>
        </w:tc>
      </w:tr>
    </w:tbl>
    <w:p w14:paraId="4E5B3540" w14:textId="77777777" w:rsidR="00E451D1" w:rsidRPr="00E3533A" w:rsidRDefault="00E451D1" w:rsidP="00E451D1">
      <w:pPr>
        <w:spacing w:after="0"/>
        <w:rPr>
          <w:rFonts w:ascii="Verdana" w:hAnsi="Verdana"/>
        </w:rPr>
      </w:pPr>
    </w:p>
    <w:p w14:paraId="1C16BCBB" w14:textId="77777777" w:rsidR="00E451D1" w:rsidRPr="00FB7971" w:rsidRDefault="00E451D1" w:rsidP="00E451D1"/>
    <w:p w14:paraId="2F531BAA" w14:textId="77777777" w:rsidR="00E451D1" w:rsidRPr="00214248" w:rsidRDefault="00E451D1" w:rsidP="00E451D1"/>
    <w:p w14:paraId="22591869" w14:textId="77777777" w:rsidR="00E451D1" w:rsidRPr="0044528D" w:rsidRDefault="00E451D1" w:rsidP="00E451D1">
      <w:pPr>
        <w:spacing w:after="0"/>
        <w:jc w:val="both"/>
        <w:rPr>
          <w:rStyle w:val="Hipervnculo"/>
          <w:rFonts w:ascii="Verdana" w:hAnsi="Verdana"/>
        </w:rPr>
      </w:pPr>
    </w:p>
    <w:p w14:paraId="4F0A2AD7" w14:textId="77777777" w:rsidR="00E451D1" w:rsidRDefault="00E451D1" w:rsidP="00E451D1"/>
    <w:p w14:paraId="0F293BF4" w14:textId="4107785A" w:rsidR="00127233" w:rsidRPr="000A44D6" w:rsidRDefault="00127233" w:rsidP="000A44D6"/>
    <w:sectPr w:rsidR="00127233" w:rsidRPr="000A44D6" w:rsidSect="007C0C0F">
      <w:headerReference w:type="default" r:id="rId21"/>
      <w:footerReference w:type="default" r:id="rId22"/>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78580CE" w14:textId="77777777" w:rsidR="0008453E" w:rsidRDefault="0008453E" w:rsidP="004A1847">
      <w:pPr>
        <w:spacing w:after="0" w:line="240" w:lineRule="auto"/>
      </w:pPr>
      <w:r>
        <w:separator/>
      </w:r>
    </w:p>
  </w:endnote>
  <w:endnote w:type="continuationSeparator" w:id="0">
    <w:p w14:paraId="4FDDA8AE" w14:textId="77777777" w:rsidR="0008453E" w:rsidRDefault="0008453E"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Pr="000A44D6" w:rsidRDefault="356CEDFD" w:rsidP="356CEDFD">
    <w:pPr>
      <w:pBdr>
        <w:top w:val="nil"/>
        <w:left w:val="nil"/>
        <w:bottom w:val="nil"/>
        <w:right w:val="nil"/>
        <w:between w:val="nil"/>
      </w:pBdr>
      <w:tabs>
        <w:tab w:val="center" w:pos="4419"/>
        <w:tab w:val="right" w:pos="8838"/>
        <w:tab w:val="center" w:pos="5400"/>
      </w:tabs>
      <w:spacing w:after="0"/>
      <w:jc w:val="right"/>
      <w:rPr>
        <w:lang w:val="pt-PT"/>
      </w:rPr>
    </w:pPr>
    <w:r w:rsidRPr="000A44D6">
      <w:rPr>
        <w:rFonts w:ascii="Century Gothic" w:eastAsia="Geo" w:hAnsi="Century Gothic" w:cs="Geo"/>
        <w:b/>
        <w:bCs/>
        <w:color w:val="000000" w:themeColor="text1"/>
        <w:sz w:val="16"/>
        <w:szCs w:val="16"/>
        <w:lang w:val="pt-PT" w:eastAsia="es-CO"/>
      </w:rPr>
      <w:t xml:space="preserve">Código: </w:t>
    </w:r>
    <w:r w:rsidRPr="000A44D6">
      <w:rPr>
        <w:rFonts w:ascii="Century Gothic" w:eastAsia="Geo" w:hAnsi="Century Gothic" w:cs="Geo"/>
        <w:color w:val="000000" w:themeColor="text1"/>
        <w:sz w:val="16"/>
        <w:szCs w:val="16"/>
        <w:lang w:val="pt-PT" w:eastAsia="es-CO"/>
      </w:rPr>
      <w:t xml:space="preserve">CCE-REC-FM-17 </w:t>
    </w:r>
    <w:r w:rsidRPr="000A44D6">
      <w:rPr>
        <w:rFonts w:ascii="Century Gothic" w:eastAsia="Geo" w:hAnsi="Century Gothic" w:cs="Geo"/>
        <w:b/>
        <w:bCs/>
        <w:color w:val="000000" w:themeColor="text1"/>
        <w:sz w:val="16"/>
        <w:szCs w:val="16"/>
        <w:lang w:val="pt-PT" w:eastAsia="es-CO"/>
      </w:rPr>
      <w:t>V</w:t>
    </w:r>
    <w:r w:rsidRPr="000A44D6">
      <w:rPr>
        <w:rFonts w:ascii="Century Gothic" w:eastAsia="Arial Nova" w:hAnsi="Century Gothic" w:cs="Arial Nova"/>
        <w:b/>
        <w:bCs/>
        <w:color w:val="000000" w:themeColor="text1"/>
        <w:sz w:val="16"/>
        <w:szCs w:val="16"/>
        <w:lang w:val="pt-PT" w:eastAsia="es-CO"/>
      </w:rPr>
      <w:t xml:space="preserve">: </w:t>
    </w:r>
    <w:r w:rsidRPr="000A44D6">
      <w:rPr>
        <w:rFonts w:ascii="Century Gothic" w:eastAsia="Geo" w:hAnsi="Century Gothic" w:cs="Geo"/>
        <w:sz w:val="16"/>
        <w:szCs w:val="16"/>
        <w:lang w:val="pt-PT"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52A0679" w14:textId="77777777" w:rsidR="0008453E" w:rsidRDefault="0008453E" w:rsidP="004A1847">
      <w:pPr>
        <w:spacing w:after="0" w:line="240" w:lineRule="auto"/>
      </w:pPr>
      <w:r>
        <w:separator/>
      </w:r>
    </w:p>
  </w:footnote>
  <w:footnote w:type="continuationSeparator" w:id="0">
    <w:p w14:paraId="3B917A80" w14:textId="77777777" w:rsidR="0008453E" w:rsidRDefault="0008453E" w:rsidP="004A1847">
      <w:pPr>
        <w:spacing w:after="0" w:line="240" w:lineRule="auto"/>
      </w:pPr>
      <w:r>
        <w:continuationSeparator/>
      </w:r>
    </w:p>
  </w:footnote>
  <w:footnote w:id="1">
    <w:p w14:paraId="7A32B26C" w14:textId="77777777" w:rsidR="00E451D1" w:rsidRPr="00B10300" w:rsidRDefault="00E451D1" w:rsidP="00E451D1">
      <w:pPr>
        <w:pStyle w:val="Textonotapie"/>
        <w:ind w:firstLine="709"/>
        <w:contextualSpacing/>
        <w:jc w:val="both"/>
        <w:rPr>
          <w:rFonts w:ascii="Verdana" w:hAnsi="Verdana" w:cs="Arial"/>
          <w:sz w:val="14"/>
          <w:szCs w:val="14"/>
        </w:rPr>
      </w:pPr>
      <w:r w:rsidRPr="00B10300">
        <w:rPr>
          <w:rStyle w:val="Refdenotaalpie"/>
          <w:rFonts w:ascii="Verdana" w:hAnsi="Verdana" w:cs="Arial"/>
          <w:sz w:val="14"/>
          <w:szCs w:val="14"/>
        </w:rPr>
        <w:footnoteRef/>
      </w:r>
      <w:r w:rsidRPr="00B10300">
        <w:rPr>
          <w:rFonts w:ascii="Verdana" w:hAnsi="Verdana" w:cs="Arial"/>
          <w:sz w:val="14"/>
          <w:szCs w:val="14"/>
        </w:rPr>
        <w:t xml:space="preserve"> El artículo 127 de la Constitución Política señala: “Los servidores públicos no podrán celebrar, por si o por interpuesta persona, o en representación de otro, contrato alguno con entidades públicas o con personas privadas que manejen o administren recursos públicos, salvo las excepciones legales. </w:t>
      </w:r>
    </w:p>
    <w:p w14:paraId="05F3CD61" w14:textId="77777777" w:rsidR="00E451D1" w:rsidRPr="00B10300" w:rsidRDefault="00E451D1" w:rsidP="00E451D1">
      <w:pPr>
        <w:pStyle w:val="Textonotapie"/>
        <w:ind w:firstLine="709"/>
        <w:contextualSpacing/>
        <w:jc w:val="both"/>
        <w:rPr>
          <w:rFonts w:ascii="Verdana" w:hAnsi="Verdana" w:cs="Arial"/>
          <w:sz w:val="14"/>
          <w:szCs w:val="14"/>
        </w:rPr>
      </w:pPr>
      <w:r w:rsidRPr="00B10300">
        <w:rPr>
          <w:rFonts w:ascii="Verdana" w:hAnsi="Verdana" w:cs="Arial"/>
          <w:sz w:val="14"/>
          <w:szCs w:val="14"/>
        </w:rPr>
        <w:t>A los empleados del Estado que se desempeñen en la Rama Judicial, en los órganos electorales, de control y de seguridad les está prohibido tomar parte en las actividades de los partidos y movimientos y en las controversias políticas, sin perjuicio de ejercer libremente el derecho al sufragio. A los miembros de la Fuerza Pública en servicio activo se les aplican las limitaciones contempladas en el artículo 219 de la Constitución. Los empleados no contemplados en esta prohibición solo podrán participar en dichas actividades y controversias en las condiciones que señale la Ley Estatutaria”.</w:t>
      </w:r>
    </w:p>
    <w:p w14:paraId="751AA454" w14:textId="77777777" w:rsidR="00E451D1" w:rsidRPr="00B10300" w:rsidRDefault="00E451D1" w:rsidP="00E451D1">
      <w:pPr>
        <w:pStyle w:val="Textonotapie"/>
        <w:ind w:firstLine="709"/>
        <w:contextualSpacing/>
        <w:jc w:val="both"/>
        <w:rPr>
          <w:rFonts w:ascii="Verdana" w:hAnsi="Verdana" w:cs="Arial"/>
          <w:sz w:val="14"/>
          <w:szCs w:val="14"/>
        </w:rPr>
      </w:pPr>
    </w:p>
  </w:footnote>
  <w:footnote w:id="2">
    <w:p w14:paraId="1A1F1D29" w14:textId="77777777" w:rsidR="00E451D1" w:rsidRPr="00B10300" w:rsidRDefault="00E451D1" w:rsidP="00E451D1">
      <w:pPr>
        <w:pStyle w:val="Textonotapie"/>
        <w:ind w:firstLine="709"/>
        <w:contextualSpacing/>
        <w:jc w:val="both"/>
        <w:rPr>
          <w:rFonts w:ascii="Verdana" w:hAnsi="Verdana" w:cs="Arial"/>
          <w:sz w:val="14"/>
          <w:szCs w:val="14"/>
        </w:rPr>
      </w:pPr>
      <w:r w:rsidRPr="00B10300">
        <w:rPr>
          <w:rStyle w:val="Refdenotaalpie"/>
          <w:rFonts w:ascii="Verdana" w:hAnsi="Verdana" w:cs="Arial"/>
          <w:sz w:val="14"/>
          <w:szCs w:val="14"/>
        </w:rPr>
        <w:footnoteRef/>
      </w:r>
      <w:r w:rsidRPr="00B10300">
        <w:rPr>
          <w:rFonts w:ascii="Verdana" w:hAnsi="Verdana" w:cs="Arial"/>
          <w:sz w:val="14"/>
          <w:szCs w:val="14"/>
        </w:rPr>
        <w:t xml:space="preserve"> Gaceta del Congreso de la República No. 71 del 2005.</w:t>
      </w:r>
    </w:p>
  </w:footnote>
  <w:footnote w:id="3">
    <w:p w14:paraId="36AE5E13" w14:textId="77777777" w:rsidR="00E451D1" w:rsidRPr="00B10300" w:rsidRDefault="00E451D1" w:rsidP="00E451D1">
      <w:pPr>
        <w:pStyle w:val="Textonotapie"/>
        <w:ind w:firstLine="709"/>
        <w:contextualSpacing/>
        <w:jc w:val="both"/>
        <w:rPr>
          <w:rFonts w:ascii="Verdana" w:hAnsi="Verdana" w:cs="Arial"/>
          <w:sz w:val="14"/>
          <w:szCs w:val="14"/>
          <w:lang w:val="pt-BR"/>
        </w:rPr>
      </w:pPr>
      <w:r w:rsidRPr="00B10300">
        <w:rPr>
          <w:rStyle w:val="Refdenotaalpie"/>
          <w:rFonts w:ascii="Verdana" w:hAnsi="Verdana" w:cs="Arial"/>
          <w:sz w:val="14"/>
          <w:szCs w:val="14"/>
        </w:rPr>
        <w:footnoteRef/>
      </w:r>
      <w:r w:rsidRPr="00B10300">
        <w:rPr>
          <w:rFonts w:ascii="Verdana" w:hAnsi="Verdana" w:cs="Arial"/>
          <w:sz w:val="14"/>
          <w:szCs w:val="14"/>
          <w:lang w:val="pt-BR"/>
        </w:rPr>
        <w:t xml:space="preserve"> Corte Constitucional, Sentencia C- 1153 de 2005, M.P. Marco Gerardo </w:t>
      </w:r>
      <w:proofErr w:type="spellStart"/>
      <w:r w:rsidRPr="00B10300">
        <w:rPr>
          <w:rFonts w:ascii="Verdana" w:hAnsi="Verdana" w:cs="Arial"/>
          <w:sz w:val="14"/>
          <w:szCs w:val="14"/>
          <w:lang w:val="pt-BR"/>
        </w:rPr>
        <w:t>Monroy</w:t>
      </w:r>
      <w:proofErr w:type="spellEnd"/>
      <w:r w:rsidRPr="00B10300">
        <w:rPr>
          <w:rFonts w:ascii="Verdana" w:hAnsi="Verdana" w:cs="Arial"/>
          <w:sz w:val="14"/>
          <w:szCs w:val="14"/>
          <w:lang w:val="pt-BR"/>
        </w:rPr>
        <w:t xml:space="preserve"> Cabra.</w:t>
      </w:r>
    </w:p>
    <w:p w14:paraId="5A5BD0DF" w14:textId="77777777" w:rsidR="00E451D1" w:rsidRPr="00B10300" w:rsidRDefault="00E451D1" w:rsidP="00E451D1">
      <w:pPr>
        <w:pStyle w:val="Textonotapie"/>
        <w:ind w:firstLine="709"/>
        <w:contextualSpacing/>
        <w:jc w:val="both"/>
        <w:rPr>
          <w:rFonts w:ascii="Verdana" w:hAnsi="Verdana" w:cs="Arial"/>
          <w:sz w:val="14"/>
          <w:szCs w:val="14"/>
          <w:lang w:val="pt-BR"/>
        </w:rPr>
      </w:pPr>
    </w:p>
  </w:footnote>
  <w:footnote w:id="4">
    <w:p w14:paraId="0F68F047" w14:textId="77777777" w:rsidR="00E451D1" w:rsidRPr="00B10300" w:rsidRDefault="00E451D1" w:rsidP="00E451D1">
      <w:pPr>
        <w:pStyle w:val="Textonotapie"/>
        <w:ind w:firstLine="709"/>
        <w:contextualSpacing/>
        <w:jc w:val="both"/>
        <w:rPr>
          <w:rFonts w:ascii="Verdana" w:hAnsi="Verdana" w:cs="Arial"/>
          <w:sz w:val="14"/>
          <w:szCs w:val="14"/>
          <w:lang w:val="pt-BR"/>
        </w:rPr>
      </w:pPr>
      <w:r w:rsidRPr="00B10300">
        <w:rPr>
          <w:rStyle w:val="Refdenotaalpie"/>
          <w:rFonts w:ascii="Verdana" w:hAnsi="Verdana" w:cs="Arial"/>
          <w:sz w:val="14"/>
          <w:szCs w:val="14"/>
        </w:rPr>
        <w:footnoteRef/>
      </w:r>
      <w:r w:rsidRPr="00B10300">
        <w:rPr>
          <w:rFonts w:ascii="Verdana" w:hAnsi="Verdana" w:cs="Arial"/>
          <w:sz w:val="14"/>
          <w:szCs w:val="14"/>
          <w:lang w:val="pt-BR"/>
        </w:rPr>
        <w:t xml:space="preserve"> Corte Constitucional. Sentencias: C-233 de 4 de abril de 2002, expediente: D-3704; C-551 de 9 de </w:t>
      </w:r>
      <w:proofErr w:type="spellStart"/>
      <w:r w:rsidRPr="00B10300">
        <w:rPr>
          <w:rFonts w:ascii="Verdana" w:hAnsi="Verdana" w:cs="Arial"/>
          <w:sz w:val="14"/>
          <w:szCs w:val="14"/>
          <w:lang w:val="pt-BR"/>
        </w:rPr>
        <w:t>julio</w:t>
      </w:r>
      <w:proofErr w:type="spellEnd"/>
      <w:r w:rsidRPr="00B10300">
        <w:rPr>
          <w:rFonts w:ascii="Verdana" w:hAnsi="Verdana" w:cs="Arial"/>
          <w:sz w:val="14"/>
          <w:szCs w:val="14"/>
          <w:lang w:val="pt-BR"/>
        </w:rPr>
        <w:t xml:space="preserve"> de 2003, expediente: CRF-001 de 9 de </w:t>
      </w:r>
      <w:proofErr w:type="spellStart"/>
      <w:r w:rsidRPr="00B10300">
        <w:rPr>
          <w:rFonts w:ascii="Verdana" w:hAnsi="Verdana" w:cs="Arial"/>
          <w:sz w:val="14"/>
          <w:szCs w:val="14"/>
          <w:lang w:val="pt-BR"/>
        </w:rPr>
        <w:t>julio</w:t>
      </w:r>
      <w:proofErr w:type="spellEnd"/>
      <w:r w:rsidRPr="00B10300">
        <w:rPr>
          <w:rFonts w:ascii="Verdana" w:hAnsi="Verdana" w:cs="Arial"/>
          <w:sz w:val="14"/>
          <w:szCs w:val="14"/>
          <w:lang w:val="pt-BR"/>
        </w:rPr>
        <w:t xml:space="preserve"> de 2003; C-652 de 5 de agosto de 2003, expediente: D-4330; C-353 de 20 de </w:t>
      </w:r>
      <w:proofErr w:type="spellStart"/>
      <w:r w:rsidRPr="00B10300">
        <w:rPr>
          <w:rFonts w:ascii="Verdana" w:hAnsi="Verdana" w:cs="Arial"/>
          <w:sz w:val="14"/>
          <w:szCs w:val="14"/>
          <w:lang w:val="pt-BR"/>
        </w:rPr>
        <w:t>mayo</w:t>
      </w:r>
      <w:proofErr w:type="spellEnd"/>
      <w:r w:rsidRPr="00B10300">
        <w:rPr>
          <w:rFonts w:ascii="Verdana" w:hAnsi="Verdana" w:cs="Arial"/>
          <w:sz w:val="14"/>
          <w:szCs w:val="14"/>
          <w:lang w:val="pt-BR"/>
        </w:rPr>
        <w:t xml:space="preserve"> de 2009, expediente: D-7518, C-541 de 30 de </w:t>
      </w:r>
      <w:proofErr w:type="spellStart"/>
      <w:r w:rsidRPr="00B10300">
        <w:rPr>
          <w:rFonts w:ascii="Verdana" w:hAnsi="Verdana" w:cs="Arial"/>
          <w:sz w:val="14"/>
          <w:szCs w:val="14"/>
          <w:lang w:val="pt-BR"/>
        </w:rPr>
        <w:t>junio</w:t>
      </w:r>
      <w:proofErr w:type="spellEnd"/>
      <w:r w:rsidRPr="00B10300">
        <w:rPr>
          <w:rFonts w:ascii="Verdana" w:hAnsi="Verdana" w:cs="Arial"/>
          <w:sz w:val="14"/>
          <w:szCs w:val="14"/>
          <w:lang w:val="pt-BR"/>
        </w:rPr>
        <w:t xml:space="preserve"> de 2010, expediente: DD7966; entre </w:t>
      </w:r>
      <w:proofErr w:type="spellStart"/>
      <w:r w:rsidRPr="00B10300">
        <w:rPr>
          <w:rFonts w:ascii="Verdana" w:hAnsi="Verdana" w:cs="Arial"/>
          <w:sz w:val="14"/>
          <w:szCs w:val="14"/>
          <w:lang w:val="pt-BR"/>
        </w:rPr>
        <w:t>otras</w:t>
      </w:r>
      <w:proofErr w:type="spellEnd"/>
      <w:r w:rsidRPr="00B10300">
        <w:rPr>
          <w:rFonts w:ascii="Verdana" w:hAnsi="Verdana" w:cs="Arial"/>
          <w:sz w:val="14"/>
          <w:szCs w:val="14"/>
          <w:lang w:val="pt-BR"/>
        </w:rPr>
        <w:t>.</w:t>
      </w:r>
    </w:p>
    <w:p w14:paraId="47D69189" w14:textId="77777777" w:rsidR="00E451D1" w:rsidRPr="00B10300" w:rsidRDefault="00E451D1" w:rsidP="00E451D1">
      <w:pPr>
        <w:pStyle w:val="Textonotapie"/>
        <w:ind w:firstLine="709"/>
        <w:contextualSpacing/>
        <w:jc w:val="both"/>
        <w:rPr>
          <w:rFonts w:ascii="Verdana" w:hAnsi="Verdana" w:cs="Arial"/>
          <w:sz w:val="14"/>
          <w:szCs w:val="14"/>
          <w:lang w:val="pt-BR"/>
        </w:rPr>
      </w:pPr>
    </w:p>
  </w:footnote>
  <w:footnote w:id="5">
    <w:p w14:paraId="0D9A0206" w14:textId="77777777" w:rsidR="00E451D1" w:rsidRPr="00B10300" w:rsidRDefault="00E451D1" w:rsidP="00E451D1">
      <w:pPr>
        <w:pStyle w:val="Textonotapie"/>
        <w:ind w:firstLine="709"/>
        <w:contextualSpacing/>
        <w:jc w:val="both"/>
        <w:rPr>
          <w:rFonts w:ascii="Verdana" w:hAnsi="Verdana" w:cs="Arial"/>
          <w:sz w:val="14"/>
          <w:szCs w:val="14"/>
          <w:lang w:val="es-CO"/>
        </w:rPr>
      </w:pPr>
      <w:r w:rsidRPr="00B10300">
        <w:rPr>
          <w:rStyle w:val="Refdenotaalpie"/>
          <w:rFonts w:ascii="Verdana" w:hAnsi="Verdana" w:cs="Arial"/>
          <w:sz w:val="14"/>
          <w:szCs w:val="14"/>
        </w:rPr>
        <w:footnoteRef/>
      </w:r>
      <w:r w:rsidRPr="00B10300">
        <w:rPr>
          <w:rFonts w:ascii="Verdana" w:hAnsi="Verdana" w:cs="Arial"/>
          <w:sz w:val="14"/>
          <w:szCs w:val="14"/>
          <w:lang w:val="es-CO"/>
        </w:rPr>
        <w:t xml:space="preserve"> Consejo de Estado, Sala de lo Contencioso Administrativo, Sección Primera. Sentencia de 3 de marzo de 2005, expediente número 2004-00823-01(PI). Ver también, de la Sección Tercera. Sentencia de 22 de enero de 2002, expediente número 2001-0148-01 y, Sección Tercera. Sentencia de 20 de noviembre de 2001, expediente número 2001-0130-01(PI), entre otras.</w:t>
      </w:r>
    </w:p>
    <w:p w14:paraId="684C5E11" w14:textId="77777777" w:rsidR="00E451D1" w:rsidRPr="00B10300" w:rsidRDefault="00E451D1" w:rsidP="00E451D1">
      <w:pPr>
        <w:pStyle w:val="Textonotapie"/>
        <w:ind w:firstLine="709"/>
        <w:contextualSpacing/>
        <w:jc w:val="both"/>
        <w:rPr>
          <w:rFonts w:ascii="Verdana" w:hAnsi="Verdana" w:cs="Arial"/>
          <w:sz w:val="14"/>
          <w:szCs w:val="14"/>
          <w:lang w:val="es-CO"/>
        </w:rPr>
      </w:pPr>
    </w:p>
  </w:footnote>
  <w:footnote w:id="6">
    <w:p w14:paraId="54C1B3BA" w14:textId="77777777" w:rsidR="00E451D1" w:rsidRPr="00B10300" w:rsidRDefault="00E451D1" w:rsidP="00E451D1">
      <w:pPr>
        <w:pStyle w:val="Textonotapie"/>
        <w:ind w:firstLine="709"/>
        <w:contextualSpacing/>
        <w:jc w:val="both"/>
        <w:rPr>
          <w:rFonts w:ascii="Verdana" w:hAnsi="Verdana" w:cs="Arial"/>
          <w:sz w:val="14"/>
          <w:szCs w:val="14"/>
        </w:rPr>
      </w:pPr>
      <w:r w:rsidRPr="00B10300">
        <w:rPr>
          <w:rStyle w:val="Refdenotaalpie"/>
          <w:rFonts w:ascii="Verdana" w:hAnsi="Verdana" w:cs="Arial"/>
          <w:sz w:val="14"/>
          <w:szCs w:val="14"/>
        </w:rPr>
        <w:footnoteRef/>
      </w:r>
      <w:r w:rsidRPr="00B10300">
        <w:rPr>
          <w:rFonts w:ascii="Verdana" w:hAnsi="Verdana" w:cs="Arial"/>
          <w:sz w:val="14"/>
          <w:szCs w:val="14"/>
        </w:rPr>
        <w:t xml:space="preserve"> Consejo de Estado, Sala de Consulta y Servicio Civil de fecha 24 de julio de 2013, Rad. 2166, C. P. Álvaro </w:t>
      </w:r>
      <w:proofErr w:type="spellStart"/>
      <w:r w:rsidRPr="00B10300">
        <w:rPr>
          <w:rFonts w:ascii="Verdana" w:hAnsi="Verdana" w:cs="Arial"/>
          <w:sz w:val="14"/>
          <w:szCs w:val="14"/>
        </w:rPr>
        <w:t>Namén</w:t>
      </w:r>
      <w:proofErr w:type="spellEnd"/>
      <w:r w:rsidRPr="00B10300">
        <w:rPr>
          <w:rFonts w:ascii="Verdana" w:hAnsi="Verdana" w:cs="Arial"/>
          <w:sz w:val="14"/>
          <w:szCs w:val="14"/>
        </w:rPr>
        <w:t xml:space="preserve"> Vargas. </w:t>
      </w:r>
    </w:p>
    <w:p w14:paraId="2618C296" w14:textId="77777777" w:rsidR="00E451D1" w:rsidRPr="00B10300" w:rsidRDefault="00E451D1" w:rsidP="00E451D1">
      <w:pPr>
        <w:pStyle w:val="Textonotapie"/>
        <w:ind w:firstLine="709"/>
        <w:contextualSpacing/>
        <w:jc w:val="both"/>
        <w:rPr>
          <w:rFonts w:ascii="Verdana" w:hAnsi="Verdana" w:cs="Arial"/>
          <w:sz w:val="14"/>
          <w:szCs w:val="14"/>
        </w:rPr>
      </w:pPr>
      <w:r w:rsidRPr="00B10300">
        <w:rPr>
          <w:rFonts w:ascii="Verdana" w:hAnsi="Verdana" w:cs="Arial"/>
          <w:sz w:val="14"/>
          <w:szCs w:val="14"/>
        </w:rPr>
        <w:t xml:space="preserve"> </w:t>
      </w:r>
    </w:p>
  </w:footnote>
  <w:footnote w:id="7">
    <w:p w14:paraId="1EEDAA11" w14:textId="77777777" w:rsidR="00E451D1" w:rsidRPr="00B10300" w:rsidRDefault="00E451D1" w:rsidP="00E451D1">
      <w:pPr>
        <w:spacing w:after="0" w:line="240" w:lineRule="auto"/>
        <w:ind w:firstLine="709"/>
        <w:contextualSpacing/>
        <w:jc w:val="both"/>
        <w:rPr>
          <w:rFonts w:ascii="Verdana" w:eastAsia="Times New Roman" w:hAnsi="Verdana" w:cs="Arial"/>
          <w:sz w:val="14"/>
          <w:szCs w:val="14"/>
        </w:rPr>
      </w:pPr>
      <w:r w:rsidRPr="00B10300">
        <w:rPr>
          <w:rStyle w:val="Refdenotaalpie"/>
          <w:rFonts w:ascii="Verdana" w:hAnsi="Verdana" w:cs="Arial"/>
          <w:sz w:val="14"/>
          <w:szCs w:val="14"/>
        </w:rPr>
        <w:footnoteRef/>
      </w:r>
      <w:r w:rsidRPr="00B10300">
        <w:rPr>
          <w:rFonts w:ascii="Verdana" w:hAnsi="Verdana" w:cs="Arial"/>
          <w:sz w:val="14"/>
          <w:szCs w:val="14"/>
        </w:rPr>
        <w:t xml:space="preserve"> </w:t>
      </w:r>
      <w:r w:rsidRPr="00B10300">
        <w:rPr>
          <w:rFonts w:ascii="Verdana" w:hAnsi="Verdana" w:cs="Arial"/>
          <w:color w:val="000000"/>
          <w:sz w:val="14"/>
          <w:szCs w:val="14"/>
        </w:rPr>
        <w:t>“</w:t>
      </w:r>
      <w:r w:rsidRPr="00B10300">
        <w:rPr>
          <w:rFonts w:ascii="Verdana" w:eastAsia="Times New Roman" w:hAnsi="Verdana" w:cs="Arial"/>
          <w:sz w:val="14"/>
          <w:szCs w:val="14"/>
        </w:rPr>
        <w:t>Artículo 33. Restricciones a la contratación pública. Durante los cuatro (4) meses anteriores a la elección presidencial y hasta la realización de la elección en la segunda vuelta, si fuere el caso, queda prohibida la contratación directa por parte de todos los entes del Estado.</w:t>
      </w:r>
    </w:p>
    <w:p w14:paraId="1EA22326" w14:textId="77777777" w:rsidR="00E451D1" w:rsidRPr="00B10300" w:rsidRDefault="00E451D1" w:rsidP="00E451D1">
      <w:pPr>
        <w:spacing w:after="0" w:line="240" w:lineRule="auto"/>
        <w:ind w:firstLine="709"/>
        <w:contextualSpacing/>
        <w:jc w:val="both"/>
        <w:rPr>
          <w:rFonts w:ascii="Verdana" w:eastAsia="Times New Roman" w:hAnsi="Verdana" w:cs="Arial"/>
          <w:sz w:val="14"/>
          <w:szCs w:val="14"/>
        </w:rPr>
      </w:pPr>
      <w:r w:rsidRPr="00B10300">
        <w:rPr>
          <w:rFonts w:ascii="Verdana" w:eastAsia="Times New Roman" w:hAnsi="Verdana" w:cs="Arial"/>
          <w:sz w:val="14"/>
          <w:szCs w:val="14"/>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B10300">
        <w:rPr>
          <w:rFonts w:ascii="Verdana" w:hAnsi="Verdana" w:cs="Arial"/>
          <w:color w:val="000000"/>
          <w:sz w:val="14"/>
          <w:szCs w:val="14"/>
        </w:rPr>
        <w:t>”</w:t>
      </w:r>
      <w:r w:rsidRPr="00B10300">
        <w:rPr>
          <w:rFonts w:ascii="Verdana" w:eastAsia="Times New Roman" w:hAnsi="Verdana" w:cs="Arial"/>
          <w:sz w:val="14"/>
          <w:szCs w:val="14"/>
        </w:rPr>
        <w:t>.</w:t>
      </w:r>
    </w:p>
    <w:p w14:paraId="4D2B1B88" w14:textId="77777777" w:rsidR="00E451D1" w:rsidRPr="00B10300" w:rsidRDefault="00E451D1" w:rsidP="00E451D1">
      <w:pPr>
        <w:spacing w:after="0" w:line="240" w:lineRule="auto"/>
        <w:ind w:firstLine="709"/>
        <w:contextualSpacing/>
        <w:jc w:val="both"/>
        <w:rPr>
          <w:rFonts w:ascii="Verdana" w:eastAsia="Times New Roman" w:hAnsi="Verdana" w:cs="Arial"/>
          <w:sz w:val="14"/>
          <w:szCs w:val="14"/>
        </w:rPr>
      </w:pPr>
    </w:p>
  </w:footnote>
  <w:footnote w:id="8">
    <w:p w14:paraId="09CC0920" w14:textId="77777777" w:rsidR="00E451D1" w:rsidRPr="00B10300" w:rsidRDefault="00E451D1" w:rsidP="00E451D1">
      <w:pPr>
        <w:pStyle w:val="NormalWeb"/>
        <w:spacing w:after="0"/>
        <w:ind w:firstLine="709"/>
        <w:contextualSpacing/>
        <w:jc w:val="both"/>
        <w:rPr>
          <w:rFonts w:ascii="Verdana" w:hAnsi="Verdana" w:cs="Arial"/>
          <w:sz w:val="14"/>
          <w:szCs w:val="14"/>
          <w:lang w:val="es-MX"/>
        </w:rPr>
      </w:pPr>
      <w:r w:rsidRPr="00B10300">
        <w:rPr>
          <w:rStyle w:val="Refdenotaalpie"/>
          <w:rFonts w:ascii="Verdana" w:eastAsiaTheme="majorEastAsia" w:hAnsi="Verdana" w:cs="Arial"/>
          <w:sz w:val="14"/>
          <w:szCs w:val="14"/>
        </w:rPr>
        <w:footnoteRef/>
      </w:r>
      <w:r w:rsidRPr="00B10300">
        <w:rPr>
          <w:rFonts w:ascii="Verdana" w:hAnsi="Verdana" w:cs="Arial"/>
          <w:sz w:val="14"/>
          <w:szCs w:val="14"/>
        </w:rPr>
        <w:t xml:space="preserve"> </w:t>
      </w:r>
      <w:r w:rsidRPr="00B10300">
        <w:rPr>
          <w:rFonts w:ascii="Verdana" w:eastAsia="Calibri" w:hAnsi="Verdana" w:cs="Arial"/>
          <w:color w:val="000000"/>
          <w:sz w:val="14"/>
          <w:szCs w:val="14"/>
        </w:rPr>
        <w:t>“</w:t>
      </w:r>
      <w:r w:rsidRPr="00B10300">
        <w:rPr>
          <w:rFonts w:ascii="Verdana" w:hAnsi="Verdana" w:cs="Arial"/>
          <w:sz w:val="14"/>
          <w:szCs w:val="14"/>
          <w:lang w:val="es-MX"/>
        </w:rPr>
        <w:t>Artículo 38. Prohibiciones para los servidores públicos. A los empleados del Estado les está prohibido: […]</w:t>
      </w:r>
    </w:p>
    <w:p w14:paraId="7386C67F" w14:textId="77777777" w:rsidR="00E451D1" w:rsidRPr="00B10300" w:rsidRDefault="00E451D1" w:rsidP="00E451D1">
      <w:pPr>
        <w:pStyle w:val="NormalWeb"/>
        <w:spacing w:after="0"/>
        <w:ind w:firstLine="709"/>
        <w:contextualSpacing/>
        <w:jc w:val="both"/>
        <w:rPr>
          <w:rFonts w:ascii="Verdana" w:hAnsi="Verdana" w:cs="Arial"/>
          <w:sz w:val="14"/>
          <w:szCs w:val="14"/>
          <w:lang w:val="es-MX"/>
        </w:rPr>
      </w:pPr>
      <w:r w:rsidRPr="00B10300">
        <w:rPr>
          <w:rStyle w:val="baj"/>
          <w:rFonts w:ascii="Verdana" w:hAnsi="Verdana" w:cs="Arial"/>
          <w:sz w:val="14"/>
          <w:szCs w:val="14"/>
          <w:lang w:val="es-MX"/>
        </w:rPr>
        <w:t>Parágrafo.</w:t>
      </w:r>
      <w:r w:rsidRPr="00B10300">
        <w:rPr>
          <w:rFonts w:ascii="Verdana" w:hAnsi="Verdana" w:cs="Arial"/>
          <w:sz w:val="14"/>
          <w:szCs w:val="14"/>
          <w:lang w:val="es-MX"/>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B10300">
        <w:rPr>
          <w:rFonts w:ascii="Verdana" w:eastAsia="Calibri" w:hAnsi="Verdana" w:cs="Arial"/>
          <w:color w:val="000000"/>
          <w:sz w:val="14"/>
          <w:szCs w:val="14"/>
        </w:rPr>
        <w:t>”</w:t>
      </w:r>
      <w:r w:rsidRPr="00B10300">
        <w:rPr>
          <w:rFonts w:ascii="Verdana" w:hAnsi="Verdana" w:cs="Arial"/>
          <w:sz w:val="14"/>
          <w:szCs w:val="14"/>
          <w:lang w:val="es-MX"/>
        </w:rPr>
        <w:t>.</w:t>
      </w:r>
    </w:p>
    <w:p w14:paraId="1479E6FB" w14:textId="77777777" w:rsidR="00E451D1" w:rsidRPr="00B10300" w:rsidRDefault="00E451D1" w:rsidP="00E451D1">
      <w:pPr>
        <w:pStyle w:val="NormalWeb"/>
        <w:spacing w:after="0"/>
        <w:ind w:firstLine="709"/>
        <w:contextualSpacing/>
        <w:jc w:val="both"/>
        <w:rPr>
          <w:rFonts w:ascii="Verdana" w:hAnsi="Verdana" w:cs="Arial"/>
          <w:sz w:val="14"/>
          <w:szCs w:val="14"/>
          <w:lang w:val="es-MX"/>
        </w:rPr>
      </w:pPr>
    </w:p>
  </w:footnote>
  <w:footnote w:id="9">
    <w:p w14:paraId="239EF3F1" w14:textId="77777777" w:rsidR="00E451D1" w:rsidRPr="00B10300" w:rsidRDefault="00E451D1" w:rsidP="00E451D1">
      <w:pPr>
        <w:pStyle w:val="NormalWeb"/>
        <w:spacing w:after="0"/>
        <w:ind w:firstLine="709"/>
        <w:contextualSpacing/>
        <w:jc w:val="both"/>
        <w:rPr>
          <w:rFonts w:ascii="Verdana" w:hAnsi="Verdana" w:cs="Arial"/>
          <w:sz w:val="14"/>
          <w:szCs w:val="14"/>
          <w:lang w:val="es-ES"/>
        </w:rPr>
      </w:pPr>
      <w:r w:rsidRPr="00B10300">
        <w:rPr>
          <w:rStyle w:val="Refdenotaalpie"/>
          <w:rFonts w:ascii="Verdana" w:eastAsiaTheme="majorEastAsia" w:hAnsi="Verdana" w:cs="Arial"/>
          <w:sz w:val="14"/>
          <w:szCs w:val="14"/>
        </w:rPr>
        <w:footnoteRef/>
      </w:r>
      <w:r w:rsidRPr="00B10300">
        <w:rPr>
          <w:rFonts w:ascii="Verdana" w:hAnsi="Verdana" w:cs="Arial"/>
          <w:sz w:val="14"/>
          <w:szCs w:val="14"/>
        </w:rPr>
        <w:t xml:space="preserve"> Consejo de Estado. Sala de Consulta y Servicio Civil. Concepto del 17 de febrero de 2015. C.P. William Zambrano Cetina. Radicación No. 11001-03-06-000-2015-00164-00(2269).</w:t>
      </w:r>
    </w:p>
  </w:footnote>
  <w:footnote w:id="10">
    <w:p w14:paraId="24012657" w14:textId="77777777" w:rsidR="00E451D1" w:rsidRPr="00B10300" w:rsidRDefault="00E451D1" w:rsidP="00E451D1">
      <w:pPr>
        <w:pStyle w:val="Textonotapie"/>
        <w:ind w:right="51" w:firstLine="709"/>
        <w:contextualSpacing/>
        <w:jc w:val="both"/>
        <w:rPr>
          <w:rFonts w:ascii="Verdana" w:hAnsi="Verdana" w:cs="Arial"/>
          <w:sz w:val="14"/>
          <w:szCs w:val="14"/>
        </w:rPr>
      </w:pPr>
      <w:r w:rsidRPr="00B10300">
        <w:rPr>
          <w:rStyle w:val="Refdenotaalpie"/>
          <w:rFonts w:ascii="Verdana" w:hAnsi="Verdana" w:cs="Arial"/>
          <w:sz w:val="14"/>
          <w:szCs w:val="14"/>
        </w:rPr>
        <w:footnoteRef/>
      </w:r>
      <w:r w:rsidRPr="00B10300">
        <w:rPr>
          <w:rFonts w:ascii="Verdana" w:hAnsi="Verdana" w:cs="Arial"/>
          <w:sz w:val="14"/>
          <w:szCs w:val="14"/>
        </w:rPr>
        <w:t xml:space="preserve"> “</w:t>
      </w:r>
      <w:r w:rsidRPr="00B10300">
        <w:rPr>
          <w:rFonts w:ascii="Verdana" w:hAnsi="Verdana" w:cs="Arial"/>
          <w:sz w:val="14"/>
          <w:szCs w:val="14"/>
          <w:lang w:val="es-ES"/>
        </w:rPr>
        <w:t xml:space="preserve">[26] </w:t>
      </w:r>
      <w:r w:rsidRPr="00B10300">
        <w:rPr>
          <w:rFonts w:ascii="Verdana" w:hAnsi="Verdana" w:cs="Arial"/>
          <w:sz w:val="14"/>
          <w:szCs w:val="14"/>
        </w:rPr>
        <w:t>Al respecto ver el concepto 1712 de 2 de febrero de 2006. Consejo de Estado Sala de Consulta y Servicio Civil”.</w:t>
      </w:r>
    </w:p>
    <w:p w14:paraId="5B289D83" w14:textId="77777777" w:rsidR="00E451D1" w:rsidRPr="00B10300" w:rsidRDefault="00E451D1" w:rsidP="00E451D1">
      <w:pPr>
        <w:pStyle w:val="Textonotapie"/>
        <w:ind w:right="51" w:firstLine="709"/>
        <w:contextualSpacing/>
        <w:jc w:val="both"/>
        <w:rPr>
          <w:rFonts w:ascii="Verdana" w:hAnsi="Verdana" w:cs="Arial"/>
          <w:sz w:val="14"/>
          <w:szCs w:val="14"/>
        </w:rPr>
      </w:pPr>
    </w:p>
  </w:footnote>
  <w:footnote w:id="11">
    <w:p w14:paraId="402F967D" w14:textId="77777777" w:rsidR="00E451D1" w:rsidRPr="00B10300" w:rsidRDefault="00E451D1" w:rsidP="00E451D1">
      <w:pPr>
        <w:pStyle w:val="Textonotapie"/>
        <w:ind w:firstLine="709"/>
        <w:contextualSpacing/>
        <w:jc w:val="both"/>
        <w:rPr>
          <w:rFonts w:ascii="Verdana" w:hAnsi="Verdana" w:cs="Arial"/>
          <w:sz w:val="14"/>
          <w:szCs w:val="14"/>
        </w:rPr>
      </w:pPr>
      <w:r w:rsidRPr="00B10300">
        <w:rPr>
          <w:rStyle w:val="Refdenotaalpie"/>
          <w:rFonts w:ascii="Verdana" w:hAnsi="Verdana" w:cs="Arial"/>
          <w:sz w:val="14"/>
          <w:szCs w:val="14"/>
        </w:rPr>
        <w:footnoteRef/>
      </w:r>
      <w:r w:rsidRPr="00B10300">
        <w:rPr>
          <w:rFonts w:ascii="Verdana" w:hAnsi="Verdana" w:cs="Arial"/>
          <w:sz w:val="14"/>
          <w:szCs w:val="14"/>
        </w:rPr>
        <w:t xml:space="preserve"> Consejo de Estado. Sala de Consulta y Servicio Civil. Concepto del 2 de septiembre de 2013. Radicación número: 11001-03-06-000-2013-00412-00 (2168). Consejero Ponente: Álvaro </w:t>
      </w:r>
      <w:proofErr w:type="spellStart"/>
      <w:r w:rsidRPr="00B10300">
        <w:rPr>
          <w:rFonts w:ascii="Verdana" w:hAnsi="Verdana" w:cs="Arial"/>
          <w:sz w:val="14"/>
          <w:szCs w:val="14"/>
        </w:rPr>
        <w:t>Namén</w:t>
      </w:r>
      <w:proofErr w:type="spellEnd"/>
      <w:r w:rsidRPr="00B10300">
        <w:rPr>
          <w:rFonts w:ascii="Verdana" w:hAnsi="Verdana" w:cs="Arial"/>
          <w:sz w:val="14"/>
          <w:szCs w:val="14"/>
        </w:rPr>
        <w:t xml:space="preserve"> Vargas.</w:t>
      </w:r>
    </w:p>
    <w:p w14:paraId="7CAD0276" w14:textId="77777777" w:rsidR="00E451D1" w:rsidRPr="00B10300" w:rsidRDefault="00E451D1" w:rsidP="00E451D1">
      <w:pPr>
        <w:pStyle w:val="Textonotapie"/>
        <w:ind w:firstLine="709"/>
        <w:contextualSpacing/>
        <w:jc w:val="both"/>
        <w:rPr>
          <w:rFonts w:ascii="Verdana" w:hAnsi="Verdana" w:cs="Arial"/>
          <w:sz w:val="14"/>
          <w:szCs w:val="14"/>
        </w:rPr>
      </w:pPr>
    </w:p>
  </w:footnote>
  <w:footnote w:id="12">
    <w:p w14:paraId="14446CE5" w14:textId="77777777" w:rsidR="00E451D1" w:rsidRPr="00B10300" w:rsidRDefault="00E451D1" w:rsidP="00E451D1">
      <w:pPr>
        <w:pStyle w:val="Textonotapie"/>
        <w:ind w:firstLine="709"/>
        <w:contextualSpacing/>
        <w:jc w:val="both"/>
        <w:rPr>
          <w:rFonts w:ascii="Verdana" w:hAnsi="Verdana" w:cs="Arial"/>
          <w:sz w:val="14"/>
          <w:szCs w:val="14"/>
          <w:lang w:val="es-ES"/>
        </w:rPr>
      </w:pPr>
      <w:r w:rsidRPr="00B10300">
        <w:rPr>
          <w:rStyle w:val="Refdenotaalpie"/>
          <w:rFonts w:ascii="Verdana" w:hAnsi="Verdana" w:cs="Arial"/>
          <w:sz w:val="14"/>
          <w:szCs w:val="14"/>
        </w:rPr>
        <w:footnoteRef/>
      </w:r>
      <w:r w:rsidRPr="00B10300">
        <w:rPr>
          <w:rFonts w:ascii="Verdana" w:hAnsi="Verdana" w:cs="Arial"/>
          <w:sz w:val="14"/>
          <w:szCs w:val="14"/>
        </w:rPr>
        <w:t xml:space="preserve"> </w:t>
      </w:r>
      <w:r w:rsidRPr="00B10300">
        <w:rPr>
          <w:rFonts w:ascii="Verdana" w:hAnsi="Verdana" w:cs="Arial"/>
          <w:sz w:val="14"/>
          <w:szCs w:val="14"/>
          <w:lang w:val="es-ES"/>
        </w:rPr>
        <w:t xml:space="preserve">Artículo 2. </w:t>
      </w:r>
    </w:p>
    <w:p w14:paraId="201242C4" w14:textId="77777777" w:rsidR="00E451D1" w:rsidRPr="00B10300" w:rsidRDefault="00E451D1" w:rsidP="00E451D1">
      <w:pPr>
        <w:pStyle w:val="Textonotapie"/>
        <w:ind w:firstLine="709"/>
        <w:contextualSpacing/>
        <w:jc w:val="both"/>
        <w:rPr>
          <w:rFonts w:ascii="Verdana" w:hAnsi="Verdana" w:cs="Arial"/>
          <w:sz w:val="14"/>
          <w:szCs w:val="14"/>
          <w:lang w:val="es-ES"/>
        </w:rPr>
      </w:pPr>
    </w:p>
  </w:footnote>
  <w:footnote w:id="13">
    <w:p w14:paraId="77982E2B" w14:textId="77777777" w:rsidR="00E451D1" w:rsidRPr="00B10300" w:rsidRDefault="00E451D1" w:rsidP="00E451D1">
      <w:pPr>
        <w:pStyle w:val="Textonotapie"/>
        <w:ind w:firstLine="709"/>
        <w:contextualSpacing/>
        <w:jc w:val="both"/>
        <w:rPr>
          <w:rFonts w:ascii="Verdana" w:hAnsi="Verdana" w:cs="Arial"/>
          <w:sz w:val="14"/>
          <w:szCs w:val="14"/>
          <w:lang w:val="es-ES"/>
        </w:rPr>
      </w:pPr>
      <w:r w:rsidRPr="00B10300">
        <w:rPr>
          <w:rStyle w:val="Refdenotaalpie"/>
          <w:rFonts w:ascii="Verdana" w:hAnsi="Verdana" w:cs="Arial"/>
          <w:sz w:val="14"/>
          <w:szCs w:val="14"/>
        </w:rPr>
        <w:footnoteRef/>
      </w:r>
      <w:r w:rsidRPr="00B10300">
        <w:rPr>
          <w:rFonts w:ascii="Verdana" w:hAnsi="Verdana" w:cs="Arial"/>
          <w:sz w:val="14"/>
          <w:szCs w:val="14"/>
        </w:rPr>
        <w:t xml:space="preserve"> </w:t>
      </w:r>
      <w:r w:rsidRPr="00B10300">
        <w:rPr>
          <w:rFonts w:ascii="Verdana" w:hAnsi="Verdana" w:cs="Arial"/>
          <w:i/>
          <w:sz w:val="14"/>
          <w:szCs w:val="14"/>
          <w:lang w:val="es-ES"/>
        </w:rPr>
        <w:t>Ídem</w:t>
      </w:r>
      <w:r w:rsidRPr="00B10300">
        <w:rPr>
          <w:rFonts w:ascii="Verdana" w:hAnsi="Verdana" w:cs="Arial"/>
          <w:sz w:val="14"/>
          <w:szCs w:val="14"/>
          <w:lang w:val="es-ES"/>
        </w:rPr>
        <w:t>.</w:t>
      </w:r>
    </w:p>
    <w:p w14:paraId="24302713" w14:textId="77777777" w:rsidR="00E451D1" w:rsidRPr="00B10300" w:rsidRDefault="00E451D1" w:rsidP="00E451D1">
      <w:pPr>
        <w:pStyle w:val="Textonotapie"/>
        <w:ind w:firstLine="709"/>
        <w:contextualSpacing/>
        <w:jc w:val="both"/>
        <w:rPr>
          <w:rFonts w:ascii="Verdana" w:hAnsi="Verdana" w:cs="Arial"/>
          <w:sz w:val="14"/>
          <w:szCs w:val="14"/>
          <w:lang w:val="es-ES"/>
        </w:rPr>
      </w:pPr>
    </w:p>
  </w:footnote>
  <w:footnote w:id="14">
    <w:p w14:paraId="6657DCB1" w14:textId="77777777" w:rsidR="00E451D1" w:rsidRPr="00B10300" w:rsidRDefault="00E451D1" w:rsidP="00E451D1">
      <w:pPr>
        <w:pStyle w:val="Textonotapie"/>
        <w:ind w:firstLine="709"/>
        <w:contextualSpacing/>
        <w:jc w:val="both"/>
        <w:rPr>
          <w:rFonts w:ascii="Verdana" w:hAnsi="Verdana" w:cs="Arial"/>
          <w:sz w:val="14"/>
          <w:szCs w:val="14"/>
        </w:rPr>
      </w:pPr>
      <w:r w:rsidRPr="00B10300">
        <w:rPr>
          <w:rStyle w:val="Refdenotaalpie"/>
          <w:rFonts w:ascii="Verdana" w:hAnsi="Verdana" w:cs="Arial"/>
          <w:sz w:val="14"/>
          <w:szCs w:val="14"/>
        </w:rPr>
        <w:footnoteRef/>
      </w:r>
      <w:r w:rsidRPr="00B10300">
        <w:rPr>
          <w:rFonts w:ascii="Verdana" w:hAnsi="Verdana" w:cs="Arial"/>
          <w:sz w:val="14"/>
          <w:szCs w:val="14"/>
        </w:rPr>
        <w:t xml:space="preserve"> Consejo de Estado. Sala de Consulta y Servicio Civil. Concepto del 08 de mayo de 2018. </w:t>
      </w:r>
      <w:proofErr w:type="spellStart"/>
      <w:r w:rsidRPr="00B10300">
        <w:rPr>
          <w:rFonts w:ascii="Verdana" w:hAnsi="Verdana" w:cs="Arial"/>
          <w:sz w:val="14"/>
          <w:szCs w:val="14"/>
        </w:rPr>
        <w:t>Exp</w:t>
      </w:r>
      <w:proofErr w:type="spellEnd"/>
      <w:r w:rsidRPr="00B10300">
        <w:rPr>
          <w:rFonts w:ascii="Verdana" w:hAnsi="Verdana" w:cs="Arial"/>
          <w:sz w:val="14"/>
          <w:szCs w:val="14"/>
        </w:rPr>
        <w:t xml:space="preserve">. 2.382. C.P. Álvaro </w:t>
      </w:r>
      <w:proofErr w:type="spellStart"/>
      <w:r w:rsidRPr="00B10300">
        <w:rPr>
          <w:rFonts w:ascii="Verdana" w:hAnsi="Verdana" w:cs="Arial"/>
          <w:sz w:val="14"/>
          <w:szCs w:val="14"/>
        </w:rPr>
        <w:t>Namén</w:t>
      </w:r>
      <w:proofErr w:type="spellEnd"/>
      <w:r w:rsidRPr="00B10300">
        <w:rPr>
          <w:rFonts w:ascii="Verdana" w:hAnsi="Verdana" w:cs="Arial"/>
          <w:sz w:val="14"/>
          <w:szCs w:val="14"/>
        </w:rPr>
        <w:t xml:space="preserve"> Vargas.</w:t>
      </w:r>
    </w:p>
    <w:p w14:paraId="53BA5581" w14:textId="77777777" w:rsidR="00E451D1" w:rsidRPr="00B10300" w:rsidRDefault="00E451D1" w:rsidP="00E451D1">
      <w:pPr>
        <w:pStyle w:val="Textonotapie"/>
        <w:ind w:firstLine="709"/>
        <w:contextualSpacing/>
        <w:jc w:val="both"/>
        <w:rPr>
          <w:rFonts w:ascii="Verdana" w:hAnsi="Verdana" w:cs="Arial"/>
          <w:sz w:val="14"/>
          <w:szCs w:val="14"/>
        </w:rPr>
      </w:pPr>
    </w:p>
  </w:footnote>
  <w:footnote w:id="15">
    <w:p w14:paraId="2E6F2296" w14:textId="77777777" w:rsidR="00E451D1" w:rsidRPr="00B10300" w:rsidRDefault="00E451D1" w:rsidP="00E451D1">
      <w:pPr>
        <w:pStyle w:val="Textonotapie"/>
        <w:ind w:firstLine="708"/>
        <w:contextualSpacing/>
        <w:jc w:val="both"/>
        <w:rPr>
          <w:rFonts w:ascii="Verdana" w:hAnsi="Verdana"/>
          <w:sz w:val="14"/>
          <w:szCs w:val="14"/>
          <w:lang w:val="es-CO"/>
        </w:rPr>
      </w:pPr>
      <w:r w:rsidRPr="00B10300">
        <w:rPr>
          <w:rStyle w:val="Refdenotaalpie"/>
          <w:rFonts w:ascii="Verdana" w:hAnsi="Verdana"/>
          <w:sz w:val="14"/>
          <w:szCs w:val="14"/>
        </w:rPr>
        <w:footnoteRef/>
      </w:r>
      <w:r w:rsidRPr="00B10300">
        <w:rPr>
          <w:rFonts w:ascii="Verdana" w:hAnsi="Verdana"/>
          <w:sz w:val="14"/>
          <w:szCs w:val="14"/>
        </w:rPr>
        <w:t xml:space="preserve"> </w:t>
      </w:r>
      <w:r w:rsidRPr="00B10300">
        <w:rPr>
          <w:rFonts w:ascii="Verdana" w:hAnsi="Verdana" w:cs="Arial"/>
          <w:sz w:val="14"/>
          <w:szCs w:val="14"/>
          <w:lang w:val="es-ES"/>
        </w:rPr>
        <w:t xml:space="preserve">Consejo de Estado, Sala de Consulta y Servicio Civil, Concepto de fecha 8 de mayo de 2018, No. </w:t>
      </w:r>
      <w:r w:rsidRPr="00B10300">
        <w:rPr>
          <w:rFonts w:ascii="Verdana" w:hAnsi="Verdana"/>
          <w:sz w:val="14"/>
          <w:szCs w:val="14"/>
          <w:lang w:val="es-CO"/>
        </w:rPr>
        <w:t>2382.</w:t>
      </w:r>
      <w:r w:rsidRPr="00B10300">
        <w:rPr>
          <w:rFonts w:ascii="Verdana" w:hAnsi="Verdana"/>
          <w:sz w:val="14"/>
          <w:szCs w:val="14"/>
        </w:rPr>
        <w:t xml:space="preserve"> </w:t>
      </w:r>
      <w:r w:rsidRPr="00B10300">
        <w:rPr>
          <w:rFonts w:ascii="Verdana" w:hAnsi="Verdana"/>
          <w:sz w:val="14"/>
          <w:szCs w:val="14"/>
          <w:lang w:val="es-CO"/>
        </w:rPr>
        <w:t xml:space="preserve">C. P. Álvaro </w:t>
      </w:r>
      <w:proofErr w:type="spellStart"/>
      <w:r w:rsidRPr="00B10300">
        <w:rPr>
          <w:rFonts w:ascii="Verdana" w:hAnsi="Verdana"/>
          <w:sz w:val="14"/>
          <w:szCs w:val="14"/>
          <w:lang w:val="es-CO"/>
        </w:rPr>
        <w:t>Namén</w:t>
      </w:r>
      <w:proofErr w:type="spellEnd"/>
      <w:r w:rsidRPr="00B10300">
        <w:rPr>
          <w:rFonts w:ascii="Verdana" w:hAnsi="Verdana"/>
          <w:sz w:val="14"/>
          <w:szCs w:val="14"/>
          <w:lang w:val="es-CO"/>
        </w:rPr>
        <w:t xml:space="preserve"> Vargas.</w:t>
      </w:r>
    </w:p>
    <w:p w14:paraId="788E9D78" w14:textId="77777777" w:rsidR="00E451D1" w:rsidRPr="00B10300" w:rsidRDefault="00E451D1" w:rsidP="00E451D1">
      <w:pPr>
        <w:pStyle w:val="Textonotapie"/>
        <w:ind w:firstLine="708"/>
        <w:contextualSpacing/>
        <w:jc w:val="both"/>
        <w:rPr>
          <w:rFonts w:ascii="Verdana" w:hAnsi="Verdana"/>
          <w:sz w:val="14"/>
          <w:szCs w:val="14"/>
          <w:lang w:val="es-ES"/>
        </w:rPr>
      </w:pPr>
    </w:p>
  </w:footnote>
  <w:footnote w:id="16">
    <w:p w14:paraId="123C01A7" w14:textId="77777777" w:rsidR="00E451D1" w:rsidRPr="00B10300" w:rsidRDefault="00E451D1" w:rsidP="00E451D1">
      <w:pPr>
        <w:spacing w:after="0" w:line="240" w:lineRule="auto"/>
        <w:ind w:firstLine="709"/>
        <w:contextualSpacing/>
        <w:jc w:val="both"/>
        <w:rPr>
          <w:rFonts w:ascii="Verdana" w:hAnsi="Verdana" w:cs="Arial"/>
          <w:color w:val="000000" w:themeColor="text1"/>
          <w:sz w:val="14"/>
          <w:szCs w:val="14"/>
        </w:rPr>
      </w:pPr>
      <w:r w:rsidRPr="00B10300">
        <w:rPr>
          <w:rStyle w:val="Refdenotaalpie"/>
          <w:rFonts w:ascii="Verdana" w:hAnsi="Verdana" w:cs="Arial"/>
          <w:color w:val="000000" w:themeColor="text1"/>
          <w:sz w:val="14"/>
          <w:szCs w:val="14"/>
        </w:rPr>
        <w:footnoteRef/>
      </w:r>
      <w:r w:rsidRPr="00B10300">
        <w:rPr>
          <w:rFonts w:ascii="Verdana" w:hAnsi="Verdana" w:cs="Arial"/>
          <w:color w:val="000000" w:themeColor="text1"/>
          <w:sz w:val="14"/>
          <w:szCs w:val="14"/>
        </w:rPr>
        <w:t xml:space="preserve"> Consejo de Estado. Sala de Consulta y Servicio Civil. Concepto de 20 de febrero de 2006. Radicación Número: 11001-03-06-000-2006-00026-00(1727). Consejero Ponente: Enrique José Arboleda Perdomo. Conceptuó que para las entidades que contratan por el derecho privado, estaba prohibida la contratación diferente de la licitación pública regulada por el código de comercio, criterio que luego se extendió para aquellos procesos que, en algunos sistemas de contratación utilizados por entidades públicas con regímenes especiales y establecidos en sus manuales de contratación, utilicen convocatoria de manera pública y se permita la participación de una pluralidad de oferentes.</w:t>
      </w:r>
    </w:p>
    <w:p w14:paraId="23181D4A" w14:textId="77777777" w:rsidR="00E451D1" w:rsidRPr="00B10300" w:rsidRDefault="00E451D1" w:rsidP="00E451D1">
      <w:pPr>
        <w:spacing w:after="0" w:line="240" w:lineRule="auto"/>
        <w:ind w:firstLine="709"/>
        <w:contextualSpacing/>
        <w:jc w:val="both"/>
        <w:rPr>
          <w:rFonts w:ascii="Verdana" w:hAnsi="Verdana" w:cs="Arial"/>
          <w:color w:val="000000" w:themeColor="text1"/>
          <w:sz w:val="14"/>
          <w:szCs w:val="14"/>
        </w:rPr>
      </w:pPr>
    </w:p>
  </w:footnote>
  <w:footnote w:id="17">
    <w:p w14:paraId="6F286D82" w14:textId="77777777" w:rsidR="00E451D1" w:rsidRPr="00B10300" w:rsidRDefault="00E451D1" w:rsidP="00E451D1">
      <w:pPr>
        <w:pStyle w:val="Textonotapie"/>
        <w:ind w:firstLine="708"/>
        <w:contextualSpacing/>
        <w:jc w:val="both"/>
        <w:rPr>
          <w:rFonts w:ascii="Verdana" w:hAnsi="Verdana" w:cs="Arial"/>
          <w:color w:val="000000" w:themeColor="text1"/>
          <w:sz w:val="14"/>
          <w:szCs w:val="14"/>
        </w:rPr>
      </w:pPr>
      <w:r w:rsidRPr="00B10300">
        <w:rPr>
          <w:rStyle w:val="Refdenotaalpie"/>
          <w:rFonts w:ascii="Verdana" w:hAnsi="Verdana" w:cs="Arial"/>
          <w:color w:val="000000" w:themeColor="text1"/>
          <w:sz w:val="14"/>
          <w:szCs w:val="14"/>
        </w:rPr>
        <w:footnoteRef/>
      </w:r>
      <w:r w:rsidRPr="00B10300">
        <w:rPr>
          <w:rFonts w:ascii="Verdana" w:hAnsi="Verdana" w:cs="Arial"/>
          <w:color w:val="000000" w:themeColor="text1"/>
          <w:sz w:val="14"/>
          <w:szCs w:val="14"/>
        </w:rPr>
        <w:t xml:space="preserve"> CONSEJO DE ESTADO. Sala de Consulta y Servicio Civil. Concepto del 18 de febrero 2010. Rad. 11001-03-06-000-2010-00006-00 (1985). C.P. Enrique José Arboleda Perdomo.</w:t>
      </w:r>
    </w:p>
    <w:p w14:paraId="7CFDF4F5" w14:textId="77777777" w:rsidR="00E451D1" w:rsidRPr="00B10300" w:rsidRDefault="00E451D1" w:rsidP="00E451D1">
      <w:pPr>
        <w:pStyle w:val="Textonotapie"/>
        <w:ind w:firstLine="708"/>
        <w:contextualSpacing/>
        <w:jc w:val="both"/>
        <w:rPr>
          <w:rFonts w:ascii="Verdana" w:hAnsi="Verdana" w:cs="Arial"/>
          <w:color w:val="000000" w:themeColor="text1"/>
          <w:sz w:val="14"/>
          <w:szCs w:val="14"/>
        </w:rPr>
      </w:pPr>
    </w:p>
  </w:footnote>
  <w:footnote w:id="18">
    <w:p w14:paraId="35AB4807" w14:textId="77777777" w:rsidR="00E451D1" w:rsidRPr="00B10300" w:rsidRDefault="00E451D1" w:rsidP="00E451D1">
      <w:pPr>
        <w:pStyle w:val="Textonotapie"/>
        <w:ind w:firstLine="708"/>
        <w:contextualSpacing/>
        <w:jc w:val="both"/>
        <w:rPr>
          <w:rFonts w:ascii="Verdana" w:hAnsi="Verdana" w:cs="Arial"/>
          <w:color w:val="000000" w:themeColor="text1"/>
          <w:sz w:val="14"/>
          <w:szCs w:val="14"/>
        </w:rPr>
      </w:pPr>
      <w:r w:rsidRPr="00B10300">
        <w:rPr>
          <w:rStyle w:val="Refdenotaalpie"/>
          <w:rFonts w:ascii="Verdana" w:hAnsi="Verdana" w:cs="Arial"/>
          <w:color w:val="000000" w:themeColor="text1"/>
          <w:sz w:val="14"/>
          <w:szCs w:val="14"/>
        </w:rPr>
        <w:footnoteRef/>
      </w:r>
      <w:r w:rsidRPr="00B10300">
        <w:rPr>
          <w:rFonts w:ascii="Verdana" w:hAnsi="Verdana" w:cs="Arial"/>
          <w:color w:val="000000" w:themeColor="text1"/>
          <w:sz w:val="14"/>
          <w:szCs w:val="14"/>
        </w:rPr>
        <w:t xml:space="preserve"> Consejo de Estado. Sala de Consulta y Servicio Civil. Concepto del 02 de septiembre de 2013. Rad. 11001-03-06-000-2013-00412-00 (2168). C.P. Álvaro </w:t>
      </w:r>
      <w:proofErr w:type="spellStart"/>
      <w:r w:rsidRPr="00B10300">
        <w:rPr>
          <w:rFonts w:ascii="Verdana" w:hAnsi="Verdana" w:cs="Arial"/>
          <w:color w:val="000000" w:themeColor="text1"/>
          <w:sz w:val="14"/>
          <w:szCs w:val="14"/>
        </w:rPr>
        <w:t>Namén</w:t>
      </w:r>
      <w:proofErr w:type="spellEnd"/>
      <w:r w:rsidRPr="00B10300">
        <w:rPr>
          <w:rFonts w:ascii="Verdana" w:hAnsi="Verdana" w:cs="Arial"/>
          <w:color w:val="000000" w:themeColor="text1"/>
          <w:sz w:val="14"/>
          <w:szCs w:val="14"/>
        </w:rPr>
        <w:t xml:space="preserve"> Vargas.</w:t>
      </w:r>
    </w:p>
  </w:footnote>
  <w:footnote w:id="19">
    <w:p w14:paraId="06F6F31D" w14:textId="77777777" w:rsidR="00E451D1" w:rsidRPr="00B10300" w:rsidRDefault="00E451D1" w:rsidP="00E451D1">
      <w:pPr>
        <w:pStyle w:val="Textonotapie"/>
        <w:ind w:firstLine="709"/>
        <w:jc w:val="both"/>
        <w:rPr>
          <w:rFonts w:ascii="Verdana" w:hAnsi="Verdana" w:cs="Arial"/>
          <w:bCs/>
          <w:iCs/>
          <w:sz w:val="14"/>
          <w:szCs w:val="14"/>
        </w:rPr>
      </w:pPr>
      <w:r w:rsidRPr="00B10300">
        <w:rPr>
          <w:rStyle w:val="Refdenotaalpie"/>
          <w:rFonts w:ascii="Verdana" w:hAnsi="Verdana"/>
          <w:sz w:val="14"/>
          <w:szCs w:val="14"/>
        </w:rPr>
        <w:footnoteRef/>
      </w:r>
      <w:r w:rsidRPr="00B10300">
        <w:rPr>
          <w:rFonts w:ascii="Verdana" w:hAnsi="Verdana"/>
          <w:sz w:val="14"/>
          <w:szCs w:val="14"/>
        </w:rPr>
        <w:t xml:space="preserve"> </w:t>
      </w:r>
      <w:r w:rsidRPr="00B10300">
        <w:rPr>
          <w:rFonts w:ascii="Verdana" w:hAnsi="Verdana" w:cs="Arial"/>
          <w:sz w:val="14"/>
          <w:szCs w:val="14"/>
        </w:rPr>
        <w:t xml:space="preserve">Consejo de Estado -Sección Tercera-. Sentencia del </w:t>
      </w:r>
      <w:r w:rsidRPr="00B10300">
        <w:rPr>
          <w:rFonts w:ascii="Verdana" w:hAnsi="Verdana" w:cs="Arial"/>
          <w:bCs/>
          <w:iCs/>
          <w:sz w:val="14"/>
          <w:szCs w:val="14"/>
        </w:rPr>
        <w:t>21 de febrero de 2025. Radicación Número: 68.280. CP: José Roberto Sáchica Méndez.</w:t>
      </w:r>
    </w:p>
    <w:p w14:paraId="4AD94659" w14:textId="77777777" w:rsidR="00E451D1" w:rsidRPr="00B10300" w:rsidRDefault="00E451D1" w:rsidP="00E451D1">
      <w:pPr>
        <w:pStyle w:val="Textonotapie"/>
        <w:ind w:firstLine="709"/>
        <w:jc w:val="both"/>
        <w:rPr>
          <w:rFonts w:ascii="Verdana" w:hAnsi="Verdana"/>
          <w:sz w:val="14"/>
          <w:szCs w:val="14"/>
          <w:lang w:val="es-CO"/>
        </w:rPr>
      </w:pPr>
    </w:p>
  </w:footnote>
  <w:footnote w:id="20">
    <w:p w14:paraId="0C6CA19F" w14:textId="77777777" w:rsidR="00E451D1" w:rsidRPr="00B10300" w:rsidRDefault="00E451D1" w:rsidP="00E451D1">
      <w:pPr>
        <w:pStyle w:val="Textonotapie"/>
        <w:ind w:firstLine="708"/>
        <w:jc w:val="both"/>
        <w:rPr>
          <w:rFonts w:ascii="Verdana" w:hAnsi="Verdana" w:cs="Arial"/>
          <w:sz w:val="14"/>
          <w:szCs w:val="14"/>
        </w:rPr>
      </w:pPr>
      <w:r w:rsidRPr="00B10300">
        <w:rPr>
          <w:rFonts w:ascii="Verdana" w:hAnsi="Verdana"/>
          <w:sz w:val="14"/>
          <w:szCs w:val="14"/>
          <w:vertAlign w:val="superscript"/>
        </w:rPr>
        <w:footnoteRef/>
      </w:r>
      <w:r w:rsidRPr="00B10300">
        <w:rPr>
          <w:rFonts w:ascii="Verdana" w:hAnsi="Verdana"/>
          <w:sz w:val="14"/>
          <w:szCs w:val="14"/>
          <w:vertAlign w:val="superscript"/>
        </w:rPr>
        <w:t xml:space="preserve"> </w:t>
      </w:r>
      <w:r w:rsidRPr="00B10300">
        <w:rPr>
          <w:rFonts w:ascii="Verdana" w:hAnsi="Verdana" w:cs="Arial"/>
          <w:sz w:val="14"/>
          <w:szCs w:val="14"/>
        </w:rPr>
        <w:t>Ley 1150 de 2007: Artículo 2, numeral 4, literal c. […] Se exceptúan los contratos de obra, suministro, prestación de servicios de evaluación de conformidad respecto de las normas o reglamentos técnicos, encargos fiduciarios y fiducia pública cuando las instituciones de educación superior públicas o las Sociedades de Economía Mixta con participación mayoritaria del Estado, o las personas jurídicas sin ánimo de lucro conformadas por la asociación de entidades públicas, o las federaciones de entidades territoriales sean las ejecutoras. Estos contratos podrán ser ejecutados por las mismas, siempre que participen en procesos de licitación pública o contratación abreviada de acuerdo con lo dispuesto por los numerales 1 y 2 del presente artículo.</w:t>
      </w:r>
    </w:p>
    <w:p w14:paraId="3E8109B5" w14:textId="77777777" w:rsidR="00E451D1" w:rsidRPr="00B10300" w:rsidRDefault="00E451D1" w:rsidP="00E451D1">
      <w:pPr>
        <w:pStyle w:val="Textonotapie"/>
        <w:ind w:firstLine="708"/>
        <w:jc w:val="both"/>
        <w:rPr>
          <w:rFonts w:ascii="Verdana" w:hAnsi="Verdana" w:cs="Arial"/>
          <w:sz w:val="14"/>
          <w:szCs w:val="14"/>
        </w:rPr>
      </w:pPr>
    </w:p>
  </w:footnote>
  <w:footnote w:id="21">
    <w:p w14:paraId="775E4063" w14:textId="77777777" w:rsidR="00E451D1" w:rsidRPr="00B10300" w:rsidRDefault="00E451D1" w:rsidP="00E451D1">
      <w:pPr>
        <w:pStyle w:val="Textonotapie"/>
        <w:ind w:firstLine="708"/>
        <w:jc w:val="both"/>
        <w:rPr>
          <w:rFonts w:ascii="Verdana" w:hAnsi="Verdana" w:cs="Arial"/>
          <w:sz w:val="14"/>
          <w:szCs w:val="14"/>
        </w:rPr>
      </w:pPr>
      <w:r w:rsidRPr="00B10300">
        <w:rPr>
          <w:rFonts w:ascii="Verdana" w:hAnsi="Verdana"/>
          <w:sz w:val="14"/>
          <w:szCs w:val="14"/>
          <w:vertAlign w:val="superscript"/>
        </w:rPr>
        <w:footnoteRef/>
      </w:r>
      <w:r w:rsidRPr="00B10300">
        <w:rPr>
          <w:rFonts w:ascii="Verdana" w:hAnsi="Verdana" w:cs="Arial"/>
          <w:sz w:val="14"/>
          <w:szCs w:val="14"/>
          <w:vertAlign w:val="superscript"/>
        </w:rPr>
        <w:t xml:space="preserve"> </w:t>
      </w:r>
      <w:r w:rsidRPr="00B10300">
        <w:rPr>
          <w:rFonts w:ascii="Verdana" w:hAnsi="Verdana" w:cs="Arial"/>
          <w:sz w:val="14"/>
          <w:szCs w:val="14"/>
        </w:rPr>
        <w:t>Ley 80 de 1993: Artículo 41. Del perfeccionamiento del contrato. Los contratos del Estado se perfeccionan cuando se logre acuerdo sobre el objeto y la contraprestación y éste se eleve a escrito.</w:t>
      </w:r>
    </w:p>
    <w:p w14:paraId="75D91BC9" w14:textId="77777777" w:rsidR="00E451D1" w:rsidRPr="00B10300" w:rsidRDefault="00E451D1" w:rsidP="00E451D1">
      <w:pPr>
        <w:pStyle w:val="Textonotapie"/>
        <w:ind w:firstLine="708"/>
        <w:jc w:val="both"/>
        <w:rPr>
          <w:rFonts w:ascii="Verdana" w:hAnsi="Verdana" w:cs="Arial"/>
          <w:sz w:val="14"/>
          <w:szCs w:val="14"/>
        </w:rPr>
      </w:pPr>
      <w:r w:rsidRPr="00B10300">
        <w:rPr>
          <w:rFonts w:ascii="Verdana" w:hAnsi="Verdana" w:cs="Arial"/>
          <w:sz w:val="14"/>
          <w:szCs w:val="14"/>
        </w:rPr>
        <w:t>[…].</w:t>
      </w:r>
    </w:p>
    <w:p w14:paraId="250BD7BF" w14:textId="77777777" w:rsidR="00E451D1" w:rsidRPr="00B10300" w:rsidRDefault="00E451D1" w:rsidP="00E451D1">
      <w:pPr>
        <w:pStyle w:val="Textonotapie"/>
        <w:ind w:firstLine="708"/>
        <w:jc w:val="both"/>
        <w:rPr>
          <w:rFonts w:ascii="Verdana" w:hAnsi="Verdana" w:cs="Arial"/>
          <w:sz w:val="14"/>
          <w:szCs w:val="14"/>
        </w:rPr>
      </w:pPr>
    </w:p>
  </w:footnote>
  <w:footnote w:id="22">
    <w:p w14:paraId="52607940" w14:textId="77777777" w:rsidR="00E451D1" w:rsidRPr="00B10300" w:rsidRDefault="00E451D1" w:rsidP="00E451D1">
      <w:pPr>
        <w:pStyle w:val="Textonotapie"/>
        <w:ind w:firstLine="708"/>
        <w:jc w:val="both"/>
        <w:rPr>
          <w:rFonts w:ascii="Verdana" w:hAnsi="Verdana" w:cs="Arial"/>
          <w:sz w:val="14"/>
          <w:szCs w:val="14"/>
        </w:rPr>
      </w:pPr>
      <w:r w:rsidRPr="00B10300">
        <w:rPr>
          <w:rFonts w:ascii="Verdana" w:hAnsi="Verdana"/>
          <w:sz w:val="14"/>
          <w:szCs w:val="14"/>
          <w:vertAlign w:val="superscript"/>
        </w:rPr>
        <w:footnoteRef/>
      </w:r>
      <w:r w:rsidRPr="00B10300">
        <w:rPr>
          <w:rFonts w:ascii="Verdana" w:hAnsi="Verdana" w:cs="Arial"/>
          <w:sz w:val="14"/>
          <w:szCs w:val="14"/>
          <w:vertAlign w:val="superscript"/>
        </w:rPr>
        <w:t xml:space="preserve"> </w:t>
      </w:r>
      <w:r w:rsidRPr="00B10300">
        <w:rPr>
          <w:rFonts w:ascii="Verdana" w:hAnsi="Verdana" w:cs="Arial"/>
          <w:sz w:val="14"/>
          <w:szCs w:val="14"/>
        </w:rPr>
        <w:t>Código Civil: “Artículo 27. Cuando el sentido de la ley sea claro, no se desatenderá su tenor a pretexto de consultar su espíritu”.</w:t>
      </w:r>
    </w:p>
  </w:footnote>
  <w:footnote w:id="23">
    <w:p w14:paraId="5A18754C" w14:textId="77777777" w:rsidR="00E451D1" w:rsidRPr="00B10300" w:rsidRDefault="00E451D1" w:rsidP="00E451D1">
      <w:pPr>
        <w:pStyle w:val="Textonotapie"/>
        <w:ind w:firstLine="709"/>
        <w:jc w:val="both"/>
        <w:rPr>
          <w:rFonts w:ascii="Verdana" w:hAnsi="Verdana" w:cs="Arial"/>
          <w:sz w:val="14"/>
          <w:szCs w:val="14"/>
          <w:lang w:val="es-CO"/>
        </w:rPr>
      </w:pPr>
      <w:r w:rsidRPr="00B10300">
        <w:rPr>
          <w:rStyle w:val="Refdenotaalpie"/>
          <w:rFonts w:ascii="Verdana" w:hAnsi="Verdana"/>
          <w:sz w:val="14"/>
          <w:szCs w:val="14"/>
        </w:rPr>
        <w:footnoteRef/>
      </w:r>
      <w:r w:rsidRPr="00B10300">
        <w:rPr>
          <w:rFonts w:ascii="Verdana" w:hAnsi="Verdana"/>
          <w:sz w:val="14"/>
          <w:szCs w:val="14"/>
          <w:lang w:val="es-CO"/>
        </w:rPr>
        <w:t xml:space="preserve"> Consejo de Estado, Sección Tercera. Auto del 4 de octubre de 2024. </w:t>
      </w:r>
      <w:proofErr w:type="spellStart"/>
      <w:r w:rsidRPr="00B10300">
        <w:rPr>
          <w:rFonts w:ascii="Verdana" w:hAnsi="Verdana"/>
          <w:sz w:val="14"/>
          <w:szCs w:val="14"/>
          <w:lang w:val="es-CO"/>
        </w:rPr>
        <w:t>Exp</w:t>
      </w:r>
      <w:proofErr w:type="spellEnd"/>
      <w:r w:rsidRPr="00B10300">
        <w:rPr>
          <w:rFonts w:ascii="Verdana" w:hAnsi="Verdana"/>
          <w:sz w:val="14"/>
          <w:szCs w:val="14"/>
          <w:lang w:val="es-CO"/>
        </w:rPr>
        <w:t>. 70.313. C.P: Fredy Ibarra Martínez</w:t>
      </w:r>
    </w:p>
  </w:footnote>
  <w:footnote w:id="24">
    <w:p w14:paraId="7758D7C5" w14:textId="77777777" w:rsidR="00E451D1" w:rsidRPr="00B10300" w:rsidRDefault="00E451D1" w:rsidP="00E451D1">
      <w:pPr>
        <w:pStyle w:val="Textonotapie"/>
        <w:ind w:firstLine="709"/>
        <w:jc w:val="both"/>
        <w:rPr>
          <w:rFonts w:ascii="Verdana" w:hAnsi="Verdana"/>
          <w:sz w:val="14"/>
          <w:szCs w:val="14"/>
          <w:lang w:val="es-CO"/>
        </w:rPr>
      </w:pPr>
      <w:r w:rsidRPr="00064355">
        <w:rPr>
          <w:rStyle w:val="Refdenotaalpie"/>
          <w:rFonts w:ascii="Verdana" w:hAnsi="Verdana"/>
          <w:sz w:val="14"/>
          <w:szCs w:val="14"/>
        </w:rPr>
        <w:footnoteRef/>
      </w:r>
      <w:r w:rsidRPr="00064355">
        <w:rPr>
          <w:rFonts w:ascii="Verdana" w:hAnsi="Verdana"/>
          <w:sz w:val="14"/>
          <w:szCs w:val="14"/>
        </w:rPr>
        <w:t xml:space="preserve"> L</w:t>
      </w:r>
      <w:r w:rsidRPr="00B10300">
        <w:rPr>
          <w:rFonts w:ascii="Verdana" w:hAnsi="Verdana"/>
          <w:sz w:val="14"/>
          <w:szCs w:val="14"/>
        </w:rPr>
        <w:t>a parte resolutiva del auto dispone lo siguiente; “</w:t>
      </w:r>
      <w:r w:rsidRPr="00B10300">
        <w:rPr>
          <w:rFonts w:ascii="Verdana" w:hAnsi="Verdana"/>
          <w:sz w:val="14"/>
          <w:szCs w:val="14"/>
          <w:lang w:val="es-CO"/>
        </w:rPr>
        <w:t>PRIMERO: DECRETAR</w:t>
      </w:r>
      <w:r w:rsidRPr="00B10300">
        <w:rPr>
          <w:rFonts w:ascii="Verdana" w:hAnsi="Verdana"/>
          <w:b/>
          <w:bCs/>
          <w:sz w:val="14"/>
          <w:szCs w:val="14"/>
          <w:lang w:val="es-CO"/>
        </w:rPr>
        <w:t xml:space="preserve"> </w:t>
      </w:r>
      <w:r w:rsidRPr="00B10300">
        <w:rPr>
          <w:rFonts w:ascii="Verdana" w:hAnsi="Verdana"/>
          <w:sz w:val="14"/>
          <w:szCs w:val="14"/>
          <w:lang w:val="es-CO"/>
        </w:rPr>
        <w:t xml:space="preserve">la suspensión provisional de los apartes cuestionados del inciso segundo del numeral 16.2 de la Circular Externa única, versión 3 del 27 de diciembre de 2023, expedida por la Agencia Nacional de Contratación Pública – Colombia Compra Eficiente, según el cual </w:t>
      </w:r>
      <w:r w:rsidRPr="00B10300">
        <w:rPr>
          <w:rFonts w:ascii="Verdana" w:hAnsi="Verdana"/>
          <w:i/>
          <w:iCs/>
          <w:sz w:val="14"/>
          <w:szCs w:val="14"/>
          <w:lang w:val="es-CO"/>
        </w:rPr>
        <w:t>“[e]</w:t>
      </w:r>
      <w:proofErr w:type="spellStart"/>
      <w:r w:rsidRPr="00B10300">
        <w:rPr>
          <w:rFonts w:ascii="Verdana" w:hAnsi="Verdana"/>
          <w:i/>
          <w:iCs/>
          <w:sz w:val="14"/>
          <w:szCs w:val="14"/>
          <w:lang w:val="es-CO"/>
        </w:rPr>
        <w:t>sta</w:t>
      </w:r>
      <w:proofErr w:type="spellEnd"/>
      <w:r w:rsidRPr="00B10300">
        <w:rPr>
          <w:rFonts w:ascii="Verdana" w:hAnsi="Verdana"/>
          <w:i/>
          <w:iCs/>
          <w:sz w:val="14"/>
          <w:szCs w:val="14"/>
          <w:lang w:val="es-CO"/>
        </w:rPr>
        <w:t xml:space="preserve"> restricción es aplicable (…)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w:t>
      </w:r>
      <w:r w:rsidRPr="00B10300">
        <w:rPr>
          <w:rFonts w:ascii="Verdana" w:hAnsi="Verdana"/>
          <w:sz w:val="14"/>
          <w:szCs w:val="14"/>
          <w:lang w:val="es-CO"/>
        </w:rPr>
        <w:t xml:space="preserve">, por las razones expuestas en precedencia. </w:t>
      </w:r>
    </w:p>
    <w:p w14:paraId="265AA7BD" w14:textId="77777777" w:rsidR="00E451D1" w:rsidRPr="00B10300" w:rsidRDefault="00E451D1" w:rsidP="00E451D1">
      <w:pPr>
        <w:pStyle w:val="Textonotapie"/>
        <w:ind w:firstLine="709"/>
        <w:jc w:val="both"/>
        <w:rPr>
          <w:rFonts w:ascii="Verdana" w:hAnsi="Verdana"/>
          <w:sz w:val="14"/>
          <w:szCs w:val="14"/>
          <w:lang w:val="es-CO"/>
        </w:rPr>
      </w:pPr>
      <w:r w:rsidRPr="00B10300">
        <w:rPr>
          <w:rFonts w:ascii="Verdana" w:hAnsi="Verdana"/>
          <w:sz w:val="14"/>
          <w:szCs w:val="14"/>
          <w:lang w:val="es-CO"/>
        </w:rPr>
        <w:t>SEGUNDO: DECRETAR</w:t>
      </w:r>
      <w:r w:rsidRPr="00B10300">
        <w:rPr>
          <w:rFonts w:ascii="Verdana" w:hAnsi="Verdana"/>
          <w:b/>
          <w:bCs/>
          <w:sz w:val="14"/>
          <w:szCs w:val="14"/>
          <w:lang w:val="es-CO"/>
        </w:rPr>
        <w:t xml:space="preserve"> </w:t>
      </w:r>
      <w:r w:rsidRPr="00B10300">
        <w:rPr>
          <w:rFonts w:ascii="Verdana" w:hAnsi="Verdana"/>
          <w:sz w:val="14"/>
          <w:szCs w:val="14"/>
          <w:lang w:val="es-CO"/>
        </w:rPr>
        <w:t>la suspensión provisional de la expresión “</w:t>
      </w:r>
      <w:r w:rsidRPr="00B10300">
        <w:rPr>
          <w:rFonts w:ascii="Verdana" w:hAnsi="Verdana"/>
          <w:i/>
          <w:iCs/>
          <w:sz w:val="14"/>
          <w:szCs w:val="14"/>
          <w:lang w:val="es-CO"/>
        </w:rPr>
        <w:t>contratos</w:t>
      </w:r>
      <w:r w:rsidRPr="00B10300">
        <w:rPr>
          <w:rFonts w:ascii="Verdana" w:hAnsi="Verdana"/>
          <w:sz w:val="14"/>
          <w:szCs w:val="14"/>
          <w:lang w:val="es-CO"/>
        </w:rPr>
        <w:t xml:space="preserve">” y del párrafo </w:t>
      </w:r>
      <w:r w:rsidRPr="00B10300">
        <w:rPr>
          <w:rFonts w:ascii="Verdana" w:hAnsi="Verdana"/>
          <w:i/>
          <w:iCs/>
          <w:sz w:val="14"/>
          <w:szCs w:val="14"/>
          <w:lang w:val="es-CO"/>
        </w:rPr>
        <w:t>“[e]n este sentido, la prohibición que establece el parágrafo del artículo 38 de la Ley de Garantías consiste en evitar que los recursos del Estado se ejecuten para lograr apoyos indebidos mediante la suscripción de contratos (…) que, para efectos de la Ley de Garantías, tienen la misma connotación y propósito</w:t>
      </w:r>
      <w:r w:rsidRPr="00B10300">
        <w:rPr>
          <w:rFonts w:ascii="Verdana" w:hAnsi="Verdana"/>
          <w:sz w:val="14"/>
          <w:szCs w:val="14"/>
          <w:lang w:val="es-CO"/>
        </w:rPr>
        <w:t xml:space="preserve">”, contenidos en el inciso cuarto del numeral 16.2 de la Circular Externa única, versión 3 del 27 de diciembre de 2023, expedida por la Agencia Nacional de Contratación Pública – Colombia Compra Eficiente, por las razones expuestas de manera precedente”. Consejo de Estado, Sección Tercera. Auto del 6 de noviembre de 2025. </w:t>
      </w:r>
      <w:proofErr w:type="spellStart"/>
      <w:r w:rsidRPr="00B10300">
        <w:rPr>
          <w:rFonts w:ascii="Verdana" w:hAnsi="Verdana"/>
          <w:sz w:val="14"/>
          <w:szCs w:val="14"/>
          <w:lang w:val="es-CO"/>
        </w:rPr>
        <w:t>Exp</w:t>
      </w:r>
      <w:proofErr w:type="spellEnd"/>
      <w:r w:rsidRPr="00B10300">
        <w:rPr>
          <w:rFonts w:ascii="Verdana" w:hAnsi="Verdana"/>
          <w:sz w:val="14"/>
          <w:szCs w:val="14"/>
          <w:lang w:val="es-CO"/>
        </w:rPr>
        <w:t xml:space="preserve">. 72.424. C.P: Fernando </w:t>
      </w:r>
      <w:proofErr w:type="spellStart"/>
      <w:r w:rsidRPr="00B10300">
        <w:rPr>
          <w:rFonts w:ascii="Verdana" w:hAnsi="Verdana"/>
          <w:sz w:val="14"/>
          <w:szCs w:val="14"/>
          <w:lang w:val="es-CO"/>
        </w:rPr>
        <w:t>Alexei</w:t>
      </w:r>
      <w:proofErr w:type="spellEnd"/>
      <w:r w:rsidRPr="00B10300">
        <w:rPr>
          <w:rFonts w:ascii="Verdana" w:hAnsi="Verdana"/>
          <w:sz w:val="14"/>
          <w:szCs w:val="14"/>
          <w:lang w:val="es-CO"/>
        </w:rPr>
        <w:t xml:space="preserve"> Pardo </w:t>
      </w:r>
      <w:proofErr w:type="spellStart"/>
      <w:r w:rsidRPr="00B10300">
        <w:rPr>
          <w:rFonts w:ascii="Verdana" w:hAnsi="Verdana"/>
          <w:sz w:val="14"/>
          <w:szCs w:val="14"/>
          <w:lang w:val="es-CO"/>
        </w:rPr>
        <w:t>Florez</w:t>
      </w:r>
      <w:proofErr w:type="spellEnd"/>
      <w:r w:rsidRPr="00B10300">
        <w:rPr>
          <w:rFonts w:ascii="Verdana" w:hAnsi="Verdana"/>
          <w:sz w:val="14"/>
          <w:szCs w:val="14"/>
          <w:lang w:val="es-CO"/>
        </w:rPr>
        <w:t xml:space="preserve">. </w:t>
      </w:r>
    </w:p>
    <w:p w14:paraId="7EE1CB35" w14:textId="77777777" w:rsidR="00E451D1" w:rsidRPr="00B10300" w:rsidRDefault="00E451D1" w:rsidP="00E451D1">
      <w:pPr>
        <w:pStyle w:val="Textonotapie"/>
        <w:ind w:firstLine="709"/>
        <w:jc w:val="both"/>
        <w:rPr>
          <w:rFonts w:ascii="Verdana" w:hAnsi="Verdana" w:cs="Arial"/>
          <w:sz w:val="14"/>
          <w:szCs w:val="14"/>
          <w:lang w:val="es-CO"/>
        </w:rPr>
      </w:pPr>
    </w:p>
  </w:footnote>
  <w:footnote w:id="25">
    <w:p w14:paraId="373DB062" w14:textId="77777777" w:rsidR="00E451D1" w:rsidRPr="00064355" w:rsidRDefault="00E451D1" w:rsidP="00E451D1">
      <w:pPr>
        <w:spacing w:after="0" w:line="240" w:lineRule="auto"/>
        <w:ind w:firstLine="709"/>
        <w:contextualSpacing/>
        <w:jc w:val="both"/>
        <w:rPr>
          <w:rFonts w:ascii="Verdana" w:eastAsia="Times New Roman" w:hAnsi="Verdana" w:cs="Times New Roman"/>
          <w:sz w:val="14"/>
          <w:szCs w:val="14"/>
          <w:lang w:eastAsia="es-ES"/>
        </w:rPr>
      </w:pPr>
      <w:r w:rsidRPr="00064355">
        <w:rPr>
          <w:rStyle w:val="Refdenotaalpie"/>
          <w:rFonts w:ascii="Verdana" w:hAnsi="Verdana"/>
          <w:sz w:val="14"/>
          <w:szCs w:val="14"/>
        </w:rPr>
        <w:footnoteRef/>
      </w:r>
      <w:r w:rsidRPr="00064355">
        <w:rPr>
          <w:rFonts w:ascii="Verdana" w:hAnsi="Verdana"/>
          <w:sz w:val="14"/>
          <w:szCs w:val="14"/>
        </w:rPr>
        <w:t xml:space="preserve"> </w:t>
      </w:r>
      <w:r w:rsidRPr="00064355">
        <w:rPr>
          <w:rFonts w:ascii="Verdana" w:eastAsia="Times New Roman" w:hAnsi="Verdana" w:cs="Times New Roman"/>
          <w:sz w:val="14"/>
          <w:szCs w:val="14"/>
          <w:lang w:eastAsia="es-ES"/>
        </w:rPr>
        <w:t xml:space="preserve">Consejo de Estado. Sala de lo Contencioso Administrativo. Sección Tercera. Subsección B. 17 de octubre de 2025. Magistrado Ponente: Fredy Ibarra Martínez.  </w:t>
      </w:r>
      <w:r w:rsidRPr="00064355">
        <w:rPr>
          <w:rFonts w:ascii="Verdana" w:hAnsi="Verdana"/>
          <w:sz w:val="14"/>
          <w:szCs w:val="14"/>
        </w:rPr>
        <w:t xml:space="preserve">La parte de la providencia señala: </w:t>
      </w:r>
      <w:r w:rsidRPr="00064355">
        <w:rPr>
          <w:rFonts w:ascii="Verdana" w:eastAsia="Times New Roman" w:hAnsi="Verdana" w:cs="Times New Roman"/>
          <w:sz w:val="14"/>
          <w:szCs w:val="14"/>
          <w:lang w:eastAsia="es-ES"/>
        </w:rPr>
        <w:t xml:space="preserve">Declárase la nulidad parcial del numeral 16.2 de la Circular Externa Única de 2022 expedida por la Agencia Nacional de Contratación Pública -Colombia Compra Eficiente-, concretamente, de los siguientes apartes normativos: i) el inciso tercero que dispone: “Esta restricción es aplicable tanto a los convenios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 y, </w:t>
      </w:r>
      <w:proofErr w:type="spellStart"/>
      <w:r w:rsidRPr="00064355">
        <w:rPr>
          <w:rFonts w:ascii="Verdana" w:eastAsia="Times New Roman" w:hAnsi="Verdana" w:cs="Times New Roman"/>
          <w:sz w:val="14"/>
          <w:szCs w:val="14"/>
          <w:lang w:eastAsia="es-ES"/>
        </w:rPr>
        <w:t>ii</w:t>
      </w:r>
      <w:proofErr w:type="spellEnd"/>
      <w:r w:rsidRPr="00064355">
        <w:rPr>
          <w:rFonts w:ascii="Verdana" w:eastAsia="Times New Roman" w:hAnsi="Verdana" w:cs="Times New Roman"/>
          <w:sz w:val="14"/>
          <w:szCs w:val="14"/>
          <w:lang w:eastAsia="es-ES"/>
        </w:rPr>
        <w:t>) la expresión y el siguiente párrafo contenidos en el inciso quinto “contratos” y “En este sentido, la prohibición que establece el parágrafo del artículo 38 de la Ley de Garantías consiste en evitar que los recursos del Estado se ejecuten para lograr apoyos indebidos mediante la suscripción de contratos y/o convenios, que, para efectos de la Ley de Garantías, tienen la misma connotación y propósito”.</w:t>
      </w:r>
    </w:p>
  </w:footnote>
  <w:footnote w:id="26">
    <w:p w14:paraId="54A46A74" w14:textId="77777777" w:rsidR="00E451D1" w:rsidRDefault="00E451D1" w:rsidP="00E451D1">
      <w:pPr>
        <w:pStyle w:val="Textonotapie"/>
        <w:ind w:firstLine="709"/>
        <w:jc w:val="both"/>
        <w:rPr>
          <w:rFonts w:ascii="Verdana" w:hAnsi="Verdana"/>
          <w:sz w:val="14"/>
          <w:szCs w:val="14"/>
        </w:rPr>
      </w:pPr>
      <w:r w:rsidRPr="00064355">
        <w:rPr>
          <w:rStyle w:val="Refdenotaalpie"/>
          <w:rFonts w:ascii="Verdana" w:hAnsi="Verdana"/>
          <w:sz w:val="14"/>
          <w:szCs w:val="14"/>
        </w:rPr>
        <w:footnoteRef/>
      </w:r>
      <w:r w:rsidRPr="00064355">
        <w:rPr>
          <w:rFonts w:ascii="Verdana" w:hAnsi="Verdana"/>
          <w:sz w:val="14"/>
          <w:szCs w:val="14"/>
        </w:rPr>
        <w:t xml:space="preserve"> No </w:t>
      </w:r>
      <w:r w:rsidRPr="00B10300">
        <w:rPr>
          <w:rFonts w:ascii="Verdana" w:hAnsi="Verdana"/>
          <w:sz w:val="14"/>
          <w:szCs w:val="14"/>
        </w:rPr>
        <w:t>obstante,</w:t>
      </w:r>
      <w:r w:rsidRPr="00064355">
        <w:rPr>
          <w:rFonts w:ascii="Verdana" w:hAnsi="Verdana"/>
          <w:sz w:val="14"/>
          <w:szCs w:val="14"/>
        </w:rPr>
        <w:t xml:space="preserve"> lo anterior, es importante mencionar que aún se encuentra por definir la demanda de nulidad simple, identificada con el Radicado número 11001-03-26-000-2025-00016-00, en la cual se cuestiona parcialmente el numeral 16.2 de la Circular Externa Única CCE-EICP-MA-06, Versión 03 del 27 de diciembre de 2023.</w:t>
      </w:r>
    </w:p>
    <w:p w14:paraId="4294CF97" w14:textId="77777777" w:rsidR="00E451D1" w:rsidRPr="00064355" w:rsidRDefault="00E451D1" w:rsidP="00E451D1">
      <w:pPr>
        <w:pStyle w:val="Textonotapie"/>
        <w:ind w:firstLine="709"/>
        <w:jc w:val="both"/>
        <w:rPr>
          <w:rFonts w:ascii="Verdana" w:hAnsi="Verdana"/>
          <w:sz w:val="14"/>
          <w:szCs w:val="14"/>
          <w:lang w:val="es-CO"/>
        </w:rPr>
      </w:pPr>
    </w:p>
  </w:footnote>
  <w:footnote w:id="27">
    <w:p w14:paraId="61EC9976" w14:textId="77777777" w:rsidR="00E451D1" w:rsidRPr="00B10300" w:rsidRDefault="00E451D1" w:rsidP="00E451D1">
      <w:pPr>
        <w:pStyle w:val="Textonotapie"/>
        <w:ind w:firstLine="709"/>
        <w:jc w:val="both"/>
        <w:rPr>
          <w:rFonts w:ascii="Verdana" w:hAnsi="Verdana" w:cs="Arial"/>
          <w:sz w:val="14"/>
          <w:szCs w:val="14"/>
        </w:rPr>
      </w:pPr>
      <w:r w:rsidRPr="00B10300">
        <w:rPr>
          <w:rStyle w:val="Refdenotaalpie"/>
          <w:rFonts w:ascii="Verdana" w:hAnsi="Verdana" w:cs="Arial"/>
          <w:sz w:val="14"/>
          <w:szCs w:val="14"/>
        </w:rPr>
        <w:footnoteRef/>
      </w:r>
      <w:r w:rsidRPr="00B10300">
        <w:rPr>
          <w:rFonts w:ascii="Verdana" w:hAnsi="Verdana" w:cs="Arial"/>
          <w:sz w:val="14"/>
          <w:szCs w:val="14"/>
        </w:rPr>
        <w:t xml:space="preserve"> Consejo de Estado. Sala de Consulta y Servicio Civil. Concepto del 15 de noviembre de 2007. Expediente número 1863. Consejero Ponente: Luis Fernando Álvarez Jaramillo.</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pt;height:12pt" o:bullet="t">
        <v:imagedata r:id="rId1" o:title="mso1B13"/>
      </v:shape>
    </w:pict>
  </w:numPicBullet>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1330140246">
    <w:abstractNumId w:val="0"/>
  </w:num>
  <w:num w:numId="17"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3AF"/>
    <w:rsid w:val="00016F78"/>
    <w:rsid w:val="00046945"/>
    <w:rsid w:val="00061B2A"/>
    <w:rsid w:val="00082362"/>
    <w:rsid w:val="0008453E"/>
    <w:rsid w:val="000A44D6"/>
    <w:rsid w:val="000A683E"/>
    <w:rsid w:val="000B19B9"/>
    <w:rsid w:val="000D0334"/>
    <w:rsid w:val="000D5DA7"/>
    <w:rsid w:val="000F6486"/>
    <w:rsid w:val="00116940"/>
    <w:rsid w:val="00125105"/>
    <w:rsid w:val="00127233"/>
    <w:rsid w:val="0015699B"/>
    <w:rsid w:val="001A33BF"/>
    <w:rsid w:val="001E4177"/>
    <w:rsid w:val="001F0B24"/>
    <w:rsid w:val="001F7DC6"/>
    <w:rsid w:val="00214C01"/>
    <w:rsid w:val="0022400B"/>
    <w:rsid w:val="002421BB"/>
    <w:rsid w:val="0025796E"/>
    <w:rsid w:val="002707A2"/>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74F5E"/>
    <w:rsid w:val="00377E3E"/>
    <w:rsid w:val="0039101B"/>
    <w:rsid w:val="003A779E"/>
    <w:rsid w:val="003D0F4D"/>
    <w:rsid w:val="003D5B0D"/>
    <w:rsid w:val="003E0499"/>
    <w:rsid w:val="003E4F80"/>
    <w:rsid w:val="003E6439"/>
    <w:rsid w:val="003F0767"/>
    <w:rsid w:val="003F3941"/>
    <w:rsid w:val="00406575"/>
    <w:rsid w:val="00414C74"/>
    <w:rsid w:val="004257CC"/>
    <w:rsid w:val="0042722E"/>
    <w:rsid w:val="0044528D"/>
    <w:rsid w:val="00466E39"/>
    <w:rsid w:val="004822FB"/>
    <w:rsid w:val="004A1847"/>
    <w:rsid w:val="004A305D"/>
    <w:rsid w:val="004F21C4"/>
    <w:rsid w:val="004F685F"/>
    <w:rsid w:val="005566E8"/>
    <w:rsid w:val="00574867"/>
    <w:rsid w:val="00591460"/>
    <w:rsid w:val="005A65E0"/>
    <w:rsid w:val="005C3777"/>
    <w:rsid w:val="005C5CDC"/>
    <w:rsid w:val="005D476C"/>
    <w:rsid w:val="006200BF"/>
    <w:rsid w:val="006219F8"/>
    <w:rsid w:val="006302F7"/>
    <w:rsid w:val="00646B9F"/>
    <w:rsid w:val="00665D70"/>
    <w:rsid w:val="006900D9"/>
    <w:rsid w:val="006D76B9"/>
    <w:rsid w:val="00706C16"/>
    <w:rsid w:val="00720773"/>
    <w:rsid w:val="007340C3"/>
    <w:rsid w:val="0075235A"/>
    <w:rsid w:val="00756841"/>
    <w:rsid w:val="007649AB"/>
    <w:rsid w:val="00771D0C"/>
    <w:rsid w:val="007833AC"/>
    <w:rsid w:val="00783A4E"/>
    <w:rsid w:val="007B268C"/>
    <w:rsid w:val="007B7171"/>
    <w:rsid w:val="007C0C0F"/>
    <w:rsid w:val="007C3DC2"/>
    <w:rsid w:val="007E5497"/>
    <w:rsid w:val="00806F5F"/>
    <w:rsid w:val="00820278"/>
    <w:rsid w:val="008258C9"/>
    <w:rsid w:val="00844AE9"/>
    <w:rsid w:val="00867F95"/>
    <w:rsid w:val="008843B6"/>
    <w:rsid w:val="00891928"/>
    <w:rsid w:val="008A446D"/>
    <w:rsid w:val="008B25F1"/>
    <w:rsid w:val="008D180B"/>
    <w:rsid w:val="008F0EA7"/>
    <w:rsid w:val="00923EEF"/>
    <w:rsid w:val="009255B8"/>
    <w:rsid w:val="009419F9"/>
    <w:rsid w:val="0095685E"/>
    <w:rsid w:val="00961B09"/>
    <w:rsid w:val="00965334"/>
    <w:rsid w:val="0097093E"/>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90CF1"/>
    <w:rsid w:val="00A960C0"/>
    <w:rsid w:val="00AB0ADB"/>
    <w:rsid w:val="00B00C0E"/>
    <w:rsid w:val="00B01B1A"/>
    <w:rsid w:val="00B0381D"/>
    <w:rsid w:val="00B44A47"/>
    <w:rsid w:val="00B72CD3"/>
    <w:rsid w:val="00B72FFF"/>
    <w:rsid w:val="00BC3D36"/>
    <w:rsid w:val="00BC4A4F"/>
    <w:rsid w:val="00BD54A6"/>
    <w:rsid w:val="00BD7F72"/>
    <w:rsid w:val="00BF7425"/>
    <w:rsid w:val="00C04FB3"/>
    <w:rsid w:val="00C11D8B"/>
    <w:rsid w:val="00C15139"/>
    <w:rsid w:val="00C330EB"/>
    <w:rsid w:val="00C50D69"/>
    <w:rsid w:val="00C5365C"/>
    <w:rsid w:val="00C754BE"/>
    <w:rsid w:val="00C76B1C"/>
    <w:rsid w:val="00C925AC"/>
    <w:rsid w:val="00CB6357"/>
    <w:rsid w:val="00CC1B26"/>
    <w:rsid w:val="00D361FD"/>
    <w:rsid w:val="00D423A2"/>
    <w:rsid w:val="00D44E26"/>
    <w:rsid w:val="00D520D8"/>
    <w:rsid w:val="00D63AC2"/>
    <w:rsid w:val="00D7383B"/>
    <w:rsid w:val="00D7788A"/>
    <w:rsid w:val="00DA231B"/>
    <w:rsid w:val="00DC39FC"/>
    <w:rsid w:val="00DF5254"/>
    <w:rsid w:val="00E02524"/>
    <w:rsid w:val="00E16408"/>
    <w:rsid w:val="00E20894"/>
    <w:rsid w:val="00E245AB"/>
    <w:rsid w:val="00E2764C"/>
    <w:rsid w:val="00E27F2E"/>
    <w:rsid w:val="00E451D1"/>
    <w:rsid w:val="00E50AFE"/>
    <w:rsid w:val="00E75C92"/>
    <w:rsid w:val="00E771DC"/>
    <w:rsid w:val="00E8772A"/>
    <w:rsid w:val="00E90F6B"/>
    <w:rsid w:val="00E92C27"/>
    <w:rsid w:val="00EA0E3D"/>
    <w:rsid w:val="00EA2DBB"/>
    <w:rsid w:val="00EC38A7"/>
    <w:rsid w:val="00EE1AA8"/>
    <w:rsid w:val="00F23FEA"/>
    <w:rsid w:val="00F31EDC"/>
    <w:rsid w:val="00F462B3"/>
    <w:rsid w:val="00F5664F"/>
    <w:rsid w:val="00F666C4"/>
    <w:rsid w:val="00F76AFC"/>
    <w:rsid w:val="00FA47C0"/>
    <w:rsid w:val="00FB5DD1"/>
    <w:rsid w:val="00FC2B5D"/>
    <w:rsid w:val="00FF1449"/>
    <w:rsid w:val="00FF7963"/>
    <w:rsid w:val="071B8F93"/>
    <w:rsid w:val="09908A09"/>
    <w:rsid w:val="0FF4CCA8"/>
    <w:rsid w:val="13CFC91B"/>
    <w:rsid w:val="19A2EC2C"/>
    <w:rsid w:val="2859CA1B"/>
    <w:rsid w:val="286F7ADE"/>
    <w:rsid w:val="32A4F9CF"/>
    <w:rsid w:val="356CEDFD"/>
    <w:rsid w:val="3FEFEF27"/>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E451D1"/>
    <w:pPr>
      <w:spacing w:line="240" w:lineRule="exact"/>
    </w:pPr>
    <w:rPr>
      <w:vertAlign w:val="superscript"/>
    </w:rPr>
  </w:style>
  <w:style w:type="character" w:customStyle="1" w:styleId="baj">
    <w:name w:val="b_aj"/>
    <w:basedOn w:val="Fuentedeprrafopredeter"/>
    <w:rsid w:val="00E451D1"/>
  </w:style>
  <w:style w:type="table" w:customStyle="1" w:styleId="Tablaconcuadrcula1">
    <w:name w:val="Tabla con cuadrícula1"/>
    <w:basedOn w:val="Tablanormal"/>
    <w:next w:val="Tablaconcuadrcula"/>
    <w:uiPriority w:val="39"/>
    <w:qFormat/>
    <w:rsid w:val="00E451D1"/>
    <w:pPr>
      <w:spacing w:after="0" w:line="240" w:lineRule="auto"/>
    </w:pPr>
    <w:tblPr/>
  </w:style>
  <w:style w:type="character" w:customStyle="1" w:styleId="NormalWebCar">
    <w:name w:val="Normal (Web) Car"/>
    <w:link w:val="NormalWeb"/>
    <w:uiPriority w:val="99"/>
    <w:locked/>
    <w:rsid w:val="00E451D1"/>
    <w:rPr>
      <w:rFonts w:ascii="Times New Roman" w:eastAsia="Times New Roman" w:hAnsi="Times New Roman" w:cs="Times New Roman"/>
      <w:sz w:val="24"/>
      <w:szCs w:val="24"/>
      <w:lang w:eastAsia="es-CO"/>
    </w:rPr>
  </w:style>
  <w:style w:type="paragraph" w:styleId="Textocomentario">
    <w:name w:val="annotation text"/>
    <w:basedOn w:val="Normal"/>
    <w:link w:val="TextocomentarioCar"/>
    <w:uiPriority w:val="99"/>
    <w:semiHidden/>
    <w:unhideWhenUsed/>
    <w:rsid w:val="009255B8"/>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9255B8"/>
    <w:rPr>
      <w:sz w:val="20"/>
      <w:szCs w:val="20"/>
    </w:rPr>
  </w:style>
  <w:style w:type="character" w:styleId="Refdecomentario">
    <w:name w:val="annotation reference"/>
    <w:basedOn w:val="Fuentedeprrafopredeter"/>
    <w:uiPriority w:val="99"/>
    <w:semiHidden/>
    <w:unhideWhenUsed/>
    <w:rsid w:val="009255B8"/>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mailto:victor.sandoval@aldesarrollo.gov.co" TargetMode="External"/><Relationship Id="rId18" Type="http://schemas.openxmlformats.org/officeDocument/2006/relationships/hyperlink" Target="https://www.colombiacompra.gov.co/pqrsd/informacion-importante-antes-de-formular-una-pqrsd" TargetMode="External"/><Relationship Id="rId3" Type="http://schemas.openxmlformats.org/officeDocument/2006/relationships/customXml" Target="../customXml/item3.xml"/><Relationship Id="rId21" Type="http://schemas.openxmlformats.org/officeDocument/2006/relationships/header" Target="header1.xml"/><Relationship Id="rId7" Type="http://schemas.openxmlformats.org/officeDocument/2006/relationships/webSettings" Target="webSettings.xml"/><Relationship Id="rId12" Type="http://schemas.openxmlformats.org/officeDocument/2006/relationships/hyperlink" Target="mailto:secretariageneral@aldesarrollo.gov.co" TargetMode="External"/><Relationship Id="rId17" Type="http://schemas.openxmlformats.org/officeDocument/2006/relationships/hyperlink" Target="mailto:ventanilladeradicacion@colombiacompra.gov.co" TargetMode="External"/><Relationship Id="rId2" Type="http://schemas.openxmlformats.org/officeDocument/2006/relationships/customXml" Target="../customXml/item2.xml"/><Relationship Id="rId16" Type="http://schemas.openxmlformats.org/officeDocument/2006/relationships/hyperlink" Target="https://nam02.safelinks.protection.outlook.com/?url=https%3A%2F%2Fwww.colombiacompra.gov.co%2Fwp-content%2Fuploads%2F2025%2F05%2FGUIA-DE-LINEAMIENTOS-DE-TRANSPARENCIA-Y-SELECCION-OBJETIVA-1.0.pdf&amp;data=05%7C02%7Calejandro.sarmiento%40colombiacompra.gov.co%7Ca6218c48ccc04b19a61108dd97aecc6f%7C7b09041e245149d08cb179d5e3d8c1be%7C0%7C0%7C638833499204031869%7CUnknown%7CTWFpbGZsb3d8eyJFbXB0eU1hcGkiOnRydWUsIlYiOiIwLjAuMDAwMCIsIlAiOiJXaW4zMiIsIkFOIjoiTWFpbCIsIldUIjoyfQ%3D%3D%7C0%7C%7C%7C&amp;sdata=BNPGPGRZZPHN9b0zJi5VJtxyBM8%2Fb8kWxn04BiZ%2ByF4%3D&amp;reserved=0" TargetMode="External"/><Relationship Id="rId20" Type="http://schemas.openxmlformats.org/officeDocument/2006/relationships/image" Target="media/image3.png"/><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info@aldesarrollo.gov.co" TargetMode="External"/><Relationship Id="rId24" Type="http://schemas.openxmlformats.org/officeDocument/2006/relationships/theme" Target="theme/theme1.xml"/><Relationship Id="rId5" Type="http://schemas.openxmlformats.org/officeDocument/2006/relationships/styles" Target="styles.xml"/><Relationship Id="rId15" Type="http://schemas.openxmlformats.org/officeDocument/2006/relationships/hyperlink" Target="https://relatoria.colombiacompra.gov.co/busqueda/conceptos" TargetMode="External"/><Relationship Id="rId23" Type="http://schemas.openxmlformats.org/officeDocument/2006/relationships/fontTable" Target="fontTable.xml"/><Relationship Id="rId10" Type="http://schemas.openxmlformats.org/officeDocument/2006/relationships/image" Target="media/image2.png"/><Relationship Id="rId19" Type="http://schemas.openxmlformats.org/officeDocument/2006/relationships/hyperlink" Target="https://forms.office.com/r/pPHyWVs2SZ"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archivos/circular/circular-externa-006-de-2025" TargetMode="External"/><Relationship Id="rId22"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C33C91A3-130C-40BA-A48C-7AA76B2F039E}"/>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8ae15d26-076e-464e-81a7-6f76a0fb3917"/>
    <ds:schemaRef ds:uri="1aae7ce2-01f1-44de-ad9f-ef43eb06f92c"/>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Normal.dotm</Template>
  <TotalTime>9</TotalTime>
  <Pages>27</Pages>
  <Words>8590</Words>
  <Characters>47333</Characters>
  <Application>Microsoft Office Word</Application>
  <DocSecurity>0</DocSecurity>
  <Lines>893</Lines>
  <Paragraphs>182</Paragraphs>
  <ScaleCrop>false</ScaleCrop>
  <Company/>
  <LinksUpToDate>false</LinksUpToDate>
  <CharactersWithSpaces>55741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Richard Andrés Montenegro Siefken</cp:lastModifiedBy>
  <cp:revision>3</cp:revision>
  <cp:lastPrinted>2023-01-10T21:18:00Z</cp:lastPrinted>
  <dcterms:created xsi:type="dcterms:W3CDTF">2025-12-15T23:22:00Z</dcterms:created>
  <dcterms:modified xsi:type="dcterms:W3CDTF">2025-12-21T22:31:00Z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