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F1E35" w14:textId="77777777" w:rsidR="000C2B6E" w:rsidRPr="000C2B6E" w:rsidRDefault="000C2B6E" w:rsidP="002151F7">
      <w:pPr>
        <w:pStyle w:val="Textoindependiente"/>
        <w:spacing w:before="50" w:line="578" w:lineRule="exact"/>
        <w:ind w:right="5514"/>
        <w:rPr>
          <w:rFonts w:ascii="Verdana" w:hAnsi="Verdana"/>
          <w:color w:val="000000" w:themeColor="text1"/>
          <w:sz w:val="20"/>
          <w:szCs w:val="20"/>
        </w:rPr>
      </w:pPr>
    </w:p>
    <w:p w14:paraId="0E63B360" w14:textId="183874F7" w:rsidR="000C2B6E" w:rsidRPr="000C2B6E" w:rsidRDefault="000C2B6E" w:rsidP="000C2B6E">
      <w:pPr>
        <w:pStyle w:val="Ttulo3"/>
        <w:spacing w:line="240" w:lineRule="auto"/>
        <w:jc w:val="both"/>
        <w:rPr>
          <w:rFonts w:ascii="Verdana" w:hAnsi="Verdana"/>
          <w:b/>
          <w:bCs/>
          <w:color w:val="000000" w:themeColor="text1"/>
          <w:sz w:val="22"/>
          <w:szCs w:val="22"/>
        </w:rPr>
      </w:pPr>
      <w:r w:rsidRPr="000C2B6E">
        <w:rPr>
          <w:rFonts w:ascii="Verdana" w:hAnsi="Verdana"/>
          <w:b/>
          <w:bCs/>
          <w:color w:val="000000" w:themeColor="text1"/>
          <w:sz w:val="22"/>
          <w:szCs w:val="22"/>
        </w:rPr>
        <w:t>PRINCIPIO DE PUBLICIDAD – Deber de publicación – SECOP – Finalidad</w:t>
      </w:r>
    </w:p>
    <w:p w14:paraId="28D52A16" w14:textId="46EED119" w:rsidR="000C2B6E" w:rsidRPr="000C2B6E" w:rsidRDefault="000C2B6E" w:rsidP="000C2B6E">
      <w:pPr>
        <w:pStyle w:val="NormalWeb"/>
        <w:spacing w:line="240" w:lineRule="auto"/>
        <w:jc w:val="both"/>
        <w:rPr>
          <w:rFonts w:ascii="Verdana" w:hAnsi="Verdana"/>
          <w:color w:val="000000" w:themeColor="text1"/>
          <w:sz w:val="22"/>
          <w:szCs w:val="22"/>
        </w:rPr>
      </w:pPr>
      <w:r w:rsidRPr="000C2B6E">
        <w:rPr>
          <w:rStyle w:val="citation-536"/>
          <w:rFonts w:ascii="Verdana" w:hAnsi="Verdana"/>
          <w:color w:val="000000" w:themeColor="text1"/>
          <w:sz w:val="22"/>
          <w:szCs w:val="22"/>
        </w:rPr>
        <w:t>El principio de publicidad impone a las autoridades administrativas el deber de dar a conocer sus actos, contratos y decisiones para que se divulguen y eventualmente se controlen</w:t>
      </w:r>
      <w:r w:rsidRPr="000C2B6E">
        <w:rPr>
          <w:rFonts w:ascii="Verdana" w:hAnsi="Verdana"/>
          <w:color w:val="000000" w:themeColor="text1"/>
          <w:sz w:val="22"/>
          <w:szCs w:val="22"/>
        </w:rPr>
        <w:t xml:space="preserve">. </w:t>
      </w:r>
      <w:r w:rsidRPr="000C2B6E">
        <w:rPr>
          <w:rStyle w:val="citation-535"/>
          <w:rFonts w:ascii="Verdana" w:hAnsi="Verdana"/>
          <w:color w:val="000000" w:themeColor="text1"/>
          <w:sz w:val="22"/>
          <w:szCs w:val="22"/>
        </w:rPr>
        <w:t>Por ello, en la contratación estatal, el SECOP funciona como un mecanismo que contará con la información oficial de la contratación realizada con dineros públicos, encargándose de su difusión a través de canales electrónicos</w:t>
      </w:r>
      <w:r w:rsidRPr="000C2B6E">
        <w:rPr>
          <w:rFonts w:ascii="Verdana" w:hAnsi="Verdana"/>
          <w:color w:val="000000" w:themeColor="text1"/>
          <w:sz w:val="22"/>
          <w:szCs w:val="22"/>
        </w:rPr>
        <w:t xml:space="preserve">. </w:t>
      </w:r>
      <w:r w:rsidRPr="000C2B6E">
        <w:rPr>
          <w:rStyle w:val="citation-534"/>
          <w:rFonts w:ascii="Verdana" w:hAnsi="Verdana"/>
          <w:color w:val="000000" w:themeColor="text1"/>
          <w:sz w:val="22"/>
          <w:szCs w:val="22"/>
        </w:rPr>
        <w:t>Este deber de publicación busca materializar el Principio de Publicidad y Transparencia, asegurando que la información oficial esté disponible para el conocimiento de la ciudadanía y el control de las autoridades de manera oportuna</w:t>
      </w:r>
      <w:r w:rsidRPr="000C2B6E">
        <w:rPr>
          <w:rFonts w:ascii="Verdana" w:hAnsi="Verdana"/>
          <w:color w:val="000000" w:themeColor="text1"/>
          <w:sz w:val="22"/>
          <w:szCs w:val="22"/>
        </w:rPr>
        <w:t>.</w:t>
      </w:r>
    </w:p>
    <w:p w14:paraId="14BC68F5" w14:textId="2E1BB2C2" w:rsidR="000C2B6E" w:rsidRDefault="000C2B6E" w:rsidP="000C2B6E">
      <w:pPr>
        <w:pStyle w:val="Ttulo3"/>
        <w:spacing w:line="240" w:lineRule="auto"/>
        <w:jc w:val="both"/>
        <w:rPr>
          <w:rFonts w:ascii="Verdana" w:hAnsi="Verdana"/>
          <w:b/>
          <w:bCs/>
          <w:color w:val="000000" w:themeColor="text1"/>
          <w:sz w:val="22"/>
          <w:szCs w:val="22"/>
        </w:rPr>
      </w:pPr>
      <w:r w:rsidRPr="000C2B6E">
        <w:rPr>
          <w:rFonts w:ascii="Verdana" w:hAnsi="Verdana"/>
          <w:b/>
          <w:bCs/>
          <w:color w:val="000000" w:themeColor="text1"/>
          <w:sz w:val="22"/>
          <w:szCs w:val="22"/>
        </w:rPr>
        <w:t xml:space="preserve">TÉRMINO DE PUBLICACIÓN – Regla general </w:t>
      </w:r>
    </w:p>
    <w:p w14:paraId="26E62EB4" w14:textId="77777777" w:rsidR="000C2B6E" w:rsidRPr="000C2B6E" w:rsidRDefault="000C2B6E" w:rsidP="000C2B6E"/>
    <w:p w14:paraId="4D758879" w14:textId="52D88F5C" w:rsidR="000C2B6E" w:rsidRPr="000C2B6E" w:rsidRDefault="000C2B6E" w:rsidP="000C2B6E">
      <w:pPr>
        <w:pStyle w:val="NormalWeb"/>
        <w:spacing w:line="240" w:lineRule="auto"/>
        <w:jc w:val="both"/>
        <w:rPr>
          <w:rFonts w:ascii="Verdana" w:hAnsi="Verdana"/>
          <w:color w:val="000000" w:themeColor="text1"/>
          <w:sz w:val="22"/>
          <w:szCs w:val="22"/>
        </w:rPr>
      </w:pPr>
      <w:r w:rsidRPr="000C2B6E">
        <w:rPr>
          <w:rStyle w:val="citation-533"/>
          <w:rFonts w:ascii="Verdana" w:hAnsi="Verdana"/>
          <w:color w:val="000000" w:themeColor="text1"/>
          <w:sz w:val="22"/>
          <w:szCs w:val="22"/>
        </w:rPr>
        <w:t>De conformidad con lo dispuesto en el artículo 2.2.1.1.1.7.1 del Decreto 1082 de 2015, las Entidades Estatales tienen la obligación legal de publicar en el SECOP los Documentos del Proceso y los actos administrativos derivados de la gestión contractual, dentro de un término máximo de tres (3) días calendario siguientes a su expedición</w:t>
      </w:r>
      <w:r w:rsidRPr="000C2B6E">
        <w:rPr>
          <w:rFonts w:ascii="Verdana" w:hAnsi="Verdana"/>
          <w:color w:val="000000" w:themeColor="text1"/>
          <w:sz w:val="22"/>
          <w:szCs w:val="22"/>
        </w:rPr>
        <w:t xml:space="preserve">. </w:t>
      </w:r>
      <w:r w:rsidRPr="000C2B6E">
        <w:rPr>
          <w:rStyle w:val="citation-532"/>
          <w:rFonts w:ascii="Verdana" w:hAnsi="Verdana"/>
          <w:color w:val="000000" w:themeColor="text1"/>
          <w:sz w:val="22"/>
          <w:szCs w:val="22"/>
        </w:rPr>
        <w:t>Este término de los tres (3) días debe observarse estrictamente para el cargue de aquellos documentos que, por su naturaleza, se generan, suscriben o formalizan por fuera de la plataforma (documentos físicos o externos)</w:t>
      </w:r>
      <w:r w:rsidRPr="000C2B6E">
        <w:rPr>
          <w:rFonts w:ascii="Verdana" w:hAnsi="Verdana"/>
          <w:color w:val="000000" w:themeColor="text1"/>
          <w:sz w:val="22"/>
          <w:szCs w:val="22"/>
        </w:rPr>
        <w:t xml:space="preserve">. </w:t>
      </w:r>
      <w:r w:rsidRPr="000C2B6E">
        <w:rPr>
          <w:rStyle w:val="citation-531"/>
          <w:rFonts w:ascii="Verdana" w:hAnsi="Verdana"/>
          <w:color w:val="000000" w:themeColor="text1"/>
          <w:sz w:val="22"/>
          <w:szCs w:val="22"/>
        </w:rPr>
        <w:t>En estos eventos, la Entidad Estatal es responsable de digitalizar e incorporar dichos soportes al expediente electrónico dentro del plazo señalado</w:t>
      </w:r>
      <w:r w:rsidRPr="000C2B6E">
        <w:rPr>
          <w:rFonts w:ascii="Verdana" w:hAnsi="Verdana"/>
          <w:color w:val="000000" w:themeColor="text1"/>
          <w:sz w:val="22"/>
          <w:szCs w:val="22"/>
        </w:rPr>
        <w:t>.</w:t>
      </w:r>
    </w:p>
    <w:p w14:paraId="31015DCE" w14:textId="77777777" w:rsidR="000C2B6E" w:rsidRDefault="000C2B6E" w:rsidP="000C2B6E">
      <w:pPr>
        <w:pStyle w:val="Ttulo3"/>
        <w:spacing w:line="240" w:lineRule="auto"/>
        <w:jc w:val="both"/>
        <w:rPr>
          <w:rFonts w:ascii="Verdana" w:hAnsi="Verdana"/>
          <w:b/>
          <w:bCs/>
          <w:color w:val="000000" w:themeColor="text1"/>
          <w:sz w:val="22"/>
          <w:szCs w:val="22"/>
        </w:rPr>
      </w:pPr>
      <w:r w:rsidRPr="000C2B6E">
        <w:rPr>
          <w:rFonts w:ascii="Verdana" w:hAnsi="Verdana"/>
          <w:b/>
          <w:bCs/>
          <w:color w:val="000000" w:themeColor="text1"/>
          <w:sz w:val="22"/>
          <w:szCs w:val="22"/>
        </w:rPr>
        <w:t>SECOP II – Publicidad automática – Actuaciones en tiempo real – Excepción al plazo</w:t>
      </w:r>
    </w:p>
    <w:p w14:paraId="2ABE1A14" w14:textId="77777777" w:rsidR="000C2B6E" w:rsidRPr="000C2B6E" w:rsidRDefault="000C2B6E" w:rsidP="000C2B6E"/>
    <w:p w14:paraId="1C786521" w14:textId="77777777" w:rsidR="000C2B6E" w:rsidRPr="000C2B6E" w:rsidRDefault="000C2B6E" w:rsidP="000C2B6E">
      <w:pPr>
        <w:pStyle w:val="NormalWeb"/>
        <w:spacing w:line="240" w:lineRule="auto"/>
        <w:jc w:val="both"/>
        <w:rPr>
          <w:rFonts w:ascii="Verdana" w:hAnsi="Verdana"/>
          <w:color w:val="000000" w:themeColor="text1"/>
          <w:sz w:val="22"/>
          <w:szCs w:val="22"/>
        </w:rPr>
      </w:pPr>
      <w:r w:rsidRPr="000C2B6E">
        <w:rPr>
          <w:rStyle w:val="citation-530"/>
          <w:rFonts w:ascii="Verdana" w:hAnsi="Verdana"/>
          <w:color w:val="000000" w:themeColor="text1"/>
          <w:sz w:val="22"/>
          <w:szCs w:val="22"/>
        </w:rPr>
        <w:t>Para la correcta aplicación del término de publicación, resulta indispensable distinguir la naturaleza de la actuación frente a la operatividad transaccional del SECOP II</w:t>
      </w:r>
      <w:r w:rsidRPr="000C2B6E">
        <w:rPr>
          <w:rFonts w:ascii="Verdana" w:hAnsi="Verdana"/>
          <w:color w:val="000000" w:themeColor="text1"/>
          <w:sz w:val="22"/>
          <w:szCs w:val="22"/>
        </w:rPr>
        <w:t xml:space="preserve">. </w:t>
      </w:r>
      <w:r w:rsidRPr="000C2B6E">
        <w:rPr>
          <w:rStyle w:val="citation-529"/>
          <w:rFonts w:ascii="Verdana" w:hAnsi="Verdana"/>
          <w:color w:val="000000" w:themeColor="text1"/>
          <w:sz w:val="22"/>
          <w:szCs w:val="22"/>
        </w:rPr>
        <w:t>Aquellas gestiones que se tramitan, aprueban y perfeccionan directamente a través de los flujos de trabajo de la plataforma —tales como la publicación de pliegos electrónicos, la adjudicación en línea o la suscripción del contrato electrónico— gozan de una publicidad automática e inmediata en tiempo real</w:t>
      </w:r>
      <w:r w:rsidRPr="000C2B6E">
        <w:rPr>
          <w:rFonts w:ascii="Verdana" w:hAnsi="Verdana"/>
          <w:color w:val="000000" w:themeColor="text1"/>
          <w:sz w:val="22"/>
          <w:szCs w:val="22"/>
        </w:rPr>
        <w:t xml:space="preserve">. </w:t>
      </w:r>
      <w:r w:rsidRPr="000C2B6E">
        <w:rPr>
          <w:rStyle w:val="citation-528"/>
          <w:rFonts w:ascii="Verdana" w:hAnsi="Verdana"/>
          <w:color w:val="000000" w:themeColor="text1"/>
          <w:sz w:val="22"/>
          <w:szCs w:val="22"/>
        </w:rPr>
        <w:t>Frente a estas actuaciones no opera el plazo de gracia de tres días, entendiéndose cumplido el deber de publicidad en el mismo instante de la acción en el sistema</w:t>
      </w:r>
      <w:r w:rsidRPr="000C2B6E">
        <w:rPr>
          <w:rFonts w:ascii="Verdana" w:hAnsi="Verdana"/>
          <w:color w:val="000000" w:themeColor="text1"/>
          <w:sz w:val="22"/>
          <w:szCs w:val="22"/>
        </w:rPr>
        <w:t>.</w:t>
      </w:r>
    </w:p>
    <w:p w14:paraId="51CC6CCB" w14:textId="4CF2DCCE" w:rsidR="000C2B6E" w:rsidRPr="000C2B6E" w:rsidRDefault="000C2B6E" w:rsidP="000C2B6E">
      <w:pPr>
        <w:spacing w:line="240" w:lineRule="auto"/>
        <w:jc w:val="both"/>
        <w:rPr>
          <w:rFonts w:ascii="Verdana" w:hAnsi="Verdana"/>
          <w:color w:val="000000" w:themeColor="text1"/>
        </w:rPr>
      </w:pPr>
    </w:p>
    <w:p w14:paraId="2A767E5D" w14:textId="61F70B68" w:rsidR="000C2B6E" w:rsidRDefault="000C2B6E" w:rsidP="000C2B6E">
      <w:pPr>
        <w:pStyle w:val="Ttulo3"/>
        <w:spacing w:line="240" w:lineRule="auto"/>
        <w:jc w:val="both"/>
        <w:rPr>
          <w:rStyle w:val="citation-526"/>
          <w:rFonts w:ascii="Verdana" w:hAnsi="Verdana"/>
          <w:b/>
          <w:bCs/>
          <w:color w:val="000000" w:themeColor="text1"/>
          <w:sz w:val="22"/>
          <w:szCs w:val="22"/>
        </w:rPr>
      </w:pPr>
      <w:r w:rsidRPr="000C2B6E">
        <w:rPr>
          <w:rFonts w:ascii="Verdana" w:hAnsi="Verdana"/>
          <w:b/>
          <w:bCs/>
          <w:color w:val="000000" w:themeColor="text1"/>
          <w:sz w:val="22"/>
          <w:szCs w:val="22"/>
        </w:rPr>
        <w:t>DOCUMENTOS DEL PROCE</w:t>
      </w:r>
      <w:r w:rsidRPr="000C2B6E">
        <w:rPr>
          <w:rStyle w:val="citation-526"/>
          <w:rFonts w:ascii="Verdana" w:hAnsi="Verdana"/>
          <w:b/>
          <w:bCs/>
          <w:color w:val="000000" w:themeColor="text1"/>
          <w:sz w:val="22"/>
          <w:szCs w:val="22"/>
        </w:rPr>
        <w:t xml:space="preserve">SO – Definición </w:t>
      </w:r>
    </w:p>
    <w:p w14:paraId="31822A7E" w14:textId="77777777" w:rsidR="000C2B6E" w:rsidRPr="000C2B6E" w:rsidRDefault="000C2B6E" w:rsidP="000C2B6E"/>
    <w:p w14:paraId="1EDA8EBA" w14:textId="77777777" w:rsidR="000C2B6E" w:rsidRPr="000C2B6E" w:rsidRDefault="000C2B6E" w:rsidP="000C2B6E">
      <w:pPr>
        <w:pStyle w:val="NormalWeb"/>
        <w:spacing w:line="240" w:lineRule="auto"/>
        <w:jc w:val="both"/>
        <w:rPr>
          <w:rFonts w:ascii="Verdana" w:hAnsi="Verdana"/>
          <w:color w:val="000000" w:themeColor="text1"/>
          <w:sz w:val="22"/>
          <w:szCs w:val="22"/>
        </w:rPr>
      </w:pPr>
      <w:r w:rsidRPr="000C2B6E">
        <w:rPr>
          <w:rStyle w:val="citation-524"/>
          <w:rFonts w:ascii="Verdana" w:hAnsi="Verdana"/>
          <w:color w:val="000000" w:themeColor="text1"/>
          <w:sz w:val="22"/>
          <w:szCs w:val="22"/>
        </w:rPr>
        <w:t xml:space="preserve">La expresión Documentos del Proceso incluye: (a) los estudios y documentos previos; (b) el aviso de convocatoria; (c) los pliegos de condiciones o la invitación; (d) las adendas; (e) la oferta; (f) el informe de evaluación; (g) </w:t>
      </w:r>
      <w:r w:rsidRPr="000C2B6E">
        <w:rPr>
          <w:rStyle w:val="citation-523"/>
          <w:rFonts w:ascii="Verdana" w:hAnsi="Verdana"/>
          <w:color w:val="000000" w:themeColor="text1"/>
          <w:sz w:val="22"/>
          <w:szCs w:val="22"/>
        </w:rPr>
        <w:t>el contrato; y cualquier otro documento expedido por la Entidad Estatal durante el Proceso de Contratación</w:t>
      </w:r>
      <w:r w:rsidRPr="000C2B6E">
        <w:rPr>
          <w:rFonts w:ascii="Verdana" w:hAnsi="Verdana"/>
          <w:color w:val="000000" w:themeColor="text1"/>
          <w:sz w:val="22"/>
          <w:szCs w:val="22"/>
        </w:rPr>
        <w:t xml:space="preserve">. </w:t>
      </w:r>
      <w:r w:rsidRPr="000C2B6E">
        <w:rPr>
          <w:rStyle w:val="citation-522"/>
          <w:rFonts w:ascii="Verdana" w:hAnsi="Verdana"/>
          <w:color w:val="000000" w:themeColor="text1"/>
          <w:sz w:val="22"/>
          <w:szCs w:val="22"/>
        </w:rPr>
        <w:t>No obstante, este listado no es taxativo sino enunciativo</w:t>
      </w:r>
      <w:r w:rsidRPr="000C2B6E">
        <w:rPr>
          <w:rFonts w:ascii="Verdana" w:hAnsi="Verdana"/>
          <w:color w:val="000000" w:themeColor="text1"/>
          <w:sz w:val="22"/>
          <w:szCs w:val="22"/>
        </w:rPr>
        <w:t xml:space="preserve">. </w:t>
      </w:r>
      <w:r w:rsidRPr="000C2B6E">
        <w:rPr>
          <w:rStyle w:val="citation-521"/>
          <w:rFonts w:ascii="Verdana" w:hAnsi="Verdana"/>
          <w:color w:val="000000" w:themeColor="text1"/>
          <w:sz w:val="22"/>
          <w:szCs w:val="22"/>
        </w:rPr>
        <w:t xml:space="preserve">Por regla general, las entidades están obligadas a publicar todos los documentos relacionados con el Proceso de Contratación expedidos durante las etapas precontractual, de ejecución y </w:t>
      </w:r>
      <w:proofErr w:type="spellStart"/>
      <w:r w:rsidRPr="000C2B6E">
        <w:rPr>
          <w:rStyle w:val="citation-521"/>
          <w:rFonts w:ascii="Verdana" w:hAnsi="Verdana"/>
          <w:color w:val="000000" w:themeColor="text1"/>
          <w:sz w:val="22"/>
          <w:szCs w:val="22"/>
        </w:rPr>
        <w:t>postcontractual</w:t>
      </w:r>
      <w:proofErr w:type="spellEnd"/>
      <w:r w:rsidRPr="000C2B6E">
        <w:rPr>
          <w:rFonts w:ascii="Verdana" w:hAnsi="Verdana"/>
          <w:color w:val="000000" w:themeColor="text1"/>
          <w:sz w:val="22"/>
          <w:szCs w:val="22"/>
        </w:rPr>
        <w:t xml:space="preserve">. </w:t>
      </w:r>
      <w:r w:rsidRPr="000C2B6E">
        <w:rPr>
          <w:rStyle w:val="citation-520"/>
          <w:rFonts w:ascii="Verdana" w:hAnsi="Verdana"/>
          <w:color w:val="000000" w:themeColor="text1"/>
          <w:sz w:val="22"/>
          <w:szCs w:val="22"/>
        </w:rPr>
        <w:t>Se encuentran exceptuadas de este deber las ofertas perdedoras y los documentos expedidos en el marco de operaciones de bolsa de productos</w:t>
      </w:r>
      <w:r w:rsidRPr="000C2B6E">
        <w:rPr>
          <w:rFonts w:ascii="Verdana" w:hAnsi="Verdana"/>
          <w:color w:val="000000" w:themeColor="text1"/>
          <w:sz w:val="22"/>
          <w:szCs w:val="22"/>
        </w:rPr>
        <w:t>.</w:t>
      </w:r>
    </w:p>
    <w:p w14:paraId="672E816B" w14:textId="77777777" w:rsidR="000C2B6E" w:rsidRDefault="000C2B6E" w:rsidP="002151F7">
      <w:pPr>
        <w:pStyle w:val="Textoindependiente"/>
        <w:spacing w:before="50" w:line="578" w:lineRule="exact"/>
        <w:ind w:right="5514"/>
        <w:rPr>
          <w:rFonts w:ascii="Verdana" w:hAnsi="Verdana"/>
          <w:sz w:val="20"/>
          <w:szCs w:val="20"/>
        </w:rPr>
      </w:pPr>
    </w:p>
    <w:p w14:paraId="5B227F0A" w14:textId="77777777" w:rsidR="000C2B6E" w:rsidRDefault="000C2B6E" w:rsidP="002151F7">
      <w:pPr>
        <w:pStyle w:val="Textoindependiente"/>
        <w:spacing w:before="50" w:line="578" w:lineRule="exact"/>
        <w:ind w:right="5514"/>
        <w:rPr>
          <w:rFonts w:ascii="Verdana" w:hAnsi="Verdana"/>
          <w:sz w:val="20"/>
          <w:szCs w:val="20"/>
        </w:rPr>
      </w:pPr>
    </w:p>
    <w:p w14:paraId="5974E7D5" w14:textId="77777777" w:rsidR="000C2B6E" w:rsidRDefault="000C2B6E" w:rsidP="002151F7">
      <w:pPr>
        <w:pStyle w:val="Textoindependiente"/>
        <w:spacing w:before="50" w:line="578" w:lineRule="exact"/>
        <w:ind w:right="5514"/>
        <w:rPr>
          <w:rFonts w:ascii="Verdana" w:hAnsi="Verdana"/>
          <w:sz w:val="20"/>
          <w:szCs w:val="20"/>
        </w:rPr>
      </w:pPr>
    </w:p>
    <w:p w14:paraId="0532D747" w14:textId="77777777" w:rsidR="000C2B6E" w:rsidRDefault="000C2B6E" w:rsidP="002151F7">
      <w:pPr>
        <w:pStyle w:val="Textoindependiente"/>
        <w:spacing w:before="50" w:line="578" w:lineRule="exact"/>
        <w:ind w:right="5514"/>
        <w:rPr>
          <w:rFonts w:ascii="Verdana" w:hAnsi="Verdana"/>
          <w:sz w:val="20"/>
          <w:szCs w:val="20"/>
        </w:rPr>
      </w:pPr>
    </w:p>
    <w:p w14:paraId="6EA623CF" w14:textId="77777777" w:rsidR="000C2B6E" w:rsidRDefault="000C2B6E" w:rsidP="002151F7">
      <w:pPr>
        <w:pStyle w:val="Textoindependiente"/>
        <w:spacing w:before="50" w:line="578" w:lineRule="exact"/>
        <w:ind w:right="5514"/>
        <w:rPr>
          <w:rFonts w:ascii="Verdana" w:hAnsi="Verdana"/>
          <w:sz w:val="20"/>
          <w:szCs w:val="20"/>
        </w:rPr>
      </w:pPr>
    </w:p>
    <w:p w14:paraId="23580442" w14:textId="77777777" w:rsidR="000C2B6E" w:rsidRDefault="000C2B6E" w:rsidP="002151F7">
      <w:pPr>
        <w:pStyle w:val="Textoindependiente"/>
        <w:spacing w:before="50" w:line="578" w:lineRule="exact"/>
        <w:ind w:right="5514"/>
        <w:rPr>
          <w:rFonts w:ascii="Verdana" w:hAnsi="Verdana"/>
          <w:sz w:val="20"/>
          <w:szCs w:val="20"/>
        </w:rPr>
      </w:pPr>
    </w:p>
    <w:p w14:paraId="092A3500" w14:textId="77777777" w:rsidR="000C2B6E" w:rsidRDefault="000C2B6E" w:rsidP="002151F7">
      <w:pPr>
        <w:pStyle w:val="Textoindependiente"/>
        <w:spacing w:before="50" w:line="578" w:lineRule="exact"/>
        <w:ind w:right="5514"/>
        <w:rPr>
          <w:rFonts w:ascii="Verdana" w:hAnsi="Verdana"/>
          <w:sz w:val="20"/>
          <w:szCs w:val="20"/>
        </w:rPr>
      </w:pPr>
    </w:p>
    <w:p w14:paraId="3581ECC8" w14:textId="77777777" w:rsidR="000C2B6E" w:rsidRDefault="000C2B6E" w:rsidP="002151F7">
      <w:pPr>
        <w:pStyle w:val="Textoindependiente"/>
        <w:spacing w:before="50" w:line="578" w:lineRule="exact"/>
        <w:ind w:right="5514"/>
        <w:rPr>
          <w:rFonts w:ascii="Verdana" w:hAnsi="Verdana"/>
          <w:sz w:val="20"/>
          <w:szCs w:val="20"/>
        </w:rPr>
      </w:pPr>
    </w:p>
    <w:p w14:paraId="3FC0A658" w14:textId="77777777" w:rsidR="000C2B6E" w:rsidRDefault="000C2B6E" w:rsidP="002151F7">
      <w:pPr>
        <w:pStyle w:val="Textoindependiente"/>
        <w:spacing w:before="50" w:line="578" w:lineRule="exact"/>
        <w:ind w:right="5514"/>
        <w:rPr>
          <w:rFonts w:ascii="Verdana" w:hAnsi="Verdana"/>
          <w:sz w:val="20"/>
          <w:szCs w:val="20"/>
        </w:rPr>
      </w:pPr>
    </w:p>
    <w:p w14:paraId="72602209" w14:textId="77777777" w:rsidR="000C2B6E" w:rsidRDefault="000C2B6E" w:rsidP="002151F7">
      <w:pPr>
        <w:pStyle w:val="Textoindependiente"/>
        <w:spacing w:before="50" w:line="578" w:lineRule="exact"/>
        <w:ind w:right="5514"/>
        <w:rPr>
          <w:rFonts w:ascii="Verdana" w:hAnsi="Verdana"/>
          <w:sz w:val="20"/>
          <w:szCs w:val="20"/>
        </w:rPr>
      </w:pPr>
    </w:p>
    <w:p w14:paraId="055E45F7" w14:textId="3CA16654" w:rsidR="002151F7" w:rsidRPr="002151F7" w:rsidRDefault="002151F7" w:rsidP="002151F7">
      <w:pPr>
        <w:pStyle w:val="Textoindependiente"/>
        <w:spacing w:before="50" w:line="578" w:lineRule="exact"/>
        <w:ind w:right="5514"/>
        <w:rPr>
          <w:rFonts w:ascii="Verdana" w:hAnsi="Verdana"/>
          <w:sz w:val="20"/>
          <w:szCs w:val="20"/>
        </w:rPr>
      </w:pPr>
      <w:r w:rsidRPr="002151F7">
        <w:rPr>
          <w:rFonts w:ascii="Verdana" w:hAnsi="Verdana"/>
          <w:noProof/>
          <w:sz w:val="20"/>
          <w:szCs w:val="20"/>
        </w:rPr>
        <w:drawing>
          <wp:anchor distT="0" distB="0" distL="0" distR="0" simplePos="0" relativeHeight="251659264" behindDoc="0" locked="0" layoutInCell="1" allowOverlap="1" wp14:anchorId="0CAEBA20" wp14:editId="643D982B">
            <wp:simplePos x="0" y="0"/>
            <wp:positionH relativeFrom="page">
              <wp:posOffset>3822931</wp:posOffset>
            </wp:positionH>
            <wp:positionV relativeFrom="paragraph">
              <wp:posOffset>434167</wp:posOffset>
            </wp:positionV>
            <wp:extent cx="2666365" cy="720436"/>
            <wp:effectExtent l="0" t="0" r="635" b="381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666365" cy="720436"/>
                    </a:xfrm>
                    <a:prstGeom prst="rect">
                      <a:avLst/>
                    </a:prstGeom>
                  </pic:spPr>
                </pic:pic>
              </a:graphicData>
            </a:graphic>
            <wp14:sizeRelH relativeFrom="margin">
              <wp14:pctWidth>0</wp14:pctWidth>
            </wp14:sizeRelH>
            <wp14:sizeRelV relativeFrom="margin">
              <wp14:pctHeight>0</wp14:pctHeight>
            </wp14:sizeRelV>
          </wp:anchor>
        </w:drawing>
      </w:r>
      <w:r w:rsidRPr="002151F7">
        <w:rPr>
          <w:rFonts w:ascii="Verdana" w:hAnsi="Verdana"/>
          <w:sz w:val="20"/>
          <w:szCs w:val="20"/>
        </w:rPr>
        <w:t>Bogotá</w:t>
      </w:r>
      <w:r w:rsidRPr="002151F7">
        <w:rPr>
          <w:rFonts w:ascii="Verdana" w:hAnsi="Verdana"/>
          <w:spacing w:val="-12"/>
          <w:sz w:val="20"/>
          <w:szCs w:val="20"/>
        </w:rPr>
        <w:t xml:space="preserve"> </w:t>
      </w:r>
      <w:r w:rsidRPr="002151F7">
        <w:rPr>
          <w:rFonts w:ascii="Verdana" w:hAnsi="Verdana"/>
          <w:sz w:val="20"/>
          <w:szCs w:val="20"/>
        </w:rPr>
        <w:t>D.C.,</w:t>
      </w:r>
      <w:r w:rsidRPr="002151F7">
        <w:rPr>
          <w:rFonts w:ascii="Verdana" w:hAnsi="Verdana"/>
          <w:spacing w:val="-8"/>
          <w:sz w:val="20"/>
          <w:szCs w:val="20"/>
        </w:rPr>
        <w:t xml:space="preserve"> </w:t>
      </w:r>
      <w:r w:rsidRPr="002151F7">
        <w:rPr>
          <w:rFonts w:ascii="Verdana" w:hAnsi="Verdana"/>
          <w:sz w:val="20"/>
          <w:szCs w:val="20"/>
        </w:rPr>
        <w:t>16</w:t>
      </w:r>
      <w:r w:rsidRPr="002151F7">
        <w:rPr>
          <w:rFonts w:ascii="Verdana" w:hAnsi="Verdana"/>
          <w:spacing w:val="-12"/>
          <w:sz w:val="20"/>
          <w:szCs w:val="20"/>
        </w:rPr>
        <w:t xml:space="preserve"> </w:t>
      </w:r>
      <w:r w:rsidRPr="002151F7">
        <w:rPr>
          <w:rFonts w:ascii="Verdana" w:hAnsi="Verdana"/>
          <w:sz w:val="20"/>
          <w:szCs w:val="20"/>
        </w:rPr>
        <w:t>Diciembre</w:t>
      </w:r>
      <w:r w:rsidRPr="002151F7">
        <w:rPr>
          <w:rFonts w:ascii="Verdana" w:hAnsi="Verdana"/>
          <w:spacing w:val="-8"/>
          <w:sz w:val="20"/>
          <w:szCs w:val="20"/>
        </w:rPr>
        <w:t xml:space="preserve"> </w:t>
      </w:r>
      <w:r w:rsidRPr="002151F7">
        <w:rPr>
          <w:rFonts w:ascii="Verdana" w:hAnsi="Verdana"/>
          <w:sz w:val="20"/>
          <w:szCs w:val="20"/>
        </w:rPr>
        <w:t xml:space="preserve">2025 </w:t>
      </w:r>
    </w:p>
    <w:p w14:paraId="6C19962F" w14:textId="02AA27AA" w:rsidR="00871B59" w:rsidRPr="002151F7" w:rsidRDefault="00871B59" w:rsidP="00871B59">
      <w:pPr>
        <w:spacing w:after="0" w:line="240" w:lineRule="auto"/>
        <w:jc w:val="both"/>
        <w:rPr>
          <w:rFonts w:ascii="Verdana" w:eastAsia="Calibri" w:hAnsi="Verdana" w:cs="Arial"/>
          <w:color w:val="000000"/>
        </w:rPr>
      </w:pPr>
    </w:p>
    <w:p w14:paraId="2CA38D06" w14:textId="3DEB1A4C" w:rsidR="00871B59" w:rsidRPr="00061FB5" w:rsidRDefault="00871B59" w:rsidP="00871B59">
      <w:pPr>
        <w:spacing w:after="0" w:line="240" w:lineRule="auto"/>
        <w:jc w:val="both"/>
        <w:rPr>
          <w:rFonts w:ascii="Verdana" w:eastAsia="Calibri" w:hAnsi="Verdana" w:cs="Arial"/>
          <w:lang w:val="es-ES" w:eastAsia="es-ES"/>
        </w:rPr>
      </w:pPr>
      <w:r w:rsidRPr="00061FB5">
        <w:rPr>
          <w:rFonts w:ascii="Verdana" w:eastAsia="Calibri" w:hAnsi="Verdana" w:cs="Arial"/>
          <w:lang w:val="es-ES" w:eastAsia="es-ES"/>
        </w:rPr>
        <w:t>Señor</w:t>
      </w:r>
      <w:r w:rsidR="00562F16">
        <w:rPr>
          <w:rFonts w:ascii="Verdana" w:eastAsia="Calibri" w:hAnsi="Verdana" w:cs="Arial"/>
          <w:lang w:val="es-ES" w:eastAsia="es-ES"/>
        </w:rPr>
        <w:t>a</w:t>
      </w:r>
    </w:p>
    <w:p w14:paraId="1965F413" w14:textId="39BE1B4D" w:rsidR="00871B59" w:rsidRPr="00061FB5" w:rsidRDefault="00562F16"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Ana María Herazo</w:t>
      </w:r>
    </w:p>
    <w:p w14:paraId="77514F05" w14:textId="1CFCAF0B" w:rsidR="00871B59" w:rsidRPr="00061FB5" w:rsidRDefault="00061FB5" w:rsidP="00871B59">
      <w:pPr>
        <w:spacing w:after="0" w:line="240" w:lineRule="auto"/>
        <w:rPr>
          <w:rFonts w:ascii="Verdana" w:eastAsia="Calibri" w:hAnsi="Verdana" w:cs="Arial"/>
          <w:u w:val="single"/>
          <w:lang w:val="es-ES" w:eastAsia="es-ES"/>
        </w:rPr>
      </w:pPr>
      <w:hyperlink r:id="rId12" w:history="1">
        <w:r w:rsidRPr="00061FB5">
          <w:rPr>
            <w:rStyle w:val="Hipervnculo"/>
            <w:rFonts w:ascii="Verdana" w:hAnsi="Verdana"/>
            <w:shd w:val="clear" w:color="auto" w:fill="F5F5F5"/>
          </w:rPr>
          <w:t>Ana.HerazoR@tigo.com.co</w:t>
        </w:r>
      </w:hyperlink>
      <w:r w:rsidRPr="00061FB5">
        <w:rPr>
          <w:rFonts w:ascii="Verdana" w:hAnsi="Verdana"/>
          <w:color w:val="242424"/>
          <w:shd w:val="clear" w:color="auto" w:fill="F5F5F5"/>
        </w:rPr>
        <w:t xml:space="preserve"> </w:t>
      </w:r>
    </w:p>
    <w:p w14:paraId="21295364" w14:textId="6E759222" w:rsidR="00871B59" w:rsidRPr="00562F16" w:rsidRDefault="00562F16" w:rsidP="00871B59">
      <w:pPr>
        <w:spacing w:after="0" w:line="240" w:lineRule="auto"/>
        <w:rPr>
          <w:rFonts w:ascii="Verdana" w:eastAsia="Calibri" w:hAnsi="Verdana" w:cs="Arial"/>
          <w:color w:val="000000"/>
          <w:lang w:val="es-ES_tradnl" w:eastAsia="es-ES_tradnl"/>
        </w:rPr>
      </w:pPr>
      <w:r w:rsidRPr="00562F16">
        <w:rPr>
          <w:rFonts w:ascii="Verdana" w:eastAsia="Calibri" w:hAnsi="Verdana" w:cs="Arial"/>
          <w:color w:val="000000"/>
          <w:lang w:val="es-ES_tradnl" w:eastAsia="es-ES_tradnl"/>
        </w:rPr>
        <w:t xml:space="preserve">Bogotá D.C </w:t>
      </w:r>
    </w:p>
    <w:p w14:paraId="4970F84C" w14:textId="77777777" w:rsidR="00871B59" w:rsidRPr="00F478E4"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F478E4" w14:paraId="633C6842" w14:textId="77777777" w:rsidTr="002607A7">
        <w:trPr>
          <w:trHeight w:val="884"/>
        </w:trPr>
        <w:tc>
          <w:tcPr>
            <w:tcW w:w="2689" w:type="dxa"/>
          </w:tcPr>
          <w:p w14:paraId="0DF254B4" w14:textId="77777777" w:rsidR="00871B59" w:rsidRPr="00F478E4" w:rsidRDefault="00871B59" w:rsidP="002607A7">
            <w:pPr>
              <w:jc w:val="both"/>
              <w:rPr>
                <w:rFonts w:ascii="Verdana" w:eastAsia="Calibri" w:hAnsi="Verdana" w:cs="Arial"/>
                <w:b/>
                <w:bCs/>
                <w:color w:val="7030A0"/>
                <w:lang w:val="es-ES_tradnl" w:eastAsia="es-ES_tradnl"/>
              </w:rPr>
            </w:pPr>
          </w:p>
        </w:tc>
        <w:tc>
          <w:tcPr>
            <w:tcW w:w="6100" w:type="dxa"/>
          </w:tcPr>
          <w:p w14:paraId="24A82FBF" w14:textId="6E559263" w:rsidR="00871B59" w:rsidRPr="00F478E4" w:rsidRDefault="00871B59" w:rsidP="002607A7">
            <w:pPr>
              <w:jc w:val="both"/>
              <w:rPr>
                <w:rFonts w:ascii="Verdana" w:eastAsia="Calibri" w:hAnsi="Verdana" w:cs="Arial"/>
                <w:b/>
                <w:bCs/>
                <w:color w:val="7030A0"/>
                <w:lang w:val="es-ES" w:eastAsia="es-ES"/>
              </w:rPr>
            </w:pPr>
            <w:r w:rsidRPr="00F478E4">
              <w:rPr>
                <w:rFonts w:ascii="Verdana" w:eastAsia="Calibri" w:hAnsi="Verdana" w:cs="Arial"/>
                <w:b/>
                <w:bCs/>
                <w:lang w:val="es-ES" w:eastAsia="es-ES"/>
              </w:rPr>
              <w:t>Concepto C</w:t>
            </w:r>
            <w:r w:rsidR="00B6492E" w:rsidRPr="00F478E4">
              <w:rPr>
                <w:rFonts w:ascii="Verdana" w:eastAsia="Calibri" w:hAnsi="Verdana" w:cs="Arial"/>
                <w:b/>
                <w:bCs/>
                <w:lang w:val="es-ES" w:eastAsia="es-ES"/>
              </w:rPr>
              <w:t xml:space="preserve">- </w:t>
            </w:r>
            <w:r w:rsidR="00CD2662" w:rsidRPr="00F478E4">
              <w:rPr>
                <w:rFonts w:ascii="Verdana" w:eastAsia="Calibri" w:hAnsi="Verdana" w:cs="Arial"/>
                <w:b/>
                <w:bCs/>
                <w:lang w:val="es-ES" w:eastAsia="es-ES"/>
              </w:rPr>
              <w:t>1643</w:t>
            </w:r>
            <w:r w:rsidRPr="00F478E4">
              <w:rPr>
                <w:rFonts w:ascii="Verdana" w:eastAsia="Calibri" w:hAnsi="Verdana" w:cs="Arial"/>
                <w:b/>
                <w:bCs/>
                <w:color w:val="7030A0"/>
                <w:lang w:val="es-ES" w:eastAsia="es-ES"/>
              </w:rPr>
              <w:t xml:space="preserve"> </w:t>
            </w:r>
            <w:r w:rsidRPr="00F478E4">
              <w:rPr>
                <w:rFonts w:ascii="Verdana" w:eastAsia="Calibri" w:hAnsi="Verdana" w:cs="Arial"/>
                <w:b/>
                <w:bCs/>
                <w:lang w:val="es-ES" w:eastAsia="es-ES"/>
              </w:rPr>
              <w:t>de</w:t>
            </w:r>
            <w:r w:rsidR="00B6492E" w:rsidRPr="00F478E4">
              <w:rPr>
                <w:rFonts w:ascii="Verdana" w:eastAsia="Calibri" w:hAnsi="Verdana" w:cs="Arial"/>
                <w:b/>
                <w:bCs/>
                <w:lang w:val="es-ES" w:eastAsia="es-ES"/>
              </w:rPr>
              <w:t xml:space="preserve"> 2025</w:t>
            </w:r>
          </w:p>
        </w:tc>
      </w:tr>
      <w:tr w:rsidR="00871B59" w:rsidRPr="00F478E4" w14:paraId="27DA4EEF" w14:textId="77777777" w:rsidTr="002607A7">
        <w:trPr>
          <w:trHeight w:val="884"/>
        </w:trPr>
        <w:tc>
          <w:tcPr>
            <w:tcW w:w="2689" w:type="dxa"/>
          </w:tcPr>
          <w:p w14:paraId="1F789CD2" w14:textId="77777777" w:rsidR="00871B59" w:rsidRPr="00F478E4" w:rsidRDefault="00871B59" w:rsidP="002607A7">
            <w:pPr>
              <w:jc w:val="both"/>
              <w:rPr>
                <w:rFonts w:ascii="Verdana" w:eastAsia="Calibri" w:hAnsi="Verdana" w:cs="Arial"/>
                <w:color w:val="000000"/>
                <w:lang w:val="es-ES_tradnl" w:eastAsia="es-ES_tradnl"/>
              </w:rPr>
            </w:pPr>
            <w:r w:rsidRPr="00F478E4">
              <w:rPr>
                <w:rFonts w:ascii="Verdana" w:eastAsia="Calibri" w:hAnsi="Verdana" w:cs="Arial"/>
                <w:b/>
                <w:color w:val="000000"/>
                <w:lang w:val="es-ES_tradnl" w:eastAsia="es-ES_tradnl"/>
              </w:rPr>
              <w:t>Temas:</w:t>
            </w:r>
            <w:r w:rsidRPr="00F478E4">
              <w:rPr>
                <w:rFonts w:ascii="Verdana" w:eastAsia="Calibri" w:hAnsi="Verdana" w:cs="Arial"/>
                <w:color w:val="000000"/>
                <w:lang w:val="es-ES_tradnl" w:eastAsia="es-ES_tradnl"/>
              </w:rPr>
              <w:t xml:space="preserve">                   </w:t>
            </w:r>
          </w:p>
        </w:tc>
        <w:tc>
          <w:tcPr>
            <w:tcW w:w="6100" w:type="dxa"/>
          </w:tcPr>
          <w:p w14:paraId="288FAC73" w14:textId="104D674F" w:rsidR="00871B59" w:rsidRPr="00061FB5" w:rsidRDefault="00061FB5" w:rsidP="002607A7">
            <w:pPr>
              <w:spacing w:line="276" w:lineRule="auto"/>
              <w:jc w:val="both"/>
              <w:rPr>
                <w:rFonts w:ascii="Verdana" w:hAnsi="Verdana"/>
              </w:rPr>
            </w:pPr>
            <w:r w:rsidRPr="00061FB5">
              <w:rPr>
                <w:rFonts w:ascii="Verdana" w:hAnsi="Verdana"/>
              </w:rPr>
              <w:t>PRINCIPIO DE PUBLICIDAD – Deber de publicación – SECOP – Documentos del proceso / TÉRMINO DE PUBLICACIÓN –</w:t>
            </w:r>
            <w:r w:rsidR="0042469C">
              <w:rPr>
                <w:rFonts w:ascii="Verdana" w:hAnsi="Verdana"/>
              </w:rPr>
              <w:t xml:space="preserve"> </w:t>
            </w:r>
            <w:r w:rsidRPr="00061FB5">
              <w:rPr>
                <w:rFonts w:ascii="Verdana" w:hAnsi="Verdana"/>
              </w:rPr>
              <w:t>Oportunidad</w:t>
            </w:r>
          </w:p>
          <w:p w14:paraId="30A0E768" w14:textId="76E79A52" w:rsidR="00061FB5" w:rsidRPr="00061FB5" w:rsidRDefault="00061FB5" w:rsidP="002607A7">
            <w:pPr>
              <w:spacing w:line="276" w:lineRule="auto"/>
              <w:jc w:val="both"/>
              <w:rPr>
                <w:rFonts w:ascii="Verdana" w:eastAsia="Calibri" w:hAnsi="Verdana" w:cs="Arial"/>
                <w:lang w:eastAsia="es-ES"/>
              </w:rPr>
            </w:pPr>
          </w:p>
        </w:tc>
      </w:tr>
      <w:tr w:rsidR="00871B59" w:rsidRPr="00F478E4" w14:paraId="56C95926" w14:textId="77777777" w:rsidTr="005F0C32">
        <w:trPr>
          <w:trHeight w:val="265"/>
        </w:trPr>
        <w:tc>
          <w:tcPr>
            <w:tcW w:w="2689" w:type="dxa"/>
          </w:tcPr>
          <w:p w14:paraId="7D12EB9B" w14:textId="77777777" w:rsidR="00871B59" w:rsidRPr="00F478E4" w:rsidRDefault="00871B59" w:rsidP="00CD2662">
            <w:pPr>
              <w:jc w:val="both"/>
              <w:rPr>
                <w:rFonts w:ascii="Verdana" w:hAnsi="Verdana"/>
                <w:b/>
                <w:lang w:val="es-ES_tradnl" w:eastAsia="es-ES_tradnl"/>
              </w:rPr>
            </w:pPr>
            <w:r w:rsidRPr="00F478E4">
              <w:rPr>
                <w:rFonts w:ascii="Verdana" w:hAnsi="Verdana"/>
                <w:b/>
                <w:lang w:val="es-ES_tradnl" w:eastAsia="es-ES_tradnl"/>
              </w:rPr>
              <w:t>Radicación:</w:t>
            </w:r>
            <w:r w:rsidRPr="00F478E4">
              <w:rPr>
                <w:rFonts w:ascii="Verdana" w:hAnsi="Verdana"/>
                <w:lang w:val="es-ES_tradnl" w:eastAsia="es-ES_tradnl"/>
              </w:rPr>
              <w:t xml:space="preserve">               </w:t>
            </w:r>
          </w:p>
        </w:tc>
        <w:tc>
          <w:tcPr>
            <w:tcW w:w="6100" w:type="dxa"/>
          </w:tcPr>
          <w:p w14:paraId="59E58FC5" w14:textId="30F84D67" w:rsidR="00871B59" w:rsidRPr="00F478E4" w:rsidRDefault="00871B59" w:rsidP="00CD2662">
            <w:pPr>
              <w:jc w:val="both"/>
              <w:rPr>
                <w:rFonts w:ascii="Verdana" w:hAnsi="Verdana"/>
                <w:lang w:val="es-ES_tradnl" w:eastAsia="es-ES_tradnl"/>
              </w:rPr>
            </w:pPr>
            <w:r w:rsidRPr="00F478E4">
              <w:rPr>
                <w:rFonts w:ascii="Verdana" w:hAnsi="Verdana"/>
                <w:lang w:val="es-ES_tradnl" w:eastAsia="es-ES_tradnl"/>
              </w:rPr>
              <w:t xml:space="preserve">Respuesta a consulta con radicado No. </w:t>
            </w:r>
            <w:r w:rsidR="00CD2662" w:rsidRPr="00F478E4">
              <w:rPr>
                <w:rFonts w:ascii="Verdana" w:hAnsi="Verdana"/>
              </w:rPr>
              <w:br/>
            </w:r>
            <w:r w:rsidR="00CD2662" w:rsidRPr="00F478E4">
              <w:rPr>
                <w:rFonts w:ascii="Verdana" w:hAnsi="Verdana"/>
                <w:color w:val="242424"/>
                <w:shd w:val="clear" w:color="auto" w:fill="F5F5F5"/>
              </w:rPr>
              <w:t>1_2025_11_07_012599</w:t>
            </w:r>
          </w:p>
        </w:tc>
      </w:tr>
    </w:tbl>
    <w:p w14:paraId="056DE5D1" w14:textId="77777777" w:rsidR="00871B59" w:rsidRPr="00F478E4" w:rsidRDefault="00871B59" w:rsidP="00871B59">
      <w:pPr>
        <w:spacing w:after="0" w:line="240" w:lineRule="auto"/>
        <w:jc w:val="both"/>
        <w:rPr>
          <w:rFonts w:ascii="Verdana" w:eastAsia="Calibri" w:hAnsi="Verdana" w:cs="Arial"/>
          <w:color w:val="000000"/>
          <w:lang w:val="es-ES_tradnl" w:eastAsia="es-ES_tradnl"/>
        </w:rPr>
      </w:pPr>
    </w:p>
    <w:p w14:paraId="641642B0" w14:textId="77777777" w:rsidR="00871B59" w:rsidRPr="00F478E4" w:rsidRDefault="00871B59" w:rsidP="00871B59">
      <w:pPr>
        <w:spacing w:after="0" w:line="240" w:lineRule="auto"/>
        <w:jc w:val="both"/>
        <w:rPr>
          <w:rFonts w:ascii="Verdana" w:eastAsia="Calibri" w:hAnsi="Verdana" w:cs="Arial"/>
          <w:color w:val="000000"/>
          <w:lang w:val="es-ES_tradnl" w:eastAsia="es-ES_tradnl"/>
        </w:rPr>
      </w:pPr>
    </w:p>
    <w:p w14:paraId="450949E1" w14:textId="530AA3A8" w:rsidR="00871B59" w:rsidRPr="00F478E4" w:rsidRDefault="00871B59" w:rsidP="00871B59">
      <w:pPr>
        <w:spacing w:after="0" w:line="276" w:lineRule="auto"/>
        <w:jc w:val="both"/>
        <w:rPr>
          <w:rFonts w:ascii="Verdana" w:eastAsia="Calibri" w:hAnsi="Verdana" w:cs="Arial"/>
          <w:color w:val="000000" w:themeColor="text1"/>
          <w:lang w:val="es-ES" w:eastAsia="es-ES"/>
        </w:rPr>
      </w:pPr>
      <w:r w:rsidRPr="00F478E4">
        <w:rPr>
          <w:rFonts w:ascii="Verdana" w:eastAsia="Calibri" w:hAnsi="Verdana" w:cs="Arial"/>
          <w:color w:val="000000" w:themeColor="text1"/>
          <w:lang w:val="es-ES" w:eastAsia="es-ES"/>
        </w:rPr>
        <w:t>Estimad</w:t>
      </w:r>
      <w:r w:rsidR="00562F16">
        <w:rPr>
          <w:rFonts w:ascii="Verdana" w:eastAsia="Calibri" w:hAnsi="Verdana" w:cs="Arial"/>
          <w:color w:val="000000" w:themeColor="text1"/>
          <w:lang w:val="es-ES" w:eastAsia="es-ES"/>
        </w:rPr>
        <w:t>a</w:t>
      </w:r>
      <w:r w:rsidRPr="00F478E4">
        <w:rPr>
          <w:rFonts w:ascii="Verdana" w:eastAsia="Calibri" w:hAnsi="Verdana" w:cs="Arial"/>
          <w:color w:val="000000" w:themeColor="text1"/>
          <w:lang w:val="es-ES" w:eastAsia="es-ES"/>
        </w:rPr>
        <w:t xml:space="preserve"> seño</w:t>
      </w:r>
      <w:r w:rsidR="005F0C32" w:rsidRPr="00F478E4">
        <w:rPr>
          <w:rFonts w:ascii="Verdana" w:eastAsia="Calibri" w:hAnsi="Verdana" w:cs="Arial"/>
          <w:color w:val="000000" w:themeColor="text1"/>
          <w:lang w:val="es-ES" w:eastAsia="es-ES"/>
        </w:rPr>
        <w:t>r</w:t>
      </w:r>
      <w:r w:rsidR="00562F16">
        <w:rPr>
          <w:rFonts w:ascii="Verdana" w:eastAsia="Calibri" w:hAnsi="Verdana" w:cs="Arial"/>
          <w:color w:val="000000" w:themeColor="text1"/>
          <w:lang w:val="es-ES" w:eastAsia="es-ES"/>
        </w:rPr>
        <w:t>a Herazo</w:t>
      </w:r>
      <w:r w:rsidR="005F0C32" w:rsidRPr="00F478E4">
        <w:rPr>
          <w:rFonts w:ascii="Verdana" w:eastAsia="Calibri" w:hAnsi="Verdana" w:cs="Arial"/>
          <w:color w:val="000000" w:themeColor="text1"/>
          <w:lang w:val="es-ES" w:eastAsia="es-ES"/>
        </w:rPr>
        <w:t>:</w:t>
      </w:r>
      <w:r w:rsidRPr="00F478E4">
        <w:rPr>
          <w:rFonts w:ascii="Verdana" w:eastAsia="Calibri" w:hAnsi="Verdana" w:cs="Arial"/>
          <w:color w:val="000000" w:themeColor="text1"/>
          <w:lang w:val="es-ES" w:eastAsia="es-ES"/>
        </w:rPr>
        <w:t xml:space="preserve"> </w:t>
      </w:r>
    </w:p>
    <w:p w14:paraId="106424D1" w14:textId="77777777" w:rsidR="00871B59" w:rsidRPr="00F478E4"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F478E4">
        <w:rPr>
          <w:rFonts w:ascii="Verdana" w:eastAsia="Calibri" w:hAnsi="Verdana" w:cs="Arial"/>
          <w:color w:val="000000" w:themeColor="text1"/>
          <w:lang w:val="es-ES" w:eastAsia="es-ES"/>
        </w:rPr>
        <w:tab/>
      </w:r>
    </w:p>
    <w:p w14:paraId="6CE524DD" w14:textId="44D83736" w:rsidR="00871B59" w:rsidRPr="00F478E4" w:rsidRDefault="00871B59" w:rsidP="00871B59">
      <w:pPr>
        <w:spacing w:after="0" w:line="276" w:lineRule="auto"/>
        <w:jc w:val="both"/>
        <w:rPr>
          <w:rFonts w:ascii="Verdana" w:eastAsia="Calibri" w:hAnsi="Verdana" w:cs="Arial"/>
          <w:color w:val="7030A0"/>
          <w:lang w:val="es-ES" w:eastAsia="es-ES"/>
        </w:rPr>
      </w:pPr>
      <w:r w:rsidRPr="00F478E4">
        <w:rPr>
          <w:rFonts w:ascii="Verdana" w:eastAsia="Calibri" w:hAnsi="Verdana" w:cs="Arial"/>
          <w:color w:val="000000" w:themeColor="text1"/>
          <w:lang w:val="es-ES" w:eastAsia="es-ES"/>
        </w:rPr>
        <w:t>En ejercicio de la competencia otorgada por los artículos 3, numeral 5º, y 11, numeral 8º, del Decreto Ley 4170 de 2011,</w:t>
      </w:r>
      <w:r w:rsidRPr="00F478E4">
        <w:rPr>
          <w:rFonts w:ascii="Verdana" w:eastAsia="Arial MT" w:hAnsi="Verdana" w:cs="Arial MT"/>
          <w:lang w:val="es-ES" w:eastAsia="es-ES"/>
        </w:rPr>
        <w:t xml:space="preserve"> </w:t>
      </w:r>
      <w:r w:rsidRPr="00F478E4">
        <w:rPr>
          <w:rFonts w:ascii="Verdana" w:hAnsi="Verdana" w:cs="Arial"/>
        </w:rPr>
        <w:t xml:space="preserve">así como lo establecido en el artículo 4 de la Resolución 1707 de 2018 expedida por esta Entidad, </w:t>
      </w:r>
      <w:r w:rsidRPr="00F478E4">
        <w:rPr>
          <w:rFonts w:ascii="Verdana" w:eastAsia="Calibri" w:hAnsi="Verdana" w:cs="Arial"/>
          <w:color w:val="000000" w:themeColor="text1"/>
          <w:lang w:val="es-ES" w:eastAsia="es-ES"/>
        </w:rPr>
        <w:t>la Agencia Nacional de Contratación Pública – Colombia Compra Eficiente– responde su solicitud de consulta de fecha</w:t>
      </w:r>
      <w:r w:rsidR="00F478E4" w:rsidRPr="00F478E4">
        <w:rPr>
          <w:rFonts w:ascii="Verdana" w:eastAsia="Calibri" w:hAnsi="Verdana" w:cs="Arial"/>
          <w:color w:val="000000" w:themeColor="text1"/>
          <w:lang w:val="es-ES" w:eastAsia="es-ES"/>
        </w:rPr>
        <w:t xml:space="preserve"> 7 </w:t>
      </w:r>
      <w:r w:rsidRPr="00F478E4">
        <w:rPr>
          <w:rFonts w:ascii="Verdana" w:eastAsia="Calibri" w:hAnsi="Verdana" w:cs="Arial"/>
          <w:color w:val="000000" w:themeColor="text1"/>
          <w:lang w:val="es-ES" w:eastAsia="es-ES"/>
        </w:rPr>
        <w:t>de</w:t>
      </w:r>
      <w:r w:rsidR="00F478E4" w:rsidRPr="00F478E4">
        <w:rPr>
          <w:rFonts w:ascii="Verdana" w:eastAsia="Calibri" w:hAnsi="Verdana" w:cs="Arial"/>
          <w:color w:val="000000" w:themeColor="text1"/>
          <w:lang w:val="es-ES" w:eastAsia="es-ES"/>
        </w:rPr>
        <w:t xml:space="preserve"> noviembre</w:t>
      </w:r>
      <w:r w:rsidRPr="00F478E4">
        <w:rPr>
          <w:rFonts w:ascii="Verdana" w:eastAsia="Calibri" w:hAnsi="Verdana" w:cs="Arial"/>
          <w:color w:val="000000" w:themeColor="text1"/>
          <w:lang w:val="es-ES" w:eastAsia="es-ES"/>
        </w:rPr>
        <w:t xml:space="preserve"> de 20</w:t>
      </w:r>
      <w:r w:rsidR="00F478E4" w:rsidRPr="00F478E4">
        <w:rPr>
          <w:rFonts w:ascii="Verdana" w:eastAsia="Calibri" w:hAnsi="Verdana" w:cs="Arial"/>
          <w:color w:val="000000" w:themeColor="text1"/>
          <w:lang w:val="es-ES" w:eastAsia="es-ES"/>
        </w:rPr>
        <w:t>25</w:t>
      </w:r>
      <w:r w:rsidRPr="00F478E4">
        <w:rPr>
          <w:rFonts w:ascii="Verdana" w:eastAsia="Calibri" w:hAnsi="Verdana" w:cs="Arial"/>
          <w:color w:val="000000" w:themeColor="text1"/>
          <w:lang w:val="es-ES" w:eastAsia="es-ES"/>
        </w:rPr>
        <w:t>, en la cual manifiesta lo siguiente:</w:t>
      </w:r>
      <w:r w:rsidR="005F0C32" w:rsidRPr="00F478E4">
        <w:rPr>
          <w:rFonts w:ascii="Verdana" w:eastAsia="Calibri" w:hAnsi="Verdana" w:cs="Arial"/>
          <w:color w:val="000000" w:themeColor="text1"/>
          <w:lang w:val="es-ES" w:eastAsia="es-ES"/>
        </w:rPr>
        <w:t xml:space="preserve"> </w:t>
      </w:r>
    </w:p>
    <w:p w14:paraId="2DC4224E" w14:textId="77777777" w:rsidR="00871B59" w:rsidRPr="00F478E4"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5864D317" w14:textId="2682E9DD" w:rsidR="00871B59" w:rsidRPr="00F478E4" w:rsidRDefault="00871B59" w:rsidP="00871B59">
      <w:pPr>
        <w:spacing w:after="0" w:line="240" w:lineRule="auto"/>
        <w:ind w:left="709" w:right="709"/>
        <w:jc w:val="both"/>
        <w:rPr>
          <w:rFonts w:ascii="Verdana" w:eastAsia="Century Gothic" w:hAnsi="Verdana" w:cs="Century Gothic"/>
          <w:color w:val="000000" w:themeColor="text1"/>
          <w:sz w:val="20"/>
          <w:szCs w:val="20"/>
          <w:lang w:val="es-ES"/>
        </w:rPr>
      </w:pPr>
      <w:bookmarkStart w:id="0" w:name="_Hlk95313578"/>
      <w:r w:rsidRPr="00F478E4">
        <w:rPr>
          <w:rFonts w:ascii="Verdana" w:eastAsia="Century Gothic" w:hAnsi="Verdana" w:cs="Century Gothic"/>
          <w:color w:val="000000" w:themeColor="text1"/>
          <w:sz w:val="20"/>
          <w:szCs w:val="20"/>
          <w:lang w:val="es-ES"/>
        </w:rPr>
        <w:t>“</w:t>
      </w:r>
      <w:bookmarkEnd w:id="0"/>
      <w:r w:rsidR="005F0C32" w:rsidRPr="00F478E4">
        <w:rPr>
          <w:rFonts w:ascii="Verdana" w:hAnsi="Verdana"/>
          <w:color w:val="000000" w:themeColor="text1"/>
          <w:sz w:val="20"/>
          <w:szCs w:val="20"/>
          <w:shd w:val="clear" w:color="auto" w:fill="E9EEF6"/>
        </w:rPr>
        <w:t>¿Cuántos días después de formalizar el proceso contractual, se tienen para realizar la publicación de los documentos en SECOP II?”</w:t>
      </w:r>
    </w:p>
    <w:p w14:paraId="2F030182" w14:textId="77777777" w:rsidR="00871B59" w:rsidRPr="00F478E4" w:rsidRDefault="00871B59" w:rsidP="00871B59">
      <w:pPr>
        <w:pStyle w:val="Prrafodelista"/>
        <w:tabs>
          <w:tab w:val="left" w:pos="142"/>
          <w:tab w:val="left" w:pos="284"/>
        </w:tabs>
        <w:spacing w:line="276" w:lineRule="auto"/>
        <w:ind w:left="0"/>
        <w:jc w:val="both"/>
        <w:rPr>
          <w:rFonts w:ascii="Verdana" w:eastAsia="Century Gothic" w:hAnsi="Verdana" w:cs="Century Gothic"/>
          <w:b/>
          <w:bCs/>
          <w:color w:val="000000" w:themeColor="text1"/>
          <w:sz w:val="20"/>
          <w:szCs w:val="20"/>
          <w:lang w:val="es-ES"/>
        </w:rPr>
      </w:pPr>
    </w:p>
    <w:p w14:paraId="215D9E23" w14:textId="77777777" w:rsidR="00871B59" w:rsidRPr="00F478E4" w:rsidRDefault="00871B59" w:rsidP="00871B59">
      <w:pPr>
        <w:spacing w:after="120" w:line="276" w:lineRule="auto"/>
        <w:ind w:firstLine="709"/>
        <w:jc w:val="both"/>
        <w:rPr>
          <w:rFonts w:ascii="Verdana" w:eastAsia="Calibri" w:hAnsi="Verdana" w:cs="Arial"/>
          <w:color w:val="000000"/>
          <w:lang w:val="es-ES_tradnl" w:eastAsia="es-ES_tradnl"/>
        </w:rPr>
      </w:pPr>
      <w:r w:rsidRPr="00F478E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F478E4">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478E4">
        <w:rPr>
          <w:rFonts w:ascii="Verdana" w:eastAsia="Calibri" w:hAnsi="Verdana" w:cs="Arial"/>
          <w:color w:val="000000"/>
          <w:lang w:val="es-ES_tradnl" w:eastAsia="es-ES_tradnl"/>
        </w:rPr>
        <w:tab/>
      </w:r>
    </w:p>
    <w:p w14:paraId="4F60E24E" w14:textId="670C2E18" w:rsidR="00871B59" w:rsidRPr="00F478E4" w:rsidRDefault="00871B59" w:rsidP="00871B59">
      <w:pPr>
        <w:spacing w:after="0" w:line="276" w:lineRule="auto"/>
        <w:ind w:firstLine="709"/>
        <w:jc w:val="both"/>
        <w:rPr>
          <w:rFonts w:ascii="Verdana" w:eastAsia="Calibri" w:hAnsi="Verdana" w:cs="Arial"/>
          <w:color w:val="000000"/>
          <w:lang w:val="es-ES" w:eastAsia="es-ES"/>
        </w:rPr>
      </w:pPr>
      <w:r w:rsidRPr="00F478E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F478E4">
        <w:rPr>
          <w:rFonts w:ascii="Verdana" w:eastAsia="Calibri" w:hAnsi="Verdana" w:cs="Arial"/>
          <w:color w:val="7030A0"/>
          <w:lang w:val="es-ES" w:eastAsia="es-ES"/>
        </w:rPr>
        <w:t xml:space="preserve"> </w:t>
      </w:r>
      <w:r w:rsidRPr="00F478E4">
        <w:rPr>
          <w:rFonts w:ascii="Verdana" w:eastAsia="Calibri" w:hAnsi="Verdana" w:cs="Arial"/>
          <w:color w:val="000000"/>
          <w:lang w:val="es-ES" w:eastAsia="es-ES"/>
        </w:rPr>
        <w:t>problema</w:t>
      </w:r>
      <w:r w:rsidR="005F0C32" w:rsidRPr="00F478E4">
        <w:rPr>
          <w:rFonts w:ascii="Verdana" w:eastAsia="Calibri" w:hAnsi="Verdana" w:cs="Arial"/>
          <w:color w:val="7030A0"/>
          <w:lang w:val="es-ES" w:eastAsia="es-ES"/>
        </w:rPr>
        <w:t xml:space="preserve"> </w:t>
      </w:r>
      <w:r w:rsidRPr="00F478E4">
        <w:rPr>
          <w:rFonts w:ascii="Verdana" w:eastAsia="Calibri" w:hAnsi="Verdana" w:cs="Arial"/>
          <w:color w:val="000000"/>
          <w:lang w:val="es-ES" w:eastAsia="es-ES"/>
        </w:rPr>
        <w:t>jurídico</w:t>
      </w:r>
      <w:r w:rsidRPr="00F478E4">
        <w:rPr>
          <w:rFonts w:ascii="Verdana" w:eastAsia="Calibri" w:hAnsi="Verdana" w:cs="Arial"/>
          <w:color w:val="7030A0"/>
          <w:lang w:val="es-ES" w:eastAsia="es-ES"/>
        </w:rPr>
        <w:t xml:space="preserve"> </w:t>
      </w:r>
      <w:r w:rsidRPr="00F478E4">
        <w:rPr>
          <w:rFonts w:ascii="Verdana" w:eastAsia="Calibri" w:hAnsi="Verdana" w:cs="Arial"/>
          <w:color w:val="000000"/>
          <w:lang w:val="es-ES" w:eastAsia="es-ES"/>
        </w:rPr>
        <w:t>de su consulta.</w:t>
      </w:r>
      <w:r w:rsidR="005F0C32" w:rsidRPr="00F478E4">
        <w:rPr>
          <w:rFonts w:ascii="Verdana" w:eastAsia="Calibri" w:hAnsi="Verdana" w:cs="Arial"/>
          <w:color w:val="000000"/>
          <w:lang w:val="es-ES" w:eastAsia="es-ES"/>
        </w:rPr>
        <w:t xml:space="preserve"> </w:t>
      </w:r>
    </w:p>
    <w:p w14:paraId="713932CF" w14:textId="77777777" w:rsidR="005F0C32" w:rsidRPr="00F478E4" w:rsidRDefault="005F0C32" w:rsidP="00871B59">
      <w:pPr>
        <w:spacing w:after="0" w:line="276" w:lineRule="auto"/>
        <w:ind w:firstLine="709"/>
        <w:jc w:val="both"/>
        <w:rPr>
          <w:rFonts w:ascii="Verdana" w:eastAsia="Calibri" w:hAnsi="Verdana" w:cs="Arial"/>
          <w:color w:val="000000"/>
          <w:lang w:val="es-ES" w:eastAsia="es-ES"/>
        </w:rPr>
      </w:pPr>
    </w:p>
    <w:p w14:paraId="52D6A7FF" w14:textId="77777777" w:rsidR="00871B59" w:rsidRPr="00F478E4"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F478E4">
        <w:rPr>
          <w:rFonts w:ascii="Verdana" w:eastAsia="Century Gothic" w:hAnsi="Verdana" w:cs="Century Gothic"/>
          <w:b/>
          <w:bCs/>
          <w:lang w:val="es-ES"/>
        </w:rPr>
        <w:t>Problema planteado:</w:t>
      </w:r>
    </w:p>
    <w:p w14:paraId="0FF7BD6D" w14:textId="77777777" w:rsidR="00871B59" w:rsidRPr="00F478E4" w:rsidRDefault="00871B59" w:rsidP="00871B59">
      <w:pPr>
        <w:tabs>
          <w:tab w:val="left" w:pos="426"/>
        </w:tabs>
        <w:spacing w:after="0" w:line="276" w:lineRule="auto"/>
        <w:jc w:val="both"/>
        <w:rPr>
          <w:rFonts w:ascii="Verdana" w:eastAsia="Century Gothic" w:hAnsi="Verdana" w:cs="Century Gothic"/>
          <w:lang w:val="es-ES"/>
        </w:rPr>
      </w:pPr>
    </w:p>
    <w:p w14:paraId="39EC92D2" w14:textId="0E6ED30D" w:rsidR="00871B59" w:rsidRDefault="00871B59" w:rsidP="00C8313C">
      <w:pPr>
        <w:pStyle w:val="TableParagraph"/>
        <w:spacing w:line="276" w:lineRule="auto"/>
        <w:jc w:val="both"/>
        <w:rPr>
          <w:rFonts w:ascii="Verdana" w:hAnsi="Verdana"/>
        </w:rPr>
      </w:pPr>
      <w:r w:rsidRPr="00C8313C">
        <w:rPr>
          <w:rFonts w:ascii="Verdana" w:eastAsia="Century Gothic" w:hAnsi="Verdana" w:cs="Century Gothic"/>
        </w:rPr>
        <w:t xml:space="preserve">De acuerdo con el contenido de su solicitud, esta Agencia resolverá el siguiente problema jurídico: </w:t>
      </w:r>
      <w:proofErr w:type="gramStart"/>
      <w:r w:rsidR="00C8313C" w:rsidRPr="00C8313C">
        <w:rPr>
          <w:rFonts w:ascii="Verdana" w:eastAsia="Century Gothic" w:hAnsi="Verdana" w:cs="Century Gothic"/>
        </w:rPr>
        <w:t>¿</w:t>
      </w:r>
      <w:r w:rsidR="00C8313C" w:rsidRPr="00C8313C">
        <w:rPr>
          <w:rFonts w:ascii="Verdana" w:hAnsi="Verdana"/>
        </w:rPr>
        <w:t>Cuál es el término establecido en el artículo 2.</w:t>
      </w:r>
      <w:proofErr w:type="gramEnd"/>
      <w:r w:rsidR="00C8313C" w:rsidRPr="00C8313C">
        <w:rPr>
          <w:rFonts w:ascii="Verdana" w:hAnsi="Verdana"/>
        </w:rPr>
        <w:t>1.1.1.7.1 del Decreto 1082 de 2015</w:t>
      </w:r>
      <w:r w:rsidR="00C8313C">
        <w:rPr>
          <w:rFonts w:ascii="Verdana" w:hAnsi="Verdana"/>
        </w:rPr>
        <w:t>,</w:t>
      </w:r>
      <w:r w:rsidR="00C8313C" w:rsidRPr="00C8313C">
        <w:rPr>
          <w:rFonts w:ascii="Verdana" w:hAnsi="Verdana"/>
        </w:rPr>
        <w:t xml:space="preserve"> para realizar la publicación de los documentos del proceso y los actos administrativos de la gestión contractual en el SECOP?</w:t>
      </w:r>
    </w:p>
    <w:p w14:paraId="00415EC4" w14:textId="77777777" w:rsidR="00C8313C" w:rsidRPr="00C8313C" w:rsidRDefault="00C8313C" w:rsidP="00C8313C">
      <w:pPr>
        <w:pStyle w:val="TableParagraph"/>
        <w:spacing w:line="276" w:lineRule="auto"/>
        <w:jc w:val="both"/>
        <w:rPr>
          <w:rFonts w:ascii="Verdana" w:eastAsia="Century Gothic" w:hAnsi="Verdana" w:cs="Century Gothic"/>
        </w:rPr>
      </w:pPr>
    </w:p>
    <w:p w14:paraId="43C95A41" w14:textId="77777777" w:rsidR="00871B59" w:rsidRPr="00F478E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F478E4">
        <w:rPr>
          <w:rFonts w:ascii="Verdana" w:eastAsia="Century Gothic" w:hAnsi="Verdana" w:cs="Century Gothic"/>
          <w:b/>
          <w:bCs/>
          <w:lang w:val="es-ES"/>
        </w:rPr>
        <w:t>Respuesta:</w:t>
      </w:r>
    </w:p>
    <w:p w14:paraId="1E9852E5" w14:textId="77777777" w:rsidR="00871B59" w:rsidRPr="00F478E4"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F478E4" w14:paraId="21D4FB2D" w14:textId="77777777" w:rsidTr="002607A7">
        <w:tc>
          <w:tcPr>
            <w:tcW w:w="8828" w:type="dxa"/>
          </w:tcPr>
          <w:p w14:paraId="3E64B8C9" w14:textId="52F7AB69" w:rsidR="00C8313C" w:rsidRDefault="00C8313C" w:rsidP="00C8313C">
            <w:pPr>
              <w:pStyle w:val="NormalWeb"/>
              <w:spacing w:line="276" w:lineRule="auto"/>
              <w:jc w:val="both"/>
              <w:rPr>
                <w:rFonts w:ascii="Verdana" w:hAnsi="Verdana"/>
                <w:sz w:val="22"/>
                <w:szCs w:val="22"/>
              </w:rPr>
            </w:pPr>
            <w:r w:rsidRPr="00C8313C">
              <w:rPr>
                <w:rStyle w:val="citation-65"/>
                <w:rFonts w:ascii="Verdana" w:hAnsi="Verdana"/>
                <w:sz w:val="22"/>
                <w:szCs w:val="22"/>
              </w:rPr>
              <w:t>De conformidad con lo dispuesto en el artículo 2.2.1.1.1.7.1 del Decreto 1082 de 2015, las Entidades Estatales tienen la obligación legal de publicar en el SECOP los Documentos del Proceso y los actos administrativos derivados de la gestión contractual, dentro de un término máximo de tres (3) días calendario siguientes a su expedición</w:t>
            </w:r>
            <w:r w:rsidRPr="00C8313C">
              <w:rPr>
                <w:rFonts w:ascii="Verdana" w:hAnsi="Verdana"/>
                <w:sz w:val="22"/>
                <w:szCs w:val="22"/>
              </w:rPr>
              <w:t xml:space="preserve">. </w:t>
            </w:r>
            <w:r w:rsidRPr="00C8313C">
              <w:rPr>
                <w:rStyle w:val="citation-64"/>
                <w:rFonts w:ascii="Verdana" w:hAnsi="Verdana"/>
                <w:sz w:val="22"/>
                <w:szCs w:val="22"/>
              </w:rPr>
              <w:t xml:space="preserve">Este plazo perentorio tiene como finalidad materializar el Principio de Publicidad y Transparencia, asegurando que la información oficial de la contratación realizada con recursos públicos </w:t>
            </w:r>
            <w:r w:rsidRPr="00C8313C">
              <w:rPr>
                <w:rStyle w:val="citation-64"/>
                <w:rFonts w:ascii="Verdana" w:hAnsi="Verdana"/>
                <w:sz w:val="22"/>
                <w:szCs w:val="22"/>
              </w:rPr>
              <w:lastRenderedPageBreak/>
              <w:t>esté disponible para el conocimiento de la ciudadanía y el control de las autoridades competentes de manera oportuna</w:t>
            </w:r>
            <w:r w:rsidRPr="00C8313C">
              <w:rPr>
                <w:rFonts w:ascii="Verdana" w:hAnsi="Verdana"/>
                <w:sz w:val="22"/>
                <w:szCs w:val="22"/>
              </w:rPr>
              <w:t>.</w:t>
            </w:r>
          </w:p>
          <w:p w14:paraId="7A55B2C3" w14:textId="77777777" w:rsidR="00C8313C" w:rsidRDefault="00C8313C" w:rsidP="00C8313C">
            <w:pPr>
              <w:pStyle w:val="NormalWeb"/>
              <w:spacing w:line="276" w:lineRule="auto"/>
              <w:jc w:val="both"/>
              <w:rPr>
                <w:rFonts w:ascii="Verdana" w:hAnsi="Verdana"/>
                <w:sz w:val="22"/>
                <w:szCs w:val="22"/>
              </w:rPr>
            </w:pPr>
          </w:p>
          <w:p w14:paraId="466B1838" w14:textId="05518358" w:rsidR="00C8313C" w:rsidRDefault="00C8313C" w:rsidP="00C8313C">
            <w:pPr>
              <w:pStyle w:val="NormalWeb"/>
              <w:spacing w:line="276" w:lineRule="auto"/>
              <w:jc w:val="both"/>
              <w:rPr>
                <w:rFonts w:ascii="Verdana" w:hAnsi="Verdana"/>
                <w:sz w:val="22"/>
                <w:szCs w:val="22"/>
              </w:rPr>
            </w:pPr>
            <w:r>
              <w:rPr>
                <w:rFonts w:ascii="Verdana" w:hAnsi="Verdana"/>
                <w:sz w:val="22"/>
                <w:szCs w:val="22"/>
              </w:rPr>
              <w:t xml:space="preserve"> </w:t>
            </w:r>
            <w:r>
              <w:t xml:space="preserve">          </w:t>
            </w:r>
            <w:r w:rsidRPr="00C8313C">
              <w:rPr>
                <w:rFonts w:ascii="Verdana" w:hAnsi="Verdana"/>
                <w:sz w:val="22"/>
                <w:szCs w:val="22"/>
              </w:rPr>
              <w:t xml:space="preserve">Sin embargo, para la correcta aplicación de este término, resulta indispensable distinguir la naturaleza de la actuación frente a la operatividad transaccional del SECOP II. </w:t>
            </w:r>
            <w:r w:rsidRPr="00C8313C">
              <w:rPr>
                <w:rStyle w:val="citation-63"/>
                <w:rFonts w:ascii="Verdana" w:hAnsi="Verdana"/>
                <w:sz w:val="22"/>
                <w:szCs w:val="22"/>
              </w:rPr>
              <w:t>Aquellas gestiones que se tramitan, aprueban y perfeccionan directamente a través de los flujos de trabajo de la plataforma —tales como la publicación de pliegos electrónicos, la adjudicación en línea o la suscripción del contrato electrónico— gozan de una publicidad automática e inmediata en tiempo real, por lo que frente a estas actuaciones no opera el plazo de gracia de tres días, entendiéndose cumplido el deber de publicidad en el mismo instante de la acción en el sistema</w:t>
            </w:r>
            <w:r w:rsidRPr="00C8313C">
              <w:rPr>
                <w:rFonts w:ascii="Verdana" w:hAnsi="Verdana"/>
                <w:sz w:val="22"/>
                <w:szCs w:val="22"/>
              </w:rPr>
              <w:t>.</w:t>
            </w:r>
          </w:p>
          <w:p w14:paraId="59159A0B" w14:textId="77777777" w:rsidR="00C8313C" w:rsidRDefault="00C8313C" w:rsidP="00C8313C">
            <w:pPr>
              <w:pStyle w:val="NormalWeb"/>
              <w:spacing w:line="276" w:lineRule="auto"/>
              <w:jc w:val="both"/>
              <w:rPr>
                <w:rFonts w:ascii="Verdana" w:hAnsi="Verdana"/>
                <w:sz w:val="22"/>
                <w:szCs w:val="22"/>
              </w:rPr>
            </w:pPr>
          </w:p>
          <w:p w14:paraId="54B0E884" w14:textId="08D5D8D4" w:rsidR="00871B59" w:rsidRPr="00C8313C" w:rsidRDefault="00C8313C" w:rsidP="00C8313C">
            <w:pPr>
              <w:pStyle w:val="NormalWeb"/>
              <w:spacing w:line="276" w:lineRule="auto"/>
              <w:jc w:val="both"/>
              <w:rPr>
                <w:rFonts w:ascii="Verdana" w:hAnsi="Verdana"/>
                <w:sz w:val="22"/>
                <w:szCs w:val="22"/>
              </w:rPr>
            </w:pPr>
            <w:r>
              <w:rPr>
                <w:rFonts w:ascii="Verdana" w:hAnsi="Verdana"/>
                <w:sz w:val="22"/>
                <w:szCs w:val="22"/>
              </w:rPr>
              <w:t xml:space="preserve"> </w:t>
            </w:r>
            <w:r>
              <w:t xml:space="preserve">         </w:t>
            </w:r>
            <w:r w:rsidRPr="00C8313C">
              <w:rPr>
                <w:rFonts w:ascii="Verdana" w:hAnsi="Verdana"/>
                <w:sz w:val="22"/>
                <w:szCs w:val="22"/>
              </w:rPr>
              <w:t xml:space="preserve">En consecuencia, el término de los tres (3) días siguientes a la expedición debe observarse estrictamente para el cargue de aquellos documentos que, por su naturaleza, se generan, suscriben o formalizan por fuera de la plataforma (documentos físicos o externos). </w:t>
            </w:r>
            <w:r w:rsidRPr="00C8313C">
              <w:rPr>
                <w:rStyle w:val="citation-62"/>
                <w:rFonts w:ascii="Verdana" w:hAnsi="Verdana"/>
                <w:sz w:val="22"/>
                <w:szCs w:val="22"/>
              </w:rPr>
              <w:t>En estos eventos, la Entidad Estatal es responsable de digitalizar e incorporar dichos soportes al expediente electrónico dentro del plazo señalado, garantizando así la integridad de la información contractual durante las etapas de planeación, selección, ejecución y post-contractual, en cumplimiento de los mandatos de la Ley 1150 de 2007 y la Ley 1712 de 2014</w:t>
            </w:r>
            <w:r w:rsidRPr="00C8313C">
              <w:rPr>
                <w:rFonts w:ascii="Verdana" w:hAnsi="Verdana"/>
                <w:sz w:val="22"/>
                <w:szCs w:val="22"/>
              </w:rPr>
              <w:t>.</w:t>
            </w:r>
          </w:p>
        </w:tc>
      </w:tr>
    </w:tbl>
    <w:p w14:paraId="02B4C46B" w14:textId="77777777" w:rsidR="00871B59" w:rsidRPr="00F478E4"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BDFF2E4" w14:textId="77777777" w:rsidR="00871B59" w:rsidRPr="00F478E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F478E4">
        <w:rPr>
          <w:rFonts w:ascii="Verdana" w:eastAsia="Century Gothic" w:hAnsi="Verdana" w:cs="Century Gothic"/>
          <w:b/>
          <w:bCs/>
          <w:lang w:val="es-ES"/>
        </w:rPr>
        <w:t>Razones de la respuesta:</w:t>
      </w:r>
    </w:p>
    <w:p w14:paraId="0976139D" w14:textId="77777777" w:rsidR="00871B59" w:rsidRPr="00F478E4" w:rsidRDefault="00871B59" w:rsidP="00871B59">
      <w:pPr>
        <w:spacing w:after="0" w:line="276" w:lineRule="auto"/>
        <w:jc w:val="both"/>
        <w:rPr>
          <w:rFonts w:ascii="Verdana" w:eastAsia="Calibri" w:hAnsi="Verdana" w:cs="Arial"/>
          <w:color w:val="7030A0"/>
          <w:lang w:val="es-ES"/>
        </w:rPr>
      </w:pPr>
    </w:p>
    <w:p w14:paraId="11DB1EF7" w14:textId="77777777" w:rsidR="00871B59" w:rsidRPr="00F478E4" w:rsidRDefault="00871B59" w:rsidP="00871B59">
      <w:pPr>
        <w:spacing w:after="0" w:line="276" w:lineRule="auto"/>
        <w:jc w:val="both"/>
        <w:rPr>
          <w:rFonts w:ascii="Verdana" w:eastAsia="Calibri" w:hAnsi="Verdana" w:cs="Arial"/>
          <w:lang w:val="es-ES"/>
        </w:rPr>
      </w:pPr>
      <w:r w:rsidRPr="00F478E4">
        <w:rPr>
          <w:rFonts w:ascii="Verdana" w:eastAsia="Calibri" w:hAnsi="Verdana" w:cs="Arial"/>
          <w:lang w:val="es-ES"/>
        </w:rPr>
        <w:t xml:space="preserve">Lo anterior se sustenta en las siguientes consideraciones: </w:t>
      </w:r>
    </w:p>
    <w:p w14:paraId="14C7205E" w14:textId="77777777" w:rsidR="005F0C32" w:rsidRPr="00F478E4" w:rsidRDefault="005F0C32" w:rsidP="00871B59">
      <w:pPr>
        <w:spacing w:after="0" w:line="276" w:lineRule="auto"/>
        <w:jc w:val="both"/>
        <w:rPr>
          <w:rFonts w:ascii="Verdana" w:eastAsia="Calibri" w:hAnsi="Verdana" w:cs="Arial"/>
          <w:lang w:val="es-ES"/>
        </w:rPr>
      </w:pPr>
    </w:p>
    <w:p w14:paraId="24859F93" w14:textId="77777777" w:rsidR="005F0C32" w:rsidRPr="00F478E4" w:rsidRDefault="005F0C32" w:rsidP="005F0C32">
      <w:pPr>
        <w:tabs>
          <w:tab w:val="left" w:pos="709"/>
        </w:tabs>
        <w:spacing w:after="120" w:line="276" w:lineRule="auto"/>
        <w:jc w:val="both"/>
        <w:rPr>
          <w:rFonts w:ascii="Verdana" w:hAnsi="Verdana" w:cs="Arial"/>
          <w:shd w:val="clear" w:color="auto" w:fill="FFFFFF"/>
        </w:rPr>
      </w:pPr>
      <w:r w:rsidRPr="00F478E4">
        <w:rPr>
          <w:rFonts w:ascii="Verdana" w:hAnsi="Verdana" w:cs="Arial"/>
          <w:shd w:val="clear" w:color="auto" w:fill="FFFFFF"/>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SECOP como un mecanismo que “contará con la información oficial de la contratación realizada con dineros </w:t>
      </w:r>
      <w:r w:rsidRPr="00F478E4">
        <w:rPr>
          <w:rFonts w:ascii="Verdana" w:hAnsi="Verdana" w:cs="Arial"/>
          <w:shd w:val="clear" w:color="auto" w:fill="FFFFFF"/>
        </w:rPr>
        <w:lastRenderedPageBreak/>
        <w:t>públicos, para lo cual establecerá los patrones a que haya lugar y se encargará de su difusión a través de canales electrónicos</w:t>
      </w:r>
      <w:r w:rsidRPr="00F478E4">
        <w:rPr>
          <w:rFonts w:ascii="Verdana" w:eastAsia="Calibri" w:hAnsi="Verdana" w:cs="Arial"/>
          <w:color w:val="000000" w:themeColor="text1"/>
          <w:vertAlign w:val="superscript"/>
          <w:lang w:val="es-ES_tradnl"/>
        </w:rPr>
        <w:footnoteReference w:id="2"/>
      </w:r>
      <w:r w:rsidRPr="00F478E4">
        <w:rPr>
          <w:rFonts w:ascii="Verdana" w:hAnsi="Verdana" w:cs="Arial"/>
          <w:shd w:val="clear" w:color="auto" w:fill="FFFFFF"/>
        </w:rPr>
        <w:t>”</w:t>
      </w:r>
      <w:r w:rsidRPr="00F478E4">
        <w:rPr>
          <w:rFonts w:ascii="Verdana" w:eastAsia="Calibri" w:hAnsi="Verdana" w:cs="Arial"/>
          <w:color w:val="000000" w:themeColor="text1"/>
          <w:lang w:val="es-ES_tradnl"/>
        </w:rPr>
        <w:t>.</w:t>
      </w:r>
    </w:p>
    <w:p w14:paraId="77E8D042" w14:textId="5223E228" w:rsidR="00F651B0" w:rsidRPr="00F478E4" w:rsidRDefault="005F0C32" w:rsidP="0042469C">
      <w:pPr>
        <w:spacing w:after="120" w:line="276" w:lineRule="auto"/>
        <w:ind w:firstLine="709"/>
        <w:jc w:val="both"/>
        <w:rPr>
          <w:rFonts w:ascii="Verdana" w:hAnsi="Verdana" w:cs="Arial"/>
          <w:color w:val="000000" w:themeColor="text1"/>
          <w:lang w:val="es-ES_tradnl"/>
        </w:rPr>
      </w:pPr>
      <w:r w:rsidRPr="00F478E4">
        <w:rPr>
          <w:rFonts w:ascii="Verdana" w:hAnsi="Verdana" w:cs="Arial"/>
          <w:shd w:val="clear" w:color="auto" w:fill="FFFFFF"/>
        </w:rPr>
        <w:t>De otra parte, la Ley 1712 de 2014 –ley estatutaria que regula la transparencia y el derecho de acceso a la información y a los documentos públicos–; identifica como principios que orientan el derecho de acceso a la información pública, el</w:t>
      </w:r>
      <w:r w:rsidRPr="00F478E4">
        <w:rPr>
          <w:rFonts w:ascii="Verdana" w:hAnsi="Verdana" w:cs="Arial"/>
          <w:color w:val="000000" w:themeColor="text1"/>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F478E4">
        <w:rPr>
          <w:rFonts w:ascii="Verdana" w:hAnsi="Verdana" w:cs="Arial"/>
          <w:color w:val="000000" w:themeColor="text1"/>
          <w:vertAlign w:val="superscript"/>
          <w:lang w:val="es-ES_tradnl"/>
        </w:rPr>
        <w:footnoteReference w:id="3"/>
      </w:r>
      <w:r w:rsidRPr="00F478E4">
        <w:rPr>
          <w:rFonts w:ascii="Verdana" w:hAnsi="Verdana" w:cs="Arial"/>
          <w:color w:val="000000" w:themeColor="text1"/>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F478E4">
        <w:rPr>
          <w:rFonts w:ascii="Verdana" w:hAnsi="Verdana" w:cs="Arial"/>
          <w:color w:val="000000" w:themeColor="text1"/>
          <w:vertAlign w:val="superscript"/>
          <w:lang w:val="es-ES_tradnl"/>
        </w:rPr>
        <w:footnoteReference w:id="4"/>
      </w:r>
      <w:r w:rsidRPr="00F478E4">
        <w:rPr>
          <w:rFonts w:ascii="Verdana" w:hAnsi="Verdana" w:cs="Arial"/>
          <w:color w:val="000000" w:themeColor="text1"/>
          <w:lang w:val="es-ES_tradnl"/>
        </w:rPr>
        <w:t xml:space="preserve">, deben publicar la información relativa a su contratación. </w:t>
      </w:r>
    </w:p>
    <w:p w14:paraId="0C3A0307" w14:textId="568D0952" w:rsidR="00F651B0" w:rsidRPr="00F478E4" w:rsidRDefault="005F0C32" w:rsidP="00F651B0">
      <w:pPr>
        <w:spacing w:after="120" w:line="276" w:lineRule="auto"/>
        <w:ind w:firstLine="709"/>
        <w:jc w:val="both"/>
        <w:rPr>
          <w:rFonts w:ascii="Verdana" w:hAnsi="Verdana" w:cs="Arial"/>
          <w:shd w:val="clear" w:color="auto" w:fill="FFFFFF"/>
        </w:rPr>
      </w:pPr>
      <w:r w:rsidRPr="00F478E4">
        <w:rPr>
          <w:rFonts w:ascii="Verdana" w:hAnsi="Verdana" w:cs="Arial"/>
          <w:color w:val="000000" w:themeColor="text1"/>
          <w:lang w:val="es-ES_tradnl"/>
        </w:rPr>
        <w:t xml:space="preserve">Esta obligación fue </w:t>
      </w:r>
      <w:r w:rsidRPr="00F478E4">
        <w:rPr>
          <w:rFonts w:ascii="Verdana" w:eastAsia="Calibri" w:hAnsi="Verdana" w:cs="Arial"/>
          <w:color w:val="000000"/>
          <w:lang w:val="es-ES_tradnl"/>
        </w:rPr>
        <w:t>desarrollada por el Decreto Único Reglamentario 1082 de 2015</w:t>
      </w:r>
      <w:r w:rsidRPr="00F478E4">
        <w:rPr>
          <w:rFonts w:ascii="Verdana" w:eastAsia="Calibri" w:hAnsi="Verdana" w:cs="Arial"/>
          <w:color w:val="000000"/>
          <w:vertAlign w:val="superscript"/>
          <w:lang w:val="es-ES_tradnl"/>
        </w:rPr>
        <w:footnoteReference w:id="5"/>
      </w:r>
      <w:r w:rsidRPr="00F478E4">
        <w:rPr>
          <w:rFonts w:ascii="Verdana" w:eastAsia="Calibri" w:hAnsi="Verdana" w:cs="Arial"/>
          <w:color w:val="000000"/>
          <w:lang w:val="es-ES_tradnl"/>
        </w:rPr>
        <w:t xml:space="preserve">, el cual dispuso que la publicación de la información contractual de los </w:t>
      </w:r>
      <w:r w:rsidRPr="00F478E4">
        <w:rPr>
          <w:rFonts w:ascii="Verdana" w:eastAsia="Calibri" w:hAnsi="Verdana" w:cs="Arial"/>
          <w:color w:val="000000"/>
          <w:lang w:val="es-ES_tradnl"/>
        </w:rPr>
        <w:lastRenderedPageBreak/>
        <w:t>sujetos obligados, que contratan con cargo a recursos públicos, debe hacerse en el SECOP</w:t>
      </w:r>
      <w:r w:rsidRPr="00F478E4">
        <w:rPr>
          <w:rFonts w:ascii="Verdana" w:eastAsia="Calibri" w:hAnsi="Verdana" w:cs="Arial"/>
          <w:color w:val="000000"/>
          <w:lang w:val="es-ES_tradnl" w:eastAsia="es-ES_tradnl"/>
        </w:rPr>
        <w:t xml:space="preserve">. </w:t>
      </w:r>
      <w:r w:rsidRPr="00F478E4">
        <w:rPr>
          <w:rFonts w:ascii="Verdana"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r w:rsidR="00F651B0" w:rsidRPr="00F478E4">
        <w:rPr>
          <w:rFonts w:ascii="Verdana" w:hAnsi="Verdana" w:cs="Arial"/>
          <w:shd w:val="clear" w:color="auto" w:fill="FFFFFF"/>
        </w:rPr>
        <w:t>.</w:t>
      </w:r>
    </w:p>
    <w:p w14:paraId="0393B589" w14:textId="0607A5D1" w:rsidR="00F651B0" w:rsidRPr="00F478E4" w:rsidRDefault="00F651B0" w:rsidP="00F651B0">
      <w:pPr>
        <w:widowControl w:val="0"/>
        <w:tabs>
          <w:tab w:val="left" w:pos="728"/>
        </w:tabs>
        <w:autoSpaceDE w:val="0"/>
        <w:autoSpaceDN w:val="0"/>
        <w:spacing w:after="120" w:line="276" w:lineRule="auto"/>
        <w:ind w:firstLine="726"/>
        <w:jc w:val="both"/>
        <w:rPr>
          <w:rFonts w:ascii="Verdana" w:hAnsi="Verdana" w:cs="Arial"/>
          <w:lang w:val="es-ES"/>
        </w:rPr>
      </w:pPr>
      <w:r w:rsidRPr="00F478E4">
        <w:rPr>
          <w:rFonts w:ascii="Verdana" w:hAnsi="Verdana" w:cs="Arial"/>
          <w:lang w:val="es-ES"/>
        </w:rPr>
        <w:t>Ahora bien,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54A80516" w14:textId="37A5AFDE" w:rsidR="00F651B0" w:rsidRPr="00F478E4" w:rsidRDefault="00F651B0" w:rsidP="00F651B0">
      <w:pPr>
        <w:widowControl w:val="0"/>
        <w:autoSpaceDE w:val="0"/>
        <w:autoSpaceDN w:val="0"/>
        <w:spacing w:after="120" w:line="276" w:lineRule="auto"/>
        <w:ind w:firstLine="726"/>
        <w:jc w:val="both"/>
        <w:rPr>
          <w:rFonts w:ascii="Verdana" w:eastAsia="Arial" w:hAnsi="Verdana" w:cs="Arial"/>
          <w:lang w:val="es-ES"/>
        </w:rPr>
      </w:pPr>
      <w:r w:rsidRPr="00F478E4">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sidR="00C8313C" w:rsidRPr="00F478E4">
        <w:rPr>
          <w:rFonts w:ascii="Verdana" w:eastAsia="Arial" w:hAnsi="Verdana" w:cs="Arial"/>
          <w:i/>
          <w:iCs/>
          <w:lang w:val="es-ES"/>
        </w:rPr>
        <w:t>Ibidem</w:t>
      </w:r>
      <w:r w:rsidRPr="00F478E4">
        <w:rPr>
          <w:rFonts w:ascii="Verdana" w:eastAsia="Arial" w:hAnsi="Verdana" w:cs="Arial"/>
          <w:lang w:val="es-ES"/>
        </w:rPr>
        <w:t xml:space="preserve"> recoge en la noción de </w:t>
      </w:r>
      <w:r w:rsidRPr="00F478E4">
        <w:rPr>
          <w:rFonts w:ascii="Verdana" w:eastAsia="Arial" w:hAnsi="Verdana" w:cs="Arial"/>
          <w:i/>
          <w:iCs/>
          <w:lang w:val="es-ES"/>
        </w:rPr>
        <w:t>Documentos del Proceso</w:t>
      </w:r>
      <w:r w:rsidRPr="00F478E4">
        <w:rPr>
          <w:rFonts w:ascii="Verdana" w:eastAsia="Arial" w:hAnsi="Verdana" w:cs="Arial"/>
          <w:lang w:val="es-ES"/>
        </w:rPr>
        <w:t xml:space="preserve"> “cualquier otro documento expedido por la Entidad Estatal durante el </w:t>
      </w:r>
      <w:r w:rsidRPr="00F478E4">
        <w:rPr>
          <w:rFonts w:ascii="Verdana" w:eastAsia="Arial" w:hAnsi="Verdana" w:cs="Arial"/>
          <w:i/>
          <w:iCs/>
          <w:lang w:val="es-ES"/>
        </w:rPr>
        <w:t>Proceso de Contratación”</w:t>
      </w:r>
      <w:r w:rsidRPr="00F478E4">
        <w:rPr>
          <w:rFonts w:ascii="Verdana" w:eastAsia="Arial" w:hAnsi="Verdana" w:cs="Arial"/>
          <w:lang w:val="es-ES"/>
        </w:rPr>
        <w:t xml:space="preserve">. Este mismo artículo define la expresión </w:t>
      </w:r>
      <w:r w:rsidRPr="00F478E4">
        <w:rPr>
          <w:rFonts w:ascii="Verdana" w:eastAsia="Arial" w:hAnsi="Verdana" w:cs="Arial"/>
          <w:i/>
          <w:iCs/>
          <w:lang w:val="es-ES"/>
        </w:rPr>
        <w:t>Proceso de Contratación</w:t>
      </w:r>
      <w:r w:rsidRPr="00F478E4">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4CD7FF4C" w14:textId="77777777" w:rsidR="00F651B0" w:rsidRPr="00F478E4" w:rsidRDefault="00F651B0" w:rsidP="00F651B0">
      <w:pPr>
        <w:widowControl w:val="0"/>
        <w:autoSpaceDE w:val="0"/>
        <w:autoSpaceDN w:val="0"/>
        <w:spacing w:after="120" w:line="276" w:lineRule="auto"/>
        <w:ind w:firstLine="726"/>
        <w:jc w:val="both"/>
        <w:rPr>
          <w:rFonts w:ascii="Verdana" w:eastAsia="Arial" w:hAnsi="Verdana" w:cs="Arial"/>
          <w:lang w:val="es-ES"/>
        </w:rPr>
      </w:pPr>
      <w:r w:rsidRPr="00F478E4">
        <w:rPr>
          <w:rFonts w:ascii="Verdana" w:eastAsia="Arial" w:hAnsi="Verdana" w:cs="Arial"/>
          <w:lang w:val="es-ES"/>
        </w:rPr>
        <w:t xml:space="preserve">En todo caso, de conformidad con la segunda parte del inciso primero del artículo 2.2.1.1.1.7.1 </w:t>
      </w:r>
      <w:r w:rsidRPr="00F478E4">
        <w:rPr>
          <w:rFonts w:ascii="Verdana" w:eastAsia="Arial" w:hAnsi="Verdana" w:cs="Arial"/>
          <w:i/>
          <w:iCs/>
          <w:lang w:val="es-ES"/>
        </w:rPr>
        <w:t>Ibidem</w:t>
      </w:r>
      <w:r w:rsidRPr="00F478E4">
        <w:rPr>
          <w:rFonts w:ascii="Verdana" w:eastAsia="Arial" w:hAnsi="Verdana" w:cs="Arial"/>
          <w:lang w:val="es-ES"/>
        </w:rPr>
        <w:t>, el deber de publicar las actuaciones realizadas en el marco del proceso de contratación, en lo referente a las ofertas presentadas, solo se predica de la propuesta del adjudicatario, así que no es necesario publicar las demás. Del deber de publicidad, de conformidad con la tercera parte del inciso primero de la referida norma, también se encuentran exentos los documentos de las operaciones que se realicen en bolsa de productos.</w:t>
      </w:r>
    </w:p>
    <w:p w14:paraId="7CB35179" w14:textId="05243EC2" w:rsidR="00871B59" w:rsidRDefault="00F651B0" w:rsidP="00F651B0">
      <w:pPr>
        <w:widowControl w:val="0"/>
        <w:autoSpaceDE w:val="0"/>
        <w:autoSpaceDN w:val="0"/>
        <w:spacing w:after="120" w:line="276" w:lineRule="auto"/>
        <w:ind w:firstLine="726"/>
        <w:jc w:val="both"/>
        <w:rPr>
          <w:rFonts w:ascii="Verdana" w:eastAsia="Arial" w:hAnsi="Verdana" w:cs="Arial"/>
          <w:lang w:val="es-ES"/>
        </w:rPr>
      </w:pPr>
      <w:r w:rsidRPr="00F478E4">
        <w:rPr>
          <w:rFonts w:ascii="Verdana" w:eastAsia="Arial" w:hAnsi="Verdana" w:cs="Arial"/>
          <w:lang w:val="es-ES"/>
        </w:rPr>
        <w:t xml:space="preserve">De lo anterior puede concluirse que, en virtud de lo dispuesto en el artículo 3 de la Ley 1150 de 2007, desarrollado por el artículo 2.2.1.1.1.7.1. del Decreto </w:t>
      </w:r>
      <w:r w:rsidRPr="00F478E4">
        <w:rPr>
          <w:rFonts w:ascii="Verdana" w:eastAsia="Arial" w:hAnsi="Verdana" w:cs="Arial"/>
          <w:lang w:val="es-ES"/>
        </w:rPr>
        <w:lastRenderedPageBreak/>
        <w:t xml:space="preserve">1082 de 2015, las entidades están obligadas a publicar en el SECOP todos los documentos relacionados con el </w:t>
      </w:r>
      <w:r w:rsidRPr="00F478E4">
        <w:rPr>
          <w:rFonts w:ascii="Verdana" w:eastAsia="Arial" w:hAnsi="Verdana" w:cs="Arial"/>
          <w:i/>
          <w:iCs/>
          <w:lang w:val="es-ES"/>
        </w:rPr>
        <w:t>Proceso de Contratación</w:t>
      </w:r>
      <w:r w:rsidRPr="00F478E4">
        <w:rPr>
          <w:rFonts w:ascii="Verdana" w:eastAsia="Arial" w:hAnsi="Verdana" w:cs="Arial"/>
          <w:lang w:val="es-ES"/>
        </w:rPr>
        <w:t xml:space="preserve"> expedidos durante las etapas precontractual, de ejecución y </w:t>
      </w:r>
      <w:proofErr w:type="spellStart"/>
      <w:r w:rsidRPr="00F478E4">
        <w:rPr>
          <w:rFonts w:ascii="Verdana" w:eastAsia="Arial" w:hAnsi="Verdana" w:cs="Arial"/>
          <w:lang w:val="es-ES"/>
        </w:rPr>
        <w:t>postcontractual</w:t>
      </w:r>
      <w:proofErr w:type="spellEnd"/>
      <w:r w:rsidRPr="00F478E4">
        <w:rPr>
          <w:rFonts w:ascii="Verdana" w:eastAsia="Arial" w:hAnsi="Verdana" w:cs="Arial"/>
          <w:lang w:val="es-ES"/>
        </w:rPr>
        <w:t xml:space="preserve">. Este deber aplica a todas las modalidades de selección y entidades regidas por el Estatuto General de Contratación de la Administración Pública, así como las exceptuadas de este, y solo se encuentran excluidas las ofertas perdedoras y los documentos expedidos en el marco de operaciones de bolsa de productos. </w:t>
      </w:r>
    </w:p>
    <w:p w14:paraId="6078435B" w14:textId="5BA6DF3A" w:rsidR="00C8313C" w:rsidRPr="00C8313C" w:rsidRDefault="00C8313C" w:rsidP="00F651B0">
      <w:pPr>
        <w:widowControl w:val="0"/>
        <w:autoSpaceDE w:val="0"/>
        <w:autoSpaceDN w:val="0"/>
        <w:spacing w:after="120" w:line="276" w:lineRule="auto"/>
        <w:ind w:firstLine="726"/>
        <w:jc w:val="both"/>
        <w:rPr>
          <w:rFonts w:ascii="Verdana" w:eastAsia="Arial" w:hAnsi="Verdana" w:cs="Arial"/>
          <w:lang w:val="es-ES"/>
        </w:rPr>
      </w:pPr>
      <w:r w:rsidRPr="00C8313C">
        <w:rPr>
          <w:rStyle w:val="citation-51"/>
          <w:rFonts w:ascii="Verdana" w:hAnsi="Verdana"/>
        </w:rPr>
        <w:t>En este sentido, aunque el artículo 2.2.1.1.1.7.1 del Decreto 1082 de 2015 establece la regla general de publicación dentro de los tres (3) días siguientes a la expedición del documento</w:t>
      </w:r>
      <w:r w:rsidRPr="00C8313C">
        <w:rPr>
          <w:rFonts w:ascii="Verdana" w:hAnsi="Verdana"/>
        </w:rPr>
        <w:t>, es imperativo armonizar esta disposición con la operatividad del SECOP II. Dado que esta plataforma opera como un sistema transaccional, las actuaciones que se gestionan y perfeccionan directamente en línea —tales como la adjudicación, la firma del contrato electrónico o la aprobación de garantías digitales— se publican de manera automática e inmediata en el momento de su gestión, sin que opere el plazo de gracia de los tres días. Por el contrario, dicho término perentorio de tres (3) días calendario está previsto y debe observarse estrictamente para el cargue de aquellos documentos que se generan, suscriben o formalizan por fuera de la plataforma (físicos o externos) y que requieren ser digitalizados e incorporados al expediente electrónico para garantizar el principio de publicidad y la trazabilidad del proceso</w:t>
      </w:r>
      <w:r>
        <w:rPr>
          <w:rFonts w:ascii="Verdana" w:hAnsi="Verdana"/>
        </w:rPr>
        <w:t>.</w:t>
      </w:r>
    </w:p>
    <w:p w14:paraId="0649905D" w14:textId="77777777" w:rsidR="00871B59" w:rsidRPr="00F478E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F478E4">
        <w:rPr>
          <w:rFonts w:ascii="Verdana" w:eastAsia="Century Gothic" w:hAnsi="Verdana" w:cs="Century Gothic"/>
          <w:b/>
          <w:bCs/>
          <w:lang w:val="es-ES"/>
        </w:rPr>
        <w:t>Referencias normativas, jurisprudenciales y otras fuentes:</w:t>
      </w:r>
    </w:p>
    <w:p w14:paraId="4F33E792" w14:textId="77777777" w:rsidR="00871B59" w:rsidRPr="00F478E4"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F478E4" w14:paraId="69A64119" w14:textId="77777777" w:rsidTr="002607A7">
        <w:trPr>
          <w:trHeight w:val="870"/>
        </w:trPr>
        <w:tc>
          <w:tcPr>
            <w:tcW w:w="8647" w:type="dxa"/>
          </w:tcPr>
          <w:p w14:paraId="596C7C37" w14:textId="79F73008" w:rsidR="00C8313C" w:rsidRPr="00C8313C" w:rsidRDefault="00C8313C" w:rsidP="00C8313C">
            <w:pPr>
              <w:widowControl w:val="0"/>
              <w:numPr>
                <w:ilvl w:val="0"/>
                <w:numId w:val="8"/>
              </w:numPr>
              <w:autoSpaceDE w:val="0"/>
              <w:autoSpaceDN w:val="0"/>
              <w:spacing w:after="120" w:line="276" w:lineRule="auto"/>
              <w:ind w:left="317" w:hanging="357"/>
              <w:contextualSpacing/>
              <w:jc w:val="both"/>
              <w:rPr>
                <w:rFonts w:ascii="Verdana" w:hAnsi="Verdana" w:cs="Arial"/>
              </w:rPr>
            </w:pPr>
            <w:r w:rsidRPr="00C8313C">
              <w:rPr>
                <w:rFonts w:ascii="Verdana" w:hAnsi="Verdana"/>
              </w:rPr>
              <w:t>Ley 1150 de 2007</w:t>
            </w:r>
            <w:r>
              <w:rPr>
                <w:rFonts w:ascii="Verdana" w:hAnsi="Verdana"/>
              </w:rPr>
              <w:t xml:space="preserve"> </w:t>
            </w:r>
            <w:r w:rsidRPr="00C8313C">
              <w:rPr>
                <w:rFonts w:ascii="Verdana" w:hAnsi="Verdana"/>
              </w:rPr>
              <w:t>Artículo 3</w:t>
            </w:r>
          </w:p>
          <w:p w14:paraId="6446C8FA" w14:textId="7FF520C5" w:rsidR="00C8313C" w:rsidRPr="00C8313C" w:rsidRDefault="00C8313C" w:rsidP="00C8313C">
            <w:pPr>
              <w:widowControl w:val="0"/>
              <w:numPr>
                <w:ilvl w:val="0"/>
                <w:numId w:val="8"/>
              </w:numPr>
              <w:autoSpaceDE w:val="0"/>
              <w:autoSpaceDN w:val="0"/>
              <w:spacing w:after="120" w:line="276" w:lineRule="auto"/>
              <w:ind w:left="317" w:hanging="357"/>
              <w:contextualSpacing/>
              <w:jc w:val="both"/>
              <w:rPr>
                <w:rFonts w:ascii="Verdana" w:hAnsi="Verdana" w:cs="Arial"/>
              </w:rPr>
            </w:pPr>
            <w:r w:rsidRPr="00C8313C">
              <w:rPr>
                <w:rFonts w:ascii="Verdana" w:hAnsi="Verdana"/>
              </w:rPr>
              <w:t>Ley 1712 de 2014</w:t>
            </w:r>
            <w:r>
              <w:rPr>
                <w:rFonts w:ascii="Verdana" w:hAnsi="Verdana"/>
              </w:rPr>
              <w:t xml:space="preserve"> </w:t>
            </w:r>
            <w:r w:rsidRPr="00C8313C">
              <w:rPr>
                <w:rFonts w:ascii="Verdana" w:hAnsi="Verdana"/>
              </w:rPr>
              <w:t>Artículo 9</w:t>
            </w:r>
          </w:p>
          <w:p w14:paraId="00376EE7" w14:textId="36E4BB60" w:rsidR="00871B59" w:rsidRPr="00F478E4" w:rsidRDefault="00C8313C" w:rsidP="00C8313C">
            <w:pPr>
              <w:widowControl w:val="0"/>
              <w:numPr>
                <w:ilvl w:val="0"/>
                <w:numId w:val="8"/>
              </w:numPr>
              <w:autoSpaceDE w:val="0"/>
              <w:autoSpaceDN w:val="0"/>
              <w:spacing w:after="120" w:line="276" w:lineRule="auto"/>
              <w:ind w:left="317" w:hanging="357"/>
              <w:contextualSpacing/>
              <w:jc w:val="both"/>
              <w:rPr>
                <w:rFonts w:ascii="Verdana" w:hAnsi="Verdana" w:cs="Arial"/>
              </w:rPr>
            </w:pPr>
            <w:r w:rsidRPr="00C8313C">
              <w:rPr>
                <w:rFonts w:ascii="Verdana" w:hAnsi="Verdana"/>
              </w:rPr>
              <w:t>Decreto 1082 de 2015</w:t>
            </w:r>
            <w:r>
              <w:rPr>
                <w:rFonts w:ascii="Verdana" w:hAnsi="Verdana"/>
              </w:rPr>
              <w:t xml:space="preserve"> </w:t>
            </w:r>
            <w:r w:rsidRPr="00C8313C">
              <w:rPr>
                <w:rFonts w:ascii="Verdana" w:hAnsi="Verdana"/>
              </w:rPr>
              <w:t>Artículos 2.2.1.1.1.3.1 y 2.2.1.1.1.7.1</w:t>
            </w:r>
          </w:p>
        </w:tc>
      </w:tr>
    </w:tbl>
    <w:p w14:paraId="2A1C4A3B" w14:textId="77777777" w:rsidR="00871B59" w:rsidRPr="00F478E4" w:rsidRDefault="00871B59" w:rsidP="00871B59">
      <w:pPr>
        <w:widowControl w:val="0"/>
        <w:autoSpaceDE w:val="0"/>
        <w:autoSpaceDN w:val="0"/>
        <w:spacing w:after="0" w:line="276" w:lineRule="auto"/>
        <w:jc w:val="both"/>
        <w:rPr>
          <w:rFonts w:ascii="Verdana" w:hAnsi="Verdana" w:cs="Arial"/>
        </w:rPr>
      </w:pPr>
    </w:p>
    <w:p w14:paraId="1A587BBF" w14:textId="77777777" w:rsidR="00871B59" w:rsidRPr="00F478E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F478E4">
        <w:rPr>
          <w:rFonts w:ascii="Verdana" w:eastAsia="Century Gothic" w:hAnsi="Verdana" w:cs="Century Gothic"/>
          <w:b/>
          <w:bCs/>
          <w:lang w:val="es-ES"/>
        </w:rPr>
        <w:t>Doctrina de la Agencia Nacional de Contratación Pública:</w:t>
      </w:r>
    </w:p>
    <w:p w14:paraId="4F901EB6" w14:textId="77777777" w:rsidR="00871B59" w:rsidRPr="00F478E4" w:rsidRDefault="00871B59" w:rsidP="00871B59">
      <w:pPr>
        <w:widowControl w:val="0"/>
        <w:autoSpaceDE w:val="0"/>
        <w:autoSpaceDN w:val="0"/>
        <w:spacing w:after="0" w:line="276" w:lineRule="auto"/>
        <w:jc w:val="both"/>
        <w:rPr>
          <w:rFonts w:ascii="Verdana" w:hAnsi="Verdana" w:cs="Arial"/>
        </w:rPr>
      </w:pPr>
    </w:p>
    <w:p w14:paraId="197550B2" w14:textId="5151C85D" w:rsidR="00FC2E2A" w:rsidRPr="00F478E4" w:rsidRDefault="00FC2E2A" w:rsidP="00FC2E2A">
      <w:pPr>
        <w:widowControl w:val="0"/>
        <w:autoSpaceDE w:val="0"/>
        <w:autoSpaceDN w:val="0"/>
        <w:spacing w:after="0" w:line="276" w:lineRule="auto"/>
        <w:jc w:val="both"/>
        <w:rPr>
          <w:rStyle w:val="normaltextrun"/>
          <w:rFonts w:ascii="Verdana" w:eastAsia="Calibri" w:hAnsi="Verdana" w:cs="Arial"/>
          <w:color w:val="000000" w:themeColor="text1"/>
          <w:lang w:val="es-ES"/>
        </w:rPr>
      </w:pPr>
      <w:r w:rsidRPr="00F478E4">
        <w:rPr>
          <w:rFonts w:ascii="Verdana" w:hAnsi="Verdana" w:cs="Arial"/>
          <w:shd w:val="clear" w:color="auto" w:fill="FFFFFF"/>
        </w:rPr>
        <w:t xml:space="preserve">Esta Subdirección se ha pronunciado sobre los fundamentos normativos del deber de publicar la documentación contractual en las Sistema Electrónico de Contratación Pública–SECOP–, han sido materia de estudio de la doctrina de esta Subdirección en los Conceptos CU-003 del 15 de enero de 2020 y CU-367 del 23 </w:t>
      </w:r>
      <w:r w:rsidRPr="00F478E4">
        <w:rPr>
          <w:rFonts w:ascii="Verdana" w:hAnsi="Verdana" w:cs="Arial"/>
          <w:shd w:val="clear" w:color="auto" w:fill="FFFFFF"/>
        </w:rPr>
        <w:lastRenderedPageBreak/>
        <w:t>de julio de 2020, reiterados en los Conceptos C-433 de 24 de julio de 2020, C-472 del 6 de septiembre de 2021, C-074 del 10 de marzo de 2022, C-134 de 2024 y C-939 del 23 de julio de 2025</w:t>
      </w:r>
      <w:r w:rsidRPr="00F478E4">
        <w:rPr>
          <w:rFonts w:ascii="Verdana" w:hAnsi="Verdana"/>
        </w:rPr>
        <w:t xml:space="preserve">. </w:t>
      </w:r>
      <w:r w:rsidRPr="00F478E4">
        <w:rPr>
          <w:rFonts w:ascii="Verdana" w:eastAsia="Calibri" w:hAnsi="Verdana" w:cs="Arial"/>
          <w:lang w:val="es-ES_tradnl" w:eastAsia="es-ES_tradnl"/>
        </w:rPr>
        <w:t>Asimismo, en el concepto C-104 del 6 de abril de 2021, C-005 del 21 de febrero de 2023, C-230 del 28 de junio de 2023, C-649 del 9 de septiembre de 2022, C-391 del 14 de noviembre de 2023, 273ª del 30 de abril de 2025, se estudió la existencia de reservas como excepción al deber de publicar la información contractual en el SECOP, entre otros</w:t>
      </w:r>
      <w:r w:rsidRPr="00F478E4">
        <w:rPr>
          <w:rStyle w:val="normaltextrun"/>
          <w:rFonts w:ascii="Verdana" w:hAnsi="Verdana" w:cs="Arial"/>
          <w:shd w:val="clear" w:color="auto" w:fill="FFFFFF"/>
          <w:lang w:val="es-ES"/>
        </w:rPr>
        <w:t xml:space="preserve">. Sobre </w:t>
      </w:r>
      <w:r w:rsidRPr="00F478E4">
        <w:rPr>
          <w:rFonts w:ascii="Verdana" w:eastAsia="Calibri" w:hAnsi="Verdana" w:cs="Arial"/>
          <w:color w:val="000000" w:themeColor="text1"/>
          <w:lang w:val="es-ES"/>
        </w:rPr>
        <w:t>la vigilancia de los contratos a través de la supervisión, esta Subdirección se ha pronunciado en sendos conceptos entre los cuales se encuentran los conceptos con radicado: C-521 del 08 de octubre de 2024, C-489 del 30 de octubre de 2024, C-737 del 20 de noviembre de 2024, C-974 del 17 de diciembre de 2024 C-892 del 26 de diciembre de 2024</w:t>
      </w:r>
      <w:r w:rsidR="00F651B0" w:rsidRPr="00F478E4">
        <w:rPr>
          <w:rFonts w:ascii="Verdana" w:eastAsia="Calibri" w:hAnsi="Verdana" w:cs="Arial"/>
          <w:color w:val="000000" w:themeColor="text1"/>
          <w:lang w:val="es-ES"/>
        </w:rPr>
        <w:t>, y el C-1130 del 17 de septiembre de 2025.</w:t>
      </w:r>
      <w:r w:rsidRPr="00F478E4">
        <w:rPr>
          <w:rStyle w:val="normaltextrun"/>
          <w:rFonts w:ascii="Verdana" w:hAnsi="Verdana" w:cs="Arial"/>
          <w:shd w:val="clear" w:color="auto" w:fill="FFFFFF"/>
          <w:lang w:val="es-ES"/>
        </w:rPr>
        <w:t xml:space="preserve"> </w:t>
      </w:r>
      <w:r w:rsidRPr="00F478E4">
        <w:rPr>
          <w:rFonts w:ascii="Verdana" w:hAnsi="Verdana" w:cs="Arial"/>
          <w:shd w:val="clear" w:color="auto" w:fill="FFFFFF"/>
        </w:rPr>
        <w:t>Estos y otros </w:t>
      </w:r>
      <w:r w:rsidRPr="00F478E4">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F478E4">
          <w:rPr>
            <w:rStyle w:val="Hipervnculo"/>
            <w:rFonts w:ascii="Verdana" w:hAnsi="Verdana" w:cs="Arial"/>
            <w:shd w:val="clear" w:color="auto" w:fill="FFFFFF"/>
          </w:rPr>
          <w:t>https://relatoria.colombiacompra.gov.co/busqueda/conceptos</w:t>
        </w:r>
      </w:hyperlink>
      <w:r w:rsidRPr="00F478E4">
        <w:rPr>
          <w:rStyle w:val="normaltextrun"/>
          <w:rFonts w:ascii="Verdana" w:hAnsi="Verdana" w:cs="Arial"/>
          <w:shd w:val="clear" w:color="auto" w:fill="FFFFFF"/>
        </w:rPr>
        <w:t xml:space="preserve">. </w:t>
      </w:r>
      <w:r w:rsidRPr="00F478E4">
        <w:rPr>
          <w:rStyle w:val="normaltextrun"/>
          <w:rFonts w:ascii="Verdana" w:hAnsi="Verdana" w:cs="Arial"/>
          <w:color w:val="FF0000"/>
          <w:shd w:val="clear" w:color="auto" w:fill="FFFFFF"/>
          <w:lang w:val="es-ES"/>
        </w:rPr>
        <w:t xml:space="preserve"> </w:t>
      </w:r>
    </w:p>
    <w:p w14:paraId="44A57F46" w14:textId="77777777" w:rsidR="00FC2E2A" w:rsidRPr="00F478E4" w:rsidRDefault="00FC2E2A" w:rsidP="00FC2E2A">
      <w:pPr>
        <w:widowControl w:val="0"/>
        <w:autoSpaceDE w:val="0"/>
        <w:autoSpaceDN w:val="0"/>
        <w:spacing w:after="0" w:line="276" w:lineRule="auto"/>
        <w:jc w:val="both"/>
        <w:rPr>
          <w:rFonts w:ascii="Verdana" w:hAnsi="Verdana" w:cs="Arial"/>
          <w:color w:val="000000" w:themeColor="text1"/>
          <w:shd w:val="clear" w:color="auto" w:fill="FFFFFF"/>
        </w:rPr>
      </w:pPr>
    </w:p>
    <w:p w14:paraId="1C108CA1" w14:textId="77777777" w:rsidR="00FC2E2A" w:rsidRPr="00F478E4" w:rsidRDefault="00FC2E2A" w:rsidP="00FC2E2A">
      <w:pPr>
        <w:shd w:val="clear" w:color="auto" w:fill="FFFFFF"/>
        <w:spacing w:after="0" w:line="276" w:lineRule="auto"/>
        <w:jc w:val="both"/>
        <w:rPr>
          <w:rFonts w:ascii="Verdana" w:hAnsi="Verdana"/>
          <w:color w:val="000000"/>
          <w:u w:val="single"/>
        </w:rPr>
      </w:pPr>
      <w:r w:rsidRPr="00F478E4">
        <w:rPr>
          <w:rFonts w:ascii="Verdana" w:hAnsi="Verdana"/>
          <w:color w:val="000000"/>
        </w:rPr>
        <w:t>Te informamos que ya se encuentra disponible la </w:t>
      </w:r>
      <w:r w:rsidRPr="00F478E4">
        <w:rPr>
          <w:rFonts w:ascii="Verdana" w:hAnsi="Verdana"/>
          <w:b/>
          <w:bCs/>
          <w:color w:val="000000"/>
        </w:rPr>
        <w:t>Guía de lineamientos de transparencia y selección objetiva para el departamento de La Guajira – Objetivo sexto constitucional de la Sentencia T-302 del 2017. </w:t>
      </w:r>
      <w:r w:rsidRPr="00F478E4">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478E4">
        <w:rPr>
          <w:rFonts w:ascii="Verdana" w:hAnsi="Verdana"/>
          <w:color w:val="000000"/>
        </w:rPr>
        <w:t>Wayúu</w:t>
      </w:r>
      <w:proofErr w:type="spellEnd"/>
      <w:r w:rsidRPr="00F478E4">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F478E4">
          <w:rPr>
            <w:rStyle w:val="Hipervnculo"/>
            <w:rFonts w:ascii="Verdana" w:hAnsi="Verdana"/>
          </w:rPr>
          <w:t>Guía de lineamientos de transparencia y selección objetiva para el departamento de La Guajira – Objetivo sexto constitucional de la Sentencia T-302 del 2017</w:t>
        </w:r>
      </w:hyperlink>
      <w:r w:rsidRPr="00F478E4">
        <w:rPr>
          <w:rFonts w:ascii="Verdana" w:hAnsi="Verdana"/>
          <w:color w:val="000000"/>
          <w:u w:val="single"/>
        </w:rPr>
        <w:t>.</w:t>
      </w:r>
    </w:p>
    <w:p w14:paraId="41EFBB0E" w14:textId="77777777" w:rsidR="00FC2E2A" w:rsidRPr="00F478E4" w:rsidRDefault="00FC2E2A" w:rsidP="00FC2E2A">
      <w:pPr>
        <w:shd w:val="clear" w:color="auto" w:fill="FFFFFF"/>
        <w:spacing w:after="0" w:line="276" w:lineRule="auto"/>
        <w:jc w:val="both"/>
        <w:rPr>
          <w:rFonts w:ascii="Verdana" w:hAnsi="Verdana"/>
          <w:color w:val="000000"/>
          <w:u w:val="single"/>
        </w:rPr>
      </w:pPr>
    </w:p>
    <w:p w14:paraId="24E7D544" w14:textId="77777777" w:rsidR="00FC2E2A" w:rsidRPr="00F478E4" w:rsidRDefault="00FC2E2A" w:rsidP="00FC2E2A">
      <w:pPr>
        <w:widowControl w:val="0"/>
        <w:autoSpaceDE w:val="0"/>
        <w:autoSpaceDN w:val="0"/>
        <w:spacing w:after="0" w:line="276" w:lineRule="auto"/>
        <w:jc w:val="both"/>
        <w:rPr>
          <w:rFonts w:ascii="Verdana" w:hAnsi="Verdana" w:cs="Arial"/>
          <w:color w:val="FF0000"/>
          <w:shd w:val="clear" w:color="auto" w:fill="FFFFFF"/>
          <w:lang w:val="es-ES_tradnl"/>
        </w:rPr>
      </w:pPr>
      <w:r w:rsidRPr="00F478E4">
        <w:rPr>
          <w:rStyle w:val="normaltextrun"/>
          <w:rFonts w:ascii="Verdana" w:hAnsi="Verdana" w:cs="Arial"/>
          <w:color w:val="FF0000"/>
          <w:shd w:val="clear" w:color="auto" w:fill="FFFFFF"/>
          <w:lang w:val="es-ES_tradnl"/>
        </w:rPr>
        <w:t xml:space="preserve">        </w:t>
      </w:r>
    </w:p>
    <w:p w14:paraId="6CED48A0" w14:textId="77777777" w:rsidR="00FC2E2A" w:rsidRPr="00F478E4" w:rsidRDefault="00FC2E2A" w:rsidP="00FC2E2A">
      <w:pPr>
        <w:widowControl w:val="0"/>
        <w:autoSpaceDE w:val="0"/>
        <w:autoSpaceDN w:val="0"/>
        <w:spacing w:after="0" w:line="276" w:lineRule="auto"/>
        <w:jc w:val="both"/>
        <w:rPr>
          <w:rFonts w:ascii="Verdana" w:hAnsi="Verdana" w:cs="Arial"/>
          <w:lang w:val="es-ES_tradnl"/>
        </w:rPr>
      </w:pPr>
      <w:r w:rsidRPr="00F478E4">
        <w:rPr>
          <w:rFonts w:ascii="Verdana" w:hAnsi="Verdana" w:cs="Arial"/>
        </w:rPr>
        <w:t xml:space="preserve">Este concepto tiene el alcance previsto en el artículo 28 del Código de Procedimiento Administrativo y de lo Contencioso Administrativo </w:t>
      </w:r>
      <w:r w:rsidRPr="00F478E4">
        <w:rPr>
          <w:rFonts w:ascii="Verdana" w:hAnsi="Verdana" w:cs="Arial"/>
          <w:lang w:val="es-ES_tradnl"/>
        </w:rPr>
        <w:t>y las expresiones aquí utilizadas con mayúscula inicial deben ser entendidas con el significado que les otorga el artículo 2.2.1.1.1.3.1. del Decreto 1082 de 2015.</w:t>
      </w:r>
    </w:p>
    <w:p w14:paraId="6608016F" w14:textId="77777777" w:rsidR="00FC2E2A" w:rsidRPr="00F478E4" w:rsidRDefault="00FC2E2A" w:rsidP="00FC2E2A">
      <w:pPr>
        <w:widowControl w:val="0"/>
        <w:autoSpaceDE w:val="0"/>
        <w:autoSpaceDN w:val="0"/>
        <w:spacing w:after="0" w:line="276" w:lineRule="auto"/>
        <w:jc w:val="both"/>
        <w:rPr>
          <w:rFonts w:ascii="Verdana" w:hAnsi="Verdana" w:cs="Arial"/>
        </w:rPr>
      </w:pPr>
    </w:p>
    <w:p w14:paraId="5C2BDAF6" w14:textId="77777777" w:rsidR="00FC2E2A" w:rsidRPr="00F478E4" w:rsidRDefault="00FC2E2A" w:rsidP="00FC2E2A">
      <w:pPr>
        <w:spacing w:after="0" w:line="276" w:lineRule="auto"/>
        <w:jc w:val="both"/>
        <w:rPr>
          <w:rFonts w:ascii="Verdana" w:eastAsia="Times New Roman" w:hAnsi="Verdana" w:cs="Arial"/>
          <w:lang w:eastAsia="es-CO"/>
        </w:rPr>
      </w:pPr>
      <w:bookmarkStart w:id="1" w:name="_Hlk117695077"/>
      <w:r w:rsidRPr="00F478E4">
        <w:rPr>
          <w:rFonts w:ascii="Verdana" w:eastAsia="Times New Roman" w:hAnsi="Verdana" w:cs="Arial"/>
          <w:lang w:eastAsia="es-CO"/>
        </w:rPr>
        <w:lastRenderedPageBreak/>
        <w:t>Atentamente,</w:t>
      </w:r>
    </w:p>
    <w:bookmarkEnd w:id="1"/>
    <w:p w14:paraId="2C0E6C4D" w14:textId="77777777" w:rsidR="00871B59" w:rsidRPr="00F478E4" w:rsidRDefault="00871B59" w:rsidP="00871B5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0F5F8A7D" w14:textId="77777777" w:rsidR="005F0C32" w:rsidRPr="00F478E4" w:rsidRDefault="005F0C32" w:rsidP="00871B5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23799F72" w14:textId="2FAA72FD" w:rsidR="00871B59" w:rsidRPr="00F478E4" w:rsidRDefault="002151F7" w:rsidP="00871B5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90A1DDD" wp14:editId="54288BD7">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394701" cy="1457365"/>
                    </a:xfrm>
                    <a:prstGeom prst="rect">
                      <a:avLst/>
                    </a:prstGeom>
                  </pic:spPr>
                </pic:pic>
              </a:graphicData>
            </a:graphic>
          </wp:inline>
        </w:drawing>
      </w:r>
    </w:p>
    <w:tbl>
      <w:tblPr>
        <w:tblStyle w:val="Tablaconcuadrcula"/>
        <w:tblpPr w:leftFromText="141" w:rightFromText="141" w:vertAnchor="text" w:horzAnchor="margin" w:tblpY="79"/>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C2E2A" w:rsidRPr="00C8313C" w14:paraId="61B5D94A" w14:textId="77777777" w:rsidTr="00FC2E2A">
        <w:trPr>
          <w:trHeight w:val="315"/>
        </w:trPr>
        <w:tc>
          <w:tcPr>
            <w:tcW w:w="893" w:type="dxa"/>
            <w:vAlign w:val="center"/>
            <w:hideMark/>
          </w:tcPr>
          <w:p w14:paraId="3D4EAE70" w14:textId="77777777" w:rsidR="00FC2E2A" w:rsidRPr="00C8313C" w:rsidRDefault="00FC2E2A" w:rsidP="00FC2E2A">
            <w:pPr>
              <w:contextualSpacing/>
              <w:rPr>
                <w:rFonts w:ascii="Verdana" w:hAnsi="Verdana" w:cs="Arial"/>
                <w:sz w:val="16"/>
                <w:szCs w:val="16"/>
                <w:lang w:val="es-ES" w:eastAsia="es-ES"/>
              </w:rPr>
            </w:pPr>
            <w:r w:rsidRPr="00C8313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E86D78E" w14:textId="77777777" w:rsidR="00FC2E2A" w:rsidRPr="00C8313C" w:rsidRDefault="00FC2E2A" w:rsidP="00FC2E2A">
            <w:pPr>
              <w:contextualSpacing/>
              <w:rPr>
                <w:rStyle w:val="normaltextrun"/>
                <w:rFonts w:ascii="Verdana" w:eastAsia="Arial" w:hAnsi="Verdana" w:cs="Arial"/>
                <w:sz w:val="16"/>
                <w:szCs w:val="16"/>
              </w:rPr>
            </w:pPr>
            <w:r w:rsidRPr="00C8313C">
              <w:rPr>
                <w:rStyle w:val="normaltextrun"/>
                <w:rFonts w:ascii="Verdana" w:eastAsia="Arial" w:hAnsi="Verdana" w:cs="Arial"/>
                <w:sz w:val="16"/>
                <w:szCs w:val="16"/>
              </w:rPr>
              <w:t>Andrea del Pilar Garzón Sánchez</w:t>
            </w:r>
          </w:p>
          <w:p w14:paraId="66082665" w14:textId="77777777" w:rsidR="00FC2E2A" w:rsidRPr="00C8313C" w:rsidRDefault="00FC2E2A" w:rsidP="00FC2E2A">
            <w:pPr>
              <w:contextualSpacing/>
              <w:rPr>
                <w:rFonts w:ascii="Verdana" w:eastAsia="Arial" w:hAnsi="Verdana" w:cs="Arial"/>
                <w:color w:val="7030A0"/>
                <w:sz w:val="16"/>
                <w:szCs w:val="16"/>
              </w:rPr>
            </w:pPr>
            <w:r w:rsidRPr="00C8313C">
              <w:rPr>
                <w:rStyle w:val="normaltextrun"/>
                <w:rFonts w:ascii="Verdana" w:eastAsia="Arial" w:hAnsi="Verdana" w:cs="Arial"/>
                <w:sz w:val="16"/>
                <w:szCs w:val="16"/>
              </w:rPr>
              <w:t>Contratista de la Subdirección de Gestión Contractual</w:t>
            </w:r>
          </w:p>
        </w:tc>
      </w:tr>
      <w:tr w:rsidR="00FC2E2A" w:rsidRPr="00C8313C" w14:paraId="79011B6B" w14:textId="77777777" w:rsidTr="00FC2E2A">
        <w:trPr>
          <w:trHeight w:val="330"/>
        </w:trPr>
        <w:tc>
          <w:tcPr>
            <w:tcW w:w="893" w:type="dxa"/>
            <w:vAlign w:val="center"/>
            <w:hideMark/>
          </w:tcPr>
          <w:p w14:paraId="185DDB9B" w14:textId="77777777" w:rsidR="00FC2E2A" w:rsidRPr="00C8313C" w:rsidRDefault="00FC2E2A" w:rsidP="00FC2E2A">
            <w:pPr>
              <w:contextualSpacing/>
              <w:rPr>
                <w:rFonts w:ascii="Verdana" w:hAnsi="Verdana" w:cs="Arial"/>
                <w:sz w:val="16"/>
                <w:szCs w:val="16"/>
                <w:lang w:val="es-ES" w:eastAsia="es-ES"/>
              </w:rPr>
            </w:pPr>
            <w:r w:rsidRPr="00C8313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3BE761D" w14:textId="77777777" w:rsidR="00FC2E2A" w:rsidRPr="00C8313C" w:rsidRDefault="00FC2E2A" w:rsidP="00FC2E2A">
            <w:pPr>
              <w:pStyle w:val="paragraph"/>
              <w:spacing w:before="0" w:beforeAutospacing="0" w:after="0" w:afterAutospacing="0"/>
              <w:contextualSpacing/>
              <w:textAlignment w:val="baseline"/>
              <w:rPr>
                <w:rStyle w:val="normaltextrun"/>
                <w:rFonts w:ascii="Verdana" w:hAnsi="Verdana" w:cs="Arial"/>
                <w:sz w:val="16"/>
                <w:szCs w:val="16"/>
                <w:lang w:val="es-ES"/>
              </w:rPr>
            </w:pPr>
            <w:r w:rsidRPr="00C8313C">
              <w:rPr>
                <w:rStyle w:val="normaltextrun"/>
                <w:rFonts w:ascii="Verdana" w:hAnsi="Verdana" w:cs="Arial"/>
                <w:sz w:val="16"/>
                <w:szCs w:val="16"/>
                <w:lang w:val="es-ES"/>
              </w:rPr>
              <w:t>Juan Carlos Gonzáles Vásquez</w:t>
            </w:r>
          </w:p>
          <w:p w14:paraId="1CC62834" w14:textId="77777777" w:rsidR="00FC2E2A" w:rsidRPr="00C8313C" w:rsidRDefault="00FC2E2A" w:rsidP="00FC2E2A">
            <w:pPr>
              <w:pStyle w:val="paragraph"/>
              <w:spacing w:before="0" w:beforeAutospacing="0" w:after="0" w:afterAutospacing="0"/>
              <w:contextualSpacing/>
              <w:textAlignment w:val="baseline"/>
              <w:rPr>
                <w:rFonts w:ascii="Verdana" w:hAnsi="Verdana" w:cs="Segoe UI"/>
                <w:sz w:val="16"/>
                <w:szCs w:val="16"/>
              </w:rPr>
            </w:pPr>
            <w:r w:rsidRPr="00C8313C">
              <w:rPr>
                <w:rStyle w:val="normaltextrun"/>
                <w:rFonts w:ascii="Verdana" w:hAnsi="Verdana" w:cs="Arial"/>
                <w:sz w:val="16"/>
                <w:szCs w:val="16"/>
                <w:lang w:val="es-ES"/>
              </w:rPr>
              <w:t>Contratista de la Subdirección de Gestión Contractual</w:t>
            </w:r>
            <w:r w:rsidRPr="00C8313C">
              <w:rPr>
                <w:rStyle w:val="eop"/>
                <w:rFonts w:ascii="Verdana" w:hAnsi="Verdana" w:cs="Arial"/>
                <w:sz w:val="16"/>
                <w:szCs w:val="16"/>
              </w:rPr>
              <w:t> </w:t>
            </w:r>
          </w:p>
        </w:tc>
      </w:tr>
      <w:tr w:rsidR="00FC2E2A" w:rsidRPr="00C8313C" w14:paraId="534D2405" w14:textId="77777777" w:rsidTr="00FC2E2A">
        <w:trPr>
          <w:trHeight w:val="300"/>
        </w:trPr>
        <w:tc>
          <w:tcPr>
            <w:tcW w:w="893" w:type="dxa"/>
            <w:vAlign w:val="center"/>
          </w:tcPr>
          <w:p w14:paraId="3A85D17B" w14:textId="77777777" w:rsidR="00FC2E2A" w:rsidRPr="00C8313C" w:rsidRDefault="00FC2E2A" w:rsidP="00FC2E2A">
            <w:pPr>
              <w:contextualSpacing/>
              <w:rPr>
                <w:rFonts w:ascii="Verdana" w:hAnsi="Verdana" w:cs="Arial"/>
                <w:sz w:val="16"/>
                <w:szCs w:val="16"/>
                <w:lang w:val="es-ES" w:eastAsia="es-ES"/>
              </w:rPr>
            </w:pPr>
            <w:r w:rsidRPr="00C8313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C22E08" w14:textId="77777777" w:rsidR="00FC2E2A" w:rsidRPr="00C8313C" w:rsidRDefault="00FC2E2A" w:rsidP="00FC2E2A">
            <w:pPr>
              <w:contextualSpacing/>
              <w:rPr>
                <w:rFonts w:ascii="Verdana" w:eastAsia="Calibri" w:hAnsi="Verdana" w:cs="Arial"/>
                <w:sz w:val="16"/>
                <w:szCs w:val="16"/>
                <w:lang w:val="pt-BR" w:eastAsia="es-ES"/>
              </w:rPr>
            </w:pPr>
            <w:r w:rsidRPr="00C8313C">
              <w:rPr>
                <w:rFonts w:ascii="Verdana" w:eastAsia="Calibri" w:hAnsi="Verdana" w:cs="Arial"/>
                <w:sz w:val="16"/>
                <w:szCs w:val="16"/>
                <w:lang w:val="pt-BR" w:eastAsia="es-ES"/>
              </w:rPr>
              <w:t xml:space="preserve">Carolina Quintero </w:t>
            </w:r>
            <w:proofErr w:type="spellStart"/>
            <w:r w:rsidRPr="00C8313C">
              <w:rPr>
                <w:rFonts w:ascii="Verdana" w:eastAsia="Calibri" w:hAnsi="Verdana" w:cs="Arial"/>
                <w:sz w:val="16"/>
                <w:szCs w:val="16"/>
                <w:lang w:val="pt-BR" w:eastAsia="es-ES"/>
              </w:rPr>
              <w:t>Gacharná</w:t>
            </w:r>
            <w:proofErr w:type="spellEnd"/>
          </w:p>
          <w:p w14:paraId="466CB449" w14:textId="77777777" w:rsidR="00FC2E2A" w:rsidRPr="00C8313C" w:rsidRDefault="00FC2E2A" w:rsidP="00FC2E2A">
            <w:pPr>
              <w:contextualSpacing/>
              <w:rPr>
                <w:rFonts w:ascii="Verdana" w:eastAsia="Calibri" w:hAnsi="Verdana" w:cs="Arial"/>
                <w:sz w:val="16"/>
                <w:szCs w:val="16"/>
                <w:lang w:val="pt-BR" w:eastAsia="es-ES"/>
              </w:rPr>
            </w:pPr>
            <w:r w:rsidRPr="00C8313C">
              <w:rPr>
                <w:rFonts w:ascii="Verdana" w:eastAsia="Calibri" w:hAnsi="Verdana" w:cs="Arial"/>
                <w:sz w:val="16"/>
                <w:szCs w:val="16"/>
                <w:lang w:eastAsia="es-ES"/>
              </w:rPr>
              <w:t>Subdirectora</w:t>
            </w:r>
            <w:r w:rsidRPr="00C8313C">
              <w:rPr>
                <w:rFonts w:ascii="Verdana" w:eastAsia="Calibri" w:hAnsi="Verdana" w:cs="Arial"/>
                <w:sz w:val="16"/>
                <w:szCs w:val="16"/>
                <w:lang w:val="pt-BR" w:eastAsia="es-ES"/>
              </w:rPr>
              <w:t xml:space="preserve"> de Gestión </w:t>
            </w:r>
            <w:proofErr w:type="spellStart"/>
            <w:r w:rsidRPr="00C8313C">
              <w:rPr>
                <w:rFonts w:ascii="Verdana" w:eastAsia="Calibri" w:hAnsi="Verdana" w:cs="Arial"/>
                <w:sz w:val="16"/>
                <w:szCs w:val="16"/>
                <w:lang w:val="pt-BR" w:eastAsia="es-ES"/>
              </w:rPr>
              <w:t>Contractual</w:t>
            </w:r>
            <w:proofErr w:type="spellEnd"/>
            <w:r w:rsidRPr="00C8313C">
              <w:rPr>
                <w:rFonts w:ascii="Verdana" w:eastAsia="Calibri" w:hAnsi="Verdana" w:cs="Arial"/>
                <w:sz w:val="16"/>
                <w:szCs w:val="16"/>
                <w:lang w:val="pt-BR" w:eastAsia="es-ES"/>
              </w:rPr>
              <w:t xml:space="preserve"> ANCP – CCE</w:t>
            </w:r>
          </w:p>
        </w:tc>
      </w:tr>
    </w:tbl>
    <w:p w14:paraId="54291786" w14:textId="77777777" w:rsidR="00871B59" w:rsidRPr="00F478E4" w:rsidRDefault="00871B59" w:rsidP="00871B59">
      <w:pPr>
        <w:spacing w:after="0" w:line="240" w:lineRule="auto"/>
        <w:rPr>
          <w:rFonts w:ascii="Verdana" w:eastAsia="Times New Roman" w:hAnsi="Verdana" w:cs="Arial"/>
          <w:lang w:eastAsia="es-ES"/>
        </w:rPr>
      </w:pPr>
    </w:p>
    <w:p w14:paraId="47785B6D" w14:textId="77777777" w:rsidR="5D8505AD" w:rsidRPr="00F478E4" w:rsidRDefault="5D8505AD" w:rsidP="00871B59">
      <w:pPr>
        <w:rPr>
          <w:rFonts w:ascii="Verdana" w:hAnsi="Verdana"/>
        </w:rPr>
      </w:pPr>
    </w:p>
    <w:sectPr w:rsidR="5D8505AD" w:rsidRPr="00F478E4"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D23AA" w14:textId="77777777" w:rsidR="00C97346" w:rsidRDefault="00C97346" w:rsidP="00B30448">
      <w:pPr>
        <w:spacing w:after="0" w:line="240" w:lineRule="auto"/>
      </w:pPr>
      <w:r>
        <w:separator/>
      </w:r>
    </w:p>
  </w:endnote>
  <w:endnote w:type="continuationSeparator" w:id="0">
    <w:p w14:paraId="13C38068" w14:textId="77777777" w:rsidR="00C97346" w:rsidRDefault="00C97346" w:rsidP="00B30448">
      <w:pPr>
        <w:spacing w:after="0" w:line="240" w:lineRule="auto"/>
      </w:pPr>
      <w:r>
        <w:continuationSeparator/>
      </w:r>
    </w:p>
  </w:endnote>
  <w:endnote w:type="continuationNotice" w:id="1">
    <w:p w14:paraId="053D8C18" w14:textId="77777777" w:rsidR="00C97346" w:rsidRDefault="00C973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08D85" w14:textId="77777777" w:rsidR="000849D5" w:rsidRDefault="000849D5" w:rsidP="000849D5">
    <w:pPr>
      <w:spacing w:after="0"/>
      <w:rPr>
        <w:rFonts w:ascii="Verdana" w:hAnsi="Verdana"/>
        <w:b/>
        <w:bCs/>
        <w:sz w:val="20"/>
        <w:szCs w:val="20"/>
      </w:rPr>
    </w:pPr>
  </w:p>
  <w:p w14:paraId="17122905"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EBC687A"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0D00EAFD"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77439724"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70A38DC" w14:textId="77777777" w:rsidR="000849D5" w:rsidRPr="007D04B2" w:rsidRDefault="000849D5" w:rsidP="000849D5">
    <w:pPr>
      <w:pStyle w:val="Piedepgina"/>
    </w:pPr>
  </w:p>
  <w:p w14:paraId="5E3448A1"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63B1C" w14:textId="77777777" w:rsidR="00C97346" w:rsidRDefault="00C97346" w:rsidP="00B30448">
      <w:pPr>
        <w:spacing w:after="0" w:line="240" w:lineRule="auto"/>
      </w:pPr>
      <w:r>
        <w:separator/>
      </w:r>
    </w:p>
  </w:footnote>
  <w:footnote w:type="continuationSeparator" w:id="0">
    <w:p w14:paraId="21664265" w14:textId="77777777" w:rsidR="00C97346" w:rsidRDefault="00C97346" w:rsidP="00B30448">
      <w:pPr>
        <w:spacing w:after="0" w:line="240" w:lineRule="auto"/>
      </w:pPr>
      <w:r>
        <w:continuationSeparator/>
      </w:r>
    </w:p>
  </w:footnote>
  <w:footnote w:type="continuationNotice" w:id="1">
    <w:p w14:paraId="0DB27F61" w14:textId="77777777" w:rsidR="00C97346" w:rsidRDefault="00C97346">
      <w:pPr>
        <w:spacing w:after="0" w:line="240" w:lineRule="auto"/>
      </w:pPr>
    </w:p>
  </w:footnote>
  <w:footnote w:id="2">
    <w:p w14:paraId="14B6D909"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Style w:val="Refdenotaalpie"/>
          <w:rFonts w:ascii="Verdana" w:hAnsi="Verdana" w:cs="Arial"/>
          <w:color w:val="000000" w:themeColor="text1"/>
          <w:sz w:val="14"/>
          <w:szCs w:val="14"/>
        </w:rPr>
        <w:footnoteRef/>
      </w:r>
      <w:r w:rsidRPr="00B36C4A">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5B0FB85"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Fonts w:ascii="Verdana" w:hAnsi="Verdana" w:cs="Arial"/>
          <w:color w:val="000000" w:themeColor="text1"/>
          <w:sz w:val="14"/>
          <w:szCs w:val="14"/>
        </w:rPr>
        <w:t>Lo anterior, sin perjuicio de las publicaciones previstas en el numeral 3 del artículo 30 de la Ley 80 de 1993.</w:t>
      </w:r>
    </w:p>
    <w:p w14:paraId="31AE0192"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Secop, el cual: </w:t>
      </w:r>
    </w:p>
    <w:p w14:paraId="7B7F1939"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Fonts w:ascii="Verdana" w:hAnsi="Verdana" w:cs="Arial"/>
          <w:color w:val="000000" w:themeColor="text1"/>
          <w:sz w:val="14"/>
          <w:szCs w:val="14"/>
        </w:rPr>
        <w:t>[…]</w:t>
      </w:r>
    </w:p>
    <w:p w14:paraId="55F7A215"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1811DB92" w14:textId="77777777" w:rsidR="005F0C32" w:rsidRPr="00B36C4A" w:rsidRDefault="005F0C32" w:rsidP="005F0C32">
      <w:pPr>
        <w:pStyle w:val="Textonotapie"/>
        <w:ind w:firstLine="709"/>
        <w:jc w:val="both"/>
        <w:rPr>
          <w:rFonts w:ascii="Verdana" w:hAnsi="Verdana" w:cs="Arial"/>
          <w:color w:val="000000" w:themeColor="text1"/>
          <w:sz w:val="14"/>
          <w:szCs w:val="14"/>
          <w:lang w:val="es-CO"/>
        </w:rPr>
      </w:pPr>
    </w:p>
  </w:footnote>
  <w:footnote w:id="3">
    <w:p w14:paraId="00211EA6"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Style w:val="Refdenotaalpie"/>
          <w:rFonts w:ascii="Verdana" w:hAnsi="Verdana" w:cs="Arial"/>
          <w:color w:val="000000" w:themeColor="text1"/>
          <w:sz w:val="14"/>
          <w:szCs w:val="14"/>
        </w:rPr>
        <w:footnoteRef/>
      </w:r>
      <w:r w:rsidRPr="00B36C4A">
        <w:rPr>
          <w:rFonts w:ascii="Verdana" w:hAnsi="Verdana" w:cs="Arial"/>
          <w:color w:val="000000" w:themeColor="text1"/>
          <w:sz w:val="14"/>
          <w:szCs w:val="14"/>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11A17909" w14:textId="77777777" w:rsidR="005F0C32" w:rsidRPr="00B36C4A" w:rsidRDefault="005F0C32" w:rsidP="005F0C32">
      <w:pPr>
        <w:pStyle w:val="Textonotapie"/>
        <w:ind w:firstLine="709"/>
        <w:jc w:val="both"/>
        <w:rPr>
          <w:rFonts w:ascii="Verdana" w:hAnsi="Verdana" w:cs="Arial"/>
          <w:color w:val="000000" w:themeColor="text1"/>
          <w:sz w:val="14"/>
          <w:szCs w:val="14"/>
          <w:lang w:val="es-CO"/>
        </w:rPr>
      </w:pPr>
    </w:p>
  </w:footnote>
  <w:footnote w:id="4">
    <w:p w14:paraId="7AAD009F"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Style w:val="Refdenotaalpie"/>
          <w:rFonts w:ascii="Verdana" w:hAnsi="Verdana" w:cs="Arial"/>
          <w:color w:val="000000" w:themeColor="text1"/>
          <w:sz w:val="14"/>
          <w:szCs w:val="14"/>
        </w:rPr>
        <w:footnoteRef/>
      </w:r>
      <w:r w:rsidRPr="00B36C4A">
        <w:rPr>
          <w:rFonts w:ascii="Verdana" w:hAnsi="Verdana" w:cs="Arial"/>
          <w:color w:val="000000" w:themeColor="text1"/>
          <w:sz w:val="14"/>
          <w:szCs w:val="14"/>
        </w:rPr>
        <w:t xml:space="preserve"> Ley 1712 de 2014: “Artículo 5. Ámbito de aplicación. Las disposiciones de esta ley serán aplicables a las siguientes personas en calidad de sujetos obligados: </w:t>
      </w:r>
    </w:p>
    <w:p w14:paraId="59FDBE5D" w14:textId="77777777" w:rsidR="005F0C32" w:rsidRPr="00B36C4A" w:rsidRDefault="005F0C32" w:rsidP="005F0C32">
      <w:pPr>
        <w:pStyle w:val="Textonotapie"/>
        <w:ind w:firstLine="709"/>
        <w:jc w:val="both"/>
        <w:rPr>
          <w:rFonts w:ascii="Verdana" w:hAnsi="Verdana" w:cs="Arial"/>
          <w:color w:val="000000" w:themeColor="text1"/>
          <w:sz w:val="14"/>
          <w:szCs w:val="14"/>
        </w:rPr>
      </w:pPr>
      <w:r w:rsidRPr="00B36C4A">
        <w:rPr>
          <w:rFonts w:ascii="Verdana" w:hAnsi="Verdana" w:cs="Arial"/>
          <w:color w:val="000000" w:themeColor="text1"/>
          <w:sz w:val="14"/>
          <w:szCs w:val="14"/>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767CE9B2" w14:textId="77777777" w:rsidR="005F0C32" w:rsidRPr="00B36C4A" w:rsidRDefault="005F0C32" w:rsidP="005F0C32">
      <w:pPr>
        <w:pStyle w:val="Textonotapie"/>
        <w:ind w:firstLine="709"/>
        <w:jc w:val="both"/>
        <w:rPr>
          <w:rFonts w:ascii="Verdana" w:hAnsi="Verdana" w:cs="Arial"/>
          <w:color w:val="000000" w:themeColor="text1"/>
          <w:sz w:val="14"/>
          <w:szCs w:val="14"/>
          <w:lang w:val="es-CO"/>
        </w:rPr>
      </w:pPr>
    </w:p>
  </w:footnote>
  <w:footnote w:id="5">
    <w:p w14:paraId="311E51CB" w14:textId="77777777" w:rsidR="005F0C32" w:rsidRPr="00B36C4A" w:rsidRDefault="005F0C32" w:rsidP="005F0C32">
      <w:pPr>
        <w:pStyle w:val="Textonotapie"/>
        <w:ind w:firstLine="709"/>
        <w:jc w:val="both"/>
        <w:rPr>
          <w:rFonts w:ascii="Verdana" w:hAnsi="Verdana" w:cs="Arial"/>
          <w:color w:val="000000"/>
          <w:sz w:val="14"/>
          <w:szCs w:val="14"/>
        </w:rPr>
      </w:pPr>
      <w:r w:rsidRPr="00B36C4A">
        <w:rPr>
          <w:rFonts w:ascii="Verdana" w:eastAsia="Times New Roman" w:hAnsi="Verdana" w:cs="Arial"/>
          <w:color w:val="000000"/>
          <w:sz w:val="14"/>
          <w:szCs w:val="14"/>
          <w:vertAlign w:val="superscript"/>
          <w:lang w:val="es-ES" w:eastAsia="es-ES"/>
        </w:rPr>
        <w:footnoteRef/>
      </w:r>
      <w:r w:rsidRPr="00B36C4A">
        <w:rPr>
          <w:rFonts w:ascii="Verdana" w:eastAsia="Times New Roman" w:hAnsi="Verdana" w:cs="Arial"/>
          <w:color w:val="000000"/>
          <w:sz w:val="14"/>
          <w:szCs w:val="14"/>
          <w:vertAlign w:val="superscript"/>
          <w:lang w:val="es-ES" w:eastAsia="es-ES"/>
        </w:rPr>
        <w:t xml:space="preserve"> </w:t>
      </w:r>
      <w:r w:rsidRPr="00B36C4A">
        <w:rPr>
          <w:rFonts w:ascii="Verdana" w:eastAsia="Times New Roman" w:hAnsi="Verdana" w:cs="Arial"/>
          <w:color w:val="000000"/>
          <w:sz w:val="14"/>
          <w:szCs w:val="14"/>
          <w:lang w:val="es-ES" w:eastAsia="es-ES"/>
        </w:rPr>
        <w:t>“</w:t>
      </w:r>
      <w:r w:rsidRPr="00B36C4A">
        <w:rPr>
          <w:rFonts w:ascii="Verdana" w:hAnsi="Verdana" w:cs="Arial"/>
          <w:color w:val="000000"/>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334A372" w14:textId="77777777" w:rsidR="005F0C32" w:rsidRPr="00B36C4A" w:rsidRDefault="005F0C32" w:rsidP="005F0C32">
      <w:pPr>
        <w:pStyle w:val="Textonotapie"/>
        <w:ind w:firstLine="709"/>
        <w:jc w:val="both"/>
        <w:rPr>
          <w:rFonts w:ascii="Verdana" w:eastAsia="Times New Roman" w:hAnsi="Verdana" w:cs="Arial"/>
          <w:color w:val="000000"/>
          <w:sz w:val="14"/>
          <w:szCs w:val="14"/>
          <w:lang w:val="es-ES" w:eastAsia="es-ES"/>
        </w:rPr>
      </w:pPr>
      <w:r w:rsidRPr="00B36C4A">
        <w:rPr>
          <w:rFonts w:ascii="Verdana" w:hAnsi="Verdana" w:cs="Arial"/>
          <w:color w:val="000000"/>
          <w:sz w:val="14"/>
          <w:szCs w:val="14"/>
        </w:rPr>
        <w:t>[…].</w:t>
      </w:r>
    </w:p>
    <w:p w14:paraId="456F504A" w14:textId="77777777" w:rsidR="005F0C32" w:rsidRPr="00B36C4A" w:rsidRDefault="005F0C32" w:rsidP="005F0C32">
      <w:pPr>
        <w:pStyle w:val="Textonotapie"/>
        <w:ind w:firstLine="709"/>
        <w:jc w:val="both"/>
        <w:rPr>
          <w:rFonts w:ascii="Verdana" w:eastAsia="Times New Roman" w:hAnsi="Verdana" w:cs="Arial"/>
          <w:color w:val="000000"/>
          <w:sz w:val="14"/>
          <w:szCs w:val="14"/>
          <w:lang w:val="es-ES" w:eastAsia="es-ES"/>
        </w:rPr>
      </w:pPr>
      <w:r w:rsidRPr="00B36C4A">
        <w:rPr>
          <w:rFonts w:ascii="Verdana" w:eastAsia="Times New Roman" w:hAnsi="Verdana" w:cs="Arial"/>
          <w:color w:val="000000"/>
          <w:sz w:val="14"/>
          <w:szCs w:val="14"/>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5A67F4BB" w14:textId="77777777" w:rsidR="005F0C32" w:rsidRPr="00B36C4A" w:rsidRDefault="005F0C32" w:rsidP="005F0C32">
      <w:pPr>
        <w:pStyle w:val="Textonotapie"/>
        <w:ind w:firstLine="709"/>
        <w:jc w:val="both"/>
        <w:rPr>
          <w:rFonts w:ascii="Verdana" w:eastAsia="Times New Roman" w:hAnsi="Verdana" w:cs="Arial"/>
          <w:color w:val="000000"/>
          <w:sz w:val="14"/>
          <w:szCs w:val="14"/>
          <w:lang w:val="es-ES" w:eastAsia="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EB760"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3AA2E1D7" wp14:editId="15BEC821">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5310575B" wp14:editId="34F40ED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8AD8B49" w14:textId="77777777" w:rsidR="00515FB5" w:rsidRDefault="00515FB5" w:rsidP="00515FB5">
    <w:pPr>
      <w:pStyle w:val="Encabezado"/>
    </w:pPr>
  </w:p>
  <w:p w14:paraId="24C525D8" w14:textId="77777777" w:rsidR="00515FB5" w:rsidRDefault="00515FB5" w:rsidP="00515FB5">
    <w:pPr>
      <w:pStyle w:val="Encabezado"/>
    </w:pPr>
  </w:p>
  <w:p w14:paraId="3A499D65" w14:textId="77777777" w:rsidR="00515FB5" w:rsidRDefault="00515FB5" w:rsidP="00515FB5">
    <w:pPr>
      <w:pStyle w:val="Encabezado"/>
    </w:pPr>
  </w:p>
  <w:p w14:paraId="352801EF" w14:textId="77777777" w:rsidR="00515FB5" w:rsidRPr="00AB7B56" w:rsidRDefault="00515FB5" w:rsidP="00515FB5">
    <w:pPr>
      <w:pStyle w:val="Encabezado"/>
    </w:pPr>
  </w:p>
  <w:p w14:paraId="5ADF0A49"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doNotDisplayPageBoundarie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92C"/>
    <w:rsid w:val="000016F3"/>
    <w:rsid w:val="000037AE"/>
    <w:rsid w:val="00005BB0"/>
    <w:rsid w:val="0001025F"/>
    <w:rsid w:val="0001222D"/>
    <w:rsid w:val="000135EB"/>
    <w:rsid w:val="00015D2B"/>
    <w:rsid w:val="00031584"/>
    <w:rsid w:val="00032A0E"/>
    <w:rsid w:val="00037347"/>
    <w:rsid w:val="000442CC"/>
    <w:rsid w:val="000556D4"/>
    <w:rsid w:val="00061FB5"/>
    <w:rsid w:val="000716AB"/>
    <w:rsid w:val="00082E4C"/>
    <w:rsid w:val="000849D5"/>
    <w:rsid w:val="0008528F"/>
    <w:rsid w:val="000A6E0C"/>
    <w:rsid w:val="000A7A56"/>
    <w:rsid w:val="000B1FF7"/>
    <w:rsid w:val="000B2513"/>
    <w:rsid w:val="000B4024"/>
    <w:rsid w:val="000C2B6E"/>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1F7"/>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879DC"/>
    <w:rsid w:val="0039082A"/>
    <w:rsid w:val="00390C21"/>
    <w:rsid w:val="003A37BD"/>
    <w:rsid w:val="003B6D94"/>
    <w:rsid w:val="003C4C96"/>
    <w:rsid w:val="003C55E0"/>
    <w:rsid w:val="003F519B"/>
    <w:rsid w:val="0040544F"/>
    <w:rsid w:val="00406A19"/>
    <w:rsid w:val="0041222D"/>
    <w:rsid w:val="0041483E"/>
    <w:rsid w:val="00415369"/>
    <w:rsid w:val="0042469C"/>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2F16"/>
    <w:rsid w:val="0056322C"/>
    <w:rsid w:val="0058743A"/>
    <w:rsid w:val="005A4DB0"/>
    <w:rsid w:val="005A7B8E"/>
    <w:rsid w:val="005B012B"/>
    <w:rsid w:val="005B0C87"/>
    <w:rsid w:val="005B392C"/>
    <w:rsid w:val="005D23F6"/>
    <w:rsid w:val="005D2FA8"/>
    <w:rsid w:val="005E2281"/>
    <w:rsid w:val="005E667C"/>
    <w:rsid w:val="005F077C"/>
    <w:rsid w:val="005F0C32"/>
    <w:rsid w:val="005F63D0"/>
    <w:rsid w:val="005F7973"/>
    <w:rsid w:val="0061690E"/>
    <w:rsid w:val="00627361"/>
    <w:rsid w:val="0063017E"/>
    <w:rsid w:val="00631B28"/>
    <w:rsid w:val="00645B90"/>
    <w:rsid w:val="00650991"/>
    <w:rsid w:val="006511D7"/>
    <w:rsid w:val="00663D75"/>
    <w:rsid w:val="00670AEF"/>
    <w:rsid w:val="00675678"/>
    <w:rsid w:val="00677002"/>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20FE"/>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45A2"/>
    <w:rsid w:val="00995D86"/>
    <w:rsid w:val="009A5453"/>
    <w:rsid w:val="009B44C7"/>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492E"/>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0B67"/>
    <w:rsid w:val="00C0174E"/>
    <w:rsid w:val="00C0511C"/>
    <w:rsid w:val="00C20ACF"/>
    <w:rsid w:val="00C22307"/>
    <w:rsid w:val="00C23469"/>
    <w:rsid w:val="00C30C62"/>
    <w:rsid w:val="00C371DF"/>
    <w:rsid w:val="00C42055"/>
    <w:rsid w:val="00C44B4C"/>
    <w:rsid w:val="00C46734"/>
    <w:rsid w:val="00C47A86"/>
    <w:rsid w:val="00C53220"/>
    <w:rsid w:val="00C8313C"/>
    <w:rsid w:val="00C97346"/>
    <w:rsid w:val="00CA3347"/>
    <w:rsid w:val="00CC299A"/>
    <w:rsid w:val="00CD03E3"/>
    <w:rsid w:val="00CD2662"/>
    <w:rsid w:val="00CE6BDA"/>
    <w:rsid w:val="00D03DBE"/>
    <w:rsid w:val="00D072C0"/>
    <w:rsid w:val="00D34C82"/>
    <w:rsid w:val="00D3757A"/>
    <w:rsid w:val="00D504A9"/>
    <w:rsid w:val="00D5206D"/>
    <w:rsid w:val="00D547B4"/>
    <w:rsid w:val="00D7177D"/>
    <w:rsid w:val="00D81311"/>
    <w:rsid w:val="00DB201E"/>
    <w:rsid w:val="00DC0E68"/>
    <w:rsid w:val="00DD25ED"/>
    <w:rsid w:val="00DE050B"/>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6BFD"/>
    <w:rsid w:val="00F478E4"/>
    <w:rsid w:val="00F53BE2"/>
    <w:rsid w:val="00F55684"/>
    <w:rsid w:val="00F64D5A"/>
    <w:rsid w:val="00F651B0"/>
    <w:rsid w:val="00F709CD"/>
    <w:rsid w:val="00F906F4"/>
    <w:rsid w:val="00FA0716"/>
    <w:rsid w:val="00FB4629"/>
    <w:rsid w:val="00FB6FB1"/>
    <w:rsid w:val="00FB7063"/>
    <w:rsid w:val="00FC2E2A"/>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C2FCC"/>
  <w15:docId w15:val="{98980DFF-4BC8-DB41-9365-7D890D6BA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paragraph" w:styleId="Ttulo3">
    <w:name w:val="heading 3"/>
    <w:basedOn w:val="Normal"/>
    <w:next w:val="Normal"/>
    <w:link w:val="Ttulo3Car"/>
    <w:uiPriority w:val="9"/>
    <w:unhideWhenUsed/>
    <w:qFormat/>
    <w:rsid w:val="000C2B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51">
    <w:name w:val="citation-51"/>
    <w:basedOn w:val="Fuentedeprrafopredeter"/>
    <w:rsid w:val="00C8313C"/>
  </w:style>
  <w:style w:type="character" w:customStyle="1" w:styleId="citation-65">
    <w:name w:val="citation-65"/>
    <w:basedOn w:val="Fuentedeprrafopredeter"/>
    <w:rsid w:val="00C8313C"/>
  </w:style>
  <w:style w:type="character" w:customStyle="1" w:styleId="citation-64">
    <w:name w:val="citation-64"/>
    <w:basedOn w:val="Fuentedeprrafopredeter"/>
    <w:rsid w:val="00C8313C"/>
  </w:style>
  <w:style w:type="character" w:customStyle="1" w:styleId="citation-63">
    <w:name w:val="citation-63"/>
    <w:basedOn w:val="Fuentedeprrafopredeter"/>
    <w:rsid w:val="00C8313C"/>
  </w:style>
  <w:style w:type="character" w:customStyle="1" w:styleId="citation-62">
    <w:name w:val="citation-62"/>
    <w:basedOn w:val="Fuentedeprrafopredeter"/>
    <w:rsid w:val="00C8313C"/>
  </w:style>
  <w:style w:type="character" w:customStyle="1" w:styleId="Ttulo3Car">
    <w:name w:val="Título 3 Car"/>
    <w:basedOn w:val="Fuentedeprrafopredeter"/>
    <w:link w:val="Ttulo3"/>
    <w:uiPriority w:val="9"/>
    <w:rsid w:val="000C2B6E"/>
    <w:rPr>
      <w:rFonts w:asciiTheme="majorHAnsi" w:eastAsiaTheme="majorEastAsia" w:hAnsiTheme="majorHAnsi" w:cstheme="majorBidi"/>
      <w:color w:val="1F3763" w:themeColor="accent1" w:themeShade="7F"/>
      <w:sz w:val="24"/>
      <w:szCs w:val="24"/>
    </w:rPr>
  </w:style>
  <w:style w:type="character" w:customStyle="1" w:styleId="citation-536">
    <w:name w:val="citation-536"/>
    <w:basedOn w:val="Fuentedeprrafopredeter"/>
    <w:rsid w:val="000C2B6E"/>
  </w:style>
  <w:style w:type="character" w:customStyle="1" w:styleId="citation-535">
    <w:name w:val="citation-535"/>
    <w:basedOn w:val="Fuentedeprrafopredeter"/>
    <w:rsid w:val="000C2B6E"/>
  </w:style>
  <w:style w:type="character" w:customStyle="1" w:styleId="citation-534">
    <w:name w:val="citation-534"/>
    <w:basedOn w:val="Fuentedeprrafopredeter"/>
    <w:rsid w:val="000C2B6E"/>
  </w:style>
  <w:style w:type="character" w:customStyle="1" w:styleId="citation-533">
    <w:name w:val="citation-533"/>
    <w:basedOn w:val="Fuentedeprrafopredeter"/>
    <w:rsid w:val="000C2B6E"/>
  </w:style>
  <w:style w:type="character" w:customStyle="1" w:styleId="citation-532">
    <w:name w:val="citation-532"/>
    <w:basedOn w:val="Fuentedeprrafopredeter"/>
    <w:rsid w:val="000C2B6E"/>
  </w:style>
  <w:style w:type="character" w:customStyle="1" w:styleId="citation-531">
    <w:name w:val="citation-531"/>
    <w:basedOn w:val="Fuentedeprrafopredeter"/>
    <w:rsid w:val="000C2B6E"/>
  </w:style>
  <w:style w:type="character" w:customStyle="1" w:styleId="citation-530">
    <w:name w:val="citation-530"/>
    <w:basedOn w:val="Fuentedeprrafopredeter"/>
    <w:rsid w:val="000C2B6E"/>
  </w:style>
  <w:style w:type="character" w:customStyle="1" w:styleId="citation-529">
    <w:name w:val="citation-529"/>
    <w:basedOn w:val="Fuentedeprrafopredeter"/>
    <w:rsid w:val="000C2B6E"/>
  </w:style>
  <w:style w:type="character" w:customStyle="1" w:styleId="citation-528">
    <w:name w:val="citation-528"/>
    <w:basedOn w:val="Fuentedeprrafopredeter"/>
    <w:rsid w:val="000C2B6E"/>
  </w:style>
  <w:style w:type="character" w:customStyle="1" w:styleId="citation-526">
    <w:name w:val="citation-526"/>
    <w:basedOn w:val="Fuentedeprrafopredeter"/>
    <w:rsid w:val="000C2B6E"/>
  </w:style>
  <w:style w:type="character" w:customStyle="1" w:styleId="citation-524">
    <w:name w:val="citation-524"/>
    <w:basedOn w:val="Fuentedeprrafopredeter"/>
    <w:rsid w:val="000C2B6E"/>
  </w:style>
  <w:style w:type="character" w:customStyle="1" w:styleId="citation-523">
    <w:name w:val="citation-523"/>
    <w:basedOn w:val="Fuentedeprrafopredeter"/>
    <w:rsid w:val="000C2B6E"/>
  </w:style>
  <w:style w:type="character" w:customStyle="1" w:styleId="citation-522">
    <w:name w:val="citation-522"/>
    <w:basedOn w:val="Fuentedeprrafopredeter"/>
    <w:rsid w:val="000C2B6E"/>
  </w:style>
  <w:style w:type="character" w:customStyle="1" w:styleId="citation-521">
    <w:name w:val="citation-521"/>
    <w:basedOn w:val="Fuentedeprrafopredeter"/>
    <w:rsid w:val="000C2B6E"/>
  </w:style>
  <w:style w:type="character" w:customStyle="1" w:styleId="citation-520">
    <w:name w:val="citation-520"/>
    <w:basedOn w:val="Fuentedeprrafopredeter"/>
    <w:rsid w:val="000C2B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a.HerazoR@tigo.com.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ONCEPTOS%20CCE/DICIEMBRE/PLANTILLA%20PRICIPAL%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C3BF8CD1-BB79-4E54-A0C5-151E9174A7E4}"/>
</file>

<file path=docProps/app.xml><?xml version="1.0" encoding="utf-8"?>
<Properties xmlns="http://schemas.openxmlformats.org/officeDocument/2006/extended-properties" xmlns:vt="http://schemas.openxmlformats.org/officeDocument/2006/docPropsVTypes">
  <Template>PLANTILLA PRICIPAL .dotx</Template>
  <TotalTime>1</TotalTime>
  <Pages>10</Pages>
  <Words>2681</Words>
  <Characters>14397</Characters>
  <Application>Microsoft Office Word</Application>
  <DocSecurity>0</DocSecurity>
  <Lines>319</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2</cp:revision>
  <dcterms:created xsi:type="dcterms:W3CDTF">2025-12-19T20:05:00Z</dcterms:created>
  <dcterms:modified xsi:type="dcterms:W3CDTF">2025-12-19T20:05:00Z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