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E5D2D" w14:textId="77777777" w:rsidR="00BA6758" w:rsidRDefault="00BA6758" w:rsidP="00BA6758">
      <w:pPr>
        <w:jc w:val="both"/>
        <w:rPr>
          <w:rFonts w:ascii="Verdana" w:eastAsia="Calibri" w:hAnsi="Verdana" w:cs="Arial"/>
          <w:b/>
          <w:bCs/>
          <w:lang w:val="es-ES" w:eastAsia="es-ES"/>
        </w:rPr>
      </w:pPr>
      <w:bookmarkStart w:id="0" w:name="_Hlk143780582"/>
      <w:bookmarkStart w:id="1" w:name="_Hlk214366482"/>
      <w:bookmarkStart w:id="2" w:name="_Hlk216989522"/>
      <w:r w:rsidRPr="00BA6758">
        <w:rPr>
          <w:rFonts w:ascii="Verdana" w:eastAsia="Calibri" w:hAnsi="Verdana" w:cs="Arial"/>
          <w:b/>
          <w:bCs/>
          <w:lang w:val="es-ES" w:eastAsia="es-ES"/>
        </w:rPr>
        <w:t xml:space="preserve">DEFINICIÓN DE LA SITUACIÓN MILITAR – Procedencia </w:t>
      </w:r>
    </w:p>
    <w:p w14:paraId="5A3F07ED" w14:textId="6D70090C" w:rsidR="00BA6758" w:rsidRPr="007C436B" w:rsidRDefault="00BA6758" w:rsidP="007C436B">
      <w:pPr>
        <w:spacing w:after="0" w:line="240" w:lineRule="auto"/>
        <w:jc w:val="both"/>
        <w:rPr>
          <w:rFonts w:ascii="Verdana" w:eastAsia="Calibri" w:hAnsi="Verdana" w:cs="Arial"/>
          <w:sz w:val="20"/>
          <w:szCs w:val="20"/>
        </w:rPr>
      </w:pPr>
      <w:r w:rsidRPr="007C436B">
        <w:rPr>
          <w:rFonts w:ascii="Verdana" w:eastAsia="Calibri" w:hAnsi="Verdana" w:cs="Arial"/>
          <w:sz w:val="20"/>
          <w:szCs w:val="20"/>
          <w:lang w:val="es-ES" w:eastAsia="es-ES"/>
        </w:rPr>
        <w:t xml:space="preserve">[…] </w:t>
      </w:r>
      <w:r w:rsidRPr="007C436B">
        <w:rPr>
          <w:rFonts w:ascii="Verdana" w:eastAsia="Calibri" w:hAnsi="Verdana" w:cs="Arial"/>
          <w:sz w:val="20"/>
          <w:szCs w:val="20"/>
        </w:rPr>
        <w:t>Ley 1861 de 2017 […] estipula, entre otras cosas, la obligación de vincularse al servicio militar los beneficios y exclusiones de la prestación del servicio militar obligatorio, indicando en su artículo 4 que dicha obligación nace al momento en el que los colombianos cumplen su mayoría edad, con el fin de contribuir y alcanzar los fines del Estado encomendados a la Fuerza Pública.</w:t>
      </w:r>
      <w:r w:rsidR="007C436B">
        <w:rPr>
          <w:rFonts w:ascii="Verdana" w:eastAsia="Calibri" w:hAnsi="Verdana" w:cs="Arial"/>
          <w:sz w:val="20"/>
          <w:szCs w:val="20"/>
        </w:rPr>
        <w:t xml:space="preserve"> </w:t>
      </w:r>
      <w:r w:rsidRPr="007C436B">
        <w:rPr>
          <w:rFonts w:ascii="Verdana" w:eastAsia="Aptos" w:hAnsi="Verdana" w:cs="Arial"/>
          <w:color w:val="000000"/>
          <w:sz w:val="20"/>
          <w:szCs w:val="20"/>
          <w:lang w:eastAsia="es-ES"/>
        </w:rPr>
        <w:t>No obstante, el artículo 11 de la referida ley establece la obligación de definir la situación militar al indicar que “[t]</w:t>
      </w:r>
      <w:proofErr w:type="spellStart"/>
      <w:r w:rsidRPr="007C436B">
        <w:rPr>
          <w:rFonts w:ascii="Verdana" w:eastAsia="Aptos" w:hAnsi="Verdana" w:cs="Arial"/>
          <w:color w:val="000000"/>
          <w:sz w:val="20"/>
          <w:szCs w:val="20"/>
          <w:lang w:eastAsia="es-ES"/>
        </w:rPr>
        <w:t>odo</w:t>
      </w:r>
      <w:proofErr w:type="spellEnd"/>
      <w:r w:rsidRPr="007C436B">
        <w:rPr>
          <w:rFonts w:ascii="Verdana" w:eastAsia="Aptos" w:hAnsi="Verdana" w:cs="Arial"/>
          <w:color w:val="000000"/>
          <w:sz w:val="20"/>
          <w:szCs w:val="20"/>
          <w:lang w:eastAsia="es-ES"/>
        </w:rPr>
        <w:t xml:space="preserve"> varón colombiano está obligado a definir su situación militar como reservista de primera o segunda clase, a partir de la fecha en que cumpla su mayoría de edad y hasta el día en que cumpla 50 </w:t>
      </w:r>
      <w:proofErr w:type="gramStart"/>
      <w:r w:rsidRPr="007C436B">
        <w:rPr>
          <w:rFonts w:ascii="Verdana" w:eastAsia="Aptos" w:hAnsi="Verdana" w:cs="Arial"/>
          <w:color w:val="000000"/>
          <w:sz w:val="20"/>
          <w:szCs w:val="20"/>
          <w:lang w:eastAsia="es-ES"/>
        </w:rPr>
        <w:t>años de edad</w:t>
      </w:r>
      <w:proofErr w:type="gramEnd"/>
      <w:r w:rsidR="007C436B">
        <w:rPr>
          <w:rFonts w:ascii="Verdana" w:eastAsia="Aptos" w:hAnsi="Verdana" w:cs="Arial"/>
          <w:color w:val="000000"/>
          <w:sz w:val="20"/>
          <w:szCs w:val="20"/>
          <w:lang w:eastAsia="es-ES"/>
        </w:rPr>
        <w:t>.</w:t>
      </w:r>
    </w:p>
    <w:p w14:paraId="0935BC2C" w14:textId="77777777" w:rsidR="00BA6758" w:rsidRPr="00BA6758" w:rsidRDefault="00BA6758" w:rsidP="00BA6758">
      <w:pPr>
        <w:spacing w:after="0" w:line="240" w:lineRule="auto"/>
        <w:jc w:val="both"/>
        <w:rPr>
          <w:rFonts w:ascii="Verdana" w:eastAsia="Calibri" w:hAnsi="Verdana" w:cs="Arial"/>
          <w:b/>
          <w:bCs/>
          <w:lang w:val="es-ES" w:eastAsia="es-ES"/>
        </w:rPr>
      </w:pPr>
    </w:p>
    <w:p w14:paraId="68730278" w14:textId="1D0BBF8A" w:rsidR="00BA6758" w:rsidRDefault="00BA6758" w:rsidP="0051000C">
      <w:pPr>
        <w:spacing w:after="0" w:line="240" w:lineRule="auto"/>
        <w:jc w:val="both"/>
        <w:rPr>
          <w:rFonts w:ascii="Verdana" w:eastAsia="Calibri" w:hAnsi="Verdana" w:cs="Arial"/>
          <w:b/>
          <w:bCs/>
          <w:lang w:val="es-ES" w:eastAsia="es-ES"/>
        </w:rPr>
      </w:pPr>
      <w:r w:rsidRPr="00BA6758">
        <w:rPr>
          <w:rFonts w:ascii="Verdana" w:eastAsia="Calibri" w:hAnsi="Verdana" w:cs="Arial"/>
          <w:b/>
          <w:bCs/>
          <w:color w:val="000000" w:themeColor="text1"/>
          <w:lang w:val="es-MX" w:eastAsia="es-ES"/>
        </w:rPr>
        <w:t xml:space="preserve">DEFINICIÓN DE LA SITUACIÓN MILITAR - </w:t>
      </w:r>
      <w:r w:rsidRPr="00BA6758">
        <w:rPr>
          <w:rFonts w:ascii="Verdana" w:eastAsia="Calibri" w:hAnsi="Verdana" w:cs="Arial"/>
          <w:b/>
          <w:bCs/>
          <w:lang w:val="es-ES" w:eastAsia="es-ES"/>
        </w:rPr>
        <w:t xml:space="preserve">Situaciones en las que procede – Contratos de prestación de servicios – Personas naturales </w:t>
      </w:r>
    </w:p>
    <w:p w14:paraId="66EBFA93" w14:textId="77777777" w:rsidR="007C436B" w:rsidRDefault="007C436B" w:rsidP="0051000C">
      <w:pPr>
        <w:spacing w:after="0" w:line="240" w:lineRule="auto"/>
        <w:jc w:val="both"/>
        <w:rPr>
          <w:rFonts w:ascii="Verdana" w:eastAsia="Calibri" w:hAnsi="Verdana" w:cs="Arial"/>
          <w:b/>
          <w:bCs/>
          <w:lang w:val="es-ES" w:eastAsia="es-ES"/>
        </w:rPr>
      </w:pPr>
    </w:p>
    <w:p w14:paraId="39E3F9B4" w14:textId="77777777" w:rsidR="007C436B" w:rsidRDefault="007C436B" w:rsidP="007C436B">
      <w:pPr>
        <w:spacing w:after="0" w:line="240" w:lineRule="auto"/>
        <w:jc w:val="both"/>
        <w:rPr>
          <w:rFonts w:ascii="Verdana" w:eastAsia="Aptos" w:hAnsi="Verdana" w:cs="Arial"/>
          <w:color w:val="000000"/>
          <w:sz w:val="20"/>
          <w:szCs w:val="20"/>
          <w:lang w:eastAsia="es-ES"/>
        </w:rPr>
      </w:pPr>
      <w:r w:rsidRPr="007C436B">
        <w:rPr>
          <w:rFonts w:ascii="Verdana" w:eastAsia="Aptos" w:hAnsi="Verdana" w:cs="Arial"/>
          <w:color w:val="000000"/>
          <w:sz w:val="20"/>
          <w:szCs w:val="20"/>
          <w:lang w:eastAsia="es-ES"/>
        </w:rPr>
        <w:t>Por otra parte, e</w:t>
      </w:r>
      <w:r w:rsidRPr="007C436B">
        <w:rPr>
          <w:rFonts w:ascii="Verdana" w:eastAsia="Aptos" w:hAnsi="Verdana" w:cs="Arial"/>
          <w:color w:val="000000"/>
          <w:sz w:val="20"/>
          <w:szCs w:val="20"/>
          <w:lang w:eastAsia="en-GB"/>
        </w:rPr>
        <w:t xml:space="preserve">l artículo 42 de la Ley </w:t>
      </w:r>
      <w:r w:rsidRPr="007C436B">
        <w:rPr>
          <w:rFonts w:ascii="Verdana" w:eastAsia="Aptos" w:hAnsi="Verdana" w:cs="Arial"/>
          <w:color w:val="000000"/>
          <w:sz w:val="20"/>
          <w:szCs w:val="20"/>
        </w:rPr>
        <w:t xml:space="preserve">1861 de 2017 </w:t>
      </w:r>
      <w:r w:rsidRPr="007C436B">
        <w:rPr>
          <w:rFonts w:ascii="Verdana" w:eastAsia="Aptos" w:hAnsi="Verdana" w:cs="Arial"/>
          <w:color w:val="000000"/>
          <w:sz w:val="20"/>
          <w:szCs w:val="20"/>
          <w:lang w:eastAsia="en-GB"/>
        </w:rPr>
        <w:t xml:space="preserve">dispone en su primer inciso que la situación militar se deberá acreditar en tres eventos: i) para ejercer cargos públicos, </w:t>
      </w:r>
      <w:proofErr w:type="spellStart"/>
      <w:r w:rsidRPr="007C436B">
        <w:rPr>
          <w:rFonts w:ascii="Verdana" w:eastAsia="Aptos" w:hAnsi="Verdana" w:cs="Arial"/>
          <w:color w:val="000000"/>
          <w:sz w:val="20"/>
          <w:szCs w:val="20"/>
          <w:lang w:eastAsia="en-GB"/>
        </w:rPr>
        <w:t>ii</w:t>
      </w:r>
      <w:proofErr w:type="spellEnd"/>
      <w:r w:rsidRPr="007C436B">
        <w:rPr>
          <w:rFonts w:ascii="Verdana" w:eastAsia="Aptos" w:hAnsi="Verdana" w:cs="Arial"/>
          <w:color w:val="000000"/>
          <w:sz w:val="20"/>
          <w:szCs w:val="20"/>
          <w:lang w:eastAsia="en-GB"/>
        </w:rPr>
        <w:t xml:space="preserve">) trabajar en el sector privado y </w:t>
      </w:r>
      <w:proofErr w:type="spellStart"/>
      <w:r w:rsidRPr="007C436B">
        <w:rPr>
          <w:rFonts w:ascii="Verdana" w:eastAsia="Aptos" w:hAnsi="Verdana" w:cs="Arial"/>
          <w:color w:val="000000"/>
          <w:sz w:val="20"/>
          <w:szCs w:val="20"/>
          <w:lang w:eastAsia="en-GB"/>
        </w:rPr>
        <w:t>iii</w:t>
      </w:r>
      <w:proofErr w:type="spellEnd"/>
      <w:r w:rsidRPr="007C436B">
        <w:rPr>
          <w:rFonts w:ascii="Verdana" w:eastAsia="Aptos" w:hAnsi="Verdana" w:cs="Arial"/>
          <w:color w:val="000000"/>
          <w:sz w:val="20"/>
          <w:szCs w:val="20"/>
          <w:lang w:eastAsia="en-GB"/>
        </w:rPr>
        <w:t xml:space="preserve">) celebrar contratos de prestación de servicios como persona natural con cualquier entidad de derecho público. </w:t>
      </w:r>
      <w:r w:rsidRPr="007C436B">
        <w:rPr>
          <w:rFonts w:ascii="Verdana" w:eastAsia="Calibri" w:hAnsi="Verdana" w:cs="Arial"/>
          <w:sz w:val="20"/>
          <w:szCs w:val="20"/>
        </w:rPr>
        <w:t xml:space="preserve">Sin embargo, es necesario precisar que, cuando el artículo 42 de la Ley 1861 de 2017 establece la acreditación de la situación militar como un presupuesto para la suscripción de contratos estatales, se refiere de manera exclusiva a la celebración contratos de prestación de servicios con personas naturales. En ese sentido, el ámbito de aplicación del requisito al que se refiere el primer inciso del artículo 42 de la Ley 1861 de 2017 se circunscribe a la tipología contractual contemplada en el numeral 3 del artículo 32 de la Ley 80 de 1993, cuando haya lugar a su celebración con personas naturales, específicamente, con varones de nacionalidad colombiana. </w:t>
      </w:r>
    </w:p>
    <w:p w14:paraId="6B7953B1" w14:textId="77777777" w:rsidR="007C436B" w:rsidRDefault="007C436B" w:rsidP="007C436B">
      <w:pPr>
        <w:spacing w:after="0" w:line="240" w:lineRule="auto"/>
        <w:jc w:val="both"/>
        <w:rPr>
          <w:rFonts w:ascii="Verdana" w:eastAsia="Aptos" w:hAnsi="Verdana" w:cs="Arial"/>
          <w:color w:val="000000"/>
          <w:sz w:val="20"/>
          <w:szCs w:val="20"/>
          <w:lang w:eastAsia="es-ES"/>
        </w:rPr>
      </w:pPr>
    </w:p>
    <w:p w14:paraId="6DE9EA34" w14:textId="79EF46BA" w:rsidR="007C436B" w:rsidRPr="007C436B" w:rsidRDefault="007C436B" w:rsidP="007C436B">
      <w:pPr>
        <w:spacing w:after="0" w:line="240" w:lineRule="auto"/>
        <w:jc w:val="both"/>
        <w:rPr>
          <w:rFonts w:ascii="Verdana" w:eastAsia="Aptos" w:hAnsi="Verdana" w:cs="Arial"/>
          <w:color w:val="000000"/>
          <w:sz w:val="20"/>
          <w:szCs w:val="20"/>
          <w:lang w:eastAsia="es-ES"/>
        </w:rPr>
      </w:pPr>
      <w:r w:rsidRPr="007C436B">
        <w:rPr>
          <w:rFonts w:ascii="Verdana" w:eastAsia="Calibri" w:hAnsi="Verdana" w:cs="Arial"/>
          <w:sz w:val="20"/>
          <w:szCs w:val="20"/>
        </w:rPr>
        <w:t xml:space="preserve">Esta conclusión implica que, para la celebración de contratos distintos del de prestación de servicios – </w:t>
      </w:r>
      <w:r w:rsidRPr="007C436B">
        <w:rPr>
          <w:rFonts w:ascii="Verdana" w:eastAsia="Calibri" w:hAnsi="Verdana" w:cs="Arial"/>
          <w:i/>
          <w:iCs/>
          <w:sz w:val="20"/>
          <w:szCs w:val="20"/>
        </w:rPr>
        <w:t>v.g.</w:t>
      </w:r>
      <w:r w:rsidRPr="007C436B">
        <w:rPr>
          <w:rFonts w:ascii="Verdana" w:eastAsia="Calibri" w:hAnsi="Verdana" w:cs="Arial"/>
          <w:sz w:val="20"/>
          <w:szCs w:val="20"/>
        </w:rPr>
        <w:t xml:space="preserve"> obra pública, consultoría, etc., – no resulta obligatoria la acreditación de la situación militar como un requisito para la celebración del negocio jurídico. Del mismo modo, a luz de esta interpretación, dicho requisito tampoco resultaría exigible cuando se deban celebrar contratos de prestación de servicios con personas naturales extranjeras, así como tampoco a las mujeres, en la medida que estas no están obligadas a definir su situación militar. Asimismo, el requisito tampoco resultaría aplicable a los contratos que deban celebrarse con personas jurídicas, en la medida que la obligación de definir la situación militar solo se predica de los varones con nacionalidad colombiana, es decir de personas naturales, de acuerdo con el artículo 11 de la Ley 1861 de 2017. </w:t>
      </w:r>
    </w:p>
    <w:p w14:paraId="323A751A" w14:textId="77777777" w:rsidR="007C436B" w:rsidRPr="007C436B" w:rsidRDefault="007C436B" w:rsidP="0051000C">
      <w:pPr>
        <w:spacing w:after="0" w:line="240" w:lineRule="auto"/>
        <w:jc w:val="both"/>
        <w:rPr>
          <w:rFonts w:ascii="Verdana" w:eastAsia="Calibri" w:hAnsi="Verdana" w:cs="Arial"/>
          <w:b/>
          <w:bCs/>
          <w:lang w:eastAsia="es-ES"/>
        </w:rPr>
      </w:pPr>
    </w:p>
    <w:p w14:paraId="4BA951EA" w14:textId="77777777" w:rsidR="007C436B" w:rsidRDefault="007C436B" w:rsidP="0051000C">
      <w:pPr>
        <w:spacing w:after="0" w:line="240" w:lineRule="auto"/>
        <w:jc w:val="both"/>
        <w:rPr>
          <w:rFonts w:ascii="Verdana" w:eastAsia="Calibri" w:hAnsi="Verdana" w:cs="Arial"/>
          <w:lang w:val="es-ES" w:eastAsia="es-ES"/>
        </w:rPr>
      </w:pPr>
    </w:p>
    <w:p w14:paraId="32F83884" w14:textId="77777777" w:rsidR="007C436B" w:rsidRDefault="007C436B" w:rsidP="0051000C">
      <w:pPr>
        <w:spacing w:after="0" w:line="240" w:lineRule="auto"/>
        <w:jc w:val="both"/>
        <w:rPr>
          <w:rFonts w:ascii="Verdana" w:eastAsia="Calibri" w:hAnsi="Verdana" w:cs="Arial"/>
          <w:lang w:val="es-ES" w:eastAsia="es-ES"/>
        </w:rPr>
      </w:pPr>
    </w:p>
    <w:p w14:paraId="58E8F7CB" w14:textId="77777777" w:rsidR="007C436B" w:rsidRDefault="007C436B" w:rsidP="0051000C">
      <w:pPr>
        <w:spacing w:after="0" w:line="240" w:lineRule="auto"/>
        <w:jc w:val="both"/>
        <w:rPr>
          <w:rFonts w:ascii="Verdana" w:eastAsia="Calibri" w:hAnsi="Verdana" w:cs="Arial"/>
          <w:lang w:val="es-ES" w:eastAsia="es-ES"/>
        </w:rPr>
      </w:pPr>
    </w:p>
    <w:p w14:paraId="7C9209D5" w14:textId="77777777" w:rsidR="007C436B" w:rsidRDefault="007C436B" w:rsidP="0051000C">
      <w:pPr>
        <w:spacing w:after="0" w:line="240" w:lineRule="auto"/>
        <w:jc w:val="both"/>
        <w:rPr>
          <w:rFonts w:ascii="Verdana" w:eastAsia="Calibri" w:hAnsi="Verdana" w:cs="Arial"/>
          <w:lang w:val="es-ES" w:eastAsia="es-ES"/>
        </w:rPr>
      </w:pPr>
    </w:p>
    <w:p w14:paraId="7BF51240" w14:textId="77777777" w:rsidR="007C436B" w:rsidRDefault="007C436B" w:rsidP="0051000C">
      <w:pPr>
        <w:spacing w:after="0" w:line="240" w:lineRule="auto"/>
        <w:jc w:val="both"/>
        <w:rPr>
          <w:rFonts w:ascii="Verdana" w:eastAsia="Calibri" w:hAnsi="Verdana" w:cs="Arial"/>
          <w:lang w:val="es-ES" w:eastAsia="es-ES"/>
        </w:rPr>
      </w:pPr>
    </w:p>
    <w:p w14:paraId="7D60C63A" w14:textId="77777777" w:rsidR="007C436B" w:rsidRPr="00BA6758" w:rsidRDefault="007C436B" w:rsidP="0051000C">
      <w:pPr>
        <w:spacing w:after="0" w:line="240" w:lineRule="auto"/>
        <w:jc w:val="both"/>
        <w:rPr>
          <w:rFonts w:ascii="Verdana" w:eastAsia="Calibri" w:hAnsi="Verdana" w:cs="Arial"/>
          <w:lang w:val="es-ES" w:eastAsia="es-ES"/>
        </w:rPr>
      </w:pPr>
    </w:p>
    <w:p w14:paraId="62A4EC12" w14:textId="3A159146" w:rsidR="0051000C" w:rsidRDefault="0051000C" w:rsidP="0051000C">
      <w:pPr>
        <w:spacing w:after="0" w:line="240" w:lineRule="auto"/>
        <w:jc w:val="both"/>
        <w:rPr>
          <w:rFonts w:ascii="Verdana" w:eastAsia="Calibri" w:hAnsi="Verdana" w:cs="Arial"/>
          <w:lang w:eastAsia="es-ES"/>
        </w:rPr>
      </w:pPr>
      <w:r>
        <w:rPr>
          <w:rFonts w:ascii="Verdana" w:eastAsia="Calibri" w:hAnsi="Verdana" w:cs="Arial"/>
          <w:lang w:eastAsia="es-ES"/>
        </w:rPr>
        <w:lastRenderedPageBreak/>
        <w:t>Bogotá D.C., 18 de diciembre de 2025</w:t>
      </w:r>
    </w:p>
    <w:p w14:paraId="12431646" w14:textId="77777777" w:rsidR="007C436B" w:rsidRDefault="007C436B" w:rsidP="0051000C">
      <w:pPr>
        <w:spacing w:after="0" w:line="240" w:lineRule="auto"/>
        <w:jc w:val="both"/>
        <w:rPr>
          <w:rFonts w:ascii="Verdana" w:eastAsia="Calibri" w:hAnsi="Verdana" w:cs="Arial"/>
          <w:lang w:eastAsia="es-ES"/>
        </w:rPr>
      </w:pPr>
    </w:p>
    <w:p w14:paraId="1D61C279" w14:textId="2B9EB0F8" w:rsidR="006F3990" w:rsidRDefault="00C9287E" w:rsidP="00C9287E">
      <w:pPr>
        <w:spacing w:after="0" w:line="240" w:lineRule="auto"/>
        <w:jc w:val="right"/>
        <w:rPr>
          <w:rFonts w:ascii="Verdana" w:eastAsia="Calibri" w:hAnsi="Verdana" w:cs="Arial"/>
          <w:lang w:eastAsia="es-ES"/>
        </w:rPr>
      </w:pPr>
      <w:r w:rsidRPr="00C9287E">
        <w:rPr>
          <w:rFonts w:ascii="Verdana" w:eastAsia="Calibri" w:hAnsi="Verdana" w:cs="Arial"/>
          <w:noProof/>
          <w:lang w:eastAsia="es-ES"/>
        </w:rPr>
        <w:drawing>
          <wp:inline distT="0" distB="0" distL="0" distR="0" wp14:anchorId="01F7DD29" wp14:editId="079B939F">
            <wp:extent cx="2732424" cy="789305"/>
            <wp:effectExtent l="0" t="0" r="0" b="0"/>
            <wp:docPr id="10131476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147668" name=""/>
                    <pic:cNvPicPr/>
                  </pic:nvPicPr>
                  <pic:blipFill>
                    <a:blip r:embed="rId10"/>
                    <a:stretch>
                      <a:fillRect/>
                    </a:stretch>
                  </pic:blipFill>
                  <pic:spPr>
                    <a:xfrm>
                      <a:off x="0" y="0"/>
                      <a:ext cx="2741911" cy="792045"/>
                    </a:xfrm>
                    <a:prstGeom prst="rect">
                      <a:avLst/>
                    </a:prstGeom>
                  </pic:spPr>
                </pic:pic>
              </a:graphicData>
            </a:graphic>
          </wp:inline>
        </w:drawing>
      </w:r>
    </w:p>
    <w:p w14:paraId="43531D81" w14:textId="4F0C13D5" w:rsidR="0051000C" w:rsidRDefault="0051000C" w:rsidP="0051000C">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r>
        <w:rPr>
          <w:rFonts w:ascii="Verdana" w:eastAsia="Calibri" w:hAnsi="Verdana" w:cs="Arial"/>
          <w:lang w:eastAsia="es-ES"/>
        </w:rPr>
        <w:t>a</w:t>
      </w:r>
    </w:p>
    <w:p w14:paraId="669FB108" w14:textId="77777777" w:rsidR="0051000C" w:rsidRDefault="0051000C" w:rsidP="0051000C">
      <w:pPr>
        <w:spacing w:after="0" w:line="240" w:lineRule="auto"/>
        <w:jc w:val="both"/>
        <w:rPr>
          <w:rFonts w:ascii="Verdana" w:eastAsia="Calibri" w:hAnsi="Verdana" w:cs="Arial"/>
          <w:b/>
          <w:bCs/>
          <w:lang w:eastAsia="es-ES"/>
        </w:rPr>
      </w:pPr>
      <w:r w:rsidRPr="008D468B">
        <w:rPr>
          <w:rFonts w:ascii="Verdana" w:eastAsia="Calibri" w:hAnsi="Verdana" w:cs="Arial"/>
          <w:b/>
          <w:bCs/>
          <w:lang w:eastAsia="es-ES"/>
        </w:rPr>
        <w:t>NIDIA ELENA</w:t>
      </w:r>
      <w:r>
        <w:rPr>
          <w:rFonts w:ascii="Verdana" w:eastAsia="Calibri" w:hAnsi="Verdana" w:cs="Arial"/>
          <w:b/>
          <w:bCs/>
          <w:lang w:eastAsia="es-ES"/>
        </w:rPr>
        <w:t xml:space="preserve"> </w:t>
      </w:r>
      <w:r w:rsidRPr="008D468B">
        <w:rPr>
          <w:rFonts w:ascii="Verdana" w:eastAsia="Calibri" w:hAnsi="Verdana" w:cs="Arial"/>
          <w:b/>
          <w:bCs/>
          <w:lang w:eastAsia="es-ES"/>
        </w:rPr>
        <w:t>NIETO VEL</w:t>
      </w:r>
      <w:r>
        <w:rPr>
          <w:rFonts w:ascii="Verdana" w:eastAsia="Calibri" w:hAnsi="Verdana" w:cs="Arial"/>
          <w:b/>
          <w:bCs/>
          <w:lang w:eastAsia="es-ES"/>
        </w:rPr>
        <w:t>Á</w:t>
      </w:r>
      <w:r w:rsidRPr="008D468B">
        <w:rPr>
          <w:rFonts w:ascii="Verdana" w:eastAsia="Calibri" w:hAnsi="Verdana" w:cs="Arial"/>
          <w:b/>
          <w:bCs/>
          <w:lang w:eastAsia="es-ES"/>
        </w:rPr>
        <w:t>SQUEZ</w:t>
      </w:r>
    </w:p>
    <w:p w14:paraId="17577193" w14:textId="77777777" w:rsidR="0051000C" w:rsidRPr="008D468B" w:rsidRDefault="0051000C" w:rsidP="0051000C">
      <w:pPr>
        <w:spacing w:after="0" w:line="240" w:lineRule="auto"/>
        <w:jc w:val="both"/>
        <w:rPr>
          <w:rFonts w:ascii="Verdana" w:hAnsi="Verdana"/>
          <w:b/>
          <w:bCs/>
        </w:rPr>
      </w:pPr>
      <w:hyperlink r:id="rId11" w:history="1">
        <w:r w:rsidRPr="008D468B">
          <w:rPr>
            <w:rStyle w:val="Hipervnculo"/>
            <w:rFonts w:ascii="Verdana" w:hAnsi="Verdana"/>
            <w:b/>
            <w:bCs/>
          </w:rPr>
          <w:t>publictenders171@gmail.com</w:t>
        </w:r>
      </w:hyperlink>
    </w:p>
    <w:p w14:paraId="52A49012" w14:textId="77777777" w:rsidR="0051000C" w:rsidRPr="00791871" w:rsidRDefault="0051000C" w:rsidP="0051000C">
      <w:pPr>
        <w:spacing w:after="0" w:line="240" w:lineRule="auto"/>
        <w:jc w:val="both"/>
        <w:rPr>
          <w:rFonts w:ascii="Verdana" w:hAnsi="Verdana"/>
        </w:rPr>
      </w:pPr>
      <w:r>
        <w:rPr>
          <w:rFonts w:ascii="Verdana" w:hAnsi="Verdana"/>
        </w:rPr>
        <w:t>Ciudad</w:t>
      </w:r>
    </w:p>
    <w:p w14:paraId="0E37D4D0" w14:textId="77777777" w:rsidR="0051000C" w:rsidRPr="00791871" w:rsidRDefault="0051000C" w:rsidP="0051000C">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1000C" w:rsidRPr="005644FE" w14:paraId="6CC5489E" w14:textId="77777777" w:rsidTr="00C92B50">
        <w:trPr>
          <w:trHeight w:val="162"/>
        </w:trPr>
        <w:tc>
          <w:tcPr>
            <w:tcW w:w="3119" w:type="dxa"/>
          </w:tcPr>
          <w:p w14:paraId="0EEBF3FA" w14:textId="77777777" w:rsidR="0051000C" w:rsidRPr="00791871" w:rsidRDefault="0051000C" w:rsidP="00C92B50">
            <w:pPr>
              <w:jc w:val="both"/>
              <w:rPr>
                <w:rFonts w:ascii="Verdana" w:eastAsia="Calibri" w:hAnsi="Verdana" w:cs="Arial"/>
                <w:b/>
                <w:bCs/>
                <w:color w:val="7030A0"/>
                <w:lang w:eastAsia="es-ES_tradnl"/>
              </w:rPr>
            </w:pPr>
          </w:p>
        </w:tc>
        <w:tc>
          <w:tcPr>
            <w:tcW w:w="5670" w:type="dxa"/>
          </w:tcPr>
          <w:p w14:paraId="0CFB6B15" w14:textId="77777777" w:rsidR="0051000C" w:rsidRPr="005644FE" w:rsidRDefault="0051000C" w:rsidP="00C92B50">
            <w:pPr>
              <w:jc w:val="both"/>
              <w:rPr>
                <w:rFonts w:ascii="Verdana" w:eastAsia="Calibri" w:hAnsi="Verdana" w:cs="Arial"/>
                <w:b/>
                <w:bCs/>
                <w:lang w:eastAsia="es-ES"/>
              </w:rPr>
            </w:pPr>
            <w:r w:rsidRPr="005644FE">
              <w:rPr>
                <w:rFonts w:ascii="Verdana" w:eastAsia="Calibri" w:hAnsi="Verdana" w:cs="Arial"/>
                <w:b/>
                <w:bCs/>
                <w:lang w:eastAsia="es-ES"/>
              </w:rPr>
              <w:t>Concepto C-1</w:t>
            </w:r>
            <w:r>
              <w:rPr>
                <w:rFonts w:ascii="Verdana" w:eastAsia="Calibri" w:hAnsi="Verdana" w:cs="Arial"/>
                <w:b/>
                <w:bCs/>
                <w:lang w:eastAsia="es-ES"/>
              </w:rPr>
              <w:t xml:space="preserve">644 </w:t>
            </w:r>
            <w:r w:rsidRPr="005644FE">
              <w:rPr>
                <w:rFonts w:ascii="Verdana" w:eastAsia="Calibri" w:hAnsi="Verdana" w:cs="Arial"/>
                <w:b/>
                <w:bCs/>
                <w:lang w:eastAsia="es-ES"/>
              </w:rPr>
              <w:t>de 2025</w:t>
            </w:r>
          </w:p>
          <w:p w14:paraId="2447AD04" w14:textId="77777777" w:rsidR="0051000C" w:rsidRPr="005644FE" w:rsidRDefault="0051000C" w:rsidP="00C92B50">
            <w:pPr>
              <w:jc w:val="both"/>
              <w:rPr>
                <w:rFonts w:ascii="Verdana" w:eastAsia="Calibri" w:hAnsi="Verdana" w:cs="Arial"/>
                <w:b/>
                <w:bCs/>
                <w:color w:val="7030A0"/>
                <w:lang w:eastAsia="es-ES"/>
              </w:rPr>
            </w:pPr>
          </w:p>
        </w:tc>
      </w:tr>
      <w:tr w:rsidR="0051000C" w:rsidRPr="005644FE" w14:paraId="2F76F5BD" w14:textId="77777777" w:rsidTr="00C92B50">
        <w:trPr>
          <w:trHeight w:val="884"/>
        </w:trPr>
        <w:tc>
          <w:tcPr>
            <w:tcW w:w="3119" w:type="dxa"/>
          </w:tcPr>
          <w:p w14:paraId="677FD141" w14:textId="77777777" w:rsidR="0051000C" w:rsidRPr="005644FE" w:rsidRDefault="0051000C" w:rsidP="00C92B50">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D8B8E32" w14:textId="77777777" w:rsidR="0051000C" w:rsidRDefault="0051000C" w:rsidP="00C92B50">
            <w:pPr>
              <w:jc w:val="both"/>
              <w:rPr>
                <w:rFonts w:ascii="Verdana" w:eastAsia="Calibri" w:hAnsi="Verdana" w:cs="Arial"/>
                <w:lang w:val="es-ES" w:eastAsia="es-ES"/>
              </w:rPr>
            </w:pPr>
            <w:r w:rsidRPr="008A7CBD">
              <w:rPr>
                <w:rFonts w:ascii="Verdana" w:eastAsia="Calibri" w:hAnsi="Verdana" w:cs="Arial"/>
                <w:lang w:val="es-ES" w:eastAsia="es-ES"/>
              </w:rPr>
              <w:t xml:space="preserve">DEFINICIÓN DE LA SITUACIÓN MILITAR – </w:t>
            </w:r>
            <w:r>
              <w:rPr>
                <w:rFonts w:ascii="Verdana" w:eastAsia="Calibri" w:hAnsi="Verdana" w:cs="Arial"/>
                <w:lang w:val="es-ES" w:eastAsia="es-ES"/>
              </w:rPr>
              <w:t xml:space="preserve">Procedencia / </w:t>
            </w:r>
            <w:r w:rsidRPr="00867EB5">
              <w:rPr>
                <w:rFonts w:ascii="Verdana" w:eastAsia="Calibri" w:hAnsi="Verdana" w:cs="Arial"/>
                <w:bCs/>
                <w:color w:val="000000" w:themeColor="text1"/>
                <w:lang w:val="es-MX" w:eastAsia="es-ES"/>
              </w:rPr>
              <w:t xml:space="preserve">DEFINICIÓN DE LA SITUACIÓN MILITAR </w:t>
            </w:r>
            <w:r>
              <w:rPr>
                <w:rFonts w:ascii="Verdana" w:eastAsia="Calibri" w:hAnsi="Verdana" w:cs="Arial"/>
                <w:bCs/>
                <w:color w:val="000000" w:themeColor="text1"/>
                <w:lang w:val="es-MX" w:eastAsia="es-ES"/>
              </w:rPr>
              <w:t xml:space="preserve">- </w:t>
            </w:r>
            <w:r w:rsidRPr="008A7CBD">
              <w:rPr>
                <w:rFonts w:ascii="Verdana" w:eastAsia="Calibri" w:hAnsi="Verdana" w:cs="Arial"/>
                <w:lang w:val="es-ES" w:eastAsia="es-ES"/>
              </w:rPr>
              <w:t xml:space="preserve">Situaciones en las que procede – Contratos de prestación de servicios – Personas naturales </w:t>
            </w:r>
          </w:p>
          <w:p w14:paraId="5DDAD700" w14:textId="77777777" w:rsidR="0051000C" w:rsidRPr="002B6243" w:rsidRDefault="0051000C" w:rsidP="00C92B50">
            <w:pPr>
              <w:jc w:val="both"/>
              <w:rPr>
                <w:rFonts w:ascii="Verdana" w:eastAsia="Calibri" w:hAnsi="Verdana" w:cs="Arial"/>
                <w:lang w:val="es-ES" w:eastAsia="es-ES"/>
              </w:rPr>
            </w:pPr>
          </w:p>
        </w:tc>
      </w:tr>
      <w:tr w:rsidR="0051000C" w:rsidRPr="005644FE" w14:paraId="3B90BE3C" w14:textId="77777777" w:rsidTr="00C92B50">
        <w:tc>
          <w:tcPr>
            <w:tcW w:w="3119" w:type="dxa"/>
          </w:tcPr>
          <w:p w14:paraId="01BE2C3B" w14:textId="77777777" w:rsidR="0051000C" w:rsidRPr="005644FE" w:rsidRDefault="0051000C" w:rsidP="00C92B50">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7B37B5E" w14:textId="77777777" w:rsidR="0051000C" w:rsidRPr="00F04657" w:rsidRDefault="0051000C" w:rsidP="00C92B50">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8D468B">
              <w:rPr>
                <w:rFonts w:ascii="Verdana" w:hAnsi="Verdana" w:cs="Calibri"/>
                <w:color w:val="000000"/>
              </w:rPr>
              <w:t>1_2025_11_07_012600</w:t>
            </w:r>
          </w:p>
        </w:tc>
      </w:tr>
    </w:tbl>
    <w:p w14:paraId="3ADEE2BB" w14:textId="77777777" w:rsidR="0051000C" w:rsidRPr="005644FE" w:rsidRDefault="0051000C" w:rsidP="0051000C">
      <w:pPr>
        <w:spacing w:after="0" w:line="276" w:lineRule="auto"/>
        <w:jc w:val="both"/>
        <w:rPr>
          <w:rFonts w:ascii="Verdana" w:eastAsia="Calibri" w:hAnsi="Verdana" w:cs="Arial"/>
          <w:lang w:eastAsia="es-ES_tradnl"/>
        </w:rPr>
      </w:pPr>
    </w:p>
    <w:p w14:paraId="13ACFF18" w14:textId="77777777" w:rsidR="0051000C" w:rsidRPr="005644FE" w:rsidRDefault="0051000C" w:rsidP="0051000C">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señora Nidia Elena</w:t>
      </w:r>
      <w:r w:rsidRPr="005644FE">
        <w:rPr>
          <w:rFonts w:ascii="Verdana" w:eastAsia="Calibri" w:hAnsi="Verdana" w:cs="Arial"/>
          <w:lang w:eastAsia="es-ES"/>
        </w:rPr>
        <w:t>:</w:t>
      </w:r>
    </w:p>
    <w:p w14:paraId="6EC3096B" w14:textId="77777777" w:rsidR="0051000C" w:rsidRPr="00E02524" w:rsidRDefault="0051000C" w:rsidP="0051000C">
      <w:pPr>
        <w:spacing w:after="0" w:line="276" w:lineRule="auto"/>
        <w:jc w:val="both"/>
        <w:rPr>
          <w:rFonts w:ascii="Verdana" w:hAnsi="Verdana"/>
          <w:lang w:val="es-MX"/>
        </w:rPr>
      </w:pPr>
    </w:p>
    <w:p w14:paraId="4B4D3592" w14:textId="77777777" w:rsidR="0051000C" w:rsidRDefault="0051000C" w:rsidP="0051000C">
      <w:pPr>
        <w:spacing w:after="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7 de noviembre</w:t>
      </w:r>
      <w:r w:rsidRPr="005644FE">
        <w:rPr>
          <w:rFonts w:ascii="Verdana" w:eastAsia="Calibri" w:hAnsi="Verdana" w:cs="Arial"/>
          <w:lang w:eastAsia="es-ES"/>
        </w:rPr>
        <w:t xml:space="preserve"> de 2025</w:t>
      </w:r>
      <w:r>
        <w:rPr>
          <w:rFonts w:ascii="Verdana" w:eastAsia="Calibri" w:hAnsi="Verdana" w:cs="Arial"/>
          <w:lang w:eastAsia="es-ES"/>
        </w:rPr>
        <w:t>,</w:t>
      </w:r>
      <w:r w:rsidRPr="005644FE">
        <w:rPr>
          <w:rFonts w:ascii="Verdana" w:eastAsia="Calibri" w:hAnsi="Verdana" w:cs="Arial"/>
          <w:lang w:eastAsia="es-ES"/>
        </w:rPr>
        <w:t xml:space="preserve"> </w:t>
      </w:r>
      <w:r>
        <w:rPr>
          <w:rFonts w:ascii="Verdana" w:eastAsia="Calibri" w:hAnsi="Verdana" w:cs="Arial"/>
          <w:lang w:eastAsia="es-ES"/>
        </w:rPr>
        <w:t xml:space="preserve">previamente trasladada por el Ministerio del Trabajo mediante radicado 08SE02025120300000063542 del 27 de octubre de 2025, </w:t>
      </w:r>
      <w:r w:rsidRPr="005644FE">
        <w:rPr>
          <w:rFonts w:ascii="Verdana" w:eastAsia="Calibri" w:hAnsi="Verdana" w:cs="Arial"/>
          <w:lang w:eastAsia="es-ES"/>
        </w:rPr>
        <w:t>en la cual manifiesta lo siguiente:</w:t>
      </w:r>
    </w:p>
    <w:p w14:paraId="65A235F8" w14:textId="77777777" w:rsidR="007C436B" w:rsidRDefault="007C436B" w:rsidP="007C436B">
      <w:pPr>
        <w:spacing w:after="0" w:line="240" w:lineRule="auto"/>
        <w:jc w:val="both"/>
        <w:rPr>
          <w:rFonts w:ascii="Verdana" w:hAnsi="Verdana"/>
        </w:rPr>
      </w:pPr>
    </w:p>
    <w:p w14:paraId="6C0D0ADD" w14:textId="7EC9FC51" w:rsidR="0051000C" w:rsidRDefault="0051000C" w:rsidP="0051000C">
      <w:pPr>
        <w:spacing w:after="0" w:line="276" w:lineRule="auto"/>
        <w:jc w:val="both"/>
        <w:rPr>
          <w:rFonts w:ascii="Verdana" w:hAnsi="Verdana"/>
        </w:rPr>
      </w:pPr>
      <w:r w:rsidRPr="00E02524">
        <w:rPr>
          <w:rFonts w:ascii="Verdana" w:hAnsi="Verdana"/>
        </w:rPr>
        <w:t xml:space="preserve">PETICIÓN REALIZADA </w:t>
      </w:r>
    </w:p>
    <w:p w14:paraId="4B669E8B" w14:textId="77777777" w:rsidR="0051000C" w:rsidRPr="008E5B36" w:rsidRDefault="0051000C" w:rsidP="0051000C">
      <w:pPr>
        <w:spacing w:after="0" w:line="276" w:lineRule="auto"/>
        <w:jc w:val="both"/>
        <w:rPr>
          <w:rFonts w:ascii="Verdana" w:hAnsi="Verdana"/>
        </w:rPr>
      </w:pPr>
    </w:p>
    <w:p w14:paraId="3ADD27D1" w14:textId="77777777" w:rsidR="0051000C" w:rsidRPr="00A87E6E" w:rsidRDefault="0051000C" w:rsidP="0051000C">
      <w:pPr>
        <w:spacing w:after="0" w:line="240" w:lineRule="auto"/>
        <w:ind w:left="709" w:right="709"/>
        <w:jc w:val="both"/>
        <w:rPr>
          <w:rFonts w:ascii="Verdana" w:hAnsi="Verdana"/>
          <w:sz w:val="20"/>
          <w:szCs w:val="20"/>
        </w:rPr>
      </w:pPr>
      <w:r>
        <w:rPr>
          <w:rFonts w:ascii="Verdana" w:hAnsi="Verdana"/>
          <w:sz w:val="20"/>
          <w:szCs w:val="20"/>
        </w:rPr>
        <w:t xml:space="preserve">“(…) </w:t>
      </w:r>
      <w:r w:rsidRPr="008D468B">
        <w:rPr>
          <w:rFonts w:ascii="Verdana" w:hAnsi="Verdana"/>
          <w:sz w:val="20"/>
          <w:szCs w:val="20"/>
        </w:rPr>
        <w:t xml:space="preserve">SOLICITO POR FAVOR CONCEPTO SOBRE LA EXIGENCIA DE LIBRETA MILITAR O CERTIFICACION DE SITUACION MILITAR COMO REQUISITO </w:t>
      </w:r>
      <w:r w:rsidRPr="008D468B">
        <w:rPr>
          <w:rFonts w:ascii="Verdana" w:hAnsi="Verdana"/>
          <w:sz w:val="20"/>
          <w:szCs w:val="20"/>
        </w:rPr>
        <w:lastRenderedPageBreak/>
        <w:t xml:space="preserve">HABILITANTE EN LAS LICITACIONES PUBLICAS, TENIENDO EN CUENTA QUE NO SE GENERA UN VINCULO DIRECTO DEL FUNCIONARIO CON LA ENTIDAD ESTATAL, TENIENDO EN CUENTA QUE EL OBJETO DE LA CONTRATACION ES SUMINISTRO O PRESTACION DE SERVICIOS </w:t>
      </w:r>
      <w:r w:rsidRPr="008E5B36">
        <w:rPr>
          <w:rFonts w:ascii="Verdana" w:hAnsi="Verdana"/>
          <w:sz w:val="20"/>
          <w:szCs w:val="20"/>
        </w:rPr>
        <w:t>(…)”.</w:t>
      </w:r>
    </w:p>
    <w:p w14:paraId="514D574A" w14:textId="77777777" w:rsidR="0051000C" w:rsidRDefault="0051000C" w:rsidP="0051000C">
      <w:pPr>
        <w:spacing w:after="0" w:line="240" w:lineRule="auto"/>
        <w:ind w:firstLine="709"/>
        <w:jc w:val="both"/>
        <w:rPr>
          <w:rFonts w:ascii="Verdana" w:eastAsia="Calibri" w:hAnsi="Verdana" w:cs="Arial"/>
          <w:color w:val="000000"/>
          <w:lang w:eastAsia="es-ES"/>
        </w:rPr>
      </w:pPr>
    </w:p>
    <w:p w14:paraId="1F1A8DF9" w14:textId="77777777" w:rsidR="0051000C" w:rsidRPr="005644FE" w:rsidRDefault="0051000C" w:rsidP="0051000C">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8C545FF" w14:textId="77777777" w:rsidR="0051000C" w:rsidRDefault="0051000C" w:rsidP="0051000C">
      <w:pPr>
        <w:spacing w:after="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w:t>
      </w:r>
      <w:r w:rsidRPr="00714FA7">
        <w:rPr>
          <w:rFonts w:ascii="Verdana" w:eastAsia="Calibri" w:hAnsi="Verdana" w:cs="Arial"/>
          <w:color w:val="000000"/>
          <w:lang w:eastAsia="es-ES"/>
        </w:rPr>
        <w:t xml:space="preserve">abstracción del caso particular y concreto señalado en su petición, pero </w:t>
      </w:r>
      <w:r w:rsidRPr="000B7077">
        <w:rPr>
          <w:rFonts w:ascii="Verdana" w:eastAsia="Calibri" w:hAnsi="Verdana" w:cs="Arial"/>
          <w:color w:val="000000"/>
          <w:lang w:eastAsia="es-ES"/>
        </w:rPr>
        <w:t>señalando algunas consideraciones sobre las normas generales relacionadas a</w:t>
      </w:r>
      <w:r>
        <w:rPr>
          <w:rFonts w:ascii="Verdana" w:eastAsia="Calibri" w:hAnsi="Verdana" w:cs="Arial"/>
          <w:color w:val="000000"/>
          <w:lang w:eastAsia="es-ES"/>
        </w:rPr>
        <w:t xml:space="preserve">l </w:t>
      </w:r>
      <w:r w:rsidRPr="000B7077">
        <w:rPr>
          <w:rFonts w:ascii="Verdana" w:eastAsia="Calibri" w:hAnsi="Verdana" w:cs="Arial"/>
          <w:color w:val="000000"/>
          <w:lang w:eastAsia="es-ES"/>
        </w:rPr>
        <w:t>problema jurídico de su consulta.</w:t>
      </w:r>
      <w:r w:rsidRPr="000B7077">
        <w:rPr>
          <w:rFonts w:ascii="Verdana" w:eastAsia="Calibri" w:hAnsi="Verdana" w:cs="Arial"/>
          <w:lang w:eastAsia="es-ES"/>
        </w:rPr>
        <w:t xml:space="preserve">  </w:t>
      </w:r>
    </w:p>
    <w:p w14:paraId="231B3EDA" w14:textId="77777777" w:rsidR="0051000C" w:rsidRPr="000B7077" w:rsidRDefault="0051000C" w:rsidP="0051000C">
      <w:pPr>
        <w:spacing w:after="0" w:line="276" w:lineRule="auto"/>
        <w:ind w:firstLine="709"/>
        <w:jc w:val="both"/>
        <w:rPr>
          <w:rFonts w:ascii="Verdana" w:eastAsia="Calibri" w:hAnsi="Verdana" w:cs="Arial"/>
          <w:lang w:eastAsia="es-ES"/>
        </w:rPr>
      </w:pPr>
    </w:p>
    <w:p w14:paraId="6746E44B" w14:textId="77777777" w:rsidR="0051000C" w:rsidRPr="000B7077" w:rsidRDefault="0051000C" w:rsidP="0051000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B7077">
        <w:rPr>
          <w:rFonts w:ascii="Verdana" w:eastAsia="Century Gothic" w:hAnsi="Verdana" w:cs="Century Gothic"/>
          <w:b/>
          <w:bCs/>
        </w:rPr>
        <w:t>Problema planteado:</w:t>
      </w:r>
    </w:p>
    <w:p w14:paraId="25B10CCE" w14:textId="77777777" w:rsidR="0051000C" w:rsidRPr="00CE2BA9" w:rsidRDefault="0051000C" w:rsidP="0051000C">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rPr>
      </w:pPr>
    </w:p>
    <w:p w14:paraId="14450278" w14:textId="77777777" w:rsidR="0051000C" w:rsidRPr="000B7077" w:rsidRDefault="0051000C" w:rsidP="0051000C">
      <w:pPr>
        <w:spacing w:after="0" w:line="276" w:lineRule="auto"/>
        <w:jc w:val="both"/>
        <w:rPr>
          <w:rFonts w:ascii="Verdana" w:eastAsia="Century Gothic" w:hAnsi="Verdana" w:cs="Century Gothic"/>
        </w:rPr>
      </w:pPr>
      <w:r w:rsidRPr="000B7077">
        <w:rPr>
          <w:rFonts w:ascii="Verdana" w:eastAsia="Calibri" w:hAnsi="Verdana" w:cs="Arial"/>
          <w:color w:val="000000"/>
          <w:lang w:eastAsia="es-ES"/>
        </w:rPr>
        <w:t xml:space="preserve">De acuerdo </w:t>
      </w:r>
      <w:r w:rsidRPr="004C1D87">
        <w:rPr>
          <w:rFonts w:ascii="Verdana" w:eastAsia="Calibri" w:hAnsi="Verdana" w:cs="Arial"/>
          <w:color w:val="000000"/>
          <w:lang w:eastAsia="es-ES"/>
        </w:rPr>
        <w:t>con el contenido de su solicitud, esta Agencia el siguiente problema jurídico:</w:t>
      </w:r>
      <w:r w:rsidRPr="004C1D87">
        <w:rPr>
          <w:rFonts w:ascii="Verdana" w:eastAsia="Century Gothic" w:hAnsi="Verdana" w:cs="Century Gothic"/>
        </w:rPr>
        <w:t xml:space="preserve"> En el proceso de selección a través de la licitación pública ¿se debe exigir como requisito habilitante la libreta militar o la certificación de situación militar?</w:t>
      </w:r>
      <w:r>
        <w:rPr>
          <w:rFonts w:ascii="Verdana" w:eastAsia="Century Gothic" w:hAnsi="Verdana" w:cs="Century Gothic"/>
        </w:rPr>
        <w:t xml:space="preserve"> </w:t>
      </w:r>
    </w:p>
    <w:p w14:paraId="367C81F2" w14:textId="77777777" w:rsidR="0051000C" w:rsidRPr="000B7077" w:rsidRDefault="0051000C" w:rsidP="0051000C">
      <w:pPr>
        <w:spacing w:after="0" w:line="276" w:lineRule="auto"/>
        <w:jc w:val="both"/>
        <w:rPr>
          <w:rFonts w:ascii="Verdana" w:eastAsia="Calibri" w:hAnsi="Verdana" w:cs="Arial"/>
          <w:color w:val="000000"/>
          <w:lang w:eastAsia="es-ES"/>
        </w:rPr>
      </w:pPr>
    </w:p>
    <w:p w14:paraId="6191FE46" w14:textId="77777777" w:rsidR="0051000C" w:rsidRDefault="0051000C" w:rsidP="0051000C">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38D4A9B5" w14:textId="77777777" w:rsidR="0051000C" w:rsidRPr="005644FE" w:rsidRDefault="0051000C" w:rsidP="0051000C">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1000C" w:rsidRPr="005644FE" w14:paraId="209B1E49" w14:textId="77777777" w:rsidTr="00C92B50">
        <w:tc>
          <w:tcPr>
            <w:tcW w:w="8828" w:type="dxa"/>
          </w:tcPr>
          <w:p w14:paraId="517F5C45" w14:textId="77777777" w:rsidR="0051000C" w:rsidRDefault="0051000C" w:rsidP="00C92B50">
            <w:pPr>
              <w:spacing w:after="120" w:line="276" w:lineRule="auto"/>
              <w:jc w:val="both"/>
              <w:rPr>
                <w:rFonts w:ascii="Verdana" w:eastAsia="Calibri" w:hAnsi="Verdana" w:cs="Arial"/>
              </w:rPr>
            </w:pPr>
            <w:r>
              <w:rPr>
                <w:rFonts w:ascii="Verdana" w:eastAsia="Aptos" w:hAnsi="Verdana" w:cs="Arial"/>
                <w:color w:val="000000"/>
                <w:lang w:eastAsia="en-GB"/>
              </w:rPr>
              <w:t>E</w:t>
            </w:r>
            <w:r w:rsidRPr="008A7CBD">
              <w:rPr>
                <w:rFonts w:ascii="Verdana" w:eastAsia="Aptos" w:hAnsi="Verdana" w:cs="Arial"/>
                <w:color w:val="000000"/>
                <w:lang w:eastAsia="en-GB"/>
              </w:rPr>
              <w:t xml:space="preserve">l artículo 42 de la Ley </w:t>
            </w:r>
            <w:r w:rsidRPr="008A7CBD">
              <w:rPr>
                <w:rFonts w:ascii="Verdana" w:eastAsia="Aptos" w:hAnsi="Verdana" w:cs="Arial"/>
                <w:color w:val="000000"/>
              </w:rPr>
              <w:t xml:space="preserve">1861 de 2017 </w:t>
            </w:r>
            <w:r w:rsidRPr="008A7CBD">
              <w:rPr>
                <w:rFonts w:ascii="Verdana" w:eastAsia="Aptos" w:hAnsi="Verdana" w:cs="Arial"/>
                <w:color w:val="000000"/>
                <w:lang w:eastAsia="en-GB"/>
              </w:rPr>
              <w:t xml:space="preserve">dispone en su primer inciso que la situación militar se deberá acreditar en tres eventos: i) para ejercer cargos públicos, </w:t>
            </w:r>
            <w:proofErr w:type="spellStart"/>
            <w:r w:rsidRPr="008A7CBD">
              <w:rPr>
                <w:rFonts w:ascii="Verdana" w:eastAsia="Aptos" w:hAnsi="Verdana" w:cs="Arial"/>
                <w:color w:val="000000"/>
                <w:lang w:eastAsia="en-GB"/>
              </w:rPr>
              <w:t>ii</w:t>
            </w:r>
            <w:proofErr w:type="spellEnd"/>
            <w:r w:rsidRPr="008A7CBD">
              <w:rPr>
                <w:rFonts w:ascii="Verdana" w:eastAsia="Aptos" w:hAnsi="Verdana" w:cs="Arial"/>
                <w:color w:val="000000"/>
                <w:lang w:eastAsia="en-GB"/>
              </w:rPr>
              <w:t xml:space="preserve">) trabajar en el sector privado y </w:t>
            </w:r>
            <w:proofErr w:type="spellStart"/>
            <w:r w:rsidRPr="008A7CBD">
              <w:rPr>
                <w:rFonts w:ascii="Verdana" w:eastAsia="Aptos" w:hAnsi="Verdana" w:cs="Arial"/>
                <w:color w:val="000000"/>
                <w:lang w:eastAsia="en-GB"/>
              </w:rPr>
              <w:t>iii</w:t>
            </w:r>
            <w:proofErr w:type="spellEnd"/>
            <w:r w:rsidRPr="008A7CBD">
              <w:rPr>
                <w:rFonts w:ascii="Verdana" w:eastAsia="Aptos" w:hAnsi="Verdana" w:cs="Arial"/>
                <w:color w:val="000000"/>
                <w:lang w:eastAsia="en-GB"/>
              </w:rPr>
              <w:t>) celebrar contratos de prestación de servicios como persona natural con cualquier entidad de derecho público.</w:t>
            </w:r>
          </w:p>
          <w:p w14:paraId="1E03A2E7" w14:textId="77777777" w:rsidR="0051000C" w:rsidRDefault="0051000C" w:rsidP="00C92B50">
            <w:pPr>
              <w:spacing w:after="120" w:line="276" w:lineRule="auto"/>
              <w:ind w:firstLine="709"/>
              <w:jc w:val="both"/>
              <w:rPr>
                <w:rFonts w:ascii="Verdana" w:eastAsia="Calibri" w:hAnsi="Verdana" w:cs="Arial"/>
              </w:rPr>
            </w:pPr>
            <w:r w:rsidRPr="008A7CBD">
              <w:rPr>
                <w:rFonts w:ascii="Verdana" w:eastAsia="Calibri" w:hAnsi="Verdana" w:cs="Arial"/>
              </w:rPr>
              <w:lastRenderedPageBreak/>
              <w:t xml:space="preserve">Sin embargo, es necesario precisar que, cuando el artículo 42 de la Ley 1861 de 2017 establece la acreditación de la situación militar como un presupuesto para la suscripción de contratos estatales, se refiere de manera exclusiva a la celebración contratos de prestación de servicios con personas naturales. En ese sentido, el ámbito de aplicación del requisito al que se refiere el primer inciso del artículo 42 de la Ley 1861 de 2017 se circunscribe a la tipología contractual contemplada en el numeral 3 del artículo 32 de la Ley 80 de 1993, cuando haya lugar a su celebración con personas naturales, específicamente, con varones de nacionalidad colombiana. </w:t>
            </w:r>
          </w:p>
          <w:p w14:paraId="0C8D379C" w14:textId="77777777" w:rsidR="0051000C" w:rsidRPr="00A6316B" w:rsidRDefault="0051000C" w:rsidP="00C92B50">
            <w:pPr>
              <w:spacing w:line="276" w:lineRule="auto"/>
              <w:ind w:firstLine="708"/>
              <w:jc w:val="both"/>
              <w:rPr>
                <w:rFonts w:ascii="Verdana" w:eastAsia="Calibri" w:hAnsi="Verdana" w:cs="Arial"/>
              </w:rPr>
            </w:pPr>
            <w:r w:rsidRPr="008A7CBD">
              <w:rPr>
                <w:rFonts w:ascii="Verdana" w:eastAsia="Calibri" w:hAnsi="Verdana" w:cs="Arial"/>
              </w:rPr>
              <w:t>Esta conclusión implica que, para la celebración de contratos distintos del de prestación de servicios</w:t>
            </w:r>
            <w:r>
              <w:rPr>
                <w:rFonts w:ascii="Verdana" w:eastAsia="Calibri" w:hAnsi="Verdana" w:cs="Arial"/>
              </w:rPr>
              <w:t xml:space="preserve"> </w:t>
            </w:r>
            <w:r w:rsidRPr="008A7CBD">
              <w:rPr>
                <w:rFonts w:ascii="Verdana" w:eastAsia="Calibri" w:hAnsi="Verdana" w:cs="Arial"/>
              </w:rPr>
              <w:t>–</w:t>
            </w:r>
            <w:r>
              <w:rPr>
                <w:rFonts w:ascii="Verdana" w:eastAsia="Calibri" w:hAnsi="Verdana" w:cs="Arial"/>
              </w:rPr>
              <w:t xml:space="preserve"> </w:t>
            </w:r>
            <w:r w:rsidRPr="008A7CBD">
              <w:rPr>
                <w:rFonts w:ascii="Verdana" w:eastAsia="Calibri" w:hAnsi="Verdana" w:cs="Arial"/>
                <w:i/>
                <w:iCs/>
              </w:rPr>
              <w:t>v.g.</w:t>
            </w:r>
            <w:r w:rsidRPr="008A7CBD">
              <w:rPr>
                <w:rFonts w:ascii="Verdana" w:eastAsia="Calibri" w:hAnsi="Verdana" w:cs="Arial"/>
              </w:rPr>
              <w:t xml:space="preserve"> obra pública, consultoría, etc</w:t>
            </w:r>
            <w:r>
              <w:rPr>
                <w:rFonts w:ascii="Verdana" w:eastAsia="Calibri" w:hAnsi="Verdana" w:cs="Arial"/>
              </w:rPr>
              <w:t>.,</w:t>
            </w:r>
            <w:r w:rsidRPr="008A7CBD">
              <w:rPr>
                <w:rFonts w:ascii="Verdana" w:eastAsia="Calibri" w:hAnsi="Verdana" w:cs="Arial"/>
              </w:rPr>
              <w:t xml:space="preserve"> – no resulta obligatoria la acreditación de la situación militar como un requisito para la celebración del negocio jurídico. Del mismo modo, a luz de esta interpretación, dicho requisito tampoco resultaría exigible cuando se deban celebrar contratos de prestación de servicios con personas naturales extranjeras, así como tampoco a las mujeres, en la medida que estas no están obligadas a definir su situación militar. Asimismo, el requisito tampoco resultaría aplicable a los contratos que deban celebrarse con personas jurídicas, en la medida que la obligación de definir la situación militar solo se predica de los varones con nacionalidad colombiana, es decir de personas naturales, de acuerdo con el artículo 11 de la Ley 1861 de 2017. </w:t>
            </w:r>
          </w:p>
        </w:tc>
      </w:tr>
    </w:tbl>
    <w:p w14:paraId="79E59C59" w14:textId="77777777" w:rsidR="0051000C" w:rsidRDefault="0051000C" w:rsidP="0051000C">
      <w:pPr>
        <w:tabs>
          <w:tab w:val="left" w:pos="142"/>
          <w:tab w:val="left" w:pos="284"/>
        </w:tabs>
        <w:spacing w:after="0" w:line="276" w:lineRule="auto"/>
        <w:jc w:val="both"/>
        <w:rPr>
          <w:rFonts w:ascii="Verdana" w:eastAsia="Century Gothic" w:hAnsi="Verdana" w:cs="Century Gothic"/>
          <w:b/>
          <w:bCs/>
        </w:rPr>
      </w:pPr>
    </w:p>
    <w:p w14:paraId="78AC0D9F" w14:textId="77777777" w:rsidR="0051000C" w:rsidRPr="005644FE" w:rsidRDefault="0051000C" w:rsidP="0051000C">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B93805F" w14:textId="77777777" w:rsidR="0051000C" w:rsidRPr="005644FE" w:rsidRDefault="0051000C" w:rsidP="0051000C">
      <w:pPr>
        <w:pStyle w:val="Prrafodelista"/>
        <w:tabs>
          <w:tab w:val="left" w:pos="142"/>
          <w:tab w:val="left" w:pos="284"/>
        </w:tabs>
        <w:spacing w:after="0" w:line="240" w:lineRule="auto"/>
        <w:ind w:left="0"/>
        <w:contextualSpacing w:val="0"/>
        <w:jc w:val="both"/>
        <w:rPr>
          <w:rFonts w:ascii="Verdana" w:eastAsia="Calibri" w:hAnsi="Verdana" w:cs="Arial"/>
        </w:rPr>
      </w:pPr>
    </w:p>
    <w:p w14:paraId="64B0C734" w14:textId="77777777" w:rsidR="0051000C" w:rsidRDefault="0051000C" w:rsidP="0051000C">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6CD6F81F" w14:textId="77777777" w:rsidR="0051000C" w:rsidRDefault="0051000C" w:rsidP="0051000C">
      <w:pPr>
        <w:tabs>
          <w:tab w:val="left" w:pos="142"/>
          <w:tab w:val="left" w:pos="284"/>
        </w:tabs>
        <w:spacing w:after="0" w:line="240" w:lineRule="auto"/>
        <w:jc w:val="both"/>
        <w:rPr>
          <w:rFonts w:ascii="Verdana" w:eastAsia="Calibri" w:hAnsi="Verdana" w:cs="Arial"/>
        </w:rPr>
      </w:pPr>
    </w:p>
    <w:p w14:paraId="0DF99C20" w14:textId="77777777" w:rsidR="0051000C" w:rsidRPr="00557003" w:rsidRDefault="0051000C" w:rsidP="0051000C">
      <w:pPr>
        <w:spacing w:after="120" w:line="276" w:lineRule="auto"/>
        <w:jc w:val="both"/>
        <w:rPr>
          <w:rFonts w:ascii="Verdana" w:hAnsi="Verdana"/>
        </w:rPr>
      </w:pPr>
      <w:bookmarkStart w:id="3" w:name="_Hlk173311098"/>
      <w:r w:rsidRPr="00D6538D">
        <w:rPr>
          <w:rFonts w:ascii="Verdana" w:eastAsia="Calibri" w:hAnsi="Verdana" w:cs="Arial"/>
          <w:lang w:val="es-ES"/>
        </w:rPr>
        <w:t>En el artículo 216 de la Constitución Política de 1991 se consagra el deber constitucional del servicio militar obligatorio</w:t>
      </w:r>
      <w:r>
        <w:rPr>
          <w:rFonts w:ascii="Verdana" w:eastAsia="Calibri" w:hAnsi="Verdana" w:cs="Arial"/>
          <w:lang w:val="es-ES"/>
        </w:rPr>
        <w:t xml:space="preserve"> en los siguientes términos</w:t>
      </w:r>
      <w:r w:rsidRPr="00D6538D">
        <w:rPr>
          <w:rFonts w:ascii="Verdana" w:eastAsia="Calibri" w:hAnsi="Verdana" w:cs="Arial"/>
          <w:lang w:val="es-ES"/>
        </w:rPr>
        <w:t>:</w:t>
      </w:r>
      <w:r>
        <w:rPr>
          <w:rFonts w:ascii="Verdana" w:eastAsia="Calibri" w:hAnsi="Verdana" w:cs="Arial"/>
          <w:lang w:val="es-ES"/>
        </w:rPr>
        <w:t xml:space="preserve"> </w:t>
      </w:r>
      <w:r w:rsidRPr="00D6538D">
        <w:rPr>
          <w:rFonts w:ascii="Verdana" w:hAnsi="Verdana"/>
        </w:rPr>
        <w:t>“</w:t>
      </w:r>
      <w:r>
        <w:rPr>
          <w:rFonts w:ascii="Verdana" w:hAnsi="Verdana"/>
        </w:rPr>
        <w:t xml:space="preserve">(…) </w:t>
      </w:r>
      <w:r w:rsidRPr="00D6538D">
        <w:rPr>
          <w:rFonts w:ascii="Verdana" w:hAnsi="Verdana"/>
        </w:rPr>
        <w:t xml:space="preserve">Todos los colombianos estamos obligados a tomar las armas cuando las necesidades públicas lo exijan para defender la independencia nacional y las instituciones públicas”. Para tal efecto, el constituyente dispuso que a través de la Ley se determinarían las condiciones que, en todo tiempo, eximen del servicio militar y las prerrogativas para su prestación. </w:t>
      </w:r>
    </w:p>
    <w:p w14:paraId="3BE7299A" w14:textId="77777777" w:rsidR="0051000C" w:rsidRPr="008A7CBD" w:rsidRDefault="0051000C" w:rsidP="0051000C">
      <w:pPr>
        <w:spacing w:line="276" w:lineRule="auto"/>
        <w:ind w:firstLine="708"/>
        <w:jc w:val="both"/>
        <w:rPr>
          <w:rFonts w:ascii="Verdana" w:eastAsia="Aptos" w:hAnsi="Verdana" w:cs="Arial"/>
          <w:color w:val="000000"/>
          <w:lang w:eastAsia="es-ES"/>
        </w:rPr>
      </w:pPr>
      <w:r w:rsidRPr="008A7CBD">
        <w:rPr>
          <w:rFonts w:ascii="Verdana" w:eastAsia="Calibri" w:hAnsi="Verdana" w:cs="Arial"/>
        </w:rPr>
        <w:t xml:space="preserve">En la actualidad, la referida disposición legal se encuentra desarrollada en Ley 1861 de 2017, </w:t>
      </w:r>
      <w:r w:rsidRPr="008A7CBD">
        <w:rPr>
          <w:rFonts w:ascii="Verdana" w:eastAsia="Calibri" w:hAnsi="Verdana" w:cs="Arial"/>
          <w:i/>
          <w:iCs/>
        </w:rPr>
        <w:t>“</w:t>
      </w:r>
      <w:r>
        <w:rPr>
          <w:rFonts w:ascii="Verdana" w:eastAsia="Calibri" w:hAnsi="Verdana" w:cs="Arial"/>
          <w:i/>
          <w:iCs/>
        </w:rPr>
        <w:t>P</w:t>
      </w:r>
      <w:r w:rsidRPr="008A7CBD">
        <w:rPr>
          <w:rFonts w:ascii="Verdana" w:eastAsia="Calibri" w:hAnsi="Verdana" w:cs="Arial"/>
          <w:i/>
          <w:iCs/>
        </w:rPr>
        <w:t>or la cual se reglamenta el servicio de reclutamiento, control de reservas y la movilización"</w:t>
      </w:r>
      <w:r w:rsidRPr="008A7CBD">
        <w:rPr>
          <w:rFonts w:ascii="Verdana" w:eastAsia="Calibri" w:hAnsi="Verdana" w:cs="Arial"/>
        </w:rPr>
        <w:t xml:space="preserve">. </w:t>
      </w:r>
      <w:r>
        <w:rPr>
          <w:rFonts w:ascii="Verdana" w:eastAsia="Calibri" w:hAnsi="Verdana" w:cs="Arial"/>
        </w:rPr>
        <w:t xml:space="preserve">Dicha normatividad estipula, entre otras </w:t>
      </w:r>
      <w:r>
        <w:rPr>
          <w:rFonts w:ascii="Verdana" w:eastAsia="Calibri" w:hAnsi="Verdana" w:cs="Arial"/>
        </w:rPr>
        <w:lastRenderedPageBreak/>
        <w:t xml:space="preserve">cosas, </w:t>
      </w:r>
      <w:r w:rsidRPr="008A7CBD">
        <w:rPr>
          <w:rFonts w:ascii="Verdana" w:eastAsia="Calibri" w:hAnsi="Verdana" w:cs="Arial"/>
        </w:rPr>
        <w:t>la obligación de vincularse al servicio militar los beneficios y exclusiones de la prestación del servicio militar obligatorio, indicando en su artículo 4 que dicha obligación nace al momento en el que los colombianos cumplen su mayoría edad, con el fin de contribuir y alcanzar los fines del Estado encomendados a la Fuerza Pública</w:t>
      </w:r>
      <w:r w:rsidRPr="008A7CBD">
        <w:rPr>
          <w:rFonts w:ascii="Verdana" w:eastAsia="Calibri" w:hAnsi="Verdana" w:cs="Arial"/>
          <w:vertAlign w:val="superscript"/>
        </w:rPr>
        <w:footnoteReference w:id="1"/>
      </w:r>
      <w:r w:rsidRPr="008A7CBD">
        <w:rPr>
          <w:rFonts w:ascii="Verdana" w:eastAsia="Calibri" w:hAnsi="Verdana" w:cs="Arial"/>
        </w:rPr>
        <w:t>.</w:t>
      </w:r>
      <w:r w:rsidRPr="008A7CBD">
        <w:rPr>
          <w:rFonts w:ascii="Verdana" w:eastAsia="Aptos" w:hAnsi="Verdana" w:cs="Arial"/>
          <w:color w:val="000000"/>
          <w:lang w:eastAsia="es-ES"/>
        </w:rPr>
        <w:t xml:space="preserve"> No obstante, el artículo 11 de la referida ley establece la obligación de definir la situación militar </w:t>
      </w:r>
      <w:r>
        <w:rPr>
          <w:rFonts w:ascii="Verdana" w:eastAsia="Aptos" w:hAnsi="Verdana" w:cs="Arial"/>
          <w:color w:val="000000"/>
          <w:lang w:eastAsia="es-ES"/>
        </w:rPr>
        <w:t>al indicar que</w:t>
      </w:r>
      <w:r w:rsidRPr="008A7CBD">
        <w:rPr>
          <w:rFonts w:ascii="Verdana" w:eastAsia="Aptos" w:hAnsi="Verdana" w:cs="Arial"/>
          <w:color w:val="000000"/>
          <w:lang w:eastAsia="es-ES"/>
        </w:rPr>
        <w:t xml:space="preserve"> “[t]</w:t>
      </w:r>
      <w:proofErr w:type="spellStart"/>
      <w:r w:rsidRPr="008A7CBD">
        <w:rPr>
          <w:rFonts w:ascii="Verdana" w:eastAsia="Aptos" w:hAnsi="Verdana" w:cs="Arial"/>
          <w:color w:val="000000"/>
          <w:lang w:eastAsia="es-ES"/>
        </w:rPr>
        <w:t>odo</w:t>
      </w:r>
      <w:proofErr w:type="spellEnd"/>
      <w:r w:rsidRPr="008A7CBD">
        <w:rPr>
          <w:rFonts w:ascii="Verdana" w:eastAsia="Aptos" w:hAnsi="Verdana" w:cs="Arial"/>
          <w:color w:val="000000"/>
          <w:lang w:eastAsia="es-ES"/>
        </w:rPr>
        <w:t xml:space="preserve"> varón colombiano está obligado a definir su situación militar como reservista de primera o segunda clase, a partir de la fecha en que cumpla su mayoría de edad y hasta el día en que cumpla 50 </w:t>
      </w:r>
      <w:proofErr w:type="gramStart"/>
      <w:r w:rsidRPr="008A7CBD">
        <w:rPr>
          <w:rFonts w:ascii="Verdana" w:eastAsia="Aptos" w:hAnsi="Verdana" w:cs="Arial"/>
          <w:color w:val="000000"/>
          <w:lang w:eastAsia="es-ES"/>
        </w:rPr>
        <w:t>años de edad</w:t>
      </w:r>
      <w:proofErr w:type="gramEnd"/>
      <w:r w:rsidRPr="008A7CBD">
        <w:rPr>
          <w:rFonts w:ascii="Verdana" w:eastAsia="Aptos" w:hAnsi="Verdana" w:cs="Arial"/>
          <w:color w:val="000000"/>
          <w:lang w:eastAsia="es-ES"/>
        </w:rPr>
        <w:t>”.</w:t>
      </w:r>
    </w:p>
    <w:p w14:paraId="2E33D8B5" w14:textId="77777777" w:rsidR="0051000C" w:rsidRPr="008A7CBD" w:rsidRDefault="0051000C" w:rsidP="0051000C">
      <w:pPr>
        <w:spacing w:line="276" w:lineRule="auto"/>
        <w:ind w:firstLine="708"/>
        <w:jc w:val="both"/>
        <w:rPr>
          <w:rFonts w:ascii="Verdana" w:eastAsia="Aptos" w:hAnsi="Verdana" w:cs="Arial"/>
          <w:color w:val="000000"/>
          <w:lang w:eastAsia="es-ES"/>
        </w:rPr>
      </w:pPr>
      <w:r w:rsidRPr="008A7CBD">
        <w:rPr>
          <w:rFonts w:ascii="Verdana" w:eastAsia="Calibri" w:hAnsi="Verdana" w:cs="Arial"/>
        </w:rPr>
        <w:t xml:space="preserve">En ese orden </w:t>
      </w:r>
      <w:r>
        <w:rPr>
          <w:rFonts w:ascii="Verdana" w:eastAsia="Calibri" w:hAnsi="Verdana" w:cs="Arial"/>
        </w:rPr>
        <w:t xml:space="preserve">de ideas, </w:t>
      </w:r>
      <w:r w:rsidRPr="008A7CBD">
        <w:rPr>
          <w:rFonts w:ascii="Verdana" w:eastAsia="Calibri" w:hAnsi="Verdana" w:cs="Arial"/>
        </w:rPr>
        <w:t>no todo colombiano se encuentra obligado a cumplir con esta obligación constitucional, sino tan sólo aquellos varones de nacionalidad colombiana que sean declarados aptos de conformidad con los requisitos establecidos en la Ley 1861 de 2017 y que hayan sido seleccionados a través de un sorteo, siempre y cuando este sea procedente, a partir de la mayoría de edad hasta faltando un día para cumplir los veinticuatro (24) años. De igual forma, el artículo 12 de la Ley 1861 de 2017 contempló dieciséis (16) causales de exoneración para prestar el servicio militar obligatorio.</w:t>
      </w:r>
    </w:p>
    <w:p w14:paraId="160D507A" w14:textId="77777777" w:rsidR="0051000C" w:rsidRPr="008A7CBD" w:rsidRDefault="0051000C" w:rsidP="0051000C">
      <w:pPr>
        <w:spacing w:line="276" w:lineRule="auto"/>
        <w:ind w:firstLine="708"/>
        <w:jc w:val="both"/>
        <w:rPr>
          <w:rFonts w:ascii="Verdana" w:eastAsia="Aptos" w:hAnsi="Verdana" w:cs="Arial"/>
          <w:color w:val="000000"/>
        </w:rPr>
      </w:pPr>
      <w:r w:rsidRPr="008A7CBD">
        <w:rPr>
          <w:rFonts w:ascii="Verdana" w:eastAsia="Aptos" w:hAnsi="Verdana" w:cs="Arial"/>
          <w:color w:val="000000"/>
        </w:rPr>
        <w:t>El trámite para la definición de la situación militar inicia con la inscripción que realiza la Organización de Reclutamiento y Movilización</w:t>
      </w:r>
      <w:r w:rsidRPr="008A7CBD">
        <w:rPr>
          <w:rFonts w:ascii="Verdana" w:eastAsia="Aptos" w:hAnsi="Verdana" w:cs="Arial"/>
          <w:color w:val="000000"/>
          <w:vertAlign w:val="superscript"/>
        </w:rPr>
        <w:footnoteReference w:id="2"/>
      </w:r>
      <w:r w:rsidRPr="008A7CBD">
        <w:rPr>
          <w:rFonts w:ascii="Verdana" w:eastAsia="Aptos" w:hAnsi="Verdana" w:cs="Arial"/>
          <w:color w:val="000000"/>
        </w:rPr>
        <w:t xml:space="preserve"> y culmina con el </w:t>
      </w:r>
      <w:r w:rsidRPr="008A7CBD">
        <w:rPr>
          <w:rFonts w:ascii="Verdana" w:eastAsia="Aptos" w:hAnsi="Verdana" w:cs="Arial"/>
          <w:color w:val="000000"/>
        </w:rPr>
        <w:lastRenderedPageBreak/>
        <w:t>pago de la cuota de compensación militar, cuando no se está exonerado de esta</w:t>
      </w:r>
      <w:r w:rsidRPr="008A7CBD">
        <w:rPr>
          <w:rFonts w:ascii="Verdana" w:eastAsia="Aptos" w:hAnsi="Verdana" w:cs="Arial"/>
          <w:color w:val="000000"/>
          <w:vertAlign w:val="superscript"/>
        </w:rPr>
        <w:footnoteReference w:id="3"/>
      </w:r>
      <w:r w:rsidRPr="008A7CBD">
        <w:rPr>
          <w:rFonts w:ascii="Verdana" w:eastAsia="Aptos" w:hAnsi="Verdana" w:cs="Arial"/>
          <w:color w:val="000000"/>
        </w:rPr>
        <w:t>. Al respecto, el artículo 2.3.1.4.3.1. del Decreto 1070 de 2015, modificado por el Decreto 977 de 2018 que reglamentó el servicio de reclutamiento, control de reservas y movilizaciones, indica que es la Organización de Reclutamiento y Movilización la responsable de inscribir anualmente a los colombianos que en dicho periodo estén llamados a definir su situación militar, una vez hayan cumplido la mayoría de edad, conforme a lo dispuesto por el parágrafo 2° del artículo 17 de la Ley 1861 de 2017.</w:t>
      </w:r>
    </w:p>
    <w:p w14:paraId="17D51F0E" w14:textId="77777777" w:rsidR="0051000C" w:rsidRPr="008A7CBD" w:rsidRDefault="0051000C" w:rsidP="0051000C">
      <w:pPr>
        <w:spacing w:line="276" w:lineRule="auto"/>
        <w:ind w:firstLine="708"/>
        <w:jc w:val="both"/>
        <w:rPr>
          <w:rFonts w:ascii="Verdana" w:eastAsia="Aptos" w:hAnsi="Verdana" w:cs="Arial"/>
          <w:color w:val="000000"/>
          <w:lang w:eastAsia="es-ES"/>
        </w:rPr>
      </w:pPr>
      <w:r w:rsidRPr="008A7CBD">
        <w:rPr>
          <w:rFonts w:ascii="Verdana" w:eastAsia="Aptos" w:hAnsi="Verdana" w:cs="Arial"/>
          <w:color w:val="000000"/>
        </w:rPr>
        <w:t xml:space="preserve">Posteriormente, dicho registro es complementado por el ciudadano al momento en el que éste inicie la inscripción para definir su situación militar en el portal web dispuesto para tal fin, creando un correo electrónico y adjuntando a la plataforma informática sus datos personales y los soportes documentales que acrediten las causales de exoneración y/o aplazamiento, </w:t>
      </w:r>
      <w:r w:rsidRPr="008A7CBD">
        <w:rPr>
          <w:rFonts w:ascii="Verdana" w:eastAsia="Aptos" w:hAnsi="Verdana" w:cs="Arial"/>
          <w:color w:val="000000"/>
          <w:lang w:eastAsia="en-GB"/>
        </w:rPr>
        <w:t xml:space="preserve">en el cual el ciudadano podrá obtener un certificado en línea que acredite el inicio del proceso. </w:t>
      </w:r>
      <w:r w:rsidRPr="008A7CBD">
        <w:rPr>
          <w:rFonts w:ascii="Verdana" w:eastAsia="Aptos" w:hAnsi="Verdana" w:cs="Arial"/>
          <w:color w:val="000000"/>
        </w:rPr>
        <w:t xml:space="preserve">De esta manera, una vez se culmine con el trámite previsto en </w:t>
      </w:r>
      <w:r w:rsidRPr="008A7CBD">
        <w:rPr>
          <w:rFonts w:ascii="Verdana" w:eastAsia="Aptos" w:hAnsi="Verdana" w:cs="Arial"/>
          <w:color w:val="000000"/>
          <w:lang w:eastAsia="en-GB"/>
        </w:rPr>
        <w:t xml:space="preserve">el Capítulo 4 del Título I de la Parte 3 del Libro 2 del </w:t>
      </w:r>
      <w:r w:rsidRPr="008A7CBD">
        <w:rPr>
          <w:rFonts w:ascii="Verdana" w:eastAsia="Aptos" w:hAnsi="Verdana" w:cs="Arial"/>
          <w:color w:val="000000"/>
        </w:rPr>
        <w:t xml:space="preserve">Decreto 1070 de 2015, modificado por el Decreto 977 de 2018, se entiende que la situación militar se acredita resuelta o definida cuando el ciudadano posee tarjeta de reservista </w:t>
      </w:r>
      <w:r w:rsidRPr="008A7CBD">
        <w:rPr>
          <w:rFonts w:ascii="Verdana" w:eastAsia="Aptos" w:hAnsi="Verdana" w:cs="Arial"/>
          <w:color w:val="000000"/>
        </w:rPr>
        <w:lastRenderedPageBreak/>
        <w:t>militar –de primera o segunda clase</w:t>
      </w:r>
      <w:r w:rsidRPr="008A7CBD">
        <w:rPr>
          <w:rFonts w:ascii="Verdana" w:eastAsia="Aptos" w:hAnsi="Verdana" w:cs="Arial"/>
          <w:color w:val="000000"/>
        </w:rPr>
        <w:softHyphen/>
        <w:t xml:space="preserve">–, el certificado digital o cédula militar de que de que tratan los </w:t>
      </w:r>
      <w:r w:rsidRPr="008A7CBD">
        <w:rPr>
          <w:rFonts w:ascii="Verdana" w:eastAsia="Aptos" w:hAnsi="Verdana" w:cs="Arial"/>
          <w:color w:val="000000"/>
          <w:lang w:bidi="es-ES"/>
        </w:rPr>
        <w:t>artículos 35</w:t>
      </w:r>
      <w:r w:rsidRPr="008A7CBD">
        <w:rPr>
          <w:rFonts w:ascii="Aptos" w:eastAsia="Aptos" w:hAnsi="Aptos" w:cs="Times New Roman"/>
          <w:vertAlign w:val="superscript"/>
          <w:lang w:bidi="es-ES"/>
        </w:rPr>
        <w:footnoteReference w:id="4"/>
      </w:r>
      <w:r w:rsidRPr="008A7CBD">
        <w:rPr>
          <w:rFonts w:ascii="Verdana" w:eastAsia="Aptos" w:hAnsi="Verdana" w:cs="Arial"/>
          <w:color w:val="000000"/>
          <w:lang w:bidi="es-ES"/>
        </w:rPr>
        <w:t>, 40</w:t>
      </w:r>
      <w:r w:rsidRPr="008A7CBD">
        <w:rPr>
          <w:rFonts w:ascii="Aptos" w:eastAsia="Aptos" w:hAnsi="Aptos" w:cs="Times New Roman"/>
          <w:vertAlign w:val="superscript"/>
          <w:lang w:bidi="es-ES"/>
        </w:rPr>
        <w:footnoteReference w:id="5"/>
      </w:r>
      <w:r w:rsidRPr="008A7CBD">
        <w:rPr>
          <w:rFonts w:ascii="Verdana" w:eastAsia="Aptos" w:hAnsi="Verdana" w:cs="Arial"/>
          <w:color w:val="000000"/>
          <w:lang w:bidi="es-ES"/>
        </w:rPr>
        <w:t xml:space="preserve"> y 41</w:t>
      </w:r>
      <w:r w:rsidRPr="008A7CBD">
        <w:rPr>
          <w:rFonts w:ascii="Verdana" w:eastAsia="Aptos" w:hAnsi="Verdana" w:cs="Arial"/>
          <w:color w:val="000000"/>
          <w:vertAlign w:val="superscript"/>
          <w:lang w:bidi="es-ES"/>
        </w:rPr>
        <w:footnoteReference w:id="6"/>
      </w:r>
      <w:r w:rsidRPr="008A7CBD">
        <w:rPr>
          <w:rFonts w:ascii="Verdana" w:eastAsia="Aptos" w:hAnsi="Verdana" w:cs="Arial"/>
          <w:color w:val="000000"/>
          <w:lang w:bidi="es-ES"/>
        </w:rPr>
        <w:t xml:space="preserve"> de la Ley 1861 de 2017</w:t>
      </w:r>
      <w:r w:rsidRPr="008A7CBD">
        <w:rPr>
          <w:rFonts w:ascii="Verdana" w:eastAsia="Aptos" w:hAnsi="Verdana" w:cs="Arial"/>
          <w:color w:val="000000"/>
        </w:rPr>
        <w:t>.</w:t>
      </w:r>
    </w:p>
    <w:p w14:paraId="6615218B" w14:textId="77777777" w:rsidR="0051000C" w:rsidRPr="008A7CBD" w:rsidRDefault="0051000C" w:rsidP="0051000C">
      <w:pPr>
        <w:spacing w:line="276" w:lineRule="auto"/>
        <w:ind w:firstLine="708"/>
        <w:jc w:val="both"/>
        <w:rPr>
          <w:rFonts w:ascii="Verdana" w:eastAsia="Aptos" w:hAnsi="Verdana" w:cs="Arial"/>
          <w:color w:val="000000"/>
          <w:lang w:eastAsia="es-ES"/>
        </w:rPr>
      </w:pPr>
      <w:r w:rsidRPr="008A7CBD">
        <w:rPr>
          <w:rFonts w:ascii="Verdana" w:eastAsia="Aptos" w:hAnsi="Verdana" w:cs="Arial"/>
          <w:color w:val="000000"/>
          <w:lang w:eastAsia="es-ES"/>
        </w:rPr>
        <w:t>Por otra parte, e</w:t>
      </w:r>
      <w:r w:rsidRPr="008A7CBD">
        <w:rPr>
          <w:rFonts w:ascii="Verdana" w:eastAsia="Aptos" w:hAnsi="Verdana" w:cs="Arial"/>
          <w:color w:val="000000"/>
          <w:lang w:eastAsia="en-GB"/>
        </w:rPr>
        <w:t xml:space="preserve">l artículo 42 de la Ley </w:t>
      </w:r>
      <w:r w:rsidRPr="008A7CBD">
        <w:rPr>
          <w:rFonts w:ascii="Verdana" w:eastAsia="Aptos" w:hAnsi="Verdana" w:cs="Arial"/>
          <w:color w:val="000000"/>
        </w:rPr>
        <w:t xml:space="preserve">1861 de 2017 </w:t>
      </w:r>
      <w:r w:rsidRPr="008A7CBD">
        <w:rPr>
          <w:rFonts w:ascii="Verdana" w:eastAsia="Aptos" w:hAnsi="Verdana" w:cs="Arial"/>
          <w:color w:val="000000"/>
          <w:lang w:eastAsia="en-GB"/>
        </w:rPr>
        <w:t xml:space="preserve">dispone en su primer inciso que la situación militar se deberá acreditar en tres eventos: i) para ejercer cargos públicos, </w:t>
      </w:r>
      <w:proofErr w:type="spellStart"/>
      <w:r w:rsidRPr="008A7CBD">
        <w:rPr>
          <w:rFonts w:ascii="Verdana" w:eastAsia="Aptos" w:hAnsi="Verdana" w:cs="Arial"/>
          <w:color w:val="000000"/>
          <w:lang w:eastAsia="en-GB"/>
        </w:rPr>
        <w:t>ii</w:t>
      </w:r>
      <w:proofErr w:type="spellEnd"/>
      <w:r w:rsidRPr="008A7CBD">
        <w:rPr>
          <w:rFonts w:ascii="Verdana" w:eastAsia="Aptos" w:hAnsi="Verdana" w:cs="Arial"/>
          <w:color w:val="000000"/>
          <w:lang w:eastAsia="en-GB"/>
        </w:rPr>
        <w:t xml:space="preserve">) trabajar en el sector privado y </w:t>
      </w:r>
      <w:proofErr w:type="spellStart"/>
      <w:r w:rsidRPr="008A7CBD">
        <w:rPr>
          <w:rFonts w:ascii="Verdana" w:eastAsia="Aptos" w:hAnsi="Verdana" w:cs="Arial"/>
          <w:color w:val="000000"/>
          <w:lang w:eastAsia="en-GB"/>
        </w:rPr>
        <w:t>iii</w:t>
      </w:r>
      <w:proofErr w:type="spellEnd"/>
      <w:r w:rsidRPr="008A7CBD">
        <w:rPr>
          <w:rFonts w:ascii="Verdana" w:eastAsia="Aptos" w:hAnsi="Verdana" w:cs="Arial"/>
          <w:color w:val="000000"/>
          <w:lang w:eastAsia="en-GB"/>
        </w:rPr>
        <w:t>) celebrar contratos de prestación de servicios como persona natural con cualquier entidad de derecho público</w:t>
      </w:r>
      <w:r w:rsidRPr="008A7CBD">
        <w:rPr>
          <w:rFonts w:ascii="Verdana" w:eastAsia="Aptos" w:hAnsi="Verdana" w:cs="Arial"/>
          <w:color w:val="000000"/>
          <w:vertAlign w:val="superscript"/>
          <w:lang w:eastAsia="en-GB"/>
        </w:rPr>
        <w:footnoteReference w:id="7"/>
      </w:r>
      <w:r w:rsidRPr="008A7CBD">
        <w:rPr>
          <w:rFonts w:ascii="Verdana" w:eastAsia="Aptos" w:hAnsi="Verdana" w:cs="Arial"/>
          <w:color w:val="000000"/>
          <w:lang w:eastAsia="en-GB"/>
        </w:rPr>
        <w:t xml:space="preserve">. </w:t>
      </w:r>
      <w:r w:rsidRPr="008A7CBD">
        <w:rPr>
          <w:rFonts w:ascii="Verdana" w:eastAsia="Calibri" w:hAnsi="Verdana" w:cs="Arial"/>
        </w:rPr>
        <w:t xml:space="preserve">Sin embargo, es necesario precisar que, cuando el artículo 42 de la Ley 1861 de 2017 establece la acreditación de la situación militar como un presupuesto para la suscripción de contratos estatales, se refiere de manera exclusiva a la celebración contratos de prestación de servicios con personas </w:t>
      </w:r>
      <w:r w:rsidRPr="008A7CBD">
        <w:rPr>
          <w:rFonts w:ascii="Verdana" w:eastAsia="Calibri" w:hAnsi="Verdana" w:cs="Arial"/>
        </w:rPr>
        <w:lastRenderedPageBreak/>
        <w:t xml:space="preserve">naturales. En ese sentido, el ámbito de aplicación del requisito al que se refiere el primer inciso del artículo 42 de la Ley 1861 de 2017 se circunscribe a la tipología contractual contemplada en el numeral 3 del artículo 32 de la Ley 80 de 1993, cuando haya lugar a su celebración con personas naturales, específicamente, con varones de nacionalidad colombiana. </w:t>
      </w:r>
    </w:p>
    <w:p w14:paraId="53B4B9F2" w14:textId="77777777" w:rsidR="0051000C" w:rsidRPr="008A7CBD" w:rsidRDefault="0051000C" w:rsidP="0051000C">
      <w:pPr>
        <w:spacing w:line="276" w:lineRule="auto"/>
        <w:ind w:firstLine="708"/>
        <w:jc w:val="both"/>
        <w:rPr>
          <w:rFonts w:ascii="Verdana" w:eastAsia="Calibri" w:hAnsi="Verdana" w:cs="Arial"/>
        </w:rPr>
      </w:pPr>
      <w:r w:rsidRPr="008A7CBD">
        <w:rPr>
          <w:rFonts w:ascii="Verdana" w:eastAsia="Calibri" w:hAnsi="Verdana" w:cs="Arial"/>
        </w:rPr>
        <w:t>Esta conclusión implica que, para la celebración de contratos distintos del de prestación de servicios</w:t>
      </w:r>
      <w:r>
        <w:rPr>
          <w:rFonts w:ascii="Verdana" w:eastAsia="Calibri" w:hAnsi="Verdana" w:cs="Arial"/>
        </w:rPr>
        <w:t xml:space="preserve"> </w:t>
      </w:r>
      <w:r w:rsidRPr="008A7CBD">
        <w:rPr>
          <w:rFonts w:ascii="Verdana" w:eastAsia="Calibri" w:hAnsi="Verdana" w:cs="Arial"/>
        </w:rPr>
        <w:t>–</w:t>
      </w:r>
      <w:r>
        <w:rPr>
          <w:rFonts w:ascii="Verdana" w:eastAsia="Calibri" w:hAnsi="Verdana" w:cs="Arial"/>
        </w:rPr>
        <w:t xml:space="preserve"> </w:t>
      </w:r>
      <w:r w:rsidRPr="008A7CBD">
        <w:rPr>
          <w:rFonts w:ascii="Verdana" w:eastAsia="Calibri" w:hAnsi="Verdana" w:cs="Arial"/>
          <w:i/>
          <w:iCs/>
        </w:rPr>
        <w:t>v.g.</w:t>
      </w:r>
      <w:r w:rsidRPr="008A7CBD">
        <w:rPr>
          <w:rFonts w:ascii="Verdana" w:eastAsia="Calibri" w:hAnsi="Verdana" w:cs="Arial"/>
        </w:rPr>
        <w:t xml:space="preserve"> obra pública, consultoría, etc</w:t>
      </w:r>
      <w:r>
        <w:rPr>
          <w:rFonts w:ascii="Verdana" w:eastAsia="Calibri" w:hAnsi="Verdana" w:cs="Arial"/>
        </w:rPr>
        <w:t>.,</w:t>
      </w:r>
      <w:r w:rsidRPr="008A7CBD">
        <w:rPr>
          <w:rFonts w:ascii="Verdana" w:eastAsia="Calibri" w:hAnsi="Verdana" w:cs="Arial"/>
        </w:rPr>
        <w:t xml:space="preserve"> – no resulta obligatoria la acreditación de la situación militar como un requisito para la celebración del negocio jurídico. Del mismo modo, a luz de esta interpretación, dicho requisito tampoco resultaría exigible cuando se deban celebrar contratos de prestación de servicios con personas naturales extranjeras, así como tampoco a las mujeres, en la medida que estas no están obligadas a definir su situación militar. Asimismo, el requisito tampoco resultaría aplicable a los contratos que deban celebrarse con personas jurídicas, en la medida que la obligación de definir la situación militar solo se predica de los varones con nacionalidad colombiana, es decir de personas naturales, de acuerdo con el artículo 11 de la Ley 1861 de 2017. </w:t>
      </w:r>
    </w:p>
    <w:p w14:paraId="574E5AB2" w14:textId="77777777" w:rsidR="0051000C" w:rsidRPr="008A7CBD" w:rsidRDefault="0051000C" w:rsidP="0051000C">
      <w:pPr>
        <w:spacing w:after="0" w:line="276" w:lineRule="auto"/>
        <w:ind w:firstLine="708"/>
        <w:jc w:val="both"/>
        <w:rPr>
          <w:rFonts w:ascii="Verdana" w:eastAsia="Aptos" w:hAnsi="Verdana" w:cs="Arial"/>
          <w:color w:val="000000"/>
          <w:lang w:eastAsia="es-ES"/>
        </w:rPr>
      </w:pPr>
      <w:r w:rsidRPr="008A7CBD">
        <w:rPr>
          <w:rFonts w:ascii="Verdana" w:eastAsia="Calibri" w:hAnsi="Verdana" w:cs="Arial"/>
        </w:rPr>
        <w:t xml:space="preserve">Finalmente, </w:t>
      </w:r>
      <w:r w:rsidRPr="008A7CBD">
        <w:rPr>
          <w:rFonts w:ascii="Verdana" w:eastAsia="Aptos" w:hAnsi="Verdana" w:cs="Arial"/>
        </w:rPr>
        <w:t>debe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corresponderá a las Entidades Estatales, en virtud de las facultades legales que les han sido conferidas por el ordenamiento jurídico, determinar la forma en la que realizarán la liquidación de sus contratos.</w:t>
      </w:r>
    </w:p>
    <w:p w14:paraId="73FA3A13" w14:textId="77777777" w:rsidR="0051000C" w:rsidRDefault="0051000C" w:rsidP="0051000C">
      <w:pPr>
        <w:tabs>
          <w:tab w:val="left" w:pos="142"/>
          <w:tab w:val="left" w:pos="284"/>
          <w:tab w:val="left" w:pos="3828"/>
        </w:tabs>
        <w:spacing w:after="0" w:line="240" w:lineRule="auto"/>
        <w:rPr>
          <w:rFonts w:ascii="Verdana" w:eastAsia="Calibri" w:hAnsi="Verdana" w:cs="Arial"/>
        </w:rPr>
      </w:pPr>
      <w:bookmarkStart w:id="6" w:name="_Hlk204854194"/>
      <w:bookmarkEnd w:id="3"/>
    </w:p>
    <w:p w14:paraId="6192DBD1" w14:textId="77777777" w:rsidR="0051000C" w:rsidRDefault="0051000C" w:rsidP="0051000C">
      <w:pPr>
        <w:tabs>
          <w:tab w:val="left" w:pos="142"/>
          <w:tab w:val="left" w:pos="284"/>
          <w:tab w:val="left" w:pos="3828"/>
        </w:tabs>
        <w:spacing w:after="0" w:line="240" w:lineRule="auto"/>
        <w:rPr>
          <w:rFonts w:ascii="Verdana" w:eastAsia="Century Gothic" w:hAnsi="Verdana" w:cs="Century Gothic"/>
          <w:b/>
          <w:bCs/>
        </w:rPr>
      </w:pPr>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6"/>
    </w:p>
    <w:p w14:paraId="5A07D6F0" w14:textId="77777777" w:rsidR="0051000C" w:rsidRPr="005644FE" w:rsidRDefault="0051000C" w:rsidP="0051000C">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000C" w:rsidRPr="005644FE" w14:paraId="3FEE0FAA" w14:textId="77777777" w:rsidTr="00C92B50">
        <w:trPr>
          <w:trHeight w:val="56"/>
          <w:jc w:val="center"/>
        </w:trPr>
        <w:tc>
          <w:tcPr>
            <w:tcW w:w="8647" w:type="dxa"/>
          </w:tcPr>
          <w:p w14:paraId="79CD923F" w14:textId="77777777" w:rsidR="0051000C" w:rsidRPr="00EB41CC" w:rsidRDefault="0051000C" w:rsidP="0051000C">
            <w:pPr>
              <w:pStyle w:val="Prrafodelista"/>
              <w:numPr>
                <w:ilvl w:val="0"/>
                <w:numId w:val="17"/>
              </w:numPr>
              <w:spacing w:after="120" w:line="276" w:lineRule="auto"/>
              <w:jc w:val="both"/>
              <w:rPr>
                <w:rFonts w:ascii="Verdana" w:eastAsia="Aptos" w:hAnsi="Verdana" w:cs="Arial"/>
                <w:lang w:val="es-CO"/>
              </w:rPr>
            </w:pPr>
            <w:r w:rsidRPr="00EB41CC">
              <w:rPr>
                <w:rFonts w:ascii="Verdana" w:hAnsi="Verdana" w:cs="Arial"/>
              </w:rPr>
              <w:t>Constitución Política. Artículo 216.</w:t>
            </w:r>
          </w:p>
          <w:p w14:paraId="5E706BA7" w14:textId="77777777" w:rsidR="0051000C" w:rsidRPr="00EB41CC" w:rsidRDefault="0051000C" w:rsidP="0051000C">
            <w:pPr>
              <w:pStyle w:val="Prrafodelista"/>
              <w:numPr>
                <w:ilvl w:val="0"/>
                <w:numId w:val="17"/>
              </w:numPr>
              <w:spacing w:after="120" w:line="276" w:lineRule="auto"/>
              <w:ind w:left="714" w:hanging="357"/>
              <w:jc w:val="both"/>
              <w:rPr>
                <w:rFonts w:ascii="Verdana" w:eastAsia="Aptos" w:hAnsi="Verdana" w:cs="Arial"/>
              </w:rPr>
            </w:pPr>
            <w:r w:rsidRPr="008A7CBD">
              <w:rPr>
                <w:rFonts w:ascii="Verdana" w:eastAsia="Calibri" w:hAnsi="Verdana" w:cs="Arial"/>
              </w:rPr>
              <w:t>Ley 1861 de 2017</w:t>
            </w:r>
            <w:r>
              <w:rPr>
                <w:rFonts w:ascii="Verdana" w:eastAsia="Calibri" w:hAnsi="Verdana" w:cs="Arial"/>
              </w:rPr>
              <w:t xml:space="preserve">. Artículos 4, 11, 12, 17, 42. </w:t>
            </w:r>
          </w:p>
          <w:p w14:paraId="19DECDBF" w14:textId="77777777" w:rsidR="0051000C" w:rsidRPr="00EB41CC" w:rsidRDefault="0051000C" w:rsidP="0051000C">
            <w:pPr>
              <w:pStyle w:val="Prrafodelista"/>
              <w:numPr>
                <w:ilvl w:val="0"/>
                <w:numId w:val="17"/>
              </w:numPr>
              <w:spacing w:after="120" w:line="276" w:lineRule="auto"/>
              <w:ind w:left="714" w:hanging="357"/>
              <w:jc w:val="both"/>
              <w:rPr>
                <w:rFonts w:ascii="Verdana" w:eastAsia="Aptos" w:hAnsi="Verdana" w:cs="Arial"/>
              </w:rPr>
            </w:pPr>
            <w:r>
              <w:rPr>
                <w:rFonts w:ascii="Verdana" w:eastAsia="Calibri" w:hAnsi="Verdana" w:cs="Arial"/>
              </w:rPr>
              <w:t xml:space="preserve">Decreto 1070 de 2015. Artículo </w:t>
            </w:r>
            <w:r w:rsidRPr="008A7CBD">
              <w:rPr>
                <w:rFonts w:ascii="Verdana" w:eastAsia="Aptos" w:hAnsi="Verdana" w:cs="Arial"/>
                <w:color w:val="000000"/>
              </w:rPr>
              <w:t>2.3.1.4.3.1</w:t>
            </w:r>
            <w:r>
              <w:rPr>
                <w:rFonts w:ascii="Verdana" w:eastAsia="Aptos" w:hAnsi="Verdana" w:cs="Arial"/>
                <w:color w:val="000000"/>
              </w:rPr>
              <w:t>.</w:t>
            </w:r>
          </w:p>
          <w:p w14:paraId="1387D754" w14:textId="77777777" w:rsidR="0051000C" w:rsidRPr="00EB41CC" w:rsidRDefault="0051000C" w:rsidP="0051000C">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color w:val="000000"/>
              </w:rPr>
              <w:t xml:space="preserve">Decreto 977 de 2018. </w:t>
            </w:r>
          </w:p>
          <w:p w14:paraId="5D5C7B2B" w14:textId="77777777" w:rsidR="0051000C" w:rsidRPr="00330029" w:rsidRDefault="0051000C" w:rsidP="0051000C">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80 de 1993. Artículo 32 numeral 3. </w:t>
            </w:r>
          </w:p>
        </w:tc>
      </w:tr>
    </w:tbl>
    <w:p w14:paraId="2ADBCDF1" w14:textId="77777777" w:rsidR="0051000C" w:rsidRDefault="0051000C" w:rsidP="0051000C">
      <w:pPr>
        <w:tabs>
          <w:tab w:val="left" w:pos="142"/>
          <w:tab w:val="left" w:pos="284"/>
          <w:tab w:val="left" w:pos="3828"/>
        </w:tabs>
        <w:spacing w:after="0" w:line="276" w:lineRule="auto"/>
        <w:jc w:val="both"/>
        <w:rPr>
          <w:rFonts w:ascii="Verdana" w:eastAsia="Century Gothic" w:hAnsi="Verdana" w:cs="Century Gothic"/>
          <w:b/>
          <w:bCs/>
        </w:rPr>
      </w:pPr>
    </w:p>
    <w:p w14:paraId="2F74C01D" w14:textId="77777777" w:rsidR="007C436B" w:rsidRDefault="007C436B" w:rsidP="0051000C">
      <w:pPr>
        <w:tabs>
          <w:tab w:val="left" w:pos="142"/>
          <w:tab w:val="left" w:pos="284"/>
          <w:tab w:val="left" w:pos="3828"/>
        </w:tabs>
        <w:spacing w:after="0" w:line="276" w:lineRule="auto"/>
        <w:jc w:val="both"/>
        <w:rPr>
          <w:rFonts w:ascii="Verdana" w:eastAsia="Century Gothic" w:hAnsi="Verdana" w:cs="Century Gothic"/>
          <w:b/>
          <w:bCs/>
        </w:rPr>
      </w:pPr>
    </w:p>
    <w:p w14:paraId="4D786094" w14:textId="77777777" w:rsidR="0051000C" w:rsidRPr="005644FE" w:rsidRDefault="0051000C" w:rsidP="0051000C">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lastRenderedPageBreak/>
        <w:t>5. Doctrina de la Agencia Nacional de Contratación Pública:</w:t>
      </w:r>
    </w:p>
    <w:p w14:paraId="2FBB9ADF" w14:textId="77777777" w:rsidR="007C436B" w:rsidRDefault="007C436B" w:rsidP="007C436B">
      <w:pPr>
        <w:widowControl w:val="0"/>
        <w:autoSpaceDE w:val="0"/>
        <w:autoSpaceDN w:val="0"/>
        <w:spacing w:after="0" w:line="240" w:lineRule="auto"/>
        <w:jc w:val="both"/>
        <w:rPr>
          <w:rFonts w:ascii="Verdana" w:eastAsia="Aptos" w:hAnsi="Verdana" w:cs="Arial"/>
          <w:shd w:val="clear" w:color="auto" w:fill="FFFFFF"/>
          <w:lang w:val="es-ES"/>
        </w:rPr>
      </w:pPr>
    </w:p>
    <w:p w14:paraId="1E1DF94A" w14:textId="2CFAE1F7" w:rsidR="0051000C" w:rsidRPr="00C27319" w:rsidRDefault="0051000C" w:rsidP="0051000C">
      <w:pPr>
        <w:widowControl w:val="0"/>
        <w:autoSpaceDE w:val="0"/>
        <w:autoSpaceDN w:val="0"/>
        <w:spacing w:after="0" w:line="276" w:lineRule="auto"/>
        <w:jc w:val="both"/>
        <w:rPr>
          <w:rFonts w:ascii="Verdana" w:hAnsi="Verdana" w:cs="Arial"/>
          <w:shd w:val="clear" w:color="auto" w:fill="FFFFFF"/>
          <w:lang w:val="es-ES"/>
        </w:rPr>
      </w:pPr>
      <w:r w:rsidRPr="008A7CBD">
        <w:rPr>
          <w:rFonts w:ascii="Verdana" w:eastAsia="Aptos" w:hAnsi="Verdana" w:cs="Arial"/>
          <w:shd w:val="clear" w:color="auto" w:fill="FFFFFF"/>
          <w:lang w:val="es-ES"/>
        </w:rPr>
        <w:t xml:space="preserve">Sobre la situación militar para suscribir contratos de prestación de servicios, esta Subdirección se pronunció en los conceptos </w:t>
      </w:r>
      <w:r w:rsidRPr="008A7CBD">
        <w:rPr>
          <w:rFonts w:ascii="Verdana" w:eastAsia="Aptos" w:hAnsi="Verdana" w:cs="Arial"/>
          <w:shd w:val="clear" w:color="auto" w:fill="FFFFFF"/>
        </w:rPr>
        <w:t>C-628 de 29 de septiembre de 2022, C-653 del 11 de octubre de 2022, C-944 del 19 de enero del 2023, C-328 del 25 de agosto de 2023, C-376 del 20 de septiembre del 2023, C-417 del 27 de septiembre del 2023</w:t>
      </w:r>
      <w:r w:rsidRPr="008A7CBD">
        <w:rPr>
          <w:rFonts w:ascii="Verdana" w:eastAsia="Aptos" w:hAnsi="Verdana" w:cs="Arial"/>
          <w:shd w:val="clear" w:color="auto" w:fill="FFFFFF"/>
          <w:lang w:val="es-ES"/>
        </w:rPr>
        <w:t xml:space="preserve"> y C-190 del 30 de julio de 2024,</w:t>
      </w:r>
      <w:r>
        <w:rPr>
          <w:rFonts w:ascii="Verdana" w:eastAsia="Aptos" w:hAnsi="Verdana" w:cs="Arial"/>
          <w:shd w:val="clear" w:color="auto" w:fill="FFFFFF"/>
          <w:lang w:val="es-ES"/>
        </w:rPr>
        <w:t xml:space="preserve"> C-785 del 17 de julio de 2025, C- 1269 del 15 de octubre de 2025, </w:t>
      </w:r>
      <w:r w:rsidRPr="008A7CBD">
        <w:rPr>
          <w:rFonts w:ascii="Verdana" w:eastAsia="Aptos" w:hAnsi="Verdana" w:cs="Arial"/>
          <w:shd w:val="clear" w:color="auto" w:fill="FFFFFF"/>
          <w:lang w:val="es-ES"/>
        </w:rPr>
        <w:t xml:space="preserve">entre otros. Estos y otros conceptos se encuentran disponibles para </w:t>
      </w:r>
      <w:r w:rsidRPr="00EB41CC">
        <w:rPr>
          <w:rFonts w:ascii="Verdana" w:eastAsia="Aptos" w:hAnsi="Verdana" w:cs="Arial"/>
          <w:shd w:val="clear" w:color="auto" w:fill="FFFFFF"/>
          <w:lang w:val="es-ES"/>
        </w:rPr>
        <w:t>consulta</w:t>
      </w:r>
      <w:r w:rsidRPr="00EB41CC">
        <w:rPr>
          <w:rFonts w:ascii="Verdana" w:eastAsia="Calibri" w:hAnsi="Verdana" w:cs="Arial"/>
        </w:rPr>
        <w:t xml:space="preserve"> </w:t>
      </w:r>
      <w:r w:rsidRPr="00EB41CC">
        <w:rPr>
          <w:rFonts w:ascii="Verdana" w:hAnsi="Verdana"/>
        </w:rPr>
        <w:t>en el Sistema de relatoría de la Agencia, al cual se puede acceder a través del siguiente enlace:</w:t>
      </w:r>
      <w:r w:rsidRPr="00EB41CC">
        <w:rPr>
          <w:rFonts w:ascii="Verdana" w:hAnsi="Verdana" w:cs="Arial"/>
          <w:shd w:val="clear" w:color="auto" w:fill="FFFFFF"/>
        </w:rPr>
        <w:t xml:space="preserve"> </w:t>
      </w:r>
      <w:hyperlink r:id="rId12" w:history="1">
        <w:r w:rsidRPr="00EB41CC">
          <w:rPr>
            <w:rStyle w:val="Hipervnculo"/>
            <w:rFonts w:ascii="Verdana" w:hAnsi="Verdana" w:cs="Arial"/>
            <w:shd w:val="clear" w:color="auto" w:fill="FFFFFF"/>
          </w:rPr>
          <w:t>https://relatoria.colombiacompra.gov.co/busqueda/conceptos</w:t>
        </w:r>
      </w:hyperlink>
      <w:r w:rsidRPr="00EB41CC">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7EF15875" w14:textId="77777777" w:rsidR="0051000C" w:rsidRPr="006B4FA1" w:rsidRDefault="0051000C" w:rsidP="0051000C">
      <w:pPr>
        <w:spacing w:after="0" w:line="240" w:lineRule="auto"/>
        <w:jc w:val="both"/>
        <w:rPr>
          <w:rFonts w:ascii="Verdana" w:eastAsia="Century Gothic" w:hAnsi="Verdana" w:cs="Century Gothic"/>
        </w:rPr>
      </w:pPr>
    </w:p>
    <w:p w14:paraId="0BDB72C6" w14:textId="77777777" w:rsidR="0051000C" w:rsidRDefault="0051000C" w:rsidP="0051000C">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CCEC98D" w14:textId="77777777" w:rsidR="0051000C" w:rsidRPr="00116940" w:rsidRDefault="0051000C" w:rsidP="0051000C">
      <w:pPr>
        <w:spacing w:after="0" w:line="240" w:lineRule="auto"/>
        <w:jc w:val="both"/>
        <w:rPr>
          <w:rFonts w:ascii="Verdana" w:hAnsi="Verdana"/>
        </w:rPr>
      </w:pPr>
    </w:p>
    <w:p w14:paraId="24172C32" w14:textId="77777777" w:rsidR="0051000C" w:rsidRPr="00116940" w:rsidRDefault="0051000C" w:rsidP="0051000C">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8074B50" w14:textId="77777777" w:rsidR="0051000C" w:rsidRPr="00116940" w:rsidRDefault="0051000C" w:rsidP="0051000C">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AE10B0A" w14:textId="77777777" w:rsidR="0051000C" w:rsidRPr="00116940" w:rsidRDefault="0051000C" w:rsidP="0051000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66714357" w14:textId="77777777" w:rsidR="0051000C" w:rsidRPr="00116940" w:rsidRDefault="0051000C" w:rsidP="0051000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2231501A" w14:textId="77777777" w:rsidR="0051000C" w:rsidRPr="00116940" w:rsidRDefault="0051000C" w:rsidP="0051000C">
      <w:pPr>
        <w:spacing w:after="0" w:line="240" w:lineRule="auto"/>
        <w:ind w:left="720"/>
        <w:jc w:val="both"/>
        <w:rPr>
          <w:rFonts w:ascii="Verdana" w:hAnsi="Verdana"/>
        </w:rPr>
      </w:pPr>
    </w:p>
    <w:p w14:paraId="58DAB3B6" w14:textId="77777777" w:rsidR="0051000C" w:rsidRPr="00116940" w:rsidRDefault="0051000C" w:rsidP="0051000C">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spellStart"/>
      <w:r w:rsidRPr="00116940">
        <w:rPr>
          <w:rFonts w:ascii="Verdana" w:hAnsi="Verdana"/>
        </w:rPr>
        <w:t>enlace:</w:t>
      </w:r>
      <w:hyperlink r:id="rId15" w:tgtFrame="_blank" w:tooltip="https://forms.office.com/r/pphywvs2sz" w:history="1">
        <w:r w:rsidRPr="00116940">
          <w:rPr>
            <w:rStyle w:val="Hipervnculo"/>
            <w:rFonts w:ascii="Verdana" w:hAnsi="Verdana"/>
          </w:rPr>
          <w:t>https</w:t>
        </w:r>
        <w:proofErr w:type="spellEnd"/>
        <w:r w:rsidRPr="00116940">
          <w:rPr>
            <w:rStyle w:val="Hipervnculo"/>
            <w:rFonts w:ascii="Verdana" w:hAnsi="Verdana"/>
          </w:rPr>
          <w:t>://forms.office.com/r/pPHyWVs2SZ</w:t>
        </w:r>
      </w:hyperlink>
      <w:r w:rsidRPr="00116940">
        <w:rPr>
          <w:rFonts w:ascii="Verdana" w:hAnsi="Verdana"/>
        </w:rPr>
        <w:t xml:space="preserve"> .¡Ayúdanos a mejorar porque el compromiso es de todos!</w:t>
      </w:r>
    </w:p>
    <w:p w14:paraId="592D24C8" w14:textId="77777777" w:rsidR="0051000C" w:rsidRPr="00116940" w:rsidRDefault="0051000C" w:rsidP="0051000C">
      <w:pPr>
        <w:spacing w:after="0" w:line="240" w:lineRule="auto"/>
        <w:rPr>
          <w:rFonts w:ascii="Verdana" w:hAnsi="Verdana"/>
        </w:rPr>
      </w:pPr>
    </w:p>
    <w:p w14:paraId="33E8FA6D" w14:textId="77777777" w:rsidR="0051000C" w:rsidRPr="00116940" w:rsidRDefault="0051000C" w:rsidP="0051000C">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BDC0569" w14:textId="77777777" w:rsidR="0051000C" w:rsidRPr="00116940" w:rsidRDefault="0051000C" w:rsidP="0051000C">
      <w:pPr>
        <w:spacing w:after="0" w:line="240" w:lineRule="auto"/>
        <w:jc w:val="both"/>
        <w:rPr>
          <w:rFonts w:ascii="Verdana" w:hAnsi="Verdana"/>
        </w:rPr>
      </w:pPr>
    </w:p>
    <w:p w14:paraId="12C85082" w14:textId="77777777" w:rsidR="0051000C" w:rsidRPr="00116940" w:rsidRDefault="0051000C" w:rsidP="0051000C">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9C54A05" w14:textId="77777777" w:rsidR="0051000C" w:rsidRPr="00116940" w:rsidRDefault="0051000C" w:rsidP="0051000C">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0B55D8A" w14:textId="77777777" w:rsidR="0051000C" w:rsidRPr="00116940" w:rsidRDefault="0051000C" w:rsidP="0051000C">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8D221B2" w14:textId="77777777" w:rsidR="0051000C" w:rsidRPr="00116940" w:rsidRDefault="0051000C" w:rsidP="0051000C">
      <w:pPr>
        <w:spacing w:after="0" w:line="240" w:lineRule="auto"/>
        <w:jc w:val="both"/>
        <w:rPr>
          <w:rFonts w:ascii="Verdana" w:hAnsi="Verdana"/>
        </w:rPr>
      </w:pPr>
    </w:p>
    <w:p w14:paraId="506363BC" w14:textId="77777777" w:rsidR="0051000C" w:rsidRDefault="0051000C" w:rsidP="0051000C">
      <w:pPr>
        <w:spacing w:after="0" w:line="240" w:lineRule="auto"/>
        <w:jc w:val="both"/>
        <w:rPr>
          <w:rFonts w:ascii="Verdana" w:hAnsi="Verdana"/>
          <w:lang w:val="es-MX"/>
        </w:rPr>
      </w:pPr>
    </w:p>
    <w:p w14:paraId="0FF5F45F" w14:textId="77777777" w:rsidR="0051000C" w:rsidRPr="00330029" w:rsidRDefault="0051000C" w:rsidP="0051000C">
      <w:pPr>
        <w:spacing w:after="0" w:line="240" w:lineRule="auto"/>
        <w:jc w:val="both"/>
        <w:rPr>
          <w:rFonts w:ascii="Verdana" w:hAnsi="Verdana"/>
          <w:lang w:val="es-MX"/>
        </w:rPr>
      </w:pPr>
      <w:r w:rsidRPr="00E02524">
        <w:rPr>
          <w:rFonts w:ascii="Verdana" w:hAnsi="Verdana"/>
          <w:lang w:val="es-MX"/>
        </w:rPr>
        <w:t>Cordialmente,</w:t>
      </w:r>
    </w:p>
    <w:p w14:paraId="69ACA884" w14:textId="3BC141BC" w:rsidR="0051000C" w:rsidRDefault="00C9287E" w:rsidP="0051000C">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00039A86" wp14:editId="2CD0A1A6">
            <wp:extent cx="3270250" cy="1540791"/>
            <wp:effectExtent l="0" t="0" r="6350" b="254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6"/>
                    <a:stretch>
                      <a:fillRect/>
                    </a:stretch>
                  </pic:blipFill>
                  <pic:spPr>
                    <a:xfrm>
                      <a:off x="0" y="0"/>
                      <a:ext cx="3280312" cy="1545532"/>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51000C" w:rsidRPr="005644FE" w14:paraId="240A6E5B" w14:textId="77777777" w:rsidTr="00C92B50">
        <w:trPr>
          <w:trHeight w:val="315"/>
        </w:trPr>
        <w:tc>
          <w:tcPr>
            <w:tcW w:w="893" w:type="dxa"/>
            <w:vAlign w:val="center"/>
            <w:hideMark/>
          </w:tcPr>
          <w:p w14:paraId="1FC9BF26" w14:textId="77777777" w:rsidR="0051000C" w:rsidRPr="005644FE" w:rsidRDefault="0051000C" w:rsidP="00C92B50">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19B6DD90" w14:textId="77777777" w:rsidR="0051000C" w:rsidRPr="005644FE" w:rsidRDefault="0051000C" w:rsidP="00C92B50">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75E9F1A" w14:textId="77777777" w:rsidR="0051000C" w:rsidRPr="005644FE" w:rsidRDefault="0051000C" w:rsidP="00C92B50">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51000C" w:rsidRPr="005644FE" w14:paraId="29D4434B" w14:textId="77777777" w:rsidTr="00C92B50">
        <w:trPr>
          <w:trHeight w:val="330"/>
        </w:trPr>
        <w:tc>
          <w:tcPr>
            <w:tcW w:w="893" w:type="dxa"/>
            <w:vAlign w:val="center"/>
            <w:hideMark/>
          </w:tcPr>
          <w:p w14:paraId="3F385E98" w14:textId="77777777" w:rsidR="0051000C" w:rsidRPr="005644FE" w:rsidRDefault="0051000C" w:rsidP="00C92B50">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091B645" w14:textId="77777777" w:rsidR="0051000C" w:rsidRPr="0004340D" w:rsidRDefault="0051000C" w:rsidP="00C92B50">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210A7918" w14:textId="77777777" w:rsidR="0051000C" w:rsidRPr="005644FE" w:rsidRDefault="0051000C" w:rsidP="00C92B50">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51000C" w:rsidRPr="005644FE" w14:paraId="55B034D9" w14:textId="77777777" w:rsidTr="00C92B50">
        <w:trPr>
          <w:trHeight w:val="300"/>
        </w:trPr>
        <w:tc>
          <w:tcPr>
            <w:tcW w:w="893" w:type="dxa"/>
            <w:vAlign w:val="center"/>
          </w:tcPr>
          <w:p w14:paraId="4F266937" w14:textId="77777777" w:rsidR="0051000C" w:rsidRPr="005644FE" w:rsidRDefault="0051000C" w:rsidP="00C92B50">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F9F3C13" w14:textId="77777777" w:rsidR="0051000C" w:rsidRPr="005644FE" w:rsidRDefault="0051000C" w:rsidP="00C92B50">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6AD05740" w14:textId="77777777" w:rsidR="0051000C" w:rsidRPr="005644FE" w:rsidRDefault="0051000C" w:rsidP="00C92B50">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63C7EA52" w14:textId="77777777" w:rsidR="0051000C" w:rsidRDefault="0051000C" w:rsidP="0051000C"/>
    <w:p w14:paraId="07754840" w14:textId="77777777" w:rsidR="0051000C" w:rsidRPr="00D256BC" w:rsidRDefault="0051000C" w:rsidP="0051000C"/>
    <w:bookmarkEnd w:id="2"/>
    <w:p w14:paraId="0F293BF4" w14:textId="206FA1E7" w:rsidR="00127233" w:rsidRPr="0015699B" w:rsidRDefault="00127233" w:rsidP="00A06F50">
      <w:pPr>
        <w:spacing w:after="0" w:line="240" w:lineRule="auto"/>
        <w:ind w:left="1080"/>
        <w:jc w:val="both"/>
        <w:textAlignment w:val="baseline"/>
        <w:rPr>
          <w:rFonts w:ascii="Verdana" w:eastAsia="Times New Roman" w:hAnsi="Verdana" w:cs="Segoe UI"/>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C7E32" w14:textId="77777777" w:rsidR="00360254" w:rsidRDefault="00360254" w:rsidP="004A1847">
      <w:pPr>
        <w:spacing w:after="0" w:line="240" w:lineRule="auto"/>
      </w:pPr>
      <w:r>
        <w:separator/>
      </w:r>
    </w:p>
  </w:endnote>
  <w:endnote w:type="continuationSeparator" w:id="0">
    <w:p w14:paraId="0C643751" w14:textId="77777777" w:rsidR="00360254" w:rsidRDefault="0036025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27460" w14:textId="77777777" w:rsidR="00360254" w:rsidRDefault="00360254" w:rsidP="004A1847">
      <w:pPr>
        <w:spacing w:after="0" w:line="240" w:lineRule="auto"/>
      </w:pPr>
      <w:r>
        <w:separator/>
      </w:r>
    </w:p>
  </w:footnote>
  <w:footnote w:type="continuationSeparator" w:id="0">
    <w:p w14:paraId="2EDD14E8" w14:textId="77777777" w:rsidR="00360254" w:rsidRDefault="00360254" w:rsidP="004A1847">
      <w:pPr>
        <w:spacing w:after="0" w:line="240" w:lineRule="auto"/>
      </w:pPr>
      <w:r>
        <w:continuationSeparator/>
      </w:r>
    </w:p>
  </w:footnote>
  <w:footnote w:id="1">
    <w:p w14:paraId="04487D6D" w14:textId="77777777" w:rsidR="0051000C" w:rsidRPr="00C95B6D" w:rsidRDefault="0051000C" w:rsidP="0051000C">
      <w:pPr>
        <w:pStyle w:val="Textonotapie"/>
        <w:ind w:firstLine="708"/>
        <w:jc w:val="both"/>
        <w:rPr>
          <w:rFonts w:ascii="Verdana" w:hAnsi="Verdana"/>
          <w:sz w:val="16"/>
          <w:szCs w:val="16"/>
          <w:lang w:val="es-CO"/>
        </w:rPr>
      </w:pPr>
      <w:r w:rsidRPr="00C95B6D">
        <w:rPr>
          <w:rStyle w:val="Refdenotaalpie"/>
          <w:rFonts w:ascii="Verdana" w:hAnsi="Verdana"/>
          <w:sz w:val="16"/>
          <w:szCs w:val="16"/>
        </w:rPr>
        <w:footnoteRef/>
      </w:r>
      <w:r w:rsidRPr="00C95B6D">
        <w:rPr>
          <w:rFonts w:ascii="Verdana" w:hAnsi="Verdana"/>
          <w:sz w:val="16"/>
          <w:szCs w:val="16"/>
        </w:rPr>
        <w:t xml:space="preserve"> Ley 1861 de 2017: “</w:t>
      </w:r>
      <w:r w:rsidRPr="00C95B6D">
        <w:rPr>
          <w:rFonts w:ascii="Verdana" w:hAnsi="Verdana"/>
          <w:sz w:val="16"/>
          <w:szCs w:val="16"/>
          <w:lang w:val="es-CO"/>
        </w:rPr>
        <w:t>Artículo </w:t>
      </w:r>
      <w:bookmarkStart w:id="4" w:name="4"/>
      <w:bookmarkEnd w:id="4"/>
      <w:r w:rsidRPr="00C95B6D">
        <w:rPr>
          <w:rFonts w:ascii="Verdana" w:hAnsi="Verdana"/>
          <w:sz w:val="16"/>
          <w:szCs w:val="16"/>
          <w:lang w:val="es-CO"/>
        </w:rPr>
        <w:t>4. Servicio Militar Obligatorio. El servicio militar obligatorio es un deber constitucional dirigido a todos los colombianos de servir a la patria, que nace al momento de cumplir su mayoría edad para contribuir y alcanzar los fines del Estado encomendados a la Fuerza Pública.</w:t>
      </w:r>
    </w:p>
    <w:p w14:paraId="6C007A9D" w14:textId="77777777" w:rsidR="0051000C" w:rsidRPr="00C95B6D" w:rsidRDefault="0051000C" w:rsidP="0051000C">
      <w:pPr>
        <w:pStyle w:val="Textonotapie"/>
        <w:jc w:val="both"/>
        <w:rPr>
          <w:rFonts w:ascii="Verdana" w:hAnsi="Verdana"/>
          <w:sz w:val="16"/>
          <w:szCs w:val="16"/>
          <w:lang w:val="es-CO"/>
        </w:rPr>
      </w:pPr>
      <w:r w:rsidRPr="00C95B6D">
        <w:rPr>
          <w:rFonts w:ascii="Verdana" w:hAnsi="Verdana"/>
          <w:sz w:val="16"/>
          <w:szCs w:val="16"/>
          <w:lang w:val="es-CO"/>
        </w:rPr>
        <w:t>Todos los colombianos están obligados a tomar las armas cuando las necesidades públicas lo exijan, para defender la independencia nacional, y las instituciones públicas con los beneficios y exclusiones que establece la presente Ley. Salvo para quienes ejerzan el derecho fundamental a la objeción de la conciencia”.</w:t>
      </w:r>
    </w:p>
    <w:p w14:paraId="696CC5D4" w14:textId="77777777" w:rsidR="0051000C" w:rsidRPr="00C95B6D" w:rsidRDefault="0051000C" w:rsidP="0051000C">
      <w:pPr>
        <w:pStyle w:val="Textonotapie"/>
        <w:jc w:val="both"/>
        <w:rPr>
          <w:rFonts w:ascii="Verdana" w:hAnsi="Verdana"/>
          <w:sz w:val="16"/>
          <w:szCs w:val="16"/>
        </w:rPr>
      </w:pPr>
    </w:p>
  </w:footnote>
  <w:footnote w:id="2">
    <w:p w14:paraId="0CEE4C55" w14:textId="77777777" w:rsidR="0051000C" w:rsidRPr="008A7CBD" w:rsidRDefault="0051000C" w:rsidP="0051000C">
      <w:pPr>
        <w:pStyle w:val="Textonotapie"/>
        <w:ind w:firstLine="708"/>
        <w:jc w:val="both"/>
        <w:rPr>
          <w:rFonts w:ascii="Verdana" w:hAnsi="Verdana" w:cs="Arial"/>
          <w:color w:val="000000"/>
          <w:sz w:val="16"/>
          <w:szCs w:val="16"/>
        </w:rPr>
      </w:pPr>
      <w:r w:rsidRPr="00434CAA">
        <w:rPr>
          <w:rStyle w:val="Refdenotaalpie"/>
          <w:rFonts w:ascii="Verdana" w:hAnsi="Verdana" w:cs="Arial"/>
          <w:sz w:val="16"/>
          <w:szCs w:val="16"/>
        </w:rPr>
        <w:footnoteRef/>
      </w:r>
      <w:r w:rsidRPr="00434CAA">
        <w:rPr>
          <w:rFonts w:ascii="Verdana" w:hAnsi="Verdana" w:cs="Arial"/>
          <w:sz w:val="16"/>
          <w:szCs w:val="16"/>
        </w:rPr>
        <w:t xml:space="preserve"> Ley </w:t>
      </w:r>
      <w:r w:rsidRPr="008A7CBD">
        <w:rPr>
          <w:rFonts w:ascii="Verdana" w:hAnsi="Verdana" w:cs="Arial"/>
          <w:color w:val="000000"/>
          <w:sz w:val="16"/>
          <w:szCs w:val="16"/>
        </w:rPr>
        <w:t>1861 de 2017: “Artículo 17. Inscripción. La Organización de Reclutamiento y Movilización es la responsable de inscribir anualmente a los colombianos que en dicho periodo estén llamados a definir su situación militar, una vez hayan cumplido la mayoría de edad.</w:t>
      </w:r>
    </w:p>
    <w:p w14:paraId="2CF30517" w14:textId="77777777" w:rsidR="0051000C" w:rsidRPr="008A7CBD" w:rsidRDefault="0051000C" w:rsidP="0051000C">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Realizada la inscripción, el ciudadano podrá obtener certificado en línea que acredite el inicio del proceso de definición de la situación militar.</w:t>
      </w:r>
    </w:p>
    <w:p w14:paraId="0216FD47" w14:textId="77777777" w:rsidR="0051000C" w:rsidRPr="008A7CBD" w:rsidRDefault="0051000C" w:rsidP="0051000C">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1. Los planteles educativos informarán a los estudiantes de grado 11° o su equivalente al último año de educación media vocacional, el deber de definir su situación militar. Los planteles educativos con la ayuda de los Ministerios de Defensa y de Educación Nacional, buscarán que se informe a los estudiantes de último grado sobre las causales de exención al servicio militar, así como su derecho a la objeción de conciencia al servicio militar.</w:t>
      </w:r>
    </w:p>
    <w:p w14:paraId="46FF4FEE" w14:textId="77777777" w:rsidR="0051000C" w:rsidRPr="008A7CBD" w:rsidRDefault="0051000C" w:rsidP="0051000C">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2. Hasta el treinta (30) de noviembre de cada año, la Registraduría Nacional del Estado Civil proporcionará a la Organización de reclutamiento y Movilización la información de registro necesaria para la realización de la inscripción de los colombianos que cumplan la edad militar en el año siguiente.</w:t>
      </w:r>
    </w:p>
    <w:p w14:paraId="4BAA2DB6" w14:textId="77777777" w:rsidR="0051000C" w:rsidRPr="008A7CBD" w:rsidRDefault="0051000C" w:rsidP="0051000C">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3. Lo contenido en este artículo en relación con la transferencia de información siempre se ajustará a la normativa vigente sobre protección ele datos.</w:t>
      </w:r>
    </w:p>
    <w:p w14:paraId="5AA87E33" w14:textId="77777777" w:rsidR="0051000C" w:rsidRPr="008A7CBD" w:rsidRDefault="0051000C" w:rsidP="0051000C">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4. Hasta antes de la incorporación, el ciudadano deberá manifestar por escrito o de manera verbal, si tiene conocimiento de estar inmerso en alguna causal de exoneración del servicio militar o de cualquier otra circunstancia que lo imposibilite para prestar el servicio militar</w:t>
      </w:r>
    </w:p>
    <w:p w14:paraId="0CFE57A0" w14:textId="77777777" w:rsidR="0051000C" w:rsidRPr="008A7CBD" w:rsidRDefault="0051000C" w:rsidP="0051000C">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En el evento que el ciudadano realice la manifestación verbal, la autoridad de Reclutamiento dejará constancia de la manifestación y facilitará los medios para recepcionarla de manera escrita.</w:t>
      </w:r>
    </w:p>
    <w:p w14:paraId="14745A96" w14:textId="77777777" w:rsidR="0051000C" w:rsidRPr="008A7CBD" w:rsidRDefault="0051000C" w:rsidP="0051000C">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La renuencia a hacer la anterior manifestación exonerará de responsabilidad a las autoridades de reclutamiento por los hechos o circunstancias que hubieren sido ocultados por el ciudadano, a menos que por fuerza mayor o caso fortuito no hubiere sido posible manifestarlas. De esta se dejará constancia por la autoridad de reclutamiento con acompañamiento del Ministerio Público y/o la Defensoría del Pueblo.</w:t>
      </w:r>
    </w:p>
    <w:p w14:paraId="4EC3EE94" w14:textId="77777777" w:rsidR="0051000C" w:rsidRPr="008A7CBD" w:rsidRDefault="0051000C" w:rsidP="0051000C">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5. Las Fuerzas Militares y la Policía Nacional Solicitarán las cuotas de personal para su incorporación a la Dirección de Reclutamiento del Ejército, único organismo con la facultad para cumplir con tal actividad”.</w:t>
      </w:r>
    </w:p>
    <w:p w14:paraId="4DA4858C" w14:textId="77777777" w:rsidR="0051000C" w:rsidRPr="00434CAA" w:rsidRDefault="0051000C" w:rsidP="0051000C">
      <w:pPr>
        <w:pStyle w:val="Textonotapie"/>
        <w:ind w:firstLine="708"/>
        <w:jc w:val="both"/>
        <w:rPr>
          <w:rFonts w:ascii="Verdana" w:hAnsi="Verdana" w:cs="Arial"/>
          <w:sz w:val="16"/>
          <w:szCs w:val="16"/>
          <w:lang w:val="es-CO"/>
        </w:rPr>
      </w:pPr>
    </w:p>
  </w:footnote>
  <w:footnote w:id="3">
    <w:p w14:paraId="3BA42746" w14:textId="77777777" w:rsidR="0051000C" w:rsidRPr="008A7CBD" w:rsidRDefault="0051000C" w:rsidP="0051000C">
      <w:pPr>
        <w:pStyle w:val="Textonotapie"/>
        <w:ind w:firstLine="708"/>
        <w:jc w:val="both"/>
        <w:rPr>
          <w:rFonts w:ascii="Verdana" w:hAnsi="Verdana" w:cs="Arial"/>
          <w:color w:val="000000"/>
          <w:sz w:val="16"/>
          <w:szCs w:val="16"/>
        </w:rPr>
      </w:pPr>
      <w:r w:rsidRPr="00434CAA">
        <w:rPr>
          <w:rStyle w:val="Refdenotaalpie"/>
          <w:rFonts w:ascii="Verdana" w:hAnsi="Verdana" w:cs="Arial"/>
          <w:sz w:val="16"/>
          <w:szCs w:val="16"/>
        </w:rPr>
        <w:footnoteRef/>
      </w:r>
      <w:r w:rsidRPr="00434CAA">
        <w:rPr>
          <w:rFonts w:ascii="Verdana" w:hAnsi="Verdana" w:cs="Arial"/>
          <w:sz w:val="16"/>
          <w:szCs w:val="16"/>
        </w:rPr>
        <w:t xml:space="preserve"> Artículos 26 a 28, </w:t>
      </w:r>
      <w:r w:rsidRPr="008A7CBD">
        <w:rPr>
          <w:rFonts w:ascii="Verdana" w:hAnsi="Verdana" w:cs="Arial"/>
          <w:color w:val="000000"/>
          <w:sz w:val="16"/>
          <w:szCs w:val="16"/>
        </w:rPr>
        <w:t>de la Ley 1861 de 2017.</w:t>
      </w:r>
    </w:p>
    <w:p w14:paraId="238372FC" w14:textId="77777777" w:rsidR="0051000C" w:rsidRPr="00434CAA" w:rsidRDefault="0051000C" w:rsidP="0051000C">
      <w:pPr>
        <w:pStyle w:val="Textonotapie"/>
        <w:ind w:firstLine="708"/>
        <w:jc w:val="both"/>
        <w:rPr>
          <w:rFonts w:ascii="Verdana" w:hAnsi="Verdana" w:cs="Arial"/>
          <w:sz w:val="16"/>
          <w:szCs w:val="16"/>
          <w:lang w:val="es-CO"/>
        </w:rPr>
      </w:pPr>
    </w:p>
  </w:footnote>
  <w:footnote w:id="4">
    <w:p w14:paraId="04DEFD20" w14:textId="77777777" w:rsidR="0051000C" w:rsidRPr="00434CAA" w:rsidRDefault="0051000C" w:rsidP="0051000C">
      <w:pPr>
        <w:spacing w:after="0" w:line="240" w:lineRule="auto"/>
        <w:ind w:firstLine="709"/>
        <w:jc w:val="both"/>
        <w:rPr>
          <w:rFonts w:ascii="Verdana" w:hAnsi="Verdana" w:cs="Arial"/>
          <w:color w:val="000000"/>
          <w:sz w:val="16"/>
          <w:szCs w:val="16"/>
          <w:lang w:val="es-ES"/>
        </w:rPr>
      </w:pPr>
      <w:r w:rsidRPr="00434CAA">
        <w:rPr>
          <w:rStyle w:val="Refdenotaalpie"/>
          <w:rFonts w:ascii="Verdana" w:hAnsi="Verdana" w:cs="Arial"/>
          <w:sz w:val="16"/>
          <w:szCs w:val="16"/>
        </w:rPr>
        <w:footnoteRef/>
      </w:r>
      <w:r w:rsidRPr="00434CAA">
        <w:rPr>
          <w:rFonts w:ascii="Verdana" w:hAnsi="Verdana" w:cs="Arial"/>
          <w:sz w:val="16"/>
          <w:szCs w:val="16"/>
        </w:rPr>
        <w:t xml:space="preserve"> </w:t>
      </w:r>
      <w:r w:rsidRPr="00434CAA">
        <w:rPr>
          <w:rFonts w:ascii="Verdana" w:hAnsi="Verdana" w:cs="Arial"/>
          <w:color w:val="000000"/>
          <w:sz w:val="16"/>
          <w:szCs w:val="16"/>
          <w:lang w:val="es-ES"/>
        </w:rPr>
        <w:t>“</w:t>
      </w:r>
      <w:r w:rsidRPr="00434CAA">
        <w:rPr>
          <w:rFonts w:ascii="Verdana" w:hAnsi="Verdana" w:cs="Arial"/>
          <w:sz w:val="16"/>
          <w:szCs w:val="16"/>
          <w:lang w:val="es-ES"/>
        </w:rPr>
        <w:t>Artículo 35. Tarjeta De Reservista Militar o Policial. Es el documento con el cual se comprueba que el ciudadano definió su situación militar</w:t>
      </w:r>
      <w:r w:rsidRPr="00434CAA">
        <w:rPr>
          <w:rFonts w:ascii="Verdana" w:hAnsi="Verdana" w:cs="Arial"/>
          <w:color w:val="000000"/>
          <w:sz w:val="16"/>
          <w:szCs w:val="16"/>
          <w:lang w:val="es-ES"/>
        </w:rPr>
        <w:t>”.</w:t>
      </w:r>
    </w:p>
  </w:footnote>
  <w:footnote w:id="5">
    <w:p w14:paraId="79A1645A" w14:textId="77777777" w:rsidR="0051000C" w:rsidRPr="00434CAA" w:rsidRDefault="0051000C" w:rsidP="0051000C">
      <w:pPr>
        <w:spacing w:after="0" w:line="240" w:lineRule="auto"/>
        <w:ind w:firstLine="709"/>
        <w:jc w:val="both"/>
        <w:rPr>
          <w:rFonts w:ascii="Verdana" w:hAnsi="Verdana" w:cs="Arial"/>
          <w:sz w:val="16"/>
          <w:szCs w:val="16"/>
        </w:rPr>
      </w:pPr>
    </w:p>
    <w:p w14:paraId="3F93C595" w14:textId="77777777" w:rsidR="0051000C" w:rsidRPr="00434CAA" w:rsidRDefault="0051000C" w:rsidP="0051000C">
      <w:pPr>
        <w:spacing w:after="60" w:line="240" w:lineRule="auto"/>
        <w:ind w:firstLine="709"/>
        <w:jc w:val="both"/>
        <w:rPr>
          <w:rFonts w:ascii="Verdana" w:hAnsi="Verdana" w:cs="Arial"/>
          <w:color w:val="000000"/>
          <w:sz w:val="16"/>
          <w:szCs w:val="16"/>
          <w:lang w:val="es-ES"/>
        </w:rPr>
      </w:pPr>
      <w:r w:rsidRPr="00434CAA">
        <w:rPr>
          <w:rStyle w:val="Refdenotaalpie"/>
          <w:rFonts w:ascii="Verdana" w:hAnsi="Verdana" w:cs="Arial"/>
          <w:sz w:val="16"/>
          <w:szCs w:val="16"/>
        </w:rPr>
        <w:footnoteRef/>
      </w:r>
      <w:r w:rsidRPr="00434CAA">
        <w:rPr>
          <w:rFonts w:ascii="Verdana" w:hAnsi="Verdana" w:cs="Arial"/>
          <w:sz w:val="16"/>
          <w:szCs w:val="16"/>
        </w:rPr>
        <w:t>“</w:t>
      </w:r>
      <w:r w:rsidRPr="00434CAA">
        <w:rPr>
          <w:rFonts w:ascii="Verdana" w:hAnsi="Verdana" w:cs="Arial"/>
          <w:color w:val="000000"/>
          <w:sz w:val="16"/>
          <w:szCs w:val="16"/>
          <w:lang w:val="es-ES"/>
        </w:rPr>
        <w:t>Artículo 40. Documento Público. Las tarjetas de reservista se clasificarán como material reservado adquiriendo el carácter de documento público, una vez hayan sido expedidas legalmente por la respectiva Dirección de Reclutamiento.</w:t>
      </w:r>
    </w:p>
    <w:p w14:paraId="230FCCC2" w14:textId="77777777" w:rsidR="0051000C" w:rsidRPr="00434CAA" w:rsidRDefault="0051000C" w:rsidP="0051000C">
      <w:pPr>
        <w:spacing w:after="0" w:line="240" w:lineRule="auto"/>
        <w:ind w:firstLine="709"/>
        <w:jc w:val="both"/>
        <w:rPr>
          <w:rFonts w:ascii="Verdana" w:hAnsi="Verdana" w:cs="Arial"/>
          <w:color w:val="000000"/>
          <w:sz w:val="16"/>
          <w:szCs w:val="16"/>
          <w:lang w:val="es-ES"/>
        </w:rPr>
      </w:pPr>
      <w:r w:rsidRPr="00434CAA">
        <w:rPr>
          <w:rFonts w:ascii="Verdana" w:hAnsi="Verdana" w:cs="Arial"/>
          <w:color w:val="000000"/>
          <w:sz w:val="16"/>
          <w:szCs w:val="16"/>
          <w:lang w:val="es-ES"/>
        </w:rPr>
        <w:t>“Parágrafo 1o. A partir de la vigencia de la presente ley, el ciudadano podrá expedir certificado digital que acredita la definición de la situación militar como reservista de segunda clase a través del portal web dispuesto para tal fin, el cual gozará del carácter de documento público. […]”.</w:t>
      </w:r>
    </w:p>
  </w:footnote>
  <w:footnote w:id="6">
    <w:p w14:paraId="302EE9F9" w14:textId="77777777" w:rsidR="0051000C" w:rsidRPr="00434CAA" w:rsidRDefault="0051000C" w:rsidP="0051000C">
      <w:pPr>
        <w:pStyle w:val="Textonotapie"/>
        <w:ind w:firstLine="708"/>
        <w:jc w:val="both"/>
        <w:rPr>
          <w:rFonts w:ascii="Verdana" w:hAnsi="Verdana" w:cs="Arial"/>
          <w:sz w:val="16"/>
          <w:szCs w:val="16"/>
        </w:rPr>
      </w:pPr>
    </w:p>
    <w:p w14:paraId="12D2B17A" w14:textId="77777777" w:rsidR="0051000C" w:rsidRPr="00434CAA" w:rsidRDefault="0051000C" w:rsidP="0051000C">
      <w:pPr>
        <w:pStyle w:val="Textonotapie"/>
        <w:ind w:firstLine="708"/>
        <w:jc w:val="both"/>
        <w:rPr>
          <w:rFonts w:ascii="Verdana" w:hAnsi="Verdana" w:cs="Arial"/>
          <w:color w:val="000000"/>
          <w:sz w:val="16"/>
          <w:szCs w:val="16"/>
          <w:lang w:val="es-ES"/>
        </w:rPr>
      </w:pPr>
      <w:r w:rsidRPr="00434CAA">
        <w:rPr>
          <w:rStyle w:val="Refdenotaalpie"/>
          <w:rFonts w:ascii="Verdana" w:hAnsi="Verdana" w:cs="Arial"/>
          <w:sz w:val="16"/>
          <w:szCs w:val="16"/>
        </w:rPr>
        <w:footnoteRef/>
      </w:r>
      <w:r w:rsidRPr="00434CAA">
        <w:rPr>
          <w:rFonts w:ascii="Verdana" w:hAnsi="Verdana" w:cs="Arial"/>
          <w:sz w:val="16"/>
          <w:szCs w:val="16"/>
        </w:rPr>
        <w:t xml:space="preserve"> </w:t>
      </w:r>
      <w:r w:rsidRPr="00434CAA">
        <w:rPr>
          <w:rFonts w:ascii="Verdana" w:hAnsi="Verdana" w:cs="Arial"/>
          <w:color w:val="000000"/>
          <w:sz w:val="16"/>
          <w:szCs w:val="16"/>
          <w:lang w:val="es-ES"/>
        </w:rPr>
        <w:t>“</w:t>
      </w:r>
      <w:r w:rsidRPr="00434CAA">
        <w:rPr>
          <w:rFonts w:ascii="Verdana" w:hAnsi="Verdana" w:cs="Arial"/>
          <w:sz w:val="16"/>
          <w:szCs w:val="16"/>
        </w:rPr>
        <w:t>Artículo 41. Cédula Militar. Para los oficiales, suboficiales, soldados e infantes de marina profesionales en servicio activo, situación de retiro o de reserva la cédula militar reemplaza la tarjeta de reservista para todos los actos en que esta sea requerida</w:t>
      </w:r>
      <w:r w:rsidRPr="00434CAA">
        <w:rPr>
          <w:rFonts w:ascii="Verdana" w:hAnsi="Verdana" w:cs="Arial"/>
          <w:color w:val="000000"/>
          <w:sz w:val="16"/>
          <w:szCs w:val="16"/>
          <w:lang w:val="es-ES"/>
        </w:rPr>
        <w:t>”.</w:t>
      </w:r>
    </w:p>
    <w:p w14:paraId="37EF5BC1" w14:textId="77777777" w:rsidR="0051000C" w:rsidRPr="00434CAA" w:rsidRDefault="0051000C" w:rsidP="0051000C">
      <w:pPr>
        <w:pStyle w:val="Textonotapie"/>
        <w:ind w:firstLine="708"/>
        <w:jc w:val="both"/>
        <w:rPr>
          <w:rFonts w:ascii="Verdana" w:hAnsi="Verdana" w:cs="Arial"/>
          <w:i/>
          <w:sz w:val="16"/>
          <w:szCs w:val="16"/>
          <w:lang w:val="es-CO"/>
        </w:rPr>
      </w:pPr>
    </w:p>
  </w:footnote>
  <w:footnote w:id="7">
    <w:p w14:paraId="749FCB0F" w14:textId="77777777" w:rsidR="0051000C" w:rsidRPr="00C95B6D" w:rsidRDefault="0051000C" w:rsidP="0051000C">
      <w:pPr>
        <w:pStyle w:val="Textonotapie"/>
        <w:ind w:firstLine="708"/>
        <w:jc w:val="both"/>
        <w:rPr>
          <w:rFonts w:ascii="Verdana" w:hAnsi="Verdana"/>
          <w:sz w:val="16"/>
          <w:szCs w:val="16"/>
          <w:lang w:val="es-CO"/>
        </w:rPr>
      </w:pPr>
      <w:r w:rsidRPr="00C95B6D">
        <w:rPr>
          <w:rStyle w:val="Refdenotaalpie"/>
          <w:rFonts w:ascii="Verdana" w:hAnsi="Verdana"/>
          <w:sz w:val="16"/>
          <w:szCs w:val="16"/>
        </w:rPr>
        <w:footnoteRef/>
      </w:r>
      <w:r w:rsidRPr="00C95B6D">
        <w:rPr>
          <w:rFonts w:ascii="Verdana" w:hAnsi="Verdana"/>
          <w:sz w:val="16"/>
          <w:szCs w:val="16"/>
        </w:rPr>
        <w:t xml:space="preserve">  Ley 1861 de 2017: “</w:t>
      </w:r>
      <w:r w:rsidRPr="00C95B6D">
        <w:rPr>
          <w:rFonts w:ascii="Verdana" w:hAnsi="Verdana"/>
          <w:sz w:val="16"/>
          <w:szCs w:val="16"/>
          <w:lang w:val="es-CO"/>
        </w:rPr>
        <w:t>Artículo </w:t>
      </w:r>
      <w:bookmarkStart w:id="5" w:name="42"/>
      <w:bookmarkEnd w:id="5"/>
      <w:r w:rsidRPr="00C95B6D">
        <w:rPr>
          <w:rFonts w:ascii="Verdana" w:hAnsi="Verdana"/>
          <w:sz w:val="16"/>
          <w:szCs w:val="16"/>
          <w:lang w:val="es-CO"/>
        </w:rPr>
        <w:t>42. Acreditación de la situación militar para el trabajo. La situación militar se deberá acreditar para ejercer cargos públicos, trabajar en el sector privado y celebrar contratos de prestación de servicios como persona natural con cualquier entidad de derecho público.</w:t>
      </w:r>
    </w:p>
    <w:p w14:paraId="313DF762" w14:textId="77777777" w:rsidR="0051000C" w:rsidRPr="00C95B6D" w:rsidRDefault="0051000C" w:rsidP="0051000C">
      <w:pPr>
        <w:pStyle w:val="Textonotapie"/>
        <w:ind w:firstLine="708"/>
        <w:jc w:val="both"/>
        <w:rPr>
          <w:rFonts w:ascii="Verdana" w:hAnsi="Verdana"/>
          <w:sz w:val="16"/>
          <w:szCs w:val="16"/>
          <w:lang w:val="es-CO"/>
        </w:rPr>
      </w:pPr>
      <w:r w:rsidRPr="00C95B6D">
        <w:rPr>
          <w:rFonts w:ascii="Verdana" w:hAnsi="Verdana"/>
          <w:sz w:val="16"/>
          <w:szCs w:val="16"/>
          <w:lang w:val="es-CO"/>
        </w:rPr>
        <w:t>Sin perjuicio de la obligación anterior, las entidades públicas o privadas no podrán exigir al ciudadano, la presentación de la tarjeta militar para ingresar a un empleo. Las personas declaradas no aptas, exentas o que hayan superado la edad máxima de incorporación a filas podrán acceder a un empleo sin haber definido su situación militar. Sin embargo, a partir de la fecha de su vinculación laboral estas personas tendrán un lapso de dieciocho (18) meses para definir su situación militar. En todo caso, no se podrán contabilizar dentro de los dieciocho (18) meses. las demoras que no le sean imputables al trabajador.</w:t>
      </w:r>
    </w:p>
    <w:p w14:paraId="31484B09" w14:textId="77777777" w:rsidR="0051000C" w:rsidRPr="00C95B6D" w:rsidRDefault="0051000C" w:rsidP="0051000C">
      <w:pPr>
        <w:pStyle w:val="Textonotapie"/>
        <w:ind w:firstLine="708"/>
        <w:jc w:val="both"/>
        <w:rPr>
          <w:rFonts w:ascii="Verdana" w:hAnsi="Verdana"/>
          <w:sz w:val="16"/>
          <w:szCs w:val="16"/>
          <w:lang w:val="es-CO"/>
        </w:rPr>
      </w:pPr>
      <w:r w:rsidRPr="00C95B6D">
        <w:rPr>
          <w:rFonts w:ascii="Verdana" w:hAnsi="Verdana"/>
          <w:sz w:val="16"/>
          <w:szCs w:val="16"/>
          <w:lang w:val="es-CO"/>
        </w:rPr>
        <w:t>Los ciudadanos que accedan a los beneficios previstos en el presente artículo deberán tramitar ante las autoridades de reclutamiento una certificación provisional en línea que acredite el trámite de la definición de la situación militar por una única vez, que será válida por el lapso de tiempo indicado anteriormente.</w:t>
      </w:r>
    </w:p>
    <w:p w14:paraId="3D736958" w14:textId="77777777" w:rsidR="0051000C" w:rsidRPr="00C95B6D" w:rsidRDefault="0051000C" w:rsidP="0051000C">
      <w:pPr>
        <w:pStyle w:val="Textonotapie"/>
        <w:ind w:firstLine="708"/>
        <w:jc w:val="both"/>
        <w:rPr>
          <w:rFonts w:ascii="Verdana" w:hAnsi="Verdana"/>
          <w:sz w:val="16"/>
          <w:szCs w:val="16"/>
          <w:lang w:val="es-CO"/>
        </w:rPr>
      </w:pPr>
      <w:r w:rsidRPr="00C95B6D">
        <w:rPr>
          <w:rFonts w:ascii="Verdana" w:hAnsi="Verdana"/>
          <w:sz w:val="16"/>
          <w:szCs w:val="16"/>
          <w:lang w:val="es-CO"/>
        </w:rPr>
        <w:t>Parágrafo 1. Las personas declaradas no aptas, exentas o que hayan superado la edad máxima de incorporación a filas, que tengan una vinculación laboral vigente y no hayan definido su situación militar, tendrán un plazo para normalizar su situación de dieciocho (18) meses contados a partir de la vigencia de la presente ley.</w:t>
      </w:r>
    </w:p>
    <w:p w14:paraId="0F9D1CFA" w14:textId="77777777" w:rsidR="0051000C" w:rsidRPr="00C95B6D" w:rsidRDefault="0051000C" w:rsidP="0051000C">
      <w:pPr>
        <w:pStyle w:val="Textonotapie"/>
        <w:ind w:firstLine="708"/>
        <w:jc w:val="both"/>
        <w:rPr>
          <w:rFonts w:ascii="Verdana" w:hAnsi="Verdana"/>
          <w:sz w:val="16"/>
          <w:szCs w:val="16"/>
          <w:lang w:val="es-CO"/>
        </w:rPr>
      </w:pPr>
      <w:r w:rsidRPr="00C95B6D">
        <w:rPr>
          <w:rFonts w:ascii="Verdana" w:hAnsi="Verdana"/>
          <w:sz w:val="16"/>
          <w:szCs w:val="16"/>
          <w:lang w:val="es-CO"/>
        </w:rPr>
        <w:t>Parágrafo 2</w:t>
      </w:r>
      <w:r w:rsidRPr="00C95B6D">
        <w:rPr>
          <w:rFonts w:ascii="Verdana" w:hAnsi="Verdana"/>
          <w:b/>
          <w:bCs/>
          <w:sz w:val="16"/>
          <w:szCs w:val="16"/>
          <w:lang w:val="es-CO"/>
        </w:rPr>
        <w:t>.</w:t>
      </w:r>
      <w:r w:rsidRPr="00C95B6D">
        <w:rPr>
          <w:rFonts w:ascii="Verdana" w:hAnsi="Verdana"/>
          <w:sz w:val="16"/>
          <w:szCs w:val="16"/>
          <w:lang w:val="es-CO"/>
        </w:rPr>
        <w:t> La vinculación laboral de población no apta, exenta o que haya superado la edad máxima de incorporación no dará lugar a la sanción prevista en el literal d) del artículo 46 de la presente ley o de las normas que la modifiquen, sustituyan o adicionen.</w:t>
      </w:r>
    </w:p>
    <w:p w14:paraId="196D6BA7" w14:textId="77777777" w:rsidR="0051000C" w:rsidRPr="00C95B6D" w:rsidRDefault="0051000C" w:rsidP="0051000C">
      <w:pPr>
        <w:pStyle w:val="Textonotapie"/>
        <w:ind w:firstLine="708"/>
        <w:jc w:val="both"/>
        <w:rPr>
          <w:rFonts w:ascii="Verdana" w:hAnsi="Verdana"/>
          <w:sz w:val="16"/>
          <w:szCs w:val="16"/>
          <w:lang w:val="es-CO"/>
        </w:rPr>
      </w:pPr>
      <w:r w:rsidRPr="00C95B6D">
        <w:rPr>
          <w:rFonts w:ascii="Verdana" w:hAnsi="Verdana"/>
          <w:sz w:val="16"/>
          <w:szCs w:val="16"/>
          <w:lang w:val="es-CO"/>
        </w:rPr>
        <w:t>Parágrafo 3. Para el pago de la cuota de compensación militar y las sanciones e infracciones de la presente ley de quienes se acojan a este beneficio, podrán realizarse descuento de nómina, libranzas o cualquier otra modalidad de pago, que reglamente el Gobierno Nacional, siempre y cuando medie autorización escrita del trabajador”.</w:t>
      </w:r>
    </w:p>
    <w:p w14:paraId="15C7AE6D" w14:textId="77777777" w:rsidR="0051000C" w:rsidRPr="00C95B6D" w:rsidRDefault="0051000C" w:rsidP="0051000C">
      <w:pPr>
        <w:pStyle w:val="Textonotapie"/>
        <w:ind w:firstLine="708"/>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621BDA"/>
    <w:multiLevelType w:val="hybridMultilevel"/>
    <w:tmpl w:val="569872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458768044">
    <w:abstractNumId w:val="0"/>
  </w:num>
  <w:num w:numId="17" w16cid:durableId="2657004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424B"/>
    <w:rsid w:val="00082362"/>
    <w:rsid w:val="000A683E"/>
    <w:rsid w:val="000B19B9"/>
    <w:rsid w:val="000D0334"/>
    <w:rsid w:val="000D5DA7"/>
    <w:rsid w:val="000E1442"/>
    <w:rsid w:val="000F6486"/>
    <w:rsid w:val="00116940"/>
    <w:rsid w:val="00125105"/>
    <w:rsid w:val="00127233"/>
    <w:rsid w:val="0015699B"/>
    <w:rsid w:val="00195CB5"/>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025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000C"/>
    <w:rsid w:val="005566E8"/>
    <w:rsid w:val="00574867"/>
    <w:rsid w:val="00591460"/>
    <w:rsid w:val="005A65E0"/>
    <w:rsid w:val="005C3777"/>
    <w:rsid w:val="005C5CDC"/>
    <w:rsid w:val="005D476C"/>
    <w:rsid w:val="006200BF"/>
    <w:rsid w:val="006219F8"/>
    <w:rsid w:val="006302F7"/>
    <w:rsid w:val="00646B9F"/>
    <w:rsid w:val="00665D70"/>
    <w:rsid w:val="006900D9"/>
    <w:rsid w:val="006F3990"/>
    <w:rsid w:val="00706C16"/>
    <w:rsid w:val="007340C3"/>
    <w:rsid w:val="0075235A"/>
    <w:rsid w:val="00756841"/>
    <w:rsid w:val="007649AB"/>
    <w:rsid w:val="00771D0C"/>
    <w:rsid w:val="007833AC"/>
    <w:rsid w:val="007B268C"/>
    <w:rsid w:val="007B7171"/>
    <w:rsid w:val="007C0C0F"/>
    <w:rsid w:val="007C3DC2"/>
    <w:rsid w:val="007C436B"/>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6F50"/>
    <w:rsid w:val="00A122D3"/>
    <w:rsid w:val="00A14468"/>
    <w:rsid w:val="00A17F13"/>
    <w:rsid w:val="00A20739"/>
    <w:rsid w:val="00A23AF9"/>
    <w:rsid w:val="00A33C78"/>
    <w:rsid w:val="00AB0ADB"/>
    <w:rsid w:val="00B00C0E"/>
    <w:rsid w:val="00B01B1A"/>
    <w:rsid w:val="00B0381D"/>
    <w:rsid w:val="00B44A47"/>
    <w:rsid w:val="00B704F8"/>
    <w:rsid w:val="00B72CD3"/>
    <w:rsid w:val="00B72FFF"/>
    <w:rsid w:val="00BA6758"/>
    <w:rsid w:val="00BC3D36"/>
    <w:rsid w:val="00BD54A6"/>
    <w:rsid w:val="00BD7F72"/>
    <w:rsid w:val="00BF7425"/>
    <w:rsid w:val="00C04FB3"/>
    <w:rsid w:val="00C11D8B"/>
    <w:rsid w:val="00C15139"/>
    <w:rsid w:val="00C330EB"/>
    <w:rsid w:val="00C50D69"/>
    <w:rsid w:val="00C5365C"/>
    <w:rsid w:val="00C754BE"/>
    <w:rsid w:val="00C76B1C"/>
    <w:rsid w:val="00C925AC"/>
    <w:rsid w:val="00C9287E"/>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4E27"/>
    <w:rsid w:val="00EC38A7"/>
    <w:rsid w:val="00EE1AA8"/>
    <w:rsid w:val="00F23FEA"/>
    <w:rsid w:val="00F31EDC"/>
    <w:rsid w:val="00F462B3"/>
    <w:rsid w:val="00F4721F"/>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1000C"/>
    <w:rPr>
      <w:rFonts w:ascii="Geomanist Light" w:hAnsi="Geomanist Light"/>
      <w:lang w:val="es-ES"/>
    </w:rPr>
  </w:style>
  <w:style w:type="paragraph" w:customStyle="1" w:styleId="Appelnotedebasde">
    <w:name w:val="Appel note de bas de..."/>
    <w:basedOn w:val="Normal"/>
    <w:link w:val="Refdenotaalpie"/>
    <w:uiPriority w:val="99"/>
    <w:rsid w:val="0051000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ublictenders171@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41FB2B7-BC50-4AA8-BE81-4C707D6A6E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77</TotalTime>
  <Pages>10</Pages>
  <Words>2633</Words>
  <Characters>14194</Characters>
  <Application>Microsoft Office Word</Application>
  <DocSecurity>0</DocSecurity>
  <Lines>302</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2025-12-18T22:30:00Z</dcterms:created>
  <dcterms:modified xsi:type="dcterms:W3CDTF">2025-12-20T21:41:00Z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