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C609B2" w14:textId="77777777" w:rsidR="00A13072" w:rsidRPr="00D01CE8" w:rsidRDefault="00A13072" w:rsidP="00D01CE8">
      <w:pPr>
        <w:snapToGrid w:val="0"/>
        <w:spacing w:after="0" w:line="240" w:lineRule="auto"/>
        <w:contextualSpacing/>
        <w:jc w:val="both"/>
        <w:rPr>
          <w:rFonts w:ascii="Verdana" w:eastAsia="Calibri" w:hAnsi="Verdana" w:cs="Arial"/>
          <w:b/>
          <w:bCs/>
          <w:color w:val="000000"/>
          <w:kern w:val="2"/>
          <w:lang w:val="es-ES"/>
          <w14:ligatures w14:val="standardContextual"/>
        </w:rPr>
      </w:pPr>
      <w:bookmarkStart w:id="0" w:name="_Hlk143780582"/>
      <w:r w:rsidRPr="00D01CE8">
        <w:rPr>
          <w:rFonts w:ascii="Verdana" w:eastAsia="Calibri" w:hAnsi="Verdana" w:cs="Arial"/>
          <w:b/>
          <w:bCs/>
          <w:color w:val="000000"/>
          <w:kern w:val="2"/>
          <w:lang w:val="es-ES"/>
          <w14:ligatures w14:val="standardContextual"/>
        </w:rPr>
        <w:t>INHABILIDADES E INCOMPATIBILIDADES – Concepto</w:t>
      </w:r>
    </w:p>
    <w:p w14:paraId="3B423DDC" w14:textId="77777777" w:rsidR="00D01CE8" w:rsidRDefault="00D01CE8" w:rsidP="00D01CE8">
      <w:pPr>
        <w:snapToGrid w:val="0"/>
        <w:spacing w:after="0" w:line="240" w:lineRule="auto"/>
        <w:contextualSpacing/>
        <w:jc w:val="both"/>
        <w:rPr>
          <w:rFonts w:ascii="Verdana" w:eastAsia="Calibri" w:hAnsi="Verdana" w:cs="Arial"/>
          <w:color w:val="000000" w:themeColor="text1"/>
          <w:sz w:val="20"/>
          <w:szCs w:val="20"/>
          <w:lang w:val="es-ES"/>
        </w:rPr>
      </w:pPr>
    </w:p>
    <w:p w14:paraId="2766778C" w14:textId="63B385BC" w:rsidR="00B8334C" w:rsidRPr="00D01CE8" w:rsidRDefault="00B8334C" w:rsidP="00D01CE8">
      <w:pPr>
        <w:snapToGrid w:val="0"/>
        <w:spacing w:after="0" w:line="240" w:lineRule="auto"/>
        <w:contextualSpacing/>
        <w:jc w:val="both"/>
        <w:rPr>
          <w:rFonts w:ascii="Verdana" w:eastAsia="Calibri" w:hAnsi="Verdana" w:cs="Arial"/>
          <w:color w:val="000000" w:themeColor="text1"/>
          <w:sz w:val="20"/>
          <w:szCs w:val="20"/>
          <w:lang w:val="es-ES"/>
        </w:rPr>
      </w:pPr>
      <w:r w:rsidRPr="00D01CE8">
        <w:rPr>
          <w:rFonts w:ascii="Verdana" w:eastAsia="Calibri" w:hAnsi="Verdana" w:cs="Arial"/>
          <w:color w:val="000000" w:themeColor="text1"/>
          <w:sz w:val="20"/>
          <w:szCs w:val="20"/>
          <w:lang w:val="es-ES"/>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0D01CE8">
        <w:rPr>
          <w:rFonts w:ascii="Verdana" w:eastAsia="Calibri" w:hAnsi="Verdana" w:cs="Arial"/>
          <w:color w:val="000000" w:themeColor="text1"/>
          <w:sz w:val="20"/>
          <w:szCs w:val="20"/>
          <w:lang w:val="es-ES"/>
        </w:rPr>
        <w:t>ii</w:t>
      </w:r>
      <w:proofErr w:type="spellEnd"/>
      <w:r w:rsidRPr="00D01CE8">
        <w:rPr>
          <w:rFonts w:ascii="Verdana" w:eastAsia="Calibri" w:hAnsi="Verdana" w:cs="Arial"/>
          <w:color w:val="000000" w:themeColor="text1"/>
          <w:sz w:val="20"/>
          <w:szCs w:val="20"/>
          <w:lang w:val="es-ES"/>
        </w:rPr>
        <w:t xml:space="preserve">) de vínculos personales relativos al parentesco o al estado civil o </w:t>
      </w:r>
      <w:proofErr w:type="spellStart"/>
      <w:r w:rsidRPr="00D01CE8">
        <w:rPr>
          <w:rFonts w:ascii="Verdana" w:eastAsia="Calibri" w:hAnsi="Verdana" w:cs="Arial"/>
          <w:color w:val="000000" w:themeColor="text1"/>
          <w:sz w:val="20"/>
          <w:szCs w:val="20"/>
          <w:lang w:val="es-ES"/>
        </w:rPr>
        <w:t>iii</w:t>
      </w:r>
      <w:proofErr w:type="spellEnd"/>
      <w:r w:rsidRPr="00D01CE8">
        <w:rPr>
          <w:rFonts w:ascii="Verdana" w:eastAsia="Calibri" w:hAnsi="Verdana" w:cs="Arial"/>
          <w:color w:val="000000" w:themeColor="text1"/>
          <w:sz w:val="20"/>
          <w:szCs w:val="20"/>
          <w:lang w:val="es-ES"/>
        </w:rPr>
        <w:t xml:space="preserve">) de una actividad u oficio que se desempeñó en el pasado.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w:t>
      </w:r>
    </w:p>
    <w:p w14:paraId="00F9B628" w14:textId="77777777" w:rsidR="00D01CE8" w:rsidRDefault="00D01CE8" w:rsidP="00D01CE8">
      <w:pPr>
        <w:snapToGrid w:val="0"/>
        <w:spacing w:after="0" w:line="240" w:lineRule="auto"/>
        <w:contextualSpacing/>
        <w:jc w:val="both"/>
        <w:rPr>
          <w:rFonts w:ascii="Verdana" w:eastAsia="Calibri" w:hAnsi="Verdana" w:cs="Arial"/>
          <w:color w:val="000000" w:themeColor="text1"/>
          <w:sz w:val="20"/>
          <w:szCs w:val="20"/>
          <w:lang w:val="es-ES"/>
        </w:rPr>
      </w:pPr>
    </w:p>
    <w:p w14:paraId="2104FAA5" w14:textId="791E6315" w:rsidR="00B8334C" w:rsidRPr="00D01CE8" w:rsidRDefault="00B8334C" w:rsidP="00D01CE8">
      <w:pPr>
        <w:snapToGrid w:val="0"/>
        <w:spacing w:after="0" w:line="240" w:lineRule="auto"/>
        <w:contextualSpacing/>
        <w:jc w:val="both"/>
        <w:rPr>
          <w:rFonts w:ascii="Verdana" w:eastAsia="Calibri" w:hAnsi="Verdana" w:cs="Arial"/>
          <w:color w:val="000000" w:themeColor="text1"/>
          <w:sz w:val="20"/>
          <w:szCs w:val="20"/>
          <w:lang w:val="es-ES"/>
        </w:rPr>
      </w:pPr>
      <w:r w:rsidRPr="00D01CE8">
        <w:rPr>
          <w:rFonts w:ascii="Verdana" w:eastAsia="Calibri" w:hAnsi="Verdana" w:cs="Arial"/>
          <w:color w:val="000000" w:themeColor="text1"/>
          <w:sz w:val="20"/>
          <w:szCs w:val="20"/>
          <w:lang w:val="es-ES"/>
        </w:rPr>
        <w:t>El régimen de inhabilidades e incompatibilidades en la contratación pública responde a la tendencia de asegurar que la provisión de los bienes y servicios por parte de las entidades estatales se efectúe cumpliendo con los principios de la función administrativa y de la gestión fiscal, especialmente con probidad y transparencia. Es por eso que, como lo ha destacado la doctrina, las inhabilidades e incompatibilidades son herramientas en la lucha contra la corrupción, adoptando paulatinamente un carácter sancionatorio o “</w:t>
      </w:r>
      <w:proofErr w:type="spellStart"/>
      <w:r w:rsidRPr="00D01CE8">
        <w:rPr>
          <w:rFonts w:ascii="Verdana" w:eastAsia="Calibri" w:hAnsi="Verdana" w:cs="Arial"/>
          <w:color w:val="000000" w:themeColor="text1"/>
          <w:sz w:val="20"/>
          <w:szCs w:val="20"/>
          <w:lang w:val="es-ES"/>
        </w:rPr>
        <w:t>neopunitivo</w:t>
      </w:r>
      <w:proofErr w:type="spellEnd"/>
      <w:r w:rsidRPr="00D01CE8">
        <w:rPr>
          <w:rFonts w:ascii="Verdana" w:eastAsia="Calibri" w:hAnsi="Verdana" w:cs="Arial"/>
          <w:color w:val="000000" w:themeColor="text1"/>
          <w:sz w:val="20"/>
          <w:szCs w:val="20"/>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59D04EA8" w14:textId="77777777" w:rsidR="00B8334C" w:rsidRPr="00D01CE8" w:rsidRDefault="00B8334C" w:rsidP="00D01CE8">
      <w:pPr>
        <w:snapToGrid w:val="0"/>
        <w:spacing w:after="0" w:line="240" w:lineRule="auto"/>
        <w:contextualSpacing/>
        <w:jc w:val="both"/>
        <w:rPr>
          <w:rFonts w:ascii="Verdana" w:eastAsia="Calibri" w:hAnsi="Verdana" w:cs="Arial"/>
          <w:color w:val="000000"/>
          <w:kern w:val="2"/>
          <w:sz w:val="20"/>
          <w:szCs w:val="20"/>
          <w:lang w:val="es-ES"/>
          <w14:ligatures w14:val="standardContextual"/>
        </w:rPr>
      </w:pPr>
    </w:p>
    <w:p w14:paraId="0E33A743" w14:textId="77777777" w:rsidR="00A13072" w:rsidRPr="00D01CE8" w:rsidRDefault="00A13072" w:rsidP="00D01CE8">
      <w:pPr>
        <w:snapToGrid w:val="0"/>
        <w:spacing w:after="0" w:line="240" w:lineRule="auto"/>
        <w:contextualSpacing/>
        <w:jc w:val="both"/>
        <w:rPr>
          <w:rFonts w:ascii="Verdana" w:eastAsia="Calibri" w:hAnsi="Verdana" w:cs="Arial"/>
          <w:b/>
          <w:bCs/>
          <w:color w:val="000000"/>
          <w:kern w:val="2"/>
          <w:lang w:val="es-ES"/>
          <w14:ligatures w14:val="standardContextual"/>
        </w:rPr>
      </w:pPr>
      <w:r w:rsidRPr="00D01CE8">
        <w:rPr>
          <w:rFonts w:ascii="Verdana" w:eastAsia="Calibri" w:hAnsi="Verdana" w:cs="Arial"/>
          <w:b/>
          <w:bCs/>
          <w:color w:val="000000"/>
          <w:kern w:val="2"/>
          <w:lang w:val="es-ES"/>
          <w14:ligatures w14:val="standardContextual"/>
        </w:rPr>
        <w:t>INHABILIDADES E INCOMPATIBILIDADES – Régimen – Interpretación restrictiva</w:t>
      </w:r>
    </w:p>
    <w:p w14:paraId="3BF937DA" w14:textId="77777777" w:rsidR="00D01CE8" w:rsidRDefault="00D01CE8" w:rsidP="00D01CE8">
      <w:pPr>
        <w:snapToGrid w:val="0"/>
        <w:spacing w:after="0" w:line="240" w:lineRule="auto"/>
        <w:contextualSpacing/>
        <w:jc w:val="both"/>
        <w:rPr>
          <w:rFonts w:ascii="Verdana" w:eastAsia="Calibri" w:hAnsi="Verdana" w:cs="Arial"/>
          <w:color w:val="000000" w:themeColor="text1"/>
          <w:sz w:val="20"/>
          <w:szCs w:val="20"/>
          <w:lang w:val="es-ES"/>
        </w:rPr>
      </w:pPr>
    </w:p>
    <w:p w14:paraId="422793B5" w14:textId="66EFC0DF" w:rsidR="00B8334C" w:rsidRPr="00D01CE8" w:rsidRDefault="00B8334C" w:rsidP="00D01CE8">
      <w:pPr>
        <w:snapToGrid w:val="0"/>
        <w:spacing w:after="0" w:line="240" w:lineRule="auto"/>
        <w:contextualSpacing/>
        <w:jc w:val="both"/>
        <w:rPr>
          <w:rFonts w:ascii="Verdana" w:eastAsia="Calibri" w:hAnsi="Verdana" w:cs="Arial"/>
          <w:color w:val="000000" w:themeColor="text1"/>
          <w:sz w:val="20"/>
          <w:szCs w:val="20"/>
          <w:lang w:val="es-ES"/>
        </w:rPr>
      </w:pPr>
      <w:r w:rsidRPr="00D01CE8">
        <w:rPr>
          <w:rFonts w:ascii="Verdana" w:eastAsia="Calibri" w:hAnsi="Verdana" w:cs="Arial"/>
          <w:color w:val="000000" w:themeColor="text1"/>
          <w:sz w:val="20"/>
          <w:szCs w:val="20"/>
          <w:lang w:val="es-ES"/>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D01CE8">
        <w:rPr>
          <w:rFonts w:ascii="Verdana" w:eastAsia="Calibri" w:hAnsi="Verdana" w:cs="Arial"/>
          <w:i/>
          <w:iCs/>
          <w:color w:val="000000" w:themeColor="text1"/>
          <w:sz w:val="20"/>
          <w:szCs w:val="20"/>
          <w:lang w:val="es-ES"/>
        </w:rPr>
        <w:t>restrictiva</w:t>
      </w:r>
      <w:r w:rsidRPr="00D01CE8">
        <w:rPr>
          <w:rFonts w:ascii="Verdana" w:eastAsia="Calibri" w:hAnsi="Verdana" w:cs="Arial"/>
          <w:color w:val="000000" w:themeColor="text1"/>
          <w:sz w:val="20"/>
          <w:szCs w:val="20"/>
          <w:lang w:val="es-ES"/>
        </w:rPr>
        <w:t xml:space="preserve">.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101E910D" w14:textId="77777777" w:rsidR="00B8334C" w:rsidRPr="00D01CE8" w:rsidRDefault="00B8334C" w:rsidP="00D01CE8">
      <w:pPr>
        <w:snapToGrid w:val="0"/>
        <w:spacing w:after="0" w:line="240" w:lineRule="auto"/>
        <w:contextualSpacing/>
        <w:jc w:val="both"/>
        <w:rPr>
          <w:rFonts w:ascii="Verdana" w:eastAsia="Calibri" w:hAnsi="Verdana" w:cs="Arial"/>
          <w:color w:val="000000"/>
          <w:kern w:val="2"/>
          <w:sz w:val="20"/>
          <w:szCs w:val="20"/>
          <w:lang w:val="es-ES"/>
          <w14:ligatures w14:val="standardContextual"/>
        </w:rPr>
      </w:pPr>
    </w:p>
    <w:p w14:paraId="05BA9E8D" w14:textId="77777777" w:rsidR="00A13072" w:rsidRPr="00D01CE8" w:rsidRDefault="00A13072" w:rsidP="00D01CE8">
      <w:pPr>
        <w:snapToGrid w:val="0"/>
        <w:contextualSpacing/>
        <w:jc w:val="both"/>
        <w:rPr>
          <w:rFonts w:ascii="Verdana" w:eastAsia="Calibri" w:hAnsi="Verdana" w:cs="Arial"/>
          <w:b/>
          <w:bCs/>
          <w:color w:val="000000"/>
          <w:kern w:val="2"/>
          <w:lang w:val="es-ES"/>
          <w14:ligatures w14:val="standardContextual"/>
        </w:rPr>
      </w:pPr>
      <w:r w:rsidRPr="00D01CE8">
        <w:rPr>
          <w:rFonts w:ascii="Verdana" w:eastAsia="Calibri" w:hAnsi="Verdana" w:cs="Arial"/>
          <w:b/>
          <w:bCs/>
          <w:lang w:val="es-ES"/>
        </w:rPr>
        <w:t xml:space="preserve">LEY 388 DE 1997 </w:t>
      </w:r>
      <w:r w:rsidRPr="00D01CE8">
        <w:rPr>
          <w:rFonts w:ascii="Verdana" w:eastAsia="Calibri" w:hAnsi="Verdana" w:cs="Arial"/>
          <w:b/>
          <w:bCs/>
          <w:color w:val="000000"/>
          <w:kern w:val="2"/>
          <w:lang w:val="es-ES"/>
          <w14:ligatures w14:val="standardContextual"/>
        </w:rPr>
        <w:t>– Cesión Obligatoria – Definición</w:t>
      </w:r>
    </w:p>
    <w:p w14:paraId="2A87EAB0" w14:textId="77777777" w:rsidR="00D01CE8" w:rsidRPr="00D01CE8" w:rsidRDefault="00D01CE8" w:rsidP="00D01CE8">
      <w:pPr>
        <w:snapToGrid w:val="0"/>
        <w:spacing w:after="0" w:line="240" w:lineRule="auto"/>
        <w:contextualSpacing/>
        <w:jc w:val="both"/>
        <w:rPr>
          <w:rFonts w:ascii="Verdana" w:eastAsia="Calibri" w:hAnsi="Verdana" w:cs="Arial"/>
          <w:color w:val="000000"/>
          <w:kern w:val="2"/>
          <w:sz w:val="20"/>
          <w:szCs w:val="20"/>
          <w:lang w:val="es-ES"/>
          <w14:ligatures w14:val="standardContextual"/>
        </w:rPr>
      </w:pPr>
    </w:p>
    <w:p w14:paraId="53ABDDA0" w14:textId="1212ED9A" w:rsidR="00B8334C" w:rsidRDefault="00D01CE8" w:rsidP="00D01CE8">
      <w:pPr>
        <w:snapToGrid w:val="0"/>
        <w:contextualSpacing/>
        <w:jc w:val="both"/>
        <w:rPr>
          <w:rFonts w:ascii="Verdana" w:eastAsia="Calibri" w:hAnsi="Verdana" w:cs="Arial"/>
          <w:sz w:val="20"/>
          <w:szCs w:val="20"/>
          <w:lang w:val="es-ES"/>
        </w:rPr>
      </w:pPr>
      <w:r>
        <w:rPr>
          <w:rFonts w:ascii="Verdana" w:eastAsia="Calibri" w:hAnsi="Verdana" w:cs="Arial"/>
          <w:sz w:val="20"/>
          <w:szCs w:val="20"/>
          <w:lang w:val="es-ES"/>
        </w:rPr>
        <w:t xml:space="preserve">[…] </w:t>
      </w:r>
      <w:r w:rsidR="00B8334C" w:rsidRPr="00D01CE8">
        <w:rPr>
          <w:rFonts w:ascii="Verdana" w:eastAsia="Calibri" w:hAnsi="Verdana" w:cs="Arial"/>
          <w:sz w:val="20"/>
          <w:szCs w:val="20"/>
          <w:lang w:val="es-ES"/>
        </w:rPr>
        <w:t>el artículo 37 de la Ley</w:t>
      </w:r>
      <w:r w:rsidR="00B8334C" w:rsidRPr="00D01CE8">
        <w:rPr>
          <w:rFonts w:ascii="Verdana" w:eastAsia="Calibri" w:hAnsi="Verdana" w:cs="Arial"/>
          <w:sz w:val="20"/>
          <w:szCs w:val="20"/>
          <w:lang w:val="es-ES"/>
        </w:rPr>
        <w:t xml:space="preserve"> </w:t>
      </w:r>
      <w:r w:rsidR="00B8334C" w:rsidRPr="00D01CE8">
        <w:rPr>
          <w:rFonts w:ascii="Verdana" w:eastAsia="Calibri" w:hAnsi="Verdana" w:cs="Arial"/>
          <w:sz w:val="20"/>
          <w:szCs w:val="20"/>
          <w:lang w:val="es-ES"/>
        </w:rPr>
        <w:t xml:space="preserve">388 de 1997 establece que los reglamentos distritales o municipales tienen la facultad de determinar las cesiones gratuitas que deben hacer los propietarios cuando adelanten las diferentes actuaciones urbanísticas. Estas </w:t>
      </w:r>
      <w:proofErr w:type="spellStart"/>
      <w:r w:rsidR="00B8334C" w:rsidRPr="00D01CE8">
        <w:rPr>
          <w:rFonts w:ascii="Verdana" w:eastAsia="Calibri" w:hAnsi="Verdana" w:cs="Arial"/>
          <w:sz w:val="20"/>
          <w:szCs w:val="20"/>
          <w:lang w:val="es-ES"/>
        </w:rPr>
        <w:t>cesiones</w:t>
      </w:r>
      <w:proofErr w:type="spellEnd"/>
      <w:r w:rsidR="00B8334C" w:rsidRPr="00D01CE8">
        <w:rPr>
          <w:rFonts w:ascii="Verdana" w:eastAsia="Calibri" w:hAnsi="Verdana" w:cs="Arial"/>
          <w:sz w:val="20"/>
          <w:szCs w:val="20"/>
          <w:lang w:val="es-ES"/>
        </w:rPr>
        <w:t xml:space="preserve"> se harán con destino a </w:t>
      </w:r>
      <w:r w:rsidR="00B8334C" w:rsidRPr="00D01CE8">
        <w:rPr>
          <w:rFonts w:ascii="Verdana" w:eastAsia="Calibri" w:hAnsi="Verdana" w:cs="Arial"/>
          <w:sz w:val="20"/>
          <w:szCs w:val="20"/>
          <w:lang w:val="es-ES"/>
        </w:rPr>
        <w:t>vías</w:t>
      </w:r>
      <w:r w:rsidR="00B8334C" w:rsidRPr="00D01CE8">
        <w:rPr>
          <w:rFonts w:ascii="Verdana" w:eastAsia="Calibri" w:hAnsi="Verdana" w:cs="Arial"/>
          <w:sz w:val="20"/>
          <w:szCs w:val="20"/>
          <w:lang w:val="es-ES"/>
        </w:rPr>
        <w:t xml:space="preserve"> locales, equipamientos colectivos y el espacio público, en </w:t>
      </w:r>
      <w:r w:rsidR="00B8334C" w:rsidRPr="00D01CE8">
        <w:rPr>
          <w:rFonts w:ascii="Verdana" w:eastAsia="Calibri" w:hAnsi="Verdana" w:cs="Arial"/>
          <w:sz w:val="20"/>
          <w:szCs w:val="20"/>
          <w:lang w:val="es-ES"/>
        </w:rPr>
        <w:lastRenderedPageBreak/>
        <w:t xml:space="preserve">general. Adicionalmente, la </w:t>
      </w:r>
      <w:r w:rsidR="00B8334C" w:rsidRPr="00D01CE8">
        <w:rPr>
          <w:rFonts w:ascii="Verdana" w:eastAsia="Calibri" w:hAnsi="Verdana" w:cs="Arial"/>
          <w:sz w:val="20"/>
          <w:szCs w:val="20"/>
          <w:lang w:val="es-ES"/>
        </w:rPr>
        <w:t>normativa</w:t>
      </w:r>
      <w:r w:rsidR="00B8334C" w:rsidRPr="00D01CE8">
        <w:rPr>
          <w:rFonts w:ascii="Verdana" w:eastAsia="Calibri" w:hAnsi="Verdana" w:cs="Arial"/>
          <w:sz w:val="20"/>
          <w:szCs w:val="20"/>
          <w:lang w:val="es-ES"/>
        </w:rPr>
        <w:t xml:space="preserve"> señalará el </w:t>
      </w:r>
      <w:r w:rsidR="00B8334C" w:rsidRPr="00D01CE8">
        <w:rPr>
          <w:rFonts w:ascii="Verdana" w:eastAsia="Calibri" w:hAnsi="Verdana" w:cs="Arial"/>
          <w:sz w:val="20"/>
          <w:szCs w:val="20"/>
          <w:lang w:val="es-ES"/>
        </w:rPr>
        <w:t>término</w:t>
      </w:r>
      <w:r w:rsidR="00B8334C" w:rsidRPr="00D01CE8">
        <w:rPr>
          <w:rFonts w:ascii="Verdana" w:eastAsia="Calibri" w:hAnsi="Verdana" w:cs="Arial"/>
          <w:sz w:val="20"/>
          <w:szCs w:val="20"/>
          <w:lang w:val="es-ES"/>
        </w:rPr>
        <w:t xml:space="preserve"> de permisos y licencias a los cuales se someten las cesiones gratuitas, así como las sanciones aplicables a quienes infrinjan la obligación de cesión.  </w:t>
      </w:r>
    </w:p>
    <w:p w14:paraId="443ED81D" w14:textId="77777777" w:rsidR="00D01CE8" w:rsidRPr="00D01CE8" w:rsidRDefault="00D01CE8" w:rsidP="00D01CE8">
      <w:pPr>
        <w:snapToGrid w:val="0"/>
        <w:spacing w:after="0" w:line="240" w:lineRule="auto"/>
        <w:contextualSpacing/>
        <w:jc w:val="both"/>
        <w:rPr>
          <w:rFonts w:ascii="Verdana" w:eastAsia="Calibri" w:hAnsi="Verdana" w:cs="Arial"/>
          <w:color w:val="000000"/>
          <w:kern w:val="2"/>
          <w:sz w:val="20"/>
          <w:szCs w:val="20"/>
          <w:lang w:val="es-ES"/>
          <w14:ligatures w14:val="standardContextual"/>
        </w:rPr>
      </w:pPr>
    </w:p>
    <w:p w14:paraId="0A9E1ACF" w14:textId="15269F51" w:rsidR="00A13072" w:rsidRPr="00D01CE8" w:rsidRDefault="00A13072" w:rsidP="00D01CE8">
      <w:pPr>
        <w:snapToGrid w:val="0"/>
        <w:contextualSpacing/>
        <w:jc w:val="both"/>
        <w:rPr>
          <w:rFonts w:ascii="Verdana" w:eastAsia="Calibri" w:hAnsi="Verdana" w:cs="Arial"/>
          <w:b/>
          <w:bCs/>
          <w:color w:val="000000"/>
          <w:kern w:val="2"/>
          <w:lang w:val="es-ES"/>
          <w14:ligatures w14:val="standardContextual"/>
        </w:rPr>
      </w:pPr>
      <w:r w:rsidRPr="00D01CE8">
        <w:rPr>
          <w:rFonts w:ascii="Verdana" w:eastAsia="Calibri" w:hAnsi="Verdana" w:cs="Arial"/>
          <w:b/>
          <w:bCs/>
          <w:color w:val="000000"/>
          <w:kern w:val="2"/>
          <w:lang w:val="es-ES"/>
          <w14:ligatures w14:val="standardContextual"/>
        </w:rPr>
        <w:t>CESIÓN OBLIGATORIA – Régimen de inhabilidades – Inaplicabilidad</w:t>
      </w:r>
    </w:p>
    <w:p w14:paraId="1DCAF3AF" w14:textId="77777777" w:rsidR="00D01CE8" w:rsidRPr="00D01CE8" w:rsidRDefault="00D01CE8" w:rsidP="00D01CE8">
      <w:pPr>
        <w:snapToGrid w:val="0"/>
        <w:spacing w:after="0" w:line="240" w:lineRule="auto"/>
        <w:contextualSpacing/>
        <w:jc w:val="both"/>
        <w:rPr>
          <w:rFonts w:ascii="Verdana" w:eastAsia="Calibri" w:hAnsi="Verdana" w:cs="Arial"/>
          <w:color w:val="000000"/>
          <w:kern w:val="2"/>
          <w:sz w:val="20"/>
          <w:szCs w:val="20"/>
          <w:lang w:val="es-ES"/>
          <w14:ligatures w14:val="standardContextual"/>
        </w:rPr>
      </w:pPr>
    </w:p>
    <w:p w14:paraId="3731BFF6" w14:textId="3F010F0B" w:rsidR="00A13072" w:rsidRDefault="00B8334C" w:rsidP="00D01CE8">
      <w:pPr>
        <w:snapToGrid w:val="0"/>
        <w:spacing w:after="0" w:line="240" w:lineRule="auto"/>
        <w:contextualSpacing/>
        <w:jc w:val="both"/>
        <w:rPr>
          <w:rFonts w:ascii="Verdana" w:eastAsia="Calibri" w:hAnsi="Verdana" w:cs="Arial"/>
          <w:sz w:val="20"/>
          <w:szCs w:val="20"/>
          <w:lang w:val="es-ES"/>
        </w:rPr>
      </w:pPr>
      <w:r w:rsidRPr="00D01CE8">
        <w:rPr>
          <w:rFonts w:ascii="Verdana" w:eastAsia="Calibri" w:hAnsi="Verdana" w:cs="Arial"/>
          <w:sz w:val="20"/>
          <w:szCs w:val="20"/>
          <w:lang w:val="es-ES"/>
        </w:rPr>
        <w:t>En efecto, la cesión corresponde al cumplimiento de una obligación que surge en cabeza del propietario con ocasión al desarrollo del proyecto de urbanización y se materializa con el solo registro de la escritura respectiva en la Oficina de Registro de Instrumentos Públicos. De esta forma, no es el resultado de un negocio jurídico que surja de un acuerdo de voluntades en el que las partes cedan libremente el terreno; la cesión no corresponde entonces a la celebración de un contrato estatal a la cual le sean aplicables las inhabilidades o incompatibilidades establecidas en el artículo 8 de la Ley 80 de 1993. En ese orden, no resulta de recibo que el propietario alegue la existencia de una inhabilidad para celebrar contratos estatales como justificación para el incumplimiento de la obligación que le impone la normativa de realizar la cesión gratuita a favor del ente territorial.</w:t>
      </w:r>
    </w:p>
    <w:p w14:paraId="173BA849"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18248CEE"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0E0BB8F3"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3BD0C4FE"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5FC48660"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45ED4994"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3520FEBE"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2F2EEEF1"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02E7F4F9"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79B4A8A7"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6499E922"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111410F3"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6D8CA60B"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4E18B085"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2CF55F9D"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2F2B5FAF"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2FFE83F9"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3D565D9B"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20786E29"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38FE2AB5"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21303367"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561A4386"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535E7E0D"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5B12DAB8"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0B137775"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4CEDC307"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6AEE75E9" w14:textId="77777777" w:rsidR="00D01CE8" w:rsidRDefault="00D01CE8" w:rsidP="00D01CE8">
      <w:pPr>
        <w:snapToGrid w:val="0"/>
        <w:spacing w:after="0" w:line="240" w:lineRule="auto"/>
        <w:contextualSpacing/>
        <w:jc w:val="both"/>
        <w:rPr>
          <w:rFonts w:ascii="Verdana" w:eastAsia="Calibri" w:hAnsi="Verdana" w:cs="Arial"/>
          <w:sz w:val="20"/>
          <w:szCs w:val="20"/>
          <w:lang w:val="es-ES"/>
        </w:rPr>
      </w:pPr>
    </w:p>
    <w:p w14:paraId="53401ED1" w14:textId="77777777" w:rsidR="00D01CE8" w:rsidRPr="00D01CE8" w:rsidRDefault="00D01CE8" w:rsidP="00D01CE8">
      <w:pPr>
        <w:snapToGrid w:val="0"/>
        <w:spacing w:after="0" w:line="240" w:lineRule="auto"/>
        <w:contextualSpacing/>
        <w:jc w:val="both"/>
        <w:rPr>
          <w:rFonts w:ascii="Verdana" w:hAnsi="Verdana"/>
          <w:sz w:val="20"/>
          <w:szCs w:val="20"/>
          <w:lang w:val="es-ES"/>
        </w:rPr>
      </w:pPr>
    </w:p>
    <w:p w14:paraId="76715B5F" w14:textId="3241ED4C" w:rsidR="00EC344C" w:rsidRPr="00B8334C" w:rsidRDefault="00EC344C" w:rsidP="00EC344C">
      <w:pPr>
        <w:spacing w:after="0"/>
        <w:rPr>
          <w:rFonts w:ascii="Verdana" w:hAnsi="Verdana"/>
          <w:lang w:val="es-ES"/>
        </w:rPr>
      </w:pPr>
      <w:r w:rsidRPr="00B8334C">
        <w:rPr>
          <w:rFonts w:ascii="Verdana" w:hAnsi="Verdana"/>
          <w:lang w:val="es-ES"/>
        </w:rPr>
        <w:lastRenderedPageBreak/>
        <w:t xml:space="preserve">Bogotá D.C., </w:t>
      </w:r>
      <w:r w:rsidR="00A13072" w:rsidRPr="00B8334C">
        <w:rPr>
          <w:rFonts w:ascii="Verdana" w:hAnsi="Verdana"/>
          <w:lang w:val="es-ES"/>
        </w:rPr>
        <w:t>22 de Diciembre de 2025</w:t>
      </w:r>
      <w:r w:rsidRPr="00B8334C">
        <w:rPr>
          <w:rFonts w:ascii="Verdana" w:hAnsi="Verdana"/>
          <w:lang w:val="es-ES"/>
        </w:rPr>
        <w:tab/>
      </w:r>
    </w:p>
    <w:p w14:paraId="75CB3336" w14:textId="5128E55B" w:rsidR="00EC344C" w:rsidRPr="00B8334C" w:rsidRDefault="00A62B22" w:rsidP="00EC344C">
      <w:pPr>
        <w:spacing w:after="0"/>
        <w:rPr>
          <w:rFonts w:ascii="Verdana" w:hAnsi="Verdana"/>
          <w:lang w:val="es-ES"/>
        </w:rPr>
      </w:pPr>
      <w:r>
        <w:rPr>
          <w:rFonts w:ascii="Verdana" w:eastAsia="Calibri" w:hAnsi="Verdana" w:cs="Arial"/>
          <w:noProof/>
          <w:color w:val="000000" w:themeColor="text1"/>
          <w:lang w:val="es-ES" w:eastAsia="es-ES"/>
        </w:rPr>
        <w:drawing>
          <wp:anchor distT="0" distB="0" distL="114300" distR="114300" simplePos="0" relativeHeight="251658240" behindDoc="0" locked="0" layoutInCell="1" allowOverlap="1" wp14:anchorId="7DCF37BD" wp14:editId="1B464790">
            <wp:simplePos x="0" y="0"/>
            <wp:positionH relativeFrom="column">
              <wp:posOffset>3270332</wp:posOffset>
            </wp:positionH>
            <wp:positionV relativeFrom="page">
              <wp:posOffset>1724660</wp:posOffset>
            </wp:positionV>
            <wp:extent cx="2288540" cy="685800"/>
            <wp:effectExtent l="0" t="0" r="0" b="0"/>
            <wp:wrapSquare wrapText="bothSides"/>
            <wp:docPr id="19520276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027672" name="Picture 1952027672"/>
                    <pic:cNvPicPr/>
                  </pic:nvPicPr>
                  <pic:blipFill>
                    <a:blip r:embed="rId11">
                      <a:extLst>
                        <a:ext uri="{28A0092B-C50C-407E-A947-70E740481C1C}">
                          <a14:useLocalDpi xmlns:a14="http://schemas.microsoft.com/office/drawing/2010/main" val="0"/>
                        </a:ext>
                      </a:extLst>
                    </a:blip>
                    <a:stretch>
                      <a:fillRect/>
                    </a:stretch>
                  </pic:blipFill>
                  <pic:spPr>
                    <a:xfrm>
                      <a:off x="0" y="0"/>
                      <a:ext cx="2288540" cy="685800"/>
                    </a:xfrm>
                    <a:prstGeom prst="rect">
                      <a:avLst/>
                    </a:prstGeom>
                  </pic:spPr>
                </pic:pic>
              </a:graphicData>
            </a:graphic>
            <wp14:sizeRelH relativeFrom="page">
              <wp14:pctWidth>0</wp14:pctWidth>
            </wp14:sizeRelH>
            <wp14:sizeRelV relativeFrom="page">
              <wp14:pctHeight>0</wp14:pctHeight>
            </wp14:sizeRelV>
          </wp:anchor>
        </w:drawing>
      </w:r>
    </w:p>
    <w:p w14:paraId="0F788772" w14:textId="63D3D896" w:rsidR="00EC344C" w:rsidRPr="00B8334C" w:rsidRDefault="00EC344C" w:rsidP="00EC344C">
      <w:pPr>
        <w:spacing w:after="0" w:line="240" w:lineRule="auto"/>
        <w:jc w:val="both"/>
        <w:rPr>
          <w:rFonts w:ascii="Verdana" w:eastAsia="Calibri" w:hAnsi="Verdana" w:cs="Arial"/>
          <w:color w:val="000000" w:themeColor="text1"/>
          <w:lang w:val="es-ES" w:eastAsia="es-ES"/>
        </w:rPr>
      </w:pPr>
      <w:r w:rsidRPr="00B8334C">
        <w:rPr>
          <w:rFonts w:ascii="Verdana" w:eastAsia="Calibri" w:hAnsi="Verdana" w:cs="Arial"/>
          <w:color w:val="000000" w:themeColor="text1"/>
          <w:lang w:val="es-ES" w:eastAsia="es-ES"/>
        </w:rPr>
        <w:t>Señor</w:t>
      </w:r>
      <w:r w:rsidR="00786CD1" w:rsidRPr="00B8334C">
        <w:rPr>
          <w:rFonts w:ascii="Verdana" w:eastAsia="Calibri" w:hAnsi="Verdana" w:cs="Arial"/>
          <w:color w:val="000000" w:themeColor="text1"/>
          <w:lang w:val="es-ES" w:eastAsia="es-ES"/>
        </w:rPr>
        <w:t>a</w:t>
      </w:r>
    </w:p>
    <w:p w14:paraId="7D5F0EB4" w14:textId="598ABC7C" w:rsidR="00786CD1" w:rsidRPr="00B8334C" w:rsidRDefault="00786CD1" w:rsidP="00EC344C">
      <w:pPr>
        <w:spacing w:after="0" w:line="240" w:lineRule="auto"/>
        <w:jc w:val="both"/>
        <w:rPr>
          <w:rFonts w:ascii="Verdana" w:eastAsia="Calibri" w:hAnsi="Verdana" w:cs="Arial"/>
          <w:b/>
          <w:bCs/>
          <w:color w:val="000000" w:themeColor="text1"/>
          <w:lang w:val="es-ES" w:eastAsia="es-ES"/>
        </w:rPr>
      </w:pPr>
      <w:r w:rsidRPr="00B8334C">
        <w:rPr>
          <w:rFonts w:ascii="Verdana" w:eastAsia="Calibri" w:hAnsi="Verdana" w:cs="Arial"/>
          <w:b/>
          <w:bCs/>
          <w:color w:val="000000" w:themeColor="text1"/>
          <w:lang w:val="es-ES" w:eastAsia="es-ES"/>
        </w:rPr>
        <w:t>Isabela Vargas Gómez</w:t>
      </w:r>
    </w:p>
    <w:p w14:paraId="64AC4494" w14:textId="223E87E7" w:rsidR="00BA175D" w:rsidRPr="00B8334C" w:rsidRDefault="00BA175D" w:rsidP="00EC344C">
      <w:pPr>
        <w:spacing w:after="0" w:line="240" w:lineRule="auto"/>
        <w:jc w:val="both"/>
        <w:rPr>
          <w:rFonts w:ascii="Verdana" w:eastAsia="Calibri" w:hAnsi="Verdana" w:cs="Arial"/>
          <w:color w:val="000000" w:themeColor="text1"/>
          <w:lang w:val="es-ES" w:eastAsia="es-ES"/>
        </w:rPr>
      </w:pPr>
      <w:hyperlink r:id="rId12" w:history="1">
        <w:r w:rsidRPr="00B8334C">
          <w:rPr>
            <w:rStyle w:val="Hyperlink"/>
            <w:rFonts w:ascii="Verdana" w:eastAsia="Calibri" w:hAnsi="Verdana" w:cs="Arial"/>
            <w:lang w:val="es-ES" w:eastAsia="es-ES"/>
          </w:rPr>
          <w:t>valeria.vargas01@urosario.edu.co</w:t>
        </w:r>
      </w:hyperlink>
    </w:p>
    <w:p w14:paraId="07F71055" w14:textId="77777777" w:rsidR="00EC344C" w:rsidRPr="00B8334C" w:rsidRDefault="00EC344C" w:rsidP="00EC344C">
      <w:pPr>
        <w:spacing w:after="0" w:line="240" w:lineRule="auto"/>
        <w:jc w:val="both"/>
        <w:rPr>
          <w:rFonts w:ascii="Verdana" w:eastAsia="Calibri" w:hAnsi="Verdana" w:cs="Arial"/>
          <w:color w:val="000000" w:themeColor="text1"/>
          <w:lang w:val="es-ES" w:eastAsia="es-ES"/>
        </w:rPr>
      </w:pPr>
      <w:r w:rsidRPr="00B8334C">
        <w:rPr>
          <w:rFonts w:ascii="Verdana" w:eastAsia="Calibri" w:hAnsi="Verdana" w:cs="Arial"/>
          <w:color w:val="000000" w:themeColor="text1"/>
          <w:lang w:val="es-ES" w:eastAsia="es-ES"/>
        </w:rPr>
        <w:t>Bogotá D.C.</w:t>
      </w:r>
    </w:p>
    <w:p w14:paraId="2C3A4B39" w14:textId="77777777" w:rsidR="00EC344C" w:rsidRPr="00B8334C" w:rsidRDefault="00EC344C" w:rsidP="00EC344C">
      <w:pPr>
        <w:spacing w:after="0" w:line="240" w:lineRule="auto"/>
        <w:rPr>
          <w:rFonts w:ascii="Verdana" w:eastAsia="Calibri" w:hAnsi="Verdana" w:cs="Arial"/>
          <w:b/>
          <w:bCs/>
          <w:color w:val="000000" w:themeColor="text1"/>
          <w:lang w:val="es-ES" w:eastAsia="es-ES_tradnl"/>
        </w:rPr>
      </w:pPr>
    </w:p>
    <w:tbl>
      <w:tblPr>
        <w:tblStyle w:val="TableGrid"/>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EC344C" w:rsidRPr="00B8334C" w14:paraId="2DC1727F" w14:textId="77777777" w:rsidTr="0036622E">
        <w:trPr>
          <w:gridAfter w:val="1"/>
          <w:wAfter w:w="4179" w:type="dxa"/>
          <w:trHeight w:val="304"/>
        </w:trPr>
        <w:tc>
          <w:tcPr>
            <w:tcW w:w="2689" w:type="dxa"/>
          </w:tcPr>
          <w:p w14:paraId="536481FA" w14:textId="77777777" w:rsidR="00EC344C" w:rsidRPr="00B8334C" w:rsidRDefault="00EC344C" w:rsidP="0036622E">
            <w:pPr>
              <w:jc w:val="both"/>
              <w:rPr>
                <w:rFonts w:ascii="Verdana" w:eastAsia="Calibri" w:hAnsi="Verdana" w:cs="Arial"/>
                <w:b/>
                <w:bCs/>
                <w:color w:val="000000" w:themeColor="text1"/>
                <w:lang w:val="es-ES" w:eastAsia="es-ES_tradnl"/>
              </w:rPr>
            </w:pPr>
          </w:p>
        </w:tc>
        <w:tc>
          <w:tcPr>
            <w:tcW w:w="6100" w:type="dxa"/>
          </w:tcPr>
          <w:p w14:paraId="51DB3D78" w14:textId="77777777" w:rsidR="00EC344C" w:rsidRPr="00B8334C" w:rsidRDefault="00EC344C" w:rsidP="0036622E">
            <w:pPr>
              <w:jc w:val="both"/>
              <w:rPr>
                <w:rFonts w:ascii="Verdana" w:eastAsia="Calibri" w:hAnsi="Verdana" w:cs="Arial"/>
                <w:b/>
                <w:bCs/>
                <w:color w:val="000000" w:themeColor="text1"/>
                <w:lang w:val="es-ES" w:eastAsia="es-ES"/>
              </w:rPr>
            </w:pPr>
            <w:r w:rsidRPr="00B8334C">
              <w:rPr>
                <w:rFonts w:ascii="Verdana" w:eastAsia="Calibri" w:hAnsi="Verdana" w:cs="Arial"/>
                <w:b/>
                <w:bCs/>
                <w:color w:val="000000" w:themeColor="text1"/>
                <w:lang w:val="es-ES" w:eastAsia="es-ES"/>
              </w:rPr>
              <w:t>Concepto C-1645 de 2025</w:t>
            </w:r>
          </w:p>
          <w:p w14:paraId="62D202C7" w14:textId="77777777" w:rsidR="00EC344C" w:rsidRPr="00B8334C" w:rsidRDefault="00EC344C" w:rsidP="0036622E">
            <w:pPr>
              <w:jc w:val="both"/>
              <w:rPr>
                <w:rFonts w:ascii="Verdana" w:eastAsia="Calibri" w:hAnsi="Verdana" w:cs="Arial"/>
                <w:b/>
                <w:bCs/>
                <w:color w:val="000000" w:themeColor="text1"/>
                <w:lang w:val="es-ES" w:eastAsia="es-ES"/>
              </w:rPr>
            </w:pPr>
          </w:p>
        </w:tc>
      </w:tr>
      <w:tr w:rsidR="00EC344C" w:rsidRPr="00B8334C" w14:paraId="379A8559" w14:textId="77777777" w:rsidTr="0036622E">
        <w:trPr>
          <w:trHeight w:val="884"/>
        </w:trPr>
        <w:tc>
          <w:tcPr>
            <w:tcW w:w="2689" w:type="dxa"/>
          </w:tcPr>
          <w:p w14:paraId="715242AF" w14:textId="77777777" w:rsidR="00EC344C" w:rsidRPr="00B8334C" w:rsidRDefault="00EC344C" w:rsidP="0036622E">
            <w:pPr>
              <w:jc w:val="both"/>
              <w:rPr>
                <w:rFonts w:ascii="Verdana" w:eastAsia="Calibri" w:hAnsi="Verdana" w:cs="Arial"/>
                <w:color w:val="000000" w:themeColor="text1"/>
                <w:lang w:val="es-ES" w:eastAsia="es-ES_tradnl"/>
              </w:rPr>
            </w:pPr>
            <w:r w:rsidRPr="00B8334C">
              <w:rPr>
                <w:rFonts w:ascii="Verdana" w:eastAsia="Calibri" w:hAnsi="Verdana" w:cs="Arial"/>
                <w:b/>
                <w:color w:val="000000" w:themeColor="text1"/>
                <w:lang w:val="es-ES" w:eastAsia="es-ES_tradnl"/>
              </w:rPr>
              <w:t>Temas:</w:t>
            </w:r>
            <w:r w:rsidRPr="00B8334C">
              <w:rPr>
                <w:rFonts w:ascii="Verdana" w:eastAsia="Calibri" w:hAnsi="Verdana" w:cs="Arial"/>
                <w:color w:val="000000" w:themeColor="text1"/>
                <w:lang w:val="es-ES" w:eastAsia="es-ES_tradnl"/>
              </w:rPr>
              <w:t xml:space="preserve">                   </w:t>
            </w:r>
          </w:p>
        </w:tc>
        <w:tc>
          <w:tcPr>
            <w:tcW w:w="6100" w:type="dxa"/>
          </w:tcPr>
          <w:p w14:paraId="7BD51786" w14:textId="77777777" w:rsidR="00EC344C" w:rsidRPr="00B8334C" w:rsidRDefault="00EC344C" w:rsidP="0036622E">
            <w:pPr>
              <w:spacing w:line="276" w:lineRule="auto"/>
              <w:jc w:val="both"/>
              <w:rPr>
                <w:rFonts w:ascii="Verdana" w:eastAsia="Calibri" w:hAnsi="Verdana" w:cs="Arial"/>
                <w:color w:val="000000"/>
                <w:kern w:val="2"/>
                <w:lang w:val="es-ES"/>
                <w14:ligatures w14:val="standardContextual"/>
              </w:rPr>
            </w:pPr>
            <w:r w:rsidRPr="00B8334C">
              <w:rPr>
                <w:rFonts w:ascii="Verdana" w:eastAsia="Calibri" w:hAnsi="Verdana" w:cs="Arial"/>
                <w:color w:val="000000"/>
                <w:kern w:val="2"/>
                <w:lang w:val="es-ES"/>
                <w14:ligatures w14:val="standardContextual"/>
              </w:rPr>
              <w:t xml:space="preserve">INHABILIDADES E INCOMPATIBILIDADES – Concepto / INHABILIDADES E INCOMPATIBILIDADES – Régimen – Interpretación restrictiva / </w:t>
            </w:r>
            <w:r w:rsidRPr="00B8334C">
              <w:rPr>
                <w:rFonts w:ascii="Verdana" w:eastAsia="Calibri" w:hAnsi="Verdana" w:cs="Arial"/>
                <w:lang w:val="es-ES"/>
              </w:rPr>
              <w:t xml:space="preserve">LEY 388 DE 1997 </w:t>
            </w:r>
            <w:r w:rsidRPr="00B8334C">
              <w:rPr>
                <w:rFonts w:ascii="Verdana" w:eastAsia="Calibri" w:hAnsi="Verdana" w:cs="Arial"/>
                <w:color w:val="000000"/>
                <w:kern w:val="2"/>
                <w:lang w:val="es-ES"/>
                <w14:ligatures w14:val="standardContextual"/>
              </w:rPr>
              <w:t>– Cesión Obligatoria – Definición / CESIÓN OBLIGATORIA – Régimen de inhabilidades – Inaplicabilidad</w:t>
            </w:r>
          </w:p>
          <w:p w14:paraId="38F47BDF" w14:textId="77777777" w:rsidR="00EC344C" w:rsidRPr="00B8334C" w:rsidRDefault="00EC344C" w:rsidP="0036622E">
            <w:pPr>
              <w:spacing w:line="276" w:lineRule="auto"/>
              <w:jc w:val="both"/>
              <w:rPr>
                <w:rFonts w:ascii="Verdana" w:eastAsia="Calibri" w:hAnsi="Verdana" w:cs="Arial"/>
                <w:color w:val="000000" w:themeColor="text1"/>
                <w:lang w:val="es-ES" w:eastAsia="es-ES_tradnl"/>
              </w:rPr>
            </w:pPr>
          </w:p>
        </w:tc>
        <w:tc>
          <w:tcPr>
            <w:tcW w:w="4179" w:type="dxa"/>
          </w:tcPr>
          <w:p w14:paraId="1640EE29" w14:textId="77777777" w:rsidR="00EC344C" w:rsidRPr="00B8334C" w:rsidRDefault="00EC344C" w:rsidP="0036622E">
            <w:pPr>
              <w:spacing w:line="276" w:lineRule="auto"/>
              <w:jc w:val="both"/>
              <w:rPr>
                <w:rFonts w:ascii="Verdana" w:eastAsia="Calibri" w:hAnsi="Verdana" w:cs="Arial"/>
                <w:color w:val="000000" w:themeColor="text1"/>
                <w:lang w:val="es-ES" w:eastAsia="es-ES_tradnl"/>
              </w:rPr>
            </w:pPr>
          </w:p>
          <w:p w14:paraId="53FD4DB2" w14:textId="77777777" w:rsidR="00EC344C" w:rsidRPr="00B8334C" w:rsidRDefault="00EC344C" w:rsidP="0036622E">
            <w:pPr>
              <w:spacing w:line="276" w:lineRule="auto"/>
              <w:rPr>
                <w:rFonts w:ascii="Verdana" w:eastAsia="Calibri" w:hAnsi="Verdana" w:cs="Arial"/>
                <w:color w:val="000000" w:themeColor="text1"/>
                <w:lang w:val="es-ES" w:eastAsia="es-ES_tradnl"/>
              </w:rPr>
            </w:pPr>
          </w:p>
        </w:tc>
      </w:tr>
      <w:tr w:rsidR="00EC344C" w:rsidRPr="00B8334C" w14:paraId="4461F0EF" w14:textId="77777777" w:rsidTr="0036622E">
        <w:trPr>
          <w:gridAfter w:val="1"/>
          <w:wAfter w:w="4179" w:type="dxa"/>
        </w:trPr>
        <w:tc>
          <w:tcPr>
            <w:tcW w:w="2689" w:type="dxa"/>
          </w:tcPr>
          <w:p w14:paraId="3DFA7F73" w14:textId="77777777" w:rsidR="00EC344C" w:rsidRPr="00B8334C" w:rsidRDefault="00EC344C" w:rsidP="0036622E">
            <w:pPr>
              <w:jc w:val="both"/>
              <w:rPr>
                <w:rFonts w:ascii="Verdana" w:eastAsia="Calibri" w:hAnsi="Verdana" w:cs="Arial"/>
                <w:b/>
                <w:color w:val="000000" w:themeColor="text1"/>
                <w:lang w:val="es-ES" w:eastAsia="es-ES_tradnl"/>
              </w:rPr>
            </w:pPr>
            <w:r w:rsidRPr="00B8334C">
              <w:rPr>
                <w:rFonts w:ascii="Verdana" w:eastAsia="Calibri" w:hAnsi="Verdana" w:cs="Arial"/>
                <w:b/>
                <w:color w:val="000000" w:themeColor="text1"/>
                <w:lang w:val="es-ES" w:eastAsia="es-ES_tradnl"/>
              </w:rPr>
              <w:t>Radicación:</w:t>
            </w:r>
            <w:r w:rsidRPr="00B8334C">
              <w:rPr>
                <w:rFonts w:ascii="Verdana" w:eastAsia="Calibri" w:hAnsi="Verdana" w:cs="Arial"/>
                <w:color w:val="000000" w:themeColor="text1"/>
                <w:lang w:val="es-ES" w:eastAsia="es-ES_tradnl"/>
              </w:rPr>
              <w:t xml:space="preserve">               </w:t>
            </w:r>
          </w:p>
        </w:tc>
        <w:tc>
          <w:tcPr>
            <w:tcW w:w="6100" w:type="dxa"/>
          </w:tcPr>
          <w:p w14:paraId="4DF829A1" w14:textId="77777777" w:rsidR="00EC344C" w:rsidRPr="00B8334C" w:rsidRDefault="00EC344C" w:rsidP="0036622E">
            <w:pPr>
              <w:jc w:val="both"/>
              <w:rPr>
                <w:rFonts w:ascii="Verdana" w:eastAsia="Calibri" w:hAnsi="Verdana" w:cs="Arial"/>
                <w:color w:val="000000" w:themeColor="text1"/>
                <w:lang w:val="es-ES" w:eastAsia="es-ES_tradnl"/>
              </w:rPr>
            </w:pPr>
            <w:r w:rsidRPr="00B8334C">
              <w:rPr>
                <w:rFonts w:ascii="Verdana" w:eastAsia="Calibri" w:hAnsi="Verdana" w:cs="Arial"/>
                <w:color w:val="000000" w:themeColor="text1"/>
                <w:lang w:val="es-ES" w:eastAsia="es-ES_tradnl"/>
              </w:rPr>
              <w:t>Respuesta a consulta con radicado No. 1_2025_11_07_012606</w:t>
            </w:r>
          </w:p>
        </w:tc>
      </w:tr>
    </w:tbl>
    <w:p w14:paraId="7C64ECCB" w14:textId="77777777" w:rsidR="00EC344C" w:rsidRPr="00B8334C" w:rsidRDefault="00EC344C" w:rsidP="00EC344C">
      <w:pPr>
        <w:spacing w:after="0" w:line="276" w:lineRule="auto"/>
        <w:jc w:val="both"/>
        <w:rPr>
          <w:rFonts w:ascii="Verdana" w:eastAsia="Calibri" w:hAnsi="Verdana" w:cs="Arial"/>
          <w:color w:val="000000" w:themeColor="text1"/>
          <w:lang w:val="es-ES" w:eastAsia="es-ES_tradnl"/>
        </w:rPr>
      </w:pPr>
    </w:p>
    <w:p w14:paraId="46DD1E22" w14:textId="77777777" w:rsidR="00EC344C" w:rsidRPr="00B8334C" w:rsidRDefault="00EC344C" w:rsidP="00EC344C">
      <w:pPr>
        <w:spacing w:after="0" w:line="276" w:lineRule="auto"/>
        <w:jc w:val="both"/>
        <w:rPr>
          <w:rFonts w:ascii="Verdana" w:eastAsia="Calibri" w:hAnsi="Verdana" w:cs="Arial"/>
          <w:color w:val="000000" w:themeColor="text1"/>
          <w:lang w:val="es-ES" w:eastAsia="es-ES"/>
        </w:rPr>
      </w:pPr>
    </w:p>
    <w:p w14:paraId="2BD9D7E4" w14:textId="5AC70F5E" w:rsidR="00EC344C" w:rsidRPr="00B8334C" w:rsidRDefault="00EC344C" w:rsidP="00EC344C">
      <w:pPr>
        <w:spacing w:after="0" w:line="276" w:lineRule="auto"/>
        <w:jc w:val="both"/>
        <w:rPr>
          <w:rFonts w:ascii="Verdana" w:eastAsia="Calibri" w:hAnsi="Verdana" w:cs="Arial"/>
          <w:color w:val="000000" w:themeColor="text1"/>
          <w:lang w:val="es-ES" w:eastAsia="es-ES"/>
        </w:rPr>
      </w:pPr>
      <w:r w:rsidRPr="00B8334C">
        <w:rPr>
          <w:rFonts w:ascii="Verdana" w:eastAsia="Calibri" w:hAnsi="Verdana" w:cs="Arial"/>
          <w:color w:val="000000" w:themeColor="text1"/>
          <w:lang w:val="es-ES" w:eastAsia="es-ES"/>
        </w:rPr>
        <w:t>Estimad</w:t>
      </w:r>
      <w:r w:rsidR="00BA175D" w:rsidRPr="00B8334C">
        <w:rPr>
          <w:rFonts w:ascii="Verdana" w:eastAsia="Calibri" w:hAnsi="Verdana" w:cs="Arial"/>
          <w:color w:val="000000" w:themeColor="text1"/>
          <w:lang w:val="es-ES" w:eastAsia="es-ES"/>
        </w:rPr>
        <w:t>a</w:t>
      </w:r>
      <w:r w:rsidRPr="00B8334C">
        <w:rPr>
          <w:rFonts w:ascii="Verdana" w:eastAsia="Calibri" w:hAnsi="Verdana" w:cs="Arial"/>
          <w:color w:val="000000" w:themeColor="text1"/>
          <w:lang w:val="es-ES" w:eastAsia="es-ES"/>
        </w:rPr>
        <w:t xml:space="preserve"> señor</w:t>
      </w:r>
      <w:r w:rsidR="00BA175D" w:rsidRPr="00B8334C">
        <w:rPr>
          <w:rFonts w:ascii="Verdana" w:eastAsia="Calibri" w:hAnsi="Verdana" w:cs="Arial"/>
          <w:color w:val="000000" w:themeColor="text1"/>
          <w:lang w:val="es-ES" w:eastAsia="es-ES"/>
        </w:rPr>
        <w:t>a</w:t>
      </w:r>
      <w:r w:rsidRPr="00B8334C">
        <w:rPr>
          <w:rFonts w:ascii="Verdana" w:eastAsia="Calibri" w:hAnsi="Verdana" w:cs="Arial"/>
          <w:color w:val="000000" w:themeColor="text1"/>
          <w:lang w:val="es-ES" w:eastAsia="es-ES"/>
        </w:rPr>
        <w:t xml:space="preserve"> </w:t>
      </w:r>
      <w:r w:rsidR="00BA175D" w:rsidRPr="00B8334C">
        <w:rPr>
          <w:rFonts w:ascii="Verdana" w:eastAsia="Calibri" w:hAnsi="Verdana" w:cs="Arial"/>
          <w:color w:val="000000" w:themeColor="text1"/>
          <w:lang w:val="es-ES" w:eastAsia="es-ES"/>
        </w:rPr>
        <w:t>Vargas</w:t>
      </w:r>
      <w:r w:rsidRPr="00B8334C">
        <w:rPr>
          <w:rFonts w:ascii="Verdana" w:eastAsia="Calibri" w:hAnsi="Verdana" w:cs="Arial"/>
          <w:color w:val="000000" w:themeColor="text1"/>
          <w:lang w:val="es-ES" w:eastAsia="es-ES"/>
        </w:rPr>
        <w:t xml:space="preserve">: </w:t>
      </w:r>
    </w:p>
    <w:p w14:paraId="5F3C21FD" w14:textId="77777777" w:rsidR="00EC344C" w:rsidRPr="00B8334C" w:rsidRDefault="00EC344C" w:rsidP="00EC344C">
      <w:pPr>
        <w:tabs>
          <w:tab w:val="left" w:pos="3768"/>
        </w:tabs>
        <w:spacing w:after="0" w:line="276" w:lineRule="auto"/>
        <w:jc w:val="both"/>
        <w:rPr>
          <w:rFonts w:ascii="Verdana" w:eastAsia="Calibri" w:hAnsi="Verdana" w:cs="Arial"/>
          <w:color w:val="000000" w:themeColor="text1"/>
          <w:lang w:val="es-ES" w:eastAsia="es-ES"/>
        </w:rPr>
      </w:pPr>
      <w:r w:rsidRPr="00B8334C">
        <w:rPr>
          <w:rFonts w:ascii="Verdana" w:eastAsia="Calibri" w:hAnsi="Verdana" w:cs="Arial"/>
          <w:color w:val="000000" w:themeColor="text1"/>
          <w:lang w:val="es-ES" w:eastAsia="es-ES"/>
        </w:rPr>
        <w:tab/>
      </w:r>
    </w:p>
    <w:p w14:paraId="20F0D0C9" w14:textId="53DF1BE0" w:rsidR="00EC344C" w:rsidRPr="00B8334C" w:rsidRDefault="00EC344C" w:rsidP="00EC344C">
      <w:pPr>
        <w:spacing w:after="0" w:line="276" w:lineRule="auto"/>
        <w:jc w:val="both"/>
        <w:rPr>
          <w:rFonts w:ascii="Verdana" w:eastAsia="Calibri" w:hAnsi="Verdana" w:cs="Arial"/>
          <w:color w:val="000000" w:themeColor="text1"/>
          <w:lang w:val="es-ES" w:eastAsia="es-ES"/>
        </w:rPr>
      </w:pPr>
      <w:r w:rsidRPr="00B8334C">
        <w:rPr>
          <w:rFonts w:ascii="Verdana" w:eastAsia="Calibri" w:hAnsi="Verdana" w:cs="Arial"/>
          <w:color w:val="000000" w:themeColor="text1"/>
          <w:lang w:val="es-ES" w:eastAsia="es-ES"/>
        </w:rPr>
        <w:t>En ejercicio de la competencia otorgada por los artículos 3, numeral 5º, y 11, numeral 8º, del Decreto Ley 4170 de 2011,</w:t>
      </w:r>
      <w:r w:rsidRPr="00B8334C">
        <w:rPr>
          <w:rFonts w:ascii="Verdana" w:eastAsia="Arial MT" w:hAnsi="Verdana" w:cs="Arial MT"/>
          <w:color w:val="000000" w:themeColor="text1"/>
          <w:lang w:val="es-ES" w:eastAsia="es-ES"/>
        </w:rPr>
        <w:t xml:space="preserve"> </w:t>
      </w:r>
      <w:r w:rsidRPr="00B8334C">
        <w:rPr>
          <w:rFonts w:ascii="Verdana" w:hAnsi="Verdana" w:cs="Arial"/>
          <w:color w:val="000000" w:themeColor="text1"/>
          <w:lang w:val="es-ES"/>
        </w:rPr>
        <w:t xml:space="preserve">así como lo establecido en el artículo 4 de la Resolución 1707 de 2018 expedida por esta Entidad, la Agencia Nacional de Contratación Pública – Colombia Compra Eficiente– responde su solicitud de concepto del </w:t>
      </w:r>
      <w:r w:rsidR="00A67CFD" w:rsidRPr="00B8334C">
        <w:rPr>
          <w:rFonts w:ascii="Verdana" w:hAnsi="Verdana" w:cs="Arial"/>
          <w:color w:val="000000" w:themeColor="text1"/>
          <w:lang w:val="es-ES"/>
        </w:rPr>
        <w:t>06</w:t>
      </w:r>
      <w:r w:rsidRPr="00B8334C">
        <w:rPr>
          <w:rFonts w:ascii="Verdana" w:hAnsi="Verdana" w:cs="Arial"/>
          <w:color w:val="000000" w:themeColor="text1"/>
          <w:lang w:val="es-ES"/>
        </w:rPr>
        <w:t xml:space="preserve"> de </w:t>
      </w:r>
      <w:r w:rsidR="00A67CFD" w:rsidRPr="00B8334C">
        <w:rPr>
          <w:rFonts w:ascii="Verdana" w:hAnsi="Verdana" w:cs="Arial"/>
          <w:color w:val="000000" w:themeColor="text1"/>
          <w:lang w:val="es-ES"/>
        </w:rPr>
        <w:t>noviembre de</w:t>
      </w:r>
      <w:r w:rsidRPr="00B8334C">
        <w:rPr>
          <w:rFonts w:ascii="Verdana" w:hAnsi="Verdana" w:cs="Arial"/>
          <w:color w:val="000000" w:themeColor="text1"/>
          <w:lang w:val="es-ES"/>
        </w:rPr>
        <w:t xml:space="preserve"> 2025, en la cual manifiesta lo siguiente:</w:t>
      </w:r>
      <w:r w:rsidRPr="00B8334C">
        <w:rPr>
          <w:rFonts w:ascii="Verdana" w:eastAsia="Calibri" w:hAnsi="Verdana" w:cs="Arial"/>
          <w:color w:val="000000" w:themeColor="text1"/>
          <w:lang w:val="es-ES" w:eastAsia="es-ES"/>
        </w:rPr>
        <w:t xml:space="preserve"> </w:t>
      </w:r>
    </w:p>
    <w:p w14:paraId="51867BBF" w14:textId="77777777" w:rsidR="00EC344C" w:rsidRPr="00B8334C" w:rsidRDefault="00EC344C" w:rsidP="00EC344C">
      <w:pPr>
        <w:spacing w:after="0" w:line="276" w:lineRule="auto"/>
        <w:jc w:val="both"/>
        <w:rPr>
          <w:rFonts w:ascii="Verdana" w:eastAsia="Calibri" w:hAnsi="Verdana" w:cs="Arial"/>
          <w:color w:val="000000" w:themeColor="text1"/>
          <w:lang w:val="es-ES" w:eastAsia="es-ES"/>
        </w:rPr>
      </w:pPr>
    </w:p>
    <w:p w14:paraId="2F46283A" w14:textId="77777777" w:rsidR="00EC344C" w:rsidRPr="00B8334C" w:rsidRDefault="00EC344C" w:rsidP="00EC344C">
      <w:pPr>
        <w:spacing w:after="0"/>
        <w:ind w:left="720" w:right="709"/>
        <w:jc w:val="both"/>
        <w:rPr>
          <w:rFonts w:ascii="Verdana" w:eastAsia="Century Gothic" w:hAnsi="Verdana" w:cs="Century Gothic"/>
          <w:color w:val="000000" w:themeColor="text1"/>
          <w:sz w:val="20"/>
          <w:szCs w:val="20"/>
          <w:lang w:val="es-ES"/>
        </w:rPr>
      </w:pPr>
      <w:r w:rsidRPr="00B8334C">
        <w:rPr>
          <w:rFonts w:ascii="Verdana" w:eastAsia="Century Gothic" w:hAnsi="Verdana" w:cs="Century Gothic"/>
          <w:color w:val="000000" w:themeColor="text1"/>
          <w:sz w:val="20"/>
          <w:szCs w:val="20"/>
          <w:lang w:val="es-ES"/>
        </w:rPr>
        <w:t xml:space="preserve">“1. El artículo 37 de la Ley 388 de 1997 establece que las reglamentaciones distritales o municipales </w:t>
      </w:r>
      <w:proofErr w:type="spellStart"/>
      <w:r w:rsidRPr="00B8334C">
        <w:rPr>
          <w:rFonts w:ascii="Verdana" w:eastAsia="Century Gothic" w:hAnsi="Verdana" w:cs="Century Gothic"/>
          <w:color w:val="000000" w:themeColor="text1"/>
          <w:sz w:val="20"/>
          <w:szCs w:val="20"/>
          <w:lang w:val="es-ES"/>
        </w:rPr>
        <w:t>determinarán</w:t>
      </w:r>
      <w:proofErr w:type="spellEnd"/>
      <w:r w:rsidRPr="00B8334C">
        <w:rPr>
          <w:rFonts w:ascii="Verdana" w:eastAsia="Century Gothic" w:hAnsi="Verdana" w:cs="Century Gothic"/>
          <w:color w:val="000000" w:themeColor="text1"/>
          <w:sz w:val="20"/>
          <w:szCs w:val="20"/>
          <w:lang w:val="es-ES"/>
        </w:rPr>
        <w:t xml:space="preserve">, para las diferentes actuaciones </w:t>
      </w:r>
      <w:proofErr w:type="spellStart"/>
      <w:r w:rsidRPr="00B8334C">
        <w:rPr>
          <w:rFonts w:ascii="Verdana" w:eastAsia="Century Gothic" w:hAnsi="Verdana" w:cs="Century Gothic"/>
          <w:color w:val="000000" w:themeColor="text1"/>
          <w:sz w:val="20"/>
          <w:szCs w:val="20"/>
          <w:lang w:val="es-ES"/>
        </w:rPr>
        <w:t>urbanísticas</w:t>
      </w:r>
      <w:proofErr w:type="spellEnd"/>
      <w:r w:rsidRPr="00B8334C">
        <w:rPr>
          <w:rFonts w:ascii="Verdana" w:eastAsia="Century Gothic" w:hAnsi="Verdana" w:cs="Century Gothic"/>
          <w:color w:val="000000" w:themeColor="text1"/>
          <w:sz w:val="20"/>
          <w:szCs w:val="20"/>
          <w:lang w:val="es-ES"/>
        </w:rPr>
        <w:t xml:space="preserve">, las cesiones gratuitas que los propietarios de inmuebles deben hacer. Si las reglamentaciones municipales (Plan de Ordenamiento Territorial) no regulan las cesiones obligatorias </w:t>
      </w:r>
      <w:proofErr w:type="spellStart"/>
      <w:r w:rsidRPr="00B8334C">
        <w:rPr>
          <w:rFonts w:ascii="Verdana" w:eastAsia="Century Gothic" w:hAnsi="Verdana" w:cs="Century Gothic"/>
          <w:color w:val="000000" w:themeColor="text1"/>
          <w:sz w:val="20"/>
          <w:szCs w:val="20"/>
          <w:lang w:val="es-ES"/>
        </w:rPr>
        <w:t>urbanísticas</w:t>
      </w:r>
      <w:proofErr w:type="spellEnd"/>
      <w:r w:rsidRPr="00B8334C">
        <w:rPr>
          <w:rFonts w:ascii="Verdana" w:eastAsia="Century Gothic" w:hAnsi="Verdana" w:cs="Century Gothic"/>
          <w:color w:val="000000" w:themeColor="text1"/>
          <w:sz w:val="20"/>
          <w:szCs w:val="20"/>
          <w:lang w:val="es-ES"/>
        </w:rPr>
        <w:t xml:space="preserve"> </w:t>
      </w:r>
      <w:proofErr w:type="spellStart"/>
      <w:r w:rsidRPr="00B8334C">
        <w:rPr>
          <w:rFonts w:ascii="Verdana" w:eastAsia="Century Gothic" w:hAnsi="Verdana" w:cs="Century Gothic"/>
          <w:color w:val="000000" w:themeColor="text1"/>
          <w:sz w:val="20"/>
          <w:szCs w:val="20"/>
          <w:lang w:val="es-ES"/>
        </w:rPr>
        <w:t>específicamente</w:t>
      </w:r>
      <w:proofErr w:type="spellEnd"/>
      <w:r w:rsidRPr="00B8334C">
        <w:rPr>
          <w:rFonts w:ascii="Verdana" w:eastAsia="Century Gothic" w:hAnsi="Verdana" w:cs="Century Gothic"/>
          <w:color w:val="000000" w:themeColor="text1"/>
          <w:sz w:val="20"/>
          <w:szCs w:val="20"/>
          <w:lang w:val="es-ES"/>
        </w:rPr>
        <w:t xml:space="preserve"> de infraestructura de servicios </w:t>
      </w:r>
      <w:proofErr w:type="spellStart"/>
      <w:r w:rsidRPr="00B8334C">
        <w:rPr>
          <w:rFonts w:ascii="Verdana" w:eastAsia="Century Gothic" w:hAnsi="Verdana" w:cs="Century Gothic"/>
          <w:color w:val="000000" w:themeColor="text1"/>
          <w:sz w:val="20"/>
          <w:szCs w:val="20"/>
          <w:lang w:val="es-ES"/>
        </w:rPr>
        <w:t>públicos</w:t>
      </w:r>
      <w:proofErr w:type="spellEnd"/>
      <w:r w:rsidRPr="00B8334C">
        <w:rPr>
          <w:rFonts w:ascii="Verdana" w:eastAsia="Century Gothic" w:hAnsi="Verdana" w:cs="Century Gothic"/>
          <w:color w:val="000000" w:themeColor="text1"/>
          <w:sz w:val="20"/>
          <w:szCs w:val="20"/>
          <w:lang w:val="es-ES"/>
        </w:rPr>
        <w:t xml:space="preserve"> de alcantarillado pluvial, ¿subsiste una obligación legal del Urbanizador de ceder a </w:t>
      </w:r>
      <w:proofErr w:type="spellStart"/>
      <w:r w:rsidRPr="00B8334C">
        <w:rPr>
          <w:rFonts w:ascii="Verdana" w:eastAsia="Century Gothic" w:hAnsi="Verdana" w:cs="Century Gothic"/>
          <w:color w:val="000000" w:themeColor="text1"/>
          <w:sz w:val="20"/>
          <w:szCs w:val="20"/>
          <w:lang w:val="es-ES"/>
        </w:rPr>
        <w:t>título</w:t>
      </w:r>
      <w:proofErr w:type="spellEnd"/>
      <w:r w:rsidRPr="00B8334C">
        <w:rPr>
          <w:rFonts w:ascii="Verdana" w:eastAsia="Century Gothic" w:hAnsi="Verdana" w:cs="Century Gothic"/>
          <w:color w:val="000000" w:themeColor="text1"/>
          <w:sz w:val="20"/>
          <w:szCs w:val="20"/>
          <w:lang w:val="es-ES"/>
        </w:rPr>
        <w:t xml:space="preserve"> gratuito a favor del Municipio (o su Empresa de Servicios </w:t>
      </w:r>
      <w:proofErr w:type="spellStart"/>
      <w:r w:rsidRPr="00B8334C">
        <w:rPr>
          <w:rFonts w:ascii="Verdana" w:eastAsia="Century Gothic" w:hAnsi="Verdana" w:cs="Century Gothic"/>
          <w:color w:val="000000" w:themeColor="text1"/>
          <w:sz w:val="20"/>
          <w:szCs w:val="20"/>
          <w:lang w:val="es-ES"/>
        </w:rPr>
        <w:t>Públicos</w:t>
      </w:r>
      <w:proofErr w:type="spellEnd"/>
      <w:r w:rsidRPr="00B8334C">
        <w:rPr>
          <w:rFonts w:ascii="Verdana" w:eastAsia="Century Gothic" w:hAnsi="Verdana" w:cs="Century Gothic"/>
          <w:color w:val="000000" w:themeColor="text1"/>
          <w:sz w:val="20"/>
          <w:szCs w:val="20"/>
          <w:lang w:val="es-ES"/>
        </w:rPr>
        <w:t xml:space="preserve">) la infraestructura de servicios </w:t>
      </w:r>
      <w:proofErr w:type="spellStart"/>
      <w:r w:rsidRPr="00B8334C">
        <w:rPr>
          <w:rFonts w:ascii="Verdana" w:eastAsia="Century Gothic" w:hAnsi="Verdana" w:cs="Century Gothic"/>
          <w:color w:val="000000" w:themeColor="text1"/>
          <w:sz w:val="20"/>
          <w:szCs w:val="20"/>
          <w:lang w:val="es-ES"/>
        </w:rPr>
        <w:t>públicos</w:t>
      </w:r>
      <w:proofErr w:type="spellEnd"/>
      <w:r w:rsidRPr="00B8334C">
        <w:rPr>
          <w:rFonts w:ascii="Verdana" w:eastAsia="Century Gothic" w:hAnsi="Verdana" w:cs="Century Gothic"/>
          <w:color w:val="000000" w:themeColor="text1"/>
          <w:sz w:val="20"/>
          <w:szCs w:val="20"/>
          <w:lang w:val="es-ES"/>
        </w:rPr>
        <w:t xml:space="preserve"> de alcantarillado pluvial y los predios en los que se ubica dicha infraestructura (</w:t>
      </w:r>
      <w:proofErr w:type="spellStart"/>
      <w:r w:rsidRPr="00B8334C">
        <w:rPr>
          <w:rFonts w:ascii="Verdana" w:eastAsia="Century Gothic" w:hAnsi="Verdana" w:cs="Century Gothic"/>
          <w:color w:val="000000" w:themeColor="text1"/>
          <w:sz w:val="20"/>
          <w:szCs w:val="20"/>
          <w:lang w:val="es-ES"/>
        </w:rPr>
        <w:t>estación</w:t>
      </w:r>
      <w:proofErr w:type="spellEnd"/>
      <w:r w:rsidRPr="00B8334C">
        <w:rPr>
          <w:rFonts w:ascii="Verdana" w:eastAsia="Century Gothic" w:hAnsi="Verdana" w:cs="Century Gothic"/>
          <w:color w:val="000000" w:themeColor="text1"/>
          <w:sz w:val="20"/>
          <w:szCs w:val="20"/>
          <w:lang w:val="es-ES"/>
        </w:rPr>
        <w:t xml:space="preserve"> de bombeo)? </w:t>
      </w:r>
    </w:p>
    <w:p w14:paraId="31820ABE" w14:textId="77777777" w:rsidR="00EC344C" w:rsidRPr="00B8334C" w:rsidRDefault="00EC344C" w:rsidP="00EC344C">
      <w:pPr>
        <w:spacing w:after="0"/>
        <w:ind w:left="720" w:right="709"/>
        <w:jc w:val="both"/>
        <w:rPr>
          <w:rFonts w:ascii="Verdana" w:eastAsia="Century Gothic" w:hAnsi="Verdana" w:cs="Century Gothic"/>
          <w:color w:val="000000" w:themeColor="text1"/>
          <w:sz w:val="20"/>
          <w:szCs w:val="20"/>
          <w:lang w:val="es-ES"/>
        </w:rPr>
      </w:pPr>
      <w:r w:rsidRPr="00B8334C">
        <w:rPr>
          <w:rFonts w:ascii="Verdana" w:eastAsia="Century Gothic" w:hAnsi="Verdana" w:cs="Century Gothic"/>
          <w:color w:val="000000" w:themeColor="text1"/>
          <w:sz w:val="20"/>
          <w:szCs w:val="20"/>
          <w:lang w:val="es-ES"/>
        </w:rPr>
        <w:lastRenderedPageBreak/>
        <w:t xml:space="preserve">2. Si un Urbanizador que se encuentra inhabilitado para contratar con la Empresa de Servicios </w:t>
      </w:r>
      <w:proofErr w:type="spellStart"/>
      <w:r w:rsidRPr="00B8334C">
        <w:rPr>
          <w:rFonts w:ascii="Verdana" w:eastAsia="Century Gothic" w:hAnsi="Verdana" w:cs="Century Gothic"/>
          <w:color w:val="000000" w:themeColor="text1"/>
          <w:sz w:val="20"/>
          <w:szCs w:val="20"/>
          <w:lang w:val="es-ES"/>
        </w:rPr>
        <w:t>Públicos</w:t>
      </w:r>
      <w:proofErr w:type="spellEnd"/>
      <w:r w:rsidRPr="00B8334C">
        <w:rPr>
          <w:rFonts w:ascii="Verdana" w:eastAsia="Century Gothic" w:hAnsi="Verdana" w:cs="Century Gothic"/>
          <w:color w:val="000000" w:themeColor="text1"/>
          <w:sz w:val="20"/>
          <w:szCs w:val="20"/>
          <w:lang w:val="es-ES"/>
        </w:rPr>
        <w:t xml:space="preserve"> del Municipio en el 2025, y en el 2008 </w:t>
      </w:r>
      <w:proofErr w:type="spellStart"/>
      <w:r w:rsidRPr="00B8334C">
        <w:rPr>
          <w:rFonts w:ascii="Verdana" w:eastAsia="Century Gothic" w:hAnsi="Verdana" w:cs="Century Gothic"/>
          <w:color w:val="000000" w:themeColor="text1"/>
          <w:sz w:val="20"/>
          <w:szCs w:val="20"/>
          <w:lang w:val="es-ES"/>
        </w:rPr>
        <w:t>suscribio</w:t>
      </w:r>
      <w:proofErr w:type="spellEnd"/>
      <w:r w:rsidRPr="00B8334C">
        <w:rPr>
          <w:rFonts w:ascii="Verdana" w:eastAsia="Century Gothic" w:hAnsi="Verdana" w:cs="Century Gothic"/>
          <w:color w:val="000000" w:themeColor="text1"/>
          <w:sz w:val="20"/>
          <w:szCs w:val="20"/>
          <w:lang w:val="es-ES"/>
        </w:rPr>
        <w:t xml:space="preserve">́ un contrato de fiducia en el cual se estipula la obligación del Fideicomiso de ceder a </w:t>
      </w:r>
      <w:proofErr w:type="spellStart"/>
      <w:r w:rsidRPr="00B8334C">
        <w:rPr>
          <w:rFonts w:ascii="Verdana" w:eastAsia="Century Gothic" w:hAnsi="Verdana" w:cs="Century Gothic"/>
          <w:color w:val="000000" w:themeColor="text1"/>
          <w:sz w:val="20"/>
          <w:szCs w:val="20"/>
          <w:lang w:val="es-ES"/>
        </w:rPr>
        <w:t>título</w:t>
      </w:r>
      <w:proofErr w:type="spellEnd"/>
      <w:r w:rsidRPr="00B8334C">
        <w:rPr>
          <w:rFonts w:ascii="Verdana" w:eastAsia="Century Gothic" w:hAnsi="Verdana" w:cs="Century Gothic"/>
          <w:color w:val="000000" w:themeColor="text1"/>
          <w:sz w:val="20"/>
          <w:szCs w:val="20"/>
          <w:lang w:val="es-ES"/>
        </w:rPr>
        <w:t xml:space="preserve"> gratuito las obras de servicios </w:t>
      </w:r>
      <w:proofErr w:type="spellStart"/>
      <w:r w:rsidRPr="00B8334C">
        <w:rPr>
          <w:rFonts w:ascii="Verdana" w:eastAsia="Century Gothic" w:hAnsi="Verdana" w:cs="Century Gothic"/>
          <w:color w:val="000000" w:themeColor="text1"/>
          <w:sz w:val="20"/>
          <w:szCs w:val="20"/>
          <w:lang w:val="es-ES"/>
        </w:rPr>
        <w:t>públicos</w:t>
      </w:r>
      <w:proofErr w:type="spellEnd"/>
      <w:r w:rsidRPr="00B8334C">
        <w:rPr>
          <w:rFonts w:ascii="Verdana" w:eastAsia="Century Gothic" w:hAnsi="Verdana" w:cs="Century Gothic"/>
          <w:color w:val="000000" w:themeColor="text1"/>
          <w:sz w:val="20"/>
          <w:szCs w:val="20"/>
          <w:lang w:val="es-ES"/>
        </w:rPr>
        <w:t xml:space="preserve"> de alcantarillado pluvial (</w:t>
      </w:r>
      <w:proofErr w:type="spellStart"/>
      <w:r w:rsidRPr="00B8334C">
        <w:rPr>
          <w:rFonts w:ascii="Verdana" w:eastAsia="Century Gothic" w:hAnsi="Verdana" w:cs="Century Gothic"/>
          <w:color w:val="000000" w:themeColor="text1"/>
          <w:sz w:val="20"/>
          <w:szCs w:val="20"/>
          <w:lang w:val="es-ES"/>
        </w:rPr>
        <w:t>estación</w:t>
      </w:r>
      <w:proofErr w:type="spellEnd"/>
      <w:r w:rsidRPr="00B8334C">
        <w:rPr>
          <w:rFonts w:ascii="Verdana" w:eastAsia="Century Gothic" w:hAnsi="Verdana" w:cs="Century Gothic"/>
          <w:color w:val="000000" w:themeColor="text1"/>
          <w:sz w:val="20"/>
          <w:szCs w:val="20"/>
          <w:lang w:val="es-ES"/>
        </w:rPr>
        <w:t xml:space="preserve"> de bombeo) a la Empresas de Servicios </w:t>
      </w:r>
      <w:proofErr w:type="spellStart"/>
      <w:r w:rsidRPr="00B8334C">
        <w:rPr>
          <w:rFonts w:ascii="Verdana" w:eastAsia="Century Gothic" w:hAnsi="Verdana" w:cs="Century Gothic"/>
          <w:color w:val="000000" w:themeColor="text1"/>
          <w:sz w:val="20"/>
          <w:szCs w:val="20"/>
          <w:lang w:val="es-ES"/>
        </w:rPr>
        <w:t>Públicos</w:t>
      </w:r>
      <w:proofErr w:type="spellEnd"/>
      <w:r w:rsidRPr="00B8334C">
        <w:rPr>
          <w:rFonts w:ascii="Verdana" w:eastAsia="Century Gothic" w:hAnsi="Verdana" w:cs="Century Gothic"/>
          <w:color w:val="000000" w:themeColor="text1"/>
          <w:sz w:val="20"/>
          <w:szCs w:val="20"/>
          <w:lang w:val="es-ES"/>
        </w:rPr>
        <w:t xml:space="preserve">, ¿el Urbanizador y/o la Empresa de Servicios </w:t>
      </w:r>
      <w:proofErr w:type="spellStart"/>
      <w:r w:rsidRPr="00B8334C">
        <w:rPr>
          <w:rFonts w:ascii="Verdana" w:eastAsia="Century Gothic" w:hAnsi="Verdana" w:cs="Century Gothic"/>
          <w:color w:val="000000" w:themeColor="text1"/>
          <w:sz w:val="20"/>
          <w:szCs w:val="20"/>
          <w:lang w:val="es-ES"/>
        </w:rPr>
        <w:t>Públicos</w:t>
      </w:r>
      <w:proofErr w:type="spellEnd"/>
      <w:r w:rsidRPr="00B8334C">
        <w:rPr>
          <w:rFonts w:ascii="Verdana" w:eastAsia="Century Gothic" w:hAnsi="Verdana" w:cs="Century Gothic"/>
          <w:color w:val="000000" w:themeColor="text1"/>
          <w:sz w:val="20"/>
          <w:szCs w:val="20"/>
          <w:lang w:val="es-ES"/>
        </w:rPr>
        <w:t xml:space="preserve"> </w:t>
      </w:r>
      <w:proofErr w:type="spellStart"/>
      <w:r w:rsidRPr="00B8334C">
        <w:rPr>
          <w:rFonts w:ascii="Verdana" w:eastAsia="Century Gothic" w:hAnsi="Verdana" w:cs="Century Gothic"/>
          <w:color w:val="000000" w:themeColor="text1"/>
          <w:sz w:val="20"/>
          <w:szCs w:val="20"/>
          <w:lang w:val="es-ES"/>
        </w:rPr>
        <w:t>estarían</w:t>
      </w:r>
      <w:proofErr w:type="spellEnd"/>
      <w:r w:rsidRPr="00B8334C">
        <w:rPr>
          <w:rFonts w:ascii="Verdana" w:eastAsia="Century Gothic" w:hAnsi="Verdana" w:cs="Century Gothic"/>
          <w:color w:val="000000" w:themeColor="text1"/>
          <w:sz w:val="20"/>
          <w:szCs w:val="20"/>
          <w:lang w:val="es-ES"/>
        </w:rPr>
        <w:t xml:space="preserve"> violando el régimen de inhabilidades? </w:t>
      </w:r>
    </w:p>
    <w:p w14:paraId="64E2F469" w14:textId="77777777" w:rsidR="00EC344C" w:rsidRPr="00B8334C" w:rsidRDefault="00EC344C" w:rsidP="00EC344C">
      <w:pPr>
        <w:spacing w:after="0"/>
        <w:ind w:left="720" w:right="709"/>
        <w:jc w:val="both"/>
        <w:rPr>
          <w:rFonts w:ascii="Verdana" w:eastAsia="Century Gothic" w:hAnsi="Verdana" w:cs="Century Gothic"/>
          <w:color w:val="000000" w:themeColor="text1"/>
          <w:sz w:val="20"/>
          <w:szCs w:val="20"/>
          <w:lang w:val="es-ES"/>
        </w:rPr>
      </w:pPr>
      <w:r w:rsidRPr="00B8334C">
        <w:rPr>
          <w:rFonts w:ascii="Verdana" w:eastAsia="Century Gothic" w:hAnsi="Verdana" w:cs="Century Gothic"/>
          <w:color w:val="000000" w:themeColor="text1"/>
          <w:sz w:val="20"/>
          <w:szCs w:val="20"/>
          <w:lang w:val="es-ES"/>
        </w:rPr>
        <w:t xml:space="preserve">3. ¿El régimen de inhabilidades e incompatibilidades de la Ley 80 de 1993 aplica a las cesiones obligatorias gratuitas de naturaleza </w:t>
      </w:r>
      <w:proofErr w:type="spellStart"/>
      <w:r w:rsidRPr="00B8334C">
        <w:rPr>
          <w:rFonts w:ascii="Verdana" w:eastAsia="Century Gothic" w:hAnsi="Verdana" w:cs="Century Gothic"/>
          <w:color w:val="000000" w:themeColor="text1"/>
          <w:sz w:val="20"/>
          <w:szCs w:val="20"/>
          <w:lang w:val="es-ES"/>
        </w:rPr>
        <w:t>urbanística</w:t>
      </w:r>
      <w:proofErr w:type="spellEnd"/>
      <w:r w:rsidRPr="00B8334C">
        <w:rPr>
          <w:rFonts w:ascii="Verdana" w:eastAsia="Century Gothic" w:hAnsi="Verdana" w:cs="Century Gothic"/>
          <w:color w:val="000000" w:themeColor="text1"/>
          <w:sz w:val="20"/>
          <w:szCs w:val="20"/>
          <w:lang w:val="es-ES"/>
        </w:rPr>
        <w:t xml:space="preserve">, en lo que respecta a infraestructura de servicios </w:t>
      </w:r>
      <w:proofErr w:type="spellStart"/>
      <w:r w:rsidRPr="00B8334C">
        <w:rPr>
          <w:rFonts w:ascii="Verdana" w:eastAsia="Century Gothic" w:hAnsi="Verdana" w:cs="Century Gothic"/>
          <w:color w:val="000000" w:themeColor="text1"/>
          <w:sz w:val="20"/>
          <w:szCs w:val="20"/>
          <w:lang w:val="es-ES"/>
        </w:rPr>
        <w:t>públicos</w:t>
      </w:r>
      <w:proofErr w:type="spellEnd"/>
      <w:r w:rsidRPr="00B8334C">
        <w:rPr>
          <w:rFonts w:ascii="Verdana" w:eastAsia="Century Gothic" w:hAnsi="Verdana" w:cs="Century Gothic"/>
          <w:color w:val="000000" w:themeColor="text1"/>
          <w:sz w:val="20"/>
          <w:szCs w:val="20"/>
          <w:lang w:val="es-ES"/>
        </w:rPr>
        <w:t xml:space="preserve"> de alcantarillado pluvial y los predios en los que se ubica dicha infraestructura (</w:t>
      </w:r>
      <w:proofErr w:type="spellStart"/>
      <w:r w:rsidRPr="00B8334C">
        <w:rPr>
          <w:rFonts w:ascii="Verdana" w:eastAsia="Century Gothic" w:hAnsi="Verdana" w:cs="Century Gothic"/>
          <w:color w:val="000000" w:themeColor="text1"/>
          <w:sz w:val="20"/>
          <w:szCs w:val="20"/>
          <w:lang w:val="es-ES"/>
        </w:rPr>
        <w:t>estación</w:t>
      </w:r>
      <w:proofErr w:type="spellEnd"/>
      <w:r w:rsidRPr="00B8334C">
        <w:rPr>
          <w:rFonts w:ascii="Verdana" w:eastAsia="Century Gothic" w:hAnsi="Verdana" w:cs="Century Gothic"/>
          <w:color w:val="000000" w:themeColor="text1"/>
          <w:sz w:val="20"/>
          <w:szCs w:val="20"/>
          <w:lang w:val="es-ES"/>
        </w:rPr>
        <w:t xml:space="preserve"> de bombeo)? </w:t>
      </w:r>
    </w:p>
    <w:p w14:paraId="71C754BB" w14:textId="77777777" w:rsidR="00EC344C" w:rsidRPr="00B8334C" w:rsidRDefault="00EC344C" w:rsidP="00EC344C">
      <w:pPr>
        <w:spacing w:after="0"/>
        <w:ind w:left="720" w:right="709"/>
        <w:jc w:val="both"/>
        <w:rPr>
          <w:rFonts w:ascii="Verdana" w:eastAsia="Century Gothic" w:hAnsi="Verdana" w:cs="Century Gothic"/>
          <w:color w:val="000000" w:themeColor="text1"/>
          <w:sz w:val="20"/>
          <w:szCs w:val="20"/>
          <w:lang w:val="es-ES"/>
        </w:rPr>
      </w:pPr>
      <w:r w:rsidRPr="00B8334C">
        <w:rPr>
          <w:rFonts w:ascii="Verdana" w:eastAsia="Century Gothic" w:hAnsi="Verdana" w:cs="Century Gothic"/>
          <w:color w:val="000000" w:themeColor="text1"/>
          <w:sz w:val="20"/>
          <w:szCs w:val="20"/>
          <w:lang w:val="es-ES"/>
        </w:rPr>
        <w:t xml:space="preserve">4. Si un Urbanizador se encuentra inhabilitado para contratar con la Empresa de Servicios </w:t>
      </w:r>
      <w:proofErr w:type="spellStart"/>
      <w:r w:rsidRPr="00B8334C">
        <w:rPr>
          <w:rFonts w:ascii="Verdana" w:eastAsia="Century Gothic" w:hAnsi="Verdana" w:cs="Century Gothic"/>
          <w:color w:val="000000" w:themeColor="text1"/>
          <w:sz w:val="20"/>
          <w:szCs w:val="20"/>
          <w:lang w:val="es-ES"/>
        </w:rPr>
        <w:t>Públicos</w:t>
      </w:r>
      <w:proofErr w:type="spellEnd"/>
      <w:r w:rsidRPr="00B8334C">
        <w:rPr>
          <w:rFonts w:ascii="Verdana" w:eastAsia="Century Gothic" w:hAnsi="Verdana" w:cs="Century Gothic"/>
          <w:color w:val="000000" w:themeColor="text1"/>
          <w:sz w:val="20"/>
          <w:szCs w:val="20"/>
          <w:lang w:val="es-ES"/>
        </w:rPr>
        <w:t xml:space="preserve"> del Municipio, ¿puede el Urbanizador ceder a </w:t>
      </w:r>
      <w:proofErr w:type="spellStart"/>
      <w:r w:rsidRPr="00B8334C">
        <w:rPr>
          <w:rFonts w:ascii="Verdana" w:eastAsia="Century Gothic" w:hAnsi="Verdana" w:cs="Century Gothic"/>
          <w:color w:val="000000" w:themeColor="text1"/>
          <w:sz w:val="20"/>
          <w:szCs w:val="20"/>
          <w:lang w:val="es-ES"/>
        </w:rPr>
        <w:t>título</w:t>
      </w:r>
      <w:proofErr w:type="spellEnd"/>
      <w:r w:rsidRPr="00B8334C">
        <w:rPr>
          <w:rFonts w:ascii="Verdana" w:eastAsia="Century Gothic" w:hAnsi="Verdana" w:cs="Century Gothic"/>
          <w:color w:val="000000" w:themeColor="text1"/>
          <w:sz w:val="20"/>
          <w:szCs w:val="20"/>
          <w:lang w:val="es-ES"/>
        </w:rPr>
        <w:t xml:space="preserve"> gratuito, en favor de la Empresa de Servicios </w:t>
      </w:r>
      <w:proofErr w:type="spellStart"/>
      <w:r w:rsidRPr="00B8334C">
        <w:rPr>
          <w:rFonts w:ascii="Verdana" w:eastAsia="Century Gothic" w:hAnsi="Verdana" w:cs="Century Gothic"/>
          <w:color w:val="000000" w:themeColor="text1"/>
          <w:sz w:val="20"/>
          <w:szCs w:val="20"/>
          <w:lang w:val="es-ES"/>
        </w:rPr>
        <w:t>Públicos</w:t>
      </w:r>
      <w:proofErr w:type="spellEnd"/>
      <w:r w:rsidRPr="00B8334C">
        <w:rPr>
          <w:rFonts w:ascii="Verdana" w:eastAsia="Century Gothic" w:hAnsi="Verdana" w:cs="Century Gothic"/>
          <w:color w:val="000000" w:themeColor="text1"/>
          <w:sz w:val="20"/>
          <w:szCs w:val="20"/>
          <w:lang w:val="es-ES"/>
        </w:rPr>
        <w:t xml:space="preserve">, la infraestructura de servicios </w:t>
      </w:r>
      <w:proofErr w:type="spellStart"/>
      <w:r w:rsidRPr="00B8334C">
        <w:rPr>
          <w:rFonts w:ascii="Verdana" w:eastAsia="Century Gothic" w:hAnsi="Verdana" w:cs="Century Gothic"/>
          <w:color w:val="000000" w:themeColor="text1"/>
          <w:sz w:val="20"/>
          <w:szCs w:val="20"/>
          <w:lang w:val="es-ES"/>
        </w:rPr>
        <w:t>públicos</w:t>
      </w:r>
      <w:proofErr w:type="spellEnd"/>
      <w:r w:rsidRPr="00B8334C">
        <w:rPr>
          <w:rFonts w:ascii="Verdana" w:eastAsia="Century Gothic" w:hAnsi="Verdana" w:cs="Century Gothic"/>
          <w:color w:val="000000" w:themeColor="text1"/>
          <w:sz w:val="20"/>
          <w:szCs w:val="20"/>
          <w:lang w:val="es-ES"/>
        </w:rPr>
        <w:t xml:space="preserve"> de alcantarillado pluvial y los predios en los que esta se ubica, de un proyecto </w:t>
      </w:r>
      <w:proofErr w:type="spellStart"/>
      <w:r w:rsidRPr="00B8334C">
        <w:rPr>
          <w:rFonts w:ascii="Verdana" w:eastAsia="Century Gothic" w:hAnsi="Verdana" w:cs="Century Gothic"/>
          <w:color w:val="000000" w:themeColor="text1"/>
          <w:sz w:val="20"/>
          <w:szCs w:val="20"/>
          <w:lang w:val="es-ES"/>
        </w:rPr>
        <w:t>urbanístico</w:t>
      </w:r>
      <w:proofErr w:type="spellEnd"/>
      <w:r w:rsidRPr="00B8334C">
        <w:rPr>
          <w:rFonts w:ascii="Verdana" w:eastAsia="Century Gothic" w:hAnsi="Verdana" w:cs="Century Gothic"/>
          <w:color w:val="000000" w:themeColor="text1"/>
          <w:sz w:val="20"/>
          <w:szCs w:val="20"/>
          <w:lang w:val="es-ES"/>
        </w:rPr>
        <w:t>, sin violar el régimen de inhabilidades e incompatibilidades de la Ley 80 de 1993?”</w:t>
      </w:r>
    </w:p>
    <w:p w14:paraId="070A7C0E" w14:textId="77777777" w:rsidR="00EC344C" w:rsidRPr="00B8334C" w:rsidRDefault="00EC344C" w:rsidP="00EC344C">
      <w:pPr>
        <w:spacing w:after="0"/>
        <w:ind w:right="709"/>
        <w:jc w:val="both"/>
        <w:rPr>
          <w:rFonts w:ascii="Verdana" w:eastAsia="Century Gothic" w:hAnsi="Verdana" w:cs="Century Gothic"/>
          <w:i/>
          <w:iCs/>
          <w:color w:val="000000" w:themeColor="text1"/>
          <w:sz w:val="20"/>
          <w:szCs w:val="20"/>
          <w:lang w:val="es-ES"/>
        </w:rPr>
      </w:pPr>
    </w:p>
    <w:p w14:paraId="3845CAC7" w14:textId="77777777" w:rsidR="00EC344C" w:rsidRPr="00B8334C" w:rsidRDefault="00EC344C" w:rsidP="00EC344C">
      <w:pPr>
        <w:spacing w:after="0" w:line="276" w:lineRule="auto"/>
        <w:ind w:firstLine="708"/>
        <w:contextualSpacing/>
        <w:jc w:val="both"/>
        <w:rPr>
          <w:rFonts w:ascii="Verdana" w:eastAsia="Calibri" w:hAnsi="Verdana" w:cs="Arial"/>
          <w:color w:val="000000" w:themeColor="text1"/>
          <w:szCs w:val="24"/>
          <w:lang w:val="es-ES" w:eastAsia="es-ES_tradnl"/>
        </w:rPr>
      </w:pPr>
      <w:bookmarkStart w:id="1" w:name="_Hlk135067441"/>
      <w:r w:rsidRPr="00B8334C">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8334C">
        <w:rPr>
          <w:rFonts w:ascii="Verdana" w:eastAsia="Calibri" w:hAnsi="Verdana" w:cs="Arial"/>
          <w:color w:val="000000" w:themeColor="text1"/>
          <w:szCs w:val="24"/>
          <w:lang w:val="es-ES" w:eastAsia="es-ES_tradnl"/>
        </w:rPr>
        <w:tab/>
      </w:r>
    </w:p>
    <w:p w14:paraId="6880F5C7" w14:textId="77777777" w:rsidR="00EC344C" w:rsidRPr="00B8334C" w:rsidRDefault="00EC344C" w:rsidP="00EC344C">
      <w:pPr>
        <w:spacing w:before="120" w:after="120" w:line="276" w:lineRule="auto"/>
        <w:ind w:firstLine="709"/>
        <w:jc w:val="both"/>
        <w:rPr>
          <w:rFonts w:ascii="Verdana" w:eastAsia="Calibri" w:hAnsi="Verdana" w:cs="Arial"/>
          <w:color w:val="000000" w:themeColor="text1"/>
          <w:lang w:val="es-ES" w:eastAsia="es-ES"/>
        </w:rPr>
      </w:pPr>
      <w:r w:rsidRPr="00B8334C">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bookmarkEnd w:id="1"/>
    </w:p>
    <w:p w14:paraId="3661CA0E" w14:textId="77777777" w:rsidR="00EC344C" w:rsidRPr="00B8334C" w:rsidRDefault="00EC344C" w:rsidP="00EC344C">
      <w:pPr>
        <w:spacing w:after="0" w:line="276" w:lineRule="auto"/>
        <w:jc w:val="both"/>
        <w:rPr>
          <w:rFonts w:ascii="Verdana" w:eastAsia="Calibri" w:hAnsi="Verdana" w:cs="Arial"/>
          <w:color w:val="000000" w:themeColor="text1"/>
          <w:lang w:val="es-ES" w:eastAsia="es-ES"/>
        </w:rPr>
      </w:pPr>
    </w:p>
    <w:p w14:paraId="6091511A" w14:textId="77777777" w:rsidR="00EC344C" w:rsidRPr="00B8334C" w:rsidRDefault="00EC344C" w:rsidP="00EC344C">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B8334C">
        <w:rPr>
          <w:rFonts w:ascii="Verdana" w:eastAsia="Century Gothic" w:hAnsi="Verdana" w:cs="Century Gothic"/>
          <w:b/>
          <w:bCs/>
          <w:color w:val="000000" w:themeColor="text1"/>
        </w:rPr>
        <w:t>Problema planteado:</w:t>
      </w:r>
    </w:p>
    <w:p w14:paraId="41E1405E" w14:textId="77777777" w:rsidR="00EC344C" w:rsidRPr="00B8334C" w:rsidRDefault="00EC344C" w:rsidP="00EC344C">
      <w:pPr>
        <w:tabs>
          <w:tab w:val="left" w:pos="426"/>
        </w:tabs>
        <w:spacing w:after="0" w:line="276" w:lineRule="auto"/>
        <w:jc w:val="both"/>
        <w:rPr>
          <w:rFonts w:ascii="Verdana" w:eastAsia="Century Gothic" w:hAnsi="Verdana" w:cs="Century Gothic"/>
          <w:color w:val="000000" w:themeColor="text1"/>
          <w:lang w:val="es-ES"/>
        </w:rPr>
      </w:pPr>
    </w:p>
    <w:p w14:paraId="796F1B87" w14:textId="77777777" w:rsidR="00EC344C" w:rsidRPr="00B8334C" w:rsidRDefault="00EC344C" w:rsidP="00EC344C">
      <w:pPr>
        <w:spacing w:after="0" w:line="276" w:lineRule="auto"/>
        <w:jc w:val="both"/>
        <w:rPr>
          <w:rFonts w:ascii="Verdana" w:eastAsia="Century Gothic" w:hAnsi="Verdana" w:cs="Century Gothic"/>
          <w:color w:val="000000" w:themeColor="text1"/>
          <w:lang w:val="es-ES"/>
        </w:rPr>
      </w:pPr>
      <w:r w:rsidRPr="00B8334C">
        <w:rPr>
          <w:rFonts w:ascii="Verdana" w:eastAsia="Century Gothic" w:hAnsi="Verdana" w:cs="Century Gothic"/>
          <w:color w:val="000000" w:themeColor="text1"/>
          <w:lang w:val="es-ES"/>
        </w:rPr>
        <w:t>De acuerdo con el contenido de su solicitud, esta Agencia resolverá el siguiente problema jurídico:</w:t>
      </w:r>
      <w:r w:rsidRPr="00B8334C">
        <w:rPr>
          <w:rFonts w:ascii="Verdana" w:eastAsia="Century Gothic" w:hAnsi="Verdana" w:cs="Century Gothic"/>
          <w:lang w:val="es-ES"/>
        </w:rPr>
        <w:t xml:space="preserve"> ¿El régimen de inhabilidades en materia de contratación estatal es aplicable a las cesiones obligatorias que se realizan en el marco de proyectos urbanísticos? </w:t>
      </w:r>
    </w:p>
    <w:p w14:paraId="368011E4" w14:textId="77777777" w:rsidR="00EC344C" w:rsidRPr="00B8334C" w:rsidRDefault="00EC344C" w:rsidP="00EC344C">
      <w:pPr>
        <w:spacing w:after="0" w:line="276" w:lineRule="auto"/>
        <w:jc w:val="both"/>
        <w:rPr>
          <w:rFonts w:ascii="Verdana" w:eastAsia="Calibri" w:hAnsi="Verdana" w:cs="Arial"/>
          <w:color w:val="000000" w:themeColor="text1"/>
          <w:lang w:val="es-ES"/>
        </w:rPr>
      </w:pPr>
    </w:p>
    <w:p w14:paraId="6A3B1771" w14:textId="77777777" w:rsidR="00EC344C" w:rsidRPr="00B8334C" w:rsidRDefault="00EC344C" w:rsidP="00EC344C">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B8334C">
        <w:rPr>
          <w:rFonts w:ascii="Verdana" w:eastAsia="Century Gothic" w:hAnsi="Verdana" w:cs="Century Gothic"/>
          <w:b/>
          <w:bCs/>
          <w:color w:val="000000" w:themeColor="text1"/>
        </w:rPr>
        <w:t>Respuesta:</w:t>
      </w:r>
    </w:p>
    <w:p w14:paraId="77FF2C0E" w14:textId="77777777" w:rsidR="00EC344C" w:rsidRPr="00B8334C" w:rsidRDefault="00EC344C" w:rsidP="00EC344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C344C" w:rsidRPr="00B8334C" w14:paraId="2EA01507" w14:textId="77777777" w:rsidTr="0036622E">
        <w:tc>
          <w:tcPr>
            <w:tcW w:w="8828" w:type="dxa"/>
          </w:tcPr>
          <w:p w14:paraId="134A0568" w14:textId="10EE2754" w:rsidR="00EC344C" w:rsidRPr="00B8334C" w:rsidRDefault="00EC344C" w:rsidP="00B36D5A">
            <w:pPr>
              <w:spacing w:before="120" w:after="120" w:line="276" w:lineRule="auto"/>
              <w:jc w:val="both"/>
              <w:rPr>
                <w:rFonts w:ascii="Verdana" w:eastAsia="Calibri" w:hAnsi="Verdana" w:cs="Arial"/>
                <w:lang w:val="es-ES"/>
              </w:rPr>
            </w:pPr>
            <w:r w:rsidRPr="00B8334C">
              <w:rPr>
                <w:rFonts w:ascii="Verdana" w:hAnsi="Verdana" w:cs="Arial"/>
                <w:bCs/>
                <w:lang w:val="es-ES" w:eastAsia="es-ES"/>
              </w:rPr>
              <w:t xml:space="preserve"> No. </w:t>
            </w:r>
            <w:r w:rsidRPr="00B8334C">
              <w:rPr>
                <w:rFonts w:ascii="Verdana" w:eastAsia="Calibri" w:hAnsi="Verdana" w:cs="Arial"/>
                <w:lang w:val="es-ES"/>
              </w:rPr>
              <w:t xml:space="preserve">El marco jurídico establecido en el Ley 388 de 1997 y el Decreto 1077 de 2015 evidencia que el área otorgada en virtud de cesión gratuita a los municipios o distritos obedece a la contraprestación del urbanizador por la construcción del proyecto, de modo que constituye una </w:t>
            </w:r>
            <w:r w:rsidRPr="00B8334C">
              <w:rPr>
                <w:rFonts w:ascii="Verdana" w:eastAsia="Calibri" w:hAnsi="Verdana" w:cs="Arial"/>
                <w:i/>
                <w:iCs/>
                <w:lang w:val="es-ES"/>
              </w:rPr>
              <w:t>carga obligatoria</w:t>
            </w:r>
            <w:r w:rsidRPr="00B8334C">
              <w:rPr>
                <w:rFonts w:ascii="Verdana" w:eastAsia="Calibri" w:hAnsi="Verdana" w:cs="Arial"/>
                <w:lang w:val="es-ES"/>
              </w:rPr>
              <w:t xml:space="preserve"> establecida por la ley, conforme al proceso de </w:t>
            </w:r>
            <w:r w:rsidR="00B36D5A" w:rsidRPr="00B8334C">
              <w:rPr>
                <w:rFonts w:ascii="Verdana" w:eastAsia="Calibri" w:hAnsi="Verdana" w:cs="Arial"/>
                <w:lang w:val="es-ES"/>
              </w:rPr>
              <w:t xml:space="preserve">urbanización, </w:t>
            </w:r>
            <w:r w:rsidRPr="00B8334C">
              <w:rPr>
                <w:rFonts w:ascii="Verdana" w:eastAsia="Calibri" w:hAnsi="Verdana" w:cs="Arial"/>
                <w:lang w:val="es-ES"/>
              </w:rPr>
              <w:t>construcción y</w:t>
            </w:r>
            <w:r w:rsidR="00B36D5A" w:rsidRPr="00B8334C">
              <w:rPr>
                <w:rFonts w:ascii="Verdana" w:eastAsia="Calibri" w:hAnsi="Verdana" w:cs="Arial"/>
                <w:lang w:val="es-ES"/>
              </w:rPr>
              <w:t>/o</w:t>
            </w:r>
            <w:r w:rsidRPr="00B8334C">
              <w:rPr>
                <w:rFonts w:ascii="Verdana" w:eastAsia="Calibri" w:hAnsi="Verdana" w:cs="Arial"/>
                <w:lang w:val="es-ES"/>
              </w:rPr>
              <w:t xml:space="preserve"> edificación que se llevó a cabo.</w:t>
            </w:r>
          </w:p>
          <w:p w14:paraId="19BE250D" w14:textId="06A60C6A" w:rsidR="00EC344C" w:rsidRPr="00B8334C" w:rsidRDefault="00EC344C" w:rsidP="0036622E">
            <w:pPr>
              <w:spacing w:before="120" w:after="120" w:line="276" w:lineRule="auto"/>
              <w:ind w:firstLine="708"/>
              <w:jc w:val="both"/>
              <w:rPr>
                <w:rFonts w:ascii="Verdana" w:eastAsia="Calibri" w:hAnsi="Verdana" w:cs="Arial"/>
                <w:lang w:val="es-ES"/>
              </w:rPr>
            </w:pPr>
            <w:r w:rsidRPr="00B8334C">
              <w:rPr>
                <w:rFonts w:ascii="Verdana" w:eastAsia="Calibri" w:hAnsi="Verdana" w:cs="Arial"/>
                <w:lang w:val="es-ES"/>
              </w:rPr>
              <w:t xml:space="preserve"> En efecto, la cesión corresponde al cumplimiento de una obligación que surge en cabeza del propietario con ocasión al desarrollo del proyecto de urbanización y se materializa con el solo registro de la escritura respectiva en la Oficina de Registro de Instrumentos Públicos. De esta forma, no es el resultado de un negocio jurídico que surja de un acuerdo de voluntades en el que las partes cedan libremente el terreno; la cesión no corresponde entonces a la celebración de un contrato estatal a la cual le sean aplicables las inhabilidades o incompatibilidades establecidas en el artículo 8 de la Ley 80 de 1993. </w:t>
            </w:r>
            <w:r w:rsidR="00B36D5A" w:rsidRPr="00B8334C">
              <w:rPr>
                <w:rFonts w:ascii="Verdana" w:eastAsia="Calibri" w:hAnsi="Verdana" w:cs="Arial"/>
                <w:lang w:val="es-ES"/>
              </w:rPr>
              <w:t xml:space="preserve">En ese orden, </w:t>
            </w:r>
            <w:r w:rsidRPr="00B8334C">
              <w:rPr>
                <w:rFonts w:ascii="Verdana" w:eastAsia="Calibri" w:hAnsi="Verdana" w:cs="Arial"/>
                <w:lang w:val="es-ES"/>
              </w:rPr>
              <w:t xml:space="preserve">no </w:t>
            </w:r>
            <w:r w:rsidR="00B36D5A" w:rsidRPr="00B8334C">
              <w:rPr>
                <w:rFonts w:ascii="Verdana" w:eastAsia="Calibri" w:hAnsi="Verdana" w:cs="Arial"/>
                <w:lang w:val="es-ES"/>
              </w:rPr>
              <w:t>re</w:t>
            </w:r>
            <w:r w:rsidR="00F74166" w:rsidRPr="00B8334C">
              <w:rPr>
                <w:rFonts w:ascii="Verdana" w:eastAsia="Calibri" w:hAnsi="Verdana" w:cs="Arial"/>
                <w:lang w:val="es-ES"/>
              </w:rPr>
              <w:t>s</w:t>
            </w:r>
            <w:r w:rsidR="00B36D5A" w:rsidRPr="00B8334C">
              <w:rPr>
                <w:rFonts w:ascii="Verdana" w:eastAsia="Calibri" w:hAnsi="Verdana" w:cs="Arial"/>
                <w:lang w:val="es-ES"/>
              </w:rPr>
              <w:t>ulta de</w:t>
            </w:r>
            <w:r w:rsidR="00F74166" w:rsidRPr="00B8334C">
              <w:rPr>
                <w:rFonts w:ascii="Verdana" w:eastAsia="Calibri" w:hAnsi="Verdana" w:cs="Arial"/>
                <w:lang w:val="es-ES"/>
              </w:rPr>
              <w:t xml:space="preserve"> </w:t>
            </w:r>
            <w:r w:rsidRPr="00B8334C">
              <w:rPr>
                <w:rFonts w:ascii="Verdana" w:eastAsia="Calibri" w:hAnsi="Verdana" w:cs="Arial"/>
                <w:lang w:val="es-ES"/>
              </w:rPr>
              <w:t>recibo que el propietario alegue la existencia de una inhabilidad para celebrar contratos estatales como justificación para el incumplimiento de la obligación que le impone la normativa de realizar la cesión gratuita a favor del ente territorial.</w:t>
            </w:r>
          </w:p>
        </w:tc>
      </w:tr>
    </w:tbl>
    <w:p w14:paraId="4E5374F3" w14:textId="77777777" w:rsidR="00EC344C" w:rsidRPr="00B8334C" w:rsidRDefault="00EC344C" w:rsidP="00EC344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2BA6C16" w14:textId="77777777" w:rsidR="00EC344C" w:rsidRPr="00B8334C" w:rsidRDefault="00EC344C" w:rsidP="00EC344C">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B8334C">
        <w:rPr>
          <w:rFonts w:ascii="Verdana" w:eastAsia="Century Gothic" w:hAnsi="Verdana" w:cs="Century Gothic"/>
          <w:b/>
          <w:bCs/>
          <w:color w:val="000000" w:themeColor="text1"/>
        </w:rPr>
        <w:t>Razones de la respuesta:</w:t>
      </w:r>
    </w:p>
    <w:p w14:paraId="74D171B7" w14:textId="77777777" w:rsidR="00EC344C" w:rsidRPr="00B8334C" w:rsidRDefault="00EC344C" w:rsidP="00EC344C">
      <w:pPr>
        <w:spacing w:after="0" w:line="276" w:lineRule="auto"/>
        <w:jc w:val="both"/>
        <w:rPr>
          <w:rFonts w:ascii="Verdana" w:eastAsia="Calibri" w:hAnsi="Verdana" w:cs="Arial"/>
          <w:color w:val="000000" w:themeColor="text1"/>
          <w:lang w:val="es-ES"/>
        </w:rPr>
      </w:pPr>
    </w:p>
    <w:p w14:paraId="22045EB6" w14:textId="77777777" w:rsidR="00EC344C" w:rsidRPr="00B8334C" w:rsidRDefault="00EC344C" w:rsidP="00EC344C">
      <w:pPr>
        <w:spacing w:after="0" w:line="276" w:lineRule="auto"/>
        <w:jc w:val="both"/>
        <w:rPr>
          <w:rFonts w:ascii="Verdana" w:eastAsia="Calibri" w:hAnsi="Verdana" w:cs="Arial"/>
          <w:color w:val="000000" w:themeColor="text1"/>
          <w:lang w:val="es-ES"/>
        </w:rPr>
      </w:pPr>
      <w:r w:rsidRPr="00B8334C">
        <w:rPr>
          <w:rFonts w:ascii="Verdana" w:eastAsia="Calibri" w:hAnsi="Verdana" w:cs="Arial"/>
          <w:color w:val="000000" w:themeColor="text1"/>
          <w:lang w:val="es-ES"/>
        </w:rPr>
        <w:t xml:space="preserve">Lo anterior se sustenta en las siguientes consideraciones: </w:t>
      </w:r>
    </w:p>
    <w:p w14:paraId="1CB22EE1" w14:textId="77777777" w:rsidR="00EC344C" w:rsidRPr="00B8334C" w:rsidRDefault="00EC344C" w:rsidP="00EC344C">
      <w:pPr>
        <w:spacing w:after="0" w:line="276" w:lineRule="auto"/>
        <w:jc w:val="both"/>
        <w:rPr>
          <w:rFonts w:ascii="Verdana" w:eastAsia="Calibri" w:hAnsi="Verdana" w:cs="Arial"/>
          <w:color w:val="000000" w:themeColor="text1"/>
          <w:lang w:val="es-ES"/>
        </w:rPr>
      </w:pPr>
    </w:p>
    <w:p w14:paraId="7ABD4181" w14:textId="77777777" w:rsidR="00EC344C" w:rsidRPr="00B8334C" w:rsidRDefault="00EC344C" w:rsidP="00EC344C">
      <w:pPr>
        <w:spacing w:after="120" w:line="276" w:lineRule="auto"/>
        <w:jc w:val="both"/>
        <w:rPr>
          <w:rFonts w:ascii="Verdana" w:eastAsia="Calibri" w:hAnsi="Verdana" w:cs="Arial"/>
          <w:color w:val="000000" w:themeColor="text1"/>
          <w:lang w:val="es-ES"/>
        </w:rPr>
      </w:pPr>
      <w:r w:rsidRPr="00B8334C">
        <w:rPr>
          <w:rFonts w:ascii="Verdana" w:eastAsia="Calibri" w:hAnsi="Verdana" w:cs="Arial"/>
          <w:color w:val="000000" w:themeColor="text1"/>
          <w:lang w:val="es-ES"/>
        </w:rPr>
        <w:t xml:space="preserve">i) Las inhabilidades son prohibiciones para concurrir a los procedimientos de selección y para contratar con el Estado, que se derivan i) de la existencia de </w:t>
      </w:r>
      <w:r w:rsidRPr="00B8334C">
        <w:rPr>
          <w:rFonts w:ascii="Verdana" w:eastAsia="Calibri" w:hAnsi="Verdana" w:cs="Arial"/>
          <w:color w:val="000000" w:themeColor="text1"/>
          <w:lang w:val="es-ES"/>
        </w:rPr>
        <w:lastRenderedPageBreak/>
        <w:t>comportamientos reprochables o de sanciones anteriormente impuestas</w:t>
      </w:r>
      <w:r w:rsidRPr="00B8334C">
        <w:rPr>
          <w:rFonts w:ascii="Verdana" w:eastAsia="Calibri" w:hAnsi="Verdana" w:cs="Arial"/>
          <w:color w:val="000000" w:themeColor="text1"/>
          <w:vertAlign w:val="superscript"/>
          <w:lang w:val="es-ES"/>
        </w:rPr>
        <w:footnoteReference w:id="1"/>
      </w:r>
      <w:r w:rsidRPr="00B8334C">
        <w:rPr>
          <w:rFonts w:ascii="Verdana" w:eastAsia="Calibri" w:hAnsi="Verdana" w:cs="Arial"/>
          <w:color w:val="000000" w:themeColor="text1"/>
          <w:lang w:val="es-ES"/>
        </w:rPr>
        <w:t xml:space="preserve">, </w:t>
      </w:r>
      <w:proofErr w:type="spellStart"/>
      <w:r w:rsidRPr="00B8334C">
        <w:rPr>
          <w:rFonts w:ascii="Verdana" w:eastAsia="Calibri" w:hAnsi="Verdana" w:cs="Arial"/>
          <w:color w:val="000000" w:themeColor="text1"/>
          <w:lang w:val="es-ES"/>
        </w:rPr>
        <w:t>ii</w:t>
      </w:r>
      <w:proofErr w:type="spellEnd"/>
      <w:r w:rsidRPr="00B8334C">
        <w:rPr>
          <w:rFonts w:ascii="Verdana" w:eastAsia="Calibri" w:hAnsi="Verdana" w:cs="Arial"/>
          <w:color w:val="000000" w:themeColor="text1"/>
          <w:lang w:val="es-ES"/>
        </w:rPr>
        <w:t xml:space="preserve">) de vínculos personales relativos al parentesco o al estado civil o </w:t>
      </w:r>
      <w:proofErr w:type="spellStart"/>
      <w:r w:rsidRPr="00B8334C">
        <w:rPr>
          <w:rFonts w:ascii="Verdana" w:eastAsia="Calibri" w:hAnsi="Verdana" w:cs="Arial"/>
          <w:color w:val="000000" w:themeColor="text1"/>
          <w:lang w:val="es-ES"/>
        </w:rPr>
        <w:t>iii</w:t>
      </w:r>
      <w:proofErr w:type="spellEnd"/>
      <w:r w:rsidRPr="00B8334C">
        <w:rPr>
          <w:rFonts w:ascii="Verdana" w:eastAsia="Calibri" w:hAnsi="Verdana" w:cs="Arial"/>
          <w:color w:val="000000" w:themeColor="text1"/>
          <w:lang w:val="es-ES"/>
        </w:rPr>
        <w:t>) de una actividad u oficio que se desempeñó en el pasado</w:t>
      </w:r>
      <w:r w:rsidRPr="00B8334C">
        <w:rPr>
          <w:rFonts w:ascii="Verdana" w:eastAsia="Calibri" w:hAnsi="Verdana" w:cs="Arial"/>
          <w:color w:val="000000" w:themeColor="text1"/>
          <w:vertAlign w:val="superscript"/>
          <w:lang w:val="es-ES"/>
        </w:rPr>
        <w:footnoteReference w:id="2"/>
      </w:r>
      <w:r w:rsidRPr="00B8334C">
        <w:rPr>
          <w:rFonts w:ascii="Verdana" w:eastAsia="Calibri" w:hAnsi="Verdana" w:cs="Arial"/>
          <w:color w:val="000000" w:themeColor="text1"/>
          <w:lang w:val="es-ES"/>
        </w:rPr>
        <w:t>.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B8334C">
        <w:rPr>
          <w:rFonts w:ascii="Verdana" w:eastAsia="Calibri" w:hAnsi="Verdana" w:cs="Arial"/>
          <w:color w:val="000000" w:themeColor="text1"/>
          <w:vertAlign w:val="superscript"/>
          <w:lang w:val="es-ES"/>
        </w:rPr>
        <w:footnoteReference w:id="3"/>
      </w:r>
      <w:r w:rsidRPr="00B8334C">
        <w:rPr>
          <w:rFonts w:ascii="Verdana" w:eastAsia="Calibri" w:hAnsi="Verdana" w:cs="Arial"/>
          <w:color w:val="000000" w:themeColor="text1"/>
          <w:lang w:val="es-ES"/>
        </w:rPr>
        <w:t xml:space="preserve">. </w:t>
      </w:r>
    </w:p>
    <w:p w14:paraId="4986F4EA" w14:textId="77777777" w:rsidR="00EC344C" w:rsidRPr="00B8334C" w:rsidRDefault="00EC344C" w:rsidP="00EC344C">
      <w:pPr>
        <w:spacing w:after="120" w:line="276" w:lineRule="auto"/>
        <w:ind w:firstLine="709"/>
        <w:jc w:val="both"/>
        <w:rPr>
          <w:rFonts w:ascii="Verdana" w:eastAsia="Calibri" w:hAnsi="Verdana" w:cs="Arial"/>
          <w:color w:val="000000" w:themeColor="text1"/>
          <w:lang w:val="es-ES"/>
        </w:rPr>
      </w:pPr>
      <w:r w:rsidRPr="00B8334C">
        <w:rPr>
          <w:rFonts w:ascii="Verdana" w:eastAsia="Calibri" w:hAnsi="Verdana" w:cs="Arial"/>
          <w:color w:val="000000" w:themeColor="text1"/>
          <w:lang w:val="es-ES"/>
        </w:rPr>
        <w:t>El régimen de inhabilidades e incompatibilidades en la contratación pública responde a la tendencia de asegurar que la provisión de los bienes y servicios por parte de las entidades estatales se efectúe cumpliendo con los principios de la función administrativa y de la gestión fiscal, especialmente con probidad y transparencia. Es por eso que, como lo ha destacado la doctrina, las inhabilidades e incompatibilidades son herramientas en la lucha contra la corrupción, adoptando paulatinamente un carácter sancionatorio o “</w:t>
      </w:r>
      <w:proofErr w:type="spellStart"/>
      <w:r w:rsidRPr="00B8334C">
        <w:rPr>
          <w:rFonts w:ascii="Verdana" w:eastAsia="Calibri" w:hAnsi="Verdana" w:cs="Arial"/>
          <w:color w:val="000000" w:themeColor="text1"/>
          <w:lang w:val="es-ES"/>
        </w:rPr>
        <w:t>neopunitivo</w:t>
      </w:r>
      <w:proofErr w:type="spellEnd"/>
      <w:r w:rsidRPr="00B8334C">
        <w:rPr>
          <w:rFonts w:ascii="Verdana" w:eastAsia="Calibri" w:hAnsi="Verdana" w:cs="Arial"/>
          <w:color w:val="000000" w:themeColor="text1"/>
          <w:lang w:val="es-ES"/>
        </w:rPr>
        <w:t>”</w:t>
      </w:r>
      <w:r w:rsidRPr="00B8334C">
        <w:rPr>
          <w:rFonts w:ascii="Verdana" w:eastAsia="Calibri" w:hAnsi="Verdana" w:cs="Arial"/>
          <w:color w:val="000000" w:themeColor="text1"/>
          <w:vertAlign w:val="superscript"/>
          <w:lang w:val="es-ES"/>
        </w:rPr>
        <w:footnoteReference w:id="4"/>
      </w:r>
      <w:r w:rsidRPr="00B8334C">
        <w:rPr>
          <w:rFonts w:ascii="Verdana" w:eastAsia="Calibri" w:hAnsi="Verdana" w:cs="Arial"/>
          <w:color w:val="000000" w:themeColor="text1"/>
          <w:lang w:val="es-ES"/>
        </w:rPr>
        <w:t xml:space="preserve">. Si bien no todas las causales de inhabilidad y de incompatibilidad </w:t>
      </w:r>
      <w:r w:rsidRPr="00B8334C">
        <w:rPr>
          <w:rFonts w:ascii="Verdana" w:eastAsia="Calibri" w:hAnsi="Verdana" w:cs="Arial"/>
          <w:color w:val="000000" w:themeColor="text1"/>
          <w:lang w:val="es-ES"/>
        </w:rPr>
        <w:lastRenderedPageBreak/>
        <w:t>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596E8302" w14:textId="77777777" w:rsidR="00EC344C" w:rsidRPr="00B8334C" w:rsidRDefault="00EC344C" w:rsidP="00EC344C">
      <w:pPr>
        <w:spacing w:after="120" w:line="276" w:lineRule="auto"/>
        <w:ind w:firstLine="709"/>
        <w:jc w:val="both"/>
        <w:rPr>
          <w:rFonts w:ascii="Verdana" w:eastAsia="Calibri" w:hAnsi="Verdana" w:cs="Arial"/>
          <w:color w:val="000000" w:themeColor="text1"/>
          <w:lang w:val="es-ES"/>
        </w:rPr>
      </w:pPr>
      <w:r w:rsidRPr="00B8334C">
        <w:rPr>
          <w:rFonts w:ascii="Verdana" w:eastAsia="Calibri" w:hAnsi="Verdana" w:cs="Arial"/>
          <w:color w:val="000000" w:themeColor="text1"/>
          <w:lang w:val="es-ES"/>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B8334C">
        <w:rPr>
          <w:rFonts w:ascii="Verdana" w:eastAsia="Calibri" w:hAnsi="Verdana" w:cs="Arial"/>
          <w:i/>
          <w:iCs/>
          <w:color w:val="000000" w:themeColor="text1"/>
          <w:lang w:val="es-ES"/>
        </w:rPr>
        <w:t>restrictiva</w:t>
      </w:r>
      <w:r w:rsidRPr="00B8334C">
        <w:rPr>
          <w:rFonts w:ascii="Verdana" w:eastAsia="Calibri" w:hAnsi="Verdana" w:cs="Arial"/>
          <w:color w:val="000000" w:themeColor="text1"/>
          <w:vertAlign w:val="superscript"/>
          <w:lang w:val="es-ES"/>
        </w:rPr>
        <w:footnoteReference w:id="5"/>
      </w:r>
      <w:r w:rsidRPr="00B8334C">
        <w:rPr>
          <w:rFonts w:ascii="Verdana" w:eastAsia="Calibri" w:hAnsi="Verdana" w:cs="Arial"/>
          <w:color w:val="000000" w:themeColor="text1"/>
          <w:lang w:val="es-ES"/>
        </w:rPr>
        <w:t xml:space="preserve">.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7FA4C0EF" w14:textId="77777777" w:rsidR="00EC344C" w:rsidRPr="00B8334C" w:rsidRDefault="00EC344C" w:rsidP="00EC344C">
      <w:pPr>
        <w:spacing w:after="0" w:line="276" w:lineRule="auto"/>
        <w:ind w:firstLine="709"/>
        <w:jc w:val="both"/>
        <w:rPr>
          <w:rFonts w:ascii="Verdana" w:eastAsia="Calibri" w:hAnsi="Verdana" w:cs="Arial"/>
          <w:color w:val="000000" w:themeColor="text1"/>
          <w:lang w:val="es-ES"/>
        </w:rPr>
      </w:pPr>
      <w:r w:rsidRPr="00B8334C">
        <w:rPr>
          <w:rFonts w:ascii="Verdana" w:eastAsia="Calibri" w:hAnsi="Verdana" w:cs="Arial"/>
          <w:color w:val="000000" w:themeColor="text1"/>
          <w:lang w:val="es-ES"/>
        </w:rPr>
        <w:t xml:space="preserve">En efecto, el máximo tribunal constitucional ha indicado que, al tratar de precisar el sentido de este tipo de normas, “[…] el intérprete de las disposiciones legislativas en la materia ha de ceñirse en la mayor medida posible al tenor literal y gramatical de los enunciados normativos, sin que pueda acudir </w:t>
      </w:r>
      <w:r w:rsidRPr="00B8334C">
        <w:rPr>
          <w:rFonts w:ascii="Verdana" w:eastAsia="Calibri" w:hAnsi="Verdana" w:cs="Arial"/>
          <w:i/>
          <w:iCs/>
          <w:color w:val="000000" w:themeColor="text1"/>
          <w:lang w:val="es-ES"/>
        </w:rPr>
        <w:t>prima facie</w:t>
      </w:r>
      <w:r w:rsidRPr="00B8334C">
        <w:rPr>
          <w:rFonts w:ascii="Verdana" w:eastAsia="Calibri" w:hAnsi="Verdana" w:cs="Arial"/>
          <w:color w:val="000000" w:themeColor="text1"/>
          <w:lang w:val="es-ES"/>
        </w:rPr>
        <w:t xml:space="preserve"> a criterios interpretativos tales como la analogía o la interpretación extensiva para ampliar el alcance de las causales legalmente fijadas”</w:t>
      </w:r>
      <w:r w:rsidRPr="00B8334C">
        <w:rPr>
          <w:rFonts w:ascii="Verdana" w:eastAsia="Calibri" w:hAnsi="Verdana" w:cs="Arial"/>
          <w:color w:val="000000" w:themeColor="text1"/>
          <w:vertAlign w:val="superscript"/>
          <w:lang w:val="es-ES"/>
        </w:rPr>
        <w:footnoteReference w:id="6"/>
      </w:r>
      <w:r w:rsidRPr="00B8334C">
        <w:rPr>
          <w:rFonts w:ascii="Verdana" w:eastAsia="Calibri" w:hAnsi="Verdana" w:cs="Arial"/>
          <w:color w:val="000000" w:themeColor="text1"/>
          <w:lang w:val="es-ES"/>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B8334C">
        <w:rPr>
          <w:rFonts w:ascii="Verdana" w:eastAsia="Calibri" w:hAnsi="Verdana" w:cs="Arial"/>
          <w:color w:val="000000" w:themeColor="text1"/>
          <w:vertAlign w:val="superscript"/>
          <w:lang w:val="es-ES"/>
        </w:rPr>
        <w:footnoteReference w:id="7"/>
      </w:r>
      <w:r w:rsidRPr="00B8334C">
        <w:rPr>
          <w:rFonts w:ascii="Verdana" w:eastAsia="Calibri" w:hAnsi="Verdana" w:cs="Arial"/>
          <w:color w:val="000000" w:themeColor="text1"/>
          <w:lang w:val="es-ES"/>
        </w:rPr>
        <w:t>. En tal sentido, la Sección Tercera ha señalado que:</w:t>
      </w:r>
    </w:p>
    <w:p w14:paraId="6E8A8F87" w14:textId="77777777" w:rsidR="00EC344C" w:rsidRPr="00B8334C" w:rsidRDefault="00EC344C" w:rsidP="00EC344C">
      <w:pPr>
        <w:spacing w:after="0" w:line="276" w:lineRule="auto"/>
        <w:ind w:firstLine="709"/>
        <w:rPr>
          <w:rFonts w:ascii="Verdana" w:eastAsia="Calibri" w:hAnsi="Verdana" w:cs="Arial"/>
          <w:color w:val="000000" w:themeColor="text1"/>
          <w:lang w:val="es-ES"/>
        </w:rPr>
      </w:pPr>
    </w:p>
    <w:p w14:paraId="54B10DE0" w14:textId="77777777" w:rsidR="00EC344C" w:rsidRPr="00B8334C" w:rsidRDefault="00EC344C" w:rsidP="00EC344C">
      <w:pPr>
        <w:spacing w:after="0" w:line="240" w:lineRule="auto"/>
        <w:ind w:left="709" w:right="709"/>
        <w:jc w:val="both"/>
        <w:rPr>
          <w:rFonts w:ascii="Verdana" w:hAnsi="Verdana" w:cs="Arial"/>
          <w:color w:val="000000" w:themeColor="text1"/>
          <w:sz w:val="21"/>
          <w:szCs w:val="21"/>
          <w:lang w:val="es-ES"/>
        </w:rPr>
      </w:pPr>
      <w:r w:rsidRPr="00B8334C">
        <w:rPr>
          <w:rFonts w:ascii="Verdana" w:hAnsi="Verdana" w:cs="Arial"/>
          <w:color w:val="000000" w:themeColor="text1"/>
          <w:sz w:val="21"/>
          <w:szCs w:val="21"/>
          <w:lang w:val="es-ES"/>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B8334C">
        <w:rPr>
          <w:rFonts w:ascii="Verdana" w:hAnsi="Verdana" w:cs="Arial"/>
          <w:color w:val="000000" w:themeColor="text1"/>
          <w:sz w:val="21"/>
          <w:szCs w:val="21"/>
          <w:vertAlign w:val="superscript"/>
          <w:lang w:val="es-ES"/>
        </w:rPr>
        <w:footnoteReference w:id="8"/>
      </w:r>
      <w:r w:rsidRPr="00B8334C">
        <w:rPr>
          <w:rFonts w:ascii="Verdana" w:hAnsi="Verdana" w:cs="Arial"/>
          <w:color w:val="000000" w:themeColor="text1"/>
          <w:sz w:val="21"/>
          <w:szCs w:val="21"/>
          <w:lang w:val="es-ES"/>
        </w:rPr>
        <w:t>”.</w:t>
      </w:r>
    </w:p>
    <w:p w14:paraId="276E3081" w14:textId="77777777" w:rsidR="00EC344C" w:rsidRPr="00B8334C" w:rsidRDefault="00EC344C" w:rsidP="00EC344C">
      <w:pPr>
        <w:spacing w:after="0"/>
        <w:ind w:left="709" w:right="709"/>
        <w:jc w:val="both"/>
        <w:rPr>
          <w:rFonts w:ascii="Verdana" w:hAnsi="Verdana" w:cs="Arial"/>
          <w:bCs/>
          <w:color w:val="000000" w:themeColor="text1"/>
          <w:sz w:val="21"/>
          <w:szCs w:val="21"/>
          <w:lang w:val="es-ES"/>
        </w:rPr>
      </w:pPr>
    </w:p>
    <w:p w14:paraId="49478E71" w14:textId="77777777" w:rsidR="00EC344C" w:rsidRPr="00B8334C" w:rsidRDefault="00EC344C" w:rsidP="00EC344C">
      <w:pPr>
        <w:spacing w:after="0" w:line="276" w:lineRule="auto"/>
        <w:jc w:val="both"/>
        <w:rPr>
          <w:rFonts w:ascii="Verdana" w:eastAsia="Calibri" w:hAnsi="Verdana" w:cs="Arial"/>
          <w:color w:val="000000" w:themeColor="text1"/>
          <w:lang w:val="es-ES"/>
        </w:rPr>
      </w:pPr>
      <w:r w:rsidRPr="00B8334C">
        <w:rPr>
          <w:rFonts w:ascii="Verdana" w:eastAsia="Calibri" w:hAnsi="Verdana" w:cs="Arial"/>
          <w:color w:val="000000" w:themeColor="text1"/>
          <w:lang w:val="es-ES"/>
        </w:rPr>
        <w:t>También ha dicho que:</w:t>
      </w:r>
    </w:p>
    <w:p w14:paraId="59306D20" w14:textId="77777777" w:rsidR="00EC344C" w:rsidRPr="00B8334C" w:rsidRDefault="00EC344C" w:rsidP="00EC344C">
      <w:pPr>
        <w:spacing w:after="0"/>
        <w:ind w:firstLine="709"/>
        <w:jc w:val="both"/>
        <w:rPr>
          <w:rFonts w:ascii="Verdana" w:eastAsia="Calibri" w:hAnsi="Verdana" w:cs="Arial"/>
          <w:color w:val="000000" w:themeColor="text1"/>
          <w:sz w:val="21"/>
          <w:szCs w:val="21"/>
          <w:lang w:val="es-ES"/>
        </w:rPr>
      </w:pPr>
    </w:p>
    <w:p w14:paraId="31D749EE" w14:textId="77777777" w:rsidR="00EC344C" w:rsidRPr="00B8334C" w:rsidRDefault="00EC344C" w:rsidP="00EC344C">
      <w:pPr>
        <w:spacing w:after="0" w:line="240" w:lineRule="auto"/>
        <w:ind w:left="709" w:right="709"/>
        <w:jc w:val="both"/>
        <w:rPr>
          <w:rFonts w:ascii="Verdana" w:hAnsi="Verdana" w:cs="Arial"/>
          <w:color w:val="000000" w:themeColor="text1"/>
          <w:sz w:val="21"/>
          <w:szCs w:val="21"/>
          <w:lang w:val="es-ES"/>
        </w:rPr>
      </w:pPr>
      <w:r w:rsidRPr="00B8334C">
        <w:rPr>
          <w:rFonts w:ascii="Verdana" w:hAnsi="Verdana" w:cs="Arial"/>
          <w:color w:val="000000" w:themeColor="text1"/>
          <w:sz w:val="21"/>
          <w:szCs w:val="21"/>
          <w:lang w:val="es-ES"/>
        </w:rPr>
        <w:t xml:space="preserve">“[…] la aplicación de estos preceptos exige una interpretación restrictiva, dado que según el principio hermenéutico </w:t>
      </w:r>
      <w:r w:rsidRPr="00B8334C">
        <w:rPr>
          <w:rFonts w:ascii="Verdana" w:hAnsi="Verdana" w:cs="Arial"/>
          <w:i/>
          <w:iCs/>
          <w:color w:val="000000" w:themeColor="text1"/>
          <w:sz w:val="21"/>
          <w:szCs w:val="21"/>
          <w:lang w:val="es-ES"/>
        </w:rPr>
        <w:t xml:space="preserve">pro </w:t>
      </w:r>
      <w:proofErr w:type="spellStart"/>
      <w:r w:rsidRPr="00B8334C">
        <w:rPr>
          <w:rFonts w:ascii="Verdana" w:hAnsi="Verdana" w:cs="Arial"/>
          <w:i/>
          <w:iCs/>
          <w:color w:val="000000" w:themeColor="text1"/>
          <w:sz w:val="21"/>
          <w:szCs w:val="21"/>
          <w:lang w:val="es-ES"/>
        </w:rPr>
        <w:t>libertate</w:t>
      </w:r>
      <w:proofErr w:type="spellEnd"/>
      <w:r w:rsidRPr="00B8334C">
        <w:rPr>
          <w:rFonts w:ascii="Verdana" w:hAnsi="Verdana" w:cs="Arial"/>
          <w:color w:val="000000" w:themeColor="text1"/>
          <w:sz w:val="21"/>
          <w:szCs w:val="21"/>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w:t>
      </w:r>
      <w:r w:rsidRPr="00B8334C">
        <w:rPr>
          <w:rFonts w:ascii="Verdana" w:hAnsi="Verdana" w:cs="Arial"/>
          <w:color w:val="000000" w:themeColor="text1"/>
          <w:sz w:val="21"/>
          <w:szCs w:val="21"/>
          <w:vertAlign w:val="superscript"/>
          <w:lang w:val="es-ES"/>
        </w:rPr>
        <w:footnoteReference w:id="9"/>
      </w:r>
      <w:r w:rsidRPr="00B8334C">
        <w:rPr>
          <w:rFonts w:ascii="Verdana" w:hAnsi="Verdana" w:cs="Arial"/>
          <w:color w:val="000000" w:themeColor="text1"/>
          <w:sz w:val="21"/>
          <w:szCs w:val="21"/>
          <w:lang w:val="es-ES"/>
        </w:rPr>
        <w:t>.</w:t>
      </w:r>
    </w:p>
    <w:p w14:paraId="2B3BF91E" w14:textId="77777777" w:rsidR="00EC344C" w:rsidRPr="00B8334C" w:rsidRDefault="00EC344C" w:rsidP="00EC344C">
      <w:pPr>
        <w:spacing w:after="0" w:line="276" w:lineRule="auto"/>
        <w:ind w:left="709" w:right="709"/>
        <w:jc w:val="both"/>
        <w:rPr>
          <w:rFonts w:ascii="Verdana" w:hAnsi="Verdana" w:cs="Arial"/>
          <w:color w:val="000000" w:themeColor="text1"/>
          <w:sz w:val="21"/>
          <w:szCs w:val="21"/>
          <w:lang w:val="es-ES"/>
        </w:rPr>
      </w:pPr>
    </w:p>
    <w:p w14:paraId="36D0BC94" w14:textId="77777777" w:rsidR="00EC344C" w:rsidRPr="00B8334C" w:rsidRDefault="00EC344C" w:rsidP="00EC344C">
      <w:pPr>
        <w:spacing w:after="0" w:line="276" w:lineRule="auto"/>
        <w:ind w:firstLine="709"/>
        <w:jc w:val="both"/>
        <w:rPr>
          <w:rFonts w:ascii="Verdana" w:eastAsia="Calibri" w:hAnsi="Verdana" w:cs="Arial"/>
          <w:color w:val="000000" w:themeColor="text1"/>
          <w:lang w:val="es-ES"/>
        </w:rPr>
      </w:pPr>
      <w:r w:rsidRPr="00B8334C">
        <w:rPr>
          <w:rFonts w:ascii="Verdana" w:eastAsia="Calibri" w:hAnsi="Verdana" w:cs="Arial"/>
          <w:color w:val="000000" w:themeColor="text1"/>
          <w:lang w:val="es-ES"/>
        </w:rPr>
        <w:t xml:space="preserve">Como se aprecia, el principio </w:t>
      </w:r>
      <w:r w:rsidRPr="00B8334C">
        <w:rPr>
          <w:rFonts w:ascii="Verdana" w:eastAsia="Calibri" w:hAnsi="Verdana" w:cs="Arial"/>
          <w:i/>
          <w:iCs/>
          <w:color w:val="000000" w:themeColor="text1"/>
          <w:lang w:val="es-ES"/>
        </w:rPr>
        <w:t xml:space="preserve">pro </w:t>
      </w:r>
      <w:proofErr w:type="spellStart"/>
      <w:r w:rsidRPr="00B8334C">
        <w:rPr>
          <w:rFonts w:ascii="Verdana" w:eastAsia="Calibri" w:hAnsi="Verdana" w:cs="Arial"/>
          <w:i/>
          <w:iCs/>
          <w:color w:val="000000" w:themeColor="text1"/>
          <w:lang w:val="es-ES"/>
        </w:rPr>
        <w:t>libertate</w:t>
      </w:r>
      <w:proofErr w:type="spellEnd"/>
      <w:r w:rsidRPr="00B8334C">
        <w:rPr>
          <w:rFonts w:ascii="Verdana" w:eastAsia="Calibri" w:hAnsi="Verdana" w:cs="Arial"/>
          <w:color w:val="000000" w:themeColor="text1"/>
          <w:lang w:val="es-ES"/>
        </w:rPr>
        <w:t xml:space="preserve"> es el que debe dirigir la interpretación de las disposiciones normativas que consagran restricciones de derechos, como sucede con las causales de inhabilidad e incompatibilidad en la contratación estatal.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w:t>
      </w:r>
    </w:p>
    <w:p w14:paraId="00DF5AF4" w14:textId="77777777" w:rsidR="00EC344C" w:rsidRPr="00B8334C" w:rsidRDefault="00EC344C" w:rsidP="00EC344C">
      <w:pPr>
        <w:spacing w:after="0" w:line="276" w:lineRule="auto"/>
        <w:ind w:firstLine="709"/>
        <w:jc w:val="both"/>
        <w:rPr>
          <w:rFonts w:ascii="Verdana" w:eastAsia="Calibri" w:hAnsi="Verdana" w:cs="Arial"/>
          <w:color w:val="000000" w:themeColor="text1"/>
          <w:lang w:val="es-ES"/>
        </w:rPr>
      </w:pPr>
    </w:p>
    <w:p w14:paraId="13B0E64F" w14:textId="3F29C285" w:rsidR="00EC344C" w:rsidRPr="00B8334C" w:rsidRDefault="00EC344C" w:rsidP="00EC344C">
      <w:pPr>
        <w:spacing w:after="0" w:line="276" w:lineRule="auto"/>
        <w:jc w:val="both"/>
        <w:rPr>
          <w:rFonts w:ascii="Verdana" w:eastAsia="Calibri" w:hAnsi="Verdana" w:cs="Arial"/>
          <w:lang w:val="es-ES"/>
        </w:rPr>
      </w:pPr>
      <w:proofErr w:type="spellStart"/>
      <w:r w:rsidRPr="00B8334C">
        <w:rPr>
          <w:rFonts w:ascii="Verdana" w:eastAsia="Calibri" w:hAnsi="Verdana" w:cs="Arial"/>
          <w:color w:val="000000" w:themeColor="text1"/>
          <w:lang w:val="es-ES"/>
        </w:rPr>
        <w:t>ii</w:t>
      </w:r>
      <w:proofErr w:type="spellEnd"/>
      <w:r w:rsidRPr="00B8334C">
        <w:rPr>
          <w:rFonts w:ascii="Verdana" w:eastAsia="Calibri" w:hAnsi="Verdana" w:cs="Arial"/>
          <w:color w:val="000000" w:themeColor="text1"/>
          <w:lang w:val="es-ES"/>
        </w:rPr>
        <w:t xml:space="preserve">) Por otra parte, las cesiones obligatorias gratuitas, también llamadas cesiones urbanísticas obligatorias hacen parte de los bienes de uso público y de encuentran reguladas en diversas normas de carácter nacional y territorial. Dentro de las primeras, se resaltan el artículo 7 de la </w:t>
      </w:r>
      <w:r w:rsidRPr="00B8334C">
        <w:rPr>
          <w:rFonts w:ascii="Verdana" w:eastAsia="Calibri" w:hAnsi="Verdana" w:cs="Arial"/>
          <w:lang w:val="es-ES"/>
        </w:rPr>
        <w:t>Ley 9</w:t>
      </w:r>
      <w:r w:rsidRPr="00B8334C">
        <w:rPr>
          <w:rFonts w:ascii="Verdana" w:eastAsia="Calibri" w:hAnsi="Verdana" w:cs="Arial"/>
          <w:vertAlign w:val="superscript"/>
          <w:lang w:val="es-ES"/>
        </w:rPr>
        <w:t> </w:t>
      </w:r>
      <w:r w:rsidRPr="00B8334C">
        <w:rPr>
          <w:rFonts w:ascii="Verdana" w:eastAsia="Calibri" w:hAnsi="Verdana" w:cs="Arial"/>
          <w:lang w:val="es-ES"/>
        </w:rPr>
        <w:t xml:space="preserve">de 1989, modificado </w:t>
      </w:r>
      <w:r w:rsidRPr="00B8334C">
        <w:rPr>
          <w:rFonts w:ascii="Verdana" w:eastAsia="Calibri" w:hAnsi="Verdana" w:cs="Arial"/>
          <w:lang w:val="es-ES"/>
        </w:rPr>
        <w:lastRenderedPageBreak/>
        <w:t>por el artículo 40 de la Ley 2079 de 2021, los artículos 37 y 117 de la Ley 388 de 1997, así como el Decreto 1077 de 2015, por medio del cual se expide el Decreto Único Reglamentario del Sector Vivienda, Ciudad y Territorio. Con respecto al segundo grupo, en el caso de Bogotá, las cesiones obligatoria</w:t>
      </w:r>
      <w:r w:rsidR="00B8334C" w:rsidRPr="00B8334C">
        <w:rPr>
          <w:rFonts w:ascii="Verdana" w:eastAsia="Calibri" w:hAnsi="Verdana" w:cs="Arial"/>
          <w:lang w:val="es-ES"/>
        </w:rPr>
        <w:t>s</w:t>
      </w:r>
      <w:r w:rsidRPr="00B8334C">
        <w:rPr>
          <w:rFonts w:ascii="Verdana" w:eastAsia="Calibri" w:hAnsi="Verdana" w:cs="Arial"/>
          <w:lang w:val="es-ES"/>
        </w:rPr>
        <w:t xml:space="preserve"> gratuitas están reguladas principalmente en el Plan de Ordenamiento Territorial. Son normas de orden público y de obligatorio cumplimiento. </w:t>
      </w:r>
    </w:p>
    <w:p w14:paraId="048029DD" w14:textId="5617E1B3" w:rsidR="00EC344C" w:rsidRPr="00B8334C" w:rsidRDefault="00EC344C" w:rsidP="00EC344C">
      <w:pPr>
        <w:spacing w:before="120" w:after="0" w:line="276" w:lineRule="auto"/>
        <w:ind w:firstLine="708"/>
        <w:jc w:val="both"/>
        <w:rPr>
          <w:rFonts w:ascii="Verdana" w:eastAsia="Calibri" w:hAnsi="Verdana" w:cs="Arial"/>
          <w:lang w:val="es-ES"/>
        </w:rPr>
      </w:pPr>
      <w:r w:rsidRPr="00B8334C">
        <w:rPr>
          <w:rFonts w:ascii="Verdana" w:eastAsia="Calibri" w:hAnsi="Verdana" w:cs="Arial"/>
          <w:lang w:val="es-ES"/>
        </w:rPr>
        <w:t xml:space="preserve">Al respecto el artículo 37 de la Ley 388 de 1997 establece que los reglamentos distritales o municipales tienen la facultad de determinar las cesiones gratuitas que deben hacer los propietarios cuando adelanten las diferentes actuaciones urbanísticas. Estas </w:t>
      </w:r>
      <w:proofErr w:type="spellStart"/>
      <w:r w:rsidRPr="00B8334C">
        <w:rPr>
          <w:rFonts w:ascii="Verdana" w:eastAsia="Calibri" w:hAnsi="Verdana" w:cs="Arial"/>
          <w:lang w:val="es-ES"/>
        </w:rPr>
        <w:t>cesiones</w:t>
      </w:r>
      <w:proofErr w:type="spellEnd"/>
      <w:r w:rsidRPr="00B8334C">
        <w:rPr>
          <w:rFonts w:ascii="Verdana" w:eastAsia="Calibri" w:hAnsi="Verdana" w:cs="Arial"/>
          <w:lang w:val="es-ES"/>
        </w:rPr>
        <w:t xml:space="preserve"> se harán con destino a v</w:t>
      </w:r>
      <w:r w:rsidR="00B8334C" w:rsidRPr="00B8334C">
        <w:rPr>
          <w:rFonts w:ascii="Verdana" w:eastAsia="Calibri" w:hAnsi="Verdana" w:cs="Arial"/>
          <w:lang w:val="es-ES"/>
        </w:rPr>
        <w:t>í</w:t>
      </w:r>
      <w:r w:rsidRPr="00B8334C">
        <w:rPr>
          <w:rFonts w:ascii="Verdana" w:eastAsia="Calibri" w:hAnsi="Verdana" w:cs="Arial"/>
          <w:lang w:val="es-ES"/>
        </w:rPr>
        <w:t xml:space="preserve">as locales, equipamientos colectivos y el espacio público, en general. Adicionalmente, la </w:t>
      </w:r>
      <w:r w:rsidR="00D01CE8" w:rsidRPr="00B8334C">
        <w:rPr>
          <w:rFonts w:ascii="Verdana" w:eastAsia="Calibri" w:hAnsi="Verdana" w:cs="Arial"/>
          <w:lang w:val="es-ES"/>
        </w:rPr>
        <w:t>normativa</w:t>
      </w:r>
      <w:r w:rsidRPr="00B8334C">
        <w:rPr>
          <w:rFonts w:ascii="Verdana" w:eastAsia="Calibri" w:hAnsi="Verdana" w:cs="Arial"/>
          <w:lang w:val="es-ES"/>
        </w:rPr>
        <w:t xml:space="preserve"> señalará el </w:t>
      </w:r>
      <w:r w:rsidR="00D01CE8" w:rsidRPr="00B8334C">
        <w:rPr>
          <w:rFonts w:ascii="Verdana" w:eastAsia="Calibri" w:hAnsi="Verdana" w:cs="Arial"/>
          <w:lang w:val="es-ES"/>
        </w:rPr>
        <w:t>término</w:t>
      </w:r>
      <w:r w:rsidRPr="00B8334C">
        <w:rPr>
          <w:rFonts w:ascii="Verdana" w:eastAsia="Calibri" w:hAnsi="Verdana" w:cs="Arial"/>
          <w:lang w:val="es-ES"/>
        </w:rPr>
        <w:t xml:space="preserve"> de permisos y licencias a los cuales se someten las cesiones gratuitas, así como las sanciones aplicables a quienes infrinjan la obligación de cesión.  </w:t>
      </w:r>
    </w:p>
    <w:p w14:paraId="43D2B500" w14:textId="77777777" w:rsidR="00EC344C" w:rsidRPr="00B8334C" w:rsidRDefault="00EC344C" w:rsidP="00EC344C">
      <w:pPr>
        <w:spacing w:before="120" w:after="0" w:line="276" w:lineRule="auto"/>
        <w:ind w:firstLine="708"/>
        <w:jc w:val="both"/>
        <w:rPr>
          <w:rFonts w:ascii="Verdana" w:eastAsia="Calibri" w:hAnsi="Verdana" w:cs="Arial"/>
          <w:lang w:val="es-ES"/>
        </w:rPr>
      </w:pPr>
      <w:r w:rsidRPr="00B8334C">
        <w:rPr>
          <w:rFonts w:ascii="Verdana" w:eastAsia="Calibri" w:hAnsi="Verdana" w:cs="Arial"/>
          <w:lang w:val="es-ES"/>
        </w:rPr>
        <w:t xml:space="preserve">La Corte Constitucional determinó la constitucionalidad de la destinación a “vías locales, equipamientos colectivos y espacio público en general” de las cesiones establecida en el referido artículo en la sentencia C-495 de 1998. Con respecto a la naturaleza y objetivo de estas cesiones señaló que constituyen una: </w:t>
      </w:r>
    </w:p>
    <w:p w14:paraId="05769B8E" w14:textId="77777777" w:rsidR="00EC344C" w:rsidRPr="00B8334C" w:rsidRDefault="00EC344C" w:rsidP="00EC344C">
      <w:pPr>
        <w:spacing w:before="120" w:after="0" w:line="240" w:lineRule="auto"/>
        <w:ind w:left="709" w:right="709"/>
        <w:jc w:val="both"/>
        <w:rPr>
          <w:rFonts w:ascii="Verdana" w:eastAsia="Calibri" w:hAnsi="Verdana" w:cs="Arial"/>
          <w:sz w:val="21"/>
          <w:szCs w:val="21"/>
          <w:lang w:val="es-ES"/>
        </w:rPr>
      </w:pPr>
      <w:r w:rsidRPr="00B8334C">
        <w:rPr>
          <w:rFonts w:ascii="Verdana" w:eastAsia="Calibri" w:hAnsi="Verdana" w:cs="Arial"/>
          <w:sz w:val="21"/>
          <w:szCs w:val="21"/>
          <w:lang w:val="es-ES"/>
        </w:rPr>
        <w:t>“</w:t>
      </w:r>
      <w:r w:rsidRPr="00B8334C">
        <w:rPr>
          <w:rFonts w:ascii="Verdana" w:eastAsia="Calibri" w:hAnsi="Verdana" w:cs="Arial"/>
          <w:i/>
          <w:iCs/>
          <w:sz w:val="21"/>
          <w:szCs w:val="21"/>
          <w:lang w:val="es-ES"/>
        </w:rPr>
        <w:t xml:space="preserve">contraprestación </w:t>
      </w:r>
      <w:r w:rsidRPr="00B8334C">
        <w:rPr>
          <w:rFonts w:ascii="Verdana" w:eastAsia="Calibri" w:hAnsi="Verdana" w:cs="Arial"/>
          <w:sz w:val="21"/>
          <w:szCs w:val="21"/>
          <w:lang w:val="es-ES"/>
        </w:rPr>
        <w:t xml:space="preserve">de los propietarios de inmuebles por la plusvalía que genera las diferentes actuaciones urbanísticas de los municipios. Dichas cesiones no son propiamente tributos ni rentas de otro orden; se trata de bienes que se incorporan al patrimonio municipal, con ocasión de la actividad urbanística y que indudablemente contribuyen a la integración del espacio público. Es una norma destinada a regular, con fundamento en el art. 82 de la Constitución, la integración del espacio público y de los bienes colectivos de uso común. Por lo demás, dichas cesiones gratuitas, con ocasión de la actividad urbanística, comportan </w:t>
      </w:r>
      <w:r w:rsidRPr="00B8334C">
        <w:rPr>
          <w:rFonts w:ascii="Verdana" w:eastAsia="Calibri" w:hAnsi="Verdana" w:cs="Arial"/>
          <w:i/>
          <w:iCs/>
          <w:sz w:val="21"/>
          <w:szCs w:val="21"/>
          <w:u w:val="single"/>
          <w:lang w:val="es-ES"/>
        </w:rPr>
        <w:t>una carga a los propietarios que se enmarca dentro de la función social de la propiedad y su inherente función ecológica</w:t>
      </w:r>
      <w:r w:rsidRPr="00B8334C">
        <w:rPr>
          <w:rFonts w:ascii="Verdana" w:eastAsia="Calibri" w:hAnsi="Verdana" w:cs="Arial"/>
          <w:sz w:val="21"/>
          <w:szCs w:val="21"/>
          <w:lang w:val="es-ES"/>
        </w:rPr>
        <w:t>, que requiere regulación legal en los términos del art. 58 de la Constitución”</w:t>
      </w:r>
      <w:r w:rsidRPr="00B8334C">
        <w:rPr>
          <w:rStyle w:val="FootnoteReference"/>
          <w:rFonts w:ascii="Verdana" w:eastAsia="Calibri" w:hAnsi="Verdana" w:cs="Arial"/>
          <w:sz w:val="21"/>
          <w:szCs w:val="21"/>
          <w:lang w:val="es-ES"/>
        </w:rPr>
        <w:footnoteReference w:id="10"/>
      </w:r>
      <w:r w:rsidRPr="00B8334C">
        <w:rPr>
          <w:rFonts w:ascii="Verdana" w:eastAsia="Calibri" w:hAnsi="Verdana" w:cs="Arial"/>
          <w:sz w:val="21"/>
          <w:szCs w:val="21"/>
          <w:lang w:val="es-ES"/>
        </w:rPr>
        <w:t>. [Énfasis propio]</w:t>
      </w:r>
    </w:p>
    <w:p w14:paraId="323A4A96" w14:textId="77777777" w:rsidR="00EC344C" w:rsidRPr="00B8334C" w:rsidRDefault="00EC344C" w:rsidP="00EC344C">
      <w:pPr>
        <w:spacing w:after="0" w:line="240" w:lineRule="auto"/>
        <w:ind w:left="709" w:right="709"/>
        <w:jc w:val="both"/>
        <w:rPr>
          <w:rFonts w:ascii="Verdana" w:eastAsia="Calibri" w:hAnsi="Verdana" w:cs="Arial"/>
          <w:sz w:val="20"/>
          <w:szCs w:val="20"/>
          <w:lang w:val="es-ES"/>
        </w:rPr>
      </w:pPr>
    </w:p>
    <w:p w14:paraId="014C3895" w14:textId="77777777" w:rsidR="00EC344C" w:rsidRPr="00B8334C" w:rsidRDefault="00EC344C" w:rsidP="00EC344C">
      <w:pPr>
        <w:spacing w:after="0" w:line="276" w:lineRule="auto"/>
        <w:ind w:firstLine="708"/>
        <w:jc w:val="both"/>
        <w:rPr>
          <w:rFonts w:ascii="Verdana" w:eastAsia="Calibri" w:hAnsi="Verdana" w:cs="Arial"/>
          <w:lang w:val="es-ES"/>
        </w:rPr>
      </w:pPr>
      <w:r w:rsidRPr="00B8334C">
        <w:rPr>
          <w:rFonts w:ascii="Verdana" w:eastAsia="Calibri" w:hAnsi="Verdana" w:cs="Arial"/>
          <w:lang w:val="es-ES"/>
        </w:rPr>
        <w:t xml:space="preserve">En efecto, cuando el propietario de un inmueble pretende adelantar un proyecto de urbanización está en la obligación de ceder de manera gratuita a la entidad territorial un porcentaje del terreno sobre el cual va a construir para que </w:t>
      </w:r>
      <w:r w:rsidRPr="00B8334C">
        <w:rPr>
          <w:rFonts w:ascii="Verdana" w:eastAsia="Calibri" w:hAnsi="Verdana" w:cs="Arial"/>
          <w:lang w:val="es-ES"/>
        </w:rPr>
        <w:lastRenderedPageBreak/>
        <w:t>esa parte cumpla una función de utilidad o beneficio para la comunidad del sector que será objeto de urbanización. De esta forma “cada vez que se otorgan licencias de construcción, el municipio o, en el caso de Bogotá, el distrito, recibe un porcentaje de tierra a la que puede darle la función de parque, zona verde, vía de acceso o cualquier otra que represente un beneficio colectivo”</w:t>
      </w:r>
      <w:r w:rsidRPr="00B8334C">
        <w:rPr>
          <w:rStyle w:val="FootnoteReference"/>
          <w:rFonts w:ascii="Verdana" w:eastAsia="Calibri" w:hAnsi="Verdana" w:cs="Arial"/>
          <w:lang w:val="es-ES"/>
        </w:rPr>
        <w:footnoteReference w:id="11"/>
      </w:r>
      <w:r w:rsidRPr="00B8334C">
        <w:rPr>
          <w:rFonts w:ascii="Verdana" w:eastAsia="Calibri" w:hAnsi="Verdana" w:cs="Arial"/>
          <w:lang w:val="es-ES"/>
        </w:rPr>
        <w:t>.</w:t>
      </w:r>
    </w:p>
    <w:p w14:paraId="642368AB" w14:textId="1E426456" w:rsidR="00EC344C" w:rsidRPr="00B8334C" w:rsidRDefault="00EC344C" w:rsidP="00EC344C">
      <w:pPr>
        <w:spacing w:after="0" w:line="276" w:lineRule="auto"/>
        <w:ind w:firstLine="708"/>
        <w:jc w:val="both"/>
        <w:rPr>
          <w:rFonts w:ascii="Verdana" w:eastAsia="Calibri" w:hAnsi="Verdana" w:cs="Arial"/>
          <w:lang w:val="es-ES"/>
        </w:rPr>
      </w:pPr>
      <w:r w:rsidRPr="00B8334C">
        <w:rPr>
          <w:rFonts w:ascii="Verdana" w:eastAsia="Calibri" w:hAnsi="Verdana" w:cs="Arial"/>
          <w:lang w:val="es-ES"/>
        </w:rPr>
        <w:t>Sobre el carácter y naturaleza de estas cesiones tanto la jurisprudencia de la Corte Constitucional como del Consejo de Estado</w:t>
      </w:r>
      <w:r w:rsidR="00D80347" w:rsidRPr="00B8334C">
        <w:rPr>
          <w:rStyle w:val="FootnoteReference"/>
          <w:rFonts w:ascii="Verdana" w:eastAsia="Calibri" w:hAnsi="Verdana" w:cs="Arial"/>
          <w:lang w:val="es-ES"/>
        </w:rPr>
        <w:footnoteReference w:id="12"/>
      </w:r>
      <w:r w:rsidRPr="00B8334C">
        <w:rPr>
          <w:rFonts w:ascii="Verdana" w:eastAsia="Calibri" w:hAnsi="Verdana" w:cs="Arial"/>
          <w:lang w:val="es-ES"/>
        </w:rPr>
        <w:t xml:space="preserve"> han enfatizado que:</w:t>
      </w:r>
    </w:p>
    <w:p w14:paraId="3D735F55" w14:textId="77777777" w:rsidR="00EC344C" w:rsidRPr="00B8334C" w:rsidRDefault="00EC344C" w:rsidP="00EC344C">
      <w:pPr>
        <w:spacing w:before="120" w:after="120" w:line="276" w:lineRule="auto"/>
        <w:ind w:firstLine="708"/>
        <w:jc w:val="both"/>
        <w:rPr>
          <w:rFonts w:ascii="Verdana" w:eastAsia="Calibri" w:hAnsi="Verdana" w:cs="Arial"/>
          <w:lang w:val="es-ES"/>
        </w:rPr>
      </w:pPr>
      <w:r w:rsidRPr="00B8334C">
        <w:rPr>
          <w:rFonts w:ascii="Verdana" w:eastAsia="Calibri" w:hAnsi="Verdana" w:cs="Arial"/>
          <w:lang w:val="es-ES"/>
        </w:rPr>
        <w:t xml:space="preserve">1. No tienen un carácter oneroso, pues el ente territorial no realiza un pago por las mismas. En estricto sentido, el urbanizador o propietario del bien inmueble realiza una entrega definitiva y previa sobre una porción del terreno al ente territorial.  </w:t>
      </w:r>
    </w:p>
    <w:p w14:paraId="0E1D24D0" w14:textId="77777777" w:rsidR="00EC344C" w:rsidRPr="00B8334C" w:rsidRDefault="00EC344C" w:rsidP="00EC344C">
      <w:pPr>
        <w:spacing w:before="120" w:after="120" w:line="276" w:lineRule="auto"/>
        <w:ind w:firstLine="708"/>
        <w:jc w:val="both"/>
        <w:rPr>
          <w:rFonts w:ascii="Verdana" w:eastAsia="Calibri" w:hAnsi="Verdana" w:cs="Arial"/>
          <w:lang w:val="es-ES"/>
        </w:rPr>
      </w:pPr>
      <w:r w:rsidRPr="00B8334C">
        <w:rPr>
          <w:rFonts w:ascii="Verdana" w:eastAsia="Calibri" w:hAnsi="Verdana" w:cs="Arial"/>
          <w:lang w:val="es-ES"/>
        </w:rPr>
        <w:t xml:space="preserve">2. Estas cesiones constituyen una </w:t>
      </w:r>
      <w:r w:rsidRPr="00B8334C">
        <w:rPr>
          <w:rFonts w:ascii="Verdana" w:eastAsia="Calibri" w:hAnsi="Verdana" w:cs="Arial"/>
          <w:i/>
          <w:iCs/>
          <w:lang w:val="es-ES"/>
        </w:rPr>
        <w:t xml:space="preserve">contraprestación </w:t>
      </w:r>
      <w:r w:rsidRPr="00B8334C">
        <w:rPr>
          <w:rFonts w:ascii="Verdana" w:eastAsia="Calibri" w:hAnsi="Verdana" w:cs="Arial"/>
          <w:lang w:val="es-ES"/>
        </w:rPr>
        <w:t xml:space="preserve">que el propietario otorga al ente territorial por la obtención de la autorización de urbanización. En otras palabras, es una herramienta de ordenamiento que se exige a los constructores o particulares para la autorización y la realización de la actuación urbanística con el fin de </w:t>
      </w:r>
      <w:r w:rsidRPr="00B8334C">
        <w:rPr>
          <w:rFonts w:ascii="Verdana" w:eastAsia="Calibri" w:hAnsi="Verdana" w:cs="Arial"/>
          <w:i/>
          <w:iCs/>
          <w:lang w:val="es-ES"/>
        </w:rPr>
        <w:t>compensar el mayor valor</w:t>
      </w:r>
      <w:r w:rsidRPr="00B8334C">
        <w:rPr>
          <w:rFonts w:ascii="Verdana" w:eastAsia="Calibri" w:hAnsi="Verdana" w:cs="Arial"/>
          <w:lang w:val="es-ES"/>
        </w:rPr>
        <w:t xml:space="preserve"> que adquiere el propietario como consecuencia de su desarrollo.</w:t>
      </w:r>
    </w:p>
    <w:p w14:paraId="0F19E661" w14:textId="77777777" w:rsidR="00EC344C" w:rsidRPr="00B8334C" w:rsidRDefault="00EC344C" w:rsidP="00EC344C">
      <w:pPr>
        <w:spacing w:before="120" w:after="120" w:line="276" w:lineRule="auto"/>
        <w:ind w:firstLine="708"/>
        <w:jc w:val="both"/>
        <w:rPr>
          <w:rFonts w:ascii="Verdana" w:eastAsia="Calibri" w:hAnsi="Verdana" w:cs="Arial"/>
          <w:lang w:val="es-ES"/>
        </w:rPr>
      </w:pPr>
      <w:r w:rsidRPr="00B8334C">
        <w:rPr>
          <w:rFonts w:ascii="Verdana" w:eastAsia="Calibri" w:hAnsi="Verdana" w:cs="Arial"/>
          <w:lang w:val="es-ES"/>
        </w:rPr>
        <w:t>3. El objetivo de la cesión es contribuir con el desarrollo del espacio público en beneficio de la comunidad. Es por esto que la cesión obligatoria habilita a la administración para que reclame la generación de espacio público como aspecto fundamental y necesario en el equilibrio urbano que conlleva la realización de nuevas construcciones.</w:t>
      </w:r>
    </w:p>
    <w:p w14:paraId="6FA7CE28" w14:textId="77777777" w:rsidR="00EC344C" w:rsidRPr="00B8334C" w:rsidRDefault="00EC344C" w:rsidP="00EC344C">
      <w:pPr>
        <w:spacing w:before="120" w:after="120" w:line="276" w:lineRule="auto"/>
        <w:ind w:firstLine="708"/>
        <w:jc w:val="both"/>
        <w:rPr>
          <w:rFonts w:ascii="Verdana" w:eastAsia="Calibri" w:hAnsi="Verdana" w:cs="Arial"/>
          <w:lang w:val="es-ES"/>
        </w:rPr>
      </w:pPr>
      <w:r w:rsidRPr="00B8334C">
        <w:rPr>
          <w:rFonts w:ascii="Verdana" w:eastAsia="Calibri" w:hAnsi="Verdana" w:cs="Arial"/>
          <w:lang w:val="es-ES"/>
        </w:rPr>
        <w:t xml:space="preserve">4. Las condiciones de la cesión respetar criterios de proporcionalidad y equidad. Si las cesiones tienen como propósito compensar el mayor valor que adquiere el propietario como consecuencia del desarrollo, es necesario preservar un equilibrio entre la cesión y la compensación, de manera que no se imponga una carga al propietario que no está en el deber de soportar. Cuando esto ocurra, el Estado deberá reconocer la diferencia correspondiente, adelantando los procesos de negociación directa o de expropiación, con el fin de compensar el daño antijurídico producido. </w:t>
      </w:r>
    </w:p>
    <w:p w14:paraId="139CDA35" w14:textId="77777777" w:rsidR="00EC344C" w:rsidRPr="00B8334C" w:rsidRDefault="00EC344C" w:rsidP="00EC344C">
      <w:pPr>
        <w:spacing w:before="120" w:after="120" w:line="276" w:lineRule="auto"/>
        <w:ind w:firstLine="708"/>
        <w:jc w:val="both"/>
        <w:rPr>
          <w:rFonts w:ascii="Verdana" w:eastAsia="Calibri" w:hAnsi="Verdana" w:cs="Arial"/>
          <w:lang w:val="es-ES"/>
        </w:rPr>
      </w:pPr>
      <w:r w:rsidRPr="00B8334C">
        <w:rPr>
          <w:rFonts w:ascii="Verdana" w:eastAsia="Calibri" w:hAnsi="Verdana" w:cs="Arial"/>
          <w:lang w:val="es-ES"/>
        </w:rPr>
        <w:lastRenderedPageBreak/>
        <w:t xml:space="preserve">5. Corresponde a cada distrito o municipio reglamentar las condiciones en que deben producirse las cesiones gratuitas, de tal manera que sean equitativas para los propietarios de los predios en proceso de urbanización. Lo anterior pretende garantizar los derechos a la igualdad y a la propiedad, así como el equilibro entre la compensación y la cesión requerida. </w:t>
      </w:r>
    </w:p>
    <w:p w14:paraId="036BD888" w14:textId="77777777" w:rsidR="00EC344C" w:rsidRPr="00B8334C" w:rsidRDefault="00EC344C" w:rsidP="00EC344C">
      <w:pPr>
        <w:spacing w:before="120" w:after="0" w:line="276" w:lineRule="auto"/>
        <w:ind w:firstLine="708"/>
        <w:jc w:val="both"/>
        <w:rPr>
          <w:rFonts w:ascii="Verdana" w:eastAsia="Calibri" w:hAnsi="Verdana" w:cs="Arial"/>
          <w:lang w:val="es-ES"/>
        </w:rPr>
      </w:pPr>
      <w:r w:rsidRPr="00B8334C">
        <w:rPr>
          <w:rFonts w:ascii="Verdana" w:eastAsia="Calibri" w:hAnsi="Verdana" w:cs="Arial"/>
          <w:lang w:val="es-ES"/>
        </w:rPr>
        <w:t>Sobre el procedimiento que deben seguir los propietarios para efectuar la cesión obligatoria, el artículo 117 de la Ley 388 de 1997</w:t>
      </w:r>
      <w:r w:rsidRPr="00B8334C">
        <w:rPr>
          <w:rFonts w:ascii="Work Sans" w:hAnsi="Work Sans"/>
          <w:color w:val="333333"/>
          <w:sz w:val="25"/>
          <w:szCs w:val="25"/>
          <w:shd w:val="clear" w:color="auto" w:fill="FFFFFF"/>
          <w:lang w:val="es-ES"/>
        </w:rPr>
        <w:t>, a</w:t>
      </w:r>
      <w:r w:rsidRPr="00B8334C">
        <w:rPr>
          <w:rFonts w:ascii="Verdana" w:eastAsia="Calibri" w:hAnsi="Verdana" w:cs="Arial"/>
          <w:lang w:val="es-ES"/>
        </w:rPr>
        <w:t>dicionó el artículo 50 de la Ley 9 de 1989, con el siguiente parágrafo:</w:t>
      </w:r>
    </w:p>
    <w:p w14:paraId="5B5E9280" w14:textId="77777777" w:rsidR="00EC344C" w:rsidRPr="00B8334C" w:rsidRDefault="00EC344C" w:rsidP="00EC344C">
      <w:pPr>
        <w:spacing w:after="0" w:line="276" w:lineRule="auto"/>
        <w:jc w:val="both"/>
        <w:rPr>
          <w:rFonts w:ascii="Verdana" w:eastAsia="Calibri" w:hAnsi="Verdana" w:cs="Arial"/>
          <w:lang w:val="es-ES"/>
        </w:rPr>
      </w:pPr>
    </w:p>
    <w:p w14:paraId="56272213" w14:textId="77777777" w:rsidR="00EC344C" w:rsidRPr="00B8334C" w:rsidRDefault="00EC344C" w:rsidP="00EC344C">
      <w:pPr>
        <w:spacing w:after="0" w:line="240" w:lineRule="auto"/>
        <w:ind w:left="709" w:right="709"/>
        <w:jc w:val="both"/>
        <w:rPr>
          <w:rFonts w:ascii="Verdana" w:eastAsia="Calibri" w:hAnsi="Verdana" w:cs="Arial"/>
          <w:sz w:val="21"/>
          <w:szCs w:val="21"/>
          <w:lang w:val="es-ES"/>
        </w:rPr>
      </w:pPr>
      <w:r w:rsidRPr="00B8334C">
        <w:rPr>
          <w:rFonts w:ascii="Verdana" w:eastAsia="Calibri" w:hAnsi="Verdana" w:cs="Arial"/>
          <w:sz w:val="21"/>
          <w:szCs w:val="21"/>
          <w:lang w:val="es-ES"/>
        </w:rPr>
        <w:t>"Parágrafo. El espacio público resultante de los procesos de urbanización y construcción se incorporará con el solo procedimiento de registro de la escritura de constitución de la urbanización en la Oficina de Instrumentos Públicos, en la cual se determinen las áreas públicas objeto de cesión y las áreas privadas, por su localización y linderos. La escritura correspondiente deberá otorgarse y registrarse antes de la iniciación de las ventas del proyecto respectivo."</w:t>
      </w:r>
    </w:p>
    <w:p w14:paraId="36530A1F" w14:textId="77777777" w:rsidR="00EC344C" w:rsidRPr="00B8334C" w:rsidRDefault="00EC344C" w:rsidP="00EC344C">
      <w:pPr>
        <w:spacing w:after="0" w:line="240" w:lineRule="auto"/>
        <w:ind w:left="709" w:right="709"/>
        <w:jc w:val="both"/>
        <w:rPr>
          <w:rFonts w:ascii="Verdana" w:eastAsia="Calibri" w:hAnsi="Verdana" w:cs="Arial"/>
          <w:sz w:val="21"/>
          <w:szCs w:val="21"/>
          <w:lang w:val="es-ES"/>
        </w:rPr>
      </w:pPr>
    </w:p>
    <w:p w14:paraId="2AB80B39" w14:textId="77777777" w:rsidR="00EC344C" w:rsidRPr="00B8334C" w:rsidRDefault="00EC344C" w:rsidP="00EC344C">
      <w:pPr>
        <w:spacing w:after="120" w:line="276" w:lineRule="auto"/>
        <w:ind w:firstLine="708"/>
        <w:jc w:val="both"/>
        <w:rPr>
          <w:rFonts w:ascii="Verdana" w:eastAsia="Calibri" w:hAnsi="Verdana" w:cs="Arial"/>
          <w:lang w:val="es-ES"/>
        </w:rPr>
      </w:pPr>
      <w:r w:rsidRPr="00B8334C">
        <w:rPr>
          <w:rFonts w:ascii="Verdana" w:eastAsia="Calibri" w:hAnsi="Verdana" w:cs="Arial"/>
          <w:lang w:val="es-ES"/>
        </w:rPr>
        <w:t>Al respecto, el Decreto 1077 de 2015 regula, entre otros aspectos, el espacio público, las áreas de cesión, la incorporación de áreas públicas, la entrega material de las áreas de cesión y la entrega anticipada de cesiones. Por un lado, el artículo  2.2.6.1.4.5 señala que los planes de ordenamiento territorial, o los instrumentos que lo desarrollen o complementen, determinarán las especificaciones para la conformación y dotación de las cesiones gratuitas destinadas a vías, equipamientos colectivos y espacio público en general. Cuando las zonas de cesión presenten áreas inferiores a las mínimas exigidas, o cuando su ubicación sea inconveniente para el municipio o distrito, se podrán compensar en dinero o en otros inmuebles, en los términos que reglamente el Concejo municipal o distrital. Estas previsiones constarán en las respectivas licencias de urbanización o parcelación.</w:t>
      </w:r>
    </w:p>
    <w:p w14:paraId="719359E1" w14:textId="59A15D34" w:rsidR="00EC344C" w:rsidRPr="00B8334C" w:rsidRDefault="00EC344C" w:rsidP="00EC344C">
      <w:pPr>
        <w:spacing w:after="120" w:line="276" w:lineRule="auto"/>
        <w:ind w:firstLine="708"/>
        <w:jc w:val="both"/>
        <w:rPr>
          <w:rFonts w:ascii="Verdana" w:eastAsia="Calibri" w:hAnsi="Verdana" w:cs="Arial"/>
          <w:lang w:val="es-ES"/>
        </w:rPr>
      </w:pPr>
      <w:r w:rsidRPr="00B8334C">
        <w:rPr>
          <w:rFonts w:ascii="Verdana" w:eastAsia="Calibri" w:hAnsi="Verdana" w:cs="Arial"/>
          <w:lang w:val="es-ES"/>
        </w:rPr>
        <w:t xml:space="preserve">Por su parte, el artículo 2.2.6.1.4.6 establece el procedimiento de incorporación de áreas de cesión a áreas públicas. Para esto, reitera lo dispuesto en el artículo 117 de la Ley 388 de 1997 al señalar que el espacio público que resulte de los procesos de urbanización se incorporará “con el sólo procedimiento de registro de la escritura respectiva en la Oficina de Registro de Instrumentos Públicos, en la </w:t>
      </w:r>
      <w:r w:rsidR="00B8334C" w:rsidRPr="00B8334C">
        <w:rPr>
          <w:rFonts w:ascii="Verdana" w:eastAsia="Calibri" w:hAnsi="Verdana" w:cs="Arial"/>
          <w:lang w:val="es-ES"/>
        </w:rPr>
        <w:t>cual</w:t>
      </w:r>
      <w:r w:rsidRPr="00B8334C">
        <w:rPr>
          <w:rFonts w:ascii="Verdana" w:eastAsia="Calibri" w:hAnsi="Verdana" w:cs="Arial"/>
          <w:lang w:val="es-ES"/>
        </w:rPr>
        <w:t xml:space="preserve"> se determinen las áreas públicas objeto de cesión y las áreas privadas”. Para lo anterior, en la escritura pública se incluirá una cláusula en la que se establezca que ese acto implica la cesión gratuita de las zonas públicas </w:t>
      </w:r>
      <w:r w:rsidRPr="00B8334C">
        <w:rPr>
          <w:rFonts w:ascii="Verdana" w:eastAsia="Calibri" w:hAnsi="Verdana" w:cs="Arial"/>
          <w:lang w:val="es-ES"/>
        </w:rPr>
        <w:lastRenderedPageBreak/>
        <w:t xml:space="preserve">objeto de cesión obligatoria al ente territorial. Adicionalmente, se incluirá una cláusula en la </w:t>
      </w:r>
      <w:r w:rsidR="00B8334C" w:rsidRPr="00B8334C">
        <w:rPr>
          <w:rFonts w:ascii="Verdana" w:eastAsia="Calibri" w:hAnsi="Verdana" w:cs="Arial"/>
          <w:lang w:val="es-ES"/>
        </w:rPr>
        <w:t>escritura</w:t>
      </w:r>
      <w:r w:rsidRPr="00B8334C">
        <w:rPr>
          <w:rFonts w:ascii="Verdana" w:eastAsia="Calibri" w:hAnsi="Verdana" w:cs="Arial"/>
          <w:lang w:val="es-ES"/>
        </w:rPr>
        <w:t xml:space="preserve"> en la cual se aclare que el acto de cesión está sujeto a condición resolutoria, en el evento en que las obras y/o dotación de las zonas de cesión no se ejecuten en su totalidad durante el término de vigencia de la licencia o su revalidación. El propietario acreditará el cumplimiento de la </w:t>
      </w:r>
      <w:r w:rsidR="00B8334C" w:rsidRPr="00B8334C">
        <w:rPr>
          <w:rFonts w:ascii="Verdana" w:eastAsia="Calibri" w:hAnsi="Verdana" w:cs="Arial"/>
          <w:lang w:val="es-ES"/>
        </w:rPr>
        <w:t>condición</w:t>
      </w:r>
      <w:r w:rsidRPr="00B8334C">
        <w:rPr>
          <w:rFonts w:ascii="Verdana" w:eastAsia="Calibri" w:hAnsi="Verdana" w:cs="Arial"/>
          <w:lang w:val="es-ES"/>
        </w:rPr>
        <w:t xml:space="preserve"> con la </w:t>
      </w:r>
      <w:r w:rsidR="00B8334C" w:rsidRPr="00B8334C">
        <w:rPr>
          <w:rFonts w:ascii="Verdana" w:eastAsia="Calibri" w:hAnsi="Verdana" w:cs="Arial"/>
          <w:lang w:val="es-ES"/>
        </w:rPr>
        <w:t>certificación</w:t>
      </w:r>
      <w:r w:rsidRPr="00B8334C">
        <w:rPr>
          <w:rFonts w:ascii="Verdana" w:eastAsia="Calibri" w:hAnsi="Verdana" w:cs="Arial"/>
          <w:lang w:val="es-ES"/>
        </w:rPr>
        <w:t xml:space="preserve"> que expida la entidad responsable de la administración y mantenimiento del espacio público en la que conste la no ejecución de las obras y/o dotaciones correspondientes. En este caso se entenderá incumplida la obligación de entrega de la zona de cesión y, por tanto, no se tendrá por urbanizado el predio. De esta manera, la administración podrá devolver las áreas de cesión obligatoria a título gratuito, no entregadas, por ocurrencia de no materialización de un proyecto urbanístico.</w:t>
      </w:r>
    </w:p>
    <w:p w14:paraId="3CEBF437" w14:textId="6D96302D" w:rsidR="00EC344C" w:rsidRPr="00B8334C" w:rsidRDefault="00EC344C" w:rsidP="00EC344C">
      <w:pPr>
        <w:spacing w:after="120" w:line="276" w:lineRule="auto"/>
        <w:ind w:firstLine="708"/>
        <w:jc w:val="both"/>
        <w:rPr>
          <w:rFonts w:ascii="Verdana" w:eastAsia="Calibri" w:hAnsi="Verdana" w:cs="Arial"/>
          <w:lang w:val="es-ES"/>
        </w:rPr>
      </w:pPr>
      <w:r w:rsidRPr="00B8334C">
        <w:rPr>
          <w:rFonts w:ascii="Verdana" w:eastAsia="Calibri" w:hAnsi="Verdana" w:cs="Arial"/>
          <w:lang w:val="es-ES"/>
        </w:rPr>
        <w:t xml:space="preserve">El urbanizador </w:t>
      </w:r>
      <w:r w:rsidR="00B8334C" w:rsidRPr="00B8334C">
        <w:rPr>
          <w:rFonts w:ascii="Verdana" w:eastAsia="Calibri" w:hAnsi="Verdana" w:cs="Arial"/>
          <w:lang w:val="es-ES"/>
        </w:rPr>
        <w:t>avisará</w:t>
      </w:r>
      <w:r w:rsidRPr="00B8334C">
        <w:rPr>
          <w:rFonts w:ascii="Verdana" w:eastAsia="Calibri" w:hAnsi="Verdana" w:cs="Arial"/>
          <w:lang w:val="es-ES"/>
        </w:rPr>
        <w:t xml:space="preserve"> a la entidad municipal o distrital responsable acerca del otorgamiento de la escritura correspondiente. El Registrador de Instrumentos Públicos abrirá los folios de matrícula que correspondan a la cesión en los que figure el municipio o distrito cómo titular del dominio. Cuando ocurran cambios de manera previa a la entrega material al ente territorial, y durante la vigencia de la licencia </w:t>
      </w:r>
      <w:r w:rsidR="00B8334C" w:rsidRPr="00B8334C">
        <w:rPr>
          <w:rFonts w:ascii="Verdana" w:eastAsia="Calibri" w:hAnsi="Verdana" w:cs="Arial"/>
          <w:lang w:val="es-ES"/>
        </w:rPr>
        <w:t>urbanística</w:t>
      </w:r>
      <w:r w:rsidRPr="00B8334C">
        <w:rPr>
          <w:rFonts w:ascii="Verdana" w:eastAsia="Calibri" w:hAnsi="Verdana" w:cs="Arial"/>
          <w:lang w:val="es-ES"/>
        </w:rPr>
        <w:t>, sobre la</w:t>
      </w:r>
      <w:r w:rsidR="00B8334C">
        <w:rPr>
          <w:rFonts w:ascii="Verdana" w:eastAsia="Calibri" w:hAnsi="Verdana" w:cs="Arial"/>
          <w:lang w:val="es-ES"/>
        </w:rPr>
        <w:t xml:space="preserve"> configur</w:t>
      </w:r>
      <w:r w:rsidR="00B8334C" w:rsidRPr="00B8334C">
        <w:rPr>
          <w:rFonts w:ascii="Verdana" w:eastAsia="Calibri" w:hAnsi="Verdana" w:cs="Arial"/>
          <w:lang w:val="es-ES"/>
        </w:rPr>
        <w:t>ación o</w:t>
      </w:r>
      <w:r w:rsidRPr="00B8334C">
        <w:rPr>
          <w:rFonts w:ascii="Verdana" w:eastAsia="Calibri" w:hAnsi="Verdana" w:cs="Arial"/>
          <w:lang w:val="es-ES"/>
        </w:rPr>
        <w:t xml:space="preserve"> </w:t>
      </w:r>
      <w:r w:rsidR="00B8334C" w:rsidRPr="00B8334C">
        <w:rPr>
          <w:rFonts w:ascii="Verdana" w:eastAsia="Calibri" w:hAnsi="Verdana" w:cs="Arial"/>
          <w:lang w:val="es-ES"/>
        </w:rPr>
        <w:t>área</w:t>
      </w:r>
      <w:r w:rsidRPr="00B8334C">
        <w:rPr>
          <w:rFonts w:ascii="Verdana" w:eastAsia="Calibri" w:hAnsi="Verdana" w:cs="Arial"/>
          <w:lang w:val="es-ES"/>
        </w:rPr>
        <w:t xml:space="preserve"> de terreno objeto de </w:t>
      </w:r>
      <w:r w:rsidR="00B8334C" w:rsidRPr="00B8334C">
        <w:rPr>
          <w:rFonts w:ascii="Verdana" w:eastAsia="Calibri" w:hAnsi="Verdana" w:cs="Arial"/>
          <w:lang w:val="es-ES"/>
        </w:rPr>
        <w:t>cesión</w:t>
      </w:r>
      <w:r w:rsidRPr="00B8334C">
        <w:rPr>
          <w:rFonts w:ascii="Verdana" w:eastAsia="Calibri" w:hAnsi="Verdana" w:cs="Arial"/>
          <w:lang w:val="es-ES"/>
        </w:rPr>
        <w:t xml:space="preserve">, el titular de la licencia </w:t>
      </w:r>
      <w:r w:rsidR="00B8334C" w:rsidRPr="00B8334C">
        <w:rPr>
          <w:rFonts w:ascii="Verdana" w:eastAsia="Calibri" w:hAnsi="Verdana" w:cs="Arial"/>
          <w:lang w:val="es-ES"/>
        </w:rPr>
        <w:t>deberá</w:t>
      </w:r>
      <w:r w:rsidRPr="00B8334C">
        <w:rPr>
          <w:rFonts w:ascii="Verdana" w:eastAsia="Calibri" w:hAnsi="Verdana" w:cs="Arial"/>
          <w:lang w:val="es-ES"/>
        </w:rPr>
        <w:t xml:space="preserve"> otorgar la escritura </w:t>
      </w:r>
      <w:r w:rsidR="00B8334C" w:rsidRPr="00B8334C">
        <w:rPr>
          <w:rFonts w:ascii="Verdana" w:eastAsia="Calibri" w:hAnsi="Verdana" w:cs="Arial"/>
          <w:lang w:val="es-ES"/>
        </w:rPr>
        <w:t>pública</w:t>
      </w:r>
      <w:r w:rsidRPr="00B8334C">
        <w:rPr>
          <w:rFonts w:ascii="Verdana" w:eastAsia="Calibri" w:hAnsi="Verdana" w:cs="Arial"/>
          <w:lang w:val="es-ES"/>
        </w:rPr>
        <w:t xml:space="preserve"> de reforma a la escritura de </w:t>
      </w:r>
      <w:r w:rsidR="00B8334C" w:rsidRPr="00B8334C">
        <w:rPr>
          <w:rFonts w:ascii="Verdana" w:eastAsia="Calibri" w:hAnsi="Verdana" w:cs="Arial"/>
          <w:lang w:val="es-ES"/>
        </w:rPr>
        <w:t>constitución</w:t>
      </w:r>
      <w:r w:rsidRPr="00B8334C">
        <w:rPr>
          <w:rFonts w:ascii="Verdana" w:eastAsia="Calibri" w:hAnsi="Verdana" w:cs="Arial"/>
          <w:lang w:val="es-ES"/>
        </w:rPr>
        <w:t xml:space="preserve"> de urbanización, sin que se requiera la concurrencia y/o autorización de las autoridades municipales o distritales. De otro lado, corresponde a los municipios o distritos determinar los procedimientos para garantizar que a </w:t>
      </w:r>
      <w:r w:rsidR="00B8334C" w:rsidRPr="00B8334C">
        <w:rPr>
          <w:rFonts w:ascii="Verdana" w:eastAsia="Calibri" w:hAnsi="Verdana" w:cs="Arial"/>
          <w:lang w:val="es-ES"/>
        </w:rPr>
        <w:t>través</w:t>
      </w:r>
      <w:r w:rsidRPr="00B8334C">
        <w:rPr>
          <w:rFonts w:ascii="Verdana" w:eastAsia="Calibri" w:hAnsi="Verdana" w:cs="Arial"/>
          <w:lang w:val="es-ES"/>
        </w:rPr>
        <w:t xml:space="preserve"> de la correspondiente escritura </w:t>
      </w:r>
      <w:r w:rsidR="00B8334C" w:rsidRPr="00B8334C">
        <w:rPr>
          <w:rFonts w:ascii="Verdana" w:eastAsia="Calibri" w:hAnsi="Verdana" w:cs="Arial"/>
          <w:lang w:val="es-ES"/>
        </w:rPr>
        <w:t>pública</w:t>
      </w:r>
      <w:r w:rsidRPr="00B8334C">
        <w:rPr>
          <w:rFonts w:ascii="Verdana" w:eastAsia="Calibri" w:hAnsi="Verdana" w:cs="Arial"/>
          <w:lang w:val="es-ES"/>
        </w:rPr>
        <w:t xml:space="preserve"> las </w:t>
      </w:r>
      <w:r w:rsidR="00B8334C" w:rsidRPr="00B8334C">
        <w:rPr>
          <w:rFonts w:ascii="Verdana" w:eastAsia="Calibri" w:hAnsi="Verdana" w:cs="Arial"/>
          <w:lang w:val="es-ES"/>
        </w:rPr>
        <w:t>áreas</w:t>
      </w:r>
      <w:r w:rsidRPr="00B8334C">
        <w:rPr>
          <w:rFonts w:ascii="Verdana" w:eastAsia="Calibri" w:hAnsi="Verdana" w:cs="Arial"/>
          <w:lang w:val="es-ES"/>
        </w:rPr>
        <w:t xml:space="preserve"> objeto de </w:t>
      </w:r>
      <w:r w:rsidR="00B8334C" w:rsidRPr="00B8334C">
        <w:rPr>
          <w:rFonts w:ascii="Verdana" w:eastAsia="Calibri" w:hAnsi="Verdana" w:cs="Arial"/>
          <w:lang w:val="es-ES"/>
        </w:rPr>
        <w:t>cesión</w:t>
      </w:r>
      <w:r w:rsidRPr="00B8334C">
        <w:rPr>
          <w:rFonts w:ascii="Verdana" w:eastAsia="Calibri" w:hAnsi="Verdana" w:cs="Arial"/>
          <w:lang w:val="es-ES"/>
        </w:rPr>
        <w:t xml:space="preserve"> </w:t>
      </w:r>
      <w:r w:rsidR="00B8334C" w:rsidRPr="00B8334C">
        <w:rPr>
          <w:rFonts w:ascii="Verdana" w:eastAsia="Calibri" w:hAnsi="Verdana" w:cs="Arial"/>
          <w:lang w:val="es-ES"/>
        </w:rPr>
        <w:t>ingresen</w:t>
      </w:r>
      <w:r w:rsidRPr="00B8334C">
        <w:rPr>
          <w:rFonts w:ascii="Verdana" w:eastAsia="Calibri" w:hAnsi="Verdana" w:cs="Arial"/>
          <w:lang w:val="es-ES"/>
        </w:rPr>
        <w:t xml:space="preserve"> a su inventario mobiliario. </w:t>
      </w:r>
    </w:p>
    <w:p w14:paraId="4304B5FA" w14:textId="77777777" w:rsidR="00EC344C" w:rsidRPr="00B8334C" w:rsidRDefault="00EC344C" w:rsidP="00EC344C">
      <w:pPr>
        <w:spacing w:before="120" w:after="120" w:line="276" w:lineRule="auto"/>
        <w:ind w:firstLine="708"/>
        <w:jc w:val="both"/>
        <w:rPr>
          <w:rFonts w:ascii="Verdana" w:eastAsia="Calibri" w:hAnsi="Verdana" w:cs="Arial"/>
          <w:lang w:val="es-ES"/>
        </w:rPr>
      </w:pPr>
      <w:r w:rsidRPr="00B8334C">
        <w:rPr>
          <w:rFonts w:ascii="Verdana" w:eastAsia="Calibri" w:hAnsi="Verdana" w:cs="Arial"/>
          <w:lang w:val="es-ES"/>
        </w:rPr>
        <w:t xml:space="preserve">El marco jurídico expuesto evidencia que el área otorgada en virtud de cesión gratuita al ente territorial obedece a la contraprestación del urbanizador por la construcción del proyecto, de modo que esta constituye una </w:t>
      </w:r>
      <w:r w:rsidRPr="00B8334C">
        <w:rPr>
          <w:rFonts w:ascii="Verdana" w:eastAsia="Calibri" w:hAnsi="Verdana" w:cs="Arial"/>
          <w:i/>
          <w:iCs/>
          <w:u w:val="single"/>
          <w:lang w:val="es-ES"/>
        </w:rPr>
        <w:t>carga obligatoria</w:t>
      </w:r>
      <w:r w:rsidRPr="00B8334C">
        <w:rPr>
          <w:rFonts w:ascii="Verdana" w:eastAsia="Calibri" w:hAnsi="Verdana" w:cs="Arial"/>
          <w:lang w:val="es-ES"/>
        </w:rPr>
        <w:t xml:space="preserve"> establecida por la ley, conforme al proceso de construcción y edificación que se llevó a cabo. En efecto la cesión corresponde al cumplimiento de una obligación que surge en cabeza del propietario con ocasión al desarrollo del proyecto de urbanización y se materializa con el sólo registro de la escritura respectiva en la Oficina de Registro de Instrumentos Públicos. De esta forma, no es el resultado de un negocio jurídico que surja de un acuerdo de voluntades en el que las partes cedan libremente el terreno; la cesión no corresponde entonces a la celebración de un contrato estatal a la cual le sean aplicables las </w:t>
      </w:r>
      <w:r w:rsidRPr="00B8334C">
        <w:rPr>
          <w:rFonts w:ascii="Verdana" w:eastAsia="Calibri" w:hAnsi="Verdana" w:cs="Arial"/>
          <w:lang w:val="es-ES"/>
        </w:rPr>
        <w:lastRenderedPageBreak/>
        <w:t>inhabilidades o incompatibilidades establecidas en el artículo 8 de la Ley 80 de 1993, cuya interpretación no puede extenderse a supuestos distintos a los allí establecidos. De hecho, no sería de recibo que el propietario alegue la existencia de una inhabilidad para celebrar contratos estatales como justificación para el incumplimiento de la obligación que le impone la normativa de realizar la cesión gratuita a favor del ente territorial.</w:t>
      </w:r>
    </w:p>
    <w:p w14:paraId="26C6030D" w14:textId="77777777" w:rsidR="00EC344C" w:rsidRPr="00B8334C" w:rsidRDefault="00EC344C" w:rsidP="00EC344C">
      <w:pPr>
        <w:pStyle w:val="ListParagraph"/>
        <w:numPr>
          <w:ilvl w:val="0"/>
          <w:numId w:val="16"/>
        </w:numPr>
        <w:spacing w:line="276" w:lineRule="auto"/>
        <w:jc w:val="both"/>
        <w:rPr>
          <w:rFonts w:ascii="Verdana" w:eastAsia="Century Gothic" w:hAnsi="Verdana" w:cs="Century Gothic"/>
          <w:b/>
          <w:bCs/>
          <w:color w:val="000000" w:themeColor="text1"/>
        </w:rPr>
      </w:pPr>
      <w:r w:rsidRPr="00B8334C">
        <w:rPr>
          <w:rFonts w:ascii="Verdana" w:eastAsia="Century Gothic" w:hAnsi="Verdana" w:cs="Century Gothic"/>
          <w:b/>
          <w:bCs/>
          <w:color w:val="000000" w:themeColor="text1"/>
        </w:rPr>
        <w:t>Referencias normativas, jurisprudenciales y otras fuentes:</w:t>
      </w:r>
    </w:p>
    <w:p w14:paraId="156FCB4A" w14:textId="77777777" w:rsidR="00EC344C" w:rsidRPr="00B8334C" w:rsidRDefault="00EC344C" w:rsidP="00EC344C">
      <w:pPr>
        <w:pStyle w:val="ListParagraph"/>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C344C" w:rsidRPr="00B8334C" w14:paraId="637E5F8A" w14:textId="77777777" w:rsidTr="0036622E">
        <w:trPr>
          <w:trHeight w:val="870"/>
        </w:trPr>
        <w:tc>
          <w:tcPr>
            <w:tcW w:w="8647" w:type="dxa"/>
          </w:tcPr>
          <w:p w14:paraId="7CD686E2" w14:textId="77777777" w:rsidR="00EC344C" w:rsidRPr="00B8334C" w:rsidRDefault="00EC344C" w:rsidP="00EC344C">
            <w:pPr>
              <w:widowControl w:val="0"/>
              <w:numPr>
                <w:ilvl w:val="0"/>
                <w:numId w:val="17"/>
              </w:numPr>
              <w:autoSpaceDE w:val="0"/>
              <w:autoSpaceDN w:val="0"/>
              <w:spacing w:before="120" w:after="120" w:line="276" w:lineRule="auto"/>
              <w:jc w:val="both"/>
              <w:rPr>
                <w:rFonts w:ascii="Verdana" w:hAnsi="Verdana" w:cs="Arial"/>
                <w:lang w:val="es-ES"/>
              </w:rPr>
            </w:pPr>
            <w:r w:rsidRPr="00B8334C">
              <w:rPr>
                <w:rFonts w:ascii="Verdana" w:hAnsi="Verdana" w:cs="Arial"/>
                <w:lang w:val="es-ES"/>
              </w:rPr>
              <w:t>Ley 80 de 1993, artículo 8.</w:t>
            </w:r>
          </w:p>
          <w:p w14:paraId="4D01845C" w14:textId="77777777" w:rsidR="00EC344C" w:rsidRPr="00B8334C" w:rsidRDefault="00EC344C" w:rsidP="00EC344C">
            <w:pPr>
              <w:widowControl w:val="0"/>
              <w:numPr>
                <w:ilvl w:val="0"/>
                <w:numId w:val="17"/>
              </w:numPr>
              <w:autoSpaceDE w:val="0"/>
              <w:autoSpaceDN w:val="0"/>
              <w:spacing w:before="120" w:after="120" w:line="276" w:lineRule="auto"/>
              <w:jc w:val="both"/>
              <w:rPr>
                <w:rFonts w:ascii="Verdana" w:hAnsi="Verdana" w:cs="Arial"/>
                <w:lang w:val="es-ES"/>
              </w:rPr>
            </w:pPr>
            <w:r w:rsidRPr="00B8334C">
              <w:rPr>
                <w:rFonts w:ascii="Verdana" w:eastAsia="Calibri" w:hAnsi="Verdana" w:cs="Arial"/>
                <w:lang w:val="es-ES"/>
              </w:rPr>
              <w:t>Ley 9</w:t>
            </w:r>
            <w:r w:rsidRPr="00B8334C">
              <w:rPr>
                <w:rFonts w:ascii="Verdana" w:eastAsia="Calibri" w:hAnsi="Verdana" w:cs="Arial"/>
                <w:vertAlign w:val="superscript"/>
                <w:lang w:val="es-ES"/>
              </w:rPr>
              <w:t> </w:t>
            </w:r>
            <w:r w:rsidRPr="00B8334C">
              <w:rPr>
                <w:rFonts w:ascii="Verdana" w:eastAsia="Calibri" w:hAnsi="Verdana" w:cs="Arial"/>
                <w:lang w:val="es-ES"/>
              </w:rPr>
              <w:t xml:space="preserve">de 1989, artículo7. </w:t>
            </w:r>
          </w:p>
          <w:p w14:paraId="4E3FABCA" w14:textId="77777777" w:rsidR="00EC344C" w:rsidRPr="00B8334C" w:rsidRDefault="00EC344C" w:rsidP="00EC344C">
            <w:pPr>
              <w:widowControl w:val="0"/>
              <w:numPr>
                <w:ilvl w:val="0"/>
                <w:numId w:val="17"/>
              </w:numPr>
              <w:autoSpaceDE w:val="0"/>
              <w:autoSpaceDN w:val="0"/>
              <w:spacing w:before="120" w:after="120" w:line="276" w:lineRule="auto"/>
              <w:jc w:val="both"/>
              <w:rPr>
                <w:rFonts w:ascii="Verdana" w:hAnsi="Verdana" w:cs="Arial"/>
                <w:lang w:val="es-ES"/>
              </w:rPr>
            </w:pPr>
            <w:r w:rsidRPr="00B8334C">
              <w:rPr>
                <w:rFonts w:ascii="Verdana" w:eastAsia="Calibri" w:hAnsi="Verdana" w:cs="Arial"/>
                <w:lang w:val="es-ES"/>
              </w:rPr>
              <w:t>Ley 388 de 1997, artículos 37 y 117.</w:t>
            </w:r>
          </w:p>
          <w:p w14:paraId="7BAE5393" w14:textId="77777777" w:rsidR="00EC344C" w:rsidRPr="00B8334C" w:rsidRDefault="00EC344C" w:rsidP="00EC344C">
            <w:pPr>
              <w:widowControl w:val="0"/>
              <w:numPr>
                <w:ilvl w:val="0"/>
                <w:numId w:val="17"/>
              </w:numPr>
              <w:autoSpaceDE w:val="0"/>
              <w:autoSpaceDN w:val="0"/>
              <w:spacing w:before="120" w:after="120" w:line="276" w:lineRule="auto"/>
              <w:jc w:val="both"/>
              <w:rPr>
                <w:rFonts w:ascii="Verdana" w:hAnsi="Verdana" w:cs="Arial"/>
                <w:lang w:val="es-ES"/>
              </w:rPr>
            </w:pPr>
            <w:r w:rsidRPr="00B8334C">
              <w:rPr>
                <w:rFonts w:ascii="Verdana" w:eastAsia="Calibri" w:hAnsi="Verdana" w:cs="Arial"/>
                <w:lang w:val="es-ES"/>
              </w:rPr>
              <w:t>Decreto 1077 de 2015, artículos 2.2.6.1.4.5 y s.s.</w:t>
            </w:r>
          </w:p>
          <w:p w14:paraId="6E27473B" w14:textId="77777777" w:rsidR="00EC344C" w:rsidRPr="00B8334C" w:rsidRDefault="00EC344C" w:rsidP="00EC344C">
            <w:pPr>
              <w:widowControl w:val="0"/>
              <w:numPr>
                <w:ilvl w:val="0"/>
                <w:numId w:val="17"/>
              </w:numPr>
              <w:autoSpaceDE w:val="0"/>
              <w:autoSpaceDN w:val="0"/>
              <w:spacing w:before="120" w:after="120" w:line="276" w:lineRule="auto"/>
              <w:jc w:val="both"/>
              <w:rPr>
                <w:rFonts w:ascii="Verdana" w:hAnsi="Verdana" w:cs="Arial"/>
                <w:lang w:val="es-ES"/>
              </w:rPr>
            </w:pPr>
            <w:r w:rsidRPr="00B8334C">
              <w:rPr>
                <w:rFonts w:ascii="Verdana" w:hAnsi="Verdana" w:cs="Arial"/>
                <w:lang w:val="es-ES"/>
              </w:rPr>
              <w:t xml:space="preserve">Corte Constitucional, sentencia </w:t>
            </w:r>
            <w:r w:rsidRPr="00B8334C">
              <w:rPr>
                <w:rFonts w:ascii="Verdana" w:eastAsia="Calibri" w:hAnsi="Verdana" w:cs="Arial"/>
                <w:lang w:val="es-ES"/>
              </w:rPr>
              <w:t>C-495 de 1998.</w:t>
            </w:r>
          </w:p>
          <w:p w14:paraId="69C91D85" w14:textId="73E486C2" w:rsidR="00A156C0" w:rsidRPr="00B8334C" w:rsidRDefault="00A156C0" w:rsidP="00EC344C">
            <w:pPr>
              <w:widowControl w:val="0"/>
              <w:numPr>
                <w:ilvl w:val="0"/>
                <w:numId w:val="17"/>
              </w:numPr>
              <w:autoSpaceDE w:val="0"/>
              <w:autoSpaceDN w:val="0"/>
              <w:spacing w:before="120" w:after="120" w:line="276" w:lineRule="auto"/>
              <w:jc w:val="both"/>
              <w:rPr>
                <w:rFonts w:ascii="Verdana" w:hAnsi="Verdana" w:cs="Arial"/>
                <w:lang w:val="es-ES"/>
              </w:rPr>
            </w:pPr>
            <w:r w:rsidRPr="00B8334C">
              <w:rPr>
                <w:rFonts w:ascii="Verdana" w:hAnsi="Verdana"/>
                <w:lang w:val="es-ES"/>
              </w:rPr>
              <w:t>Consejo de Estado. Sección Primera. Sentencia del once (11) de marzo de dos mil veintiuno (2021). Radicación número: 05001-23-31-000-2006-03075-01. Consejero ponente: Oswaldo Giraldo López.</w:t>
            </w:r>
          </w:p>
        </w:tc>
      </w:tr>
    </w:tbl>
    <w:p w14:paraId="02242460" w14:textId="77777777" w:rsidR="00EC344C" w:rsidRPr="00B8334C" w:rsidRDefault="00EC344C" w:rsidP="00EC344C">
      <w:pPr>
        <w:widowControl w:val="0"/>
        <w:autoSpaceDE w:val="0"/>
        <w:autoSpaceDN w:val="0"/>
        <w:spacing w:after="0" w:line="276" w:lineRule="auto"/>
        <w:jc w:val="both"/>
        <w:rPr>
          <w:rFonts w:ascii="Verdana" w:hAnsi="Verdana" w:cs="Arial"/>
          <w:color w:val="000000" w:themeColor="text1"/>
          <w:lang w:val="es-ES"/>
        </w:rPr>
      </w:pPr>
    </w:p>
    <w:p w14:paraId="3F94384A" w14:textId="77777777" w:rsidR="00EC344C" w:rsidRPr="00B8334C" w:rsidRDefault="00EC344C" w:rsidP="00EC344C">
      <w:pPr>
        <w:pStyle w:val="ListParagraph"/>
        <w:numPr>
          <w:ilvl w:val="0"/>
          <w:numId w:val="16"/>
        </w:numPr>
        <w:tabs>
          <w:tab w:val="left" w:pos="142"/>
          <w:tab w:val="left" w:pos="284"/>
        </w:tabs>
        <w:spacing w:after="120" w:line="276" w:lineRule="auto"/>
        <w:ind w:left="0" w:firstLine="0"/>
        <w:contextualSpacing w:val="0"/>
        <w:jc w:val="both"/>
        <w:rPr>
          <w:rFonts w:ascii="Verdana" w:eastAsia="Century Gothic" w:hAnsi="Verdana" w:cs="Century Gothic"/>
          <w:b/>
          <w:bCs/>
          <w:color w:val="000000" w:themeColor="text1"/>
        </w:rPr>
      </w:pPr>
      <w:r w:rsidRPr="00B8334C">
        <w:rPr>
          <w:rFonts w:ascii="Verdana" w:eastAsia="Century Gothic" w:hAnsi="Verdana" w:cs="Century Gothic"/>
          <w:b/>
          <w:bCs/>
          <w:color w:val="000000" w:themeColor="text1"/>
        </w:rPr>
        <w:t>Doctrina de la Agencia Nacional de Contratación Pública:</w:t>
      </w:r>
    </w:p>
    <w:p w14:paraId="34403851" w14:textId="77777777" w:rsidR="00EC344C" w:rsidRPr="00B8334C" w:rsidRDefault="00EC344C" w:rsidP="00EC344C">
      <w:pPr>
        <w:widowControl w:val="0"/>
        <w:autoSpaceDE w:val="0"/>
        <w:autoSpaceDN w:val="0"/>
        <w:spacing w:after="0" w:line="276" w:lineRule="auto"/>
        <w:jc w:val="both"/>
        <w:rPr>
          <w:rStyle w:val="normaltextrun"/>
          <w:rFonts w:ascii="Verdana" w:hAnsi="Verdana" w:cs="Arial"/>
          <w:shd w:val="clear" w:color="auto" w:fill="FFFFFF"/>
          <w:lang w:val="es-ES"/>
        </w:rPr>
      </w:pPr>
      <w:r w:rsidRPr="00B8334C">
        <w:rPr>
          <w:rStyle w:val="normaltextrun"/>
          <w:rFonts w:ascii="Verdana" w:hAnsi="Verdana" w:cs="Arial"/>
          <w:color w:val="000000" w:themeColor="text1"/>
          <w:shd w:val="clear" w:color="auto" w:fill="FFFFFF"/>
          <w:lang w:val="es-ES"/>
        </w:rPr>
        <w:t xml:space="preserve">La Agencia Nacional de Contratación Pública – Colombia Compra Eficiente  se </w:t>
      </w:r>
      <w:r w:rsidRPr="00B8334C">
        <w:rPr>
          <w:rFonts w:ascii="Verdana" w:hAnsi="Verdana" w:cs="Arial"/>
          <w:shd w:val="clear" w:color="auto" w:fill="FFFFFF"/>
          <w:lang w:val="es-ES"/>
        </w:rPr>
        <w:t xml:space="preserve">ha referido al régimen de inhabilidades e incompatibilidades en los conceptos </w:t>
      </w:r>
      <w:r w:rsidRPr="00B8334C">
        <w:rPr>
          <w:rFonts w:ascii="Verdana" w:eastAsia="Calibri" w:hAnsi="Verdana" w:cs="Arial"/>
          <w:lang w:val="es-ES"/>
        </w:rPr>
        <w:t>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y C-039 del 23 de abril de 2024,</w:t>
      </w:r>
      <w:r w:rsidRPr="00B8334C">
        <w:rPr>
          <w:rFonts w:ascii="Verdana" w:hAnsi="Verdana" w:cs="Arial"/>
          <w:bCs/>
          <w:shd w:val="clear" w:color="auto" w:fill="FFFFFF"/>
          <w:lang w:val="es-ES"/>
        </w:rPr>
        <w:t xml:space="preserve"> entre otros</w:t>
      </w:r>
      <w:r w:rsidRPr="00B8334C">
        <w:rPr>
          <w:rStyle w:val="normaltextrun"/>
          <w:rFonts w:ascii="Verdana" w:hAnsi="Verdana" w:cs="Arial"/>
          <w:color w:val="000000" w:themeColor="text1"/>
          <w:shd w:val="clear" w:color="auto" w:fill="FFFFFF"/>
          <w:lang w:val="es-ES"/>
        </w:rPr>
        <w:t xml:space="preserve">. </w:t>
      </w:r>
      <w:r w:rsidRPr="00B8334C">
        <w:rPr>
          <w:rStyle w:val="normaltextrun"/>
          <w:rFonts w:ascii="Verdana" w:hAnsi="Verdana" w:cs="Arial"/>
          <w:shd w:val="clear" w:color="auto" w:fill="FFFFFF"/>
          <w:lang w:val="es-ES"/>
        </w:rPr>
        <w:t>Estos y otros conceptos se encuentran disponibles para consulta en el Sistema de relatoría de la Agencia</w:t>
      </w:r>
      <w:r w:rsidRPr="00B8334C">
        <w:rPr>
          <w:rFonts w:ascii="Verdana" w:hAnsi="Verdana"/>
          <w:lang w:val="es-ES"/>
        </w:rPr>
        <w:t>, al cual puede accederse a través del siguiente enlace:</w:t>
      </w:r>
      <w:r w:rsidRPr="00B8334C">
        <w:rPr>
          <w:rStyle w:val="normaltextrun"/>
          <w:rFonts w:ascii="Verdana" w:hAnsi="Verdana" w:cs="Arial"/>
          <w:shd w:val="clear" w:color="auto" w:fill="FFFFFF"/>
          <w:lang w:val="es-ES"/>
        </w:rPr>
        <w:t xml:space="preserve"> </w:t>
      </w:r>
      <w:hyperlink r:id="rId13" w:history="1">
        <w:r w:rsidRPr="00B8334C">
          <w:rPr>
            <w:rStyle w:val="Hyperlink"/>
            <w:rFonts w:ascii="Verdana" w:hAnsi="Verdana" w:cs="Arial"/>
            <w:shd w:val="clear" w:color="auto" w:fill="FFFFFF"/>
            <w:lang w:val="es-ES"/>
          </w:rPr>
          <w:t>https://relatoria.colombiacompra.gov.co/busqueda/conceptos</w:t>
        </w:r>
      </w:hyperlink>
      <w:r w:rsidRPr="00B8334C">
        <w:rPr>
          <w:rStyle w:val="normaltextrun"/>
          <w:rFonts w:ascii="Verdana" w:hAnsi="Verdana" w:cs="Arial"/>
          <w:shd w:val="clear" w:color="auto" w:fill="FFFFFF"/>
          <w:lang w:val="es-ES"/>
        </w:rPr>
        <w:t>.</w:t>
      </w:r>
      <w:r w:rsidRPr="00B8334C">
        <w:rPr>
          <w:rStyle w:val="normaltextrun"/>
          <w:rFonts w:ascii="Verdana" w:hAnsi="Verdana" w:cs="Arial"/>
          <w:color w:val="FF0000"/>
          <w:shd w:val="clear" w:color="auto" w:fill="FFFFFF"/>
          <w:lang w:val="es-ES"/>
        </w:rPr>
        <w:t xml:space="preserve"> </w:t>
      </w:r>
    </w:p>
    <w:p w14:paraId="1EBD4635" w14:textId="77777777" w:rsidR="00EC344C" w:rsidRPr="00B8334C" w:rsidRDefault="00EC344C" w:rsidP="00EC344C">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E3B1D5E" w14:textId="77777777" w:rsidR="00EC344C" w:rsidRPr="00B8334C" w:rsidRDefault="00EC344C" w:rsidP="00EC344C">
      <w:pPr>
        <w:spacing w:after="0" w:line="276" w:lineRule="auto"/>
        <w:jc w:val="both"/>
        <w:rPr>
          <w:rFonts w:ascii="Verdana" w:hAnsi="Verdana"/>
          <w:lang w:val="es-ES"/>
        </w:rPr>
      </w:pPr>
      <w:r w:rsidRPr="00B8334C">
        <w:rPr>
          <w:rFonts w:ascii="Verdana" w:hAnsi="Verdana"/>
          <w:lang w:val="es-ES"/>
        </w:rPr>
        <w:lastRenderedPageBreak/>
        <w:t xml:space="preserve">Por último, lo invitamos a seguirnos en las redes sociales en las cuales se difunde información institucional: </w:t>
      </w:r>
    </w:p>
    <w:p w14:paraId="1CE28F3E" w14:textId="77777777" w:rsidR="00EC344C" w:rsidRPr="00B8334C" w:rsidRDefault="00EC344C" w:rsidP="00EC344C">
      <w:pPr>
        <w:spacing w:after="0" w:line="276" w:lineRule="auto"/>
        <w:jc w:val="both"/>
        <w:rPr>
          <w:rFonts w:ascii="Verdana" w:hAnsi="Verdana"/>
          <w:lang w:val="es-ES"/>
        </w:rPr>
      </w:pPr>
    </w:p>
    <w:p w14:paraId="3A9E0D2C" w14:textId="77777777" w:rsidR="00EC344C" w:rsidRPr="00B8334C" w:rsidRDefault="00EC344C" w:rsidP="00EC344C">
      <w:pPr>
        <w:spacing w:after="0" w:line="276" w:lineRule="auto"/>
        <w:jc w:val="both"/>
        <w:rPr>
          <w:rFonts w:ascii="Verdana" w:hAnsi="Verdana"/>
          <w:lang w:val="es-ES"/>
        </w:rPr>
      </w:pPr>
      <w:r w:rsidRPr="00B8334C">
        <w:rPr>
          <w:rFonts w:ascii="Verdana" w:hAnsi="Verdana"/>
          <w:lang w:val="es-ES"/>
        </w:rPr>
        <w:t xml:space="preserve">Twitter: </w:t>
      </w:r>
      <w:r w:rsidRPr="00B8334C">
        <w:rPr>
          <w:rStyle w:val="Hyperlink"/>
          <w:rFonts w:ascii="Verdana" w:hAnsi="Verdana" w:cs="Arial"/>
          <w:shd w:val="clear" w:color="auto" w:fill="FFFFFF"/>
          <w:lang w:val="es-ES"/>
        </w:rPr>
        <w:t>@colombiacompra</w:t>
      </w:r>
      <w:r w:rsidRPr="00B8334C">
        <w:rPr>
          <w:rFonts w:ascii="Verdana" w:hAnsi="Verdana"/>
          <w:color w:val="4472C4" w:themeColor="accent1"/>
          <w:lang w:val="es-ES"/>
        </w:rPr>
        <w:t xml:space="preserve"> </w:t>
      </w:r>
    </w:p>
    <w:p w14:paraId="5C6C2E0B" w14:textId="77777777" w:rsidR="00EC344C" w:rsidRPr="00B8334C" w:rsidRDefault="00EC344C" w:rsidP="00EC344C">
      <w:pPr>
        <w:spacing w:after="0" w:line="276" w:lineRule="auto"/>
        <w:jc w:val="both"/>
        <w:rPr>
          <w:rFonts w:ascii="Verdana" w:hAnsi="Verdana"/>
          <w:lang w:val="es-ES"/>
        </w:rPr>
      </w:pPr>
      <w:r w:rsidRPr="00B8334C">
        <w:rPr>
          <w:rFonts w:ascii="Verdana" w:hAnsi="Verdana"/>
          <w:lang w:val="es-ES"/>
        </w:rPr>
        <w:t xml:space="preserve">Facebook: </w:t>
      </w:r>
      <w:proofErr w:type="spellStart"/>
      <w:r w:rsidRPr="00B8334C">
        <w:rPr>
          <w:rStyle w:val="Hyperlink"/>
          <w:rFonts w:ascii="Verdana" w:hAnsi="Verdana" w:cs="Arial"/>
          <w:shd w:val="clear" w:color="auto" w:fill="FFFFFF"/>
          <w:lang w:val="es-ES"/>
        </w:rPr>
        <w:t>ColombiaCompraEficiente</w:t>
      </w:r>
      <w:proofErr w:type="spellEnd"/>
    </w:p>
    <w:p w14:paraId="3D2F4CC3" w14:textId="77777777" w:rsidR="00EC344C" w:rsidRPr="00B8334C" w:rsidRDefault="00EC344C" w:rsidP="00EC344C">
      <w:pPr>
        <w:spacing w:after="0" w:line="276" w:lineRule="auto"/>
        <w:jc w:val="both"/>
        <w:rPr>
          <w:rFonts w:ascii="Verdana" w:hAnsi="Verdana"/>
          <w:lang w:val="es-ES"/>
        </w:rPr>
      </w:pPr>
      <w:r w:rsidRPr="00B8334C">
        <w:rPr>
          <w:rFonts w:ascii="Verdana" w:hAnsi="Verdana"/>
          <w:lang w:val="es-ES"/>
        </w:rPr>
        <w:t xml:space="preserve">LinkedIn: </w:t>
      </w:r>
      <w:r w:rsidRPr="00B8334C">
        <w:rPr>
          <w:rStyle w:val="Hyperlink"/>
          <w:rFonts w:ascii="Verdana" w:hAnsi="Verdana" w:cs="Arial"/>
          <w:shd w:val="clear" w:color="auto" w:fill="FFFFFF"/>
          <w:lang w:val="es-ES"/>
        </w:rPr>
        <w:t xml:space="preserve">Agencia Nacional de Contratación Pública - Colombia Compra Eficiente </w:t>
      </w:r>
      <w:r w:rsidRPr="00B8334C">
        <w:rPr>
          <w:rFonts w:ascii="Verdana" w:hAnsi="Verdana"/>
          <w:lang w:val="es-ES"/>
        </w:rPr>
        <w:t xml:space="preserve">Instagram: </w:t>
      </w:r>
      <w:r w:rsidRPr="00B8334C">
        <w:rPr>
          <w:rStyle w:val="Hyperlink"/>
          <w:rFonts w:ascii="Verdana" w:hAnsi="Verdana" w:cs="Arial"/>
          <w:shd w:val="clear" w:color="auto" w:fill="FFFFFF"/>
          <w:lang w:val="es-ES"/>
        </w:rPr>
        <w:t>@colombiacompraeficiente_cce</w:t>
      </w:r>
    </w:p>
    <w:p w14:paraId="5AA0BCD7" w14:textId="77777777" w:rsidR="00EC344C" w:rsidRPr="00B8334C" w:rsidRDefault="00EC344C" w:rsidP="00EC344C">
      <w:pPr>
        <w:widowControl w:val="0"/>
        <w:autoSpaceDE w:val="0"/>
        <w:autoSpaceDN w:val="0"/>
        <w:spacing w:after="0" w:line="276" w:lineRule="auto"/>
        <w:jc w:val="both"/>
        <w:rPr>
          <w:rFonts w:ascii="Verdana" w:hAnsi="Verdana" w:cs="Arial"/>
          <w:color w:val="000000" w:themeColor="text1"/>
          <w:lang w:val="es-ES"/>
        </w:rPr>
      </w:pPr>
    </w:p>
    <w:p w14:paraId="63796270" w14:textId="77777777" w:rsidR="00EC344C" w:rsidRPr="00B8334C" w:rsidRDefault="00EC344C" w:rsidP="00EC344C">
      <w:pPr>
        <w:widowControl w:val="0"/>
        <w:autoSpaceDE w:val="0"/>
        <w:autoSpaceDN w:val="0"/>
        <w:spacing w:after="0" w:line="276" w:lineRule="auto"/>
        <w:jc w:val="both"/>
        <w:rPr>
          <w:rFonts w:ascii="Verdana" w:hAnsi="Verdana" w:cs="Arial"/>
          <w:color w:val="000000" w:themeColor="text1"/>
          <w:lang w:val="es-ES"/>
        </w:rPr>
      </w:pPr>
      <w:r w:rsidRPr="00B8334C">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2C256D4" w14:textId="77777777" w:rsidR="00EC344C" w:rsidRPr="00B8334C" w:rsidRDefault="00EC344C" w:rsidP="00EC344C">
      <w:pPr>
        <w:widowControl w:val="0"/>
        <w:autoSpaceDE w:val="0"/>
        <w:autoSpaceDN w:val="0"/>
        <w:spacing w:after="0" w:line="276" w:lineRule="auto"/>
        <w:jc w:val="both"/>
        <w:rPr>
          <w:rFonts w:ascii="Verdana" w:hAnsi="Verdana" w:cs="Arial"/>
          <w:color w:val="000000" w:themeColor="text1"/>
          <w:lang w:val="es-ES"/>
        </w:rPr>
      </w:pPr>
    </w:p>
    <w:bookmarkEnd w:id="0"/>
    <w:p w14:paraId="3489CB53" w14:textId="77777777" w:rsidR="00EC344C" w:rsidRPr="00B8334C" w:rsidRDefault="00EC344C" w:rsidP="00EC344C">
      <w:pPr>
        <w:widowControl w:val="0"/>
        <w:autoSpaceDE w:val="0"/>
        <w:autoSpaceDN w:val="0"/>
        <w:spacing w:after="0" w:line="276" w:lineRule="auto"/>
        <w:jc w:val="both"/>
        <w:rPr>
          <w:rFonts w:ascii="Verdana" w:hAnsi="Verdana" w:cs="Arial"/>
          <w:color w:val="000000" w:themeColor="text1"/>
          <w:lang w:val="es-ES"/>
        </w:rPr>
      </w:pPr>
    </w:p>
    <w:p w14:paraId="2549ED7F" w14:textId="77777777" w:rsidR="00EC344C" w:rsidRPr="00B8334C" w:rsidRDefault="00EC344C" w:rsidP="00EC344C">
      <w:pPr>
        <w:spacing w:after="0" w:line="276" w:lineRule="auto"/>
        <w:rPr>
          <w:rFonts w:ascii="Verdana" w:hAnsi="Verdana" w:cs="Arial"/>
          <w:color w:val="000000" w:themeColor="text1"/>
          <w:lang w:val="es-ES" w:eastAsia="es-CO"/>
        </w:rPr>
      </w:pPr>
      <w:r w:rsidRPr="00B8334C">
        <w:rPr>
          <w:rFonts w:ascii="Verdana" w:eastAsia="Times New Roman" w:hAnsi="Verdana" w:cs="Arial"/>
          <w:color w:val="000000" w:themeColor="text1"/>
          <w:lang w:val="es-ES" w:eastAsia="es-CO"/>
        </w:rPr>
        <w:t>Atentamente,</w:t>
      </w:r>
      <w:r w:rsidRPr="00B8334C">
        <w:rPr>
          <w:rFonts w:ascii="Verdana" w:hAnsi="Verdana" w:cs="Arial"/>
          <w:color w:val="000000" w:themeColor="text1"/>
          <w:lang w:val="es-ES" w:eastAsia="es-CO"/>
        </w:rPr>
        <w:t xml:space="preserve"> </w:t>
      </w:r>
    </w:p>
    <w:p w14:paraId="2028D969" w14:textId="1669603E" w:rsidR="00EC344C" w:rsidRPr="00B8334C" w:rsidRDefault="006469D9" w:rsidP="00EC344C">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8" behindDoc="0" locked="0" layoutInCell="1" allowOverlap="1" wp14:anchorId="639DE3FE" wp14:editId="46A3F6F7">
            <wp:simplePos x="0" y="0"/>
            <wp:positionH relativeFrom="column">
              <wp:posOffset>1327355</wp:posOffset>
            </wp:positionH>
            <wp:positionV relativeFrom="page">
              <wp:posOffset>4444365</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C344C" w:rsidRPr="00B8334C" w14:paraId="118AE57E" w14:textId="77777777" w:rsidTr="0036622E">
        <w:trPr>
          <w:trHeight w:val="315"/>
        </w:trPr>
        <w:tc>
          <w:tcPr>
            <w:tcW w:w="893" w:type="dxa"/>
            <w:vAlign w:val="center"/>
            <w:hideMark/>
          </w:tcPr>
          <w:p w14:paraId="5A29546E" w14:textId="77777777" w:rsidR="00EC344C" w:rsidRPr="00B8334C" w:rsidRDefault="00EC344C" w:rsidP="0036622E">
            <w:pPr>
              <w:contextualSpacing/>
              <w:rPr>
                <w:rFonts w:ascii="Verdana" w:hAnsi="Verdana" w:cs="Arial"/>
                <w:sz w:val="16"/>
                <w:szCs w:val="16"/>
                <w:lang w:val="es-ES" w:eastAsia="es-ES"/>
              </w:rPr>
            </w:pPr>
            <w:r w:rsidRPr="00B8334C">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98DE24" w14:textId="77777777" w:rsidR="00EC344C" w:rsidRPr="00B8334C" w:rsidRDefault="00EC344C" w:rsidP="0036622E">
            <w:pPr>
              <w:contextualSpacing/>
              <w:rPr>
                <w:rFonts w:ascii="Verdana" w:eastAsia="Arial" w:hAnsi="Verdana" w:cs="Arial"/>
                <w:color w:val="000000" w:themeColor="text1"/>
                <w:sz w:val="16"/>
                <w:szCs w:val="16"/>
                <w:lang w:val="es-ES"/>
              </w:rPr>
            </w:pPr>
            <w:r w:rsidRPr="00B8334C">
              <w:rPr>
                <w:rFonts w:ascii="Verdana" w:eastAsia="Arial" w:hAnsi="Verdana" w:cs="Arial"/>
                <w:color w:val="000000" w:themeColor="text1"/>
                <w:sz w:val="16"/>
                <w:szCs w:val="16"/>
                <w:lang w:val="es-ES"/>
              </w:rPr>
              <w:t>Anamaría Bonilla Prieto</w:t>
            </w:r>
          </w:p>
          <w:p w14:paraId="498F17A5" w14:textId="77777777" w:rsidR="00EC344C" w:rsidRPr="00B8334C" w:rsidRDefault="00EC344C" w:rsidP="0036622E">
            <w:pPr>
              <w:contextualSpacing/>
              <w:rPr>
                <w:rFonts w:ascii="Verdana" w:eastAsia="Arial" w:hAnsi="Verdana" w:cs="Arial"/>
                <w:sz w:val="16"/>
                <w:szCs w:val="16"/>
                <w:lang w:val="es-ES"/>
              </w:rPr>
            </w:pPr>
            <w:r w:rsidRPr="00B8334C">
              <w:rPr>
                <w:rStyle w:val="normaltextrun"/>
                <w:rFonts w:ascii="Verdana" w:eastAsia="Arial" w:hAnsi="Verdana" w:cs="Arial"/>
                <w:color w:val="000000" w:themeColor="text1"/>
                <w:sz w:val="16"/>
                <w:szCs w:val="16"/>
                <w:lang w:val="es-ES"/>
              </w:rPr>
              <w:t xml:space="preserve">Contratista de la Subdirección </w:t>
            </w:r>
            <w:r w:rsidRPr="00B8334C">
              <w:rPr>
                <w:rStyle w:val="normaltextrun"/>
                <w:rFonts w:ascii="Verdana" w:eastAsia="Arial" w:hAnsi="Verdana" w:cs="Arial"/>
                <w:sz w:val="16"/>
                <w:szCs w:val="16"/>
                <w:lang w:val="es-ES"/>
              </w:rPr>
              <w:t>de Gestión Contractual</w:t>
            </w:r>
          </w:p>
        </w:tc>
      </w:tr>
      <w:tr w:rsidR="00EC344C" w:rsidRPr="00B8334C" w14:paraId="1FEB663A" w14:textId="77777777" w:rsidTr="0036622E">
        <w:trPr>
          <w:trHeight w:val="330"/>
        </w:trPr>
        <w:tc>
          <w:tcPr>
            <w:tcW w:w="893" w:type="dxa"/>
            <w:vAlign w:val="center"/>
            <w:hideMark/>
          </w:tcPr>
          <w:p w14:paraId="1892D05E" w14:textId="77777777" w:rsidR="00EC344C" w:rsidRPr="00B8334C" w:rsidRDefault="00EC344C" w:rsidP="0036622E">
            <w:pPr>
              <w:contextualSpacing/>
              <w:rPr>
                <w:rFonts w:ascii="Verdana" w:hAnsi="Verdana" w:cs="Arial"/>
                <w:sz w:val="16"/>
                <w:szCs w:val="16"/>
                <w:lang w:val="es-ES" w:eastAsia="es-ES"/>
              </w:rPr>
            </w:pPr>
            <w:r w:rsidRPr="00B8334C">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3506576" w14:textId="77777777" w:rsidR="00EC344C" w:rsidRPr="00B8334C" w:rsidRDefault="00EC344C" w:rsidP="0036622E">
            <w:pPr>
              <w:contextualSpacing/>
              <w:rPr>
                <w:rFonts w:ascii="Verdana" w:eastAsia="Arial" w:hAnsi="Verdana" w:cs="Arial"/>
                <w:color w:val="000000" w:themeColor="text1"/>
                <w:sz w:val="16"/>
                <w:szCs w:val="16"/>
                <w:lang w:val="es-ES"/>
              </w:rPr>
            </w:pPr>
            <w:r w:rsidRPr="00B8334C">
              <w:rPr>
                <w:rFonts w:ascii="Verdana" w:eastAsia="Arial" w:hAnsi="Verdana" w:cs="Arial"/>
                <w:color w:val="000000" w:themeColor="text1"/>
                <w:sz w:val="16"/>
                <w:szCs w:val="16"/>
                <w:lang w:val="es-ES"/>
              </w:rPr>
              <w:t>Alejandro Sarmiento Cantillo</w:t>
            </w:r>
          </w:p>
          <w:p w14:paraId="4E514C5D" w14:textId="77777777" w:rsidR="00EC344C" w:rsidRPr="00B8334C" w:rsidRDefault="00EC344C" w:rsidP="0036622E">
            <w:pPr>
              <w:contextualSpacing/>
              <w:rPr>
                <w:rFonts w:ascii="Verdana" w:hAnsi="Verdana" w:cs="Segoe UI"/>
                <w:sz w:val="16"/>
                <w:szCs w:val="16"/>
                <w:lang w:val="es-ES"/>
              </w:rPr>
            </w:pPr>
            <w:r w:rsidRPr="00B8334C">
              <w:rPr>
                <w:rFonts w:ascii="Verdana" w:eastAsia="Arial" w:hAnsi="Verdana" w:cs="Arial"/>
                <w:color w:val="000000" w:themeColor="text1"/>
                <w:sz w:val="16"/>
                <w:szCs w:val="16"/>
                <w:lang w:val="es-ES"/>
              </w:rPr>
              <w:t>Gestor T1 – 15 de la Subdirección de Gestión Contractual</w:t>
            </w:r>
            <w:r w:rsidRPr="00B8334C">
              <w:rPr>
                <w:rFonts w:ascii="Verdana" w:hAnsi="Verdana" w:cs="Segoe UI"/>
                <w:sz w:val="16"/>
                <w:szCs w:val="16"/>
                <w:lang w:val="es-ES"/>
              </w:rPr>
              <w:t> </w:t>
            </w:r>
          </w:p>
        </w:tc>
      </w:tr>
      <w:tr w:rsidR="00EC344C" w:rsidRPr="00B8334C" w14:paraId="1E6C6147" w14:textId="77777777" w:rsidTr="0036622E">
        <w:trPr>
          <w:trHeight w:val="300"/>
        </w:trPr>
        <w:tc>
          <w:tcPr>
            <w:tcW w:w="893" w:type="dxa"/>
            <w:vAlign w:val="center"/>
          </w:tcPr>
          <w:p w14:paraId="24BD7BC4" w14:textId="77777777" w:rsidR="00EC344C" w:rsidRPr="00B8334C" w:rsidRDefault="00EC344C" w:rsidP="0036622E">
            <w:pPr>
              <w:contextualSpacing/>
              <w:rPr>
                <w:rFonts w:ascii="Verdana" w:hAnsi="Verdana" w:cs="Arial"/>
                <w:sz w:val="16"/>
                <w:szCs w:val="16"/>
                <w:lang w:val="es-ES" w:eastAsia="es-ES"/>
              </w:rPr>
            </w:pPr>
            <w:r w:rsidRPr="00B8334C">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441C6A1" w14:textId="77777777" w:rsidR="00EC344C" w:rsidRPr="00B8334C" w:rsidRDefault="00EC344C" w:rsidP="0036622E">
            <w:pPr>
              <w:contextualSpacing/>
              <w:rPr>
                <w:rFonts w:ascii="Verdana" w:eastAsia="Calibri" w:hAnsi="Verdana" w:cs="Arial"/>
                <w:sz w:val="16"/>
                <w:szCs w:val="16"/>
                <w:lang w:val="es-ES" w:eastAsia="es-ES"/>
              </w:rPr>
            </w:pPr>
            <w:r w:rsidRPr="00B8334C">
              <w:rPr>
                <w:rFonts w:ascii="Verdana" w:eastAsia="Calibri" w:hAnsi="Verdana" w:cs="Arial"/>
                <w:sz w:val="16"/>
                <w:szCs w:val="16"/>
                <w:lang w:val="es-ES" w:eastAsia="es-ES"/>
              </w:rPr>
              <w:t>Carolina Quintero Gacharná</w:t>
            </w:r>
          </w:p>
          <w:p w14:paraId="3A6DB959" w14:textId="77777777" w:rsidR="00EC344C" w:rsidRPr="00B8334C" w:rsidRDefault="00EC344C" w:rsidP="0036622E">
            <w:pPr>
              <w:contextualSpacing/>
              <w:rPr>
                <w:rFonts w:ascii="Verdana" w:eastAsia="Calibri" w:hAnsi="Verdana" w:cs="Arial"/>
                <w:sz w:val="16"/>
                <w:szCs w:val="16"/>
                <w:lang w:val="es-ES" w:eastAsia="es-ES"/>
              </w:rPr>
            </w:pPr>
            <w:r w:rsidRPr="00B8334C">
              <w:rPr>
                <w:rFonts w:ascii="Verdana" w:eastAsia="Calibri" w:hAnsi="Verdana" w:cs="Arial"/>
                <w:sz w:val="16"/>
                <w:szCs w:val="16"/>
                <w:lang w:val="es-ES" w:eastAsia="es-ES"/>
              </w:rPr>
              <w:t>Subdirectora de Gestión Contractual ANCP – CCE</w:t>
            </w:r>
          </w:p>
        </w:tc>
      </w:tr>
    </w:tbl>
    <w:p w14:paraId="0F293BF4" w14:textId="0711A6D9" w:rsidR="00127233" w:rsidRPr="00B8334C" w:rsidRDefault="00127233" w:rsidP="00EC344C">
      <w:pPr>
        <w:rPr>
          <w:lang w:val="es-ES"/>
        </w:rPr>
      </w:pPr>
    </w:p>
    <w:sectPr w:rsidR="00127233" w:rsidRPr="00B8334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0D63C8" w14:textId="77777777" w:rsidR="0068330E" w:rsidRDefault="0068330E" w:rsidP="004A1847">
      <w:pPr>
        <w:spacing w:after="0" w:line="240" w:lineRule="auto"/>
      </w:pPr>
      <w:r>
        <w:separator/>
      </w:r>
    </w:p>
  </w:endnote>
  <w:endnote w:type="continuationSeparator" w:id="0">
    <w:p w14:paraId="3CBEC6F5" w14:textId="77777777" w:rsidR="0068330E" w:rsidRDefault="0068330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Work Sans">
    <w:panose1 w:val="020B0604020202020204"/>
    <w:charset w:val="4D"/>
    <w:family w:val="auto"/>
    <w:pitch w:val="variable"/>
    <w:sig w:usb0="A00000FF" w:usb1="5000E07B" w:usb2="00000000" w:usb3="00000000" w:csb0="00000193"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95785D" w14:textId="77777777" w:rsidR="0068330E" w:rsidRDefault="0068330E" w:rsidP="004A1847">
      <w:pPr>
        <w:spacing w:after="0" w:line="240" w:lineRule="auto"/>
      </w:pPr>
      <w:r>
        <w:separator/>
      </w:r>
    </w:p>
  </w:footnote>
  <w:footnote w:type="continuationSeparator" w:id="0">
    <w:p w14:paraId="39524A26" w14:textId="77777777" w:rsidR="0068330E" w:rsidRDefault="0068330E" w:rsidP="004A1847">
      <w:pPr>
        <w:spacing w:after="0" w:line="240" w:lineRule="auto"/>
      </w:pPr>
      <w:r>
        <w:continuationSeparator/>
      </w:r>
    </w:p>
  </w:footnote>
  <w:footnote w:id="1">
    <w:p w14:paraId="5D24579A" w14:textId="77777777" w:rsidR="00EC344C" w:rsidRPr="00AB334B" w:rsidRDefault="00EC344C" w:rsidP="00EC344C">
      <w:pPr>
        <w:snapToGrid w:val="0"/>
        <w:spacing w:after="0" w:line="240" w:lineRule="auto"/>
        <w:ind w:firstLine="709"/>
        <w:contextualSpacing/>
        <w:jc w:val="both"/>
        <w:rPr>
          <w:rFonts w:ascii="Verdana" w:hAnsi="Verdana" w:cs="Arial"/>
          <w:color w:val="000000" w:themeColor="text1"/>
          <w:sz w:val="16"/>
          <w:szCs w:val="16"/>
          <w:lang w:val="es-ES"/>
        </w:rPr>
      </w:pPr>
      <w:r w:rsidRPr="00AB334B">
        <w:rPr>
          <w:rStyle w:val="FootnoteReference"/>
          <w:rFonts w:ascii="Verdana" w:hAnsi="Verdana" w:cs="Arial"/>
          <w:color w:val="000000" w:themeColor="text1"/>
          <w:sz w:val="16"/>
          <w:szCs w:val="16"/>
        </w:rPr>
        <w:footnoteRef/>
      </w:r>
      <w:r w:rsidRPr="00AB334B">
        <w:rPr>
          <w:rFonts w:ascii="Verdana" w:hAnsi="Verdana" w:cs="Arial"/>
          <w:color w:val="000000" w:themeColor="text1"/>
          <w:sz w:val="16"/>
          <w:szCs w:val="16"/>
        </w:rPr>
        <w:t xml:space="preserve"> </w:t>
      </w:r>
      <w:r w:rsidRPr="00AB334B">
        <w:rPr>
          <w:rFonts w:ascii="Verdana" w:hAnsi="Verdana" w:cs="Arial"/>
          <w:color w:val="000000" w:themeColor="text1"/>
          <w:sz w:val="16"/>
          <w:szCs w:val="16"/>
          <w:lang w:val="es-ES"/>
        </w:rPr>
        <w:t xml:space="preserve">Son inhabilidades que responden a esta circunstancia, entre otras, las siguientes: “Quienes participaron en las licitaciones o celebraron los contratos de que trata el literal anterior estando inhabilitados” (art. 8, </w:t>
      </w:r>
      <w:proofErr w:type="spellStart"/>
      <w:r w:rsidRPr="00AB334B">
        <w:rPr>
          <w:rFonts w:ascii="Verdana" w:hAnsi="Verdana" w:cs="Arial"/>
          <w:color w:val="000000" w:themeColor="text1"/>
          <w:sz w:val="16"/>
          <w:szCs w:val="16"/>
          <w:lang w:val="es-ES"/>
        </w:rPr>
        <w:t>num</w:t>
      </w:r>
      <w:proofErr w:type="spellEnd"/>
      <w:r w:rsidRPr="00AB334B">
        <w:rPr>
          <w:rFonts w:ascii="Verdana" w:hAnsi="Verdana" w:cs="Arial"/>
          <w:color w:val="000000" w:themeColor="text1"/>
          <w:sz w:val="16"/>
          <w:szCs w:val="16"/>
          <w:lang w:val="es-ES"/>
        </w:rPr>
        <w:t xml:space="preserve">. 1º, </w:t>
      </w:r>
      <w:proofErr w:type="spellStart"/>
      <w:r w:rsidRPr="00AB334B">
        <w:rPr>
          <w:rFonts w:ascii="Verdana" w:hAnsi="Verdana" w:cs="Arial"/>
          <w:color w:val="000000" w:themeColor="text1"/>
          <w:sz w:val="16"/>
          <w:szCs w:val="16"/>
          <w:lang w:val="es-ES"/>
        </w:rPr>
        <w:t>lit.</w:t>
      </w:r>
      <w:proofErr w:type="spellEnd"/>
      <w:r w:rsidRPr="00AB334B">
        <w:rPr>
          <w:rFonts w:ascii="Verdana" w:hAnsi="Verdana" w:cs="Arial"/>
          <w:color w:val="000000" w:themeColor="text1"/>
          <w:sz w:val="16"/>
          <w:szCs w:val="16"/>
          <w:lang w:val="es-ES"/>
        </w:rPr>
        <w:t xml:space="preserve"> b, Ley 80/93); “Quienes dieron lugar a la declaratoria de caducidad” (art. 8, </w:t>
      </w:r>
      <w:proofErr w:type="spellStart"/>
      <w:r w:rsidRPr="00AB334B">
        <w:rPr>
          <w:rFonts w:ascii="Verdana" w:hAnsi="Verdana" w:cs="Arial"/>
          <w:color w:val="000000" w:themeColor="text1"/>
          <w:sz w:val="16"/>
          <w:szCs w:val="16"/>
          <w:lang w:val="es-ES"/>
        </w:rPr>
        <w:t>num</w:t>
      </w:r>
      <w:proofErr w:type="spellEnd"/>
      <w:r w:rsidRPr="00AB334B">
        <w:rPr>
          <w:rFonts w:ascii="Verdana" w:hAnsi="Verdana" w:cs="Arial"/>
          <w:color w:val="000000" w:themeColor="text1"/>
          <w:sz w:val="16"/>
          <w:szCs w:val="16"/>
          <w:lang w:val="es-ES"/>
        </w:rPr>
        <w:t xml:space="preserve">. 1º, </w:t>
      </w:r>
      <w:proofErr w:type="spellStart"/>
      <w:r w:rsidRPr="00AB334B">
        <w:rPr>
          <w:rFonts w:ascii="Verdana" w:hAnsi="Verdana" w:cs="Arial"/>
          <w:color w:val="000000" w:themeColor="text1"/>
          <w:sz w:val="16"/>
          <w:szCs w:val="16"/>
          <w:lang w:val="es-ES"/>
        </w:rPr>
        <w:t>lit.</w:t>
      </w:r>
      <w:proofErr w:type="spellEnd"/>
      <w:r w:rsidRPr="00AB334B">
        <w:rPr>
          <w:rFonts w:ascii="Verdana" w:hAnsi="Verdana" w:cs="Arial"/>
          <w:color w:val="000000" w:themeColor="text1"/>
          <w:sz w:val="16"/>
          <w:szCs w:val="16"/>
          <w:lang w:val="es-ES"/>
        </w:rPr>
        <w:t xml:space="preserve"> c), Ley 80/93); “Quienes en sentencia judicial hayan sido condenados a la pena accesoria de interdicción de derechos y funciones públicas y quienes hayan sido sancionados disciplinariamente con destitución” (art. 8, </w:t>
      </w:r>
      <w:proofErr w:type="spellStart"/>
      <w:r w:rsidRPr="00AB334B">
        <w:rPr>
          <w:rFonts w:ascii="Verdana" w:hAnsi="Verdana" w:cs="Arial"/>
          <w:color w:val="000000" w:themeColor="text1"/>
          <w:sz w:val="16"/>
          <w:szCs w:val="16"/>
          <w:lang w:val="es-ES"/>
        </w:rPr>
        <w:t>num</w:t>
      </w:r>
      <w:proofErr w:type="spellEnd"/>
      <w:r w:rsidRPr="00AB334B">
        <w:rPr>
          <w:rFonts w:ascii="Verdana" w:hAnsi="Verdana" w:cs="Arial"/>
          <w:color w:val="000000" w:themeColor="text1"/>
          <w:sz w:val="16"/>
          <w:szCs w:val="16"/>
          <w:lang w:val="es-ES"/>
        </w:rPr>
        <w:t xml:space="preserve">. 1º, </w:t>
      </w:r>
      <w:proofErr w:type="spellStart"/>
      <w:r w:rsidRPr="00AB334B">
        <w:rPr>
          <w:rFonts w:ascii="Verdana" w:hAnsi="Verdana" w:cs="Arial"/>
          <w:color w:val="000000" w:themeColor="text1"/>
          <w:sz w:val="16"/>
          <w:szCs w:val="16"/>
          <w:lang w:val="es-ES"/>
        </w:rPr>
        <w:t>lit.</w:t>
      </w:r>
      <w:proofErr w:type="spellEnd"/>
      <w:r w:rsidRPr="00AB334B">
        <w:rPr>
          <w:rFonts w:ascii="Verdana" w:hAnsi="Verdana" w:cs="Arial"/>
          <w:color w:val="000000" w:themeColor="text1"/>
          <w:sz w:val="16"/>
          <w:szCs w:val="16"/>
          <w:lang w:val="es-ES"/>
        </w:rPr>
        <w:t xml:space="preserve"> d), Ley 80/93); “Quienes sin justa causa se abstengan de suscribir el contrato estatal adjudicado” (art. 8, </w:t>
      </w:r>
      <w:proofErr w:type="spellStart"/>
      <w:r w:rsidRPr="00AB334B">
        <w:rPr>
          <w:rFonts w:ascii="Verdana" w:hAnsi="Verdana" w:cs="Arial"/>
          <w:color w:val="000000" w:themeColor="text1"/>
          <w:sz w:val="16"/>
          <w:szCs w:val="16"/>
          <w:lang w:val="es-ES"/>
        </w:rPr>
        <w:t>num</w:t>
      </w:r>
      <w:proofErr w:type="spellEnd"/>
      <w:r w:rsidRPr="00AB334B">
        <w:rPr>
          <w:rFonts w:ascii="Verdana" w:hAnsi="Verdana" w:cs="Arial"/>
          <w:color w:val="000000" w:themeColor="text1"/>
          <w:sz w:val="16"/>
          <w:szCs w:val="16"/>
          <w:lang w:val="es-ES"/>
        </w:rPr>
        <w:t xml:space="preserve">. 1º, </w:t>
      </w:r>
      <w:proofErr w:type="spellStart"/>
      <w:r w:rsidRPr="00AB334B">
        <w:rPr>
          <w:rFonts w:ascii="Verdana" w:hAnsi="Verdana" w:cs="Arial"/>
          <w:color w:val="000000" w:themeColor="text1"/>
          <w:sz w:val="16"/>
          <w:szCs w:val="16"/>
          <w:lang w:val="es-ES"/>
        </w:rPr>
        <w:t>lit.</w:t>
      </w:r>
      <w:proofErr w:type="spellEnd"/>
      <w:r w:rsidRPr="00AB334B">
        <w:rPr>
          <w:rFonts w:ascii="Verdana" w:hAnsi="Verdana" w:cs="Arial"/>
          <w:color w:val="000000" w:themeColor="text1"/>
          <w:sz w:val="16"/>
          <w:szCs w:val="16"/>
          <w:lang w:val="es-ES"/>
        </w:rPr>
        <w:t xml:space="preserve"> e), Ley 80/93); “i) Los socios de sociedades de personas a las cuales se haya declarado la caducidad, así como las sociedades de personas de las que aquellos formen parte con posterioridad a dicha declaratoria” (art. 8, </w:t>
      </w:r>
      <w:proofErr w:type="spellStart"/>
      <w:r w:rsidRPr="00AB334B">
        <w:rPr>
          <w:rFonts w:ascii="Verdana" w:hAnsi="Verdana" w:cs="Arial"/>
          <w:color w:val="000000" w:themeColor="text1"/>
          <w:sz w:val="16"/>
          <w:szCs w:val="16"/>
          <w:lang w:val="es-ES"/>
        </w:rPr>
        <w:t>num</w:t>
      </w:r>
      <w:proofErr w:type="spellEnd"/>
      <w:r w:rsidRPr="00AB334B">
        <w:rPr>
          <w:rFonts w:ascii="Verdana" w:hAnsi="Verdana" w:cs="Arial"/>
          <w:color w:val="000000" w:themeColor="text1"/>
          <w:sz w:val="16"/>
          <w:szCs w:val="16"/>
          <w:lang w:val="es-ES"/>
        </w:rPr>
        <w:t xml:space="preserve">. 1º, </w:t>
      </w:r>
      <w:proofErr w:type="spellStart"/>
      <w:r w:rsidRPr="00AB334B">
        <w:rPr>
          <w:rFonts w:ascii="Verdana" w:hAnsi="Verdana" w:cs="Arial"/>
          <w:color w:val="000000" w:themeColor="text1"/>
          <w:sz w:val="16"/>
          <w:szCs w:val="16"/>
          <w:lang w:val="es-ES"/>
        </w:rPr>
        <w:t>lit.</w:t>
      </w:r>
      <w:proofErr w:type="spellEnd"/>
      <w:r w:rsidRPr="00AB334B">
        <w:rPr>
          <w:rFonts w:ascii="Verdana" w:hAnsi="Verdana" w:cs="Arial"/>
          <w:color w:val="000000" w:themeColor="text1"/>
          <w:sz w:val="16"/>
          <w:szCs w:val="16"/>
          <w:lang w:val="es-ES"/>
        </w:rPr>
        <w:t xml:space="preserve">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w:t>
      </w:r>
      <w:proofErr w:type="spellStart"/>
      <w:r w:rsidRPr="00AB334B">
        <w:rPr>
          <w:rFonts w:ascii="Verdana" w:hAnsi="Verdana" w:cs="Arial"/>
          <w:color w:val="000000" w:themeColor="text1"/>
          <w:sz w:val="16"/>
          <w:szCs w:val="16"/>
          <w:lang w:val="es-ES"/>
        </w:rPr>
        <w:t>num</w:t>
      </w:r>
      <w:proofErr w:type="spellEnd"/>
      <w:r w:rsidRPr="00AB334B">
        <w:rPr>
          <w:rFonts w:ascii="Verdana" w:hAnsi="Verdana" w:cs="Arial"/>
          <w:color w:val="000000" w:themeColor="text1"/>
          <w:sz w:val="16"/>
          <w:szCs w:val="16"/>
          <w:lang w:val="es-ES"/>
        </w:rPr>
        <w:t xml:space="preserve">. 1º, </w:t>
      </w:r>
      <w:proofErr w:type="spellStart"/>
      <w:r w:rsidRPr="00AB334B">
        <w:rPr>
          <w:rFonts w:ascii="Verdana" w:hAnsi="Verdana" w:cs="Arial"/>
          <w:color w:val="000000" w:themeColor="text1"/>
          <w:sz w:val="16"/>
          <w:szCs w:val="16"/>
          <w:lang w:val="es-ES"/>
        </w:rPr>
        <w:t>lit.</w:t>
      </w:r>
      <w:proofErr w:type="spellEnd"/>
      <w:r w:rsidRPr="00AB334B">
        <w:rPr>
          <w:rFonts w:ascii="Verdana" w:hAnsi="Verdana" w:cs="Arial"/>
          <w:color w:val="000000" w:themeColor="text1"/>
          <w:sz w:val="16"/>
          <w:szCs w:val="16"/>
          <w:lang w:val="es-ES"/>
        </w:rPr>
        <w:t xml:space="preserve"> j), Ley 80/93.</w:t>
      </w:r>
    </w:p>
  </w:footnote>
  <w:footnote w:id="2">
    <w:p w14:paraId="5641A182" w14:textId="77777777" w:rsidR="00EC344C" w:rsidRPr="00AB334B" w:rsidRDefault="00EC344C" w:rsidP="00EC344C">
      <w:pPr>
        <w:pStyle w:val="FootnoteText"/>
        <w:snapToGrid w:val="0"/>
        <w:ind w:firstLine="709"/>
        <w:contextualSpacing/>
        <w:jc w:val="both"/>
        <w:rPr>
          <w:rFonts w:ascii="Verdana" w:hAnsi="Verdana" w:cs="Arial"/>
          <w:color w:val="000000" w:themeColor="text1"/>
          <w:sz w:val="16"/>
          <w:szCs w:val="16"/>
          <w:lang w:val="es-ES"/>
        </w:rPr>
      </w:pPr>
      <w:r w:rsidRPr="00AB334B">
        <w:rPr>
          <w:rStyle w:val="FootnoteReference"/>
          <w:rFonts w:ascii="Verdana" w:hAnsi="Verdana" w:cs="Arial"/>
          <w:color w:val="000000" w:themeColor="text1"/>
          <w:sz w:val="16"/>
          <w:szCs w:val="16"/>
        </w:rPr>
        <w:footnoteRef/>
      </w:r>
      <w:r w:rsidRPr="00AB334B">
        <w:rPr>
          <w:rFonts w:ascii="Verdana" w:hAnsi="Verdana" w:cs="Arial"/>
          <w:color w:val="000000" w:themeColor="text1"/>
          <w:sz w:val="16"/>
          <w:szCs w:val="16"/>
        </w:rPr>
        <w:t xml:space="preserve"> </w:t>
      </w:r>
      <w:r w:rsidRPr="00AB334B">
        <w:rPr>
          <w:rFonts w:ascii="Verdana" w:hAnsi="Verdana" w:cs="Arial"/>
          <w:color w:val="000000" w:themeColor="text1"/>
          <w:sz w:val="16"/>
          <w:szCs w:val="16"/>
          <w:lang w:val="es-ES"/>
        </w:rPr>
        <w:t>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w:t>
      </w:r>
      <w:r>
        <w:rPr>
          <w:rFonts w:ascii="Verdana" w:hAnsi="Verdana" w:cs="Arial"/>
          <w:color w:val="000000" w:themeColor="text1"/>
          <w:sz w:val="16"/>
          <w:szCs w:val="16"/>
          <w:lang w:val="es-ES"/>
        </w:rPr>
        <w:t>.</w:t>
      </w:r>
    </w:p>
  </w:footnote>
  <w:footnote w:id="3">
    <w:p w14:paraId="2EDDEE04" w14:textId="77777777" w:rsidR="00EC344C" w:rsidRPr="00AB334B" w:rsidRDefault="00EC344C" w:rsidP="00EC344C">
      <w:pPr>
        <w:snapToGrid w:val="0"/>
        <w:spacing w:after="0" w:line="240" w:lineRule="auto"/>
        <w:ind w:firstLine="709"/>
        <w:contextualSpacing/>
        <w:jc w:val="both"/>
        <w:rPr>
          <w:rFonts w:ascii="Verdana" w:hAnsi="Verdana" w:cs="Arial"/>
          <w:color w:val="000000" w:themeColor="text1"/>
          <w:sz w:val="16"/>
          <w:szCs w:val="16"/>
          <w:lang w:val="es-ES"/>
        </w:rPr>
      </w:pPr>
      <w:r w:rsidRPr="00AB334B">
        <w:rPr>
          <w:rStyle w:val="FootnoteReference"/>
          <w:rFonts w:ascii="Verdana" w:hAnsi="Verdana" w:cs="Arial"/>
          <w:color w:val="000000" w:themeColor="text1"/>
          <w:sz w:val="16"/>
          <w:szCs w:val="16"/>
        </w:rPr>
        <w:footnoteRef/>
      </w:r>
      <w:r w:rsidRPr="00AB334B">
        <w:rPr>
          <w:rFonts w:ascii="Verdana" w:hAnsi="Verdana" w:cs="Arial"/>
          <w:color w:val="000000" w:themeColor="text1"/>
          <w:sz w:val="16"/>
          <w:szCs w:val="16"/>
        </w:rPr>
        <w:t xml:space="preserve"> </w:t>
      </w:r>
      <w:r w:rsidRPr="00AB334B">
        <w:rPr>
          <w:rFonts w:ascii="Verdana" w:hAnsi="Verdana" w:cs="Arial"/>
          <w:color w:val="000000" w:themeColor="text1"/>
          <w:sz w:val="16"/>
          <w:szCs w:val="16"/>
          <w:lang w:val="es-ES"/>
        </w:rPr>
        <w:t>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r>
        <w:rPr>
          <w:rFonts w:ascii="Verdana" w:hAnsi="Verdana" w:cs="Arial"/>
          <w:color w:val="000000" w:themeColor="text1"/>
          <w:sz w:val="16"/>
          <w:szCs w:val="16"/>
          <w:lang w:val="es-ES"/>
        </w:rPr>
        <w:t>).</w:t>
      </w:r>
    </w:p>
  </w:footnote>
  <w:footnote w:id="4">
    <w:p w14:paraId="1300D79D" w14:textId="77777777" w:rsidR="00EC344C" w:rsidRPr="00AB334B" w:rsidRDefault="00EC344C" w:rsidP="00EC344C">
      <w:pPr>
        <w:pStyle w:val="FootnoteText"/>
        <w:snapToGrid w:val="0"/>
        <w:ind w:firstLine="709"/>
        <w:contextualSpacing/>
        <w:jc w:val="both"/>
        <w:rPr>
          <w:rFonts w:ascii="Verdana" w:hAnsi="Verdana" w:cs="Arial"/>
          <w:color w:val="000000" w:themeColor="text1"/>
          <w:sz w:val="16"/>
          <w:szCs w:val="16"/>
          <w:lang w:val="es-ES"/>
        </w:rPr>
      </w:pPr>
      <w:r w:rsidRPr="00AB334B">
        <w:rPr>
          <w:rStyle w:val="FootnoteReference"/>
          <w:rFonts w:ascii="Verdana" w:hAnsi="Verdana" w:cs="Arial"/>
          <w:color w:val="000000" w:themeColor="text1"/>
          <w:sz w:val="16"/>
          <w:szCs w:val="16"/>
        </w:rPr>
        <w:footnoteRef/>
      </w:r>
      <w:r w:rsidRPr="00AB334B">
        <w:rPr>
          <w:rFonts w:ascii="Verdana" w:hAnsi="Verdana" w:cs="Arial"/>
          <w:color w:val="000000" w:themeColor="text1"/>
          <w:sz w:val="16"/>
          <w:szCs w:val="16"/>
        </w:rPr>
        <w:t xml:space="preserve"> </w:t>
      </w:r>
      <w:r w:rsidRPr="00AB334B">
        <w:rPr>
          <w:rFonts w:ascii="Verdana" w:hAnsi="Verdana" w:cs="Arial"/>
          <w:color w:val="000000" w:themeColor="text1"/>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225C5271" w14:textId="77777777" w:rsidR="00EC344C" w:rsidRPr="00AB334B" w:rsidRDefault="00EC344C" w:rsidP="00EC344C">
      <w:pPr>
        <w:pStyle w:val="FootnoteText"/>
        <w:snapToGrid w:val="0"/>
        <w:ind w:firstLine="709"/>
        <w:contextualSpacing/>
        <w:jc w:val="both"/>
        <w:rPr>
          <w:rFonts w:ascii="Verdana" w:hAnsi="Verdana" w:cs="Arial"/>
          <w:color w:val="000000" w:themeColor="text1"/>
          <w:sz w:val="16"/>
          <w:szCs w:val="16"/>
          <w:lang w:val="es-ES"/>
        </w:rPr>
      </w:pPr>
    </w:p>
  </w:footnote>
  <w:footnote w:id="5">
    <w:p w14:paraId="4AD37990" w14:textId="77777777" w:rsidR="00EC344C" w:rsidRPr="00AB334B" w:rsidRDefault="00EC344C" w:rsidP="00EC344C">
      <w:pPr>
        <w:pStyle w:val="FootnoteText"/>
        <w:snapToGrid w:val="0"/>
        <w:ind w:firstLine="709"/>
        <w:contextualSpacing/>
        <w:jc w:val="both"/>
        <w:rPr>
          <w:rFonts w:ascii="Verdana" w:hAnsi="Verdana" w:cs="Arial"/>
          <w:color w:val="000000" w:themeColor="text1"/>
          <w:sz w:val="16"/>
          <w:szCs w:val="16"/>
          <w:lang w:val="es-ES"/>
        </w:rPr>
      </w:pPr>
      <w:r w:rsidRPr="00AB334B">
        <w:rPr>
          <w:rStyle w:val="FootnoteReference"/>
          <w:rFonts w:ascii="Verdana" w:hAnsi="Verdana" w:cs="Arial"/>
          <w:color w:val="000000" w:themeColor="text1"/>
          <w:sz w:val="16"/>
          <w:szCs w:val="16"/>
        </w:rPr>
        <w:footnoteRef/>
      </w:r>
      <w:r w:rsidRPr="00AB334B">
        <w:rPr>
          <w:rFonts w:ascii="Verdana" w:hAnsi="Verdana" w:cs="Arial"/>
          <w:color w:val="000000" w:themeColor="text1"/>
          <w:sz w:val="16"/>
          <w:szCs w:val="16"/>
        </w:rPr>
        <w:t xml:space="preserve"> </w:t>
      </w:r>
      <w:r w:rsidRPr="00AB334B">
        <w:rPr>
          <w:rFonts w:ascii="Verdana" w:hAnsi="Verdana" w:cs="Arial"/>
          <w:color w:val="000000" w:themeColor="text1"/>
          <w:sz w:val="16"/>
          <w:szCs w:val="16"/>
          <w:lang w:val="es-ES"/>
        </w:rPr>
        <w:t>Ibíd., p. 69.</w:t>
      </w:r>
    </w:p>
  </w:footnote>
  <w:footnote w:id="6">
    <w:p w14:paraId="2DEB7237" w14:textId="77777777" w:rsidR="00EC344C" w:rsidRPr="00AB334B" w:rsidRDefault="00EC344C" w:rsidP="00EC344C">
      <w:pPr>
        <w:pStyle w:val="FootnoteText"/>
        <w:snapToGrid w:val="0"/>
        <w:ind w:firstLine="709"/>
        <w:contextualSpacing/>
        <w:jc w:val="both"/>
        <w:rPr>
          <w:rFonts w:ascii="Verdana" w:hAnsi="Verdana" w:cs="Arial"/>
          <w:color w:val="000000" w:themeColor="text1"/>
          <w:sz w:val="16"/>
          <w:szCs w:val="16"/>
          <w:lang w:val="es-ES"/>
        </w:rPr>
      </w:pPr>
      <w:r w:rsidRPr="00AB334B">
        <w:rPr>
          <w:rStyle w:val="FootnoteReference"/>
          <w:rFonts w:ascii="Verdana" w:hAnsi="Verdana" w:cs="Arial"/>
          <w:color w:val="000000" w:themeColor="text1"/>
          <w:sz w:val="16"/>
          <w:szCs w:val="16"/>
        </w:rPr>
        <w:footnoteRef/>
      </w:r>
      <w:r w:rsidRPr="00AB334B">
        <w:rPr>
          <w:rFonts w:ascii="Verdana" w:hAnsi="Verdana" w:cs="Arial"/>
          <w:color w:val="000000" w:themeColor="text1"/>
          <w:sz w:val="16"/>
          <w:szCs w:val="16"/>
        </w:rPr>
        <w:t xml:space="preserve"> </w:t>
      </w:r>
      <w:r w:rsidRPr="00AB334B">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7">
    <w:p w14:paraId="3C8966D9" w14:textId="77777777" w:rsidR="00EC344C" w:rsidRPr="00AB334B" w:rsidRDefault="00EC344C" w:rsidP="00EC344C">
      <w:pPr>
        <w:pStyle w:val="FootnoteText"/>
        <w:snapToGrid w:val="0"/>
        <w:ind w:firstLine="709"/>
        <w:contextualSpacing/>
        <w:jc w:val="both"/>
        <w:rPr>
          <w:rFonts w:ascii="Verdana" w:hAnsi="Verdana" w:cs="Arial"/>
          <w:color w:val="000000" w:themeColor="text1"/>
          <w:sz w:val="16"/>
          <w:szCs w:val="16"/>
          <w:lang w:val="es-ES"/>
        </w:rPr>
      </w:pPr>
      <w:r w:rsidRPr="00AB334B">
        <w:rPr>
          <w:rStyle w:val="FootnoteReference"/>
          <w:rFonts w:ascii="Verdana" w:hAnsi="Verdana" w:cs="Arial"/>
          <w:color w:val="000000" w:themeColor="text1"/>
          <w:sz w:val="16"/>
          <w:szCs w:val="16"/>
        </w:rPr>
        <w:footnoteRef/>
      </w:r>
      <w:r w:rsidRPr="00AB334B">
        <w:rPr>
          <w:rFonts w:ascii="Verdana" w:hAnsi="Verdana" w:cs="Arial"/>
          <w:color w:val="000000" w:themeColor="text1"/>
          <w:sz w:val="16"/>
          <w:szCs w:val="16"/>
        </w:rPr>
        <w:t xml:space="preserve"> </w:t>
      </w:r>
      <w:r w:rsidRPr="00AB334B">
        <w:rPr>
          <w:rFonts w:ascii="Verdana" w:hAnsi="Verdana" w:cs="Arial"/>
          <w:color w:val="000000" w:themeColor="text1"/>
          <w:sz w:val="16"/>
          <w:szCs w:val="16"/>
          <w:lang w:val="es-ES"/>
        </w:rPr>
        <w:t>Consejo de Estado. Sala de Consulta y Servicio Civil. Concepto del 30 de abril de 2015. Expediente: 2251. Consejero Ponente: Álvaro Namén Vargas.</w:t>
      </w:r>
    </w:p>
    <w:p w14:paraId="7E3B5584" w14:textId="77777777" w:rsidR="00EC344C" w:rsidRPr="00AB334B" w:rsidRDefault="00EC344C" w:rsidP="00EC344C">
      <w:pPr>
        <w:pStyle w:val="FootnoteText"/>
        <w:snapToGrid w:val="0"/>
        <w:ind w:firstLine="709"/>
        <w:contextualSpacing/>
        <w:jc w:val="both"/>
        <w:rPr>
          <w:rFonts w:ascii="Verdana" w:hAnsi="Verdana" w:cs="Arial"/>
          <w:color w:val="000000" w:themeColor="text1"/>
          <w:sz w:val="16"/>
          <w:szCs w:val="16"/>
          <w:lang w:val="es-ES"/>
        </w:rPr>
      </w:pPr>
    </w:p>
  </w:footnote>
  <w:footnote w:id="8">
    <w:p w14:paraId="270E0BC8" w14:textId="63C1047C" w:rsidR="00EC344C" w:rsidRPr="001E06C4" w:rsidRDefault="00EC344C" w:rsidP="001E06C4">
      <w:pPr>
        <w:pStyle w:val="FootnoteText"/>
        <w:snapToGrid w:val="0"/>
        <w:ind w:firstLine="709"/>
        <w:contextualSpacing/>
        <w:jc w:val="both"/>
        <w:rPr>
          <w:rFonts w:ascii="Verdana" w:hAnsi="Verdana" w:cs="Arial"/>
          <w:color w:val="000000" w:themeColor="text1"/>
          <w:sz w:val="16"/>
          <w:szCs w:val="16"/>
        </w:rPr>
      </w:pPr>
      <w:r w:rsidRPr="00AB334B">
        <w:rPr>
          <w:rStyle w:val="FootnoteReference"/>
          <w:rFonts w:ascii="Verdana" w:hAnsi="Verdana" w:cs="Arial"/>
          <w:color w:val="000000" w:themeColor="text1"/>
          <w:sz w:val="16"/>
          <w:szCs w:val="16"/>
        </w:rPr>
        <w:footnoteRef/>
      </w:r>
      <w:r w:rsidRPr="00AB334B">
        <w:rPr>
          <w:rFonts w:ascii="Verdana" w:hAnsi="Verdana" w:cs="Arial"/>
          <w:color w:val="000000" w:themeColor="text1"/>
          <w:sz w:val="16"/>
          <w:szCs w:val="16"/>
        </w:rPr>
        <w:t xml:space="preserve"> Consejo de Estado. Sección Tercera. Subsección A. Sentencia del 24 de junio de 2015. Exp. 40.635. Consejero Ponente: Hernán Andrade Rincón (E).</w:t>
      </w:r>
    </w:p>
  </w:footnote>
  <w:footnote w:id="9">
    <w:p w14:paraId="60E6CC2C" w14:textId="77777777" w:rsidR="00EC344C" w:rsidRPr="00AB334B" w:rsidRDefault="00EC344C" w:rsidP="00EC344C">
      <w:pPr>
        <w:pStyle w:val="FootnoteText"/>
        <w:snapToGrid w:val="0"/>
        <w:ind w:firstLine="709"/>
        <w:contextualSpacing/>
        <w:jc w:val="both"/>
        <w:rPr>
          <w:rFonts w:ascii="Verdana" w:hAnsi="Verdana" w:cs="Arial"/>
          <w:color w:val="000000" w:themeColor="text1"/>
          <w:sz w:val="16"/>
          <w:szCs w:val="16"/>
        </w:rPr>
      </w:pPr>
      <w:r w:rsidRPr="00AB334B">
        <w:rPr>
          <w:rStyle w:val="FootnoteReference"/>
          <w:rFonts w:ascii="Verdana" w:hAnsi="Verdana" w:cs="Arial"/>
          <w:color w:val="000000" w:themeColor="text1"/>
          <w:sz w:val="16"/>
          <w:szCs w:val="16"/>
        </w:rPr>
        <w:footnoteRef/>
      </w:r>
      <w:r w:rsidRPr="00AB334B">
        <w:rPr>
          <w:rFonts w:ascii="Verdana" w:hAnsi="Verdana" w:cs="Arial"/>
          <w:color w:val="000000" w:themeColor="text1"/>
          <w:sz w:val="16"/>
          <w:szCs w:val="16"/>
        </w:rPr>
        <w:t xml:space="preserve"> Consejo de Estado. Sección Tercera. Subsección C. Sentencia del 22 de mayo de 2013. Exp. 24.057. Consejera Ponente: Olga Melida Valle De De La Hoz.</w:t>
      </w:r>
    </w:p>
    <w:p w14:paraId="1133AFFE" w14:textId="77777777" w:rsidR="00EC344C" w:rsidRPr="00AB334B" w:rsidRDefault="00EC344C" w:rsidP="00EC344C">
      <w:pPr>
        <w:pStyle w:val="FootnoteText"/>
        <w:snapToGrid w:val="0"/>
        <w:ind w:firstLine="709"/>
        <w:contextualSpacing/>
        <w:jc w:val="both"/>
        <w:rPr>
          <w:rFonts w:ascii="Verdana" w:hAnsi="Verdana" w:cs="Arial"/>
          <w:color w:val="000000" w:themeColor="text1"/>
          <w:sz w:val="16"/>
          <w:szCs w:val="16"/>
          <w:lang w:val="es-ES"/>
        </w:rPr>
      </w:pPr>
    </w:p>
  </w:footnote>
  <w:footnote w:id="10">
    <w:p w14:paraId="06F36E5B" w14:textId="4E129674" w:rsidR="00EC344C" w:rsidRPr="00AB334B" w:rsidRDefault="00EC344C" w:rsidP="00EC344C">
      <w:pPr>
        <w:pStyle w:val="FootnoteText"/>
        <w:snapToGrid w:val="0"/>
        <w:ind w:firstLine="708"/>
        <w:contextualSpacing/>
        <w:jc w:val="both"/>
        <w:rPr>
          <w:rFonts w:ascii="Verdana" w:hAnsi="Verdana"/>
          <w:sz w:val="16"/>
          <w:szCs w:val="16"/>
          <w:lang w:val="es-ES"/>
        </w:rPr>
      </w:pPr>
      <w:r w:rsidRPr="00AB334B">
        <w:rPr>
          <w:rStyle w:val="FootnoteReference"/>
          <w:rFonts w:ascii="Verdana" w:hAnsi="Verdana"/>
          <w:sz w:val="16"/>
          <w:szCs w:val="16"/>
        </w:rPr>
        <w:footnoteRef/>
      </w:r>
      <w:r w:rsidRPr="00AB334B">
        <w:rPr>
          <w:rFonts w:ascii="Verdana" w:hAnsi="Verdana"/>
          <w:sz w:val="16"/>
          <w:szCs w:val="16"/>
        </w:rPr>
        <w:t xml:space="preserve"> </w:t>
      </w:r>
      <w:r w:rsidR="00DC7ECD" w:rsidRPr="00BD3626">
        <w:rPr>
          <w:rFonts w:ascii="Verdana" w:hAnsi="Verdana"/>
          <w:sz w:val="16"/>
          <w:szCs w:val="16"/>
        </w:rPr>
        <w:t>Corte Constitucional. S</w:t>
      </w:r>
      <w:r w:rsidR="00DC7ECD" w:rsidRPr="00BD3626">
        <w:rPr>
          <w:rFonts w:ascii="Verdana" w:eastAsia="Calibri" w:hAnsi="Verdana" w:cs="Arial"/>
          <w:sz w:val="16"/>
          <w:szCs w:val="16"/>
        </w:rPr>
        <w:t xml:space="preserve">entencia </w:t>
      </w:r>
      <w:r w:rsidR="00DC7ECD" w:rsidRPr="00BD3626">
        <w:rPr>
          <w:rFonts w:ascii="Verdana" w:eastAsia="Calibri" w:hAnsi="Verdana" w:cs="Arial"/>
          <w:sz w:val="16"/>
          <w:szCs w:val="16"/>
          <w:lang w:val="es-CO"/>
        </w:rPr>
        <w:t xml:space="preserve">C-495 de 1998. </w:t>
      </w:r>
      <w:r w:rsidR="00DC7ECD" w:rsidRPr="00BD3626">
        <w:rPr>
          <w:rFonts w:ascii="Verdana" w:hAnsi="Verdana"/>
          <w:sz w:val="16"/>
          <w:szCs w:val="16"/>
        </w:rPr>
        <w:t>Magistrado Ponente: Dr. Antonio Barrera Carbonell</w:t>
      </w:r>
      <w:r w:rsidR="00DC7ECD">
        <w:rPr>
          <w:rFonts w:ascii="Verdana" w:hAnsi="Verdana"/>
          <w:sz w:val="16"/>
          <w:szCs w:val="16"/>
        </w:rPr>
        <w:t>.</w:t>
      </w:r>
    </w:p>
  </w:footnote>
  <w:footnote w:id="11">
    <w:p w14:paraId="43DD4CAF" w14:textId="24C46AD0" w:rsidR="00EC344C" w:rsidRPr="00AB334B" w:rsidRDefault="00EC344C" w:rsidP="00D80347">
      <w:pPr>
        <w:pStyle w:val="FootnoteText"/>
        <w:snapToGrid w:val="0"/>
        <w:ind w:firstLine="708"/>
        <w:contextualSpacing/>
        <w:jc w:val="both"/>
        <w:rPr>
          <w:rFonts w:ascii="Verdana" w:hAnsi="Verdana"/>
          <w:sz w:val="16"/>
          <w:szCs w:val="16"/>
          <w:lang w:val="es-ES"/>
        </w:rPr>
      </w:pPr>
      <w:r w:rsidRPr="00AB334B">
        <w:rPr>
          <w:rStyle w:val="FootnoteReference"/>
          <w:rFonts w:ascii="Verdana" w:hAnsi="Verdana"/>
          <w:sz w:val="16"/>
          <w:szCs w:val="16"/>
        </w:rPr>
        <w:footnoteRef/>
      </w:r>
      <w:r w:rsidRPr="00AB334B">
        <w:rPr>
          <w:rFonts w:ascii="Verdana" w:hAnsi="Verdana"/>
          <w:sz w:val="16"/>
          <w:szCs w:val="16"/>
        </w:rPr>
        <w:t xml:space="preserve"> </w:t>
      </w:r>
      <w:r w:rsidR="00D80347" w:rsidRPr="00B87BCD">
        <w:rPr>
          <w:rFonts w:ascii="Verdana" w:hAnsi="Verdana"/>
          <w:sz w:val="16"/>
          <w:szCs w:val="16"/>
        </w:rPr>
        <w:t>Corte Constitucional. S</w:t>
      </w:r>
      <w:r w:rsidR="00D80347" w:rsidRPr="00B87BCD">
        <w:rPr>
          <w:rFonts w:ascii="Verdana" w:hAnsi="Verdana"/>
          <w:sz w:val="16"/>
          <w:szCs w:val="16"/>
          <w:lang w:val="es-CO"/>
        </w:rPr>
        <w:t>entencia de tutela T-575 de 2012. Magistrado Ponente: Juan Carlos Henao Pérez</w:t>
      </w:r>
      <w:r w:rsidR="00D80347">
        <w:rPr>
          <w:rFonts w:ascii="Verdana" w:hAnsi="Verdana"/>
          <w:sz w:val="16"/>
          <w:szCs w:val="16"/>
          <w:lang w:val="es-ES"/>
        </w:rPr>
        <w:t>.</w:t>
      </w:r>
    </w:p>
  </w:footnote>
  <w:footnote w:id="12">
    <w:p w14:paraId="7410089D" w14:textId="7533DF29" w:rsidR="00D80347" w:rsidRPr="00D80347" w:rsidRDefault="00D80347" w:rsidP="00B53FA6">
      <w:pPr>
        <w:pStyle w:val="FootnoteText"/>
        <w:ind w:firstLine="708"/>
        <w:jc w:val="both"/>
        <w:rPr>
          <w:lang w:val="es-ES"/>
        </w:rPr>
      </w:pPr>
      <w:r>
        <w:rPr>
          <w:rStyle w:val="FootnoteReference"/>
        </w:rPr>
        <w:footnoteRef/>
      </w:r>
      <w:r>
        <w:t xml:space="preserve"> </w:t>
      </w:r>
      <w:r w:rsidR="00B53FA6" w:rsidRPr="00B87BCD">
        <w:rPr>
          <w:rFonts w:ascii="Verdana" w:hAnsi="Verdana"/>
          <w:sz w:val="16"/>
          <w:szCs w:val="16"/>
        </w:rPr>
        <w:t xml:space="preserve">Consejo de Estado. </w:t>
      </w:r>
      <w:r w:rsidR="00B53FA6" w:rsidRPr="00B87BCD">
        <w:rPr>
          <w:rFonts w:ascii="Verdana" w:hAnsi="Verdana"/>
          <w:sz w:val="16"/>
          <w:szCs w:val="16"/>
          <w:lang w:val="es-CO"/>
        </w:rPr>
        <w:t>Sección Primera. Sentencia del once (11) de marzo de dos mil veintiuno (2021). Radicación número: 05001-23-31-000-2006-03075-01. Consejero ponente: Oswaldo Giraldo López</w:t>
      </w:r>
      <w:r w:rsidR="00B53FA6">
        <w:rPr>
          <w:rFonts w:ascii="Verdana" w:hAnsi="Verdana"/>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1"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3768561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C4F"/>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06C4"/>
    <w:rsid w:val="001E4177"/>
    <w:rsid w:val="001F0B24"/>
    <w:rsid w:val="001F7DC6"/>
    <w:rsid w:val="0022400B"/>
    <w:rsid w:val="002421BB"/>
    <w:rsid w:val="00255293"/>
    <w:rsid w:val="0025796E"/>
    <w:rsid w:val="002707A2"/>
    <w:rsid w:val="002951A0"/>
    <w:rsid w:val="002962BC"/>
    <w:rsid w:val="002A093D"/>
    <w:rsid w:val="002A0DD0"/>
    <w:rsid w:val="002A49AC"/>
    <w:rsid w:val="002A64FD"/>
    <w:rsid w:val="002C7A84"/>
    <w:rsid w:val="002E2BF8"/>
    <w:rsid w:val="002E4FD9"/>
    <w:rsid w:val="00304383"/>
    <w:rsid w:val="0030657A"/>
    <w:rsid w:val="00322A85"/>
    <w:rsid w:val="00324168"/>
    <w:rsid w:val="00330834"/>
    <w:rsid w:val="003448F4"/>
    <w:rsid w:val="00374F5E"/>
    <w:rsid w:val="00377E3E"/>
    <w:rsid w:val="003A779E"/>
    <w:rsid w:val="003C564F"/>
    <w:rsid w:val="003D0F4D"/>
    <w:rsid w:val="003D3888"/>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5D6EF2"/>
    <w:rsid w:val="006200BF"/>
    <w:rsid w:val="006219F8"/>
    <w:rsid w:val="006302F7"/>
    <w:rsid w:val="006469D9"/>
    <w:rsid w:val="00646B9F"/>
    <w:rsid w:val="006633C6"/>
    <w:rsid w:val="00665D70"/>
    <w:rsid w:val="0068330E"/>
    <w:rsid w:val="006900D9"/>
    <w:rsid w:val="006F293F"/>
    <w:rsid w:val="00706C16"/>
    <w:rsid w:val="007340C3"/>
    <w:rsid w:val="0075235A"/>
    <w:rsid w:val="00756841"/>
    <w:rsid w:val="007649AB"/>
    <w:rsid w:val="00771D0C"/>
    <w:rsid w:val="007833AC"/>
    <w:rsid w:val="00786CD1"/>
    <w:rsid w:val="007B268C"/>
    <w:rsid w:val="007B7171"/>
    <w:rsid w:val="007C0C0F"/>
    <w:rsid w:val="007C3DC2"/>
    <w:rsid w:val="007E5497"/>
    <w:rsid w:val="00806F5F"/>
    <w:rsid w:val="00820278"/>
    <w:rsid w:val="008258C9"/>
    <w:rsid w:val="00844AE9"/>
    <w:rsid w:val="00867F95"/>
    <w:rsid w:val="008843B6"/>
    <w:rsid w:val="00891928"/>
    <w:rsid w:val="008A01F3"/>
    <w:rsid w:val="008A446D"/>
    <w:rsid w:val="008B25F1"/>
    <w:rsid w:val="008D180B"/>
    <w:rsid w:val="008F0EA7"/>
    <w:rsid w:val="00923EEF"/>
    <w:rsid w:val="009419F9"/>
    <w:rsid w:val="0095685E"/>
    <w:rsid w:val="00961B09"/>
    <w:rsid w:val="00965334"/>
    <w:rsid w:val="0097093E"/>
    <w:rsid w:val="00992AE5"/>
    <w:rsid w:val="009A0DFA"/>
    <w:rsid w:val="009A1C6F"/>
    <w:rsid w:val="009B2D26"/>
    <w:rsid w:val="009C71FA"/>
    <w:rsid w:val="009C72E7"/>
    <w:rsid w:val="009C7F7E"/>
    <w:rsid w:val="009D3058"/>
    <w:rsid w:val="009F3A13"/>
    <w:rsid w:val="00A122D3"/>
    <w:rsid w:val="00A13072"/>
    <w:rsid w:val="00A14468"/>
    <w:rsid w:val="00A156C0"/>
    <w:rsid w:val="00A17F13"/>
    <w:rsid w:val="00A20739"/>
    <w:rsid w:val="00A23AF9"/>
    <w:rsid w:val="00A33C78"/>
    <w:rsid w:val="00A62B22"/>
    <w:rsid w:val="00A67CFD"/>
    <w:rsid w:val="00AB0ADB"/>
    <w:rsid w:val="00B00C0E"/>
    <w:rsid w:val="00B01B1A"/>
    <w:rsid w:val="00B0381D"/>
    <w:rsid w:val="00B21900"/>
    <w:rsid w:val="00B36D5A"/>
    <w:rsid w:val="00B44171"/>
    <w:rsid w:val="00B44A47"/>
    <w:rsid w:val="00B53FA6"/>
    <w:rsid w:val="00B72CD3"/>
    <w:rsid w:val="00B72FFF"/>
    <w:rsid w:val="00B8334C"/>
    <w:rsid w:val="00BA175D"/>
    <w:rsid w:val="00BC3D36"/>
    <w:rsid w:val="00BD54A6"/>
    <w:rsid w:val="00BD7F72"/>
    <w:rsid w:val="00BF7425"/>
    <w:rsid w:val="00C04FB3"/>
    <w:rsid w:val="00C11D8B"/>
    <w:rsid w:val="00C14DDB"/>
    <w:rsid w:val="00C15139"/>
    <w:rsid w:val="00C330EB"/>
    <w:rsid w:val="00C50D69"/>
    <w:rsid w:val="00C5365C"/>
    <w:rsid w:val="00C754BE"/>
    <w:rsid w:val="00C76B1C"/>
    <w:rsid w:val="00C925AC"/>
    <w:rsid w:val="00CB6357"/>
    <w:rsid w:val="00CC1B26"/>
    <w:rsid w:val="00D01CE8"/>
    <w:rsid w:val="00D361FD"/>
    <w:rsid w:val="00D423A2"/>
    <w:rsid w:val="00D44E26"/>
    <w:rsid w:val="00D520D8"/>
    <w:rsid w:val="00D63AC2"/>
    <w:rsid w:val="00D7383B"/>
    <w:rsid w:val="00D7788A"/>
    <w:rsid w:val="00D80347"/>
    <w:rsid w:val="00DA231B"/>
    <w:rsid w:val="00DC39FC"/>
    <w:rsid w:val="00DC7ECD"/>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44C"/>
    <w:rsid w:val="00EC38A7"/>
    <w:rsid w:val="00EE1AA8"/>
    <w:rsid w:val="00F23FEA"/>
    <w:rsid w:val="00F31EDC"/>
    <w:rsid w:val="00F462B3"/>
    <w:rsid w:val="00F5664F"/>
    <w:rsid w:val="00F666C4"/>
    <w:rsid w:val="00F74166"/>
    <w:rsid w:val="00F76AFC"/>
    <w:rsid w:val="00FA47C0"/>
    <w:rsid w:val="00FA598C"/>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EC344C"/>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EC344C"/>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1169373">
      <w:bodyDiv w:val="1"/>
      <w:marLeft w:val="0"/>
      <w:marRight w:val="0"/>
      <w:marTop w:val="0"/>
      <w:marBottom w:val="0"/>
      <w:divBdr>
        <w:top w:val="none" w:sz="0" w:space="0" w:color="auto"/>
        <w:left w:val="none" w:sz="0" w:space="0" w:color="auto"/>
        <w:bottom w:val="none" w:sz="0" w:space="0" w:color="auto"/>
        <w:right w:val="none" w:sz="0" w:space="0" w:color="auto"/>
      </w:divBdr>
      <w:divsChild>
        <w:div w:id="1123227156">
          <w:marLeft w:val="0"/>
          <w:marRight w:val="0"/>
          <w:marTop w:val="0"/>
          <w:marBottom w:val="0"/>
          <w:divBdr>
            <w:top w:val="none" w:sz="0" w:space="0" w:color="auto"/>
            <w:left w:val="none" w:sz="0" w:space="0" w:color="auto"/>
            <w:bottom w:val="none" w:sz="0" w:space="0" w:color="auto"/>
            <w:right w:val="none" w:sz="0" w:space="0" w:color="auto"/>
          </w:divBdr>
          <w:divsChild>
            <w:div w:id="575480683">
              <w:marLeft w:val="0"/>
              <w:marRight w:val="0"/>
              <w:marTop w:val="0"/>
              <w:marBottom w:val="0"/>
              <w:divBdr>
                <w:top w:val="none" w:sz="0" w:space="0" w:color="auto"/>
                <w:left w:val="none" w:sz="0" w:space="0" w:color="auto"/>
                <w:bottom w:val="none" w:sz="0" w:space="0" w:color="auto"/>
                <w:right w:val="none" w:sz="0" w:space="0" w:color="auto"/>
              </w:divBdr>
              <w:divsChild>
                <w:div w:id="159196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95071545">
      <w:bodyDiv w:val="1"/>
      <w:marLeft w:val="0"/>
      <w:marRight w:val="0"/>
      <w:marTop w:val="0"/>
      <w:marBottom w:val="0"/>
      <w:divBdr>
        <w:top w:val="none" w:sz="0" w:space="0" w:color="auto"/>
        <w:left w:val="none" w:sz="0" w:space="0" w:color="auto"/>
        <w:bottom w:val="none" w:sz="0" w:space="0" w:color="auto"/>
        <w:right w:val="none" w:sz="0" w:space="0" w:color="auto"/>
      </w:divBdr>
      <w:divsChild>
        <w:div w:id="1298531010">
          <w:marLeft w:val="0"/>
          <w:marRight w:val="0"/>
          <w:marTop w:val="0"/>
          <w:marBottom w:val="0"/>
          <w:divBdr>
            <w:top w:val="none" w:sz="0" w:space="0" w:color="auto"/>
            <w:left w:val="none" w:sz="0" w:space="0" w:color="auto"/>
            <w:bottom w:val="none" w:sz="0" w:space="0" w:color="auto"/>
            <w:right w:val="none" w:sz="0" w:space="0" w:color="auto"/>
          </w:divBdr>
          <w:divsChild>
            <w:div w:id="257369796">
              <w:marLeft w:val="0"/>
              <w:marRight w:val="0"/>
              <w:marTop w:val="0"/>
              <w:marBottom w:val="0"/>
              <w:divBdr>
                <w:top w:val="none" w:sz="0" w:space="0" w:color="auto"/>
                <w:left w:val="none" w:sz="0" w:space="0" w:color="auto"/>
                <w:bottom w:val="none" w:sz="0" w:space="0" w:color="auto"/>
                <w:right w:val="none" w:sz="0" w:space="0" w:color="auto"/>
              </w:divBdr>
              <w:divsChild>
                <w:div w:id="327639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valeria.vargas01@urosario.edu.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8277357-A05A-41A7-ABD1-365DA316CB61}"/>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3.xml><?xml version="1.0" encoding="utf-8"?>
<ds:datastoreItem xmlns:ds="http://schemas.openxmlformats.org/officeDocument/2006/customXml" ds:itemID="{61165033-372D-F148-93F0-6711F9312312}">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11</TotalTime>
  <Pages>14</Pages>
  <Words>4221</Words>
  <Characters>24065</Characters>
  <Application>Microsoft Office Word</Application>
  <DocSecurity>0</DocSecurity>
  <Lines>200</Lines>
  <Paragraphs>56</Paragraphs>
  <ScaleCrop>false</ScaleCrop>
  <Company/>
  <LinksUpToDate>false</LinksUpToDate>
  <CharactersWithSpaces>28230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9</cp:revision>
  <cp:lastPrinted>2023-01-10T21:18:00Z</cp:lastPrinted>
  <dcterms:created xsi:type="dcterms:W3CDTF">2025-12-31T16:06:00Z</dcterms:created>
  <dcterms:modified xsi:type="dcterms:W3CDTF">2025-12-31T16:18:00Z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