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5F6CD" w14:textId="77777777" w:rsidR="008835B4" w:rsidRPr="00682C93" w:rsidRDefault="008835B4" w:rsidP="003C64B8">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0029F2F0" w14:textId="77777777" w:rsidR="008835B4" w:rsidRDefault="008835B4" w:rsidP="003C64B8">
      <w:pPr>
        <w:spacing w:after="0" w:line="240" w:lineRule="auto"/>
        <w:jc w:val="both"/>
        <w:rPr>
          <w:rFonts w:ascii="Verdana" w:hAnsi="Verdana" w:cs="Arial"/>
          <w:b/>
          <w:lang w:val="es-MX" w:eastAsia="es-ES_tradnl"/>
        </w:rPr>
      </w:pPr>
    </w:p>
    <w:p w14:paraId="64599A35" w14:textId="77777777" w:rsidR="008835B4" w:rsidRDefault="008835B4" w:rsidP="003C64B8">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5C7DC5DC" w14:textId="77777777" w:rsidR="008835B4" w:rsidRPr="00682C93" w:rsidRDefault="008835B4" w:rsidP="003C64B8">
      <w:pPr>
        <w:spacing w:after="0" w:line="240" w:lineRule="auto"/>
        <w:jc w:val="both"/>
        <w:rPr>
          <w:rFonts w:ascii="Verdana" w:hAnsi="Verdana" w:cs="Arial"/>
          <w:b/>
          <w:sz w:val="20"/>
          <w:lang w:val="es-MX" w:eastAsia="es-ES_tradnl"/>
        </w:rPr>
      </w:pPr>
    </w:p>
    <w:p w14:paraId="601C72A5" w14:textId="77777777" w:rsidR="008835B4" w:rsidRPr="00682C93" w:rsidRDefault="008835B4" w:rsidP="003C64B8">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3E670918" w14:textId="77777777" w:rsidR="008835B4" w:rsidRDefault="008835B4" w:rsidP="003C64B8">
      <w:pPr>
        <w:spacing w:after="0" w:line="240" w:lineRule="auto"/>
        <w:jc w:val="both"/>
        <w:rPr>
          <w:rFonts w:ascii="Verdana" w:hAnsi="Verdana" w:cs="Arial"/>
          <w:b/>
          <w:lang w:val="es-MX" w:eastAsia="es-ES_tradnl"/>
        </w:rPr>
      </w:pPr>
    </w:p>
    <w:p w14:paraId="11D4BFCE" w14:textId="77777777" w:rsidR="008835B4" w:rsidRPr="00E41F23" w:rsidRDefault="008835B4" w:rsidP="003C64B8">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9CEEC66" w14:textId="77777777" w:rsidR="008835B4" w:rsidRPr="00E41F23" w:rsidRDefault="008835B4" w:rsidP="003C64B8">
      <w:pPr>
        <w:spacing w:after="0" w:line="240" w:lineRule="auto"/>
        <w:jc w:val="both"/>
        <w:rPr>
          <w:rFonts w:ascii="Verdana" w:eastAsia="Calibri" w:hAnsi="Verdana" w:cs="Arial"/>
          <w:sz w:val="20"/>
        </w:rPr>
      </w:pPr>
    </w:p>
    <w:p w14:paraId="024FBF21" w14:textId="77777777" w:rsidR="008835B4" w:rsidRDefault="008835B4" w:rsidP="003C64B8">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4863FFB2" w14:textId="77777777" w:rsidR="008835B4" w:rsidRPr="00E41F23" w:rsidRDefault="008835B4" w:rsidP="003C64B8">
      <w:pPr>
        <w:widowControl w:val="0"/>
        <w:autoSpaceDE w:val="0"/>
        <w:autoSpaceDN w:val="0"/>
        <w:spacing w:after="0" w:line="240" w:lineRule="auto"/>
        <w:ind w:right="113"/>
        <w:jc w:val="both"/>
        <w:rPr>
          <w:rFonts w:ascii="Verdana" w:eastAsia="Arial" w:hAnsi="Verdana" w:cs="Arial"/>
          <w:sz w:val="20"/>
          <w:lang w:val="es-ES" w:eastAsia="es-ES" w:bidi="es-ES"/>
        </w:rPr>
      </w:pPr>
    </w:p>
    <w:p w14:paraId="3F553E09" w14:textId="77777777" w:rsidR="008835B4" w:rsidRPr="00E41F23" w:rsidRDefault="008835B4" w:rsidP="003C64B8">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4439BF1A" w14:textId="77777777" w:rsidR="008835B4" w:rsidRPr="003F2A9C" w:rsidRDefault="008835B4" w:rsidP="003C64B8">
      <w:pPr>
        <w:spacing w:after="0" w:line="240" w:lineRule="auto"/>
        <w:jc w:val="both"/>
        <w:rPr>
          <w:rFonts w:ascii="Verdana" w:hAnsi="Verdana" w:cs="Arial"/>
          <w:b/>
          <w:sz w:val="20"/>
          <w:lang w:val="es-MX" w:eastAsia="es-ES_tradnl"/>
        </w:rPr>
      </w:pPr>
    </w:p>
    <w:p w14:paraId="76652E7F" w14:textId="77777777" w:rsidR="008835B4" w:rsidRPr="00682C93" w:rsidRDefault="008835B4" w:rsidP="003C64B8">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22B5A71D" w14:textId="77777777" w:rsidR="008835B4" w:rsidRDefault="008835B4" w:rsidP="003C64B8">
      <w:pPr>
        <w:spacing w:after="0" w:line="240" w:lineRule="auto"/>
        <w:jc w:val="both"/>
        <w:rPr>
          <w:rFonts w:ascii="Verdana" w:hAnsi="Verdana" w:cs="Arial"/>
          <w:b/>
          <w:lang w:val="es-MX" w:eastAsia="es-ES_tradnl"/>
        </w:rPr>
      </w:pPr>
    </w:p>
    <w:p w14:paraId="2DD8C972" w14:textId="77777777" w:rsidR="008835B4" w:rsidRPr="00E41F23" w:rsidRDefault="008835B4" w:rsidP="003C64B8">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0B4DFF2" w14:textId="77777777" w:rsidR="008835B4" w:rsidRPr="00E41F23" w:rsidRDefault="008835B4" w:rsidP="003C64B8">
      <w:pPr>
        <w:spacing w:after="0" w:line="240" w:lineRule="auto"/>
        <w:jc w:val="both"/>
        <w:rPr>
          <w:rFonts w:ascii="Verdana" w:hAnsi="Verdana" w:cs="Arial"/>
          <w:b/>
          <w:lang w:eastAsia="es-ES_tradnl"/>
        </w:rPr>
      </w:pPr>
    </w:p>
    <w:p w14:paraId="66003655" w14:textId="77777777" w:rsidR="008835B4" w:rsidRPr="00682C93" w:rsidRDefault="008835B4" w:rsidP="003C64B8">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3131389E" w14:textId="77777777" w:rsidR="008835B4" w:rsidRPr="00E41F23" w:rsidRDefault="008835B4" w:rsidP="003C64B8">
      <w:pPr>
        <w:spacing w:after="0" w:line="240" w:lineRule="auto"/>
        <w:jc w:val="both"/>
        <w:rPr>
          <w:rFonts w:ascii="Verdana" w:hAnsi="Verdana" w:cs="Arial"/>
          <w:b/>
          <w:sz w:val="20"/>
          <w:lang w:val="es-MX" w:eastAsia="es-ES_tradnl"/>
        </w:rPr>
      </w:pPr>
    </w:p>
    <w:p w14:paraId="4855C1CA" w14:textId="77777777" w:rsidR="008835B4" w:rsidRPr="00E41F23" w:rsidRDefault="008835B4" w:rsidP="003C64B8">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CF84BA9" w14:textId="77777777" w:rsidR="008835B4" w:rsidRPr="00682C93" w:rsidRDefault="008835B4" w:rsidP="003C64B8">
      <w:pPr>
        <w:spacing w:after="0" w:line="240" w:lineRule="auto"/>
        <w:jc w:val="both"/>
        <w:rPr>
          <w:rFonts w:ascii="Verdana" w:hAnsi="Verdana" w:cs="Arial"/>
          <w:b/>
          <w:lang w:val="es-MX" w:eastAsia="es-ES_tradnl"/>
        </w:rPr>
      </w:pPr>
    </w:p>
    <w:p w14:paraId="7C7B4DBC" w14:textId="77777777" w:rsidR="008835B4" w:rsidRPr="00682C93" w:rsidRDefault="008835B4" w:rsidP="003C64B8">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2162201B" w14:textId="77777777" w:rsidR="008835B4" w:rsidRDefault="008835B4" w:rsidP="003C64B8">
      <w:pPr>
        <w:spacing w:after="0" w:line="240" w:lineRule="auto"/>
        <w:rPr>
          <w:rFonts w:ascii="Verdana" w:hAnsi="Verdana" w:cs="Arial"/>
          <w:lang w:val="es-MX" w:eastAsia="es-ES_tradnl"/>
        </w:rPr>
      </w:pPr>
    </w:p>
    <w:p w14:paraId="1A9E935E" w14:textId="3B167424" w:rsidR="00F624DD" w:rsidRDefault="008835B4" w:rsidP="003C64B8">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67724DC9" w14:textId="77777777" w:rsidR="008835B4" w:rsidRPr="008835B4" w:rsidRDefault="008835B4" w:rsidP="003C64B8">
      <w:pPr>
        <w:spacing w:after="0" w:line="240" w:lineRule="auto"/>
        <w:jc w:val="both"/>
        <w:rPr>
          <w:rFonts w:ascii="Verdana" w:hAnsi="Verdana" w:cs="Arial"/>
          <w:sz w:val="20"/>
          <w:lang w:val="es-MX" w:eastAsia="es-ES_tradnl"/>
        </w:rPr>
      </w:pPr>
    </w:p>
    <w:p w14:paraId="0D982C57" w14:textId="77777777" w:rsidR="008835B4" w:rsidRPr="008835B4" w:rsidRDefault="008835B4" w:rsidP="003C64B8">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 xml:space="preserve">LEY DE GARANTÍAS ELECTORALES – Contratos y convenios interadministrativos – Criterio orgánico </w:t>
      </w:r>
    </w:p>
    <w:p w14:paraId="54F49637" w14:textId="77777777" w:rsidR="008835B4" w:rsidRDefault="008835B4" w:rsidP="003C64B8">
      <w:pPr>
        <w:spacing w:after="0" w:line="240" w:lineRule="auto"/>
        <w:jc w:val="both"/>
        <w:rPr>
          <w:rFonts w:ascii="Verdana" w:eastAsia="Calibri" w:hAnsi="Verdana" w:cs="Arial"/>
          <w:color w:val="000000"/>
          <w:lang w:val="es-MX"/>
        </w:rPr>
      </w:pPr>
    </w:p>
    <w:p w14:paraId="13DD3E90" w14:textId="4EFD7BFE" w:rsidR="008835B4" w:rsidRDefault="008835B4" w:rsidP="003C64B8">
      <w:pPr>
        <w:spacing w:after="0" w:line="240" w:lineRule="auto"/>
        <w:jc w:val="both"/>
        <w:rPr>
          <w:rFonts w:ascii="Verdana" w:eastAsia="Calibri" w:hAnsi="Verdana" w:cs="Arial"/>
          <w:color w:val="000000"/>
          <w:sz w:val="20"/>
        </w:rPr>
      </w:pPr>
      <w:r w:rsidRPr="008835B4">
        <w:rPr>
          <w:rFonts w:ascii="Verdana" w:eastAsia="Calibri" w:hAnsi="Verdana" w:cs="Arial"/>
          <w:color w:val="000000"/>
          <w:sz w:val="20"/>
          <w:lang w:val="es-ES"/>
        </w:rPr>
        <w:t xml:space="preserve">Para tales efectos, debe precisarse que los contratos o convenios interadministrativos están determinados por un criterio orgánico, pues es necesario que los extremos de la relación contractual sean entidades públicas, </w:t>
      </w:r>
      <w:r w:rsidRPr="008835B4">
        <w:rPr>
          <w:rFonts w:ascii="Verdana" w:eastAsia="Calibri" w:hAnsi="Verdana" w:cs="Arial"/>
          <w:color w:val="000000"/>
          <w:sz w:val="20"/>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6D8A936A" w14:textId="77777777" w:rsidR="008835B4" w:rsidRPr="008835B4" w:rsidRDefault="008835B4" w:rsidP="003C64B8">
      <w:pPr>
        <w:spacing w:after="0" w:line="240" w:lineRule="auto"/>
        <w:jc w:val="both"/>
        <w:rPr>
          <w:rFonts w:ascii="Verdana" w:eastAsia="Calibri" w:hAnsi="Verdana" w:cs="Arial"/>
          <w:color w:val="000000"/>
          <w:sz w:val="20"/>
        </w:rPr>
      </w:pPr>
    </w:p>
    <w:p w14:paraId="29B5D595" w14:textId="0BF17EBC" w:rsidR="008835B4" w:rsidRDefault="008835B4" w:rsidP="003C64B8">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A97B967" w14:textId="77777777" w:rsidR="008835B4" w:rsidRPr="008835B4" w:rsidRDefault="008835B4" w:rsidP="003C64B8">
      <w:pPr>
        <w:spacing w:after="0" w:line="240" w:lineRule="auto"/>
        <w:jc w:val="both"/>
        <w:rPr>
          <w:rFonts w:ascii="Verdana" w:eastAsia="Calibri" w:hAnsi="Verdana" w:cs="Arial"/>
          <w:color w:val="000000"/>
          <w:sz w:val="20"/>
          <w:lang w:val="es-ES_tradnl"/>
        </w:rPr>
      </w:pPr>
    </w:p>
    <w:p w14:paraId="3FCF829B" w14:textId="150EB051" w:rsidR="008835B4" w:rsidRPr="008835B4" w:rsidRDefault="008835B4" w:rsidP="003C64B8">
      <w:pPr>
        <w:spacing w:after="0" w:line="240" w:lineRule="auto"/>
        <w:jc w:val="both"/>
        <w:rPr>
          <w:rFonts w:ascii="Verdana" w:eastAsia="Calibri" w:hAnsi="Verdana" w:cs="Arial"/>
          <w:color w:val="000000"/>
          <w:sz w:val="20"/>
          <w:lang w:val="es-ES_tradnl"/>
        </w:rPr>
      </w:pPr>
      <w:r w:rsidRPr="008835B4">
        <w:rPr>
          <w:rFonts w:ascii="Verdana" w:eastAsia="Calibri" w:hAnsi="Verdana" w:cs="Arial"/>
          <w:color w:val="000000"/>
          <w:sz w:val="20"/>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 Nótese que, en este caso, lo que cambia es la modalidad de selección y no la naturaleza de contrato interadministrativo.</w:t>
      </w:r>
    </w:p>
    <w:p w14:paraId="70A7A334" w14:textId="77777777" w:rsidR="008835B4" w:rsidRPr="008835B4" w:rsidRDefault="008835B4" w:rsidP="003C64B8">
      <w:pPr>
        <w:spacing w:after="0" w:line="240" w:lineRule="auto"/>
        <w:jc w:val="both"/>
        <w:rPr>
          <w:rFonts w:ascii="Verdana" w:eastAsia="Calibri" w:hAnsi="Verdana" w:cs="Arial"/>
          <w:color w:val="000000"/>
          <w:lang w:val="es-ES_tradnl"/>
        </w:rPr>
      </w:pPr>
    </w:p>
    <w:p w14:paraId="5088436E" w14:textId="047693CA" w:rsidR="00F624DD" w:rsidRPr="008835B4" w:rsidRDefault="008835B4" w:rsidP="003C64B8">
      <w:pPr>
        <w:spacing w:after="0" w:line="240" w:lineRule="auto"/>
        <w:jc w:val="both"/>
        <w:rPr>
          <w:rFonts w:ascii="Verdana" w:eastAsia="Calibri" w:hAnsi="Verdana" w:cs="Arial"/>
          <w:b/>
          <w:color w:val="000000"/>
          <w:lang w:val="es-MX"/>
        </w:rPr>
      </w:pPr>
      <w:r w:rsidRPr="008835B4">
        <w:rPr>
          <w:rFonts w:ascii="Verdana" w:eastAsia="Calibri" w:hAnsi="Verdana" w:cs="Arial"/>
          <w:b/>
          <w:color w:val="000000"/>
          <w:lang w:val="es-MX"/>
        </w:rPr>
        <w:t>LEY DE GARANTÍAS ELECTORALES –Restricción- Convenios interadministrativos – Postura del Consejo de Estado.</w:t>
      </w:r>
    </w:p>
    <w:p w14:paraId="1C3EBB0D" w14:textId="009545C0" w:rsidR="008835B4" w:rsidRDefault="008835B4" w:rsidP="003C64B8">
      <w:pPr>
        <w:spacing w:after="0" w:line="240" w:lineRule="auto"/>
        <w:jc w:val="both"/>
        <w:rPr>
          <w:rFonts w:ascii="Verdana" w:eastAsia="Calibri" w:hAnsi="Verdana" w:cs="Arial"/>
          <w:color w:val="000000"/>
        </w:rPr>
      </w:pPr>
    </w:p>
    <w:p w14:paraId="78FB593E" w14:textId="77777777" w:rsidR="008835B4" w:rsidRPr="00A07EBF" w:rsidRDefault="008835B4" w:rsidP="003C64B8">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Finalmente, mediante sentencia del 17 de octubre de 2025, emitida por la Sala de lo Contencioso Administrativo del Consejo de Estado, dentro del expediente 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 </w:t>
      </w:r>
    </w:p>
    <w:p w14:paraId="701D822E" w14:textId="77777777" w:rsidR="00A07EBF" w:rsidRPr="00A07EBF" w:rsidRDefault="00A07EBF" w:rsidP="003C64B8">
      <w:pPr>
        <w:spacing w:after="0" w:line="240" w:lineRule="auto"/>
        <w:jc w:val="both"/>
        <w:rPr>
          <w:rFonts w:ascii="Verdana" w:eastAsia="Calibri" w:hAnsi="Verdana" w:cs="Arial"/>
          <w:color w:val="000000"/>
          <w:sz w:val="20"/>
        </w:rPr>
      </w:pPr>
    </w:p>
    <w:p w14:paraId="5D9B9589" w14:textId="2A2532E0" w:rsidR="008835B4" w:rsidRPr="00A07EBF" w:rsidRDefault="008835B4" w:rsidP="003C64B8">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 Sobre el particular, la Sala concluyó que contratos y convenios interadministrativos son figuras distintas en naturaleza, objeto y efectos, pues mientras los contratos implican obligaciones patrimoniales y contraprestación, los </w:t>
      </w:r>
      <w:r w:rsidRPr="00A07EBF">
        <w:rPr>
          <w:rFonts w:ascii="Verdana" w:eastAsia="Calibri" w:hAnsi="Verdana" w:cs="Arial"/>
          <w:color w:val="000000"/>
          <w:sz w:val="20"/>
        </w:rPr>
        <w:lastRenderedPageBreak/>
        <w:t xml:space="preserve">convenios se basan en cooperación sin ánimo económico. Por ello, la restricción legal no podía aplicarse extensivamente a los contratos. </w:t>
      </w:r>
    </w:p>
    <w:p w14:paraId="6C545214" w14:textId="77777777" w:rsidR="008835B4" w:rsidRPr="00A07EBF" w:rsidRDefault="008835B4" w:rsidP="003C64B8">
      <w:pPr>
        <w:spacing w:after="0" w:line="240" w:lineRule="auto"/>
        <w:jc w:val="both"/>
        <w:rPr>
          <w:rFonts w:ascii="Verdana" w:eastAsia="Calibri" w:hAnsi="Verdana" w:cs="Arial"/>
          <w:color w:val="000000"/>
          <w:sz w:val="20"/>
        </w:rPr>
      </w:pPr>
    </w:p>
    <w:p w14:paraId="34C485E8" w14:textId="411A280E" w:rsidR="008835B4" w:rsidRPr="00A07EBF" w:rsidRDefault="008835B4" w:rsidP="003C64B8">
      <w:pPr>
        <w:spacing w:after="0" w:line="240" w:lineRule="auto"/>
        <w:jc w:val="both"/>
        <w:rPr>
          <w:rFonts w:ascii="Verdana" w:eastAsia="Calibri" w:hAnsi="Verdana" w:cs="Arial"/>
          <w:color w:val="000000"/>
          <w:sz w:val="20"/>
        </w:rPr>
      </w:pPr>
      <w:r w:rsidRPr="00A07EBF">
        <w:rPr>
          <w:rFonts w:ascii="Verdana" w:eastAsia="Calibri" w:hAnsi="Verdana" w:cs="Arial"/>
          <w:color w:val="000000"/>
          <w:sz w:val="20"/>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Así las cosas, a la luz de lo expuesto por el Consejo de Estado, en la sentencia expedida por la Sección Tercera de la Sala de lo Contencioso Administrativo del 17 de octubre de 2025, en los autos del 4 de octubre de 2024 y 6 de noviembre de 2025, no resultaría aplicable la prohibición del parágrafo del artículo 38 de la Ley de Garantías Electorales a los </w:t>
      </w:r>
      <w:r w:rsidRPr="00A07EBF">
        <w:rPr>
          <w:rFonts w:ascii="Verdana" w:eastAsia="Calibri" w:hAnsi="Verdana" w:cs="Arial"/>
          <w:i/>
          <w:iCs/>
          <w:color w:val="000000"/>
          <w:sz w:val="20"/>
        </w:rPr>
        <w:t>contratos interadministrativos</w:t>
      </w:r>
      <w:r w:rsidRPr="00A07EBF">
        <w:rPr>
          <w:rFonts w:ascii="Verdana" w:eastAsia="Calibri" w:hAnsi="Verdana" w:cs="Arial"/>
          <w:color w:val="000000"/>
          <w:sz w:val="20"/>
        </w:rPr>
        <w:t xml:space="preserve">, esta prohibición solo aplicaría a los convenios interadministrativos que impliquen la ejecución de recursos públicos. Conforme a lo señalado por el Consejo de Estado, cuando dos entidades públicas celebren un </w:t>
      </w:r>
      <w:r w:rsidRPr="00A07EBF">
        <w:rPr>
          <w:rFonts w:ascii="Verdana" w:eastAsia="Calibri" w:hAnsi="Verdana" w:cs="Arial"/>
          <w:i/>
          <w:iCs/>
          <w:color w:val="000000"/>
          <w:sz w:val="20"/>
        </w:rPr>
        <w:t>contrato interadministrativo,</w:t>
      </w:r>
      <w:r w:rsidRPr="00A07EBF">
        <w:rPr>
          <w:rFonts w:ascii="Verdana" w:eastAsia="Calibri" w:hAnsi="Verdana" w:cs="Arial"/>
          <w:color w:val="000000"/>
          <w:sz w:val="20"/>
        </w:rPr>
        <w:t xml:space="preserve"> independientemente del objeto, dicho contrato puede suscribirse durante el periodo preelectoral.</w:t>
      </w:r>
    </w:p>
    <w:p w14:paraId="79A18D38" w14:textId="1FF63D9F" w:rsidR="008835B4" w:rsidRDefault="008835B4" w:rsidP="00F624DD">
      <w:pPr>
        <w:spacing w:after="0" w:line="240" w:lineRule="auto"/>
        <w:jc w:val="both"/>
        <w:rPr>
          <w:rFonts w:ascii="Verdana" w:eastAsia="Calibri" w:hAnsi="Verdana" w:cs="Arial"/>
          <w:color w:val="000000"/>
        </w:rPr>
      </w:pPr>
    </w:p>
    <w:p w14:paraId="44A6C3B8" w14:textId="7F81B2BB" w:rsidR="00A07EBF" w:rsidRDefault="00A07EBF" w:rsidP="00F624DD">
      <w:pPr>
        <w:spacing w:after="0" w:line="240" w:lineRule="auto"/>
        <w:jc w:val="both"/>
        <w:rPr>
          <w:rFonts w:ascii="Verdana" w:eastAsia="Calibri" w:hAnsi="Verdana" w:cs="Arial"/>
          <w:color w:val="000000"/>
        </w:rPr>
      </w:pPr>
    </w:p>
    <w:p w14:paraId="2DB2B30F" w14:textId="238C3357" w:rsidR="00A07EBF" w:rsidRDefault="00A07EBF" w:rsidP="00F624DD">
      <w:pPr>
        <w:spacing w:after="0" w:line="240" w:lineRule="auto"/>
        <w:jc w:val="both"/>
        <w:rPr>
          <w:rFonts w:ascii="Verdana" w:eastAsia="Calibri" w:hAnsi="Verdana" w:cs="Arial"/>
          <w:color w:val="000000"/>
        </w:rPr>
      </w:pPr>
    </w:p>
    <w:p w14:paraId="549A48F3" w14:textId="32876247" w:rsidR="00A07EBF" w:rsidRDefault="00A07EBF" w:rsidP="00F624DD">
      <w:pPr>
        <w:spacing w:after="0" w:line="240" w:lineRule="auto"/>
        <w:jc w:val="both"/>
        <w:rPr>
          <w:rFonts w:ascii="Verdana" w:eastAsia="Calibri" w:hAnsi="Verdana" w:cs="Arial"/>
          <w:color w:val="000000"/>
        </w:rPr>
      </w:pPr>
    </w:p>
    <w:p w14:paraId="0ED21370" w14:textId="1B9C7D68" w:rsidR="00A07EBF" w:rsidRDefault="00A07EBF" w:rsidP="00F624DD">
      <w:pPr>
        <w:spacing w:after="0" w:line="240" w:lineRule="auto"/>
        <w:jc w:val="both"/>
        <w:rPr>
          <w:rFonts w:ascii="Verdana" w:eastAsia="Calibri" w:hAnsi="Verdana" w:cs="Arial"/>
          <w:color w:val="000000"/>
        </w:rPr>
      </w:pPr>
    </w:p>
    <w:p w14:paraId="5D83B028" w14:textId="201516BF" w:rsidR="00A07EBF" w:rsidRDefault="00A07EBF" w:rsidP="00F624DD">
      <w:pPr>
        <w:spacing w:after="0" w:line="240" w:lineRule="auto"/>
        <w:jc w:val="both"/>
        <w:rPr>
          <w:rFonts w:ascii="Verdana" w:eastAsia="Calibri" w:hAnsi="Verdana" w:cs="Arial"/>
          <w:color w:val="000000"/>
        </w:rPr>
      </w:pPr>
    </w:p>
    <w:p w14:paraId="641672F4" w14:textId="423CA852" w:rsidR="00A07EBF" w:rsidRDefault="00A07EBF" w:rsidP="00F624DD">
      <w:pPr>
        <w:spacing w:after="0" w:line="240" w:lineRule="auto"/>
        <w:jc w:val="both"/>
        <w:rPr>
          <w:rFonts w:ascii="Verdana" w:eastAsia="Calibri" w:hAnsi="Verdana" w:cs="Arial"/>
          <w:color w:val="000000"/>
        </w:rPr>
      </w:pPr>
    </w:p>
    <w:p w14:paraId="2C12263C" w14:textId="64BC98B5" w:rsidR="00A07EBF" w:rsidRDefault="00A07EBF" w:rsidP="00F624DD">
      <w:pPr>
        <w:spacing w:after="0" w:line="240" w:lineRule="auto"/>
        <w:jc w:val="both"/>
        <w:rPr>
          <w:rFonts w:ascii="Verdana" w:eastAsia="Calibri" w:hAnsi="Verdana" w:cs="Arial"/>
          <w:color w:val="000000"/>
        </w:rPr>
      </w:pPr>
    </w:p>
    <w:p w14:paraId="323B563C" w14:textId="4B8C437E" w:rsidR="00A07EBF" w:rsidRDefault="00A07EBF" w:rsidP="00F624DD">
      <w:pPr>
        <w:spacing w:after="0" w:line="240" w:lineRule="auto"/>
        <w:jc w:val="both"/>
        <w:rPr>
          <w:rFonts w:ascii="Verdana" w:eastAsia="Calibri" w:hAnsi="Verdana" w:cs="Arial"/>
          <w:color w:val="000000"/>
        </w:rPr>
      </w:pPr>
    </w:p>
    <w:p w14:paraId="5F06165B" w14:textId="1BC889E9" w:rsidR="00A07EBF" w:rsidRDefault="00A07EBF" w:rsidP="00F624DD">
      <w:pPr>
        <w:spacing w:after="0" w:line="240" w:lineRule="auto"/>
        <w:jc w:val="both"/>
        <w:rPr>
          <w:rFonts w:ascii="Verdana" w:eastAsia="Calibri" w:hAnsi="Verdana" w:cs="Arial"/>
          <w:color w:val="000000"/>
        </w:rPr>
      </w:pPr>
    </w:p>
    <w:p w14:paraId="775F65AA" w14:textId="17D23C15" w:rsidR="00A07EBF" w:rsidRDefault="00A07EBF" w:rsidP="00F624DD">
      <w:pPr>
        <w:spacing w:after="0" w:line="240" w:lineRule="auto"/>
        <w:jc w:val="both"/>
        <w:rPr>
          <w:rFonts w:ascii="Verdana" w:eastAsia="Calibri" w:hAnsi="Verdana" w:cs="Arial"/>
          <w:color w:val="000000"/>
        </w:rPr>
      </w:pPr>
    </w:p>
    <w:p w14:paraId="7757A999" w14:textId="0AE7D0E8" w:rsidR="00A07EBF" w:rsidRDefault="00A07EBF" w:rsidP="00F624DD">
      <w:pPr>
        <w:spacing w:after="0" w:line="240" w:lineRule="auto"/>
        <w:jc w:val="both"/>
        <w:rPr>
          <w:rFonts w:ascii="Verdana" w:eastAsia="Calibri" w:hAnsi="Verdana" w:cs="Arial"/>
          <w:color w:val="000000"/>
        </w:rPr>
      </w:pPr>
    </w:p>
    <w:p w14:paraId="7A460834" w14:textId="71D08ABB" w:rsidR="00A07EBF" w:rsidRDefault="00A07EBF" w:rsidP="00F624DD">
      <w:pPr>
        <w:spacing w:after="0" w:line="240" w:lineRule="auto"/>
        <w:jc w:val="both"/>
        <w:rPr>
          <w:rFonts w:ascii="Verdana" w:eastAsia="Calibri" w:hAnsi="Verdana" w:cs="Arial"/>
          <w:color w:val="000000"/>
        </w:rPr>
      </w:pPr>
    </w:p>
    <w:p w14:paraId="686713E7" w14:textId="38D8851D" w:rsidR="00A07EBF" w:rsidRDefault="00A07EBF" w:rsidP="00F624DD">
      <w:pPr>
        <w:spacing w:after="0" w:line="240" w:lineRule="auto"/>
        <w:jc w:val="both"/>
        <w:rPr>
          <w:rFonts w:ascii="Verdana" w:eastAsia="Calibri" w:hAnsi="Verdana" w:cs="Arial"/>
          <w:color w:val="000000"/>
        </w:rPr>
      </w:pPr>
    </w:p>
    <w:p w14:paraId="65777FC7" w14:textId="44B7045F" w:rsidR="00A07EBF" w:rsidRDefault="00A07EBF" w:rsidP="00F624DD">
      <w:pPr>
        <w:spacing w:after="0" w:line="240" w:lineRule="auto"/>
        <w:jc w:val="both"/>
        <w:rPr>
          <w:rFonts w:ascii="Verdana" w:eastAsia="Calibri" w:hAnsi="Verdana" w:cs="Arial"/>
          <w:color w:val="000000"/>
        </w:rPr>
      </w:pPr>
    </w:p>
    <w:p w14:paraId="3C2F7D3D" w14:textId="736515FE" w:rsidR="00A07EBF" w:rsidRDefault="00A07EBF" w:rsidP="00F624DD">
      <w:pPr>
        <w:spacing w:after="0" w:line="240" w:lineRule="auto"/>
        <w:jc w:val="both"/>
        <w:rPr>
          <w:rFonts w:ascii="Verdana" w:eastAsia="Calibri" w:hAnsi="Verdana" w:cs="Arial"/>
          <w:color w:val="000000"/>
        </w:rPr>
      </w:pPr>
    </w:p>
    <w:p w14:paraId="08099CA6" w14:textId="740F8455" w:rsidR="00A07EBF" w:rsidRDefault="00A07EBF" w:rsidP="00F624DD">
      <w:pPr>
        <w:spacing w:after="0" w:line="240" w:lineRule="auto"/>
        <w:jc w:val="both"/>
        <w:rPr>
          <w:rFonts w:ascii="Verdana" w:eastAsia="Calibri" w:hAnsi="Verdana" w:cs="Arial"/>
          <w:color w:val="000000"/>
        </w:rPr>
      </w:pPr>
    </w:p>
    <w:p w14:paraId="1254A5B2" w14:textId="5C62AB53" w:rsidR="00A07EBF" w:rsidRDefault="00A07EBF" w:rsidP="00F624DD">
      <w:pPr>
        <w:spacing w:after="0" w:line="240" w:lineRule="auto"/>
        <w:jc w:val="both"/>
        <w:rPr>
          <w:rFonts w:ascii="Verdana" w:eastAsia="Calibri" w:hAnsi="Verdana" w:cs="Arial"/>
          <w:color w:val="000000"/>
        </w:rPr>
      </w:pPr>
    </w:p>
    <w:p w14:paraId="5053779A" w14:textId="482E0708" w:rsidR="00A07EBF" w:rsidRDefault="00A07EBF" w:rsidP="00F624DD">
      <w:pPr>
        <w:spacing w:after="0" w:line="240" w:lineRule="auto"/>
        <w:jc w:val="both"/>
        <w:rPr>
          <w:rFonts w:ascii="Verdana" w:eastAsia="Calibri" w:hAnsi="Verdana" w:cs="Arial"/>
          <w:color w:val="000000"/>
        </w:rPr>
      </w:pPr>
    </w:p>
    <w:p w14:paraId="28D0AA41" w14:textId="45BD991C" w:rsidR="00A07EBF" w:rsidRDefault="00A07EBF" w:rsidP="00F624DD">
      <w:pPr>
        <w:spacing w:after="0" w:line="240" w:lineRule="auto"/>
        <w:jc w:val="both"/>
        <w:rPr>
          <w:rFonts w:ascii="Verdana" w:eastAsia="Calibri" w:hAnsi="Verdana" w:cs="Arial"/>
          <w:color w:val="000000"/>
        </w:rPr>
      </w:pPr>
    </w:p>
    <w:p w14:paraId="15A798B2" w14:textId="4F3F766F" w:rsidR="00A07EBF" w:rsidRDefault="00A07EBF" w:rsidP="00F624DD">
      <w:pPr>
        <w:spacing w:after="0" w:line="240" w:lineRule="auto"/>
        <w:jc w:val="both"/>
        <w:rPr>
          <w:rFonts w:ascii="Verdana" w:eastAsia="Calibri" w:hAnsi="Verdana" w:cs="Arial"/>
          <w:color w:val="000000"/>
        </w:rPr>
      </w:pPr>
    </w:p>
    <w:p w14:paraId="50AF549E" w14:textId="10427FE7" w:rsidR="00A07EBF" w:rsidRDefault="00A07EBF" w:rsidP="00F624DD">
      <w:pPr>
        <w:spacing w:after="0" w:line="240" w:lineRule="auto"/>
        <w:jc w:val="both"/>
        <w:rPr>
          <w:rFonts w:ascii="Verdana" w:eastAsia="Calibri" w:hAnsi="Verdana" w:cs="Arial"/>
          <w:color w:val="000000"/>
        </w:rPr>
      </w:pPr>
    </w:p>
    <w:p w14:paraId="62317930" w14:textId="4835E7D0" w:rsidR="00A07EBF" w:rsidRDefault="00A07EBF" w:rsidP="00F624DD">
      <w:pPr>
        <w:spacing w:after="0" w:line="240" w:lineRule="auto"/>
        <w:jc w:val="both"/>
        <w:rPr>
          <w:rFonts w:ascii="Verdana" w:eastAsia="Calibri" w:hAnsi="Verdana" w:cs="Arial"/>
          <w:color w:val="000000"/>
        </w:rPr>
      </w:pPr>
    </w:p>
    <w:p w14:paraId="570AF2E0" w14:textId="242215DA" w:rsidR="00A07EBF" w:rsidRDefault="00A07EBF" w:rsidP="00F624DD">
      <w:pPr>
        <w:spacing w:after="0" w:line="240" w:lineRule="auto"/>
        <w:jc w:val="both"/>
        <w:rPr>
          <w:rFonts w:ascii="Verdana" w:eastAsia="Calibri" w:hAnsi="Verdana" w:cs="Arial"/>
          <w:color w:val="000000"/>
        </w:rPr>
      </w:pPr>
    </w:p>
    <w:p w14:paraId="4AAD1866" w14:textId="3C29CACC" w:rsidR="00A07EBF" w:rsidRDefault="00A07EBF" w:rsidP="00F624DD">
      <w:pPr>
        <w:spacing w:after="0" w:line="240" w:lineRule="auto"/>
        <w:jc w:val="both"/>
        <w:rPr>
          <w:rFonts w:ascii="Verdana" w:eastAsia="Calibri" w:hAnsi="Verdana" w:cs="Arial"/>
          <w:color w:val="000000"/>
        </w:rPr>
      </w:pPr>
    </w:p>
    <w:p w14:paraId="2A55CA21" w14:textId="0C728A35" w:rsidR="00A07EBF" w:rsidRDefault="00A07EBF" w:rsidP="00F624DD">
      <w:pPr>
        <w:spacing w:after="0" w:line="240" w:lineRule="auto"/>
        <w:jc w:val="both"/>
        <w:rPr>
          <w:rFonts w:ascii="Verdana" w:eastAsia="Calibri" w:hAnsi="Verdana" w:cs="Arial"/>
          <w:color w:val="000000"/>
        </w:rPr>
      </w:pPr>
    </w:p>
    <w:p w14:paraId="212CDB1D" w14:textId="4A24DCE2" w:rsidR="00A07EBF" w:rsidRDefault="00A07EBF" w:rsidP="00F624DD">
      <w:pPr>
        <w:spacing w:after="0" w:line="240" w:lineRule="auto"/>
        <w:jc w:val="both"/>
        <w:rPr>
          <w:rFonts w:ascii="Verdana" w:eastAsia="Calibri" w:hAnsi="Verdana" w:cs="Arial"/>
          <w:color w:val="000000"/>
        </w:rPr>
      </w:pPr>
    </w:p>
    <w:p w14:paraId="423EC093" w14:textId="14180A88" w:rsidR="00A07EBF" w:rsidRDefault="00A07EBF" w:rsidP="00F624DD">
      <w:pPr>
        <w:spacing w:after="0" w:line="240" w:lineRule="auto"/>
        <w:jc w:val="both"/>
        <w:rPr>
          <w:rFonts w:ascii="Verdana" w:eastAsia="Calibri" w:hAnsi="Verdana" w:cs="Arial"/>
          <w:color w:val="000000"/>
        </w:rPr>
      </w:pPr>
    </w:p>
    <w:p w14:paraId="54105E82" w14:textId="54DCEA1B" w:rsidR="008835B4" w:rsidRDefault="008835B4" w:rsidP="00F624DD">
      <w:pPr>
        <w:spacing w:after="0" w:line="240" w:lineRule="auto"/>
        <w:jc w:val="both"/>
        <w:rPr>
          <w:rFonts w:ascii="Verdana" w:eastAsia="Calibri" w:hAnsi="Verdana" w:cs="Arial"/>
          <w:color w:val="000000"/>
          <w:lang w:val="es-MX"/>
        </w:rPr>
      </w:pPr>
      <w:r w:rsidRPr="008835B4">
        <w:rPr>
          <w:rFonts w:ascii="Verdana" w:eastAsia="Calibri" w:hAnsi="Verdana" w:cs="Arial"/>
          <w:color w:val="000000"/>
        </w:rPr>
        <w:lastRenderedPageBreak/>
        <w:t>Bogotá D.C., 17 de diciembre de 2025</w:t>
      </w:r>
      <w:r w:rsidRPr="008835B4">
        <w:rPr>
          <w:rFonts w:ascii="Verdana" w:eastAsia="Calibri" w:hAnsi="Verdana" w:cs="Arial"/>
          <w:color w:val="000000"/>
        </w:rPr>
        <w:tab/>
      </w:r>
    </w:p>
    <w:p w14:paraId="4237A2BB" w14:textId="30C252FD" w:rsidR="008835B4" w:rsidRDefault="00A07EBF" w:rsidP="00F624DD">
      <w:pPr>
        <w:spacing w:after="0" w:line="240" w:lineRule="auto"/>
        <w:jc w:val="both"/>
        <w:rPr>
          <w:rFonts w:ascii="Verdana" w:eastAsia="Calibri" w:hAnsi="Verdana" w:cs="Arial"/>
          <w:color w:val="000000"/>
          <w:lang w:val="es-MX"/>
        </w:rPr>
      </w:pPr>
      <w:r w:rsidRPr="00A07EBF">
        <w:rPr>
          <w:rFonts w:ascii="Verdana" w:eastAsia="Calibri" w:hAnsi="Verdana" w:cs="Arial"/>
          <w:noProof/>
          <w:color w:val="000000"/>
          <w:lang w:val="en-US"/>
        </w:rPr>
        <w:drawing>
          <wp:anchor distT="0" distB="0" distL="114300" distR="114300" simplePos="0" relativeHeight="251658240" behindDoc="0" locked="0" layoutInCell="1" allowOverlap="1" wp14:anchorId="1C2D13BB" wp14:editId="10369E46">
            <wp:simplePos x="0" y="0"/>
            <wp:positionH relativeFrom="margin">
              <wp:posOffset>2670810</wp:posOffset>
            </wp:positionH>
            <wp:positionV relativeFrom="paragraph">
              <wp:posOffset>97790</wp:posOffset>
            </wp:positionV>
            <wp:extent cx="2971800" cy="768350"/>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71800" cy="768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FF84A8A" w14:textId="453F8446" w:rsidR="008835B4" w:rsidRPr="00593A5F" w:rsidRDefault="008835B4" w:rsidP="00F624DD">
      <w:pPr>
        <w:spacing w:after="0" w:line="240" w:lineRule="auto"/>
        <w:jc w:val="both"/>
        <w:rPr>
          <w:rFonts w:ascii="Verdana" w:eastAsia="Calibri" w:hAnsi="Verdana" w:cs="Arial"/>
          <w:color w:val="000000"/>
          <w:lang w:val="es-ES"/>
        </w:rPr>
      </w:pPr>
    </w:p>
    <w:p w14:paraId="168FBB57" w14:textId="256CAC46" w:rsidR="00F624DD" w:rsidRPr="000C555D" w:rsidRDefault="00F624DD" w:rsidP="00F624DD">
      <w:pPr>
        <w:spacing w:after="0" w:line="240" w:lineRule="auto"/>
        <w:jc w:val="both"/>
        <w:rPr>
          <w:rFonts w:ascii="Verdana" w:eastAsia="Calibri" w:hAnsi="Verdana" w:cs="Arial"/>
          <w:lang w:val="es-ES" w:eastAsia="es-ES"/>
        </w:rPr>
      </w:pPr>
      <w:r>
        <w:rPr>
          <w:rFonts w:ascii="Verdana" w:eastAsia="Calibri" w:hAnsi="Verdana" w:cs="Arial"/>
          <w:lang w:val="es-ES" w:eastAsia="es-ES"/>
        </w:rPr>
        <w:t>Doctora</w:t>
      </w:r>
    </w:p>
    <w:p w14:paraId="2312AD0F" w14:textId="77777777" w:rsidR="00F624DD" w:rsidRDefault="00F624DD" w:rsidP="00F624DD">
      <w:pPr>
        <w:spacing w:after="0" w:line="240" w:lineRule="auto"/>
        <w:rPr>
          <w:rFonts w:ascii="Verdana" w:eastAsia="Calibri" w:hAnsi="Verdana" w:cs="Arial"/>
          <w:b/>
          <w:lang w:val="es-ES" w:eastAsia="es-ES"/>
        </w:rPr>
      </w:pPr>
      <w:r w:rsidRPr="005F181C">
        <w:rPr>
          <w:rFonts w:ascii="Verdana" w:eastAsia="Calibri" w:hAnsi="Verdana" w:cs="Arial"/>
          <w:b/>
          <w:lang w:val="es-ES" w:eastAsia="es-ES"/>
        </w:rPr>
        <w:t>Liliana Lucía Agámez Camacho</w:t>
      </w:r>
    </w:p>
    <w:p w14:paraId="1E85D19F" w14:textId="77777777" w:rsidR="00F624DD" w:rsidRDefault="00F624DD" w:rsidP="00F624DD">
      <w:pPr>
        <w:spacing w:after="0" w:line="240" w:lineRule="auto"/>
        <w:rPr>
          <w:rFonts w:ascii="Verdana" w:eastAsia="Calibri" w:hAnsi="Verdana" w:cs="Arial"/>
          <w:lang w:val="es-ES" w:eastAsia="es-ES"/>
        </w:rPr>
      </w:pPr>
      <w:r>
        <w:rPr>
          <w:rFonts w:ascii="Verdana" w:eastAsia="Calibri" w:hAnsi="Verdana" w:cs="Arial"/>
          <w:lang w:val="es-ES" w:eastAsia="es-ES"/>
        </w:rPr>
        <w:t>Subdirectora Administrativa</w:t>
      </w:r>
    </w:p>
    <w:p w14:paraId="0EC78AF2" w14:textId="77777777" w:rsidR="00F624DD" w:rsidRDefault="00F624DD" w:rsidP="00F624DD">
      <w:pPr>
        <w:spacing w:after="0" w:line="240" w:lineRule="auto"/>
        <w:rPr>
          <w:rFonts w:ascii="Verdana" w:eastAsia="Calibri" w:hAnsi="Verdana" w:cs="Arial"/>
          <w:lang w:val="es-ES" w:eastAsia="es-ES"/>
        </w:rPr>
      </w:pPr>
      <w:hyperlink r:id="rId11" w:history="1">
        <w:r w:rsidRPr="0052059D">
          <w:rPr>
            <w:rStyle w:val="Hipervnculo"/>
            <w:rFonts w:ascii="Verdana" w:eastAsia="Calibri" w:hAnsi="Verdana" w:cs="Arial"/>
            <w:lang w:val="es-ES" w:eastAsia="es-ES"/>
          </w:rPr>
          <w:t>subgerencia@bim.gov.co</w:t>
        </w:r>
      </w:hyperlink>
      <w:r>
        <w:rPr>
          <w:rFonts w:ascii="Verdana" w:eastAsia="Calibri" w:hAnsi="Verdana" w:cs="Arial"/>
          <w:lang w:val="es-ES" w:eastAsia="es-ES"/>
        </w:rPr>
        <w:t xml:space="preserve"> </w:t>
      </w:r>
    </w:p>
    <w:p w14:paraId="182A12A6" w14:textId="77777777" w:rsidR="00F624DD" w:rsidRDefault="00F624DD" w:rsidP="00F624DD">
      <w:pPr>
        <w:spacing w:after="0" w:line="240" w:lineRule="auto"/>
        <w:rPr>
          <w:rFonts w:ascii="Verdana" w:eastAsia="Calibri" w:hAnsi="Verdana" w:cs="Arial"/>
          <w:lang w:val="es-ES" w:eastAsia="es-ES"/>
        </w:rPr>
      </w:pPr>
      <w:r w:rsidRPr="00867D8E">
        <w:rPr>
          <w:rFonts w:ascii="Verdana" w:eastAsia="Calibri" w:hAnsi="Verdana" w:cs="Arial"/>
          <w:lang w:val="es-ES" w:eastAsia="es-ES"/>
        </w:rPr>
        <w:t>Bogotá D.C.</w:t>
      </w:r>
      <w:r>
        <w:rPr>
          <w:rFonts w:ascii="Verdana" w:eastAsia="Calibri" w:hAnsi="Verdana" w:cs="Arial"/>
          <w:lang w:val="es-ES" w:eastAsia="es-ES"/>
        </w:rPr>
        <w:t xml:space="preserve"> </w:t>
      </w:r>
    </w:p>
    <w:p w14:paraId="211A2EA4" w14:textId="77777777" w:rsidR="00F624DD" w:rsidRDefault="00F624DD" w:rsidP="00F624DD">
      <w:pPr>
        <w:spacing w:after="0" w:line="240" w:lineRule="auto"/>
        <w:rPr>
          <w:rFonts w:ascii="Verdana" w:eastAsia="Calibri" w:hAnsi="Verdana" w:cs="Arial"/>
          <w:b/>
          <w:bCs/>
          <w:color w:val="000000"/>
          <w:lang w:val="es-ES_tradnl" w:eastAsia="es-ES_tradnl"/>
        </w:rPr>
      </w:pPr>
    </w:p>
    <w:p w14:paraId="047C163C" w14:textId="77777777" w:rsidR="00F624DD" w:rsidRPr="00A12CB6" w:rsidRDefault="00F624DD" w:rsidP="00F624DD">
      <w:pPr>
        <w:spacing w:after="0" w:line="240" w:lineRule="auto"/>
        <w:rPr>
          <w:rFonts w:ascii="Verdana" w:eastAsia="Calibri" w:hAnsi="Verdana" w:cs="Times New Roman"/>
        </w:rPr>
      </w:pPr>
    </w:p>
    <w:p w14:paraId="276DA84E" w14:textId="77777777" w:rsidR="00F624DD" w:rsidRPr="00A12CB6" w:rsidRDefault="00F624DD" w:rsidP="00F624DD">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C- 1646 de 2025</w:t>
      </w:r>
    </w:p>
    <w:p w14:paraId="34DE8E21" w14:textId="77777777" w:rsidR="00F624DD" w:rsidRPr="00A12CB6" w:rsidRDefault="00F624DD" w:rsidP="00F624DD">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624DD" w:rsidRPr="00A12CB6" w14:paraId="050C5284" w14:textId="77777777" w:rsidTr="00E47984">
        <w:trPr>
          <w:trHeight w:val="645"/>
        </w:trPr>
        <w:tc>
          <w:tcPr>
            <w:tcW w:w="2685" w:type="dxa"/>
            <w:hideMark/>
          </w:tcPr>
          <w:p w14:paraId="58FF6100" w14:textId="77777777" w:rsidR="00F624DD" w:rsidRPr="00A12CB6" w:rsidRDefault="00F624DD" w:rsidP="00E47984">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5839351C" w14:textId="77777777" w:rsidR="00F624DD" w:rsidRPr="00B74FAE" w:rsidRDefault="00F624DD" w:rsidP="00E47984">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w:t>
            </w:r>
            <w:r w:rsidRPr="00B74FAE">
              <w:rPr>
                <w:rFonts w:ascii="Verdana" w:hAnsi="Verdana" w:cs="Arial"/>
                <w:lang w:val="es-MX" w:eastAsia="es-ES_tradnl"/>
              </w:rPr>
              <w:t>LEY DE GARANTÍAS ELECTORALES – Contratos y convenios interadministrativos – Criterio orgánico</w:t>
            </w:r>
            <w:r>
              <w:rPr>
                <w:rFonts w:ascii="Verdana" w:hAnsi="Verdana" w:cs="Arial"/>
                <w:lang w:val="es-MX" w:eastAsia="es-ES_tradnl"/>
              </w:rPr>
              <w:t xml:space="preserve"> / LEY DE GARANTÍAS ELECTORALES –Restricción- Convenios interadministrativos – Postura del Consejo de Estado.</w:t>
            </w:r>
          </w:p>
        </w:tc>
        <w:tc>
          <w:tcPr>
            <w:tcW w:w="6237" w:type="dxa"/>
          </w:tcPr>
          <w:p w14:paraId="25B75388" w14:textId="77777777" w:rsidR="00F624DD" w:rsidRPr="00A12CB6" w:rsidRDefault="00F624DD" w:rsidP="00E47984">
            <w:pPr>
              <w:spacing w:line="256" w:lineRule="auto"/>
              <w:rPr>
                <w:rFonts w:ascii="Verdana" w:hAnsi="Verdana"/>
              </w:rPr>
            </w:pPr>
          </w:p>
        </w:tc>
      </w:tr>
    </w:tbl>
    <w:p w14:paraId="44C637B8" w14:textId="77777777" w:rsidR="00F624DD" w:rsidRPr="009305DC" w:rsidRDefault="00F624DD" w:rsidP="00F624DD">
      <w:pPr>
        <w:spacing w:after="0" w:line="240" w:lineRule="auto"/>
        <w:rPr>
          <w:rFonts w:ascii="Verdana" w:eastAsia="Calibri" w:hAnsi="Verdana" w:cs="Arial"/>
          <w:b/>
          <w:bCs/>
          <w:color w:val="000000"/>
          <w:lang w:eastAsia="es-ES_tradnl"/>
        </w:rPr>
      </w:pPr>
    </w:p>
    <w:p w14:paraId="0354564E" w14:textId="77777777" w:rsidR="00F624DD" w:rsidRPr="00593A5F" w:rsidRDefault="00F624DD" w:rsidP="00F624D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624DD" w:rsidRPr="008E6AD9" w14:paraId="03E861FC" w14:textId="77777777" w:rsidTr="00E47984">
        <w:tc>
          <w:tcPr>
            <w:tcW w:w="2689" w:type="dxa"/>
          </w:tcPr>
          <w:p w14:paraId="557F9440" w14:textId="77777777" w:rsidR="00F624DD" w:rsidRPr="008E6AD9" w:rsidRDefault="00F624DD" w:rsidP="00E4798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1A6731A6" w14:textId="77777777" w:rsidR="00F624DD" w:rsidRPr="00B92340" w:rsidRDefault="00F624DD" w:rsidP="00E47984">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102203">
              <w:rPr>
                <w:rFonts w:ascii="Verdana" w:eastAsia="Calibri" w:hAnsi="Verdana" w:cs="Arial"/>
                <w:lang w:eastAsia="es-ES_tradnl"/>
              </w:rPr>
              <w:t>1_2025_11_07_012616</w:t>
            </w:r>
          </w:p>
        </w:tc>
      </w:tr>
    </w:tbl>
    <w:p w14:paraId="0503A843" w14:textId="77777777" w:rsidR="00F624DD" w:rsidRPr="00593A5F" w:rsidRDefault="00F624DD" w:rsidP="00F624DD">
      <w:pPr>
        <w:spacing w:after="0" w:line="240" w:lineRule="auto"/>
        <w:jc w:val="both"/>
        <w:rPr>
          <w:rFonts w:ascii="Verdana" w:eastAsia="Calibri" w:hAnsi="Verdana" w:cs="Arial"/>
          <w:color w:val="000000"/>
          <w:lang w:val="es-ES_tradnl" w:eastAsia="es-ES_tradnl"/>
        </w:rPr>
      </w:pPr>
    </w:p>
    <w:p w14:paraId="785AD027" w14:textId="77777777" w:rsidR="00F624DD" w:rsidRPr="00593A5F" w:rsidRDefault="00F624DD" w:rsidP="00F624DD">
      <w:pPr>
        <w:spacing w:after="0" w:line="240" w:lineRule="auto"/>
        <w:jc w:val="both"/>
        <w:rPr>
          <w:rFonts w:ascii="Verdana" w:eastAsia="Calibri" w:hAnsi="Verdana" w:cs="Arial"/>
          <w:color w:val="000000"/>
          <w:lang w:val="es-ES_tradnl" w:eastAsia="es-ES_tradnl"/>
        </w:rPr>
      </w:pPr>
    </w:p>
    <w:p w14:paraId="4EF062C0" w14:textId="77777777" w:rsidR="00F624DD" w:rsidRPr="008E6AD9" w:rsidRDefault="00F624DD" w:rsidP="00F624D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Doctora Agámez</w:t>
      </w:r>
      <w:r w:rsidRPr="008E6AD9">
        <w:rPr>
          <w:rFonts w:ascii="Verdana" w:eastAsia="Calibri" w:hAnsi="Verdana" w:cs="Arial"/>
          <w:lang w:val="es-ES" w:eastAsia="es-ES"/>
        </w:rPr>
        <w:t xml:space="preserve">: </w:t>
      </w:r>
    </w:p>
    <w:p w14:paraId="77093FE1" w14:textId="77777777" w:rsidR="00F624DD" w:rsidRDefault="00F624DD" w:rsidP="00F624D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8E49CAA" w14:textId="77777777" w:rsidR="00F624DD" w:rsidRPr="00102203" w:rsidRDefault="00F624DD" w:rsidP="00F624DD">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la Agencia Nacional de Contratación Pública – Colombia Compra Eficiente– responde l</w:t>
      </w:r>
      <w:r>
        <w:rPr>
          <w:rFonts w:ascii="Verdana" w:eastAsia="Calibri" w:hAnsi="Verdana" w:cs="Arial"/>
          <w:bCs/>
          <w:color w:val="000000" w:themeColor="text1"/>
          <w:lang w:val="es-ES" w:eastAsia="es-ES" w:bidi="es-ES"/>
        </w:rPr>
        <w:t>a solicitud de consulta del 7 de noviembre de 2025</w:t>
      </w:r>
      <w:r w:rsidRPr="00102203">
        <w:rPr>
          <w:rFonts w:ascii="Verdana" w:eastAsia="Calibri" w:hAnsi="Verdana" w:cs="Arial"/>
          <w:bCs/>
          <w:color w:val="000000" w:themeColor="text1"/>
          <w:lang w:val="es-ES" w:eastAsia="es-ES" w:bidi="es-ES"/>
        </w:rPr>
        <w:t xml:space="preserve">, en la cual manifiesta: </w:t>
      </w:r>
    </w:p>
    <w:p w14:paraId="355AFE66" w14:textId="77777777" w:rsidR="00F624DD" w:rsidRPr="00272A7B" w:rsidRDefault="00F624DD" w:rsidP="00F624DD">
      <w:pPr>
        <w:pStyle w:val="Prrafodelista"/>
        <w:tabs>
          <w:tab w:val="left" w:pos="142"/>
          <w:tab w:val="left" w:pos="284"/>
        </w:tabs>
        <w:spacing w:after="0" w:line="276" w:lineRule="auto"/>
        <w:ind w:left="0"/>
        <w:jc w:val="both"/>
        <w:rPr>
          <w:rFonts w:ascii="Verdana" w:eastAsia="Century Gothic" w:hAnsi="Verdana" w:cs="Century Gothic"/>
          <w:b/>
          <w:bCs/>
        </w:rPr>
      </w:pPr>
    </w:p>
    <w:p w14:paraId="7EDE6452" w14:textId="77777777" w:rsidR="00F624DD" w:rsidRPr="005F181C" w:rsidRDefault="00F624DD" w:rsidP="00F624DD">
      <w:pPr>
        <w:spacing w:after="0" w:line="240" w:lineRule="auto"/>
        <w:ind w:left="709" w:right="709"/>
        <w:jc w:val="both"/>
        <w:rPr>
          <w:rFonts w:ascii="Verdana" w:eastAsia="Century Gothic" w:hAnsi="Verdana" w:cs="Century Gothic"/>
          <w:sz w:val="20"/>
          <w:szCs w:val="20"/>
        </w:rPr>
      </w:pPr>
      <w:bookmarkStart w:id="1" w:name="_Hlk95313578"/>
      <w:r w:rsidRPr="00D10E3B">
        <w:rPr>
          <w:rFonts w:ascii="Verdana" w:eastAsia="Century Gothic" w:hAnsi="Verdana" w:cs="Century Gothic"/>
          <w:sz w:val="20"/>
          <w:szCs w:val="20"/>
          <w:lang w:val="es-ES"/>
        </w:rPr>
        <w:lastRenderedPageBreak/>
        <w:t>“</w:t>
      </w:r>
      <w:bookmarkEnd w:id="1"/>
      <w:r w:rsidRPr="005F181C">
        <w:rPr>
          <w:rFonts w:ascii="Verdana" w:eastAsia="Century Gothic" w:hAnsi="Verdana" w:cs="Century Gothic"/>
          <w:sz w:val="20"/>
          <w:szCs w:val="20"/>
        </w:rPr>
        <w:t xml:space="preserve">¿Hasta qué fecha puede una entidad pública descentralizada del orden municipal, categorizada como Empresa Industrial y Comercial del Estado – en este caso, el Banco de Suelos e Inmobiliario de Montería –, celebrar contratos en los siguientes escenarios, sin vulnerar las disposiciones de la Ley de Garantías Electorales? </w:t>
      </w:r>
    </w:p>
    <w:p w14:paraId="34BB92C1" w14:textId="77777777" w:rsidR="00F624DD" w:rsidRPr="005F181C" w:rsidRDefault="00F624DD" w:rsidP="00F624DD">
      <w:pPr>
        <w:spacing w:after="0" w:line="240" w:lineRule="auto"/>
        <w:ind w:left="709" w:right="709"/>
        <w:jc w:val="both"/>
        <w:rPr>
          <w:rFonts w:ascii="Verdana" w:eastAsia="Century Gothic" w:hAnsi="Verdana" w:cs="Century Gothic"/>
          <w:sz w:val="20"/>
          <w:szCs w:val="20"/>
        </w:rPr>
      </w:pPr>
      <w:r w:rsidRPr="00102203">
        <w:rPr>
          <w:rFonts w:ascii="Verdana" w:eastAsia="Century Gothic" w:hAnsi="Verdana" w:cs="Century Gothic"/>
          <w:sz w:val="20"/>
          <w:szCs w:val="20"/>
        </w:rPr>
        <w:t xml:space="preserve">1. Cuando el BIM actúe como contratista, para la celebración de contratos interadministrativos con entidades territoriales (incluido el Municipio de Montería) u otras entidades públicas, en desarrollo de su objeto misional relacionado con la gestión, ejecución o administración de proyectos de su competencia. </w:t>
      </w:r>
      <w:r w:rsidRPr="005F181C">
        <w:rPr>
          <w:rFonts w:ascii="Verdana" w:eastAsia="Century Gothic" w:hAnsi="Verdana" w:cs="Century Gothic"/>
          <w:sz w:val="20"/>
          <w:szCs w:val="20"/>
        </w:rPr>
        <w:t xml:space="preserve">Se solicita precisar hasta qué fecha resulta jurídicamente viable suscribir este tipo de contratos interadministrativos sin incurrir en las prohibiciones establecidas por la Ley 996 de 2005. </w:t>
      </w:r>
    </w:p>
    <w:p w14:paraId="1AF9BE6C" w14:textId="77777777" w:rsidR="00F624DD" w:rsidRPr="005F181C" w:rsidRDefault="00F624DD" w:rsidP="00F624DD">
      <w:pPr>
        <w:spacing w:after="0" w:line="240" w:lineRule="auto"/>
        <w:ind w:left="709" w:right="709"/>
        <w:jc w:val="both"/>
        <w:rPr>
          <w:rFonts w:ascii="Verdana" w:eastAsia="Century Gothic" w:hAnsi="Verdana" w:cs="Century Gothic"/>
          <w:sz w:val="20"/>
          <w:szCs w:val="20"/>
        </w:rPr>
      </w:pPr>
      <w:r w:rsidRPr="005F181C">
        <w:rPr>
          <w:rFonts w:ascii="Verdana" w:eastAsia="Century Gothic" w:hAnsi="Verdana" w:cs="Century Gothic"/>
          <w:sz w:val="20"/>
          <w:szCs w:val="20"/>
        </w:rPr>
        <w:t>2. Cuando el BIM actúe como contratante, para la celebración de contratos con terceros (personas naturales o jurídicas, públicas o mixtas) bajo la modalidad de contratación directa, en el marco de su objeto misional. Se consulta cuál es el plazo límite estimado para suscribir este tipo de contratos antes de la entrada en vigor de las restricciones apl</w:t>
      </w:r>
      <w:r>
        <w:rPr>
          <w:rFonts w:ascii="Verdana" w:eastAsia="Century Gothic" w:hAnsi="Verdana" w:cs="Century Gothic"/>
          <w:sz w:val="20"/>
          <w:szCs w:val="20"/>
        </w:rPr>
        <w:t>icables al periodo preelectoral</w:t>
      </w:r>
      <w:r w:rsidRPr="00604DF8">
        <w:rPr>
          <w:rFonts w:ascii="Verdana" w:eastAsia="Century Gothic" w:hAnsi="Verdana" w:cs="Century Gothic"/>
          <w:sz w:val="20"/>
          <w:szCs w:val="20"/>
        </w:rPr>
        <w:t>”.</w:t>
      </w:r>
    </w:p>
    <w:p w14:paraId="7A0AF392" w14:textId="77777777" w:rsidR="00F624DD" w:rsidRPr="008E6AD9" w:rsidRDefault="00F624DD" w:rsidP="00F624DD">
      <w:pPr>
        <w:pStyle w:val="Prrafodelista"/>
        <w:tabs>
          <w:tab w:val="left" w:pos="142"/>
          <w:tab w:val="left" w:pos="284"/>
        </w:tabs>
        <w:spacing w:after="0" w:line="276" w:lineRule="auto"/>
        <w:ind w:left="0"/>
        <w:jc w:val="both"/>
        <w:rPr>
          <w:rFonts w:ascii="Verdana" w:eastAsia="Century Gothic" w:hAnsi="Verdana" w:cs="Century Gothic"/>
          <w:b/>
          <w:bCs/>
        </w:rPr>
      </w:pPr>
    </w:p>
    <w:p w14:paraId="112F2D0A" w14:textId="77777777" w:rsidR="00F624DD" w:rsidRPr="00A652FF" w:rsidRDefault="00F624DD" w:rsidP="00F624D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9DF9BFE" w14:textId="77777777" w:rsidR="00F624DD" w:rsidRPr="00423BE7" w:rsidRDefault="00F624DD" w:rsidP="00F624DD">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270446D" w14:textId="77777777" w:rsidR="00F624DD" w:rsidRPr="00593A5F" w:rsidRDefault="00F624DD" w:rsidP="00F624DD">
      <w:pPr>
        <w:spacing w:after="0" w:line="276" w:lineRule="auto"/>
        <w:ind w:firstLine="709"/>
        <w:jc w:val="both"/>
        <w:rPr>
          <w:rFonts w:ascii="Verdana" w:eastAsia="Calibri" w:hAnsi="Verdana" w:cs="Arial"/>
          <w:color w:val="000000"/>
          <w:lang w:val="es-ES" w:eastAsia="es-ES"/>
        </w:rPr>
      </w:pPr>
    </w:p>
    <w:p w14:paraId="57FDEBAD" w14:textId="77777777" w:rsidR="00F624DD" w:rsidRPr="00593A5F" w:rsidRDefault="00F624DD" w:rsidP="00F624D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43474335" w14:textId="77777777" w:rsidR="00F624DD" w:rsidRPr="00593A5F" w:rsidRDefault="00F624DD" w:rsidP="00F624DD">
      <w:pPr>
        <w:tabs>
          <w:tab w:val="left" w:pos="426"/>
        </w:tabs>
        <w:spacing w:after="0" w:line="276" w:lineRule="auto"/>
        <w:jc w:val="both"/>
        <w:rPr>
          <w:rFonts w:ascii="Verdana" w:eastAsia="Century Gothic" w:hAnsi="Verdana" w:cs="Century Gothic"/>
          <w:lang w:val="es-ES"/>
        </w:rPr>
      </w:pPr>
    </w:p>
    <w:p w14:paraId="1FEA2FA8" w14:textId="77777777" w:rsidR="00F624DD" w:rsidRPr="001E194B" w:rsidRDefault="00F624DD" w:rsidP="00F624DD">
      <w:pPr>
        <w:spacing w:after="0" w:line="276" w:lineRule="auto"/>
        <w:jc w:val="both"/>
        <w:rPr>
          <w:rFonts w:ascii="Verdana" w:eastAsia="Century Gothic" w:hAnsi="Verdana" w:cs="Century Gothic"/>
        </w:rPr>
      </w:pPr>
      <w:r w:rsidRPr="00906BE9">
        <w:rPr>
          <w:rFonts w:ascii="Verdana" w:eastAsia="Century Gothic" w:hAnsi="Verdana" w:cs="Century Gothic"/>
        </w:rPr>
        <w:lastRenderedPageBreak/>
        <w:t xml:space="preserve">De acuerdo con el contenido de su solicitud, esta Agencia resolverá </w:t>
      </w:r>
      <w:r>
        <w:rPr>
          <w:rFonts w:ascii="Verdana" w:eastAsia="Century Gothic" w:hAnsi="Verdana" w:cs="Century Gothic"/>
        </w:rPr>
        <w:t xml:space="preserve">los </w:t>
      </w:r>
      <w:r w:rsidRPr="00906BE9">
        <w:rPr>
          <w:rFonts w:ascii="Verdana" w:eastAsia="Century Gothic" w:hAnsi="Verdana" w:cs="Century Gothic"/>
        </w:rPr>
        <w:t>siguiente</w:t>
      </w:r>
      <w:r>
        <w:rPr>
          <w:rFonts w:ascii="Verdana" w:eastAsia="Century Gothic" w:hAnsi="Verdana" w:cs="Century Gothic"/>
        </w:rPr>
        <w:t xml:space="preserve">s </w:t>
      </w:r>
      <w:r w:rsidRPr="00906BE9">
        <w:rPr>
          <w:rFonts w:ascii="Verdana" w:eastAsia="Century Gothic" w:hAnsi="Verdana" w:cs="Century Gothic"/>
        </w:rPr>
        <w:t>problema</w:t>
      </w:r>
      <w:r>
        <w:rPr>
          <w:rFonts w:ascii="Verdana" w:eastAsia="Century Gothic" w:hAnsi="Verdana" w:cs="Century Gothic"/>
        </w:rPr>
        <w:t>s jurídicas</w:t>
      </w:r>
      <w:r w:rsidRPr="00906BE9">
        <w:rPr>
          <w:rFonts w:ascii="Verdana" w:eastAsia="Century Gothic" w:hAnsi="Verdana" w:cs="Century Gothic"/>
        </w:rPr>
        <w:t>:</w:t>
      </w:r>
      <w:r>
        <w:rPr>
          <w:rFonts w:ascii="Verdana" w:eastAsia="Century Gothic" w:hAnsi="Verdana" w:cs="Century Gothic"/>
        </w:rPr>
        <w:t xml:space="preserve"> i) </w:t>
      </w:r>
      <w:r w:rsidRPr="00B95ED8">
        <w:rPr>
          <w:rFonts w:ascii="Verdana" w:eastAsia="Century Gothic" w:hAnsi="Verdana" w:cs="Century Gothic"/>
        </w:rPr>
        <w:t xml:space="preserve">¿Cuál es el plazo máximo estimado para que </w:t>
      </w:r>
      <w:r>
        <w:rPr>
          <w:rFonts w:ascii="Verdana" w:eastAsia="Century Gothic" w:hAnsi="Verdana" w:cs="Century Gothic"/>
        </w:rPr>
        <w:t>una empresa industrial y comercial del Estado del orden territorial</w:t>
      </w:r>
      <w:r w:rsidRPr="00B95ED8">
        <w:rPr>
          <w:rFonts w:ascii="Verdana" w:eastAsia="Century Gothic" w:hAnsi="Verdana" w:cs="Century Gothic"/>
        </w:rPr>
        <w:t>, actuando como contratante, pueda suscribir contratos con terceros bajo la modalidad de contratación directa, en el marco de su objeto misional, antes de la entrada en vigor de las restricciones previstas para el periodo preelectoral conforme a la Ley 996 de 2005?</w:t>
      </w:r>
      <w:r>
        <w:rPr>
          <w:rFonts w:ascii="Verdana" w:eastAsia="Century Gothic" w:hAnsi="Verdana" w:cs="Century Gothic"/>
        </w:rPr>
        <w:t xml:space="preserve">; ii) </w:t>
      </w:r>
      <w:r w:rsidRPr="001E194B">
        <w:rPr>
          <w:rFonts w:ascii="Verdana" w:eastAsia="Century Gothic" w:hAnsi="Verdana" w:cs="Century Gothic"/>
        </w:rPr>
        <w:t>i) ¿Hasta qué fecha resulta jurídicamente viable que el empresa industrial y comercial del Estado del orden territorial en calidad de contratista, celebre contratos interadministrativos con entidades territoriales u otras entidades públicas, en desarrollo de su objeto misional, sin incurrir en las prohibiciones establecidas por la Ley 996 de 2005?;</w:t>
      </w:r>
    </w:p>
    <w:p w14:paraId="76330CFB" w14:textId="77777777" w:rsidR="00F624DD" w:rsidRPr="004B140F" w:rsidRDefault="00F624DD" w:rsidP="00F624DD">
      <w:pPr>
        <w:spacing w:after="0" w:line="276" w:lineRule="auto"/>
        <w:jc w:val="both"/>
        <w:rPr>
          <w:rFonts w:ascii="Verdana" w:eastAsia="Calibri" w:hAnsi="Verdana" w:cs="Arial"/>
          <w:color w:val="7030A0"/>
        </w:rPr>
      </w:pPr>
    </w:p>
    <w:p w14:paraId="1F85E7EE" w14:textId="77777777" w:rsidR="00F624DD" w:rsidRPr="00593A5F" w:rsidRDefault="00F624DD" w:rsidP="00F624D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6F1F5AEB" w14:textId="77777777" w:rsidR="00F624DD" w:rsidRPr="00593A5F" w:rsidRDefault="00F624DD" w:rsidP="00F624D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624DD" w:rsidRPr="00593A5F" w14:paraId="4DB9A913" w14:textId="77777777" w:rsidTr="00E47984">
        <w:trPr>
          <w:jc w:val="center"/>
        </w:trPr>
        <w:tc>
          <w:tcPr>
            <w:tcW w:w="8828" w:type="dxa"/>
          </w:tcPr>
          <w:p w14:paraId="20EFD1D3" w14:textId="77777777" w:rsidR="00F624DD" w:rsidRDefault="00F624DD" w:rsidP="00E47984">
            <w:pPr>
              <w:spacing w:line="276" w:lineRule="auto"/>
              <w:ind w:right="51"/>
              <w:jc w:val="both"/>
              <w:rPr>
                <w:rFonts w:ascii="Verdana" w:eastAsia="Calibri" w:hAnsi="Verdana" w:cs="Arial"/>
                <w:lang w:val="es-MX"/>
              </w:rPr>
            </w:pPr>
            <w:bookmarkStart w:id="2" w:name="_Hlk171694685"/>
            <w:r>
              <w:rPr>
                <w:rFonts w:ascii="Verdana" w:eastAsia="Calibri" w:hAnsi="Verdana" w:cs="Arial"/>
                <w:lang w:val="es-MX"/>
              </w:rPr>
              <w:t xml:space="preserve">De acuerdo a los problemas jurídicos, objeto de consulta, se señala lo siguiente: </w:t>
            </w:r>
          </w:p>
          <w:p w14:paraId="2B514739" w14:textId="77777777" w:rsidR="00F624DD" w:rsidRDefault="00F624DD" w:rsidP="00E47984">
            <w:pPr>
              <w:spacing w:after="120" w:line="276" w:lineRule="auto"/>
              <w:jc w:val="both"/>
              <w:rPr>
                <w:rFonts w:ascii="Verdana" w:eastAsia="Calibri" w:hAnsi="Verdana" w:cs="Arial"/>
                <w:lang w:val="es-MX"/>
              </w:rPr>
            </w:pPr>
          </w:p>
          <w:p w14:paraId="682618B1" w14:textId="77777777" w:rsidR="00F624DD" w:rsidRDefault="00F624DD" w:rsidP="00E47984">
            <w:pPr>
              <w:spacing w:after="120" w:line="276" w:lineRule="auto"/>
              <w:jc w:val="both"/>
              <w:rPr>
                <w:rFonts w:ascii="Verdana" w:eastAsia="Times New Roman" w:hAnsi="Verdana" w:cs="Arial"/>
                <w:bCs/>
                <w:lang w:val="es-MX" w:eastAsia="x-none" w:bidi="es-ES"/>
              </w:rPr>
            </w:pPr>
            <w:r>
              <w:rPr>
                <w:rFonts w:ascii="Verdana" w:eastAsia="Calibri" w:hAnsi="Verdana" w:cs="Arial"/>
                <w:lang w:val="es-MX"/>
              </w:rPr>
              <w:t xml:space="preserve">i. </w:t>
            </w:r>
            <w:r>
              <w:rPr>
                <w:rFonts w:ascii="Verdana" w:eastAsia="Times New Roman" w:hAnsi="Verdana" w:cs="Arial"/>
                <w:bCs/>
                <w:lang w:val="es-MX" w:eastAsia="x-none"/>
              </w:rPr>
              <w:t xml:space="preserve">Teniendo en cuenta lo explicado en las razones de la respuesta, las empresas industriales y comerciales del Estado del orden departamental, municipal o distrital están sujetos a la restricción del artículo 33 de la Ley 996 de 2005, es decir, no podrán adelantar sistema que implique contratación directa respecto de </w:t>
            </w:r>
            <w:r w:rsidRPr="00355EA0">
              <w:rPr>
                <w:rFonts w:ascii="Verdana" w:eastAsia="Times New Roman" w:hAnsi="Verdana" w:cs="Arial"/>
                <w:bCs/>
                <w:lang w:val="es-MX" w:eastAsia="x-none" w:bidi="es-ES"/>
              </w:rPr>
              <w:t xml:space="preserve">las elecciones presidenciales, dentro de los cuatro (4) meses anteriores a la celebración de los comicios, salvo </w:t>
            </w:r>
            <w:r>
              <w:rPr>
                <w:rFonts w:ascii="Verdana" w:eastAsia="Times New Roman" w:hAnsi="Verdana" w:cs="Arial"/>
                <w:bCs/>
                <w:lang w:val="es-MX" w:eastAsia="x-none" w:bidi="es-ES"/>
              </w:rPr>
              <w:t xml:space="preserve">las </w:t>
            </w:r>
            <w:r w:rsidRPr="00355EA0">
              <w:rPr>
                <w:rFonts w:ascii="Verdana" w:eastAsia="Times New Roman" w:hAnsi="Verdana" w:cs="Arial"/>
                <w:bCs/>
                <w:lang w:val="es-MX" w:eastAsia="x-none" w:bidi="es-ES"/>
              </w:rPr>
              <w:t>excepciones</w:t>
            </w:r>
            <w:r>
              <w:rPr>
                <w:rFonts w:ascii="Verdana" w:eastAsia="Times New Roman" w:hAnsi="Verdana" w:cs="Arial"/>
                <w:bCs/>
                <w:lang w:val="es-MX" w:eastAsia="x-none" w:bidi="es-ES"/>
              </w:rPr>
              <w:t xml:space="preserve"> dispuestas en esta</w:t>
            </w:r>
            <w:r w:rsidRPr="00355EA0">
              <w:rPr>
                <w:rFonts w:ascii="Verdana" w:eastAsia="Times New Roman" w:hAnsi="Verdana" w:cs="Arial"/>
                <w:bCs/>
                <w:lang w:val="es-MX" w:eastAsia="x-none" w:bidi="es-ES"/>
              </w:rPr>
              <w:t xml:space="preserve">. </w:t>
            </w:r>
            <w:r>
              <w:rPr>
                <w:rFonts w:ascii="Verdana" w:eastAsia="Times New Roman" w:hAnsi="Verdana" w:cs="Arial"/>
                <w:bCs/>
                <w:lang w:val="es-MX" w:eastAsia="x-none"/>
              </w:rPr>
              <w:t>En este sentido, los entes del Estado independiente de su naturaleza jurídica y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188E26FA" w14:textId="77777777" w:rsidR="00F624DD" w:rsidRPr="00A63F17" w:rsidRDefault="00F624DD" w:rsidP="00E47984">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 xml:space="preserve">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w:t>
            </w:r>
            <w:r w:rsidRPr="00355EA0">
              <w:rPr>
                <w:rFonts w:ascii="Verdana" w:eastAsia="Times New Roman" w:hAnsi="Verdana" w:cs="Arial"/>
                <w:bCs/>
                <w:lang w:val="es-MX" w:eastAsia="x-none" w:bidi="es-ES"/>
              </w:rPr>
              <w:lastRenderedPageBreak/>
              <w:t>segunda vuelta</w:t>
            </w:r>
            <w:r>
              <w:rPr>
                <w:rFonts w:ascii="Verdana" w:eastAsia="Times New Roman" w:hAnsi="Verdana" w:cs="Arial"/>
                <w:bCs/>
                <w:lang w:val="es-MX" w:eastAsia="x-none" w:bidi="es-ES"/>
              </w:rPr>
              <w:t>, que, de acuerdo a lo expuesto, se celebraría el 21 de junio de 2026.</w:t>
            </w:r>
          </w:p>
          <w:p w14:paraId="207A1525" w14:textId="77777777" w:rsidR="00F624DD" w:rsidRPr="003B7D6C" w:rsidRDefault="00F624DD" w:rsidP="00E47984">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689FB7F" w14:textId="77777777" w:rsidR="00F624DD" w:rsidRDefault="00F624DD" w:rsidP="00E47984">
            <w:pPr>
              <w:spacing w:after="120" w:line="276" w:lineRule="auto"/>
              <w:ind w:firstLine="709"/>
              <w:jc w:val="both"/>
              <w:rPr>
                <w:rFonts w:ascii="Verdana" w:eastAsia="Times New Roman" w:hAnsi="Verdana" w:cs="Arial"/>
                <w:bCs/>
                <w:lang w:val="es-MX" w:eastAsia="es-CO"/>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 Además, también es posible que contratos celebrados previamente se continúen ejecutando con normalidad.</w:t>
            </w:r>
          </w:p>
          <w:p w14:paraId="7681DC73" w14:textId="77777777" w:rsidR="00F624DD" w:rsidRDefault="00F624DD" w:rsidP="00E47984">
            <w:pPr>
              <w:spacing w:after="120" w:line="276" w:lineRule="auto"/>
              <w:jc w:val="both"/>
              <w:rPr>
                <w:rFonts w:ascii="Verdana" w:eastAsia="Times New Roman" w:hAnsi="Verdana" w:cs="Arial"/>
                <w:bCs/>
                <w:lang w:val="es-MX" w:eastAsia="es-CO"/>
              </w:rPr>
            </w:pPr>
          </w:p>
          <w:p w14:paraId="6EF31326" w14:textId="77777777" w:rsidR="00F624DD" w:rsidRDefault="00F624DD" w:rsidP="00E47984">
            <w:pPr>
              <w:spacing w:after="120" w:line="276" w:lineRule="auto"/>
              <w:jc w:val="both"/>
              <w:rPr>
                <w:rFonts w:ascii="Verdana" w:eastAsia="Times New Roman" w:hAnsi="Verdana" w:cs="Times New Roman"/>
                <w:lang w:eastAsia="es-ES"/>
              </w:rPr>
            </w:pPr>
            <w:r>
              <w:rPr>
                <w:rFonts w:ascii="Verdana" w:eastAsia="Times New Roman" w:hAnsi="Verdana" w:cs="Arial"/>
                <w:bCs/>
                <w:lang w:val="es-MX" w:eastAsia="es-CO"/>
              </w:rPr>
              <w:t xml:space="preserve">ii. En torno a la restricción del parágrafo del artículo 38 </w:t>
            </w:r>
            <w:r w:rsidRPr="31E4E861">
              <w:rPr>
                <w:rFonts w:ascii="Verdana" w:eastAsia="Arial" w:hAnsi="Verdana" w:cs="Arial"/>
                <w:lang w:eastAsia="es-ES" w:bidi="es-ES"/>
              </w:rPr>
              <w:t xml:space="preserve">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r w:rsidRPr="2035D652">
              <w:rPr>
                <w:rFonts w:ascii="Verdana" w:eastAsia="Times New Roman" w:hAnsi="Verdana" w:cs="Times New Roman"/>
                <w:lang w:eastAsia="es-ES"/>
              </w:rPr>
              <w:t xml:space="preserve">Sobre el particular, la Sala concluyó que contratos y convenios interadministrativos son </w:t>
            </w:r>
            <w:r>
              <w:rPr>
                <w:rFonts w:ascii="Verdana" w:eastAsia="Times New Roman" w:hAnsi="Verdana" w:cs="Times New Roman"/>
                <w:lang w:eastAsia="es-ES"/>
              </w:rPr>
              <w:t xml:space="preserve">instituciones jurídicas </w:t>
            </w:r>
            <w:r w:rsidRPr="2035D652">
              <w:rPr>
                <w:rFonts w:ascii="Verdana" w:eastAsia="Times New Roman" w:hAnsi="Verdana" w:cs="Times New Roman"/>
                <w:lang w:eastAsia="es-ES"/>
              </w:rPr>
              <w:t xml:space="preserve">distintas en naturaleza, objeto y efectos, pues mientras los contratos implican obligaciones patrimoniales y contraprestación, los convenios se basan en cooperación sin </w:t>
            </w:r>
            <w:r w:rsidRPr="2035D652">
              <w:rPr>
                <w:rFonts w:ascii="Verdana" w:eastAsia="Times New Roman" w:hAnsi="Verdana" w:cs="Times New Roman"/>
                <w:lang w:eastAsia="es-ES"/>
              </w:rPr>
              <w:lastRenderedPageBreak/>
              <w:t xml:space="preserve">ánimo económico. Por ello, la restricción legal no podía aplicarse extensivamente a los contratos. </w:t>
            </w:r>
          </w:p>
          <w:p w14:paraId="7E327DE1" w14:textId="77777777" w:rsidR="00F624DD" w:rsidRDefault="00F624DD" w:rsidP="00E47984">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72142249" w14:textId="77777777" w:rsidR="00F624DD" w:rsidRDefault="00F624DD" w:rsidP="00E47984">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están obligadas entre otras entidades, las empresas industriales y comerciales del Estado del orden departamental, distrital o municipal, desde el 8 de noviembre de 2025, teniendo en cuenta que la Resolución 02580 del 5 de marzo de 2025 de la Registraduría Nacional del Estado Civil dispuso que las elecciones de senado y cámara de representantes se celebrarán el 8 de marzo de 2026. Esta restricción se extiende a las elecciones presidenciales que se celebrarán el 31 de mayo de 2026, así como una posible segunda vuelta tres semanas después, es decir, el 21 de junio de 2026. </w:t>
            </w:r>
          </w:p>
          <w:p w14:paraId="09744CF9" w14:textId="77777777" w:rsidR="00F624DD" w:rsidRPr="00F7339B" w:rsidRDefault="00F624DD" w:rsidP="00E47984">
            <w:pPr>
              <w:spacing w:after="120" w:line="276" w:lineRule="auto"/>
              <w:ind w:firstLine="708"/>
              <w:jc w:val="both"/>
              <w:rPr>
                <w:rFonts w:ascii="Verdana" w:eastAsia="Times New Roman" w:hAnsi="Verdana" w:cs="Arial"/>
                <w:lang w:eastAsia="es-CO"/>
              </w:rPr>
            </w:pP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 xml:space="preserve">de nulidad simple, identificada con el Radicado número 11001-03-26-000-2025-00016-00,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w:t>
            </w:r>
            <w:r w:rsidRPr="00667CD6">
              <w:rPr>
                <w:rFonts w:ascii="Verdana" w:eastAsia="Arial" w:hAnsi="Verdana" w:cs="Arial"/>
                <w:bCs/>
                <w:color w:val="000000" w:themeColor="text1"/>
              </w:rPr>
              <w:lastRenderedPageBreak/>
              <w:t xml:space="preserve">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 xml:space="preserve">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w:t>
            </w:r>
            <w:r>
              <w:rPr>
                <w:rFonts w:ascii="Verdana" w:eastAsia="Arial" w:hAnsi="Verdana" w:cs="Arial"/>
                <w:color w:val="000000" w:themeColor="text1"/>
              </w:rPr>
              <w:t>Electorales, conforme se detalla en las razones de la respuesta</w:t>
            </w:r>
            <w:r w:rsidRPr="00667CD6">
              <w:rPr>
                <w:rFonts w:ascii="Verdana" w:eastAsia="Arial" w:hAnsi="Verdana" w:cs="Arial"/>
                <w:color w:val="000000" w:themeColor="text1"/>
              </w:rPr>
              <w:t>.</w:t>
            </w:r>
          </w:p>
        </w:tc>
      </w:tr>
    </w:tbl>
    <w:p w14:paraId="669815B7" w14:textId="77777777" w:rsidR="00F624DD" w:rsidRPr="00593A5F" w:rsidRDefault="00F624DD" w:rsidP="00F624DD">
      <w:pPr>
        <w:tabs>
          <w:tab w:val="left" w:pos="142"/>
          <w:tab w:val="left" w:pos="284"/>
        </w:tabs>
        <w:spacing w:after="0" w:line="276" w:lineRule="auto"/>
        <w:jc w:val="both"/>
        <w:rPr>
          <w:rFonts w:ascii="Verdana" w:eastAsia="Century Gothic" w:hAnsi="Verdana" w:cs="Century Gothic"/>
          <w:b/>
          <w:bCs/>
          <w:lang w:val="es-ES"/>
        </w:rPr>
      </w:pPr>
    </w:p>
    <w:bookmarkEnd w:id="2"/>
    <w:p w14:paraId="7386092F" w14:textId="77777777" w:rsidR="00F624DD" w:rsidRPr="00593A5F" w:rsidRDefault="00F624DD" w:rsidP="00F624D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781B4C01" w14:textId="77777777" w:rsidR="00F624DD" w:rsidRPr="00593A5F" w:rsidRDefault="00F624DD" w:rsidP="00F624DD">
      <w:pPr>
        <w:spacing w:after="0" w:line="276" w:lineRule="auto"/>
        <w:jc w:val="both"/>
        <w:rPr>
          <w:rFonts w:ascii="Verdana" w:eastAsia="Calibri" w:hAnsi="Verdana" w:cs="Arial"/>
          <w:color w:val="7030A0"/>
          <w:lang w:val="es-ES"/>
        </w:rPr>
      </w:pPr>
    </w:p>
    <w:p w14:paraId="4A3FACFC" w14:textId="77777777" w:rsidR="00F624DD" w:rsidRDefault="00F624DD" w:rsidP="00F624D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07DC2BAC" w14:textId="77777777" w:rsidR="00F624DD" w:rsidRDefault="00F624DD" w:rsidP="00F624DD">
      <w:pPr>
        <w:spacing w:after="0" w:line="276" w:lineRule="auto"/>
        <w:jc w:val="both"/>
        <w:rPr>
          <w:rFonts w:ascii="Verdana" w:eastAsia="Calibri" w:hAnsi="Verdana" w:cs="Arial"/>
          <w:lang w:val="es-ES"/>
        </w:rPr>
      </w:pPr>
    </w:p>
    <w:p w14:paraId="24841D15" w14:textId="77777777" w:rsidR="00F624DD" w:rsidRPr="002D6B43" w:rsidRDefault="00F624DD" w:rsidP="00F624DD">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7B5C7FEC" w14:textId="77777777" w:rsidR="00F624DD" w:rsidRPr="006B14B5" w:rsidRDefault="00F624DD" w:rsidP="00F624DD">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 xml:space="preserve">En armonía </w:t>
      </w:r>
      <w:r w:rsidRPr="00E2397D">
        <w:rPr>
          <w:rFonts w:ascii="Verdana" w:eastAsia="Times New Roman" w:hAnsi="Verdana" w:cs="Arial"/>
          <w:lang w:val="es-MX" w:eastAsia="es-CO"/>
        </w:rPr>
        <w:lastRenderedPageBreak/>
        <w:t>con lo anterior, la Corte Constitucional ha abordado la definición de la Ley de Garantías Electorales. De esta manera, explica que tiene como propósito:</w:t>
      </w:r>
    </w:p>
    <w:p w14:paraId="26A48403" w14:textId="77777777" w:rsidR="00F624DD" w:rsidRPr="00E2397D" w:rsidRDefault="00F624DD" w:rsidP="00F624DD">
      <w:pPr>
        <w:spacing w:after="0" w:line="276" w:lineRule="auto"/>
        <w:ind w:right="709"/>
        <w:contextualSpacing/>
        <w:jc w:val="both"/>
        <w:rPr>
          <w:rFonts w:ascii="Verdana" w:eastAsia="Times New Roman" w:hAnsi="Verdana" w:cs="Arial"/>
          <w:lang w:val="es-ES" w:eastAsia="es-CO"/>
        </w:rPr>
      </w:pPr>
    </w:p>
    <w:p w14:paraId="1069238F" w14:textId="77777777" w:rsidR="00F624DD" w:rsidRPr="00E2397D" w:rsidRDefault="00F624DD" w:rsidP="00F624D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C85EED4" w14:textId="77777777" w:rsidR="00F624DD" w:rsidRDefault="00F624DD" w:rsidP="00F624DD">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928189A" w14:textId="77777777" w:rsidR="00F624DD" w:rsidRPr="000B35C5" w:rsidRDefault="00F624DD" w:rsidP="00F624DD">
      <w:pPr>
        <w:spacing w:after="0" w:line="240" w:lineRule="auto"/>
        <w:ind w:left="709" w:right="709"/>
        <w:contextualSpacing/>
        <w:jc w:val="both"/>
        <w:rPr>
          <w:rFonts w:ascii="Verdana" w:eastAsia="Times New Roman" w:hAnsi="Verdana" w:cs="Arial"/>
          <w:sz w:val="12"/>
          <w:szCs w:val="12"/>
          <w:lang w:val="es-MX" w:eastAsia="es-CO"/>
        </w:rPr>
      </w:pPr>
    </w:p>
    <w:p w14:paraId="0244A0C5" w14:textId="77777777" w:rsidR="00F624DD" w:rsidRPr="00E2397D" w:rsidRDefault="00F624DD" w:rsidP="00F624D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1DD84A5C" w14:textId="77777777" w:rsidR="00F624DD" w:rsidRPr="00E2397D" w:rsidRDefault="00F624DD" w:rsidP="00F624DD">
      <w:pPr>
        <w:spacing w:after="0" w:line="276" w:lineRule="auto"/>
        <w:ind w:firstLine="709"/>
        <w:jc w:val="both"/>
        <w:rPr>
          <w:rFonts w:ascii="Verdana" w:eastAsia="Times New Roman" w:hAnsi="Verdana" w:cs="Arial"/>
          <w:lang w:val="es-MX" w:eastAsia="es-CO"/>
        </w:rPr>
      </w:pPr>
      <w:bookmarkStart w:id="4" w:name="_Hlk78818186"/>
    </w:p>
    <w:p w14:paraId="0DA96606" w14:textId="77777777" w:rsidR="00F624DD" w:rsidRPr="00E2397D" w:rsidRDefault="00F624DD" w:rsidP="00F624DD">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36BB99F2" w14:textId="77777777" w:rsidR="00F624DD" w:rsidRPr="00886C02" w:rsidRDefault="00F624DD" w:rsidP="00F624DD">
      <w:pPr>
        <w:spacing w:after="0" w:line="276" w:lineRule="auto"/>
        <w:ind w:firstLine="709"/>
        <w:jc w:val="both"/>
        <w:rPr>
          <w:rFonts w:ascii="Verdana" w:eastAsia="Times New Roman" w:hAnsi="Verdana" w:cs="Arial"/>
          <w:lang w:val="es-MX" w:eastAsia="es-CO"/>
        </w:rPr>
      </w:pPr>
    </w:p>
    <w:p w14:paraId="560DA15E" w14:textId="77777777" w:rsidR="00F624DD" w:rsidRPr="00E2397D" w:rsidRDefault="00F624DD" w:rsidP="00F624D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3F485C9" w14:textId="77777777" w:rsidR="00F624DD" w:rsidRPr="000B35C5" w:rsidRDefault="00F624DD" w:rsidP="00F624DD">
      <w:pPr>
        <w:spacing w:after="0" w:line="240" w:lineRule="auto"/>
        <w:ind w:right="709"/>
        <w:contextualSpacing/>
        <w:jc w:val="both"/>
        <w:rPr>
          <w:rFonts w:ascii="Verdana" w:eastAsia="Times New Roman" w:hAnsi="Verdana" w:cs="Arial"/>
          <w:sz w:val="12"/>
          <w:szCs w:val="12"/>
          <w:lang w:val="es-MX" w:eastAsia="es-CO"/>
        </w:rPr>
      </w:pPr>
    </w:p>
    <w:p w14:paraId="36BD6CC7" w14:textId="77777777" w:rsidR="00F624DD" w:rsidRPr="00E2397D" w:rsidRDefault="00F624DD" w:rsidP="00F624DD">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1C02D255" w14:textId="77777777" w:rsidR="00F624DD" w:rsidRPr="00E2397D" w:rsidRDefault="00F624DD" w:rsidP="00F624DD">
      <w:pPr>
        <w:spacing w:after="0" w:line="276" w:lineRule="auto"/>
        <w:jc w:val="both"/>
        <w:rPr>
          <w:rFonts w:ascii="Verdana" w:eastAsia="Calibri" w:hAnsi="Verdana" w:cs="Arial"/>
          <w:bCs/>
          <w:lang w:val="es-ES_tradnl"/>
        </w:rPr>
      </w:pPr>
    </w:p>
    <w:p w14:paraId="334BB7A9" w14:textId="77777777" w:rsidR="00F624DD" w:rsidRDefault="00F624DD" w:rsidP="00F624DD">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AD18B62" w14:textId="77777777" w:rsidR="00F624DD" w:rsidRPr="00E2397D" w:rsidRDefault="00F624DD" w:rsidP="00F624DD">
      <w:pPr>
        <w:spacing w:after="0" w:line="276" w:lineRule="auto"/>
        <w:ind w:firstLine="709"/>
        <w:jc w:val="both"/>
        <w:rPr>
          <w:rFonts w:ascii="Verdana" w:eastAsia="Arial" w:hAnsi="Verdana" w:cs="Arial"/>
          <w:lang w:val="es-ES" w:eastAsia="es-ES" w:bidi="es-ES"/>
        </w:rPr>
      </w:pPr>
    </w:p>
    <w:p w14:paraId="53DD2942" w14:textId="77777777" w:rsidR="00F624DD" w:rsidRPr="00E2397D" w:rsidRDefault="00F624DD" w:rsidP="00F624DD">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6684B027" w14:textId="77777777" w:rsidR="00F624DD" w:rsidRPr="00E2397D" w:rsidRDefault="00F624DD" w:rsidP="00F624DD">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0B66A695" w14:textId="77777777" w:rsidR="00F624DD" w:rsidRDefault="00F624DD" w:rsidP="00F624DD">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C115082" w14:textId="77777777" w:rsidR="00F624DD" w:rsidRDefault="00F624DD" w:rsidP="00F624DD">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3F4A75C6" w14:textId="77777777" w:rsidR="00F624DD" w:rsidRDefault="00F624DD" w:rsidP="00F624D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elevados a escritura pública, con excepción de aquellos que impliquen mutación </w:t>
      </w:r>
      <w:r w:rsidRPr="00447D82">
        <w:rPr>
          <w:rFonts w:ascii="Verdana" w:eastAsia="Times New Roman" w:hAnsi="Verdana" w:cs="Arial"/>
          <w:bCs/>
          <w:lang w:val="es-ES" w:eastAsia="es-CO"/>
        </w:rPr>
        <w:lastRenderedPageBreak/>
        <w:t>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6951229" w14:textId="77777777" w:rsidR="00F624DD" w:rsidRDefault="00F624DD" w:rsidP="00F624D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3FE67195" w14:textId="77777777" w:rsidR="00F624DD" w:rsidRPr="00894384" w:rsidRDefault="00F624DD" w:rsidP="00F624DD">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06A02DEF" w14:textId="77777777" w:rsidR="00F624DD" w:rsidRPr="00E2397D" w:rsidRDefault="00F624DD" w:rsidP="00F624DD">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4A0EE445" w14:textId="77777777" w:rsidR="00F624DD" w:rsidRPr="00E2397D" w:rsidRDefault="00F624DD" w:rsidP="00F624DD">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857F89E" w14:textId="77777777" w:rsidR="00F624DD" w:rsidRPr="00E2397D" w:rsidRDefault="00F624DD" w:rsidP="00F624DD">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w:t>
      </w:r>
      <w:r w:rsidRPr="00E2397D">
        <w:rPr>
          <w:rFonts w:ascii="Verdana" w:eastAsia="Arial" w:hAnsi="Verdana" w:cs="Arial"/>
          <w:sz w:val="20"/>
          <w:szCs w:val="20"/>
          <w:lang w:eastAsia="es-ES" w:bidi="es-ES"/>
        </w:rPr>
        <w:lastRenderedPageBreak/>
        <w:t>contenidas en el parágrafo del artículo 38”.</w:t>
      </w:r>
      <w:r w:rsidRPr="00E2397D">
        <w:rPr>
          <w:rFonts w:ascii="Verdana" w:eastAsia="Arial" w:hAnsi="Verdana" w:cs="Arial"/>
          <w:sz w:val="20"/>
          <w:szCs w:val="20"/>
          <w:vertAlign w:val="superscript"/>
          <w:lang w:eastAsia="es-ES" w:bidi="es-ES"/>
        </w:rPr>
        <w:footnoteReference w:id="11"/>
      </w:r>
    </w:p>
    <w:p w14:paraId="21E99F2A" w14:textId="77777777" w:rsidR="00F624DD" w:rsidRPr="00E2397D" w:rsidRDefault="00F624DD" w:rsidP="00F624DD">
      <w:pPr>
        <w:widowControl w:val="0"/>
        <w:autoSpaceDE w:val="0"/>
        <w:autoSpaceDN w:val="0"/>
        <w:spacing w:after="0" w:line="276" w:lineRule="auto"/>
        <w:contextualSpacing/>
        <w:rPr>
          <w:rFonts w:ascii="Verdana" w:eastAsia="Arial" w:hAnsi="Verdana" w:cs="Arial"/>
          <w:lang w:val="es-ES" w:eastAsia="es-ES" w:bidi="es-ES"/>
        </w:rPr>
      </w:pPr>
    </w:p>
    <w:p w14:paraId="1A8BD8F7" w14:textId="77777777" w:rsidR="00F624DD" w:rsidRPr="00E2397D" w:rsidRDefault="00F624DD" w:rsidP="00F624D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0"/>
    </w:p>
    <w:bookmarkEnd w:id="11"/>
    <w:p w14:paraId="020F32E2" w14:textId="77777777" w:rsidR="00F624DD" w:rsidRPr="00E2397D" w:rsidRDefault="00F624DD" w:rsidP="00F624DD">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1C1FAF97" w14:textId="77777777" w:rsidR="00F624DD" w:rsidRDefault="00F624DD" w:rsidP="00F624DD">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w:t>
      </w:r>
      <w:r w:rsidRPr="00E2397D">
        <w:rPr>
          <w:rFonts w:ascii="Verdana" w:eastAsia="Arial" w:hAnsi="Verdana" w:cs="Arial"/>
          <w:lang w:val="es-ES" w:eastAsia="es-ES" w:bidi="es-ES"/>
        </w:rPr>
        <w:lastRenderedPageBreak/>
        <w:t xml:space="preserve">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06A00323" w14:textId="77777777" w:rsidR="00F624DD" w:rsidRPr="00E2397D" w:rsidRDefault="00F624DD" w:rsidP="00F624DD">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43A50093" w14:textId="77777777" w:rsidR="00F624DD" w:rsidRPr="0057193B" w:rsidRDefault="00F624DD" w:rsidP="00F624DD">
      <w:pPr>
        <w:spacing w:line="276" w:lineRule="auto"/>
        <w:jc w:val="both"/>
        <w:rPr>
          <w:rFonts w:ascii="Verdana" w:eastAsia="Times New Roman" w:hAnsi="Verdana" w:cs="Arial"/>
          <w:bCs/>
          <w:lang w:val="es-MX" w:eastAsia="es-CO"/>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2C13DD59" w14:textId="77777777" w:rsidR="00F624DD" w:rsidRPr="0057193B" w:rsidRDefault="00F624DD" w:rsidP="00F624DD">
      <w:pPr>
        <w:spacing w:after="0" w:line="240" w:lineRule="auto"/>
        <w:ind w:left="708" w:right="709"/>
        <w:jc w:val="both"/>
        <w:rPr>
          <w:rFonts w:ascii="Verdana" w:eastAsia="Calibri" w:hAnsi="Verdana" w:cs="Arial"/>
          <w:sz w:val="21"/>
          <w:szCs w:val="21"/>
          <w:lang w:val="es-MX"/>
        </w:rPr>
      </w:pPr>
    </w:p>
    <w:p w14:paraId="111F5FEC" w14:textId="77777777" w:rsidR="00F624DD" w:rsidRPr="0057193B" w:rsidRDefault="00F624DD" w:rsidP="00F624DD">
      <w:pPr>
        <w:spacing w:after="120" w:line="240" w:lineRule="auto"/>
        <w:ind w:left="709" w:right="709"/>
        <w:jc w:val="both"/>
        <w:rPr>
          <w:rFonts w:ascii="Verdana" w:eastAsia="Calibri" w:hAnsi="Verdana" w:cs="Arial"/>
          <w:sz w:val="21"/>
          <w:szCs w:val="21"/>
          <w:lang w:val="es-MX"/>
        </w:rPr>
      </w:pPr>
      <w:r w:rsidRPr="0057193B">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7193B">
        <w:rPr>
          <w:rFonts w:ascii="Verdana" w:eastAsia="Times New Roman" w:hAnsi="Verdana" w:cs="Arial"/>
          <w:vertAlign w:val="superscript"/>
          <w:lang w:eastAsia="es-CO"/>
        </w:rPr>
        <w:footnoteReference w:id="12"/>
      </w:r>
      <w:r w:rsidRPr="0057193B">
        <w:rPr>
          <w:rFonts w:ascii="Verdana" w:eastAsia="Calibri" w:hAnsi="Verdana" w:cs="Arial"/>
          <w:sz w:val="21"/>
          <w:szCs w:val="21"/>
          <w:lang w:val="es-MX"/>
        </w:rPr>
        <w:t>.</w:t>
      </w:r>
    </w:p>
    <w:p w14:paraId="7BAFAA3C" w14:textId="77777777" w:rsidR="00F624DD" w:rsidRPr="0057193B" w:rsidRDefault="00F624DD" w:rsidP="00F624DD">
      <w:pPr>
        <w:spacing w:after="0" w:line="240" w:lineRule="auto"/>
        <w:ind w:left="708" w:right="709"/>
        <w:jc w:val="both"/>
        <w:rPr>
          <w:rFonts w:ascii="Verdana" w:eastAsia="Calibri" w:hAnsi="Verdana" w:cs="Arial"/>
          <w:sz w:val="21"/>
          <w:szCs w:val="21"/>
          <w:lang w:val="es-MX"/>
        </w:rPr>
      </w:pPr>
      <w:r w:rsidRPr="0057193B">
        <w:rPr>
          <w:rFonts w:ascii="Verdana" w:eastAsia="Calibri" w:hAnsi="Verdana" w:cs="Arial"/>
          <w:sz w:val="21"/>
          <w:szCs w:val="21"/>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7193B">
        <w:rPr>
          <w:rFonts w:ascii="Verdana" w:eastAsia="Times New Roman" w:hAnsi="Verdana" w:cs="Arial"/>
          <w:sz w:val="21"/>
          <w:szCs w:val="21"/>
          <w:vertAlign w:val="superscript"/>
          <w:lang w:val="es-MX"/>
        </w:rPr>
        <w:footnoteReference w:id="13"/>
      </w:r>
      <w:r w:rsidRPr="0057193B">
        <w:rPr>
          <w:rFonts w:ascii="Verdana" w:eastAsia="Times New Roman" w:hAnsi="Verdana" w:cs="Arial"/>
          <w:sz w:val="21"/>
          <w:szCs w:val="21"/>
          <w:vertAlign w:val="superscript"/>
          <w:lang w:val="es-MX"/>
        </w:rPr>
        <w:t>.</w:t>
      </w:r>
      <w:r w:rsidRPr="0057193B">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7193B">
        <w:rPr>
          <w:rFonts w:ascii="Verdana" w:eastAsia="Times New Roman" w:hAnsi="Verdana" w:cs="Arial"/>
          <w:vertAlign w:val="superscript"/>
          <w:lang w:eastAsia="es-CO"/>
        </w:rPr>
        <w:footnoteReference w:id="14"/>
      </w:r>
      <w:r w:rsidRPr="0057193B">
        <w:rPr>
          <w:rFonts w:ascii="Verdana" w:eastAsia="Calibri" w:hAnsi="Verdana" w:cs="Arial"/>
          <w:sz w:val="21"/>
          <w:szCs w:val="21"/>
          <w:lang w:val="es-MX"/>
        </w:rPr>
        <w:t xml:space="preserve"> .</w:t>
      </w:r>
    </w:p>
    <w:p w14:paraId="1D22C745" w14:textId="77777777" w:rsidR="00F624DD" w:rsidRPr="0057193B" w:rsidRDefault="00F624DD" w:rsidP="00F624DD">
      <w:pPr>
        <w:shd w:val="clear" w:color="auto" w:fill="FFFFFF"/>
        <w:spacing w:after="0" w:line="276" w:lineRule="auto"/>
        <w:ind w:firstLine="709"/>
        <w:jc w:val="both"/>
        <w:rPr>
          <w:rFonts w:ascii="Verdana" w:eastAsia="Times New Roman" w:hAnsi="Verdana" w:cs="Arial"/>
          <w:lang w:eastAsia="x-none"/>
        </w:rPr>
      </w:pPr>
    </w:p>
    <w:p w14:paraId="5A436520" w14:textId="77777777" w:rsidR="00F624DD" w:rsidRPr="0057193B" w:rsidRDefault="00F624DD" w:rsidP="00F624DD">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 xml:space="preserve">cualquier sistema que no implique </w:t>
      </w:r>
      <w:r w:rsidRPr="0057193B">
        <w:rPr>
          <w:rFonts w:ascii="Verdana" w:eastAsia="Times New Roman" w:hAnsi="Verdana" w:cs="Arial"/>
          <w:lang w:eastAsia="x-none"/>
        </w:rPr>
        <w:lastRenderedPageBreak/>
        <w:t>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668B6C44" w14:textId="77777777" w:rsidR="00F624DD" w:rsidRPr="0057193B" w:rsidRDefault="00F624DD" w:rsidP="00F624DD">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0DC55F46" w14:textId="77777777" w:rsidR="00F624DD" w:rsidRPr="0057193B" w:rsidRDefault="00F624DD" w:rsidP="00F624D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67E4A97D" w14:textId="77777777" w:rsidR="00F624DD" w:rsidRPr="0057193B" w:rsidRDefault="00F624DD" w:rsidP="00F624D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lastRenderedPageBreak/>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4A470EEE" w14:textId="77777777" w:rsidR="00F624DD" w:rsidRPr="0057193B" w:rsidRDefault="00F624DD" w:rsidP="00F624DD">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2314973B" w14:textId="77777777" w:rsidR="00F624DD" w:rsidRPr="0057193B" w:rsidRDefault="00F624DD" w:rsidP="00F624DD">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67FA72F2" w14:textId="77777777" w:rsidR="00F624DD" w:rsidRPr="00447D82" w:rsidRDefault="00F624DD" w:rsidP="00F624D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xml:space="preserve">. </w:t>
      </w:r>
      <w:r w:rsidRPr="0057193B">
        <w:rPr>
          <w:rFonts w:ascii="Verdana" w:eastAsia="Times New Roman" w:hAnsi="Verdana" w:cs="Arial"/>
          <w:bCs/>
          <w:lang w:val="es-MX" w:eastAsia="es-CO"/>
        </w:rPr>
        <w:lastRenderedPageBreak/>
        <w:t>Además, también es posible que contratos celebrados previamente se continúen ejecutando con normalidad.</w:t>
      </w:r>
      <w:r>
        <w:rPr>
          <w:rFonts w:ascii="Verdana" w:eastAsia="Times New Roman" w:hAnsi="Verdana" w:cs="Arial"/>
          <w:bCs/>
          <w:lang w:val="es-MX" w:eastAsia="es-CO"/>
        </w:rPr>
        <w:t xml:space="preserve"> </w:t>
      </w:r>
    </w:p>
    <w:p w14:paraId="0E1896D1" w14:textId="77777777" w:rsidR="00F624DD" w:rsidRPr="0057193B" w:rsidRDefault="00F624DD" w:rsidP="00F624DD">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05E8ECA" w14:textId="77777777" w:rsidR="00F624DD" w:rsidRPr="0057193B" w:rsidRDefault="00F624DD" w:rsidP="00F624DD">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2698C46F" w14:textId="77777777" w:rsidR="00F624DD" w:rsidRPr="0057193B" w:rsidRDefault="00F624DD" w:rsidP="00F624DD">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En efecto, tal como lo </w:t>
      </w:r>
      <w:r w:rsidRPr="0057193B">
        <w:rPr>
          <w:rFonts w:ascii="Verdana" w:eastAsia="Times New Roman" w:hAnsi="Verdana" w:cs="Arial"/>
          <w:bCs/>
          <w:lang w:val="es-MX" w:eastAsia="x-none"/>
        </w:rPr>
        <w:lastRenderedPageBreak/>
        <w:t>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4DB4A320" w14:textId="77777777" w:rsidR="00F624DD" w:rsidRPr="0057193B" w:rsidRDefault="00F624DD" w:rsidP="00F624DD">
      <w:pPr>
        <w:spacing w:after="0" w:line="276" w:lineRule="auto"/>
        <w:jc w:val="both"/>
        <w:rPr>
          <w:rFonts w:ascii="Verdana" w:eastAsia="Times New Roman" w:hAnsi="Verdana" w:cs="Arial"/>
          <w:bCs/>
          <w:lang w:val="es-MX" w:eastAsia="x-none"/>
        </w:rPr>
      </w:pPr>
    </w:p>
    <w:p w14:paraId="25E2E36F" w14:textId="77777777" w:rsidR="00F624DD" w:rsidRPr="0057193B" w:rsidRDefault="00F624DD" w:rsidP="00F624DD">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2"/>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0C3BE6E1" w14:textId="77777777" w:rsidR="00F624DD" w:rsidRPr="0057193B" w:rsidRDefault="00F624DD" w:rsidP="00F624DD">
      <w:pPr>
        <w:spacing w:after="0" w:line="276" w:lineRule="auto"/>
        <w:ind w:firstLine="708"/>
        <w:jc w:val="both"/>
        <w:rPr>
          <w:rFonts w:ascii="Verdana" w:eastAsia="Times New Roman" w:hAnsi="Verdana" w:cs="Arial"/>
          <w:bCs/>
          <w:lang w:val="es-MX" w:eastAsia="es-CO"/>
        </w:rPr>
      </w:pPr>
    </w:p>
    <w:p w14:paraId="7114F923" w14:textId="77777777" w:rsidR="00F624DD" w:rsidRPr="0057193B" w:rsidRDefault="00F624DD" w:rsidP="00F624DD">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4CA6A4C8" w14:textId="77777777" w:rsidR="00F624DD" w:rsidRPr="0057193B" w:rsidRDefault="00F624DD" w:rsidP="00F624DD">
      <w:pPr>
        <w:spacing w:after="0" w:line="276" w:lineRule="auto"/>
        <w:jc w:val="both"/>
        <w:rPr>
          <w:rFonts w:ascii="Verdana" w:eastAsia="Calibri" w:hAnsi="Verdana" w:cs="Arial"/>
          <w:lang w:val="es-MX"/>
        </w:rPr>
      </w:pPr>
    </w:p>
    <w:p w14:paraId="300C6A3E" w14:textId="77777777" w:rsidR="00F624DD" w:rsidRPr="001924B7" w:rsidRDefault="00F624DD" w:rsidP="00F624DD">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lastRenderedPageBreak/>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6754A157" w14:textId="77777777" w:rsidR="00F624DD" w:rsidRPr="001924B7" w:rsidRDefault="00F624DD" w:rsidP="00F624DD">
      <w:pPr>
        <w:spacing w:after="0" w:line="240" w:lineRule="auto"/>
        <w:ind w:left="708" w:right="709"/>
        <w:jc w:val="both"/>
        <w:rPr>
          <w:rFonts w:ascii="Verdana" w:eastAsia="Calibri" w:hAnsi="Verdana" w:cs="Arial"/>
          <w:sz w:val="20"/>
          <w:szCs w:val="20"/>
          <w:lang w:val="es-MX"/>
        </w:rPr>
      </w:pPr>
    </w:p>
    <w:p w14:paraId="34BE781F" w14:textId="77777777" w:rsidR="00F624DD" w:rsidRPr="001924B7" w:rsidRDefault="00F624DD" w:rsidP="00F624DD">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0A131E39" w14:textId="77777777" w:rsidR="00F624DD" w:rsidRPr="0057193B" w:rsidRDefault="00F624DD" w:rsidP="00F624DD">
      <w:pPr>
        <w:spacing w:after="0" w:line="276" w:lineRule="auto"/>
        <w:jc w:val="both"/>
        <w:rPr>
          <w:rFonts w:ascii="Verdana" w:eastAsia="Calibri" w:hAnsi="Verdana" w:cs="Arial"/>
          <w:lang w:val="es-MX"/>
        </w:rPr>
      </w:pPr>
    </w:p>
    <w:p w14:paraId="1A7B25D5" w14:textId="77777777" w:rsidR="00F624DD" w:rsidRPr="0057193B" w:rsidRDefault="00F624DD" w:rsidP="00F624DD">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 xml:space="preserve">las empresas no pueden dejar de entregar los servicios públicos a su cargo a nuevas personas, ni dejar de renovar los contratos existentes, pues </w:t>
      </w:r>
      <w:r w:rsidRPr="0057193B">
        <w:rPr>
          <w:rFonts w:ascii="Verdana" w:eastAsia="Calibri" w:hAnsi="Verdana" w:cs="Arial"/>
          <w:lang w:val="es-MX"/>
        </w:rPr>
        <w:lastRenderedPageBreak/>
        <w:t>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01672DE8" w14:textId="77777777" w:rsidR="00F624DD" w:rsidRDefault="00F624DD" w:rsidP="00F624DD">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6E58C25E" w14:textId="77777777" w:rsidR="00F624DD" w:rsidRDefault="00F624DD" w:rsidP="00F624DD">
      <w:pPr>
        <w:spacing w:after="120" w:line="276" w:lineRule="auto"/>
        <w:ind w:firstLine="709"/>
        <w:jc w:val="both"/>
        <w:rPr>
          <w:rFonts w:ascii="Verdana" w:eastAsia="Times New Roman" w:hAnsi="Verdana" w:cs="Arial"/>
          <w:bCs/>
          <w:lang w:val="es-MX" w:eastAsia="x-none" w:bidi="es-ES"/>
        </w:rPr>
      </w:pPr>
      <w:r>
        <w:rPr>
          <w:rFonts w:ascii="Verdana" w:eastAsia="Times New Roman" w:hAnsi="Verdana" w:cs="Arial"/>
          <w:bCs/>
          <w:lang w:val="es-MX" w:eastAsia="x-none"/>
        </w:rPr>
        <w:t xml:space="preserve">Teniendo en cuenta lo expuesto previamente, las empresas industriales y comerciales del Estado del orden departamental, municipal o distrital están sujetos a la restricción del artículo 33 de la Ley 996 de 2005, es decir, no podrán adelantar sistema que implique contratación directa respecto de </w:t>
      </w:r>
      <w:r w:rsidRPr="00355EA0">
        <w:rPr>
          <w:rFonts w:ascii="Verdana" w:eastAsia="Times New Roman" w:hAnsi="Verdana" w:cs="Arial"/>
          <w:bCs/>
          <w:lang w:val="es-MX" w:eastAsia="x-none" w:bidi="es-ES"/>
        </w:rPr>
        <w:t xml:space="preserve">las elecciones presidenciales, dentro de los cuatro (4) meses anteriores a la celebración de los comicios, salvo </w:t>
      </w:r>
      <w:r>
        <w:rPr>
          <w:rFonts w:ascii="Verdana" w:eastAsia="Times New Roman" w:hAnsi="Verdana" w:cs="Arial"/>
          <w:bCs/>
          <w:lang w:val="es-MX" w:eastAsia="x-none" w:bidi="es-ES"/>
        </w:rPr>
        <w:t xml:space="preserve">las </w:t>
      </w:r>
      <w:r w:rsidRPr="00355EA0">
        <w:rPr>
          <w:rFonts w:ascii="Verdana" w:eastAsia="Times New Roman" w:hAnsi="Verdana" w:cs="Arial"/>
          <w:bCs/>
          <w:lang w:val="es-MX" w:eastAsia="x-none" w:bidi="es-ES"/>
        </w:rPr>
        <w:t>excepciones</w:t>
      </w:r>
      <w:r>
        <w:rPr>
          <w:rFonts w:ascii="Verdana" w:eastAsia="Times New Roman" w:hAnsi="Verdana" w:cs="Arial"/>
          <w:bCs/>
          <w:lang w:val="es-MX" w:eastAsia="x-none" w:bidi="es-ES"/>
        </w:rPr>
        <w:t xml:space="preserve"> dispuestas en esta</w:t>
      </w:r>
      <w:r w:rsidRPr="00355EA0">
        <w:rPr>
          <w:rFonts w:ascii="Verdana" w:eastAsia="Times New Roman" w:hAnsi="Verdana" w:cs="Arial"/>
          <w:bCs/>
          <w:lang w:val="es-MX" w:eastAsia="x-none" w:bidi="es-ES"/>
        </w:rPr>
        <w:t xml:space="preserve">. </w:t>
      </w:r>
      <w:r>
        <w:rPr>
          <w:rFonts w:ascii="Verdana" w:eastAsia="Times New Roman" w:hAnsi="Verdana" w:cs="Arial"/>
          <w:bCs/>
          <w:lang w:val="es-MX" w:eastAsia="x-none"/>
        </w:rPr>
        <w:t>En este sentido, los entes del Estado independiente de su naturaleza jurídica y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5E258CFB" w14:textId="77777777" w:rsidR="00F624DD" w:rsidRPr="00A63F17" w:rsidRDefault="00F624DD" w:rsidP="00F624DD">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Times New Roman" w:hAnsi="Verdana" w:cs="Arial"/>
          <w:bCs/>
          <w:lang w:val="es-MX" w:eastAsia="x-none" w:bidi="es-ES"/>
        </w:rPr>
        <w:t>, que, de acuerdo a lo expuesto, se celebraría el 21 de junio de 2026.</w:t>
      </w:r>
    </w:p>
    <w:p w14:paraId="619E4FB9" w14:textId="77777777" w:rsidR="00F624DD" w:rsidRPr="003B7D6C" w:rsidRDefault="00F624DD" w:rsidP="00F624DD">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lastRenderedPageBreak/>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1165648C" w14:textId="77777777" w:rsidR="00F624DD" w:rsidRPr="00351223" w:rsidRDefault="00F624DD" w:rsidP="00F624DD">
      <w:pPr>
        <w:spacing w:after="120" w:line="276" w:lineRule="auto"/>
        <w:ind w:firstLine="709"/>
        <w:jc w:val="both"/>
        <w:rPr>
          <w:rFonts w:ascii="Verdana" w:eastAsia="Times New Roman" w:hAnsi="Verdana" w:cs="Arial"/>
          <w:bCs/>
          <w:lang w:eastAsia="x-none"/>
        </w:rPr>
      </w:pPr>
      <w:r w:rsidRPr="0057193B">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 Por tanto,</w:t>
      </w:r>
      <w:r w:rsidRPr="0057193B">
        <w:rPr>
          <w:rFonts w:ascii="Verdana" w:eastAsia="Times New Roman" w:hAnsi="Verdana" w:cs="Arial"/>
          <w:bCs/>
          <w:lang w:val="es-MX" w:eastAsia="x-none"/>
        </w:rPr>
        <w:t xml:space="preserv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79CEF764" w14:textId="77777777" w:rsidR="00F624DD" w:rsidRPr="004C2E9A" w:rsidRDefault="00F624DD" w:rsidP="00F624DD">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6"/>
      </w:r>
      <w:r w:rsidRPr="0057193B">
        <w:rPr>
          <w:rFonts w:ascii="Verdana" w:eastAsia="Times New Roman" w:hAnsi="Verdana" w:cs="Arial"/>
          <w:bCs/>
          <w:lang w:val="es-MX" w:eastAsia="es-CO"/>
        </w:rPr>
        <w:t>. Además, también es posible que contratos celebrados previamente se continúen ejecutando con normalidad.</w:t>
      </w:r>
    </w:p>
    <w:p w14:paraId="13F5C1CC" w14:textId="77777777" w:rsidR="00F624DD" w:rsidRDefault="00F624DD" w:rsidP="00F624DD">
      <w:pPr>
        <w:spacing w:after="120" w:line="276" w:lineRule="auto"/>
        <w:jc w:val="both"/>
        <w:rPr>
          <w:rFonts w:ascii="Verdana" w:eastAsia="Arial" w:hAnsi="Verdana" w:cs="Arial"/>
          <w:lang w:val="es-ES" w:eastAsia="es-ES" w:bidi="es-ES"/>
        </w:rPr>
      </w:pPr>
    </w:p>
    <w:p w14:paraId="56187C5C" w14:textId="77777777" w:rsidR="00F624DD" w:rsidRPr="00667CD6" w:rsidRDefault="00F624DD" w:rsidP="00F624DD">
      <w:pPr>
        <w:spacing w:after="120" w:line="276" w:lineRule="auto"/>
        <w:jc w:val="both"/>
        <w:rPr>
          <w:rFonts w:ascii="Verdana" w:hAnsi="Verdana" w:cs="Arial"/>
          <w:lang w:val="es-ES"/>
        </w:rPr>
      </w:pPr>
      <w:r>
        <w:rPr>
          <w:rFonts w:ascii="Verdana" w:eastAsia="Arial" w:hAnsi="Verdana" w:cs="Arial"/>
          <w:lang w:val="es-ES" w:eastAsia="es-ES" w:bidi="es-ES"/>
        </w:rPr>
        <w:t xml:space="preserve">iv. </w:t>
      </w:r>
      <w:r w:rsidRPr="00667CD6">
        <w:rPr>
          <w:rFonts w:ascii="Verdana" w:hAnsi="Verdana" w:cs="Arial"/>
          <w:lang w:val="es-ES"/>
        </w:rPr>
        <w:t xml:space="preserve">Ahora bien, respecto del alcance del parágrafo </w:t>
      </w:r>
      <w:r w:rsidRPr="00667CD6">
        <w:rPr>
          <w:rFonts w:ascii="Verdana" w:hAnsi="Verdana" w:cs="Arial"/>
        </w:rPr>
        <w:t xml:space="preserve">del artículo 38 de la Ley 996 de 2005, esta prohibición dispone </w:t>
      </w:r>
      <w:r>
        <w:rPr>
          <w:rFonts w:ascii="Verdana" w:hAnsi="Verdana" w:cs="Arial"/>
        </w:rPr>
        <w:t xml:space="preserve">en primera medida </w:t>
      </w:r>
      <w:r w:rsidRPr="00667CD6">
        <w:rPr>
          <w:rFonts w:ascii="Verdana" w:hAnsi="Verdana" w:cs="Arial"/>
        </w:rPr>
        <w:t xml:space="preserve">que: “[l]os Gobernadores, </w:t>
      </w:r>
      <w:r w:rsidRPr="00667CD6">
        <w:rPr>
          <w:rFonts w:ascii="Verdana" w:hAnsi="Verdana" w:cs="Arial"/>
        </w:rPr>
        <w:lastRenderedPageBreak/>
        <w:t xml:space="preserve">Alcaldes Municipales y/o Distritales, Secretarios, Gerentes y directores de Entidades Descentralizadas del orden Municipal, Departamental o Distrital, dentro de los cuatro (4) meses anteriores a las elecciones, no podrán celebrar </w:t>
      </w:r>
      <w:r w:rsidRPr="00667CD6">
        <w:rPr>
          <w:rFonts w:ascii="Verdana" w:hAnsi="Verdana" w:cs="Arial"/>
          <w:i/>
          <w:iCs/>
        </w:rPr>
        <w:t>convenios interadministrativos</w:t>
      </w:r>
      <w:r w:rsidRPr="00667CD6">
        <w:rPr>
          <w:rFonts w:ascii="Verdana" w:hAnsi="Verdana" w:cs="Arial"/>
        </w:rPr>
        <w:t xml:space="preserve"> </w:t>
      </w:r>
      <w:r w:rsidRPr="00667CD6">
        <w:rPr>
          <w:rFonts w:ascii="Verdana" w:hAnsi="Verdana" w:cs="Arial"/>
          <w:i/>
          <w:iCs/>
        </w:rPr>
        <w:t>para la ejecución de recursos públicos</w:t>
      </w:r>
      <w:r w:rsidRPr="00667CD6">
        <w:rPr>
          <w:rFonts w:ascii="Verdana" w:hAnsi="Verdana" w:cs="Arial"/>
        </w:rPr>
        <w:t>”.</w:t>
      </w:r>
      <w:r w:rsidRPr="00667CD6">
        <w:rPr>
          <w:rFonts w:ascii="Verdana" w:eastAsia="Times New Roman" w:hAnsi="Verdana" w:cs="Arial"/>
          <w:lang w:val="es-MX" w:eastAsia="x-none"/>
        </w:rPr>
        <w:t xml:space="preserve"> [Énfasis fuera del texto original]</w:t>
      </w:r>
    </w:p>
    <w:p w14:paraId="0467B9AE" w14:textId="77777777" w:rsidR="00F624DD" w:rsidRPr="00667CD6" w:rsidRDefault="00F624DD" w:rsidP="00F624DD">
      <w:pPr>
        <w:spacing w:after="120" w:line="276" w:lineRule="auto"/>
        <w:ind w:firstLine="709"/>
        <w:jc w:val="both"/>
        <w:rPr>
          <w:rFonts w:ascii="Verdana" w:hAnsi="Verdana" w:cs="Arial"/>
          <w:lang w:eastAsia="es-ES"/>
        </w:rPr>
      </w:pPr>
      <w:r w:rsidRPr="2035D652">
        <w:rPr>
          <w:rFonts w:ascii="Verdana" w:eastAsia="Times New Roman" w:hAnsi="Verdana" w:cs="Arial"/>
          <w:lang w:val="es-ES" w:eastAsia="es-ES"/>
        </w:rPr>
        <w:t xml:space="preserve">Para tales efectos, debe precisarse que </w:t>
      </w:r>
      <w:r w:rsidRPr="00667CD6">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667CD6">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667CD6">
        <w:rPr>
          <w:rFonts w:ascii="Verdana" w:hAnsi="Verdana" w:cs="Arial"/>
          <w:vertAlign w:val="superscript"/>
          <w:lang w:eastAsia="es-ES"/>
        </w:rPr>
        <w:footnoteReference w:id="27"/>
      </w:r>
      <w:r w:rsidRPr="00667CD6">
        <w:rPr>
          <w:rFonts w:ascii="Verdana" w:hAnsi="Verdana" w:cs="Arial"/>
          <w:lang w:eastAsia="es-ES"/>
        </w:rPr>
        <w:t>.</w:t>
      </w:r>
    </w:p>
    <w:p w14:paraId="1A4AFD0A" w14:textId="77777777" w:rsidR="00F624DD" w:rsidRPr="00667CD6" w:rsidRDefault="00F624DD" w:rsidP="00F624DD">
      <w:pPr>
        <w:spacing w:after="120" w:line="276" w:lineRule="auto"/>
        <w:ind w:firstLine="709"/>
        <w:jc w:val="both"/>
        <w:rPr>
          <w:rFonts w:ascii="Verdana" w:hAnsi="Verdana" w:cs="Arial"/>
          <w:color w:val="000000" w:themeColor="text1"/>
          <w:lang w:val="es-ES_tradnl"/>
        </w:rPr>
      </w:pPr>
      <w:r w:rsidRPr="00667CD6">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49DA1E48" w14:textId="77777777" w:rsidR="00F624DD" w:rsidRPr="00667CD6" w:rsidRDefault="00F624DD" w:rsidP="00F624DD">
      <w:pPr>
        <w:spacing w:before="120" w:after="0" w:line="276" w:lineRule="auto"/>
        <w:ind w:firstLine="708"/>
        <w:jc w:val="both"/>
        <w:rPr>
          <w:rFonts w:ascii="Verdana" w:hAnsi="Verdana" w:cs="Arial"/>
          <w:lang w:val="es-ES_tradnl"/>
        </w:rPr>
      </w:pPr>
      <w:r w:rsidRPr="2035D652">
        <w:rPr>
          <w:rFonts w:ascii="Verdana" w:hAnsi="Verdana" w:cs="Arial"/>
          <w:lang w:val="es-ES"/>
        </w:rPr>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2035D652">
        <w:rPr>
          <w:rFonts w:ascii="Verdana" w:hAnsi="Verdana" w:cs="Arial"/>
          <w:vertAlign w:val="superscript"/>
          <w:lang w:val="es-ES"/>
        </w:rPr>
        <w:footnoteReference w:id="28"/>
      </w:r>
      <w:r w:rsidRPr="2035D652">
        <w:rPr>
          <w:rFonts w:ascii="Verdana" w:hAnsi="Verdana" w:cs="Arial"/>
          <w:lang w:val="es-ES"/>
        </w:rPr>
        <w:t>. Nótese que, en este caso, lo que cambia es la modalidad de selección y no la naturaleza de contrato interadministrativo.</w:t>
      </w:r>
    </w:p>
    <w:p w14:paraId="4FC88C18" w14:textId="77777777" w:rsidR="00F624DD" w:rsidRPr="00667CD6" w:rsidRDefault="00F624DD" w:rsidP="00F624DD">
      <w:pPr>
        <w:spacing w:before="120" w:after="0" w:line="276" w:lineRule="auto"/>
        <w:ind w:firstLine="708"/>
        <w:jc w:val="both"/>
        <w:rPr>
          <w:rFonts w:ascii="Verdana" w:hAnsi="Verdana" w:cs="Arial"/>
          <w:lang w:val="es-ES_tradnl"/>
        </w:rPr>
      </w:pPr>
      <w:r w:rsidRPr="2035D652">
        <w:rPr>
          <w:rFonts w:ascii="Verdana" w:hAnsi="Verdana" w:cs="Arial"/>
          <w:lang w:val="es-ES"/>
        </w:rPr>
        <w:lastRenderedPageBreak/>
        <w:t>Además, es necesario tener en cuenta que para que un contrato o convenio interadministrativo exista debe cumplir con los siguientes elementos: acuerdo sobre el objeto y la contraprestación y que conste por escrito</w:t>
      </w:r>
      <w:r w:rsidRPr="2035D652">
        <w:rPr>
          <w:rFonts w:ascii="Verdana" w:hAnsi="Verdana" w:cs="Arial"/>
          <w:vertAlign w:val="superscript"/>
          <w:lang w:val="es-ES"/>
        </w:rPr>
        <w:footnoteReference w:id="29"/>
      </w:r>
      <w:r w:rsidRPr="2035D652">
        <w:rPr>
          <w:rFonts w:ascii="Verdana" w:hAnsi="Verdana" w:cs="Arial"/>
          <w:lang w:val="es-ES"/>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5BB349B0" w14:textId="77777777" w:rsidR="00F624DD" w:rsidRPr="00667CD6" w:rsidRDefault="00F624DD" w:rsidP="00F624DD">
      <w:pPr>
        <w:spacing w:before="120" w:after="0" w:line="276" w:lineRule="auto"/>
        <w:ind w:firstLine="708"/>
        <w:jc w:val="both"/>
        <w:rPr>
          <w:rFonts w:ascii="Verdana" w:hAnsi="Verdana"/>
          <w:sz w:val="24"/>
          <w:szCs w:val="24"/>
          <w:lang w:eastAsia="es-CO"/>
        </w:rPr>
      </w:pPr>
      <w:r w:rsidRPr="2035D652">
        <w:rPr>
          <w:rFonts w:ascii="Verdana" w:hAnsi="Verdana" w:cs="Arial"/>
          <w:lang w:val="es-ES"/>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2035D652">
        <w:rPr>
          <w:rFonts w:ascii="Verdana" w:hAnsi="Verdana" w:cs="Arial"/>
          <w:vertAlign w:val="superscript"/>
          <w:lang w:val="es-ES"/>
        </w:rPr>
        <w:footnoteReference w:id="30"/>
      </w:r>
      <w:r w:rsidRPr="2035D652">
        <w:rPr>
          <w:rFonts w:ascii="Verdana" w:hAnsi="Verdana" w:cs="Arial"/>
          <w:lang w:val="es-ES"/>
        </w:rPr>
        <w:t>, pues, de acuerdo con lo anotado, esta clase de acuerdos de voluntades se definen por un criterio orgánico, por lo que uno de sus elementos esenciales es que en los extremos de la relación jurídico negocial concurran personas de derecho público</w:t>
      </w:r>
      <w:r w:rsidRPr="00667CD6">
        <w:rPr>
          <w:rFonts w:ascii="Verdana" w:hAnsi="Verdana"/>
          <w:sz w:val="24"/>
          <w:szCs w:val="24"/>
          <w:lang w:eastAsia="es-CO"/>
        </w:rPr>
        <w:t>.</w:t>
      </w:r>
    </w:p>
    <w:p w14:paraId="081EBE08" w14:textId="77777777" w:rsidR="00F624DD" w:rsidRDefault="00F624DD" w:rsidP="00F624DD">
      <w:pPr>
        <w:spacing w:before="120" w:after="0" w:line="276" w:lineRule="auto"/>
        <w:ind w:firstLine="708"/>
        <w:jc w:val="both"/>
        <w:rPr>
          <w:rFonts w:ascii="Verdana" w:eastAsia="Times New Roman" w:hAnsi="Verdana" w:cs="Arial"/>
          <w:lang w:val="es-MX" w:eastAsia="es-CO"/>
        </w:rPr>
      </w:pPr>
      <w:r w:rsidRPr="00667CD6">
        <w:rPr>
          <w:rFonts w:ascii="Verdana" w:eastAsia="Arial" w:hAnsi="Verdana" w:cs="Arial"/>
          <w:lang w:val="es-MX" w:eastAsia="es-ES" w:bidi="es-ES"/>
        </w:rPr>
        <w:t>De esta manera, se</w:t>
      </w:r>
      <w:r w:rsidRPr="00667CD6">
        <w:rPr>
          <w:rFonts w:ascii="Verdana" w:eastAsia="Times New Roman" w:hAnsi="Verdana" w:cs="Arial"/>
          <w:lang w:eastAsia="es-CO"/>
        </w:rPr>
        <w:t xml:space="preserve"> observa entonces que </w:t>
      </w:r>
      <w:r w:rsidRPr="00667CD6">
        <w:rPr>
          <w:rFonts w:ascii="Verdana" w:eastAsia="Times New Roman" w:hAnsi="Verdana" w:cs="Arial"/>
          <w:lang w:val="es-MX" w:eastAsia="es-CO"/>
        </w:rPr>
        <w:t xml:space="preserve">el parágrafo del artículo 38 de la Ley 996 de 2005 prohíbe a los Alcaldes, Gobernadores, Secretarios, Gerentes y Directores de las entidades del orden municipal, departamental o distrital celebrar </w:t>
      </w:r>
      <w:r w:rsidRPr="00667CD6">
        <w:rPr>
          <w:rFonts w:ascii="Verdana" w:eastAsia="Times New Roman" w:hAnsi="Verdana" w:cs="Arial"/>
          <w:i/>
          <w:iCs/>
          <w:lang w:val="es-MX" w:eastAsia="es-CO"/>
        </w:rPr>
        <w:t>convenios interadministrativos</w:t>
      </w:r>
      <w:r w:rsidRPr="00667CD6">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667CD6">
        <w:rPr>
          <w:rFonts w:ascii="Verdana" w:eastAsia="Times New Roman" w:hAnsi="Verdana" w:cs="Arial"/>
          <w:i/>
          <w:lang w:val="es-MX" w:eastAsia="es-CO"/>
        </w:rPr>
        <w:t>ibidem</w:t>
      </w:r>
      <w:r w:rsidRPr="00667CD6">
        <w:rPr>
          <w:rFonts w:ascii="Verdana" w:eastAsia="Times New Roman" w:hAnsi="Verdana" w:cs="Arial"/>
          <w:lang w:val="es-MX" w:eastAsia="es-CO"/>
        </w:rPr>
        <w:t xml:space="preserve">, </w:t>
      </w:r>
      <w:r>
        <w:rPr>
          <w:rFonts w:ascii="Verdana" w:eastAsia="Times New Roman" w:hAnsi="Verdana" w:cs="Arial"/>
          <w:lang w:val="es-MX" w:eastAsia="es-CO"/>
        </w:rPr>
        <w:t xml:space="preserve">es decir, </w:t>
      </w:r>
      <w:r w:rsidRPr="00E60AD8">
        <w:rPr>
          <w:rFonts w:ascii="Verdana" w:eastAsia="Times New Roman" w:hAnsi="Verdana" w:cs="Arial"/>
          <w:lang w:eastAsia="es-CO"/>
        </w:rPr>
        <w:t>alcaldías, gobernaciones, secretarías de despacho, así como entidades</w:t>
      </w:r>
      <w:r>
        <w:rPr>
          <w:rFonts w:ascii="Verdana" w:eastAsia="Times New Roman" w:hAnsi="Verdana" w:cs="Arial"/>
          <w:lang w:eastAsia="es-CO"/>
        </w:rPr>
        <w:t xml:space="preserve"> descentralizadas por servicios del orden municipal, departamental o distrital</w:t>
      </w:r>
      <w:r w:rsidRPr="00E60AD8">
        <w:rPr>
          <w:rFonts w:ascii="Verdana" w:eastAsia="Times New Roman" w:hAnsi="Verdana" w:cs="Arial"/>
          <w:lang w:eastAsia="es-CO"/>
        </w:rPr>
        <w:t xml:space="preserve"> </w:t>
      </w:r>
      <w:r w:rsidRPr="00667CD6">
        <w:rPr>
          <w:rFonts w:ascii="Verdana" w:eastAsia="Times New Roman" w:hAnsi="Verdana" w:cs="Arial"/>
          <w:lang w:val="es-MX" w:eastAsia="es-CO"/>
        </w:rPr>
        <w:t xml:space="preserve">no podrá celebrar tales </w:t>
      </w:r>
      <w:r w:rsidRPr="00667CD6">
        <w:rPr>
          <w:rFonts w:ascii="Verdana" w:eastAsia="Times New Roman" w:hAnsi="Verdana" w:cs="Arial"/>
          <w:i/>
          <w:iCs/>
          <w:lang w:val="es-MX" w:eastAsia="es-CO"/>
        </w:rPr>
        <w:t>convenios</w:t>
      </w:r>
      <w:r w:rsidRPr="00667CD6">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1E6CEB43" w14:textId="77777777" w:rsidR="00F624DD" w:rsidRPr="00E60AD8" w:rsidRDefault="00F624DD" w:rsidP="00F624DD">
      <w:pPr>
        <w:spacing w:before="120" w:after="0" w:line="276" w:lineRule="auto"/>
        <w:ind w:firstLine="708"/>
        <w:jc w:val="both"/>
        <w:rPr>
          <w:rFonts w:ascii="Verdana" w:eastAsia="Calibri" w:hAnsi="Verdana" w:cs="Arial"/>
          <w:color w:val="000000"/>
        </w:rPr>
      </w:pPr>
      <w:r>
        <w:rPr>
          <w:rFonts w:ascii="Verdana" w:eastAsia="Times New Roman" w:hAnsi="Verdana" w:cs="Arial"/>
          <w:lang w:val="es-MX" w:eastAsia="es-CO"/>
        </w:rPr>
        <w:t xml:space="preserve">En este aspecto, se destaca que uno de los sujetos de aplicación de dicha restricción son las entidades descentralizadas por servicios, </w:t>
      </w:r>
      <w:r>
        <w:rPr>
          <w:rFonts w:ascii="Verdana" w:eastAsia="Times New Roman" w:hAnsi="Verdana" w:cs="Arial"/>
          <w:lang w:eastAsia="es-CO"/>
        </w:rPr>
        <w:t xml:space="preserve">las cuales </w:t>
      </w:r>
      <w:r w:rsidRPr="004A1A19">
        <w:rPr>
          <w:rFonts w:ascii="Verdana" w:eastAsia="Calibri" w:hAnsi="Verdana" w:cs="Arial"/>
          <w:color w:val="000000"/>
        </w:rPr>
        <w:t xml:space="preserve">–sin perjuicio del control de tutela– tienen personería jurídica, autonomía </w:t>
      </w:r>
      <w:r w:rsidRPr="004A1A19">
        <w:rPr>
          <w:rFonts w:ascii="Verdana" w:eastAsia="Calibri" w:hAnsi="Verdana" w:cs="Arial"/>
          <w:color w:val="000000"/>
        </w:rPr>
        <w:lastRenderedPageBreak/>
        <w:t>administrativa y patrimonio propio.</w:t>
      </w:r>
      <w:r w:rsidRPr="004A1A19">
        <w:rPr>
          <w:rFonts w:ascii="Verdana" w:eastAsia="Calibri" w:hAnsi="Verdana" w:cs="Arial"/>
          <w:b/>
          <w:bCs/>
          <w:color w:val="000000"/>
        </w:rPr>
        <w:t xml:space="preserve"> </w:t>
      </w:r>
      <w:r w:rsidRPr="004A1A19">
        <w:rPr>
          <w:rFonts w:ascii="Verdana" w:eastAsia="Calibri" w:hAnsi="Verdana" w:cs="Arial"/>
          <w:color w:val="000000"/>
        </w:rPr>
        <w:t xml:space="preserve">Estas entidades, como su nombre lo indica, se caracterizan por desarrollar actividades de </w:t>
      </w:r>
      <w:r>
        <w:rPr>
          <w:rFonts w:ascii="Verdana" w:eastAsia="Calibri" w:hAnsi="Verdana" w:cs="Arial"/>
          <w:color w:val="000000"/>
        </w:rPr>
        <w:t>carácter industrial o comercial</w:t>
      </w:r>
      <w:r w:rsidRPr="004A1A19">
        <w:rPr>
          <w:rFonts w:ascii="Verdana" w:eastAsia="Calibri" w:hAnsi="Verdana" w:cs="Arial"/>
          <w:color w:val="000000"/>
          <w:vertAlign w:val="superscript"/>
        </w:rPr>
        <w:footnoteReference w:id="31"/>
      </w:r>
      <w:r w:rsidRPr="004A1A19">
        <w:rPr>
          <w:rFonts w:ascii="Verdana" w:eastAsia="Calibri" w:hAnsi="Verdana" w:cs="Arial"/>
          <w:color w:val="000000"/>
        </w:rPr>
        <w:t>.</w:t>
      </w:r>
      <w:r>
        <w:rPr>
          <w:rFonts w:ascii="Verdana" w:eastAsia="Calibri" w:hAnsi="Verdana" w:cs="Arial"/>
          <w:color w:val="000000"/>
        </w:rPr>
        <w:t xml:space="preserve"> Dentro de la categoría amplia de entidades descentralizadas por servicios se encuentran las Empresas Industriales y Comerciales del Estado, los establecimientos públicos, las sociedades públicas, las sociedades de economía mixta. A partir de estas precisiones, se encuentran que las empresas industriales y comerciales del Estado del orden departamental, distrital o municipal están sujetas a la restricción del parágrafo del artículo 38 de la Ley 996 de 2005. </w:t>
      </w:r>
    </w:p>
    <w:p w14:paraId="538A1F36" w14:textId="77777777" w:rsidR="00F624DD" w:rsidRDefault="00F624DD" w:rsidP="00F624D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val="es-MX" w:eastAsia="es-CO"/>
        </w:rPr>
        <w:t>Respecto del alcance de esta prohibición la Circular Externa No. 006 de 2025 expedida por la ANCP -CCE, en los literales ii) y iv) del numeral 2</w:t>
      </w:r>
      <w:r w:rsidRPr="00667CD6">
        <w:rPr>
          <w:rFonts w:ascii="Verdana" w:eastAsia="Times New Roman" w:hAnsi="Verdana" w:cs="Arial"/>
          <w:lang w:eastAsia="es-CO"/>
        </w:rPr>
        <w:t>,</w:t>
      </w:r>
      <w:r w:rsidRPr="00667CD6">
        <w:rPr>
          <w:rFonts w:ascii="Verdana" w:eastAsia="Times New Roman" w:hAnsi="Verdana" w:cs="Arial"/>
          <w:lang w:val="es-MX" w:eastAsia="es-CO"/>
        </w:rPr>
        <w:t xml:space="preserve"> indica que el </w:t>
      </w:r>
      <w:r w:rsidRPr="00667CD6">
        <w:rPr>
          <w:rFonts w:ascii="Verdana" w:eastAsia="Times New Roman" w:hAnsi="Verdana" w:cs="Arial"/>
          <w:lang w:eastAsia="es-CO"/>
        </w:rPr>
        <w:t xml:space="preserve">parágrafo del artículo 38 de la Ley 996 de 2005 cobija expresamente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667CD6">
        <w:rPr>
          <w:rFonts w:ascii="Verdana" w:eastAsia="Times New Roman" w:hAnsi="Verdana" w:cs="Arial"/>
          <w:i/>
          <w:iCs/>
          <w:lang w:eastAsia="es-CO"/>
        </w:rPr>
        <w:t>“aunque se configure alguno de los supuestos de excepción que señaló el inciso final del artículo 33”.</w:t>
      </w:r>
      <w:r w:rsidRPr="00667CD6">
        <w:rPr>
          <w:rFonts w:ascii="Verdana" w:eastAsia="Times New Roman" w:hAnsi="Verdana" w:cs="Arial"/>
          <w:lang w:eastAsia="es-CO"/>
        </w:rPr>
        <w:t xml:space="preserve"> </w:t>
      </w:r>
    </w:p>
    <w:p w14:paraId="74DC4B75" w14:textId="77777777" w:rsidR="00F624DD" w:rsidRPr="00667CD6" w:rsidRDefault="00F624DD" w:rsidP="00F624D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Sin embargo, el ámbito de aplicación de la restricción prevista en el parágrafo del artículo 38 de la Ley 996 de 2005 </w:t>
      </w:r>
      <w:r>
        <w:rPr>
          <w:rFonts w:ascii="Verdana" w:eastAsia="Times New Roman" w:hAnsi="Verdana" w:cs="Arial"/>
          <w:lang w:eastAsia="es-CO"/>
        </w:rPr>
        <w:t>comprende</w:t>
      </w:r>
      <w:r w:rsidRPr="00667CD6">
        <w:rPr>
          <w:rFonts w:ascii="Verdana" w:eastAsia="Times New Roman" w:hAnsi="Verdana" w:cs="Arial"/>
          <w:lang w:eastAsia="es-CO"/>
        </w:rPr>
        <w:t xml:space="preserve"> a los </w:t>
      </w:r>
      <w:r w:rsidRPr="00667CD6">
        <w:rPr>
          <w:rFonts w:ascii="Verdana" w:eastAsia="Times New Roman" w:hAnsi="Verdana" w:cs="Arial"/>
          <w:i/>
          <w:iCs/>
          <w:lang w:eastAsia="es-CO"/>
        </w:rPr>
        <w:t>convenios interadministrativos</w:t>
      </w:r>
      <w:r w:rsidRPr="00667CD6">
        <w:rPr>
          <w:rFonts w:ascii="Verdana" w:eastAsia="Times New Roman" w:hAnsi="Verdana" w:cs="Arial"/>
          <w:lang w:eastAsia="es-CO"/>
        </w:rPr>
        <w:t xml:space="preserve"> en los que </w:t>
      </w:r>
      <w:r>
        <w:rPr>
          <w:rFonts w:ascii="Verdana" w:eastAsia="Times New Roman" w:hAnsi="Verdana" w:cs="Arial"/>
          <w:lang w:eastAsia="es-CO"/>
        </w:rPr>
        <w:t>exista</w:t>
      </w:r>
      <w:r w:rsidRPr="00667CD6">
        <w:rPr>
          <w:rFonts w:ascii="Verdana" w:eastAsia="Times New Roman" w:hAnsi="Verdana" w:cs="Arial"/>
          <w:lang w:eastAsia="es-CO"/>
        </w:rPr>
        <w:t xml:space="preserve"> </w:t>
      </w:r>
      <w:r w:rsidRPr="00667CD6">
        <w:rPr>
          <w:rFonts w:ascii="Verdana" w:eastAsia="Times New Roman" w:hAnsi="Verdana" w:cs="Arial"/>
          <w:i/>
          <w:iCs/>
          <w:lang w:eastAsia="es-CO"/>
        </w:rPr>
        <w:t>ejecución de recursos públicos</w:t>
      </w:r>
      <w:r>
        <w:rPr>
          <w:rFonts w:ascii="Verdana" w:eastAsia="Times New Roman" w:hAnsi="Verdana" w:cs="Arial"/>
          <w:lang w:eastAsia="es-CO"/>
        </w:rPr>
        <w:t>, sin importar de que estos sean en dinero o en especie, ya que la norma no distingue</w:t>
      </w:r>
      <w:r w:rsidRPr="00667CD6">
        <w:rPr>
          <w:rFonts w:ascii="Verdana" w:eastAsia="Times New Roman" w:hAnsi="Verdana" w:cs="Arial"/>
          <w:lang w:eastAsia="es-CO"/>
        </w:rPr>
        <w:t xml:space="preserve">. </w:t>
      </w:r>
      <w:r w:rsidRPr="00C016C8">
        <w:rPr>
          <w:rFonts w:ascii="Verdana" w:eastAsia="Times New Roman" w:hAnsi="Verdana" w:cs="Arial"/>
          <w:lang w:val="es-ES" w:eastAsia="es-CO"/>
        </w:rPr>
        <w:t xml:space="preserve">Lo anterior conforme a la directriz interpretativa del artículo 31 del Código Civil, según la cual “Lo favorable u odioso de una disposición no se tomará en cuenta para ampliar o restringir su interpretación. La extensión que deba darse a toda </w:t>
      </w:r>
      <w:r w:rsidRPr="00C016C8">
        <w:rPr>
          <w:rFonts w:ascii="Verdana" w:eastAsia="Times New Roman" w:hAnsi="Verdana" w:cs="Arial"/>
          <w:lang w:val="es-ES" w:eastAsia="es-CO"/>
        </w:rPr>
        <w:lastRenderedPageBreak/>
        <w:t>ley se determinará por su genuino sentido, y según las reglas de interpretación precedentes”</w:t>
      </w:r>
      <w:r>
        <w:rPr>
          <w:rStyle w:val="Refdenotaalpie"/>
          <w:rFonts w:ascii="Verdana" w:hAnsi="Verdana" w:cs="Arial"/>
          <w:lang w:val="es-ES"/>
        </w:rPr>
        <w:footnoteReference w:id="32"/>
      </w:r>
      <w:r>
        <w:rPr>
          <w:rFonts w:ascii="Verdana" w:eastAsia="Times New Roman" w:hAnsi="Verdana" w:cs="Arial"/>
          <w:lang w:val="es-ES" w:eastAsia="es-CO"/>
        </w:rPr>
        <w:t>.</w:t>
      </w:r>
      <w:r w:rsidRPr="00667CD6">
        <w:rPr>
          <w:rFonts w:ascii="Verdana" w:eastAsia="Times New Roman" w:hAnsi="Verdana" w:cs="Arial"/>
          <w:lang w:eastAsia="es-CO"/>
        </w:rPr>
        <w:t xml:space="preserve"> </w:t>
      </w:r>
      <w:r>
        <w:rPr>
          <w:rFonts w:ascii="Verdana" w:eastAsia="Times New Roman" w:hAnsi="Verdana" w:cs="Arial"/>
          <w:lang w:eastAsia="es-CO"/>
        </w:rPr>
        <w:t xml:space="preserve">Por ello, en el Concepto </w:t>
      </w:r>
      <w:r w:rsidRPr="00C016C8">
        <w:rPr>
          <w:rFonts w:ascii="Verdana" w:eastAsia="Times New Roman" w:hAnsi="Verdana" w:cs="Arial"/>
          <w:lang w:eastAsia="es-CO"/>
        </w:rPr>
        <w:t>2201913000006634</w:t>
      </w:r>
      <w:r>
        <w:rPr>
          <w:rFonts w:ascii="Verdana" w:eastAsia="Times New Roman" w:hAnsi="Verdana" w:cs="Arial"/>
          <w:lang w:eastAsia="es-CO"/>
        </w:rPr>
        <w:t xml:space="preserve"> del 6 de septiembre de 2019, la Agencia sostuvo que la ejecución de recursos no se agota en el “[…] </w:t>
      </w:r>
      <w:r w:rsidRPr="00C016C8">
        <w:rPr>
          <w:rFonts w:ascii="Verdana" w:eastAsia="Times New Roman" w:hAnsi="Verdana" w:cs="Arial"/>
          <w:lang w:eastAsia="es-CO"/>
        </w:rPr>
        <w:t>el dinero que integra el ciclo presupuestal de la entidad</w:t>
      </w:r>
      <w:r>
        <w:rPr>
          <w:rFonts w:ascii="Verdana" w:eastAsia="Times New Roman" w:hAnsi="Verdana" w:cs="Arial"/>
          <w:lang w:eastAsia="es-CO"/>
        </w:rPr>
        <w:t xml:space="preserve"> […]”, pues “[…] </w:t>
      </w:r>
      <w:r w:rsidRPr="00C016C8">
        <w:rPr>
          <w:rFonts w:ascii="Verdana" w:eastAsia="Times New Roman" w:hAnsi="Verdana" w:cs="Arial"/>
          <w:lang w:eastAsia="es-CO"/>
        </w:rPr>
        <w:t xml:space="preserve">también los bienes muebles, inmuebles y personal hacen parte del concepto de </w:t>
      </w:r>
      <w:r>
        <w:rPr>
          <w:rFonts w:ascii="Verdana" w:eastAsia="Times New Roman" w:hAnsi="Verdana" w:cs="Arial"/>
          <w:lang w:eastAsia="es-CO"/>
        </w:rPr>
        <w:t>‘</w:t>
      </w:r>
      <w:r w:rsidRPr="00C016C8">
        <w:rPr>
          <w:rFonts w:ascii="Verdana" w:eastAsia="Times New Roman" w:hAnsi="Verdana" w:cs="Arial"/>
          <w:lang w:eastAsia="es-CO"/>
        </w:rPr>
        <w:t>recursos públicos</w:t>
      </w:r>
      <w:r>
        <w:rPr>
          <w:rFonts w:ascii="Verdana" w:eastAsia="Times New Roman" w:hAnsi="Verdana" w:cs="Arial"/>
          <w:lang w:eastAsia="es-CO"/>
        </w:rPr>
        <w:t>’”.</w:t>
      </w:r>
    </w:p>
    <w:p w14:paraId="4247B679" w14:textId="77777777" w:rsidR="00F624DD" w:rsidRPr="00667CD6" w:rsidRDefault="00F624DD" w:rsidP="00F624D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De esta manera, conforme a lo dispuesto en la Circular referida, si se suscriben </w:t>
      </w:r>
      <w:r w:rsidRPr="00667CD6">
        <w:rPr>
          <w:rFonts w:ascii="Verdana" w:eastAsia="Times New Roman" w:hAnsi="Verdana" w:cs="Arial"/>
          <w:i/>
          <w:iCs/>
          <w:lang w:eastAsia="es-CO"/>
        </w:rPr>
        <w:t>convenios interadministrativos para la ejecución de recursos públicos</w:t>
      </w:r>
      <w:r w:rsidRPr="00667CD6">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667CD6">
        <w:rPr>
          <w:rFonts w:ascii="Verdana" w:eastAsia="Times New Roman" w:hAnsi="Verdana" w:cs="Arial"/>
          <w:i/>
          <w:iCs/>
          <w:lang w:eastAsia="es-CO"/>
        </w:rPr>
        <w:t>ibidem</w:t>
      </w:r>
      <w:r w:rsidRPr="00667CD6">
        <w:rPr>
          <w:rFonts w:ascii="Verdana" w:eastAsia="Times New Roman" w:hAnsi="Verdana" w:cs="Arial"/>
          <w:lang w:eastAsia="es-CO"/>
        </w:rPr>
        <w:t>, independientemente de que se configure alguno de los supuestos de excepción que señaló el inciso final del artículo 33, es decir, que se trate de:</w:t>
      </w:r>
      <w:r w:rsidRPr="00667CD6">
        <w:rPr>
          <w:rFonts w:ascii="Verdana" w:hAnsi="Verdana" w:cs="Arial"/>
          <w:bCs/>
          <w:lang w:val="es-MX" w:eastAsia="x-none"/>
        </w:rPr>
        <w:t xml:space="preserve">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667CD6">
        <w:rPr>
          <w:rFonts w:ascii="Verdana" w:hAnsi="Verdana" w:cs="Arial"/>
          <w:bCs/>
          <w:lang w:val="es-MX" w:eastAsia="es-CO"/>
        </w:rPr>
        <w:t xml:space="preserve"> </w:t>
      </w:r>
      <w:r w:rsidRPr="00667CD6">
        <w:rPr>
          <w:rFonts w:ascii="Verdana" w:eastAsia="Times New Roman" w:hAnsi="Verdana" w:cs="Arial"/>
          <w:lang w:eastAsia="es-CO"/>
        </w:rPr>
        <w:t xml:space="preserve">  </w:t>
      </w:r>
    </w:p>
    <w:p w14:paraId="54301A3F" w14:textId="77777777" w:rsidR="00F624DD" w:rsidRPr="00667CD6" w:rsidRDefault="00F624DD" w:rsidP="00F624DD">
      <w:pPr>
        <w:spacing w:before="120" w:after="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En este punto, </w:t>
      </w:r>
      <w:r>
        <w:rPr>
          <w:rFonts w:ascii="Verdana" w:eastAsia="Times New Roman" w:hAnsi="Verdana" w:cs="Arial"/>
          <w:lang w:eastAsia="es-CO"/>
        </w:rPr>
        <w:t>teniendo en cuenta lo señalado en el contenido de su petición</w:t>
      </w:r>
      <w:r w:rsidRPr="00667CD6">
        <w:rPr>
          <w:rFonts w:ascii="Verdana" w:eastAsia="Times New Roman" w:hAnsi="Verdana" w:cs="Arial"/>
          <w:lang w:eastAsia="es-CO"/>
        </w:rPr>
        <w:t xml:space="preserve">, vale la pena destacar que </w:t>
      </w:r>
      <w:r w:rsidRPr="00667CD6">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667CD6">
        <w:rPr>
          <w:rFonts w:ascii="Verdana" w:hAnsi="Verdana" w:cs="Arial"/>
        </w:rPr>
        <w:t xml:space="preserve">numeral 16.2 de la Circular Externa Única de 2022 expedida por la Agencia Nacional de Contratación Pública </w:t>
      </w:r>
      <w:r>
        <w:rPr>
          <w:rFonts w:ascii="Verdana" w:hAnsi="Verdana" w:cs="Arial"/>
        </w:rPr>
        <w:t xml:space="preserve">– </w:t>
      </w:r>
      <w:r w:rsidRPr="00667CD6">
        <w:rPr>
          <w:rFonts w:ascii="Verdana" w:hAnsi="Verdana" w:cs="Arial"/>
        </w:rPr>
        <w:t>Colombia Compra Eficiente, concretamente, respecto de los siguientes apartes normativos</w:t>
      </w:r>
      <w:r w:rsidRPr="00667CD6">
        <w:rPr>
          <w:rFonts w:ascii="Verdana" w:hAnsi="Verdana" w:cs="Arial"/>
          <w:vertAlign w:val="superscript"/>
        </w:rPr>
        <w:footnoteReference w:id="33"/>
      </w:r>
      <w:r w:rsidRPr="00667CD6">
        <w:rPr>
          <w:rFonts w:ascii="Verdana" w:hAnsi="Verdana" w:cs="Arial"/>
        </w:rPr>
        <w:t xml:space="preserve">: </w:t>
      </w:r>
    </w:p>
    <w:p w14:paraId="546BB801" w14:textId="77777777" w:rsidR="00F624DD" w:rsidRPr="00667CD6" w:rsidRDefault="00F624DD" w:rsidP="00F624DD">
      <w:pPr>
        <w:spacing w:after="0" w:line="276" w:lineRule="auto"/>
        <w:ind w:firstLine="709"/>
        <w:jc w:val="both"/>
        <w:rPr>
          <w:rFonts w:ascii="Verdana" w:hAnsi="Verdana" w:cs="Arial"/>
        </w:rPr>
      </w:pPr>
    </w:p>
    <w:p w14:paraId="437EE564" w14:textId="77777777" w:rsidR="00F624DD" w:rsidRPr="00667CD6" w:rsidRDefault="00F624DD" w:rsidP="00F624DD">
      <w:pPr>
        <w:spacing w:after="120" w:line="240" w:lineRule="auto"/>
        <w:ind w:left="709" w:right="709"/>
        <w:jc w:val="both"/>
        <w:rPr>
          <w:rFonts w:ascii="Verdana" w:hAnsi="Verdana" w:cs="Arial"/>
          <w:sz w:val="20"/>
          <w:szCs w:val="20"/>
        </w:rPr>
      </w:pPr>
      <w:r>
        <w:rPr>
          <w:rFonts w:ascii="Verdana" w:hAnsi="Verdana" w:cs="Arial"/>
          <w:sz w:val="20"/>
          <w:szCs w:val="20"/>
          <w:lang w:val="es-MX"/>
        </w:rPr>
        <w:t>“</w:t>
      </w:r>
      <w:r w:rsidRPr="00667CD6">
        <w:rPr>
          <w:rFonts w:ascii="Verdana" w:hAnsi="Verdana" w:cs="Arial"/>
          <w:sz w:val="20"/>
          <w:szCs w:val="20"/>
          <w:lang w:val="es-MX"/>
        </w:rPr>
        <w:t>i)</w:t>
      </w:r>
      <w:r w:rsidRPr="00667CD6">
        <w:rPr>
          <w:rFonts w:ascii="Verdana" w:hAnsi="Verdana" w:cs="Arial"/>
          <w:sz w:val="20"/>
          <w:szCs w:val="20"/>
        </w:rPr>
        <w:t xml:space="preserve"> el inciso segundo 2 que dispone: </w:t>
      </w:r>
      <w:r>
        <w:rPr>
          <w:rFonts w:ascii="Verdana" w:hAnsi="Verdana" w:cs="Arial"/>
          <w:sz w:val="20"/>
          <w:szCs w:val="20"/>
        </w:rPr>
        <w:t>‘</w:t>
      </w:r>
      <w:r w:rsidRPr="00667CD6">
        <w:rPr>
          <w:rFonts w:ascii="Verdana" w:hAnsi="Verdana" w:cs="Arial"/>
          <w:sz w:val="20"/>
          <w:szCs w:val="20"/>
        </w:rPr>
        <w:t>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Pr>
          <w:rFonts w:ascii="Verdana" w:hAnsi="Verdana" w:cs="Arial"/>
          <w:sz w:val="20"/>
          <w:szCs w:val="20"/>
        </w:rPr>
        <w:t>’</w:t>
      </w:r>
      <w:r w:rsidRPr="00667CD6">
        <w:rPr>
          <w:rFonts w:ascii="Verdana" w:hAnsi="Verdana" w:cs="Arial"/>
          <w:sz w:val="20"/>
          <w:szCs w:val="20"/>
        </w:rPr>
        <w:t xml:space="preserve"> y, </w:t>
      </w:r>
    </w:p>
    <w:p w14:paraId="7632FDCC" w14:textId="77777777" w:rsidR="00F624DD" w:rsidRPr="00667CD6" w:rsidRDefault="00F624DD" w:rsidP="00F624DD">
      <w:pPr>
        <w:spacing w:after="0" w:line="240" w:lineRule="auto"/>
        <w:ind w:left="709" w:right="709"/>
        <w:jc w:val="both"/>
        <w:rPr>
          <w:rFonts w:ascii="Verdana" w:hAnsi="Verdana" w:cs="Arial"/>
          <w:sz w:val="20"/>
          <w:szCs w:val="20"/>
        </w:rPr>
      </w:pPr>
      <w:r w:rsidRPr="00667CD6">
        <w:rPr>
          <w:rFonts w:ascii="Verdana" w:hAnsi="Verdana" w:cs="Arial"/>
          <w:sz w:val="20"/>
          <w:szCs w:val="20"/>
        </w:rPr>
        <w:t xml:space="preserve">ii) la expresión y el siguiente párrafo contenidos en el inciso cuarto </w:t>
      </w:r>
      <w:r>
        <w:rPr>
          <w:rFonts w:ascii="Verdana" w:hAnsi="Verdana" w:cs="Arial"/>
          <w:sz w:val="20"/>
          <w:szCs w:val="20"/>
        </w:rPr>
        <w:t>‘</w:t>
      </w:r>
      <w:r w:rsidRPr="00667CD6">
        <w:rPr>
          <w:rFonts w:ascii="Verdana" w:hAnsi="Verdana" w:cs="Arial"/>
          <w:sz w:val="20"/>
          <w:szCs w:val="20"/>
        </w:rPr>
        <w:t>contratos</w:t>
      </w:r>
      <w:r>
        <w:rPr>
          <w:rFonts w:ascii="Verdana" w:hAnsi="Verdana" w:cs="Arial"/>
          <w:sz w:val="20"/>
          <w:szCs w:val="20"/>
        </w:rPr>
        <w:t>’</w:t>
      </w:r>
      <w:r w:rsidRPr="00667CD6">
        <w:rPr>
          <w:rFonts w:ascii="Verdana" w:hAnsi="Verdana" w:cs="Arial"/>
          <w:sz w:val="20"/>
          <w:szCs w:val="20"/>
        </w:rPr>
        <w:t xml:space="preserve"> y </w:t>
      </w:r>
      <w:r>
        <w:rPr>
          <w:rFonts w:ascii="Verdana" w:hAnsi="Verdana" w:cs="Arial"/>
          <w:sz w:val="20"/>
          <w:szCs w:val="20"/>
        </w:rPr>
        <w:t>‘</w:t>
      </w:r>
      <w:r w:rsidRPr="00667CD6">
        <w:rPr>
          <w:rFonts w:ascii="Verdana" w:hAnsi="Verdana" w:cs="Arial"/>
          <w:sz w:val="20"/>
          <w:szCs w:val="20"/>
        </w:rPr>
        <w:t>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r>
        <w:rPr>
          <w:rFonts w:ascii="Verdana" w:hAnsi="Verdana" w:cs="Arial"/>
          <w:sz w:val="20"/>
          <w:szCs w:val="20"/>
        </w:rPr>
        <w:t>’”</w:t>
      </w:r>
      <w:r w:rsidRPr="00667CD6">
        <w:rPr>
          <w:rFonts w:ascii="Verdana" w:hAnsi="Verdana" w:cs="Arial"/>
          <w:sz w:val="20"/>
          <w:szCs w:val="20"/>
        </w:rPr>
        <w:t xml:space="preserve">. </w:t>
      </w:r>
    </w:p>
    <w:p w14:paraId="1D3F7E76" w14:textId="77777777" w:rsidR="00F624DD" w:rsidRPr="00667CD6" w:rsidRDefault="00F624DD" w:rsidP="00F624DD">
      <w:pPr>
        <w:spacing w:after="0" w:line="276" w:lineRule="auto"/>
        <w:ind w:left="709" w:right="709"/>
        <w:jc w:val="both"/>
        <w:rPr>
          <w:rFonts w:ascii="Verdana" w:hAnsi="Verdana" w:cs="Arial"/>
        </w:rPr>
      </w:pPr>
    </w:p>
    <w:p w14:paraId="27E33861" w14:textId="77777777" w:rsidR="00F624DD" w:rsidRPr="00667CD6" w:rsidRDefault="00F624DD" w:rsidP="00F624DD">
      <w:pPr>
        <w:spacing w:after="120" w:line="276" w:lineRule="auto"/>
        <w:ind w:firstLine="709"/>
        <w:jc w:val="both"/>
        <w:rPr>
          <w:rFonts w:ascii="Verdana" w:eastAsia="Arial" w:hAnsi="Verdana" w:cs="Arial"/>
          <w:i/>
          <w:iCs/>
          <w:lang w:eastAsia="es-ES" w:bidi="es-ES"/>
        </w:rPr>
      </w:pPr>
      <w:r w:rsidRPr="00667CD6">
        <w:rPr>
          <w:rFonts w:ascii="Verdana" w:eastAsia="Arial" w:hAnsi="Verdana" w:cs="Arial"/>
          <w:lang w:val="es-MX" w:eastAsia="es-ES" w:bidi="es-ES"/>
        </w:rPr>
        <w:t xml:space="preserve">De conformidad con los argumentos de dicha providencia, se parte de la distinción entre los conceptos </w:t>
      </w:r>
      <w:r w:rsidRPr="00667CD6">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667CD6">
        <w:rPr>
          <w:rFonts w:ascii="Verdana" w:hAnsi="Verdana"/>
          <w:sz w:val="24"/>
          <w:szCs w:val="24"/>
          <w:lang w:eastAsia="es-CO"/>
        </w:rPr>
        <w:t xml:space="preserve"> </w:t>
      </w:r>
      <w:r w:rsidRPr="00667CD6">
        <w:rPr>
          <w:rFonts w:ascii="Verdana" w:eastAsia="Arial" w:hAnsi="Verdana" w:cs="Arial"/>
          <w:lang w:eastAsia="es-ES" w:bidi="es-ES"/>
        </w:rPr>
        <w:t xml:space="preserve">En este sentido, en relación con el parágrafo del artículo 38 de la Ley 996 de 2005 concluyó que </w:t>
      </w:r>
      <w:r w:rsidRPr="00667CD6">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667CD6">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667CD6">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Pr>
          <w:rFonts w:ascii="Verdana" w:eastAsia="Arial" w:hAnsi="Verdana" w:cs="Arial"/>
          <w:lang w:eastAsia="es-ES" w:bidi="es-ES"/>
        </w:rPr>
        <w:t>”</w:t>
      </w:r>
      <w:r w:rsidRPr="00667CD6">
        <w:rPr>
          <w:rFonts w:ascii="Verdana" w:eastAsia="Arial" w:hAnsi="Verdana" w:cs="Arial"/>
          <w:i/>
          <w:iCs/>
          <w:lang w:eastAsia="es-ES" w:bidi="es-ES"/>
        </w:rPr>
        <w:t xml:space="preserve">. </w:t>
      </w:r>
    </w:p>
    <w:p w14:paraId="52F6ADF7" w14:textId="77777777" w:rsidR="00F624DD" w:rsidRPr="00667CD6" w:rsidRDefault="00F624DD" w:rsidP="00F624DD">
      <w:pPr>
        <w:spacing w:after="120" w:line="276" w:lineRule="auto"/>
        <w:ind w:firstLine="709"/>
        <w:jc w:val="both"/>
        <w:rPr>
          <w:rFonts w:ascii="Verdana" w:eastAsia="Arial" w:hAnsi="Verdana" w:cs="Arial"/>
          <w:lang w:eastAsia="es-ES" w:bidi="es-ES"/>
        </w:rPr>
      </w:pPr>
      <w:r w:rsidRPr="00667CD6">
        <w:rPr>
          <w:rFonts w:ascii="Verdana" w:eastAsia="Arial" w:hAnsi="Verdana" w:cs="Arial"/>
          <w:lang w:eastAsia="es-ES" w:bidi="es-ES"/>
        </w:rPr>
        <w:t>De igual manera, mediante auto del 6 de noviembre de 2025, el Consejo de Estado, Subsección A de la Sección Tercera, decretó</w:t>
      </w:r>
      <w:r w:rsidRPr="00667CD6">
        <w:rPr>
          <w:rFonts w:ascii="Verdana" w:eastAsia="Arial" w:hAnsi="Verdana" w:cs="Arial"/>
          <w:b/>
          <w:bCs/>
          <w:lang w:eastAsia="es-ES" w:bidi="es-ES"/>
        </w:rPr>
        <w:t xml:space="preserve"> </w:t>
      </w:r>
      <w:r w:rsidRPr="00667CD6">
        <w:rPr>
          <w:rFonts w:ascii="Verdana" w:eastAsia="Arial" w:hAnsi="Verdana" w:cs="Arial"/>
          <w:lang w:eastAsia="es-ES" w:bidi="es-ES"/>
        </w:rPr>
        <w:t xml:space="preserve">la suspensión provisional de los apartes cuestionados del inciso segundo y del inciso cuarto del numeral 16.2 de la Circular Externa Única, versión 3 del 27 de diciembre de 2023, expedida por la Agencia Nacional de Contratación Pública – Colombia Compra </w:t>
      </w:r>
      <w:r w:rsidRPr="00667CD6">
        <w:rPr>
          <w:rFonts w:ascii="Verdana" w:eastAsia="Arial" w:hAnsi="Verdana" w:cs="Arial"/>
          <w:lang w:eastAsia="es-ES" w:bidi="es-ES"/>
        </w:rPr>
        <w:lastRenderedPageBreak/>
        <w:t>Eficiente relacionados con los contratos interadministrativos</w:t>
      </w:r>
      <w:r w:rsidRPr="00667CD6">
        <w:rPr>
          <w:rFonts w:ascii="Verdana" w:eastAsia="Arial" w:hAnsi="Verdana" w:cs="Arial"/>
          <w:vertAlign w:val="superscript"/>
          <w:lang w:eastAsia="es-ES" w:bidi="es-ES"/>
        </w:rPr>
        <w:footnoteReference w:id="34"/>
      </w:r>
      <w:r w:rsidRPr="00667CD6">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legis o iuris y la interpretación extensiva y reiteró los argumentos sobre la diferencia entre contratos y convenios interadministrativos. </w:t>
      </w:r>
    </w:p>
    <w:p w14:paraId="5C7CB691" w14:textId="77777777" w:rsidR="00F624DD" w:rsidRDefault="00F624DD" w:rsidP="00F624DD">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w:t>
      </w:r>
      <w:r>
        <w:rPr>
          <w:rFonts w:ascii="Verdana" w:eastAsia="Times New Roman" w:hAnsi="Verdana" w:cs="Times New Roman"/>
          <w:lang w:eastAsia="es-ES"/>
        </w:rPr>
        <w:t xml:space="preserve"> contratos interadministrativos […]</w:t>
      </w:r>
      <w:r w:rsidRPr="31E4E861">
        <w:rPr>
          <w:rFonts w:ascii="Verdana" w:eastAsia="Times New Roman" w:hAnsi="Verdana" w:cs="Times New Roman"/>
          <w:lang w:eastAsia="es-ES"/>
        </w:rPr>
        <w:t xml:space="preserve">”. </w:t>
      </w:r>
    </w:p>
    <w:p w14:paraId="3774D0B6" w14:textId="77777777" w:rsidR="00F624DD" w:rsidRDefault="00F624DD" w:rsidP="00F624DD">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2035D652">
        <w:rPr>
          <w:rStyle w:val="Refdenotaalpie"/>
          <w:rFonts w:ascii="Verdana" w:eastAsia="Times New Roman" w:hAnsi="Verdana" w:cs="Times New Roman"/>
          <w:lang w:eastAsia="es-ES"/>
        </w:rPr>
        <w:footnoteReference w:id="35"/>
      </w:r>
      <w:r w:rsidRPr="2035D652">
        <w:rPr>
          <w:rFonts w:ascii="Verdana" w:eastAsia="Times New Roman" w:hAnsi="Verdana" w:cs="Times New Roman"/>
          <w:lang w:eastAsia="es-ES"/>
        </w:rPr>
        <w:t xml:space="preserve">. Sobre el </w:t>
      </w:r>
      <w:r w:rsidRPr="2035D652">
        <w:rPr>
          <w:rFonts w:ascii="Verdana" w:eastAsia="Times New Roman" w:hAnsi="Verdana" w:cs="Times New Roman"/>
          <w:lang w:eastAsia="es-ES"/>
        </w:rPr>
        <w:lastRenderedPageBreak/>
        <w:t xml:space="preserve">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1777AF82" w14:textId="77777777" w:rsidR="00F624DD" w:rsidRDefault="00F624DD" w:rsidP="00F624DD">
      <w:pPr>
        <w:spacing w:after="120" w:line="276" w:lineRule="auto"/>
        <w:ind w:firstLine="709"/>
        <w:jc w:val="both"/>
        <w:rPr>
          <w:rFonts w:ascii="Verdana" w:eastAsia="Times New Roman" w:hAnsi="Verdana" w:cs="Arial"/>
          <w:lang w:eastAsia="es-CO"/>
        </w:rPr>
      </w:pPr>
      <w:r w:rsidRPr="2035D652">
        <w:rPr>
          <w:rFonts w:ascii="Verdana" w:eastAsia="Times New Roman" w:hAnsi="Verdana" w:cs="Times New Roman"/>
          <w:lang w:eastAsia="es-ES"/>
        </w:rPr>
        <w:t xml:space="preserve">A juicio de la Sala, aunque el propósito de la Circular Externa era legítimo </w:t>
      </w:r>
      <w:r>
        <w:rPr>
          <w:rFonts w:ascii="Verdana" w:eastAsia="Times New Roman" w:hAnsi="Verdana" w:cs="Times New Roman"/>
          <w:lang w:eastAsia="es-ES"/>
        </w:rPr>
        <w:t>–</w:t>
      </w:r>
      <w:r w:rsidRPr="2035D652">
        <w:rPr>
          <w:rFonts w:ascii="Verdana" w:eastAsia="Times New Roman" w:hAnsi="Verdana" w:cs="Times New Roman"/>
          <w:lang w:eastAsia="es-ES"/>
        </w:rPr>
        <w:t>evitar el uso indebido de recursos en época electoral</w:t>
      </w:r>
      <w:r>
        <w:rPr>
          <w:rFonts w:ascii="Verdana" w:eastAsia="Times New Roman" w:hAnsi="Verdana" w:cs="Times New Roman"/>
          <w:lang w:eastAsia="es-ES"/>
        </w:rPr>
        <w:t>–</w:t>
      </w:r>
      <w:r w:rsidRPr="2035D652">
        <w:rPr>
          <w:rFonts w:ascii="Verdana" w:eastAsia="Times New Roman" w:hAnsi="Verdana" w:cs="Times New Roman"/>
          <w:lang w:eastAsia="es-ES"/>
        </w:rPr>
        <w:t>, el numeral 16.2. desconoció el alcance literal del artículo 38 de la Ley 996 de 2005 y los límites de la potestad reglamentaria, lo que configuró un vicio de contenido.</w:t>
      </w:r>
      <w:r>
        <w:rPr>
          <w:rFonts w:ascii="Verdana" w:eastAsia="Times New Roman" w:hAnsi="Verdana" w:cs="Times New Roman"/>
          <w:lang w:eastAsia="es-ES"/>
        </w:rPr>
        <w:t xml:space="preserve"> </w:t>
      </w: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eastAsia="Times New Roman" w:hAnsi="Verdana" w:cs="Arial"/>
          <w:lang w:eastAsia="es-CO"/>
        </w:rPr>
        <w:footnoteReference w:id="36"/>
      </w:r>
      <w:r>
        <w:rPr>
          <w:rFonts w:ascii="Verdana" w:eastAsia="Times New Roman" w:hAnsi="Verdana" w:cs="Arial"/>
          <w:lang w:eastAsia="es-CO"/>
        </w:rPr>
        <w:t>. C</w:t>
      </w:r>
      <w:r w:rsidRPr="00667CD6">
        <w:rPr>
          <w:rFonts w:ascii="Verdana" w:eastAsia="Times New Roman" w:hAnsi="Verdana" w:cs="Arial"/>
          <w:lang w:eastAsia="es-CO"/>
        </w:rPr>
        <w:t xml:space="preserve">onforme a lo señalado por el Consejo de Estado, cuando dos entidades públicas celebren un </w:t>
      </w:r>
      <w:r w:rsidRPr="00667CD6">
        <w:rPr>
          <w:rFonts w:ascii="Verdana" w:eastAsia="Times New Roman" w:hAnsi="Verdana" w:cs="Arial"/>
          <w:i/>
          <w:iCs/>
          <w:lang w:eastAsia="es-CO"/>
        </w:rPr>
        <w:t>contrato interadministrativo,</w:t>
      </w:r>
      <w:r w:rsidRPr="00667CD6">
        <w:rPr>
          <w:rFonts w:ascii="Verdana" w:eastAsia="Times New Roman" w:hAnsi="Verdana" w:cs="Arial"/>
          <w:lang w:eastAsia="es-CO"/>
        </w:rPr>
        <w:t xml:space="preserve"> independientemente del objeto, dicho contrato puede suscribirse durante el periodo preelectoral.</w:t>
      </w:r>
    </w:p>
    <w:p w14:paraId="6594DC73" w14:textId="77777777" w:rsidR="00F624DD" w:rsidRDefault="00F624DD" w:rsidP="00F624DD">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En este aspecto, se encuentra que la restricción para la celebración de convenios interadministrativos para la ejecución de recursos públicos no puede aludirse a contratantes o contratistas, sino de partes cooperantes o colaboradoras. Así mismo, aplica para cualquier tipo de elección, lo que implica que la restricción del parágrafo del artículo 38</w:t>
      </w:r>
      <w:r>
        <w:rPr>
          <w:rFonts w:ascii="Verdana" w:eastAsia="Times New Roman" w:hAnsi="Verdana" w:cs="Arial"/>
          <w:bCs/>
          <w:lang w:val="es-MX" w:eastAsia="x-none"/>
        </w:rPr>
        <w:t xml:space="preserve"> aplica desde el 8 de noviembre de 2025, teniendo en cuenta que la Resolución 02580 del 5 de marzo de 2025 de la Registraduría Nacional del Estado Civil dispuso que las elecciones de senado y cámara se celebrarán el 8 de marzo de 2026. Esta restricción se extiende a las elecciones presidenciales que se celebrarán el 31 de mayo de 2026, así como una posible segunda vuelta tres semanas después, es decir, el 21 de junio de 2026. </w:t>
      </w:r>
    </w:p>
    <w:p w14:paraId="1ADA19E5" w14:textId="77777777" w:rsidR="00F624DD" w:rsidRPr="00B13882" w:rsidRDefault="00F624DD" w:rsidP="00F624DD">
      <w:pPr>
        <w:spacing w:after="120" w:line="276" w:lineRule="auto"/>
        <w:ind w:firstLine="708"/>
        <w:jc w:val="both"/>
        <w:rPr>
          <w:rFonts w:ascii="Verdana" w:eastAsia="Times New Roman" w:hAnsi="Verdana" w:cs="Arial"/>
          <w:lang w:eastAsia="es-CO"/>
        </w:rPr>
      </w:pPr>
      <w:r w:rsidRPr="00667CD6">
        <w:rPr>
          <w:rFonts w:ascii="Verdana" w:eastAsia="Times New Roman" w:hAnsi="Verdana" w:cs="Arial"/>
          <w:lang w:eastAsia="es-CO"/>
        </w:rPr>
        <w:t xml:space="preserve"> </w:t>
      </w:r>
      <w:r w:rsidRPr="605533EB">
        <w:rPr>
          <w:rFonts w:ascii="Verdana" w:eastAsia="Times New Roman" w:hAnsi="Verdana" w:cs="Arial"/>
          <w:lang w:eastAsia="es-CO"/>
        </w:rPr>
        <w:t xml:space="preserve">No </w:t>
      </w:r>
      <w:r>
        <w:rPr>
          <w:rFonts w:ascii="Verdana" w:eastAsia="Times New Roman" w:hAnsi="Verdana" w:cs="Arial"/>
          <w:lang w:eastAsia="es-CO"/>
        </w:rPr>
        <w:t>obstante</w:t>
      </w:r>
      <w:r w:rsidRPr="605533EB">
        <w:rPr>
          <w:rFonts w:ascii="Verdana" w:eastAsia="Times New Roman" w:hAnsi="Verdana" w:cs="Arial"/>
          <w:lang w:eastAsia="es-CO"/>
        </w:rPr>
        <w:t xml:space="preserve">, es importante mencionar que aún se encuentra por definir la demanda </w:t>
      </w:r>
      <w:r w:rsidRPr="605533EB">
        <w:rPr>
          <w:rFonts w:ascii="Verdana" w:eastAsia="Calibri" w:hAnsi="Verdana" w:cs="Arial"/>
          <w:lang w:val="es-ES" w:eastAsia="es-ES"/>
        </w:rPr>
        <w:t>de nulidad simple, identificada con el Radicado número 11001-03-</w:t>
      </w:r>
      <w:r w:rsidRPr="605533EB">
        <w:rPr>
          <w:rFonts w:ascii="Verdana" w:eastAsia="Calibri" w:hAnsi="Verdana" w:cs="Arial"/>
          <w:lang w:val="es-ES" w:eastAsia="es-ES"/>
        </w:rPr>
        <w:lastRenderedPageBreak/>
        <w:t xml:space="preserve">26-000-2025-00016-00, en la cual se cuestiona </w:t>
      </w:r>
      <w:r w:rsidRPr="605533EB">
        <w:rPr>
          <w:rFonts w:ascii="Verdana" w:eastAsia="Calibri" w:hAnsi="Verdana" w:cs="Arial"/>
          <w:lang w:eastAsia="es-ES"/>
        </w:rPr>
        <w:t>parcialmente el numeral 16.2 de la Circular Externa Única CCE-EICP-MA-06, Versión 03 del 27 de diciembre de 2023.</w:t>
      </w:r>
      <w:r w:rsidRPr="605533EB">
        <w:rPr>
          <w:rFonts w:ascii="Verdana" w:eastAsia="Calibri" w:hAnsi="Verdana" w:cs="Arial"/>
          <w:lang w:val="es-ES" w:eastAsia="es-ES"/>
        </w:rPr>
        <w:t xml:space="preserve"> </w:t>
      </w:r>
      <w:r w:rsidRPr="00667CD6">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667CD6">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p w14:paraId="3C20322B" w14:textId="77777777" w:rsidR="00F624DD" w:rsidRPr="00C958D1" w:rsidRDefault="00F624DD" w:rsidP="00F624DD">
      <w:pPr>
        <w:pStyle w:val="NormalWeb"/>
        <w:spacing w:before="0" w:beforeAutospacing="0" w:after="0" w:afterAutospacing="0" w:line="276" w:lineRule="auto"/>
        <w:jc w:val="both"/>
        <w:rPr>
          <w:rFonts w:ascii="Verdana" w:hAnsi="Verdana" w:cs="Arial"/>
          <w:color w:val="000000"/>
          <w:sz w:val="22"/>
          <w:szCs w:val="22"/>
        </w:rPr>
      </w:pPr>
    </w:p>
    <w:p w14:paraId="3A317C81" w14:textId="77777777" w:rsidR="00F624DD" w:rsidRPr="00F4158D" w:rsidRDefault="00F624DD" w:rsidP="00F624DD">
      <w:pPr>
        <w:pStyle w:val="paragraph"/>
        <w:shd w:val="clear" w:color="auto" w:fill="FFFFFF"/>
        <w:spacing w:before="0" w:beforeAutospacing="0" w:after="120" w:afterAutospacing="0" w:line="276" w:lineRule="auto"/>
        <w:jc w:val="both"/>
        <w:textAlignment w:val="baseline"/>
        <w:rPr>
          <w:rFonts w:ascii="Verdana" w:eastAsia="Calibri" w:hAnsi="Verdana" w:cs="Arial"/>
          <w:bCs/>
          <w:color w:val="000000" w:themeColor="text1"/>
          <w:sz w:val="22"/>
          <w:szCs w:val="22"/>
        </w:rPr>
      </w:pPr>
      <w:r>
        <w:rPr>
          <w:rFonts w:ascii="Verdana" w:eastAsia="Calibri" w:hAnsi="Verdana" w:cs="Arial"/>
          <w:bCs/>
          <w:color w:val="000000" w:themeColor="text1"/>
          <w:sz w:val="22"/>
          <w:szCs w:val="22"/>
        </w:rPr>
        <w:t xml:space="preserve">v. </w:t>
      </w:r>
      <w:r w:rsidRPr="00F4158D">
        <w:rPr>
          <w:rFonts w:ascii="Verdana" w:eastAsia="Calibri" w:hAnsi="Verdana" w:cs="Arial"/>
          <w:bCs/>
          <w:color w:val="000000" w:themeColor="text1"/>
          <w:sz w:val="22"/>
          <w:szCs w:val="22"/>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7823563" w14:textId="77777777" w:rsidR="00F624DD" w:rsidRPr="00F4158D" w:rsidRDefault="00F624DD" w:rsidP="00F624DD">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946C63E" w14:textId="77777777" w:rsidR="00F624DD" w:rsidRPr="00F4158D" w:rsidRDefault="00F624DD" w:rsidP="00F624DD">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2B3029F7" w14:textId="77777777" w:rsidR="00F624DD" w:rsidRPr="00593A5F" w:rsidRDefault="00F624DD" w:rsidP="00F624D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71C6C2DE" w14:textId="77777777" w:rsidR="00F624DD" w:rsidRPr="00593A5F" w:rsidRDefault="00F624DD" w:rsidP="00F624D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624DD" w:rsidRPr="002407CE" w14:paraId="22FBACA7" w14:textId="77777777" w:rsidTr="00E47984">
        <w:trPr>
          <w:trHeight w:val="870"/>
          <w:jc w:val="center"/>
        </w:trPr>
        <w:tc>
          <w:tcPr>
            <w:tcW w:w="8647" w:type="dxa"/>
          </w:tcPr>
          <w:p w14:paraId="712EAC31" w14:textId="77777777" w:rsidR="00F624DD" w:rsidRDefault="00F624DD" w:rsidP="00E4798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lastRenderedPageBreak/>
              <w:t>Constitución Política de 1991, artículos 69, 127, 190, 197 y 286.</w:t>
            </w:r>
          </w:p>
          <w:p w14:paraId="2690C339" w14:textId="77777777" w:rsidR="00F624DD" w:rsidRDefault="00F624DD" w:rsidP="00E4798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39 y 41.</w:t>
            </w:r>
          </w:p>
          <w:p w14:paraId="1A9E1915" w14:textId="77777777" w:rsidR="00F624DD" w:rsidRDefault="00F624DD" w:rsidP="00E4798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489 de 1998, artículo 85</w:t>
            </w:r>
          </w:p>
          <w:p w14:paraId="3E34F706" w14:textId="77777777" w:rsidR="00F624DD" w:rsidRDefault="00F624DD" w:rsidP="00E4798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10F56418" w14:textId="77777777" w:rsidR="00F624DD" w:rsidRDefault="00F624DD" w:rsidP="00E4798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310DA810" w14:textId="77777777" w:rsidR="00F624DD" w:rsidRDefault="00F624DD" w:rsidP="00E4798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31 y 1501.</w:t>
            </w:r>
          </w:p>
          <w:p w14:paraId="73F54241" w14:textId="77777777" w:rsidR="00F624DD" w:rsidRPr="003630EB" w:rsidRDefault="00F624DD" w:rsidP="00E47984">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820169">
              <w:rPr>
                <w:rFonts w:ascii="Verdana" w:hAnsi="Verdana" w:cs="Arial"/>
                <w:bCs/>
                <w:lang w:val="es-MX"/>
              </w:rPr>
              <w:t>Resolución 02580 del 5 de marzo de 2025 de la Registraduría Nacional del Estado Civil</w:t>
            </w:r>
          </w:p>
        </w:tc>
      </w:tr>
    </w:tbl>
    <w:p w14:paraId="2C1B5205" w14:textId="77777777" w:rsidR="00F624DD" w:rsidRPr="002407CE" w:rsidRDefault="00F624DD" w:rsidP="00F624DD">
      <w:pPr>
        <w:widowControl w:val="0"/>
        <w:autoSpaceDE w:val="0"/>
        <w:autoSpaceDN w:val="0"/>
        <w:spacing w:after="0" w:line="276" w:lineRule="auto"/>
        <w:jc w:val="both"/>
        <w:rPr>
          <w:rFonts w:ascii="Verdana" w:hAnsi="Verdana" w:cs="Arial"/>
        </w:rPr>
      </w:pPr>
    </w:p>
    <w:p w14:paraId="2F264B01" w14:textId="77777777" w:rsidR="00F624DD" w:rsidRPr="00593A5F" w:rsidRDefault="00F624DD" w:rsidP="00F624D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B184040" w14:textId="77777777" w:rsidR="00F624DD" w:rsidRPr="00593A5F" w:rsidRDefault="00F624DD" w:rsidP="00F624DD">
      <w:pPr>
        <w:widowControl w:val="0"/>
        <w:autoSpaceDE w:val="0"/>
        <w:autoSpaceDN w:val="0"/>
        <w:spacing w:after="0" w:line="276" w:lineRule="auto"/>
        <w:jc w:val="both"/>
        <w:rPr>
          <w:rFonts w:ascii="Verdana" w:hAnsi="Verdana" w:cs="Arial"/>
        </w:rPr>
      </w:pPr>
    </w:p>
    <w:p w14:paraId="1C65BDC1" w14:textId="77777777" w:rsidR="00F624DD" w:rsidRPr="00ED0098" w:rsidRDefault="00F624DD" w:rsidP="00F624DD">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C-1509 del 19 de noviembre de 2025, c-1773 del 5 de diciembre de 2025, </w:t>
      </w:r>
      <w:r w:rsidRPr="00177E85">
        <w:rPr>
          <w:rFonts w:ascii="Verdana" w:hAnsi="Verdana" w:cs="Arial"/>
          <w:shd w:val="clear" w:color="auto" w:fill="FFFFFF"/>
        </w:rPr>
        <w:t>entre otros</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se</w:t>
      </w:r>
      <w:r>
        <w:rPr>
          <w:rStyle w:val="normaltextrun"/>
          <w:rFonts w:ascii="Verdana" w:hAnsi="Verdana" w:cs="Arial"/>
          <w:shd w:val="clear" w:color="auto" w:fill="FFFFFF"/>
        </w:rPr>
        <w:t xml:space="preserve"> </w:t>
      </w:r>
      <w:r w:rsidRPr="008D0AB0">
        <w:rPr>
          <w:rStyle w:val="normaltextrun"/>
          <w:rFonts w:ascii="Verdana" w:hAnsi="Verdana" w:cs="Arial"/>
          <w:shd w:val="clear" w:color="auto" w:fill="FFFFFF"/>
        </w:rPr>
        <w:t xml:space="preserve">encuentran disponibles para consulta en el Sistema de relatoría de la Agencia, al cual puede accederse </w:t>
      </w:r>
      <w:r w:rsidRPr="008D0AB0">
        <w:rPr>
          <w:rStyle w:val="normaltextrun"/>
          <w:rFonts w:ascii="Verdana" w:hAnsi="Verdana" w:cs="Arial"/>
          <w:shd w:val="clear" w:color="auto" w:fill="FFFFFF"/>
        </w:rPr>
        <w:lastRenderedPageBreak/>
        <w:t xml:space="preserve">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62D5B2D" w14:textId="77777777" w:rsidR="00F624DD" w:rsidRPr="00096788" w:rsidRDefault="00F624DD" w:rsidP="00F624DD">
      <w:pPr>
        <w:widowControl w:val="0"/>
        <w:autoSpaceDE w:val="0"/>
        <w:autoSpaceDN w:val="0"/>
        <w:spacing w:after="0" w:line="276" w:lineRule="auto"/>
        <w:jc w:val="both"/>
        <w:rPr>
          <w:rFonts w:ascii="Verdana" w:hAnsi="Verdana" w:cs="Arial"/>
          <w:color w:val="000000" w:themeColor="text1"/>
          <w:shd w:val="clear" w:color="auto" w:fill="FFFFFF"/>
        </w:rPr>
      </w:pPr>
    </w:p>
    <w:p w14:paraId="150F7A75" w14:textId="77777777" w:rsidR="00F624DD" w:rsidRDefault="00F624DD" w:rsidP="00F624DD">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0DD99B52" w14:textId="77777777" w:rsidR="00F624DD" w:rsidRDefault="00F624DD" w:rsidP="00F624DD">
      <w:pPr>
        <w:shd w:val="clear" w:color="auto" w:fill="FFFFFF"/>
        <w:spacing w:after="0" w:line="276" w:lineRule="auto"/>
        <w:jc w:val="both"/>
        <w:rPr>
          <w:rFonts w:ascii="Verdana" w:hAnsi="Verdana"/>
          <w:color w:val="000000"/>
          <w:u w:val="single"/>
        </w:rPr>
      </w:pPr>
    </w:p>
    <w:p w14:paraId="702850D5" w14:textId="77777777" w:rsidR="00F624DD" w:rsidRPr="00593A5F" w:rsidRDefault="00F624DD" w:rsidP="00F624D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55B1F67C" w14:textId="77777777" w:rsidR="00F624DD" w:rsidRPr="00593A5F" w:rsidRDefault="00F624DD" w:rsidP="00F624DD">
      <w:pPr>
        <w:widowControl w:val="0"/>
        <w:autoSpaceDE w:val="0"/>
        <w:autoSpaceDN w:val="0"/>
        <w:spacing w:after="0" w:line="276" w:lineRule="auto"/>
        <w:jc w:val="both"/>
        <w:rPr>
          <w:rFonts w:ascii="Verdana" w:hAnsi="Verdana" w:cs="Arial"/>
        </w:rPr>
      </w:pPr>
    </w:p>
    <w:p w14:paraId="57C9D52B" w14:textId="02C37791" w:rsidR="00F624DD" w:rsidRPr="00473BEB" w:rsidRDefault="00F624DD" w:rsidP="00F624DD">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503A99C" w14:textId="2F7EA08C" w:rsidR="00F624DD" w:rsidRPr="00593A5F" w:rsidRDefault="00A07EBF" w:rsidP="00F624DD">
      <w:pPr>
        <w:spacing w:line="276" w:lineRule="auto"/>
        <w:jc w:val="center"/>
        <w:rPr>
          <w:rFonts w:ascii="Verdana" w:hAnsi="Verdana" w:cs="Arial"/>
          <w:color w:val="000000"/>
          <w:lang w:val="es-ES_tradnl" w:eastAsia="es-CO"/>
        </w:rPr>
      </w:pPr>
      <w:r w:rsidRPr="002C3AD6">
        <w:rPr>
          <w:rFonts w:ascii="Century Gothic" w:hAnsi="Century Gothic"/>
          <w:noProof/>
          <w:lang w:val="en-US"/>
        </w:rPr>
        <w:drawing>
          <wp:inline distT="0" distB="0" distL="0" distR="0" wp14:anchorId="27E1EA0F" wp14:editId="5D769758">
            <wp:extent cx="3279140" cy="1288472"/>
            <wp:effectExtent l="0" t="0" r="0" b="698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5448" cy="1302739"/>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624DD" w:rsidRPr="00593A5F" w14:paraId="00979D04" w14:textId="77777777" w:rsidTr="00E47984">
        <w:trPr>
          <w:trHeight w:val="315"/>
        </w:trPr>
        <w:tc>
          <w:tcPr>
            <w:tcW w:w="893" w:type="dxa"/>
            <w:vAlign w:val="center"/>
            <w:hideMark/>
          </w:tcPr>
          <w:p w14:paraId="288EC175" w14:textId="77777777" w:rsidR="00F624DD" w:rsidRPr="003751C7" w:rsidRDefault="00F624DD" w:rsidP="00E4798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7A05BAE" w14:textId="77777777" w:rsidR="00F624DD" w:rsidRPr="00254A7A" w:rsidRDefault="00F624DD" w:rsidP="00E4798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2DE9E233" w14:textId="77777777" w:rsidR="00F624DD" w:rsidRPr="00254A7A" w:rsidRDefault="00F624DD" w:rsidP="00E4798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F624DD" w:rsidRPr="00593A5F" w14:paraId="41D17A9B" w14:textId="77777777" w:rsidTr="00E47984">
        <w:trPr>
          <w:trHeight w:val="330"/>
        </w:trPr>
        <w:tc>
          <w:tcPr>
            <w:tcW w:w="893" w:type="dxa"/>
            <w:vAlign w:val="center"/>
            <w:hideMark/>
          </w:tcPr>
          <w:p w14:paraId="536F57CD" w14:textId="77777777" w:rsidR="00F624DD" w:rsidRPr="003751C7" w:rsidRDefault="00F624DD" w:rsidP="00E4798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8839E6" w14:textId="77777777" w:rsidR="00F624DD" w:rsidRPr="001B6B73" w:rsidRDefault="00F624DD" w:rsidP="00E47984">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12221D7A" w14:textId="77777777" w:rsidR="00F624DD" w:rsidRPr="00254A7A" w:rsidRDefault="00F624DD" w:rsidP="00E47984">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F624DD" w:rsidRPr="00593A5F" w14:paraId="42DD6310" w14:textId="77777777" w:rsidTr="00E47984">
        <w:trPr>
          <w:trHeight w:val="300"/>
        </w:trPr>
        <w:tc>
          <w:tcPr>
            <w:tcW w:w="893" w:type="dxa"/>
            <w:vAlign w:val="center"/>
          </w:tcPr>
          <w:p w14:paraId="1C59695F" w14:textId="77777777" w:rsidR="00F624DD" w:rsidRPr="003751C7" w:rsidRDefault="00F624DD" w:rsidP="00E4798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D2C2BEB" w14:textId="77777777" w:rsidR="00F624DD" w:rsidRPr="003751C7" w:rsidRDefault="00F624DD" w:rsidP="00E47984">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129D9803" w14:textId="77777777" w:rsidR="00F624DD" w:rsidRPr="003751C7" w:rsidRDefault="00F624DD" w:rsidP="00E47984">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bookmarkEnd w:id="0"/>
    </w:tbl>
    <w:p w14:paraId="422E2A97" w14:textId="77777777" w:rsidR="00F624DD" w:rsidRPr="0024624F" w:rsidRDefault="00F624DD" w:rsidP="00F624DD">
      <w:pPr>
        <w:spacing w:after="0"/>
        <w:rPr>
          <w:rFonts w:ascii="Verdana" w:hAnsi="Verdana"/>
        </w:rPr>
      </w:pPr>
    </w:p>
    <w:p w14:paraId="0F293BF4" w14:textId="3AA9448E" w:rsidR="00127233" w:rsidRPr="00F624DD" w:rsidRDefault="00127233" w:rsidP="00F624DD"/>
    <w:sectPr w:rsidR="00127233" w:rsidRPr="00F624DD"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CDB4C" w14:textId="77777777" w:rsidR="00B34FFB" w:rsidRDefault="00B34FFB" w:rsidP="004A1847">
      <w:pPr>
        <w:spacing w:after="0" w:line="240" w:lineRule="auto"/>
      </w:pPr>
      <w:r>
        <w:separator/>
      </w:r>
    </w:p>
  </w:endnote>
  <w:endnote w:type="continuationSeparator" w:id="0">
    <w:p w14:paraId="38A0E74F" w14:textId="77777777" w:rsidR="00B34FFB" w:rsidRDefault="00B34FFB" w:rsidP="004A1847">
      <w:pPr>
        <w:spacing w:after="0" w:line="240" w:lineRule="auto"/>
      </w:pPr>
      <w:r>
        <w:continuationSeparator/>
      </w:r>
    </w:p>
  </w:endnote>
  <w:endnote w:type="continuationNotice" w:id="1">
    <w:p w14:paraId="3813E38E" w14:textId="77777777" w:rsidR="00B34FFB" w:rsidRDefault="00B34F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355467F9"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C64B8" w:rsidRPr="003C64B8">
      <w:rPr>
        <w:rFonts w:ascii="Verdana" w:eastAsiaTheme="minorEastAsia" w:hAnsi="Verdana"/>
        <w:b/>
        <w:bCs/>
        <w:noProof/>
        <w:sz w:val="16"/>
        <w:szCs w:val="16"/>
      </w:rPr>
      <w:t>34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0E6AE" w14:textId="77777777" w:rsidR="00B34FFB" w:rsidRDefault="00B34FFB" w:rsidP="004A1847">
      <w:pPr>
        <w:spacing w:after="0" w:line="240" w:lineRule="auto"/>
      </w:pPr>
      <w:r>
        <w:separator/>
      </w:r>
    </w:p>
  </w:footnote>
  <w:footnote w:type="continuationSeparator" w:id="0">
    <w:p w14:paraId="2E9B5650" w14:textId="77777777" w:rsidR="00B34FFB" w:rsidRDefault="00B34FFB" w:rsidP="004A1847">
      <w:pPr>
        <w:spacing w:after="0" w:line="240" w:lineRule="auto"/>
      </w:pPr>
      <w:r>
        <w:continuationSeparator/>
      </w:r>
    </w:p>
  </w:footnote>
  <w:footnote w:type="continuationNotice" w:id="1">
    <w:p w14:paraId="1362341C" w14:textId="77777777" w:rsidR="00B34FFB" w:rsidRDefault="00B34FFB">
      <w:pPr>
        <w:spacing w:after="0" w:line="240" w:lineRule="auto"/>
      </w:pPr>
    </w:p>
  </w:footnote>
  <w:footnote w:id="2">
    <w:p w14:paraId="086D5439" w14:textId="77777777" w:rsidR="00F624DD" w:rsidRPr="00A07EBF" w:rsidRDefault="00F624DD" w:rsidP="00F624DD">
      <w:pPr>
        <w:pStyle w:val="Textonotapie"/>
        <w:ind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544B9FF" w14:textId="77777777" w:rsidR="00F624DD" w:rsidRPr="00A07EBF" w:rsidRDefault="00F624DD" w:rsidP="00F624DD">
      <w:pPr>
        <w:pStyle w:val="Textonotapie"/>
        <w:ind w:firstLine="709"/>
        <w:jc w:val="both"/>
        <w:rPr>
          <w:rFonts w:ascii="Verdana" w:hAnsi="Verdana" w:cs="Arial"/>
          <w:sz w:val="15"/>
          <w:szCs w:val="15"/>
        </w:rPr>
      </w:pPr>
      <w:r w:rsidRPr="00A07EBF">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18A04CE1" w14:textId="77777777" w:rsidR="00F624DD" w:rsidRPr="00A07EBF" w:rsidRDefault="00F624DD" w:rsidP="00F624DD">
      <w:pPr>
        <w:pStyle w:val="Textonotapie"/>
        <w:ind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Gaceta del Congreso de la República No. 71 del 2005.</w:t>
      </w:r>
    </w:p>
  </w:footnote>
  <w:footnote w:id="4">
    <w:p w14:paraId="58B2063D" w14:textId="77777777" w:rsidR="00F624DD" w:rsidRPr="00A07EBF" w:rsidRDefault="00F624DD" w:rsidP="00F624DD">
      <w:pPr>
        <w:pStyle w:val="Textonotapie"/>
        <w:ind w:firstLine="709"/>
        <w:jc w:val="both"/>
        <w:rPr>
          <w:rFonts w:ascii="Verdana" w:hAnsi="Verdana" w:cs="Arial"/>
          <w:sz w:val="15"/>
          <w:szCs w:val="15"/>
          <w:lang w:val="pt-BR"/>
        </w:rPr>
      </w:pPr>
      <w:r w:rsidRPr="00A07EBF">
        <w:rPr>
          <w:rStyle w:val="Refdenotaalpie"/>
          <w:rFonts w:ascii="Verdana" w:hAnsi="Verdana" w:cs="Arial"/>
          <w:sz w:val="15"/>
          <w:szCs w:val="15"/>
        </w:rPr>
        <w:footnoteRef/>
      </w:r>
      <w:r w:rsidRPr="00A07EBF">
        <w:rPr>
          <w:rFonts w:ascii="Verdana" w:hAnsi="Verdana" w:cs="Arial"/>
          <w:sz w:val="15"/>
          <w:szCs w:val="15"/>
          <w:lang w:val="pt-BR"/>
        </w:rPr>
        <w:t xml:space="preserve"> Corte Constitucional, Sentencia C- 1153 de 2005, M.P. Marco Gerardo Monroy Cabra.</w:t>
      </w:r>
    </w:p>
  </w:footnote>
  <w:footnote w:id="5">
    <w:p w14:paraId="40A63C55" w14:textId="77777777" w:rsidR="00F624DD" w:rsidRPr="00A07EBF" w:rsidRDefault="00F624DD" w:rsidP="00F624DD">
      <w:pPr>
        <w:pStyle w:val="Textonotapie"/>
        <w:ind w:firstLine="709"/>
        <w:jc w:val="both"/>
        <w:rPr>
          <w:rFonts w:ascii="Verdana" w:hAnsi="Verdana" w:cs="Arial"/>
          <w:sz w:val="15"/>
          <w:szCs w:val="15"/>
          <w:lang w:val="pt-BR"/>
        </w:rPr>
      </w:pPr>
      <w:r w:rsidRPr="00A07EBF">
        <w:rPr>
          <w:rStyle w:val="Refdenotaalpie"/>
          <w:rFonts w:ascii="Verdana" w:hAnsi="Verdana" w:cs="Arial"/>
          <w:sz w:val="15"/>
          <w:szCs w:val="15"/>
        </w:rPr>
        <w:footnoteRef/>
      </w:r>
      <w:r w:rsidRPr="00A07EBF">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4465717B" w14:textId="77777777" w:rsidR="00F624DD" w:rsidRPr="00A07EBF" w:rsidRDefault="00F624DD" w:rsidP="00F624DD">
      <w:pPr>
        <w:pStyle w:val="Textonotapie"/>
        <w:ind w:firstLine="709"/>
        <w:jc w:val="both"/>
        <w:rPr>
          <w:rFonts w:ascii="Verdana" w:hAnsi="Verdana" w:cs="Arial"/>
          <w:sz w:val="15"/>
          <w:szCs w:val="15"/>
          <w:lang w:val="es-CO"/>
        </w:rPr>
      </w:pPr>
      <w:r w:rsidRPr="00A07EBF">
        <w:rPr>
          <w:rStyle w:val="Refdenotaalpie"/>
          <w:rFonts w:ascii="Verdana" w:hAnsi="Verdana" w:cs="Arial"/>
          <w:sz w:val="15"/>
          <w:szCs w:val="15"/>
        </w:rPr>
        <w:footnoteRef/>
      </w:r>
      <w:r w:rsidRPr="00A07EBF">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02BF450B" w14:textId="77777777" w:rsidR="00F624DD" w:rsidRPr="00A07EBF" w:rsidRDefault="00F624DD" w:rsidP="00F624DD">
      <w:pPr>
        <w:pStyle w:val="Textonotapie"/>
        <w:ind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de fecha 24 de julio de 2013, radicado 2166, C. P. Álvaro Namén Vargas.  </w:t>
      </w:r>
    </w:p>
  </w:footnote>
  <w:footnote w:id="8">
    <w:p w14:paraId="7EC863CD" w14:textId="77777777" w:rsidR="00F624DD" w:rsidRPr="00A07EBF" w:rsidRDefault="00F624DD" w:rsidP="00F624DD">
      <w:pPr>
        <w:spacing w:after="0" w:line="240" w:lineRule="auto"/>
        <w:ind w:firstLine="709"/>
        <w:jc w:val="both"/>
        <w:rPr>
          <w:rFonts w:ascii="Verdana" w:eastAsia="Times New Roman"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w:t>
      </w:r>
      <w:bookmarkStart w:id="7" w:name="33"/>
      <w:r w:rsidRPr="00A07EBF">
        <w:rPr>
          <w:rFonts w:ascii="Verdana" w:eastAsia="Calibri" w:hAnsi="Verdana" w:cs="Arial"/>
          <w:color w:val="000000"/>
          <w:sz w:val="15"/>
          <w:szCs w:val="15"/>
        </w:rPr>
        <w:t>“</w:t>
      </w:r>
      <w:r w:rsidRPr="00A07EBF">
        <w:rPr>
          <w:rFonts w:ascii="Verdana" w:eastAsia="Times New Roman" w:hAnsi="Verdana" w:cs="Arial"/>
          <w:sz w:val="15"/>
          <w:szCs w:val="15"/>
        </w:rPr>
        <w:t>Artículo 33. Restricciones a la contratación pública.</w:t>
      </w:r>
      <w:bookmarkEnd w:id="7"/>
      <w:r w:rsidRPr="00A07EBF">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68A9A124" w14:textId="77777777" w:rsidR="00F624DD" w:rsidRPr="00A07EBF" w:rsidRDefault="00F624DD" w:rsidP="00F624DD">
      <w:pPr>
        <w:spacing w:after="0" w:line="240" w:lineRule="auto"/>
        <w:ind w:firstLine="709"/>
        <w:jc w:val="both"/>
        <w:rPr>
          <w:rFonts w:ascii="Verdana" w:eastAsia="Times New Roman" w:hAnsi="Verdana" w:cs="Arial"/>
          <w:sz w:val="15"/>
          <w:szCs w:val="15"/>
        </w:rPr>
      </w:pPr>
      <w:r w:rsidRPr="00A07EBF">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A07EBF">
        <w:rPr>
          <w:rFonts w:ascii="Verdana" w:eastAsia="Calibri" w:hAnsi="Verdana" w:cs="Arial"/>
          <w:color w:val="000000"/>
          <w:sz w:val="15"/>
          <w:szCs w:val="15"/>
        </w:rPr>
        <w:t>”</w:t>
      </w:r>
      <w:r w:rsidRPr="00A07EBF">
        <w:rPr>
          <w:rFonts w:ascii="Verdana" w:eastAsia="Times New Roman" w:hAnsi="Verdana" w:cs="Arial"/>
          <w:sz w:val="15"/>
          <w:szCs w:val="15"/>
        </w:rPr>
        <w:t>.</w:t>
      </w:r>
    </w:p>
  </w:footnote>
  <w:footnote w:id="9">
    <w:p w14:paraId="4E97C19C" w14:textId="77777777" w:rsidR="00F624DD" w:rsidRPr="00A07EBF" w:rsidRDefault="00F624DD" w:rsidP="00F624DD">
      <w:pPr>
        <w:pStyle w:val="NormalWeb"/>
        <w:spacing w:before="0" w:beforeAutospacing="0" w:after="0" w:afterAutospacing="0"/>
        <w:ind w:firstLine="709"/>
        <w:jc w:val="both"/>
        <w:rPr>
          <w:rFonts w:ascii="Verdana" w:hAnsi="Verdana" w:cs="Arial"/>
          <w:sz w:val="15"/>
          <w:szCs w:val="15"/>
          <w:lang w:val="es-MX"/>
        </w:rPr>
      </w:pPr>
      <w:r w:rsidRPr="00A07EBF">
        <w:rPr>
          <w:rStyle w:val="Refdenotaalpie"/>
          <w:rFonts w:ascii="Verdana" w:hAnsi="Verdana" w:cs="Arial"/>
          <w:sz w:val="15"/>
          <w:szCs w:val="15"/>
        </w:rPr>
        <w:footnoteRef/>
      </w:r>
      <w:r w:rsidRPr="00A07EBF">
        <w:rPr>
          <w:rFonts w:ascii="Verdana" w:hAnsi="Verdana" w:cs="Arial"/>
          <w:sz w:val="15"/>
          <w:szCs w:val="15"/>
        </w:rPr>
        <w:t xml:space="preserve"> </w:t>
      </w:r>
      <w:bookmarkStart w:id="8" w:name="38"/>
      <w:r w:rsidRPr="00A07EBF">
        <w:rPr>
          <w:rFonts w:ascii="Verdana" w:eastAsia="Calibri" w:hAnsi="Verdana" w:cs="Arial"/>
          <w:color w:val="000000"/>
          <w:sz w:val="15"/>
          <w:szCs w:val="15"/>
        </w:rPr>
        <w:t>“</w:t>
      </w:r>
      <w:r w:rsidRPr="00A07EBF">
        <w:rPr>
          <w:rFonts w:ascii="Verdana" w:hAnsi="Verdana" w:cs="Arial"/>
          <w:sz w:val="15"/>
          <w:szCs w:val="15"/>
          <w:lang w:val="es-MX"/>
        </w:rPr>
        <w:t>Artículo 38. Prohibiciones para los servidores públicos. A los empleados del Estado les está prohibido:</w:t>
      </w:r>
      <w:bookmarkEnd w:id="8"/>
      <w:r w:rsidRPr="00A07EBF">
        <w:rPr>
          <w:rFonts w:ascii="Verdana" w:hAnsi="Verdana" w:cs="Arial"/>
          <w:sz w:val="15"/>
          <w:szCs w:val="15"/>
          <w:lang w:val="es-MX"/>
        </w:rPr>
        <w:t xml:space="preserve"> […]</w:t>
      </w:r>
    </w:p>
    <w:p w14:paraId="2EEB6E37" w14:textId="77777777" w:rsidR="00F624DD" w:rsidRPr="00A07EBF" w:rsidRDefault="00F624DD" w:rsidP="00F624DD">
      <w:pPr>
        <w:pStyle w:val="NormalWeb"/>
        <w:spacing w:before="0" w:beforeAutospacing="0" w:after="0" w:afterAutospacing="0"/>
        <w:ind w:firstLine="709"/>
        <w:jc w:val="both"/>
        <w:rPr>
          <w:rFonts w:ascii="Verdana" w:hAnsi="Verdana" w:cs="Arial"/>
          <w:sz w:val="15"/>
          <w:szCs w:val="15"/>
          <w:lang w:val="es-MX"/>
        </w:rPr>
      </w:pPr>
      <w:r w:rsidRPr="00A07EBF">
        <w:rPr>
          <w:rStyle w:val="baj"/>
          <w:rFonts w:ascii="Verdana" w:hAnsi="Verdana" w:cs="Arial"/>
          <w:sz w:val="15"/>
          <w:szCs w:val="15"/>
          <w:lang w:val="es-MX"/>
        </w:rPr>
        <w:t>Parágrafo.</w:t>
      </w:r>
      <w:r w:rsidRPr="00A07EBF">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A07EBF">
        <w:rPr>
          <w:rFonts w:ascii="Verdana" w:eastAsia="Calibri" w:hAnsi="Verdana" w:cs="Arial"/>
          <w:color w:val="000000"/>
          <w:sz w:val="15"/>
          <w:szCs w:val="15"/>
        </w:rPr>
        <w:t>”</w:t>
      </w:r>
      <w:r w:rsidRPr="00A07EBF">
        <w:rPr>
          <w:rFonts w:ascii="Verdana" w:hAnsi="Verdana" w:cs="Arial"/>
          <w:sz w:val="15"/>
          <w:szCs w:val="15"/>
          <w:lang w:val="es-MX"/>
        </w:rPr>
        <w:t>.</w:t>
      </w:r>
    </w:p>
  </w:footnote>
  <w:footnote w:id="10">
    <w:p w14:paraId="18F00714" w14:textId="77777777" w:rsidR="00F624DD" w:rsidRPr="00A07EBF" w:rsidRDefault="00F624DD" w:rsidP="00F624DD">
      <w:pPr>
        <w:pStyle w:val="Textonotapie"/>
        <w:ind w:firstLine="708"/>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Colombia Compra Eficiente. Circular Externa Única. Numeral 16.5. </w:t>
      </w:r>
    </w:p>
  </w:footnote>
  <w:footnote w:id="11">
    <w:p w14:paraId="4B4C4E9A" w14:textId="77777777" w:rsidR="00F624DD" w:rsidRPr="00A07EBF" w:rsidRDefault="00F624DD" w:rsidP="00F624DD">
      <w:pPr>
        <w:spacing w:after="0" w:line="240" w:lineRule="auto"/>
        <w:ind w:left="100" w:right="244" w:firstLine="608"/>
        <w:jc w:val="both"/>
        <w:rPr>
          <w:rFonts w:ascii="Verdana" w:hAnsi="Verdana" w:cs="Arial"/>
          <w:sz w:val="15"/>
          <w:szCs w:val="15"/>
          <w:lang w:val="es-ES"/>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2">
    <w:p w14:paraId="49703699" w14:textId="77777777" w:rsidR="00F624DD" w:rsidRPr="00A07EBF" w:rsidRDefault="00F624DD" w:rsidP="00F624DD">
      <w:pPr>
        <w:pStyle w:val="Textonotapie"/>
        <w:ind w:right="51"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w:t>
      </w:r>
      <w:r w:rsidRPr="00A07EBF">
        <w:rPr>
          <w:rFonts w:ascii="Verdana" w:hAnsi="Verdana" w:cs="Arial"/>
          <w:sz w:val="15"/>
          <w:szCs w:val="15"/>
          <w:lang w:val="es-ES"/>
        </w:rPr>
        <w:t xml:space="preserve">[25] </w:t>
      </w:r>
      <w:r w:rsidRPr="00A07EBF">
        <w:rPr>
          <w:rFonts w:ascii="Verdana" w:hAnsi="Verdana" w:cs="Arial"/>
          <w:sz w:val="15"/>
          <w:szCs w:val="15"/>
        </w:rPr>
        <w:t>Cfr. Consejo de Estado. Sección Tercera. Sentencia de 3 de diciembre de 2007. Radicados: 24.715, 25.206, 25.409, 24.524, 27.834, 25.410, 26.105, 28.244, 31.447 -acumulados-“.</w:t>
      </w:r>
    </w:p>
  </w:footnote>
  <w:footnote w:id="13">
    <w:p w14:paraId="70EB5E73" w14:textId="77777777" w:rsidR="00F624DD" w:rsidRPr="00A07EBF" w:rsidRDefault="00F624DD" w:rsidP="00F624DD">
      <w:pPr>
        <w:pStyle w:val="Textonotapie"/>
        <w:ind w:right="51"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w:t>
      </w:r>
      <w:r w:rsidRPr="00A07EBF">
        <w:rPr>
          <w:rFonts w:ascii="Verdana" w:hAnsi="Verdana" w:cs="Arial"/>
          <w:sz w:val="15"/>
          <w:szCs w:val="15"/>
          <w:lang w:val="es-ES"/>
        </w:rPr>
        <w:t xml:space="preserve">[26] </w:t>
      </w:r>
      <w:r w:rsidRPr="00A07EBF">
        <w:rPr>
          <w:rFonts w:ascii="Verdana" w:hAnsi="Verdana" w:cs="Arial"/>
          <w:sz w:val="15"/>
          <w:szCs w:val="15"/>
        </w:rPr>
        <w:t>Al respecto ver el concepto 1712 de 2 de febrero de 2006. Consejo de Estado Sala de Consulta y Servicio Civil”.</w:t>
      </w:r>
    </w:p>
  </w:footnote>
  <w:footnote w:id="14">
    <w:p w14:paraId="10935DF0" w14:textId="77777777" w:rsidR="00F624DD" w:rsidRPr="00A07EBF" w:rsidRDefault="00F624DD" w:rsidP="00F624DD">
      <w:pPr>
        <w:pStyle w:val="Textonotapie"/>
        <w:ind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008772EB" w14:textId="77777777" w:rsidR="00F624DD" w:rsidRPr="00A07EBF" w:rsidRDefault="00F624DD" w:rsidP="00F624DD">
      <w:pPr>
        <w:pStyle w:val="Textonotapie"/>
        <w:ind w:firstLine="709"/>
        <w:jc w:val="both"/>
        <w:rPr>
          <w:rFonts w:ascii="Verdana" w:hAnsi="Verdana" w:cs="Arial"/>
          <w:sz w:val="15"/>
          <w:szCs w:val="15"/>
          <w:lang w:val="es-ES"/>
        </w:rPr>
      </w:pPr>
      <w:r w:rsidRPr="00A07EBF">
        <w:rPr>
          <w:rStyle w:val="Refdenotaalpie"/>
          <w:rFonts w:ascii="Verdana" w:hAnsi="Verdana" w:cs="Arial"/>
          <w:sz w:val="15"/>
          <w:szCs w:val="15"/>
        </w:rPr>
        <w:footnoteRef/>
      </w:r>
      <w:r w:rsidRPr="00A07EBF">
        <w:rPr>
          <w:rFonts w:ascii="Verdana" w:hAnsi="Verdana" w:cs="Arial"/>
          <w:sz w:val="15"/>
          <w:szCs w:val="15"/>
        </w:rPr>
        <w:t xml:space="preserve"> </w:t>
      </w:r>
      <w:r w:rsidRPr="00A07EBF">
        <w:rPr>
          <w:rFonts w:ascii="Verdana" w:hAnsi="Verdana" w:cs="Arial"/>
          <w:sz w:val="15"/>
          <w:szCs w:val="15"/>
          <w:lang w:val="es-ES"/>
        </w:rPr>
        <w:t xml:space="preserve">Artículo 2. </w:t>
      </w:r>
    </w:p>
  </w:footnote>
  <w:footnote w:id="16">
    <w:p w14:paraId="675053B9" w14:textId="77777777" w:rsidR="00F624DD" w:rsidRPr="00A07EBF" w:rsidRDefault="00F624DD" w:rsidP="00F624DD">
      <w:pPr>
        <w:pStyle w:val="Textonotapie"/>
        <w:ind w:firstLine="709"/>
        <w:jc w:val="both"/>
        <w:rPr>
          <w:rFonts w:ascii="Verdana" w:hAnsi="Verdana" w:cs="Arial"/>
          <w:sz w:val="15"/>
          <w:szCs w:val="15"/>
          <w:lang w:val="es-ES"/>
        </w:rPr>
      </w:pPr>
      <w:r w:rsidRPr="00A07EBF">
        <w:rPr>
          <w:rStyle w:val="Refdenotaalpie"/>
          <w:rFonts w:ascii="Verdana" w:hAnsi="Verdana" w:cs="Arial"/>
          <w:sz w:val="15"/>
          <w:szCs w:val="15"/>
        </w:rPr>
        <w:footnoteRef/>
      </w:r>
      <w:r w:rsidRPr="00A07EBF">
        <w:rPr>
          <w:rFonts w:ascii="Verdana" w:hAnsi="Verdana" w:cs="Arial"/>
          <w:sz w:val="15"/>
          <w:szCs w:val="15"/>
        </w:rPr>
        <w:t xml:space="preserve"> </w:t>
      </w:r>
      <w:r w:rsidRPr="00A07EBF">
        <w:rPr>
          <w:rFonts w:ascii="Verdana" w:hAnsi="Verdana" w:cs="Arial"/>
          <w:i/>
          <w:sz w:val="15"/>
          <w:szCs w:val="15"/>
          <w:lang w:val="es-ES"/>
        </w:rPr>
        <w:t>Ídem</w:t>
      </w:r>
      <w:r w:rsidRPr="00A07EBF">
        <w:rPr>
          <w:rFonts w:ascii="Verdana" w:hAnsi="Verdana" w:cs="Arial"/>
          <w:sz w:val="15"/>
          <w:szCs w:val="15"/>
          <w:lang w:val="es-ES"/>
        </w:rPr>
        <w:t>.</w:t>
      </w:r>
    </w:p>
  </w:footnote>
  <w:footnote w:id="17">
    <w:p w14:paraId="0FA8BC73" w14:textId="77777777" w:rsidR="00F624DD" w:rsidRPr="00A07EBF" w:rsidRDefault="00F624DD" w:rsidP="00F624DD">
      <w:pPr>
        <w:pStyle w:val="Textonotapie"/>
        <w:ind w:firstLine="709"/>
        <w:jc w:val="both"/>
        <w:rPr>
          <w:rFonts w:ascii="Verdana" w:hAnsi="Verdana" w:cs="Arial"/>
          <w:sz w:val="15"/>
          <w:szCs w:val="15"/>
          <w:lang w:val="es-ES"/>
        </w:rPr>
      </w:pPr>
      <w:r w:rsidRPr="00A07EBF">
        <w:rPr>
          <w:rStyle w:val="Refdenotaalpie"/>
          <w:rFonts w:ascii="Verdana" w:hAnsi="Verdana" w:cs="Arial"/>
          <w:sz w:val="15"/>
          <w:szCs w:val="15"/>
        </w:rPr>
        <w:footnoteRef/>
      </w:r>
      <w:r w:rsidRPr="00A07EBF">
        <w:rPr>
          <w:rStyle w:val="Refdenotaalpie"/>
          <w:rFonts w:ascii="Verdana" w:hAnsi="Verdana" w:cs="Arial"/>
          <w:sz w:val="15"/>
          <w:szCs w:val="15"/>
        </w:rPr>
        <w:t xml:space="preserve"> </w:t>
      </w:r>
      <w:r w:rsidRPr="00A07EBF">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5752375B" w14:textId="77777777" w:rsidR="00F624DD" w:rsidRPr="00A07EBF" w:rsidRDefault="00F624DD" w:rsidP="00F624DD">
      <w:pPr>
        <w:shd w:val="clear" w:color="auto" w:fill="FFFFFF"/>
        <w:spacing w:after="0" w:line="240" w:lineRule="auto"/>
        <w:ind w:firstLine="709"/>
        <w:jc w:val="both"/>
        <w:rPr>
          <w:rFonts w:ascii="Verdana" w:hAnsi="Verdana" w:cs="Arial"/>
          <w:sz w:val="15"/>
          <w:szCs w:val="15"/>
          <w:lang w:val="es-ES"/>
        </w:rPr>
      </w:pPr>
      <w:r w:rsidRPr="00A07EBF">
        <w:rPr>
          <w:rStyle w:val="Refdenotaalpie"/>
          <w:rFonts w:ascii="Verdana" w:hAnsi="Verdana" w:cs="Arial"/>
          <w:sz w:val="15"/>
          <w:szCs w:val="15"/>
        </w:rPr>
        <w:footnoteRef/>
      </w:r>
      <w:r w:rsidRPr="00A07EBF">
        <w:rPr>
          <w:rStyle w:val="Refdenotaalpie"/>
          <w:rFonts w:ascii="Verdana" w:hAnsi="Verdana" w:cs="Arial"/>
          <w:sz w:val="15"/>
          <w:szCs w:val="15"/>
        </w:rPr>
        <w:t xml:space="preserve"> </w:t>
      </w:r>
      <w:r w:rsidRPr="00A07EBF">
        <w:rPr>
          <w:rFonts w:ascii="Verdana" w:hAnsi="Verdana" w:cs="Arial"/>
          <w:sz w:val="15"/>
          <w:szCs w:val="15"/>
          <w:lang w:val="es-ES"/>
        </w:rPr>
        <w:t>Consejo de Estado. Sala de Consulta y Servicio Civil, Concepto de 8 de mayo de 2018. C.P. Álvaro Namén Vargas. Rad. 2382.</w:t>
      </w:r>
    </w:p>
  </w:footnote>
  <w:footnote w:id="19">
    <w:p w14:paraId="08228504" w14:textId="77777777" w:rsidR="00F624DD" w:rsidRPr="00A07EBF" w:rsidRDefault="00F624DD" w:rsidP="00F624DD">
      <w:pPr>
        <w:pStyle w:val="Textonotapie"/>
        <w:ind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Concepto del 08 de mayo de 2018.</w:t>
      </w:r>
      <w:r w:rsidRPr="00A07EBF">
        <w:rPr>
          <w:rFonts w:ascii="Verdana" w:hAnsi="Verdana" w:cs="Arial"/>
          <w:sz w:val="15"/>
          <w:szCs w:val="15"/>
          <w:lang w:val="es-CO"/>
        </w:rPr>
        <w:t xml:space="preserve"> C.P. Álvaro Namén Vargas.</w:t>
      </w:r>
      <w:r w:rsidRPr="00A07EBF">
        <w:rPr>
          <w:rFonts w:ascii="Verdana" w:hAnsi="Verdana" w:cs="Arial"/>
          <w:sz w:val="15"/>
          <w:szCs w:val="15"/>
        </w:rPr>
        <w:t xml:space="preserve"> Exp. 2.382.</w:t>
      </w:r>
    </w:p>
  </w:footnote>
  <w:footnote w:id="20">
    <w:p w14:paraId="2F558D99" w14:textId="77777777" w:rsidR="00F624DD" w:rsidRPr="00A07EBF" w:rsidRDefault="00F624DD" w:rsidP="00F624DD">
      <w:pPr>
        <w:pStyle w:val="Textonotapie"/>
        <w:ind w:firstLine="708"/>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0025E154" w14:textId="77777777" w:rsidR="00F624DD" w:rsidRPr="00A07EBF" w:rsidRDefault="00F624DD" w:rsidP="00F624DD">
      <w:pPr>
        <w:pStyle w:val="Textonotapie"/>
        <w:ind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48421694" w14:textId="77777777" w:rsidR="00F624DD" w:rsidRPr="00A07EBF" w:rsidRDefault="00F624DD" w:rsidP="00F624DD">
      <w:pPr>
        <w:spacing w:after="0" w:line="240" w:lineRule="auto"/>
        <w:ind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2A68F50C" w14:textId="77777777" w:rsidR="00F624DD" w:rsidRPr="00A07EBF" w:rsidRDefault="00F624DD" w:rsidP="00F624DD">
      <w:pPr>
        <w:pStyle w:val="Textonotapie"/>
        <w:ind w:right="51" w:firstLine="709"/>
        <w:jc w:val="both"/>
        <w:rPr>
          <w:rFonts w:ascii="Verdana" w:eastAsia="Times New Roman" w:hAnsi="Verdana" w:cs="Arial"/>
          <w:bCs/>
          <w:sz w:val="15"/>
          <w:szCs w:val="15"/>
          <w:lang w:eastAsia="x-none"/>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Concepto de 6 de abril de 2006.C.P. Enrique José Arboleda Perdomo. </w:t>
      </w:r>
      <w:r w:rsidRPr="00A07EBF">
        <w:rPr>
          <w:rFonts w:ascii="Verdana" w:hAnsi="Verdana" w:cs="Arial"/>
          <w:sz w:val="15"/>
          <w:szCs w:val="15"/>
          <w:lang w:val="es-CO"/>
        </w:rPr>
        <w:t>Rad. 1738</w:t>
      </w:r>
      <w:r w:rsidRPr="00A07EBF">
        <w:rPr>
          <w:rFonts w:ascii="Verdana" w:eastAsia="Times New Roman" w:hAnsi="Verdana" w:cs="Arial"/>
          <w:bCs/>
          <w:sz w:val="15"/>
          <w:szCs w:val="15"/>
          <w:lang w:eastAsia="x-none"/>
        </w:rPr>
        <w:t xml:space="preserve"> “</w:t>
      </w:r>
      <w:r w:rsidRPr="00A07EBF">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A07EBF">
        <w:rPr>
          <w:rFonts w:ascii="Verdana" w:eastAsia="Times New Roman" w:hAnsi="Verdana" w:cs="Arial"/>
          <w:bCs/>
          <w:sz w:val="15"/>
          <w:szCs w:val="15"/>
          <w:lang w:eastAsia="x-none"/>
        </w:rPr>
        <w:t>”.</w:t>
      </w:r>
    </w:p>
  </w:footnote>
  <w:footnote w:id="24">
    <w:p w14:paraId="178DA7F3" w14:textId="77777777" w:rsidR="00F624DD" w:rsidRPr="00A07EBF" w:rsidRDefault="00F624DD" w:rsidP="00F624DD">
      <w:pPr>
        <w:spacing w:after="0" w:line="240" w:lineRule="auto"/>
        <w:ind w:firstLine="708"/>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Concepto de 6 de abril de 2006. C.P. Enrique José Arboleda Perdomo. Rad. 1738. </w:t>
      </w:r>
    </w:p>
  </w:footnote>
  <w:footnote w:id="25">
    <w:p w14:paraId="3070DFE8" w14:textId="77777777" w:rsidR="00F624DD" w:rsidRPr="00A07EBF" w:rsidRDefault="00F624DD" w:rsidP="00F624DD">
      <w:pPr>
        <w:pStyle w:val="Textonotapie"/>
        <w:ind w:right="51" w:firstLine="709"/>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Consejo de Estado. Sala de Consulta y Servicio Civil, ídem.</w:t>
      </w:r>
    </w:p>
  </w:footnote>
  <w:footnote w:id="26">
    <w:p w14:paraId="754A9DD2" w14:textId="77777777" w:rsidR="00F624DD" w:rsidRPr="00A07EBF" w:rsidRDefault="00F624DD" w:rsidP="00F624DD">
      <w:pPr>
        <w:pStyle w:val="Textonotapie"/>
        <w:ind w:firstLine="708"/>
        <w:jc w:val="both"/>
        <w:rPr>
          <w:rFonts w:ascii="Arial" w:hAnsi="Arial"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Colombia Compra Eficiente. Circular Externa Única. Numeral 15.5.</w:t>
      </w:r>
    </w:p>
  </w:footnote>
  <w:footnote w:id="27">
    <w:p w14:paraId="4A9579A0" w14:textId="77777777" w:rsidR="00F624DD" w:rsidRPr="00A07EBF" w:rsidRDefault="00F624DD" w:rsidP="00F624DD">
      <w:pPr>
        <w:pStyle w:val="Textonotapie"/>
        <w:ind w:firstLine="709"/>
        <w:contextualSpacing/>
        <w:jc w:val="both"/>
        <w:rPr>
          <w:rFonts w:ascii="Verdana" w:hAnsi="Verdana" w:cs="Arial"/>
          <w:sz w:val="15"/>
          <w:szCs w:val="15"/>
        </w:rPr>
      </w:pPr>
      <w:r w:rsidRPr="00A07EBF">
        <w:rPr>
          <w:rStyle w:val="Refdenotaalpie"/>
          <w:rFonts w:ascii="Verdana" w:hAnsi="Verdana"/>
          <w:sz w:val="15"/>
          <w:szCs w:val="15"/>
        </w:rPr>
        <w:footnoteRef/>
      </w:r>
      <w:r w:rsidRPr="00A07EBF">
        <w:rPr>
          <w:rFonts w:ascii="Verdana" w:hAnsi="Verdana"/>
          <w:sz w:val="15"/>
          <w:szCs w:val="15"/>
        </w:rPr>
        <w:t xml:space="preserve"> </w:t>
      </w:r>
      <w:r w:rsidRPr="00A07EBF">
        <w:rPr>
          <w:rFonts w:ascii="Verdana" w:hAnsi="Verdana" w:cs="Arial"/>
          <w:sz w:val="15"/>
          <w:szCs w:val="15"/>
        </w:rPr>
        <w:t xml:space="preserve">Consejo de Estado -Sección Tercera-. Sentencia del 21 de febrero de 2025. CP: José Roberto Sáchica Méndez. Exp. 68.280. </w:t>
      </w:r>
    </w:p>
  </w:footnote>
  <w:footnote w:id="28">
    <w:p w14:paraId="6367BE2C" w14:textId="77777777" w:rsidR="00F624DD" w:rsidRPr="00A07EBF" w:rsidRDefault="00F624DD" w:rsidP="00F624DD">
      <w:pPr>
        <w:pStyle w:val="Textonotapie"/>
        <w:ind w:firstLine="709"/>
        <w:contextualSpacing/>
        <w:jc w:val="both"/>
        <w:rPr>
          <w:rFonts w:ascii="Verdana" w:hAnsi="Verdana" w:cs="Arial"/>
          <w:sz w:val="15"/>
          <w:szCs w:val="15"/>
        </w:rPr>
      </w:pPr>
      <w:r w:rsidRPr="00A07EBF">
        <w:rPr>
          <w:rFonts w:ascii="Verdana" w:hAnsi="Verdana"/>
          <w:sz w:val="15"/>
          <w:szCs w:val="15"/>
          <w:vertAlign w:val="superscript"/>
        </w:rPr>
        <w:footnoteRef/>
      </w:r>
      <w:r w:rsidRPr="00A07EBF">
        <w:rPr>
          <w:rFonts w:ascii="Verdana" w:hAnsi="Verdana"/>
          <w:sz w:val="15"/>
          <w:szCs w:val="15"/>
          <w:vertAlign w:val="superscript"/>
        </w:rPr>
        <w:t xml:space="preserve"> </w:t>
      </w:r>
      <w:r w:rsidRPr="00A07EBF">
        <w:rPr>
          <w:rFonts w:ascii="Verdana" w:hAnsi="Verdana" w:cs="Arial"/>
          <w:sz w:val="15"/>
          <w:szCs w:val="15"/>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footnote>
  <w:footnote w:id="29">
    <w:p w14:paraId="1DF79007" w14:textId="77777777" w:rsidR="00F624DD" w:rsidRPr="00A07EBF" w:rsidRDefault="00F624DD" w:rsidP="00F624DD">
      <w:pPr>
        <w:pStyle w:val="Textonotapie"/>
        <w:ind w:firstLine="709"/>
        <w:contextualSpacing/>
        <w:jc w:val="both"/>
        <w:rPr>
          <w:rFonts w:ascii="Verdana" w:hAnsi="Verdana" w:cs="Arial"/>
          <w:sz w:val="15"/>
          <w:szCs w:val="15"/>
        </w:rPr>
      </w:pPr>
      <w:r w:rsidRPr="00A07EBF">
        <w:rPr>
          <w:rFonts w:ascii="Verdana" w:hAnsi="Verdana"/>
          <w:sz w:val="15"/>
          <w:szCs w:val="15"/>
          <w:vertAlign w:val="superscript"/>
        </w:rPr>
        <w:footnoteRef/>
      </w:r>
      <w:r w:rsidRPr="00A07EBF">
        <w:rPr>
          <w:rFonts w:ascii="Verdana" w:hAnsi="Verdana" w:cs="Arial"/>
          <w:sz w:val="15"/>
          <w:szCs w:val="15"/>
          <w:vertAlign w:val="superscript"/>
        </w:rPr>
        <w:t xml:space="preserve"> </w:t>
      </w:r>
      <w:r w:rsidRPr="00A07EBF">
        <w:rPr>
          <w:rFonts w:ascii="Verdana" w:hAnsi="Verdana" w:cs="Arial"/>
          <w:sz w:val="15"/>
          <w:szCs w:val="15"/>
        </w:rPr>
        <w:t>Ley 80 de 1993: “Artículo 41. Del perfeccionamiento del contrato. Los contratos del Estado se perfeccionan cuando se logre acuerdo sobre el objeto y la contraprestación y éste se eleve a escrito.</w:t>
      </w:r>
    </w:p>
    <w:p w14:paraId="3D5D218D" w14:textId="77777777" w:rsidR="00F624DD" w:rsidRPr="00A07EBF" w:rsidRDefault="00F624DD" w:rsidP="00F624DD">
      <w:pPr>
        <w:pStyle w:val="Textonotapie"/>
        <w:ind w:firstLine="709"/>
        <w:contextualSpacing/>
        <w:jc w:val="both"/>
        <w:rPr>
          <w:rFonts w:ascii="Verdana" w:hAnsi="Verdana" w:cs="Arial"/>
          <w:sz w:val="15"/>
          <w:szCs w:val="15"/>
        </w:rPr>
      </w:pPr>
      <w:r w:rsidRPr="00A07EBF">
        <w:rPr>
          <w:rFonts w:ascii="Verdana" w:hAnsi="Verdana" w:cs="Arial"/>
          <w:sz w:val="15"/>
          <w:szCs w:val="15"/>
        </w:rPr>
        <w:t>[…]”.</w:t>
      </w:r>
    </w:p>
  </w:footnote>
  <w:footnote w:id="30">
    <w:p w14:paraId="38DD033A" w14:textId="77777777" w:rsidR="00F624DD" w:rsidRPr="00A07EBF" w:rsidRDefault="00F624DD" w:rsidP="00F624DD">
      <w:pPr>
        <w:pStyle w:val="Textonotapie"/>
        <w:ind w:firstLine="709"/>
        <w:contextualSpacing/>
        <w:jc w:val="both"/>
        <w:rPr>
          <w:rFonts w:ascii="Verdana" w:hAnsi="Verdana" w:cs="Arial"/>
          <w:sz w:val="15"/>
          <w:szCs w:val="15"/>
        </w:rPr>
      </w:pPr>
      <w:r w:rsidRPr="00A07EBF">
        <w:rPr>
          <w:rFonts w:ascii="Verdana" w:hAnsi="Verdana"/>
          <w:sz w:val="15"/>
          <w:szCs w:val="15"/>
          <w:vertAlign w:val="superscript"/>
        </w:rPr>
        <w:footnoteRef/>
      </w:r>
      <w:r w:rsidRPr="00A07EBF">
        <w:rPr>
          <w:rFonts w:ascii="Verdana" w:hAnsi="Verdana" w:cs="Arial"/>
          <w:sz w:val="15"/>
          <w:szCs w:val="15"/>
          <w:vertAlign w:val="superscript"/>
        </w:rPr>
        <w:t xml:space="preserve"> </w:t>
      </w:r>
      <w:r w:rsidRPr="00A07EBF">
        <w:rPr>
          <w:rFonts w:ascii="Verdana" w:hAnsi="Verdana" w:cs="Arial"/>
          <w:sz w:val="15"/>
          <w:szCs w:val="15"/>
        </w:rPr>
        <w:t>Código Civil: “Artículo 27. Cuando el sentido de la ley sea claro, no se desatenderá su tenor a pretexto de consultar su espíritu”.</w:t>
      </w:r>
    </w:p>
  </w:footnote>
  <w:footnote w:id="31">
    <w:p w14:paraId="11D19C38" w14:textId="77777777" w:rsidR="00F624DD" w:rsidRPr="00A07EBF" w:rsidRDefault="00F624DD" w:rsidP="00F624DD">
      <w:pPr>
        <w:pStyle w:val="Textonotapie"/>
        <w:ind w:firstLine="708"/>
        <w:contextualSpacing/>
        <w:jc w:val="both"/>
        <w:rPr>
          <w:rFonts w:ascii="Verdana" w:hAnsi="Verdana" w:cs="Arial"/>
          <w:sz w:val="15"/>
          <w:szCs w:val="15"/>
        </w:rPr>
      </w:pPr>
      <w:r w:rsidRPr="00A07EBF">
        <w:rPr>
          <w:rStyle w:val="Refdenotaalpie"/>
          <w:rFonts w:ascii="Verdana" w:hAnsi="Verdana" w:cs="Arial"/>
          <w:sz w:val="15"/>
          <w:szCs w:val="15"/>
        </w:rPr>
        <w:footnoteRef/>
      </w:r>
      <w:r w:rsidRPr="00A07EBF">
        <w:rPr>
          <w:rFonts w:ascii="Verdana" w:hAnsi="Verdana" w:cs="Arial"/>
          <w:sz w:val="15"/>
          <w:szCs w:val="15"/>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3162C325" w14:textId="77777777" w:rsidR="00F624DD" w:rsidRPr="00A07EBF" w:rsidRDefault="00F624DD" w:rsidP="00F624DD">
      <w:pPr>
        <w:pStyle w:val="Textonotapie"/>
        <w:ind w:firstLine="708"/>
        <w:contextualSpacing/>
        <w:jc w:val="both"/>
        <w:rPr>
          <w:rFonts w:ascii="Verdana" w:hAnsi="Verdana" w:cs="Arial"/>
          <w:sz w:val="15"/>
          <w:szCs w:val="15"/>
        </w:rPr>
      </w:pPr>
      <w:r w:rsidRPr="00A07EBF">
        <w:rPr>
          <w:rFonts w:ascii="Verdana" w:hAnsi="Verdana" w:cs="Arial"/>
          <w:sz w:val="15"/>
          <w:szCs w:val="15"/>
        </w:rPr>
        <w:t xml:space="preserve">a) Personería jurídica; </w:t>
      </w:r>
    </w:p>
    <w:p w14:paraId="34E54220" w14:textId="77777777" w:rsidR="00F624DD" w:rsidRPr="00A07EBF" w:rsidRDefault="00F624DD" w:rsidP="00F624DD">
      <w:pPr>
        <w:pStyle w:val="Textonotapie"/>
        <w:ind w:firstLine="708"/>
        <w:contextualSpacing/>
        <w:jc w:val="both"/>
        <w:rPr>
          <w:rFonts w:ascii="Verdana" w:hAnsi="Verdana" w:cs="Arial"/>
          <w:sz w:val="15"/>
          <w:szCs w:val="15"/>
        </w:rPr>
      </w:pPr>
      <w:r w:rsidRPr="00A07EBF">
        <w:rPr>
          <w:rFonts w:ascii="Verdana" w:hAnsi="Verdana" w:cs="Arial"/>
          <w:sz w:val="15"/>
          <w:szCs w:val="15"/>
        </w:rPr>
        <w:t xml:space="preserve">b) Autonomía administrativa y financiera; </w:t>
      </w:r>
    </w:p>
    <w:p w14:paraId="5A269DBD" w14:textId="77777777" w:rsidR="00F624DD" w:rsidRPr="00A07EBF" w:rsidRDefault="00F624DD" w:rsidP="00F624DD">
      <w:pPr>
        <w:pStyle w:val="Textonotapie"/>
        <w:ind w:firstLine="708"/>
        <w:contextualSpacing/>
        <w:jc w:val="both"/>
        <w:rPr>
          <w:rFonts w:ascii="Verdana" w:hAnsi="Verdana" w:cs="Arial"/>
          <w:sz w:val="15"/>
          <w:szCs w:val="15"/>
        </w:rPr>
      </w:pPr>
      <w:r w:rsidRPr="00A07EBF">
        <w:rPr>
          <w:rFonts w:ascii="Verdana" w:hAnsi="Verdana" w:cs="Arial"/>
          <w:sz w:val="15"/>
          <w:szCs w:val="15"/>
        </w:rPr>
        <w:t xml:space="preserve">c) Capital independiente, constituido totalmente con bienes o fondos públicos comunes, los productos de ellos, o el rendimiento de tasas que perciban por las funciones o servicios, y contribuciones de destinación especial en los casos autorizados por la Constitución. </w:t>
      </w:r>
    </w:p>
    <w:p w14:paraId="167E4CE1" w14:textId="77777777" w:rsidR="00F624DD" w:rsidRPr="00A07EBF" w:rsidRDefault="00F624DD" w:rsidP="00F624DD">
      <w:pPr>
        <w:pStyle w:val="Textonotapie"/>
        <w:ind w:firstLine="708"/>
        <w:contextualSpacing/>
        <w:jc w:val="both"/>
        <w:rPr>
          <w:rFonts w:ascii="Verdana" w:hAnsi="Verdana" w:cs="Arial"/>
          <w:sz w:val="15"/>
          <w:szCs w:val="15"/>
        </w:rPr>
      </w:pPr>
      <w:r w:rsidRPr="00A07EBF">
        <w:rPr>
          <w:rFonts w:ascii="Verdana" w:hAnsi="Verdana" w:cs="Arial"/>
          <w:sz w:val="15"/>
          <w:szCs w:val="15"/>
        </w:rPr>
        <w:t xml:space="preserve">El capital de las empresas industriales y comerciales del Estado podrá estar representado en cuotas o acciones de igual valor nominal. </w:t>
      </w:r>
    </w:p>
    <w:p w14:paraId="065818D3" w14:textId="77777777" w:rsidR="00F624DD" w:rsidRPr="00A07EBF" w:rsidRDefault="00F624DD" w:rsidP="00F624DD">
      <w:pPr>
        <w:pStyle w:val="Textonotapie"/>
        <w:ind w:firstLine="708"/>
        <w:contextualSpacing/>
        <w:jc w:val="both"/>
        <w:rPr>
          <w:rFonts w:ascii="Verdana" w:hAnsi="Verdana" w:cs="Arial"/>
          <w:sz w:val="15"/>
          <w:szCs w:val="15"/>
        </w:rPr>
      </w:pPr>
      <w:r w:rsidRPr="00A07EBF">
        <w:rPr>
          <w:rFonts w:ascii="Verdana" w:hAnsi="Verdana" w:cs="Arial"/>
          <w:sz w:val="15"/>
          <w:szCs w:val="15"/>
        </w:rPr>
        <w:t xml:space="preserve">A las empresas industriales y comerciales del Estado y a las sociedades de economía mixta se les aplicará en lo pertinente los artículos 19, numerales 2°, 4°, 5°, 6°, 12, 13, 17, 27, numerales 2°, 3°, 4°, 5°, y 7°, y 183 de la Ley 142 de 1994. </w:t>
      </w:r>
    </w:p>
    <w:p w14:paraId="7CBD1C42" w14:textId="77777777" w:rsidR="00F624DD" w:rsidRPr="00A07EBF" w:rsidRDefault="00F624DD" w:rsidP="00F624DD">
      <w:pPr>
        <w:pStyle w:val="Textonotapie"/>
        <w:ind w:firstLine="708"/>
        <w:contextualSpacing/>
        <w:jc w:val="both"/>
        <w:rPr>
          <w:rFonts w:ascii="Verdana" w:hAnsi="Verdana" w:cs="Arial"/>
          <w:sz w:val="15"/>
          <w:szCs w:val="15"/>
        </w:rPr>
      </w:pPr>
      <w:r w:rsidRPr="00A07EBF">
        <w:rPr>
          <w:rFonts w:ascii="Verdana" w:hAnsi="Verdana" w:cs="Arial"/>
          <w:sz w:val="15"/>
          <w:szCs w:val="15"/>
        </w:rPr>
        <w:t xml:space="preserve">Parágrafo. Las disposiciones legales que protegen el secreto industrial y la información comercial se aplicarán a aquellos secretos e informaciones de esa naturaleza que desarrollen y posean las empresas industriales y comerciales del Estado”. </w:t>
      </w:r>
    </w:p>
  </w:footnote>
  <w:footnote w:id="32">
    <w:p w14:paraId="7DF2065C" w14:textId="77777777" w:rsidR="00F624DD" w:rsidRPr="00A07EBF" w:rsidRDefault="00F624DD" w:rsidP="00F624DD">
      <w:pPr>
        <w:pStyle w:val="Textonotapie"/>
        <w:ind w:firstLine="708"/>
        <w:jc w:val="both"/>
        <w:rPr>
          <w:rFonts w:ascii="Verdana" w:hAnsi="Verdana"/>
          <w:sz w:val="15"/>
          <w:szCs w:val="15"/>
          <w:lang w:val="es-ES"/>
        </w:rPr>
      </w:pPr>
      <w:r w:rsidRPr="00A07EBF">
        <w:rPr>
          <w:rStyle w:val="Refdenotaalpie"/>
          <w:rFonts w:ascii="Verdana" w:hAnsi="Verdana"/>
          <w:sz w:val="15"/>
          <w:szCs w:val="15"/>
        </w:rPr>
        <w:footnoteRef/>
      </w:r>
      <w:r w:rsidRPr="00A07EBF">
        <w:rPr>
          <w:rFonts w:ascii="Verdana" w:hAnsi="Verdana"/>
          <w:sz w:val="15"/>
          <w:szCs w:val="15"/>
        </w:rPr>
        <w:t xml:space="preserve"> </w:t>
      </w:r>
      <w:r w:rsidRPr="00A07EBF">
        <w:rPr>
          <w:rFonts w:ascii="Verdana" w:hAnsi="Verdana"/>
          <w:sz w:val="15"/>
          <w:szCs w:val="15"/>
          <w:lang w:val="es-ES"/>
        </w:rPr>
        <w:t xml:space="preserve">La doctrina chilena ilustra su aplicación en los siguientes términos: “La ley se ha de entender general e indistintamente. Cuando la ley no hace excepción alguna, pudiendo haberla hecho, no podemos separarnos de su disposición general por medio de una distinción que ella no ha formulado. </w:t>
      </w:r>
      <w:r w:rsidRPr="00A07EBF">
        <w:rPr>
          <w:rFonts w:ascii="Verdana" w:hAnsi="Verdana"/>
          <w:i/>
          <w:iCs/>
          <w:sz w:val="15"/>
          <w:szCs w:val="15"/>
          <w:lang w:val="es-ES"/>
        </w:rPr>
        <w:t>Ubi lex non distinguit nec nos distinguere debemus</w:t>
      </w:r>
      <w:r w:rsidRPr="00A07EBF">
        <w:rPr>
          <w:rFonts w:ascii="Verdana" w:hAnsi="Verdana"/>
          <w:sz w:val="15"/>
          <w:szCs w:val="15"/>
          <w:lang w:val="es-ES"/>
        </w:rPr>
        <w:t>, ‘donde la ley no distingue no puede el hombre distinguir’. ‘La extensión que deba dársele a la ley se determinará por su genuino sentido y según las reglas de interpretación precedentes’, dice el artículo 23.</w:t>
      </w:r>
    </w:p>
    <w:p w14:paraId="48EAF753" w14:textId="77777777" w:rsidR="00F624DD" w:rsidRPr="00A07EBF" w:rsidRDefault="00F624DD" w:rsidP="00F624DD">
      <w:pPr>
        <w:pStyle w:val="Textonotapie"/>
        <w:ind w:firstLine="708"/>
        <w:jc w:val="both"/>
        <w:rPr>
          <w:rFonts w:ascii="Verdana" w:hAnsi="Verdana"/>
          <w:sz w:val="15"/>
          <w:szCs w:val="15"/>
          <w:lang w:val="es-CO"/>
        </w:rPr>
      </w:pPr>
      <w:r w:rsidRPr="00A07EBF">
        <w:rPr>
          <w:rFonts w:ascii="Verdana" w:hAnsi="Verdana"/>
          <w:sz w:val="15"/>
          <w:szCs w:val="15"/>
          <w:lang w:val="es-ES"/>
        </w:rPr>
        <w:t xml:space="preserve">En el derecho antiguo y en el derecho canónico se distinguían las leyes en favorables y odiosas, para ampliar o restringir su interpretación. </w:t>
      </w:r>
      <w:r w:rsidRPr="00A07EBF">
        <w:rPr>
          <w:rFonts w:ascii="Verdana" w:hAnsi="Verdana"/>
          <w:i/>
          <w:iCs/>
          <w:sz w:val="15"/>
          <w:szCs w:val="15"/>
          <w:lang w:val="es-ES"/>
        </w:rPr>
        <w:t>Odia restringí et favores convenit ampliari</w:t>
      </w:r>
      <w:r w:rsidRPr="00A07EBF">
        <w:rPr>
          <w:rFonts w:ascii="Verdana" w:hAnsi="Verdana"/>
          <w:sz w:val="15"/>
          <w:szCs w:val="15"/>
          <w:lang w:val="es-ES"/>
        </w:rPr>
        <w:t xml:space="preserve">. Según esto se tomaban las palabras en su más amplia y extensa significación en materia favorable y se procuraba limitar en lo posible, en caso de duda, en materia odiosa. Estas reglas de aplicación de las leyes eran contrarias a los principios de una correcta interpretación, que no tiene otro objeto que reconstruir el pensamiento del legislador y llegar por este medio al conocimiento completo de la ley. Por este motivo el Código no las admite […]” (Cfr. </w:t>
      </w:r>
      <w:r w:rsidRPr="00A07EBF">
        <w:rPr>
          <w:rFonts w:ascii="Verdana" w:hAnsi="Verdana"/>
          <w:sz w:val="15"/>
          <w:szCs w:val="15"/>
        </w:rPr>
        <w:t>CLARO SOLAR, Luis. Explicaciones de derecho civil chileno y comparado. Volumen I. Tomo I. Santiago: Editorial Jurídica de Chile, 2013. p. 119. Énfasis dentro del texto).</w:t>
      </w:r>
    </w:p>
  </w:footnote>
  <w:footnote w:id="33">
    <w:p w14:paraId="791F0763" w14:textId="77777777" w:rsidR="00F624DD" w:rsidRPr="00A07EBF" w:rsidRDefault="00F624DD" w:rsidP="00F624DD">
      <w:pPr>
        <w:pStyle w:val="Textonotapie"/>
        <w:ind w:firstLine="709"/>
        <w:contextualSpacing/>
        <w:jc w:val="both"/>
        <w:rPr>
          <w:rFonts w:ascii="Verdana" w:hAnsi="Verdana"/>
          <w:sz w:val="15"/>
          <w:szCs w:val="15"/>
          <w:lang w:val="es-CO"/>
        </w:rPr>
      </w:pPr>
      <w:r w:rsidRPr="00A07EBF">
        <w:rPr>
          <w:rStyle w:val="Refdenotaalpie"/>
          <w:rFonts w:ascii="Verdana" w:hAnsi="Verdana"/>
          <w:sz w:val="15"/>
          <w:szCs w:val="15"/>
        </w:rPr>
        <w:footnoteRef/>
      </w:r>
      <w:r w:rsidRPr="00A07EBF">
        <w:rPr>
          <w:rFonts w:ascii="Verdana" w:hAnsi="Verdana"/>
          <w:sz w:val="15"/>
          <w:szCs w:val="15"/>
          <w:lang w:val="es-CO"/>
        </w:rPr>
        <w:t xml:space="preserve"> Consejo de Estado, Sección Tercera, Subsección B. Auto del 4 de octubre de 2024. C.P: Fredy Ibarra Martínez. Exp. 70.313.</w:t>
      </w:r>
    </w:p>
  </w:footnote>
  <w:footnote w:id="34">
    <w:p w14:paraId="366B51CF" w14:textId="77777777" w:rsidR="00F624DD" w:rsidRPr="00A07EBF" w:rsidRDefault="00F624DD" w:rsidP="00F624DD">
      <w:pPr>
        <w:pStyle w:val="Textonotapie"/>
        <w:ind w:firstLine="709"/>
        <w:contextualSpacing/>
        <w:jc w:val="both"/>
        <w:rPr>
          <w:rFonts w:ascii="Verdana" w:hAnsi="Verdana"/>
          <w:sz w:val="15"/>
          <w:szCs w:val="15"/>
          <w:lang w:val="es-CO"/>
        </w:rPr>
      </w:pPr>
      <w:r w:rsidRPr="00A07EBF">
        <w:rPr>
          <w:rStyle w:val="Refdenotaalpie"/>
          <w:rFonts w:ascii="Verdana" w:hAnsi="Verdana"/>
          <w:sz w:val="15"/>
          <w:szCs w:val="15"/>
        </w:rPr>
        <w:footnoteRef/>
      </w:r>
      <w:r w:rsidRPr="00A07EBF">
        <w:rPr>
          <w:rFonts w:ascii="Verdana" w:hAnsi="Verdana"/>
          <w:sz w:val="15"/>
          <w:szCs w:val="15"/>
        </w:rPr>
        <w:t xml:space="preserve"> La parte resolutiva del auto dispone lo siguiente; “</w:t>
      </w:r>
      <w:r w:rsidRPr="00A07EBF">
        <w:rPr>
          <w:rFonts w:ascii="Verdana" w:hAnsi="Verdana"/>
          <w:b/>
          <w:sz w:val="15"/>
          <w:szCs w:val="15"/>
          <w:lang w:val="es-CO"/>
        </w:rPr>
        <w:t xml:space="preserve">PRIMERO: DECRETAR </w:t>
      </w:r>
      <w:r w:rsidRPr="00A07EBF">
        <w:rPr>
          <w:rFonts w:ascii="Verdana" w:hAnsi="Verdana"/>
          <w:sz w:val="15"/>
          <w:szCs w:val="15"/>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A07EBF">
        <w:rPr>
          <w:rFonts w:ascii="Verdana" w:hAnsi="Verdana"/>
          <w:i/>
          <w:sz w:val="15"/>
          <w:szCs w:val="15"/>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A07EBF">
        <w:rPr>
          <w:rFonts w:ascii="Verdana" w:hAnsi="Verdana"/>
          <w:sz w:val="15"/>
          <w:szCs w:val="15"/>
          <w:lang w:val="es-CO"/>
        </w:rPr>
        <w:t xml:space="preserve">, por las razones expuestas en precedencia. </w:t>
      </w:r>
    </w:p>
    <w:p w14:paraId="4E2E3AF4" w14:textId="77777777" w:rsidR="00F624DD" w:rsidRPr="00A07EBF" w:rsidRDefault="00F624DD" w:rsidP="00F624DD">
      <w:pPr>
        <w:pStyle w:val="Textonotapie"/>
        <w:ind w:firstLine="709"/>
        <w:contextualSpacing/>
        <w:jc w:val="both"/>
        <w:rPr>
          <w:rFonts w:ascii="Verdana" w:hAnsi="Verdana"/>
          <w:sz w:val="15"/>
          <w:szCs w:val="15"/>
          <w:lang w:val="es-CO"/>
        </w:rPr>
      </w:pPr>
      <w:r w:rsidRPr="00A07EBF">
        <w:rPr>
          <w:rFonts w:ascii="Verdana" w:hAnsi="Verdana"/>
          <w:b/>
          <w:sz w:val="15"/>
          <w:szCs w:val="15"/>
          <w:lang w:val="es-CO"/>
        </w:rPr>
        <w:t xml:space="preserve">SEGUNDO: DECRETAR </w:t>
      </w:r>
      <w:r w:rsidRPr="00A07EBF">
        <w:rPr>
          <w:rFonts w:ascii="Verdana" w:hAnsi="Verdana"/>
          <w:sz w:val="15"/>
          <w:szCs w:val="15"/>
          <w:lang w:val="es-CO"/>
        </w:rPr>
        <w:t>la suspensión provisional de la expresión “</w:t>
      </w:r>
      <w:r w:rsidRPr="00A07EBF">
        <w:rPr>
          <w:rFonts w:ascii="Verdana" w:hAnsi="Verdana"/>
          <w:i/>
          <w:sz w:val="15"/>
          <w:szCs w:val="15"/>
          <w:lang w:val="es-CO"/>
        </w:rPr>
        <w:t>contratos</w:t>
      </w:r>
      <w:r w:rsidRPr="00A07EBF">
        <w:rPr>
          <w:rFonts w:ascii="Verdana" w:hAnsi="Verdana"/>
          <w:sz w:val="15"/>
          <w:szCs w:val="15"/>
          <w:lang w:val="es-CO"/>
        </w:rPr>
        <w:t xml:space="preserve">” y del párrafo </w:t>
      </w:r>
      <w:r w:rsidRPr="00A07EBF">
        <w:rPr>
          <w:rFonts w:ascii="Verdana" w:hAnsi="Verdana"/>
          <w:i/>
          <w:sz w:val="15"/>
          <w:szCs w:val="15"/>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A07EBF">
        <w:rPr>
          <w:rFonts w:ascii="Verdana" w:hAnsi="Verdana"/>
          <w:sz w:val="15"/>
          <w:szCs w:val="15"/>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35">
    <w:p w14:paraId="5E988ACA" w14:textId="77777777" w:rsidR="00F624DD" w:rsidRPr="00A07EBF" w:rsidRDefault="00F624DD" w:rsidP="00F624DD">
      <w:pPr>
        <w:spacing w:after="0" w:line="240" w:lineRule="auto"/>
        <w:ind w:firstLine="709"/>
        <w:contextualSpacing/>
        <w:jc w:val="both"/>
        <w:rPr>
          <w:rFonts w:ascii="Verdana" w:eastAsia="Times New Roman" w:hAnsi="Verdana" w:cs="Times New Roman"/>
          <w:sz w:val="15"/>
          <w:szCs w:val="15"/>
          <w:lang w:eastAsia="es-ES"/>
        </w:rPr>
      </w:pPr>
      <w:r w:rsidRPr="00A07EBF">
        <w:rPr>
          <w:rStyle w:val="Refdenotaalpie"/>
          <w:rFonts w:ascii="Verdana" w:hAnsi="Verdana"/>
          <w:sz w:val="15"/>
          <w:szCs w:val="15"/>
        </w:rPr>
        <w:footnoteRef/>
      </w:r>
      <w:r w:rsidRPr="00A07EBF">
        <w:rPr>
          <w:rFonts w:ascii="Verdana" w:hAnsi="Verdana"/>
          <w:sz w:val="15"/>
          <w:szCs w:val="15"/>
        </w:rPr>
        <w:t xml:space="preserve"> </w:t>
      </w:r>
      <w:r w:rsidRPr="00A07EBF">
        <w:rPr>
          <w:rFonts w:ascii="Verdana" w:eastAsia="Times New Roman" w:hAnsi="Verdana" w:cs="Times New Roman"/>
          <w:sz w:val="15"/>
          <w:szCs w:val="15"/>
          <w:lang w:eastAsia="es-ES"/>
        </w:rPr>
        <w:t xml:space="preserve">Consejo de Estado. Sección Tercera. Subsección B. 17 de octubre de 2025. C.P. Fredy Ibarra Martínez. </w:t>
      </w:r>
      <w:r w:rsidRPr="00A07EBF">
        <w:rPr>
          <w:rFonts w:ascii="Verdana" w:hAnsi="Verdana"/>
          <w:sz w:val="15"/>
          <w:szCs w:val="15"/>
        </w:rPr>
        <w:t xml:space="preserve">La parte de la providencia señala: </w:t>
      </w:r>
      <w:r w:rsidRPr="00A07EBF">
        <w:rPr>
          <w:rFonts w:ascii="Verdana" w:eastAsia="Times New Roman" w:hAnsi="Verdana" w:cs="Times New Roman"/>
          <w:sz w:val="15"/>
          <w:szCs w:val="15"/>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36">
    <w:p w14:paraId="1D1153A8" w14:textId="77777777" w:rsidR="00F624DD" w:rsidRPr="00C9050C" w:rsidRDefault="00F624DD" w:rsidP="00F624DD">
      <w:pPr>
        <w:pStyle w:val="Textonotapie"/>
        <w:ind w:firstLine="709"/>
        <w:jc w:val="both"/>
        <w:rPr>
          <w:rFonts w:ascii="Verdana" w:hAnsi="Verdana"/>
          <w:sz w:val="16"/>
          <w:szCs w:val="16"/>
          <w:lang w:val="es-CO"/>
        </w:rPr>
      </w:pPr>
      <w:r w:rsidRPr="00A07EBF">
        <w:rPr>
          <w:rStyle w:val="Refdenotaalpie"/>
          <w:rFonts w:ascii="Verdana" w:hAnsi="Verdana"/>
          <w:sz w:val="15"/>
          <w:szCs w:val="15"/>
        </w:rPr>
        <w:footnoteRef/>
      </w:r>
      <w:r w:rsidRPr="00A07EBF">
        <w:rPr>
          <w:rFonts w:ascii="Verdana" w:hAnsi="Verdana"/>
          <w:sz w:val="15"/>
          <w:szCs w:val="15"/>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3pt;height:12.3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3645945">
    <w:abstractNumId w:val="6"/>
  </w:num>
  <w:num w:numId="2" w16cid:durableId="766854401">
    <w:abstractNumId w:val="2"/>
  </w:num>
  <w:num w:numId="3" w16cid:durableId="338434776">
    <w:abstractNumId w:val="4"/>
  </w:num>
  <w:num w:numId="4" w16cid:durableId="82359318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28702439">
    <w:abstractNumId w:val="2"/>
  </w:num>
  <w:num w:numId="6" w16cid:durableId="1804077783">
    <w:abstractNumId w:val="14"/>
  </w:num>
  <w:num w:numId="7" w16cid:durableId="1734742240">
    <w:abstractNumId w:val="5"/>
  </w:num>
  <w:num w:numId="8" w16cid:durableId="1644848269">
    <w:abstractNumId w:val="13"/>
  </w:num>
  <w:num w:numId="9" w16cid:durableId="1810122872">
    <w:abstractNumId w:val="7"/>
  </w:num>
  <w:num w:numId="10" w16cid:durableId="14693468">
    <w:abstractNumId w:val="12"/>
  </w:num>
  <w:num w:numId="11" w16cid:durableId="1640694190">
    <w:abstractNumId w:val="8"/>
  </w:num>
  <w:num w:numId="12" w16cid:durableId="1002274292">
    <w:abstractNumId w:val="1"/>
  </w:num>
  <w:num w:numId="13" w16cid:durableId="1619874853">
    <w:abstractNumId w:val="3"/>
  </w:num>
  <w:num w:numId="14" w16cid:durableId="782265194">
    <w:abstractNumId w:val="15"/>
  </w:num>
  <w:num w:numId="15" w16cid:durableId="1094276865">
    <w:abstractNumId w:val="11"/>
  </w:num>
  <w:num w:numId="16" w16cid:durableId="1587421541">
    <w:abstractNumId w:val="0"/>
  </w:num>
  <w:num w:numId="17" w16cid:durableId="154617177">
    <w:abstractNumId w:val="9"/>
  </w:num>
  <w:num w:numId="18" w16cid:durableId="139470038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6F78"/>
    <w:rsid w:val="00046945"/>
    <w:rsid w:val="00061B2A"/>
    <w:rsid w:val="00081367"/>
    <w:rsid w:val="00082362"/>
    <w:rsid w:val="000825A6"/>
    <w:rsid w:val="00095DAE"/>
    <w:rsid w:val="000A683E"/>
    <w:rsid w:val="000B19B9"/>
    <w:rsid w:val="000D0334"/>
    <w:rsid w:val="000D5DA7"/>
    <w:rsid w:val="000F6486"/>
    <w:rsid w:val="00102203"/>
    <w:rsid w:val="00116940"/>
    <w:rsid w:val="00125105"/>
    <w:rsid w:val="00127233"/>
    <w:rsid w:val="0015699B"/>
    <w:rsid w:val="001A33BF"/>
    <w:rsid w:val="001E194B"/>
    <w:rsid w:val="001E4177"/>
    <w:rsid w:val="001F0B24"/>
    <w:rsid w:val="001F7DC6"/>
    <w:rsid w:val="0022400B"/>
    <w:rsid w:val="002421BB"/>
    <w:rsid w:val="0025796E"/>
    <w:rsid w:val="00261121"/>
    <w:rsid w:val="002707A2"/>
    <w:rsid w:val="002845F4"/>
    <w:rsid w:val="00293441"/>
    <w:rsid w:val="002951A0"/>
    <w:rsid w:val="002962BC"/>
    <w:rsid w:val="002A093D"/>
    <w:rsid w:val="002A0DD0"/>
    <w:rsid w:val="002A49AC"/>
    <w:rsid w:val="002A64FD"/>
    <w:rsid w:val="002C5725"/>
    <w:rsid w:val="002C7A84"/>
    <w:rsid w:val="002E2BF8"/>
    <w:rsid w:val="002E4FD9"/>
    <w:rsid w:val="002F3CDF"/>
    <w:rsid w:val="0030657A"/>
    <w:rsid w:val="00322A85"/>
    <w:rsid w:val="00324168"/>
    <w:rsid w:val="00330834"/>
    <w:rsid w:val="003318AB"/>
    <w:rsid w:val="003448F4"/>
    <w:rsid w:val="00355EA0"/>
    <w:rsid w:val="003604F5"/>
    <w:rsid w:val="00374F5E"/>
    <w:rsid w:val="00377E3E"/>
    <w:rsid w:val="003A779E"/>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66302"/>
    <w:rsid w:val="00466E39"/>
    <w:rsid w:val="00473BEB"/>
    <w:rsid w:val="004A1847"/>
    <w:rsid w:val="004A305D"/>
    <w:rsid w:val="004B7D74"/>
    <w:rsid w:val="004F21C4"/>
    <w:rsid w:val="004F685F"/>
    <w:rsid w:val="0053199F"/>
    <w:rsid w:val="005566E8"/>
    <w:rsid w:val="00574867"/>
    <w:rsid w:val="00580BC6"/>
    <w:rsid w:val="00591460"/>
    <w:rsid w:val="00597A19"/>
    <w:rsid w:val="005A65E0"/>
    <w:rsid w:val="005C3777"/>
    <w:rsid w:val="005C5CDC"/>
    <w:rsid w:val="005C6BC8"/>
    <w:rsid w:val="005D476C"/>
    <w:rsid w:val="005E6B20"/>
    <w:rsid w:val="005F181C"/>
    <w:rsid w:val="006200BF"/>
    <w:rsid w:val="006219F8"/>
    <w:rsid w:val="006302F7"/>
    <w:rsid w:val="00646B9F"/>
    <w:rsid w:val="00665D70"/>
    <w:rsid w:val="006900D9"/>
    <w:rsid w:val="006C04F1"/>
    <w:rsid w:val="00706C16"/>
    <w:rsid w:val="007317FA"/>
    <w:rsid w:val="007340C3"/>
    <w:rsid w:val="0075235A"/>
    <w:rsid w:val="00756841"/>
    <w:rsid w:val="007649AB"/>
    <w:rsid w:val="00771D0C"/>
    <w:rsid w:val="007829E1"/>
    <w:rsid w:val="007833AC"/>
    <w:rsid w:val="007A153F"/>
    <w:rsid w:val="007B268C"/>
    <w:rsid w:val="007B7171"/>
    <w:rsid w:val="007C0C0F"/>
    <w:rsid w:val="007C3DC2"/>
    <w:rsid w:val="007D3968"/>
    <w:rsid w:val="007E5497"/>
    <w:rsid w:val="00806F5F"/>
    <w:rsid w:val="00815B83"/>
    <w:rsid w:val="00820169"/>
    <w:rsid w:val="00820278"/>
    <w:rsid w:val="008258C9"/>
    <w:rsid w:val="00844AE9"/>
    <w:rsid w:val="00867F95"/>
    <w:rsid w:val="008835B4"/>
    <w:rsid w:val="008843B6"/>
    <w:rsid w:val="00891928"/>
    <w:rsid w:val="008934CB"/>
    <w:rsid w:val="00895356"/>
    <w:rsid w:val="008A446D"/>
    <w:rsid w:val="008B104D"/>
    <w:rsid w:val="008B25F1"/>
    <w:rsid w:val="008C571F"/>
    <w:rsid w:val="008D180B"/>
    <w:rsid w:val="008E72AF"/>
    <w:rsid w:val="008F0EA7"/>
    <w:rsid w:val="008F327E"/>
    <w:rsid w:val="00923EEF"/>
    <w:rsid w:val="009305DC"/>
    <w:rsid w:val="009419F9"/>
    <w:rsid w:val="0095685E"/>
    <w:rsid w:val="00961B09"/>
    <w:rsid w:val="00965334"/>
    <w:rsid w:val="0097093E"/>
    <w:rsid w:val="00990BF1"/>
    <w:rsid w:val="009A0DFA"/>
    <w:rsid w:val="009A1C6F"/>
    <w:rsid w:val="009B2D26"/>
    <w:rsid w:val="009C71FA"/>
    <w:rsid w:val="009C72E7"/>
    <w:rsid w:val="009C7F7E"/>
    <w:rsid w:val="009D3058"/>
    <w:rsid w:val="009F3A13"/>
    <w:rsid w:val="00A07EBF"/>
    <w:rsid w:val="00A122D3"/>
    <w:rsid w:val="00A14468"/>
    <w:rsid w:val="00A17F13"/>
    <w:rsid w:val="00A20739"/>
    <w:rsid w:val="00A23AF9"/>
    <w:rsid w:val="00A33C78"/>
    <w:rsid w:val="00A6126D"/>
    <w:rsid w:val="00A63F17"/>
    <w:rsid w:val="00A83161"/>
    <w:rsid w:val="00A86E5C"/>
    <w:rsid w:val="00AB0ADB"/>
    <w:rsid w:val="00AF493F"/>
    <w:rsid w:val="00B00C0E"/>
    <w:rsid w:val="00B01B1A"/>
    <w:rsid w:val="00B0381D"/>
    <w:rsid w:val="00B13882"/>
    <w:rsid w:val="00B14F36"/>
    <w:rsid w:val="00B34FFB"/>
    <w:rsid w:val="00B44A47"/>
    <w:rsid w:val="00B72CD3"/>
    <w:rsid w:val="00B72FFF"/>
    <w:rsid w:val="00B7443D"/>
    <w:rsid w:val="00B944AA"/>
    <w:rsid w:val="00B95ED8"/>
    <w:rsid w:val="00BA7A2E"/>
    <w:rsid w:val="00BC3D36"/>
    <w:rsid w:val="00BD54A6"/>
    <w:rsid w:val="00BD7F72"/>
    <w:rsid w:val="00BF6651"/>
    <w:rsid w:val="00BF7425"/>
    <w:rsid w:val="00C04FB3"/>
    <w:rsid w:val="00C11D8B"/>
    <w:rsid w:val="00C15139"/>
    <w:rsid w:val="00C330EB"/>
    <w:rsid w:val="00C50D69"/>
    <w:rsid w:val="00C5365C"/>
    <w:rsid w:val="00C67C8B"/>
    <w:rsid w:val="00C754BE"/>
    <w:rsid w:val="00C76B1C"/>
    <w:rsid w:val="00C925AC"/>
    <w:rsid w:val="00C958D1"/>
    <w:rsid w:val="00CA0E68"/>
    <w:rsid w:val="00CB6357"/>
    <w:rsid w:val="00CC1B26"/>
    <w:rsid w:val="00CD6067"/>
    <w:rsid w:val="00CE4589"/>
    <w:rsid w:val="00CF4861"/>
    <w:rsid w:val="00D350D3"/>
    <w:rsid w:val="00D361FD"/>
    <w:rsid w:val="00D423A2"/>
    <w:rsid w:val="00D44E26"/>
    <w:rsid w:val="00D520D8"/>
    <w:rsid w:val="00D53F94"/>
    <w:rsid w:val="00D63AC2"/>
    <w:rsid w:val="00D7383B"/>
    <w:rsid w:val="00D7788A"/>
    <w:rsid w:val="00DA231B"/>
    <w:rsid w:val="00DC39FC"/>
    <w:rsid w:val="00DD0992"/>
    <w:rsid w:val="00DF5254"/>
    <w:rsid w:val="00E02524"/>
    <w:rsid w:val="00E16408"/>
    <w:rsid w:val="00E20894"/>
    <w:rsid w:val="00E245AB"/>
    <w:rsid w:val="00E2764C"/>
    <w:rsid w:val="00E27F2E"/>
    <w:rsid w:val="00E50AFE"/>
    <w:rsid w:val="00E56EE8"/>
    <w:rsid w:val="00E60AD8"/>
    <w:rsid w:val="00E75C92"/>
    <w:rsid w:val="00E760D9"/>
    <w:rsid w:val="00E771DC"/>
    <w:rsid w:val="00E8772A"/>
    <w:rsid w:val="00E90AC3"/>
    <w:rsid w:val="00E90F6B"/>
    <w:rsid w:val="00E92C27"/>
    <w:rsid w:val="00EA0E3D"/>
    <w:rsid w:val="00EA4B5D"/>
    <w:rsid w:val="00EC38A7"/>
    <w:rsid w:val="00EE1AA8"/>
    <w:rsid w:val="00F163B0"/>
    <w:rsid w:val="00F23FEA"/>
    <w:rsid w:val="00F31A4A"/>
    <w:rsid w:val="00F31EDC"/>
    <w:rsid w:val="00F462B3"/>
    <w:rsid w:val="00F5664F"/>
    <w:rsid w:val="00F624DD"/>
    <w:rsid w:val="00F666C4"/>
    <w:rsid w:val="00F7339B"/>
    <w:rsid w:val="00F76AFC"/>
    <w:rsid w:val="00FA3E17"/>
    <w:rsid w:val="00FA47C0"/>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24DD"/>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ubgerencia@bim.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F34F402D-686F-4B4C-AC20-1F1A25D491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24</TotalTime>
  <Pages>33</Pages>
  <Words>11321</Words>
  <Characters>61479</Characters>
  <Application>Microsoft Office Word</Application>
  <DocSecurity>0</DocSecurity>
  <Lines>1138</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cp:lastModifiedBy>
  <cp:revision>7</cp:revision>
  <cp:lastPrinted>2023-01-10T21:18:00Z</cp:lastPrinted>
  <dcterms:created xsi:type="dcterms:W3CDTF">2025-12-17T14:37:00Z</dcterms:created>
  <dcterms:modified xsi:type="dcterms:W3CDTF">2025-12-18T16:47:00Z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