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7FB86" w14:textId="5DBAE688" w:rsidR="00027D68" w:rsidRDefault="00027D68" w:rsidP="00027D68">
      <w:pPr>
        <w:spacing w:after="0"/>
        <w:rPr>
          <w:rFonts w:ascii="Verdana" w:hAnsi="Verdana"/>
        </w:rPr>
      </w:pPr>
      <w:bookmarkStart w:id="0" w:name="_Hlk143780582"/>
    </w:p>
    <w:p w14:paraId="11689B13" w14:textId="20EE63D1" w:rsidR="00DA612F" w:rsidRDefault="00DA612F" w:rsidP="00027D68">
      <w:pPr>
        <w:spacing w:after="0"/>
        <w:rPr>
          <w:rFonts w:ascii="Verdana" w:hAnsi="Verdana"/>
        </w:rPr>
      </w:pPr>
    </w:p>
    <w:p w14:paraId="39ACA0C6" w14:textId="1BA01B21" w:rsidR="00DA612F" w:rsidRPr="00DA612F" w:rsidRDefault="00DA612F" w:rsidP="00027D68">
      <w:pPr>
        <w:spacing w:after="0"/>
        <w:rPr>
          <w:rFonts w:ascii="Verdana" w:hAnsi="Verdana"/>
        </w:rPr>
      </w:pPr>
      <w:r w:rsidRPr="00DA612F">
        <w:rPr>
          <w:rFonts w:ascii="Verdana" w:hAnsi="Verdana"/>
          <w:noProof/>
        </w:rPr>
        <w:drawing>
          <wp:anchor distT="0" distB="0" distL="0" distR="0" simplePos="0" relativeHeight="251659264" behindDoc="0" locked="0" layoutInCell="1" allowOverlap="1" wp14:anchorId="7B4FDAF2" wp14:editId="716E9ADD">
            <wp:simplePos x="0" y="0"/>
            <wp:positionH relativeFrom="page">
              <wp:posOffset>3926702</wp:posOffset>
            </wp:positionH>
            <wp:positionV relativeFrom="paragraph">
              <wp:posOffset>103367</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rsidRPr="00DA612F">
        <w:rPr>
          <w:rFonts w:ascii="Verdana" w:hAnsi="Verdana"/>
        </w:rPr>
        <w:t>Bogotá</w:t>
      </w:r>
      <w:r w:rsidRPr="00DA612F">
        <w:rPr>
          <w:rFonts w:ascii="Verdana" w:hAnsi="Verdana"/>
          <w:spacing w:val="-12"/>
        </w:rPr>
        <w:t xml:space="preserve"> </w:t>
      </w:r>
      <w:r w:rsidRPr="00DA612F">
        <w:rPr>
          <w:rFonts w:ascii="Verdana" w:hAnsi="Verdana"/>
        </w:rPr>
        <w:t>D.C.,</w:t>
      </w:r>
      <w:r w:rsidRPr="00DA612F">
        <w:rPr>
          <w:rFonts w:ascii="Verdana" w:hAnsi="Verdana"/>
          <w:spacing w:val="-8"/>
        </w:rPr>
        <w:t xml:space="preserve"> </w:t>
      </w:r>
      <w:r w:rsidRPr="00DA612F">
        <w:rPr>
          <w:rFonts w:ascii="Verdana" w:hAnsi="Verdana"/>
        </w:rPr>
        <w:t>22</w:t>
      </w:r>
      <w:r w:rsidRPr="00DA612F">
        <w:rPr>
          <w:rFonts w:ascii="Verdana" w:hAnsi="Verdana"/>
          <w:spacing w:val="-12"/>
        </w:rPr>
        <w:t xml:space="preserve"> </w:t>
      </w:r>
      <w:r w:rsidRPr="00DA612F">
        <w:rPr>
          <w:rFonts w:ascii="Verdana" w:hAnsi="Verdana"/>
        </w:rPr>
        <w:t>Diciembre</w:t>
      </w:r>
      <w:r w:rsidRPr="00DA612F">
        <w:rPr>
          <w:rFonts w:ascii="Verdana" w:hAnsi="Verdana"/>
          <w:spacing w:val="-8"/>
        </w:rPr>
        <w:t xml:space="preserve"> </w:t>
      </w:r>
      <w:r w:rsidRPr="00DA612F">
        <w:rPr>
          <w:rFonts w:ascii="Verdana" w:hAnsi="Verdana"/>
        </w:rPr>
        <w:t>2025</w:t>
      </w:r>
    </w:p>
    <w:p w14:paraId="7D7F8B2E" w14:textId="77777777" w:rsidR="00DA612F" w:rsidRDefault="00DA612F" w:rsidP="00027D68">
      <w:pPr>
        <w:spacing w:after="0" w:line="240" w:lineRule="auto"/>
        <w:jc w:val="both"/>
        <w:rPr>
          <w:rFonts w:ascii="Verdana" w:eastAsia="Calibri" w:hAnsi="Verdana" w:cs="Arial"/>
          <w:lang w:val="es-ES" w:eastAsia="es-ES"/>
        </w:rPr>
      </w:pPr>
    </w:p>
    <w:p w14:paraId="5C990624" w14:textId="0672CF18" w:rsidR="00027D68" w:rsidRPr="00B96799" w:rsidRDefault="00027D68" w:rsidP="00027D68">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58D7156" w14:textId="77777777" w:rsidR="00027D68" w:rsidRPr="00B96799" w:rsidRDefault="00027D68" w:rsidP="00027D68">
      <w:pPr>
        <w:spacing w:after="0" w:line="240" w:lineRule="auto"/>
        <w:rPr>
          <w:rFonts w:ascii="Verdana" w:eastAsia="Calibri" w:hAnsi="Verdana" w:cs="Arial"/>
          <w:b/>
          <w:bCs/>
          <w:lang w:val="es-ES" w:eastAsia="es-ES"/>
        </w:rPr>
      </w:pPr>
      <w:r w:rsidRPr="050A7722">
        <w:rPr>
          <w:rFonts w:ascii="Verdana" w:eastAsia="Calibri" w:hAnsi="Verdana" w:cs="Arial"/>
          <w:b/>
          <w:bCs/>
          <w:lang w:val="es-ES" w:eastAsia="es-ES"/>
        </w:rPr>
        <w:t xml:space="preserve">Juan David Patino </w:t>
      </w:r>
      <w:proofErr w:type="spellStart"/>
      <w:r w:rsidRPr="050A7722">
        <w:rPr>
          <w:rFonts w:ascii="Verdana" w:eastAsia="Calibri" w:hAnsi="Verdana" w:cs="Arial"/>
          <w:b/>
          <w:bCs/>
          <w:lang w:val="es-ES" w:eastAsia="es-ES"/>
        </w:rPr>
        <w:t>Trasaladino</w:t>
      </w:r>
      <w:proofErr w:type="spellEnd"/>
      <w:r w:rsidRPr="050A7722">
        <w:rPr>
          <w:rFonts w:ascii="Verdana" w:eastAsia="Calibri" w:hAnsi="Verdana" w:cs="Arial"/>
          <w:b/>
          <w:bCs/>
          <w:lang w:val="es-ES" w:eastAsia="es-ES"/>
        </w:rPr>
        <w:t xml:space="preserve"> </w:t>
      </w:r>
    </w:p>
    <w:p w14:paraId="4E41DD6A" w14:textId="77777777" w:rsidR="00027D68" w:rsidRDefault="00027D68" w:rsidP="00027D68">
      <w:pPr>
        <w:spacing w:after="0" w:line="240" w:lineRule="auto"/>
        <w:rPr>
          <w:rFonts w:ascii="Verdana" w:eastAsia="Calibri" w:hAnsi="Verdana" w:cs="Arial"/>
          <w:lang w:val="es-ES" w:eastAsia="es-ES"/>
        </w:rPr>
      </w:pPr>
      <w:hyperlink r:id="rId11" w:history="1">
        <w:r w:rsidRPr="00DE01CE">
          <w:rPr>
            <w:rStyle w:val="Hipervnculo"/>
            <w:rFonts w:ascii="Verdana" w:eastAsia="Calibri" w:hAnsi="Verdana" w:cs="Arial"/>
            <w:lang w:val="es-ES" w:eastAsia="es-ES"/>
          </w:rPr>
          <w:t>davidsanti090815@gmail.com</w:t>
        </w:r>
      </w:hyperlink>
    </w:p>
    <w:p w14:paraId="4FD7F802" w14:textId="77777777" w:rsidR="00027D68" w:rsidRPr="00B96799" w:rsidRDefault="00027D68" w:rsidP="00027D68">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El dorado, Meta </w:t>
      </w:r>
    </w:p>
    <w:p w14:paraId="2B525007"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p w14:paraId="0FD4D438"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7D68" w:rsidRPr="00282C35" w14:paraId="50A9BF20" w14:textId="77777777" w:rsidTr="00E44737">
        <w:trPr>
          <w:trHeight w:val="884"/>
        </w:trPr>
        <w:tc>
          <w:tcPr>
            <w:tcW w:w="2689" w:type="dxa"/>
          </w:tcPr>
          <w:p w14:paraId="72DE1A3E" w14:textId="77777777" w:rsidR="00027D68" w:rsidRPr="00282C35" w:rsidRDefault="00027D68" w:rsidP="00E44737">
            <w:pPr>
              <w:spacing w:line="276" w:lineRule="auto"/>
              <w:jc w:val="both"/>
              <w:rPr>
                <w:rFonts w:ascii="Verdana" w:eastAsia="Calibri" w:hAnsi="Verdana" w:cs="Arial"/>
                <w:b/>
                <w:bCs/>
                <w:color w:val="7030A0"/>
                <w:lang w:val="es-ES_tradnl" w:eastAsia="es-ES_tradnl"/>
              </w:rPr>
            </w:pPr>
          </w:p>
        </w:tc>
        <w:tc>
          <w:tcPr>
            <w:tcW w:w="6100" w:type="dxa"/>
          </w:tcPr>
          <w:p w14:paraId="4DA1BBAD" w14:textId="77777777" w:rsidR="00027D68" w:rsidRPr="00282C35" w:rsidRDefault="00027D68" w:rsidP="00E44737">
            <w:pPr>
              <w:spacing w:line="276" w:lineRule="auto"/>
              <w:jc w:val="both"/>
              <w:rPr>
                <w:rFonts w:ascii="Verdana" w:eastAsia="Calibri" w:hAnsi="Verdana" w:cs="Arial"/>
                <w:b/>
                <w:bCs/>
                <w:color w:val="7030A0"/>
                <w:lang w:val="es-ES" w:eastAsia="es-ES"/>
              </w:rPr>
            </w:pPr>
            <w:r w:rsidRPr="00282C35">
              <w:rPr>
                <w:rFonts w:ascii="Verdana" w:eastAsia="Calibri" w:hAnsi="Verdana" w:cs="Arial"/>
                <w:b/>
                <w:bCs/>
                <w:lang w:val="es-ES" w:eastAsia="es-ES"/>
              </w:rPr>
              <w:t>Concepto C</w:t>
            </w:r>
            <w:r>
              <w:rPr>
                <w:rFonts w:ascii="Verdana" w:eastAsia="Calibri" w:hAnsi="Verdana" w:cs="Arial"/>
                <w:b/>
                <w:bCs/>
                <w:lang w:val="es-ES" w:eastAsia="es-ES"/>
              </w:rPr>
              <w:t>- 1649</w:t>
            </w:r>
            <w:r w:rsidRPr="00282C35">
              <w:rPr>
                <w:rFonts w:ascii="Verdana" w:eastAsia="Calibri" w:hAnsi="Verdana" w:cs="Arial"/>
                <w:b/>
                <w:bCs/>
                <w:color w:val="7030A0"/>
                <w:lang w:val="es-ES" w:eastAsia="es-ES"/>
              </w:rPr>
              <w:t xml:space="preserve"> </w:t>
            </w:r>
            <w:r w:rsidRPr="00282C35">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027D68" w:rsidRPr="00282C35" w14:paraId="142573E2" w14:textId="77777777" w:rsidTr="00E44737">
        <w:trPr>
          <w:trHeight w:val="884"/>
        </w:trPr>
        <w:tc>
          <w:tcPr>
            <w:tcW w:w="2689" w:type="dxa"/>
          </w:tcPr>
          <w:p w14:paraId="1B162251" w14:textId="77777777" w:rsidR="00027D68" w:rsidRPr="00FE6BBD" w:rsidRDefault="00027D68" w:rsidP="00E44737">
            <w:pPr>
              <w:spacing w:line="276" w:lineRule="auto"/>
              <w:jc w:val="both"/>
              <w:rPr>
                <w:rFonts w:ascii="Verdana" w:eastAsia="Calibri" w:hAnsi="Verdana" w:cs="Arial"/>
                <w:color w:val="000000" w:themeColor="text1"/>
                <w:lang w:val="es-ES_tradnl" w:eastAsia="es-ES_tradnl"/>
              </w:rPr>
            </w:pPr>
            <w:r w:rsidRPr="00FE6BBD">
              <w:rPr>
                <w:rFonts w:ascii="Verdana" w:eastAsia="Calibri" w:hAnsi="Verdana" w:cs="Arial"/>
                <w:b/>
                <w:color w:val="000000" w:themeColor="text1"/>
                <w:lang w:val="es-ES_tradnl" w:eastAsia="es-ES_tradnl"/>
              </w:rPr>
              <w:t>Temas:</w:t>
            </w:r>
            <w:r w:rsidRPr="00FE6BBD">
              <w:rPr>
                <w:rFonts w:ascii="Verdana" w:eastAsia="Calibri" w:hAnsi="Verdana" w:cs="Arial"/>
                <w:color w:val="000000" w:themeColor="text1"/>
                <w:lang w:val="es-ES_tradnl" w:eastAsia="es-ES_tradnl"/>
              </w:rPr>
              <w:t xml:space="preserve">                   </w:t>
            </w:r>
          </w:p>
        </w:tc>
        <w:tc>
          <w:tcPr>
            <w:tcW w:w="6100" w:type="dxa"/>
          </w:tcPr>
          <w:p w14:paraId="3B2F4249" w14:textId="77777777" w:rsidR="00027D68" w:rsidRDefault="00027D68" w:rsidP="00E44737">
            <w:pPr>
              <w:spacing w:line="276" w:lineRule="auto"/>
              <w:contextualSpacing/>
              <w:jc w:val="both"/>
              <w:rPr>
                <w:rFonts w:ascii="Verdana" w:hAnsi="Verdana"/>
              </w:rPr>
            </w:pPr>
            <w:r>
              <w:rPr>
                <w:rFonts w:ascii="Verdana" w:eastAsia="Arial" w:hAnsi="Verdana" w:cs="Arial"/>
                <w:bCs/>
                <w:lang w:val="es-MX" w:eastAsia="es-ES_tradnl"/>
              </w:rPr>
              <w:t xml:space="preserve">MÍNIMA CUATÍA - </w:t>
            </w:r>
            <w:r w:rsidRPr="00FE6BBD">
              <w:rPr>
                <w:rFonts w:ascii="Verdana" w:eastAsia="Arial" w:hAnsi="Verdana" w:cs="Arial"/>
                <w:bCs/>
                <w:lang w:val="es-MX" w:eastAsia="es-ES_tradnl"/>
              </w:rPr>
              <w:t xml:space="preserve">FORMATO HOJA DE VIDA DE LA FUNCIÓN PÚBLICA-Persona Jurídica </w:t>
            </w:r>
            <w:r w:rsidRPr="00FE6BBD">
              <w:rPr>
                <w:rFonts w:ascii="Verdana" w:hAnsi="Verdana"/>
              </w:rPr>
              <w:t>Principios de Adecuación y Proporcionalidad</w:t>
            </w:r>
            <w:r>
              <w:rPr>
                <w:rFonts w:ascii="Verdana" w:hAnsi="Verdana"/>
              </w:rPr>
              <w:t>.</w:t>
            </w:r>
          </w:p>
          <w:p w14:paraId="1F0EC197" w14:textId="77777777" w:rsidR="00027D68" w:rsidRPr="00FE6BBD" w:rsidRDefault="00027D68" w:rsidP="00E44737">
            <w:pPr>
              <w:spacing w:line="276" w:lineRule="auto"/>
              <w:contextualSpacing/>
              <w:jc w:val="both"/>
              <w:rPr>
                <w:rFonts w:ascii="Verdana" w:eastAsia="Calibri" w:hAnsi="Verdana" w:cs="Arial"/>
                <w:color w:val="000000" w:themeColor="text1"/>
                <w:lang w:val="es-MX" w:eastAsia="es-ES"/>
              </w:rPr>
            </w:pPr>
          </w:p>
        </w:tc>
      </w:tr>
      <w:tr w:rsidR="00027D68" w:rsidRPr="00282C35" w14:paraId="50A4813B" w14:textId="77777777" w:rsidTr="00E44737">
        <w:tc>
          <w:tcPr>
            <w:tcW w:w="2689" w:type="dxa"/>
          </w:tcPr>
          <w:p w14:paraId="7BDB5726" w14:textId="77777777" w:rsidR="00027D68" w:rsidRPr="002A3BBB" w:rsidRDefault="00027D68" w:rsidP="00E44737">
            <w:pPr>
              <w:spacing w:line="276" w:lineRule="auto"/>
              <w:jc w:val="both"/>
              <w:rPr>
                <w:rFonts w:ascii="Verdana" w:eastAsia="Calibri" w:hAnsi="Verdana" w:cs="Arial"/>
                <w:b/>
                <w:color w:val="000000" w:themeColor="text1"/>
                <w:lang w:val="es-ES_tradnl" w:eastAsia="es-ES_tradnl"/>
              </w:rPr>
            </w:pPr>
            <w:r w:rsidRPr="002A3BBB">
              <w:rPr>
                <w:rFonts w:ascii="Verdana" w:eastAsia="Calibri" w:hAnsi="Verdana" w:cs="Arial"/>
                <w:b/>
                <w:color w:val="000000" w:themeColor="text1"/>
                <w:lang w:val="es-ES_tradnl" w:eastAsia="es-ES_tradnl"/>
              </w:rPr>
              <w:t>Radicación:</w:t>
            </w:r>
            <w:r w:rsidRPr="002A3BBB">
              <w:rPr>
                <w:rFonts w:ascii="Verdana" w:eastAsia="Calibri" w:hAnsi="Verdana" w:cs="Arial"/>
                <w:color w:val="000000" w:themeColor="text1"/>
                <w:lang w:val="es-ES_tradnl" w:eastAsia="es-ES_tradnl"/>
              </w:rPr>
              <w:t xml:space="preserve">               </w:t>
            </w:r>
          </w:p>
        </w:tc>
        <w:tc>
          <w:tcPr>
            <w:tcW w:w="6100" w:type="dxa"/>
          </w:tcPr>
          <w:p w14:paraId="28AB59E5" w14:textId="77777777" w:rsidR="00027D68" w:rsidRPr="002A3BBB" w:rsidRDefault="00027D68" w:rsidP="00E44737">
            <w:pPr>
              <w:spacing w:line="276" w:lineRule="auto"/>
              <w:jc w:val="both"/>
              <w:rPr>
                <w:rFonts w:ascii="Verdana" w:eastAsia="Calibri" w:hAnsi="Verdana" w:cs="Arial"/>
                <w:color w:val="000000" w:themeColor="text1"/>
                <w:lang w:val="es-ES_tradnl" w:eastAsia="es-ES_tradnl"/>
              </w:rPr>
            </w:pPr>
            <w:r w:rsidRPr="002A3BBB">
              <w:rPr>
                <w:rFonts w:ascii="Verdana" w:eastAsia="Calibri" w:hAnsi="Verdana" w:cs="Arial"/>
                <w:color w:val="000000" w:themeColor="text1"/>
                <w:lang w:val="es-ES_tradnl" w:eastAsia="es-ES_tradnl"/>
              </w:rPr>
              <w:t>Respuesta a consulta con radicado No. P</w:t>
            </w:r>
            <w:r w:rsidRPr="002A3BBB">
              <w:rPr>
                <w:rFonts w:ascii="Verdana" w:hAnsi="Verdana"/>
                <w:color w:val="000000" w:themeColor="text1"/>
                <w:shd w:val="clear" w:color="auto" w:fill="F5F5F5"/>
              </w:rPr>
              <w:t xml:space="preserve"> 1_2025_11_07_012618</w:t>
            </w:r>
          </w:p>
        </w:tc>
      </w:tr>
    </w:tbl>
    <w:p w14:paraId="51FE8282" w14:textId="77777777" w:rsidR="00027D68" w:rsidRPr="00282C35" w:rsidRDefault="00027D68" w:rsidP="00027D68">
      <w:pPr>
        <w:spacing w:after="0" w:line="276" w:lineRule="auto"/>
        <w:jc w:val="both"/>
        <w:rPr>
          <w:rFonts w:ascii="Verdana" w:eastAsia="Calibri" w:hAnsi="Verdana" w:cs="Arial"/>
          <w:color w:val="000000"/>
          <w:lang w:val="es-ES_tradnl" w:eastAsia="es-ES_tradnl"/>
        </w:rPr>
      </w:pPr>
    </w:p>
    <w:p w14:paraId="2BE19968"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A3BBB">
        <w:rPr>
          <w:rFonts w:ascii="Verdana" w:eastAsia="Calibri" w:hAnsi="Verdana" w:cs="Arial"/>
          <w:color w:val="000000" w:themeColor="text1"/>
          <w:lang w:val="es-ES" w:eastAsia="es-ES"/>
        </w:rPr>
        <w:t xml:space="preserve">Estimado señor </w:t>
      </w:r>
      <w:proofErr w:type="spellStart"/>
      <w:r w:rsidRPr="002A3BBB">
        <w:rPr>
          <w:rFonts w:ascii="Verdana" w:eastAsia="Calibri" w:hAnsi="Verdana" w:cs="Arial"/>
          <w:color w:val="000000" w:themeColor="text1"/>
          <w:lang w:val="es-ES" w:eastAsia="es-ES"/>
        </w:rPr>
        <w:t>Trasaladino</w:t>
      </w:r>
      <w:proofErr w:type="spellEnd"/>
      <w:r w:rsidRPr="002A3BBB">
        <w:rPr>
          <w:rFonts w:ascii="Verdana" w:eastAsia="Calibri" w:hAnsi="Verdana" w:cs="Arial"/>
          <w:color w:val="000000" w:themeColor="text1"/>
          <w:lang w:val="es-ES" w:eastAsia="es-ES"/>
        </w:rPr>
        <w:t xml:space="preserve">: </w:t>
      </w:r>
    </w:p>
    <w:p w14:paraId="08C6FF01" w14:textId="77777777" w:rsidR="00027D68" w:rsidRPr="00282C35" w:rsidRDefault="00027D68" w:rsidP="00027D68">
      <w:pPr>
        <w:tabs>
          <w:tab w:val="left" w:pos="3768"/>
        </w:tabs>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ab/>
      </w:r>
    </w:p>
    <w:p w14:paraId="55318322"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En ejercicio de la competencia otorgada por los artículos 3, numeral 5º, y 11, numeral 8º, del Decreto Ley 4170 de 2011,</w:t>
      </w:r>
      <w:r w:rsidRPr="00282C35">
        <w:rPr>
          <w:rFonts w:ascii="Verdana" w:eastAsia="Arial MT" w:hAnsi="Verdana" w:cs="Arial MT"/>
          <w:lang w:val="es-ES" w:eastAsia="es-ES"/>
        </w:rPr>
        <w:t xml:space="preserve"> </w:t>
      </w:r>
      <w:r w:rsidRPr="00282C35">
        <w:rPr>
          <w:rFonts w:ascii="Verdana" w:hAnsi="Verdana" w:cs="Arial"/>
        </w:rPr>
        <w:t xml:space="preserve">así como lo establecido en el artículo 4 de la Resolución 1707 de 2018 expedida por esta Entidad, </w:t>
      </w:r>
      <w:r w:rsidRPr="00282C35">
        <w:rPr>
          <w:rFonts w:ascii="Verdana" w:eastAsia="Calibri" w:hAnsi="Verdana" w:cs="Arial"/>
          <w:color w:val="000000" w:themeColor="text1"/>
          <w:lang w:val="es-ES" w:eastAsia="es-ES"/>
        </w:rPr>
        <w:t>la Agencia Nacional de Contratación Pública – Colombia Compra Eficiente– responde su solicitud de c</w:t>
      </w:r>
      <w:r w:rsidRPr="002A3BBB">
        <w:rPr>
          <w:rFonts w:ascii="Verdana" w:eastAsia="Calibri" w:hAnsi="Verdana" w:cs="Arial"/>
          <w:color w:val="000000" w:themeColor="text1"/>
          <w:lang w:val="es-ES" w:eastAsia="es-ES"/>
        </w:rPr>
        <w:t xml:space="preserve">onsulta de fecha 7 de noviembre de 2025, en la cual manifiesta lo siguiente: </w:t>
      </w:r>
    </w:p>
    <w:p w14:paraId="67808AE9" w14:textId="77777777" w:rsidR="00027D68" w:rsidRPr="002A3BBB" w:rsidRDefault="00027D68" w:rsidP="00027D68">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95E0B7F" w14:textId="77777777" w:rsidR="00027D68" w:rsidRPr="008D1CB1" w:rsidRDefault="00027D68" w:rsidP="00027D68">
      <w:pPr>
        <w:spacing w:after="0" w:line="276" w:lineRule="auto"/>
        <w:ind w:left="709" w:right="709"/>
        <w:jc w:val="both"/>
        <w:rPr>
          <w:rFonts w:ascii="Verdana" w:eastAsia="Century Gothic" w:hAnsi="Verdana" w:cs="Century Gothic"/>
          <w:color w:val="000000" w:themeColor="text1"/>
          <w:sz w:val="20"/>
          <w:szCs w:val="20"/>
          <w:lang w:val="es-ES"/>
        </w:rPr>
      </w:pPr>
      <w:bookmarkStart w:id="1" w:name="_Hlk95313578"/>
      <w:r w:rsidRPr="008D1CB1">
        <w:rPr>
          <w:rFonts w:ascii="Verdana" w:eastAsia="Century Gothic" w:hAnsi="Verdana" w:cs="Century Gothic"/>
          <w:color w:val="000000" w:themeColor="text1"/>
          <w:sz w:val="20"/>
          <w:szCs w:val="20"/>
          <w:lang w:val="es-ES"/>
        </w:rPr>
        <w:t>“</w:t>
      </w:r>
      <w:bookmarkEnd w:id="1"/>
      <w:r w:rsidRPr="008D1CB1">
        <w:rPr>
          <w:rFonts w:ascii="Verdana" w:eastAsia="Century Gothic" w:hAnsi="Verdana" w:cs="Century Gothic"/>
          <w:color w:val="000000" w:themeColor="text1"/>
          <w:sz w:val="20"/>
          <w:szCs w:val="20"/>
          <w:lang w:val="es-ES"/>
        </w:rPr>
        <w:t xml:space="preserve">En un proceso de Mínima cuantía, la entidad puede solicitar como requisito habilitante a las personas jurídicas, que deberán de diligenciar el formato único de hoja de vida, el cual puede ser consultado en la página Web del Departamento Administrativo de la Función Pública </w:t>
      </w:r>
      <w:hyperlink r:id="rId12" w:history="1">
        <w:r w:rsidRPr="008D1CB1">
          <w:rPr>
            <w:rStyle w:val="Hipervnculo"/>
            <w:rFonts w:ascii="Verdana" w:eastAsia="Century Gothic" w:hAnsi="Verdana" w:cs="Century Gothic"/>
            <w:color w:val="000000" w:themeColor="text1"/>
            <w:sz w:val="20"/>
            <w:szCs w:val="20"/>
            <w:lang w:val="es-ES"/>
          </w:rPr>
          <w:t>www.dafp.gov.co</w:t>
        </w:r>
      </w:hyperlink>
      <w:r w:rsidRPr="008D1CB1">
        <w:rPr>
          <w:rFonts w:ascii="Verdana" w:eastAsia="Century Gothic" w:hAnsi="Verdana" w:cs="Century Gothic"/>
          <w:color w:val="000000" w:themeColor="text1"/>
          <w:sz w:val="20"/>
          <w:szCs w:val="20"/>
          <w:lang w:val="es-ES"/>
        </w:rPr>
        <w:t xml:space="preserve">. ¿Qué tipo modalidad contractual y de contratos se debe cumplir con este requisito? si lo solicita a una persona jurídica se lo debe solicitar a las personas naturales ¿La entidad no se estaría extralimitando con este tipo de exigencias, para las personas Jurídicas de solicitar hoja de vida en un proceso de mínima Cuantía? Se aclara que la hoja de vida no corresponde para el personal técnico y/o profesional ni del </w:t>
      </w:r>
      <w:r w:rsidRPr="008D1CB1">
        <w:rPr>
          <w:rFonts w:ascii="Verdana" w:eastAsia="Century Gothic" w:hAnsi="Verdana" w:cs="Century Gothic"/>
          <w:color w:val="000000" w:themeColor="text1"/>
          <w:sz w:val="20"/>
          <w:szCs w:val="20"/>
          <w:lang w:val="es-ES"/>
        </w:rPr>
        <w:lastRenderedPageBreak/>
        <w:t>representante Legal, la exigencia de la hoja de vida es netamente para la persona jurídica "empresas".</w:t>
      </w:r>
    </w:p>
    <w:p w14:paraId="37EBF4D5" w14:textId="77777777" w:rsidR="00027D68" w:rsidRPr="00282C35" w:rsidRDefault="00027D68" w:rsidP="00027D68">
      <w:pPr>
        <w:pStyle w:val="Prrafodelista"/>
        <w:tabs>
          <w:tab w:val="left" w:pos="142"/>
          <w:tab w:val="left" w:pos="284"/>
        </w:tabs>
        <w:spacing w:line="276" w:lineRule="auto"/>
        <w:ind w:left="0"/>
        <w:jc w:val="both"/>
        <w:rPr>
          <w:rFonts w:ascii="Verdana" w:eastAsia="Century Gothic" w:hAnsi="Verdana" w:cs="Century Gothic"/>
          <w:b/>
          <w:bCs/>
        </w:rPr>
      </w:pPr>
    </w:p>
    <w:p w14:paraId="721C6638" w14:textId="77777777" w:rsidR="00027D68" w:rsidRPr="00282C35" w:rsidRDefault="00027D68" w:rsidP="00027D68">
      <w:pPr>
        <w:spacing w:after="120" w:line="276" w:lineRule="auto"/>
        <w:ind w:firstLine="709"/>
        <w:jc w:val="both"/>
        <w:rPr>
          <w:rFonts w:ascii="Verdana" w:eastAsia="Calibri" w:hAnsi="Verdana" w:cs="Arial"/>
          <w:color w:val="000000"/>
          <w:lang w:val="es-ES_tradnl" w:eastAsia="es-ES_tradnl"/>
        </w:rPr>
      </w:pPr>
      <w:r w:rsidRPr="00282C3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82C35">
        <w:rPr>
          <w:rFonts w:ascii="Verdana" w:eastAsia="Calibri" w:hAnsi="Verdana" w:cs="Arial"/>
          <w:color w:val="000000"/>
          <w:lang w:val="es-ES_tradnl" w:eastAsia="es-ES_tradnl"/>
        </w:rPr>
        <w:tab/>
      </w:r>
    </w:p>
    <w:p w14:paraId="468A6030"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r w:rsidRPr="00282C3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problema</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jurídico</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 xml:space="preserve">de su consulta. </w:t>
      </w:r>
    </w:p>
    <w:p w14:paraId="4598F637"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p>
    <w:p w14:paraId="182A8196"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2C35">
        <w:rPr>
          <w:rFonts w:ascii="Verdana" w:eastAsia="Century Gothic" w:hAnsi="Verdana" w:cs="Century Gothic"/>
          <w:b/>
          <w:bCs/>
        </w:rPr>
        <w:t>Problema planteado:</w:t>
      </w:r>
    </w:p>
    <w:p w14:paraId="31BA16A8" w14:textId="77777777" w:rsidR="00027D68" w:rsidRPr="00282C35" w:rsidRDefault="00027D68" w:rsidP="00027D68">
      <w:pPr>
        <w:tabs>
          <w:tab w:val="left" w:pos="426"/>
        </w:tabs>
        <w:spacing w:after="0" w:line="276" w:lineRule="auto"/>
        <w:jc w:val="both"/>
        <w:rPr>
          <w:rFonts w:ascii="Verdana" w:eastAsia="Century Gothic" w:hAnsi="Verdana" w:cs="Century Gothic"/>
          <w:lang w:val="es-ES"/>
        </w:rPr>
      </w:pPr>
    </w:p>
    <w:p w14:paraId="4B040997" w14:textId="77777777" w:rsidR="00027D68" w:rsidRPr="008D1CB1" w:rsidRDefault="00027D68" w:rsidP="00027D68">
      <w:pPr>
        <w:spacing w:after="0" w:line="276" w:lineRule="auto"/>
        <w:jc w:val="both"/>
        <w:rPr>
          <w:rFonts w:ascii="Verdana" w:eastAsia="Century Gothic" w:hAnsi="Verdana" w:cs="Century Gothic"/>
        </w:rPr>
      </w:pPr>
      <w:r w:rsidRPr="00282C35">
        <w:rPr>
          <w:rFonts w:ascii="Verdana" w:eastAsia="Century Gothic" w:hAnsi="Verdana" w:cs="Century Gothic"/>
        </w:rPr>
        <w:t xml:space="preserve">De acuerdo con el contenido de su solicitud, esta Agencia resolverá el siguiente problema jurídico: </w:t>
      </w:r>
      <w:r w:rsidRPr="008D1CB1">
        <w:rPr>
          <w:rFonts w:ascii="Verdana" w:eastAsia="Century Gothic" w:hAnsi="Verdana" w:cs="Century Gothic"/>
        </w:rPr>
        <w:t>¿</w:t>
      </w:r>
      <w:r w:rsidRPr="008D1CB1">
        <w:rPr>
          <w:rFonts w:ascii="Verdana" w:hAnsi="Verdana"/>
        </w:rPr>
        <w:t>Puede una Entidad Estatal, en ejercicio de su autonomía, exigir como requisito habilitante el diligenciamiento del Formato Único de Hoja de Vida del DAFP a una Persona Jurídica en un proceso de Mínima Cuantía?</w:t>
      </w:r>
    </w:p>
    <w:p w14:paraId="74F0C888" w14:textId="77777777" w:rsidR="00027D68" w:rsidRPr="00282C35" w:rsidRDefault="00027D68" w:rsidP="00027D68">
      <w:pPr>
        <w:spacing w:after="0" w:line="276" w:lineRule="auto"/>
        <w:jc w:val="both"/>
        <w:rPr>
          <w:rFonts w:ascii="Verdana" w:eastAsia="Calibri" w:hAnsi="Verdana" w:cs="Arial"/>
          <w:color w:val="7030A0"/>
          <w:lang w:val="es-ES"/>
        </w:rPr>
      </w:pPr>
    </w:p>
    <w:p w14:paraId="544A121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Respuesta:</w:t>
      </w:r>
    </w:p>
    <w:p w14:paraId="38A448BB"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7D68" w:rsidRPr="00282C35" w14:paraId="7AB2E791" w14:textId="77777777" w:rsidTr="00E44737">
        <w:tc>
          <w:tcPr>
            <w:tcW w:w="8828" w:type="dxa"/>
          </w:tcPr>
          <w:p w14:paraId="11870202" w14:textId="3ECA086E"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Frente al objeto de la consulta, es preciso indicar que en el ordenamiento jurídico </w:t>
            </w:r>
            <w:r>
              <w:rPr>
                <w:rFonts w:ascii="Verdana" w:hAnsi="Verdana"/>
                <w:sz w:val="22"/>
                <w:szCs w:val="22"/>
              </w:rPr>
              <w:t>en materia de</w:t>
            </w:r>
            <w:r w:rsidRPr="009D68F9">
              <w:rPr>
                <w:rFonts w:ascii="Verdana" w:hAnsi="Verdana"/>
                <w:sz w:val="22"/>
                <w:szCs w:val="22"/>
              </w:rPr>
              <w:t xml:space="preserve"> contratación estatal, las Entidades Estatales gozan de autonomía para configurar los documentos del proceso y determinar los </w:t>
            </w:r>
            <w:r w:rsidRPr="009D68F9">
              <w:rPr>
                <w:rFonts w:ascii="Verdana" w:hAnsi="Verdana"/>
                <w:sz w:val="22"/>
                <w:szCs w:val="22"/>
              </w:rPr>
              <w:lastRenderedPageBreak/>
              <w:t>requisitos habilitantes que consideren necesarios para verificar la idoneidad de los proponentes.</w:t>
            </w:r>
          </w:p>
          <w:p w14:paraId="0364B290"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4922FBC1"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5E20F2DA" w14:textId="77777777" w:rsidR="00027D68" w:rsidRPr="009D68F9" w:rsidRDefault="00027D68" w:rsidP="00E44737">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311189EF"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exigido, se insta a la Entidad a ejercer su discrecionalidad bajo la óptica de la eficiencia, evitando duplicidades que no se compadecen con la naturaleza de una Persona Jurídica en un proceso de Mínima Cuantía.</w:t>
            </w:r>
          </w:p>
          <w:p w14:paraId="08E56F84"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w:t>
            </w:r>
            <w:r w:rsidRPr="009D68F9">
              <w:rPr>
                <w:rFonts w:ascii="Verdana" w:hAnsi="Verdana"/>
              </w:rPr>
              <w:lastRenderedPageBreak/>
              <w:t>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64F3DEB0" w14:textId="77777777" w:rsidR="00027D68" w:rsidRPr="008D1CB1"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tc>
      </w:tr>
    </w:tbl>
    <w:p w14:paraId="3C6A9984"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p w14:paraId="60902FBF"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Razones de la respuesta:</w:t>
      </w:r>
    </w:p>
    <w:p w14:paraId="1684A794" w14:textId="77777777" w:rsidR="00027D68" w:rsidRPr="00282C35" w:rsidRDefault="00027D68" w:rsidP="00027D68">
      <w:pPr>
        <w:spacing w:after="0" w:line="276" w:lineRule="auto"/>
        <w:jc w:val="both"/>
        <w:rPr>
          <w:rFonts w:ascii="Verdana" w:eastAsia="Calibri" w:hAnsi="Verdana" w:cs="Arial"/>
          <w:color w:val="7030A0"/>
          <w:lang w:val="es-ES"/>
        </w:rPr>
      </w:pPr>
    </w:p>
    <w:p w14:paraId="7A1D8F89" w14:textId="77777777" w:rsidR="00027D68" w:rsidRPr="00282C35" w:rsidRDefault="00027D68" w:rsidP="00027D68">
      <w:pPr>
        <w:spacing w:after="0" w:line="276" w:lineRule="auto"/>
        <w:jc w:val="both"/>
        <w:rPr>
          <w:rFonts w:ascii="Verdana" w:eastAsia="Calibri" w:hAnsi="Verdana" w:cs="Arial"/>
          <w:lang w:val="es-ES"/>
        </w:rPr>
      </w:pPr>
      <w:bookmarkStart w:id="2" w:name="OLE_LINK1"/>
      <w:r w:rsidRPr="00282C35">
        <w:rPr>
          <w:rFonts w:ascii="Verdana" w:eastAsia="Calibri" w:hAnsi="Verdana" w:cs="Arial"/>
          <w:lang w:val="es-ES"/>
        </w:rPr>
        <w:t xml:space="preserve">Lo anterior se sustenta en las siguientes consideraciones: </w:t>
      </w:r>
    </w:p>
    <w:p w14:paraId="5B187281" w14:textId="77777777" w:rsidR="00027D68" w:rsidRPr="00282C35" w:rsidRDefault="00027D68" w:rsidP="00027D68">
      <w:pPr>
        <w:spacing w:after="0" w:line="276" w:lineRule="auto"/>
        <w:jc w:val="both"/>
        <w:rPr>
          <w:rFonts w:ascii="Verdana" w:eastAsia="Calibri" w:hAnsi="Verdana" w:cs="Arial"/>
          <w:lang w:val="es-ES"/>
        </w:rPr>
      </w:pPr>
    </w:p>
    <w:p w14:paraId="53EDA2BE"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Ley 1150 de 2007, en el artículo 5, </w:t>
      </w:r>
      <w:r w:rsidRPr="00282C35">
        <w:rPr>
          <w:rStyle w:val="normaltextrun"/>
          <w:rFonts w:ascii="Verdana" w:hAnsi="Verdana" w:cs="Arial"/>
          <w:lang w:val="es-MX"/>
        </w:rPr>
        <w:t>dispone que la capacidad jurídica y las condiciones de experiencia, capacidad financiera y de organización de los proponentes serán objeto de verificación por parte de las entidades como requisitos habilitantes para participar en los procesos de selección y no otorgarán puntaje</w:t>
      </w:r>
      <w:r w:rsidRPr="00282C35">
        <w:rPr>
          <w:rStyle w:val="normaltextrun"/>
          <w:rFonts w:ascii="Verdana" w:hAnsi="Verdana" w:cs="Arial"/>
          <w:color w:val="000000"/>
          <w:shd w:val="clear" w:color="auto" w:fill="FFFFFF"/>
          <w:lang w:val="es-ES"/>
        </w:rPr>
        <w:t>. Dichos requisitos miden la aptitud del proponente para participar en un Proceso de Contratación como oferente, pues su propósito no es más que establecer unas condiciones mínimas para los proponentes de tal manera que la Entidad Estatal sólo evalúe las ofertas de aquellos que están en condiciones de cumplir con el objeto del Proceso de Contratación, por tal razón, los requisitos habilitantes siempre se refieren a las condiciones de un oferente y nunca de la oferta.</w:t>
      </w:r>
    </w:p>
    <w:p w14:paraId="5E8931B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5045C38D"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entidad estatal, como responsable de la estructuración de su procedimiento de selección, es autónoma para determinar los requisitos habilitantes necesarios, de acuerdo con la naturaleza del contrato que se pretende suscribir y a su valor. Para esto, la entidad, según el artículo 2.2.1.1.1.6.2. del Decreto 1082 de 2015, deberá tener en cuenta el estudio del sector y sus componentes. Sin embargo, si el Proceso de Contratación requiere que los oferentes cuenten con RUP, la Entidad Estatal debe exigir en los </w:t>
      </w:r>
      <w:r w:rsidRPr="00282C35">
        <w:rPr>
          <w:rStyle w:val="normaltextrun"/>
          <w:rFonts w:ascii="Verdana" w:hAnsi="Verdana" w:cs="Arial"/>
          <w:color w:val="000000"/>
          <w:shd w:val="clear" w:color="auto" w:fill="FFFFFF"/>
          <w:lang w:val="es-ES"/>
        </w:rPr>
        <w:lastRenderedPageBreak/>
        <w:t>Documentos del Proceso como mínimo los indicadores establecidos en este registro. Sin embargo, puede pedir indicadores adicionales, caso en el cual debe verificarlos directamente mediante documentos adicionales en virtud de lo dispuesto en el artículo 5 y 6 de la Ley 1150 de 2007.</w:t>
      </w:r>
    </w:p>
    <w:p w14:paraId="1F6BD24A"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066F211A"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Por el contrario, si en el Proceso de Contratación no es obligatorio que los oferentes cuenten con RUP, la Entidad Estatal de forma autónoma debe definir la forma de acreditar los requisitos habilitantes de experiencia, capacidad jurídica, capacidad financiera y capacidad organizacional. En este caso, la Entidad Estatal debe establecer en los Documentos del Proceso los requisitos habilitantes exigidos y la forma de acreditarlos y verificarlos.</w:t>
      </w:r>
    </w:p>
    <w:p w14:paraId="7055891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1C79C686"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De esta manera, es claro que la ley le da un amplio margen de discrecionalidad a las Entidades Estatales para determinar en sus Procesos de Contratación los requisitos habilitantes, por lo que es importante comprender el alcance de la expresión </w:t>
      </w:r>
      <w:r w:rsidRPr="00282C35">
        <w:rPr>
          <w:rStyle w:val="normaltextrun"/>
          <w:rFonts w:ascii="Verdana" w:hAnsi="Verdana" w:cs="Arial"/>
          <w:i/>
          <w:iCs/>
          <w:color w:val="000000"/>
          <w:shd w:val="clear" w:color="auto" w:fill="FFFFFF"/>
          <w:lang w:val="es-ES"/>
        </w:rPr>
        <w:t>«adecuada y proporcional»</w:t>
      </w:r>
      <w:r w:rsidRPr="00282C35">
        <w:rPr>
          <w:rStyle w:val="normaltextrun"/>
          <w:rFonts w:ascii="Verdana" w:hAnsi="Verdana" w:cs="Arial"/>
          <w:color w:val="000000"/>
          <w:shd w:val="clear" w:color="auto" w:fill="FFFFFF"/>
          <w:lang w:val="es-ES"/>
        </w:rPr>
        <w:t xml:space="preserve"> del artículo 5 de la Ley 1150 de 2007, que busca que haya una relación entre el contrato y la experiencia del proponente y su capacidad jurídica, financiera y organizacional. Es decir, los requisitos habilitantes exigidos deben guardar proporción no sólo con el objeto del contrato y su valor, sino también con su complejidad, plazo, forma de pago y el Riesgo asociado al Proceso de Contratación, toda vez que la promoción de la competencia es uno de los objetivos del sistema de compras y contratación pública, por lo cual es muy importante tener en cuenta que los requisitos habilitantes no son ni pueden ser una forma de restringir la participación en los Procesos de Contratación. </w:t>
      </w:r>
    </w:p>
    <w:p w14:paraId="06C1C3F2" w14:textId="77777777" w:rsidR="00027D68" w:rsidRPr="00282C35" w:rsidRDefault="00027D68" w:rsidP="00027D68">
      <w:pPr>
        <w:spacing w:after="0" w:line="276" w:lineRule="auto"/>
        <w:contextualSpacing/>
        <w:jc w:val="both"/>
        <w:rPr>
          <w:rStyle w:val="normaltextrun"/>
          <w:rFonts w:ascii="Verdana" w:hAnsi="Verdana" w:cs="Arial"/>
          <w:color w:val="000000"/>
          <w:shd w:val="clear" w:color="auto" w:fill="FFFFFF"/>
          <w:lang w:val="es-ES"/>
        </w:rPr>
      </w:pPr>
    </w:p>
    <w:p w14:paraId="5286D668"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Para determinar si los requisitos habilitantes son adecuados y proporcionales, la Agencia de Contratación Pública - Colombia Compra Eficiente recomienda a la Entidad Estatal hacerse las preguntas contempladas en el </w:t>
      </w:r>
      <w:r>
        <w:rPr>
          <w:rStyle w:val="normaltextrun"/>
          <w:rFonts w:ascii="Verdana" w:hAnsi="Verdana" w:cs="Arial"/>
          <w:color w:val="000000"/>
          <w:shd w:val="clear" w:color="auto" w:fill="FFFFFF"/>
          <w:lang w:val="es-ES"/>
        </w:rPr>
        <w:t xml:space="preserve">“Manual para determinar y verificar los requisitos habilitantes en los procesos de contratación”, </w:t>
      </w:r>
      <w:r>
        <w:t>C</w:t>
      </w:r>
      <w:proofErr w:type="spellStart"/>
      <w:r w:rsidRPr="00282C35">
        <w:rPr>
          <w:rStyle w:val="normaltextrun"/>
          <w:rFonts w:ascii="Verdana" w:hAnsi="Verdana" w:cs="Arial"/>
          <w:color w:val="000000"/>
          <w:shd w:val="clear" w:color="auto" w:fill="FFFFFF"/>
          <w:lang w:val="es-ES"/>
        </w:rPr>
        <w:t>on</w:t>
      </w:r>
      <w:proofErr w:type="spellEnd"/>
      <w:r w:rsidRPr="00282C35">
        <w:rPr>
          <w:rStyle w:val="normaltextrun"/>
          <w:rFonts w:ascii="Verdana" w:hAnsi="Verdana" w:cs="Arial"/>
          <w:color w:val="000000"/>
          <w:shd w:val="clear" w:color="auto" w:fill="FFFFFF"/>
          <w:lang w:val="es-ES"/>
        </w:rPr>
        <w:t xml:space="preserve"> el fin de que al momento de la estructuración de los Procesos de Contratación realice un análisis que le permita fijar unos requisitos mínimos que debe tener y acreditar el proponente, para que pueda verificarse su aptitud para participar en el procedimiento de contratación y, si se le adjudica, ejecutar el contrato estatal</w:t>
      </w:r>
      <w:r w:rsidRPr="00282C35">
        <w:rPr>
          <w:rStyle w:val="eop"/>
          <w:rFonts w:ascii="Verdana" w:hAnsi="Verdana" w:cs="Arial"/>
        </w:rPr>
        <w:t xml:space="preserve">, fijando como lineamiento que el </w:t>
      </w:r>
      <w:r w:rsidRPr="00282C35">
        <w:rPr>
          <w:rStyle w:val="normaltextrun"/>
          <w:rFonts w:ascii="Verdana" w:hAnsi="Verdana" w:cs="Arial"/>
          <w:color w:val="000000"/>
          <w:shd w:val="clear" w:color="auto" w:fill="FFFFFF"/>
          <w:lang w:val="es-ES"/>
        </w:rPr>
        <w:t xml:space="preserve">sistema de compras y contratación pública debe promover la participación de más proponentes y el </w:t>
      </w:r>
      <w:r w:rsidRPr="00282C35">
        <w:rPr>
          <w:rStyle w:val="normaltextrun"/>
          <w:rFonts w:ascii="Verdana" w:hAnsi="Verdana" w:cs="Arial"/>
          <w:color w:val="000000"/>
          <w:shd w:val="clear" w:color="auto" w:fill="FFFFFF"/>
          <w:lang w:val="es-ES"/>
        </w:rPr>
        <w:lastRenderedPageBreak/>
        <w:t>crecimiento de la industria nacional de bienes y servicios y, por eso, si bien las Entidades Estatales cuentan con cierta autonomía para establecer los requisitos habilitantes en sus Procesos de Contratación, estos deben ser adecuados y proporcionales.</w:t>
      </w:r>
    </w:p>
    <w:p w14:paraId="19DC362A"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p>
    <w:p w14:paraId="3016AFB1" w14:textId="1BBB6538" w:rsidR="00027D68" w:rsidRPr="00311238" w:rsidRDefault="00027D68" w:rsidP="00027D68">
      <w:pPr>
        <w:spacing w:after="0" w:line="276" w:lineRule="auto"/>
        <w:ind w:firstLine="708"/>
        <w:contextualSpacing/>
        <w:jc w:val="both"/>
        <w:rPr>
          <w:rFonts w:ascii="Verdana" w:hAnsi="Verdana" w:cs="Arial"/>
          <w:color w:val="000000"/>
          <w:shd w:val="clear" w:color="auto" w:fill="FFFFFF"/>
          <w:lang w:val="es-ES"/>
        </w:rPr>
      </w:pPr>
      <w:r w:rsidRPr="009D68F9">
        <w:rPr>
          <w:rFonts w:ascii="Verdana" w:hAnsi="Verdana"/>
        </w:rPr>
        <w:t xml:space="preserve">Frente al objeto de la consulta, es preciso indicar que en el ordenamiento jurídico </w:t>
      </w:r>
      <w:r>
        <w:rPr>
          <w:rFonts w:ascii="Verdana" w:hAnsi="Verdana"/>
        </w:rPr>
        <w:t>en materia de</w:t>
      </w:r>
      <w:r w:rsidRPr="009D68F9">
        <w:rPr>
          <w:rFonts w:ascii="Verdana" w:hAnsi="Verdana"/>
        </w:rPr>
        <w:t xml:space="preserve"> contratación estatal, las Entidades Estatales gozan de autonomía para configurar los documentos del proceso y determinar los requisitos habilitantes que consideren necesarios para verificar la idoneidad de los proponentes.</w:t>
      </w:r>
    </w:p>
    <w:p w14:paraId="715EE93F"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61270ED2"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32706E93" w14:textId="77777777" w:rsidR="00027D68" w:rsidRPr="009D68F9" w:rsidRDefault="00027D68" w:rsidP="00027D68">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1E4EC08A"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w:t>
      </w:r>
      <w:r w:rsidRPr="009D68F9">
        <w:rPr>
          <w:rFonts w:ascii="Verdana" w:eastAsia="Times New Roman" w:hAnsi="Verdana" w:cs="Times New Roman"/>
          <w:bCs/>
          <w:lang w:eastAsia="es-MX"/>
        </w:rPr>
        <w:lastRenderedPageBreak/>
        <w:t>exigido, se insta a la Entidad a ejercer su discrecionalidad bajo la óptica de la eficiencia, evitando duplicidades que no se compadecen con la naturaleza de una Persona Jurídica en un proceso de Mínima Cuantía.</w:t>
      </w:r>
    </w:p>
    <w:p w14:paraId="4E3D3E61"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1E8EFDAF"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6EA6F25F" w14:textId="77777777" w:rsidR="00027D68" w:rsidRPr="00282C35" w:rsidRDefault="00027D68" w:rsidP="00027D68">
      <w:pPr>
        <w:spacing w:after="0" w:line="276" w:lineRule="auto"/>
        <w:ind w:firstLine="708"/>
        <w:contextualSpacing/>
        <w:jc w:val="both"/>
        <w:rPr>
          <w:rFonts w:ascii="Verdana" w:hAnsi="Verdana" w:cs="Arial"/>
          <w:color w:val="000000"/>
          <w:shd w:val="clear" w:color="auto" w:fill="FFFFFF"/>
          <w:lang w:val="es-ES"/>
        </w:rPr>
      </w:pPr>
    </w:p>
    <w:bookmarkEnd w:id="2"/>
    <w:p w14:paraId="15AD118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Referencias normativas, jurisprudenciales y otras fuentes:</w:t>
      </w:r>
    </w:p>
    <w:p w14:paraId="2B8590C1" w14:textId="77777777" w:rsidR="00027D68" w:rsidRPr="00282C35" w:rsidRDefault="00027D68" w:rsidP="00027D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7D68" w:rsidRPr="00282C35" w14:paraId="5A531467" w14:textId="77777777" w:rsidTr="00E44737">
        <w:trPr>
          <w:trHeight w:val="870"/>
        </w:trPr>
        <w:tc>
          <w:tcPr>
            <w:tcW w:w="8647" w:type="dxa"/>
          </w:tcPr>
          <w:p w14:paraId="3E0EFE80" w14:textId="77777777" w:rsidR="00027D68" w:rsidRPr="00311238" w:rsidRDefault="00027D68" w:rsidP="00E44737">
            <w:pPr>
              <w:pStyle w:val="NormalWeb"/>
              <w:numPr>
                <w:ilvl w:val="0"/>
                <w:numId w:val="17"/>
              </w:numPr>
              <w:rPr>
                <w:rFonts w:ascii="Verdana" w:hAnsi="Verdana"/>
                <w:sz w:val="22"/>
                <w:szCs w:val="22"/>
              </w:rPr>
            </w:pPr>
            <w:r w:rsidRPr="00311238">
              <w:rPr>
                <w:rStyle w:val="citation-280"/>
                <w:rFonts w:ascii="Verdana" w:hAnsi="Verdana"/>
                <w:sz w:val="22"/>
                <w:szCs w:val="22"/>
              </w:rPr>
              <w:t>Ley 1150 de 2007: Artículos 2 numeral 4, literal h, 5, 6, 13</w:t>
            </w:r>
            <w:r w:rsidRPr="00311238">
              <w:rPr>
                <w:rFonts w:ascii="Verdana" w:hAnsi="Verdana"/>
                <w:sz w:val="22"/>
                <w:szCs w:val="22"/>
              </w:rPr>
              <w:t>.</w:t>
            </w:r>
          </w:p>
          <w:p w14:paraId="60464BCA"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Ley 1474 de 2011, Artículo 94.</w:t>
            </w:r>
          </w:p>
          <w:p w14:paraId="03D675AE"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Decreto 1082 de 2015, Artículo 2.2.1.1.1.6.2</w:t>
            </w:r>
          </w:p>
          <w:p w14:paraId="556D39E6" w14:textId="77777777" w:rsidR="00027D68" w:rsidRPr="00282C35" w:rsidRDefault="00027D68" w:rsidP="00E4473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FE6BBD">
              <w:rPr>
                <w:rFonts w:ascii="Verdana" w:hAnsi="Verdana"/>
              </w:rPr>
              <w:t xml:space="preserve">Manual para determinar y verificar los requisitos habilitantes en los Procesos de Contratación </w:t>
            </w:r>
            <w:hyperlink r:id="rId13" w:history="1">
              <w:r w:rsidRPr="00FE6BBD">
                <w:rPr>
                  <w:rStyle w:val="Hipervnculo"/>
                  <w:rFonts w:ascii="Verdana" w:hAnsi="Verdana"/>
                </w:rPr>
                <w:t>https://www.colombiacompra.gov.co/archivos/manual/manual-para-determinar-y-verificar-los-requisitos-habilitantes-en-los-procesos-de-contratacion</w:t>
              </w:r>
            </w:hyperlink>
            <w:r>
              <w:t xml:space="preserve"> </w:t>
            </w:r>
          </w:p>
        </w:tc>
      </w:tr>
    </w:tbl>
    <w:p w14:paraId="4042AA2E" w14:textId="77777777" w:rsidR="00027D68" w:rsidRPr="00282C35" w:rsidRDefault="00027D68" w:rsidP="00027D68">
      <w:pPr>
        <w:widowControl w:val="0"/>
        <w:autoSpaceDE w:val="0"/>
        <w:autoSpaceDN w:val="0"/>
        <w:spacing w:after="0" w:line="276" w:lineRule="auto"/>
        <w:jc w:val="both"/>
        <w:rPr>
          <w:rFonts w:ascii="Verdana" w:hAnsi="Verdana" w:cs="Arial"/>
        </w:rPr>
      </w:pPr>
    </w:p>
    <w:p w14:paraId="58877CBA"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Doctrina de la Agencia Nacional de Contratación Pública:</w:t>
      </w:r>
    </w:p>
    <w:p w14:paraId="60C8D97D" w14:textId="77777777" w:rsidR="00027D68" w:rsidRPr="00282C35" w:rsidRDefault="00027D68" w:rsidP="00027D68">
      <w:pPr>
        <w:widowControl w:val="0"/>
        <w:autoSpaceDE w:val="0"/>
        <w:autoSpaceDN w:val="0"/>
        <w:spacing w:after="0" w:line="276" w:lineRule="auto"/>
        <w:jc w:val="both"/>
        <w:rPr>
          <w:rFonts w:ascii="Verdana" w:hAnsi="Verdana" w:cs="Arial"/>
        </w:rPr>
      </w:pPr>
    </w:p>
    <w:p w14:paraId="144C7C29" w14:textId="77777777" w:rsidR="00027D68" w:rsidRPr="00FE6BBD" w:rsidRDefault="00027D68" w:rsidP="00027D68">
      <w:pPr>
        <w:tabs>
          <w:tab w:val="left" w:pos="426"/>
        </w:tabs>
        <w:spacing w:after="120" w:line="276" w:lineRule="auto"/>
        <w:jc w:val="both"/>
        <w:rPr>
          <w:rStyle w:val="normaltextrun"/>
          <w:rFonts w:ascii="Verdana" w:eastAsia="Arial" w:hAnsi="Verdana" w:cs="Arial"/>
          <w:lang w:val="es-MX" w:eastAsia="es-ES_tradnl"/>
        </w:rPr>
      </w:pPr>
      <w:r w:rsidRPr="00FE6BBD">
        <w:rPr>
          <w:rFonts w:ascii="Verdana" w:eastAsia="Arial" w:hAnsi="Verdana" w:cs="Arial"/>
          <w:lang w:val="es-MX" w:eastAsia="es-ES_tradnl"/>
        </w:rPr>
        <w:t>La Agencia Nacional de Contratación Pública – Colombia Compra Eficiente se ha referido sobre los</w:t>
      </w:r>
      <w:r w:rsidRPr="00FE6BBD">
        <w:rPr>
          <w:rStyle w:val="normaltextrun"/>
          <w:rFonts w:ascii="Verdana" w:hAnsi="Verdana" w:cs="Arial"/>
          <w:color w:val="000000"/>
          <w:shd w:val="clear" w:color="auto" w:fill="FFFFFF"/>
        </w:rPr>
        <w:t xml:space="preserve"> factores de escogencia y calificación que establecen las Entidades Estatales en los pliegos de condiciones o sus equivalentes en los </w:t>
      </w:r>
      <w:r w:rsidRPr="00FE6BBD">
        <w:rPr>
          <w:rStyle w:val="normaltextrun"/>
          <w:rFonts w:ascii="Verdana" w:hAnsi="Verdana" w:cs="Arial"/>
          <w:color w:val="000000"/>
          <w:shd w:val="clear" w:color="auto" w:fill="FFFFFF"/>
        </w:rPr>
        <w:lastRenderedPageBreak/>
        <w:t xml:space="preserve">conceptos </w:t>
      </w:r>
      <w:r w:rsidRPr="00FE6BBD">
        <w:rPr>
          <w:rFonts w:ascii="Verdana" w:eastAsia="Arial" w:hAnsi="Verdana" w:cs="Arial"/>
          <w:lang w:val="es-MX" w:eastAsia="es-ES_tradnl"/>
        </w:rPr>
        <w:t xml:space="preserve">C−107 del 24 de febrero de 2020, C−108 del 03 de marzo de 2020, C−166 del 13 de abril de 2020, C−469 del 27 de julio de 2020, C-708 del 9 de diciembre de 2020, C-767 del 07 de enero de 2021, C-059 del 10 de marzo de 2021, C-283 de 15 de junio de 2021, C-326 del 02 de julio de 2021, C-415 del 10 de agosto de 2021, C-432 del 27 de septiembre de 2021, C-572 del 12 de octubre de 2021, C-710 del 10 de diciembre de 2021, C-034 del 02 de marzo de 2022,  C-084 del 22 de marzo de 2022, C-144 del 29 de marzo de 2022, C-239 del 25 de abril de 2022, C-278 del 09 de mayo de 2022, C-434 del 08 de julio de 2022, entre otros. De igual forma se ha pronunciado sobre el concepto del contrato de prestación de servicios profesionales y de apoyo a la gestión en los conceptos C-090 del 24 de febrero de 2020, C-105 del 12 de marzo 03 de 2020, C-156 del 3 de abril de 2020, C-018 del 11 de mayo de 2020; C-175, C-320, C-053, C-255, C-282, C-106 de 07 de abril de 2021, C-145 de 8 de abril de 2021, C-491 del 14 de septiembre de 2021 y C- 517 del 30 de septiembre de 2021, C-019 de 2022 del 21 de febrero de 2022, </w:t>
      </w:r>
      <w:r w:rsidRPr="00FE6BBD">
        <w:rPr>
          <w:rStyle w:val="normaltextrun"/>
          <w:rFonts w:ascii="Verdana" w:hAnsi="Verdana" w:cs="Arial"/>
          <w:shd w:val="clear" w:color="auto" w:fill="FFFFFF"/>
          <w:lang w:val="es-ES"/>
        </w:rPr>
        <w:t>Es</w:t>
      </w:r>
      <w:r w:rsidRPr="00FE6BBD">
        <w:rPr>
          <w:rFonts w:ascii="Verdana" w:hAnsi="Verdana"/>
        </w:rPr>
        <w:t>tos y otros conceptos se encuentran disponibles para consulta en el Sistema de relatoría de la Agencia, al cual se puede acceder a través del siguiente enlace:</w:t>
      </w:r>
      <w:r w:rsidRPr="00FE6BBD">
        <w:rPr>
          <w:rStyle w:val="normaltextrun"/>
          <w:rFonts w:ascii="Verdana" w:hAnsi="Verdana" w:cs="Arial"/>
          <w:shd w:val="clear" w:color="auto" w:fill="FFFFFF"/>
          <w:lang w:val="es-ES"/>
        </w:rPr>
        <w:t xml:space="preserve"> </w:t>
      </w:r>
      <w:r w:rsidRPr="00B80951">
        <w:rPr>
          <w:rFonts w:ascii="Verdana" w:hAnsi="Verdana"/>
        </w:rPr>
        <w:t>enlace</w:t>
      </w:r>
      <w:hyperlink r:id="rId14" w:history="1">
        <w:r w:rsidRPr="00D96A70">
          <w:rPr>
            <w:rStyle w:val="Hipervnculo"/>
            <w:rFonts w:ascii="Verdana" w:hAnsi="Verdana" w:cs="Arial"/>
            <w:shd w:val="clear" w:color="auto" w:fill="FFFFFF"/>
          </w:rPr>
          <w:t>https://relatoria.colombiacompra.gov.co/busqueda/conceptos</w:t>
        </w:r>
      </w:hyperlink>
      <w:r w:rsidRPr="00B80951">
        <w:rPr>
          <w:rFonts w:ascii="Verdana" w:hAnsi="Verdana" w:cs="Arial"/>
          <w:shd w:val="clear" w:color="auto" w:fill="FFFFFF"/>
        </w:rPr>
        <w:t>.</w:t>
      </w:r>
      <w:r w:rsidRPr="00B80951">
        <w:rPr>
          <w:rFonts w:ascii="Verdana" w:hAnsi="Verdana" w:cs="Arial"/>
          <w:color w:val="FF0000"/>
          <w:shd w:val="clear" w:color="auto" w:fill="FFFFFF"/>
        </w:rPr>
        <w:t xml:space="preserve"> </w:t>
      </w:r>
      <w:r w:rsidRPr="00B80951">
        <w:rPr>
          <w:rFonts w:ascii="Verdana" w:hAnsi="Verdana" w:cs="Arial"/>
          <w:color w:val="000000" w:themeColor="text1"/>
          <w:shd w:val="clear" w:color="auto" w:fill="FFFFFF"/>
        </w:rPr>
        <w:t>  </w:t>
      </w:r>
    </w:p>
    <w:p w14:paraId="5543EC03"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9C214FE" w14:textId="77777777" w:rsidR="00027D68" w:rsidRPr="00FE6BBD" w:rsidRDefault="00027D68" w:rsidP="00027D68">
      <w:pPr>
        <w:shd w:val="clear" w:color="auto" w:fill="FFFFFF"/>
        <w:spacing w:after="0" w:line="276" w:lineRule="auto"/>
        <w:jc w:val="both"/>
        <w:rPr>
          <w:rFonts w:ascii="Verdana" w:hAnsi="Verdana"/>
          <w:color w:val="000000"/>
          <w:u w:val="single"/>
        </w:rPr>
      </w:pPr>
      <w:r w:rsidRPr="00FE6BBD">
        <w:rPr>
          <w:rFonts w:ascii="Verdana" w:hAnsi="Verdana"/>
          <w:color w:val="000000"/>
        </w:rPr>
        <w:t>Te informamos que ya se encuentra disponible la </w:t>
      </w:r>
      <w:r w:rsidRPr="00FE6BBD">
        <w:rPr>
          <w:rFonts w:ascii="Verdana" w:hAnsi="Verdana"/>
          <w:b/>
          <w:bCs/>
          <w:color w:val="000000"/>
        </w:rPr>
        <w:t>Guía de lineamientos de transparencia y selección objetiva para el departamento de La Guajira – Objetivo sexto constitucional de la Sentencia T-302 del 2017. </w:t>
      </w:r>
      <w:r w:rsidRPr="00FE6BB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E6BBD">
        <w:rPr>
          <w:rFonts w:ascii="Verdana" w:hAnsi="Verdana"/>
          <w:color w:val="000000"/>
        </w:rPr>
        <w:t>Wayúu</w:t>
      </w:r>
      <w:proofErr w:type="spellEnd"/>
      <w:r w:rsidRPr="00FE6BBD">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FE6BBD">
          <w:rPr>
            <w:rStyle w:val="Hipervnculo"/>
            <w:rFonts w:ascii="Verdana" w:hAnsi="Verdana"/>
          </w:rPr>
          <w:t>Guía de lineamientos de transparencia y selección objetiva para el departamento de La Guajira – Objetivo sexto constitucional de la Sentencia T-302 del 2017</w:t>
        </w:r>
      </w:hyperlink>
      <w:r w:rsidRPr="00FE6BBD">
        <w:rPr>
          <w:rFonts w:ascii="Verdana" w:hAnsi="Verdana"/>
          <w:color w:val="000000"/>
          <w:u w:val="single"/>
        </w:rPr>
        <w:t>.</w:t>
      </w:r>
    </w:p>
    <w:p w14:paraId="15AC2F50"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99FDE24"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Por último, lo invitamos a seguirnos en las redes sociales en las cuales se difunde información institucional: </w:t>
      </w:r>
    </w:p>
    <w:p w14:paraId="5519C8E5" w14:textId="77777777" w:rsidR="00027D68" w:rsidRPr="00FE6BBD" w:rsidRDefault="00027D68" w:rsidP="00027D68">
      <w:pPr>
        <w:spacing w:after="0" w:line="276" w:lineRule="auto"/>
        <w:jc w:val="both"/>
        <w:rPr>
          <w:rFonts w:ascii="Verdana" w:hAnsi="Verdana"/>
        </w:rPr>
      </w:pPr>
    </w:p>
    <w:p w14:paraId="593CCD69"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Twitter: </w:t>
      </w:r>
      <w:r w:rsidRPr="00FE6BBD">
        <w:rPr>
          <w:rStyle w:val="Hipervnculo"/>
          <w:rFonts w:ascii="Verdana" w:hAnsi="Verdana"/>
          <w:color w:val="4472C4" w:themeColor="accent1"/>
        </w:rPr>
        <w:t>@colombiacompra</w:t>
      </w:r>
      <w:r w:rsidRPr="00FE6BBD">
        <w:rPr>
          <w:rFonts w:ascii="Verdana" w:hAnsi="Verdana"/>
          <w:color w:val="4472C4" w:themeColor="accent1"/>
        </w:rPr>
        <w:t xml:space="preserve"> </w:t>
      </w:r>
    </w:p>
    <w:p w14:paraId="0CA11548"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Facebook: </w:t>
      </w:r>
      <w:proofErr w:type="spellStart"/>
      <w:r w:rsidRPr="00FE6BBD">
        <w:rPr>
          <w:rStyle w:val="Hipervnculo"/>
          <w:rFonts w:ascii="Verdana" w:hAnsi="Verdana"/>
          <w:color w:val="4472C4" w:themeColor="accent1"/>
        </w:rPr>
        <w:t>ColombiaCompraEficiente</w:t>
      </w:r>
      <w:proofErr w:type="spellEnd"/>
    </w:p>
    <w:p w14:paraId="1ABA205C" w14:textId="77777777" w:rsidR="00027D68" w:rsidRPr="00FE6BBD" w:rsidRDefault="00027D68" w:rsidP="00027D68">
      <w:pPr>
        <w:spacing w:after="0" w:line="276" w:lineRule="auto"/>
        <w:jc w:val="both"/>
        <w:rPr>
          <w:rFonts w:ascii="Verdana" w:hAnsi="Verdana"/>
        </w:rPr>
      </w:pPr>
      <w:r w:rsidRPr="00FE6BBD">
        <w:rPr>
          <w:rFonts w:ascii="Verdana" w:hAnsi="Verdana"/>
        </w:rPr>
        <w:lastRenderedPageBreak/>
        <w:t xml:space="preserve">LinkedIn: </w:t>
      </w:r>
      <w:r w:rsidRPr="00FE6BBD">
        <w:rPr>
          <w:rStyle w:val="Hipervnculo"/>
          <w:rFonts w:ascii="Verdana" w:hAnsi="Verdana"/>
          <w:color w:val="4472C4" w:themeColor="accent1"/>
        </w:rPr>
        <w:t>Agencia Nacional de Contratación Pública - Colombia Compra Eficiente</w:t>
      </w:r>
      <w:r w:rsidRPr="00FE6BBD">
        <w:rPr>
          <w:rFonts w:ascii="Verdana" w:hAnsi="Verdana"/>
          <w:color w:val="4472C4" w:themeColor="accent1"/>
        </w:rPr>
        <w:t xml:space="preserve"> </w:t>
      </w:r>
      <w:r w:rsidRPr="00FE6BBD">
        <w:rPr>
          <w:rFonts w:ascii="Verdana" w:hAnsi="Verdana"/>
        </w:rPr>
        <w:t xml:space="preserve">Instagram: </w:t>
      </w:r>
      <w:r w:rsidRPr="00FE6BBD">
        <w:rPr>
          <w:rStyle w:val="Hipervnculo"/>
          <w:rFonts w:ascii="Verdana" w:hAnsi="Verdana"/>
          <w:color w:val="4472C4" w:themeColor="accent1"/>
        </w:rPr>
        <w:t>@colombiacompraeficiente_cce</w:t>
      </w:r>
    </w:p>
    <w:p w14:paraId="71781B8C" w14:textId="77777777" w:rsidR="00027D68" w:rsidRPr="00FE6BBD" w:rsidRDefault="00027D68" w:rsidP="00027D68">
      <w:pPr>
        <w:widowControl w:val="0"/>
        <w:autoSpaceDE w:val="0"/>
        <w:autoSpaceDN w:val="0"/>
        <w:spacing w:after="0" w:line="276" w:lineRule="auto"/>
        <w:jc w:val="both"/>
        <w:rPr>
          <w:rFonts w:ascii="Verdana" w:hAnsi="Verdana" w:cs="Arial"/>
        </w:rPr>
      </w:pPr>
    </w:p>
    <w:p w14:paraId="27C5B78E" w14:textId="77777777" w:rsidR="00027D68" w:rsidRPr="00FE6BBD" w:rsidRDefault="00027D68" w:rsidP="00027D68">
      <w:pPr>
        <w:widowControl w:val="0"/>
        <w:autoSpaceDE w:val="0"/>
        <w:autoSpaceDN w:val="0"/>
        <w:spacing w:after="0" w:line="276" w:lineRule="auto"/>
        <w:jc w:val="both"/>
        <w:rPr>
          <w:rFonts w:ascii="Verdana" w:hAnsi="Verdana" w:cs="Arial"/>
          <w:lang w:val="es-ES_tradnl"/>
        </w:rPr>
      </w:pPr>
      <w:r w:rsidRPr="00FE6BBD">
        <w:rPr>
          <w:rFonts w:ascii="Verdana" w:hAnsi="Verdana" w:cs="Arial"/>
        </w:rPr>
        <w:t xml:space="preserve">Este concepto tiene el alcance previsto en el artículo 28 del Código de Procedimiento Administrativo y de lo Contencioso Administrativo </w:t>
      </w:r>
      <w:r w:rsidRPr="00FE6BBD">
        <w:rPr>
          <w:rFonts w:ascii="Verdana" w:hAnsi="Verdana" w:cs="Arial"/>
          <w:lang w:val="es-ES_tradnl"/>
        </w:rPr>
        <w:t>y las expresiones aquí utilizadas con mayúscula inicial deben ser entendidas con el significado que les otorga el artículo 2.2.1.1.1.3.1. del Decreto 1082 de 2015.</w:t>
      </w:r>
    </w:p>
    <w:p w14:paraId="671F996D" w14:textId="77777777" w:rsidR="00027D68" w:rsidRPr="00FE6BBD" w:rsidRDefault="00027D68" w:rsidP="00027D68">
      <w:pPr>
        <w:widowControl w:val="0"/>
        <w:autoSpaceDE w:val="0"/>
        <w:autoSpaceDN w:val="0"/>
        <w:spacing w:after="0" w:line="276" w:lineRule="auto"/>
        <w:jc w:val="both"/>
        <w:rPr>
          <w:rFonts w:ascii="Verdana" w:hAnsi="Verdana" w:cs="Arial"/>
        </w:rPr>
      </w:pPr>
    </w:p>
    <w:p w14:paraId="424DD871" w14:textId="77777777" w:rsidR="00027D68" w:rsidRPr="00FE6BBD" w:rsidRDefault="00027D68" w:rsidP="00027D68">
      <w:pPr>
        <w:spacing w:after="0" w:line="276" w:lineRule="auto"/>
        <w:rPr>
          <w:rFonts w:ascii="Verdana" w:hAnsi="Verdana" w:cs="Arial"/>
          <w:lang w:eastAsia="es-CO"/>
        </w:rPr>
      </w:pPr>
      <w:r w:rsidRPr="00FE6BBD">
        <w:rPr>
          <w:rFonts w:ascii="Verdana" w:eastAsia="Times New Roman" w:hAnsi="Verdana" w:cs="Arial"/>
          <w:lang w:eastAsia="es-CO"/>
        </w:rPr>
        <w:t>Atentamente,</w:t>
      </w:r>
      <w:r w:rsidRPr="00FE6BBD">
        <w:rPr>
          <w:rFonts w:ascii="Verdana" w:hAnsi="Verdana" w:cs="Arial"/>
          <w:lang w:eastAsia="es-CO"/>
        </w:rPr>
        <w:t xml:space="preserve"> </w:t>
      </w:r>
    </w:p>
    <w:p w14:paraId="3F754BD4" w14:textId="574C48B6" w:rsidR="00027D68" w:rsidRPr="00FE6BBD" w:rsidRDefault="00DA612F" w:rsidP="00027D68">
      <w:pPr>
        <w:spacing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248E615C" wp14:editId="0539C7D7">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11EAE99F" w14:textId="77777777" w:rsidR="00027D68" w:rsidRPr="00FE6BBD" w:rsidRDefault="00027D68" w:rsidP="00027D68">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7D68" w:rsidRPr="00FE6BBD" w14:paraId="01DAA06D" w14:textId="77777777" w:rsidTr="00E44737">
        <w:trPr>
          <w:trHeight w:val="315"/>
        </w:trPr>
        <w:tc>
          <w:tcPr>
            <w:tcW w:w="893" w:type="dxa"/>
            <w:vAlign w:val="center"/>
            <w:hideMark/>
          </w:tcPr>
          <w:p w14:paraId="7C1137EC"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9B5DA8" w14:textId="77777777" w:rsidR="00027D68" w:rsidRPr="00FE6BBD" w:rsidRDefault="00027D68" w:rsidP="00E44737">
            <w:pPr>
              <w:spacing w:line="276" w:lineRule="auto"/>
              <w:contextualSpacing/>
              <w:rPr>
                <w:rStyle w:val="normaltextrun"/>
                <w:rFonts w:ascii="Verdana" w:eastAsia="Arial" w:hAnsi="Verdana" w:cs="Arial"/>
                <w:sz w:val="16"/>
                <w:szCs w:val="16"/>
              </w:rPr>
            </w:pPr>
            <w:r w:rsidRPr="00FE6BBD">
              <w:rPr>
                <w:rStyle w:val="normaltextrun"/>
                <w:rFonts w:ascii="Verdana" w:eastAsia="Arial" w:hAnsi="Verdana" w:cs="Arial"/>
                <w:sz w:val="16"/>
                <w:szCs w:val="16"/>
              </w:rPr>
              <w:t>Andrea del Pilar Garzón Sánchez.</w:t>
            </w:r>
          </w:p>
          <w:p w14:paraId="5264D8B6" w14:textId="77777777" w:rsidR="00027D68" w:rsidRPr="00FE6BBD" w:rsidRDefault="00027D68" w:rsidP="00E44737">
            <w:pPr>
              <w:spacing w:line="276" w:lineRule="auto"/>
              <w:contextualSpacing/>
              <w:rPr>
                <w:rFonts w:ascii="Verdana" w:eastAsia="Arial" w:hAnsi="Verdana" w:cs="Arial"/>
                <w:color w:val="7030A0"/>
                <w:sz w:val="16"/>
                <w:szCs w:val="16"/>
              </w:rPr>
            </w:pPr>
            <w:r w:rsidRPr="00FE6BBD">
              <w:rPr>
                <w:rStyle w:val="normaltextrun"/>
                <w:rFonts w:ascii="Verdana" w:eastAsia="Arial" w:hAnsi="Verdana" w:cs="Arial"/>
                <w:sz w:val="16"/>
                <w:szCs w:val="16"/>
              </w:rPr>
              <w:t>Contratista de la Subdirección de Gestión Contractual</w:t>
            </w:r>
          </w:p>
        </w:tc>
      </w:tr>
      <w:tr w:rsidR="00027D68" w:rsidRPr="00FE6BBD" w14:paraId="787F79B6" w14:textId="77777777" w:rsidTr="00E44737">
        <w:trPr>
          <w:trHeight w:val="330"/>
        </w:trPr>
        <w:tc>
          <w:tcPr>
            <w:tcW w:w="893" w:type="dxa"/>
            <w:vAlign w:val="center"/>
            <w:hideMark/>
          </w:tcPr>
          <w:p w14:paraId="3B493510"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857AE3" w14:textId="77777777" w:rsidR="00027D68" w:rsidRPr="00FE6BBD" w:rsidRDefault="00027D68" w:rsidP="00E44737">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FE6BBD">
              <w:rPr>
                <w:rStyle w:val="normaltextrun"/>
                <w:rFonts w:ascii="Verdana" w:hAnsi="Verdana" w:cs="Arial"/>
                <w:sz w:val="16"/>
                <w:szCs w:val="16"/>
                <w:lang w:val="es-ES"/>
              </w:rPr>
              <w:t>Diana Lucia Saavedra Castañeda.</w:t>
            </w:r>
          </w:p>
          <w:p w14:paraId="55C8194D" w14:textId="77777777" w:rsidR="00027D68" w:rsidRPr="00FE6BBD" w:rsidRDefault="00027D68" w:rsidP="00E44737">
            <w:pPr>
              <w:pStyle w:val="paragraph"/>
              <w:spacing w:before="0" w:beforeAutospacing="0" w:after="0" w:afterAutospacing="0" w:line="276" w:lineRule="auto"/>
              <w:contextualSpacing/>
              <w:textAlignment w:val="baseline"/>
              <w:rPr>
                <w:rFonts w:ascii="Verdana" w:hAnsi="Verdana" w:cs="Segoe UI"/>
                <w:sz w:val="16"/>
                <w:szCs w:val="16"/>
              </w:rPr>
            </w:pPr>
            <w:r w:rsidRPr="00FE6BBD">
              <w:rPr>
                <w:rStyle w:val="normaltextrun"/>
                <w:rFonts w:ascii="Verdana" w:hAnsi="Verdana" w:cs="Arial"/>
                <w:sz w:val="16"/>
                <w:szCs w:val="16"/>
                <w:lang w:val="es-ES"/>
              </w:rPr>
              <w:t>Contratista de la Subdirección de Gestión Contractual</w:t>
            </w:r>
            <w:r w:rsidRPr="00FE6BBD">
              <w:rPr>
                <w:rStyle w:val="eop"/>
                <w:rFonts w:ascii="Verdana" w:hAnsi="Verdana" w:cs="Arial"/>
                <w:sz w:val="16"/>
                <w:szCs w:val="16"/>
              </w:rPr>
              <w:t> </w:t>
            </w:r>
          </w:p>
        </w:tc>
      </w:tr>
      <w:tr w:rsidR="00027D68" w:rsidRPr="00FE6BBD" w14:paraId="7E565113" w14:textId="77777777" w:rsidTr="00E44737">
        <w:trPr>
          <w:trHeight w:val="300"/>
        </w:trPr>
        <w:tc>
          <w:tcPr>
            <w:tcW w:w="893" w:type="dxa"/>
            <w:vAlign w:val="center"/>
          </w:tcPr>
          <w:p w14:paraId="4D6D2AAF"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0B673E" w14:textId="77777777" w:rsidR="00027D68" w:rsidRPr="00FE6BBD" w:rsidRDefault="00027D68" w:rsidP="00E44737">
            <w:pPr>
              <w:contextualSpacing/>
              <w:rPr>
                <w:rFonts w:ascii="Verdana" w:eastAsia="Calibri" w:hAnsi="Verdana" w:cs="Arial"/>
                <w:sz w:val="16"/>
                <w:szCs w:val="16"/>
                <w:lang w:val="pt-BR" w:eastAsia="es-ES"/>
              </w:rPr>
            </w:pPr>
            <w:r w:rsidRPr="00FE6BBD">
              <w:rPr>
                <w:rFonts w:ascii="Verdana" w:eastAsia="Calibri" w:hAnsi="Verdana" w:cs="Arial"/>
                <w:sz w:val="16"/>
                <w:szCs w:val="16"/>
                <w:lang w:val="pt-BR" w:eastAsia="es-ES"/>
              </w:rPr>
              <w:t xml:space="preserve">Carolina Quintero </w:t>
            </w:r>
            <w:proofErr w:type="spellStart"/>
            <w:r w:rsidRPr="00FE6BBD">
              <w:rPr>
                <w:rFonts w:ascii="Verdana" w:eastAsia="Calibri" w:hAnsi="Verdana" w:cs="Arial"/>
                <w:sz w:val="16"/>
                <w:szCs w:val="16"/>
                <w:lang w:val="pt-BR" w:eastAsia="es-ES"/>
              </w:rPr>
              <w:t>Gacharná</w:t>
            </w:r>
            <w:proofErr w:type="spellEnd"/>
          </w:p>
          <w:p w14:paraId="0084B667" w14:textId="77777777" w:rsidR="00027D68" w:rsidRPr="00FE6BBD" w:rsidRDefault="00027D68" w:rsidP="00E44737">
            <w:pPr>
              <w:spacing w:line="276" w:lineRule="auto"/>
              <w:contextualSpacing/>
              <w:rPr>
                <w:rFonts w:ascii="Verdana" w:eastAsia="Calibri" w:hAnsi="Verdana" w:cs="Arial"/>
                <w:sz w:val="16"/>
                <w:szCs w:val="16"/>
                <w:lang w:val="pt-BR" w:eastAsia="es-ES"/>
              </w:rPr>
            </w:pPr>
            <w:r w:rsidRPr="00FE6BBD">
              <w:rPr>
                <w:rFonts w:ascii="Verdana" w:eastAsia="Calibri" w:hAnsi="Verdana" w:cs="Arial"/>
                <w:sz w:val="16"/>
                <w:szCs w:val="16"/>
                <w:lang w:eastAsia="es-ES"/>
              </w:rPr>
              <w:t>Subdirectora</w:t>
            </w:r>
            <w:r w:rsidRPr="00FE6BBD">
              <w:rPr>
                <w:rFonts w:ascii="Verdana" w:eastAsia="Calibri" w:hAnsi="Verdana" w:cs="Arial"/>
                <w:sz w:val="16"/>
                <w:szCs w:val="16"/>
                <w:lang w:val="pt-BR" w:eastAsia="es-ES"/>
              </w:rPr>
              <w:t xml:space="preserve"> de Gestión </w:t>
            </w:r>
            <w:proofErr w:type="spellStart"/>
            <w:r w:rsidRPr="00FE6BBD">
              <w:rPr>
                <w:rFonts w:ascii="Verdana" w:eastAsia="Calibri" w:hAnsi="Verdana" w:cs="Arial"/>
                <w:sz w:val="16"/>
                <w:szCs w:val="16"/>
                <w:lang w:val="pt-BR" w:eastAsia="es-ES"/>
              </w:rPr>
              <w:t>Contractual</w:t>
            </w:r>
            <w:proofErr w:type="spellEnd"/>
            <w:r w:rsidRPr="00FE6BBD">
              <w:rPr>
                <w:rFonts w:ascii="Verdana" w:eastAsia="Calibri" w:hAnsi="Verdana" w:cs="Arial"/>
                <w:sz w:val="16"/>
                <w:szCs w:val="16"/>
                <w:lang w:val="pt-BR" w:eastAsia="es-ES"/>
              </w:rPr>
              <w:t xml:space="preserve"> ANCP – CCE </w:t>
            </w:r>
          </w:p>
        </w:tc>
      </w:tr>
    </w:tbl>
    <w:p w14:paraId="507146EE" w14:textId="77777777" w:rsidR="00027D68" w:rsidRPr="00FE6BBD" w:rsidRDefault="00027D68" w:rsidP="00027D68">
      <w:pPr>
        <w:spacing w:line="276" w:lineRule="auto"/>
        <w:rPr>
          <w:rFonts w:ascii="Verdana" w:hAnsi="Verdana"/>
        </w:rPr>
      </w:pPr>
    </w:p>
    <w:bookmarkEnd w:id="0"/>
    <w:p w14:paraId="24BAF599" w14:textId="77777777" w:rsidR="00027D68" w:rsidRPr="0024624F" w:rsidRDefault="00027D68" w:rsidP="00027D68">
      <w:pPr>
        <w:spacing w:after="0"/>
        <w:rPr>
          <w:rFonts w:ascii="Verdana" w:hAnsi="Verdana"/>
        </w:rPr>
      </w:pPr>
    </w:p>
    <w:p w14:paraId="55F95B7F" w14:textId="77777777" w:rsidR="00F16D62" w:rsidRPr="00DF20AA" w:rsidRDefault="00F16D62" w:rsidP="00DF20AA"/>
    <w:sectPr w:rsidR="00F16D62" w:rsidRPr="00DF20A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AB785" w14:textId="77777777" w:rsidR="00D07647" w:rsidRDefault="00D07647" w:rsidP="004A1847">
      <w:pPr>
        <w:spacing w:after="0" w:line="240" w:lineRule="auto"/>
      </w:pPr>
      <w:r>
        <w:separator/>
      </w:r>
    </w:p>
  </w:endnote>
  <w:endnote w:type="continuationSeparator" w:id="0">
    <w:p w14:paraId="019E212F" w14:textId="77777777" w:rsidR="00D07647" w:rsidRDefault="00D0764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E6E00" w14:textId="77777777" w:rsidR="00D07647" w:rsidRDefault="00D07647" w:rsidP="004A1847">
      <w:pPr>
        <w:spacing w:after="0" w:line="240" w:lineRule="auto"/>
      </w:pPr>
      <w:r>
        <w:separator/>
      </w:r>
    </w:p>
  </w:footnote>
  <w:footnote w:type="continuationSeparator" w:id="0">
    <w:p w14:paraId="7F874404" w14:textId="77777777" w:rsidR="00D07647" w:rsidRDefault="00D07647"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98355136">
    <w:abstractNumId w:val="6"/>
  </w:num>
  <w:num w:numId="2" w16cid:durableId="1946964499">
    <w:abstractNumId w:val="2"/>
  </w:num>
  <w:num w:numId="3" w16cid:durableId="851795582">
    <w:abstractNumId w:val="4"/>
  </w:num>
  <w:num w:numId="4" w16cid:durableId="5394415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789059">
    <w:abstractNumId w:val="2"/>
  </w:num>
  <w:num w:numId="6" w16cid:durableId="2030523654">
    <w:abstractNumId w:val="13"/>
  </w:num>
  <w:num w:numId="7" w16cid:durableId="915434910">
    <w:abstractNumId w:val="5"/>
  </w:num>
  <w:num w:numId="8" w16cid:durableId="2136100629">
    <w:abstractNumId w:val="12"/>
  </w:num>
  <w:num w:numId="9" w16cid:durableId="518589077">
    <w:abstractNumId w:val="7"/>
  </w:num>
  <w:num w:numId="10" w16cid:durableId="483401318">
    <w:abstractNumId w:val="11"/>
  </w:num>
  <w:num w:numId="11" w16cid:durableId="192379550">
    <w:abstractNumId w:val="8"/>
  </w:num>
  <w:num w:numId="12" w16cid:durableId="1008562856">
    <w:abstractNumId w:val="1"/>
  </w:num>
  <w:num w:numId="13" w16cid:durableId="644744849">
    <w:abstractNumId w:val="3"/>
  </w:num>
  <w:num w:numId="14" w16cid:durableId="751632896">
    <w:abstractNumId w:val="14"/>
  </w:num>
  <w:num w:numId="15" w16cid:durableId="208878395">
    <w:abstractNumId w:val="10"/>
  </w:num>
  <w:num w:numId="16" w16cid:durableId="1037778836">
    <w:abstractNumId w:val="0"/>
  </w:num>
  <w:num w:numId="17" w16cid:durableId="298002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D68"/>
    <w:rsid w:val="00046945"/>
    <w:rsid w:val="00061B2A"/>
    <w:rsid w:val="00082362"/>
    <w:rsid w:val="000A683E"/>
    <w:rsid w:val="000B19B9"/>
    <w:rsid w:val="000D0334"/>
    <w:rsid w:val="000D5DA7"/>
    <w:rsid w:val="000F053D"/>
    <w:rsid w:val="000F6486"/>
    <w:rsid w:val="00116940"/>
    <w:rsid w:val="00125105"/>
    <w:rsid w:val="00127233"/>
    <w:rsid w:val="001526F5"/>
    <w:rsid w:val="0015699B"/>
    <w:rsid w:val="00164DA4"/>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30BE"/>
    <w:rsid w:val="003448F4"/>
    <w:rsid w:val="0037464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1182"/>
    <w:rsid w:val="007C3DC2"/>
    <w:rsid w:val="007E5497"/>
    <w:rsid w:val="00806F5F"/>
    <w:rsid w:val="00814BC0"/>
    <w:rsid w:val="00820278"/>
    <w:rsid w:val="008258C9"/>
    <w:rsid w:val="00844AE9"/>
    <w:rsid w:val="00860F94"/>
    <w:rsid w:val="00867F95"/>
    <w:rsid w:val="008843B6"/>
    <w:rsid w:val="00891928"/>
    <w:rsid w:val="008A446D"/>
    <w:rsid w:val="008A59C5"/>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70D"/>
    <w:rsid w:val="00A122D3"/>
    <w:rsid w:val="00A14468"/>
    <w:rsid w:val="00A17F13"/>
    <w:rsid w:val="00A20739"/>
    <w:rsid w:val="00A23AF9"/>
    <w:rsid w:val="00A33C78"/>
    <w:rsid w:val="00AB0ADB"/>
    <w:rsid w:val="00B00C0E"/>
    <w:rsid w:val="00B01B1A"/>
    <w:rsid w:val="00B0381D"/>
    <w:rsid w:val="00B31FCF"/>
    <w:rsid w:val="00B44A47"/>
    <w:rsid w:val="00B57215"/>
    <w:rsid w:val="00B72CD3"/>
    <w:rsid w:val="00B72FFF"/>
    <w:rsid w:val="00BC3D36"/>
    <w:rsid w:val="00BD54A6"/>
    <w:rsid w:val="00BD7F72"/>
    <w:rsid w:val="00BF7425"/>
    <w:rsid w:val="00C04FB3"/>
    <w:rsid w:val="00C11D8B"/>
    <w:rsid w:val="00C15139"/>
    <w:rsid w:val="00C330EB"/>
    <w:rsid w:val="00C50D69"/>
    <w:rsid w:val="00C5365C"/>
    <w:rsid w:val="00C7188E"/>
    <w:rsid w:val="00C754BE"/>
    <w:rsid w:val="00C76B1C"/>
    <w:rsid w:val="00C91E78"/>
    <w:rsid w:val="00C925AC"/>
    <w:rsid w:val="00CB6357"/>
    <w:rsid w:val="00CC1B26"/>
    <w:rsid w:val="00D07647"/>
    <w:rsid w:val="00D361FD"/>
    <w:rsid w:val="00D423A2"/>
    <w:rsid w:val="00D44E26"/>
    <w:rsid w:val="00D520D8"/>
    <w:rsid w:val="00D547B4"/>
    <w:rsid w:val="00D56BE8"/>
    <w:rsid w:val="00D63AC2"/>
    <w:rsid w:val="00D7383B"/>
    <w:rsid w:val="00D7788A"/>
    <w:rsid w:val="00DA231B"/>
    <w:rsid w:val="00DA612F"/>
    <w:rsid w:val="00DC39FC"/>
    <w:rsid w:val="00DD56E8"/>
    <w:rsid w:val="00DF20AA"/>
    <w:rsid w:val="00DF5254"/>
    <w:rsid w:val="00E02524"/>
    <w:rsid w:val="00E16408"/>
    <w:rsid w:val="00E20894"/>
    <w:rsid w:val="00E245AB"/>
    <w:rsid w:val="00E2764C"/>
    <w:rsid w:val="00E27F2E"/>
    <w:rsid w:val="00E440D0"/>
    <w:rsid w:val="00E50AFE"/>
    <w:rsid w:val="00E750E4"/>
    <w:rsid w:val="00E75C92"/>
    <w:rsid w:val="00E771DC"/>
    <w:rsid w:val="00E8772A"/>
    <w:rsid w:val="00E90F6B"/>
    <w:rsid w:val="00E92C27"/>
    <w:rsid w:val="00EA0E3D"/>
    <w:rsid w:val="00EC38A7"/>
    <w:rsid w:val="00EE1AA8"/>
    <w:rsid w:val="00EF404F"/>
    <w:rsid w:val="00F16D62"/>
    <w:rsid w:val="00F23FEA"/>
    <w:rsid w:val="00F31EDC"/>
    <w:rsid w:val="00F462B3"/>
    <w:rsid w:val="00F5664F"/>
    <w:rsid w:val="00F666C4"/>
    <w:rsid w:val="00F76AFC"/>
    <w:rsid w:val="00FA47C0"/>
    <w:rsid w:val="00FB5DD1"/>
    <w:rsid w:val="00FC2B5D"/>
    <w:rsid w:val="00FE51DE"/>
    <w:rsid w:val="00FF1449"/>
    <w:rsid w:val="00FF7963"/>
    <w:rsid w:val="050A7722"/>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18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188E"/>
    <w:rPr>
      <w:rFonts w:ascii="Geomanist Light" w:hAnsi="Geomanist Light"/>
      <w:lang w:val="es-ES"/>
    </w:rPr>
  </w:style>
  <w:style w:type="character" w:customStyle="1" w:styleId="NormalWebCar">
    <w:name w:val="Normal (Web) Car"/>
    <w:link w:val="NormalWeb"/>
    <w:uiPriority w:val="99"/>
    <w:rsid w:val="00C7188E"/>
    <w:rPr>
      <w:rFonts w:ascii="Times New Roman" w:eastAsia="Times New Roman" w:hAnsi="Times New Roman" w:cs="Times New Roman"/>
      <w:sz w:val="24"/>
      <w:szCs w:val="24"/>
      <w:lang w:eastAsia="es-CO"/>
    </w:rPr>
  </w:style>
  <w:style w:type="character" w:customStyle="1" w:styleId="citation-281">
    <w:name w:val="citation-281"/>
    <w:basedOn w:val="Fuentedeprrafopredeter"/>
    <w:rsid w:val="00C7188E"/>
  </w:style>
  <w:style w:type="character" w:customStyle="1" w:styleId="citation-280">
    <w:name w:val="citation-280"/>
    <w:basedOn w:val="Fuentedeprrafopredeter"/>
    <w:rsid w:val="00C7188E"/>
  </w:style>
  <w:style w:type="character" w:customStyle="1" w:styleId="citation-279">
    <w:name w:val="citation-279"/>
    <w:basedOn w:val="Fuentedeprrafopredeter"/>
    <w:rsid w:val="00C7188E"/>
  </w:style>
  <w:style w:type="character" w:customStyle="1" w:styleId="citation-277">
    <w:name w:val="citation-277"/>
    <w:basedOn w:val="Fuentedeprrafopredeter"/>
    <w:rsid w:val="00C7188E"/>
  </w:style>
  <w:style w:type="character" w:customStyle="1" w:styleId="citation-276">
    <w:name w:val="citation-276"/>
    <w:basedOn w:val="Fuentedeprrafopredeter"/>
    <w:rsid w:val="00C7188E"/>
  </w:style>
  <w:style w:type="character" w:customStyle="1" w:styleId="citation-275">
    <w:name w:val="citation-275"/>
    <w:basedOn w:val="Fuentedeprrafopredeter"/>
    <w:rsid w:val="00C7188E"/>
  </w:style>
  <w:style w:type="character" w:customStyle="1" w:styleId="citation-274">
    <w:name w:val="citation-274"/>
    <w:basedOn w:val="Fuentedeprrafopredeter"/>
    <w:rsid w:val="00C7188E"/>
  </w:style>
  <w:style w:type="character" w:customStyle="1" w:styleId="citation-271">
    <w:name w:val="citation-271"/>
    <w:basedOn w:val="Fuentedeprrafopredeter"/>
    <w:rsid w:val="00C7188E"/>
  </w:style>
  <w:style w:type="character" w:customStyle="1" w:styleId="citation-270">
    <w:name w:val="citation-270"/>
    <w:basedOn w:val="Fuentedeprrafopredeter"/>
    <w:rsid w:val="00C7188E"/>
  </w:style>
  <w:style w:type="character" w:customStyle="1" w:styleId="citation-269">
    <w:name w:val="citation-269"/>
    <w:basedOn w:val="Fuentedeprrafopredeter"/>
    <w:rsid w:val="00C7188E"/>
  </w:style>
  <w:style w:type="character" w:styleId="Refdecomentario">
    <w:name w:val="annotation reference"/>
    <w:basedOn w:val="Fuentedeprrafopredeter"/>
    <w:uiPriority w:val="99"/>
    <w:semiHidden/>
    <w:unhideWhenUsed/>
    <w:rsid w:val="008A59C5"/>
    <w:rPr>
      <w:sz w:val="16"/>
      <w:szCs w:val="16"/>
    </w:rPr>
  </w:style>
  <w:style w:type="paragraph" w:styleId="Textocomentario">
    <w:name w:val="annotation text"/>
    <w:basedOn w:val="Normal"/>
    <w:link w:val="TextocomentarioCar"/>
    <w:uiPriority w:val="99"/>
    <w:semiHidden/>
    <w:unhideWhenUsed/>
    <w:rsid w:val="008A59C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A59C5"/>
    <w:rPr>
      <w:sz w:val="20"/>
      <w:szCs w:val="20"/>
    </w:rPr>
  </w:style>
  <w:style w:type="paragraph" w:styleId="Asuntodelcomentario">
    <w:name w:val="annotation subject"/>
    <w:basedOn w:val="Textocomentario"/>
    <w:next w:val="Textocomentario"/>
    <w:link w:val="AsuntodelcomentarioCar"/>
    <w:uiPriority w:val="99"/>
    <w:semiHidden/>
    <w:unhideWhenUsed/>
    <w:rsid w:val="008A59C5"/>
    <w:rPr>
      <w:b/>
      <w:bCs/>
    </w:rPr>
  </w:style>
  <w:style w:type="character" w:customStyle="1" w:styleId="AsuntodelcomentarioCar">
    <w:name w:val="Asunto del comentario Car"/>
    <w:basedOn w:val="TextocomentarioCar"/>
    <w:link w:val="Asuntodelcomentario"/>
    <w:uiPriority w:val="99"/>
    <w:semiHidden/>
    <w:rsid w:val="008A59C5"/>
    <w:rPr>
      <w:b/>
      <w:bCs/>
      <w:sz w:val="20"/>
      <w:szCs w:val="20"/>
    </w:rPr>
  </w:style>
  <w:style w:type="character" w:customStyle="1" w:styleId="citation-219">
    <w:name w:val="citation-219"/>
    <w:basedOn w:val="Fuentedeprrafopredeter"/>
    <w:rsid w:val="00027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afp.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84C26C-EC64-4D9A-AAE1-5854CB77AFB1}"/>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9</Pages>
  <Words>2819</Words>
  <Characters>15873</Characters>
  <Application>Microsoft Office Word</Application>
  <DocSecurity>0</DocSecurity>
  <Lines>345</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2025-12-24T14:34:00Z</dcterms:created>
  <dcterms:modified xsi:type="dcterms:W3CDTF">2025-12-24T14:34:00Z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